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39135" w14:textId="77777777" w:rsidR="003C5CF2" w:rsidRDefault="003C5CF2" w:rsidP="003C5CF2">
      <w:pPr>
        <w:spacing w:after="0" w:line="240" w:lineRule="auto"/>
        <w:jc w:val="both"/>
        <w:rPr>
          <w:rFonts w:ascii="Verdana" w:eastAsia="Calibri" w:hAnsi="Verdana" w:cs="Arial"/>
          <w:b/>
          <w:bCs/>
          <w:lang w:val="es-ES_tradnl"/>
        </w:rPr>
      </w:pPr>
      <w:bookmarkStart w:id="0" w:name="_Hlk143780582"/>
      <w:r>
        <w:rPr>
          <w:rFonts w:ascii="Verdana" w:eastAsia="Calibri" w:hAnsi="Verdana" w:cs="Arial"/>
          <w:b/>
          <w:bCs/>
          <w:lang w:val="es-ES_tradnl"/>
        </w:rPr>
        <w:t xml:space="preserve">SISTEMA DE PREFERENCIA PARA PERSONAS CON DISCAPACIDAD </w:t>
      </w:r>
      <w:r w:rsidRPr="004C2794">
        <w:rPr>
          <w:rFonts w:ascii="Verdana" w:eastAsia="Calibri" w:hAnsi="Verdana" w:cs="Arial"/>
          <w:b/>
          <w:bCs/>
          <w:lang w:val="es-ES_tradnl"/>
        </w:rPr>
        <w:t>‒</w:t>
      </w:r>
      <w:r>
        <w:rPr>
          <w:rFonts w:ascii="Verdana" w:eastAsia="Calibri" w:hAnsi="Verdana" w:cs="Arial"/>
          <w:b/>
          <w:bCs/>
          <w:lang w:val="es-ES_tradnl"/>
        </w:rPr>
        <w:t xml:space="preserve"> Constitución Política </w:t>
      </w:r>
      <w:r w:rsidRPr="004C2794">
        <w:rPr>
          <w:rFonts w:ascii="Verdana" w:eastAsia="Calibri" w:hAnsi="Verdana" w:cs="Arial"/>
          <w:b/>
          <w:bCs/>
          <w:lang w:val="es-ES_tradnl"/>
        </w:rPr>
        <w:t>‒</w:t>
      </w:r>
      <w:r>
        <w:rPr>
          <w:rFonts w:ascii="Verdana" w:eastAsia="Calibri" w:hAnsi="Verdana" w:cs="Arial"/>
          <w:b/>
          <w:bCs/>
          <w:lang w:val="es-ES_tradnl"/>
        </w:rPr>
        <w:t xml:space="preserve"> Ley </w:t>
      </w:r>
      <w:r w:rsidRPr="00915323">
        <w:rPr>
          <w:rFonts w:ascii="Verdana" w:eastAsia="Calibri" w:hAnsi="Verdana" w:cs="Arial"/>
          <w:b/>
          <w:bCs/>
          <w:lang w:val="es-ES_tradnl"/>
        </w:rPr>
        <w:t>1618 de 2013</w:t>
      </w:r>
    </w:p>
    <w:p w14:paraId="40D684AE" w14:textId="77777777" w:rsidR="003C5CF2" w:rsidRDefault="003C5CF2" w:rsidP="003C5CF2">
      <w:pPr>
        <w:spacing w:after="0" w:line="240" w:lineRule="auto"/>
        <w:jc w:val="both"/>
        <w:rPr>
          <w:rFonts w:ascii="Verdana" w:eastAsia="Calibri" w:hAnsi="Verdana" w:cs="Arial"/>
          <w:b/>
          <w:bCs/>
          <w:lang w:val="es-ES_tradnl"/>
        </w:rPr>
      </w:pPr>
    </w:p>
    <w:p w14:paraId="00ACECAB" w14:textId="77777777" w:rsidR="003C5CF2" w:rsidRDefault="003C5CF2" w:rsidP="003C5CF2">
      <w:pPr>
        <w:spacing w:after="0" w:line="240" w:lineRule="auto"/>
        <w:jc w:val="both"/>
        <w:rPr>
          <w:rFonts w:ascii="Verdana" w:eastAsia="Calibri" w:hAnsi="Verdana" w:cs="Arial"/>
          <w:sz w:val="20"/>
          <w:szCs w:val="20"/>
          <w:lang w:val="es-ES"/>
        </w:rPr>
      </w:pPr>
      <w:r w:rsidRPr="5650A17C">
        <w:rPr>
          <w:rFonts w:ascii="Verdana" w:eastAsia="Calibri" w:hAnsi="Verdana" w:cs="Arial"/>
          <w:sz w:val="20"/>
          <w:szCs w:val="20"/>
          <w:lang w:val="es-ES"/>
        </w:rPr>
        <w:t>El fundamento del Sistema de Preferencias para Personas con Discapacidad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xml:space="preserve">) en la contratación pública es el principio de igualdad real y efectiva consagrado en el artículo 13 de la Constitución Política de 1991, que impone al Estado el deber positivo de adoptar acciones afirmativas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w:t>
      </w:r>
    </w:p>
    <w:p w14:paraId="05000D5A" w14:textId="77777777" w:rsidR="003C5CF2" w:rsidRDefault="003C5CF2" w:rsidP="003C5CF2">
      <w:pPr>
        <w:spacing w:after="0" w:line="240" w:lineRule="auto"/>
        <w:jc w:val="both"/>
        <w:rPr>
          <w:rFonts w:ascii="Verdana" w:eastAsia="Calibri" w:hAnsi="Verdana" w:cs="Arial"/>
          <w:sz w:val="20"/>
          <w:szCs w:val="20"/>
          <w:lang w:val="es-ES_tradnl"/>
        </w:rPr>
      </w:pPr>
    </w:p>
    <w:p w14:paraId="6E0CF622" w14:textId="77777777" w:rsidR="003C5CF2" w:rsidRPr="00915323" w:rsidRDefault="003C5CF2" w:rsidP="003C5CF2">
      <w:pPr>
        <w:spacing w:after="0" w:line="240" w:lineRule="auto"/>
        <w:jc w:val="both"/>
        <w:rPr>
          <w:rFonts w:ascii="Verdana" w:eastAsia="Calibri" w:hAnsi="Verdana" w:cs="Arial"/>
          <w:sz w:val="20"/>
          <w:szCs w:val="20"/>
          <w:lang w:val="es-ES"/>
        </w:rPr>
      </w:pPr>
      <w:r w:rsidRPr="5650A17C">
        <w:rPr>
          <w:rFonts w:ascii="Verdana" w:eastAsia="Calibri" w:hAnsi="Verdana" w:cs="Arial"/>
          <w:sz w:val="20"/>
          <w:szCs w:val="20"/>
          <w:lang w:val="es-ES"/>
        </w:rPr>
        <w:t xml:space="preserve">La Ley Estatutaria 1618 de 2013 representó un salto cualitativo en el marco jurídico de protección de las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al definir a estas como "aquellas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proofErr w:type="gramStart"/>
      <w:r w:rsidRPr="5650A17C">
        <w:rPr>
          <w:rFonts w:ascii="Verdana" w:eastAsia="Calibri" w:hAnsi="Verdana" w:cs="Arial"/>
          <w:sz w:val="20"/>
          <w:szCs w:val="20"/>
          <w:lang w:val="es-ES"/>
        </w:rPr>
        <w:t>" .</w:t>
      </w:r>
      <w:proofErr w:type="gramEnd"/>
      <w:r w:rsidRPr="5650A17C">
        <w:rPr>
          <w:rFonts w:ascii="Verdana" w:eastAsia="Calibri" w:hAnsi="Verdana" w:cs="Arial"/>
          <w:sz w:val="20"/>
          <w:szCs w:val="20"/>
          <w:lang w:val="es-ES"/>
        </w:rPr>
        <w:t xml:space="preserve"> Su artículo 13, en los numerales 1, 7 y 8, ordenó al Gobierno Nacional reglamentar: una puntuación adicional en licitación pública, concurso de méritos y contratación directa para empresas que vinculen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xml:space="preserve"> y para empresas de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xml:space="preserve">; un sistema de preferencias para empleadores de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xml:space="preserve"> en la adjudicación; y un sistema de preferencias en favor de las propias </w:t>
      </w:r>
      <w:proofErr w:type="spellStart"/>
      <w:r w:rsidRPr="5650A17C">
        <w:rPr>
          <w:rFonts w:ascii="Verdana" w:eastAsia="Calibri" w:hAnsi="Verdana" w:cs="Arial"/>
          <w:sz w:val="20"/>
          <w:szCs w:val="20"/>
          <w:lang w:val="es-ES"/>
        </w:rPr>
        <w:t>PcD</w:t>
      </w:r>
      <w:proofErr w:type="spellEnd"/>
      <w:r w:rsidRPr="5650A17C">
        <w:rPr>
          <w:rFonts w:ascii="Verdana" w:eastAsia="Calibri" w:hAnsi="Verdana" w:cs="Arial"/>
          <w:sz w:val="20"/>
          <w:szCs w:val="20"/>
          <w:lang w:val="es-ES"/>
        </w:rPr>
        <w:t xml:space="preserve"> como contratistas. Este último mandato fue especialmente significativo porque introdujo el concepto de "sistema de preferencias", que por definición no puede reducirse a una sola medida sino que implica un conjunto estructurado de instrumentos que actúen en las distintas fases del proceso contractual.</w:t>
      </w:r>
    </w:p>
    <w:p w14:paraId="024B63C9" w14:textId="77777777" w:rsidR="003C5CF2" w:rsidRPr="001B3C5D" w:rsidRDefault="003C5CF2" w:rsidP="003C5CF2">
      <w:pPr>
        <w:spacing w:after="0" w:line="240" w:lineRule="auto"/>
        <w:jc w:val="both"/>
        <w:rPr>
          <w:rFonts w:ascii="Aptos" w:eastAsia="Aptos" w:hAnsi="Aptos" w:cs="Times New Roman"/>
          <w:sz w:val="20"/>
          <w:szCs w:val="20"/>
          <w:lang w:val="es-MX"/>
        </w:rPr>
      </w:pPr>
    </w:p>
    <w:p w14:paraId="213FB9C3" w14:textId="77777777" w:rsidR="003C5CF2" w:rsidRPr="00D11711" w:rsidRDefault="003C5CF2" w:rsidP="003C5CF2">
      <w:pPr>
        <w:spacing w:after="0" w:line="240" w:lineRule="auto"/>
        <w:jc w:val="both"/>
        <w:rPr>
          <w:rFonts w:ascii="Verdana" w:eastAsia="Calibri" w:hAnsi="Verdana" w:cs="Arial"/>
          <w:b/>
          <w:bCs/>
          <w:lang w:val="pt-BR" w:eastAsia="es-ES"/>
        </w:rPr>
      </w:pPr>
      <w:r w:rsidRPr="00D11711">
        <w:rPr>
          <w:rFonts w:ascii="Verdana" w:eastAsia="Calibri" w:hAnsi="Verdana" w:cs="Arial"/>
          <w:b/>
          <w:bCs/>
          <w:lang w:val="pt-BR" w:eastAsia="es-ES"/>
        </w:rPr>
        <w:t xml:space="preserve">DECRETO 287 DE 2026 ‒ Antecedentes normativos ‒ Decreto 392 de 2018 </w:t>
      </w:r>
    </w:p>
    <w:p w14:paraId="24C639F9" w14:textId="77777777" w:rsidR="003C5CF2" w:rsidRPr="00D11711" w:rsidRDefault="003C5CF2" w:rsidP="003C5CF2">
      <w:pPr>
        <w:spacing w:after="0" w:line="240" w:lineRule="auto"/>
        <w:jc w:val="both"/>
        <w:rPr>
          <w:rFonts w:ascii="Verdana" w:eastAsia="Calibri" w:hAnsi="Verdana" w:cs="Arial"/>
          <w:b/>
          <w:bCs/>
          <w:lang w:val="pt-BR" w:eastAsia="es-ES"/>
        </w:rPr>
      </w:pPr>
    </w:p>
    <w:p w14:paraId="63AABE8D" w14:textId="77777777" w:rsidR="003C5CF2" w:rsidRDefault="003C5CF2" w:rsidP="003C5CF2">
      <w:pPr>
        <w:spacing w:after="0" w:line="240" w:lineRule="auto"/>
        <w:jc w:val="both"/>
        <w:rPr>
          <w:rFonts w:ascii="Verdana" w:eastAsia="Calibri" w:hAnsi="Verdana" w:cs="Arial"/>
          <w:sz w:val="20"/>
          <w:szCs w:val="20"/>
          <w:lang w:eastAsia="es-ES"/>
        </w:rPr>
      </w:pPr>
      <w:r w:rsidRPr="00915323">
        <w:rPr>
          <w:rFonts w:ascii="Verdana" w:eastAsia="Calibri" w:hAnsi="Verdana" w:cs="Arial"/>
          <w:sz w:val="20"/>
          <w:szCs w:val="20"/>
          <w:lang w:eastAsia="es-ES"/>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pues solo contempló el 1% de puntaje para empleadores de </w:t>
      </w:r>
      <w:proofErr w:type="spellStart"/>
      <w:r w:rsidRPr="00915323">
        <w:rPr>
          <w:rFonts w:ascii="Verdana" w:eastAsia="Calibri" w:hAnsi="Verdana" w:cs="Arial"/>
          <w:sz w:val="20"/>
          <w:szCs w:val="20"/>
          <w:lang w:eastAsia="es-ES"/>
        </w:rPr>
        <w:t>PcD</w:t>
      </w:r>
      <w:proofErr w:type="spellEnd"/>
      <w:r w:rsidRPr="00915323">
        <w:rPr>
          <w:rFonts w:ascii="Verdana" w:eastAsia="Calibri" w:hAnsi="Verdana" w:cs="Arial"/>
          <w:sz w:val="20"/>
          <w:szCs w:val="20"/>
          <w:lang w:eastAsia="es-ES"/>
        </w:rPr>
        <w:t xml:space="preserve">, sin incluir a las empresas de </w:t>
      </w:r>
      <w:proofErr w:type="spellStart"/>
      <w:r w:rsidRPr="00915323">
        <w:rPr>
          <w:rFonts w:ascii="Verdana" w:eastAsia="Calibri" w:hAnsi="Verdana" w:cs="Arial"/>
          <w:sz w:val="20"/>
          <w:szCs w:val="20"/>
          <w:lang w:eastAsia="es-ES"/>
        </w:rPr>
        <w:t>PcD</w:t>
      </w:r>
      <w:proofErr w:type="spellEnd"/>
      <w:r w:rsidRPr="00915323">
        <w:rPr>
          <w:rFonts w:ascii="Verdana" w:eastAsia="Calibri" w:hAnsi="Verdana" w:cs="Arial"/>
          <w:sz w:val="20"/>
          <w:szCs w:val="20"/>
          <w:lang w:eastAsia="es-ES"/>
        </w:rPr>
        <w:t xml:space="preserve">,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915323">
        <w:rPr>
          <w:rFonts w:ascii="Verdana" w:eastAsia="Calibri" w:hAnsi="Verdana" w:cs="Arial"/>
          <w:sz w:val="20"/>
          <w:szCs w:val="20"/>
          <w:lang w:eastAsia="es-ES"/>
        </w:rPr>
        <w:t>PcD</w:t>
      </w:r>
      <w:proofErr w:type="spellEnd"/>
      <w:r w:rsidRPr="00915323">
        <w:rPr>
          <w:rFonts w:ascii="Verdana" w:eastAsia="Calibri" w:hAnsi="Verdana" w:cs="Arial"/>
          <w:sz w:val="20"/>
          <w:szCs w:val="20"/>
          <w:lang w:eastAsia="es-ES"/>
        </w:rPr>
        <w:t xml:space="preserve"> como contratistas.</w:t>
      </w:r>
    </w:p>
    <w:p w14:paraId="285D10CC" w14:textId="77777777" w:rsidR="003C5CF2" w:rsidRPr="00915323" w:rsidRDefault="003C5CF2" w:rsidP="003C5CF2">
      <w:pPr>
        <w:spacing w:after="0" w:line="240" w:lineRule="auto"/>
        <w:jc w:val="both"/>
        <w:rPr>
          <w:rFonts w:ascii="Verdana" w:eastAsia="Calibri" w:hAnsi="Verdana" w:cs="Arial"/>
          <w:sz w:val="20"/>
          <w:szCs w:val="20"/>
          <w:lang w:eastAsia="es-ES"/>
        </w:rPr>
      </w:pPr>
    </w:p>
    <w:p w14:paraId="155A3954" w14:textId="77777777" w:rsidR="003C5CF2" w:rsidRPr="00915323" w:rsidRDefault="003C5CF2" w:rsidP="003C5CF2">
      <w:pPr>
        <w:spacing w:after="0" w:line="240" w:lineRule="auto"/>
        <w:jc w:val="both"/>
        <w:rPr>
          <w:rFonts w:ascii="Verdana" w:eastAsia="Calibri" w:hAnsi="Verdana" w:cs="Arial"/>
          <w:sz w:val="20"/>
          <w:szCs w:val="20"/>
          <w:lang w:eastAsia="es-ES"/>
        </w:rPr>
      </w:pPr>
      <w:r w:rsidRPr="00915323">
        <w:rPr>
          <w:rFonts w:ascii="Verdana" w:eastAsia="Calibri" w:hAnsi="Verdana" w:cs="Arial"/>
          <w:sz w:val="20"/>
          <w:szCs w:val="20"/>
          <w:lang w:eastAsia="es-ES"/>
        </w:rPr>
        <w:t>Lo anterior fue ratificado por el Consejo de Estado</w:t>
      </w:r>
      <w:r>
        <w:rPr>
          <w:rFonts w:ascii="Verdana" w:eastAsia="Calibri" w:hAnsi="Verdana" w:cs="Arial"/>
          <w:sz w:val="20"/>
          <w:szCs w:val="20"/>
          <w:lang w:eastAsia="es-ES"/>
        </w:rPr>
        <w:t xml:space="preserve"> </w:t>
      </w:r>
      <w:r w:rsidRPr="00915323">
        <w:rPr>
          <w:rFonts w:ascii="Verdana" w:eastAsia="Calibri" w:hAnsi="Verdana" w:cs="Arial"/>
          <w:sz w:val="20"/>
          <w:szCs w:val="20"/>
          <w:lang w:eastAsia="es-ES"/>
        </w:rPr>
        <w:t xml:space="preserve">que mediante una acción de cumplimiento, declaró el incumplimiento del deber de reglamentar integralmente el </w:t>
      </w:r>
      <w:r w:rsidRPr="00915323">
        <w:rPr>
          <w:rFonts w:ascii="Verdana" w:eastAsia="Calibri" w:hAnsi="Verdana" w:cs="Arial"/>
          <w:sz w:val="20"/>
          <w:szCs w:val="20"/>
          <w:lang w:eastAsia="es-ES"/>
        </w:rPr>
        <w:lastRenderedPageBreak/>
        <w:t>artículo 13 de la Ley 1618 de 2013 y ordenó al Gobierno Nacional expedir la regulación necesaria para hacer efectivo el sistema de preferencias en favor de las personas con discapacidad, sus emprendimientos y empresas que las contratan. La Sala calificó la obligación como imperativa, expresa e inobjetable, señalando que el Gobierno Nacional no contaba con margen de discrecionalidad para decidir si reglamentaba o no el sistema de preferencias.</w:t>
      </w:r>
    </w:p>
    <w:p w14:paraId="41560F7A" w14:textId="77777777" w:rsidR="003C5CF2" w:rsidRDefault="003C5CF2" w:rsidP="003C5CF2">
      <w:pPr>
        <w:spacing w:after="0" w:line="240" w:lineRule="auto"/>
        <w:jc w:val="both"/>
        <w:rPr>
          <w:rFonts w:ascii="Verdana" w:eastAsia="Calibri" w:hAnsi="Verdana" w:cs="Arial"/>
          <w:lang w:eastAsia="es-ES"/>
        </w:rPr>
      </w:pPr>
    </w:p>
    <w:p w14:paraId="1D9C8B7F" w14:textId="77777777" w:rsidR="003C5CF2" w:rsidRDefault="003C5CF2" w:rsidP="003C5CF2">
      <w:pPr>
        <w:spacing w:after="0" w:line="240" w:lineRule="auto"/>
        <w:jc w:val="both"/>
        <w:rPr>
          <w:rFonts w:ascii="Verdana" w:eastAsia="Calibri" w:hAnsi="Verdana" w:cs="Arial"/>
          <w:b/>
          <w:bCs/>
          <w:lang w:val="es-ES_tradnl"/>
        </w:rPr>
      </w:pPr>
      <w:r w:rsidRPr="004C2794">
        <w:rPr>
          <w:rFonts w:ascii="Verdana" w:eastAsia="Calibri" w:hAnsi="Verdana" w:cs="Arial"/>
          <w:b/>
          <w:bCs/>
          <w:lang w:val="es-ES_tradnl"/>
        </w:rPr>
        <w:t xml:space="preserve">DECRETO 0287 DE 2026 ‒ Sistema Integral de Preferencias ‒ Contratación pública inclusiva ‒ Personas con discapacidad </w:t>
      </w:r>
    </w:p>
    <w:p w14:paraId="19A04841" w14:textId="77777777" w:rsidR="003C5CF2" w:rsidRDefault="003C5CF2" w:rsidP="003C5CF2">
      <w:pPr>
        <w:spacing w:after="0" w:line="240" w:lineRule="auto"/>
        <w:jc w:val="both"/>
        <w:rPr>
          <w:rFonts w:ascii="Verdana" w:eastAsia="Calibri" w:hAnsi="Verdana" w:cs="Arial"/>
          <w:color w:val="000000"/>
          <w:kern w:val="2"/>
          <w:sz w:val="20"/>
          <w:szCs w:val="20"/>
          <w:lang w:val="es-MX"/>
          <w14:ligatures w14:val="standardContextual"/>
        </w:rPr>
      </w:pPr>
    </w:p>
    <w:p w14:paraId="3500932C" w14:textId="77777777" w:rsidR="003C5CF2" w:rsidRPr="001B3C5D" w:rsidRDefault="003C5CF2" w:rsidP="003C5CF2">
      <w:pPr>
        <w:spacing w:after="0" w:line="240" w:lineRule="auto"/>
        <w:jc w:val="both"/>
        <w:rPr>
          <w:rFonts w:ascii="Verdana" w:eastAsia="Calibri" w:hAnsi="Verdana" w:cs="Arial"/>
          <w:color w:val="000000"/>
          <w:kern w:val="2"/>
          <w:sz w:val="20"/>
          <w:szCs w:val="20"/>
          <w:lang w:val="es-MX"/>
          <w14:ligatures w14:val="standardContextual"/>
        </w:rPr>
      </w:pPr>
      <w:r w:rsidRPr="00915323">
        <w:rPr>
          <w:rFonts w:ascii="Verdana" w:eastAsia="Calibri" w:hAnsi="Verdana" w:cs="Arial"/>
          <w:color w:val="000000"/>
          <w:kern w:val="2"/>
          <w:sz w:val="20"/>
          <w:szCs w:val="20"/>
          <w14:ligatures w14:val="standardContextual"/>
        </w:rPr>
        <w:t xml:space="preserve">En cumplimiento de esa decisión fue expedido el Decreto 0287 de 2026, el cual establece un Sistema Integral de Preferencias compuesto por cinco medidas afirmativas que actúan en todas las fases del proceso contractual, planeación, selección, adjudicación y ejecución, y que benefician a dos sujetos diferenciados: los emprendimientos y empresas de </w:t>
      </w:r>
      <w:proofErr w:type="spellStart"/>
      <w:r w:rsidRPr="00915323">
        <w:rPr>
          <w:rFonts w:ascii="Verdana" w:eastAsia="Calibri" w:hAnsi="Verdana" w:cs="Arial"/>
          <w:color w:val="000000"/>
          <w:kern w:val="2"/>
          <w:sz w:val="20"/>
          <w:szCs w:val="20"/>
          <w14:ligatures w14:val="standardContextual"/>
        </w:rPr>
        <w:t>PcD</w:t>
      </w:r>
      <w:proofErr w:type="spellEnd"/>
      <w:r w:rsidRPr="00915323">
        <w:rPr>
          <w:rFonts w:ascii="Verdana" w:eastAsia="Calibri" w:hAnsi="Verdana" w:cs="Arial"/>
          <w:color w:val="000000"/>
          <w:kern w:val="2"/>
          <w:sz w:val="20"/>
          <w:szCs w:val="20"/>
          <w14:ligatures w14:val="standardContextual"/>
        </w:rPr>
        <w:t xml:space="preserve"> y los empleadores de </w:t>
      </w:r>
      <w:proofErr w:type="spellStart"/>
      <w:r w:rsidRPr="00915323">
        <w:rPr>
          <w:rFonts w:ascii="Verdana" w:eastAsia="Calibri" w:hAnsi="Verdana" w:cs="Arial"/>
          <w:color w:val="000000"/>
          <w:kern w:val="2"/>
          <w:sz w:val="20"/>
          <w:szCs w:val="20"/>
          <w14:ligatures w14:val="standardContextual"/>
        </w:rPr>
        <w:t>PcD</w:t>
      </w:r>
      <w:proofErr w:type="spellEnd"/>
      <w:r w:rsidRPr="00915323">
        <w:rPr>
          <w:rFonts w:ascii="Verdana" w:eastAsia="Calibri" w:hAnsi="Verdana" w:cs="Arial"/>
          <w:color w:val="000000"/>
          <w:kern w:val="2"/>
          <w:sz w:val="20"/>
          <w:szCs w:val="20"/>
          <w14:ligatures w14:val="standardContextual"/>
        </w:rPr>
        <w:t>. Mediante la expedición del mencionado decreto, en aplicación directa de la Constitución Política y para que exista una igualdad material para las personas con discapacidad, se pretende subsanar la falta de acciones afirmativas del Decreto 392 de 2018, modificando los artículos 2.2.1.2.4.2.6, 2.2.1.2.4.2.7. y 2.2.1.2.4.2.8. del Decreto 1082 de 2015</w:t>
      </w:r>
      <w:r>
        <w:rPr>
          <w:rFonts w:ascii="Verdana" w:eastAsia="Calibri" w:hAnsi="Verdana" w:cs="Arial"/>
          <w:color w:val="000000"/>
          <w:kern w:val="2"/>
          <w:sz w:val="20"/>
          <w:szCs w:val="20"/>
          <w14:ligatures w14:val="standardContextual"/>
        </w:rPr>
        <w:t>.</w:t>
      </w:r>
    </w:p>
    <w:p w14:paraId="721AC33E" w14:textId="77777777" w:rsidR="003C5CF2" w:rsidRDefault="003C5CF2" w:rsidP="003C5CF2">
      <w:pPr>
        <w:spacing w:after="0" w:line="240" w:lineRule="auto"/>
        <w:jc w:val="both"/>
        <w:rPr>
          <w:rFonts w:ascii="Verdana" w:eastAsia="Calibri" w:hAnsi="Verdana" w:cs="Arial"/>
          <w:b/>
          <w:bCs/>
        </w:rPr>
      </w:pPr>
    </w:p>
    <w:p w14:paraId="07C10D93" w14:textId="77777777" w:rsidR="003C5CF2" w:rsidRDefault="003C5CF2" w:rsidP="003C5CF2">
      <w:pPr>
        <w:widowControl w:val="0"/>
        <w:autoSpaceDE w:val="0"/>
        <w:autoSpaceDN w:val="0"/>
        <w:spacing w:line="276" w:lineRule="auto"/>
        <w:jc w:val="both"/>
        <w:rPr>
          <w:rFonts w:ascii="Verdana" w:eastAsia="Calibri" w:hAnsi="Verdana" w:cs="Arial"/>
          <w:b/>
          <w:bCs/>
          <w:lang w:eastAsia="es-ES"/>
        </w:rPr>
      </w:pPr>
      <w:r w:rsidRPr="0050097B">
        <w:rPr>
          <w:rFonts w:ascii="Verdana" w:eastAsia="Calibri" w:hAnsi="Verdana" w:cs="Arial"/>
          <w:b/>
          <w:bCs/>
          <w:lang w:eastAsia="es-ES"/>
        </w:rPr>
        <w:t xml:space="preserve">DECRETO 0287 DE 2026 ‒ Puntaje adicional del 2% </w:t>
      </w:r>
      <w:r w:rsidRPr="002E6211">
        <w:rPr>
          <w:rFonts w:ascii="Verdana" w:eastAsia="Calibri" w:hAnsi="Verdana" w:cs="Arial"/>
          <w:b/>
          <w:bCs/>
          <w:lang w:eastAsia="es-ES"/>
        </w:rPr>
        <w:t xml:space="preserve">‒ </w:t>
      </w:r>
      <w:r>
        <w:rPr>
          <w:rFonts w:ascii="Verdana" w:eastAsia="Calibri" w:hAnsi="Verdana" w:cs="Arial"/>
          <w:b/>
          <w:bCs/>
          <w:lang w:eastAsia="es-ES"/>
        </w:rPr>
        <w:t xml:space="preserve">Dedicación Exclusiva </w:t>
      </w:r>
    </w:p>
    <w:p w14:paraId="1432712F" w14:textId="77777777" w:rsidR="003C5CF2" w:rsidRDefault="003C5CF2" w:rsidP="00960467">
      <w:pPr>
        <w:widowControl w:val="0"/>
        <w:autoSpaceDE w:val="0"/>
        <w:autoSpaceDN w:val="0"/>
        <w:spacing w:after="0" w:line="240" w:lineRule="auto"/>
        <w:jc w:val="both"/>
        <w:rPr>
          <w:rFonts w:ascii="Verdana" w:eastAsia="Calibri" w:hAnsi="Verdana" w:cs="Arial"/>
          <w:color w:val="000000"/>
          <w:kern w:val="2"/>
          <w:sz w:val="20"/>
          <w:szCs w:val="20"/>
          <w14:ligatures w14:val="standardContextual"/>
        </w:rPr>
      </w:pPr>
      <w:r>
        <w:rPr>
          <w:rFonts w:ascii="Verdana" w:eastAsia="Calibri" w:hAnsi="Verdana" w:cs="Arial"/>
          <w:color w:val="000000"/>
          <w:kern w:val="2"/>
          <w:sz w:val="20"/>
          <w:szCs w:val="20"/>
          <w14:ligatures w14:val="standardContextual"/>
        </w:rPr>
        <w:t>S</w:t>
      </w:r>
      <w:r w:rsidRPr="0093530E">
        <w:rPr>
          <w:rFonts w:ascii="Verdana" w:eastAsia="Calibri" w:hAnsi="Verdana" w:cs="Arial"/>
          <w:color w:val="000000"/>
          <w:kern w:val="2"/>
          <w:sz w:val="20"/>
          <w:szCs w:val="20"/>
          <w14:ligatures w14:val="standardContextual"/>
        </w:rPr>
        <w:t>egún la Real Academia de la Lengua Española “dedicación exclusiva” se entiende como la “dedicación que por compromiso o contrato ocupa todo el tiempo disponible, con exclusión de cualquier otro trabajo”. De esta manera, de acuerdo con su sentido natural y obvio debe interpretarse que la locución “dedicación exclusiva” en el marco del numeral 2 del artículo 2.1.2.4.2.7.4 del Decreto 287 de 2026, hace referencia a una relación laboral en la cual el trabajador presta sus servicios únicamente para un determinado empleador, es decir, existe exclusividad en el vínculo laboral. Así, la exclusividad no se encuentra asociada necesariamente a la duración de la jornada de trabajo, que puede ser completa o parcial, sino a la imposibilidad de que el trabajador mantenga simultáneamente otro vínculo laboral con un empleador distinto respecto de las actividades objeto de dicha contratación.</w:t>
      </w:r>
    </w:p>
    <w:p w14:paraId="6E2CD510" w14:textId="77777777" w:rsidR="003C5CF2" w:rsidRPr="0093530E" w:rsidRDefault="003C5CF2" w:rsidP="003C5CF2">
      <w:pPr>
        <w:widowControl w:val="0"/>
        <w:autoSpaceDE w:val="0"/>
        <w:autoSpaceDN w:val="0"/>
        <w:spacing w:after="0" w:line="240" w:lineRule="auto"/>
        <w:jc w:val="both"/>
        <w:rPr>
          <w:rFonts w:ascii="Verdana" w:eastAsia="Calibri" w:hAnsi="Verdana" w:cs="Arial"/>
          <w:color w:val="000000"/>
          <w:kern w:val="2"/>
          <w:sz w:val="20"/>
          <w:szCs w:val="20"/>
          <w14:ligatures w14:val="standardContextual"/>
        </w:rPr>
      </w:pPr>
    </w:p>
    <w:p w14:paraId="48F6C178" w14:textId="77777777" w:rsidR="003C5CF2" w:rsidRDefault="003C5CF2" w:rsidP="003C5CF2">
      <w:pPr>
        <w:widowControl w:val="0"/>
        <w:autoSpaceDE w:val="0"/>
        <w:autoSpaceDN w:val="0"/>
        <w:spacing w:line="276" w:lineRule="auto"/>
        <w:jc w:val="both"/>
        <w:rPr>
          <w:rFonts w:ascii="Verdana" w:eastAsia="Calibri" w:hAnsi="Verdana" w:cs="Arial"/>
          <w:b/>
          <w:bCs/>
          <w:lang w:eastAsia="es-ES"/>
        </w:rPr>
      </w:pPr>
      <w:r w:rsidRPr="0050097B">
        <w:rPr>
          <w:rFonts w:ascii="Verdana" w:eastAsia="Calibri" w:hAnsi="Verdana" w:cs="Arial"/>
          <w:b/>
          <w:bCs/>
          <w:lang w:eastAsia="es-ES"/>
        </w:rPr>
        <w:t xml:space="preserve">DECRETO 0287 DE 2026 ‒ Puntaje adicional del 2% </w:t>
      </w:r>
      <w:r w:rsidRPr="002E6211">
        <w:rPr>
          <w:rFonts w:ascii="Verdana" w:eastAsia="Calibri" w:hAnsi="Verdana" w:cs="Arial"/>
          <w:b/>
          <w:bCs/>
          <w:lang w:eastAsia="es-ES"/>
        </w:rPr>
        <w:t>‒ Documentos ‒ Acreditación</w:t>
      </w:r>
    </w:p>
    <w:p w14:paraId="3D68FFC5" w14:textId="77777777" w:rsidR="003C5CF2" w:rsidRPr="0093530E" w:rsidRDefault="003C5CF2" w:rsidP="003C5CF2">
      <w:pPr>
        <w:spacing w:after="0" w:line="240" w:lineRule="auto"/>
        <w:jc w:val="both"/>
        <w:rPr>
          <w:rFonts w:ascii="Verdana" w:eastAsia="Calibri" w:hAnsi="Verdana" w:cs="Arial"/>
          <w:color w:val="000000"/>
          <w:kern w:val="2"/>
          <w:sz w:val="20"/>
          <w:szCs w:val="20"/>
          <w14:ligatures w14:val="standardContextual"/>
        </w:rPr>
      </w:pPr>
      <w:r w:rsidRPr="0093530E">
        <w:rPr>
          <w:rFonts w:ascii="Verdana" w:eastAsia="Calibri" w:hAnsi="Verdana" w:cs="Arial"/>
          <w:color w:val="000000"/>
          <w:kern w:val="2"/>
          <w:sz w:val="20"/>
          <w:szCs w:val="20"/>
          <w14:ligatures w14:val="standardContextual"/>
        </w:rPr>
        <w:t xml:space="preserve">Para efectos de la acreditación de la situación señalada en el numeral 2 del artículo 2.1.2.4.2.7.4 del Decreto 287 de 2026 referente al empleador de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el proponente deberá presentar: i) la certificación suscrita por el representante legal del proponente y el revisor fiscal, cuando exista, o el contador, en la que conste el número de personas con discapacidad que conforman su planta de personal que deberá relacionar el nombre completo y el número de documento de identidad de cada una de las personas con discapacidad. Dicho documento además debe relacionar los respectivos documentos de </w:t>
      </w:r>
      <w:r w:rsidRPr="0093530E">
        <w:rPr>
          <w:rFonts w:ascii="Verdana" w:eastAsia="Calibri" w:hAnsi="Verdana" w:cs="Arial"/>
          <w:color w:val="000000"/>
          <w:kern w:val="2"/>
          <w:sz w:val="20"/>
          <w:szCs w:val="20"/>
          <w14:ligatures w14:val="standardContextual"/>
        </w:rPr>
        <w:lastRenderedPageBreak/>
        <w:t xml:space="preserve">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 Y </w:t>
      </w:r>
      <w:proofErr w:type="spellStart"/>
      <w:r w:rsidRPr="0093530E">
        <w:rPr>
          <w:rFonts w:ascii="Verdana" w:eastAsia="Calibri" w:hAnsi="Verdana" w:cs="Arial"/>
          <w:color w:val="000000"/>
          <w:kern w:val="2"/>
          <w:sz w:val="20"/>
          <w:szCs w:val="20"/>
          <w14:ligatures w14:val="standardContextual"/>
        </w:rPr>
        <w:t>ii</w:t>
      </w:r>
      <w:proofErr w:type="spellEnd"/>
      <w:r w:rsidRPr="0093530E">
        <w:rPr>
          <w:rFonts w:ascii="Verdana" w:eastAsia="Calibri" w:hAnsi="Verdana" w:cs="Arial"/>
          <w:color w:val="000000"/>
          <w:kern w:val="2"/>
          <w:sz w:val="20"/>
          <w:szCs w:val="20"/>
          <w14:ligatures w14:val="standardContextual"/>
        </w:rPr>
        <w:t>) el certificado que para el efecto expide el Ministerio del Trabajo, cuya vigencia deberá ser verificada por la entidad estatal, conforme a la normativa aplicable</w:t>
      </w:r>
    </w:p>
    <w:p w14:paraId="002906FB" w14:textId="77777777" w:rsidR="003C5CF2" w:rsidRDefault="003C5CF2" w:rsidP="003C5CF2">
      <w:pPr>
        <w:spacing w:after="0" w:line="240" w:lineRule="auto"/>
        <w:rPr>
          <w:rFonts w:ascii="Verdana" w:eastAsia="Calibri" w:hAnsi="Verdana" w:cs="Arial"/>
          <w:b/>
          <w:bCs/>
          <w:lang w:eastAsia="es-ES"/>
        </w:rPr>
      </w:pPr>
    </w:p>
    <w:p w14:paraId="40FD7991" w14:textId="77777777" w:rsidR="003C5CF2" w:rsidRPr="002E6211" w:rsidRDefault="003C5CF2" w:rsidP="003C5CF2">
      <w:pPr>
        <w:spacing w:after="0" w:line="240" w:lineRule="auto"/>
        <w:rPr>
          <w:rFonts w:ascii="Verdana" w:eastAsia="Calibri" w:hAnsi="Verdana" w:cs="Arial"/>
          <w:b/>
          <w:bCs/>
          <w:lang w:eastAsia="es-ES"/>
        </w:rPr>
      </w:pPr>
      <w:r w:rsidRPr="002E6211">
        <w:rPr>
          <w:rFonts w:ascii="Verdana" w:eastAsia="Calibri" w:hAnsi="Verdana" w:cs="Arial"/>
          <w:b/>
          <w:bCs/>
          <w:lang w:eastAsia="es-ES"/>
        </w:rPr>
        <w:t>DECRETO 0287 DE 2026 ‒ Aportes a seguridad social ‒ 3 meses</w:t>
      </w:r>
    </w:p>
    <w:p w14:paraId="572D73DC" w14:textId="77777777" w:rsidR="003C5CF2" w:rsidRDefault="003C5CF2" w:rsidP="003C5CF2">
      <w:pPr>
        <w:spacing w:after="0" w:line="240" w:lineRule="auto"/>
        <w:rPr>
          <w:rFonts w:ascii="Verdana" w:eastAsia="Calibri" w:hAnsi="Verdana" w:cs="Arial"/>
          <w:b/>
          <w:bCs/>
          <w:lang w:val="es-ES_tradnl"/>
        </w:rPr>
      </w:pPr>
    </w:p>
    <w:p w14:paraId="05C2B264" w14:textId="77777777" w:rsidR="003C5CF2" w:rsidRDefault="003C5CF2" w:rsidP="003C5CF2">
      <w:pPr>
        <w:spacing w:after="0" w:line="240" w:lineRule="auto"/>
        <w:jc w:val="both"/>
        <w:rPr>
          <w:rFonts w:ascii="Verdana" w:eastAsia="Calibri" w:hAnsi="Verdana" w:cs="Arial"/>
          <w:color w:val="000000"/>
          <w:kern w:val="2"/>
          <w:sz w:val="20"/>
          <w:szCs w:val="20"/>
          <w14:ligatures w14:val="standardContextual"/>
        </w:rPr>
      </w:pPr>
      <w:r w:rsidRPr="0093530E">
        <w:rPr>
          <w:rFonts w:ascii="Verdana" w:eastAsia="Calibri" w:hAnsi="Verdana" w:cs="Arial"/>
          <w:color w:val="000000"/>
          <w:kern w:val="2"/>
          <w:sz w:val="20"/>
          <w:szCs w:val="20"/>
          <w14:ligatures w14:val="standardContextual"/>
        </w:rPr>
        <w:t xml:space="preserve">El artículo 2.1.2.4.2.7.4 del Decreto 287 de 2026, exige dentro de la documentación para verificar la condición de empleador de personas con discapacidad, los certificados de aportes a seguridad social de los tres (3) meses anteriores a la presentación de la oferta respecto de cada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en el que se demuestren los pagos realizados por el empleador. La razón de este requisito es garantizar que la vinculación sea real, estable y verificable, y no meramente instrumental para un proceso contractual específico. </w:t>
      </w:r>
    </w:p>
    <w:p w14:paraId="19425649" w14:textId="77777777" w:rsidR="003C5CF2" w:rsidRPr="0093530E" w:rsidRDefault="003C5CF2" w:rsidP="003C5CF2">
      <w:pPr>
        <w:spacing w:after="0" w:line="240" w:lineRule="auto"/>
        <w:jc w:val="both"/>
        <w:rPr>
          <w:rFonts w:ascii="Verdana" w:eastAsia="Calibri" w:hAnsi="Verdana" w:cs="Arial"/>
          <w:color w:val="000000"/>
          <w:kern w:val="2"/>
          <w:sz w:val="20"/>
          <w:szCs w:val="20"/>
          <w14:ligatures w14:val="standardContextual"/>
        </w:rPr>
      </w:pPr>
    </w:p>
    <w:p w14:paraId="20F4EB97" w14:textId="77777777" w:rsidR="003C5CF2" w:rsidRPr="0093530E" w:rsidRDefault="003C5CF2" w:rsidP="003C5CF2">
      <w:pPr>
        <w:spacing w:after="0" w:line="240" w:lineRule="auto"/>
        <w:jc w:val="both"/>
        <w:rPr>
          <w:rFonts w:ascii="Verdana" w:eastAsia="Calibri" w:hAnsi="Verdana" w:cs="Arial"/>
          <w:color w:val="000000"/>
          <w:kern w:val="2"/>
          <w:sz w:val="20"/>
          <w:szCs w:val="20"/>
          <w14:ligatures w14:val="standardContextual"/>
        </w:rPr>
      </w:pPr>
      <w:r w:rsidRPr="0093530E">
        <w:rPr>
          <w:rFonts w:ascii="Verdana" w:eastAsia="Calibri" w:hAnsi="Verdana" w:cs="Arial"/>
          <w:color w:val="000000"/>
          <w:kern w:val="2"/>
          <w:sz w:val="20"/>
          <w:szCs w:val="20"/>
          <w14:ligatures w14:val="standardContextual"/>
        </w:rPr>
        <w:t xml:space="preserve">El período de tres meses es el umbral mínimo de estabilidad laboral que diferencia un compromiso genuino con la inclusión de una vinculación oportunista. La norma aplica este requisito para cada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incluida en la acreditación, independientemente de si es una vinculación original o una nueva incorporación. Si una empresa ha incrementado recientemente su planta de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y alguna de estas vinculaciones no alcanza el período requerido, el proponente puede participar en el proceso utilizando únicamente las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que sí cumplan el requisito temporal. La consecuencia de no alcanzar el período no es la exclusión del proceso sino la imposibilidad de obtener el puntaje adicional respecto de esas </w:t>
      </w:r>
      <w:proofErr w:type="spellStart"/>
      <w:r w:rsidRPr="0093530E">
        <w:rPr>
          <w:rFonts w:ascii="Verdana" w:eastAsia="Calibri" w:hAnsi="Verdana" w:cs="Arial"/>
          <w:color w:val="000000"/>
          <w:kern w:val="2"/>
          <w:sz w:val="20"/>
          <w:szCs w:val="20"/>
          <w14:ligatures w14:val="standardContextual"/>
        </w:rPr>
        <w:t>PcD</w:t>
      </w:r>
      <w:proofErr w:type="spellEnd"/>
      <w:r w:rsidRPr="0093530E">
        <w:rPr>
          <w:rFonts w:ascii="Verdana" w:eastAsia="Calibri" w:hAnsi="Verdana" w:cs="Arial"/>
          <w:color w:val="000000"/>
          <w:kern w:val="2"/>
          <w:sz w:val="20"/>
          <w:szCs w:val="20"/>
          <w14:ligatures w14:val="standardContextual"/>
        </w:rPr>
        <w:t xml:space="preserve"> específicas, lo que es coherente con los principios de participación y pluralidad de oferentes.</w:t>
      </w:r>
    </w:p>
    <w:p w14:paraId="6EFEB4C1" w14:textId="77777777" w:rsidR="003C5CF2" w:rsidRDefault="003C5CF2" w:rsidP="003C5CF2">
      <w:pPr>
        <w:spacing w:after="0" w:line="240" w:lineRule="auto"/>
        <w:jc w:val="both"/>
        <w:rPr>
          <w:rFonts w:ascii="Verdana" w:eastAsia="Geomanist Light" w:hAnsi="Verdana" w:cs="Arial"/>
          <w:color w:val="000000" w:themeColor="text1"/>
          <w:lang w:val="es-MX"/>
        </w:rPr>
      </w:pPr>
    </w:p>
    <w:p w14:paraId="3C693318" w14:textId="77777777" w:rsidR="003C5CF2" w:rsidRDefault="003C5CF2" w:rsidP="003C5CF2">
      <w:pPr>
        <w:spacing w:after="0" w:line="240" w:lineRule="auto"/>
        <w:rPr>
          <w:rFonts w:ascii="Verdana" w:eastAsia="Geomanist Light" w:hAnsi="Verdana" w:cs="Arial"/>
          <w:color w:val="000000" w:themeColor="text1"/>
          <w:lang w:val="es-MX"/>
        </w:rPr>
      </w:pPr>
    </w:p>
    <w:p w14:paraId="2AD9F79C" w14:textId="77777777" w:rsidR="003C5CF2" w:rsidRDefault="003C5CF2" w:rsidP="003C5CF2">
      <w:pPr>
        <w:spacing w:after="0" w:line="240" w:lineRule="auto"/>
        <w:rPr>
          <w:rFonts w:ascii="Verdana" w:eastAsia="Geomanist Light" w:hAnsi="Verdana" w:cs="Arial"/>
          <w:color w:val="000000" w:themeColor="text1"/>
          <w:lang w:val="es-MX"/>
        </w:rPr>
      </w:pPr>
    </w:p>
    <w:p w14:paraId="06FCF7FD" w14:textId="77777777" w:rsidR="003C5CF2" w:rsidRDefault="003C5CF2" w:rsidP="003C5CF2">
      <w:pPr>
        <w:spacing w:after="0" w:line="240" w:lineRule="auto"/>
        <w:rPr>
          <w:rFonts w:ascii="Verdana" w:eastAsia="Geomanist Light" w:hAnsi="Verdana" w:cs="Arial"/>
          <w:color w:val="000000" w:themeColor="text1"/>
          <w:lang w:val="es-MX"/>
        </w:rPr>
      </w:pPr>
    </w:p>
    <w:p w14:paraId="31C24FFF" w14:textId="77777777" w:rsidR="003C5CF2" w:rsidRDefault="003C5CF2" w:rsidP="003C5CF2">
      <w:pPr>
        <w:spacing w:after="0" w:line="240" w:lineRule="auto"/>
        <w:rPr>
          <w:rFonts w:ascii="Verdana" w:eastAsia="Geomanist Light" w:hAnsi="Verdana" w:cs="Arial"/>
          <w:color w:val="000000" w:themeColor="text1"/>
          <w:lang w:val="es-MX"/>
        </w:rPr>
      </w:pPr>
    </w:p>
    <w:p w14:paraId="0683AE20" w14:textId="77777777" w:rsidR="003C5CF2" w:rsidRDefault="003C5CF2" w:rsidP="003C5CF2">
      <w:pPr>
        <w:spacing w:after="0" w:line="240" w:lineRule="auto"/>
        <w:rPr>
          <w:rFonts w:ascii="Verdana" w:eastAsia="Geomanist Light" w:hAnsi="Verdana" w:cs="Arial"/>
          <w:color w:val="000000" w:themeColor="text1"/>
          <w:lang w:val="es-MX"/>
        </w:rPr>
      </w:pPr>
    </w:p>
    <w:p w14:paraId="04BBB5DB" w14:textId="77777777" w:rsidR="003C5CF2" w:rsidRDefault="003C5CF2" w:rsidP="003C5CF2">
      <w:pPr>
        <w:spacing w:after="0" w:line="240" w:lineRule="auto"/>
        <w:rPr>
          <w:rFonts w:ascii="Verdana" w:eastAsia="Geomanist Light" w:hAnsi="Verdana" w:cs="Arial"/>
          <w:color w:val="000000" w:themeColor="text1"/>
          <w:lang w:val="es-MX"/>
        </w:rPr>
      </w:pPr>
    </w:p>
    <w:p w14:paraId="303C36D3" w14:textId="77777777" w:rsidR="003C5CF2" w:rsidRDefault="003C5CF2" w:rsidP="003C5CF2">
      <w:pPr>
        <w:spacing w:after="0" w:line="240" w:lineRule="auto"/>
        <w:rPr>
          <w:rFonts w:ascii="Verdana" w:eastAsia="Geomanist Light" w:hAnsi="Verdana" w:cs="Arial"/>
          <w:color w:val="000000" w:themeColor="text1"/>
          <w:lang w:val="es-MX"/>
        </w:rPr>
      </w:pPr>
    </w:p>
    <w:p w14:paraId="11101333" w14:textId="77777777" w:rsidR="003C5CF2" w:rsidRDefault="003C5CF2" w:rsidP="003C5CF2">
      <w:pPr>
        <w:spacing w:after="0" w:line="240" w:lineRule="auto"/>
        <w:rPr>
          <w:rFonts w:ascii="Verdana" w:eastAsia="Geomanist Light" w:hAnsi="Verdana" w:cs="Arial"/>
          <w:color w:val="000000" w:themeColor="text1"/>
          <w:lang w:val="es-MX"/>
        </w:rPr>
      </w:pPr>
    </w:p>
    <w:p w14:paraId="30BD3723" w14:textId="77777777" w:rsidR="003C5CF2" w:rsidRDefault="003C5CF2" w:rsidP="003C5CF2">
      <w:pPr>
        <w:spacing w:after="0" w:line="240" w:lineRule="auto"/>
        <w:rPr>
          <w:rFonts w:ascii="Verdana" w:eastAsia="Geomanist Light" w:hAnsi="Verdana" w:cs="Arial"/>
          <w:color w:val="000000" w:themeColor="text1"/>
          <w:lang w:val="es-MX"/>
        </w:rPr>
      </w:pPr>
    </w:p>
    <w:p w14:paraId="65F9089D" w14:textId="77777777" w:rsidR="003C5CF2" w:rsidRDefault="003C5CF2" w:rsidP="003C5CF2">
      <w:pPr>
        <w:spacing w:after="0" w:line="240" w:lineRule="auto"/>
        <w:rPr>
          <w:rFonts w:ascii="Verdana" w:eastAsia="Geomanist Light" w:hAnsi="Verdana" w:cs="Arial"/>
          <w:color w:val="000000" w:themeColor="text1"/>
          <w:lang w:val="es-MX"/>
        </w:rPr>
      </w:pPr>
    </w:p>
    <w:p w14:paraId="1DCC5324" w14:textId="77777777" w:rsidR="003C5CF2" w:rsidRDefault="003C5CF2" w:rsidP="003C5CF2">
      <w:pPr>
        <w:spacing w:after="0" w:line="240" w:lineRule="auto"/>
        <w:rPr>
          <w:rFonts w:ascii="Verdana" w:eastAsia="Geomanist Light" w:hAnsi="Verdana" w:cs="Arial"/>
          <w:color w:val="000000" w:themeColor="text1"/>
          <w:lang w:val="es-MX"/>
        </w:rPr>
      </w:pPr>
    </w:p>
    <w:p w14:paraId="429E5954" w14:textId="77777777" w:rsidR="003C5CF2" w:rsidRDefault="003C5CF2" w:rsidP="003C5CF2">
      <w:pPr>
        <w:spacing w:after="0" w:line="240" w:lineRule="auto"/>
        <w:rPr>
          <w:rFonts w:ascii="Verdana" w:eastAsia="Geomanist Light" w:hAnsi="Verdana" w:cs="Arial"/>
          <w:color w:val="000000" w:themeColor="text1"/>
          <w:lang w:val="es-MX"/>
        </w:rPr>
      </w:pPr>
    </w:p>
    <w:p w14:paraId="4FD5CFC5" w14:textId="77777777" w:rsidR="003C5CF2" w:rsidRDefault="003C5CF2" w:rsidP="003C5CF2">
      <w:pPr>
        <w:spacing w:after="0" w:line="240" w:lineRule="auto"/>
        <w:rPr>
          <w:rFonts w:ascii="Verdana" w:eastAsia="Geomanist Light" w:hAnsi="Verdana" w:cs="Arial"/>
          <w:color w:val="000000" w:themeColor="text1"/>
          <w:lang w:val="es-MX"/>
        </w:rPr>
      </w:pPr>
    </w:p>
    <w:p w14:paraId="2C38F4C2" w14:textId="77777777" w:rsidR="00960467" w:rsidRDefault="00960467" w:rsidP="003C5CF2">
      <w:pPr>
        <w:spacing w:after="0" w:line="240" w:lineRule="auto"/>
        <w:rPr>
          <w:rFonts w:ascii="Verdana" w:eastAsia="Geomanist Light" w:hAnsi="Verdana" w:cs="Arial"/>
          <w:color w:val="000000" w:themeColor="text1"/>
          <w:lang w:val="es-MX"/>
        </w:rPr>
      </w:pPr>
    </w:p>
    <w:p w14:paraId="023D305A" w14:textId="77777777" w:rsidR="00960467" w:rsidRDefault="00960467" w:rsidP="003C5CF2">
      <w:pPr>
        <w:spacing w:after="0" w:line="240" w:lineRule="auto"/>
        <w:rPr>
          <w:rFonts w:ascii="Verdana" w:eastAsia="Geomanist Light" w:hAnsi="Verdana" w:cs="Arial"/>
          <w:color w:val="000000" w:themeColor="text1"/>
          <w:lang w:val="es-MX"/>
        </w:rPr>
      </w:pPr>
    </w:p>
    <w:p w14:paraId="171D138C" w14:textId="77777777" w:rsidR="00960467" w:rsidRDefault="00960467" w:rsidP="003C5CF2">
      <w:pPr>
        <w:spacing w:after="0" w:line="240" w:lineRule="auto"/>
        <w:rPr>
          <w:rFonts w:ascii="Verdana" w:eastAsia="Geomanist Light" w:hAnsi="Verdana" w:cs="Arial"/>
          <w:color w:val="000000" w:themeColor="text1"/>
          <w:lang w:val="es-MX"/>
        </w:rPr>
      </w:pPr>
    </w:p>
    <w:p w14:paraId="589093C1" w14:textId="78F3CF8E" w:rsidR="003C5CF2" w:rsidRPr="00241376" w:rsidRDefault="003C5CF2" w:rsidP="003C5CF2">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lastRenderedPageBreak/>
        <w:t>Bogotá D.C., </w:t>
      </w:r>
      <w:r w:rsidR="00595458">
        <w:rPr>
          <w:rFonts w:ascii="Verdana" w:eastAsia="Geomanist Light" w:hAnsi="Verdana" w:cs="Arial"/>
          <w:color w:val="201F1E"/>
        </w:rPr>
        <w:t>15 de mayo de 2026</w:t>
      </w:r>
    </w:p>
    <w:p w14:paraId="3D812F20" w14:textId="23C13F60" w:rsidR="003C5CF2" w:rsidRDefault="002E183C" w:rsidP="003C5CF2">
      <w:pPr>
        <w:spacing w:after="0" w:line="278" w:lineRule="auto"/>
        <w:rPr>
          <w:rFonts w:ascii="Verdana" w:eastAsia="Aptos" w:hAnsi="Verdana" w:cs="Times New Roman"/>
          <w:kern w:val="2"/>
          <w14:ligatures w14:val="standardContextual"/>
        </w:rPr>
      </w:pPr>
      <w:r w:rsidRPr="00595458">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3F6DA9D2" wp14:editId="47A8F860">
            <wp:simplePos x="0" y="0"/>
            <wp:positionH relativeFrom="margin">
              <wp:align>right</wp:align>
            </wp:positionH>
            <wp:positionV relativeFrom="paragraph">
              <wp:posOffset>195580</wp:posOffset>
            </wp:positionV>
            <wp:extent cx="2247900" cy="838200"/>
            <wp:effectExtent l="0" t="0" r="0" b="0"/>
            <wp:wrapSquare wrapText="bothSides"/>
            <wp:docPr id="20660017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7900" cy="838200"/>
                    </a:xfrm>
                    <a:prstGeom prst="rect">
                      <a:avLst/>
                    </a:prstGeom>
                    <a:noFill/>
                    <a:ln>
                      <a:noFill/>
                    </a:ln>
                  </pic:spPr>
                </pic:pic>
              </a:graphicData>
            </a:graphic>
            <wp14:sizeRelV relativeFrom="margin">
              <wp14:pctHeight>0</wp14:pctHeight>
            </wp14:sizeRelV>
          </wp:anchor>
        </w:drawing>
      </w:r>
    </w:p>
    <w:p w14:paraId="1FF9BA90" w14:textId="148DECC7" w:rsidR="003C5CF2" w:rsidRPr="001B3C5D" w:rsidRDefault="003C5CF2" w:rsidP="003C5CF2">
      <w:pPr>
        <w:spacing w:after="0" w:line="278" w:lineRule="auto"/>
        <w:jc w:val="right"/>
        <w:rPr>
          <w:rFonts w:ascii="Verdana" w:eastAsia="Aptos" w:hAnsi="Verdana" w:cs="Times New Roman"/>
          <w:kern w:val="2"/>
          <w:sz w:val="24"/>
          <w:szCs w:val="24"/>
          <w14:ligatures w14:val="standardContextual"/>
        </w:rPr>
      </w:pPr>
    </w:p>
    <w:p w14:paraId="4A76FB48" w14:textId="77777777" w:rsidR="003C5CF2" w:rsidRPr="001B3C5D" w:rsidRDefault="003C5CF2" w:rsidP="003C5CF2">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a</w:t>
      </w:r>
    </w:p>
    <w:p w14:paraId="5192D23F" w14:textId="77777777" w:rsidR="003C5CF2" w:rsidRPr="007033DD" w:rsidRDefault="003C5CF2" w:rsidP="003C5CF2">
      <w:pPr>
        <w:spacing w:after="0" w:line="240" w:lineRule="auto"/>
        <w:rPr>
          <w:rFonts w:ascii="Verdana" w:eastAsia="Calibri" w:hAnsi="Verdana" w:cs="Arial"/>
          <w:b/>
          <w:bCs/>
          <w:kern w:val="2"/>
          <w:lang w:val="es-ES" w:eastAsia="es-ES"/>
          <w14:ligatures w14:val="standardContextual"/>
        </w:rPr>
      </w:pPr>
      <w:r w:rsidRPr="007033DD">
        <w:rPr>
          <w:rFonts w:ascii="Verdana" w:eastAsia="Calibri" w:hAnsi="Verdana" w:cs="Arial"/>
          <w:b/>
          <w:bCs/>
          <w:kern w:val="2"/>
          <w:lang w:val="es-ES" w:eastAsia="es-ES"/>
          <w14:ligatures w14:val="standardContextual"/>
        </w:rPr>
        <w:t xml:space="preserve">Diana Marcela Delgado Barrera </w:t>
      </w:r>
    </w:p>
    <w:p w14:paraId="0898939B" w14:textId="77777777" w:rsidR="003C5CF2" w:rsidRPr="007033DD" w:rsidRDefault="003C5CF2" w:rsidP="003C5CF2">
      <w:pPr>
        <w:spacing w:after="0" w:line="240" w:lineRule="auto"/>
        <w:rPr>
          <w:rFonts w:ascii="Verdana" w:eastAsia="Calibri" w:hAnsi="Verdana" w:cs="Arial"/>
          <w:kern w:val="2"/>
          <w:lang w:val="es-ES" w:eastAsia="es-ES"/>
          <w14:ligatures w14:val="standardContextual"/>
        </w:rPr>
      </w:pPr>
      <w:hyperlink r:id="rId12" w:history="1">
        <w:r w:rsidRPr="007033DD">
          <w:rPr>
            <w:rStyle w:val="Hipervnculo"/>
            <w:rFonts w:ascii="Verdana" w:eastAsia="Calibri" w:hAnsi="Verdana" w:cs="Arial"/>
            <w:kern w:val="2"/>
            <w:lang w:val="es-ES" w:eastAsia="es-ES"/>
            <w14:ligatures w14:val="standardContextual"/>
          </w:rPr>
          <w:t>subgerencialc@b2babogados.com</w:t>
        </w:r>
      </w:hyperlink>
    </w:p>
    <w:p w14:paraId="6063572E" w14:textId="77777777" w:rsidR="003C5CF2" w:rsidRPr="001B3C5D" w:rsidRDefault="003C5CF2" w:rsidP="003C5CF2">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Bogotá D.C.</w:t>
      </w:r>
    </w:p>
    <w:p w14:paraId="5E14708D" w14:textId="77777777" w:rsidR="003C5CF2" w:rsidRDefault="003C5CF2" w:rsidP="003C5CF2">
      <w:pPr>
        <w:spacing w:after="0" w:line="240" w:lineRule="auto"/>
        <w:rPr>
          <w:rFonts w:ascii="Verdana" w:eastAsia="Calibri" w:hAnsi="Verdana" w:cs="Arial"/>
          <w:b/>
          <w:bCs/>
          <w:lang w:val="es-ES_tradnl" w:eastAsia="es-ES_tradnl"/>
        </w:rPr>
      </w:pPr>
    </w:p>
    <w:p w14:paraId="512EC031" w14:textId="77777777" w:rsidR="003C5CF2" w:rsidRPr="001B3C5D" w:rsidRDefault="003C5CF2" w:rsidP="003C5CF2">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50"/>
      </w:tblGrid>
      <w:tr w:rsidR="003C5CF2" w:rsidRPr="001B3C5D" w14:paraId="656EA4F7" w14:textId="77777777" w:rsidTr="007F2C7C">
        <w:trPr>
          <w:trHeight w:val="229"/>
        </w:trPr>
        <w:tc>
          <w:tcPr>
            <w:tcW w:w="2685" w:type="dxa"/>
          </w:tcPr>
          <w:p w14:paraId="098FF205" w14:textId="77777777" w:rsidR="003C5CF2" w:rsidRPr="001B3C5D" w:rsidRDefault="003C5CF2" w:rsidP="007F2C7C">
            <w:pPr>
              <w:jc w:val="both"/>
              <w:rPr>
                <w:rFonts w:ascii="Verdana" w:eastAsia="Calibri" w:hAnsi="Verdana" w:cs="Arial"/>
                <w:b/>
                <w:bCs/>
                <w:lang w:val="es-ES_tradnl" w:eastAsia="es-ES_tradnl"/>
              </w:rPr>
            </w:pPr>
          </w:p>
        </w:tc>
        <w:tc>
          <w:tcPr>
            <w:tcW w:w="6250" w:type="dxa"/>
          </w:tcPr>
          <w:p w14:paraId="7244519A" w14:textId="77777777" w:rsidR="003C5CF2" w:rsidRPr="001B3C5D" w:rsidRDefault="003C5CF2" w:rsidP="007F2C7C">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648</w:t>
            </w:r>
            <w:r w:rsidRPr="001B3C5D">
              <w:rPr>
                <w:rFonts w:ascii="Verdana" w:eastAsia="Calibri" w:hAnsi="Verdana" w:cs="Arial"/>
                <w:b/>
                <w:bCs/>
                <w:lang w:val="es-ES" w:eastAsia="es-ES"/>
              </w:rPr>
              <w:t xml:space="preserve"> de 2026</w:t>
            </w:r>
          </w:p>
          <w:p w14:paraId="41FB6C18" w14:textId="77777777" w:rsidR="003C5CF2" w:rsidRPr="001B3C5D" w:rsidRDefault="003C5CF2" w:rsidP="007F2C7C">
            <w:pPr>
              <w:jc w:val="both"/>
              <w:rPr>
                <w:rFonts w:ascii="Verdana" w:eastAsia="Calibri" w:hAnsi="Verdana" w:cs="Arial"/>
                <w:b/>
                <w:bCs/>
                <w:lang w:val="es-ES" w:eastAsia="es-ES"/>
              </w:rPr>
            </w:pPr>
          </w:p>
        </w:tc>
      </w:tr>
      <w:tr w:rsidR="003C5CF2" w:rsidRPr="001B3C5D" w14:paraId="28E0AB37" w14:textId="77777777" w:rsidTr="007F2C7C">
        <w:trPr>
          <w:trHeight w:val="884"/>
        </w:trPr>
        <w:tc>
          <w:tcPr>
            <w:tcW w:w="2685" w:type="dxa"/>
          </w:tcPr>
          <w:p w14:paraId="60BB862C" w14:textId="77777777" w:rsidR="003C5CF2" w:rsidRPr="001B3C5D" w:rsidRDefault="003C5CF2" w:rsidP="007F2C7C">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250" w:type="dxa"/>
          </w:tcPr>
          <w:p w14:paraId="15173C26" w14:textId="77777777" w:rsidR="003C5CF2" w:rsidRPr="0093530E" w:rsidRDefault="003C5CF2" w:rsidP="007F2C7C">
            <w:pPr>
              <w:widowControl w:val="0"/>
              <w:autoSpaceDE w:val="0"/>
              <w:autoSpaceDN w:val="0"/>
              <w:spacing w:after="160" w:line="276" w:lineRule="auto"/>
              <w:jc w:val="both"/>
              <w:rPr>
                <w:rFonts w:ascii="Verdana" w:eastAsia="Calibri" w:hAnsi="Verdana" w:cs="Arial"/>
                <w:b/>
                <w:bCs/>
                <w:lang w:eastAsia="es-ES"/>
              </w:rPr>
            </w:pPr>
            <w:r w:rsidRPr="00915323">
              <w:rPr>
                <w:rFonts w:ascii="Verdana" w:eastAsia="Calibri" w:hAnsi="Verdana" w:cs="Arial"/>
                <w:lang w:eastAsia="es-ES"/>
              </w:rPr>
              <w:t>SISTEMA DE PREFERENCIA PARA PERSONAS CON DISCAPACIDAD ‒ Constitución Política ‒ Ley 1618 de 2013</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Antecedentes normativos ‒ Decreto 392 de 2018 </w:t>
            </w:r>
            <w:r>
              <w:rPr>
                <w:rFonts w:ascii="Verdana" w:eastAsia="Calibri" w:hAnsi="Verdana" w:cs="Arial"/>
                <w:lang w:eastAsia="es-ES"/>
              </w:rPr>
              <w:t xml:space="preserve">/ </w:t>
            </w: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93530E">
              <w:rPr>
                <w:rFonts w:ascii="Verdana" w:eastAsia="Calibri" w:hAnsi="Verdana" w:cs="Arial"/>
                <w:lang w:eastAsia="es-ES"/>
              </w:rPr>
              <w:t>DECRETO 0287 DE 2026 ‒ Puntaje adicional del 2% ‒ Dedicación Exclusiva /</w:t>
            </w:r>
            <w:r>
              <w:rPr>
                <w:rFonts w:ascii="Verdana" w:eastAsia="Calibri" w:hAnsi="Verdana" w:cs="Arial"/>
                <w:b/>
                <w:bCs/>
                <w:lang w:eastAsia="es-ES"/>
              </w:rPr>
              <w:t xml:space="preserve"> </w:t>
            </w:r>
            <w:r w:rsidRPr="00777292">
              <w:rPr>
                <w:rFonts w:ascii="Verdana" w:eastAsia="Calibri" w:hAnsi="Verdana" w:cs="Arial"/>
                <w:lang w:eastAsia="es-ES"/>
              </w:rPr>
              <w:t xml:space="preserve">DECRETO 0287 DE 2026 ‒ Puntaje adicional del 2% ‒ </w:t>
            </w:r>
            <w:r>
              <w:rPr>
                <w:rFonts w:ascii="Verdana" w:eastAsia="Calibri" w:hAnsi="Verdana" w:cs="Arial"/>
                <w:lang w:eastAsia="es-ES"/>
              </w:rPr>
              <w:t xml:space="preserve">Documentos </w:t>
            </w:r>
            <w:r w:rsidRPr="00777292">
              <w:rPr>
                <w:rFonts w:ascii="Verdana" w:eastAsia="Calibri" w:hAnsi="Verdana" w:cs="Arial"/>
                <w:lang w:eastAsia="es-ES"/>
              </w:rPr>
              <w:t>‒</w:t>
            </w:r>
            <w:r>
              <w:rPr>
                <w:rFonts w:ascii="Verdana" w:eastAsia="Calibri" w:hAnsi="Verdana" w:cs="Arial"/>
                <w:lang w:eastAsia="es-ES"/>
              </w:rPr>
              <w:t xml:space="preserve"> Acreditación / </w:t>
            </w:r>
            <w:r w:rsidRPr="00D518B6">
              <w:rPr>
                <w:rFonts w:ascii="Verdana" w:eastAsia="Calibri" w:hAnsi="Verdana" w:cs="Arial"/>
                <w:lang w:eastAsia="es-ES"/>
              </w:rPr>
              <w:t xml:space="preserve">DECRETO 0287 DE 2026 ‒ </w:t>
            </w:r>
            <w:r>
              <w:rPr>
                <w:rFonts w:ascii="Verdana" w:eastAsia="Calibri" w:hAnsi="Verdana" w:cs="Arial"/>
                <w:lang w:eastAsia="es-ES"/>
              </w:rPr>
              <w:t>Aportes a seguridad social</w:t>
            </w:r>
            <w:r w:rsidRPr="00D518B6">
              <w:rPr>
                <w:rFonts w:ascii="Verdana" w:eastAsia="Calibri" w:hAnsi="Verdana" w:cs="Arial"/>
                <w:lang w:eastAsia="es-ES"/>
              </w:rPr>
              <w:t xml:space="preserve"> ‒ </w:t>
            </w:r>
            <w:r>
              <w:rPr>
                <w:rFonts w:ascii="Verdana" w:eastAsia="Calibri" w:hAnsi="Verdana" w:cs="Arial"/>
                <w:lang w:eastAsia="es-ES"/>
              </w:rPr>
              <w:t>3 meses</w:t>
            </w:r>
          </w:p>
          <w:p w14:paraId="376B4271" w14:textId="77777777" w:rsidR="003C5CF2" w:rsidRPr="001B3C5D" w:rsidRDefault="003C5CF2" w:rsidP="007F2C7C">
            <w:pPr>
              <w:widowControl w:val="0"/>
              <w:autoSpaceDE w:val="0"/>
              <w:autoSpaceDN w:val="0"/>
              <w:jc w:val="both"/>
              <w:rPr>
                <w:rFonts w:ascii="Verdana" w:eastAsia="Calibri" w:hAnsi="Verdana" w:cs="Times New Roman"/>
                <w:highlight w:val="yellow"/>
                <w:lang w:val="es-ES"/>
              </w:rPr>
            </w:pPr>
          </w:p>
        </w:tc>
      </w:tr>
      <w:tr w:rsidR="003C5CF2" w:rsidRPr="001B3C5D" w14:paraId="7A8C29FA" w14:textId="77777777" w:rsidTr="007F2C7C">
        <w:tc>
          <w:tcPr>
            <w:tcW w:w="2685" w:type="dxa"/>
          </w:tcPr>
          <w:p w14:paraId="4E151F5E" w14:textId="77777777" w:rsidR="003C5CF2" w:rsidRPr="001B3C5D" w:rsidRDefault="003C5CF2" w:rsidP="007F2C7C">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250" w:type="dxa"/>
          </w:tcPr>
          <w:p w14:paraId="1B613071" w14:textId="77777777" w:rsidR="003C5CF2" w:rsidRPr="001B3C5D" w:rsidRDefault="003C5CF2" w:rsidP="007F2C7C">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Pr="009E5872">
              <w:rPr>
                <w:rFonts w:ascii="Verdana" w:eastAsia="Calibri" w:hAnsi="Verdana" w:cs="Arial"/>
                <w:lang w:val="es-ES_tradnl" w:eastAsia="es-ES_tradnl"/>
              </w:rPr>
              <w:t>1_2026_04_21_005358</w:t>
            </w:r>
          </w:p>
        </w:tc>
      </w:tr>
    </w:tbl>
    <w:p w14:paraId="6E334E3C" w14:textId="77777777" w:rsidR="003C5CF2" w:rsidRPr="001B3C5D" w:rsidRDefault="003C5CF2" w:rsidP="003C5CF2">
      <w:pPr>
        <w:spacing w:after="0" w:line="240" w:lineRule="auto"/>
        <w:jc w:val="both"/>
        <w:rPr>
          <w:rFonts w:ascii="Verdana" w:eastAsia="Calibri" w:hAnsi="Verdana" w:cs="Arial"/>
          <w:lang w:val="es-ES_tradnl" w:eastAsia="es-ES_tradnl"/>
        </w:rPr>
      </w:pPr>
    </w:p>
    <w:p w14:paraId="414D3BB9" w14:textId="77777777" w:rsidR="003C5CF2" w:rsidRDefault="003C5CF2" w:rsidP="003C5CF2">
      <w:pPr>
        <w:spacing w:after="0" w:line="276" w:lineRule="auto"/>
        <w:jc w:val="both"/>
        <w:rPr>
          <w:rFonts w:ascii="Verdana" w:eastAsia="Calibri" w:hAnsi="Verdana" w:cs="Arial"/>
          <w:lang w:val="es-ES" w:eastAsia="es-ES"/>
        </w:rPr>
      </w:pPr>
    </w:p>
    <w:p w14:paraId="4AF8FFA6" w14:textId="77777777" w:rsidR="003C5CF2" w:rsidRPr="001B3C5D" w:rsidRDefault="003C5CF2" w:rsidP="003C5CF2">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a </w:t>
      </w:r>
      <w:r w:rsidRPr="001B3C5D">
        <w:rPr>
          <w:rFonts w:ascii="Verdana" w:eastAsia="Calibri" w:hAnsi="Verdana" w:cs="Arial"/>
          <w:lang w:val="es-ES" w:eastAsia="es-ES"/>
        </w:rPr>
        <w:t>señor</w:t>
      </w:r>
      <w:r>
        <w:rPr>
          <w:rFonts w:ascii="Verdana" w:eastAsia="Calibri" w:hAnsi="Verdana" w:cs="Arial"/>
          <w:lang w:val="es-ES" w:eastAsia="es-ES"/>
        </w:rPr>
        <w:t>a Delgado</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4D745C2B" w14:textId="77777777" w:rsidR="003C5CF2" w:rsidRPr="001B3C5D" w:rsidRDefault="003C5CF2" w:rsidP="003C5CF2">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400C7CC" w14:textId="77777777" w:rsidR="003C5CF2" w:rsidRPr="001B3C5D" w:rsidRDefault="003C5CF2" w:rsidP="003C5CF2">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21</w:t>
      </w:r>
      <w:r w:rsidRPr="001B3C5D">
        <w:rPr>
          <w:rFonts w:ascii="Verdana" w:eastAsia="Calibri" w:hAnsi="Verdana" w:cs="Arial"/>
          <w:lang w:val="es-ES" w:eastAsia="es-ES"/>
        </w:rPr>
        <w:t xml:space="preserve"> de </w:t>
      </w:r>
      <w:r>
        <w:rPr>
          <w:rFonts w:ascii="Verdana" w:eastAsia="Calibri" w:hAnsi="Verdana" w:cs="Arial"/>
          <w:lang w:val="es-ES" w:eastAsia="es-ES"/>
        </w:rPr>
        <w:t>abril</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2CFD9F59" w14:textId="77777777" w:rsidR="003C5CF2" w:rsidRPr="001B3C5D" w:rsidRDefault="003C5CF2" w:rsidP="003C5CF2">
      <w:pPr>
        <w:spacing w:after="0" w:line="276" w:lineRule="auto"/>
        <w:jc w:val="both"/>
        <w:rPr>
          <w:rFonts w:ascii="Verdana" w:eastAsia="Calibri" w:hAnsi="Verdana" w:cs="Arial"/>
          <w:lang w:val="es-ES" w:eastAsia="es-ES"/>
        </w:rPr>
      </w:pPr>
    </w:p>
    <w:p w14:paraId="18D6E2B1" w14:textId="77777777" w:rsidR="003C5CF2" w:rsidRDefault="003C5CF2" w:rsidP="003C5CF2">
      <w:pPr>
        <w:spacing w:after="0" w:line="240" w:lineRule="auto"/>
        <w:ind w:left="709" w:right="709"/>
        <w:jc w:val="both"/>
        <w:rPr>
          <w:rFonts w:ascii="Verdana" w:hAnsi="Verdana"/>
          <w:sz w:val="20"/>
          <w:szCs w:val="20"/>
        </w:rPr>
      </w:pPr>
      <w:r w:rsidRPr="001B3C5D">
        <w:rPr>
          <w:rFonts w:ascii="Verdana" w:eastAsia="Aptos" w:hAnsi="Verdana" w:cs="Helvetica"/>
          <w:color w:val="000000"/>
          <w:sz w:val="20"/>
          <w:szCs w:val="20"/>
          <w14:ligatures w14:val="standardContextual"/>
        </w:rPr>
        <w:t>“</w:t>
      </w:r>
      <w:r w:rsidRPr="00F119B0">
        <w:rPr>
          <w:rFonts w:ascii="Verdana" w:eastAsia="Calibri" w:hAnsi="Verdana" w:cs="Arial"/>
          <w:color w:val="000000"/>
          <w:kern w:val="2"/>
          <w:sz w:val="20"/>
          <w:szCs w:val="20"/>
          <w14:ligatures w14:val="standardContextual"/>
        </w:rPr>
        <w:t>[</w:t>
      </w:r>
      <w:r>
        <w:rPr>
          <w:rFonts w:ascii="Verdana" w:eastAsia="Calibri" w:hAnsi="Verdana" w:cs="Arial"/>
          <w:color w:val="000000"/>
          <w:kern w:val="2"/>
          <w:sz w:val="20"/>
          <w:szCs w:val="20"/>
          <w14:ligatures w14:val="standardContextual"/>
        </w:rPr>
        <w:t>…</w:t>
      </w:r>
      <w:r w:rsidRPr="00F119B0">
        <w:rPr>
          <w:rFonts w:ascii="Verdana" w:eastAsia="Calibri" w:hAnsi="Verdana" w:cs="Arial"/>
          <w:color w:val="000000"/>
          <w:kern w:val="2"/>
          <w:sz w:val="20"/>
          <w:szCs w:val="20"/>
          <w14:ligatures w14:val="standardContextual"/>
        </w:rPr>
        <w:t xml:space="preserve">] </w:t>
      </w:r>
      <w:r w:rsidRPr="49DE930B">
        <w:rPr>
          <w:rFonts w:ascii="Verdana" w:hAnsi="Verdana"/>
          <w:sz w:val="20"/>
          <w:szCs w:val="20"/>
        </w:rPr>
        <w:t xml:space="preserve">Con fundamento en lo expuesto, respetuosamente solicitamos al Departamento Nacional de Planeación y a la Agencia Nacional de Contratación Pública - Colombia Compra Eficiente: </w:t>
      </w:r>
    </w:p>
    <w:p w14:paraId="06C34D1D" w14:textId="77777777" w:rsidR="003C5CF2" w:rsidRDefault="003C5CF2" w:rsidP="003C5CF2">
      <w:pPr>
        <w:spacing w:after="0" w:line="240" w:lineRule="auto"/>
        <w:ind w:left="709" w:right="709"/>
        <w:jc w:val="both"/>
        <w:rPr>
          <w:rFonts w:ascii="Verdana" w:hAnsi="Verdana"/>
          <w:sz w:val="20"/>
          <w:szCs w:val="20"/>
        </w:rPr>
      </w:pPr>
    </w:p>
    <w:p w14:paraId="0D71F67A" w14:textId="77777777" w:rsidR="003C5CF2" w:rsidRDefault="003C5CF2" w:rsidP="003C5CF2">
      <w:pPr>
        <w:spacing w:after="0" w:line="240" w:lineRule="auto"/>
        <w:ind w:left="709" w:right="709"/>
        <w:jc w:val="both"/>
        <w:rPr>
          <w:rFonts w:ascii="Verdana" w:hAnsi="Verdana"/>
          <w:sz w:val="20"/>
          <w:szCs w:val="20"/>
        </w:rPr>
      </w:pPr>
      <w:r w:rsidRPr="00574643">
        <w:rPr>
          <w:rFonts w:ascii="Verdana" w:hAnsi="Verdana"/>
          <w:sz w:val="20"/>
          <w:szCs w:val="20"/>
        </w:rPr>
        <w:lastRenderedPageBreak/>
        <w:t xml:space="preserve">1. Emitir concepto jurídico sobre cada una de las preguntas formuladas en los capítulos II, III y IV del presente escrito, con indicación del alcance normativo del artículo 2.2.1.2.4.2.7.4. del Decreto 0287 de 2026. </w:t>
      </w:r>
    </w:p>
    <w:p w14:paraId="68096ED9" w14:textId="77777777" w:rsidR="003C5CF2" w:rsidRDefault="003C5CF2" w:rsidP="003C5CF2">
      <w:pPr>
        <w:spacing w:after="0" w:line="240" w:lineRule="auto"/>
        <w:ind w:left="709" w:right="709"/>
        <w:jc w:val="both"/>
        <w:rPr>
          <w:rFonts w:ascii="Verdana" w:hAnsi="Verdana"/>
          <w:sz w:val="20"/>
          <w:szCs w:val="20"/>
        </w:rPr>
      </w:pPr>
    </w:p>
    <w:p w14:paraId="4CEE7471" w14:textId="77777777" w:rsidR="003C5CF2" w:rsidRDefault="003C5CF2" w:rsidP="003C5CF2">
      <w:pPr>
        <w:spacing w:after="0" w:line="240" w:lineRule="auto"/>
        <w:ind w:left="709" w:right="709"/>
        <w:jc w:val="both"/>
        <w:rPr>
          <w:rFonts w:ascii="Verdana" w:hAnsi="Verdana"/>
          <w:sz w:val="20"/>
          <w:szCs w:val="20"/>
        </w:rPr>
      </w:pPr>
      <w:r w:rsidRPr="00574643">
        <w:rPr>
          <w:rFonts w:ascii="Verdana" w:hAnsi="Verdana"/>
          <w:sz w:val="20"/>
          <w:szCs w:val="20"/>
        </w:rPr>
        <w:t xml:space="preserve">2. Indicar de manera expresa si la expresión "dedicación exclusiva" implica jornada completa o ausencia de pluriempleo, y si los contratos de medio tiempo o jornada parcial son válidos para efectos del puntaje adicional. </w:t>
      </w:r>
    </w:p>
    <w:p w14:paraId="72F5E552" w14:textId="77777777" w:rsidR="003C5CF2" w:rsidRDefault="003C5CF2" w:rsidP="003C5CF2">
      <w:pPr>
        <w:spacing w:after="0" w:line="240" w:lineRule="auto"/>
        <w:ind w:left="709" w:right="709"/>
        <w:jc w:val="both"/>
        <w:rPr>
          <w:rFonts w:ascii="Verdana" w:hAnsi="Verdana"/>
          <w:sz w:val="20"/>
          <w:szCs w:val="20"/>
        </w:rPr>
      </w:pPr>
    </w:p>
    <w:p w14:paraId="5E6B658F" w14:textId="77777777" w:rsidR="003C5CF2" w:rsidRDefault="003C5CF2" w:rsidP="003C5CF2">
      <w:pPr>
        <w:spacing w:after="0" w:line="240" w:lineRule="auto"/>
        <w:ind w:left="709" w:right="709"/>
        <w:jc w:val="both"/>
        <w:rPr>
          <w:rFonts w:ascii="Verdana" w:hAnsi="Verdana"/>
          <w:sz w:val="20"/>
          <w:szCs w:val="20"/>
        </w:rPr>
      </w:pPr>
      <w:r w:rsidRPr="00574643">
        <w:rPr>
          <w:rFonts w:ascii="Verdana" w:hAnsi="Verdana"/>
          <w:sz w:val="20"/>
          <w:szCs w:val="20"/>
        </w:rPr>
        <w:t xml:space="preserve">3. Pronunciarse sobre la obligatoriedad concurrente de los dos certificados previstos en el artículo 2.2.1.2.4.2.7.4. y las consecuencias de su ausencia al momento del cierre del proceso. </w:t>
      </w:r>
    </w:p>
    <w:p w14:paraId="59241902" w14:textId="77777777" w:rsidR="003C5CF2" w:rsidRDefault="003C5CF2" w:rsidP="003C5CF2">
      <w:pPr>
        <w:spacing w:after="0" w:line="240" w:lineRule="auto"/>
        <w:ind w:left="709" w:right="709"/>
        <w:jc w:val="both"/>
        <w:rPr>
          <w:rFonts w:ascii="Verdana" w:hAnsi="Verdana"/>
          <w:sz w:val="20"/>
          <w:szCs w:val="20"/>
        </w:rPr>
      </w:pPr>
    </w:p>
    <w:p w14:paraId="58E03771" w14:textId="77777777" w:rsidR="003C5CF2" w:rsidRPr="005B43A7" w:rsidRDefault="003C5CF2" w:rsidP="003C5CF2">
      <w:pPr>
        <w:spacing w:after="0" w:line="240" w:lineRule="auto"/>
        <w:ind w:left="709" w:right="709"/>
        <w:jc w:val="both"/>
        <w:rPr>
          <w:rFonts w:ascii="Verdana" w:hAnsi="Verdana"/>
          <w:sz w:val="20"/>
          <w:szCs w:val="20"/>
        </w:rPr>
      </w:pPr>
      <w:r w:rsidRPr="00574643">
        <w:rPr>
          <w:rFonts w:ascii="Verdana" w:hAnsi="Verdana"/>
          <w:sz w:val="20"/>
          <w:szCs w:val="20"/>
        </w:rPr>
        <w:t xml:space="preserve">4. Evaluar la conveniencia de expedir norma aclaratoria, circular o lineamiento que establezca mecanismos de flexibilización o transición frente al requisito de los tres (3) meses de aportes a seguridad social, con el fin de eliminar la barrera de entrada que dicho requisito genera para proponentes que deseen vincular </w:t>
      </w:r>
      <w:proofErr w:type="spellStart"/>
      <w:r w:rsidRPr="00574643">
        <w:rPr>
          <w:rFonts w:ascii="Verdana" w:hAnsi="Verdana"/>
          <w:sz w:val="20"/>
          <w:szCs w:val="20"/>
        </w:rPr>
        <w:t>PcD</w:t>
      </w:r>
      <w:proofErr w:type="spellEnd"/>
      <w:r w:rsidRPr="00574643">
        <w:rPr>
          <w:rFonts w:ascii="Verdana" w:hAnsi="Verdana"/>
          <w:sz w:val="20"/>
          <w:szCs w:val="20"/>
        </w:rPr>
        <w:t xml:space="preserve"> por primera vez, garantizando que el sistema de preferencias sea efectivamente incluyente y no reduzca la competencia en los procesos de selección.</w:t>
      </w:r>
      <w:r>
        <w:rPr>
          <w:rFonts w:ascii="Verdana" w:eastAsia="Aptos" w:hAnsi="Verdana" w:cs="Helvetica"/>
          <w:color w:val="000000"/>
          <w:sz w:val="20"/>
          <w:szCs w:val="20"/>
          <w14:ligatures w14:val="standardContextual"/>
        </w:rPr>
        <w:t>”</w:t>
      </w:r>
    </w:p>
    <w:p w14:paraId="2CBBE276" w14:textId="77777777" w:rsidR="003C5CF2" w:rsidRPr="001B3C5D" w:rsidRDefault="003C5CF2" w:rsidP="003C5CF2">
      <w:pPr>
        <w:spacing w:after="0" w:line="276" w:lineRule="auto"/>
        <w:jc w:val="both"/>
        <w:rPr>
          <w:rFonts w:ascii="Verdana" w:eastAsia="Calibri" w:hAnsi="Verdana" w:cs="Arial"/>
          <w:lang w:val="es-ES" w:eastAsia="es-ES"/>
        </w:rPr>
      </w:pPr>
    </w:p>
    <w:p w14:paraId="3EEB9EBC" w14:textId="77777777" w:rsidR="003C5CF2" w:rsidRPr="001B3C5D" w:rsidRDefault="003C5CF2" w:rsidP="003C5CF2">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0357247" w14:textId="77777777" w:rsidR="003C5CF2" w:rsidRPr="001B3C5D" w:rsidRDefault="003C5CF2" w:rsidP="003C5CF2">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4D6E01C8" w14:textId="77777777" w:rsidR="003C5CF2" w:rsidRPr="001B3C5D" w:rsidRDefault="003C5CF2" w:rsidP="003C5CF2">
      <w:pPr>
        <w:tabs>
          <w:tab w:val="left" w:pos="142"/>
          <w:tab w:val="left" w:pos="284"/>
        </w:tabs>
        <w:spacing w:after="0" w:line="276" w:lineRule="auto"/>
        <w:contextualSpacing/>
        <w:jc w:val="both"/>
        <w:rPr>
          <w:rFonts w:ascii="Verdana" w:eastAsia="Century Gothic" w:hAnsi="Verdana" w:cs="Century Gothic"/>
          <w:b/>
          <w:bCs/>
          <w:lang w:val="es-ES"/>
        </w:rPr>
      </w:pPr>
    </w:p>
    <w:p w14:paraId="10473664" w14:textId="77777777" w:rsidR="003C5CF2" w:rsidRPr="001B3C5D" w:rsidRDefault="003C5CF2" w:rsidP="003C5CF2">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16FE60EA" w14:textId="77777777" w:rsidR="003C5CF2" w:rsidRPr="001B3C5D" w:rsidRDefault="003C5CF2" w:rsidP="003C5CF2">
      <w:pPr>
        <w:tabs>
          <w:tab w:val="left" w:pos="426"/>
        </w:tabs>
        <w:spacing w:after="0" w:line="276" w:lineRule="auto"/>
        <w:jc w:val="both"/>
        <w:rPr>
          <w:rFonts w:ascii="Verdana" w:eastAsia="Century Gothic" w:hAnsi="Verdana" w:cs="Century Gothic"/>
          <w:lang w:val="es-ES"/>
        </w:rPr>
      </w:pPr>
    </w:p>
    <w:p w14:paraId="37D8A888" w14:textId="77777777" w:rsidR="003C5CF2" w:rsidRPr="00293DAE" w:rsidRDefault="003C5CF2" w:rsidP="003C5CF2">
      <w:pPr>
        <w:spacing w:after="0" w:line="276" w:lineRule="auto"/>
        <w:jc w:val="both"/>
        <w:rPr>
          <w:rFonts w:ascii="Verdana" w:eastAsia="Century Gothic" w:hAnsi="Verdana" w:cs="Century Gothic"/>
        </w:rPr>
      </w:pPr>
      <w:r w:rsidRPr="001B3C5D">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w:t>
      </w:r>
      <w:r w:rsidRPr="001B3C5D">
        <w:rPr>
          <w:rFonts w:ascii="Verdana" w:eastAsia="Century Gothic" w:hAnsi="Verdana" w:cs="Century Gothic"/>
        </w:rPr>
        <w:t xml:space="preserve"> i) </w:t>
      </w:r>
      <w:r>
        <w:rPr>
          <w:rFonts w:ascii="Verdana" w:eastAsia="Calibri" w:hAnsi="Verdana" w:cs="Arial"/>
          <w:bCs/>
          <w:lang w:val="es-ES_tradnl" w:eastAsia="es-ES_tradnl"/>
        </w:rPr>
        <w:t>¿Cuál es el alcance de la expresión “dedicación exclusiva” contemplada en el artículo</w:t>
      </w:r>
      <w:r w:rsidRPr="00CA640D">
        <w:rPr>
          <w:rFonts w:ascii="Verdana" w:eastAsia="Calibri" w:hAnsi="Verdana" w:cs="Arial"/>
          <w:bCs/>
          <w:lang w:eastAsia="es-ES_tradnl"/>
        </w:rPr>
        <w:t xml:space="preserve"> </w:t>
      </w:r>
      <w:r w:rsidRPr="00201242">
        <w:rPr>
          <w:rFonts w:ascii="Verdana" w:eastAsia="Calibri" w:hAnsi="Verdana" w:cs="Arial"/>
          <w:lang w:eastAsia="es-ES_tradnl"/>
        </w:rPr>
        <w:t>2.2.1.2.4.2.7.4</w:t>
      </w:r>
      <w:r>
        <w:rPr>
          <w:rFonts w:ascii="Verdana" w:eastAsia="Calibri" w:hAnsi="Verdana" w:cs="Arial"/>
          <w:b/>
          <w:bCs/>
          <w:lang w:eastAsia="es-ES_tradnl"/>
        </w:rPr>
        <w:t xml:space="preserve"> </w:t>
      </w:r>
      <w:r w:rsidRPr="00CA640D">
        <w:rPr>
          <w:rFonts w:ascii="Verdana" w:eastAsia="Calibri" w:hAnsi="Verdana" w:cs="Arial"/>
          <w:bCs/>
          <w:lang w:eastAsia="es-ES_tradnl"/>
        </w:rPr>
        <w:t xml:space="preserve">del Decreto 1082 de 2015 </w:t>
      </w:r>
      <w:r>
        <w:rPr>
          <w:rFonts w:ascii="Verdana" w:eastAsia="Calibri" w:hAnsi="Verdana" w:cs="Arial"/>
          <w:bCs/>
          <w:lang w:eastAsia="es-ES_tradnl"/>
        </w:rPr>
        <w:t xml:space="preserve">para efectos de </w:t>
      </w:r>
      <w:r w:rsidRPr="00CA640D">
        <w:rPr>
          <w:rFonts w:ascii="Verdana" w:eastAsia="Calibri" w:hAnsi="Verdana" w:cs="Arial"/>
          <w:bCs/>
          <w:lang w:eastAsia="es-ES_tradnl"/>
        </w:rPr>
        <w:t xml:space="preserve">otorgar </w:t>
      </w:r>
      <w:r>
        <w:rPr>
          <w:rFonts w:ascii="Verdana" w:eastAsia="Calibri" w:hAnsi="Verdana" w:cs="Arial"/>
          <w:bCs/>
          <w:lang w:eastAsia="es-ES_tradnl"/>
        </w:rPr>
        <w:t>el</w:t>
      </w:r>
      <w:r w:rsidRPr="00CA640D">
        <w:rPr>
          <w:rFonts w:ascii="Verdana" w:eastAsia="Calibri" w:hAnsi="Verdana" w:cs="Arial"/>
          <w:bCs/>
          <w:lang w:eastAsia="es-ES_tradnl"/>
        </w:rPr>
        <w:t xml:space="preserve"> puntaje</w:t>
      </w:r>
      <w:r>
        <w:rPr>
          <w:rFonts w:ascii="Verdana" w:eastAsia="Calibri" w:hAnsi="Verdana" w:cs="Arial"/>
          <w:bCs/>
          <w:lang w:eastAsia="es-ES_tradnl"/>
        </w:rPr>
        <w:t xml:space="preserve"> adicional</w:t>
      </w:r>
      <w:r w:rsidRPr="00CA640D">
        <w:rPr>
          <w:rFonts w:ascii="Verdana" w:eastAsia="Calibri" w:hAnsi="Verdana" w:cs="Arial"/>
          <w:bCs/>
          <w:lang w:eastAsia="es-ES_tradnl"/>
        </w:rPr>
        <w:t xml:space="preserve"> </w:t>
      </w:r>
      <w:r>
        <w:rPr>
          <w:rFonts w:ascii="Verdana" w:eastAsia="Calibri" w:hAnsi="Verdana" w:cs="Arial"/>
          <w:bCs/>
          <w:lang w:eastAsia="es-ES_tradnl"/>
        </w:rPr>
        <w:t>de</w:t>
      </w:r>
      <w:r w:rsidRPr="00CA640D">
        <w:rPr>
          <w:rFonts w:ascii="Verdana" w:eastAsia="Calibri" w:hAnsi="Verdana" w:cs="Arial"/>
          <w:bCs/>
          <w:lang w:eastAsia="es-ES_tradnl"/>
        </w:rPr>
        <w:t>l 2%</w:t>
      </w:r>
      <w:r>
        <w:rPr>
          <w:rFonts w:ascii="Verdana" w:eastAsia="Calibri" w:hAnsi="Verdana" w:cs="Arial"/>
          <w:bCs/>
          <w:lang w:eastAsia="es-ES_tradnl"/>
        </w:rPr>
        <w:t xml:space="preserve">?, </w:t>
      </w:r>
      <w:proofErr w:type="spellStart"/>
      <w:r w:rsidRPr="001B3C5D">
        <w:rPr>
          <w:rFonts w:ascii="Verdana" w:eastAsia="Calibri" w:hAnsi="Verdana" w:cs="Arial"/>
          <w:bCs/>
          <w:lang w:val="es-ES_tradnl" w:eastAsia="es-ES_tradnl"/>
        </w:rPr>
        <w:t>ii</w:t>
      </w:r>
      <w:proofErr w:type="spellEnd"/>
      <w:r w:rsidRPr="001B3C5D">
        <w:rPr>
          <w:rFonts w:ascii="Verdana" w:eastAsia="Calibri" w:hAnsi="Verdana" w:cs="Arial"/>
          <w:bCs/>
          <w:lang w:val="es-ES_tradnl" w:eastAsia="es-ES_tradnl"/>
        </w:rPr>
        <w:t xml:space="preserve">) </w:t>
      </w:r>
      <w:r>
        <w:rPr>
          <w:rFonts w:ascii="Verdana" w:eastAsia="Calibri" w:hAnsi="Verdana" w:cs="Arial"/>
          <w:bCs/>
          <w:lang w:val="es-ES_tradnl" w:eastAsia="es-ES_tradnl"/>
        </w:rPr>
        <w:t>¿Qué documentos debe presentar el proponente empleador de personas con discapacidad para acceder al puntaje adicional de 2% al que se refiere el artículo</w:t>
      </w:r>
      <w:r w:rsidRPr="00CA640D">
        <w:rPr>
          <w:rFonts w:ascii="Verdana" w:eastAsia="Calibri" w:hAnsi="Verdana" w:cs="Arial"/>
          <w:bCs/>
          <w:lang w:eastAsia="es-ES_tradnl"/>
        </w:rPr>
        <w:t xml:space="preserve"> </w:t>
      </w:r>
      <w:r w:rsidRPr="00201242">
        <w:rPr>
          <w:rFonts w:ascii="Verdana" w:eastAsia="Calibri" w:hAnsi="Verdana" w:cs="Arial"/>
          <w:lang w:eastAsia="es-ES_tradnl"/>
        </w:rPr>
        <w:t>2.2.1.2.4.2.7.4</w:t>
      </w:r>
      <w:r>
        <w:rPr>
          <w:rFonts w:ascii="Verdana" w:eastAsia="Calibri" w:hAnsi="Verdana" w:cs="Arial"/>
          <w:b/>
          <w:bCs/>
          <w:lang w:eastAsia="es-ES_tradnl"/>
        </w:rPr>
        <w:t xml:space="preserve"> </w:t>
      </w:r>
      <w:r w:rsidRPr="00CA640D">
        <w:rPr>
          <w:rFonts w:ascii="Verdana" w:eastAsia="Calibri" w:hAnsi="Verdana" w:cs="Arial"/>
          <w:bCs/>
          <w:lang w:eastAsia="es-ES_tradnl"/>
        </w:rPr>
        <w:t>del Decreto 1082 de 2015</w:t>
      </w:r>
      <w:r w:rsidRPr="006B0744">
        <w:rPr>
          <w:rFonts w:ascii="Verdana" w:eastAsia="Calibri" w:hAnsi="Verdana" w:cs="Arial"/>
          <w:bCs/>
          <w:lang w:val="es-ES_tradnl" w:eastAsia="es-ES_tradnl"/>
        </w:rPr>
        <w:t>?</w:t>
      </w:r>
      <w:r>
        <w:rPr>
          <w:rFonts w:ascii="Verdana" w:eastAsia="Calibri" w:hAnsi="Verdana" w:cs="Arial"/>
          <w:bCs/>
          <w:lang w:val="es-ES_tradnl" w:eastAsia="es-ES_tradnl"/>
        </w:rPr>
        <w:t xml:space="preserve">, y </w:t>
      </w:r>
      <w:proofErr w:type="spellStart"/>
      <w:r>
        <w:rPr>
          <w:rFonts w:ascii="Verdana" w:eastAsia="Calibri" w:hAnsi="Verdana" w:cs="Arial"/>
          <w:bCs/>
          <w:lang w:val="es-ES_tradnl" w:eastAsia="es-ES_tradnl"/>
        </w:rPr>
        <w:t>iii</w:t>
      </w:r>
      <w:proofErr w:type="spellEnd"/>
      <w:r>
        <w:rPr>
          <w:rFonts w:ascii="Verdana" w:eastAsia="Calibri" w:hAnsi="Verdana" w:cs="Arial"/>
          <w:bCs/>
          <w:lang w:val="es-ES_tradnl" w:eastAsia="es-ES_tradnl"/>
        </w:rPr>
        <w:t xml:space="preserve">) ¿Es obligatoria la presentación del certificado de </w:t>
      </w:r>
      <w:r w:rsidRPr="00D22B7C">
        <w:rPr>
          <w:rFonts w:ascii="Verdana" w:eastAsia="Times New Roman" w:hAnsi="Verdana" w:cs="Times New Roman"/>
        </w:rPr>
        <w:t xml:space="preserve">aportes a seguridad social de los tres (3) meses anteriores a la presentación de la oferta </w:t>
      </w:r>
      <w:r>
        <w:rPr>
          <w:rFonts w:ascii="Verdana" w:eastAsia="Times New Roman" w:hAnsi="Verdana" w:cs="Times New Roman"/>
        </w:rPr>
        <w:t>para acceder al puntaje adicional del 2%?</w:t>
      </w:r>
    </w:p>
    <w:p w14:paraId="0DC633BD" w14:textId="77777777" w:rsidR="003C5CF2" w:rsidRPr="001B3C5D" w:rsidRDefault="003C5CF2" w:rsidP="003C5CF2">
      <w:pPr>
        <w:spacing w:after="0" w:line="276" w:lineRule="auto"/>
        <w:jc w:val="both"/>
        <w:rPr>
          <w:rFonts w:ascii="Verdana" w:eastAsia="Century Gothic" w:hAnsi="Verdana" w:cs="Century Gothic"/>
          <w:lang w:val="es-ES_tradnl"/>
        </w:rPr>
      </w:pPr>
    </w:p>
    <w:p w14:paraId="07BB9455" w14:textId="77777777" w:rsidR="003C5CF2" w:rsidRPr="001B3C5D" w:rsidRDefault="003C5CF2" w:rsidP="003C5CF2">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42363CF9" w14:textId="77777777" w:rsidR="003C5CF2" w:rsidRPr="001B3C5D" w:rsidRDefault="003C5CF2" w:rsidP="003C5CF2">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5CF2" w:rsidRPr="001B3C5D" w14:paraId="3C301F39" w14:textId="77777777" w:rsidTr="007F2C7C">
        <w:trPr>
          <w:trHeight w:val="40"/>
        </w:trPr>
        <w:tc>
          <w:tcPr>
            <w:tcW w:w="8828" w:type="dxa"/>
            <w:tcBorders>
              <w:top w:val="dotted" w:sz="4" w:space="0" w:color="auto"/>
              <w:left w:val="dotted" w:sz="4" w:space="0" w:color="auto"/>
              <w:bottom w:val="dotted" w:sz="4" w:space="0" w:color="auto"/>
              <w:right w:val="dotted" w:sz="4" w:space="0" w:color="auto"/>
            </w:tcBorders>
          </w:tcPr>
          <w:p w14:paraId="35CDE9DC" w14:textId="77777777" w:rsidR="003C5CF2" w:rsidRDefault="003C5CF2" w:rsidP="007F2C7C">
            <w:pPr>
              <w:spacing w:after="120" w:line="276" w:lineRule="auto"/>
              <w:jc w:val="both"/>
              <w:rPr>
                <w:rFonts w:ascii="Verdana" w:eastAsia="Times New Roman" w:hAnsi="Verdana" w:cs="Times New Roman"/>
              </w:rPr>
            </w:pPr>
            <w:r>
              <w:rPr>
                <w:rFonts w:ascii="Verdana" w:eastAsia="Arial" w:hAnsi="Verdana" w:cs="Arial"/>
              </w:rPr>
              <w:t xml:space="preserve">i. </w:t>
            </w:r>
            <w:r>
              <w:rPr>
                <w:rFonts w:ascii="Verdana" w:eastAsia="Aptos" w:hAnsi="Verdana" w:cs="Times New Roman"/>
              </w:rPr>
              <w:t>E</w:t>
            </w:r>
            <w:r>
              <w:rPr>
                <w:rFonts w:ascii="Verdana" w:eastAsia="Aptos" w:hAnsi="Verdana" w:cs="Times New Roman"/>
                <w:kern w:val="2"/>
                <w14:ligatures w14:val="standardContextual"/>
              </w:rPr>
              <w:t xml:space="preserve">l artículo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 xml:space="preserve">del Decreto 287 de 2026 contempla </w:t>
            </w:r>
            <w:r>
              <w:rPr>
                <w:rFonts w:ascii="Verdana" w:eastAsia="Times New Roman" w:hAnsi="Verdana" w:cs="Times New Roman"/>
              </w:rPr>
              <w:t>u</w:t>
            </w:r>
            <w:r w:rsidRPr="00E727F0">
              <w:rPr>
                <w:rFonts w:ascii="Verdana" w:eastAsia="Times New Roman" w:hAnsi="Verdana" w:cs="Times New Roman"/>
              </w:rPr>
              <w:t xml:space="preserve">no de los incentivos centrales en favor </w:t>
            </w:r>
            <w:r w:rsidRPr="00916967">
              <w:rPr>
                <w:rFonts w:ascii="Verdana" w:eastAsia="Aptos" w:hAnsi="Verdana" w:cs="Times New Roman"/>
                <w:kern w:val="2"/>
                <w14:ligatures w14:val="standardContextual"/>
              </w:rPr>
              <w:t>de los empleadores de personas con discapacidad y de los emprendimientos y empresas de personas con discapacidad</w:t>
            </w:r>
            <w:r>
              <w:rPr>
                <w:rFonts w:ascii="Verdana" w:eastAsia="Times New Roman" w:hAnsi="Verdana" w:cs="Times New Roman"/>
              </w:rPr>
              <w:t>, referente a</w:t>
            </w:r>
            <w:r w:rsidRPr="00E727F0">
              <w:rPr>
                <w:rFonts w:ascii="Verdana" w:eastAsia="Times New Roman" w:hAnsi="Verdana" w:cs="Times New Roman"/>
              </w:rPr>
              <w:t>l puntaje adicional del 2%</w:t>
            </w:r>
            <w:r>
              <w:rPr>
                <w:rFonts w:ascii="Verdana" w:eastAsia="Times New Roman" w:hAnsi="Verdana" w:cs="Times New Roman"/>
              </w:rPr>
              <w:t xml:space="preserve">. </w:t>
            </w:r>
            <w:r w:rsidRPr="00E727F0">
              <w:rPr>
                <w:rFonts w:ascii="Verdana" w:eastAsia="Times New Roman" w:hAnsi="Verdana" w:cs="Times New Roman"/>
              </w:rPr>
              <w:t xml:space="preserve">Este puntaje puede obtenerse acreditando cualquiera de las dos </w:t>
            </w:r>
            <w:r>
              <w:rPr>
                <w:rFonts w:ascii="Verdana" w:eastAsia="Times New Roman" w:hAnsi="Verdana" w:cs="Times New Roman"/>
              </w:rPr>
              <w:t>situaciones</w:t>
            </w:r>
            <w:r w:rsidRPr="00E727F0">
              <w:rPr>
                <w:rFonts w:ascii="Verdana" w:eastAsia="Times New Roman" w:hAnsi="Verdana" w:cs="Times New Roman"/>
              </w:rPr>
              <w:t xml:space="preserve"> que la norma contempla: </w:t>
            </w:r>
            <w:r>
              <w:rPr>
                <w:rFonts w:ascii="Verdana" w:eastAsia="Times New Roman" w:hAnsi="Verdana" w:cs="Times New Roman"/>
              </w:rPr>
              <w:t xml:space="preserve">i) </w:t>
            </w:r>
            <w:r w:rsidRPr="00E727F0">
              <w:rPr>
                <w:rFonts w:ascii="Verdana" w:eastAsia="Times New Roman" w:hAnsi="Verdana" w:cs="Times New Roman"/>
              </w:rPr>
              <w:t xml:space="preserve">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w:t>
            </w:r>
            <w:proofErr w:type="spellStart"/>
            <w:r>
              <w:rPr>
                <w:rFonts w:ascii="Verdana" w:eastAsia="Times New Roman" w:hAnsi="Verdana" w:cs="Times New Roman"/>
              </w:rPr>
              <w:t>ii</w:t>
            </w:r>
            <w:proofErr w:type="spellEnd"/>
            <w:r>
              <w:rPr>
                <w:rFonts w:ascii="Verdana" w:eastAsia="Times New Roman" w:hAnsi="Verdana" w:cs="Times New Roman"/>
              </w:rPr>
              <w:t xml:space="preserve">) </w:t>
            </w:r>
            <w:r w:rsidRPr="00E727F0">
              <w:rPr>
                <w:rFonts w:ascii="Verdana" w:eastAsia="Times New Roman" w:hAnsi="Verdana" w:cs="Times New Roman"/>
              </w:rPr>
              <w:t xml:space="preserve">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w:t>
            </w:r>
            <w:r>
              <w:rPr>
                <w:rFonts w:ascii="Verdana" w:eastAsia="Times New Roman" w:hAnsi="Verdana" w:cs="Times New Roman"/>
              </w:rPr>
              <w:t xml:space="preserve"> conforme a la tabla establecida</w:t>
            </w:r>
            <w:r w:rsidRPr="00E727F0">
              <w:rPr>
                <w:rFonts w:ascii="Verdana" w:eastAsia="Times New Roman" w:hAnsi="Verdana" w:cs="Times New Roman"/>
              </w:rPr>
              <w:t>.</w:t>
            </w:r>
            <w:r>
              <w:rPr>
                <w:rFonts w:ascii="Verdana" w:eastAsia="Times New Roman" w:hAnsi="Verdana" w:cs="Times New Roman"/>
              </w:rPr>
              <w:t xml:space="preserve"> </w:t>
            </w:r>
          </w:p>
          <w:p w14:paraId="379168C0" w14:textId="77777777" w:rsidR="003C5CF2" w:rsidRDefault="003C5CF2" w:rsidP="007F2C7C">
            <w:pPr>
              <w:spacing w:after="120" w:line="276" w:lineRule="auto"/>
              <w:ind w:firstLine="601"/>
              <w:jc w:val="both"/>
              <w:rPr>
                <w:rFonts w:ascii="Verdana" w:eastAsia="Times New Roman" w:hAnsi="Verdana" w:cs="Times New Roman"/>
              </w:rPr>
            </w:pPr>
            <w:r>
              <w:rPr>
                <w:rFonts w:ascii="Verdana" w:eastAsia="Times New Roman" w:hAnsi="Verdana" w:cs="Times New Roman"/>
              </w:rPr>
              <w:t xml:space="preserve">Conforme lo señala el numeral 2 </w:t>
            </w:r>
            <w:r w:rsidRPr="006262B6">
              <w:rPr>
                <w:rFonts w:ascii="Verdana" w:eastAsia="Times New Roman" w:hAnsi="Verdana" w:cs="Times New Roman"/>
                <w:i/>
                <w:iCs/>
              </w:rPr>
              <w:t>ibidem</w:t>
            </w:r>
            <w:r>
              <w:rPr>
                <w:rFonts w:ascii="Verdana" w:eastAsia="Times New Roman" w:hAnsi="Verdana" w:cs="Times New Roman"/>
              </w:rPr>
              <w:t xml:space="preserve">, </w:t>
            </w:r>
            <w:r w:rsidRPr="007B01BA">
              <w:rPr>
                <w:rFonts w:ascii="Verdana" w:eastAsia="Times New Roman" w:hAnsi="Verdana" w:cs="Times New Roman"/>
              </w:rPr>
              <w:t xml:space="preserve">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w:t>
            </w:r>
            <w:r w:rsidRPr="00D22B7C">
              <w:rPr>
                <w:rFonts w:ascii="Verdana" w:eastAsia="Times New Roman" w:hAnsi="Verdana" w:cs="Times New Roman"/>
              </w:rPr>
              <w:t xml:space="preserve">el proponente debe acreditar dentro de su planta de personal la vinculación de personas con discapacidad mediante contrato laboral con </w:t>
            </w:r>
            <w:r w:rsidRPr="008117D9">
              <w:rPr>
                <w:rFonts w:ascii="Verdana" w:eastAsia="Times New Roman" w:hAnsi="Verdana" w:cs="Times New Roman"/>
                <w:i/>
                <w:iCs/>
              </w:rPr>
              <w:t>dedicación exclusiva</w:t>
            </w:r>
            <w:r w:rsidRPr="00D22B7C">
              <w:rPr>
                <w:rFonts w:ascii="Verdana" w:eastAsia="Times New Roman" w:hAnsi="Verdana" w:cs="Times New Roman"/>
              </w:rPr>
              <w:t xml:space="preserve">,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w:t>
            </w:r>
            <w:r>
              <w:rPr>
                <w:rFonts w:ascii="Verdana" w:eastAsia="Times New Roman" w:hAnsi="Verdana" w:cs="Times New Roman"/>
              </w:rPr>
              <w:t xml:space="preserve"> tabla establecida. </w:t>
            </w:r>
          </w:p>
          <w:p w14:paraId="606C60B2" w14:textId="77777777" w:rsidR="003C5CF2" w:rsidRPr="008117D9" w:rsidRDefault="003C5CF2" w:rsidP="007F2C7C">
            <w:pPr>
              <w:spacing w:after="120" w:line="276" w:lineRule="auto"/>
              <w:ind w:firstLine="601"/>
              <w:jc w:val="both"/>
              <w:rPr>
                <w:rFonts w:ascii="Verdana" w:eastAsia="Times New Roman" w:hAnsi="Verdana" w:cs="Times New Roman"/>
              </w:rPr>
            </w:pPr>
            <w:r>
              <w:rPr>
                <w:rFonts w:ascii="Verdana" w:eastAsia="Times New Roman" w:hAnsi="Verdana" w:cs="Times New Roman"/>
              </w:rPr>
              <w:t xml:space="preserve">Frente a la expresión “dedicación exclusiva” a la que se refiere el numeral 2 del </w:t>
            </w:r>
            <w:r w:rsidRPr="008433AE">
              <w:rPr>
                <w:rFonts w:ascii="Verdana" w:eastAsia="Times New Roman" w:hAnsi="Verdana" w:cs="Times New Roman"/>
              </w:rPr>
              <w:t xml:space="preserve">artículo </w:t>
            </w:r>
            <w:r w:rsidRPr="001B3C5D">
              <w:rPr>
                <w:rFonts w:ascii="Verdana" w:eastAsia="Aptos" w:hAnsi="Verdana" w:cs="Times New Roman"/>
                <w:kern w:val="2"/>
                <w14:ligatures w14:val="standardContextual"/>
              </w:rPr>
              <w:t xml:space="preserve">2.1.2.4.2.7.4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965782">
              <w:rPr>
                <w:rFonts w:ascii="Verdana" w:eastAsia="Times New Roman" w:hAnsi="Verdana" w:cs="Times New Roman"/>
              </w:rPr>
              <w:t>resulta pertinente precisar que la norma no consagra una definición expresa de dicho concepto,</w:t>
            </w:r>
            <w:r>
              <w:rPr>
                <w:rFonts w:ascii="Verdana" w:eastAsia="Times New Roman" w:hAnsi="Verdana" w:cs="Times New Roman"/>
              </w:rPr>
              <w:t xml:space="preserve"> por lo que</w:t>
            </w:r>
            <w:r w:rsidRPr="00965782">
              <w:rPr>
                <w:rFonts w:ascii="Verdana" w:eastAsia="Times New Roman" w:hAnsi="Verdana" w:cs="Times New Roman"/>
              </w:rPr>
              <w:t xml:space="preserve"> para determinar su alcance y contenido, es necesario acudir a las reglas generales de interpretación</w:t>
            </w:r>
            <w:r>
              <w:rPr>
                <w:rFonts w:ascii="Verdana" w:eastAsia="Calibri" w:hAnsi="Verdana" w:cs="Arial"/>
                <w:bCs/>
                <w:color w:val="000000" w:themeColor="text1"/>
              </w:rPr>
              <w:t xml:space="preserve">. Al respecto, el artículo 28 del Código Civil dispone que: “Las palabras de la ley se entenderán en su sentido natural y </w:t>
            </w:r>
            <w:r>
              <w:rPr>
                <w:rFonts w:ascii="Verdana" w:eastAsia="Calibri" w:hAnsi="Verdana" w:cs="Arial"/>
                <w:bCs/>
                <w:color w:val="000000" w:themeColor="text1"/>
              </w:rPr>
              <w:lastRenderedPageBreak/>
              <w:t xml:space="preserve">obvio, según el uso general de las mismas palabras; pero cuando el legislador las haya definido expresamente para ciertas materias, se les dará en éstas su significado legal”. Igualmente, el artículo 29 </w:t>
            </w:r>
            <w:r>
              <w:rPr>
                <w:rFonts w:ascii="Verdana" w:eastAsia="Calibri" w:hAnsi="Verdana" w:cs="Arial"/>
                <w:bCs/>
                <w:i/>
                <w:iCs/>
                <w:color w:val="000000" w:themeColor="text1"/>
              </w:rPr>
              <w:t>ibidem</w:t>
            </w:r>
            <w:r>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 </w:t>
            </w:r>
          </w:p>
          <w:p w14:paraId="38C6696D" w14:textId="77777777" w:rsidR="003C5CF2" w:rsidRDefault="003C5CF2" w:rsidP="007F2C7C">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 xml:space="preserve">Bajo este criterio interpretativo, </w:t>
            </w:r>
            <w:r>
              <w:rPr>
                <w:rFonts w:ascii="Verdana" w:eastAsia="Times New Roman" w:hAnsi="Verdana" w:cs="Times New Roman"/>
              </w:rPr>
              <w:t xml:space="preserve">según la Real Academia de la Lengua Española </w:t>
            </w:r>
            <w:r w:rsidRPr="0062050D">
              <w:rPr>
                <w:rFonts w:ascii="Verdana" w:eastAsia="Times New Roman" w:hAnsi="Verdana" w:cs="Times New Roman"/>
              </w:rPr>
              <w:t>“</w:t>
            </w:r>
            <w:r>
              <w:rPr>
                <w:rFonts w:ascii="Verdana" w:eastAsia="Times New Roman" w:hAnsi="Verdana" w:cs="Times New Roman"/>
              </w:rPr>
              <w:t xml:space="preserve">dedicación </w:t>
            </w:r>
            <w:r w:rsidRPr="0062050D">
              <w:rPr>
                <w:rFonts w:ascii="Verdana" w:eastAsia="Times New Roman" w:hAnsi="Verdana" w:cs="Times New Roman"/>
              </w:rPr>
              <w:t>exclusiva”</w:t>
            </w:r>
            <w:r>
              <w:rPr>
                <w:rFonts w:ascii="Verdana" w:eastAsia="Times New Roman" w:hAnsi="Verdana" w:cs="Times New Roman"/>
              </w:rPr>
              <w:t xml:space="preserve"> se entiende como la “dedicación que por compromiso o contrato ocupa todo el tiempo disponible, con exclusión de cualquier otro trabajo</w:t>
            </w:r>
            <w:r>
              <w:rPr>
                <w:rStyle w:val="Refdenotaalpie"/>
                <w:rFonts w:ascii="Verdana" w:eastAsia="Times New Roman" w:hAnsi="Verdana" w:cs="Times New Roman"/>
              </w:rPr>
              <w:footnoteReference w:id="1"/>
            </w:r>
            <w:r>
              <w:rPr>
                <w:rFonts w:ascii="Verdana" w:eastAsia="Times New Roman" w:hAnsi="Verdana" w:cs="Times New Roman"/>
              </w:rPr>
              <w:t>”</w:t>
            </w:r>
            <w:r w:rsidRPr="00673803">
              <w:rPr>
                <w:rFonts w:ascii="Verdana" w:eastAsia="Times New Roman" w:hAnsi="Verdana" w:cs="Times New Roman"/>
              </w:rPr>
              <w:t xml:space="preserve">. </w:t>
            </w:r>
            <w:r>
              <w:rPr>
                <w:rFonts w:ascii="Verdana" w:eastAsia="Times New Roman" w:hAnsi="Verdana" w:cs="Times New Roman"/>
              </w:rPr>
              <w:t xml:space="preserve">De esta manera, de acuerdo con su sentido natural y obvio </w:t>
            </w:r>
            <w:r w:rsidRPr="0062050D">
              <w:rPr>
                <w:rFonts w:ascii="Verdana" w:eastAsia="Times New Roman" w:hAnsi="Verdana" w:cs="Times New Roman"/>
              </w:rPr>
              <w:t xml:space="preserve">debe interpretarse </w:t>
            </w:r>
            <w:r>
              <w:rPr>
                <w:rFonts w:ascii="Verdana" w:eastAsia="Times New Roman" w:hAnsi="Verdana" w:cs="Times New Roman"/>
              </w:rPr>
              <w:t xml:space="preserve">que la locución “dedicación </w:t>
            </w:r>
            <w:r w:rsidRPr="0062050D">
              <w:rPr>
                <w:rFonts w:ascii="Verdana" w:eastAsia="Times New Roman" w:hAnsi="Verdana" w:cs="Times New Roman"/>
              </w:rPr>
              <w:t>exclusiva</w:t>
            </w:r>
            <w:r>
              <w:rPr>
                <w:rFonts w:ascii="Verdana" w:eastAsia="Times New Roman" w:hAnsi="Verdana" w:cs="Times New Roman"/>
              </w:rPr>
              <w:t xml:space="preserve">” en el marco del numeral 2 del </w:t>
            </w:r>
            <w:r w:rsidRPr="008433AE">
              <w:rPr>
                <w:rFonts w:ascii="Verdana" w:eastAsia="Times New Roman" w:hAnsi="Verdana" w:cs="Times New Roman"/>
              </w:rPr>
              <w:t xml:space="preserve">artículo </w:t>
            </w:r>
            <w:r w:rsidRPr="001B3C5D">
              <w:rPr>
                <w:rFonts w:ascii="Verdana" w:eastAsia="Aptos" w:hAnsi="Verdana" w:cs="Times New Roman"/>
                <w:kern w:val="2"/>
                <w14:ligatures w14:val="standardContextual"/>
              </w:rPr>
              <w:t xml:space="preserve">2.1.2.4.2.7.4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62050D">
              <w:rPr>
                <w:rFonts w:ascii="Verdana" w:eastAsia="Times New Roman" w:hAnsi="Verdana" w:cs="Times New Roman"/>
              </w:rPr>
              <w:t>hace referencia a una relación laboral en la cual el trabajador presta sus servicios únicamente para un determinado empleador, es decir, existe exclusividad en el vínculo laboral. Así, la exclusividad no se encuentra asociada necesariamente a la duración de la jornada de trabajo</w:t>
            </w:r>
            <w:r>
              <w:rPr>
                <w:rFonts w:ascii="Verdana" w:eastAsia="Times New Roman" w:hAnsi="Verdana" w:cs="Times New Roman"/>
              </w:rPr>
              <w:t xml:space="preserve">, </w:t>
            </w:r>
            <w:r w:rsidRPr="0062050D">
              <w:rPr>
                <w:rFonts w:ascii="Verdana" w:eastAsia="Times New Roman" w:hAnsi="Verdana" w:cs="Times New Roman"/>
              </w:rPr>
              <w:t>que puede ser completa o parcial, sino a la imposibilidad de que el trabajador mantenga simultáneamente otro vínculo laboral con un empleador distinto respecto de las actividades objeto de dicha contratación.</w:t>
            </w:r>
          </w:p>
          <w:p w14:paraId="2EC74F7E" w14:textId="77777777" w:rsidR="003C5CF2" w:rsidRPr="0062050D" w:rsidRDefault="003C5CF2" w:rsidP="007F2C7C">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Esta interpretación resulta consistente con el significado co</w:t>
            </w:r>
            <w:r>
              <w:rPr>
                <w:rFonts w:ascii="Verdana" w:eastAsia="Times New Roman" w:hAnsi="Verdana" w:cs="Times New Roman"/>
              </w:rPr>
              <w:t>mún</w:t>
            </w:r>
            <w:r w:rsidRPr="0062050D">
              <w:rPr>
                <w:rFonts w:ascii="Verdana" w:eastAsia="Times New Roman" w:hAnsi="Verdana" w:cs="Times New Roman"/>
              </w:rPr>
              <w:t xml:space="preserve"> de la expresión “exclusiv</w:t>
            </w:r>
            <w:r>
              <w:rPr>
                <w:rFonts w:ascii="Verdana" w:eastAsia="Times New Roman" w:hAnsi="Verdana" w:cs="Times New Roman"/>
              </w:rPr>
              <w:t>o</w:t>
            </w:r>
            <w:r w:rsidRPr="0062050D">
              <w:rPr>
                <w:rFonts w:ascii="Verdana" w:eastAsia="Times New Roman" w:hAnsi="Verdana" w:cs="Times New Roman"/>
              </w:rPr>
              <w:t>”,</w:t>
            </w:r>
            <w:r>
              <w:rPr>
                <w:rFonts w:ascii="Verdana" w:eastAsia="Times New Roman" w:hAnsi="Verdana" w:cs="Times New Roman"/>
              </w:rPr>
              <w:t xml:space="preserve"> la cual alude a “único, solo, excluyendo a cualquier otro</w:t>
            </w:r>
            <w:r>
              <w:rPr>
                <w:rStyle w:val="Refdenotaalpie"/>
                <w:rFonts w:ascii="Verdana" w:eastAsia="Times New Roman" w:hAnsi="Verdana" w:cs="Times New Roman"/>
              </w:rPr>
              <w:footnoteReference w:id="2"/>
            </w:r>
            <w:r>
              <w:rPr>
                <w:rFonts w:ascii="Verdana" w:eastAsia="Times New Roman" w:hAnsi="Verdana" w:cs="Times New Roman"/>
              </w:rPr>
              <w:t>”</w:t>
            </w:r>
            <w:r w:rsidRPr="0062050D">
              <w:rPr>
                <w:rFonts w:ascii="Verdana" w:eastAsia="Times New Roman" w:hAnsi="Verdana" w:cs="Times New Roman"/>
              </w:rPr>
              <w:t>. De es</w:t>
            </w:r>
            <w:r>
              <w:rPr>
                <w:rFonts w:ascii="Verdana" w:eastAsia="Times New Roman" w:hAnsi="Verdana" w:cs="Times New Roman"/>
              </w:rPr>
              <w:t>ta forma</w:t>
            </w:r>
            <w:r w:rsidRPr="0062050D">
              <w:rPr>
                <w:rFonts w:ascii="Verdana" w:eastAsia="Times New Roman" w:hAnsi="Verdana" w:cs="Times New Roman"/>
              </w:rPr>
              <w:t>, cuando la disposición exige un “contrato laboral con dedicación exclusiva”, el alcance razonable de la exigencia es que la persona con discapacidad se encuentre vinculada exclusivamente al proponente</w:t>
            </w:r>
            <w:r>
              <w:rPr>
                <w:rFonts w:ascii="Verdana" w:eastAsia="Times New Roman" w:hAnsi="Verdana" w:cs="Times New Roman"/>
              </w:rPr>
              <w:t xml:space="preserve">, independientemente del tiempo establecido para la jornada laboral. </w:t>
            </w:r>
          </w:p>
          <w:p w14:paraId="2F4166E5" w14:textId="1B3DDE21" w:rsidR="003C5CF2" w:rsidRDefault="003C5CF2" w:rsidP="007F2C7C">
            <w:pPr>
              <w:spacing w:after="120" w:line="276" w:lineRule="auto"/>
              <w:jc w:val="both"/>
              <w:rPr>
                <w:rFonts w:ascii="Verdana" w:eastAsia="Times New Roman" w:hAnsi="Verdana" w:cs="Times New Roman"/>
              </w:rPr>
            </w:pPr>
            <w:proofErr w:type="spellStart"/>
            <w:r>
              <w:rPr>
                <w:rFonts w:ascii="Verdana" w:eastAsia="Arial" w:hAnsi="Verdana" w:cs="Arial"/>
              </w:rPr>
              <w:t>ii</w:t>
            </w:r>
            <w:proofErr w:type="spellEnd"/>
            <w:r>
              <w:rPr>
                <w:rFonts w:ascii="Verdana" w:eastAsia="Arial" w:hAnsi="Verdana" w:cs="Arial"/>
              </w:rPr>
              <w:t xml:space="preserve">. </w:t>
            </w:r>
            <w:r>
              <w:rPr>
                <w:rFonts w:ascii="Verdana" w:eastAsia="Times New Roman" w:hAnsi="Verdana" w:cs="Times New Roman"/>
              </w:rPr>
              <w:t xml:space="preserve">Para efectos de la acreditación de la situación señalada en el numeral 2 del </w:t>
            </w:r>
            <w:r>
              <w:rPr>
                <w:rFonts w:ascii="Verdana" w:eastAsia="Aptos" w:hAnsi="Verdana" w:cs="Times New Roman"/>
                <w:kern w:val="2"/>
                <w14:ligatures w14:val="standardContextual"/>
              </w:rPr>
              <w:t xml:space="preserve">artículo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 xml:space="preserve">del Decreto 287 de 2026 referente al </w:t>
            </w:r>
            <w:r>
              <w:rPr>
                <w:rFonts w:ascii="Verdana" w:eastAsia="Times New Roman" w:hAnsi="Verdana" w:cs="Times New Roman"/>
              </w:rPr>
              <w:t xml:space="preserve">empleador de </w:t>
            </w:r>
            <w:proofErr w:type="spellStart"/>
            <w:r>
              <w:rPr>
                <w:rFonts w:ascii="Verdana" w:eastAsia="Times New Roman" w:hAnsi="Verdana" w:cs="Times New Roman"/>
              </w:rPr>
              <w:t>PcD</w:t>
            </w:r>
            <w:proofErr w:type="spellEnd"/>
            <w:r>
              <w:rPr>
                <w:rFonts w:ascii="Verdana" w:eastAsia="Times New Roman" w:hAnsi="Verdana" w:cs="Times New Roman"/>
              </w:rPr>
              <w:t>, el proponente deberá presentar: i) la c</w:t>
            </w:r>
            <w:r w:rsidRPr="00196708">
              <w:rPr>
                <w:rFonts w:ascii="Verdana" w:eastAsia="Times New Roman" w:hAnsi="Verdana" w:cs="Times New Roman"/>
              </w:rPr>
              <w:t>ertificación</w:t>
            </w:r>
            <w:r>
              <w:rPr>
                <w:rFonts w:ascii="Verdana" w:eastAsia="Times New Roman" w:hAnsi="Verdana" w:cs="Times New Roman"/>
              </w:rPr>
              <w:t xml:space="preserve"> </w:t>
            </w:r>
            <w:r w:rsidRPr="00196708">
              <w:rPr>
                <w:rFonts w:ascii="Verdana" w:eastAsia="Times New Roman" w:hAnsi="Verdana" w:cs="Times New Roman"/>
              </w:rPr>
              <w:t>suscrita por el representante legal del proponente y el revisor fiscal, cuando exista, o el contador, en la que conste el número de personas con discapacidad que conforman su planta de persona</w:t>
            </w:r>
            <w:r>
              <w:rPr>
                <w:rFonts w:ascii="Verdana" w:eastAsia="Times New Roman" w:hAnsi="Verdana" w:cs="Times New Roman"/>
              </w:rPr>
              <w:t xml:space="preserve">l que </w:t>
            </w:r>
            <w:r w:rsidRPr="000B7AC4">
              <w:rPr>
                <w:rFonts w:ascii="Verdana" w:eastAsia="Times New Roman" w:hAnsi="Verdana" w:cs="Times New Roman"/>
              </w:rPr>
              <w:t>deberá relacionar el nombre completo y el número de documento de identidad de cada una de las personas con discapacidad.</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 xml:space="preserve">Dicho documento además debe relacionar </w:t>
            </w:r>
            <w:r w:rsidRPr="00CC1F75">
              <w:rPr>
                <w:rFonts w:ascii="Verdana" w:eastAsia="Aptos" w:hAnsi="Verdana" w:cs="Times New Roman"/>
                <w:kern w:val="2"/>
                <w14:ligatures w14:val="standardContextual"/>
              </w:rPr>
              <w:t xml:space="preserve">los respectivos documentos de identidad, copia de los </w:t>
            </w:r>
            <w:r w:rsidRPr="00CC1F75">
              <w:rPr>
                <w:rFonts w:ascii="Verdana" w:eastAsia="Aptos" w:hAnsi="Verdana" w:cs="Times New Roman"/>
                <w:kern w:val="2"/>
                <w14:ligatures w14:val="standardContextual"/>
              </w:rPr>
              <w:lastRenderedPageBreak/>
              <w:t>contratos de trabajo o certificación laboral con las funciones, sin que se puedan relacionar contratos de prestación de servicios, así como el certificado de aportes a seguridad social de los últim</w:t>
            </w:r>
            <w:r w:rsidR="00A709D5">
              <w:rPr>
                <w:rFonts w:ascii="Verdana" w:eastAsia="Aptos" w:hAnsi="Verdana" w:cs="Times New Roman"/>
                <w:kern w:val="2"/>
                <w14:ligatures w14:val="standardContextual"/>
              </w:rPr>
              <w:t>o</w:t>
            </w:r>
            <w:r w:rsidRPr="00CC1F75">
              <w:rPr>
                <w:rFonts w:ascii="Verdana" w:eastAsia="Aptos" w:hAnsi="Verdana" w:cs="Times New Roman"/>
                <w:kern w:val="2"/>
                <w14:ligatures w14:val="standardContextual"/>
              </w:rPr>
              <w:t>s tres (3) meses en el que se demuestren los pagos realizados por el empleador, y el certificado de discapacidad expedido conforme a la normativa vigente del Ministerio de Salud y Protección Social</w:t>
            </w:r>
            <w:r>
              <w:rPr>
                <w:rFonts w:ascii="Verdana" w:eastAsia="Aptos" w:hAnsi="Verdana" w:cs="Times New Roman"/>
                <w:kern w:val="2"/>
                <w14:ligatures w14:val="standardContextual"/>
              </w:rPr>
              <w:t xml:space="preserve">. </w:t>
            </w:r>
            <w:r>
              <w:rPr>
                <w:rFonts w:ascii="Verdana" w:eastAsia="Times New Roman" w:hAnsi="Verdana" w:cs="Times New Roman"/>
              </w:rPr>
              <w:t xml:space="preserve">Y </w:t>
            </w:r>
            <w:proofErr w:type="spellStart"/>
            <w:r>
              <w:rPr>
                <w:rFonts w:ascii="Verdana" w:eastAsia="Times New Roman" w:hAnsi="Verdana" w:cs="Times New Roman"/>
              </w:rPr>
              <w:t>ii</w:t>
            </w:r>
            <w:proofErr w:type="spellEnd"/>
            <w:r>
              <w:rPr>
                <w:rFonts w:ascii="Verdana" w:eastAsia="Times New Roman" w:hAnsi="Verdana" w:cs="Times New Roman"/>
              </w:rPr>
              <w:t>) e</w:t>
            </w:r>
            <w:r w:rsidRPr="007B01BA">
              <w:rPr>
                <w:rFonts w:ascii="Verdana" w:eastAsia="Times New Roman" w:hAnsi="Verdana" w:cs="Times New Roman"/>
              </w:rPr>
              <w:t xml:space="preserve">l certificado </w:t>
            </w:r>
            <w:r>
              <w:rPr>
                <w:rFonts w:ascii="Verdana" w:eastAsia="Times New Roman" w:hAnsi="Verdana" w:cs="Times New Roman"/>
              </w:rPr>
              <w:t xml:space="preserve">que para el efecto expide </w:t>
            </w:r>
            <w:r w:rsidRPr="007B01BA">
              <w:rPr>
                <w:rFonts w:ascii="Verdana" w:eastAsia="Times New Roman" w:hAnsi="Verdana" w:cs="Times New Roman"/>
              </w:rPr>
              <w:t>el Ministerio del Trabajo</w:t>
            </w:r>
            <w:r>
              <w:rPr>
                <w:rFonts w:ascii="Verdana" w:eastAsia="Times New Roman" w:hAnsi="Verdana" w:cs="Times New Roman"/>
              </w:rPr>
              <w:t xml:space="preserve">, cuya vigencia deberá ser verificada por la entidad estatal, conforme a la normativa aplicable. </w:t>
            </w:r>
          </w:p>
          <w:p w14:paraId="7B153C06" w14:textId="77777777" w:rsidR="003C5CF2" w:rsidRPr="000339E5" w:rsidRDefault="003C5CF2" w:rsidP="007F2C7C">
            <w:pPr>
              <w:widowControl w:val="0"/>
              <w:autoSpaceDE w:val="0"/>
              <w:autoSpaceDN w:val="0"/>
              <w:spacing w:after="120" w:line="276" w:lineRule="auto"/>
              <w:ind w:firstLine="708"/>
              <w:jc w:val="both"/>
              <w:rPr>
                <w:rFonts w:ascii="Verdana" w:eastAsia="Times New Roman" w:hAnsi="Verdana" w:cs="Times New Roman"/>
              </w:rPr>
            </w:pPr>
            <w:r>
              <w:rPr>
                <w:rFonts w:ascii="Verdana" w:eastAsia="Times New Roman" w:hAnsi="Verdana" w:cs="Times New Roman"/>
              </w:rPr>
              <w:t>Respecto de este último documento debe precisarse que la norma no determina su presentación como facultativa o alternativa de los demás soportes exigidos, sino como un requisito adicional y obligatorio para acceder al puntaje referido. En efecto, el numeral 2 señala expresamente que l</w:t>
            </w:r>
            <w:r w:rsidRPr="000237C0">
              <w:rPr>
                <w:rFonts w:ascii="Verdana" w:eastAsia="Times New Roman" w:hAnsi="Verdana" w:cs="Times New Roman"/>
              </w:rPr>
              <w:t xml:space="preserve">a verificación de estas condiciones se realizará por parte de las Entidades Estatales </w:t>
            </w:r>
            <w:r w:rsidRPr="00807681">
              <w:rPr>
                <w:rFonts w:ascii="Verdana" w:eastAsia="Times New Roman" w:hAnsi="Verdana" w:cs="Times New Roman"/>
              </w:rPr>
              <w:t xml:space="preserve">con base </w:t>
            </w:r>
            <w:r w:rsidRPr="00690DB6">
              <w:rPr>
                <w:rFonts w:ascii="Verdana" w:eastAsia="Times New Roman" w:hAnsi="Verdana" w:cs="Times New Roman"/>
              </w:rPr>
              <w:t xml:space="preserve">en </w:t>
            </w:r>
            <w:r>
              <w:rPr>
                <w:rFonts w:ascii="Verdana" w:eastAsia="Times New Roman" w:hAnsi="Verdana" w:cs="Times New Roman"/>
                <w:i/>
                <w:iCs/>
              </w:rPr>
              <w:t>“</w:t>
            </w:r>
            <w:r w:rsidRPr="000339E5">
              <w:rPr>
                <w:rFonts w:ascii="Verdana" w:eastAsia="Times New Roman" w:hAnsi="Verdana" w:cs="Times New Roman"/>
                <w:i/>
                <w:iCs/>
              </w:rPr>
              <w:t>los siguientes documentos</w:t>
            </w:r>
            <w:r>
              <w:rPr>
                <w:rFonts w:ascii="Verdana" w:eastAsia="Times New Roman" w:hAnsi="Verdana" w:cs="Times New Roman"/>
                <w:i/>
                <w:iCs/>
              </w:rPr>
              <w:t xml:space="preserve">” </w:t>
            </w:r>
            <w:r w:rsidRPr="009E136B">
              <w:rPr>
                <w:rFonts w:ascii="Verdana" w:eastAsia="Times New Roman" w:hAnsi="Verdana" w:cs="Times New Roman"/>
              </w:rPr>
              <w:t xml:space="preserve">incluyendo </w:t>
            </w:r>
            <w:r>
              <w:rPr>
                <w:rFonts w:ascii="Verdana" w:eastAsia="Times New Roman" w:hAnsi="Verdana" w:cs="Times New Roman"/>
              </w:rPr>
              <w:t xml:space="preserve">dentro de esta enunciación </w:t>
            </w:r>
            <w:r w:rsidRPr="009E136B">
              <w:rPr>
                <w:rFonts w:ascii="Verdana" w:eastAsia="Times New Roman" w:hAnsi="Verdana" w:cs="Times New Roman"/>
              </w:rPr>
              <w:t>al certificado expedido por el Ministerio de Trabajo</w:t>
            </w:r>
            <w:r>
              <w:rPr>
                <w:rFonts w:ascii="Verdana" w:eastAsia="Times New Roman" w:hAnsi="Verdana" w:cs="Times New Roman"/>
              </w:rPr>
              <w:t>.</w:t>
            </w:r>
            <w:r w:rsidRPr="00A4000E">
              <w:t xml:space="preserve"> </w:t>
            </w:r>
            <w:r>
              <w:rPr>
                <w:rFonts w:ascii="Verdana" w:eastAsia="Times New Roman" w:hAnsi="Verdana" w:cs="Times New Roman"/>
              </w:rPr>
              <w:t>E</w:t>
            </w:r>
            <w:r w:rsidRPr="00A4000E">
              <w:rPr>
                <w:rFonts w:ascii="Verdana" w:eastAsia="Times New Roman" w:hAnsi="Verdana" w:cs="Times New Roman"/>
              </w:rPr>
              <w:t xml:space="preserve">sta expresión evidencia que el reglamento no concibió los documentos como opciones excluyentes entre sí, de manera que el proponente pudiera acreditar la condición con uno u otro soporte indistintamente. Por el contrario, </w:t>
            </w:r>
            <w:r>
              <w:rPr>
                <w:rFonts w:ascii="Verdana" w:eastAsia="Times New Roman" w:hAnsi="Verdana" w:cs="Times New Roman"/>
              </w:rPr>
              <w:t xml:space="preserve">de </w:t>
            </w:r>
            <w:r w:rsidRPr="00A4000E">
              <w:rPr>
                <w:rFonts w:ascii="Verdana" w:eastAsia="Times New Roman" w:hAnsi="Verdana" w:cs="Times New Roman"/>
              </w:rPr>
              <w:t xml:space="preserve">la redacción de la norma </w:t>
            </w:r>
            <w:r>
              <w:rPr>
                <w:rFonts w:ascii="Verdana" w:eastAsia="Times New Roman" w:hAnsi="Verdana" w:cs="Times New Roman"/>
              </w:rPr>
              <w:t xml:space="preserve">se entiende que estos documentos deben acreditarse en conjunto, </w:t>
            </w:r>
            <w:r w:rsidRPr="00A4000E">
              <w:rPr>
                <w:rFonts w:ascii="Verdana" w:eastAsia="Times New Roman" w:hAnsi="Verdana" w:cs="Times New Roman"/>
              </w:rPr>
              <w:t>en tanto constituyen los medios de acreditación definidos por la disposición para verificar el cumplimiento de las condiciones requeridas.</w:t>
            </w:r>
          </w:p>
          <w:p w14:paraId="78ACB467" w14:textId="77777777" w:rsidR="003C5CF2" w:rsidRDefault="003C5CF2" w:rsidP="007F2C7C">
            <w:pPr>
              <w:widowControl w:val="0"/>
              <w:autoSpaceDE w:val="0"/>
              <w:autoSpaceDN w:val="0"/>
              <w:spacing w:after="120" w:line="276" w:lineRule="auto"/>
              <w:ind w:firstLine="708"/>
              <w:jc w:val="both"/>
              <w:rPr>
                <w:rFonts w:ascii="Verdana" w:eastAsia="Times New Roman" w:hAnsi="Verdana" w:cs="Times New Roman"/>
                <w:i/>
                <w:iCs/>
              </w:rPr>
            </w:pPr>
            <w:r>
              <w:rPr>
                <w:rFonts w:ascii="Verdana" w:eastAsia="Times New Roman" w:hAnsi="Verdana" w:cs="Times New Roman"/>
              </w:rPr>
              <w:t>Lo anterior es congruente con lo dispuesto en la parte considerativa del Decreto 287 de 2026, que señala que “</w:t>
            </w:r>
            <w:r w:rsidRPr="00555EA5">
              <w:rPr>
                <w:rFonts w:ascii="Verdana" w:eastAsia="Times New Roman" w:hAnsi="Verdana" w:cs="Times New Roman"/>
              </w:rPr>
              <w:t xml:space="preserve">en aras de garantizar los derechos y garantías laborales de las personas con discapacidad, para acceder a los incentivos establecidos en el presente proyecto de decreto se </w:t>
            </w:r>
            <w:r w:rsidRPr="006F5EF2">
              <w:rPr>
                <w:rFonts w:ascii="Verdana" w:eastAsia="Times New Roman" w:hAnsi="Verdana" w:cs="Times New Roman"/>
                <w:i/>
                <w:iCs/>
              </w:rPr>
              <w:t>mantendrá el Certificado a los Empleadores que contraten personas con discapacidad que expide el Ministerio del Trabajo”</w:t>
            </w:r>
            <w:r>
              <w:rPr>
                <w:rFonts w:ascii="Verdana" w:eastAsia="Times New Roman" w:hAnsi="Verdana" w:cs="Times New Roman"/>
                <w:i/>
                <w:iCs/>
              </w:rPr>
              <w:t xml:space="preserve">. </w:t>
            </w:r>
          </w:p>
          <w:p w14:paraId="1491C7EF" w14:textId="77777777" w:rsidR="003C5CF2" w:rsidRDefault="003C5CF2" w:rsidP="007F2C7C">
            <w:pPr>
              <w:widowControl w:val="0"/>
              <w:autoSpaceDE w:val="0"/>
              <w:autoSpaceDN w:val="0"/>
              <w:spacing w:after="120" w:line="276" w:lineRule="auto"/>
              <w:ind w:firstLine="743"/>
              <w:jc w:val="both"/>
              <w:rPr>
                <w:rFonts w:ascii="Verdana" w:eastAsia="Times New Roman" w:hAnsi="Verdana" w:cs="Times New Roman"/>
              </w:rPr>
            </w:pPr>
            <w:r>
              <w:rPr>
                <w:rFonts w:ascii="Verdana" w:eastAsia="Times New Roman" w:hAnsi="Verdana" w:cs="Times New Roman"/>
              </w:rPr>
              <w:t xml:space="preserve">En consecuencia, para acceder al puntaje adicional del 2% el proponente deberá aportar de manera conjunta, el certificado </w:t>
            </w:r>
            <w:r w:rsidRPr="00CC1F75">
              <w:rPr>
                <w:rFonts w:ascii="Verdana" w:eastAsia="Aptos" w:hAnsi="Verdana" w:cs="Times New Roman"/>
                <w:kern w:val="2"/>
                <w14:ligatures w14:val="standardContextual"/>
              </w:rPr>
              <w:t>de discapacidad expedido conforme a la normativa vigente del Ministerio de Salud y Protección Socia</w:t>
            </w:r>
            <w:r>
              <w:rPr>
                <w:rFonts w:ascii="Verdana" w:eastAsia="Aptos" w:hAnsi="Verdana" w:cs="Times New Roman"/>
                <w:kern w:val="2"/>
                <w14:ligatures w14:val="standardContextual"/>
              </w:rPr>
              <w:t xml:space="preserve">l, el certificado expedido por el Ministerio de Trabajo y los demás documentos previstos en el </w:t>
            </w:r>
            <w:r w:rsidRPr="008433AE">
              <w:rPr>
                <w:rFonts w:ascii="Verdana" w:eastAsia="Times New Roman" w:hAnsi="Verdana" w:cs="Times New Roman"/>
              </w:rPr>
              <w:t xml:space="preserve">artículo </w:t>
            </w:r>
            <w:r w:rsidRPr="007B01BA">
              <w:rPr>
                <w:rFonts w:ascii="Verdana" w:eastAsia="Times New Roman" w:hAnsi="Verdana" w:cs="Times New Roman"/>
              </w:rPr>
              <w:t>2.2.1.2.4.2.7.4</w:t>
            </w:r>
            <w:r>
              <w:rPr>
                <w:rFonts w:ascii="Verdana" w:eastAsia="Times New Roman" w:hAnsi="Verdana" w:cs="Times New Roman"/>
              </w:rPr>
              <w:t xml:space="preserve">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8D12DD">
              <w:rPr>
                <w:rFonts w:ascii="Verdana" w:eastAsia="Times New Roman" w:hAnsi="Verdana" w:cs="Times New Roman"/>
              </w:rPr>
              <w:t xml:space="preserve">De esta manera, la omisión en la presentación de cualquiera de dichos documentos </w:t>
            </w:r>
            <w:r>
              <w:rPr>
                <w:rFonts w:ascii="Verdana" w:eastAsia="Times New Roman" w:hAnsi="Verdana" w:cs="Times New Roman"/>
              </w:rPr>
              <w:t xml:space="preserve">para el cierre del proceso </w:t>
            </w:r>
            <w:r w:rsidRPr="008D12DD">
              <w:rPr>
                <w:rFonts w:ascii="Verdana" w:eastAsia="Times New Roman" w:hAnsi="Verdana" w:cs="Times New Roman"/>
              </w:rPr>
              <w:t>da lugar a que el proponente no sea acreedor del puntaje adicional previsto en la norma</w:t>
            </w:r>
            <w:r>
              <w:rPr>
                <w:rFonts w:ascii="Verdana" w:eastAsia="Times New Roman" w:hAnsi="Verdana" w:cs="Times New Roman"/>
              </w:rPr>
              <w:t xml:space="preserve">, por tratarse de </w:t>
            </w:r>
            <w:r>
              <w:rPr>
                <w:rFonts w:ascii="Verdana" w:eastAsia="Times New Roman" w:hAnsi="Verdana" w:cs="Times New Roman"/>
              </w:rPr>
              <w:lastRenderedPageBreak/>
              <w:t xml:space="preserve">documentos que otorgan puntaje. </w:t>
            </w:r>
          </w:p>
          <w:p w14:paraId="37AFE0AF" w14:textId="77777777" w:rsidR="003C5CF2" w:rsidRPr="00EC6602" w:rsidRDefault="003C5CF2" w:rsidP="007F2C7C">
            <w:pPr>
              <w:spacing w:after="120" w:line="276" w:lineRule="auto"/>
              <w:jc w:val="both"/>
              <w:rPr>
                <w:rFonts w:ascii="Verdana" w:hAnsi="Verdana"/>
                <w:sz w:val="20"/>
                <w:szCs w:val="20"/>
              </w:rPr>
            </w:pPr>
            <w:proofErr w:type="spellStart"/>
            <w:r>
              <w:rPr>
                <w:rFonts w:ascii="Verdana" w:eastAsia="Arial" w:hAnsi="Verdana" w:cs="Arial"/>
              </w:rPr>
              <w:t>iii</w:t>
            </w:r>
            <w:proofErr w:type="spellEnd"/>
            <w:r>
              <w:rPr>
                <w:rFonts w:ascii="Verdana" w:eastAsia="Arial" w:hAnsi="Verdana" w:cs="Arial"/>
              </w:rPr>
              <w:t>. E</w:t>
            </w:r>
            <w:r w:rsidRPr="00D22B7C">
              <w:rPr>
                <w:rFonts w:ascii="Verdana" w:eastAsia="Times New Roman" w:hAnsi="Verdana" w:cs="Times New Roman"/>
              </w:rPr>
              <w:t xml:space="preserve">l </w:t>
            </w:r>
            <w:r>
              <w:rPr>
                <w:rFonts w:ascii="Verdana" w:eastAsia="Times New Roman" w:hAnsi="Verdana" w:cs="Times New Roman"/>
              </w:rPr>
              <w:t xml:space="preserve">artículo </w:t>
            </w:r>
            <w:r w:rsidRPr="001B3C5D">
              <w:rPr>
                <w:rFonts w:ascii="Verdana" w:eastAsia="Aptos" w:hAnsi="Verdana" w:cs="Times New Roman"/>
                <w:kern w:val="2"/>
                <w14:ligatures w14:val="standardContextual"/>
              </w:rPr>
              <w:t xml:space="preserve">2.1.2.4.2.7.4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D22B7C">
              <w:rPr>
                <w:rFonts w:ascii="Verdana" w:eastAsia="Times New Roman" w:hAnsi="Verdana" w:cs="Times New Roman"/>
              </w:rPr>
              <w:t>exige</w:t>
            </w:r>
            <w:r>
              <w:rPr>
                <w:rFonts w:ascii="Verdana" w:eastAsia="Times New Roman" w:hAnsi="Verdana" w:cs="Times New Roman"/>
              </w:rPr>
              <w:t xml:space="preserve"> dentro de la documentación para verificar la condición de empleador de personas con discapacidad, </w:t>
            </w:r>
            <w:r w:rsidRPr="00D22B7C">
              <w:rPr>
                <w:rFonts w:ascii="Verdana" w:eastAsia="Times New Roman" w:hAnsi="Verdana" w:cs="Times New Roman"/>
              </w:rPr>
              <w:t xml:space="preserve">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Pr>
                <w:rFonts w:ascii="Verdana" w:eastAsia="Times New Roman" w:hAnsi="Verdana" w:cs="Times New Roman"/>
              </w:rPr>
              <w:t xml:space="preserve">, </w:t>
            </w:r>
            <w:r w:rsidRPr="008B7091">
              <w:rPr>
                <w:rFonts w:ascii="Verdana" w:eastAsia="Times New Roman" w:hAnsi="Verdana" w:cs="Times New Roman"/>
              </w:rPr>
              <w:t>en el que se demuestren los pagos realizados por el empleador</w:t>
            </w:r>
            <w:r w:rsidRPr="00D22B7C">
              <w:rPr>
                <w:rFonts w:ascii="Verdana" w:eastAsia="Times New Roman" w:hAnsi="Verdana" w:cs="Times New Roman"/>
              </w:rPr>
              <w:t xml:space="preserve">. La razón de este requisito es garantizar que la vinculación sea real, estable y verificable, y no meramente instrumental para un proceso contractual específico. </w:t>
            </w:r>
          </w:p>
          <w:p w14:paraId="714B70A3" w14:textId="77777777" w:rsidR="003C5CF2" w:rsidRDefault="003C5CF2" w:rsidP="007F2C7C">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w:t>
            </w:r>
            <w:r>
              <w:rPr>
                <w:rFonts w:ascii="Verdana" w:eastAsia="Times New Roman" w:hAnsi="Verdana" w:cs="Times New Roman"/>
              </w:rPr>
              <w:t>relacionando</w:t>
            </w:r>
            <w:r w:rsidRPr="00D22B7C">
              <w:rPr>
                <w:rFonts w:ascii="Verdana" w:eastAsia="Times New Roman" w:hAnsi="Verdana" w:cs="Times New Roman"/>
              </w:rPr>
              <w:t xml:space="preserve">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r>
              <w:rPr>
                <w:rFonts w:ascii="Verdana" w:eastAsia="Times New Roman" w:hAnsi="Verdana" w:cs="Times New Roman"/>
              </w:rPr>
              <w:t>.</w:t>
            </w:r>
          </w:p>
          <w:p w14:paraId="762D1FF6" w14:textId="77777777" w:rsidR="003C5CF2" w:rsidRPr="001B3C5D" w:rsidRDefault="003C5CF2" w:rsidP="007F2C7C">
            <w:pPr>
              <w:spacing w:after="120" w:line="276" w:lineRule="auto"/>
              <w:ind w:firstLine="708"/>
              <w:jc w:val="both"/>
              <w:rPr>
                <w:rFonts w:ascii="Verdana" w:eastAsia="Aptos" w:hAnsi="Verdana" w:cs="Times New Roman"/>
                <w:kern w:val="2"/>
                <w14:ligatures w14:val="standardContextual"/>
              </w:rPr>
            </w:pPr>
            <w:r>
              <w:rPr>
                <w:rFonts w:ascii="Verdana" w:eastAsia="Times New Roman" w:hAnsi="Verdana" w:cs="Times New Roman"/>
              </w:rPr>
              <w:t xml:space="preserve">Por consiguiente, no se está generando una barrera de entrada que pueda </w:t>
            </w:r>
            <w:r w:rsidRPr="00F656FA">
              <w:rPr>
                <w:rFonts w:ascii="Verdana" w:eastAsia="Times New Roman" w:hAnsi="Verdana" w:cs="Times New Roman"/>
              </w:rPr>
              <w:t>reducir la competencia en los procesos que apliquen el puntaje</w:t>
            </w:r>
            <w:r>
              <w:rPr>
                <w:rFonts w:ascii="Verdana" w:eastAsia="Times New Roman" w:hAnsi="Verdana" w:cs="Times New Roman"/>
              </w:rPr>
              <w:t xml:space="preserve">, ya que al tratarse de un requisito que otorga puntaje no determina la participación de los proponentes al proceso de contratación. Como se explicó en la memoria justificativa </w:t>
            </w:r>
            <w:r>
              <w:rPr>
                <w:rFonts w:ascii="Verdana" w:eastAsia="Times New Roman" w:hAnsi="Verdana" w:cs="Times New Roman"/>
                <w:lang w:val="es-ES"/>
              </w:rPr>
              <w:t>“</w:t>
            </w:r>
            <w:r w:rsidRPr="00212451">
              <w:rPr>
                <w:rFonts w:ascii="Verdana" w:eastAsia="Times New Roman" w:hAnsi="Verdana" w:cs="Times New Roman"/>
                <w:lang w:val="es-ES"/>
              </w:rPr>
              <w:t>la vinculación de Personas con Discapacidad constituye un criterio estrictamente opcional dentro del esquema de evaluación, al igual que otros factores de puntaje diferencial, como el enfoque MIPYME o el de empresas lideradas por mujeres, cuya aplicación depende de la decisión estratégica del proponente frente a su capacidad de generar valor agregado en la oferta. En tal sentido, este criterio no configura una obligación general para todos los participantes del mercado, sino un incentivo voluntario que amplía alternativas competitivas sin imponer cargas desproporcionadas ni afectar la libre concurrencia y competencia</w:t>
            </w:r>
            <w:r>
              <w:rPr>
                <w:rFonts w:ascii="Verdana" w:eastAsia="Times New Roman" w:hAnsi="Verdana" w:cs="Times New Roman"/>
                <w:lang w:val="es-ES"/>
              </w:rPr>
              <w:t>.</w:t>
            </w:r>
          </w:p>
        </w:tc>
      </w:tr>
    </w:tbl>
    <w:p w14:paraId="1D2A951E" w14:textId="77777777" w:rsidR="003C5CF2" w:rsidRPr="001B3C5D" w:rsidRDefault="003C5CF2" w:rsidP="003C5CF2">
      <w:pPr>
        <w:tabs>
          <w:tab w:val="left" w:pos="142"/>
          <w:tab w:val="left" w:pos="284"/>
        </w:tabs>
        <w:spacing w:after="0" w:line="276" w:lineRule="auto"/>
        <w:jc w:val="both"/>
        <w:rPr>
          <w:rFonts w:ascii="Verdana" w:eastAsia="Century Gothic" w:hAnsi="Verdana" w:cs="Century Gothic"/>
          <w:b/>
          <w:bCs/>
          <w:lang w:val="es-ES"/>
        </w:rPr>
      </w:pPr>
    </w:p>
    <w:p w14:paraId="05A75759" w14:textId="77777777" w:rsidR="003C5CF2" w:rsidRPr="001B3C5D" w:rsidRDefault="003C5CF2" w:rsidP="003C5CF2">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7FCEB4B0" w14:textId="77777777" w:rsidR="003C5CF2" w:rsidRPr="001B3C5D" w:rsidRDefault="003C5CF2" w:rsidP="003C5CF2">
      <w:pPr>
        <w:spacing w:after="0" w:line="276" w:lineRule="auto"/>
        <w:jc w:val="both"/>
        <w:rPr>
          <w:rFonts w:ascii="Verdana" w:eastAsia="Calibri" w:hAnsi="Verdana" w:cs="Arial"/>
          <w:lang w:val="es-ES"/>
        </w:rPr>
      </w:pPr>
    </w:p>
    <w:p w14:paraId="37F6CF74" w14:textId="77777777" w:rsidR="003C5CF2" w:rsidRPr="001B3C5D" w:rsidRDefault="003C5CF2" w:rsidP="003C5CF2">
      <w:pPr>
        <w:spacing w:after="0" w:line="276" w:lineRule="auto"/>
        <w:jc w:val="both"/>
        <w:rPr>
          <w:rFonts w:ascii="Verdana" w:eastAsia="Calibri" w:hAnsi="Verdana" w:cs="Arial"/>
          <w:lang w:val="es-ES"/>
        </w:rPr>
      </w:pPr>
      <w:r w:rsidRPr="001B3C5D">
        <w:rPr>
          <w:rFonts w:ascii="Verdana" w:eastAsia="Calibri" w:hAnsi="Verdana" w:cs="Arial"/>
          <w:lang w:val="es-ES"/>
        </w:rPr>
        <w:lastRenderedPageBreak/>
        <w:t xml:space="preserve">Lo anterior se sustenta en las siguientes consideraciones: </w:t>
      </w:r>
    </w:p>
    <w:p w14:paraId="12817760" w14:textId="77777777" w:rsidR="003C5CF2" w:rsidRPr="001B3C5D" w:rsidRDefault="003C5CF2" w:rsidP="003C5CF2">
      <w:pPr>
        <w:widowControl w:val="0"/>
        <w:autoSpaceDE w:val="0"/>
        <w:autoSpaceDN w:val="0"/>
        <w:spacing w:after="0" w:line="276" w:lineRule="auto"/>
        <w:jc w:val="both"/>
        <w:rPr>
          <w:rFonts w:ascii="Verdana" w:eastAsia="Aptos" w:hAnsi="Verdana" w:cs="Times New Roman"/>
          <w:kern w:val="2"/>
          <w:sz w:val="24"/>
          <w:szCs w:val="24"/>
          <w14:ligatures w14:val="standardContextual"/>
        </w:rPr>
      </w:pPr>
      <w:bookmarkStart w:id="1" w:name="_Hlk113022941"/>
    </w:p>
    <w:p w14:paraId="0BCD5660" w14:textId="77777777" w:rsidR="003C5CF2" w:rsidRPr="00206556" w:rsidRDefault="003C5CF2" w:rsidP="003C5CF2">
      <w:pPr>
        <w:spacing w:after="120" w:line="276" w:lineRule="auto"/>
        <w:jc w:val="both"/>
        <w:rPr>
          <w:rFonts w:ascii="Verdana" w:hAnsi="Verdana"/>
        </w:rPr>
      </w:pPr>
      <w:r>
        <w:rPr>
          <w:rFonts w:ascii="Verdana" w:eastAsia="Aptos" w:hAnsi="Verdana" w:cs="Times New Roman"/>
          <w:kern w:val="2"/>
          <w14:ligatures w14:val="standardContextual"/>
        </w:rPr>
        <w:t xml:space="preserve">i. </w:t>
      </w:r>
      <w:r w:rsidRPr="00206556">
        <w:rPr>
          <w:rFonts w:ascii="Verdana" w:eastAsia="Times New Roman" w:hAnsi="Verdana" w:cs="Times New Roman"/>
        </w:rPr>
        <w:t>El fundamento del Sistema de Preferencias para P</w:t>
      </w:r>
      <w:r>
        <w:rPr>
          <w:rFonts w:ascii="Verdana" w:eastAsia="Times New Roman" w:hAnsi="Verdana" w:cs="Times New Roman"/>
        </w:rPr>
        <w:t xml:space="preserve">ersonas </w:t>
      </w:r>
      <w:r w:rsidRPr="00206556">
        <w:rPr>
          <w:rFonts w:ascii="Verdana" w:eastAsia="Times New Roman" w:hAnsi="Verdana" w:cs="Times New Roman"/>
        </w:rPr>
        <w:t>c</w:t>
      </w:r>
      <w:r>
        <w:rPr>
          <w:rFonts w:ascii="Verdana" w:eastAsia="Times New Roman" w:hAnsi="Verdana" w:cs="Times New Roman"/>
        </w:rPr>
        <w:t xml:space="preserve">on </w:t>
      </w:r>
      <w:r w:rsidRPr="00206556">
        <w:rPr>
          <w:rFonts w:ascii="Verdana" w:eastAsia="Times New Roman" w:hAnsi="Verdana" w:cs="Times New Roman"/>
        </w:rPr>
        <w:t>D</w:t>
      </w:r>
      <w:r>
        <w:rPr>
          <w:rFonts w:ascii="Verdana" w:eastAsia="Times New Roman" w:hAnsi="Verdana" w:cs="Times New Roman"/>
        </w:rPr>
        <w:t>iscapacidad (</w:t>
      </w:r>
      <w:proofErr w:type="spellStart"/>
      <w:r>
        <w:rPr>
          <w:rFonts w:ascii="Verdana" w:eastAsia="Times New Roman" w:hAnsi="Verdana" w:cs="Times New Roman"/>
        </w:rPr>
        <w:t>PcD</w:t>
      </w:r>
      <w:proofErr w:type="spellEnd"/>
      <w:r>
        <w:rPr>
          <w:rFonts w:ascii="Verdana" w:eastAsia="Times New Roman" w:hAnsi="Verdana" w:cs="Times New Roman"/>
        </w:rPr>
        <w:t>)</w:t>
      </w:r>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3"/>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4"/>
      </w:r>
      <w:r>
        <w:rPr>
          <w:rFonts w:ascii="Verdana" w:eastAsia="Times New Roman" w:hAnsi="Verdana" w:cs="Times New Roman"/>
        </w:rPr>
        <w:t>.</w:t>
      </w:r>
    </w:p>
    <w:p w14:paraId="5F7752B3" w14:textId="77777777" w:rsidR="003C5CF2" w:rsidRPr="00206556" w:rsidRDefault="003C5CF2" w:rsidP="003C5CF2">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6"/>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7"/>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7FAC9535" w14:textId="77777777" w:rsidR="003C5CF2" w:rsidRPr="00206556" w:rsidRDefault="003C5CF2" w:rsidP="003C5CF2">
      <w:pPr>
        <w:spacing w:after="120" w:line="276" w:lineRule="auto"/>
        <w:jc w:val="both"/>
        <w:rPr>
          <w:rFonts w:ascii="Verdana" w:hAnsi="Verdana"/>
        </w:rPr>
      </w:pPr>
      <w:r w:rsidRPr="00206556">
        <w:rPr>
          <w:rFonts w:ascii="Verdana" w:eastAsia="Times New Roman" w:hAnsi="Verdana" w:cs="Times New Roman"/>
          <w:b/>
          <w:bCs/>
        </w:rPr>
        <w:lastRenderedPageBreak/>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1AE51FF2" w14:textId="77777777" w:rsidR="003C5CF2" w:rsidRPr="00206556" w:rsidRDefault="003C5CF2" w:rsidP="003C5CF2">
      <w:pPr>
        <w:spacing w:after="120" w:line="276" w:lineRule="auto"/>
        <w:ind w:firstLine="709"/>
        <w:jc w:val="both"/>
        <w:rPr>
          <w:rFonts w:ascii="Verdana" w:hAnsi="Verdana"/>
        </w:rPr>
      </w:pP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670DE8">
        <w:rPr>
          <w:rFonts w:ascii="Verdana" w:eastAsia="Times New Roman" w:hAnsi="Verdana" w:cs="Times New Roman"/>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9"/>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10"/>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3074CF8" w14:textId="77777777" w:rsidR="003C5CF2" w:rsidRPr="00E727F0" w:rsidRDefault="003C5CF2" w:rsidP="003C5CF2">
      <w:pPr>
        <w:spacing w:after="120" w:line="276" w:lineRule="auto"/>
        <w:ind w:firstLine="709"/>
        <w:jc w:val="both"/>
        <w:rPr>
          <w:rFonts w:ascii="Verdana" w:hAnsi="Verdana"/>
        </w:rPr>
      </w:pPr>
      <w:r w:rsidRPr="00E727F0">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w:t>
      </w:r>
      <w:r>
        <w:rPr>
          <w:rFonts w:ascii="Verdana" w:hAnsi="Verdana"/>
        </w:rPr>
        <w:t>, pues</w:t>
      </w:r>
      <w:r w:rsidRPr="00E727F0">
        <w:rPr>
          <w:rFonts w:ascii="Verdana" w:hAnsi="Verdana"/>
        </w:rPr>
        <w:t xml:space="preserve">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w:t>
      </w:r>
      <w:r w:rsidRPr="00E727F0">
        <w:rPr>
          <w:rFonts w:ascii="Verdana" w:hAnsi="Verdana"/>
        </w:rPr>
        <w:lastRenderedPageBreak/>
        <w:t xml:space="preserve">empresas de </w:t>
      </w:r>
      <w:proofErr w:type="spellStart"/>
      <w:r w:rsidRPr="00E727F0">
        <w:rPr>
          <w:rFonts w:ascii="Verdana" w:hAnsi="Verdana"/>
        </w:rPr>
        <w:t>PcD</w:t>
      </w:r>
      <w:proofErr w:type="spellEnd"/>
      <w:r>
        <w:rPr>
          <w:rFonts w:ascii="Verdana" w:hAnsi="Verdana"/>
        </w:rPr>
        <w:t>,</w:t>
      </w:r>
      <w:r w:rsidRPr="00E727F0">
        <w:rPr>
          <w:rFonts w:ascii="Verdana" w:hAnsi="Verdana"/>
        </w:rPr>
        <w:t xml:space="preserve">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2A20BFEE" w14:textId="77777777" w:rsidR="003C5CF2" w:rsidRPr="00DF1F0B" w:rsidRDefault="003C5CF2" w:rsidP="003C5CF2">
      <w:pPr>
        <w:spacing w:after="120" w:line="276" w:lineRule="auto"/>
        <w:ind w:firstLine="709"/>
        <w:jc w:val="both"/>
        <w:rPr>
          <w:rFonts w:ascii="Verdana" w:eastAsia="Aptos" w:hAnsi="Verdana" w:cs="Times New Roman"/>
          <w:kern w:val="2"/>
          <w14:ligatures w14:val="standardContextual"/>
        </w:rPr>
      </w:pPr>
      <w:r w:rsidRPr="00A420A9">
        <w:rPr>
          <w:rFonts w:ascii="Verdana" w:hAnsi="Verdana"/>
        </w:rPr>
        <w:t>L</w:t>
      </w:r>
      <w:r>
        <w:rPr>
          <w:rFonts w:ascii="Verdana" w:hAnsi="Verdana"/>
        </w:rPr>
        <w:t>o anterior fue ratificado por el Consejo de Estado</w:t>
      </w:r>
      <w:r>
        <w:rPr>
          <w:rStyle w:val="Refdenotaalpie"/>
          <w:rFonts w:ascii="Verdana" w:hAnsi="Verdana"/>
        </w:rPr>
        <w:footnoteReference w:id="11"/>
      </w:r>
      <w:r>
        <w:rPr>
          <w:rFonts w:ascii="Verdana" w:hAnsi="Verdana"/>
        </w:rPr>
        <w:t>,</w:t>
      </w:r>
      <w:r w:rsidRPr="008332CA">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que mediante una acción de cumplimiento</w:t>
      </w:r>
      <w:r>
        <w:rPr>
          <w:rFonts w:ascii="Verdana" w:eastAsia="Aptos" w:hAnsi="Verdana" w:cs="Times New Roman"/>
          <w:kern w:val="2"/>
          <w14:ligatures w14:val="standardContextual"/>
        </w:rPr>
        <w:t xml:space="preserve">, </w:t>
      </w:r>
      <w:r w:rsidRPr="00A420A9">
        <w:rPr>
          <w:rFonts w:ascii="Verdana" w:hAnsi="Verdana"/>
        </w:rPr>
        <w:t xml:space="preserve">declaró el incumplimiento </w:t>
      </w:r>
      <w:r w:rsidRPr="001B3C5D">
        <w:rPr>
          <w:rFonts w:ascii="Verdana" w:eastAsia="Aptos" w:hAnsi="Verdana" w:cs="Times New Roman"/>
          <w:kern w:val="2"/>
          <w14:ligatures w14:val="standardContextual"/>
        </w:rPr>
        <w:t>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r>
        <w:rPr>
          <w:rFonts w:ascii="Verdana" w:eastAsia="Aptos" w:hAnsi="Verdana" w:cs="Times New Roman"/>
          <w:kern w:val="2"/>
          <w14:ligatures w14:val="standardContextual"/>
        </w:rPr>
        <w:t xml:space="preserve"> </w:t>
      </w:r>
      <w:r w:rsidRPr="00A420A9">
        <w:rPr>
          <w:rFonts w:ascii="Verdana" w:hAnsi="Verdana"/>
        </w:rPr>
        <w:t>La Sala calificó la obligación como imperativa, expresa e inobjetable, señalando que el Gobierno Nacional no contaba con margen de discrecionalidad para decidir si reglamentaba o no el sistema de preferencias</w:t>
      </w:r>
      <w:r>
        <w:rPr>
          <w:rFonts w:ascii="Verdana" w:hAnsi="Verdana"/>
        </w:rPr>
        <w:t>.</w:t>
      </w:r>
    </w:p>
    <w:p w14:paraId="456FCE46" w14:textId="77777777" w:rsidR="003C5CF2" w:rsidRPr="00C42155" w:rsidRDefault="003C5CF2" w:rsidP="003C5CF2">
      <w:pPr>
        <w:spacing w:after="120" w:line="276" w:lineRule="auto"/>
        <w:ind w:firstLine="709"/>
        <w:jc w:val="both"/>
        <w:rPr>
          <w:rFonts w:ascii="Verdana" w:hAnsi="Verdana"/>
        </w:rPr>
      </w:pPr>
      <w:r w:rsidRPr="00E727F0">
        <w:rPr>
          <w:rFonts w:ascii="Verdana" w:hAnsi="Verdana"/>
        </w:rPr>
        <w:t>En cumplimiento de esa decisión fue expedido el Decreto 0287 de 2026, el cual</w:t>
      </w:r>
      <w:r>
        <w:rPr>
          <w:rFonts w:ascii="Verdana" w:hAnsi="Verdana"/>
        </w:rPr>
        <w:t xml:space="preserve"> </w:t>
      </w:r>
      <w:r w:rsidRPr="00E727F0">
        <w:rPr>
          <w:rFonts w:ascii="Verdana" w:hAnsi="Verdana"/>
        </w:rPr>
        <w:t>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1B3C5D">
        <w:rPr>
          <w:rFonts w:ascii="Verdana" w:eastAsia="Aptos" w:hAnsi="Verdana" w:cs="Times New Roman"/>
          <w:kern w:val="2"/>
          <w14:ligatures w14:val="standardContextual"/>
        </w:rPr>
        <w:t xml:space="preserve">. </w:t>
      </w:r>
      <w:r>
        <w:rPr>
          <w:rFonts w:ascii="Verdana" w:eastAsia="Aptos" w:hAnsi="Verdana" w:cs="Times New Roman"/>
          <w:kern w:val="2"/>
          <w14:ligatures w14:val="standardContextual"/>
        </w:rPr>
        <w:t>M</w:t>
      </w:r>
      <w:r w:rsidRPr="001B3C5D">
        <w:rPr>
          <w:rFonts w:ascii="Verdana" w:eastAsia="Aptos" w:hAnsi="Verdana" w:cs="Times New Roman"/>
          <w:kern w:val="2"/>
          <w14:ligatures w14:val="standardContextual"/>
        </w:rPr>
        <w:t xml:space="preserve">ediante la expedición del mencionado decreto, en aplicación directa de la Constitución Política y para que exista una igualdad material para las personas con discapacidad, </w:t>
      </w:r>
      <w:r>
        <w:rPr>
          <w:rFonts w:ascii="Verdana" w:eastAsia="Aptos" w:hAnsi="Verdana" w:cs="Times New Roman"/>
          <w:kern w:val="2"/>
          <w14:ligatures w14:val="standardContextual"/>
        </w:rPr>
        <w:t xml:space="preserve">se </w:t>
      </w:r>
      <w:r w:rsidRPr="001B3C5D">
        <w:rPr>
          <w:rFonts w:ascii="Verdana" w:eastAsia="Aptos" w:hAnsi="Verdana" w:cs="Times New Roman"/>
          <w:kern w:val="2"/>
          <w14:ligatures w14:val="standardContextual"/>
        </w:rPr>
        <w:t xml:space="preserve">pretende subsanar la falta de acciones afirmativas del Decreto 392 de 2018, </w:t>
      </w:r>
      <w:r>
        <w:rPr>
          <w:rFonts w:ascii="Verdana" w:eastAsia="Aptos" w:hAnsi="Verdana" w:cs="Times New Roman"/>
          <w:kern w:val="2"/>
          <w14:ligatures w14:val="standardContextual"/>
        </w:rPr>
        <w:t>en el que se m</w:t>
      </w:r>
      <w:r w:rsidRPr="001B3C5D">
        <w:rPr>
          <w:rFonts w:ascii="Verdana" w:eastAsia="Aptos" w:hAnsi="Verdana" w:cs="Times New Roman"/>
          <w:kern w:val="2"/>
          <w14:ligatures w14:val="standardContextual"/>
        </w:rPr>
        <w:t>odific</w:t>
      </w:r>
      <w:r>
        <w:rPr>
          <w:rFonts w:ascii="Verdana" w:eastAsia="Aptos" w:hAnsi="Verdana" w:cs="Times New Roman"/>
          <w:kern w:val="2"/>
          <w14:ligatures w14:val="standardContextual"/>
        </w:rPr>
        <w:t>aron</w:t>
      </w:r>
      <w:r w:rsidRPr="001B3C5D">
        <w:rPr>
          <w:rFonts w:ascii="Verdana" w:eastAsia="Aptos" w:hAnsi="Verdana" w:cs="Times New Roman"/>
          <w:kern w:val="2"/>
          <w14:ligatures w14:val="standardContextual"/>
        </w:rPr>
        <w:t xml:space="preserve"> los artículos 2.2.1.2.4.2.6, 2.2.1.2.4.2.7. y 2.2.1.2.4.2.8. del Decreto 1082 de 2015</w:t>
      </w:r>
      <w:r>
        <w:rPr>
          <w:rFonts w:ascii="Verdana" w:eastAsia="Aptos" w:hAnsi="Verdana" w:cs="Times New Roman"/>
          <w:kern w:val="2"/>
          <w14:ligatures w14:val="standardContextual"/>
        </w:rPr>
        <w:t xml:space="preserve"> de la siguiente manera</w:t>
      </w:r>
      <w:r w:rsidRPr="001B3C5D">
        <w:rPr>
          <w:rFonts w:ascii="Verdana" w:eastAsia="Aptos" w:hAnsi="Verdana" w:cs="Times New Roman"/>
          <w:kern w:val="2"/>
          <w14:ligatures w14:val="standardContextual"/>
        </w:rPr>
        <w:t xml:space="preserve">: </w:t>
      </w:r>
    </w:p>
    <w:p w14:paraId="6D4931D6"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w:t>
      </w:r>
      <w:r>
        <w:rPr>
          <w:rFonts w:ascii="Verdana" w:eastAsia="Aptos" w:hAnsi="Verdana" w:cs="Times New Roman"/>
          <w:kern w:val="2"/>
          <w14:ligatures w14:val="standardContextual"/>
        </w:rPr>
        <w:t>d</w:t>
      </w:r>
      <w:r w:rsidRPr="001B3C5D">
        <w:rPr>
          <w:rFonts w:ascii="Verdana" w:eastAsia="Aptos" w:hAnsi="Verdana" w:cs="Times New Roman"/>
          <w:kern w:val="2"/>
          <w14:ligatures w14:val="standardContextual"/>
        </w:rPr>
        <w:t>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2C09D9DA"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lastRenderedPageBreak/>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10F74475"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2.2.1.2.4.2.7.1. del Decreto 1082 de 2015, disponiendo que todas las entidades que manejen recursos públicos están obligadas a garantizar la accesibilidad para personas con discapacidad en sus procesos de contratación. </w:t>
      </w:r>
    </w:p>
    <w:p w14:paraId="790A022F"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 xml:space="preserve">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1002C26F"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12"/>
      </w:r>
      <w:r w:rsidRPr="001B3C5D">
        <w:rPr>
          <w:rFonts w:ascii="Verdana" w:eastAsia="Aptos" w:hAnsi="Verdana" w:cs="Times New Roman"/>
          <w:kern w:val="2"/>
          <w14:ligatures w14:val="standardContextual"/>
        </w:rPr>
        <w:t xml:space="preserve">. </w:t>
      </w:r>
    </w:p>
    <w:p w14:paraId="54E9CB74"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2.1.2.4.2.7.4 del Decreto 1082 de 2015. Así, se establece un puntaje adicional en favor de los empleadores de personas con discapacidad y de los emprendimientos y empresas de personas con </w:t>
      </w:r>
      <w:r w:rsidRPr="001B3C5D">
        <w:rPr>
          <w:rFonts w:ascii="Verdana" w:eastAsia="Aptos" w:hAnsi="Verdana" w:cs="Times New Roman"/>
          <w:kern w:val="2"/>
          <w14:ligatures w14:val="standardContextual"/>
        </w:rPr>
        <w:lastRenderedPageBreak/>
        <w:t xml:space="preserve">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282F04A6"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w:t>
      </w:r>
      <w:r>
        <w:rPr>
          <w:rFonts w:ascii="Verdana" w:eastAsia="Aptos" w:hAnsi="Verdana" w:cs="Times New Roman"/>
          <w:kern w:val="2"/>
          <w14:ligatures w14:val="standardContextual"/>
        </w:rPr>
        <w:t xml:space="preserve"> </w:t>
      </w:r>
      <w:r w:rsidRPr="001B3C5D">
        <w:rPr>
          <w:rFonts w:ascii="Verdana" w:eastAsia="Aptos" w:hAnsi="Verdana" w:cs="Times New Roman"/>
          <w:kern w:val="2"/>
          <w14:ligatures w14:val="standardContextual"/>
        </w:rPr>
        <w:t xml:space="preserve">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2ED2102C" w14:textId="77777777" w:rsidR="003C5CF2" w:rsidRPr="001B3C5D"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viii</w:t>
      </w:r>
      <w:proofErr w:type="spellEnd"/>
      <w:r w:rsidRPr="001B3C5D">
        <w:rPr>
          <w:rFonts w:ascii="Verdana" w:eastAsia="Aptos" w:hAnsi="Verdana" w:cs="Times New Roman"/>
          <w:kern w:val="2"/>
          <w14:ligatures w14:val="standardContextual"/>
        </w:rPr>
        <w:t xml:space="preserve">)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2.2.1.2.4.2.7.6. del Decreto 1082 de 2015, </w:t>
      </w:r>
      <w:r>
        <w:rPr>
          <w:rFonts w:ascii="Verdana" w:eastAsia="Aptos" w:hAnsi="Verdana" w:cs="Times New Roman"/>
          <w:kern w:val="2"/>
          <w14:ligatures w14:val="standardContextual"/>
        </w:rPr>
        <w:t>contemplando</w:t>
      </w:r>
      <w:r w:rsidRPr="001B3C5D">
        <w:rPr>
          <w:rFonts w:ascii="Verdana" w:eastAsia="Aptos" w:hAnsi="Verdana" w:cs="Times New Roman"/>
          <w:kern w:val="2"/>
          <w14:ligatures w14:val="standardContextual"/>
        </w:rPr>
        <w:t xml:space="preserve">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4BC346D8" w14:textId="77777777" w:rsidR="003C5CF2"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w:t>
      </w:r>
      <w:r>
        <w:rPr>
          <w:rFonts w:ascii="Verdana" w:eastAsia="Aptos" w:hAnsi="Verdana" w:cs="Times New Roman"/>
          <w:kern w:val="2"/>
          <w14:ligatures w14:val="standardContextual"/>
        </w:rPr>
        <w:t>incluye</w:t>
      </w:r>
      <w:r w:rsidRPr="001B3C5D">
        <w:rPr>
          <w:rFonts w:ascii="Verdana" w:eastAsia="Aptos" w:hAnsi="Verdana" w:cs="Times New Roman"/>
          <w:kern w:val="2"/>
          <w14:ligatures w14:val="standardContextual"/>
        </w:rPr>
        <w:t xml:space="preserve"> el artículo 2.2.1.2.4.2.7.</w:t>
      </w:r>
      <w:r>
        <w:rPr>
          <w:rFonts w:ascii="Verdana" w:eastAsia="Aptos" w:hAnsi="Verdana" w:cs="Times New Roman"/>
          <w:kern w:val="2"/>
          <w14:ligatures w14:val="standardContextual"/>
        </w:rPr>
        <w:t>7</w:t>
      </w:r>
      <w:r w:rsidRPr="001B3C5D">
        <w:rPr>
          <w:rFonts w:ascii="Verdana" w:eastAsia="Aptos" w:hAnsi="Verdana" w:cs="Times New Roman"/>
          <w:kern w:val="2"/>
          <w14:ligatures w14:val="standardContextual"/>
        </w:rPr>
        <w:t>. del Decreto 1082 de 2015, que</w:t>
      </w:r>
      <w:r>
        <w:rPr>
          <w:rFonts w:ascii="Verdana" w:eastAsia="Aptos" w:hAnsi="Verdana" w:cs="Times New Roman"/>
          <w:kern w:val="2"/>
          <w14:ligatures w14:val="standardContextual"/>
        </w:rPr>
        <w:t xml:space="preserve"> incorpora el</w:t>
      </w:r>
      <w:r w:rsidRPr="004B7044">
        <w:t xml:space="preserve"> </w:t>
      </w:r>
      <w:r w:rsidRPr="004B7044">
        <w:rPr>
          <w:rFonts w:ascii="Verdana" w:eastAsia="Aptos" w:hAnsi="Verdana" w:cs="Times New Roman"/>
          <w:kern w:val="2"/>
          <w14:ligatures w14:val="standardContextual"/>
        </w:rPr>
        <w:t>seguimiento a la inclusión de personas con discapacidad a través de contratos de prestación de servicios profesionales y lo de apoyo a la gestión.</w:t>
      </w:r>
    </w:p>
    <w:p w14:paraId="1D81A4A9" w14:textId="77777777" w:rsidR="003C5CF2"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 xml:space="preserve">x) </w:t>
      </w:r>
      <w:r w:rsidRPr="001B3C5D">
        <w:rPr>
          <w:rFonts w:ascii="Verdana" w:eastAsia="Aptos" w:hAnsi="Verdana" w:cs="Times New Roman"/>
          <w:kern w:val="2"/>
          <w14:ligatures w14:val="standardContextual"/>
        </w:rPr>
        <w:t>El artículo 1, modifica el artículo 2.2.1.2.4.2.7.8 del Decreto 1082 de 2015</w:t>
      </w:r>
      <w:r>
        <w:rPr>
          <w:rFonts w:ascii="Verdana" w:eastAsia="Aptos" w:hAnsi="Verdana" w:cs="Times New Roman"/>
          <w:kern w:val="2"/>
          <w14:ligatures w14:val="standardContextual"/>
        </w:rPr>
        <w:t xml:space="preserve"> y</w:t>
      </w:r>
      <w:r w:rsidRPr="001B3C5D">
        <w:rPr>
          <w:rFonts w:ascii="Verdana" w:eastAsia="Aptos" w:hAnsi="Verdana" w:cs="Times New Roman"/>
          <w:kern w:val="2"/>
          <w14:ligatures w14:val="standardContextual"/>
        </w:rPr>
        <w:t xml:space="preserve">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1196B938" w14:textId="77777777" w:rsidR="003C5CF2" w:rsidRDefault="003C5CF2" w:rsidP="003C5CF2">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t>xi)</w:t>
      </w:r>
      <w:r w:rsidRPr="007C6E53">
        <w:rPr>
          <w:rFonts w:ascii="Verdana" w:eastAsia="Aptos" w:hAnsi="Verdana" w:cs="Times New Roman"/>
          <w:kern w:val="2"/>
          <w14:ligatures w14:val="standardContextual"/>
        </w:rPr>
        <w:t xml:space="preserve"> </w:t>
      </w:r>
      <w:r w:rsidRPr="0046297E">
        <w:rPr>
          <w:rFonts w:ascii="Verdana" w:eastAsia="Aptos" w:hAnsi="Verdana" w:cs="Times New Roman"/>
          <w:color w:val="000000" w:themeColor="text1"/>
          <w:kern w:val="2"/>
          <w14:ligatures w14:val="standardContextual"/>
        </w:rPr>
        <w:t>El artículo 1, incluye el artículo 2.2.1.2.4.2.7.9 del Decreto 1082 de 2015</w:t>
      </w:r>
      <w:r w:rsidRPr="0046297E">
        <w:rPr>
          <w:rFonts w:ascii="Work Sans" w:hAnsi="Work Sans"/>
          <w:b/>
          <w:bCs/>
          <w:color w:val="000000" w:themeColor="text1"/>
          <w:sz w:val="25"/>
          <w:szCs w:val="25"/>
          <w:shd w:val="clear" w:color="auto" w:fill="FFFFFF"/>
        </w:rPr>
        <w:t xml:space="preserve"> </w:t>
      </w:r>
      <w:r w:rsidRPr="0046297E">
        <w:rPr>
          <w:rFonts w:ascii="Verdana" w:hAnsi="Verdana"/>
          <w:color w:val="000000" w:themeColor="text1"/>
          <w:shd w:val="clear" w:color="auto" w:fill="FFFFFF"/>
        </w:rPr>
        <w:t>que establece lo referente al</w:t>
      </w:r>
      <w:r w:rsidRPr="0046297E">
        <w:rPr>
          <w:rFonts w:ascii="Work Sans" w:hAnsi="Work Sans"/>
          <w:b/>
          <w:bCs/>
          <w:color w:val="000000" w:themeColor="text1"/>
          <w:sz w:val="25"/>
          <w:szCs w:val="25"/>
          <w:shd w:val="clear" w:color="auto" w:fill="FFFFFF"/>
        </w:rPr>
        <w:t xml:space="preserve"> </w:t>
      </w:r>
      <w:r w:rsidRPr="0046297E">
        <w:rPr>
          <w:rFonts w:ascii="Verdana" w:eastAsia="Aptos" w:hAnsi="Verdana" w:cs="Times New Roman"/>
          <w:color w:val="000000" w:themeColor="text1"/>
          <w:kern w:val="2"/>
          <w14:ligatures w14:val="standardContextual"/>
        </w:rPr>
        <w:t>acceso y accesibilidad del sistema electrónico de contratación pública - SECOP. </w:t>
      </w:r>
    </w:p>
    <w:p w14:paraId="5E4C5A4E" w14:textId="77777777" w:rsidR="003C5CF2" w:rsidRDefault="003C5CF2" w:rsidP="003C5CF2">
      <w:pPr>
        <w:widowControl w:val="0"/>
        <w:autoSpaceDE w:val="0"/>
        <w:autoSpaceDN w:val="0"/>
        <w:spacing w:after="120" w:line="276" w:lineRule="auto"/>
        <w:jc w:val="both"/>
        <w:rPr>
          <w:rFonts w:ascii="Verdana" w:eastAsia="Times New Roman" w:hAnsi="Verdana" w:cs="Times New Roman"/>
        </w:rPr>
      </w:pPr>
      <w:proofErr w:type="spellStart"/>
      <w:r>
        <w:rPr>
          <w:rFonts w:ascii="Verdana" w:eastAsia="Aptos" w:hAnsi="Verdana" w:cs="Times New Roman"/>
          <w:kern w:val="2"/>
          <w14:ligatures w14:val="standardContextual"/>
        </w:rPr>
        <w:t>ii</w:t>
      </w:r>
      <w:proofErr w:type="spellEnd"/>
      <w:r>
        <w:rPr>
          <w:rFonts w:ascii="Verdana" w:eastAsia="Aptos" w:hAnsi="Verdana" w:cs="Times New Roman"/>
          <w:kern w:val="2"/>
          <w14:ligatures w14:val="standardContextual"/>
        </w:rPr>
        <w:t xml:space="preserve">. Ahora bien, de acuerdo con las inquietudes planteadas, resulta necesario realizar algunas precisiones en relación con el artículo </w:t>
      </w:r>
      <w:r w:rsidRPr="001B3C5D">
        <w:rPr>
          <w:rFonts w:ascii="Verdana" w:eastAsia="Aptos" w:hAnsi="Verdana" w:cs="Times New Roman"/>
          <w:kern w:val="2"/>
          <w14:ligatures w14:val="standardContextual"/>
        </w:rPr>
        <w:t xml:space="preserve">2.1.2.4.2.7.4 </w:t>
      </w:r>
      <w:r>
        <w:rPr>
          <w:rFonts w:ascii="Verdana" w:eastAsia="Aptos" w:hAnsi="Verdana" w:cs="Times New Roman"/>
          <w:kern w:val="2"/>
          <w14:ligatures w14:val="standardContextual"/>
        </w:rPr>
        <w:t xml:space="preserve">del Decreto 287 de 2026, el cual contempla </w:t>
      </w:r>
      <w:r>
        <w:rPr>
          <w:rFonts w:ascii="Verdana" w:eastAsia="Times New Roman" w:hAnsi="Verdana" w:cs="Times New Roman"/>
        </w:rPr>
        <w:t>u</w:t>
      </w:r>
      <w:r w:rsidRPr="00E727F0">
        <w:rPr>
          <w:rFonts w:ascii="Verdana" w:eastAsia="Times New Roman" w:hAnsi="Verdana" w:cs="Times New Roman"/>
        </w:rPr>
        <w:t xml:space="preserve">no de los incentivos centrales en favor </w:t>
      </w:r>
      <w:r w:rsidRPr="00916967">
        <w:rPr>
          <w:rFonts w:ascii="Verdana" w:eastAsia="Aptos" w:hAnsi="Verdana" w:cs="Times New Roman"/>
          <w:kern w:val="2"/>
          <w14:ligatures w14:val="standardContextual"/>
        </w:rPr>
        <w:t>de los empleadores de personas con discapacidad y de los emprendimientos y empresas de personas con discapacidad</w:t>
      </w:r>
      <w:r>
        <w:rPr>
          <w:rFonts w:ascii="Verdana" w:eastAsia="Times New Roman" w:hAnsi="Verdana" w:cs="Times New Roman"/>
        </w:rPr>
        <w:t>, referente a</w:t>
      </w:r>
      <w:r w:rsidRPr="00E727F0">
        <w:rPr>
          <w:rFonts w:ascii="Verdana" w:eastAsia="Times New Roman" w:hAnsi="Verdana" w:cs="Times New Roman"/>
        </w:rPr>
        <w:t>l puntaje adicional del 2%</w:t>
      </w:r>
      <w:r>
        <w:rPr>
          <w:rFonts w:ascii="Verdana" w:eastAsia="Times New Roman" w:hAnsi="Verdana" w:cs="Times New Roman"/>
        </w:rPr>
        <w:t xml:space="preserve"> del valor total de los puntos establecidos en los pliegos de condiciones o </w:t>
      </w:r>
      <w:r>
        <w:rPr>
          <w:rFonts w:ascii="Verdana" w:eastAsia="Times New Roman" w:hAnsi="Verdana" w:cs="Times New Roman"/>
        </w:rPr>
        <w:lastRenderedPageBreak/>
        <w:t>documento equivalente.</w:t>
      </w:r>
    </w:p>
    <w:p w14:paraId="32314EAF" w14:textId="77777777" w:rsidR="003C5CF2" w:rsidRPr="009C6C16" w:rsidRDefault="003C5CF2" w:rsidP="003C5CF2">
      <w:pPr>
        <w:widowControl w:val="0"/>
        <w:autoSpaceDE w:val="0"/>
        <w:autoSpaceDN w:val="0"/>
        <w:spacing w:after="120" w:line="276" w:lineRule="auto"/>
        <w:ind w:firstLine="709"/>
        <w:jc w:val="both"/>
        <w:rPr>
          <w:rFonts w:ascii="Verdana" w:eastAsia="Aptos" w:hAnsi="Verdana" w:cs="Times New Roman"/>
          <w:kern w:val="2"/>
          <w14:ligatures w14:val="standardContextual"/>
        </w:rPr>
      </w:pPr>
      <w:r>
        <w:rPr>
          <w:rFonts w:ascii="Verdana" w:eastAsia="Times New Roman" w:hAnsi="Verdana" w:cs="Times New Roman"/>
        </w:rPr>
        <w:t>De conformidad con la norma en mención, e</w:t>
      </w:r>
      <w:r w:rsidRPr="00E727F0">
        <w:rPr>
          <w:rFonts w:ascii="Verdana" w:eastAsia="Times New Roman" w:hAnsi="Verdana" w:cs="Times New Roman"/>
        </w:rPr>
        <w:t>ste puntaje puede obtenerse</w:t>
      </w:r>
      <w:r>
        <w:rPr>
          <w:rFonts w:ascii="Verdana" w:eastAsia="Times New Roman" w:hAnsi="Verdana" w:cs="Times New Roman"/>
        </w:rPr>
        <w:t xml:space="preserve"> en los procesos de licitación pública y de concurso de méritos,</w:t>
      </w:r>
      <w:r w:rsidRPr="00E727F0">
        <w:rPr>
          <w:rFonts w:ascii="Verdana" w:eastAsia="Times New Roman" w:hAnsi="Verdana" w:cs="Times New Roman"/>
        </w:rPr>
        <w:t xml:space="preserve"> acreditando cualquiera de las </w:t>
      </w:r>
      <w:r>
        <w:rPr>
          <w:rFonts w:ascii="Verdana" w:eastAsia="Times New Roman" w:hAnsi="Verdana" w:cs="Times New Roman"/>
        </w:rPr>
        <w:t>siguientes situaciones</w:t>
      </w:r>
      <w:r w:rsidRPr="00E727F0">
        <w:rPr>
          <w:rFonts w:ascii="Verdana" w:eastAsia="Times New Roman" w:hAnsi="Verdana" w:cs="Times New Roman"/>
        </w:rPr>
        <w:t xml:space="preserve">: </w:t>
      </w:r>
      <w:r>
        <w:rPr>
          <w:rFonts w:ascii="Verdana" w:eastAsia="Times New Roman" w:hAnsi="Verdana" w:cs="Times New Roman"/>
        </w:rPr>
        <w:t xml:space="preserve">i) </w:t>
      </w:r>
      <w:r w:rsidRPr="00E727F0">
        <w:rPr>
          <w:rFonts w:ascii="Verdana" w:eastAsia="Times New Roman" w:hAnsi="Verdana" w:cs="Times New Roman"/>
        </w:rPr>
        <w:t xml:space="preserve">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w:t>
      </w:r>
      <w:proofErr w:type="spellStart"/>
      <w:r>
        <w:rPr>
          <w:rFonts w:ascii="Verdana" w:eastAsia="Times New Roman" w:hAnsi="Verdana" w:cs="Times New Roman"/>
        </w:rPr>
        <w:t>ii</w:t>
      </w:r>
      <w:proofErr w:type="spellEnd"/>
      <w:r>
        <w:rPr>
          <w:rFonts w:ascii="Verdana" w:eastAsia="Times New Roman" w:hAnsi="Verdana" w:cs="Times New Roman"/>
        </w:rPr>
        <w:t xml:space="preserve">) </w:t>
      </w:r>
      <w:r w:rsidRPr="00E727F0">
        <w:rPr>
          <w:rFonts w:ascii="Verdana" w:eastAsia="Times New Roman" w:hAnsi="Verdana" w:cs="Times New Roman"/>
        </w:rPr>
        <w:t xml:space="preserve">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w:t>
      </w:r>
      <w:r>
        <w:rPr>
          <w:rFonts w:ascii="Verdana" w:eastAsia="Times New Roman" w:hAnsi="Verdana" w:cs="Times New Roman"/>
        </w:rPr>
        <w:t xml:space="preserve"> conforme a la tabla establecida</w:t>
      </w:r>
      <w:r w:rsidRPr="00E727F0">
        <w:rPr>
          <w:rFonts w:ascii="Verdana" w:eastAsia="Times New Roman" w:hAnsi="Verdana" w:cs="Times New Roman"/>
        </w:rPr>
        <w:t>. Sin embargo, el hecho de que ambas condiciones puedan acreditarse simultáneamente no significa que el puntaje sea acumulable. El mismo artículo es explícito al disponer que:</w:t>
      </w:r>
    </w:p>
    <w:p w14:paraId="28A45C14" w14:textId="77777777" w:rsidR="003C5CF2" w:rsidRPr="00BA6536" w:rsidRDefault="003C5CF2" w:rsidP="003C5CF2">
      <w:pPr>
        <w:spacing w:after="0" w:line="240" w:lineRule="auto"/>
        <w:jc w:val="both"/>
        <w:rPr>
          <w:rFonts w:ascii="Verdana" w:eastAsia="Times New Roman" w:hAnsi="Verdana" w:cs="Times New Roman"/>
        </w:rPr>
      </w:pPr>
    </w:p>
    <w:p w14:paraId="446D3033" w14:textId="77777777" w:rsidR="003C5CF2" w:rsidRPr="00B53264" w:rsidRDefault="003C5CF2" w:rsidP="003C5CF2">
      <w:pPr>
        <w:spacing w:after="0" w:line="240" w:lineRule="auto"/>
        <w:ind w:left="720" w:right="720"/>
        <w:jc w:val="both"/>
        <w:rPr>
          <w:rFonts w:ascii="Verdana" w:eastAsia="Times New Roman" w:hAnsi="Verdana" w:cs="Times New Roman"/>
          <w:sz w:val="20"/>
          <w:szCs w:val="20"/>
        </w:rPr>
      </w:pPr>
      <w:r w:rsidRPr="00B53264">
        <w:rPr>
          <w:rFonts w:ascii="Verdana" w:eastAsia="Times New Roman" w:hAnsi="Verdana" w:cs="Times New Roman"/>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2BDEF290" w14:textId="77777777" w:rsidR="003C5CF2" w:rsidRPr="00E727F0" w:rsidRDefault="003C5CF2" w:rsidP="003C5CF2">
      <w:pPr>
        <w:spacing w:after="0" w:line="240" w:lineRule="auto"/>
        <w:ind w:left="720" w:right="720"/>
        <w:jc w:val="both"/>
        <w:rPr>
          <w:rFonts w:ascii="Verdana" w:hAnsi="Verdana"/>
          <w:sz w:val="20"/>
          <w:szCs w:val="20"/>
        </w:rPr>
      </w:pPr>
    </w:p>
    <w:p w14:paraId="230C5695" w14:textId="77777777" w:rsidR="003C5CF2" w:rsidRPr="00221C61" w:rsidRDefault="003C5CF2" w:rsidP="003C5CF2">
      <w:pPr>
        <w:spacing w:after="120" w:line="276" w:lineRule="auto"/>
        <w:ind w:firstLine="709"/>
        <w:jc w:val="both"/>
        <w:rPr>
          <w:rFonts w:ascii="Verdana" w:eastAsia="Times New Roman" w:hAnsi="Verdana" w:cs="Times New Roman"/>
        </w:rPr>
      </w:pPr>
      <w:r w:rsidRPr="00E727F0">
        <w:rPr>
          <w:rFonts w:ascii="Verdana" w:eastAsia="Times New Roman" w:hAnsi="Verdana" w:cs="Times New Roman"/>
        </w:rPr>
        <w:t xml:space="preserve">Esta decisión normativa responde a </w:t>
      </w:r>
      <w:r>
        <w:rPr>
          <w:rFonts w:ascii="Verdana" w:eastAsia="Times New Roman" w:hAnsi="Verdana" w:cs="Times New Roman"/>
        </w:rPr>
        <w:t>que e</w:t>
      </w:r>
      <w:r w:rsidRPr="00E727F0">
        <w:rPr>
          <w:rFonts w:ascii="Verdana" w:eastAsia="Times New Roman" w:hAnsi="Verdana" w:cs="Times New Roman"/>
        </w:rPr>
        <w:t xml:space="preserve">l 2%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w:t>
      </w:r>
      <w:r>
        <w:rPr>
          <w:rFonts w:ascii="Verdana" w:eastAsia="Times New Roman" w:hAnsi="Verdana" w:cs="Times New Roman"/>
        </w:rPr>
        <w:t>, ya que</w:t>
      </w:r>
      <w:r w:rsidRPr="00E727F0">
        <w:rPr>
          <w:rFonts w:ascii="Verdana" w:eastAsia="Times New Roman" w:hAnsi="Verdana" w:cs="Times New Roman"/>
        </w:rPr>
        <w:t xml:space="preserv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2B62448F" w14:textId="77777777" w:rsidR="003C5CF2" w:rsidRDefault="003C5CF2" w:rsidP="003C5CF2">
      <w:pPr>
        <w:spacing w:after="120" w:line="276" w:lineRule="auto"/>
        <w:ind w:firstLine="709"/>
        <w:jc w:val="both"/>
        <w:rPr>
          <w:rFonts w:ascii="Verdana" w:eastAsia="Times New Roman" w:hAnsi="Verdana" w:cs="Times New Roman"/>
        </w:rPr>
      </w:pPr>
      <w:r w:rsidRPr="00696B3E">
        <w:rPr>
          <w:rFonts w:ascii="Verdana" w:eastAsia="Times New Roman" w:hAnsi="Verdana" w:cs="Times New Roman"/>
        </w:rPr>
        <w:t>Bajo este contexto, debe señalarse que los requisitos exigidos para acceder a este puntaje varían según el sujeto que deba acreditarlos</w:t>
      </w:r>
      <w:r>
        <w:rPr>
          <w:rFonts w:ascii="Verdana" w:eastAsia="Times New Roman" w:hAnsi="Verdana" w:cs="Times New Roman"/>
        </w:rPr>
        <w:t>. Por un lado,</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Pr>
          <w:rFonts w:ascii="Verdana" w:eastAsia="Times New Roman" w:hAnsi="Verdana" w:cs="Times New Roman"/>
        </w:rPr>
        <w:t xml:space="preserve">, </w:t>
      </w:r>
      <w:r w:rsidRPr="007B01BA">
        <w:rPr>
          <w:rFonts w:ascii="Verdana" w:eastAsia="Times New Roman" w:hAnsi="Verdana" w:cs="Times New Roman"/>
        </w:rPr>
        <w:t>l</w:t>
      </w:r>
      <w:r>
        <w:rPr>
          <w:rFonts w:ascii="Verdana" w:eastAsia="Times New Roman" w:hAnsi="Verdana" w:cs="Times New Roman"/>
        </w:rPr>
        <w:t>o</w:t>
      </w:r>
      <w:r w:rsidRPr="007B01BA">
        <w:rPr>
          <w:rFonts w:ascii="Verdana" w:eastAsia="Times New Roman" w:hAnsi="Verdana" w:cs="Times New Roman"/>
        </w:rPr>
        <w:t>s documentos requeridos son los establecidos en el artículo 2.2.1.2.4.2.6., que varían según la categoría que se acredite</w:t>
      </w:r>
      <w:r>
        <w:rPr>
          <w:rFonts w:ascii="Verdana" w:eastAsia="Times New Roman" w:hAnsi="Verdana" w:cs="Times New Roman"/>
        </w:rPr>
        <w:t xml:space="preserve">. </w:t>
      </w:r>
      <w:r w:rsidRPr="008433AE">
        <w:rPr>
          <w:rFonts w:ascii="Verdana" w:eastAsia="Times New Roman" w:hAnsi="Verdana" w:cs="Times New Roman"/>
        </w:rPr>
        <w:t>En efecto, el numeral 1 de la disposición en comento remite expresamente al artículo 2.2.1.2.4.2.6 del Decreto 287 de 2026, que establece la definición de emprendimientos y empresas de personas con discapacidad</w:t>
      </w:r>
      <w:r>
        <w:rPr>
          <w:rFonts w:ascii="Verdana" w:eastAsia="Times New Roman" w:hAnsi="Verdana" w:cs="Times New Roman"/>
        </w:rPr>
        <w:t xml:space="preserve">, por lo que </w:t>
      </w:r>
      <w:r w:rsidRPr="008433AE">
        <w:rPr>
          <w:rFonts w:ascii="Verdana" w:eastAsia="Times New Roman" w:hAnsi="Verdana" w:cs="Times New Roman"/>
        </w:rPr>
        <w:t>para acceder al puntaje adicional, el proponente deberá acreditar el cumplimiento de las condiciones allí previstas, de conformidad con la tarifa legal contemplada en cada uno de los numerales de dicha disposición</w:t>
      </w:r>
      <w:r>
        <w:rPr>
          <w:rFonts w:ascii="Verdana" w:eastAsia="Times New Roman" w:hAnsi="Verdana" w:cs="Times New Roman"/>
        </w:rPr>
        <w:t>.</w:t>
      </w:r>
    </w:p>
    <w:p w14:paraId="73ECDECA" w14:textId="77777777" w:rsidR="003C5CF2" w:rsidRPr="0068418D" w:rsidRDefault="003C5CF2" w:rsidP="003C5CF2">
      <w:pPr>
        <w:spacing w:after="120" w:line="276" w:lineRule="auto"/>
        <w:ind w:firstLine="709"/>
        <w:jc w:val="both"/>
        <w:rPr>
          <w:rFonts w:ascii="Verdana" w:eastAsia="Times New Roman" w:hAnsi="Verdana" w:cs="Times New Roman"/>
        </w:rPr>
      </w:pPr>
      <w:r>
        <w:rPr>
          <w:rFonts w:ascii="Verdana" w:eastAsia="Times New Roman" w:hAnsi="Verdana" w:cs="Times New Roman"/>
        </w:rPr>
        <w:lastRenderedPageBreak/>
        <w:t xml:space="preserve">Por otro lado, conforme lo señala el numeral 2 </w:t>
      </w:r>
      <w:r w:rsidRPr="006262B6">
        <w:rPr>
          <w:rFonts w:ascii="Verdana" w:eastAsia="Times New Roman" w:hAnsi="Verdana" w:cs="Times New Roman"/>
          <w:i/>
          <w:iCs/>
        </w:rPr>
        <w:t>ibidem</w:t>
      </w:r>
      <w:r>
        <w:rPr>
          <w:rFonts w:ascii="Verdana" w:eastAsia="Times New Roman" w:hAnsi="Verdana" w:cs="Times New Roman"/>
        </w:rPr>
        <w:t xml:space="preserve">, </w:t>
      </w:r>
      <w:r w:rsidRPr="007B01BA">
        <w:rPr>
          <w:rFonts w:ascii="Verdana" w:eastAsia="Times New Roman" w:hAnsi="Verdana" w:cs="Times New Roman"/>
        </w:rPr>
        <w:t xml:space="preserve">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w:t>
      </w:r>
      <w:r w:rsidRPr="00D22B7C">
        <w:rPr>
          <w:rFonts w:ascii="Verdana" w:eastAsia="Times New Roman" w:hAnsi="Verdana" w:cs="Times New Roman"/>
        </w:rPr>
        <w:t xml:space="preserve">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p w14:paraId="612BD81A" w14:textId="77777777" w:rsidR="003C5CF2" w:rsidRPr="00D22B7C" w:rsidRDefault="003C5CF2" w:rsidP="003C5CF2">
      <w:pPr>
        <w:spacing w:after="120" w:line="276" w:lineRule="auto"/>
        <w:ind w:firstLine="709"/>
        <w:jc w:val="both"/>
        <w:rPr>
          <w:rFonts w:ascii="Verdana" w:hAnsi="Verdana"/>
        </w:rPr>
      </w:pPr>
    </w:p>
    <w:tbl>
      <w:tblPr>
        <w:tblW w:w="66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56"/>
        <w:gridCol w:w="3107"/>
      </w:tblGrid>
      <w:tr w:rsidR="003C5CF2" w:rsidRPr="00D22B7C" w14:paraId="557CFAB3"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6A0E4CDD"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b/>
                <w:bCs/>
                <w:sz w:val="20"/>
                <w:szCs w:val="20"/>
              </w:rPr>
              <w:t>Número total de trabajadores de la planta de personal del proponente</w:t>
            </w:r>
          </w:p>
        </w:tc>
        <w:tc>
          <w:tcPr>
            <w:tcW w:w="310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41A797F2"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b/>
                <w:bCs/>
                <w:sz w:val="20"/>
                <w:szCs w:val="20"/>
              </w:rPr>
              <w:t>Número mínimo de trabajadores con discapacidad requerido</w:t>
            </w:r>
          </w:p>
        </w:tc>
      </w:tr>
      <w:tr w:rsidR="003C5CF2" w:rsidRPr="00D22B7C" w14:paraId="0CC804A5"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6AA926C"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1 y 30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8C01A91"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2</w:t>
            </w:r>
          </w:p>
        </w:tc>
      </w:tr>
      <w:tr w:rsidR="003C5CF2" w:rsidRPr="00D22B7C" w14:paraId="1784A71D"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66EADB"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31 y 100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4CC740"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3</w:t>
            </w:r>
          </w:p>
        </w:tc>
      </w:tr>
      <w:tr w:rsidR="003C5CF2" w:rsidRPr="00D22B7C" w14:paraId="7E342745"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70BB43D"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101 y 150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0E648B"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4</w:t>
            </w:r>
          </w:p>
        </w:tc>
      </w:tr>
      <w:tr w:rsidR="003C5CF2" w:rsidRPr="00D22B7C" w14:paraId="3DDFCB1D"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1D38F28"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151 y 200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C27CC92"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5</w:t>
            </w:r>
          </w:p>
        </w:tc>
      </w:tr>
      <w:tr w:rsidR="003C5CF2" w:rsidRPr="00D22B7C" w14:paraId="0D12062A"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D7FFBB7"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201 y 300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1E86FB3"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7</w:t>
            </w:r>
          </w:p>
        </w:tc>
      </w:tr>
      <w:tr w:rsidR="003C5CF2" w:rsidRPr="00D22B7C" w14:paraId="0870FBF9"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7832E76"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301 y 400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E9A16FE"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10</w:t>
            </w:r>
          </w:p>
        </w:tc>
      </w:tr>
      <w:tr w:rsidR="003C5CF2" w:rsidRPr="00D22B7C" w14:paraId="4B9E720D"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7F2FEF"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401 y 500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5ED1AC"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12</w:t>
            </w:r>
          </w:p>
        </w:tc>
      </w:tr>
      <w:tr w:rsidR="003C5CF2" w:rsidRPr="00D22B7C" w14:paraId="5D95CC6A"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8A29E7"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501 y 600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77639D8"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14</w:t>
            </w:r>
          </w:p>
        </w:tc>
      </w:tr>
      <w:tr w:rsidR="003C5CF2" w:rsidRPr="00D22B7C" w14:paraId="6FC00D20"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6CFDA25"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Entre 601 y 700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EF09CE6"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16</w:t>
            </w:r>
          </w:p>
        </w:tc>
      </w:tr>
      <w:tr w:rsidR="003C5CF2" w:rsidRPr="00D22B7C" w14:paraId="3C062AEA" w14:textId="77777777" w:rsidTr="007F2C7C">
        <w:trPr>
          <w:jc w:val="center"/>
        </w:trPr>
        <w:tc>
          <w:tcPr>
            <w:tcW w:w="3556"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C48248"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Más de 700</w:t>
            </w:r>
          </w:p>
        </w:tc>
        <w:tc>
          <w:tcPr>
            <w:tcW w:w="310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EC6CF29" w14:textId="77777777" w:rsidR="003C5CF2" w:rsidRPr="00854BD3" w:rsidRDefault="003C5CF2" w:rsidP="007F2C7C">
            <w:pPr>
              <w:jc w:val="center"/>
              <w:rPr>
                <w:rFonts w:ascii="Verdana" w:hAnsi="Verdana"/>
                <w:sz w:val="20"/>
                <w:szCs w:val="20"/>
              </w:rPr>
            </w:pPr>
            <w:r w:rsidRPr="00854BD3">
              <w:rPr>
                <w:rFonts w:ascii="Verdana" w:eastAsia="Times New Roman" w:hAnsi="Verdana" w:cs="Times New Roman"/>
                <w:sz w:val="20"/>
                <w:szCs w:val="20"/>
              </w:rPr>
              <w:t>Por cada 100 trabajadores adicionales, se suman 2 trabajadores con discapacidad</w:t>
            </w:r>
          </w:p>
        </w:tc>
      </w:tr>
    </w:tbl>
    <w:p w14:paraId="53A936BD" w14:textId="77777777" w:rsidR="003C5CF2" w:rsidRPr="00D22B7C" w:rsidRDefault="003C5CF2" w:rsidP="003C5CF2">
      <w:pPr>
        <w:spacing w:after="120" w:line="276" w:lineRule="auto"/>
        <w:rPr>
          <w:rFonts w:ascii="Verdana" w:hAnsi="Verdana"/>
        </w:rPr>
      </w:pPr>
    </w:p>
    <w:p w14:paraId="1DA5C16F" w14:textId="77777777" w:rsidR="003C5CF2" w:rsidRPr="00135350" w:rsidRDefault="003C5CF2" w:rsidP="003C5CF2">
      <w:pPr>
        <w:spacing w:after="120" w:line="276" w:lineRule="auto"/>
        <w:ind w:firstLine="709"/>
        <w:jc w:val="both"/>
        <w:rPr>
          <w:rFonts w:ascii="Verdana" w:eastAsia="Calibri" w:hAnsi="Verdana" w:cs="Arial"/>
          <w:bCs/>
          <w:color w:val="000000" w:themeColor="text1"/>
        </w:rPr>
      </w:pPr>
      <w:r>
        <w:rPr>
          <w:rFonts w:ascii="Verdana" w:eastAsia="Times New Roman" w:hAnsi="Verdana" w:cs="Times New Roman"/>
        </w:rPr>
        <w:t xml:space="preserve">Frente a la expresión “dedicación exclusiva” a la que se refiere el numeral 2 de la norma en mención, </w:t>
      </w:r>
      <w:r w:rsidRPr="00965782">
        <w:rPr>
          <w:rFonts w:ascii="Verdana" w:eastAsia="Times New Roman" w:hAnsi="Verdana" w:cs="Times New Roman"/>
        </w:rPr>
        <w:t>resulta pertinente precisar que la norma no consagra una definición expresa de dicho concepto,</w:t>
      </w:r>
      <w:r>
        <w:rPr>
          <w:rFonts w:ascii="Verdana" w:eastAsia="Times New Roman" w:hAnsi="Verdana" w:cs="Times New Roman"/>
        </w:rPr>
        <w:t xml:space="preserve"> por lo que,</w:t>
      </w:r>
      <w:r w:rsidRPr="00965782">
        <w:rPr>
          <w:rFonts w:ascii="Verdana" w:eastAsia="Times New Roman" w:hAnsi="Verdana" w:cs="Times New Roman"/>
        </w:rPr>
        <w:t xml:space="preserve"> para determinar su alcance </w:t>
      </w:r>
      <w:r w:rsidRPr="00965782">
        <w:rPr>
          <w:rFonts w:ascii="Verdana" w:eastAsia="Times New Roman" w:hAnsi="Verdana" w:cs="Times New Roman"/>
        </w:rPr>
        <w:lastRenderedPageBreak/>
        <w:t>y contenido, es necesario acudir a las reglas generales de interpretación</w:t>
      </w:r>
      <w:r>
        <w:rPr>
          <w:rFonts w:ascii="Verdana" w:eastAsia="Calibri" w:hAnsi="Verdana" w:cs="Arial"/>
          <w:bCs/>
          <w:color w:val="000000" w:themeColor="text1"/>
        </w:rPr>
        <w:t xml:space="preserve">. Al respecto,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Pr>
          <w:rFonts w:ascii="Verdana" w:eastAsia="Calibri" w:hAnsi="Verdana" w:cs="Arial"/>
          <w:bCs/>
          <w:i/>
          <w:iCs/>
          <w:color w:val="000000" w:themeColor="text1"/>
        </w:rPr>
        <w:t>ibidem</w:t>
      </w:r>
      <w:r>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Pr>
          <w:rStyle w:val="Refdenotaalpie"/>
          <w:rFonts w:ascii="Verdana" w:eastAsia="Calibri" w:hAnsi="Verdana" w:cs="Arial"/>
          <w:bCs/>
          <w:color w:val="000000" w:themeColor="text1"/>
        </w:rPr>
        <w:footnoteReference w:id="13"/>
      </w:r>
      <w:r>
        <w:rPr>
          <w:rFonts w:ascii="Verdana" w:eastAsia="Calibri" w:hAnsi="Verdana" w:cs="Arial"/>
          <w:bCs/>
          <w:color w:val="000000" w:themeColor="text1"/>
        </w:rPr>
        <w:t xml:space="preserve">. </w:t>
      </w:r>
    </w:p>
    <w:p w14:paraId="7AFA91D1" w14:textId="77777777" w:rsidR="003C5CF2" w:rsidRPr="0062050D" w:rsidRDefault="003C5CF2" w:rsidP="003C5CF2">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 xml:space="preserve">Bajo este criterio interpretativo, </w:t>
      </w:r>
      <w:r>
        <w:rPr>
          <w:rFonts w:ascii="Verdana" w:eastAsia="Times New Roman" w:hAnsi="Verdana" w:cs="Times New Roman"/>
        </w:rPr>
        <w:t xml:space="preserve">según la Real Academia de la Lengua Española </w:t>
      </w:r>
      <w:r w:rsidRPr="0062050D">
        <w:rPr>
          <w:rFonts w:ascii="Verdana" w:eastAsia="Times New Roman" w:hAnsi="Verdana" w:cs="Times New Roman"/>
        </w:rPr>
        <w:t>“</w:t>
      </w:r>
      <w:r>
        <w:rPr>
          <w:rFonts w:ascii="Verdana" w:eastAsia="Times New Roman" w:hAnsi="Verdana" w:cs="Times New Roman"/>
        </w:rPr>
        <w:t xml:space="preserve">dedicación </w:t>
      </w:r>
      <w:r w:rsidRPr="0062050D">
        <w:rPr>
          <w:rFonts w:ascii="Verdana" w:eastAsia="Times New Roman" w:hAnsi="Verdana" w:cs="Times New Roman"/>
        </w:rPr>
        <w:t>exclusiva”</w:t>
      </w:r>
      <w:r>
        <w:rPr>
          <w:rFonts w:ascii="Verdana" w:eastAsia="Times New Roman" w:hAnsi="Verdana" w:cs="Times New Roman"/>
        </w:rPr>
        <w:t xml:space="preserve"> se entiende como la “dedicación que por compromiso o contrato ocupa todo el tiempo disponible, con exclusión de cualquier otro trabajo</w:t>
      </w:r>
      <w:r>
        <w:rPr>
          <w:rStyle w:val="Refdenotaalpie"/>
          <w:rFonts w:ascii="Verdana" w:eastAsia="Times New Roman" w:hAnsi="Verdana" w:cs="Times New Roman"/>
        </w:rPr>
        <w:footnoteReference w:id="14"/>
      </w:r>
      <w:r>
        <w:rPr>
          <w:rFonts w:ascii="Verdana" w:eastAsia="Times New Roman" w:hAnsi="Verdana" w:cs="Times New Roman"/>
        </w:rPr>
        <w:t>”</w:t>
      </w:r>
      <w:r w:rsidRPr="00673803">
        <w:rPr>
          <w:rFonts w:ascii="Verdana" w:eastAsia="Times New Roman" w:hAnsi="Verdana" w:cs="Times New Roman"/>
        </w:rPr>
        <w:t xml:space="preserve">. </w:t>
      </w:r>
      <w:r>
        <w:rPr>
          <w:rFonts w:ascii="Verdana" w:eastAsia="Times New Roman" w:hAnsi="Verdana" w:cs="Times New Roman"/>
        </w:rPr>
        <w:t xml:space="preserve">De esta manera, de acuerdo con su sentido natural y obvio </w:t>
      </w:r>
      <w:r w:rsidRPr="0062050D">
        <w:rPr>
          <w:rFonts w:ascii="Verdana" w:eastAsia="Times New Roman" w:hAnsi="Verdana" w:cs="Times New Roman"/>
        </w:rPr>
        <w:t xml:space="preserve">debe interpretarse </w:t>
      </w:r>
      <w:r>
        <w:rPr>
          <w:rFonts w:ascii="Verdana" w:eastAsia="Times New Roman" w:hAnsi="Verdana" w:cs="Times New Roman"/>
        </w:rPr>
        <w:t xml:space="preserve">que la locución “dedicación </w:t>
      </w:r>
      <w:r w:rsidRPr="0062050D">
        <w:rPr>
          <w:rFonts w:ascii="Verdana" w:eastAsia="Times New Roman" w:hAnsi="Verdana" w:cs="Times New Roman"/>
        </w:rPr>
        <w:t>exclusiva</w:t>
      </w:r>
      <w:r>
        <w:rPr>
          <w:rFonts w:ascii="Verdana" w:eastAsia="Times New Roman" w:hAnsi="Verdana" w:cs="Times New Roman"/>
        </w:rPr>
        <w:t xml:space="preserve">” en el marco del numeral 2 del </w:t>
      </w:r>
      <w:r w:rsidRPr="008433AE">
        <w:rPr>
          <w:rFonts w:ascii="Verdana" w:eastAsia="Times New Roman" w:hAnsi="Verdana" w:cs="Times New Roman"/>
        </w:rPr>
        <w:t xml:space="preserve">artículo </w:t>
      </w:r>
      <w:r w:rsidRPr="001B3C5D">
        <w:rPr>
          <w:rFonts w:ascii="Verdana" w:eastAsia="Aptos" w:hAnsi="Verdana" w:cs="Times New Roman"/>
          <w:kern w:val="2"/>
          <w14:ligatures w14:val="standardContextual"/>
        </w:rPr>
        <w:t xml:space="preserve">2.1.2.4.2.7.4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62050D">
        <w:rPr>
          <w:rFonts w:ascii="Verdana" w:eastAsia="Times New Roman" w:hAnsi="Verdana" w:cs="Times New Roman"/>
        </w:rPr>
        <w:t>hace referencia a una relación laboral en la cual el trabajador presta sus servicios únicamente para un determinado empleador, es decir, existe exclusividad en el vínculo laboral. Así, la exclusividad no se encuentra asociada necesariamente a la duración de la jornada de trabajo</w:t>
      </w:r>
      <w:r>
        <w:rPr>
          <w:rFonts w:ascii="Verdana" w:eastAsia="Times New Roman" w:hAnsi="Verdana" w:cs="Times New Roman"/>
        </w:rPr>
        <w:t xml:space="preserve">, </w:t>
      </w:r>
      <w:r w:rsidRPr="0062050D">
        <w:rPr>
          <w:rFonts w:ascii="Verdana" w:eastAsia="Times New Roman" w:hAnsi="Verdana" w:cs="Times New Roman"/>
        </w:rPr>
        <w:t>que puede ser completa o parcial, sino a la imposibilidad de que el trabajador mantenga simultáneamente otro vínculo laboral con un empleador distinto respecto de las actividades objeto de dicha contratación.</w:t>
      </w:r>
    </w:p>
    <w:p w14:paraId="79B8FE9A" w14:textId="77777777" w:rsidR="003C5CF2" w:rsidRPr="0062050D" w:rsidRDefault="003C5CF2" w:rsidP="003C5CF2">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Esta interpretación resulta consistente con el significado co</w:t>
      </w:r>
      <w:r>
        <w:rPr>
          <w:rFonts w:ascii="Verdana" w:eastAsia="Times New Roman" w:hAnsi="Verdana" w:cs="Times New Roman"/>
        </w:rPr>
        <w:t>mún</w:t>
      </w:r>
      <w:r w:rsidRPr="0062050D">
        <w:rPr>
          <w:rFonts w:ascii="Verdana" w:eastAsia="Times New Roman" w:hAnsi="Verdana" w:cs="Times New Roman"/>
        </w:rPr>
        <w:t xml:space="preserve"> de la expresión “exclusiv</w:t>
      </w:r>
      <w:r>
        <w:rPr>
          <w:rFonts w:ascii="Verdana" w:eastAsia="Times New Roman" w:hAnsi="Verdana" w:cs="Times New Roman"/>
        </w:rPr>
        <w:t>o</w:t>
      </w:r>
      <w:r w:rsidRPr="0062050D">
        <w:rPr>
          <w:rFonts w:ascii="Verdana" w:eastAsia="Times New Roman" w:hAnsi="Verdana" w:cs="Times New Roman"/>
        </w:rPr>
        <w:t>”,</w:t>
      </w:r>
      <w:r>
        <w:rPr>
          <w:rFonts w:ascii="Verdana" w:eastAsia="Times New Roman" w:hAnsi="Verdana" w:cs="Times New Roman"/>
        </w:rPr>
        <w:t xml:space="preserve"> la cual alude a “único, solo, excluyendo a cualquier otro</w:t>
      </w:r>
      <w:r>
        <w:rPr>
          <w:rStyle w:val="Refdenotaalpie"/>
          <w:rFonts w:ascii="Verdana" w:eastAsia="Times New Roman" w:hAnsi="Verdana" w:cs="Times New Roman"/>
        </w:rPr>
        <w:footnoteReference w:id="15"/>
      </w:r>
      <w:r>
        <w:rPr>
          <w:rFonts w:ascii="Verdana" w:eastAsia="Times New Roman" w:hAnsi="Verdana" w:cs="Times New Roman"/>
        </w:rPr>
        <w:t>”</w:t>
      </w:r>
      <w:r w:rsidRPr="0062050D">
        <w:rPr>
          <w:rFonts w:ascii="Verdana" w:eastAsia="Times New Roman" w:hAnsi="Verdana" w:cs="Times New Roman"/>
        </w:rPr>
        <w:t>. De es</w:t>
      </w:r>
      <w:r>
        <w:rPr>
          <w:rFonts w:ascii="Verdana" w:eastAsia="Times New Roman" w:hAnsi="Verdana" w:cs="Times New Roman"/>
        </w:rPr>
        <w:t>ta forma</w:t>
      </w:r>
      <w:r w:rsidRPr="0062050D">
        <w:rPr>
          <w:rFonts w:ascii="Verdana" w:eastAsia="Times New Roman" w:hAnsi="Verdana" w:cs="Times New Roman"/>
        </w:rPr>
        <w:t xml:space="preserve">, cuando la disposición exige un “contrato laboral con dedicación exclusiva”, el alcance razonable de la exigencia es que la persona con </w:t>
      </w:r>
      <w:r w:rsidRPr="0062050D">
        <w:rPr>
          <w:rFonts w:ascii="Verdana" w:eastAsia="Times New Roman" w:hAnsi="Verdana" w:cs="Times New Roman"/>
        </w:rPr>
        <w:lastRenderedPageBreak/>
        <w:t>discapacidad se encuentre vinculada exclusivamente al proponente</w:t>
      </w:r>
      <w:r>
        <w:rPr>
          <w:rFonts w:ascii="Verdana" w:eastAsia="Times New Roman" w:hAnsi="Verdana" w:cs="Times New Roman"/>
        </w:rPr>
        <w:t xml:space="preserve">, independientemente del tiempo establecido para la jornada laboral. </w:t>
      </w:r>
    </w:p>
    <w:p w14:paraId="490C4791" w14:textId="77777777" w:rsidR="003C5CF2" w:rsidRDefault="003C5CF2" w:rsidP="003C5CF2">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 xml:space="preserve">Adicionalmente, aunque el ordenamiento jurídico no </w:t>
      </w:r>
      <w:r>
        <w:rPr>
          <w:rFonts w:ascii="Verdana" w:eastAsia="Times New Roman" w:hAnsi="Verdana" w:cs="Times New Roman"/>
        </w:rPr>
        <w:t xml:space="preserve">contempla </w:t>
      </w:r>
      <w:r w:rsidRPr="0062050D">
        <w:rPr>
          <w:rFonts w:ascii="Verdana" w:eastAsia="Times New Roman" w:hAnsi="Verdana" w:cs="Times New Roman"/>
        </w:rPr>
        <w:t xml:space="preserve">una definición general y </w:t>
      </w:r>
      <w:r>
        <w:rPr>
          <w:rFonts w:ascii="Verdana" w:eastAsia="Times New Roman" w:hAnsi="Verdana" w:cs="Times New Roman"/>
        </w:rPr>
        <w:t>única</w:t>
      </w:r>
      <w:r w:rsidRPr="0062050D">
        <w:rPr>
          <w:rFonts w:ascii="Verdana" w:eastAsia="Times New Roman" w:hAnsi="Verdana" w:cs="Times New Roman"/>
        </w:rPr>
        <w:t xml:space="preserve"> de “dedicación exclusiva”, </w:t>
      </w:r>
      <w:r>
        <w:rPr>
          <w:rFonts w:ascii="Verdana" w:eastAsia="Times New Roman" w:hAnsi="Verdana" w:cs="Times New Roman"/>
        </w:rPr>
        <w:t xml:space="preserve">hay </w:t>
      </w:r>
      <w:r w:rsidRPr="0062050D">
        <w:rPr>
          <w:rFonts w:ascii="Verdana" w:eastAsia="Times New Roman" w:hAnsi="Verdana" w:cs="Times New Roman"/>
        </w:rPr>
        <w:t xml:space="preserve">desarrollos jurisprudenciales </w:t>
      </w:r>
      <w:r>
        <w:rPr>
          <w:rFonts w:ascii="Verdana" w:eastAsia="Times New Roman" w:hAnsi="Verdana" w:cs="Times New Roman"/>
        </w:rPr>
        <w:t xml:space="preserve">que </w:t>
      </w:r>
      <w:r w:rsidRPr="0062050D">
        <w:rPr>
          <w:rFonts w:ascii="Verdana" w:eastAsia="Times New Roman" w:hAnsi="Verdana" w:cs="Times New Roman"/>
        </w:rPr>
        <w:t xml:space="preserve">han empleado dicha expresión para referirse precisamente a la obligación de prestar servicios únicamente para un empleador o entidad. Así, por ejemplo, en la Sentencia C-819 de 2010, la Corte Constitucional de Colombia analizó </w:t>
      </w:r>
      <w:r>
        <w:rPr>
          <w:rFonts w:ascii="Verdana" w:eastAsia="Times New Roman" w:hAnsi="Verdana" w:cs="Times New Roman"/>
        </w:rPr>
        <w:t>la constitucionalidad de la Ley 1123 del 2007 “</w:t>
      </w:r>
      <w:r w:rsidRPr="00BA767E">
        <w:rPr>
          <w:rFonts w:ascii="Verdana" w:eastAsia="Times New Roman" w:hAnsi="Verdana" w:cs="Times New Roman"/>
        </w:rPr>
        <w:t>por la cual se establece el Código Disciplinario del Abogado”</w:t>
      </w:r>
      <w:r>
        <w:rPr>
          <w:rFonts w:ascii="Verdana" w:eastAsia="Times New Roman" w:hAnsi="Verdana" w:cs="Times New Roman"/>
        </w:rPr>
        <w:t>, destacando que “</w:t>
      </w:r>
      <w:r w:rsidRPr="00AA5352">
        <w:rPr>
          <w:rFonts w:ascii="Verdana" w:eastAsia="Times New Roman" w:hAnsi="Verdana" w:cs="Times New Roman"/>
        </w:rPr>
        <w:t xml:space="preserve">el propósito del numeral 1º del artículo 29 de la Ley 1123 de 2007 fue asegurar la </w:t>
      </w:r>
      <w:r w:rsidRPr="006F3513">
        <w:rPr>
          <w:rFonts w:ascii="Verdana" w:eastAsia="Times New Roman" w:hAnsi="Verdana" w:cs="Times New Roman"/>
          <w:i/>
          <w:iCs/>
        </w:rPr>
        <w:t>dedicación exclusiva</w:t>
      </w:r>
      <w:r w:rsidRPr="00AA5352">
        <w:rPr>
          <w:rFonts w:ascii="Verdana" w:eastAsia="Times New Roman" w:hAnsi="Verdana" w:cs="Times New Roman"/>
        </w:rPr>
        <w:t xml:space="preserve"> de los (las) servidores (as) públicos (as) al ejercicio de sus funciones y, en tal sentido, obtener una actuación eficaz y eficiente encaminada a garantizar la protección del interés general</w:t>
      </w:r>
      <w:r>
        <w:rPr>
          <w:rStyle w:val="Refdenotaalpie"/>
          <w:rFonts w:ascii="Verdana" w:eastAsia="Times New Roman" w:hAnsi="Verdana" w:cs="Times New Roman"/>
        </w:rPr>
        <w:footnoteReference w:id="16"/>
      </w:r>
      <w:r>
        <w:rPr>
          <w:rFonts w:ascii="Verdana" w:eastAsia="Times New Roman" w:hAnsi="Verdana" w:cs="Times New Roman"/>
        </w:rPr>
        <w:t>”</w:t>
      </w:r>
      <w:r w:rsidRPr="0062050D">
        <w:rPr>
          <w:rFonts w:ascii="Verdana" w:eastAsia="Times New Roman" w:hAnsi="Verdana" w:cs="Times New Roman"/>
        </w:rPr>
        <w:t xml:space="preserve">. </w:t>
      </w:r>
      <w:r>
        <w:rPr>
          <w:rFonts w:ascii="Verdana" w:eastAsia="Times New Roman" w:hAnsi="Verdana" w:cs="Times New Roman"/>
        </w:rPr>
        <w:t xml:space="preserve">Si bien </w:t>
      </w:r>
      <w:r w:rsidRPr="0062050D">
        <w:rPr>
          <w:rFonts w:ascii="Verdana" w:eastAsia="Times New Roman" w:hAnsi="Verdana" w:cs="Times New Roman"/>
        </w:rPr>
        <w:t>el contexto analizado por la Corte corresponde al empleo público, lo relevante para efectos interpretativos es que el concepto de “dedicación exclusiva” fue entendido como sinónimo de exclusividad en la prestación del servicio</w:t>
      </w:r>
      <w:r>
        <w:rPr>
          <w:rFonts w:ascii="Verdana" w:eastAsia="Times New Roman" w:hAnsi="Verdana" w:cs="Times New Roman"/>
        </w:rPr>
        <w:t xml:space="preserve"> de la función</w:t>
      </w:r>
      <w:r w:rsidRPr="0062050D">
        <w:rPr>
          <w:rFonts w:ascii="Verdana" w:eastAsia="Times New Roman" w:hAnsi="Verdana" w:cs="Times New Roman"/>
        </w:rPr>
        <w:t xml:space="preserve"> </w:t>
      </w:r>
      <w:r>
        <w:rPr>
          <w:rFonts w:ascii="Verdana" w:eastAsia="Times New Roman" w:hAnsi="Verdana" w:cs="Times New Roman"/>
        </w:rPr>
        <w:t xml:space="preserve">pública </w:t>
      </w:r>
      <w:r w:rsidRPr="0062050D">
        <w:rPr>
          <w:rFonts w:ascii="Verdana" w:eastAsia="Times New Roman" w:hAnsi="Verdana" w:cs="Times New Roman"/>
        </w:rPr>
        <w:t>frente a un solo empleador.</w:t>
      </w:r>
    </w:p>
    <w:p w14:paraId="7722559F" w14:textId="77777777" w:rsidR="003C5CF2" w:rsidRDefault="003C5CF2" w:rsidP="003C5CF2">
      <w:pPr>
        <w:spacing w:after="120" w:line="276" w:lineRule="auto"/>
        <w:ind w:firstLine="709"/>
        <w:jc w:val="both"/>
        <w:rPr>
          <w:rFonts w:ascii="Verdana" w:eastAsia="Times New Roman" w:hAnsi="Verdana" w:cs="Times New Roman"/>
        </w:rPr>
      </w:pPr>
      <w:r w:rsidRPr="0062050D">
        <w:rPr>
          <w:rFonts w:ascii="Verdana" w:eastAsia="Times New Roman" w:hAnsi="Verdana" w:cs="Times New Roman"/>
        </w:rPr>
        <w:t xml:space="preserve">En consecuencia, una interpretación sistemática y literal de la disposición permite concluir que el requisito de “dedicación exclusiva” se </w:t>
      </w:r>
      <w:r>
        <w:rPr>
          <w:rFonts w:ascii="Verdana" w:eastAsia="Times New Roman" w:hAnsi="Verdana" w:cs="Times New Roman"/>
        </w:rPr>
        <w:t xml:space="preserve">cumple </w:t>
      </w:r>
      <w:r w:rsidRPr="0062050D">
        <w:rPr>
          <w:rFonts w:ascii="Verdana" w:eastAsia="Times New Roman" w:hAnsi="Verdana" w:cs="Times New Roman"/>
        </w:rPr>
        <w:t>cuando la persona con discapacidad mantiene un vínculo laboral exclusivo con el proponente, independientemente de que la jornada pactada sea de tiempo completo o parcial, pues la norma no condicionó dicha exigencia a una intensidad horaria determinada sino a la naturaleza</w:t>
      </w:r>
      <w:r>
        <w:rPr>
          <w:rFonts w:ascii="Verdana" w:eastAsia="Times New Roman" w:hAnsi="Verdana" w:cs="Times New Roman"/>
        </w:rPr>
        <w:t xml:space="preserve"> a la dedicación</w:t>
      </w:r>
      <w:r w:rsidRPr="0062050D">
        <w:rPr>
          <w:rFonts w:ascii="Verdana" w:eastAsia="Times New Roman" w:hAnsi="Verdana" w:cs="Times New Roman"/>
        </w:rPr>
        <w:t xml:space="preserve"> exclusiva de</w:t>
      </w:r>
      <w:r>
        <w:rPr>
          <w:rFonts w:ascii="Verdana" w:eastAsia="Times New Roman" w:hAnsi="Verdana" w:cs="Times New Roman"/>
        </w:rPr>
        <w:t xml:space="preserve">l vínculo laboral, que se verificará  con el </w:t>
      </w:r>
      <w:r w:rsidRPr="00CC1F75">
        <w:rPr>
          <w:rFonts w:ascii="Verdana" w:eastAsia="Aptos" w:hAnsi="Verdana" w:cs="Times New Roman"/>
          <w:kern w:val="2"/>
          <w14:ligatures w14:val="standardContextual"/>
        </w:rPr>
        <w:t>contrato</w:t>
      </w:r>
      <w:r>
        <w:rPr>
          <w:rFonts w:ascii="Verdana" w:eastAsia="Aptos" w:hAnsi="Verdana" w:cs="Times New Roman"/>
          <w:kern w:val="2"/>
          <w14:ligatures w14:val="standardContextual"/>
        </w:rPr>
        <w:t xml:space="preserve"> </w:t>
      </w:r>
      <w:r w:rsidRPr="00CC1F75">
        <w:rPr>
          <w:rFonts w:ascii="Verdana" w:eastAsia="Aptos" w:hAnsi="Verdana" w:cs="Times New Roman"/>
          <w:kern w:val="2"/>
          <w14:ligatures w14:val="standardContextual"/>
        </w:rPr>
        <w:t>de trabajo o</w:t>
      </w:r>
      <w:r>
        <w:rPr>
          <w:rFonts w:ascii="Verdana" w:eastAsia="Aptos" w:hAnsi="Verdana" w:cs="Times New Roman"/>
          <w:kern w:val="2"/>
          <w14:ligatures w14:val="standardContextual"/>
        </w:rPr>
        <w:t xml:space="preserve"> la</w:t>
      </w:r>
      <w:r w:rsidRPr="00CC1F75">
        <w:rPr>
          <w:rFonts w:ascii="Verdana" w:eastAsia="Aptos" w:hAnsi="Verdana" w:cs="Times New Roman"/>
          <w:kern w:val="2"/>
          <w14:ligatures w14:val="standardContextual"/>
        </w:rPr>
        <w:t xml:space="preserve"> certificación laboral con las funciones</w:t>
      </w:r>
      <w:r>
        <w:rPr>
          <w:rFonts w:ascii="Verdana" w:eastAsia="Aptos" w:hAnsi="Verdana" w:cs="Times New Roman"/>
          <w:kern w:val="2"/>
          <w14:ligatures w14:val="standardContextual"/>
        </w:rPr>
        <w:t xml:space="preserve">. </w:t>
      </w:r>
    </w:p>
    <w:p w14:paraId="7B3BADB1" w14:textId="77777777" w:rsidR="003C5CF2" w:rsidRDefault="003C5CF2" w:rsidP="003C5CF2">
      <w:pPr>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Para efectos de la acreditación de la condición establecida en el numeral 2 del </w:t>
      </w:r>
      <w:r w:rsidRPr="007B01BA">
        <w:rPr>
          <w:rFonts w:ascii="Verdana" w:eastAsia="Times New Roman" w:hAnsi="Verdana" w:cs="Times New Roman"/>
        </w:rPr>
        <w:t>artículo 2.2.1.2.4.2.7.4</w:t>
      </w:r>
      <w:r>
        <w:rPr>
          <w:rFonts w:ascii="Verdana" w:eastAsia="Times New Roman" w:hAnsi="Verdana" w:cs="Times New Roman"/>
        </w:rPr>
        <w:t>, se establece que l</w:t>
      </w:r>
      <w:r w:rsidRPr="000237C0">
        <w:rPr>
          <w:rFonts w:ascii="Verdana" w:eastAsia="Times New Roman" w:hAnsi="Verdana" w:cs="Times New Roman"/>
        </w:rPr>
        <w:t xml:space="preserve">a verificación de estas condiciones se realizará por parte de las Entidades Estatales </w:t>
      </w:r>
      <w:r w:rsidRPr="00807681">
        <w:rPr>
          <w:rFonts w:ascii="Verdana" w:eastAsia="Times New Roman" w:hAnsi="Verdana" w:cs="Times New Roman"/>
        </w:rPr>
        <w:t>con base en los siguientes documentos</w:t>
      </w:r>
      <w:r w:rsidRPr="00CA1AF7">
        <w:rPr>
          <w:rFonts w:ascii="Verdana" w:eastAsia="Times New Roman" w:hAnsi="Verdana" w:cs="Times New Roman"/>
          <w:i/>
          <w:iCs/>
        </w:rPr>
        <w:t xml:space="preserve"> </w:t>
      </w:r>
      <w:r w:rsidRPr="000237C0">
        <w:rPr>
          <w:rFonts w:ascii="Verdana" w:eastAsia="Times New Roman" w:hAnsi="Verdana" w:cs="Times New Roman"/>
        </w:rPr>
        <w:t>que el proponente deberá aportar junta con su oferta, de manera física o digital:</w:t>
      </w:r>
    </w:p>
    <w:p w14:paraId="3B836619" w14:textId="77777777" w:rsidR="003C5CF2" w:rsidRPr="000237C0" w:rsidRDefault="003C5CF2" w:rsidP="003C5CF2">
      <w:pPr>
        <w:spacing w:after="0" w:line="276" w:lineRule="auto"/>
        <w:ind w:firstLine="709"/>
        <w:jc w:val="both"/>
        <w:rPr>
          <w:rFonts w:ascii="Verdana" w:eastAsia="Times New Roman" w:hAnsi="Verdana" w:cs="Times New Roman"/>
        </w:rPr>
      </w:pPr>
    </w:p>
    <w:p w14:paraId="3AF09E3B" w14:textId="77777777" w:rsidR="003C5CF2" w:rsidRDefault="003C5CF2" w:rsidP="003C5CF2">
      <w:pPr>
        <w:spacing w:after="0" w:line="240" w:lineRule="auto"/>
        <w:ind w:left="720" w:right="720"/>
        <w:jc w:val="both"/>
        <w:rPr>
          <w:rFonts w:ascii="Verdana" w:eastAsia="Times New Roman" w:hAnsi="Verdana" w:cs="Times New Roman"/>
          <w:sz w:val="20"/>
          <w:szCs w:val="20"/>
        </w:rPr>
      </w:pPr>
      <w:r w:rsidRPr="00EA4983">
        <w:rPr>
          <w:rFonts w:ascii="Verdana" w:eastAsia="Times New Roman" w:hAnsi="Verdana" w:cs="Times New Roman"/>
          <w:sz w:val="20"/>
          <w:szCs w:val="20"/>
        </w:rPr>
        <w:t xml:space="preserve">- Certificación expedida con una antelación no mayor a treinta (30) días calendario respecto a la fecha de presentación de la oferta, suscrita por el </w:t>
      </w:r>
      <w:r w:rsidRPr="00EA4983">
        <w:rPr>
          <w:rFonts w:ascii="Verdana" w:eastAsia="Times New Roman" w:hAnsi="Verdana" w:cs="Times New Roman"/>
          <w:sz w:val="20"/>
          <w:szCs w:val="20"/>
        </w:rPr>
        <w:lastRenderedPageBreak/>
        <w:t xml:space="preserve">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w:t>
      </w:r>
    </w:p>
    <w:p w14:paraId="3BF30C69" w14:textId="77777777" w:rsidR="003C5CF2" w:rsidRDefault="003C5CF2" w:rsidP="003C5CF2">
      <w:pPr>
        <w:spacing w:after="0" w:line="240" w:lineRule="auto"/>
        <w:ind w:left="720" w:right="720"/>
        <w:jc w:val="both"/>
        <w:rPr>
          <w:rFonts w:ascii="Verdana" w:eastAsia="Times New Roman" w:hAnsi="Verdana" w:cs="Times New Roman"/>
          <w:sz w:val="20"/>
          <w:szCs w:val="20"/>
        </w:rPr>
      </w:pPr>
    </w:p>
    <w:p w14:paraId="762FDCDA" w14:textId="77777777" w:rsidR="003C5CF2" w:rsidRDefault="003C5CF2" w:rsidP="003C5CF2">
      <w:pPr>
        <w:spacing w:after="0" w:line="240" w:lineRule="auto"/>
        <w:ind w:left="720" w:right="720"/>
        <w:jc w:val="both"/>
        <w:rPr>
          <w:rFonts w:ascii="Verdana" w:eastAsia="Times New Roman" w:hAnsi="Verdana" w:cs="Times New Roman"/>
          <w:sz w:val="20"/>
          <w:szCs w:val="20"/>
        </w:rPr>
      </w:pPr>
      <w:r>
        <w:rPr>
          <w:rFonts w:ascii="Verdana" w:eastAsia="Times New Roman" w:hAnsi="Verdana" w:cs="Times New Roman"/>
          <w:sz w:val="20"/>
          <w:szCs w:val="20"/>
        </w:rPr>
        <w:t>-</w:t>
      </w:r>
      <w:r w:rsidRPr="00EA4983">
        <w:rPr>
          <w:rFonts w:ascii="Verdana" w:eastAsia="Times New Roman" w:hAnsi="Verdana" w:cs="Times New Roman"/>
          <w:sz w:val="20"/>
          <w:szCs w:val="20"/>
        </w:rPr>
        <w:t>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p>
    <w:p w14:paraId="253886B1" w14:textId="77777777" w:rsidR="003C5CF2" w:rsidRPr="00EA4983" w:rsidRDefault="003C5CF2" w:rsidP="003C5CF2">
      <w:pPr>
        <w:spacing w:after="0" w:line="240" w:lineRule="auto"/>
        <w:ind w:left="720" w:right="720"/>
        <w:jc w:val="both"/>
        <w:rPr>
          <w:rFonts w:ascii="Verdana" w:eastAsia="Times New Roman" w:hAnsi="Verdana" w:cs="Times New Roman"/>
          <w:sz w:val="20"/>
          <w:szCs w:val="20"/>
        </w:rPr>
      </w:pPr>
    </w:p>
    <w:p w14:paraId="0493F292" w14:textId="77777777" w:rsidR="003C5CF2" w:rsidRDefault="003C5CF2" w:rsidP="003C5CF2">
      <w:pPr>
        <w:spacing w:after="0" w:line="240" w:lineRule="auto"/>
        <w:ind w:left="720" w:right="720"/>
        <w:jc w:val="both"/>
        <w:rPr>
          <w:rFonts w:ascii="Verdana" w:eastAsia="Times New Roman" w:hAnsi="Verdana" w:cs="Times New Roman"/>
          <w:sz w:val="20"/>
          <w:szCs w:val="20"/>
        </w:rPr>
      </w:pPr>
      <w:r w:rsidRPr="00EA4983">
        <w:rPr>
          <w:rFonts w:ascii="Verdana" w:eastAsia="Times New Roman" w:hAnsi="Verdana" w:cs="Times New Roman"/>
          <w:sz w:val="20"/>
          <w:szCs w:val="20"/>
        </w:rPr>
        <w:t>- También, esta verificación se hará con el certificado que para el efecto expide el Ministerio de Trabajo y la entidad estatal contratante verificará la vigencia de dicha certificación, de conformidad con la normativa aplicable.</w:t>
      </w:r>
    </w:p>
    <w:p w14:paraId="3ACD7C58" w14:textId="77777777" w:rsidR="003C5CF2" w:rsidRPr="00EA4983" w:rsidRDefault="003C5CF2" w:rsidP="003C5CF2">
      <w:pPr>
        <w:spacing w:after="0" w:line="240" w:lineRule="auto"/>
        <w:ind w:left="720" w:right="720"/>
        <w:jc w:val="both"/>
        <w:rPr>
          <w:rFonts w:ascii="Verdana" w:eastAsia="Times New Roman" w:hAnsi="Verdana" w:cs="Times New Roman"/>
          <w:sz w:val="20"/>
          <w:szCs w:val="20"/>
        </w:rPr>
      </w:pPr>
    </w:p>
    <w:p w14:paraId="7828035F" w14:textId="77777777" w:rsidR="003C5CF2" w:rsidRDefault="003C5CF2" w:rsidP="003C5CF2">
      <w:pPr>
        <w:widowControl w:val="0"/>
        <w:autoSpaceDE w:val="0"/>
        <w:autoSpaceDN w:val="0"/>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 Como se evidencia, el proponente deberá presentar: i) la c</w:t>
      </w:r>
      <w:r w:rsidRPr="00196708">
        <w:rPr>
          <w:rFonts w:ascii="Verdana" w:eastAsia="Times New Roman" w:hAnsi="Verdana" w:cs="Times New Roman"/>
        </w:rPr>
        <w:t>ertificación</w:t>
      </w:r>
      <w:r>
        <w:rPr>
          <w:rFonts w:ascii="Verdana" w:eastAsia="Times New Roman" w:hAnsi="Verdana" w:cs="Times New Roman"/>
        </w:rPr>
        <w:t xml:space="preserve"> </w:t>
      </w:r>
      <w:r w:rsidRPr="00196708">
        <w:rPr>
          <w:rFonts w:ascii="Verdana" w:eastAsia="Times New Roman" w:hAnsi="Verdana" w:cs="Times New Roman"/>
        </w:rPr>
        <w:t>suscrita por el representante legal del proponente y el revisor fiscal, cuando exista, o el contador, en la que conste el número de personas con discapacidad que conforman su planta de persona</w:t>
      </w:r>
      <w:r>
        <w:rPr>
          <w:rFonts w:ascii="Verdana" w:eastAsia="Times New Roman" w:hAnsi="Verdana" w:cs="Times New Roman"/>
        </w:rPr>
        <w:t xml:space="preserve">l que </w:t>
      </w:r>
      <w:r w:rsidRPr="000B7AC4">
        <w:rPr>
          <w:rFonts w:ascii="Verdana" w:eastAsia="Times New Roman" w:hAnsi="Verdana" w:cs="Times New Roman"/>
        </w:rPr>
        <w:t>deberá relacionar el nombre completo y el número de documento de identidad de cada una de las personas con discapacidad.</w:t>
      </w:r>
      <w:r>
        <w:rPr>
          <w:rFonts w:ascii="Verdana" w:eastAsia="Aptos" w:hAnsi="Verdana" w:cs="Times New Roman"/>
          <w:kern w:val="2"/>
          <w14:ligatures w14:val="standardContextual"/>
        </w:rPr>
        <w:t xml:space="preserve"> </w:t>
      </w:r>
      <w:r w:rsidRPr="008D0137">
        <w:rPr>
          <w:rFonts w:ascii="Verdana" w:eastAsia="Aptos" w:hAnsi="Verdana" w:cs="Times New Roman"/>
          <w:kern w:val="2"/>
          <w14:ligatures w14:val="standardContextual"/>
        </w:rPr>
        <w:t xml:space="preserve">Dicho documento además debe relacionar </w:t>
      </w:r>
      <w:r w:rsidRPr="00CC1F75">
        <w:rPr>
          <w:rFonts w:ascii="Verdana" w:eastAsia="Aptos" w:hAnsi="Verdana" w:cs="Times New Roman"/>
          <w:kern w:val="2"/>
          <w14:ligatures w14:val="standardContextual"/>
        </w:rPr>
        <w:t>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de discapacidad expedido conforme a la normativa vigente del Ministerio de Salud y Protección Social</w:t>
      </w:r>
      <w:r>
        <w:rPr>
          <w:rFonts w:ascii="Verdana" w:eastAsia="Aptos" w:hAnsi="Verdana" w:cs="Times New Roman"/>
          <w:kern w:val="2"/>
          <w14:ligatures w14:val="standardContextual"/>
        </w:rPr>
        <w:t xml:space="preserve">. </w:t>
      </w:r>
      <w:r>
        <w:rPr>
          <w:rFonts w:ascii="Verdana" w:eastAsia="Times New Roman" w:hAnsi="Verdana" w:cs="Times New Roman"/>
        </w:rPr>
        <w:t xml:space="preserve">Y </w:t>
      </w:r>
      <w:proofErr w:type="spellStart"/>
      <w:r>
        <w:rPr>
          <w:rFonts w:ascii="Verdana" w:eastAsia="Times New Roman" w:hAnsi="Verdana" w:cs="Times New Roman"/>
        </w:rPr>
        <w:t>ii</w:t>
      </w:r>
      <w:proofErr w:type="spellEnd"/>
      <w:r>
        <w:rPr>
          <w:rFonts w:ascii="Verdana" w:eastAsia="Times New Roman" w:hAnsi="Verdana" w:cs="Times New Roman"/>
        </w:rPr>
        <w:t>) e</w:t>
      </w:r>
      <w:r w:rsidRPr="007B01BA">
        <w:rPr>
          <w:rFonts w:ascii="Verdana" w:eastAsia="Times New Roman" w:hAnsi="Verdana" w:cs="Times New Roman"/>
        </w:rPr>
        <w:t xml:space="preserve">l certificado </w:t>
      </w:r>
      <w:r>
        <w:rPr>
          <w:rFonts w:ascii="Verdana" w:eastAsia="Times New Roman" w:hAnsi="Verdana" w:cs="Times New Roman"/>
        </w:rPr>
        <w:t xml:space="preserve">que para el efecto expide </w:t>
      </w:r>
      <w:r w:rsidRPr="007B01BA">
        <w:rPr>
          <w:rFonts w:ascii="Verdana" w:eastAsia="Times New Roman" w:hAnsi="Verdana" w:cs="Times New Roman"/>
        </w:rPr>
        <w:t>el Ministerio del Trabajo</w:t>
      </w:r>
      <w:r>
        <w:rPr>
          <w:rFonts w:ascii="Verdana" w:eastAsia="Times New Roman" w:hAnsi="Verdana" w:cs="Times New Roman"/>
        </w:rPr>
        <w:t xml:space="preserve">, cuya vigencia deberá ser verificada por la entidad estatal, conforme a la normativa aplicable. </w:t>
      </w:r>
    </w:p>
    <w:p w14:paraId="321657B0" w14:textId="77777777" w:rsidR="003C5CF2" w:rsidRPr="000339E5" w:rsidRDefault="003C5CF2" w:rsidP="003C5CF2">
      <w:pPr>
        <w:widowControl w:val="0"/>
        <w:autoSpaceDE w:val="0"/>
        <w:autoSpaceDN w:val="0"/>
        <w:spacing w:after="120" w:line="276" w:lineRule="auto"/>
        <w:ind w:firstLine="708"/>
        <w:jc w:val="both"/>
        <w:rPr>
          <w:rFonts w:ascii="Verdana" w:eastAsia="Times New Roman" w:hAnsi="Verdana" w:cs="Times New Roman"/>
        </w:rPr>
      </w:pPr>
      <w:r>
        <w:rPr>
          <w:rFonts w:ascii="Verdana" w:eastAsia="Times New Roman" w:hAnsi="Verdana" w:cs="Times New Roman"/>
        </w:rPr>
        <w:t>Respecto de este último documento debe precisarse que la norma no determina su presentación como facultativa o alternativa de los demás soportes exigidos, sino como un requisito adicional y obligatorio para acceder al puntaje referido. En efecto, el numeral 2 señala expresamente que l</w:t>
      </w:r>
      <w:r w:rsidRPr="000237C0">
        <w:rPr>
          <w:rFonts w:ascii="Verdana" w:eastAsia="Times New Roman" w:hAnsi="Verdana" w:cs="Times New Roman"/>
        </w:rPr>
        <w:t xml:space="preserve">a verificación de estas condiciones se realizará por parte de las Entidades Estatales </w:t>
      </w:r>
      <w:r w:rsidRPr="00807681">
        <w:rPr>
          <w:rFonts w:ascii="Verdana" w:eastAsia="Times New Roman" w:hAnsi="Verdana" w:cs="Times New Roman"/>
        </w:rPr>
        <w:t xml:space="preserve">con base </w:t>
      </w:r>
      <w:r w:rsidRPr="00690DB6">
        <w:rPr>
          <w:rFonts w:ascii="Verdana" w:eastAsia="Times New Roman" w:hAnsi="Verdana" w:cs="Times New Roman"/>
        </w:rPr>
        <w:t xml:space="preserve">en </w:t>
      </w:r>
      <w:r>
        <w:rPr>
          <w:rFonts w:ascii="Verdana" w:eastAsia="Times New Roman" w:hAnsi="Verdana" w:cs="Times New Roman"/>
          <w:i/>
          <w:iCs/>
        </w:rPr>
        <w:t>“</w:t>
      </w:r>
      <w:r w:rsidRPr="000339E5">
        <w:rPr>
          <w:rFonts w:ascii="Verdana" w:eastAsia="Times New Roman" w:hAnsi="Verdana" w:cs="Times New Roman"/>
          <w:i/>
          <w:iCs/>
        </w:rPr>
        <w:t>los siguientes documentos</w:t>
      </w:r>
      <w:r>
        <w:rPr>
          <w:rFonts w:ascii="Verdana" w:eastAsia="Times New Roman" w:hAnsi="Verdana" w:cs="Times New Roman"/>
          <w:i/>
          <w:iCs/>
        </w:rPr>
        <w:t xml:space="preserve">” </w:t>
      </w:r>
      <w:r w:rsidRPr="009E136B">
        <w:rPr>
          <w:rFonts w:ascii="Verdana" w:eastAsia="Times New Roman" w:hAnsi="Verdana" w:cs="Times New Roman"/>
        </w:rPr>
        <w:t xml:space="preserve">incluyendo </w:t>
      </w:r>
      <w:r>
        <w:rPr>
          <w:rFonts w:ascii="Verdana" w:eastAsia="Times New Roman" w:hAnsi="Verdana" w:cs="Times New Roman"/>
        </w:rPr>
        <w:t xml:space="preserve">dentro de esta enunciación </w:t>
      </w:r>
      <w:r w:rsidRPr="009E136B">
        <w:rPr>
          <w:rFonts w:ascii="Verdana" w:eastAsia="Times New Roman" w:hAnsi="Verdana" w:cs="Times New Roman"/>
        </w:rPr>
        <w:t xml:space="preserve">al certificado </w:t>
      </w:r>
      <w:r w:rsidRPr="009E136B">
        <w:rPr>
          <w:rFonts w:ascii="Verdana" w:eastAsia="Times New Roman" w:hAnsi="Verdana" w:cs="Times New Roman"/>
        </w:rPr>
        <w:lastRenderedPageBreak/>
        <w:t>expedido por el Ministerio de Trabajo</w:t>
      </w:r>
      <w:r>
        <w:rPr>
          <w:rFonts w:ascii="Verdana" w:eastAsia="Times New Roman" w:hAnsi="Verdana" w:cs="Times New Roman"/>
        </w:rPr>
        <w:t>.</w:t>
      </w:r>
      <w:r w:rsidRPr="00A4000E">
        <w:t xml:space="preserve"> </w:t>
      </w:r>
      <w:r>
        <w:rPr>
          <w:rFonts w:ascii="Verdana" w:eastAsia="Times New Roman" w:hAnsi="Verdana" w:cs="Times New Roman"/>
        </w:rPr>
        <w:t>E</w:t>
      </w:r>
      <w:r w:rsidRPr="00A4000E">
        <w:rPr>
          <w:rFonts w:ascii="Verdana" w:eastAsia="Times New Roman" w:hAnsi="Verdana" w:cs="Times New Roman"/>
        </w:rPr>
        <w:t xml:space="preserve">sta expresión evidencia que el reglamento no concibió los documentos como opciones excluyentes entre sí, de manera que el proponente pudiera acreditar la condición con uno u otro soporte indistintamente. Por el contrario, </w:t>
      </w:r>
      <w:r>
        <w:rPr>
          <w:rFonts w:ascii="Verdana" w:eastAsia="Times New Roman" w:hAnsi="Verdana" w:cs="Times New Roman"/>
        </w:rPr>
        <w:t xml:space="preserve">de </w:t>
      </w:r>
      <w:r w:rsidRPr="00A4000E">
        <w:rPr>
          <w:rFonts w:ascii="Verdana" w:eastAsia="Times New Roman" w:hAnsi="Verdana" w:cs="Times New Roman"/>
        </w:rPr>
        <w:t xml:space="preserve">la redacción de la norma </w:t>
      </w:r>
      <w:r>
        <w:rPr>
          <w:rFonts w:ascii="Verdana" w:eastAsia="Times New Roman" w:hAnsi="Verdana" w:cs="Times New Roman"/>
        </w:rPr>
        <w:t xml:space="preserve">se entiende que estos documentos deben acreditarse en conjunto, </w:t>
      </w:r>
      <w:r w:rsidRPr="00A4000E">
        <w:rPr>
          <w:rFonts w:ascii="Verdana" w:eastAsia="Times New Roman" w:hAnsi="Verdana" w:cs="Times New Roman"/>
        </w:rPr>
        <w:t>en tanto constituyen los medios de acreditación definidos por la disposición para verificar el cumplimiento de las condiciones requeridas.</w:t>
      </w:r>
    </w:p>
    <w:p w14:paraId="1E2EBE4D" w14:textId="77777777" w:rsidR="003C5CF2" w:rsidRDefault="003C5CF2" w:rsidP="003C5CF2">
      <w:pPr>
        <w:widowControl w:val="0"/>
        <w:autoSpaceDE w:val="0"/>
        <w:autoSpaceDN w:val="0"/>
        <w:spacing w:after="120" w:line="276" w:lineRule="auto"/>
        <w:ind w:firstLine="708"/>
        <w:jc w:val="both"/>
        <w:rPr>
          <w:rFonts w:ascii="Verdana" w:eastAsia="Times New Roman" w:hAnsi="Verdana" w:cs="Times New Roman"/>
          <w:i/>
          <w:iCs/>
        </w:rPr>
      </w:pPr>
      <w:r>
        <w:rPr>
          <w:rFonts w:ascii="Verdana" w:eastAsia="Times New Roman" w:hAnsi="Verdana" w:cs="Times New Roman"/>
        </w:rPr>
        <w:t>Lo anterior es congruente con lo dispuesto en la parte considerativa del Decreto 287 de 2026, que señala que “</w:t>
      </w:r>
      <w:r w:rsidRPr="00555EA5">
        <w:rPr>
          <w:rFonts w:ascii="Verdana" w:eastAsia="Times New Roman" w:hAnsi="Verdana" w:cs="Times New Roman"/>
        </w:rPr>
        <w:t xml:space="preserve">en aras de garantizar los derechos y garantías laborales de las personas con discapacidad, para acceder a los incentivos establecidos en el presente proyecto de decreto se </w:t>
      </w:r>
      <w:r w:rsidRPr="006F5EF2">
        <w:rPr>
          <w:rFonts w:ascii="Verdana" w:eastAsia="Times New Roman" w:hAnsi="Verdana" w:cs="Times New Roman"/>
          <w:i/>
          <w:iCs/>
        </w:rPr>
        <w:t>mantendrá el Certificado a los Empleadores que contraten personas con discapacidad que expide el Ministerio del Trabajo”</w:t>
      </w:r>
      <w:r>
        <w:rPr>
          <w:rFonts w:ascii="Verdana" w:eastAsia="Times New Roman" w:hAnsi="Verdana" w:cs="Times New Roman"/>
          <w:i/>
          <w:iCs/>
        </w:rPr>
        <w:t xml:space="preserve">. </w:t>
      </w:r>
    </w:p>
    <w:p w14:paraId="02474EC4" w14:textId="77777777" w:rsidR="003C5CF2" w:rsidRDefault="003C5CF2" w:rsidP="003C5CF2">
      <w:pPr>
        <w:widowControl w:val="0"/>
        <w:autoSpaceDE w:val="0"/>
        <w:autoSpaceDN w:val="0"/>
        <w:spacing w:after="120" w:line="276" w:lineRule="auto"/>
        <w:ind w:firstLine="708"/>
        <w:jc w:val="both"/>
        <w:rPr>
          <w:rFonts w:ascii="Verdana" w:eastAsia="Times New Roman" w:hAnsi="Verdana" w:cs="Times New Roman"/>
        </w:rPr>
      </w:pPr>
      <w:r>
        <w:rPr>
          <w:rFonts w:ascii="Verdana" w:eastAsia="Times New Roman" w:hAnsi="Verdana" w:cs="Times New Roman"/>
        </w:rPr>
        <w:t xml:space="preserve">En consecuencia, para acceder al puntaje adicional del 2% el proponente deberá aportar de manera conjunta, el certificado </w:t>
      </w:r>
      <w:r w:rsidRPr="00CC1F75">
        <w:rPr>
          <w:rFonts w:ascii="Verdana" w:eastAsia="Aptos" w:hAnsi="Verdana" w:cs="Times New Roman"/>
          <w:kern w:val="2"/>
          <w14:ligatures w14:val="standardContextual"/>
        </w:rPr>
        <w:t>de discapacidad expedido conforme a la normativa vigente del Ministerio de Salud y Protección Socia</w:t>
      </w:r>
      <w:r>
        <w:rPr>
          <w:rFonts w:ascii="Verdana" w:eastAsia="Aptos" w:hAnsi="Verdana" w:cs="Times New Roman"/>
          <w:kern w:val="2"/>
          <w14:ligatures w14:val="standardContextual"/>
        </w:rPr>
        <w:t xml:space="preserve">l, el certificado expedido por el Ministerio de Trabajo y los demás documentos previstos en el </w:t>
      </w:r>
      <w:r w:rsidRPr="008433AE">
        <w:rPr>
          <w:rFonts w:ascii="Verdana" w:eastAsia="Times New Roman" w:hAnsi="Verdana" w:cs="Times New Roman"/>
        </w:rPr>
        <w:t xml:space="preserve">artículo </w:t>
      </w:r>
      <w:r w:rsidRPr="007B01BA">
        <w:rPr>
          <w:rFonts w:ascii="Verdana" w:eastAsia="Times New Roman" w:hAnsi="Verdana" w:cs="Times New Roman"/>
        </w:rPr>
        <w:t>2.2.1.2.4.2.7.4</w:t>
      </w:r>
      <w:r>
        <w:rPr>
          <w:rFonts w:ascii="Verdana" w:eastAsia="Times New Roman" w:hAnsi="Verdana" w:cs="Times New Roman"/>
        </w:rPr>
        <w:t xml:space="preserve">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8D12DD">
        <w:rPr>
          <w:rFonts w:ascii="Verdana" w:eastAsia="Times New Roman" w:hAnsi="Verdana" w:cs="Times New Roman"/>
        </w:rPr>
        <w:t xml:space="preserve">De esta manera, la omisión en la presentación de cualquiera de dichos documentos </w:t>
      </w:r>
      <w:r>
        <w:rPr>
          <w:rFonts w:ascii="Verdana" w:eastAsia="Times New Roman" w:hAnsi="Verdana" w:cs="Times New Roman"/>
        </w:rPr>
        <w:t xml:space="preserve">para el cierre del proceso </w:t>
      </w:r>
      <w:r w:rsidRPr="008D12DD">
        <w:rPr>
          <w:rFonts w:ascii="Verdana" w:eastAsia="Times New Roman" w:hAnsi="Verdana" w:cs="Times New Roman"/>
        </w:rPr>
        <w:t>da lugar a que el proponente no sea acreedor del puntaje adicional previsto en la norma</w:t>
      </w:r>
      <w:r>
        <w:rPr>
          <w:rFonts w:ascii="Verdana" w:eastAsia="Times New Roman" w:hAnsi="Verdana" w:cs="Times New Roman"/>
        </w:rPr>
        <w:t xml:space="preserve">. </w:t>
      </w:r>
    </w:p>
    <w:p w14:paraId="04A570ED" w14:textId="77777777" w:rsidR="003C5CF2" w:rsidRPr="00EC6602" w:rsidRDefault="003C5CF2" w:rsidP="003C5CF2">
      <w:pPr>
        <w:spacing w:after="120" w:line="276" w:lineRule="auto"/>
        <w:ind w:firstLine="709"/>
        <w:jc w:val="both"/>
        <w:rPr>
          <w:rFonts w:ascii="Verdana" w:hAnsi="Verdana"/>
          <w:sz w:val="20"/>
          <w:szCs w:val="20"/>
        </w:rPr>
      </w:pPr>
      <w:r>
        <w:rPr>
          <w:rFonts w:ascii="Verdana" w:eastAsia="Times New Roman" w:hAnsi="Verdana" w:cs="Times New Roman"/>
        </w:rPr>
        <w:t xml:space="preserve">Ahora bien, de acuerdo con la consulta planteada, es pertinente resaltar que </w:t>
      </w:r>
      <w:r w:rsidRPr="00D22B7C">
        <w:rPr>
          <w:rFonts w:ascii="Verdana" w:eastAsia="Times New Roman" w:hAnsi="Verdana" w:cs="Times New Roman"/>
        </w:rPr>
        <w:t xml:space="preserve">el </w:t>
      </w:r>
      <w:r>
        <w:rPr>
          <w:rFonts w:ascii="Verdana" w:eastAsia="Times New Roman" w:hAnsi="Verdana" w:cs="Times New Roman"/>
        </w:rPr>
        <w:t xml:space="preserve">artículo </w:t>
      </w:r>
      <w:r w:rsidRPr="001B3C5D">
        <w:rPr>
          <w:rFonts w:ascii="Verdana" w:eastAsia="Aptos" w:hAnsi="Verdana" w:cs="Times New Roman"/>
          <w:kern w:val="2"/>
          <w14:ligatures w14:val="standardContextual"/>
        </w:rPr>
        <w:t xml:space="preserve">2.1.2.4.2.7.4 </w:t>
      </w:r>
      <w:r w:rsidRPr="008433AE">
        <w:rPr>
          <w:rFonts w:ascii="Verdana" w:eastAsia="Times New Roman" w:hAnsi="Verdana" w:cs="Times New Roman"/>
        </w:rPr>
        <w:t>del Decreto 287 de 2026</w:t>
      </w:r>
      <w:r>
        <w:rPr>
          <w:rFonts w:ascii="Verdana" w:eastAsia="Times New Roman" w:hAnsi="Verdana" w:cs="Times New Roman"/>
        </w:rPr>
        <w:t xml:space="preserve">, </w:t>
      </w:r>
      <w:r w:rsidRPr="00D22B7C">
        <w:rPr>
          <w:rFonts w:ascii="Verdana" w:eastAsia="Times New Roman" w:hAnsi="Verdana" w:cs="Times New Roman"/>
        </w:rPr>
        <w:t>exige</w:t>
      </w:r>
      <w:r>
        <w:rPr>
          <w:rFonts w:ascii="Verdana" w:eastAsia="Times New Roman" w:hAnsi="Verdana" w:cs="Times New Roman"/>
        </w:rPr>
        <w:t xml:space="preserve"> dentro de la documentación para verificar la condición de empleador de personas con discapacidad, </w:t>
      </w:r>
      <w:r w:rsidRPr="00D22B7C">
        <w:rPr>
          <w:rFonts w:ascii="Verdana" w:eastAsia="Times New Roman" w:hAnsi="Verdana" w:cs="Times New Roman"/>
        </w:rPr>
        <w:t xml:space="preserve">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Pr>
          <w:rFonts w:ascii="Verdana" w:eastAsia="Times New Roman" w:hAnsi="Verdana" w:cs="Times New Roman"/>
        </w:rPr>
        <w:t xml:space="preserve">, </w:t>
      </w:r>
      <w:r w:rsidRPr="008B7091">
        <w:rPr>
          <w:rFonts w:ascii="Verdana" w:eastAsia="Times New Roman" w:hAnsi="Verdana" w:cs="Times New Roman"/>
        </w:rPr>
        <w:t>en el que se demuestren los pagos realizados por el empleador</w:t>
      </w:r>
      <w:r w:rsidRPr="00D22B7C">
        <w:rPr>
          <w:rFonts w:ascii="Verdana" w:eastAsia="Times New Roman" w:hAnsi="Verdana" w:cs="Times New Roman"/>
        </w:rPr>
        <w:t xml:space="preserve">. La razón de este requisito es garantizar que la vinculación sea real, estable y verificable, y no meramente instrumental para un proceso contractual específico. </w:t>
      </w:r>
    </w:p>
    <w:p w14:paraId="59E9DEA8" w14:textId="77777777" w:rsidR="003C5CF2" w:rsidRDefault="003C5CF2" w:rsidP="003C5CF2">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w:t>
      </w:r>
      <w:r w:rsidRPr="00D22B7C">
        <w:rPr>
          <w:rFonts w:ascii="Verdana" w:eastAsia="Times New Roman" w:hAnsi="Verdana" w:cs="Times New Roman"/>
        </w:rPr>
        <w:lastRenderedPageBreak/>
        <w:t xml:space="preserve">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7C0FCA74" w14:textId="77777777" w:rsidR="003C5CF2" w:rsidRDefault="003C5CF2" w:rsidP="003C5CF2">
      <w:pPr>
        <w:spacing w:after="120" w:line="276" w:lineRule="auto"/>
        <w:ind w:firstLine="708"/>
        <w:jc w:val="both"/>
        <w:rPr>
          <w:rFonts w:ascii="Verdana" w:eastAsia="Times New Roman" w:hAnsi="Verdana" w:cs="Times New Roman"/>
          <w:lang w:val="es-ES"/>
        </w:rPr>
      </w:pPr>
      <w:r>
        <w:rPr>
          <w:rFonts w:ascii="Verdana" w:eastAsia="Times New Roman" w:hAnsi="Verdana" w:cs="Times New Roman"/>
        </w:rPr>
        <w:t xml:space="preserve">Por consiguiente, no se está generando una barrera de entrada que pueda </w:t>
      </w:r>
      <w:r w:rsidRPr="00F656FA">
        <w:rPr>
          <w:rFonts w:ascii="Verdana" w:eastAsia="Times New Roman" w:hAnsi="Verdana" w:cs="Times New Roman"/>
        </w:rPr>
        <w:t>reducir la competencia en los procesos que apliquen el puntaje</w:t>
      </w:r>
      <w:r>
        <w:rPr>
          <w:rFonts w:ascii="Verdana" w:eastAsia="Times New Roman" w:hAnsi="Verdana" w:cs="Times New Roman"/>
        </w:rPr>
        <w:t xml:space="preserve">, ya que al tratarse de un requisito que otorga puntaje no determina la participación de los proponentes al proceso de contratación. Como se explicó en la memoria justificativa </w:t>
      </w:r>
      <w:r>
        <w:rPr>
          <w:rFonts w:ascii="Verdana" w:eastAsia="Times New Roman" w:hAnsi="Verdana" w:cs="Times New Roman"/>
          <w:lang w:val="es-ES"/>
        </w:rPr>
        <w:t>“</w:t>
      </w:r>
      <w:r w:rsidRPr="00212451">
        <w:rPr>
          <w:rFonts w:ascii="Verdana" w:eastAsia="Times New Roman" w:hAnsi="Verdana" w:cs="Times New Roman"/>
          <w:lang w:val="es-ES"/>
        </w:rPr>
        <w:t>la vinculación de Personas con Discapacidad constituye un criterio estrictamente opcional dentro del esquema de evaluación, al igual que otros factores de puntaje diferencial, como el enfoque MIPYME o el de empresas lideradas por mujeres, cuya aplicación depende de la decisión estratégica del proponente frente a su capacidad de generar valor agregado en la oferta. En tal sentido, este criterio no configura una obligación general para todos los participantes del mercado, sino un incentivo voluntario que amplía alternativas competitivas sin imponer cargas desproporcionadas ni afectar la libre concurrencia y competencia</w:t>
      </w:r>
      <w:r>
        <w:rPr>
          <w:rStyle w:val="Refdenotaalpie"/>
          <w:rFonts w:ascii="Verdana" w:eastAsia="Times New Roman" w:hAnsi="Verdana" w:cs="Times New Roman"/>
          <w:lang w:val="es-ES"/>
        </w:rPr>
        <w:footnoteReference w:id="17"/>
      </w:r>
      <w:r>
        <w:rPr>
          <w:rFonts w:ascii="Verdana" w:eastAsia="Times New Roman" w:hAnsi="Verdana" w:cs="Times New Roman"/>
          <w:lang w:val="es-ES"/>
        </w:rPr>
        <w:t>”</w:t>
      </w:r>
      <w:r w:rsidRPr="00212451">
        <w:rPr>
          <w:rFonts w:ascii="Verdana" w:eastAsia="Times New Roman" w:hAnsi="Verdana" w:cs="Times New Roman"/>
          <w:lang w:val="es-ES"/>
        </w:rPr>
        <w:t>.</w:t>
      </w:r>
    </w:p>
    <w:p w14:paraId="04D6C998" w14:textId="77777777" w:rsidR="003C5CF2" w:rsidRDefault="003C5CF2" w:rsidP="003C5CF2">
      <w:pPr>
        <w:spacing w:after="120" w:line="276" w:lineRule="auto"/>
        <w:ind w:firstLine="708"/>
        <w:jc w:val="both"/>
        <w:rPr>
          <w:rFonts w:ascii="Verdana" w:eastAsia="Times New Roman" w:hAnsi="Verdana" w:cs="Times New Roman"/>
        </w:rPr>
      </w:pPr>
      <w:r>
        <w:rPr>
          <w:rFonts w:ascii="Verdana" w:eastAsia="Times New Roman" w:hAnsi="Verdana" w:cs="Times New Roman"/>
          <w:lang w:val="es-ES"/>
        </w:rPr>
        <w:t>Vale aclarar que</w:t>
      </w:r>
      <w:r w:rsidRPr="009046D2">
        <w:rPr>
          <w:rFonts w:ascii="Verdana" w:eastAsia="Times New Roman" w:hAnsi="Verdana" w:cs="Times New Roman"/>
          <w:lang w:val="es-ES"/>
        </w:rPr>
        <w:t xml:space="preserve"> </w:t>
      </w:r>
      <w:r w:rsidRPr="009046D2">
        <w:rPr>
          <w:rFonts w:ascii="Verdana" w:hAnsi="Verdana"/>
        </w:rPr>
        <w:t>el Decreto 0287 de 2026 no establece periodos de transición o mecanismo equivalente de vinculación gradual, por lo que para acceder al puntaje adicional del 2% la entidad deberá acreditar los documentos descritos, incluyendo</w:t>
      </w:r>
      <w:r w:rsidRPr="009046D2">
        <w:rPr>
          <w:rFonts w:ascii="Verdana" w:eastAsia="Times New Roman" w:hAnsi="Verdana" w:cs="Times New Roman"/>
        </w:rPr>
        <w:t xml:space="preserve"> los certificados de aportes a seguridad social de los tres (3) meses anteriores a la presentación de la oferta</w:t>
      </w:r>
      <w:r>
        <w:rPr>
          <w:rFonts w:ascii="Verdana" w:eastAsia="Times New Roman" w:hAnsi="Verdana" w:cs="Times New Roman"/>
        </w:rPr>
        <w:t xml:space="preserve">. </w:t>
      </w:r>
    </w:p>
    <w:p w14:paraId="3F006CAA" w14:textId="77777777" w:rsidR="003C5CF2" w:rsidRPr="006332FF" w:rsidRDefault="003C5CF2" w:rsidP="003C5CF2">
      <w:pPr>
        <w:spacing w:after="120" w:line="276" w:lineRule="auto"/>
        <w:ind w:left="119" w:right="79" w:firstLine="590"/>
        <w:jc w:val="both"/>
        <w:rPr>
          <w:rFonts w:ascii="Verdana" w:eastAsia="Arial" w:hAnsi="Verdana" w:cs="Arial"/>
        </w:rPr>
      </w:pPr>
      <w:r>
        <w:rPr>
          <w:rFonts w:ascii="Verdana" w:eastAsia="Arial" w:hAnsi="Verdana" w:cs="Arial"/>
        </w:rPr>
        <w:t>Finalmente, en relación con el inicio de vigencia del Decreto 287 de 2026</w:t>
      </w:r>
      <w:r w:rsidRPr="001B3C5D">
        <w:rPr>
          <w:rFonts w:ascii="Verdana" w:eastAsia="Aptos" w:hAnsi="Verdana" w:cs="Times New Roman"/>
          <w:kern w:val="2"/>
          <w14:ligatures w14:val="standardContextual"/>
        </w:rPr>
        <w:t>, el artículo 2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w:t>
      </w:r>
      <w:r>
        <w:rPr>
          <w:rFonts w:ascii="Verdana" w:eastAsia="Aptos" w:hAnsi="Verdana" w:cs="Times New Roman"/>
          <w:kern w:val="2"/>
          <w14:ligatures w14:val="standardContextual"/>
        </w:rPr>
        <w:t>y</w:t>
      </w:r>
      <w:r w:rsidRPr="001B3C5D">
        <w:rPr>
          <w:rFonts w:ascii="Verdana" w:eastAsia="Aptos" w:hAnsi="Verdana" w:cs="Times New Roman"/>
          <w:kern w:val="2"/>
          <w14:ligatures w14:val="standardContextual"/>
        </w:rPr>
        <w:t xml:space="preserve"> 2.2.1.2.4.2.8. de la Subsección 2 de la Sección 4 del Capítulo 2 del Título 1 de la Parte 2 del Libro 2 del Decreto 1082 de 2015, Único Reglamentario del Sector Administrativo de Planeación, y deroga todas las disposiciones que le sean contrarias”.</w:t>
      </w:r>
      <w:r>
        <w:rPr>
          <w:rFonts w:ascii="Verdana" w:eastAsia="Aptos" w:hAnsi="Verdana" w:cs="Times New Roman"/>
          <w:kern w:val="2"/>
          <w14:ligatures w14:val="standardContextual"/>
        </w:rPr>
        <w:t xml:space="preserve"> Este decreto fue publicado el 19 de marzo de 2026, por lo que empezó a regir a partir del 20 de marzo.</w:t>
      </w:r>
    </w:p>
    <w:p w14:paraId="0E558230" w14:textId="77777777" w:rsidR="003C5CF2" w:rsidRPr="00BD2EF9" w:rsidRDefault="003C5CF2" w:rsidP="003C5CF2">
      <w:pPr>
        <w:widowControl w:val="0"/>
        <w:autoSpaceDE w:val="0"/>
        <w:autoSpaceDN w:val="0"/>
        <w:spacing w:after="120" w:line="276" w:lineRule="auto"/>
        <w:ind w:firstLine="743"/>
        <w:jc w:val="both"/>
        <w:rPr>
          <w:rFonts w:ascii="Verdana" w:eastAsia="Aptos" w:hAnsi="Verdana" w:cs="Times New Roman"/>
          <w:kern w:val="2"/>
          <w14:ligatures w14:val="standardContextual"/>
        </w:rPr>
      </w:pPr>
      <w:r>
        <w:rPr>
          <w:rFonts w:ascii="Verdana" w:eastAsia="Aptos" w:hAnsi="Verdana" w:cs="Times New Roman"/>
          <w:kern w:val="2"/>
          <w14:ligatures w14:val="standardContextual"/>
        </w:rPr>
        <w:lastRenderedPageBreak/>
        <w:t>Así, l</w:t>
      </w:r>
      <w:r w:rsidRPr="00BD2EF9">
        <w:rPr>
          <w:rFonts w:ascii="Verdana" w:eastAsia="Aptos" w:hAnsi="Verdana" w:cs="Times New Roman"/>
          <w:kern w:val="2"/>
          <w14:ligatures w14:val="standardContextual"/>
        </w:rPr>
        <w:t xml:space="preserve">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BD2EF9">
        <w:rPr>
          <w:rFonts w:ascii="Verdana" w:eastAsia="Aptos" w:hAnsi="Verdana" w:cs="Times New Roman"/>
          <w:kern w:val="2"/>
          <w14:ligatures w14:val="standardContextual"/>
        </w:rPr>
        <w:t>ii</w:t>
      </w:r>
      <w:proofErr w:type="spellEnd"/>
      <w:r w:rsidRPr="00BD2EF9">
        <w:rPr>
          <w:rFonts w:ascii="Verdana" w:eastAsia="Aptos" w:hAnsi="Verdana" w:cs="Times New Roman"/>
          <w:kern w:val="2"/>
          <w14:ligatures w14:val="standardContextu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01702968" w14:textId="77777777" w:rsidR="003C5CF2" w:rsidRPr="005D5656" w:rsidRDefault="003C5CF2" w:rsidP="003C5CF2">
      <w:pPr>
        <w:widowControl w:val="0"/>
        <w:autoSpaceDE w:val="0"/>
        <w:autoSpaceDN w:val="0"/>
        <w:spacing w:after="120" w:line="276" w:lineRule="auto"/>
        <w:ind w:firstLine="709"/>
        <w:jc w:val="both"/>
        <w:rPr>
          <w:rFonts w:ascii="Verdana" w:eastAsia="Aptos" w:hAnsi="Verdana" w:cs="Times New Roman"/>
          <w:kern w:val="2"/>
          <w14:ligatures w14:val="standardContextual"/>
        </w:rPr>
      </w:pPr>
      <w:r w:rsidRPr="00BD2EF9">
        <w:rPr>
          <w:rFonts w:ascii="Verdana" w:eastAsia="Aptos" w:hAnsi="Verdana" w:cs="Times New Roman"/>
          <w:kern w:val="2"/>
          <w14:ligatures w14:val="standardContextu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Aptos" w:hAnsi="Verdana" w:cs="Times New Roman"/>
          <w:kern w:val="2"/>
          <w14:ligatures w14:val="standardContextual"/>
        </w:rPr>
        <w:t>.</w:t>
      </w:r>
    </w:p>
    <w:bookmarkEnd w:id="1"/>
    <w:p w14:paraId="46F13693" w14:textId="77777777" w:rsidR="003C5CF2" w:rsidRPr="001B3C5D" w:rsidRDefault="003C5CF2" w:rsidP="003C5CF2">
      <w:pPr>
        <w:widowControl w:val="0"/>
        <w:autoSpaceDE w:val="0"/>
        <w:autoSpaceDN w:val="0"/>
        <w:spacing w:after="0" w:line="276" w:lineRule="auto"/>
        <w:ind w:firstLine="709"/>
        <w:jc w:val="both"/>
        <w:rPr>
          <w:rFonts w:ascii="Verdana" w:eastAsia="Century Gothic" w:hAnsi="Verdana" w:cs="Century Gothic"/>
          <w:lang w:val="es-ES_tradnl"/>
        </w:rPr>
      </w:pPr>
    </w:p>
    <w:p w14:paraId="2EC77D4C" w14:textId="77777777" w:rsidR="003C5CF2" w:rsidRPr="001B3C5D" w:rsidRDefault="003C5CF2" w:rsidP="003C5CF2">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361E8E06" w14:textId="77777777" w:rsidR="003C5CF2" w:rsidRPr="001B3C5D" w:rsidRDefault="003C5CF2" w:rsidP="003C5CF2">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C5CF2" w:rsidRPr="001B3C5D" w14:paraId="1CEF0DB7" w14:textId="77777777" w:rsidTr="007F2C7C">
        <w:trPr>
          <w:trHeight w:val="870"/>
        </w:trPr>
        <w:tc>
          <w:tcPr>
            <w:tcW w:w="8647" w:type="dxa"/>
            <w:tcBorders>
              <w:top w:val="dotted" w:sz="4" w:space="0" w:color="auto"/>
              <w:left w:val="dotted" w:sz="4" w:space="0" w:color="auto"/>
              <w:bottom w:val="dotted" w:sz="4" w:space="0" w:color="auto"/>
              <w:right w:val="dotted" w:sz="4" w:space="0" w:color="auto"/>
            </w:tcBorders>
          </w:tcPr>
          <w:p w14:paraId="4D3B459C" w14:textId="77777777" w:rsidR="003C5CF2" w:rsidRPr="00F82E0D" w:rsidRDefault="003C5CF2" w:rsidP="003C5CF2">
            <w:pPr>
              <w:widowControl w:val="0"/>
              <w:numPr>
                <w:ilvl w:val="0"/>
                <w:numId w:val="17"/>
              </w:numPr>
              <w:autoSpaceDE w:val="0"/>
              <w:autoSpaceDN w:val="0"/>
              <w:spacing w:line="276" w:lineRule="auto"/>
              <w:contextualSpacing/>
              <w:jc w:val="both"/>
              <w:rPr>
                <w:rFonts w:ascii="Verdana" w:eastAsia="Calibri" w:hAnsi="Verdana" w:cs="Arial"/>
              </w:rPr>
            </w:pPr>
            <w:r w:rsidRPr="00F82E0D">
              <w:rPr>
                <w:rFonts w:ascii="Verdana" w:eastAsia="Calibri" w:hAnsi="Verdana" w:cs="Arial"/>
              </w:rPr>
              <w:t>Ley 1618 de 2013</w:t>
            </w:r>
          </w:p>
          <w:p w14:paraId="75EA4BCF" w14:textId="77777777" w:rsidR="003C5CF2" w:rsidRPr="00F82E0D" w:rsidRDefault="003C5CF2" w:rsidP="003C5CF2">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p w14:paraId="386B31BF" w14:textId="77777777" w:rsidR="003C5CF2" w:rsidRPr="00F82E0D" w:rsidRDefault="003C5CF2" w:rsidP="003C5CF2">
            <w:pPr>
              <w:pStyle w:val="Prrafodelista"/>
              <w:numPr>
                <w:ilvl w:val="0"/>
                <w:numId w:val="16"/>
              </w:numPr>
              <w:jc w:val="both"/>
              <w:rPr>
                <w:rFonts w:ascii="Verdana" w:eastAsia="Calibri" w:hAnsi="Verdana" w:cs="Arial"/>
                <w:lang w:val="es-CO"/>
              </w:rPr>
            </w:pPr>
            <w:r w:rsidRPr="00F82E0D">
              <w:rPr>
                <w:rFonts w:ascii="Verdana" w:eastAsia="Calibri" w:hAnsi="Verdana" w:cs="Arial"/>
                <w:lang w:val="es-CO"/>
              </w:rPr>
              <w:t>Consejo de Estado, Sección Quinta, del 12 de diciembre de 2024 (Rad. 05001-23-33-000-2024-00847-01, M.P. Omar Joaquín Barreto Suárez)</w:t>
            </w:r>
          </w:p>
          <w:p w14:paraId="03603572" w14:textId="77777777" w:rsidR="003C5CF2" w:rsidRPr="001B3C5D" w:rsidRDefault="003C5CF2" w:rsidP="003C5CF2">
            <w:pPr>
              <w:widowControl w:val="0"/>
              <w:numPr>
                <w:ilvl w:val="0"/>
                <w:numId w:val="16"/>
              </w:numPr>
              <w:autoSpaceDE w:val="0"/>
              <w:autoSpaceDN w:val="0"/>
              <w:spacing w:line="276" w:lineRule="auto"/>
              <w:contextualSpacing/>
              <w:jc w:val="both"/>
              <w:rPr>
                <w:rFonts w:ascii="Verdana" w:eastAsia="Calibri" w:hAnsi="Verdana" w:cs="Arial"/>
              </w:rPr>
            </w:pPr>
            <w:r w:rsidRPr="00241423">
              <w:rPr>
                <w:rFonts w:ascii="Verdana" w:eastAsia="Aptos" w:hAnsi="Verdana" w:cs="Times New Roman"/>
                <w:kern w:val="2"/>
                <w14:ligatures w14:val="standardContextual"/>
              </w:rPr>
              <w:t>ABC del Decreto 0287 de 2026 “Contratación pública inclusiva para personas con discapacidad</w:t>
            </w:r>
            <w:r>
              <w:rPr>
                <w:rFonts w:ascii="Verdana" w:eastAsia="Aptos" w:hAnsi="Verdana" w:cs="Times New Roman"/>
                <w:kern w:val="2"/>
                <w14:ligatures w14:val="standardContextual"/>
              </w:rPr>
              <w:t xml:space="preserve">” disponible en: </w:t>
            </w:r>
            <w:hyperlink r:id="rId13" w:history="1">
              <w:r w:rsidRPr="00804AD3">
                <w:rPr>
                  <w:rStyle w:val="Hipervnculo"/>
                  <w:rFonts w:ascii="Verdana" w:hAnsi="Verdana"/>
                  <w:sz w:val="16"/>
                  <w:szCs w:val="16"/>
                </w:rPr>
                <w:t>https://www.colombiacompra.gov.co/wp-content/uploads/2026/04/ABC-Decreto-0287-de-2026-1.pdf</w:t>
              </w:r>
            </w:hyperlink>
          </w:p>
        </w:tc>
      </w:tr>
    </w:tbl>
    <w:p w14:paraId="19EDDAE8" w14:textId="77777777" w:rsidR="003C5CF2" w:rsidRPr="001B3C5D" w:rsidRDefault="003C5CF2" w:rsidP="003C5CF2">
      <w:pPr>
        <w:tabs>
          <w:tab w:val="left" w:pos="142"/>
          <w:tab w:val="left" w:pos="284"/>
        </w:tabs>
        <w:spacing w:after="0" w:line="276" w:lineRule="auto"/>
        <w:jc w:val="both"/>
        <w:rPr>
          <w:rFonts w:ascii="Verdana" w:eastAsia="Calibri" w:hAnsi="Verdana" w:cs="Arial"/>
        </w:rPr>
      </w:pPr>
    </w:p>
    <w:p w14:paraId="54F3BD50" w14:textId="77777777" w:rsidR="003C5CF2" w:rsidRPr="001B3C5D" w:rsidRDefault="003C5CF2" w:rsidP="003C5CF2">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25B28765" w14:textId="77777777" w:rsidR="003C5CF2" w:rsidRPr="001B3C5D" w:rsidRDefault="003C5CF2" w:rsidP="003C5CF2">
      <w:pPr>
        <w:widowControl w:val="0"/>
        <w:autoSpaceDE w:val="0"/>
        <w:autoSpaceDN w:val="0"/>
        <w:spacing w:after="0" w:line="276" w:lineRule="auto"/>
        <w:jc w:val="both"/>
        <w:rPr>
          <w:rFonts w:ascii="Verdana" w:eastAsia="Calibri" w:hAnsi="Verdana" w:cs="Arial"/>
        </w:rPr>
      </w:pPr>
    </w:p>
    <w:p w14:paraId="4D0105A8" w14:textId="77777777" w:rsidR="003C5CF2" w:rsidRPr="001B3C5D" w:rsidRDefault="003C5CF2" w:rsidP="003C5CF2">
      <w:pPr>
        <w:widowControl w:val="0"/>
        <w:autoSpaceDE w:val="0"/>
        <w:autoSpaceDN w:val="0"/>
        <w:spacing w:after="0" w:line="276" w:lineRule="auto"/>
        <w:jc w:val="both"/>
        <w:rPr>
          <w:rFonts w:ascii="Verdana" w:eastAsia="Times New Roman" w:hAnsi="Verdana" w:cs="Arial"/>
          <w:shd w:val="clear" w:color="auto" w:fill="FFFFFF"/>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Pr>
          <w:rFonts w:ascii="Verdana" w:hAnsi="Verdana" w:cs="Arial"/>
          <w:shd w:val="clear" w:color="auto" w:fill="FFFFFF"/>
          <w:lang w:val="es-ES"/>
        </w:rPr>
        <w:t xml:space="preserve">el </w:t>
      </w:r>
      <w:r w:rsidRPr="00206556">
        <w:rPr>
          <w:rFonts w:ascii="Verdana" w:hAnsi="Verdana" w:cs="Arial"/>
          <w:shd w:val="clear" w:color="auto" w:fill="FFFFFF"/>
          <w:lang w:val="es-ES"/>
        </w:rPr>
        <w:t>concepto</w:t>
      </w:r>
      <w:r>
        <w:rPr>
          <w:rFonts w:ascii="Verdana" w:hAnsi="Verdana" w:cs="Arial"/>
          <w:shd w:val="clear" w:color="auto" w:fill="FFFFFF"/>
          <w:lang w:val="es-ES"/>
        </w:rPr>
        <w:t xml:space="preserve"> C-629 de 2026.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1B3C5D">
        <w:rPr>
          <w:rFonts w:ascii="Verdana" w:eastAsia="Calibri" w:hAnsi="Verdana" w:cs="Arial"/>
          <w:color w:val="000000"/>
          <w:shd w:val="clear" w:color="auto" w:fill="FFFFFF"/>
        </w:rPr>
        <w:lastRenderedPageBreak/>
        <w:t xml:space="preserve">través del siguiente enlace: </w:t>
      </w:r>
      <w:hyperlink r:id="rId14"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3B42E150" w14:textId="77777777" w:rsidR="003C5CF2" w:rsidRPr="001B3C5D" w:rsidRDefault="003C5CF2" w:rsidP="003C5CF2">
      <w:pPr>
        <w:spacing w:after="0" w:line="240" w:lineRule="auto"/>
        <w:jc w:val="both"/>
        <w:rPr>
          <w:rFonts w:ascii="Verdana" w:eastAsia="Calibri" w:hAnsi="Verdana" w:cs="Arial"/>
          <w:color w:val="000000"/>
          <w:shd w:val="clear" w:color="auto" w:fill="FFFFFF"/>
        </w:rPr>
      </w:pPr>
    </w:p>
    <w:p w14:paraId="0FCA8764" w14:textId="77777777" w:rsidR="003C5CF2" w:rsidRPr="001B3C5D" w:rsidRDefault="003C5CF2" w:rsidP="003C5CF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5" w:tgtFrame="_new" w:history="1">
        <w:r w:rsidRPr="001B3C5D">
          <w:rPr>
            <w:rFonts w:ascii="Verdana" w:eastAsia="Times New Roman" w:hAnsi="Verdana" w:cs="Arial"/>
            <w:color w:val="0000FF"/>
            <w:u w:val="single"/>
            <w:lang w:eastAsia="es-MX"/>
          </w:rPr>
          <w:t>https://formacionvirtual.colombiacompra.gov.co/mod/page/view.php?id=3718</w:t>
        </w:r>
      </w:hyperlink>
    </w:p>
    <w:p w14:paraId="67B8CC2F" w14:textId="77777777" w:rsidR="003C5CF2" w:rsidRPr="001B3C5D" w:rsidRDefault="003C5CF2" w:rsidP="003C5CF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1B3C5D">
          <w:rPr>
            <w:rFonts w:ascii="Verdana" w:eastAsia="Times New Roman" w:hAnsi="Verdana" w:cs="Arial"/>
            <w:color w:val="0000FF"/>
            <w:u w:val="single"/>
            <w:lang w:eastAsia="es-MX"/>
          </w:rPr>
          <w:t>https://www.colombiacompra.gov.co/normativa-y-relatoria/documentos-tipo</w:t>
        </w:r>
      </w:hyperlink>
    </w:p>
    <w:p w14:paraId="377E2481" w14:textId="77777777" w:rsidR="003C5CF2" w:rsidRPr="001B3C5D" w:rsidRDefault="003C5CF2" w:rsidP="003C5CF2">
      <w:pPr>
        <w:spacing w:after="0" w:line="276" w:lineRule="auto"/>
        <w:jc w:val="both"/>
        <w:rPr>
          <w:rFonts w:ascii="Verdana" w:eastAsia="Times New Roman" w:hAnsi="Verdana" w:cs="Arial"/>
          <w:lang w:eastAsia="es-MX"/>
        </w:rPr>
      </w:pPr>
    </w:p>
    <w:p w14:paraId="7D4B453F" w14:textId="77777777" w:rsidR="003C5CF2" w:rsidRPr="001B3C5D" w:rsidRDefault="003C5CF2" w:rsidP="003C5CF2">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7"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4BAC80AA" w14:textId="77777777" w:rsidR="003C5CF2" w:rsidRPr="001B3C5D" w:rsidRDefault="003C5CF2" w:rsidP="003C5CF2">
      <w:pPr>
        <w:spacing w:after="0"/>
        <w:jc w:val="both"/>
        <w:rPr>
          <w:rFonts w:ascii="Verdana" w:eastAsia="Aptos" w:hAnsi="Verdana" w:cs="Times New Roman"/>
          <w:color w:val="212121"/>
          <w:lang w:eastAsia="es-MX"/>
        </w:rPr>
      </w:pPr>
    </w:p>
    <w:p w14:paraId="33D0E07C" w14:textId="77777777" w:rsidR="003C5CF2" w:rsidRPr="001B3C5D" w:rsidRDefault="003C5CF2" w:rsidP="003C5CF2">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lastRenderedPageBreak/>
        <w:t xml:space="preserve">Por último, lo invitamos a seguirnos en las redes sociales en las cuales se difunde información institucional: </w:t>
      </w:r>
    </w:p>
    <w:p w14:paraId="6F40D002" w14:textId="77777777" w:rsidR="003C5CF2" w:rsidRPr="001B3C5D" w:rsidRDefault="003C5CF2" w:rsidP="003C5CF2">
      <w:pPr>
        <w:spacing w:after="0" w:line="240" w:lineRule="auto"/>
        <w:jc w:val="both"/>
        <w:rPr>
          <w:rFonts w:ascii="Verdana" w:eastAsia="Aptos" w:hAnsi="Verdana" w:cs="Times New Roman"/>
          <w:lang w:eastAsia="es-MX"/>
        </w:rPr>
      </w:pPr>
    </w:p>
    <w:p w14:paraId="2478CA33" w14:textId="77777777" w:rsidR="003C5CF2" w:rsidRPr="001B3C5D" w:rsidRDefault="003C5CF2" w:rsidP="003C5CF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48F1C88A" w14:textId="77777777" w:rsidR="003C5CF2" w:rsidRPr="001B3C5D" w:rsidRDefault="003C5CF2" w:rsidP="003C5CF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7EA730F1" w14:textId="77777777" w:rsidR="003C5CF2" w:rsidRPr="001B3C5D" w:rsidRDefault="003C5CF2" w:rsidP="003C5CF2">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6F0D9372" w14:textId="77777777" w:rsidR="003C5CF2" w:rsidRPr="001B3C5D" w:rsidRDefault="003C5CF2" w:rsidP="003C5CF2">
      <w:pPr>
        <w:spacing w:after="0" w:line="276" w:lineRule="auto"/>
        <w:jc w:val="both"/>
        <w:rPr>
          <w:rFonts w:ascii="Verdana" w:eastAsia="Aptos" w:hAnsi="Verdana" w:cs="Times New Roman"/>
          <w:lang w:eastAsia="es-MX"/>
        </w:rPr>
      </w:pPr>
    </w:p>
    <w:p w14:paraId="76DE6D07" w14:textId="77777777" w:rsidR="003C5CF2" w:rsidRPr="001B3C5D" w:rsidRDefault="003C5CF2" w:rsidP="003C5CF2">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E09A60B" w14:textId="77777777" w:rsidR="003C5CF2" w:rsidRPr="001B3C5D" w:rsidRDefault="003C5CF2" w:rsidP="003C5CF2">
      <w:pPr>
        <w:spacing w:after="0" w:line="276" w:lineRule="auto"/>
        <w:jc w:val="both"/>
        <w:rPr>
          <w:rFonts w:ascii="Verdana" w:eastAsia="Calibri" w:hAnsi="Verdana" w:cs="Times New Roman"/>
          <w:lang w:eastAsia="es-MX"/>
        </w:rPr>
      </w:pPr>
    </w:p>
    <w:p w14:paraId="6333E19D" w14:textId="77777777" w:rsidR="003C5CF2" w:rsidRPr="001B3C5D" w:rsidRDefault="003C5CF2" w:rsidP="003C5CF2">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58633A45" w14:textId="77777777" w:rsidR="003C5CF2" w:rsidRPr="001B3C5D" w:rsidRDefault="003C5CF2" w:rsidP="003C5CF2">
      <w:pPr>
        <w:tabs>
          <w:tab w:val="left" w:pos="1320"/>
        </w:tabs>
        <w:spacing w:after="0"/>
        <w:jc w:val="center"/>
        <w:rPr>
          <w:rFonts w:ascii="Verdana" w:eastAsia="Calibri" w:hAnsi="Verdana" w:cs="Times New Roman"/>
          <w:lang w:eastAsia="es-MX"/>
        </w:rPr>
      </w:pPr>
    </w:p>
    <w:p w14:paraId="71BF5B08" w14:textId="5EAA2AB1" w:rsidR="003C5CF2" w:rsidRPr="00A27102" w:rsidRDefault="004A328A" w:rsidP="003C5CF2">
      <w:pPr>
        <w:spacing w:line="276" w:lineRule="auto"/>
        <w:jc w:val="center"/>
        <w:rPr>
          <w:rFonts w:ascii="Verdana" w:hAnsi="Verdana" w:cs="Arial"/>
          <w:color w:val="000000"/>
          <w:lang w:val="es-ES_tradnl" w:eastAsia="es-CO"/>
        </w:rPr>
      </w:pPr>
      <w:r>
        <w:rPr>
          <w:noProof/>
        </w:rPr>
        <w:drawing>
          <wp:inline distT="0" distB="0" distL="0" distR="0" wp14:anchorId="4134A67C" wp14:editId="1BE3C940">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5CF2" w:rsidRPr="00A27102" w14:paraId="58B42AEC" w14:textId="77777777" w:rsidTr="007F2C7C">
        <w:trPr>
          <w:trHeight w:val="315"/>
        </w:trPr>
        <w:tc>
          <w:tcPr>
            <w:tcW w:w="893" w:type="dxa"/>
            <w:vAlign w:val="center"/>
            <w:hideMark/>
          </w:tcPr>
          <w:p w14:paraId="5514264F" w14:textId="77777777" w:rsidR="003C5CF2" w:rsidRPr="00A27102" w:rsidRDefault="003C5CF2" w:rsidP="007F2C7C">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10E8DD4" w14:textId="77777777" w:rsidR="003C5CF2" w:rsidRPr="00A27102" w:rsidRDefault="003C5CF2" w:rsidP="007F2C7C">
            <w:pPr>
              <w:contextualSpacing/>
              <w:rPr>
                <w:rFonts w:ascii="Verdana" w:hAnsi="Verdana"/>
                <w:sz w:val="16"/>
                <w:szCs w:val="16"/>
              </w:rPr>
            </w:pPr>
            <w:r w:rsidRPr="00A27102">
              <w:rPr>
                <w:rFonts w:ascii="Verdana" w:hAnsi="Verdana"/>
                <w:sz w:val="16"/>
                <w:szCs w:val="16"/>
              </w:rPr>
              <w:t>Tatiana Baquero Iguarán</w:t>
            </w:r>
          </w:p>
          <w:p w14:paraId="2663AB6D" w14:textId="77777777" w:rsidR="003C5CF2" w:rsidRPr="00A27102" w:rsidRDefault="003C5CF2" w:rsidP="007F2C7C">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3C5CF2" w:rsidRPr="00A27102" w14:paraId="5A678569" w14:textId="77777777" w:rsidTr="007F2C7C">
        <w:trPr>
          <w:trHeight w:val="330"/>
        </w:trPr>
        <w:tc>
          <w:tcPr>
            <w:tcW w:w="893" w:type="dxa"/>
            <w:vAlign w:val="center"/>
            <w:hideMark/>
          </w:tcPr>
          <w:p w14:paraId="12DF792A" w14:textId="77777777" w:rsidR="003C5CF2" w:rsidRPr="00A27102" w:rsidRDefault="003C5CF2" w:rsidP="007F2C7C">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37FEC0" w14:textId="77777777" w:rsidR="003C5CF2" w:rsidRPr="00A27102" w:rsidRDefault="003C5CF2" w:rsidP="007F2C7C">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5934D1F5" w14:textId="77777777" w:rsidR="003C5CF2" w:rsidRPr="00A27102" w:rsidRDefault="003C5CF2" w:rsidP="007F2C7C">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3C5CF2" w:rsidRPr="00A27102" w14:paraId="16E8EC50" w14:textId="77777777" w:rsidTr="007F2C7C">
        <w:trPr>
          <w:trHeight w:val="300"/>
        </w:trPr>
        <w:tc>
          <w:tcPr>
            <w:tcW w:w="893" w:type="dxa"/>
            <w:vAlign w:val="center"/>
          </w:tcPr>
          <w:p w14:paraId="5075EC14" w14:textId="77777777" w:rsidR="003C5CF2" w:rsidRPr="00A27102" w:rsidRDefault="003C5CF2" w:rsidP="007F2C7C">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EE9A6C" w14:textId="77777777" w:rsidR="003C5CF2" w:rsidRPr="00A27102" w:rsidRDefault="003C5CF2" w:rsidP="007F2C7C">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1AA7154D" w14:textId="77777777" w:rsidR="003C5CF2" w:rsidRPr="00A27102" w:rsidRDefault="003C5CF2" w:rsidP="007F2C7C">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200DDE5A" w14:textId="1B90F530" w:rsidR="003C5CF2" w:rsidRPr="000E2B93" w:rsidRDefault="003C5CF2" w:rsidP="003C5CF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4F17EF45" w14:textId="77777777" w:rsidR="003C5CF2" w:rsidRPr="0015699B" w:rsidRDefault="003C5CF2" w:rsidP="003C5CF2">
      <w:pPr>
        <w:spacing w:after="0" w:line="240" w:lineRule="auto"/>
        <w:jc w:val="both"/>
        <w:textAlignment w:val="baseline"/>
        <w:rPr>
          <w:rFonts w:ascii="Verdana" w:eastAsia="Verdana" w:hAnsi="Verdana" w:cs="Verdana"/>
          <w:lang w:eastAsia="es-CO"/>
        </w:rPr>
      </w:pPr>
    </w:p>
    <w:p w14:paraId="0F293BF4" w14:textId="5EE29D61" w:rsidR="00127233" w:rsidRPr="003C5CF2" w:rsidRDefault="00127233" w:rsidP="003C5CF2"/>
    <w:sectPr w:rsidR="00127233" w:rsidRPr="003C5CF2"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C92E0B" w14:textId="77777777" w:rsidR="00804A99" w:rsidRDefault="00804A99" w:rsidP="004A1847">
      <w:pPr>
        <w:spacing w:after="0" w:line="240" w:lineRule="auto"/>
      </w:pPr>
      <w:r>
        <w:separator/>
      </w:r>
    </w:p>
  </w:endnote>
  <w:endnote w:type="continuationSeparator" w:id="0">
    <w:p w14:paraId="7066542C" w14:textId="77777777" w:rsidR="00804A99" w:rsidRDefault="00804A9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Work Sans">
    <w:charset w:val="00"/>
    <w:family w:val="auto"/>
    <w:pitch w:val="variable"/>
    <w:sig w:usb0="A00000FF" w:usb1="5000E07B" w:usb2="00000000" w:usb3="00000000" w:csb0="00000193" w:csb1="00000000"/>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C3555" w14:textId="77777777" w:rsidR="00804A99" w:rsidRDefault="00804A99" w:rsidP="004A1847">
      <w:pPr>
        <w:spacing w:after="0" w:line="240" w:lineRule="auto"/>
      </w:pPr>
      <w:r>
        <w:separator/>
      </w:r>
    </w:p>
  </w:footnote>
  <w:footnote w:type="continuationSeparator" w:id="0">
    <w:p w14:paraId="19E59530" w14:textId="77777777" w:rsidR="00804A99" w:rsidRDefault="00804A99" w:rsidP="004A1847">
      <w:pPr>
        <w:spacing w:after="0" w:line="240" w:lineRule="auto"/>
      </w:pPr>
      <w:r>
        <w:continuationSeparator/>
      </w:r>
    </w:p>
  </w:footnote>
  <w:footnote w:id="1">
    <w:p w14:paraId="1371F945"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RAE.Disponible en: </w:t>
      </w:r>
      <w:hyperlink r:id="rId1" w:history="1">
        <w:r w:rsidRPr="00D518B6">
          <w:rPr>
            <w:rStyle w:val="Hipervnculo"/>
            <w:rFonts w:ascii="Verdana" w:hAnsi="Verdana"/>
            <w:sz w:val="16"/>
            <w:szCs w:val="16"/>
          </w:rPr>
          <w:t>https://dle.rae.es/dedicaci%C3%B3n</w:t>
        </w:r>
      </w:hyperlink>
      <w:r w:rsidRPr="00D518B6">
        <w:rPr>
          <w:rFonts w:ascii="Verdana" w:hAnsi="Verdana"/>
          <w:sz w:val="16"/>
          <w:szCs w:val="16"/>
        </w:rPr>
        <w:t xml:space="preserve"> </w:t>
      </w:r>
    </w:p>
  </w:footnote>
  <w:footnote w:id="2">
    <w:p w14:paraId="16749054"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RAE. Disponible en: </w:t>
      </w:r>
      <w:hyperlink r:id="rId2" w:history="1">
        <w:r w:rsidRPr="00D518B6">
          <w:rPr>
            <w:rStyle w:val="Hipervnculo"/>
            <w:rFonts w:ascii="Verdana" w:hAnsi="Verdana"/>
            <w:sz w:val="16"/>
            <w:szCs w:val="16"/>
          </w:rPr>
          <w:t>https://dle.rae.es/exclusivo</w:t>
        </w:r>
      </w:hyperlink>
      <w:r w:rsidRPr="00D518B6">
        <w:rPr>
          <w:rFonts w:ascii="Verdana" w:hAnsi="Verdana"/>
          <w:sz w:val="16"/>
          <w:szCs w:val="16"/>
        </w:rPr>
        <w:t xml:space="preserve"> </w:t>
      </w:r>
    </w:p>
  </w:footnote>
  <w:footnote w:id="3">
    <w:p w14:paraId="10D1AC34" w14:textId="77777777" w:rsidR="003C5CF2" w:rsidRPr="00206556" w:rsidRDefault="003C5CF2" w:rsidP="003C5CF2">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C7F785" w14:textId="77777777" w:rsidR="003C5CF2" w:rsidRPr="00206556" w:rsidRDefault="003C5CF2" w:rsidP="003C5CF2">
      <w:pPr>
        <w:spacing w:after="80" w:line="240" w:lineRule="auto"/>
        <w:ind w:firstLine="708"/>
        <w:jc w:val="both"/>
        <w:rPr>
          <w:rFonts w:ascii="Verdana" w:hAnsi="Verdana"/>
          <w:sz w:val="16"/>
          <w:szCs w:val="16"/>
        </w:rPr>
      </w:pPr>
    </w:p>
  </w:footnote>
  <w:footnote w:id="4">
    <w:p w14:paraId="506F7EBC" w14:textId="77777777" w:rsidR="003C5CF2" w:rsidRPr="00206556" w:rsidRDefault="003C5CF2" w:rsidP="003C5CF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605DCED5" w14:textId="77777777" w:rsidR="003C5CF2" w:rsidRPr="00206556" w:rsidRDefault="003C5CF2" w:rsidP="003C5CF2">
      <w:pPr>
        <w:pStyle w:val="Textonotapie"/>
        <w:ind w:firstLine="708"/>
        <w:jc w:val="both"/>
        <w:rPr>
          <w:rFonts w:ascii="Verdana" w:hAnsi="Verdana"/>
          <w:sz w:val="16"/>
          <w:szCs w:val="16"/>
          <w:lang w:val="es-ES"/>
        </w:rPr>
      </w:pPr>
    </w:p>
  </w:footnote>
  <w:footnote w:id="5">
    <w:p w14:paraId="09D4A7BC" w14:textId="77777777" w:rsidR="003C5CF2" w:rsidRPr="00206556" w:rsidRDefault="003C5CF2" w:rsidP="003C5CF2">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3E338F6B" w14:textId="77777777" w:rsidR="003C5CF2" w:rsidRPr="00206556" w:rsidRDefault="003C5CF2" w:rsidP="003C5CF2">
      <w:pPr>
        <w:spacing w:after="80" w:line="240" w:lineRule="auto"/>
        <w:ind w:firstLine="708"/>
        <w:jc w:val="both"/>
        <w:rPr>
          <w:rFonts w:ascii="Verdana" w:hAnsi="Verdana"/>
          <w:sz w:val="16"/>
          <w:szCs w:val="16"/>
        </w:rPr>
      </w:pPr>
    </w:p>
  </w:footnote>
  <w:footnote w:id="6">
    <w:p w14:paraId="5B11D795" w14:textId="77777777" w:rsidR="003C5CF2" w:rsidRPr="00206556" w:rsidRDefault="003C5CF2" w:rsidP="003C5CF2">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688558E" w14:textId="77777777" w:rsidR="003C5CF2" w:rsidRPr="00206556" w:rsidRDefault="003C5CF2" w:rsidP="003C5CF2">
      <w:pPr>
        <w:pStyle w:val="Textonotapie"/>
        <w:ind w:firstLine="708"/>
        <w:jc w:val="both"/>
        <w:rPr>
          <w:rFonts w:ascii="Verdana" w:hAnsi="Verdana"/>
          <w:sz w:val="16"/>
          <w:szCs w:val="16"/>
          <w:lang w:val="es-ES"/>
        </w:rPr>
      </w:pPr>
    </w:p>
  </w:footnote>
  <w:footnote w:id="7">
    <w:p w14:paraId="47470E0A" w14:textId="77777777" w:rsidR="003C5CF2" w:rsidRPr="00206556" w:rsidRDefault="003C5CF2" w:rsidP="003C5CF2">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0BF26D3A" w14:textId="77777777" w:rsidR="003C5CF2" w:rsidRPr="00206556" w:rsidRDefault="003C5CF2" w:rsidP="003C5CF2">
      <w:pPr>
        <w:pStyle w:val="Textonotapie"/>
        <w:ind w:firstLine="708"/>
        <w:jc w:val="both"/>
        <w:rPr>
          <w:rFonts w:ascii="Verdana" w:hAnsi="Verdana"/>
          <w:sz w:val="16"/>
          <w:szCs w:val="16"/>
          <w:lang w:val="es-ES"/>
        </w:rPr>
      </w:pPr>
    </w:p>
  </w:footnote>
  <w:footnote w:id="8">
    <w:p w14:paraId="6E550A82" w14:textId="77777777" w:rsidR="003C5CF2" w:rsidRPr="00206556" w:rsidRDefault="003C5CF2" w:rsidP="003C5CF2">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4F80FF28" w14:textId="77777777" w:rsidR="003C5CF2" w:rsidRPr="00206556" w:rsidRDefault="003C5CF2" w:rsidP="003C5CF2">
      <w:pPr>
        <w:pStyle w:val="Textonotapie"/>
        <w:ind w:firstLine="708"/>
        <w:rPr>
          <w:rFonts w:ascii="Verdana" w:hAnsi="Verdana"/>
          <w:sz w:val="16"/>
          <w:szCs w:val="16"/>
          <w:lang w:val="es-ES"/>
        </w:rPr>
      </w:pPr>
    </w:p>
  </w:footnote>
  <w:footnote w:id="9">
    <w:p w14:paraId="22C98AF5" w14:textId="77777777" w:rsidR="003C5CF2" w:rsidRPr="00206556" w:rsidRDefault="003C5CF2" w:rsidP="003C5CF2">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28E4A249" w14:textId="77777777" w:rsidR="003C5CF2" w:rsidRPr="00206556" w:rsidRDefault="003C5CF2" w:rsidP="003C5CF2">
      <w:pPr>
        <w:pStyle w:val="Textonotapie"/>
        <w:ind w:firstLine="708"/>
        <w:rPr>
          <w:rFonts w:ascii="Verdana" w:hAnsi="Verdana"/>
          <w:sz w:val="16"/>
          <w:szCs w:val="16"/>
          <w:lang w:val="es-ES"/>
        </w:rPr>
      </w:pPr>
    </w:p>
  </w:footnote>
  <w:footnote w:id="10">
    <w:p w14:paraId="663296B8" w14:textId="77777777" w:rsidR="003C5CF2" w:rsidRPr="00206556" w:rsidRDefault="003C5CF2" w:rsidP="003C5CF2">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11">
    <w:p w14:paraId="3DCD06A2" w14:textId="77777777" w:rsidR="003C5CF2" w:rsidRPr="00F82E0D" w:rsidRDefault="003C5CF2" w:rsidP="003C5CF2">
      <w:pPr>
        <w:pStyle w:val="Textonotapie"/>
        <w:ind w:firstLine="708"/>
        <w:jc w:val="both"/>
        <w:rPr>
          <w:rFonts w:ascii="Verdana" w:hAnsi="Verdana"/>
          <w:sz w:val="16"/>
          <w:szCs w:val="16"/>
        </w:rPr>
      </w:pPr>
      <w:r>
        <w:rPr>
          <w:rStyle w:val="Refdenotaalpie"/>
        </w:rPr>
        <w:footnoteRef/>
      </w:r>
      <w:r>
        <w:t xml:space="preserve"> </w:t>
      </w:r>
      <w:r w:rsidRPr="00F82E0D">
        <w:rPr>
          <w:rFonts w:ascii="Verdana" w:hAnsi="Verdana"/>
          <w:sz w:val="16"/>
          <w:szCs w:val="16"/>
        </w:rPr>
        <w:t>Consejo de Estado, Sección Quinta, del 12 de diciembre de 2024 (Rad. 05001-23-33-000-2024-00847-01, M.P. Omar Joaquín Barreto Suárez)</w:t>
      </w:r>
    </w:p>
    <w:p w14:paraId="7D843D01" w14:textId="77777777" w:rsidR="003C5CF2" w:rsidRPr="00B31F9B" w:rsidRDefault="003C5CF2" w:rsidP="003C5CF2">
      <w:pPr>
        <w:pStyle w:val="Textonotapie"/>
        <w:rPr>
          <w:lang w:val="es-CO"/>
        </w:rPr>
      </w:pPr>
    </w:p>
  </w:footnote>
  <w:footnote w:id="12">
    <w:p w14:paraId="55254C7E" w14:textId="77777777" w:rsidR="003C5CF2" w:rsidRPr="00861BF3" w:rsidRDefault="003C5CF2" w:rsidP="003C5CF2">
      <w:pPr>
        <w:pStyle w:val="Textonotapie"/>
        <w:ind w:firstLine="708"/>
        <w:jc w:val="both"/>
        <w:rPr>
          <w:rFonts w:ascii="Verdana" w:hAnsi="Verdana"/>
          <w:sz w:val="19"/>
          <w:szCs w:val="19"/>
          <w:lang w:val="es-ES_tradnl"/>
        </w:rPr>
      </w:pPr>
      <w:r w:rsidRPr="00861BF3">
        <w:rPr>
          <w:rStyle w:val="Refdenotaalpie"/>
          <w:rFonts w:ascii="Verdana" w:hAnsi="Verdana"/>
          <w:sz w:val="19"/>
          <w:szCs w:val="19"/>
        </w:rPr>
        <w:footnoteRef/>
      </w:r>
      <w:r w:rsidRPr="00861BF3">
        <w:rPr>
          <w:rFonts w:ascii="Verdana" w:hAnsi="Verdana"/>
          <w:sz w:val="19"/>
          <w:szCs w:val="19"/>
        </w:rPr>
        <w:t xml:space="preserve"> </w:t>
      </w:r>
      <w:r w:rsidRPr="00F82E0D">
        <w:rPr>
          <w:rFonts w:ascii="Verdana" w:hAnsi="Verdana"/>
          <w:sz w:val="16"/>
          <w:szCs w:val="16"/>
        </w:rPr>
        <w:t>Parte considerativa del Decreto 287 de 2026.</w:t>
      </w:r>
    </w:p>
  </w:footnote>
  <w:footnote w:id="13">
    <w:p w14:paraId="12F464CE" w14:textId="77777777" w:rsidR="003C5CF2" w:rsidRPr="00D518B6" w:rsidRDefault="003C5CF2" w:rsidP="003C5CF2">
      <w:pPr>
        <w:pStyle w:val="Textonotapie"/>
        <w:ind w:firstLine="708"/>
        <w:jc w:val="both"/>
        <w:rPr>
          <w:rFonts w:ascii="Verdana" w:hAnsi="Verdana"/>
          <w:sz w:val="16"/>
          <w:szCs w:val="16"/>
        </w:rPr>
      </w:pPr>
      <w:r w:rsidRPr="00D518B6">
        <w:rPr>
          <w:rStyle w:val="Refdenotaalpie"/>
          <w:rFonts w:ascii="Verdana" w:hAnsi="Verdana"/>
          <w:sz w:val="16"/>
          <w:szCs w:val="16"/>
        </w:rPr>
        <w:footnoteRef/>
      </w:r>
      <w:r w:rsidRPr="00D518B6">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518B6">
        <w:rPr>
          <w:rFonts w:ascii="Verdana" w:hAnsi="Verdana"/>
          <w:i/>
          <w:iCs/>
          <w:sz w:val="16"/>
          <w:szCs w:val="16"/>
        </w:rPr>
        <w:t>las palabras de la ley se entenderán en su sentido natural y obvio, según el uso general de las mismas palabras</w:t>
      </w:r>
      <w:r w:rsidRPr="00D518B6">
        <w:rPr>
          <w:rFonts w:ascii="Verdana" w:hAnsi="Verdana"/>
          <w:sz w:val="16"/>
          <w:szCs w:val="16"/>
        </w:rPr>
        <w:t>’, es decir, el uso de la gente educada. El Diccionario de la Lengua publicado por la Real Academia Española goza a este respecto de gran autoridad. ‘</w:t>
      </w:r>
      <w:r w:rsidRPr="00D518B6">
        <w:rPr>
          <w:rFonts w:ascii="Verdana" w:hAnsi="Verdana"/>
          <w:i/>
          <w:iCs/>
          <w:sz w:val="16"/>
          <w:szCs w:val="16"/>
        </w:rPr>
        <w:t>Pero cuando el legislador</w:t>
      </w:r>
      <w:r w:rsidRPr="00D518B6">
        <w:rPr>
          <w:rFonts w:ascii="Verdana" w:hAnsi="Verdana"/>
          <w:sz w:val="16"/>
          <w:szCs w:val="16"/>
        </w:rPr>
        <w:t xml:space="preserve">, agrega el artículo 20, </w:t>
      </w:r>
      <w:r w:rsidRPr="00D518B6">
        <w:rPr>
          <w:rFonts w:ascii="Verdana" w:hAnsi="Verdana"/>
          <w:i/>
          <w:iCs/>
          <w:sz w:val="16"/>
          <w:szCs w:val="16"/>
        </w:rPr>
        <w:t>las haya definido expresamente para ciertas materias se les dará en éstas su significado legal</w:t>
      </w:r>
      <w:r w:rsidRPr="00D518B6">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p w14:paraId="44CBDCF2" w14:textId="77777777" w:rsidR="003C5CF2" w:rsidRPr="00D518B6" w:rsidRDefault="003C5CF2" w:rsidP="003C5CF2">
      <w:pPr>
        <w:pStyle w:val="Textonotapie"/>
        <w:ind w:firstLine="708"/>
        <w:jc w:val="both"/>
        <w:rPr>
          <w:rFonts w:ascii="Verdana" w:hAnsi="Verdana"/>
          <w:sz w:val="16"/>
          <w:szCs w:val="16"/>
        </w:rPr>
      </w:pPr>
    </w:p>
  </w:footnote>
  <w:footnote w:id="14">
    <w:p w14:paraId="5BE80CE6"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w:t>
      </w:r>
      <w:r w:rsidRPr="00D518B6">
        <w:rPr>
          <w:rFonts w:ascii="Verdana" w:hAnsi="Verdana"/>
          <w:sz w:val="16"/>
          <w:szCs w:val="16"/>
        </w:rPr>
        <w:t xml:space="preserve">RAE.Disponible en: </w:t>
      </w:r>
      <w:hyperlink r:id="rId3" w:history="1">
        <w:r w:rsidRPr="00D518B6">
          <w:rPr>
            <w:rStyle w:val="Hipervnculo"/>
            <w:rFonts w:ascii="Verdana" w:hAnsi="Verdana"/>
            <w:sz w:val="16"/>
            <w:szCs w:val="16"/>
          </w:rPr>
          <w:t>https://dle.rae.es/dedicaci%C3%B3n</w:t>
        </w:r>
      </w:hyperlink>
      <w:r w:rsidRPr="00D518B6">
        <w:rPr>
          <w:rFonts w:ascii="Verdana" w:hAnsi="Verdana"/>
          <w:sz w:val="16"/>
          <w:szCs w:val="16"/>
        </w:rPr>
        <w:t xml:space="preserve"> </w:t>
      </w:r>
    </w:p>
  </w:footnote>
  <w:footnote w:id="15">
    <w:p w14:paraId="7043BD5A"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RAE. Disponible en: </w:t>
      </w:r>
      <w:hyperlink r:id="rId4" w:history="1">
        <w:r w:rsidRPr="00D518B6">
          <w:rPr>
            <w:rStyle w:val="Hipervnculo"/>
            <w:rFonts w:ascii="Verdana" w:hAnsi="Verdana"/>
            <w:sz w:val="16"/>
            <w:szCs w:val="16"/>
          </w:rPr>
          <w:t>https://dle.rae.es/exclusivo</w:t>
        </w:r>
      </w:hyperlink>
      <w:r w:rsidRPr="00D518B6">
        <w:rPr>
          <w:rFonts w:ascii="Verdana" w:hAnsi="Verdana"/>
          <w:sz w:val="16"/>
          <w:szCs w:val="16"/>
        </w:rPr>
        <w:t xml:space="preserve"> </w:t>
      </w:r>
    </w:p>
  </w:footnote>
  <w:footnote w:id="16">
    <w:p w14:paraId="71C411D0"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Corte Constitucional. Sentencia C-819 del 2010. M.P: Dr. Jorge Iván Palacio </w:t>
      </w:r>
      <w:r w:rsidRPr="00D518B6">
        <w:rPr>
          <w:rFonts w:ascii="Verdana" w:hAnsi="Verdana"/>
          <w:sz w:val="16"/>
          <w:szCs w:val="16"/>
        </w:rPr>
        <w:t xml:space="preserve">Palacio. Disponible en: </w:t>
      </w:r>
      <w:hyperlink r:id="rId5" w:history="1">
        <w:r w:rsidRPr="00D518B6">
          <w:rPr>
            <w:rStyle w:val="Hipervnculo"/>
            <w:rFonts w:ascii="Verdana" w:hAnsi="Verdana"/>
            <w:sz w:val="16"/>
            <w:szCs w:val="16"/>
          </w:rPr>
          <w:t>https://www.corteconstitucional.gov.co/relatoria/2010/c-819-10.htm</w:t>
        </w:r>
      </w:hyperlink>
      <w:r w:rsidRPr="00D518B6">
        <w:rPr>
          <w:rFonts w:ascii="Verdana" w:hAnsi="Verdana"/>
          <w:sz w:val="16"/>
          <w:szCs w:val="16"/>
        </w:rPr>
        <w:t xml:space="preserve"> </w:t>
      </w:r>
    </w:p>
  </w:footnote>
  <w:footnote w:id="17">
    <w:p w14:paraId="09EC5CF7" w14:textId="77777777" w:rsidR="003C5CF2" w:rsidRPr="00D518B6" w:rsidRDefault="003C5CF2" w:rsidP="003C5CF2">
      <w:pPr>
        <w:pStyle w:val="Textonotapie"/>
        <w:ind w:firstLine="709"/>
        <w:jc w:val="both"/>
        <w:rPr>
          <w:rFonts w:ascii="Verdana" w:hAnsi="Verdana"/>
          <w:sz w:val="16"/>
          <w:szCs w:val="16"/>
          <w:lang w:val="es-CO"/>
        </w:rPr>
      </w:pPr>
      <w:r w:rsidRPr="00D518B6">
        <w:rPr>
          <w:rStyle w:val="Refdenotaalpie"/>
          <w:rFonts w:ascii="Verdana" w:hAnsi="Verdana"/>
          <w:sz w:val="16"/>
          <w:szCs w:val="16"/>
        </w:rPr>
        <w:footnoteRef/>
      </w:r>
      <w:r w:rsidRPr="00D518B6">
        <w:rPr>
          <w:rFonts w:ascii="Verdana" w:hAnsi="Verdana"/>
          <w:sz w:val="16"/>
          <w:szCs w:val="16"/>
        </w:rPr>
        <w:t xml:space="preserve"> </w:t>
      </w:r>
      <w:r w:rsidRPr="00D518B6">
        <w:rPr>
          <w:rFonts w:ascii="Verdana" w:hAnsi="Verdana"/>
          <w:sz w:val="16"/>
          <w:szCs w:val="16"/>
          <w:lang w:val="es-CO"/>
        </w:rPr>
        <w:t xml:space="preserve">Disponible en: </w:t>
      </w:r>
      <w:hyperlink r:id="rId6" w:history="1">
        <w:r w:rsidRPr="00D518B6">
          <w:rPr>
            <w:rStyle w:val="Hipervnculo"/>
            <w:rFonts w:ascii="Verdana" w:hAnsi="Verdana"/>
            <w:sz w:val="16"/>
            <w:szCs w:val="16"/>
            <w:lang w:val="es-CO"/>
          </w:rPr>
          <w:t>https://www.colombiacompra.gov.co/archivos/transparencia/decreto-0287-de-2026-por-el-cual-se-modifican-los-articulos-2-2-1-2-4-2-6-2-2-1-2-4-2-7-y-2-2-1-2-4-2-8-del-decreto-1082-de-2015-unico-reglamentario-del-sector-administrativo-de-planeacion-en</w:t>
        </w:r>
      </w:hyperlink>
      <w:r w:rsidRPr="00D518B6">
        <w:rPr>
          <w:rFonts w:ascii="Verdana" w:hAnsi="Verdana"/>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 w:numId="21" w16cid:durableId="13486763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4F27"/>
    <w:rsid w:val="000059C7"/>
    <w:rsid w:val="0000623B"/>
    <w:rsid w:val="0001207A"/>
    <w:rsid w:val="000129BD"/>
    <w:rsid w:val="00014503"/>
    <w:rsid w:val="00015B0F"/>
    <w:rsid w:val="00016E96"/>
    <w:rsid w:val="00016F78"/>
    <w:rsid w:val="00021AF8"/>
    <w:rsid w:val="00022C40"/>
    <w:rsid w:val="000237C0"/>
    <w:rsid w:val="00024309"/>
    <w:rsid w:val="00025026"/>
    <w:rsid w:val="000272FE"/>
    <w:rsid w:val="000305F3"/>
    <w:rsid w:val="00030C1E"/>
    <w:rsid w:val="00031FA0"/>
    <w:rsid w:val="0003312C"/>
    <w:rsid w:val="000339E5"/>
    <w:rsid w:val="0003557B"/>
    <w:rsid w:val="0003697D"/>
    <w:rsid w:val="00042E1B"/>
    <w:rsid w:val="00043D1A"/>
    <w:rsid w:val="00046945"/>
    <w:rsid w:val="00052937"/>
    <w:rsid w:val="000603C6"/>
    <w:rsid w:val="00061B2A"/>
    <w:rsid w:val="00064699"/>
    <w:rsid w:val="00067E65"/>
    <w:rsid w:val="000705EB"/>
    <w:rsid w:val="00070788"/>
    <w:rsid w:val="000759FD"/>
    <w:rsid w:val="00081679"/>
    <w:rsid w:val="00082362"/>
    <w:rsid w:val="000875D7"/>
    <w:rsid w:val="000978B2"/>
    <w:rsid w:val="000A604B"/>
    <w:rsid w:val="000A683E"/>
    <w:rsid w:val="000B19B9"/>
    <w:rsid w:val="000B4479"/>
    <w:rsid w:val="000B4777"/>
    <w:rsid w:val="000B7AC4"/>
    <w:rsid w:val="000C0DDC"/>
    <w:rsid w:val="000C1C20"/>
    <w:rsid w:val="000C2918"/>
    <w:rsid w:val="000C79DC"/>
    <w:rsid w:val="000D0334"/>
    <w:rsid w:val="000D1CBA"/>
    <w:rsid w:val="000D5DA7"/>
    <w:rsid w:val="000E09E2"/>
    <w:rsid w:val="000E7846"/>
    <w:rsid w:val="000F6486"/>
    <w:rsid w:val="000F72D2"/>
    <w:rsid w:val="00100FCF"/>
    <w:rsid w:val="0010264D"/>
    <w:rsid w:val="00102DCC"/>
    <w:rsid w:val="001142C0"/>
    <w:rsid w:val="00116940"/>
    <w:rsid w:val="00123E0E"/>
    <w:rsid w:val="00125105"/>
    <w:rsid w:val="00127233"/>
    <w:rsid w:val="00135350"/>
    <w:rsid w:val="001439A9"/>
    <w:rsid w:val="001511E4"/>
    <w:rsid w:val="00152253"/>
    <w:rsid w:val="00152C22"/>
    <w:rsid w:val="00152EFE"/>
    <w:rsid w:val="001540AF"/>
    <w:rsid w:val="00155335"/>
    <w:rsid w:val="0015699B"/>
    <w:rsid w:val="00156D43"/>
    <w:rsid w:val="001642BF"/>
    <w:rsid w:val="00185D51"/>
    <w:rsid w:val="00196708"/>
    <w:rsid w:val="001A33BF"/>
    <w:rsid w:val="001A4394"/>
    <w:rsid w:val="001A4B17"/>
    <w:rsid w:val="001A681B"/>
    <w:rsid w:val="001B3C5D"/>
    <w:rsid w:val="001B65B7"/>
    <w:rsid w:val="001E091C"/>
    <w:rsid w:val="001E166A"/>
    <w:rsid w:val="001E4177"/>
    <w:rsid w:val="001F0B24"/>
    <w:rsid w:val="001F61C0"/>
    <w:rsid w:val="001F6AE7"/>
    <w:rsid w:val="001F7DC6"/>
    <w:rsid w:val="00200074"/>
    <w:rsid w:val="00200374"/>
    <w:rsid w:val="00201242"/>
    <w:rsid w:val="00201758"/>
    <w:rsid w:val="00207570"/>
    <w:rsid w:val="0021009C"/>
    <w:rsid w:val="0021115E"/>
    <w:rsid w:val="00211953"/>
    <w:rsid w:val="00212160"/>
    <w:rsid w:val="00212451"/>
    <w:rsid w:val="00221C61"/>
    <w:rsid w:val="0022343A"/>
    <w:rsid w:val="00223F0A"/>
    <w:rsid w:val="0022400B"/>
    <w:rsid w:val="00232DDC"/>
    <w:rsid w:val="00241423"/>
    <w:rsid w:val="00241E65"/>
    <w:rsid w:val="002421BB"/>
    <w:rsid w:val="00242452"/>
    <w:rsid w:val="00242C03"/>
    <w:rsid w:val="002508EF"/>
    <w:rsid w:val="00252F69"/>
    <w:rsid w:val="00256F70"/>
    <w:rsid w:val="0025796E"/>
    <w:rsid w:val="00267922"/>
    <w:rsid w:val="002707A2"/>
    <w:rsid w:val="00270BA0"/>
    <w:rsid w:val="00270D03"/>
    <w:rsid w:val="00285AB0"/>
    <w:rsid w:val="0028718B"/>
    <w:rsid w:val="00291ABB"/>
    <w:rsid w:val="002923D2"/>
    <w:rsid w:val="00293DAE"/>
    <w:rsid w:val="002951A0"/>
    <w:rsid w:val="002962BC"/>
    <w:rsid w:val="002A093D"/>
    <w:rsid w:val="002A0DD0"/>
    <w:rsid w:val="002A20DD"/>
    <w:rsid w:val="002A3E74"/>
    <w:rsid w:val="002A4029"/>
    <w:rsid w:val="002A49AC"/>
    <w:rsid w:val="002A5618"/>
    <w:rsid w:val="002A64FD"/>
    <w:rsid w:val="002C0C08"/>
    <w:rsid w:val="002C1BBB"/>
    <w:rsid w:val="002C207B"/>
    <w:rsid w:val="002C4576"/>
    <w:rsid w:val="002C7A84"/>
    <w:rsid w:val="002D76BC"/>
    <w:rsid w:val="002E183C"/>
    <w:rsid w:val="002E2BF8"/>
    <w:rsid w:val="002E48C0"/>
    <w:rsid w:val="002E4FD9"/>
    <w:rsid w:val="002E6065"/>
    <w:rsid w:val="002E6211"/>
    <w:rsid w:val="002F070F"/>
    <w:rsid w:val="002F22AD"/>
    <w:rsid w:val="00300FF2"/>
    <w:rsid w:val="0030657A"/>
    <w:rsid w:val="00307054"/>
    <w:rsid w:val="00315578"/>
    <w:rsid w:val="003174B9"/>
    <w:rsid w:val="0031759C"/>
    <w:rsid w:val="00317640"/>
    <w:rsid w:val="003211AC"/>
    <w:rsid w:val="00322A85"/>
    <w:rsid w:val="0032386A"/>
    <w:rsid w:val="00324168"/>
    <w:rsid w:val="00325197"/>
    <w:rsid w:val="003270EB"/>
    <w:rsid w:val="00330834"/>
    <w:rsid w:val="00331D08"/>
    <w:rsid w:val="00332493"/>
    <w:rsid w:val="00333E92"/>
    <w:rsid w:val="003402DD"/>
    <w:rsid w:val="00341ABD"/>
    <w:rsid w:val="003448F4"/>
    <w:rsid w:val="00344C7B"/>
    <w:rsid w:val="00345822"/>
    <w:rsid w:val="0034693C"/>
    <w:rsid w:val="003530D8"/>
    <w:rsid w:val="00353C74"/>
    <w:rsid w:val="00354BF4"/>
    <w:rsid w:val="00360AD4"/>
    <w:rsid w:val="00364966"/>
    <w:rsid w:val="00366CCF"/>
    <w:rsid w:val="00370640"/>
    <w:rsid w:val="003724A1"/>
    <w:rsid w:val="00374F5E"/>
    <w:rsid w:val="00374FD2"/>
    <w:rsid w:val="00376358"/>
    <w:rsid w:val="00376DC9"/>
    <w:rsid w:val="00377E3E"/>
    <w:rsid w:val="00394B90"/>
    <w:rsid w:val="003A779E"/>
    <w:rsid w:val="003B624C"/>
    <w:rsid w:val="003C458F"/>
    <w:rsid w:val="003C5CF2"/>
    <w:rsid w:val="003C5D1C"/>
    <w:rsid w:val="003D0F4D"/>
    <w:rsid w:val="003D5B0D"/>
    <w:rsid w:val="003D5CF1"/>
    <w:rsid w:val="003E0499"/>
    <w:rsid w:val="003E2BDD"/>
    <w:rsid w:val="003E4F80"/>
    <w:rsid w:val="003E6439"/>
    <w:rsid w:val="003F2A16"/>
    <w:rsid w:val="003F3941"/>
    <w:rsid w:val="004057C1"/>
    <w:rsid w:val="00406575"/>
    <w:rsid w:val="00406C62"/>
    <w:rsid w:val="00411C79"/>
    <w:rsid w:val="0041216B"/>
    <w:rsid w:val="00412A0D"/>
    <w:rsid w:val="0041387F"/>
    <w:rsid w:val="00413BA2"/>
    <w:rsid w:val="00414C74"/>
    <w:rsid w:val="00415096"/>
    <w:rsid w:val="00415772"/>
    <w:rsid w:val="004243CF"/>
    <w:rsid w:val="00426C2C"/>
    <w:rsid w:val="0042722E"/>
    <w:rsid w:val="00431CED"/>
    <w:rsid w:val="0043267F"/>
    <w:rsid w:val="004416CA"/>
    <w:rsid w:val="004419C6"/>
    <w:rsid w:val="0044528D"/>
    <w:rsid w:val="00446CCD"/>
    <w:rsid w:val="00446E9F"/>
    <w:rsid w:val="00454524"/>
    <w:rsid w:val="00456DDC"/>
    <w:rsid w:val="00461407"/>
    <w:rsid w:val="0046297E"/>
    <w:rsid w:val="00465900"/>
    <w:rsid w:val="00466E39"/>
    <w:rsid w:val="00472AD0"/>
    <w:rsid w:val="00482194"/>
    <w:rsid w:val="00484662"/>
    <w:rsid w:val="00490D98"/>
    <w:rsid w:val="00496671"/>
    <w:rsid w:val="004A1847"/>
    <w:rsid w:val="004A2AFC"/>
    <w:rsid w:val="004A305D"/>
    <w:rsid w:val="004A328A"/>
    <w:rsid w:val="004B7044"/>
    <w:rsid w:val="004C0600"/>
    <w:rsid w:val="004C2794"/>
    <w:rsid w:val="004C2BC6"/>
    <w:rsid w:val="004C6D25"/>
    <w:rsid w:val="004C7CF0"/>
    <w:rsid w:val="004D2107"/>
    <w:rsid w:val="004D4F05"/>
    <w:rsid w:val="004D5DD8"/>
    <w:rsid w:val="004D6032"/>
    <w:rsid w:val="004E3ABD"/>
    <w:rsid w:val="004F21C4"/>
    <w:rsid w:val="004F3FEE"/>
    <w:rsid w:val="004F441B"/>
    <w:rsid w:val="004F685F"/>
    <w:rsid w:val="0050097B"/>
    <w:rsid w:val="005018A2"/>
    <w:rsid w:val="0050712A"/>
    <w:rsid w:val="00512C05"/>
    <w:rsid w:val="0053024B"/>
    <w:rsid w:val="00533C31"/>
    <w:rsid w:val="00534146"/>
    <w:rsid w:val="0053524F"/>
    <w:rsid w:val="00536739"/>
    <w:rsid w:val="0055082D"/>
    <w:rsid w:val="00555EA5"/>
    <w:rsid w:val="005566E8"/>
    <w:rsid w:val="00561A43"/>
    <w:rsid w:val="00574643"/>
    <w:rsid w:val="00574867"/>
    <w:rsid w:val="0057719F"/>
    <w:rsid w:val="005807A6"/>
    <w:rsid w:val="005862D4"/>
    <w:rsid w:val="00591460"/>
    <w:rsid w:val="00595458"/>
    <w:rsid w:val="005A24AF"/>
    <w:rsid w:val="005A65E0"/>
    <w:rsid w:val="005B0137"/>
    <w:rsid w:val="005B43A7"/>
    <w:rsid w:val="005B4DB5"/>
    <w:rsid w:val="005C3777"/>
    <w:rsid w:val="005C4DC4"/>
    <w:rsid w:val="005C5CDC"/>
    <w:rsid w:val="005D1550"/>
    <w:rsid w:val="005D476C"/>
    <w:rsid w:val="005D5656"/>
    <w:rsid w:val="005D5C24"/>
    <w:rsid w:val="005E40D6"/>
    <w:rsid w:val="005F1413"/>
    <w:rsid w:val="005F2032"/>
    <w:rsid w:val="005F5D71"/>
    <w:rsid w:val="00602BB9"/>
    <w:rsid w:val="00610AC3"/>
    <w:rsid w:val="00617608"/>
    <w:rsid w:val="006200BF"/>
    <w:rsid w:val="0062050D"/>
    <w:rsid w:val="006219F8"/>
    <w:rsid w:val="006227C1"/>
    <w:rsid w:val="00624C07"/>
    <w:rsid w:val="00625A5D"/>
    <w:rsid w:val="006262B6"/>
    <w:rsid w:val="006302F7"/>
    <w:rsid w:val="006332FF"/>
    <w:rsid w:val="00633FB4"/>
    <w:rsid w:val="006351FC"/>
    <w:rsid w:val="006358B8"/>
    <w:rsid w:val="0064233F"/>
    <w:rsid w:val="00643E18"/>
    <w:rsid w:val="00646B9F"/>
    <w:rsid w:val="00647206"/>
    <w:rsid w:val="006534ED"/>
    <w:rsid w:val="006547FD"/>
    <w:rsid w:val="00660B7B"/>
    <w:rsid w:val="00663328"/>
    <w:rsid w:val="00664617"/>
    <w:rsid w:val="00664DA6"/>
    <w:rsid w:val="00665D70"/>
    <w:rsid w:val="006670C6"/>
    <w:rsid w:val="0066789E"/>
    <w:rsid w:val="00670DE8"/>
    <w:rsid w:val="0067223D"/>
    <w:rsid w:val="00673803"/>
    <w:rsid w:val="00675C12"/>
    <w:rsid w:val="006836FE"/>
    <w:rsid w:val="0068418D"/>
    <w:rsid w:val="00684BAF"/>
    <w:rsid w:val="00685A0A"/>
    <w:rsid w:val="00687913"/>
    <w:rsid w:val="006900D9"/>
    <w:rsid w:val="00690DB6"/>
    <w:rsid w:val="00696B3E"/>
    <w:rsid w:val="00697080"/>
    <w:rsid w:val="006977E7"/>
    <w:rsid w:val="00697917"/>
    <w:rsid w:val="006A0406"/>
    <w:rsid w:val="006A528A"/>
    <w:rsid w:val="006B0744"/>
    <w:rsid w:val="006B28CC"/>
    <w:rsid w:val="006B5C6C"/>
    <w:rsid w:val="006B5D20"/>
    <w:rsid w:val="006C3D85"/>
    <w:rsid w:val="006C4B1D"/>
    <w:rsid w:val="006C5904"/>
    <w:rsid w:val="006D1776"/>
    <w:rsid w:val="006D725F"/>
    <w:rsid w:val="006E12FC"/>
    <w:rsid w:val="006F3513"/>
    <w:rsid w:val="006F5EF2"/>
    <w:rsid w:val="007033DD"/>
    <w:rsid w:val="00706C16"/>
    <w:rsid w:val="007073AA"/>
    <w:rsid w:val="00713BC1"/>
    <w:rsid w:val="007259BD"/>
    <w:rsid w:val="00725F48"/>
    <w:rsid w:val="007340C3"/>
    <w:rsid w:val="007363E2"/>
    <w:rsid w:val="00741F7C"/>
    <w:rsid w:val="00744F31"/>
    <w:rsid w:val="007452FF"/>
    <w:rsid w:val="00751753"/>
    <w:rsid w:val="0075235A"/>
    <w:rsid w:val="00752B17"/>
    <w:rsid w:val="00756841"/>
    <w:rsid w:val="00757A63"/>
    <w:rsid w:val="00760C9F"/>
    <w:rsid w:val="00761410"/>
    <w:rsid w:val="007649AB"/>
    <w:rsid w:val="00765262"/>
    <w:rsid w:val="00767E76"/>
    <w:rsid w:val="0077000C"/>
    <w:rsid w:val="00771D0C"/>
    <w:rsid w:val="00772972"/>
    <w:rsid w:val="00772F3B"/>
    <w:rsid w:val="007735DE"/>
    <w:rsid w:val="0077474C"/>
    <w:rsid w:val="00776EA9"/>
    <w:rsid w:val="00782E4A"/>
    <w:rsid w:val="007833AC"/>
    <w:rsid w:val="007852C5"/>
    <w:rsid w:val="00792A37"/>
    <w:rsid w:val="00793BD3"/>
    <w:rsid w:val="007A07C2"/>
    <w:rsid w:val="007A6AC8"/>
    <w:rsid w:val="007A70B9"/>
    <w:rsid w:val="007B268C"/>
    <w:rsid w:val="007B31F5"/>
    <w:rsid w:val="007B62D4"/>
    <w:rsid w:val="007B7171"/>
    <w:rsid w:val="007B75F9"/>
    <w:rsid w:val="007C0C0F"/>
    <w:rsid w:val="007C3DC2"/>
    <w:rsid w:val="007C6E53"/>
    <w:rsid w:val="007C7778"/>
    <w:rsid w:val="007D3E3D"/>
    <w:rsid w:val="007E2223"/>
    <w:rsid w:val="007E5497"/>
    <w:rsid w:val="008007D9"/>
    <w:rsid w:val="00801331"/>
    <w:rsid w:val="00804A99"/>
    <w:rsid w:val="00804AD3"/>
    <w:rsid w:val="00806F5F"/>
    <w:rsid w:val="00807681"/>
    <w:rsid w:val="008117D9"/>
    <w:rsid w:val="00811E15"/>
    <w:rsid w:val="00820278"/>
    <w:rsid w:val="00820A1B"/>
    <w:rsid w:val="0082229D"/>
    <w:rsid w:val="008258C9"/>
    <w:rsid w:val="00826017"/>
    <w:rsid w:val="008332CA"/>
    <w:rsid w:val="008433AE"/>
    <w:rsid w:val="00844AE9"/>
    <w:rsid w:val="00851566"/>
    <w:rsid w:val="00854BD3"/>
    <w:rsid w:val="00856DA9"/>
    <w:rsid w:val="008576BF"/>
    <w:rsid w:val="00866DD0"/>
    <w:rsid w:val="00867F95"/>
    <w:rsid w:val="008763ED"/>
    <w:rsid w:val="00880CC7"/>
    <w:rsid w:val="00881C41"/>
    <w:rsid w:val="008834D7"/>
    <w:rsid w:val="008843B6"/>
    <w:rsid w:val="00884B18"/>
    <w:rsid w:val="00885569"/>
    <w:rsid w:val="00886F85"/>
    <w:rsid w:val="00891928"/>
    <w:rsid w:val="008969AF"/>
    <w:rsid w:val="00897B13"/>
    <w:rsid w:val="008A446D"/>
    <w:rsid w:val="008B25F1"/>
    <w:rsid w:val="008B2C76"/>
    <w:rsid w:val="008B7091"/>
    <w:rsid w:val="008B7765"/>
    <w:rsid w:val="008C138B"/>
    <w:rsid w:val="008C1460"/>
    <w:rsid w:val="008D0043"/>
    <w:rsid w:val="008D0137"/>
    <w:rsid w:val="008D025A"/>
    <w:rsid w:val="008D12DD"/>
    <w:rsid w:val="008D180B"/>
    <w:rsid w:val="008E0213"/>
    <w:rsid w:val="008E2BC2"/>
    <w:rsid w:val="008E5128"/>
    <w:rsid w:val="008F0EA7"/>
    <w:rsid w:val="008F54B0"/>
    <w:rsid w:val="008F5EB5"/>
    <w:rsid w:val="008F667B"/>
    <w:rsid w:val="00901496"/>
    <w:rsid w:val="00901EF5"/>
    <w:rsid w:val="00903305"/>
    <w:rsid w:val="00903F61"/>
    <w:rsid w:val="009046D2"/>
    <w:rsid w:val="0090650D"/>
    <w:rsid w:val="00910CD1"/>
    <w:rsid w:val="009110D3"/>
    <w:rsid w:val="00915323"/>
    <w:rsid w:val="00916967"/>
    <w:rsid w:val="009179FE"/>
    <w:rsid w:val="00923A97"/>
    <w:rsid w:val="00923EEF"/>
    <w:rsid w:val="00924DB5"/>
    <w:rsid w:val="0093530E"/>
    <w:rsid w:val="009419F9"/>
    <w:rsid w:val="0094469E"/>
    <w:rsid w:val="009450CD"/>
    <w:rsid w:val="0095685E"/>
    <w:rsid w:val="00960467"/>
    <w:rsid w:val="00961B09"/>
    <w:rsid w:val="00963C82"/>
    <w:rsid w:val="00964A8C"/>
    <w:rsid w:val="00965334"/>
    <w:rsid w:val="00965782"/>
    <w:rsid w:val="0096590E"/>
    <w:rsid w:val="0097093E"/>
    <w:rsid w:val="00984D96"/>
    <w:rsid w:val="00987C13"/>
    <w:rsid w:val="009927E8"/>
    <w:rsid w:val="009967A3"/>
    <w:rsid w:val="009A055B"/>
    <w:rsid w:val="009A0AA5"/>
    <w:rsid w:val="009A0DFA"/>
    <w:rsid w:val="009A1C6F"/>
    <w:rsid w:val="009A36B0"/>
    <w:rsid w:val="009A7AFB"/>
    <w:rsid w:val="009B2D26"/>
    <w:rsid w:val="009B4E6A"/>
    <w:rsid w:val="009B6C40"/>
    <w:rsid w:val="009C02AD"/>
    <w:rsid w:val="009C6C16"/>
    <w:rsid w:val="009C71FA"/>
    <w:rsid w:val="009C72E7"/>
    <w:rsid w:val="009C7F7E"/>
    <w:rsid w:val="009D042A"/>
    <w:rsid w:val="009D3058"/>
    <w:rsid w:val="009D6BB9"/>
    <w:rsid w:val="009E136B"/>
    <w:rsid w:val="009E20FB"/>
    <w:rsid w:val="009E5872"/>
    <w:rsid w:val="009F2D96"/>
    <w:rsid w:val="009F3A13"/>
    <w:rsid w:val="00A01BE1"/>
    <w:rsid w:val="00A0248B"/>
    <w:rsid w:val="00A122D3"/>
    <w:rsid w:val="00A13A93"/>
    <w:rsid w:val="00A14468"/>
    <w:rsid w:val="00A17F13"/>
    <w:rsid w:val="00A20739"/>
    <w:rsid w:val="00A21BC0"/>
    <w:rsid w:val="00A23AF9"/>
    <w:rsid w:val="00A26B4F"/>
    <w:rsid w:val="00A33C78"/>
    <w:rsid w:val="00A3674A"/>
    <w:rsid w:val="00A3759A"/>
    <w:rsid w:val="00A4000E"/>
    <w:rsid w:val="00A410E9"/>
    <w:rsid w:val="00A41B71"/>
    <w:rsid w:val="00A426E7"/>
    <w:rsid w:val="00A53E5C"/>
    <w:rsid w:val="00A560D5"/>
    <w:rsid w:val="00A61475"/>
    <w:rsid w:val="00A62F8E"/>
    <w:rsid w:val="00A63419"/>
    <w:rsid w:val="00A66049"/>
    <w:rsid w:val="00A709D5"/>
    <w:rsid w:val="00A72007"/>
    <w:rsid w:val="00A74B30"/>
    <w:rsid w:val="00A825CF"/>
    <w:rsid w:val="00A84C29"/>
    <w:rsid w:val="00A86033"/>
    <w:rsid w:val="00A93044"/>
    <w:rsid w:val="00AA3D12"/>
    <w:rsid w:val="00AA5352"/>
    <w:rsid w:val="00AB0ADB"/>
    <w:rsid w:val="00AB4E6C"/>
    <w:rsid w:val="00AC0754"/>
    <w:rsid w:val="00AC3513"/>
    <w:rsid w:val="00AD1A05"/>
    <w:rsid w:val="00AD20E6"/>
    <w:rsid w:val="00AD229F"/>
    <w:rsid w:val="00AD323B"/>
    <w:rsid w:val="00AD58FD"/>
    <w:rsid w:val="00AD7BB1"/>
    <w:rsid w:val="00AE1BA6"/>
    <w:rsid w:val="00AE6150"/>
    <w:rsid w:val="00AE626F"/>
    <w:rsid w:val="00AF0656"/>
    <w:rsid w:val="00AF0D33"/>
    <w:rsid w:val="00AF1760"/>
    <w:rsid w:val="00B00C0E"/>
    <w:rsid w:val="00B00C5F"/>
    <w:rsid w:val="00B01B1A"/>
    <w:rsid w:val="00B0381D"/>
    <w:rsid w:val="00B05831"/>
    <w:rsid w:val="00B06F2D"/>
    <w:rsid w:val="00B13146"/>
    <w:rsid w:val="00B25B10"/>
    <w:rsid w:val="00B3133A"/>
    <w:rsid w:val="00B31F9B"/>
    <w:rsid w:val="00B33ABB"/>
    <w:rsid w:val="00B36620"/>
    <w:rsid w:val="00B372C3"/>
    <w:rsid w:val="00B41E9A"/>
    <w:rsid w:val="00B44A47"/>
    <w:rsid w:val="00B44AC0"/>
    <w:rsid w:val="00B46620"/>
    <w:rsid w:val="00B46ED1"/>
    <w:rsid w:val="00B52F1C"/>
    <w:rsid w:val="00B53264"/>
    <w:rsid w:val="00B54136"/>
    <w:rsid w:val="00B573AC"/>
    <w:rsid w:val="00B57BC2"/>
    <w:rsid w:val="00B64BB4"/>
    <w:rsid w:val="00B72CD3"/>
    <w:rsid w:val="00B72FFF"/>
    <w:rsid w:val="00B73617"/>
    <w:rsid w:val="00B774A7"/>
    <w:rsid w:val="00B8542D"/>
    <w:rsid w:val="00B90AC8"/>
    <w:rsid w:val="00B92A85"/>
    <w:rsid w:val="00B976A2"/>
    <w:rsid w:val="00BA0E9F"/>
    <w:rsid w:val="00BA18E8"/>
    <w:rsid w:val="00BA6536"/>
    <w:rsid w:val="00BA67FD"/>
    <w:rsid w:val="00BA767E"/>
    <w:rsid w:val="00BB26E9"/>
    <w:rsid w:val="00BB6C7B"/>
    <w:rsid w:val="00BC3D36"/>
    <w:rsid w:val="00BC6EEA"/>
    <w:rsid w:val="00BD0AE2"/>
    <w:rsid w:val="00BD2EF9"/>
    <w:rsid w:val="00BD3F1C"/>
    <w:rsid w:val="00BD54A6"/>
    <w:rsid w:val="00BD7F72"/>
    <w:rsid w:val="00BE5525"/>
    <w:rsid w:val="00BE7E5F"/>
    <w:rsid w:val="00BF4213"/>
    <w:rsid w:val="00BF7425"/>
    <w:rsid w:val="00C02240"/>
    <w:rsid w:val="00C04FB3"/>
    <w:rsid w:val="00C07BA5"/>
    <w:rsid w:val="00C11D8B"/>
    <w:rsid w:val="00C15139"/>
    <w:rsid w:val="00C217D2"/>
    <w:rsid w:val="00C22E7D"/>
    <w:rsid w:val="00C26BD9"/>
    <w:rsid w:val="00C26D25"/>
    <w:rsid w:val="00C30A3D"/>
    <w:rsid w:val="00C330EB"/>
    <w:rsid w:val="00C368AA"/>
    <w:rsid w:val="00C37A9C"/>
    <w:rsid w:val="00C41D53"/>
    <w:rsid w:val="00C42155"/>
    <w:rsid w:val="00C432C3"/>
    <w:rsid w:val="00C50D69"/>
    <w:rsid w:val="00C52A84"/>
    <w:rsid w:val="00C5365C"/>
    <w:rsid w:val="00C54C43"/>
    <w:rsid w:val="00C6718E"/>
    <w:rsid w:val="00C71EB6"/>
    <w:rsid w:val="00C754BE"/>
    <w:rsid w:val="00C76B1C"/>
    <w:rsid w:val="00C80535"/>
    <w:rsid w:val="00C846F5"/>
    <w:rsid w:val="00C925AC"/>
    <w:rsid w:val="00C92A6B"/>
    <w:rsid w:val="00C97E3A"/>
    <w:rsid w:val="00CA1AF7"/>
    <w:rsid w:val="00CA640D"/>
    <w:rsid w:val="00CB49AB"/>
    <w:rsid w:val="00CB6357"/>
    <w:rsid w:val="00CB7CAA"/>
    <w:rsid w:val="00CC182C"/>
    <w:rsid w:val="00CC1B26"/>
    <w:rsid w:val="00CC1F75"/>
    <w:rsid w:val="00CC2C28"/>
    <w:rsid w:val="00CC5886"/>
    <w:rsid w:val="00CD37E2"/>
    <w:rsid w:val="00CD3A52"/>
    <w:rsid w:val="00CD6353"/>
    <w:rsid w:val="00CE0CD6"/>
    <w:rsid w:val="00CE5DB0"/>
    <w:rsid w:val="00CF1EE0"/>
    <w:rsid w:val="00CF4A16"/>
    <w:rsid w:val="00CF6779"/>
    <w:rsid w:val="00CF7370"/>
    <w:rsid w:val="00D05048"/>
    <w:rsid w:val="00D10509"/>
    <w:rsid w:val="00D150C0"/>
    <w:rsid w:val="00D22B19"/>
    <w:rsid w:val="00D25885"/>
    <w:rsid w:val="00D2749F"/>
    <w:rsid w:val="00D31406"/>
    <w:rsid w:val="00D35021"/>
    <w:rsid w:val="00D3535C"/>
    <w:rsid w:val="00D357FA"/>
    <w:rsid w:val="00D361FD"/>
    <w:rsid w:val="00D40887"/>
    <w:rsid w:val="00D423A2"/>
    <w:rsid w:val="00D44E26"/>
    <w:rsid w:val="00D4657C"/>
    <w:rsid w:val="00D5189B"/>
    <w:rsid w:val="00D518B6"/>
    <w:rsid w:val="00D520D8"/>
    <w:rsid w:val="00D5412B"/>
    <w:rsid w:val="00D54C3B"/>
    <w:rsid w:val="00D558A8"/>
    <w:rsid w:val="00D60C18"/>
    <w:rsid w:val="00D63AC2"/>
    <w:rsid w:val="00D66D81"/>
    <w:rsid w:val="00D7383B"/>
    <w:rsid w:val="00D73C8C"/>
    <w:rsid w:val="00D7788A"/>
    <w:rsid w:val="00D84F30"/>
    <w:rsid w:val="00D9068E"/>
    <w:rsid w:val="00D95793"/>
    <w:rsid w:val="00D96956"/>
    <w:rsid w:val="00DA1793"/>
    <w:rsid w:val="00DA231B"/>
    <w:rsid w:val="00DA4CB6"/>
    <w:rsid w:val="00DA7750"/>
    <w:rsid w:val="00DB0051"/>
    <w:rsid w:val="00DB0CC7"/>
    <w:rsid w:val="00DC1D8B"/>
    <w:rsid w:val="00DC2756"/>
    <w:rsid w:val="00DC39FC"/>
    <w:rsid w:val="00DC62CC"/>
    <w:rsid w:val="00DD0A15"/>
    <w:rsid w:val="00DD7B83"/>
    <w:rsid w:val="00DF1F0B"/>
    <w:rsid w:val="00DF5254"/>
    <w:rsid w:val="00E01DF9"/>
    <w:rsid w:val="00E02524"/>
    <w:rsid w:val="00E06AEC"/>
    <w:rsid w:val="00E16408"/>
    <w:rsid w:val="00E20894"/>
    <w:rsid w:val="00E21B47"/>
    <w:rsid w:val="00E245AB"/>
    <w:rsid w:val="00E2764C"/>
    <w:rsid w:val="00E27F2E"/>
    <w:rsid w:val="00E3524B"/>
    <w:rsid w:val="00E401E6"/>
    <w:rsid w:val="00E404F6"/>
    <w:rsid w:val="00E50AFE"/>
    <w:rsid w:val="00E513DB"/>
    <w:rsid w:val="00E60FF9"/>
    <w:rsid w:val="00E63384"/>
    <w:rsid w:val="00E63921"/>
    <w:rsid w:val="00E66891"/>
    <w:rsid w:val="00E75C92"/>
    <w:rsid w:val="00E771DC"/>
    <w:rsid w:val="00E84709"/>
    <w:rsid w:val="00E8772A"/>
    <w:rsid w:val="00E90F6B"/>
    <w:rsid w:val="00E92C27"/>
    <w:rsid w:val="00E9436F"/>
    <w:rsid w:val="00EA09E7"/>
    <w:rsid w:val="00EA0E3D"/>
    <w:rsid w:val="00EA113C"/>
    <w:rsid w:val="00EA2384"/>
    <w:rsid w:val="00EA4983"/>
    <w:rsid w:val="00EB0A1F"/>
    <w:rsid w:val="00EB5F37"/>
    <w:rsid w:val="00EC38A7"/>
    <w:rsid w:val="00EC439B"/>
    <w:rsid w:val="00EC6602"/>
    <w:rsid w:val="00ED385E"/>
    <w:rsid w:val="00EE1966"/>
    <w:rsid w:val="00EE1AA8"/>
    <w:rsid w:val="00EE6D78"/>
    <w:rsid w:val="00F115C2"/>
    <w:rsid w:val="00F119B0"/>
    <w:rsid w:val="00F16D67"/>
    <w:rsid w:val="00F23FEA"/>
    <w:rsid w:val="00F301D9"/>
    <w:rsid w:val="00F31EDC"/>
    <w:rsid w:val="00F3264F"/>
    <w:rsid w:val="00F462B3"/>
    <w:rsid w:val="00F47452"/>
    <w:rsid w:val="00F51A1A"/>
    <w:rsid w:val="00F5206E"/>
    <w:rsid w:val="00F5664F"/>
    <w:rsid w:val="00F60365"/>
    <w:rsid w:val="00F6398F"/>
    <w:rsid w:val="00F656FA"/>
    <w:rsid w:val="00F666C4"/>
    <w:rsid w:val="00F678F4"/>
    <w:rsid w:val="00F71369"/>
    <w:rsid w:val="00F72D67"/>
    <w:rsid w:val="00F7517A"/>
    <w:rsid w:val="00F7669A"/>
    <w:rsid w:val="00F76AFC"/>
    <w:rsid w:val="00F801E8"/>
    <w:rsid w:val="00F82E0D"/>
    <w:rsid w:val="00F83493"/>
    <w:rsid w:val="00F85C9B"/>
    <w:rsid w:val="00F874E9"/>
    <w:rsid w:val="00F919CB"/>
    <w:rsid w:val="00F92A88"/>
    <w:rsid w:val="00F92B63"/>
    <w:rsid w:val="00F93844"/>
    <w:rsid w:val="00F93B72"/>
    <w:rsid w:val="00F954F7"/>
    <w:rsid w:val="00F95702"/>
    <w:rsid w:val="00F9668D"/>
    <w:rsid w:val="00FA47C0"/>
    <w:rsid w:val="00FB0230"/>
    <w:rsid w:val="00FB45DF"/>
    <w:rsid w:val="00FB548E"/>
    <w:rsid w:val="00FB5DD1"/>
    <w:rsid w:val="00FC2B5D"/>
    <w:rsid w:val="00FC4673"/>
    <w:rsid w:val="00FD0E37"/>
    <w:rsid w:val="00FD5D2B"/>
    <w:rsid w:val="00FD67A8"/>
    <w:rsid w:val="00FD74CB"/>
    <w:rsid w:val="00FF1449"/>
    <w:rsid w:val="00FF35D0"/>
    <w:rsid w:val="00FF40FE"/>
    <w:rsid w:val="00FF4BE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6/04/ABC-Decreto-0287-de-2026-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ubgerencialc@b2babogados.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le.rae.es/dedicaci%C3%B3n" TargetMode="External"/><Relationship Id="rId2" Type="http://schemas.openxmlformats.org/officeDocument/2006/relationships/hyperlink" Target="https://dle.rae.es/exclusivo" TargetMode="External"/><Relationship Id="rId1" Type="http://schemas.openxmlformats.org/officeDocument/2006/relationships/hyperlink" Target="https://dle.rae.es/dedicaci%C3%B3n" TargetMode="External"/><Relationship Id="rId6" Type="http://schemas.openxmlformats.org/officeDocument/2006/relationships/hyperlink" Target="https://www.colombiacompra.gov.co/archivos/transparencia/decreto-0287-de-2026-por-el-cual-se-modifican-los-articulos-2-2-1-2-4-2-6-2-2-1-2-4-2-7-y-2-2-1-2-4-2-8-del-decreto-1082-de-2015-unico-reglamentario-del-sector-administrativo-de-planeacion-en" TargetMode="External"/><Relationship Id="rId5" Type="http://schemas.openxmlformats.org/officeDocument/2006/relationships/hyperlink" Target="https://www.corteconstitucional.gov.co/relatoria/2010/c-819-10.htm" TargetMode="External"/><Relationship Id="rId4" Type="http://schemas.openxmlformats.org/officeDocument/2006/relationships/hyperlink" Target="https://dle.rae.es/exclusiv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24</Pages>
  <Words>8084</Words>
  <Characters>44463</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7</cp:revision>
  <cp:lastPrinted>2023-01-10T18:18:00Z</cp:lastPrinted>
  <dcterms:created xsi:type="dcterms:W3CDTF">2026-05-19T01:57:00Z</dcterms:created>
  <dcterms:modified xsi:type="dcterms:W3CDTF">2026-05-19T02:04:00Z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