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84605" w14:textId="77777777" w:rsidR="002B116F" w:rsidRDefault="002B116F" w:rsidP="30821638">
      <w:pPr>
        <w:spacing w:after="0"/>
        <w:rPr>
          <w:rFonts w:ascii="Verdana" w:eastAsia="Verdana" w:hAnsi="Verdana" w:cs="Verdana"/>
        </w:rPr>
      </w:pPr>
      <w:bookmarkStart w:id="0" w:name="_Hlk143780582"/>
    </w:p>
    <w:p w14:paraId="7EB25F89" w14:textId="77777777" w:rsidR="00C31944" w:rsidRPr="001A2552" w:rsidRDefault="00C31944" w:rsidP="00C31944">
      <w:pPr>
        <w:rPr>
          <w:rFonts w:ascii="Verdana" w:eastAsia="Verdana" w:hAnsi="Verdana" w:cs="Verdana"/>
        </w:rPr>
      </w:pPr>
      <w:r w:rsidRPr="001A2552">
        <w:rPr>
          <w:rFonts w:ascii="Verdana" w:eastAsia="Verdana" w:hAnsi="Verdana" w:cs="Verdana"/>
          <w:b/>
          <w:bCs/>
        </w:rPr>
        <w:t>LEY DE GARANTÍAS ELECTORALES – Finalidad</w:t>
      </w:r>
    </w:p>
    <w:p w14:paraId="789A46A8" w14:textId="7FBA2ACE" w:rsidR="00C31944" w:rsidRPr="001A2552" w:rsidRDefault="00C31944" w:rsidP="00C31944">
      <w:pPr>
        <w:jc w:val="both"/>
        <w:rPr>
          <w:rFonts w:ascii="Verdana" w:eastAsia="Verdana" w:hAnsi="Verdana" w:cs="Verdana"/>
          <w:sz w:val="20"/>
          <w:szCs w:val="20"/>
        </w:rPr>
      </w:pPr>
      <w:r w:rsidRPr="001A2552">
        <w:rPr>
          <w:rFonts w:ascii="Verdana" w:eastAsia="Verdana" w:hAnsi="Verdana" w:cs="Verdana"/>
          <w:sz w:val="20"/>
          <w:szCs w:val="20"/>
        </w:rPr>
        <w:t>[…] la Ley 996 de 2005, conocida como “Ley de Garantías Electorales”, cuyo propósito es asegurar la neutralidad, transparencia e imparcialidad en los procesos electorales. […]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51958E92" w14:textId="77777777" w:rsidR="00C31944" w:rsidRPr="00640361" w:rsidRDefault="00C31944" w:rsidP="00C31944">
      <w:pPr>
        <w:rPr>
          <w:rFonts w:ascii="Verdana" w:eastAsia="Verdana" w:hAnsi="Verdana" w:cs="Verdana"/>
        </w:rPr>
      </w:pPr>
      <w:r w:rsidRPr="00640361">
        <w:rPr>
          <w:rFonts w:ascii="Verdana" w:eastAsia="Verdana" w:hAnsi="Verdana" w:cs="Verdana"/>
          <w:b/>
          <w:bCs/>
        </w:rPr>
        <w:t>LEY DE GARANTÍAS ELECTORALES – Tipos de restricciones – Artículo 33 – Artículo 38</w:t>
      </w:r>
    </w:p>
    <w:p w14:paraId="718B5479" w14:textId="77777777" w:rsidR="00C31944" w:rsidRPr="00640361" w:rsidRDefault="00C31944" w:rsidP="00C31944">
      <w:pPr>
        <w:jc w:val="both"/>
        <w:rPr>
          <w:rFonts w:ascii="Verdana" w:eastAsia="Verdana" w:hAnsi="Verdana" w:cs="Verdana"/>
          <w:sz w:val="20"/>
          <w:szCs w:val="20"/>
        </w:rPr>
      </w:pPr>
      <w:r w:rsidRPr="00640361">
        <w:rPr>
          <w:rFonts w:ascii="Verdana" w:eastAsia="Verdana" w:hAnsi="Verdana" w:cs="Verdana"/>
          <w:sz w:val="20"/>
          <w:szCs w:val="20"/>
        </w:rPr>
        <w:t xml:space="preserve">[…] las restricciones consagradas en la citada Ley se dirigen a dos (2) tipos de campañas electorales claramente diferenciadas: i) las presidenciales y </w:t>
      </w:r>
      <w:proofErr w:type="spellStart"/>
      <w:r w:rsidRPr="00640361">
        <w:rPr>
          <w:rFonts w:ascii="Verdana" w:eastAsia="Verdana" w:hAnsi="Verdana" w:cs="Verdana"/>
          <w:sz w:val="20"/>
          <w:szCs w:val="20"/>
        </w:rPr>
        <w:t>ii</w:t>
      </w:r>
      <w:proofErr w:type="spellEnd"/>
      <w:r w:rsidRPr="00640361">
        <w:rPr>
          <w:rFonts w:ascii="Verdana" w:eastAsia="Verdana" w:hAnsi="Verdana" w:cs="Verdana"/>
          <w:sz w:val="20"/>
          <w:szCs w:val="20"/>
        </w:rPr>
        <w:t>) aquellas correspondientes a la elección de los demás cargos de elección popular, tanto a nivel nacional como territorial.</w:t>
      </w:r>
    </w:p>
    <w:p w14:paraId="09349335" w14:textId="77777777" w:rsidR="00C31944" w:rsidRPr="00640361" w:rsidRDefault="00C31944" w:rsidP="00C31944">
      <w:pPr>
        <w:jc w:val="both"/>
        <w:rPr>
          <w:rFonts w:ascii="Verdana" w:eastAsia="Verdana" w:hAnsi="Verdana" w:cs="Verdana"/>
          <w:sz w:val="20"/>
          <w:szCs w:val="20"/>
        </w:rPr>
      </w:pPr>
      <w:r w:rsidRPr="00640361">
        <w:rPr>
          <w:rFonts w:ascii="Verdana" w:eastAsia="Verdana" w:hAnsi="Verdana" w:cs="Verdana"/>
          <w:sz w:val="20"/>
          <w:szCs w:val="20"/>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8DD6178" w14:textId="2409186C" w:rsidR="00C31944" w:rsidRPr="00640361" w:rsidRDefault="00C31944" w:rsidP="00C31944">
      <w:pPr>
        <w:jc w:val="both"/>
        <w:rPr>
          <w:rFonts w:ascii="Verdana" w:eastAsia="Verdana" w:hAnsi="Verdana" w:cs="Verdana"/>
          <w:sz w:val="20"/>
          <w:szCs w:val="20"/>
        </w:rPr>
      </w:pPr>
      <w:r w:rsidRPr="00640361">
        <w:rPr>
          <w:rFonts w:ascii="Verdana" w:eastAsia="Verdana" w:hAnsi="Verdana" w:cs="Verdana"/>
          <w:sz w:val="20"/>
          <w:szCs w:val="20"/>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Verdana" w:hAnsi="Verdana" w:cs="Verdana"/>
          <w:sz w:val="20"/>
          <w:szCs w:val="20"/>
        </w:rPr>
        <w:t xml:space="preserve">. </w:t>
      </w:r>
    </w:p>
    <w:p w14:paraId="1FF112E2" w14:textId="7279FFF3" w:rsidR="00C31944" w:rsidRPr="00640361" w:rsidRDefault="00C31944" w:rsidP="00C31944">
      <w:pPr>
        <w:rPr>
          <w:rFonts w:ascii="Verdana" w:eastAsia="Verdana" w:hAnsi="Verdana" w:cs="Verdana"/>
        </w:rPr>
      </w:pPr>
      <w:r w:rsidRPr="00640361">
        <w:rPr>
          <w:rFonts w:ascii="Verdana" w:eastAsia="Verdana" w:hAnsi="Verdana" w:cs="Verdana"/>
          <w:b/>
          <w:bCs/>
        </w:rPr>
        <w:t xml:space="preserve">UNIVERSIDADES PÚBLICAS </w:t>
      </w:r>
      <w:r w:rsidR="00061F09" w:rsidRPr="00061F09">
        <w:rPr>
          <w:rFonts w:ascii="Verdana" w:eastAsia="Verdana" w:hAnsi="Verdana" w:cs="Verdana"/>
          <w:b/>
          <w:bCs/>
          <w:lang w:val="es-ES"/>
        </w:rPr>
        <w:t>–</w:t>
      </w:r>
      <w:r w:rsidRPr="00640361">
        <w:rPr>
          <w:rFonts w:ascii="Verdana" w:eastAsia="Verdana" w:hAnsi="Verdana" w:cs="Verdana"/>
          <w:b/>
          <w:bCs/>
        </w:rPr>
        <w:t xml:space="preserve"> Naturaleza jurídica </w:t>
      </w:r>
      <w:r w:rsidR="00061F09" w:rsidRPr="00061F09">
        <w:rPr>
          <w:rFonts w:ascii="Verdana" w:eastAsia="Verdana" w:hAnsi="Verdana" w:cs="Verdana"/>
          <w:b/>
          <w:bCs/>
          <w:lang w:val="es-ES"/>
        </w:rPr>
        <w:t>–</w:t>
      </w:r>
      <w:r w:rsidRPr="00640361">
        <w:rPr>
          <w:rFonts w:ascii="Verdana" w:eastAsia="Verdana" w:hAnsi="Verdana" w:cs="Verdana"/>
          <w:b/>
          <w:bCs/>
        </w:rPr>
        <w:t xml:space="preserve"> Régimen aplicable</w:t>
      </w:r>
    </w:p>
    <w:p w14:paraId="7E6E3D37" w14:textId="77777777" w:rsidR="00C31944" w:rsidRPr="00640361" w:rsidRDefault="00C31944" w:rsidP="00C31944">
      <w:pPr>
        <w:jc w:val="both"/>
        <w:rPr>
          <w:rFonts w:ascii="Verdana" w:eastAsia="Verdana" w:hAnsi="Verdana" w:cs="Verdana"/>
          <w:sz w:val="20"/>
          <w:szCs w:val="20"/>
        </w:rPr>
      </w:pPr>
      <w:r w:rsidRPr="00640361">
        <w:rPr>
          <w:rFonts w:ascii="Verdana" w:eastAsia="Verdana" w:hAnsi="Verdana" w:cs="Verdana"/>
          <w:sz w:val="20"/>
          <w:szCs w:val="20"/>
        </w:rPr>
        <w:t>[…] en la Ley 30 de 1992 se regularon aspectos como la naturaleza jurídica de las universidades estatales y oficiales, la forma de organizarse y el régimen de contratación aplicable. Así mismo, en el artículo 57 se consignó que el carácter especial del régimen de las universidades estatales u oficiales comprende, entre otros aspectos, el régimen de contratación […]</w:t>
      </w:r>
    </w:p>
    <w:p w14:paraId="4590310F" w14:textId="330CA378" w:rsidR="00C31944" w:rsidRPr="00640361" w:rsidRDefault="00C31944" w:rsidP="00C31944">
      <w:pPr>
        <w:jc w:val="both"/>
        <w:rPr>
          <w:rFonts w:ascii="Verdana" w:eastAsia="Verdana" w:hAnsi="Verdana" w:cs="Verdana"/>
          <w:sz w:val="20"/>
          <w:szCs w:val="20"/>
        </w:rPr>
      </w:pPr>
      <w:r w:rsidRPr="00640361">
        <w:rPr>
          <w:rFonts w:ascii="Verdana" w:eastAsia="Verdana" w:hAnsi="Verdana" w:cs="Verdana"/>
          <w:sz w:val="20"/>
          <w:szCs w:val="20"/>
        </w:rPr>
        <w:lastRenderedPageBreak/>
        <w:t>[…] los entes universitarios no son entidades que hagan parte de la rama ejecutiva, ni pueden, por tanto, considerarse entidades descentralizadas, sino que gozan de un régimen especial. […]</w:t>
      </w:r>
    </w:p>
    <w:p w14:paraId="47B6F067" w14:textId="52D08B92" w:rsidR="00C31944" w:rsidRPr="00A17ECC" w:rsidRDefault="00C31944" w:rsidP="00C31944">
      <w:pPr>
        <w:rPr>
          <w:rFonts w:ascii="Verdana" w:eastAsia="Verdana" w:hAnsi="Verdana" w:cs="Verdana"/>
        </w:rPr>
      </w:pPr>
      <w:r w:rsidRPr="00A17ECC">
        <w:rPr>
          <w:rFonts w:ascii="Verdana" w:eastAsia="Verdana" w:hAnsi="Verdana" w:cs="Verdana"/>
          <w:b/>
          <w:bCs/>
        </w:rPr>
        <w:t xml:space="preserve">UNIVERSIDADES PÚBLICAS </w:t>
      </w:r>
      <w:r w:rsidR="00061F09" w:rsidRPr="00061F09">
        <w:rPr>
          <w:rFonts w:ascii="Verdana" w:eastAsia="Verdana" w:hAnsi="Verdana" w:cs="Verdana"/>
          <w:b/>
          <w:bCs/>
          <w:lang w:val="es-ES"/>
        </w:rPr>
        <w:t>–</w:t>
      </w:r>
      <w:r w:rsidRPr="00A17ECC">
        <w:rPr>
          <w:rFonts w:ascii="Verdana" w:eastAsia="Verdana" w:hAnsi="Verdana" w:cs="Verdana"/>
          <w:b/>
          <w:bCs/>
        </w:rPr>
        <w:t xml:space="preserve"> Aplicación de la Ley de garantías</w:t>
      </w:r>
    </w:p>
    <w:p w14:paraId="50318518" w14:textId="77777777" w:rsidR="00C31944" w:rsidRPr="00A17ECC" w:rsidRDefault="00C31944" w:rsidP="00C31944">
      <w:pPr>
        <w:jc w:val="both"/>
        <w:rPr>
          <w:rFonts w:ascii="Verdana" w:eastAsia="Verdana" w:hAnsi="Verdana" w:cs="Verdana"/>
          <w:sz w:val="20"/>
          <w:szCs w:val="20"/>
        </w:rPr>
      </w:pPr>
      <w:r w:rsidRPr="00A17ECC">
        <w:rPr>
          <w:rFonts w:ascii="Verdana" w:eastAsia="Verdana" w:hAnsi="Verdana" w:cs="Verdana"/>
          <w:sz w:val="20"/>
          <w:szCs w:val="20"/>
        </w:rPr>
        <w:t xml:space="preserve">[…] dado que las universidades públicas son entidades públicas de carácter autónomo con régimen especial, les aplica la restricción establecida en el artículo 33 de la Ley 996 de 2005, que prohíbe la contratación directa por parte de todos los entes estatales durante los cuatro (4) meses anteriores a las elecciones presidenciales y dispone las excepciones a dicha prohibición. Por el contrario, a estas entidades no son susceptibles de la restricción contenida en el parágrafo del artículo 38 de la Ley 996 de 2005, dado que esta solo es aplicable a </w:t>
      </w:r>
      <w:proofErr w:type="gramStart"/>
      <w:r w:rsidRPr="00A17ECC">
        <w:rPr>
          <w:rFonts w:ascii="Verdana" w:eastAsia="Verdana" w:hAnsi="Verdana" w:cs="Verdana"/>
          <w:sz w:val="20"/>
          <w:szCs w:val="20"/>
        </w:rPr>
        <w:t>Alcaldes</w:t>
      </w:r>
      <w:proofErr w:type="gramEnd"/>
      <w:r w:rsidRPr="00A17ECC">
        <w:rPr>
          <w:rFonts w:ascii="Verdana" w:eastAsia="Verdana" w:hAnsi="Verdana" w:cs="Verdana"/>
          <w:sz w:val="20"/>
          <w:szCs w:val="20"/>
        </w:rPr>
        <w:t xml:space="preserve">, Gobernadores, </w:t>
      </w:r>
      <w:proofErr w:type="gramStart"/>
      <w:r w:rsidRPr="00A17ECC">
        <w:rPr>
          <w:rFonts w:ascii="Verdana" w:eastAsia="Verdana" w:hAnsi="Verdana" w:cs="Verdana"/>
          <w:sz w:val="20"/>
          <w:szCs w:val="20"/>
        </w:rPr>
        <w:t>Secretarios</w:t>
      </w:r>
      <w:proofErr w:type="gramEnd"/>
      <w:r w:rsidRPr="00A17ECC">
        <w:rPr>
          <w:rFonts w:ascii="Verdana" w:eastAsia="Verdana" w:hAnsi="Verdana" w:cs="Verdana"/>
          <w:sz w:val="20"/>
          <w:szCs w:val="20"/>
        </w:rPr>
        <w:t xml:space="preserve">, Gerentes y </w:t>
      </w:r>
      <w:proofErr w:type="gramStart"/>
      <w:r w:rsidRPr="00A17ECC">
        <w:rPr>
          <w:rFonts w:ascii="Verdana" w:eastAsia="Verdana" w:hAnsi="Verdana" w:cs="Verdana"/>
          <w:sz w:val="20"/>
          <w:szCs w:val="20"/>
        </w:rPr>
        <w:t>Directores</w:t>
      </w:r>
      <w:proofErr w:type="gramEnd"/>
      <w:r w:rsidRPr="00A17ECC">
        <w:rPr>
          <w:rFonts w:ascii="Verdana" w:eastAsia="Verdana" w:hAnsi="Verdana" w:cs="Verdana"/>
          <w:sz w:val="20"/>
          <w:szCs w:val="20"/>
        </w:rPr>
        <w:t xml:space="preserve"> de las entidades descentralizadas del orden municipal, departamental o distrital.</w:t>
      </w:r>
    </w:p>
    <w:p w14:paraId="39529F8B" w14:textId="77777777" w:rsidR="002B116F" w:rsidRDefault="002B116F">
      <w:pPr>
        <w:rPr>
          <w:rFonts w:ascii="Verdana" w:eastAsia="Verdana" w:hAnsi="Verdana" w:cs="Verdana"/>
        </w:rPr>
      </w:pPr>
      <w:r>
        <w:rPr>
          <w:rFonts w:ascii="Verdana" w:eastAsia="Verdana" w:hAnsi="Verdana" w:cs="Verdana"/>
        </w:rPr>
        <w:br w:type="page"/>
      </w:r>
    </w:p>
    <w:p w14:paraId="1468C46D" w14:textId="07712BFF" w:rsidR="00C15139" w:rsidRDefault="00C15139" w:rsidP="30821638">
      <w:pPr>
        <w:spacing w:after="0"/>
      </w:pPr>
      <w:r w:rsidRPr="30821638">
        <w:rPr>
          <w:rFonts w:ascii="Verdana" w:eastAsia="Verdana" w:hAnsi="Verdana" w:cs="Verdana"/>
        </w:rPr>
        <w:lastRenderedPageBreak/>
        <w:t xml:space="preserve">Bogotá D.C., </w:t>
      </w:r>
      <w:r w:rsidR="005E2742">
        <w:rPr>
          <w:rFonts w:ascii="Verdana" w:eastAsia="Verdana" w:hAnsi="Verdana" w:cs="Verdana"/>
        </w:rPr>
        <w:t xml:space="preserve">19 </w:t>
      </w:r>
      <w:r w:rsidR="00061F09">
        <w:rPr>
          <w:rFonts w:ascii="Verdana" w:eastAsia="Verdana" w:hAnsi="Verdana" w:cs="Verdana"/>
        </w:rPr>
        <w:t>mayo</w:t>
      </w:r>
      <w:r w:rsidR="005E2742">
        <w:rPr>
          <w:rFonts w:ascii="Verdana" w:eastAsia="Verdana" w:hAnsi="Verdana" w:cs="Verdana"/>
        </w:rPr>
        <w:t xml:space="preserve"> 2026</w:t>
      </w:r>
      <w:r>
        <w:br/>
      </w:r>
    </w:p>
    <w:p w14:paraId="65C5A0C5" w14:textId="4F3685F7" w:rsidR="00E1221E" w:rsidRPr="0024624F" w:rsidRDefault="002B116F" w:rsidP="002B116F">
      <w:pPr>
        <w:spacing w:after="0"/>
        <w:jc w:val="right"/>
        <w:rPr>
          <w:rFonts w:ascii="Verdana" w:eastAsia="Verdana" w:hAnsi="Verdana" w:cs="Verdana"/>
        </w:rPr>
      </w:pPr>
      <w:r w:rsidRPr="004501B1">
        <w:rPr>
          <w:noProof/>
        </w:rPr>
        <w:drawing>
          <wp:anchor distT="0" distB="0" distL="114300" distR="114300" simplePos="0" relativeHeight="251658240" behindDoc="0" locked="0" layoutInCell="1" allowOverlap="1" wp14:anchorId="79BE377C" wp14:editId="41C7AC85">
            <wp:simplePos x="0" y="0"/>
            <wp:positionH relativeFrom="margin">
              <wp:align>right</wp:align>
            </wp:positionH>
            <wp:positionV relativeFrom="paragraph">
              <wp:posOffset>0</wp:posOffset>
            </wp:positionV>
            <wp:extent cx="2438400" cy="993775"/>
            <wp:effectExtent l="0" t="0" r="0" b="0"/>
            <wp:wrapSquare wrapText="bothSides"/>
            <wp:docPr id="1299878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87802" name=""/>
                    <pic:cNvPicPr/>
                  </pic:nvPicPr>
                  <pic:blipFill>
                    <a:blip r:embed="rId10">
                      <a:extLst>
                        <a:ext uri="{28A0092B-C50C-407E-A947-70E740481C1C}">
                          <a14:useLocalDpi xmlns:a14="http://schemas.microsoft.com/office/drawing/2010/main" val="0"/>
                        </a:ext>
                      </a:extLst>
                    </a:blip>
                    <a:stretch>
                      <a:fillRect/>
                    </a:stretch>
                  </pic:blipFill>
                  <pic:spPr>
                    <a:xfrm>
                      <a:off x="0" y="0"/>
                      <a:ext cx="2438400" cy="993775"/>
                    </a:xfrm>
                    <a:prstGeom prst="rect">
                      <a:avLst/>
                    </a:prstGeom>
                  </pic:spPr>
                </pic:pic>
              </a:graphicData>
            </a:graphic>
            <wp14:sizeRelV relativeFrom="margin">
              <wp14:pctHeight>0</wp14:pctHeight>
            </wp14:sizeRelV>
          </wp:anchor>
        </w:drawing>
      </w:r>
    </w:p>
    <w:p w14:paraId="7D220758" w14:textId="77777777" w:rsidR="006848E6" w:rsidRPr="004D1A70" w:rsidRDefault="006848E6" w:rsidP="006848E6">
      <w:pPr>
        <w:spacing w:after="0" w:line="240" w:lineRule="auto"/>
        <w:jc w:val="both"/>
        <w:rPr>
          <w:rFonts w:ascii="Verdana" w:eastAsia="Calibri" w:hAnsi="Verdana" w:cs="Arial"/>
          <w:lang w:val="es-ES" w:eastAsia="es-ES"/>
        </w:rPr>
      </w:pPr>
      <w:r w:rsidRPr="004D1A70">
        <w:rPr>
          <w:rFonts w:ascii="Verdana" w:eastAsia="Calibri" w:hAnsi="Verdana" w:cs="Arial"/>
          <w:lang w:val="es-ES" w:eastAsia="es-ES"/>
        </w:rPr>
        <w:t>Doctor</w:t>
      </w:r>
    </w:p>
    <w:p w14:paraId="1D80B5EE" w14:textId="77777777" w:rsidR="006848E6" w:rsidRPr="005C170B" w:rsidRDefault="006848E6" w:rsidP="006848E6">
      <w:pPr>
        <w:spacing w:after="0" w:line="240" w:lineRule="auto"/>
        <w:jc w:val="both"/>
        <w:rPr>
          <w:rFonts w:ascii="Verdana" w:eastAsia="Calibri" w:hAnsi="Verdana" w:cs="Arial"/>
          <w:b/>
          <w:bCs/>
          <w:lang w:val="es-ES" w:eastAsia="es-ES"/>
        </w:rPr>
      </w:pPr>
      <w:r w:rsidRPr="005C170B">
        <w:rPr>
          <w:rFonts w:ascii="Verdana" w:eastAsia="Calibri" w:hAnsi="Verdana" w:cs="Arial"/>
          <w:b/>
          <w:bCs/>
          <w:lang w:val="es-ES" w:eastAsia="es-ES"/>
        </w:rPr>
        <w:t>Miguel Ángel Ávila Diaz</w:t>
      </w:r>
    </w:p>
    <w:p w14:paraId="6DD021C8" w14:textId="77777777" w:rsidR="006848E6" w:rsidRPr="004D1A70" w:rsidRDefault="006848E6" w:rsidP="006848E6">
      <w:pPr>
        <w:spacing w:after="0" w:line="240" w:lineRule="auto"/>
        <w:jc w:val="both"/>
        <w:rPr>
          <w:rFonts w:ascii="Verdana" w:eastAsia="Calibri" w:hAnsi="Verdana" w:cs="Arial"/>
          <w:lang w:val="es-ES" w:eastAsia="es-ES"/>
        </w:rPr>
      </w:pPr>
      <w:r w:rsidRPr="004D1A70">
        <w:rPr>
          <w:rFonts w:ascii="Verdana" w:eastAsia="Calibri" w:hAnsi="Verdana" w:cs="Arial"/>
          <w:lang w:val="es-ES" w:eastAsia="es-ES"/>
        </w:rPr>
        <w:t>Director Administrativo Seccional</w:t>
      </w:r>
    </w:p>
    <w:p w14:paraId="64ACE9F1" w14:textId="77777777" w:rsidR="006848E6" w:rsidRPr="005C170B" w:rsidRDefault="006848E6" w:rsidP="006848E6">
      <w:pPr>
        <w:spacing w:after="0" w:line="240" w:lineRule="auto"/>
        <w:jc w:val="both"/>
        <w:rPr>
          <w:rFonts w:ascii="Verdana" w:eastAsia="Calibri" w:hAnsi="Verdana" w:cs="Arial"/>
          <w:b/>
          <w:bCs/>
          <w:lang w:val="es-ES" w:eastAsia="es-ES"/>
        </w:rPr>
      </w:pPr>
      <w:r w:rsidRPr="005C170B">
        <w:rPr>
          <w:rFonts w:ascii="Verdana" w:eastAsia="Calibri" w:hAnsi="Verdana" w:cs="Arial"/>
          <w:b/>
          <w:bCs/>
          <w:lang w:val="es-ES" w:eastAsia="es-ES"/>
        </w:rPr>
        <w:t>Universidad de Cundinamarca</w:t>
      </w:r>
    </w:p>
    <w:p w14:paraId="5897BF28" w14:textId="77777777" w:rsidR="006848E6" w:rsidRPr="005C170B" w:rsidRDefault="006848E6" w:rsidP="006848E6">
      <w:pPr>
        <w:spacing w:after="0" w:line="240" w:lineRule="auto"/>
        <w:jc w:val="both"/>
        <w:rPr>
          <w:rFonts w:ascii="Verdana" w:eastAsia="Calibri" w:hAnsi="Verdana" w:cs="Arial"/>
          <w:b/>
          <w:bCs/>
          <w:lang w:val="es-ES" w:eastAsia="es-ES"/>
        </w:rPr>
      </w:pPr>
      <w:hyperlink r:id="rId11" w:history="1">
        <w:r w:rsidRPr="005C170B">
          <w:rPr>
            <w:rStyle w:val="Hipervnculo"/>
            <w:rFonts w:ascii="Verdana" w:eastAsia="Calibri" w:hAnsi="Verdana" w:cs="Arial"/>
            <w:b/>
            <w:bCs/>
            <w:lang w:val="es-ES" w:eastAsia="es-ES"/>
          </w:rPr>
          <w:t>mangelavila@ucundinamarca.edu.co</w:t>
        </w:r>
      </w:hyperlink>
      <w:r w:rsidRPr="005C170B">
        <w:rPr>
          <w:rFonts w:ascii="Verdana" w:eastAsia="Calibri" w:hAnsi="Verdana" w:cs="Arial"/>
          <w:b/>
          <w:bCs/>
          <w:lang w:val="es-ES" w:eastAsia="es-ES"/>
        </w:rPr>
        <w:t xml:space="preserve"> </w:t>
      </w:r>
    </w:p>
    <w:p w14:paraId="508D3DFE" w14:textId="77777777" w:rsidR="006848E6" w:rsidRPr="005C170B" w:rsidRDefault="006848E6" w:rsidP="006848E6">
      <w:pPr>
        <w:spacing w:after="0" w:line="240" w:lineRule="auto"/>
        <w:jc w:val="both"/>
        <w:rPr>
          <w:rFonts w:ascii="Verdana" w:eastAsia="Calibri" w:hAnsi="Verdana" w:cs="Arial"/>
          <w:lang w:val="es-ES" w:eastAsia="es-ES"/>
        </w:rPr>
      </w:pPr>
      <w:r w:rsidRPr="005C170B">
        <w:rPr>
          <w:rFonts w:ascii="Verdana" w:eastAsia="Calibri" w:hAnsi="Verdana" w:cs="Arial"/>
          <w:lang w:val="es-ES" w:eastAsia="es-ES"/>
        </w:rPr>
        <w:t>Girardot, Cundinamarca</w:t>
      </w:r>
    </w:p>
    <w:p w14:paraId="559018A8" w14:textId="77777777" w:rsidR="006848E6" w:rsidRPr="005C170B" w:rsidRDefault="006848E6" w:rsidP="006848E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848E6" w:rsidRPr="005C170B" w14:paraId="21E2722C" w14:textId="77777777" w:rsidTr="004D1A70">
        <w:trPr>
          <w:trHeight w:val="284"/>
        </w:trPr>
        <w:tc>
          <w:tcPr>
            <w:tcW w:w="2689" w:type="dxa"/>
          </w:tcPr>
          <w:p w14:paraId="140EC7A4" w14:textId="77777777" w:rsidR="006848E6" w:rsidRPr="005C170B" w:rsidRDefault="006848E6" w:rsidP="00DC3EEC">
            <w:pPr>
              <w:jc w:val="both"/>
              <w:rPr>
                <w:rFonts w:ascii="Verdana" w:eastAsia="Calibri" w:hAnsi="Verdana" w:cs="Arial"/>
                <w:b/>
                <w:bCs/>
                <w:color w:val="7030A0"/>
                <w:lang w:val="es-ES_tradnl" w:eastAsia="es-ES_tradnl"/>
              </w:rPr>
            </w:pPr>
          </w:p>
        </w:tc>
        <w:tc>
          <w:tcPr>
            <w:tcW w:w="6100" w:type="dxa"/>
          </w:tcPr>
          <w:p w14:paraId="4FF2A5BA" w14:textId="77777777" w:rsidR="006848E6" w:rsidRDefault="006848E6" w:rsidP="00DC3EEC">
            <w:pPr>
              <w:jc w:val="both"/>
              <w:rPr>
                <w:rFonts w:ascii="Verdana" w:eastAsia="Calibri" w:hAnsi="Verdana" w:cs="Arial"/>
                <w:b/>
                <w:bCs/>
                <w:lang w:val="es-ES" w:eastAsia="es-ES"/>
              </w:rPr>
            </w:pPr>
            <w:r w:rsidRPr="005C170B">
              <w:rPr>
                <w:rFonts w:ascii="Verdana" w:eastAsia="Calibri" w:hAnsi="Verdana" w:cs="Arial"/>
                <w:b/>
                <w:bCs/>
                <w:lang w:val="es-ES" w:eastAsia="es-ES"/>
              </w:rPr>
              <w:t xml:space="preserve">Concepto </w:t>
            </w:r>
            <w:r w:rsidRPr="005C170B">
              <w:rPr>
                <w:rFonts w:ascii="Verdana" w:eastAsia="Calibri" w:hAnsi="Verdana" w:cs="Arial"/>
                <w:b/>
                <w:bCs/>
                <w:lang w:eastAsia="es-ES"/>
              </w:rPr>
              <w:t xml:space="preserve">C-664 </w:t>
            </w:r>
            <w:r w:rsidRPr="005C170B">
              <w:rPr>
                <w:rFonts w:ascii="Verdana" w:eastAsia="Calibri" w:hAnsi="Verdana" w:cs="Arial"/>
                <w:b/>
                <w:bCs/>
                <w:lang w:val="es-ES" w:eastAsia="es-ES"/>
              </w:rPr>
              <w:t>de 2026</w:t>
            </w:r>
          </w:p>
          <w:p w14:paraId="160D938E" w14:textId="73AD0701" w:rsidR="00DE77CE" w:rsidRPr="005C170B" w:rsidRDefault="00DE77CE" w:rsidP="00DC3EEC">
            <w:pPr>
              <w:jc w:val="both"/>
              <w:rPr>
                <w:rFonts w:ascii="Verdana" w:eastAsia="Calibri" w:hAnsi="Verdana" w:cs="Arial"/>
                <w:b/>
                <w:bCs/>
                <w:lang w:val="es-ES" w:eastAsia="es-ES"/>
              </w:rPr>
            </w:pPr>
          </w:p>
        </w:tc>
      </w:tr>
      <w:tr w:rsidR="006848E6" w:rsidRPr="005C170B" w14:paraId="3AAFAE18" w14:textId="77777777" w:rsidTr="00DC3EEC">
        <w:trPr>
          <w:trHeight w:val="884"/>
        </w:trPr>
        <w:tc>
          <w:tcPr>
            <w:tcW w:w="2689" w:type="dxa"/>
          </w:tcPr>
          <w:p w14:paraId="0742D5AF" w14:textId="77777777" w:rsidR="006848E6" w:rsidRPr="005C170B" w:rsidRDefault="006848E6" w:rsidP="00DC3EEC">
            <w:pPr>
              <w:jc w:val="both"/>
              <w:rPr>
                <w:rFonts w:ascii="Verdana" w:eastAsia="Calibri" w:hAnsi="Verdana" w:cs="Arial"/>
                <w:color w:val="000000"/>
                <w:lang w:val="es-ES_tradnl" w:eastAsia="es-ES_tradnl"/>
              </w:rPr>
            </w:pPr>
            <w:r w:rsidRPr="005C170B">
              <w:rPr>
                <w:rFonts w:ascii="Verdana" w:eastAsia="Calibri" w:hAnsi="Verdana" w:cs="Arial"/>
                <w:b/>
                <w:color w:val="000000"/>
                <w:lang w:val="es-ES_tradnl" w:eastAsia="es-ES_tradnl"/>
              </w:rPr>
              <w:t>Temas:</w:t>
            </w:r>
            <w:r w:rsidRPr="005C170B">
              <w:rPr>
                <w:rFonts w:ascii="Verdana" w:eastAsia="Calibri" w:hAnsi="Verdana" w:cs="Arial"/>
                <w:color w:val="000000"/>
                <w:lang w:val="es-ES_tradnl" w:eastAsia="es-ES_tradnl"/>
              </w:rPr>
              <w:t xml:space="preserve">                   </w:t>
            </w:r>
          </w:p>
        </w:tc>
        <w:tc>
          <w:tcPr>
            <w:tcW w:w="6100" w:type="dxa"/>
          </w:tcPr>
          <w:p w14:paraId="2A0C49EE" w14:textId="77777777" w:rsidR="006848E6" w:rsidRPr="005C170B" w:rsidRDefault="006848E6" w:rsidP="00DC3EEC">
            <w:pPr>
              <w:spacing w:line="276" w:lineRule="auto"/>
              <w:jc w:val="both"/>
              <w:rPr>
                <w:rFonts w:ascii="Verdana" w:eastAsia="Calibri" w:hAnsi="Verdana"/>
                <w:lang w:eastAsia="es-ES"/>
              </w:rPr>
            </w:pPr>
            <w:r w:rsidRPr="005C170B">
              <w:rPr>
                <w:rFonts w:ascii="Verdana" w:eastAsia="Calibri" w:hAnsi="Verdana" w:cs="Arial"/>
                <w:lang w:val="es-ES" w:eastAsia="es-ES"/>
              </w:rPr>
              <w:t>L</w:t>
            </w:r>
            <w:r w:rsidRPr="005C170B">
              <w:rPr>
                <w:rFonts w:ascii="Verdana" w:eastAsia="Calibri" w:hAnsi="Verdana"/>
                <w:lang w:eastAsia="es-ES"/>
              </w:rPr>
              <w:t xml:space="preserve">EY DE GARANTÍAS ELECTORALES – Finalidad/ LEY DE GARANTÍAS ELECTORALES – Tipos de restricciones – Artículo 33 – Artículo 38 / UNIVERSIDADES PÚBLICAS – Naturaleza jurídica – Régimen aplicable / UNIVERSIDADES PÚBLICAS – Aplicación de la Ley de garantías. </w:t>
            </w:r>
          </w:p>
          <w:p w14:paraId="347D0182" w14:textId="77777777" w:rsidR="006848E6" w:rsidRPr="005C170B" w:rsidRDefault="006848E6" w:rsidP="00DC3EEC">
            <w:pPr>
              <w:spacing w:line="276" w:lineRule="auto"/>
              <w:jc w:val="both"/>
              <w:rPr>
                <w:rFonts w:ascii="Verdana" w:eastAsia="Calibri" w:hAnsi="Verdana" w:cs="Arial"/>
                <w:lang w:val="es-ES" w:eastAsia="es-ES"/>
              </w:rPr>
            </w:pPr>
          </w:p>
        </w:tc>
      </w:tr>
      <w:tr w:rsidR="006848E6" w:rsidRPr="005C170B" w14:paraId="1FEF6330" w14:textId="77777777" w:rsidTr="00DC3EEC">
        <w:trPr>
          <w:trHeight w:val="432"/>
        </w:trPr>
        <w:tc>
          <w:tcPr>
            <w:tcW w:w="2689" w:type="dxa"/>
          </w:tcPr>
          <w:p w14:paraId="00B6AEB5" w14:textId="77777777" w:rsidR="006848E6" w:rsidRPr="005C170B" w:rsidRDefault="006848E6" w:rsidP="00DC3EEC">
            <w:pPr>
              <w:jc w:val="both"/>
              <w:rPr>
                <w:rFonts w:ascii="Verdana" w:eastAsia="Calibri" w:hAnsi="Verdana" w:cs="Arial"/>
                <w:b/>
                <w:lang w:val="es-ES_tradnl" w:eastAsia="es-ES_tradnl"/>
              </w:rPr>
            </w:pPr>
            <w:r w:rsidRPr="005C170B">
              <w:rPr>
                <w:rFonts w:ascii="Verdana" w:eastAsia="Calibri" w:hAnsi="Verdana" w:cs="Arial"/>
                <w:b/>
                <w:lang w:val="es-ES_tradnl" w:eastAsia="es-ES_tradnl"/>
              </w:rPr>
              <w:t>Radicación:</w:t>
            </w:r>
            <w:r w:rsidRPr="005C170B">
              <w:rPr>
                <w:rFonts w:ascii="Verdana" w:eastAsia="Calibri" w:hAnsi="Verdana" w:cs="Arial"/>
                <w:lang w:val="es-ES_tradnl" w:eastAsia="es-ES_tradnl"/>
              </w:rPr>
              <w:t xml:space="preserve">               </w:t>
            </w:r>
          </w:p>
        </w:tc>
        <w:tc>
          <w:tcPr>
            <w:tcW w:w="6100" w:type="dxa"/>
          </w:tcPr>
          <w:p w14:paraId="7B58FD03" w14:textId="77777777" w:rsidR="006848E6" w:rsidRPr="005C170B" w:rsidRDefault="006848E6" w:rsidP="00DC3EEC">
            <w:pPr>
              <w:jc w:val="both"/>
              <w:rPr>
                <w:rFonts w:ascii="Verdana" w:eastAsia="Calibri" w:hAnsi="Verdana" w:cs="Arial"/>
                <w:lang w:val="es-ES_tradnl" w:eastAsia="es-ES_tradnl"/>
              </w:rPr>
            </w:pPr>
            <w:r w:rsidRPr="005C170B">
              <w:rPr>
                <w:rFonts w:ascii="Verdana" w:eastAsia="Calibri" w:hAnsi="Verdana" w:cs="Arial"/>
                <w:lang w:val="es-ES_tradnl" w:eastAsia="es-ES_tradnl"/>
              </w:rPr>
              <w:t xml:space="preserve">Respuesta a consulta con radicado No. </w:t>
            </w:r>
            <w:r w:rsidRPr="005C170B">
              <w:rPr>
                <w:rFonts w:ascii="Verdana" w:eastAsia="Calibri" w:hAnsi="Verdana" w:cs="Arial"/>
                <w:lang w:eastAsia="es-ES_tradnl"/>
              </w:rPr>
              <w:t>1_2026_04_22_005468</w:t>
            </w:r>
          </w:p>
        </w:tc>
      </w:tr>
    </w:tbl>
    <w:p w14:paraId="3DBCFAA2" w14:textId="77777777" w:rsidR="006848E6" w:rsidRPr="005C170B" w:rsidRDefault="006848E6" w:rsidP="006848E6">
      <w:pPr>
        <w:spacing w:after="0" w:line="240" w:lineRule="auto"/>
        <w:jc w:val="both"/>
        <w:rPr>
          <w:rFonts w:ascii="Verdana" w:eastAsia="Calibri" w:hAnsi="Verdana" w:cs="Arial"/>
          <w:lang w:val="es-ES_tradnl" w:eastAsia="es-ES_tradnl"/>
        </w:rPr>
      </w:pPr>
    </w:p>
    <w:p w14:paraId="15E7FCA9" w14:textId="77777777" w:rsidR="006848E6" w:rsidRPr="005C170B" w:rsidRDefault="006848E6" w:rsidP="006848E6">
      <w:pPr>
        <w:spacing w:after="0" w:line="240" w:lineRule="auto"/>
        <w:jc w:val="both"/>
        <w:rPr>
          <w:rFonts w:ascii="Verdana" w:eastAsia="Calibri" w:hAnsi="Verdana" w:cs="Arial"/>
          <w:color w:val="000000"/>
          <w:lang w:val="es-ES_tradnl" w:eastAsia="es-ES_tradnl"/>
        </w:rPr>
      </w:pPr>
    </w:p>
    <w:p w14:paraId="7FD490C5" w14:textId="77777777" w:rsidR="006848E6" w:rsidRPr="005C170B" w:rsidRDefault="006848E6" w:rsidP="006848E6">
      <w:pPr>
        <w:spacing w:after="0" w:line="276" w:lineRule="auto"/>
        <w:jc w:val="both"/>
        <w:rPr>
          <w:rFonts w:ascii="Verdana" w:eastAsia="Calibri" w:hAnsi="Verdana" w:cs="Arial"/>
          <w:color w:val="000000" w:themeColor="text1"/>
          <w:lang w:val="es-ES" w:eastAsia="es-ES"/>
        </w:rPr>
      </w:pPr>
      <w:r w:rsidRPr="005C170B">
        <w:rPr>
          <w:rFonts w:ascii="Verdana" w:eastAsia="Calibri" w:hAnsi="Verdana" w:cs="Arial"/>
          <w:color w:val="000000" w:themeColor="text1"/>
          <w:lang w:val="es-ES" w:eastAsia="es-ES"/>
        </w:rPr>
        <w:t xml:space="preserve">Estimado Dr. Ávila, cordial saludo, </w:t>
      </w:r>
    </w:p>
    <w:p w14:paraId="18C2CA4F" w14:textId="77777777" w:rsidR="006848E6" w:rsidRPr="005C170B" w:rsidRDefault="006848E6" w:rsidP="006848E6">
      <w:pPr>
        <w:spacing w:after="0" w:line="276" w:lineRule="auto"/>
        <w:jc w:val="both"/>
        <w:rPr>
          <w:rFonts w:ascii="Verdana" w:eastAsia="Calibri" w:hAnsi="Verdana" w:cs="Arial"/>
          <w:color w:val="000000" w:themeColor="text1"/>
          <w:lang w:val="es-ES" w:eastAsia="es-ES"/>
        </w:rPr>
      </w:pPr>
    </w:p>
    <w:p w14:paraId="03D7EC2E" w14:textId="77777777" w:rsidR="006848E6" w:rsidRPr="005C170B" w:rsidRDefault="006848E6" w:rsidP="006848E6">
      <w:pPr>
        <w:spacing w:after="0" w:line="276" w:lineRule="auto"/>
        <w:jc w:val="both"/>
        <w:rPr>
          <w:rFonts w:ascii="Verdana" w:eastAsia="Calibri" w:hAnsi="Verdana" w:cs="Arial"/>
          <w:color w:val="7030A0"/>
          <w:lang w:val="es-ES" w:eastAsia="es-ES"/>
        </w:rPr>
      </w:pPr>
      <w:r w:rsidRPr="005C170B">
        <w:rPr>
          <w:rFonts w:ascii="Verdana" w:eastAsia="Calibri" w:hAnsi="Verdana" w:cs="Arial"/>
          <w:color w:val="000000" w:themeColor="text1"/>
          <w:lang w:val="es-ES" w:eastAsia="es-ES"/>
        </w:rPr>
        <w:t>En ejercicio de la competencia otorgada por los artículos 3, numeral 5º, y 11, numeral 8º, del Decreto Ley 4170 de 2011,</w:t>
      </w:r>
      <w:r w:rsidRPr="005C170B">
        <w:rPr>
          <w:rFonts w:ascii="Verdana" w:eastAsia="Arial MT" w:hAnsi="Verdana" w:cs="Arial MT"/>
          <w:lang w:val="es-ES" w:eastAsia="es-ES"/>
        </w:rPr>
        <w:t xml:space="preserve"> </w:t>
      </w:r>
      <w:r w:rsidRPr="005C170B">
        <w:rPr>
          <w:rFonts w:ascii="Verdana" w:hAnsi="Verdana" w:cs="Arial"/>
        </w:rPr>
        <w:t xml:space="preserve">así como lo establecido la </w:t>
      </w:r>
      <w:r w:rsidRPr="005C170B">
        <w:rPr>
          <w:rFonts w:ascii="Verdana" w:eastAsia="Verdana" w:hAnsi="Verdana" w:cs="Verdana"/>
          <w:color w:val="000000" w:themeColor="text1"/>
        </w:rPr>
        <w:t>Resolución 469 de 2025</w:t>
      </w:r>
      <w:r w:rsidRPr="005C170B">
        <w:rPr>
          <w:rFonts w:ascii="Verdana" w:hAnsi="Verdana" w:cs="Arial"/>
        </w:rPr>
        <w:t xml:space="preserve"> expedida por esta Entidad, </w:t>
      </w:r>
      <w:r w:rsidRPr="005C170B">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Pr="005C170B">
        <w:rPr>
          <w:rFonts w:ascii="Verdana" w:eastAsia="Calibri" w:hAnsi="Verdana" w:cs="Arial"/>
          <w:lang w:val="es-ES" w:eastAsia="es-ES"/>
        </w:rPr>
        <w:t xml:space="preserve">22 de abril de 2026, en la cual manifiesta lo siguiente: </w:t>
      </w:r>
    </w:p>
    <w:p w14:paraId="0D8C4C06" w14:textId="77777777" w:rsidR="006848E6" w:rsidRPr="005C170B" w:rsidRDefault="006848E6" w:rsidP="006848E6">
      <w:pPr>
        <w:pStyle w:val="Prrafodelista"/>
        <w:tabs>
          <w:tab w:val="left" w:pos="142"/>
          <w:tab w:val="left" w:pos="284"/>
        </w:tabs>
        <w:spacing w:line="276" w:lineRule="auto"/>
        <w:ind w:left="0"/>
        <w:jc w:val="both"/>
        <w:rPr>
          <w:rFonts w:ascii="Verdana" w:eastAsia="Century Gothic" w:hAnsi="Verdana" w:cs="Century Gothic"/>
          <w:b/>
          <w:bCs/>
          <w:i/>
          <w:iCs/>
        </w:rPr>
      </w:pPr>
    </w:p>
    <w:p w14:paraId="5A4D3534" w14:textId="77777777" w:rsidR="006848E6" w:rsidRPr="005C170B" w:rsidRDefault="006848E6" w:rsidP="006848E6">
      <w:pPr>
        <w:pStyle w:val="Prrafodelista"/>
        <w:spacing w:after="0" w:line="240" w:lineRule="auto"/>
        <w:ind w:left="1069" w:right="709"/>
        <w:jc w:val="both"/>
        <w:rPr>
          <w:rFonts w:ascii="Verdana" w:eastAsia="Century Gothic" w:hAnsi="Verdana" w:cs="Century Gothic"/>
          <w:i/>
          <w:iCs/>
          <w:sz w:val="20"/>
          <w:szCs w:val="20"/>
        </w:rPr>
      </w:pPr>
      <w:r w:rsidRPr="005C170B">
        <w:rPr>
          <w:rFonts w:ascii="Verdana" w:eastAsia="Century Gothic" w:hAnsi="Verdana" w:cs="Century Gothic"/>
          <w:i/>
          <w:iCs/>
          <w:sz w:val="20"/>
          <w:szCs w:val="20"/>
        </w:rPr>
        <w:t>“Cordial saludo,</w:t>
      </w:r>
    </w:p>
    <w:p w14:paraId="5EFF007A" w14:textId="77777777" w:rsidR="006848E6" w:rsidRPr="005C170B" w:rsidRDefault="006848E6" w:rsidP="006848E6">
      <w:pPr>
        <w:pStyle w:val="Prrafodelista"/>
        <w:spacing w:after="0" w:line="240" w:lineRule="auto"/>
        <w:ind w:left="1069" w:right="709"/>
        <w:jc w:val="both"/>
        <w:rPr>
          <w:rFonts w:ascii="Verdana" w:eastAsia="Century Gothic" w:hAnsi="Verdana" w:cs="Century Gothic"/>
          <w:i/>
          <w:iCs/>
          <w:sz w:val="20"/>
          <w:szCs w:val="20"/>
        </w:rPr>
      </w:pPr>
      <w:r w:rsidRPr="005C170B">
        <w:rPr>
          <w:rFonts w:ascii="Verdana" w:eastAsia="Century Gothic" w:hAnsi="Verdana" w:cs="Century Gothic"/>
          <w:i/>
          <w:iCs/>
          <w:sz w:val="20"/>
          <w:szCs w:val="20"/>
        </w:rPr>
        <w:t>Solicito amablemente me den un concepto sobre la ley de garantías. Para la compra directa de combustible para la categoría B”</w:t>
      </w:r>
    </w:p>
    <w:p w14:paraId="77C23A6F" w14:textId="77777777" w:rsidR="006848E6" w:rsidRPr="005C170B" w:rsidRDefault="006848E6" w:rsidP="006848E6">
      <w:pPr>
        <w:spacing w:after="0" w:line="240" w:lineRule="auto"/>
        <w:ind w:right="709"/>
        <w:jc w:val="both"/>
        <w:rPr>
          <w:rFonts w:ascii="Verdana" w:eastAsia="Century Gothic" w:hAnsi="Verdana" w:cs="Century Gothic"/>
          <w:i/>
          <w:iCs/>
          <w:sz w:val="20"/>
          <w:szCs w:val="20"/>
        </w:rPr>
      </w:pPr>
    </w:p>
    <w:p w14:paraId="7148A6AA" w14:textId="77777777" w:rsidR="006848E6" w:rsidRPr="005C170B" w:rsidRDefault="006848E6" w:rsidP="006848E6">
      <w:pPr>
        <w:spacing w:after="120" w:line="276" w:lineRule="auto"/>
        <w:ind w:firstLine="709"/>
        <w:jc w:val="both"/>
        <w:rPr>
          <w:rFonts w:ascii="Verdana" w:eastAsia="Calibri" w:hAnsi="Verdana" w:cs="Arial"/>
          <w:color w:val="000000"/>
          <w:szCs w:val="24"/>
          <w:lang w:val="es-ES_tradnl" w:eastAsia="es-ES_tradnl"/>
        </w:rPr>
      </w:pPr>
      <w:r w:rsidRPr="005C170B">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5C170B">
        <w:rPr>
          <w:rFonts w:ascii="Verdana" w:eastAsia="Calibri" w:hAnsi="Verdana" w:cs="Arial"/>
          <w:color w:val="000000"/>
          <w:lang w:val="es-ES" w:eastAsia="es-ES"/>
        </w:rPr>
        <w:lastRenderedPageBreak/>
        <w:t xml:space="preserve">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C170B">
        <w:rPr>
          <w:rFonts w:ascii="Verdana" w:eastAsia="Calibri" w:hAnsi="Verdana" w:cs="Arial"/>
          <w:color w:val="000000"/>
          <w:szCs w:val="24"/>
          <w:lang w:val="es-ES_tradnl" w:eastAsia="es-ES_tradnl"/>
        </w:rPr>
        <w:tab/>
      </w:r>
    </w:p>
    <w:p w14:paraId="0B2EA8CB" w14:textId="77777777" w:rsidR="006848E6" w:rsidRPr="005C170B" w:rsidRDefault="006848E6" w:rsidP="006848E6">
      <w:pPr>
        <w:spacing w:after="0" w:line="276" w:lineRule="auto"/>
        <w:ind w:firstLine="709"/>
        <w:jc w:val="both"/>
        <w:rPr>
          <w:rFonts w:ascii="Verdana" w:eastAsia="Calibri" w:hAnsi="Verdana" w:cs="Arial"/>
          <w:color w:val="000000"/>
          <w:lang w:val="es-ES" w:eastAsia="es-ES"/>
        </w:rPr>
      </w:pPr>
      <w:r w:rsidRPr="005C170B">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w:t>
      </w:r>
      <w:r w:rsidRPr="005C170B">
        <w:rPr>
          <w:rFonts w:ascii="Verdana" w:eastAsia="Calibri" w:hAnsi="Verdana" w:cs="Arial"/>
          <w:lang w:val="es-ES" w:eastAsia="es-ES"/>
        </w:rPr>
        <w:t xml:space="preserve">el problema </w:t>
      </w:r>
      <w:r w:rsidRPr="005C170B">
        <w:rPr>
          <w:rFonts w:ascii="Verdana" w:eastAsia="Calibri" w:hAnsi="Verdana" w:cs="Arial"/>
          <w:color w:val="000000"/>
          <w:lang w:val="es-ES" w:eastAsia="es-ES"/>
        </w:rPr>
        <w:t xml:space="preserve">jurídico de su consulta. </w:t>
      </w:r>
    </w:p>
    <w:p w14:paraId="180E2FEB" w14:textId="77777777" w:rsidR="006848E6" w:rsidRPr="005C170B" w:rsidRDefault="006848E6" w:rsidP="006848E6">
      <w:pPr>
        <w:spacing w:after="0" w:line="276" w:lineRule="auto"/>
        <w:ind w:firstLine="709"/>
        <w:jc w:val="both"/>
        <w:rPr>
          <w:rFonts w:ascii="Verdana" w:eastAsia="Calibri" w:hAnsi="Verdana" w:cs="Arial"/>
          <w:color w:val="000000"/>
          <w:lang w:val="es-ES" w:eastAsia="es-ES"/>
        </w:rPr>
      </w:pPr>
    </w:p>
    <w:p w14:paraId="7350F860" w14:textId="77777777" w:rsidR="006848E6" w:rsidRPr="005C170B" w:rsidRDefault="006848E6" w:rsidP="006848E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C170B">
        <w:rPr>
          <w:rFonts w:ascii="Verdana" w:eastAsia="Century Gothic" w:hAnsi="Verdana" w:cs="Century Gothic"/>
          <w:b/>
          <w:bCs/>
        </w:rPr>
        <w:t>Problema planteado:</w:t>
      </w:r>
    </w:p>
    <w:p w14:paraId="045568F3" w14:textId="77777777" w:rsidR="006848E6" w:rsidRPr="005C170B" w:rsidRDefault="006848E6" w:rsidP="006848E6">
      <w:pPr>
        <w:spacing w:after="0" w:line="276" w:lineRule="auto"/>
        <w:ind w:firstLine="709"/>
        <w:jc w:val="both"/>
        <w:rPr>
          <w:rFonts w:ascii="Verdana" w:eastAsia="Century Gothic" w:hAnsi="Verdana" w:cs="Century Gothic"/>
        </w:rPr>
      </w:pPr>
    </w:p>
    <w:p w14:paraId="5BA7DF4F" w14:textId="77777777" w:rsidR="006848E6" w:rsidRPr="005C170B" w:rsidRDefault="006848E6" w:rsidP="004D1A70">
      <w:pPr>
        <w:spacing w:after="0" w:line="276" w:lineRule="auto"/>
        <w:jc w:val="both"/>
        <w:rPr>
          <w:rFonts w:ascii="Verdana" w:eastAsia="Century Gothic" w:hAnsi="Verdana" w:cs="Century Gothic"/>
        </w:rPr>
      </w:pPr>
      <w:r w:rsidRPr="005C170B">
        <w:rPr>
          <w:rFonts w:ascii="Verdana" w:eastAsia="Century Gothic" w:hAnsi="Verdana" w:cs="Century Gothic"/>
        </w:rPr>
        <w:t xml:space="preserve">De acuerdo con el contenido de su solicitud, esta Agencia el siguiente problema jurídico: ¿Es jurídicamente procedente que las Universidades Públicas suscriban contratos a través de contratación directa durante la vigencia de la Ley de Garantías Electorales? </w:t>
      </w:r>
    </w:p>
    <w:p w14:paraId="522EB9E8" w14:textId="77777777" w:rsidR="006848E6" w:rsidRPr="005C170B" w:rsidRDefault="006848E6" w:rsidP="006848E6">
      <w:pPr>
        <w:spacing w:after="0" w:line="276" w:lineRule="auto"/>
        <w:jc w:val="both"/>
        <w:rPr>
          <w:rFonts w:ascii="Verdana" w:eastAsia="Century Gothic" w:hAnsi="Verdana" w:cs="Century Gothic"/>
        </w:rPr>
      </w:pPr>
    </w:p>
    <w:p w14:paraId="659EDBCF" w14:textId="77777777" w:rsidR="006848E6" w:rsidRPr="005C170B" w:rsidRDefault="006848E6" w:rsidP="006848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Respuesta:</w:t>
      </w:r>
    </w:p>
    <w:p w14:paraId="1A638EEF" w14:textId="77777777" w:rsidR="006848E6" w:rsidRPr="005C170B" w:rsidRDefault="006848E6" w:rsidP="006848E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848E6" w:rsidRPr="005C170B" w14:paraId="3CB86B08" w14:textId="77777777" w:rsidTr="00DC3EEC">
        <w:tc>
          <w:tcPr>
            <w:tcW w:w="8828" w:type="dxa"/>
          </w:tcPr>
          <w:p w14:paraId="786F2E87" w14:textId="77777777" w:rsidR="006848E6" w:rsidRPr="005C170B" w:rsidRDefault="006848E6" w:rsidP="004D1A70">
            <w:pPr>
              <w:spacing w:after="120" w:line="276" w:lineRule="auto"/>
              <w:jc w:val="both"/>
              <w:rPr>
                <w:rFonts w:ascii="Verdana" w:hAnsi="Verdana"/>
              </w:rPr>
            </w:pPr>
            <w:r w:rsidRPr="005C170B">
              <w:rPr>
                <w:rFonts w:ascii="Verdana" w:hAnsi="Verdana"/>
              </w:rPr>
              <w:t xml:space="preserve">Conforme a la interpretación general de las normas del sistema de compras públicas, el artículo 33 de la Ley 996 de 2005 prohíbe “[…] la contratación directa por parte de todos los entes del Estado” durante los cuatro (4) meses anteriores a las elecciones presidenciales, salvo i) lo referente a la defensa y seguridad del Estado, </w:t>
            </w:r>
            <w:proofErr w:type="spellStart"/>
            <w:r w:rsidRPr="005C170B">
              <w:rPr>
                <w:rFonts w:ascii="Verdana" w:hAnsi="Verdana"/>
              </w:rPr>
              <w:t>ii</w:t>
            </w:r>
            <w:proofErr w:type="spellEnd"/>
            <w:r w:rsidRPr="005C170B">
              <w:rPr>
                <w:rFonts w:ascii="Verdana" w:hAnsi="Verdana"/>
              </w:rPr>
              <w:t xml:space="preserve">) los contratos de crédito público, </w:t>
            </w:r>
            <w:proofErr w:type="spellStart"/>
            <w:r w:rsidRPr="005C170B">
              <w:rPr>
                <w:rFonts w:ascii="Verdana" w:hAnsi="Verdana"/>
              </w:rPr>
              <w:t>iii</w:t>
            </w:r>
            <w:proofErr w:type="spellEnd"/>
            <w:r w:rsidRPr="005C170B">
              <w:rPr>
                <w:rFonts w:ascii="Verdana" w:hAnsi="Verdana"/>
              </w:rPr>
              <w:t xml:space="preserve">) los requeridos para cubrir las emergencias educativas, sanitarias y desastres, así como también </w:t>
            </w:r>
            <w:proofErr w:type="spellStart"/>
            <w:r w:rsidRPr="005C170B">
              <w:rPr>
                <w:rFonts w:ascii="Verdana" w:hAnsi="Verdana"/>
              </w:rPr>
              <w:t>iv</w:t>
            </w:r>
            <w:proofErr w:type="spellEnd"/>
            <w:r w:rsidRPr="005C170B">
              <w:rPr>
                <w:rFonts w:ascii="Verdana" w:hAnsi="Verdana"/>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5C58EABA" w14:textId="01081B8B" w:rsidR="006848E6" w:rsidRDefault="006848E6" w:rsidP="00DE2C79">
            <w:pPr>
              <w:spacing w:after="120" w:line="276" w:lineRule="auto"/>
              <w:ind w:firstLine="709"/>
              <w:jc w:val="both"/>
              <w:rPr>
                <w:rFonts w:ascii="Verdana" w:eastAsia="Calibri" w:hAnsi="Verdana" w:cs="Arial"/>
                <w:bCs/>
                <w:color w:val="000000" w:themeColor="text1"/>
              </w:rPr>
            </w:pPr>
            <w:r w:rsidRPr="005C170B">
              <w:rPr>
                <w:rFonts w:ascii="Verdana" w:eastAsia="Calibri" w:hAnsi="Verdana" w:cs="Arial"/>
                <w:bCs/>
                <w:color w:val="000000" w:themeColor="text1"/>
              </w:rPr>
              <w:lastRenderedPageBreak/>
              <w:t xml:space="preserve">Por su parte, el parágrafo del artículo 38 de la Ley 996 de 2005 prohíbe a los </w:t>
            </w:r>
            <w:proofErr w:type="gramStart"/>
            <w:r w:rsidRPr="005C170B">
              <w:rPr>
                <w:rFonts w:ascii="Verdana" w:eastAsia="Calibri" w:hAnsi="Verdana" w:cs="Arial"/>
                <w:bCs/>
                <w:color w:val="000000" w:themeColor="text1"/>
              </w:rPr>
              <w:t>Alcaldes</w:t>
            </w:r>
            <w:proofErr w:type="gramEnd"/>
            <w:r w:rsidRPr="005C170B">
              <w:rPr>
                <w:rFonts w:ascii="Verdana" w:eastAsia="Calibri" w:hAnsi="Verdana" w:cs="Arial"/>
                <w:bCs/>
                <w:color w:val="000000" w:themeColor="text1"/>
              </w:rPr>
              <w:t xml:space="preserve">, Gobernadores, </w:t>
            </w:r>
            <w:proofErr w:type="gramStart"/>
            <w:r w:rsidRPr="005C170B">
              <w:rPr>
                <w:rFonts w:ascii="Verdana" w:eastAsia="Calibri" w:hAnsi="Verdana" w:cs="Arial"/>
                <w:bCs/>
                <w:color w:val="000000" w:themeColor="text1"/>
              </w:rPr>
              <w:t>Secretarios</w:t>
            </w:r>
            <w:proofErr w:type="gramEnd"/>
            <w:r w:rsidRPr="005C170B">
              <w:rPr>
                <w:rFonts w:ascii="Verdana" w:eastAsia="Calibri" w:hAnsi="Verdana" w:cs="Arial"/>
                <w:bCs/>
                <w:color w:val="000000" w:themeColor="text1"/>
              </w:rPr>
              <w:t xml:space="preserve">, Gerentes y </w:t>
            </w:r>
            <w:proofErr w:type="gramStart"/>
            <w:r w:rsidRPr="005C170B">
              <w:rPr>
                <w:rFonts w:ascii="Verdana" w:eastAsia="Calibri" w:hAnsi="Verdana" w:cs="Arial"/>
                <w:bCs/>
                <w:color w:val="000000" w:themeColor="text1"/>
              </w:rPr>
              <w:t>Directores</w:t>
            </w:r>
            <w:proofErr w:type="gramEnd"/>
            <w:r w:rsidRPr="005C170B">
              <w:rPr>
                <w:rFonts w:ascii="Verdana" w:eastAsia="Calibri" w:hAnsi="Verdana" w:cs="Arial"/>
                <w:bCs/>
                <w:color w:val="000000" w:themeColor="text1"/>
              </w:rPr>
              <w:t xml:space="preserve"> de las entidades del orden municipal, departamental o distrital celebrar convenios interadministrativos para la ejecución de recursos públicos. En este sentido, si una o ambas partes de la relación negocial corresponden a entidades de aquellas descritas en el parágrafo ibidem, no podrán celebrarse tales convenios durante la aplicación de la Ley de Garantías Electorales, toda vez que la citada disposición se refiere de manera expresa y exclusiva a dicha tipología negocial, sin que el legislador haya previsto un efecto extensivo a otras formas contractuales. </w:t>
            </w:r>
          </w:p>
          <w:p w14:paraId="2F156762" w14:textId="7671D780" w:rsidR="00DE77CE" w:rsidRDefault="00DE77CE" w:rsidP="00DE2C79">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En relación con su consulta, debe señalarse que, l</w:t>
            </w:r>
            <w:r w:rsidRPr="005C170B">
              <w:rPr>
                <w:rFonts w:ascii="Verdana" w:eastAsia="Calibri" w:hAnsi="Verdana" w:cs="Arial"/>
                <w:bCs/>
                <w:color w:val="000000" w:themeColor="text1"/>
              </w:rPr>
              <w:t>a prohibición establecida en el artículo 33 de la Ley de Garantías Electorales se aplica a “todo mecanismo que no contemple una convocatoria pública ni permita la participación de múltiples oferentes”.</w:t>
            </w:r>
            <w:r>
              <w:rPr>
                <w:rFonts w:ascii="Verdana" w:eastAsia="Calibri" w:hAnsi="Verdana" w:cs="Arial"/>
                <w:bCs/>
                <w:color w:val="000000" w:themeColor="text1"/>
              </w:rPr>
              <w:t xml:space="preserve"> </w:t>
            </w:r>
            <w:r w:rsidRPr="005C170B">
              <w:rPr>
                <w:rFonts w:ascii="Verdana" w:eastAsia="Calibri" w:hAnsi="Verdana" w:cs="Arial"/>
                <w:bCs/>
                <w:color w:val="000000" w:themeColor="text1"/>
              </w:rPr>
              <w:t>De tal manera, debe entenderse que, para los efectos de la Ley de Garantías Electorales y, en particular, para la prohibición o restricción temporal contenida en su artículo 33, la “contratación directa” es cualquier sistema de selección o procedimiento de contratación utilizado por las Entidades Estatales que no incluya la convocatoria pública en alguna de sus etapas, ni permita la participación de una pluralidad de oferentes</w:t>
            </w:r>
          </w:p>
          <w:p w14:paraId="0AF135F4" w14:textId="463D4E80" w:rsidR="00DE77CE" w:rsidRPr="001A48BD" w:rsidRDefault="00DE77CE" w:rsidP="001A48BD">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Dicha prohibición aplica a “todos los entes del Estado”, así las cosas, d</w:t>
            </w:r>
            <w:r w:rsidRPr="005C170B">
              <w:rPr>
                <w:rFonts w:ascii="Verdana" w:eastAsia="Arial" w:hAnsi="Verdana" w:cs="Arial"/>
                <w:lang w:eastAsia="es-MX"/>
              </w:rPr>
              <w:t xml:space="preserve">ado que las universidades públicas son entidades públicas de carácter autónomo con régimen especial, les aplica la restricción establecida en el artículo 33 de la Ley 996 de 2005, que </w:t>
            </w:r>
            <w:r w:rsidRPr="005C170B">
              <w:rPr>
                <w:rFonts w:ascii="Verdana" w:eastAsia="Times New Roman" w:hAnsi="Verdana" w:cs="Open Sans"/>
                <w:lang w:eastAsia="es-CO"/>
              </w:rPr>
              <w:t>prohíbe la contratación directa por parte de todos los entes estatales durante los cuatro (4) meses anteriores a las elecciones presidenciales y dispone las excepciones a dicha prohibición.</w:t>
            </w:r>
          </w:p>
          <w:p w14:paraId="5A31BACF" w14:textId="77777777" w:rsidR="006848E6" w:rsidRPr="005C170B" w:rsidRDefault="006848E6">
            <w:pPr>
              <w:spacing w:after="120" w:line="276" w:lineRule="auto"/>
              <w:ind w:firstLine="709"/>
              <w:jc w:val="both"/>
              <w:rPr>
                <w:rFonts w:ascii="Verdana" w:hAnsi="Verdana" w:cs="Arial"/>
                <w:shd w:val="clear" w:color="auto" w:fill="FFFFFF"/>
                <w:lang w:val="es-ES"/>
              </w:rPr>
            </w:pPr>
            <w:r w:rsidRPr="005C170B">
              <w:rPr>
                <w:rFonts w:ascii="Verdana" w:hAnsi="Verdana" w:cs="Arial"/>
                <w:shd w:val="clear" w:color="auto" w:fill="FFFFFF"/>
                <w:lang w:val="es-ES"/>
              </w:rPr>
              <w:t xml:space="preserve">En concordancia con lo expuesto, resulta necesario indicar que de acuerdo con la Resolución No. 2580 del 5 de marzo de 2025, la Registraduría Nacional del Estado Civil fijó el calendario electoral, informando que la restricción a la celebración de convenios interadministrativos aplicable a las entidades territoriales inició el pasado ocho (8) de noviembre de 2025, mientras que la restricción general a la contratación directa que cobija a todas las Entidades Estatales comenzó a regir a partir del treinta y uno (31) de enero de 2026. Ambas se mantendrán hasta el treinta y uno (31) de mayo o veinte y uno (21) de junio de 2026, en caso de requerirse segunda vuelta en las elecciones presidenciales. </w:t>
            </w:r>
          </w:p>
          <w:p w14:paraId="40D87DDA" w14:textId="77777777" w:rsidR="006848E6" w:rsidRPr="005C170B" w:rsidRDefault="006848E6">
            <w:pPr>
              <w:spacing w:after="120" w:line="276" w:lineRule="auto"/>
              <w:ind w:firstLine="709"/>
              <w:jc w:val="both"/>
              <w:rPr>
                <w:rFonts w:ascii="Verdana" w:hAnsi="Verdana" w:cs="Arial"/>
                <w:lang w:eastAsia="es-CO"/>
              </w:rPr>
            </w:pPr>
            <w:r w:rsidRPr="005C170B">
              <w:rPr>
                <w:rFonts w:ascii="Verdana" w:eastAsia="Calibri" w:hAnsi="Verdana" w:cs="Arial"/>
              </w:rPr>
              <w:lastRenderedPageBreak/>
              <w:t>Teniendo en cuenta lo anterior, cada Entidad Estatal, en este caso, las Universidades Públicas, deberán 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5C170B">
              <w:rPr>
                <w:rFonts w:ascii="Verdana" w:hAnsi="Verdana" w:cs="Arial"/>
                <w:lang w:eastAsia="es-CO"/>
              </w:rPr>
              <w:t>. Por el contrario, si el estudio determina que no aplica excepción alguna estará vedada la celebración de contratos de manera directa.</w:t>
            </w:r>
          </w:p>
          <w:p w14:paraId="4C60E831" w14:textId="77777777" w:rsidR="006848E6" w:rsidRPr="005C170B" w:rsidRDefault="006848E6">
            <w:pPr>
              <w:spacing w:after="120" w:line="276" w:lineRule="auto"/>
              <w:ind w:firstLine="709"/>
              <w:jc w:val="both"/>
              <w:rPr>
                <w:rFonts w:ascii="Verdana" w:eastAsia="Times New Roman" w:hAnsi="Verdana" w:cs="Arial"/>
                <w:bCs/>
                <w:lang w:val="es-ES_tradnl" w:eastAsia="es-MX"/>
              </w:rPr>
            </w:pPr>
            <w:r w:rsidRPr="005C170B">
              <w:rPr>
                <w:rFonts w:ascii="Verdana" w:eastAsia="Times New Roman" w:hAnsi="Verdana" w:cs="Arial"/>
                <w:bCs/>
                <w:lang w:val="es-ES_tradnl"/>
              </w:rPr>
              <w:t xml:space="preserve"> </w:t>
            </w:r>
            <w:r w:rsidRPr="005C170B">
              <w:rPr>
                <w:rFonts w:ascii="Verdana" w:eastAsia="Calibri" w:hAnsi="Verdana" w:cs="Arial"/>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9EED379" w14:textId="77777777" w:rsidR="006848E6" w:rsidRPr="005C170B" w:rsidRDefault="006848E6">
      <w:pPr>
        <w:tabs>
          <w:tab w:val="left" w:pos="142"/>
          <w:tab w:val="left" w:pos="284"/>
        </w:tabs>
        <w:spacing w:after="0" w:line="276" w:lineRule="auto"/>
        <w:jc w:val="both"/>
        <w:rPr>
          <w:rFonts w:ascii="Verdana" w:eastAsia="Century Gothic" w:hAnsi="Verdana" w:cs="Century Gothic"/>
          <w:b/>
          <w:bCs/>
          <w:lang w:val="es-ES"/>
        </w:rPr>
      </w:pPr>
    </w:p>
    <w:p w14:paraId="2A3379F6" w14:textId="77777777" w:rsidR="006848E6" w:rsidRPr="005C170B" w:rsidRDefault="006848E6" w:rsidP="00B868B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Razones de la respuesta:</w:t>
      </w:r>
    </w:p>
    <w:p w14:paraId="13DAA444" w14:textId="77777777" w:rsidR="006848E6" w:rsidRPr="005C170B" w:rsidRDefault="006848E6">
      <w:pPr>
        <w:spacing w:after="0" w:line="276" w:lineRule="auto"/>
        <w:jc w:val="both"/>
        <w:rPr>
          <w:rFonts w:ascii="Verdana" w:eastAsia="Calibri" w:hAnsi="Verdana" w:cs="Arial"/>
          <w:color w:val="7030A0"/>
          <w:lang w:val="es-ES"/>
        </w:rPr>
      </w:pPr>
    </w:p>
    <w:p w14:paraId="45DC8CA2" w14:textId="77777777" w:rsidR="006848E6" w:rsidRPr="005C170B" w:rsidRDefault="006848E6">
      <w:pPr>
        <w:spacing w:after="0" w:line="276" w:lineRule="auto"/>
        <w:jc w:val="both"/>
        <w:rPr>
          <w:rFonts w:ascii="Verdana" w:eastAsia="Calibri" w:hAnsi="Verdana" w:cs="Arial"/>
          <w:lang w:val="es-ES"/>
        </w:rPr>
      </w:pPr>
      <w:r w:rsidRPr="005C170B">
        <w:rPr>
          <w:rFonts w:ascii="Verdana" w:eastAsia="Calibri" w:hAnsi="Verdana" w:cs="Arial"/>
          <w:lang w:val="es-ES"/>
        </w:rPr>
        <w:t xml:space="preserve">Lo anterior se sustenta en las siguientes consideraciones: </w:t>
      </w:r>
    </w:p>
    <w:p w14:paraId="390C0B14" w14:textId="77777777" w:rsidR="006848E6" w:rsidRPr="005C170B" w:rsidRDefault="006848E6">
      <w:pPr>
        <w:spacing w:after="0" w:line="276" w:lineRule="auto"/>
        <w:jc w:val="both"/>
        <w:rPr>
          <w:rFonts w:ascii="Verdana" w:eastAsia="Calibri" w:hAnsi="Verdana" w:cs="Arial"/>
          <w:lang w:val="es-ES"/>
        </w:rPr>
      </w:pPr>
    </w:p>
    <w:p w14:paraId="2BAB0BDB" w14:textId="4704493C" w:rsidR="006848E6" w:rsidRPr="005C170B" w:rsidRDefault="006848E6" w:rsidP="00B868B2">
      <w:pPr>
        <w:spacing w:after="120" w:line="276" w:lineRule="auto"/>
        <w:jc w:val="both"/>
        <w:rPr>
          <w:rFonts w:ascii="Verdana" w:eastAsia="Calibri" w:hAnsi="Verdana" w:cs="Arial"/>
          <w:bCs/>
          <w:lang w:val="es-ES_tradnl" w:eastAsia="es-MX"/>
        </w:rPr>
      </w:pPr>
      <w:bookmarkStart w:id="1" w:name="_Hlk54011258"/>
      <w:r w:rsidRPr="005C170B">
        <w:rPr>
          <w:rFonts w:ascii="Verdana" w:eastAsia="Calibri" w:hAnsi="Verdana" w:cs="Arial"/>
          <w:b/>
          <w:lang w:val="es-ES_tradnl" w:eastAsia="es-MX"/>
        </w:rPr>
        <w:t>i.</w:t>
      </w:r>
      <w:r w:rsidRPr="005C170B">
        <w:rPr>
          <w:rFonts w:ascii="Verdana" w:eastAsia="Calibri" w:hAnsi="Verdana" w:cs="Arial"/>
          <w:bCs/>
          <w:lang w:val="es-ES_tradnl" w:eastAsia="es-MX"/>
        </w:rPr>
        <w:t xml:space="preserve"> </w:t>
      </w:r>
      <w:bookmarkEnd w:id="1"/>
      <w:r w:rsidRPr="005C170B">
        <w:rPr>
          <w:rFonts w:ascii="Verdana" w:eastAsia="Calibri" w:hAnsi="Verdana" w:cs="Arial"/>
          <w:bCs/>
          <w:lang w:val="es-ES_tradnl" w:eastAsia="es-MX"/>
        </w:rPr>
        <w:t xml:space="preserve"> </w:t>
      </w:r>
      <w:r w:rsidRPr="005C170B">
        <w:rPr>
          <w:rFonts w:ascii="Verdana" w:eastAsia="Calibri" w:hAnsi="Verdana" w:cs="Arial"/>
          <w:bCs/>
          <w:color w:val="000000" w:themeColor="text1"/>
        </w:rPr>
        <w:t xml:space="preserve">El ordenamiento jurídico colombiano contempla una serie de previsiones para evitar la obtención de beneficios personales en asuntos propios de la administración. Un destacado ejemplo de lo anterior es la Ley 996 de 2005, conocida como “Ley de Garantías Electorales”, cuyo propósito es asegurar la neutralidad, transparencia e imparcialidad en los procesos electorales. Esta Ley busca impedir que quienes ejercen el poder público utilicen los recursos del Estado para incidir en la voluntad del electorado. Esta Ley se suma al andamiaje de orden constitucional y legal que se ha ocupado de evitar la injerencia inadecuada de intereses particulares en el ejercicio de la función pública. Su propósito es evitar cualquier tipo de arbitrariedad, de ventaja injustificada, de </w:t>
      </w:r>
      <w:r w:rsidRPr="005C170B">
        <w:rPr>
          <w:rFonts w:ascii="Verdana" w:eastAsia="Calibri" w:hAnsi="Verdana" w:cs="Arial"/>
          <w:bCs/>
          <w:color w:val="000000" w:themeColor="text1"/>
        </w:rPr>
        <w:lastRenderedPageBreak/>
        <w:t>uso irregular de los recursos del Estado en las campañas o falta de garantías en la elección presidencial</w:t>
      </w:r>
      <w:r w:rsidRPr="005C170B">
        <w:rPr>
          <w:rStyle w:val="Refdenotaalpie"/>
          <w:rFonts w:ascii="Verdana" w:eastAsia="Calibri" w:hAnsi="Verdana" w:cs="Arial"/>
          <w:bCs/>
          <w:color w:val="000000" w:themeColor="text1"/>
        </w:rPr>
        <w:footnoteReference w:id="1"/>
      </w:r>
      <w:r w:rsidRPr="005C170B">
        <w:rPr>
          <w:rFonts w:ascii="Verdana" w:eastAsia="Calibri" w:hAnsi="Verdana" w:cs="Arial"/>
          <w:bCs/>
          <w:color w:val="000000" w:themeColor="text1"/>
        </w:rPr>
        <w:t xml:space="preserve">. En esta medida, introduce limitaciones para realizar nombramientos, postulaciones, contrataciones o cualquier otro tipo de actividad que implique destinación de recursos públicos bajo el devenir propio de las Entidades Estatales. </w:t>
      </w:r>
    </w:p>
    <w:p w14:paraId="5BF299FD" w14:textId="77777777" w:rsidR="006848E6" w:rsidRPr="005C170B" w:rsidRDefault="006848E6" w:rsidP="006848E6">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 xml:space="preserve">En armonía con lo anterior, la Corte Constitucional ha abordado la definición de la Ley de Garantías Electorales. De esta manera, explica que tiene como propósito: </w:t>
      </w:r>
    </w:p>
    <w:p w14:paraId="050A590E" w14:textId="77777777" w:rsidR="006848E6" w:rsidRPr="005C170B" w:rsidRDefault="006848E6" w:rsidP="006848E6">
      <w:pPr>
        <w:spacing w:after="0" w:line="276" w:lineRule="auto"/>
        <w:ind w:firstLine="708"/>
        <w:jc w:val="both"/>
        <w:rPr>
          <w:rFonts w:ascii="Verdana" w:eastAsia="Calibri" w:hAnsi="Verdana" w:cs="Arial"/>
          <w:bCs/>
          <w:color w:val="000000" w:themeColor="text1"/>
        </w:rPr>
      </w:pPr>
    </w:p>
    <w:p w14:paraId="79070EE7" w14:textId="77777777" w:rsidR="006848E6" w:rsidRPr="005C170B" w:rsidRDefault="006848E6" w:rsidP="00B868B2">
      <w:pPr>
        <w:spacing w:after="0" w:line="276" w:lineRule="auto"/>
        <w:ind w:left="708" w:right="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 la definición de reglas claras que permitan acceder a los canales de expresión democrática de manera efectiva e igualitaria. El objetivo de una ley de garantías es definir esas reglas. […] 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5C170B">
        <w:rPr>
          <w:rStyle w:val="Refdenotaalpie"/>
          <w:rFonts w:ascii="Verdana" w:eastAsia="Calibri" w:hAnsi="Verdana" w:cs="Arial"/>
          <w:bCs/>
          <w:color w:val="000000" w:themeColor="text1"/>
          <w:sz w:val="20"/>
          <w:szCs w:val="20"/>
        </w:rPr>
        <w:footnoteReference w:id="2"/>
      </w:r>
    </w:p>
    <w:p w14:paraId="1ED3A330" w14:textId="77777777" w:rsidR="006848E6" w:rsidRPr="005C170B" w:rsidRDefault="006848E6" w:rsidP="006848E6">
      <w:pPr>
        <w:spacing w:after="0" w:line="276" w:lineRule="auto"/>
        <w:ind w:firstLine="709"/>
        <w:jc w:val="both"/>
        <w:rPr>
          <w:rFonts w:ascii="Verdana" w:eastAsia="Calibri" w:hAnsi="Verdana" w:cs="Arial"/>
          <w:bCs/>
          <w:lang w:val="es-ES_tradnl" w:eastAsia="es-MX"/>
        </w:rPr>
      </w:pPr>
    </w:p>
    <w:p w14:paraId="7A0240CB" w14:textId="3F0CA6E1" w:rsidR="006848E6" w:rsidRPr="005C170B" w:rsidRDefault="006848E6" w:rsidP="00B868B2">
      <w:pPr>
        <w:spacing w:after="120" w:line="276" w:lineRule="auto"/>
        <w:ind w:firstLine="708"/>
        <w:jc w:val="both"/>
        <w:rPr>
          <w:rFonts w:ascii="Verdana" w:eastAsia="Calibri" w:hAnsi="Verdana" w:cs="Arial"/>
          <w:bCs/>
          <w:lang w:val="es-ES_tradnl" w:eastAsia="es-MX"/>
        </w:rPr>
      </w:pPr>
      <w:r w:rsidRPr="005C170B">
        <w:rPr>
          <w:rFonts w:ascii="Verdana" w:eastAsia="Calibri" w:hAnsi="Verdana" w:cs="Arial"/>
          <w:bCs/>
          <w:color w:val="000000" w:themeColor="text1"/>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437C9445" w14:textId="2C32B2FA" w:rsidR="006848E6" w:rsidRDefault="006848E6" w:rsidP="006848E6">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En efecto, la Sala de Consulta y Servicio Civil del Consejo de Estado, precisó:</w:t>
      </w:r>
    </w:p>
    <w:p w14:paraId="3008E754" w14:textId="77777777" w:rsidR="00354F05" w:rsidRPr="005C170B" w:rsidRDefault="00354F05" w:rsidP="006848E6">
      <w:pPr>
        <w:spacing w:after="0" w:line="276" w:lineRule="auto"/>
        <w:ind w:firstLine="708"/>
        <w:jc w:val="both"/>
        <w:rPr>
          <w:rFonts w:ascii="Verdana" w:eastAsia="Calibri" w:hAnsi="Verdana" w:cs="Arial"/>
          <w:bCs/>
          <w:color w:val="000000" w:themeColor="text1"/>
        </w:rPr>
      </w:pPr>
    </w:p>
    <w:p w14:paraId="1D5103E5" w14:textId="77777777" w:rsidR="006848E6" w:rsidRPr="005C170B" w:rsidRDefault="006848E6" w:rsidP="00B868B2">
      <w:pPr>
        <w:spacing w:after="0" w:line="276" w:lineRule="auto"/>
        <w:ind w:left="708" w:right="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 xml:space="preserve">“No está de más recordar que las prohibiciones, en tanto limitan la libertad y los derechos de las personas, son de origen constitucional y legal; la </w:t>
      </w:r>
      <w:r w:rsidRPr="005C170B">
        <w:rPr>
          <w:rFonts w:ascii="Verdana" w:eastAsia="Calibri" w:hAnsi="Verdana" w:cs="Arial"/>
          <w:bCs/>
          <w:color w:val="000000" w:themeColor="text1"/>
          <w:sz w:val="20"/>
          <w:szCs w:val="20"/>
        </w:rPr>
        <w:lastRenderedPageBreak/>
        <w:t xml:space="preserve">tipificación de sus causas, vigencia, naturaleza y efectos es rígida y taxativa; y su aplicación es restrictiva, de manera que excluye la analogía </w:t>
      </w:r>
      <w:proofErr w:type="spellStart"/>
      <w:r w:rsidRPr="005C170B">
        <w:rPr>
          <w:rFonts w:ascii="Verdana" w:eastAsia="Calibri" w:hAnsi="Verdana" w:cs="Arial"/>
          <w:bCs/>
          <w:color w:val="000000" w:themeColor="text1"/>
          <w:sz w:val="20"/>
          <w:szCs w:val="20"/>
        </w:rPr>
        <w:t>legis</w:t>
      </w:r>
      <w:proofErr w:type="spellEnd"/>
      <w:r w:rsidRPr="005C170B">
        <w:rPr>
          <w:rFonts w:ascii="Verdana" w:eastAsia="Calibri" w:hAnsi="Verdana" w:cs="Arial"/>
          <w:bCs/>
          <w:color w:val="000000" w:themeColor="text1"/>
          <w:sz w:val="20"/>
          <w:szCs w:val="20"/>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80F2016" w14:textId="77777777" w:rsidR="006848E6" w:rsidRPr="005C170B" w:rsidRDefault="006848E6" w:rsidP="00B868B2">
      <w:pPr>
        <w:spacing w:after="0" w:line="276" w:lineRule="auto"/>
        <w:ind w:left="708" w:right="709"/>
        <w:jc w:val="both"/>
        <w:rPr>
          <w:rFonts w:ascii="Verdana" w:eastAsia="Calibri" w:hAnsi="Verdana" w:cs="Arial"/>
          <w:bCs/>
          <w:color w:val="000000" w:themeColor="text1"/>
          <w:sz w:val="20"/>
          <w:szCs w:val="20"/>
        </w:rPr>
      </w:pPr>
    </w:p>
    <w:p w14:paraId="074ED92B" w14:textId="77777777" w:rsidR="006848E6" w:rsidRPr="005C170B" w:rsidRDefault="006848E6" w:rsidP="00B868B2">
      <w:pPr>
        <w:spacing w:after="0" w:line="276" w:lineRule="auto"/>
        <w:ind w:left="708" w:right="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La jurisprudencia de la Corte Constitucional</w:t>
      </w:r>
      <w:r w:rsidRPr="005C170B">
        <w:rPr>
          <w:rStyle w:val="Refdenotaalpie"/>
          <w:rFonts w:ascii="Verdana" w:eastAsia="Calibri" w:hAnsi="Verdana" w:cs="Arial"/>
          <w:bCs/>
          <w:color w:val="000000" w:themeColor="text1"/>
          <w:sz w:val="20"/>
          <w:szCs w:val="20"/>
        </w:rPr>
        <w:footnoteReference w:id="3"/>
      </w:r>
      <w:r w:rsidRPr="005C170B">
        <w:rPr>
          <w:rFonts w:ascii="Verdana" w:eastAsia="Calibri" w:hAnsi="Verdana" w:cs="Arial"/>
          <w:bCs/>
          <w:color w:val="000000" w:themeColor="text1"/>
          <w:sz w:val="20"/>
          <w:szCs w:val="20"/>
        </w:rPr>
        <w:t xml:space="preserve"> y del consejo de estado</w:t>
      </w:r>
      <w:r w:rsidRPr="005C170B">
        <w:rPr>
          <w:rStyle w:val="Refdenotaalpie"/>
          <w:rFonts w:ascii="Verdana" w:eastAsia="Calibri" w:hAnsi="Verdana" w:cs="Arial"/>
          <w:bCs/>
          <w:color w:val="000000" w:themeColor="text1"/>
          <w:sz w:val="20"/>
          <w:szCs w:val="20"/>
        </w:rPr>
        <w:footnoteReference w:id="4"/>
      </w:r>
      <w:r w:rsidRPr="005C170B">
        <w:rPr>
          <w:rFonts w:ascii="Verdana" w:eastAsia="Calibri" w:hAnsi="Verdana" w:cs="Arial"/>
          <w:bCs/>
          <w:color w:val="000000" w:themeColor="text1"/>
          <w:sz w:val="20"/>
          <w:szCs w:val="20"/>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5C170B">
        <w:rPr>
          <w:rStyle w:val="Refdenotaalpie"/>
          <w:rFonts w:ascii="Verdana" w:eastAsia="Calibri" w:hAnsi="Verdana" w:cs="Arial"/>
          <w:bCs/>
          <w:color w:val="000000" w:themeColor="text1"/>
          <w:sz w:val="20"/>
          <w:szCs w:val="20"/>
        </w:rPr>
        <w:footnoteReference w:id="5"/>
      </w:r>
    </w:p>
    <w:p w14:paraId="76EDECAF" w14:textId="77777777" w:rsidR="006848E6" w:rsidRPr="005C170B" w:rsidRDefault="006848E6" w:rsidP="006848E6">
      <w:pPr>
        <w:spacing w:after="0" w:line="276" w:lineRule="auto"/>
        <w:jc w:val="both"/>
        <w:rPr>
          <w:rFonts w:ascii="Verdana" w:eastAsia="Calibri" w:hAnsi="Verdana" w:cs="Arial"/>
          <w:b/>
          <w:color w:val="000000" w:themeColor="text1"/>
        </w:rPr>
      </w:pPr>
    </w:p>
    <w:p w14:paraId="62BD5526" w14:textId="10F3F231" w:rsidR="006848E6" w:rsidRPr="005C170B" w:rsidRDefault="006848E6" w:rsidP="00B868B2">
      <w:pPr>
        <w:spacing w:after="120" w:line="276" w:lineRule="auto"/>
        <w:jc w:val="both"/>
        <w:rPr>
          <w:rFonts w:ascii="Verdana" w:eastAsia="Calibri" w:hAnsi="Verdana" w:cs="Arial"/>
          <w:bCs/>
          <w:color w:val="000000" w:themeColor="text1"/>
        </w:rPr>
      </w:pPr>
      <w:proofErr w:type="spellStart"/>
      <w:r w:rsidRPr="005C170B">
        <w:rPr>
          <w:rFonts w:ascii="Verdana" w:eastAsia="Calibri" w:hAnsi="Verdana" w:cs="Arial"/>
          <w:b/>
          <w:color w:val="000000" w:themeColor="text1"/>
        </w:rPr>
        <w:t>ii</w:t>
      </w:r>
      <w:proofErr w:type="spellEnd"/>
      <w:r w:rsidRPr="005C170B">
        <w:rPr>
          <w:rFonts w:ascii="Verdana" w:eastAsia="Calibri" w:hAnsi="Verdana" w:cs="Arial"/>
          <w:b/>
          <w:color w:val="000000" w:themeColor="text1"/>
        </w:rPr>
        <w:t>.</w:t>
      </w:r>
      <w:r w:rsidRPr="005C170B">
        <w:rPr>
          <w:rFonts w:ascii="Verdana" w:eastAsia="Calibri" w:hAnsi="Verdana" w:cs="Arial"/>
          <w:bCs/>
          <w:color w:val="000000" w:themeColor="text1"/>
        </w:rPr>
        <w:t xml:space="preserve"> Precisado el propósito de la Ley, es pertinente señalar que las restricciones consagradas en la citada Ley se dirigen a dos (2) tipos de campañas electorales claramente diferenciadas: i) las presidenciales y </w:t>
      </w:r>
      <w:proofErr w:type="spellStart"/>
      <w:r w:rsidRPr="005C170B">
        <w:rPr>
          <w:rFonts w:ascii="Verdana" w:eastAsia="Calibri" w:hAnsi="Verdana" w:cs="Arial"/>
          <w:bCs/>
          <w:color w:val="000000" w:themeColor="text1"/>
        </w:rPr>
        <w:t>ii</w:t>
      </w:r>
      <w:proofErr w:type="spellEnd"/>
      <w:r w:rsidRPr="005C170B">
        <w:rPr>
          <w:rFonts w:ascii="Verdana" w:eastAsia="Calibri" w:hAnsi="Verdana" w:cs="Arial"/>
          <w:bCs/>
          <w:color w:val="000000" w:themeColor="text1"/>
        </w:rPr>
        <w:t>) las demás que se adelanten para la elección de los demás cargos de elección popular, tanto a nivel nacional como territorial.</w:t>
      </w:r>
    </w:p>
    <w:p w14:paraId="6BAD5EF2" w14:textId="25AF5E44" w:rsidR="006848E6" w:rsidRPr="005C170B" w:rsidRDefault="006848E6" w:rsidP="00B868B2">
      <w:pPr>
        <w:spacing w:after="12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 xml:space="preserve">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w:t>
      </w:r>
      <w:r w:rsidRPr="005C170B">
        <w:rPr>
          <w:rFonts w:ascii="Verdana" w:eastAsia="Calibri" w:hAnsi="Verdana" w:cs="Arial"/>
          <w:bCs/>
          <w:color w:val="000000" w:themeColor="text1"/>
        </w:rPr>
        <w:lastRenderedPageBreak/>
        <w:t>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5C170B">
        <w:rPr>
          <w:rStyle w:val="Refdenotaalpie"/>
          <w:rFonts w:ascii="Verdana" w:eastAsia="Calibri" w:hAnsi="Verdana" w:cs="Arial"/>
          <w:bCs/>
          <w:color w:val="000000" w:themeColor="text1"/>
        </w:rPr>
        <w:footnoteReference w:id="6"/>
      </w:r>
    </w:p>
    <w:p w14:paraId="76604068" w14:textId="3595FB1C" w:rsidR="006848E6" w:rsidRPr="005C170B" w:rsidRDefault="006848E6" w:rsidP="00B868B2">
      <w:pPr>
        <w:spacing w:after="120" w:line="276" w:lineRule="auto"/>
        <w:ind w:firstLine="708"/>
        <w:jc w:val="both"/>
        <w:rPr>
          <w:rFonts w:ascii="Verdana" w:eastAsia="Calibri" w:hAnsi="Verdana" w:cs="Arial"/>
          <w:bCs/>
          <w:lang w:val="es-ES_tradnl" w:eastAsia="es-MX"/>
        </w:rPr>
      </w:pPr>
      <w:r w:rsidRPr="005C170B">
        <w:rPr>
          <w:rFonts w:ascii="Verdana" w:eastAsia="Calibri" w:hAnsi="Verdana" w:cs="Arial"/>
          <w:bCs/>
          <w:color w:val="000000" w:themeColor="text1"/>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C170B">
        <w:rPr>
          <w:rStyle w:val="Refdenotaalpie"/>
          <w:rFonts w:ascii="Verdana" w:eastAsia="Calibri" w:hAnsi="Verdana" w:cs="Arial"/>
          <w:bCs/>
          <w:color w:val="000000" w:themeColor="text1"/>
        </w:rPr>
        <w:footnoteReference w:id="7"/>
      </w:r>
      <w:r w:rsidR="00354F05">
        <w:rPr>
          <w:rFonts w:ascii="Verdana" w:eastAsia="Calibri" w:hAnsi="Verdana" w:cs="Arial"/>
          <w:bCs/>
          <w:color w:val="000000" w:themeColor="text1"/>
        </w:rPr>
        <w:t>.</w:t>
      </w:r>
    </w:p>
    <w:p w14:paraId="6593C233" w14:textId="77777777" w:rsidR="006848E6" w:rsidRPr="005C170B" w:rsidRDefault="006848E6" w:rsidP="006848E6">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La Sala de Consulta y Servicio Civil del Consejo de Estado ha aclarado la distinción en la aplicación de las prohibiciones de la Ley 996 de 2005, dependiendo del tipo de elección que se trate. Al respecto, considera:</w:t>
      </w:r>
    </w:p>
    <w:p w14:paraId="708E186F" w14:textId="77777777" w:rsidR="006848E6" w:rsidRPr="005C170B" w:rsidRDefault="006848E6" w:rsidP="006848E6">
      <w:pPr>
        <w:spacing w:after="0" w:line="276" w:lineRule="auto"/>
        <w:ind w:firstLine="708"/>
        <w:jc w:val="both"/>
        <w:rPr>
          <w:rFonts w:ascii="Verdana" w:eastAsia="Calibri" w:hAnsi="Verdana" w:cs="Arial"/>
          <w:bCs/>
          <w:color w:val="000000" w:themeColor="text1"/>
          <w:sz w:val="20"/>
          <w:szCs w:val="20"/>
        </w:rPr>
      </w:pPr>
    </w:p>
    <w:p w14:paraId="164C4879" w14:textId="77777777" w:rsidR="006848E6" w:rsidRPr="005C170B" w:rsidRDefault="006848E6" w:rsidP="00B868B2">
      <w:pPr>
        <w:spacing w:after="0" w:line="240" w:lineRule="auto"/>
        <w:ind w:left="708" w:right="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5C170B">
        <w:rPr>
          <w:rFonts w:ascii="Verdana" w:eastAsia="Calibri" w:hAnsi="Verdana" w:cs="Arial"/>
          <w:bCs/>
          <w:color w:val="000000" w:themeColor="text1"/>
          <w:sz w:val="20"/>
          <w:szCs w:val="20"/>
        </w:rPr>
        <w:t>Presidente</w:t>
      </w:r>
      <w:proofErr w:type="gramEnd"/>
      <w:r w:rsidRPr="005C170B">
        <w:rPr>
          <w:rFonts w:ascii="Verdana" w:eastAsia="Calibri" w:hAnsi="Verdana" w:cs="Arial"/>
          <w:bCs/>
          <w:color w:val="000000" w:themeColor="text1"/>
          <w:sz w:val="20"/>
          <w:szCs w:val="20"/>
        </w:rPr>
        <w:t xml:space="preserve"> de la República, a las </w:t>
      </w:r>
      <w:r w:rsidRPr="005C170B">
        <w:rPr>
          <w:rFonts w:ascii="Verdana" w:eastAsia="Calibri" w:hAnsi="Verdana" w:cs="Arial"/>
          <w:bCs/>
          <w:color w:val="000000" w:themeColor="text1"/>
          <w:sz w:val="20"/>
          <w:szCs w:val="20"/>
        </w:rPr>
        <w:lastRenderedPageBreak/>
        <w:t>autoridades territoriales allí mencionadas sólo se aplican las restricciones contenidas en el parágrafo del artículo 38”</w:t>
      </w:r>
      <w:r w:rsidRPr="005C170B">
        <w:rPr>
          <w:rStyle w:val="Refdenotaalpie"/>
          <w:rFonts w:ascii="Verdana" w:eastAsia="Calibri" w:hAnsi="Verdana" w:cs="Arial"/>
          <w:bCs/>
          <w:color w:val="000000" w:themeColor="text1"/>
          <w:sz w:val="20"/>
          <w:szCs w:val="20"/>
        </w:rPr>
        <w:footnoteReference w:id="8"/>
      </w:r>
    </w:p>
    <w:p w14:paraId="0784FE09" w14:textId="77777777" w:rsidR="006848E6" w:rsidRPr="005C170B" w:rsidRDefault="006848E6">
      <w:pPr>
        <w:spacing w:after="0" w:line="276" w:lineRule="auto"/>
        <w:ind w:left="708"/>
        <w:jc w:val="both"/>
        <w:rPr>
          <w:rFonts w:ascii="Verdana" w:eastAsia="Calibri" w:hAnsi="Verdana" w:cs="Arial"/>
          <w:bCs/>
          <w:color w:val="000000" w:themeColor="text1"/>
          <w:sz w:val="20"/>
          <w:szCs w:val="20"/>
        </w:rPr>
      </w:pPr>
    </w:p>
    <w:p w14:paraId="14125BF7" w14:textId="77777777" w:rsidR="006848E6" w:rsidRPr="005C170B" w:rsidRDefault="006848E6">
      <w:pPr>
        <w:spacing w:after="0" w:line="276" w:lineRule="auto"/>
        <w:ind w:firstLine="709"/>
        <w:jc w:val="both"/>
        <w:rPr>
          <w:rFonts w:ascii="Verdana" w:eastAsia="Calibri" w:hAnsi="Verdana" w:cs="Arial"/>
          <w:bCs/>
          <w:color w:val="000000" w:themeColor="text1"/>
        </w:rPr>
      </w:pPr>
      <w:proofErr w:type="spellStart"/>
      <w:r w:rsidRPr="005C170B">
        <w:rPr>
          <w:rFonts w:ascii="Verdana" w:eastAsia="Calibri" w:hAnsi="Verdana" w:cs="Arial"/>
          <w:b/>
          <w:lang w:val="es-ES_tradnl" w:eastAsia="es-MX"/>
        </w:rPr>
        <w:t>iii</w:t>
      </w:r>
      <w:proofErr w:type="spellEnd"/>
      <w:r w:rsidRPr="005C170B">
        <w:rPr>
          <w:rFonts w:ascii="Verdana" w:eastAsia="Calibri" w:hAnsi="Verdana" w:cs="Arial"/>
          <w:b/>
          <w:lang w:val="es-ES_tradnl" w:eastAsia="es-MX"/>
        </w:rPr>
        <w:t>.</w:t>
      </w:r>
      <w:r w:rsidRPr="005C170B">
        <w:rPr>
          <w:rFonts w:ascii="Verdana" w:eastAsia="Calibri" w:hAnsi="Verdana" w:cs="Arial"/>
          <w:bCs/>
          <w:lang w:val="es-ES_tradnl" w:eastAsia="es-MX"/>
        </w:rPr>
        <w:t xml:space="preserve"> </w:t>
      </w:r>
      <w:r w:rsidRPr="005C170B">
        <w:rPr>
          <w:rFonts w:ascii="Verdana" w:eastAsia="Calibri" w:hAnsi="Verdana" w:cs="Arial"/>
          <w:bCs/>
          <w:color w:val="000000" w:themeColor="text1"/>
        </w:rPr>
        <w:t>En primer lugar, el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1F5ECB27" w14:textId="77777777" w:rsidR="006848E6" w:rsidRPr="005C170B" w:rsidRDefault="006848E6">
      <w:pPr>
        <w:spacing w:after="0" w:line="276" w:lineRule="auto"/>
        <w:ind w:left="708"/>
        <w:jc w:val="both"/>
        <w:rPr>
          <w:rFonts w:ascii="Verdana" w:eastAsia="Calibri" w:hAnsi="Verdana" w:cs="Arial"/>
          <w:bCs/>
          <w:color w:val="000000" w:themeColor="text1"/>
          <w:sz w:val="20"/>
          <w:szCs w:val="20"/>
        </w:rPr>
      </w:pPr>
    </w:p>
    <w:p w14:paraId="12A46865" w14:textId="77777777" w:rsidR="006848E6" w:rsidRPr="005C170B" w:rsidRDefault="006848E6" w:rsidP="00B868B2">
      <w:pPr>
        <w:spacing w:after="0" w:line="240" w:lineRule="auto"/>
        <w:ind w:left="709" w:right="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C170B">
        <w:rPr>
          <w:rStyle w:val="Refdenotaalpie"/>
          <w:rFonts w:ascii="Verdana" w:eastAsia="Calibri" w:hAnsi="Verdana" w:cs="Arial"/>
          <w:bCs/>
          <w:color w:val="000000" w:themeColor="text1"/>
          <w:sz w:val="20"/>
          <w:szCs w:val="20"/>
        </w:rPr>
        <w:footnoteReference w:id="9"/>
      </w:r>
      <w:r w:rsidRPr="005C170B">
        <w:rPr>
          <w:rFonts w:ascii="Verdana" w:eastAsia="Calibri" w:hAnsi="Verdana" w:cs="Arial"/>
          <w:bCs/>
          <w:color w:val="000000" w:themeColor="text1"/>
          <w:sz w:val="20"/>
          <w:szCs w:val="20"/>
        </w:rPr>
        <w:t>.</w:t>
      </w:r>
    </w:p>
    <w:p w14:paraId="48459A45" w14:textId="77777777" w:rsidR="006848E6" w:rsidRPr="005C170B" w:rsidRDefault="006848E6" w:rsidP="00B868B2">
      <w:pPr>
        <w:spacing w:after="0" w:line="240" w:lineRule="auto"/>
        <w:ind w:left="709" w:right="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sz w:val="20"/>
          <w:szCs w:val="20"/>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5C170B">
        <w:rPr>
          <w:rStyle w:val="Refdenotaalpie"/>
          <w:rFonts w:ascii="Verdana" w:eastAsia="Calibri" w:hAnsi="Verdana" w:cs="Arial"/>
          <w:bCs/>
          <w:color w:val="000000" w:themeColor="text1"/>
          <w:sz w:val="20"/>
          <w:szCs w:val="20"/>
        </w:rPr>
        <w:footnoteReference w:id="10"/>
      </w:r>
      <w:r w:rsidRPr="005C170B">
        <w:rPr>
          <w:rFonts w:ascii="Verdana" w:eastAsia="Calibri" w:hAnsi="Verdana" w:cs="Arial"/>
          <w:bCs/>
          <w:color w:val="000000" w:themeColor="text1"/>
          <w:sz w:val="20"/>
          <w:szCs w:val="20"/>
        </w:rPr>
        <w:t>.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5C170B">
        <w:rPr>
          <w:rStyle w:val="Refdenotaalpie"/>
          <w:rFonts w:ascii="Verdana" w:eastAsia="Calibri" w:hAnsi="Verdana" w:cs="Arial"/>
          <w:bCs/>
          <w:color w:val="000000" w:themeColor="text1"/>
          <w:sz w:val="20"/>
          <w:szCs w:val="20"/>
        </w:rPr>
        <w:footnoteReference w:id="11"/>
      </w:r>
    </w:p>
    <w:p w14:paraId="313C3005" w14:textId="77777777" w:rsidR="006848E6" w:rsidRPr="00B868B2" w:rsidRDefault="006848E6" w:rsidP="006848E6">
      <w:pPr>
        <w:spacing w:after="0" w:line="276" w:lineRule="auto"/>
        <w:jc w:val="both"/>
        <w:rPr>
          <w:rFonts w:ascii="Verdana" w:eastAsia="Calibri" w:hAnsi="Verdana" w:cs="Arial"/>
          <w:bCs/>
          <w:color w:val="000000" w:themeColor="text1"/>
        </w:rPr>
      </w:pPr>
    </w:p>
    <w:p w14:paraId="590B9FE5" w14:textId="24BFCEBC" w:rsidR="006848E6" w:rsidRPr="005C170B" w:rsidRDefault="006848E6" w:rsidP="00B868B2">
      <w:pPr>
        <w:spacing w:after="120" w:line="276" w:lineRule="auto"/>
        <w:ind w:firstLine="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rPr>
        <w:t xml:space="preserve">Según el concepto mencionado, la prohibición establecida en el artículo 33 de la Ley de Garantías Electorales se aplica a “todo mecanismo que no contemple una convocatoria pública ni permita la participación de múltiples oferentes”. En consecuencia, quedan excluidas las demás modalidades de contratación contempladas en la Ley 1150 de 2007, tales como la licitación pública, la selección abreviada y el concurso de méritos, así como aquellas modalidades abiertas y competitivas previstas en disposiciones especiales. Esta </w:t>
      </w:r>
      <w:r w:rsidRPr="005C170B">
        <w:rPr>
          <w:rFonts w:ascii="Verdana" w:eastAsia="Calibri" w:hAnsi="Verdana" w:cs="Arial"/>
          <w:bCs/>
          <w:color w:val="000000" w:themeColor="text1"/>
        </w:rPr>
        <w:lastRenderedPageBreak/>
        <w:t>posición es congruente con la expedición de la Ley 1150 de 2007 que, entre otras reformas, introdujo la selección abreviada, rediseñó el concurso de méritos</w:t>
      </w:r>
      <w:r w:rsidRPr="005C170B">
        <w:rPr>
          <w:rStyle w:val="Refdenotaalpie"/>
          <w:rFonts w:ascii="Verdana" w:eastAsia="Calibri" w:hAnsi="Verdana" w:cs="Arial"/>
          <w:bCs/>
          <w:color w:val="000000" w:themeColor="text1"/>
        </w:rPr>
        <w:footnoteReference w:id="12"/>
      </w:r>
      <w:r w:rsidRPr="005C170B">
        <w:rPr>
          <w:rFonts w:ascii="Verdana" w:eastAsia="Calibri" w:hAnsi="Verdana" w:cs="Arial"/>
          <w:bCs/>
          <w:color w:val="000000" w:themeColor="text1"/>
        </w:rPr>
        <w:t xml:space="preserve"> y sistematizó las causales de contratación directa</w:t>
      </w:r>
      <w:r w:rsidRPr="005C170B">
        <w:rPr>
          <w:rStyle w:val="Refdenotaalpie"/>
          <w:rFonts w:ascii="Verdana" w:eastAsia="Calibri" w:hAnsi="Verdana" w:cs="Arial"/>
          <w:bCs/>
          <w:color w:val="000000" w:themeColor="text1"/>
          <w:sz w:val="20"/>
          <w:szCs w:val="20"/>
        </w:rPr>
        <w:footnoteReference w:id="13"/>
      </w:r>
      <w:r w:rsidRPr="005C170B">
        <w:rPr>
          <w:rFonts w:ascii="Verdana" w:eastAsia="Calibri" w:hAnsi="Verdana" w:cs="Arial"/>
          <w:bCs/>
          <w:color w:val="000000" w:themeColor="text1"/>
          <w:sz w:val="20"/>
          <w:szCs w:val="20"/>
        </w:rPr>
        <w:t xml:space="preserve">. </w:t>
      </w:r>
    </w:p>
    <w:p w14:paraId="1D6B5FAE" w14:textId="02EEE1E1" w:rsidR="006848E6" w:rsidRPr="005C170B" w:rsidRDefault="006848E6" w:rsidP="00B868B2">
      <w:pPr>
        <w:spacing w:after="120" w:line="276" w:lineRule="auto"/>
        <w:ind w:firstLine="709"/>
        <w:jc w:val="both"/>
        <w:rPr>
          <w:rFonts w:ascii="Verdana" w:eastAsia="Calibri" w:hAnsi="Verdana" w:cs="Arial"/>
          <w:bCs/>
          <w:color w:val="000000" w:themeColor="text1"/>
          <w:sz w:val="20"/>
          <w:szCs w:val="20"/>
        </w:rPr>
      </w:pPr>
      <w:r w:rsidRPr="005C170B">
        <w:rPr>
          <w:rFonts w:ascii="Verdana" w:eastAsia="Calibri" w:hAnsi="Verdana" w:cs="Arial"/>
          <w:bCs/>
          <w:color w:val="000000" w:themeColor="text1"/>
        </w:rPr>
        <w:t>De tal manera, debe entenderse que, para los efectos de la Ley de Garantías Electorales y, en particular, para la prohibición o restricción temporal contenida en su artículo 33, la “contratación directa” es cualquier sistema de selección o procedimiento de contratación utilizado por las Entidades Estatales que no incluya la convocatoria pública en alguna de sus etapas, ni permita la participación de una pluralidad de oferentes</w:t>
      </w:r>
      <w:r w:rsidRPr="005C170B">
        <w:rPr>
          <w:rStyle w:val="Refdenotaalpie"/>
          <w:rFonts w:ascii="Verdana" w:eastAsia="Calibri" w:hAnsi="Verdana" w:cs="Arial"/>
          <w:bCs/>
          <w:color w:val="000000" w:themeColor="text1"/>
        </w:rPr>
        <w:footnoteReference w:id="14"/>
      </w:r>
      <w:r w:rsidR="007A1F0A">
        <w:rPr>
          <w:rFonts w:ascii="Verdana" w:eastAsia="Calibri" w:hAnsi="Verdana" w:cs="Arial"/>
          <w:bCs/>
          <w:color w:val="000000" w:themeColor="text1"/>
        </w:rPr>
        <w:t>.</w:t>
      </w:r>
    </w:p>
    <w:p w14:paraId="3B42626A" w14:textId="77777777" w:rsidR="006848E6" w:rsidRPr="005C170B" w:rsidRDefault="006848E6" w:rsidP="006848E6">
      <w:pPr>
        <w:spacing w:after="0" w:line="276" w:lineRule="auto"/>
        <w:ind w:firstLine="709"/>
        <w:jc w:val="both"/>
        <w:rPr>
          <w:rFonts w:ascii="Verdana" w:eastAsia="Calibri" w:hAnsi="Verdana" w:cs="Arial"/>
          <w:bCs/>
          <w:color w:val="000000" w:themeColor="text1"/>
        </w:rPr>
      </w:pPr>
      <w:r w:rsidRPr="005C170B">
        <w:rPr>
          <w:rFonts w:ascii="Verdana" w:eastAsia="Calibri" w:hAnsi="Verdana" w:cs="Arial"/>
          <w:bCs/>
          <w:color w:val="000000" w:themeColor="text1"/>
        </w:rPr>
        <w:t>De lo anterior se desprende que la restricción aplica, sin perjuicio de las excepciones establecidas en la misma Ley, para celebrar cualquier contrato de forma directa, esto es, sin que exista un proceso abierto y competitivo. Por tanto, no están sujetas a la prohibición las demás modalidades de selección previstas en la Ley 1150 de 2007, es decir, la licitación pública, el concurso de méritos y la selección abreviada. De este modo, las Entidades Públicas, en el período preelectoral de que trata la disposición pueden seguir contratando bajo estos sistemas de selección.</w:t>
      </w:r>
    </w:p>
    <w:p w14:paraId="7CC64BEE" w14:textId="77777777" w:rsidR="006848E6" w:rsidRPr="005C170B" w:rsidRDefault="006848E6" w:rsidP="006848E6">
      <w:pPr>
        <w:spacing w:after="0" w:line="276" w:lineRule="auto"/>
        <w:ind w:firstLine="709"/>
        <w:jc w:val="both"/>
        <w:rPr>
          <w:rFonts w:ascii="Verdana" w:eastAsia="Calibri" w:hAnsi="Verdana" w:cs="Arial"/>
          <w:bCs/>
          <w:lang w:val="es-ES_tradnl" w:eastAsia="es-MX"/>
        </w:rPr>
      </w:pPr>
    </w:p>
    <w:p w14:paraId="04798F08" w14:textId="4656FD1C" w:rsidR="006848E6" w:rsidRPr="005C170B" w:rsidRDefault="006848E6" w:rsidP="00B868B2">
      <w:pPr>
        <w:spacing w:after="120" w:line="276" w:lineRule="auto"/>
        <w:jc w:val="both"/>
        <w:rPr>
          <w:rFonts w:ascii="Verdana" w:eastAsia="Calibri" w:hAnsi="Verdana" w:cs="Arial"/>
          <w:bCs/>
          <w:color w:val="000000" w:themeColor="text1"/>
        </w:rPr>
      </w:pPr>
      <w:proofErr w:type="spellStart"/>
      <w:r w:rsidRPr="005C170B">
        <w:rPr>
          <w:rFonts w:ascii="Verdana" w:eastAsia="Calibri" w:hAnsi="Verdana" w:cs="Arial"/>
          <w:b/>
          <w:color w:val="000000" w:themeColor="text1"/>
        </w:rPr>
        <w:t>iv</w:t>
      </w:r>
      <w:proofErr w:type="spellEnd"/>
      <w:r w:rsidRPr="005C170B">
        <w:rPr>
          <w:rFonts w:ascii="Verdana" w:eastAsia="Calibri" w:hAnsi="Verdana" w:cs="Arial"/>
          <w:b/>
          <w:color w:val="000000" w:themeColor="text1"/>
        </w:rPr>
        <w:t>.</w:t>
      </w:r>
      <w:r w:rsidRPr="005C170B">
        <w:rPr>
          <w:rFonts w:ascii="Verdana" w:eastAsia="Calibri" w:hAnsi="Verdana" w:cs="Arial"/>
          <w:bCs/>
          <w:color w:val="000000" w:themeColor="text1"/>
        </w:rPr>
        <w:t xml:space="preserve"> Ahora bien, las excepciones a la restricción prevista en la Ley de Garantías Electorales, con fundamento en las cuales las entidades públicas podrán adelantar procedimientos de selección directa en períodos previos a la contienda electoral por la Presidencia, se encuentran consagradas de manera taxativa en el inciso final del citado artículo 33 de la Ley 996 de 2005. Dichas excepciones corresponden a: i) la defensa y seguridad del Estado; </w:t>
      </w:r>
      <w:proofErr w:type="spellStart"/>
      <w:r w:rsidRPr="005C170B">
        <w:rPr>
          <w:rFonts w:ascii="Verdana" w:eastAsia="Calibri" w:hAnsi="Verdana" w:cs="Arial"/>
          <w:bCs/>
          <w:color w:val="000000" w:themeColor="text1"/>
        </w:rPr>
        <w:t>ii</w:t>
      </w:r>
      <w:proofErr w:type="spellEnd"/>
      <w:r w:rsidRPr="005C170B">
        <w:rPr>
          <w:rFonts w:ascii="Verdana" w:eastAsia="Calibri" w:hAnsi="Verdana" w:cs="Arial"/>
          <w:bCs/>
          <w:color w:val="000000" w:themeColor="text1"/>
        </w:rPr>
        <w:t xml:space="preserve">) los contratos de crédito público; </w:t>
      </w:r>
      <w:proofErr w:type="spellStart"/>
      <w:r w:rsidRPr="005C170B">
        <w:rPr>
          <w:rFonts w:ascii="Verdana" w:eastAsia="Calibri" w:hAnsi="Verdana" w:cs="Arial"/>
          <w:bCs/>
          <w:color w:val="000000" w:themeColor="text1"/>
        </w:rPr>
        <w:t>iii</w:t>
      </w:r>
      <w:proofErr w:type="spellEnd"/>
      <w:r w:rsidRPr="005C170B">
        <w:rPr>
          <w:rFonts w:ascii="Verdana" w:eastAsia="Calibri" w:hAnsi="Verdana" w:cs="Arial"/>
          <w:bCs/>
          <w:color w:val="000000" w:themeColor="text1"/>
        </w:rPr>
        <w:t xml:space="preserve">) los requeridos para cubrir las emergencias educativas, sanitarias y desastres; </w:t>
      </w:r>
      <w:proofErr w:type="spellStart"/>
      <w:r w:rsidRPr="005C170B">
        <w:rPr>
          <w:rFonts w:ascii="Verdana" w:eastAsia="Calibri" w:hAnsi="Verdana" w:cs="Arial"/>
          <w:bCs/>
          <w:color w:val="000000" w:themeColor="text1"/>
        </w:rPr>
        <w:t>iv</w:t>
      </w:r>
      <w:proofErr w:type="spellEnd"/>
      <w:r w:rsidRPr="005C170B">
        <w:rPr>
          <w:rFonts w:ascii="Verdana" w:eastAsia="Calibri" w:hAnsi="Verdana" w:cs="Arial"/>
          <w:bCs/>
          <w:color w:val="000000" w:themeColor="text1"/>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4670C706" w14:textId="77777777" w:rsidR="006848E6" w:rsidRPr="005C170B" w:rsidRDefault="006848E6" w:rsidP="006848E6">
      <w:pPr>
        <w:spacing w:after="0" w:line="276" w:lineRule="auto"/>
        <w:ind w:firstLine="709"/>
        <w:jc w:val="both"/>
        <w:rPr>
          <w:rFonts w:ascii="Verdana" w:eastAsia="Calibri" w:hAnsi="Verdana" w:cs="Arial"/>
          <w:bCs/>
          <w:color w:val="000000" w:themeColor="text1"/>
        </w:rPr>
      </w:pPr>
      <w:r w:rsidRPr="005C170B">
        <w:rPr>
          <w:rFonts w:ascii="Verdana" w:eastAsia="Calibri" w:hAnsi="Verdana" w:cs="Arial"/>
          <w:bCs/>
          <w:color w:val="000000" w:themeColor="text1"/>
        </w:rPr>
        <w:t xml:space="preserve">Conforme a lo consagrado en esta disposición, es responsabilidad del respectivo ente del Estado, examinar en cada caso la naturaleza de las actividades que adelanta y determinar si las mismas se enmarcan en alguna de </w:t>
      </w:r>
      <w:r w:rsidRPr="005C170B">
        <w:rPr>
          <w:rFonts w:ascii="Verdana" w:eastAsia="Calibri" w:hAnsi="Verdana" w:cs="Arial"/>
          <w:bCs/>
          <w:color w:val="000000" w:themeColor="text1"/>
        </w:rPr>
        <w:lastRenderedPageBreak/>
        <w:t>las mencionadas excepciones, de manera que se le permita realizar la contratación que necesite en forma directa. 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5C170B">
        <w:rPr>
          <w:rStyle w:val="Refdenotaalpie"/>
          <w:rFonts w:ascii="Verdana" w:eastAsia="Calibri" w:hAnsi="Verdana" w:cs="Arial"/>
          <w:bCs/>
          <w:color w:val="000000" w:themeColor="text1"/>
        </w:rPr>
        <w:footnoteReference w:id="15"/>
      </w:r>
      <w:r w:rsidRPr="005C170B">
        <w:rPr>
          <w:rFonts w:ascii="Verdana" w:eastAsia="Calibri" w:hAnsi="Verdana" w:cs="Arial"/>
          <w:bCs/>
          <w:color w:val="000000" w:themeColor="text1"/>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persecución de la igualdad entre los candidatos como garantía electoral.</w:t>
      </w:r>
    </w:p>
    <w:p w14:paraId="6F9015F5" w14:textId="77777777" w:rsidR="006848E6" w:rsidRPr="005C170B" w:rsidRDefault="006848E6" w:rsidP="006848E6">
      <w:pPr>
        <w:spacing w:after="0" w:line="276" w:lineRule="auto"/>
        <w:ind w:firstLine="709"/>
        <w:jc w:val="both"/>
        <w:rPr>
          <w:rFonts w:ascii="Verdana" w:eastAsia="Calibri" w:hAnsi="Verdana" w:cs="Arial"/>
          <w:bCs/>
          <w:color w:val="000000" w:themeColor="text1"/>
        </w:rPr>
      </w:pPr>
    </w:p>
    <w:p w14:paraId="05A73D9C" w14:textId="77777777" w:rsidR="006848E6" w:rsidRPr="005C170B" w:rsidRDefault="006848E6" w:rsidP="00B868B2">
      <w:pPr>
        <w:spacing w:after="120" w:line="276" w:lineRule="auto"/>
        <w:jc w:val="both"/>
        <w:rPr>
          <w:rFonts w:ascii="Verdana" w:hAnsi="Verdana" w:cs="Arial"/>
          <w:lang w:val="es-MX"/>
        </w:rPr>
      </w:pPr>
      <w:r w:rsidRPr="005C170B">
        <w:rPr>
          <w:rFonts w:ascii="Verdana" w:eastAsia="Arial" w:hAnsi="Verdana" w:cs="Arial"/>
          <w:b/>
          <w:bCs/>
          <w:color w:val="000000"/>
        </w:rPr>
        <w:t xml:space="preserve">v. </w:t>
      </w:r>
      <w:r w:rsidRPr="005C170B">
        <w:rPr>
          <w:rFonts w:ascii="Verdana" w:hAnsi="Verdana"/>
        </w:rPr>
        <w:t xml:space="preserve">En ese orden de ideas, en torno a la procedencia de la contratación directa por parte de Instituciones Públicas Universitarias, es necesario analizar </w:t>
      </w:r>
      <w:r w:rsidRPr="005C170B">
        <w:rPr>
          <w:rFonts w:ascii="Verdana" w:eastAsia="Calibri" w:hAnsi="Verdana" w:cs="Arial"/>
        </w:rPr>
        <w:t xml:space="preserve">la naturaleza jurídica de las universidades públicas para determinar la aplicación de las restricciones antes mencionadas. </w:t>
      </w:r>
      <w:r w:rsidRPr="005C170B">
        <w:rPr>
          <w:rFonts w:ascii="Verdana" w:hAnsi="Verdana" w:cs="Arial"/>
          <w:lang w:val="es-MX"/>
        </w:rPr>
        <w:t>Para empezar, en la Ley 30 de 1992 se regularon aspectos como la naturaleza jurídica de las universidades estatales y oficiales, la forma de organizarse y el régimen de contratación aplicable. Así mismo, en el artículo 57 se consignó que e</w:t>
      </w:r>
      <w:r w:rsidRPr="005C170B">
        <w:rPr>
          <w:rFonts w:ascii="Verdana" w:hAnsi="Verdana" w:cs="Arial"/>
        </w:rPr>
        <w:t>l carácter especial del régimen de las universidades estatales u oficiales comprende, entre otros aspectos, el régimen de contratación</w:t>
      </w:r>
      <w:r w:rsidRPr="005C170B">
        <w:rPr>
          <w:rStyle w:val="Refdenotaalpie"/>
          <w:rFonts w:ascii="Verdana" w:hAnsi="Verdana" w:cs="Arial"/>
        </w:rPr>
        <w:footnoteReference w:id="16"/>
      </w:r>
      <w:r w:rsidRPr="005C170B">
        <w:rPr>
          <w:rFonts w:ascii="Verdana" w:hAnsi="Verdana" w:cs="Arial"/>
        </w:rPr>
        <w:t xml:space="preserve">. En concordancia con esto, el artículo 93 estableció que los contratos que </w:t>
      </w:r>
      <w:r w:rsidRPr="005C170B">
        <w:rPr>
          <w:rFonts w:ascii="Verdana" w:hAnsi="Verdana" w:cs="Arial"/>
          <w:lang w:val="es-MX"/>
        </w:rPr>
        <w:t>celebren las universidades estatales u oficiales se regirán por las normas del derecho privado</w:t>
      </w:r>
      <w:r w:rsidRPr="005C170B">
        <w:rPr>
          <w:rStyle w:val="Refdenotaalpie"/>
          <w:rFonts w:ascii="Verdana" w:hAnsi="Verdana" w:cs="Arial"/>
          <w:lang w:val="es-MX"/>
        </w:rPr>
        <w:footnoteReference w:id="17"/>
      </w:r>
      <w:r w:rsidRPr="005C170B">
        <w:rPr>
          <w:rFonts w:ascii="Verdana" w:hAnsi="Verdana" w:cs="Arial"/>
          <w:lang w:val="es-MX"/>
        </w:rPr>
        <w:t xml:space="preserve">. </w:t>
      </w:r>
    </w:p>
    <w:p w14:paraId="7BF348D5" w14:textId="77777777" w:rsidR="006848E6" w:rsidRPr="005C170B" w:rsidRDefault="006848E6">
      <w:pPr>
        <w:widowControl w:val="0"/>
        <w:autoSpaceDE w:val="0"/>
        <w:autoSpaceDN w:val="0"/>
        <w:spacing w:before="120" w:after="0" w:line="276" w:lineRule="auto"/>
        <w:ind w:right="102" w:firstLine="708"/>
        <w:jc w:val="both"/>
        <w:rPr>
          <w:rFonts w:ascii="Verdana" w:eastAsia="Arial" w:hAnsi="Verdana" w:cs="Arial"/>
          <w:lang w:val="es-ES"/>
        </w:rPr>
      </w:pPr>
      <w:r w:rsidRPr="005C170B">
        <w:rPr>
          <w:rFonts w:ascii="Verdana" w:eastAsia="Arial" w:hAnsi="Verdana" w:cs="Arial"/>
          <w:lang w:val="es-ES"/>
        </w:rPr>
        <w:lastRenderedPageBreak/>
        <w:t>De otro lado, la Ley 489 de 1998, al desarrollar la estructura y organización de la Administración Pública, establece que los entes universitarios hacen parte integral de esta, catalogándolos como entidades públicas de carácter autónomo a las que aplica un régimen especial</w:t>
      </w:r>
      <w:r w:rsidRPr="005C170B">
        <w:rPr>
          <w:rStyle w:val="Refdenotaalpie"/>
          <w:rFonts w:ascii="Verdana" w:eastAsia="Arial" w:hAnsi="Verdana" w:cs="Arial"/>
          <w:lang w:val="es-ES"/>
        </w:rPr>
        <w:footnoteReference w:id="18"/>
      </w:r>
      <w:r w:rsidRPr="005C170B">
        <w:rPr>
          <w:rFonts w:ascii="Verdana" w:eastAsia="Arial" w:hAnsi="Verdana" w:cs="Arial"/>
          <w:lang w:val="es-ES"/>
        </w:rPr>
        <w:t>.  Al respecto, en la sentencia C-1019 de 2012, la Corte Constitucional señaló:</w:t>
      </w:r>
    </w:p>
    <w:p w14:paraId="3F3E184D" w14:textId="77777777" w:rsidR="006848E6" w:rsidRPr="005C170B" w:rsidRDefault="006848E6" w:rsidP="00B868B2">
      <w:pPr>
        <w:widowControl w:val="0"/>
        <w:autoSpaceDE w:val="0"/>
        <w:autoSpaceDN w:val="0"/>
        <w:spacing w:after="0" w:line="276" w:lineRule="auto"/>
        <w:ind w:right="102" w:firstLine="708"/>
        <w:jc w:val="both"/>
        <w:rPr>
          <w:rFonts w:ascii="Verdana" w:eastAsia="Arial" w:hAnsi="Verdana" w:cs="Arial"/>
          <w:lang w:val="es-ES"/>
        </w:rPr>
      </w:pPr>
    </w:p>
    <w:p w14:paraId="4C3724CD" w14:textId="77777777" w:rsidR="006848E6" w:rsidRPr="005C170B" w:rsidRDefault="006848E6" w:rsidP="006848E6">
      <w:pPr>
        <w:widowControl w:val="0"/>
        <w:autoSpaceDE w:val="0"/>
        <w:autoSpaceDN w:val="0"/>
        <w:spacing w:after="0" w:line="240" w:lineRule="auto"/>
        <w:ind w:left="709" w:right="709"/>
        <w:jc w:val="both"/>
        <w:rPr>
          <w:rFonts w:ascii="Verdana" w:eastAsia="Arial" w:hAnsi="Verdana" w:cs="Arial"/>
          <w:sz w:val="20"/>
          <w:szCs w:val="20"/>
          <w:lang w:val="es-ES"/>
        </w:rPr>
      </w:pPr>
      <w:r w:rsidRPr="005C170B">
        <w:rPr>
          <w:rFonts w:ascii="Verdana" w:eastAsia="Arial" w:hAnsi="Verdana" w:cs="Arial"/>
          <w:sz w:val="20"/>
          <w:szCs w:val="20"/>
          <w:lang w:val="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Pr="005C170B">
        <w:rPr>
          <w:rFonts w:ascii="Verdana" w:eastAsia="Arial" w:hAnsi="Verdana" w:cs="Arial"/>
          <w:spacing w:val="49"/>
          <w:sz w:val="20"/>
          <w:szCs w:val="20"/>
          <w:lang w:val="es-ES"/>
        </w:rPr>
        <w:t xml:space="preserve"> </w:t>
      </w:r>
      <w:r w:rsidRPr="005C170B">
        <w:rPr>
          <w:rFonts w:ascii="Verdana" w:eastAsia="Arial" w:hAnsi="Verdana" w:cs="Arial"/>
          <w:sz w:val="20"/>
          <w:szCs w:val="20"/>
          <w:lang w:val="es-ES"/>
        </w:rPr>
        <w:t>exige el cumplimiento de la obligación de colaboración armónica consagrado en el artículo 113 de la C.P. para el cumplimiento de las funciones del Estado.</w:t>
      </w:r>
    </w:p>
    <w:p w14:paraId="7A8BBCB6" w14:textId="77777777" w:rsidR="006848E6" w:rsidRPr="005C170B" w:rsidRDefault="006848E6" w:rsidP="006848E6">
      <w:pPr>
        <w:widowControl w:val="0"/>
        <w:autoSpaceDE w:val="0"/>
        <w:autoSpaceDN w:val="0"/>
        <w:spacing w:after="0" w:line="240" w:lineRule="auto"/>
        <w:ind w:left="709" w:right="709"/>
        <w:jc w:val="both"/>
        <w:rPr>
          <w:rFonts w:ascii="Verdana" w:eastAsia="Arial" w:hAnsi="Verdana" w:cs="Arial"/>
          <w:sz w:val="20"/>
          <w:szCs w:val="20"/>
          <w:lang w:val="es-ES"/>
        </w:rPr>
      </w:pPr>
    </w:p>
    <w:p w14:paraId="5DD39610" w14:textId="77777777" w:rsidR="006848E6" w:rsidRPr="005C170B" w:rsidRDefault="006848E6">
      <w:pPr>
        <w:widowControl w:val="0"/>
        <w:autoSpaceDE w:val="0"/>
        <w:autoSpaceDN w:val="0"/>
        <w:spacing w:after="0" w:line="240" w:lineRule="auto"/>
        <w:ind w:left="709" w:right="709"/>
        <w:jc w:val="both"/>
        <w:rPr>
          <w:rFonts w:ascii="Verdana" w:eastAsia="Arial" w:hAnsi="Verdana" w:cs="Arial"/>
          <w:sz w:val="20"/>
          <w:szCs w:val="20"/>
          <w:lang w:val="es-ES"/>
        </w:rPr>
      </w:pPr>
      <w:r w:rsidRPr="005C170B">
        <w:rPr>
          <w:rFonts w:ascii="Verdana" w:eastAsia="Arial" w:hAnsi="Verdana" w:cs="Arial"/>
          <w:sz w:val="20"/>
          <w:szCs w:val="20"/>
          <w:lang w:val="es-ES"/>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ninguna de las ramas del poder ni pueden formar parte de la administración nacional” De esta manera se pretende preservar a las universidades públicas y oficiales, de las injerencias e interferencias arbitrarias e indebidas del poder</w:t>
      </w:r>
      <w:r w:rsidRPr="005C170B">
        <w:rPr>
          <w:rFonts w:ascii="Verdana" w:eastAsia="Arial" w:hAnsi="Verdana" w:cs="Arial"/>
          <w:spacing w:val="-6"/>
          <w:sz w:val="20"/>
          <w:szCs w:val="20"/>
          <w:lang w:val="es-ES"/>
        </w:rPr>
        <w:t xml:space="preserve"> </w:t>
      </w:r>
      <w:r w:rsidRPr="005C170B">
        <w:rPr>
          <w:rFonts w:ascii="Verdana" w:eastAsia="Arial" w:hAnsi="Verdana" w:cs="Arial"/>
          <w:sz w:val="20"/>
          <w:szCs w:val="20"/>
          <w:lang w:val="es-ES"/>
        </w:rPr>
        <w:t>político”.</w:t>
      </w:r>
    </w:p>
    <w:p w14:paraId="02EA87AA" w14:textId="77777777" w:rsidR="006848E6" w:rsidRPr="005C170B" w:rsidRDefault="006848E6" w:rsidP="00CA5B9F">
      <w:pPr>
        <w:widowControl w:val="0"/>
        <w:autoSpaceDE w:val="0"/>
        <w:autoSpaceDN w:val="0"/>
        <w:spacing w:after="0" w:line="276" w:lineRule="auto"/>
        <w:ind w:right="709"/>
        <w:jc w:val="both"/>
        <w:rPr>
          <w:rFonts w:ascii="Verdana" w:eastAsia="Arial" w:hAnsi="Verdana" w:cs="Arial"/>
          <w:sz w:val="20"/>
          <w:szCs w:val="20"/>
          <w:lang w:val="es-ES"/>
        </w:rPr>
      </w:pPr>
    </w:p>
    <w:p w14:paraId="7A633B3A" w14:textId="1423B6EC" w:rsidR="006848E6" w:rsidRDefault="006848E6" w:rsidP="00AD7411">
      <w:pPr>
        <w:widowControl w:val="0"/>
        <w:autoSpaceDE w:val="0"/>
        <w:autoSpaceDN w:val="0"/>
        <w:spacing w:after="0" w:line="276" w:lineRule="auto"/>
        <w:ind w:right="108" w:firstLine="527"/>
        <w:jc w:val="both"/>
        <w:rPr>
          <w:rFonts w:ascii="Verdana" w:eastAsia="Arial" w:hAnsi="Verdana" w:cs="Arial"/>
          <w:lang w:val="es-ES"/>
        </w:rPr>
      </w:pPr>
      <w:r w:rsidRPr="005C170B">
        <w:rPr>
          <w:rFonts w:ascii="Verdana" w:eastAsia="Arial" w:hAnsi="Verdana" w:cs="Arial"/>
          <w:lang w:val="es-ES"/>
        </w:rPr>
        <w:t>En armonía con lo anterior, se ha considerado que los entes universitarios no son entidades que hagan parte de la rama ejecutiva, ni pueden, por tanto, considerarse entidades descentralizadas, sino que gozan de un régimen especial. Lo anterior fue señalado por el Consejo de Estado de la siguiente manera</w:t>
      </w:r>
      <w:r w:rsidRPr="005C170B">
        <w:rPr>
          <w:rStyle w:val="Refdenotaalpie"/>
          <w:rFonts w:ascii="Verdana" w:eastAsia="Arial" w:hAnsi="Verdana" w:cs="Arial"/>
          <w:lang w:val="es-ES"/>
        </w:rPr>
        <w:footnoteReference w:id="19"/>
      </w:r>
      <w:r w:rsidRPr="005C170B">
        <w:rPr>
          <w:rFonts w:ascii="Verdana" w:eastAsia="Arial" w:hAnsi="Verdana" w:cs="Arial"/>
          <w:lang w:val="es-ES"/>
        </w:rPr>
        <w:t>:</w:t>
      </w:r>
    </w:p>
    <w:p w14:paraId="392D2D6A" w14:textId="77777777" w:rsidR="00AD7411" w:rsidRPr="005C170B" w:rsidRDefault="00AD7411" w:rsidP="00CA5B9F">
      <w:pPr>
        <w:widowControl w:val="0"/>
        <w:autoSpaceDE w:val="0"/>
        <w:autoSpaceDN w:val="0"/>
        <w:spacing w:after="0" w:line="276" w:lineRule="auto"/>
        <w:ind w:right="108" w:firstLine="527"/>
        <w:jc w:val="both"/>
        <w:rPr>
          <w:rFonts w:ascii="Verdana" w:eastAsia="Arial" w:hAnsi="Verdana" w:cs="Arial"/>
          <w:lang w:val="es-ES"/>
        </w:rPr>
      </w:pPr>
    </w:p>
    <w:p w14:paraId="4BE4224C" w14:textId="77777777" w:rsidR="006848E6" w:rsidRPr="005C170B" w:rsidRDefault="006848E6">
      <w:pPr>
        <w:widowControl w:val="0"/>
        <w:autoSpaceDE w:val="0"/>
        <w:autoSpaceDN w:val="0"/>
        <w:spacing w:after="0" w:line="240" w:lineRule="auto"/>
        <w:ind w:left="709" w:right="709"/>
        <w:jc w:val="both"/>
        <w:rPr>
          <w:rFonts w:ascii="Verdana" w:eastAsia="Arial" w:hAnsi="Verdana" w:cs="Arial"/>
          <w:sz w:val="20"/>
          <w:szCs w:val="20"/>
          <w:lang w:val="es-ES"/>
        </w:rPr>
      </w:pPr>
      <w:r w:rsidRPr="005C170B">
        <w:rPr>
          <w:rFonts w:ascii="Verdana" w:eastAsia="Arial" w:hAnsi="Verdana" w:cs="Arial"/>
          <w:sz w:val="20"/>
          <w:szCs w:val="20"/>
          <w:lang w:val="es-ES"/>
        </w:rPr>
        <w:lastRenderedPageBreak/>
        <w:t>“Ahora bien, en la disposición legal [art. 57 de la Ley 30/92] se menciona que las universidades estatales u oficiales están vinculadas al Ministerio de Educación Nacional en lo que se refiere a las políticas y planeación del sector educativo, en donde la jurisprudencia constitucional ha dejado en claro que es únicamente para efectos de coordinar y planear el desarrollo de directrices educativas, y no como organismos supeditados al poder ejecutivo, de manera que deben actuar con independencia del mismo, sin estar sujetas a un control de tutela como el concebido para los establecimientos públicos, concepto que por sí mismo niega la autonomía.</w:t>
      </w:r>
    </w:p>
    <w:p w14:paraId="6EE262ED" w14:textId="77777777" w:rsidR="00AD7411" w:rsidRDefault="00AD7411" w:rsidP="00AD7411">
      <w:pPr>
        <w:widowControl w:val="0"/>
        <w:autoSpaceDE w:val="0"/>
        <w:autoSpaceDN w:val="0"/>
        <w:spacing w:after="0" w:line="240" w:lineRule="auto"/>
        <w:ind w:left="709" w:right="709"/>
        <w:rPr>
          <w:rFonts w:ascii="Verdana" w:eastAsia="Arial" w:hAnsi="Verdana" w:cs="Arial"/>
          <w:sz w:val="20"/>
          <w:szCs w:val="20"/>
          <w:lang w:val="es-ES"/>
        </w:rPr>
      </w:pPr>
    </w:p>
    <w:p w14:paraId="0A04A2B1" w14:textId="634BD2C9" w:rsidR="006848E6" w:rsidRDefault="006848E6" w:rsidP="00AD7411">
      <w:pPr>
        <w:widowControl w:val="0"/>
        <w:autoSpaceDE w:val="0"/>
        <w:autoSpaceDN w:val="0"/>
        <w:spacing w:after="0" w:line="240" w:lineRule="auto"/>
        <w:ind w:left="709" w:right="709"/>
        <w:rPr>
          <w:rFonts w:ascii="Verdana" w:eastAsia="Arial" w:hAnsi="Verdana" w:cs="Arial"/>
          <w:sz w:val="20"/>
          <w:szCs w:val="20"/>
          <w:lang w:val="es-ES"/>
        </w:rPr>
      </w:pPr>
      <w:r w:rsidRPr="005C170B">
        <w:rPr>
          <w:rFonts w:ascii="Verdana" w:eastAsia="Arial" w:hAnsi="Verdana" w:cs="Arial"/>
          <w:sz w:val="20"/>
          <w:szCs w:val="20"/>
          <w:lang w:val="es-ES"/>
        </w:rPr>
        <w:t>[…]</w:t>
      </w:r>
    </w:p>
    <w:p w14:paraId="06D98EE6" w14:textId="77777777" w:rsidR="00AD7411" w:rsidRPr="005C170B" w:rsidRDefault="00AD7411">
      <w:pPr>
        <w:widowControl w:val="0"/>
        <w:autoSpaceDE w:val="0"/>
        <w:autoSpaceDN w:val="0"/>
        <w:spacing w:after="0" w:line="240" w:lineRule="auto"/>
        <w:ind w:left="709" w:right="709"/>
        <w:rPr>
          <w:rFonts w:ascii="Verdana" w:eastAsia="Arial" w:hAnsi="Verdana" w:cs="Arial"/>
          <w:sz w:val="20"/>
          <w:szCs w:val="20"/>
          <w:lang w:val="es-ES"/>
        </w:rPr>
      </w:pPr>
    </w:p>
    <w:p w14:paraId="6EE2150C" w14:textId="77777777" w:rsidR="006848E6" w:rsidRPr="005C170B" w:rsidRDefault="006848E6">
      <w:pPr>
        <w:widowControl w:val="0"/>
        <w:autoSpaceDE w:val="0"/>
        <w:autoSpaceDN w:val="0"/>
        <w:spacing w:after="0" w:line="240" w:lineRule="auto"/>
        <w:ind w:left="709" w:right="709"/>
        <w:jc w:val="both"/>
        <w:rPr>
          <w:rFonts w:ascii="Verdana" w:eastAsia="Arial" w:hAnsi="Verdana" w:cs="Arial"/>
          <w:sz w:val="20"/>
          <w:szCs w:val="20"/>
          <w:lang w:val="es-ES"/>
        </w:rPr>
      </w:pPr>
      <w:r w:rsidRPr="005C170B">
        <w:rPr>
          <w:rFonts w:ascii="Verdana" w:eastAsia="Arial" w:hAnsi="Verdana" w:cs="Arial"/>
          <w:sz w:val="20"/>
          <w:szCs w:val="20"/>
          <w:lang w:val="es-ES"/>
        </w:rPr>
        <w:t>La situación se modificó con el actual marco constitucional en donde se estableció [art. 69] la garantía a la autonomía universitaria, para que pudieran darse sus directivas y regirse por sus propios estatutos, de acuerdo con el régimen especial que previera la Ley para las universidades del Estado, por lo cual se despojaban del control de tutela que ejercía el ejecutivo sobre ellas, con el fin de garantizar la independencia académica en la educación superior, sin ningún tipo de injerencia del poder público.</w:t>
      </w:r>
    </w:p>
    <w:p w14:paraId="724E68C3" w14:textId="77777777" w:rsidR="006848E6" w:rsidRPr="005C170B" w:rsidRDefault="006848E6">
      <w:pPr>
        <w:widowControl w:val="0"/>
        <w:autoSpaceDE w:val="0"/>
        <w:autoSpaceDN w:val="0"/>
        <w:spacing w:after="0" w:line="240" w:lineRule="auto"/>
        <w:ind w:left="709" w:right="709"/>
        <w:jc w:val="both"/>
        <w:rPr>
          <w:rFonts w:ascii="Verdana" w:eastAsia="Arial" w:hAnsi="Verdana" w:cs="Arial"/>
          <w:sz w:val="20"/>
          <w:szCs w:val="20"/>
          <w:lang w:val="es-ES"/>
        </w:rPr>
      </w:pPr>
      <w:r w:rsidRPr="005C170B">
        <w:rPr>
          <w:rFonts w:ascii="Verdana" w:eastAsia="Arial" w:hAnsi="Verdana" w:cs="Arial"/>
          <w:sz w:val="20"/>
          <w:szCs w:val="20"/>
          <w:lang w:val="es-ES"/>
        </w:rPr>
        <w:t>Lo anterior hizo que dejaran de pertenecer a la rama ejecutiva y por supuesto no hicieran parte de las demás [legislativa y judicial], al convertirse en organismos autónomos que cumplen funciones estatales de trascendental importancia para la nación, sin perder la calidad de entidades públicas […]”</w:t>
      </w:r>
    </w:p>
    <w:p w14:paraId="45160756" w14:textId="77777777" w:rsidR="006848E6" w:rsidRPr="005C170B" w:rsidRDefault="006848E6" w:rsidP="006848E6">
      <w:pPr>
        <w:widowControl w:val="0"/>
        <w:autoSpaceDE w:val="0"/>
        <w:autoSpaceDN w:val="0"/>
        <w:spacing w:after="0" w:line="240" w:lineRule="auto"/>
        <w:ind w:left="709" w:right="709"/>
        <w:jc w:val="both"/>
        <w:rPr>
          <w:rFonts w:ascii="Verdana" w:eastAsia="Arial" w:hAnsi="Verdana" w:cs="Arial"/>
          <w:sz w:val="20"/>
          <w:szCs w:val="20"/>
          <w:lang w:val="es-ES"/>
        </w:rPr>
      </w:pPr>
    </w:p>
    <w:p w14:paraId="792449E0" w14:textId="77777777" w:rsidR="006848E6" w:rsidRPr="005C170B" w:rsidRDefault="006848E6">
      <w:pPr>
        <w:tabs>
          <w:tab w:val="left" w:pos="0"/>
        </w:tabs>
        <w:spacing w:after="120" w:line="276" w:lineRule="auto"/>
        <w:ind w:firstLine="709"/>
        <w:jc w:val="both"/>
        <w:rPr>
          <w:rFonts w:ascii="Verdana" w:hAnsi="Verdana"/>
        </w:rPr>
      </w:pPr>
      <w:r w:rsidRPr="005C170B">
        <w:rPr>
          <w:rFonts w:ascii="Verdana" w:eastAsia="Arial" w:hAnsi="Verdana" w:cs="Arial"/>
          <w:lang w:eastAsia="es-MX"/>
        </w:rPr>
        <w:t xml:space="preserve">Teniendo en cuenta lo anterior, dado que las universidades públicas son entidades públicas de carácter autónomo con régimen especial, les aplica la restricción establecida en el artículo 33 de la Ley 996 de 2005, que </w:t>
      </w:r>
      <w:r w:rsidRPr="005C170B">
        <w:rPr>
          <w:rFonts w:ascii="Verdana" w:eastAsia="Times New Roman" w:hAnsi="Verdana" w:cs="Open Sans"/>
          <w:lang w:eastAsia="es-CO"/>
        </w:rPr>
        <w:t xml:space="preserve">prohíbe la contratación directa por parte de todos los entes estatales durante los cuatro (4) meses anteriores a las elecciones presidenciales y dispone las excepciones a dicha prohibición. Por el contrario, a estas entidades no son susceptibles de la restricción contenida en el parágrafo del artículo 38 de la Ley 996 de 2005, dado que esta solo es aplicable a </w:t>
      </w:r>
      <w:proofErr w:type="gramStart"/>
      <w:r w:rsidRPr="005C170B">
        <w:rPr>
          <w:rFonts w:ascii="Verdana" w:eastAsia="Times New Roman" w:hAnsi="Verdana" w:cs="Arial"/>
          <w:lang w:val="es-MX" w:eastAsia="es-CO"/>
        </w:rPr>
        <w:t>Alcaldes</w:t>
      </w:r>
      <w:proofErr w:type="gramEnd"/>
      <w:r w:rsidRPr="005C170B">
        <w:rPr>
          <w:rFonts w:ascii="Verdana" w:eastAsia="Times New Roman" w:hAnsi="Verdana" w:cs="Arial"/>
          <w:lang w:val="es-MX" w:eastAsia="es-CO"/>
        </w:rPr>
        <w:t xml:space="preserve">, Gobernadores, </w:t>
      </w:r>
      <w:proofErr w:type="gramStart"/>
      <w:r w:rsidRPr="005C170B">
        <w:rPr>
          <w:rFonts w:ascii="Verdana" w:eastAsia="Times New Roman" w:hAnsi="Verdana" w:cs="Arial"/>
          <w:lang w:val="es-MX" w:eastAsia="es-CO"/>
        </w:rPr>
        <w:t>Secretarios</w:t>
      </w:r>
      <w:proofErr w:type="gramEnd"/>
      <w:r w:rsidRPr="005C170B">
        <w:rPr>
          <w:rFonts w:ascii="Verdana" w:eastAsia="Times New Roman" w:hAnsi="Verdana" w:cs="Arial"/>
          <w:lang w:val="es-MX" w:eastAsia="es-CO"/>
        </w:rPr>
        <w:t xml:space="preserve">, Gerentes y </w:t>
      </w:r>
      <w:proofErr w:type="gramStart"/>
      <w:r w:rsidRPr="005C170B">
        <w:rPr>
          <w:rFonts w:ascii="Verdana" w:eastAsia="Times New Roman" w:hAnsi="Verdana" w:cs="Arial"/>
          <w:lang w:val="es-MX" w:eastAsia="es-CO"/>
        </w:rPr>
        <w:t>Directores</w:t>
      </w:r>
      <w:proofErr w:type="gramEnd"/>
      <w:r w:rsidRPr="005C170B">
        <w:rPr>
          <w:rFonts w:ascii="Verdana" w:eastAsia="Times New Roman" w:hAnsi="Verdana" w:cs="Arial"/>
          <w:lang w:val="es-MX" w:eastAsia="es-CO"/>
        </w:rPr>
        <w:t xml:space="preserve"> de las entidades descentralizadas del orden municipal, departamental o distrital</w:t>
      </w:r>
      <w:r w:rsidRPr="005C170B">
        <w:rPr>
          <w:rFonts w:ascii="Verdana" w:eastAsia="Times New Roman" w:hAnsi="Verdana" w:cs="Open Sans"/>
          <w:lang w:eastAsia="es-CO"/>
        </w:rPr>
        <w:t>.</w:t>
      </w:r>
    </w:p>
    <w:p w14:paraId="00331C33" w14:textId="77777777" w:rsidR="006848E6" w:rsidRPr="005C170B" w:rsidRDefault="006848E6" w:rsidP="00A60E61">
      <w:pPr>
        <w:spacing w:after="0" w:line="276" w:lineRule="auto"/>
        <w:ind w:firstLine="708"/>
        <w:jc w:val="both"/>
        <w:rPr>
          <w:rFonts w:ascii="Verdana" w:hAnsi="Verdana" w:cs="BCDHEE+Verdana"/>
          <w:color w:val="000000"/>
        </w:rPr>
      </w:pPr>
      <w:r w:rsidRPr="005C170B">
        <w:rPr>
          <w:rFonts w:ascii="Verdana" w:eastAsia="Arial" w:hAnsi="Verdana" w:cs="Arial"/>
          <w:lang w:eastAsia="es-MX"/>
        </w:rPr>
        <w:t>En relación con lo anterior, p</w:t>
      </w:r>
      <w:r w:rsidRPr="005C170B">
        <w:rPr>
          <w:rFonts w:ascii="Verdana" w:hAnsi="Verdana" w:cs="BCDHEE+Verdana"/>
          <w:color w:val="000000"/>
        </w:rPr>
        <w:t xml:space="preserve">ara las elecciones presidenciales, la Registraduría Nacional del Estado Civil,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cuatro (4) meses anteriores a </w:t>
      </w:r>
      <w:r w:rsidRPr="005C170B">
        <w:rPr>
          <w:rFonts w:ascii="Verdana" w:hAnsi="Verdana" w:cs="BCDHEE+Verdana"/>
          <w:color w:val="000000"/>
        </w:rPr>
        <w:lastRenderedPageBreak/>
        <w:t>la elección presidencial, es decir desde el 31 de enero de 2026 y hasta el momento de la celebración de la segunda vuelta, si fuere el caso, queda prohibida la contratación directa por parte de todos los entes del Estado.</w:t>
      </w:r>
    </w:p>
    <w:p w14:paraId="40AF509F" w14:textId="77777777" w:rsidR="006848E6" w:rsidRPr="005C170B" w:rsidRDefault="006848E6" w:rsidP="006848E6">
      <w:pPr>
        <w:spacing w:after="0" w:line="276" w:lineRule="auto"/>
        <w:ind w:firstLine="709"/>
        <w:jc w:val="both"/>
        <w:rPr>
          <w:rFonts w:ascii="Verdana" w:eastAsia="Arial" w:hAnsi="Verdana" w:cs="Arial"/>
          <w:bCs/>
          <w:color w:val="000000" w:themeColor="text1"/>
        </w:rPr>
      </w:pPr>
    </w:p>
    <w:p w14:paraId="20B4ADDE" w14:textId="77777777" w:rsidR="006848E6" w:rsidRPr="005C170B" w:rsidRDefault="006848E6" w:rsidP="00A60E61">
      <w:pPr>
        <w:tabs>
          <w:tab w:val="left" w:pos="0"/>
        </w:tabs>
        <w:spacing w:after="120" w:line="276" w:lineRule="auto"/>
        <w:jc w:val="both"/>
        <w:rPr>
          <w:rFonts w:ascii="Verdana" w:eastAsia="Arial" w:hAnsi="Verdana" w:cs="Arial"/>
          <w:color w:val="000000"/>
        </w:rPr>
      </w:pPr>
      <w:r w:rsidRPr="005C170B">
        <w:rPr>
          <w:rFonts w:ascii="Verdana" w:eastAsia="Calibri" w:hAnsi="Verdana" w:cs="Arial"/>
          <w:b/>
          <w:color w:val="000000" w:themeColor="text1"/>
        </w:rPr>
        <w:t>vi.</w:t>
      </w:r>
      <w:r w:rsidRPr="005C170B">
        <w:rPr>
          <w:rFonts w:ascii="Verdana" w:eastAsia="Calibri" w:hAnsi="Verdana" w:cs="Arial"/>
          <w:bCs/>
          <w:color w:val="000000" w:themeColor="text1"/>
        </w:rPr>
        <w:t xml:space="preserve">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E7EE9C6" w14:textId="77777777" w:rsidR="006848E6" w:rsidRPr="005C170B" w:rsidRDefault="006848E6" w:rsidP="006848E6">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5DB3FBF" w14:textId="77777777" w:rsidR="006848E6" w:rsidRPr="005C170B" w:rsidRDefault="006848E6" w:rsidP="006848E6">
      <w:pPr>
        <w:widowControl w:val="0"/>
        <w:autoSpaceDE w:val="0"/>
        <w:autoSpaceDN w:val="0"/>
        <w:spacing w:after="0" w:line="276" w:lineRule="auto"/>
        <w:jc w:val="both"/>
        <w:rPr>
          <w:rFonts w:ascii="Verdana" w:hAnsi="Verdana" w:cs="Arial"/>
        </w:rPr>
      </w:pPr>
    </w:p>
    <w:p w14:paraId="77297506" w14:textId="77777777" w:rsidR="006848E6" w:rsidRPr="005C170B" w:rsidRDefault="006848E6" w:rsidP="006848E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Referencias normativas, jurisprudenciales y otras fuentes:</w:t>
      </w:r>
    </w:p>
    <w:p w14:paraId="0C7B6417" w14:textId="77777777" w:rsidR="006848E6" w:rsidRPr="005C170B" w:rsidRDefault="006848E6" w:rsidP="006848E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848E6" w:rsidRPr="005C170B" w14:paraId="392BB35E" w14:textId="77777777" w:rsidTr="00DC3EEC">
        <w:trPr>
          <w:trHeight w:val="870"/>
        </w:trPr>
        <w:tc>
          <w:tcPr>
            <w:tcW w:w="8647" w:type="dxa"/>
          </w:tcPr>
          <w:p w14:paraId="74BB7209"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Ley 996 de 2005, artículo 33 y 38.</w:t>
            </w:r>
          </w:p>
          <w:p w14:paraId="5612BF80"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Gaceta del Congreso de la República No. 71 del 2005.</w:t>
            </w:r>
          </w:p>
          <w:p w14:paraId="284971A3"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Corte Constitucional, Sentencia C- 1153 de 2005, M.P. Marco Gerardo Monroy Cabra.</w:t>
            </w:r>
          </w:p>
          <w:p w14:paraId="24992F6A"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Corte Constitucional. Sentencias: C-233 de 4 de abril de 2002, expediente: D-3704; C-551 de 9 de julio de 2003, expediente: CRF-001 de 9 de julio de 2003; C-652 de 5 de agosto de 2003, expediente: D 4330; C-353 de 20 de mayo de 2009, expediente: D-7518, C-541 de 30 de junio de 2010, expediente: DD7966; entre otras.</w:t>
            </w:r>
          </w:p>
          <w:p w14:paraId="23BCCE00"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lastRenderedPageBreak/>
              <w:t>Consejo de Estado, Sala de lo Contencioso Administrativo, Sección Primera. Sentencia de 3 de marzo de 2005, expediente número 2004-00823-01(PI).</w:t>
            </w:r>
          </w:p>
          <w:p w14:paraId="1D379D56"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Sala de lo Contencioso Administrativo, Sección Tercera. Sentencia de 22 de enero de 2002, expediente número 2001-0148-01.</w:t>
            </w:r>
          </w:p>
          <w:p w14:paraId="799B9CB8"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Sala de lo Contencioso Administrativo, Sección Tercera. Sentencia de 20 de noviembre de 2001, expediente número 2001-0130-01(PI).</w:t>
            </w:r>
          </w:p>
          <w:p w14:paraId="61D82CB0"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Sala de Consulta y Servicio Civil de fecha 24 de julio de 2013, radicado 2166, C. P. Álvaro Namén Vargas.</w:t>
            </w:r>
          </w:p>
          <w:p w14:paraId="3D3740DE"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Sala de Consulta y Servicio Civil. Concepto del 17 de febrero de 2015. C.P. William Zambrano Cetina. Radicación No. 11001-03-06-000-2015-00164-00(2269).</w:t>
            </w:r>
          </w:p>
          <w:p w14:paraId="0BC051D4"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Sección Tercera. Sentencia de 3 de diciembre de 2007. Radicados: 24.715, 25.206, 25.409, 24.524, 27.834, 25.410, 26.105, 28.244, 31.447 -acumulados-”.</w:t>
            </w:r>
          </w:p>
          <w:p w14:paraId="6C0FE8F0"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Sala de Consulta y Servicio Civil. Concepto 1712 del 02 de febrero de 2006.</w:t>
            </w:r>
          </w:p>
          <w:p w14:paraId="39681E7F"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Sala de Consulta y Servicio Civil. Concepto del 2 de septiembre de 2013. Radicación número: 11001-03-06-000-2013-00412-00 (2168). Consejero Ponente: Álvaro Namén Vargas.</w:t>
            </w:r>
          </w:p>
          <w:p w14:paraId="6A66C9C6"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Consejo de Estado. Sala de Consulta y Servicio Civil. Concepto del 08 de mayo de 2018.</w:t>
            </w:r>
          </w:p>
          <w:p w14:paraId="04579064"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Corte Constitucional. Sentencia C-1153-05 de 11 de noviembre de 2005. Magistrado Ponente Marco Gerardo Monroy Cabra.</w:t>
            </w:r>
          </w:p>
          <w:p w14:paraId="2E4B0F8A"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Ley 30 de 1992, artículo 57 y 93.</w:t>
            </w:r>
          </w:p>
          <w:p w14:paraId="109FF85A"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Ley 489 de 1998</w:t>
            </w:r>
          </w:p>
          <w:p w14:paraId="640758A7"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 xml:space="preserve">Consejo de Estado. Sección Cuarta. Sentencia del 16 de diciembre de 2008. </w:t>
            </w:r>
            <w:proofErr w:type="spellStart"/>
            <w:r w:rsidRPr="005C170B">
              <w:rPr>
                <w:rFonts w:ascii="Verdana" w:eastAsia="Times New Roman" w:hAnsi="Verdana" w:cs="Times New Roman"/>
                <w:lang w:eastAsia="es-CO"/>
              </w:rPr>
              <w:t>Exp</w:t>
            </w:r>
            <w:proofErr w:type="spellEnd"/>
            <w:r w:rsidRPr="005C170B">
              <w:rPr>
                <w:rFonts w:ascii="Verdana" w:eastAsia="Times New Roman" w:hAnsi="Verdana" w:cs="Times New Roman"/>
                <w:lang w:eastAsia="es-CO"/>
              </w:rPr>
              <w:t>. 16.297. C.P. Martha Teresa Briceño de Valencia.</w:t>
            </w:r>
          </w:p>
          <w:p w14:paraId="08E0F535" w14:textId="77777777" w:rsidR="006848E6" w:rsidRPr="005C170B" w:rsidRDefault="006848E6" w:rsidP="00DC3EEC">
            <w:pPr>
              <w:numPr>
                <w:ilvl w:val="0"/>
                <w:numId w:val="17"/>
              </w:numPr>
              <w:spacing w:before="100" w:beforeAutospacing="1" w:after="100" w:afterAutospacing="1" w:line="276" w:lineRule="auto"/>
              <w:jc w:val="both"/>
              <w:rPr>
                <w:rFonts w:ascii="Verdana" w:eastAsia="Times New Roman" w:hAnsi="Verdana" w:cs="Times New Roman"/>
                <w:lang w:eastAsia="es-CO"/>
              </w:rPr>
            </w:pPr>
            <w:r w:rsidRPr="005C170B">
              <w:rPr>
                <w:rFonts w:ascii="Verdana" w:eastAsia="Times New Roman" w:hAnsi="Verdana" w:cs="Times New Roman"/>
                <w:lang w:eastAsia="es-CO"/>
              </w:rPr>
              <w:t>Registraduría Nacional del Estado Civil. Resolución 2580 del 5 de marzo de 2025. “Por la cual se fija el calendario electoral para las elecciones de presidente y vicepresidente de la república (primera vuelta) para el período constitucional 2026-2030”.</w:t>
            </w:r>
          </w:p>
        </w:tc>
      </w:tr>
    </w:tbl>
    <w:p w14:paraId="5C8CF111" w14:textId="77777777" w:rsidR="006848E6" w:rsidRPr="00DE77CE" w:rsidRDefault="006848E6">
      <w:pPr>
        <w:widowControl w:val="0"/>
        <w:autoSpaceDE w:val="0"/>
        <w:autoSpaceDN w:val="0"/>
        <w:spacing w:after="0" w:line="276" w:lineRule="auto"/>
        <w:jc w:val="both"/>
        <w:rPr>
          <w:rFonts w:ascii="Verdana" w:hAnsi="Verdana" w:cs="Arial"/>
        </w:rPr>
      </w:pPr>
    </w:p>
    <w:p w14:paraId="260903CD" w14:textId="77777777" w:rsidR="006848E6" w:rsidRPr="00DE77CE" w:rsidRDefault="006848E6" w:rsidP="00A60E6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E77CE">
        <w:rPr>
          <w:rFonts w:ascii="Verdana" w:eastAsia="Century Gothic" w:hAnsi="Verdana" w:cs="Century Gothic"/>
          <w:b/>
          <w:bCs/>
        </w:rPr>
        <w:lastRenderedPageBreak/>
        <w:t>Doctrina de la Agencia Nacional de Contratación Pública:</w:t>
      </w:r>
    </w:p>
    <w:p w14:paraId="42E39528" w14:textId="77777777" w:rsidR="006848E6" w:rsidRPr="00DE77CE" w:rsidRDefault="006848E6">
      <w:pPr>
        <w:widowControl w:val="0"/>
        <w:autoSpaceDE w:val="0"/>
        <w:autoSpaceDN w:val="0"/>
        <w:spacing w:after="0" w:line="276" w:lineRule="auto"/>
        <w:jc w:val="both"/>
        <w:rPr>
          <w:rFonts w:ascii="Verdana" w:hAnsi="Verdana" w:cs="Arial"/>
        </w:rPr>
      </w:pPr>
    </w:p>
    <w:p w14:paraId="2FDDF686" w14:textId="77777777" w:rsidR="006848E6" w:rsidRPr="00DE77CE" w:rsidRDefault="006848E6">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DE77CE">
        <w:rPr>
          <w:rFonts w:ascii="Verdana" w:hAnsi="Verdana" w:cs="Arial"/>
          <w:shd w:val="clear" w:color="auto" w:fill="FFFFFF"/>
        </w:rPr>
        <w:t xml:space="preserve">Esta Subdirección se ha pronunciado sobre 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C-1124 del 18 de septiembre de 2025, C-1491 del 20 de noviembre de 2025, C- 1492 del </w:t>
      </w:r>
      <w:r w:rsidRPr="00DE77CE">
        <w:rPr>
          <w:rFonts w:ascii="Verdana" w:hAnsi="Verdana"/>
        </w:rPr>
        <w:t>21 de noviembre del 2025, C-1629, C-1646 del 17 de diciembre de 2025, C-1662 del 22 de diciembre de 2025</w:t>
      </w:r>
      <w:r w:rsidRPr="00DE77CE">
        <w:rPr>
          <w:rStyle w:val="normaltextrun"/>
          <w:rFonts w:ascii="Verdana" w:hAnsi="Verdana" w:cs="Arial"/>
          <w:shd w:val="clear" w:color="auto" w:fill="FFFFFF"/>
          <w:lang w:val="es-ES"/>
        </w:rPr>
        <w:t>, C-160 del 24 de febrero de 2026, C-108 del 4 de marzo de 2026, entre otros.</w:t>
      </w:r>
      <w:r w:rsidRPr="00DE77CE">
        <w:rPr>
          <w:rFonts w:ascii="Verdana" w:hAnsi="Verdana" w:cs="Arial"/>
          <w:shd w:val="clear" w:color="auto" w:fill="FFFFFF"/>
          <w:lang w:val="es-ES"/>
        </w:rPr>
        <w:t xml:space="preserve"> </w:t>
      </w:r>
      <w:r w:rsidRPr="00DE77CE">
        <w:rPr>
          <w:rFonts w:ascii="Verdana" w:hAnsi="Verdana" w:cs="Arial"/>
          <w:color w:val="000000" w:themeColor="text1"/>
          <w:shd w:val="clear" w:color="auto" w:fill="FFFFFF"/>
        </w:rPr>
        <w:t xml:space="preserve">Estos </w:t>
      </w:r>
      <w:r w:rsidRPr="00DE77CE">
        <w:rPr>
          <w:rStyle w:val="normaltextrun"/>
          <w:rFonts w:ascii="Verdana" w:hAnsi="Verdana" w:cs="Arial"/>
          <w:color w:val="000000" w:themeColor="text1"/>
          <w:shd w:val="clear" w:color="auto" w:fill="FFFFFF"/>
        </w:rPr>
        <w:t xml:space="preserve">se encuentran disponibles para consulta en el Sistema de relatoría de la Agencia, al cual puede accederse a través del siguiente enlace: </w:t>
      </w:r>
      <w:hyperlink r:id="rId12" w:history="1">
        <w:r w:rsidRPr="00DE77CE">
          <w:rPr>
            <w:rStyle w:val="Hipervnculo"/>
            <w:rFonts w:ascii="Verdana" w:hAnsi="Verdana" w:cs="Arial"/>
            <w:shd w:val="clear" w:color="auto" w:fill="FFFFFF"/>
          </w:rPr>
          <w:t>https://relatoria.colombiacompra.gov.co/busqueda/conceptos</w:t>
        </w:r>
      </w:hyperlink>
      <w:r w:rsidRPr="00DE77CE">
        <w:rPr>
          <w:rStyle w:val="Hipervnculo"/>
          <w:rFonts w:ascii="Verdana" w:hAnsi="Verdana"/>
        </w:rPr>
        <w:t>.</w:t>
      </w:r>
      <w:r w:rsidRPr="00DE77CE">
        <w:rPr>
          <w:rStyle w:val="normaltextrun"/>
          <w:rFonts w:ascii="Verdana" w:hAnsi="Verdana" w:cs="Arial"/>
          <w:color w:val="000000" w:themeColor="text1"/>
          <w:shd w:val="clear" w:color="auto" w:fill="FFFFFF"/>
        </w:rPr>
        <w:t xml:space="preserve"> </w:t>
      </w:r>
      <w:r w:rsidRPr="00DE77CE">
        <w:rPr>
          <w:rStyle w:val="normaltextrun"/>
          <w:rFonts w:ascii="Verdana" w:hAnsi="Verdana" w:cs="Arial"/>
          <w:color w:val="000000" w:themeColor="text1"/>
          <w:shd w:val="clear" w:color="auto" w:fill="FFFFFF"/>
          <w:lang w:val="es-ES"/>
        </w:rPr>
        <w:t xml:space="preserve"> </w:t>
      </w:r>
    </w:p>
    <w:p w14:paraId="71474818" w14:textId="77777777" w:rsidR="006848E6" w:rsidRPr="00DE77CE" w:rsidRDefault="006848E6">
      <w:pPr>
        <w:widowControl w:val="0"/>
        <w:autoSpaceDE w:val="0"/>
        <w:autoSpaceDN w:val="0"/>
        <w:spacing w:after="0" w:line="276" w:lineRule="auto"/>
        <w:jc w:val="both"/>
        <w:rPr>
          <w:rFonts w:ascii="Verdana" w:hAnsi="Verdana" w:cs="Arial"/>
          <w:shd w:val="clear" w:color="auto" w:fill="FFFFFF"/>
        </w:rPr>
      </w:pPr>
    </w:p>
    <w:p w14:paraId="56A5C39E" w14:textId="77777777" w:rsidR="006848E6" w:rsidRPr="00DE77CE" w:rsidRDefault="006848E6" w:rsidP="00A60E61">
      <w:pPr>
        <w:spacing w:after="0" w:line="276" w:lineRule="auto"/>
        <w:jc w:val="both"/>
        <w:rPr>
          <w:rFonts w:ascii="Verdana" w:hAnsi="Verdana"/>
        </w:rPr>
      </w:pPr>
    </w:p>
    <w:p w14:paraId="304E6AD4" w14:textId="77777777" w:rsidR="006848E6" w:rsidRPr="00DE77CE" w:rsidRDefault="006848E6" w:rsidP="00A60E61">
      <w:pPr>
        <w:spacing w:after="0" w:line="276" w:lineRule="auto"/>
        <w:jc w:val="both"/>
        <w:rPr>
          <w:rFonts w:ascii="Verdana" w:hAnsi="Verdana"/>
        </w:rPr>
      </w:pPr>
      <w:r w:rsidRPr="00DE77CE">
        <w:rPr>
          <w:rFonts w:ascii="Verdana" w:hAnsi="Verdana"/>
        </w:rPr>
        <w:t xml:space="preserve">Por último, lo invitamos a seguirnos en las redes sociales en las cuales se difunde información institucional: </w:t>
      </w:r>
    </w:p>
    <w:p w14:paraId="4B65061B" w14:textId="77777777" w:rsidR="006848E6" w:rsidRPr="00DE77CE" w:rsidRDefault="006848E6" w:rsidP="00A60E61">
      <w:pPr>
        <w:spacing w:after="0" w:line="276" w:lineRule="auto"/>
        <w:jc w:val="both"/>
        <w:rPr>
          <w:rFonts w:ascii="Verdana" w:hAnsi="Verdana"/>
        </w:rPr>
      </w:pPr>
    </w:p>
    <w:p w14:paraId="7DA81165" w14:textId="77777777" w:rsidR="006848E6" w:rsidRPr="00DE77CE" w:rsidRDefault="006848E6" w:rsidP="00A60E61">
      <w:pPr>
        <w:spacing w:after="0" w:line="276" w:lineRule="auto"/>
        <w:jc w:val="both"/>
        <w:rPr>
          <w:rFonts w:ascii="Verdana" w:hAnsi="Verdana"/>
        </w:rPr>
      </w:pPr>
      <w:r w:rsidRPr="00DE77CE">
        <w:rPr>
          <w:rFonts w:ascii="Verdana" w:hAnsi="Verdana"/>
        </w:rPr>
        <w:t xml:space="preserve">Twitter: </w:t>
      </w:r>
      <w:r w:rsidRPr="00DE77CE">
        <w:rPr>
          <w:rStyle w:val="Hipervnculo"/>
          <w:rFonts w:ascii="Verdana" w:hAnsi="Verdana"/>
        </w:rPr>
        <w:t>@colombiacompra</w:t>
      </w:r>
      <w:r w:rsidRPr="00DE77CE">
        <w:rPr>
          <w:rFonts w:ascii="Verdana" w:hAnsi="Verdana"/>
          <w:color w:val="0000FF"/>
        </w:rPr>
        <w:t xml:space="preserve"> </w:t>
      </w:r>
    </w:p>
    <w:p w14:paraId="33B05CDB" w14:textId="77777777" w:rsidR="006848E6" w:rsidRPr="00DE77CE" w:rsidRDefault="006848E6" w:rsidP="00A60E61">
      <w:pPr>
        <w:spacing w:after="0" w:line="276" w:lineRule="auto"/>
        <w:jc w:val="both"/>
        <w:rPr>
          <w:rFonts w:ascii="Verdana" w:hAnsi="Verdana"/>
        </w:rPr>
      </w:pPr>
      <w:r w:rsidRPr="00DE77CE">
        <w:rPr>
          <w:rFonts w:ascii="Verdana" w:hAnsi="Verdana"/>
        </w:rPr>
        <w:t xml:space="preserve">Facebook: </w:t>
      </w:r>
      <w:proofErr w:type="spellStart"/>
      <w:r w:rsidRPr="00DE77CE">
        <w:rPr>
          <w:rStyle w:val="Hipervnculo"/>
          <w:rFonts w:ascii="Verdana" w:hAnsi="Verdana"/>
        </w:rPr>
        <w:t>ColombiaCompraEficiente</w:t>
      </w:r>
      <w:proofErr w:type="spellEnd"/>
    </w:p>
    <w:p w14:paraId="0FE71F7E" w14:textId="77777777" w:rsidR="006848E6" w:rsidRPr="00DE77CE" w:rsidRDefault="006848E6" w:rsidP="00A60E61">
      <w:pPr>
        <w:spacing w:after="0" w:line="276" w:lineRule="auto"/>
        <w:jc w:val="both"/>
        <w:rPr>
          <w:rFonts w:ascii="Verdana" w:hAnsi="Verdana"/>
        </w:rPr>
      </w:pPr>
      <w:r w:rsidRPr="00DE77CE">
        <w:rPr>
          <w:rFonts w:ascii="Verdana" w:hAnsi="Verdana"/>
        </w:rPr>
        <w:t xml:space="preserve">LinkedIn: </w:t>
      </w:r>
      <w:r w:rsidRPr="00DE77CE">
        <w:rPr>
          <w:rStyle w:val="Hipervnculo"/>
          <w:rFonts w:ascii="Verdana" w:hAnsi="Verdana"/>
        </w:rPr>
        <w:t>Agencia Nacional de Contratación Pública - Colombia Compra Eficiente</w:t>
      </w:r>
      <w:r w:rsidRPr="00DE77CE">
        <w:rPr>
          <w:rFonts w:ascii="Verdana" w:hAnsi="Verdana"/>
          <w:color w:val="0000FF"/>
        </w:rPr>
        <w:t xml:space="preserve"> </w:t>
      </w:r>
      <w:r w:rsidRPr="00DE77CE">
        <w:rPr>
          <w:rFonts w:ascii="Verdana" w:hAnsi="Verdana"/>
        </w:rPr>
        <w:t xml:space="preserve">Instagram: </w:t>
      </w:r>
      <w:r w:rsidRPr="00DE77CE">
        <w:rPr>
          <w:rStyle w:val="Hipervnculo"/>
          <w:rFonts w:ascii="Verdana" w:hAnsi="Verdana"/>
        </w:rPr>
        <w:t>@colombiacompraeficiente_cce</w:t>
      </w:r>
    </w:p>
    <w:p w14:paraId="30AFE7C3" w14:textId="77777777" w:rsidR="006848E6" w:rsidRPr="00DE77CE" w:rsidRDefault="006848E6">
      <w:pPr>
        <w:widowControl w:val="0"/>
        <w:autoSpaceDE w:val="0"/>
        <w:autoSpaceDN w:val="0"/>
        <w:spacing w:after="0" w:line="276" w:lineRule="auto"/>
        <w:jc w:val="both"/>
        <w:rPr>
          <w:rFonts w:ascii="Verdana" w:hAnsi="Verdana" w:cs="Arial"/>
        </w:rPr>
      </w:pPr>
    </w:p>
    <w:p w14:paraId="675AE626" w14:textId="77777777" w:rsidR="006848E6" w:rsidRPr="00DE77CE" w:rsidRDefault="006848E6">
      <w:pPr>
        <w:widowControl w:val="0"/>
        <w:autoSpaceDE w:val="0"/>
        <w:autoSpaceDN w:val="0"/>
        <w:spacing w:after="0" w:line="276" w:lineRule="auto"/>
        <w:jc w:val="both"/>
        <w:rPr>
          <w:rFonts w:ascii="Verdana" w:hAnsi="Verdana" w:cs="Arial"/>
          <w:lang w:val="es-ES_tradnl"/>
        </w:rPr>
      </w:pPr>
      <w:r w:rsidRPr="00DE77CE">
        <w:rPr>
          <w:rFonts w:ascii="Verdana" w:hAnsi="Verdana" w:cs="Arial"/>
        </w:rPr>
        <w:t xml:space="preserve">Este concepto tiene el alcance previsto en el artículo 28 del Código de Procedimiento Administrativo y de lo Contencioso Administrativo </w:t>
      </w:r>
      <w:r w:rsidRPr="00DE77CE">
        <w:rPr>
          <w:rFonts w:ascii="Verdana" w:hAnsi="Verdana" w:cs="Arial"/>
          <w:lang w:val="es-ES_tradnl"/>
        </w:rPr>
        <w:t>y las expresiones aquí utilizadas con mayúscula inicial deben ser entendidas con el significado que les otorga el artículo 2.2.1.1.1.3.1. del Decreto 1082 de 2015.</w:t>
      </w:r>
    </w:p>
    <w:p w14:paraId="253C367E" w14:textId="77777777" w:rsidR="006848E6" w:rsidRPr="00DE77CE" w:rsidRDefault="006848E6">
      <w:pPr>
        <w:widowControl w:val="0"/>
        <w:autoSpaceDE w:val="0"/>
        <w:autoSpaceDN w:val="0"/>
        <w:spacing w:after="0" w:line="276" w:lineRule="auto"/>
        <w:jc w:val="both"/>
        <w:rPr>
          <w:rFonts w:ascii="Verdana" w:hAnsi="Verdana" w:cs="Arial"/>
        </w:rPr>
      </w:pPr>
    </w:p>
    <w:p w14:paraId="12034ED3" w14:textId="77777777" w:rsidR="006848E6" w:rsidRPr="00DE77CE" w:rsidRDefault="006848E6" w:rsidP="00A60E61">
      <w:pPr>
        <w:spacing w:after="0" w:line="276" w:lineRule="auto"/>
        <w:rPr>
          <w:rFonts w:ascii="Verdana" w:hAnsi="Verdana" w:cs="Arial"/>
          <w:lang w:eastAsia="es-CO"/>
        </w:rPr>
      </w:pPr>
      <w:r w:rsidRPr="00DE77CE">
        <w:rPr>
          <w:rFonts w:ascii="Verdana" w:eastAsia="Times New Roman" w:hAnsi="Verdana" w:cs="Arial"/>
          <w:lang w:eastAsia="es-CO"/>
        </w:rPr>
        <w:t>Atentamente,</w:t>
      </w:r>
      <w:r w:rsidRPr="00DE77CE">
        <w:rPr>
          <w:rFonts w:ascii="Verdana" w:hAnsi="Verdana" w:cs="Arial"/>
          <w:lang w:eastAsia="es-CO"/>
        </w:rPr>
        <w:t xml:space="preserve"> </w:t>
      </w:r>
    </w:p>
    <w:p w14:paraId="592641E3" w14:textId="1F8A2940" w:rsidR="006848E6" w:rsidRPr="005C170B" w:rsidRDefault="0045027F" w:rsidP="002F1E2E">
      <w:pPr>
        <w:spacing w:line="276" w:lineRule="auto"/>
        <w:jc w:val="center"/>
        <w:rPr>
          <w:rFonts w:ascii="Verdana" w:hAnsi="Verdana" w:cs="Arial"/>
          <w:color w:val="000000"/>
          <w:lang w:eastAsia="es-CO"/>
        </w:rPr>
      </w:pPr>
      <w:r w:rsidRPr="0045027F">
        <w:rPr>
          <w:rFonts w:ascii="Verdana" w:hAnsi="Verdana" w:cs="Arial"/>
          <w:noProof/>
          <w:color w:val="000000"/>
          <w:lang w:eastAsia="es-CO"/>
        </w:rPr>
        <w:lastRenderedPageBreak/>
        <w:drawing>
          <wp:inline distT="0" distB="0" distL="0" distR="0" wp14:anchorId="6FBA95C3" wp14:editId="08F2FF74">
            <wp:extent cx="3742660" cy="1481759"/>
            <wp:effectExtent l="0" t="0" r="0" b="4445"/>
            <wp:docPr id="118666380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51341" cy="1485196"/>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848E6" w:rsidRPr="005C170B" w14:paraId="15DB4257" w14:textId="77777777" w:rsidTr="00DC3EEC">
        <w:trPr>
          <w:trHeight w:val="315"/>
        </w:trPr>
        <w:tc>
          <w:tcPr>
            <w:tcW w:w="893" w:type="dxa"/>
            <w:vAlign w:val="center"/>
            <w:hideMark/>
          </w:tcPr>
          <w:p w14:paraId="2BBA8678" w14:textId="77777777" w:rsidR="006848E6" w:rsidRPr="005C170B" w:rsidRDefault="006848E6" w:rsidP="00DC3EEC">
            <w:pPr>
              <w:contextualSpacing/>
              <w:rPr>
                <w:rFonts w:ascii="Verdana" w:hAnsi="Verdana" w:cs="Arial"/>
                <w:sz w:val="16"/>
                <w:szCs w:val="16"/>
                <w:lang w:val="es-ES" w:eastAsia="es-ES"/>
              </w:rPr>
            </w:pPr>
            <w:r w:rsidRPr="005C170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DC57DBD" w14:textId="77777777" w:rsidR="006848E6" w:rsidRPr="005C170B" w:rsidRDefault="006848E6" w:rsidP="00DC3EEC">
            <w:pPr>
              <w:contextualSpacing/>
              <w:rPr>
                <w:rFonts w:ascii="Verdana" w:eastAsia="Arial" w:hAnsi="Verdana" w:cs="Arial"/>
                <w:sz w:val="16"/>
                <w:szCs w:val="16"/>
              </w:rPr>
            </w:pPr>
            <w:r w:rsidRPr="005C170B">
              <w:rPr>
                <w:rFonts w:ascii="Verdana" w:eastAsia="Arial" w:hAnsi="Verdana" w:cs="Arial"/>
                <w:sz w:val="16"/>
                <w:szCs w:val="16"/>
              </w:rPr>
              <w:t>Andrea Camila Polo Paz</w:t>
            </w:r>
          </w:p>
          <w:p w14:paraId="0C7594D4" w14:textId="77777777" w:rsidR="006848E6" w:rsidRPr="005C170B" w:rsidRDefault="006848E6" w:rsidP="00DC3EEC">
            <w:pPr>
              <w:contextualSpacing/>
              <w:rPr>
                <w:rFonts w:ascii="Verdana" w:eastAsia="Arial" w:hAnsi="Verdana" w:cs="Arial"/>
                <w:sz w:val="16"/>
                <w:szCs w:val="16"/>
              </w:rPr>
            </w:pPr>
            <w:r w:rsidRPr="005C170B">
              <w:rPr>
                <w:rStyle w:val="normaltextrun"/>
                <w:rFonts w:ascii="Verdana" w:eastAsia="Arial" w:hAnsi="Verdana" w:cs="Arial"/>
                <w:sz w:val="16"/>
                <w:szCs w:val="16"/>
              </w:rPr>
              <w:t>Analista T02-1 de la Subdirección de Gestión Contractual</w:t>
            </w:r>
          </w:p>
        </w:tc>
      </w:tr>
      <w:tr w:rsidR="006848E6" w:rsidRPr="005C170B" w14:paraId="51690259" w14:textId="77777777" w:rsidTr="00DC3EEC">
        <w:trPr>
          <w:trHeight w:val="330"/>
        </w:trPr>
        <w:tc>
          <w:tcPr>
            <w:tcW w:w="893" w:type="dxa"/>
            <w:vAlign w:val="center"/>
            <w:hideMark/>
          </w:tcPr>
          <w:p w14:paraId="178CB55C" w14:textId="77777777" w:rsidR="006848E6" w:rsidRPr="005C170B" w:rsidRDefault="006848E6" w:rsidP="00DC3EEC">
            <w:pPr>
              <w:contextualSpacing/>
              <w:rPr>
                <w:rFonts w:ascii="Verdana" w:hAnsi="Verdana" w:cs="Arial"/>
                <w:sz w:val="16"/>
                <w:szCs w:val="16"/>
                <w:lang w:val="es-ES" w:eastAsia="es-ES"/>
              </w:rPr>
            </w:pPr>
            <w:r w:rsidRPr="005C170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C165547" w14:textId="26F665D0" w:rsidR="006848E6" w:rsidRPr="005C170B" w:rsidRDefault="006848E6" w:rsidP="00DC3EEC">
            <w:pPr>
              <w:pStyle w:val="paragraph"/>
              <w:spacing w:before="0" w:beforeAutospacing="0" w:after="0" w:afterAutospacing="0"/>
              <w:contextualSpacing/>
              <w:textAlignment w:val="baseline"/>
              <w:rPr>
                <w:rStyle w:val="normaltextrun"/>
                <w:rFonts w:ascii="Verdana" w:hAnsi="Verdana" w:cs="Arial"/>
                <w:sz w:val="16"/>
                <w:szCs w:val="16"/>
                <w:lang w:val="es-ES"/>
              </w:rPr>
            </w:pPr>
            <w:r w:rsidRPr="005C170B">
              <w:rPr>
                <w:rStyle w:val="normaltextrun"/>
                <w:rFonts w:ascii="Verdana" w:hAnsi="Verdana" w:cs="Arial"/>
                <w:sz w:val="16"/>
                <w:szCs w:val="16"/>
                <w:lang w:val="es-ES"/>
              </w:rPr>
              <w:t>Diana Lucía Saavedra</w:t>
            </w:r>
            <w:r w:rsidR="00C30AEB">
              <w:rPr>
                <w:rStyle w:val="normaltextrun"/>
                <w:rFonts w:ascii="Verdana" w:hAnsi="Verdana" w:cs="Arial"/>
                <w:sz w:val="16"/>
                <w:szCs w:val="16"/>
                <w:lang w:val="es-ES"/>
              </w:rPr>
              <w:t xml:space="preserve"> </w:t>
            </w:r>
            <w:r w:rsidR="00C30AEB" w:rsidRPr="00A60E61">
              <w:rPr>
                <w:rStyle w:val="normaltextrun"/>
                <w:rFonts w:ascii="Verdana" w:hAnsi="Verdana" w:cs="Arial"/>
                <w:sz w:val="16"/>
                <w:szCs w:val="16"/>
                <w:lang w:val="es-ES"/>
              </w:rPr>
              <w:t>Castañeda</w:t>
            </w:r>
          </w:p>
          <w:p w14:paraId="4FD249E0" w14:textId="77777777" w:rsidR="006848E6" w:rsidRPr="005C170B" w:rsidRDefault="006848E6" w:rsidP="00DC3EEC">
            <w:pPr>
              <w:pStyle w:val="paragraph"/>
              <w:spacing w:before="0" w:beforeAutospacing="0" w:after="0" w:afterAutospacing="0"/>
              <w:contextualSpacing/>
              <w:textAlignment w:val="baseline"/>
              <w:rPr>
                <w:rFonts w:ascii="Verdana" w:hAnsi="Verdana" w:cs="Arial"/>
                <w:sz w:val="16"/>
                <w:szCs w:val="16"/>
                <w:lang w:val="es-ES"/>
              </w:rPr>
            </w:pPr>
            <w:r w:rsidRPr="005C170B">
              <w:rPr>
                <w:rStyle w:val="normaltextrun"/>
                <w:rFonts w:ascii="Verdana" w:hAnsi="Verdana" w:cs="Arial"/>
                <w:sz w:val="16"/>
                <w:szCs w:val="16"/>
                <w:lang w:val="es-ES"/>
              </w:rPr>
              <w:t>Contratista de la Subdirección de Gestión Contractual</w:t>
            </w:r>
            <w:r w:rsidRPr="005C170B">
              <w:rPr>
                <w:rStyle w:val="eop"/>
                <w:rFonts w:ascii="Verdana" w:hAnsi="Verdana" w:cs="Arial"/>
                <w:sz w:val="16"/>
                <w:szCs w:val="16"/>
              </w:rPr>
              <w:t> </w:t>
            </w:r>
          </w:p>
        </w:tc>
      </w:tr>
      <w:tr w:rsidR="006848E6" w:rsidRPr="005C170B" w14:paraId="5E1223E5" w14:textId="77777777" w:rsidTr="00DC3EEC">
        <w:trPr>
          <w:trHeight w:val="300"/>
        </w:trPr>
        <w:tc>
          <w:tcPr>
            <w:tcW w:w="893" w:type="dxa"/>
            <w:vAlign w:val="center"/>
          </w:tcPr>
          <w:p w14:paraId="448BE05B" w14:textId="77777777" w:rsidR="006848E6" w:rsidRPr="005C170B" w:rsidRDefault="006848E6" w:rsidP="00DC3EEC">
            <w:pPr>
              <w:contextualSpacing/>
              <w:rPr>
                <w:rFonts w:ascii="Verdana" w:hAnsi="Verdana" w:cs="Arial"/>
                <w:sz w:val="16"/>
                <w:szCs w:val="16"/>
                <w:lang w:val="es-ES" w:eastAsia="es-ES"/>
              </w:rPr>
            </w:pPr>
            <w:r w:rsidRPr="005C170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52ADC99" w14:textId="77777777" w:rsidR="006848E6" w:rsidRPr="005C170B" w:rsidRDefault="006848E6" w:rsidP="00DC3EEC">
            <w:pPr>
              <w:contextualSpacing/>
              <w:rPr>
                <w:rFonts w:ascii="Verdana" w:eastAsia="Calibri" w:hAnsi="Verdana" w:cs="Arial"/>
                <w:sz w:val="16"/>
                <w:szCs w:val="16"/>
                <w:lang w:val="pt-BR" w:eastAsia="es-ES"/>
              </w:rPr>
            </w:pPr>
            <w:r w:rsidRPr="005C170B">
              <w:rPr>
                <w:rFonts w:ascii="Verdana" w:eastAsia="Calibri" w:hAnsi="Verdana" w:cs="Arial"/>
                <w:sz w:val="16"/>
                <w:szCs w:val="16"/>
                <w:lang w:val="pt-BR" w:eastAsia="es-ES"/>
              </w:rPr>
              <w:t xml:space="preserve">Carolina Quintero </w:t>
            </w:r>
            <w:proofErr w:type="spellStart"/>
            <w:r w:rsidRPr="005C170B">
              <w:rPr>
                <w:rFonts w:ascii="Verdana" w:eastAsia="Calibri" w:hAnsi="Verdana" w:cs="Arial"/>
                <w:sz w:val="16"/>
                <w:szCs w:val="16"/>
                <w:lang w:val="pt-BR" w:eastAsia="es-ES"/>
              </w:rPr>
              <w:t>Gacharná</w:t>
            </w:r>
            <w:proofErr w:type="spellEnd"/>
          </w:p>
          <w:p w14:paraId="185DB5BF" w14:textId="77777777" w:rsidR="006848E6" w:rsidRPr="005C170B" w:rsidRDefault="006848E6" w:rsidP="00DC3EEC">
            <w:pPr>
              <w:contextualSpacing/>
              <w:rPr>
                <w:rFonts w:ascii="Verdana" w:eastAsia="Calibri" w:hAnsi="Verdana" w:cs="Arial"/>
                <w:sz w:val="16"/>
                <w:szCs w:val="16"/>
                <w:lang w:val="pt-BR" w:eastAsia="es-ES"/>
              </w:rPr>
            </w:pPr>
            <w:r w:rsidRPr="005C170B">
              <w:rPr>
                <w:rFonts w:ascii="Verdana" w:eastAsia="Calibri" w:hAnsi="Verdana" w:cs="Arial"/>
                <w:sz w:val="16"/>
                <w:szCs w:val="16"/>
                <w:lang w:eastAsia="es-ES"/>
              </w:rPr>
              <w:t>Subdirectora</w:t>
            </w:r>
            <w:r w:rsidRPr="005C170B">
              <w:rPr>
                <w:rFonts w:ascii="Verdana" w:eastAsia="Calibri" w:hAnsi="Verdana" w:cs="Arial"/>
                <w:sz w:val="16"/>
                <w:szCs w:val="16"/>
                <w:lang w:val="pt-BR" w:eastAsia="es-ES"/>
              </w:rPr>
              <w:t xml:space="preserve"> de Gestión Contractual ANCP – CCE</w:t>
            </w:r>
          </w:p>
        </w:tc>
      </w:tr>
    </w:tbl>
    <w:p w14:paraId="1006A388" w14:textId="77777777" w:rsidR="00C15139" w:rsidRDefault="00C15139" w:rsidP="30821638">
      <w:pPr>
        <w:spacing w:after="0" w:line="240" w:lineRule="auto"/>
        <w:jc w:val="both"/>
        <w:textAlignment w:val="baseline"/>
        <w:rPr>
          <w:rFonts w:ascii="Verdana" w:eastAsia="Verdana" w:hAnsi="Verdana" w:cs="Verdana"/>
          <w:lang w:eastAsia="es-CO"/>
        </w:rPr>
      </w:pPr>
    </w:p>
    <w:p w14:paraId="6FA88771" w14:textId="77777777" w:rsidR="005B7FEE" w:rsidRPr="000E2B93" w:rsidRDefault="005B7FEE" w:rsidP="30821638">
      <w:pPr>
        <w:spacing w:after="0" w:line="240" w:lineRule="auto"/>
        <w:jc w:val="both"/>
        <w:textAlignment w:val="baseline"/>
        <w:rPr>
          <w:rFonts w:ascii="Verdana" w:eastAsia="Verdana" w:hAnsi="Verdana" w:cs="Verdana"/>
          <w:lang w:eastAsia="es-CO"/>
        </w:rPr>
      </w:pPr>
    </w:p>
    <w:bookmarkEnd w:id="0"/>
    <w:p w14:paraId="0F293BF4" w14:textId="79206C18" w:rsidR="00127233" w:rsidRPr="0015699B" w:rsidRDefault="00127233" w:rsidP="005B7FEE">
      <w:pPr>
        <w:spacing w:after="0" w:line="240" w:lineRule="auto"/>
        <w:textAlignment w:val="baseline"/>
        <w:rPr>
          <w:rFonts w:ascii="Verdana" w:eastAsia="Verdana" w:hAnsi="Verdana" w:cs="Verdana"/>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861F5" w14:textId="77777777" w:rsidR="00DD400D" w:rsidRDefault="00DD400D" w:rsidP="004A1847">
      <w:pPr>
        <w:spacing w:after="0" w:line="240" w:lineRule="auto"/>
      </w:pPr>
      <w:r>
        <w:separator/>
      </w:r>
    </w:p>
  </w:endnote>
  <w:endnote w:type="continuationSeparator" w:id="0">
    <w:p w14:paraId="094D30D9" w14:textId="77777777" w:rsidR="00DD400D" w:rsidRDefault="00DD400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BCDHEE+Verdana">
    <w:altName w:val="Verdana"/>
    <w:charset w:val="00"/>
    <w:family w:val="swiss"/>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C3E56B" w14:textId="77777777" w:rsidR="00DD400D" w:rsidRDefault="00DD400D" w:rsidP="004A1847">
      <w:pPr>
        <w:spacing w:after="0" w:line="240" w:lineRule="auto"/>
      </w:pPr>
      <w:r>
        <w:separator/>
      </w:r>
    </w:p>
  </w:footnote>
  <w:footnote w:type="continuationSeparator" w:id="0">
    <w:p w14:paraId="56F514B9" w14:textId="77777777" w:rsidR="00DD400D" w:rsidRDefault="00DD400D" w:rsidP="004A1847">
      <w:pPr>
        <w:spacing w:after="0" w:line="240" w:lineRule="auto"/>
      </w:pPr>
      <w:r>
        <w:continuationSeparator/>
      </w:r>
    </w:p>
  </w:footnote>
  <w:footnote w:id="1">
    <w:p w14:paraId="48FE5262" w14:textId="77777777" w:rsidR="006848E6" w:rsidRPr="00281258" w:rsidRDefault="006848E6" w:rsidP="00B868B2">
      <w:pPr>
        <w:pStyle w:val="Textonotapie"/>
        <w:ind w:firstLine="709"/>
        <w:rPr>
          <w:rFonts w:ascii="Verdana" w:hAnsi="Verdana"/>
          <w:sz w:val="16"/>
          <w:szCs w:val="16"/>
        </w:rPr>
      </w:pPr>
      <w:r w:rsidRPr="00B868B2">
        <w:rPr>
          <w:rStyle w:val="Refdenotaalpie"/>
          <w:rFonts w:ascii="Verdana" w:hAnsi="Verdana"/>
          <w:sz w:val="16"/>
          <w:szCs w:val="16"/>
        </w:rPr>
        <w:footnoteRef/>
      </w:r>
      <w:r w:rsidRPr="00B868B2">
        <w:rPr>
          <w:rFonts w:ascii="Verdana" w:hAnsi="Verdana"/>
          <w:sz w:val="16"/>
          <w:szCs w:val="16"/>
        </w:rPr>
        <w:t xml:space="preserve"> </w:t>
      </w:r>
      <w:r w:rsidRPr="00281258">
        <w:rPr>
          <w:rFonts w:ascii="Verdana" w:hAnsi="Verdana"/>
          <w:sz w:val="16"/>
          <w:szCs w:val="16"/>
          <w:lang w:val="es-CO"/>
        </w:rPr>
        <w:t>Gaceta del Congreso de la República No. 71 del 2005.</w:t>
      </w:r>
    </w:p>
  </w:footnote>
  <w:footnote w:id="2">
    <w:p w14:paraId="5FAB59F5" w14:textId="77777777" w:rsidR="006848E6" w:rsidRPr="00281258" w:rsidRDefault="006848E6" w:rsidP="00B868B2">
      <w:pPr>
        <w:pStyle w:val="Textonotapie"/>
        <w:ind w:firstLine="709"/>
        <w:jc w:val="both"/>
        <w:rPr>
          <w:rFonts w:ascii="Verdana" w:hAnsi="Verdana"/>
          <w:sz w:val="16"/>
          <w:szCs w:val="16"/>
        </w:rPr>
      </w:pPr>
      <w:r w:rsidRPr="00281258">
        <w:rPr>
          <w:rStyle w:val="Refdenotaalpie"/>
          <w:rFonts w:ascii="Verdana" w:hAnsi="Verdana"/>
          <w:sz w:val="16"/>
          <w:szCs w:val="16"/>
        </w:rPr>
        <w:footnoteRef/>
      </w:r>
      <w:r w:rsidRPr="00281258">
        <w:rPr>
          <w:rFonts w:ascii="Verdana" w:hAnsi="Verdana"/>
          <w:sz w:val="16"/>
          <w:szCs w:val="16"/>
        </w:rPr>
        <w:t xml:space="preserve"> Corte Constitucional, Sentencia C- 1153 de 2005, M.P. Marco Gerardo Monroy Cabra.</w:t>
      </w:r>
    </w:p>
  </w:footnote>
  <w:footnote w:id="3">
    <w:p w14:paraId="4BA6FC79" w14:textId="77777777" w:rsidR="006848E6" w:rsidRPr="00281258" w:rsidRDefault="006848E6" w:rsidP="00B868B2">
      <w:pPr>
        <w:pStyle w:val="Textonotapie"/>
        <w:ind w:firstLine="709"/>
        <w:jc w:val="both"/>
        <w:rPr>
          <w:rFonts w:ascii="Verdana" w:hAnsi="Verdana"/>
          <w:sz w:val="16"/>
          <w:szCs w:val="16"/>
        </w:rPr>
      </w:pPr>
      <w:r w:rsidRPr="00281258">
        <w:rPr>
          <w:rStyle w:val="Refdenotaalpie"/>
          <w:rFonts w:ascii="Verdana" w:hAnsi="Verdana"/>
          <w:sz w:val="16"/>
          <w:szCs w:val="16"/>
        </w:rPr>
        <w:footnoteRef/>
      </w:r>
      <w:r w:rsidRPr="00281258">
        <w:rPr>
          <w:rFonts w:ascii="Verdana" w:hAnsi="Verdana"/>
          <w:sz w:val="16"/>
          <w:szCs w:val="16"/>
        </w:rPr>
        <w:t xml:space="preserve"> Corte Constitucional. Sentencias: C-233 de 4 de abril de 2002, expediente: D-3704; C-551 de 9 de julio de 2003, expediente: CRF-001 de 9 de julio de 2003; C-652 de 5 de agosto de 2003, expediente: D 4330; C-353 de 20 de mayo de 2009, expediente: D-7518, C-541 de 30 de junio de 2010, expediente:  </w:t>
      </w:r>
      <w:r w:rsidRPr="00281258">
        <w:rPr>
          <w:rFonts w:ascii="Verdana" w:hAnsi="Verdana"/>
          <w:sz w:val="16"/>
          <w:szCs w:val="16"/>
          <w:lang w:val="es-CO"/>
        </w:rPr>
        <w:t>DD7966; entre otras.</w:t>
      </w:r>
    </w:p>
  </w:footnote>
  <w:footnote w:id="4">
    <w:p w14:paraId="60307A15" w14:textId="77777777" w:rsidR="006848E6" w:rsidRPr="00281258" w:rsidRDefault="006848E6" w:rsidP="00B868B2">
      <w:pPr>
        <w:pStyle w:val="Textonotapie"/>
        <w:ind w:firstLine="709"/>
        <w:jc w:val="both"/>
        <w:rPr>
          <w:rFonts w:ascii="Verdana" w:hAnsi="Verdana"/>
          <w:sz w:val="16"/>
          <w:szCs w:val="16"/>
          <w:highlight w:val="magenta"/>
        </w:rPr>
      </w:pPr>
      <w:r w:rsidRPr="00281258">
        <w:rPr>
          <w:rStyle w:val="Refdenotaalpie"/>
          <w:rFonts w:ascii="Verdana" w:hAnsi="Verdana"/>
          <w:sz w:val="16"/>
          <w:szCs w:val="16"/>
        </w:rPr>
        <w:footnoteRef/>
      </w:r>
      <w:r w:rsidRPr="00281258">
        <w:rPr>
          <w:rFonts w:ascii="Verdana" w:hAnsi="Verdana"/>
          <w:sz w:val="16"/>
          <w:szCs w:val="16"/>
        </w:rPr>
        <w:t xml:space="preserve"> </w:t>
      </w:r>
      <w:r w:rsidRPr="00281258">
        <w:rPr>
          <w:rFonts w:ascii="Verdana" w:hAnsi="Verdana"/>
          <w:sz w:val="16"/>
          <w:szCs w:val="16"/>
          <w:lang w:val="es-CO"/>
        </w:rPr>
        <w:t>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5">
    <w:p w14:paraId="3EC86673" w14:textId="77777777" w:rsidR="006848E6" w:rsidRPr="00281258" w:rsidRDefault="006848E6" w:rsidP="00B868B2">
      <w:pPr>
        <w:pStyle w:val="Textonotapie"/>
        <w:ind w:firstLine="709"/>
        <w:jc w:val="both"/>
        <w:rPr>
          <w:rFonts w:ascii="Verdana" w:hAnsi="Verdana"/>
          <w:sz w:val="16"/>
          <w:szCs w:val="16"/>
        </w:rPr>
      </w:pPr>
      <w:r w:rsidRPr="00281258">
        <w:rPr>
          <w:rStyle w:val="Refdenotaalpie"/>
          <w:rFonts w:ascii="Verdana" w:hAnsi="Verdana"/>
          <w:sz w:val="16"/>
          <w:szCs w:val="16"/>
        </w:rPr>
        <w:footnoteRef/>
      </w:r>
      <w:r w:rsidRPr="00281258">
        <w:rPr>
          <w:rFonts w:ascii="Verdana" w:hAnsi="Verdana"/>
          <w:sz w:val="16"/>
          <w:szCs w:val="16"/>
        </w:rPr>
        <w:t xml:space="preserve"> </w:t>
      </w:r>
      <w:r w:rsidRPr="00281258">
        <w:rPr>
          <w:rFonts w:ascii="Verdana" w:hAnsi="Verdana"/>
          <w:sz w:val="16"/>
          <w:szCs w:val="16"/>
          <w:lang w:val="es-CO"/>
        </w:rPr>
        <w:t>Consejo de Estado, Sala de Consulta y Servicio Civil de fecha 24 de julio de 2013, radicado 2166, C. P. Álvaro Namén Vargas.</w:t>
      </w:r>
    </w:p>
  </w:footnote>
  <w:footnote w:id="6">
    <w:p w14:paraId="290F160E" w14:textId="77777777" w:rsidR="006848E6" w:rsidRPr="00281258" w:rsidRDefault="006848E6" w:rsidP="00B868B2">
      <w:pPr>
        <w:pStyle w:val="Textonotapie"/>
        <w:ind w:firstLine="709"/>
        <w:jc w:val="both"/>
        <w:rPr>
          <w:rFonts w:ascii="Verdana" w:hAnsi="Verdana"/>
          <w:sz w:val="16"/>
          <w:szCs w:val="16"/>
        </w:rPr>
      </w:pPr>
      <w:r w:rsidRPr="00281258">
        <w:rPr>
          <w:rStyle w:val="Refdenotaalpie"/>
          <w:rFonts w:ascii="Verdana" w:hAnsi="Verdana"/>
          <w:sz w:val="16"/>
          <w:szCs w:val="16"/>
        </w:rPr>
        <w:footnoteRef/>
      </w:r>
      <w:r w:rsidRPr="00281258">
        <w:rPr>
          <w:rFonts w:ascii="Verdana" w:hAnsi="Verdana"/>
          <w:sz w:val="16"/>
          <w:szCs w:val="16"/>
        </w:rPr>
        <w:t xml:space="preserve"> </w:t>
      </w:r>
      <w:r w:rsidRPr="00281258">
        <w:rPr>
          <w:rFonts w:ascii="Verdana" w:hAnsi="Verdana"/>
          <w:sz w:val="16"/>
          <w:szCs w:val="16"/>
          <w:lang w:val="es-CO"/>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footnote>
  <w:footnote w:id="7">
    <w:p w14:paraId="42CDED7A" w14:textId="77777777" w:rsidR="006848E6" w:rsidRPr="00B868B2" w:rsidRDefault="006848E6" w:rsidP="00B868B2">
      <w:pPr>
        <w:pStyle w:val="Textonotapie"/>
        <w:ind w:firstLine="709"/>
        <w:jc w:val="both"/>
        <w:rPr>
          <w:rFonts w:ascii="Verdana" w:hAnsi="Verdana"/>
          <w:sz w:val="16"/>
          <w:szCs w:val="16"/>
        </w:rPr>
      </w:pPr>
      <w:r w:rsidRPr="00281258">
        <w:rPr>
          <w:rStyle w:val="Refdenotaalpie"/>
          <w:rFonts w:ascii="Verdana" w:hAnsi="Verdana"/>
          <w:sz w:val="16"/>
          <w:szCs w:val="16"/>
        </w:rPr>
        <w:footnoteRef/>
      </w:r>
      <w:r w:rsidRPr="00281258">
        <w:rPr>
          <w:rFonts w:ascii="Verdana" w:hAnsi="Verdana"/>
          <w:sz w:val="16"/>
          <w:szCs w:val="16"/>
        </w:rPr>
        <w:t xml:space="preserve"> </w:t>
      </w:r>
      <w:r w:rsidRPr="00281258">
        <w:rPr>
          <w:rFonts w:ascii="Verdana" w:hAnsi="Verdana"/>
          <w:sz w:val="16"/>
          <w:szCs w:val="16"/>
          <w:lang w:val="es-CO"/>
        </w:rPr>
        <w:t>“Artículo 38. Prohibiciones para los servidores públicos. A los empleados del Estado les está prohibido: […] Parágrafo.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footnote>
  <w:footnote w:id="8">
    <w:p w14:paraId="711C4BB7" w14:textId="77777777" w:rsidR="006848E6" w:rsidRPr="00281258" w:rsidRDefault="006848E6" w:rsidP="00B868B2">
      <w:pPr>
        <w:pStyle w:val="Textonotapie"/>
        <w:ind w:firstLine="709"/>
        <w:jc w:val="both"/>
        <w:rPr>
          <w:rFonts w:ascii="Verdana" w:hAnsi="Verdana"/>
          <w:sz w:val="16"/>
          <w:szCs w:val="16"/>
        </w:rPr>
      </w:pPr>
      <w:r w:rsidRPr="00281258">
        <w:rPr>
          <w:rStyle w:val="Refdenotaalpie"/>
          <w:rFonts w:ascii="Verdana" w:hAnsi="Verdana"/>
          <w:sz w:val="16"/>
          <w:szCs w:val="16"/>
        </w:rPr>
        <w:footnoteRef/>
      </w:r>
      <w:r w:rsidRPr="00281258">
        <w:rPr>
          <w:rFonts w:ascii="Verdana" w:hAnsi="Verdana"/>
          <w:sz w:val="16"/>
          <w:szCs w:val="16"/>
        </w:rPr>
        <w:t xml:space="preserve"> </w:t>
      </w:r>
      <w:r w:rsidRPr="00281258">
        <w:rPr>
          <w:rFonts w:ascii="Verdana" w:hAnsi="Verdana"/>
          <w:sz w:val="16"/>
          <w:szCs w:val="16"/>
          <w:lang w:val="es-CO"/>
        </w:rPr>
        <w:t>Consejo de Estado. Sala de Consulta y Servicio Civil. Concepto del 17 de febrero de 2015. C.P. William Zambrano Cetina. Radicación No. 11001-03-06-000-2015-00164-00(2269).</w:t>
      </w:r>
    </w:p>
  </w:footnote>
  <w:footnote w:id="9">
    <w:p w14:paraId="6591A8FC" w14:textId="77777777" w:rsidR="006848E6" w:rsidRPr="00B868B2" w:rsidRDefault="006848E6" w:rsidP="00B868B2">
      <w:pPr>
        <w:pStyle w:val="Textonotapie"/>
        <w:ind w:firstLine="709"/>
        <w:jc w:val="both"/>
        <w:rPr>
          <w:rFonts w:ascii="Verdana" w:hAnsi="Verdana"/>
          <w:sz w:val="16"/>
          <w:szCs w:val="16"/>
        </w:rPr>
      </w:pPr>
      <w:r w:rsidRPr="00281258">
        <w:rPr>
          <w:rStyle w:val="Refdenotaalpie"/>
          <w:rFonts w:ascii="Verdana" w:hAnsi="Verdana"/>
          <w:sz w:val="16"/>
          <w:szCs w:val="16"/>
        </w:rPr>
        <w:footnoteRef/>
      </w:r>
      <w:r w:rsidRPr="00281258">
        <w:rPr>
          <w:rFonts w:ascii="Verdana" w:hAnsi="Verdana"/>
          <w:sz w:val="16"/>
          <w:szCs w:val="16"/>
        </w:rPr>
        <w:t xml:space="preserve"> </w:t>
      </w:r>
      <w:r w:rsidRPr="00281258">
        <w:rPr>
          <w:rFonts w:ascii="Verdana" w:hAnsi="Verdana"/>
          <w:sz w:val="16"/>
          <w:szCs w:val="16"/>
          <w:lang w:val="es-CO"/>
        </w:rPr>
        <w:t xml:space="preserve"> Consejo de Estado. Sección Tercera. Sentencia de 3 de diciembre de 2007. Radicados: 24.715, 25.206, 25.409, 24.524, 27.834, 25.410, 26.105, 28.244, 31.447 -acumulados-”.</w:t>
      </w:r>
    </w:p>
  </w:footnote>
  <w:footnote w:id="10">
    <w:p w14:paraId="200CAEFB" w14:textId="77777777" w:rsidR="006848E6" w:rsidRPr="00281258" w:rsidRDefault="006848E6" w:rsidP="00B868B2">
      <w:pPr>
        <w:pStyle w:val="Textonotapie"/>
        <w:ind w:firstLine="709"/>
        <w:jc w:val="both"/>
        <w:rPr>
          <w:rFonts w:ascii="Verdana" w:hAnsi="Verdana"/>
          <w:sz w:val="16"/>
          <w:szCs w:val="16"/>
        </w:rPr>
      </w:pPr>
      <w:r w:rsidRPr="00B868B2">
        <w:rPr>
          <w:rStyle w:val="Refdenotaalpie"/>
          <w:rFonts w:ascii="Verdana" w:hAnsi="Verdana"/>
          <w:sz w:val="16"/>
          <w:szCs w:val="16"/>
        </w:rPr>
        <w:footnoteRef/>
      </w:r>
      <w:r w:rsidRPr="00B868B2">
        <w:rPr>
          <w:rFonts w:ascii="Verdana" w:hAnsi="Verdana"/>
          <w:sz w:val="16"/>
          <w:szCs w:val="16"/>
        </w:rPr>
        <w:t xml:space="preserve"> </w:t>
      </w:r>
      <w:r w:rsidRPr="00281258">
        <w:rPr>
          <w:rFonts w:ascii="Verdana" w:hAnsi="Verdana"/>
          <w:sz w:val="16"/>
          <w:szCs w:val="16"/>
          <w:lang w:val="es-CO"/>
        </w:rPr>
        <w:t>Al respecto ver el concepto 1712 de 2 de febrero de 2006. Consejo de Estado Sala de Consulta y Servicio Civil.</w:t>
      </w:r>
    </w:p>
  </w:footnote>
  <w:footnote w:id="11">
    <w:p w14:paraId="21A18816" w14:textId="77777777" w:rsidR="006848E6" w:rsidRPr="00281258" w:rsidRDefault="006848E6" w:rsidP="00B868B2">
      <w:pPr>
        <w:pStyle w:val="Textonotapie"/>
        <w:ind w:firstLine="709"/>
        <w:jc w:val="both"/>
        <w:rPr>
          <w:rFonts w:ascii="Verdana" w:hAnsi="Verdana"/>
          <w:sz w:val="16"/>
          <w:szCs w:val="16"/>
        </w:rPr>
      </w:pPr>
      <w:r w:rsidRPr="00281258">
        <w:rPr>
          <w:rStyle w:val="Refdenotaalpie"/>
          <w:rFonts w:ascii="Verdana" w:hAnsi="Verdana"/>
          <w:sz w:val="16"/>
          <w:szCs w:val="16"/>
        </w:rPr>
        <w:footnoteRef/>
      </w:r>
      <w:r w:rsidRPr="00281258">
        <w:rPr>
          <w:rFonts w:ascii="Verdana" w:hAnsi="Verdana"/>
          <w:sz w:val="16"/>
          <w:szCs w:val="16"/>
        </w:rPr>
        <w:t xml:space="preserve"> </w:t>
      </w:r>
      <w:r w:rsidRPr="00281258">
        <w:rPr>
          <w:rFonts w:ascii="Verdana" w:hAnsi="Verdana"/>
          <w:sz w:val="16"/>
          <w:szCs w:val="16"/>
          <w:lang w:val="es-CO"/>
        </w:rPr>
        <w:t>Consejo de Estado. Sala de Consulta y Servicio Civil. Concepto del 2 de septiembre de 2013. Radicación número: 11001-03-06-000-2013-00412-00 (2168). Consejero Ponente: Álvaro Namén Vargas.</w:t>
      </w:r>
    </w:p>
  </w:footnote>
  <w:footnote w:id="12">
    <w:p w14:paraId="4CEE709C" w14:textId="77777777" w:rsidR="006848E6" w:rsidRPr="00281258" w:rsidRDefault="006848E6" w:rsidP="00B868B2">
      <w:pPr>
        <w:pStyle w:val="Textonotapie"/>
        <w:ind w:firstLine="709"/>
        <w:jc w:val="both"/>
        <w:rPr>
          <w:rFonts w:ascii="Verdana" w:hAnsi="Verdana"/>
          <w:sz w:val="16"/>
          <w:szCs w:val="16"/>
        </w:rPr>
      </w:pPr>
      <w:r w:rsidRPr="00281258">
        <w:rPr>
          <w:rStyle w:val="Refdenotaalpie"/>
          <w:rFonts w:ascii="Verdana" w:hAnsi="Verdana"/>
          <w:sz w:val="16"/>
          <w:szCs w:val="16"/>
        </w:rPr>
        <w:footnoteRef/>
      </w:r>
      <w:r w:rsidRPr="00281258">
        <w:rPr>
          <w:rFonts w:ascii="Verdana" w:hAnsi="Verdana"/>
          <w:sz w:val="16"/>
          <w:szCs w:val="16"/>
        </w:rPr>
        <w:t xml:space="preserve"> Artículo 2.</w:t>
      </w:r>
    </w:p>
  </w:footnote>
  <w:footnote w:id="13">
    <w:p w14:paraId="7262E87C" w14:textId="77777777" w:rsidR="006848E6" w:rsidRPr="00281258" w:rsidRDefault="006848E6" w:rsidP="00B868B2">
      <w:pPr>
        <w:pStyle w:val="Textonotapie"/>
        <w:ind w:firstLine="709"/>
        <w:jc w:val="both"/>
        <w:rPr>
          <w:rFonts w:ascii="Verdana" w:hAnsi="Verdana"/>
          <w:sz w:val="16"/>
          <w:szCs w:val="16"/>
        </w:rPr>
      </w:pPr>
      <w:r w:rsidRPr="00281258">
        <w:rPr>
          <w:rStyle w:val="Refdenotaalpie"/>
          <w:rFonts w:ascii="Verdana" w:hAnsi="Verdana"/>
          <w:sz w:val="16"/>
          <w:szCs w:val="16"/>
        </w:rPr>
        <w:footnoteRef/>
      </w:r>
      <w:r w:rsidRPr="00281258">
        <w:rPr>
          <w:rFonts w:ascii="Verdana" w:hAnsi="Verdana"/>
          <w:sz w:val="16"/>
          <w:szCs w:val="16"/>
        </w:rPr>
        <w:t xml:space="preserve"> Ibidem. </w:t>
      </w:r>
    </w:p>
  </w:footnote>
  <w:footnote w:id="14">
    <w:p w14:paraId="577DD8C1" w14:textId="77777777" w:rsidR="006848E6" w:rsidRPr="00B868B2" w:rsidRDefault="006848E6" w:rsidP="00B868B2">
      <w:pPr>
        <w:pStyle w:val="Textonotapie"/>
        <w:ind w:firstLine="709"/>
        <w:jc w:val="both"/>
        <w:rPr>
          <w:rFonts w:ascii="Verdana" w:hAnsi="Verdana"/>
          <w:sz w:val="16"/>
          <w:szCs w:val="16"/>
        </w:rPr>
      </w:pPr>
      <w:r w:rsidRPr="00281258">
        <w:rPr>
          <w:rStyle w:val="Refdenotaalpie"/>
          <w:rFonts w:ascii="Verdana" w:hAnsi="Verdana"/>
          <w:sz w:val="16"/>
          <w:szCs w:val="16"/>
        </w:rPr>
        <w:footnoteRef/>
      </w:r>
      <w:r w:rsidRPr="00281258">
        <w:rPr>
          <w:rFonts w:ascii="Verdana" w:hAnsi="Verdana"/>
          <w:sz w:val="16"/>
          <w:szCs w:val="16"/>
        </w:rPr>
        <w:t xml:space="preserve"> </w:t>
      </w:r>
      <w:r w:rsidRPr="00281258">
        <w:rPr>
          <w:rFonts w:ascii="Verdana" w:hAnsi="Verdana"/>
          <w:sz w:val="16"/>
          <w:szCs w:val="16"/>
          <w:lang w:val="es-CO"/>
        </w:rPr>
        <w:t xml:space="preserve">Consejo de Estado. Sala de Consulta y Servicio Civil. Concepto del 08 de mayo de 2018. Exp. 2.382. C.P. Álvaro Namén Vargas. </w:t>
      </w:r>
    </w:p>
  </w:footnote>
  <w:footnote w:id="15">
    <w:p w14:paraId="11F139C2" w14:textId="77777777" w:rsidR="006848E6" w:rsidRPr="00281258" w:rsidRDefault="006848E6" w:rsidP="00B868B2">
      <w:pPr>
        <w:pStyle w:val="Textonotapie"/>
        <w:ind w:firstLine="709"/>
        <w:rPr>
          <w:rFonts w:ascii="Verdana" w:hAnsi="Verdana"/>
          <w:sz w:val="16"/>
          <w:szCs w:val="16"/>
        </w:rPr>
      </w:pPr>
      <w:r w:rsidRPr="00B868B2">
        <w:rPr>
          <w:rStyle w:val="Refdenotaalpie"/>
          <w:rFonts w:ascii="Verdana" w:hAnsi="Verdana"/>
          <w:sz w:val="16"/>
          <w:szCs w:val="16"/>
        </w:rPr>
        <w:footnoteRef/>
      </w:r>
      <w:r w:rsidRPr="00B868B2">
        <w:rPr>
          <w:rFonts w:ascii="Verdana" w:hAnsi="Verdana"/>
          <w:sz w:val="16"/>
          <w:szCs w:val="16"/>
        </w:rPr>
        <w:t xml:space="preserve"> </w:t>
      </w:r>
      <w:r w:rsidRPr="00281258">
        <w:rPr>
          <w:rFonts w:ascii="Verdana" w:hAnsi="Verdana"/>
          <w:sz w:val="16"/>
          <w:szCs w:val="16"/>
          <w:lang w:val="es-CO"/>
        </w:rPr>
        <w:t>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6">
    <w:p w14:paraId="6E41928D" w14:textId="77777777" w:rsidR="006848E6" w:rsidRPr="00281258" w:rsidRDefault="006848E6" w:rsidP="00B868B2">
      <w:pPr>
        <w:pStyle w:val="NormalWeb"/>
        <w:spacing w:before="0" w:beforeAutospacing="0" w:after="0" w:afterAutospacing="0"/>
        <w:ind w:firstLine="709"/>
        <w:jc w:val="both"/>
        <w:rPr>
          <w:rFonts w:ascii="Verdana" w:hAnsi="Verdana" w:cs="Open Sans"/>
          <w:sz w:val="16"/>
          <w:szCs w:val="16"/>
        </w:rPr>
      </w:pPr>
      <w:r w:rsidRPr="00281258">
        <w:rPr>
          <w:rStyle w:val="Refdenotaalpie"/>
          <w:rFonts w:ascii="Verdana" w:eastAsiaTheme="majorEastAsia" w:hAnsi="Verdana"/>
          <w:sz w:val="16"/>
          <w:szCs w:val="16"/>
        </w:rPr>
        <w:footnoteRef/>
      </w:r>
      <w:r w:rsidRPr="00281258">
        <w:rPr>
          <w:rFonts w:ascii="Verdana" w:hAnsi="Verdana"/>
          <w:sz w:val="16"/>
          <w:szCs w:val="16"/>
        </w:rPr>
        <w:t xml:space="preserve"> </w:t>
      </w:r>
      <w:bookmarkStart w:id="2" w:name="57"/>
      <w:r w:rsidRPr="00281258">
        <w:rPr>
          <w:rFonts w:ascii="Verdana" w:hAnsi="Verdana"/>
          <w:sz w:val="16"/>
          <w:szCs w:val="16"/>
        </w:rPr>
        <w:t xml:space="preserve">ARTÍCULO 57. </w:t>
      </w:r>
      <w:bookmarkEnd w:id="2"/>
      <w:r w:rsidRPr="00281258">
        <w:rPr>
          <w:rFonts w:ascii="Verdana" w:hAnsi="Verdana" w:cs="Open Sans"/>
          <w:sz w:val="16"/>
          <w:szCs w:val="16"/>
        </w:rPr>
        <w:t>Las universidades estatales u oficiales deben organizarse como entes universitarios autónomos, con régimen especial y vinculados al Ministerio de Educación Nacional en lo que se refiere a las políticas y la planeación del sector educativo.</w:t>
      </w:r>
    </w:p>
    <w:p w14:paraId="64A02B93" w14:textId="77777777" w:rsidR="006848E6" w:rsidRPr="00281258" w:rsidRDefault="006848E6" w:rsidP="00B868B2">
      <w:pPr>
        <w:pStyle w:val="NormalWeb"/>
        <w:spacing w:before="0" w:beforeAutospacing="0" w:after="0" w:afterAutospacing="0"/>
        <w:ind w:firstLine="709"/>
        <w:jc w:val="both"/>
        <w:rPr>
          <w:rFonts w:ascii="Verdana" w:hAnsi="Verdana" w:cs="Open Sans"/>
          <w:sz w:val="16"/>
          <w:szCs w:val="16"/>
        </w:rPr>
      </w:pPr>
      <w:r w:rsidRPr="00281258">
        <w:rPr>
          <w:rFonts w:ascii="Verdana" w:hAnsi="Verdana" w:cs="Open Sans"/>
          <w:sz w:val="16"/>
          <w:szCs w:val="16"/>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6FB48615" w14:textId="77777777" w:rsidR="006848E6" w:rsidRPr="00281258" w:rsidRDefault="006848E6" w:rsidP="00B868B2">
      <w:pPr>
        <w:pStyle w:val="NormalWeb"/>
        <w:spacing w:before="0" w:beforeAutospacing="0" w:after="0" w:afterAutospacing="0"/>
        <w:ind w:firstLine="709"/>
        <w:jc w:val="both"/>
        <w:rPr>
          <w:rFonts w:ascii="Verdana" w:hAnsi="Verdana" w:cs="Open Sans"/>
          <w:sz w:val="16"/>
          <w:szCs w:val="16"/>
        </w:rPr>
      </w:pPr>
      <w:r w:rsidRPr="00281258">
        <w:rPr>
          <w:rFonts w:ascii="Verdana" w:hAnsi="Verdana" w:cs="Open Sans"/>
          <w:sz w:val="16"/>
          <w:szCs w:val="16"/>
        </w:rPr>
        <w:t>&lt;Inciso modificado por el artículo  </w:t>
      </w:r>
      <w:hyperlink r:id="rId1" w:anchor="1" w:history="1">
        <w:r w:rsidRPr="00281258">
          <w:rPr>
            <w:rStyle w:val="Hipervnculo"/>
            <w:rFonts w:ascii="Verdana" w:hAnsi="Verdana" w:cs="Open Sans"/>
            <w:color w:val="auto"/>
            <w:sz w:val="16"/>
            <w:szCs w:val="16"/>
            <w:u w:val="none"/>
          </w:rPr>
          <w:t>1</w:t>
        </w:r>
      </w:hyperlink>
      <w:r w:rsidRPr="00281258">
        <w:rPr>
          <w:rFonts w:ascii="Verdana" w:hAnsi="Verdana" w:cs="Open Sans"/>
          <w:sz w:val="16"/>
          <w:szCs w:val="16"/>
        </w:rPr>
        <w:t> de la ley 647 de 2001. El nuevo texto es el siguiente:&gt; 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 […]</w:t>
      </w:r>
    </w:p>
    <w:p w14:paraId="7B88D21B" w14:textId="77777777" w:rsidR="006848E6" w:rsidRPr="00281258" w:rsidRDefault="006848E6" w:rsidP="00B868B2">
      <w:pPr>
        <w:pStyle w:val="Textonotapie"/>
        <w:ind w:firstLine="709"/>
        <w:rPr>
          <w:rFonts w:ascii="Verdana" w:hAnsi="Verdana"/>
          <w:sz w:val="16"/>
          <w:szCs w:val="16"/>
          <w:lang w:val="es-ES"/>
        </w:rPr>
      </w:pPr>
    </w:p>
  </w:footnote>
  <w:footnote w:id="17">
    <w:p w14:paraId="4AF14706" w14:textId="77777777" w:rsidR="006848E6" w:rsidRPr="00281258" w:rsidRDefault="006848E6" w:rsidP="00B868B2">
      <w:pPr>
        <w:pStyle w:val="Textonotapie"/>
        <w:ind w:firstLine="709"/>
        <w:jc w:val="both"/>
        <w:rPr>
          <w:rFonts w:ascii="Verdana" w:hAnsi="Verdana"/>
          <w:sz w:val="16"/>
          <w:szCs w:val="16"/>
          <w:lang w:val="es-ES"/>
        </w:rPr>
      </w:pPr>
      <w:r w:rsidRPr="00281258">
        <w:rPr>
          <w:rStyle w:val="Refdenotaalpie"/>
          <w:rFonts w:ascii="Verdana" w:hAnsi="Verdana"/>
          <w:sz w:val="16"/>
          <w:szCs w:val="16"/>
        </w:rPr>
        <w:footnoteRef/>
      </w:r>
      <w:r w:rsidRPr="00281258">
        <w:rPr>
          <w:rFonts w:ascii="Verdana" w:hAnsi="Verdana"/>
          <w:sz w:val="16"/>
          <w:szCs w:val="16"/>
        </w:rPr>
        <w:t xml:space="preserve"> </w:t>
      </w:r>
      <w:r w:rsidRPr="00281258">
        <w:rPr>
          <w:rFonts w:ascii="Verdana" w:hAnsi="Verdana"/>
          <w:sz w:val="16"/>
          <w:szCs w:val="16"/>
          <w:lang w:val="es-ES"/>
        </w:rPr>
        <w:t xml:space="preserve">ARTÍCULO 93. </w:t>
      </w:r>
      <w:r w:rsidRPr="00281258">
        <w:rPr>
          <w:rFonts w:ascii="Verdana" w:hAnsi="Verdana" w:cs="Open Sans"/>
          <w:sz w:val="16"/>
          <w:szCs w:val="16"/>
        </w:rPr>
        <w:t>Salvo las excepciones consagradas en la presente ley, los contratos que para el cumplimiento de sus funciones celebren las universidades estatales u oficiales, se regirán por las normas del derecho privado y sus efectos estarán sujetos a las normas civiles y comerciales, según la naturaleza de los contratos. […]</w:t>
      </w:r>
    </w:p>
  </w:footnote>
  <w:footnote w:id="18">
    <w:p w14:paraId="253E9CB4" w14:textId="77777777" w:rsidR="006848E6" w:rsidRPr="00281258" w:rsidRDefault="006848E6" w:rsidP="00B868B2">
      <w:pPr>
        <w:pStyle w:val="Textonotapie"/>
        <w:ind w:firstLine="709"/>
        <w:jc w:val="both"/>
        <w:rPr>
          <w:rFonts w:ascii="Verdana" w:hAnsi="Verdana"/>
          <w:sz w:val="16"/>
          <w:szCs w:val="16"/>
        </w:rPr>
      </w:pPr>
    </w:p>
    <w:p w14:paraId="6E0E71F7" w14:textId="77777777" w:rsidR="006848E6" w:rsidRPr="00281258" w:rsidRDefault="006848E6" w:rsidP="00B868B2">
      <w:pPr>
        <w:pStyle w:val="Textonotapie"/>
        <w:ind w:firstLine="709"/>
        <w:jc w:val="both"/>
        <w:rPr>
          <w:rFonts w:ascii="Verdana" w:hAnsi="Verdana"/>
          <w:sz w:val="16"/>
          <w:szCs w:val="16"/>
        </w:rPr>
      </w:pPr>
      <w:r w:rsidRPr="00281258">
        <w:rPr>
          <w:rStyle w:val="Refdenotaalpie"/>
          <w:rFonts w:ascii="Verdana" w:hAnsi="Verdana"/>
          <w:sz w:val="16"/>
          <w:szCs w:val="16"/>
        </w:rPr>
        <w:footnoteRef/>
      </w:r>
      <w:r w:rsidRPr="00281258">
        <w:rPr>
          <w:rFonts w:ascii="Verdana" w:hAnsi="Verdana"/>
          <w:sz w:val="16"/>
          <w:szCs w:val="16"/>
        </w:rPr>
        <w:t xml:space="preserve"> ARTICULO 40. ENTIDADES Y ORGANISMOS ESTATALES SUJETOS A REGIMEN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p>
    <w:p w14:paraId="3B3702FF" w14:textId="77777777" w:rsidR="006848E6" w:rsidRPr="00281258" w:rsidRDefault="006848E6" w:rsidP="00B868B2">
      <w:pPr>
        <w:pStyle w:val="Textonotapie"/>
        <w:ind w:firstLine="709"/>
        <w:jc w:val="both"/>
        <w:rPr>
          <w:rFonts w:ascii="Verdana" w:hAnsi="Verdana"/>
          <w:sz w:val="16"/>
          <w:szCs w:val="16"/>
          <w:lang w:val="es-ES"/>
        </w:rPr>
      </w:pPr>
    </w:p>
  </w:footnote>
  <w:footnote w:id="19">
    <w:p w14:paraId="487ACAA0" w14:textId="77777777" w:rsidR="006848E6" w:rsidRPr="00281258" w:rsidRDefault="006848E6" w:rsidP="00B868B2">
      <w:pPr>
        <w:pStyle w:val="Textonotapie"/>
        <w:ind w:firstLine="709"/>
        <w:rPr>
          <w:rFonts w:ascii="Verdana" w:hAnsi="Verdana"/>
          <w:sz w:val="16"/>
          <w:szCs w:val="16"/>
        </w:rPr>
      </w:pPr>
      <w:r w:rsidRPr="00281258">
        <w:rPr>
          <w:rStyle w:val="Refdenotaalpie"/>
          <w:rFonts w:ascii="Verdana" w:hAnsi="Verdana"/>
          <w:sz w:val="16"/>
          <w:szCs w:val="16"/>
        </w:rPr>
        <w:footnoteRef/>
      </w:r>
      <w:r w:rsidRPr="00281258">
        <w:rPr>
          <w:rFonts w:ascii="Verdana" w:hAnsi="Verdana"/>
          <w:sz w:val="16"/>
          <w:szCs w:val="16"/>
        </w:rPr>
        <w:t xml:space="preserve"> Consejo de Estado. Sección Cuarta. Sentencia del 16 de diciembre de 2008. Exp. 16.297. C.P. Martha Teresa Briceño de Valencia. </w:t>
      </w:r>
    </w:p>
    <w:p w14:paraId="29BC3BBC" w14:textId="77777777" w:rsidR="006848E6" w:rsidRPr="00281258" w:rsidRDefault="006848E6" w:rsidP="00B868B2">
      <w:pPr>
        <w:pStyle w:val="Textonotapie"/>
        <w:ind w:firstLine="709"/>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75pt;height:13.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7165"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28946649">
    <w:abstractNumId w:val="6"/>
  </w:num>
  <w:num w:numId="2" w16cid:durableId="1123697728">
    <w:abstractNumId w:val="2"/>
  </w:num>
  <w:num w:numId="3" w16cid:durableId="1283729738">
    <w:abstractNumId w:val="4"/>
  </w:num>
  <w:num w:numId="4" w16cid:durableId="111911124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624359">
    <w:abstractNumId w:val="2"/>
  </w:num>
  <w:num w:numId="6" w16cid:durableId="1205948946">
    <w:abstractNumId w:val="13"/>
  </w:num>
  <w:num w:numId="7" w16cid:durableId="785659740">
    <w:abstractNumId w:val="5"/>
  </w:num>
  <w:num w:numId="8" w16cid:durableId="316418855">
    <w:abstractNumId w:val="12"/>
  </w:num>
  <w:num w:numId="9" w16cid:durableId="1076322289">
    <w:abstractNumId w:val="7"/>
  </w:num>
  <w:num w:numId="10" w16cid:durableId="2067335166">
    <w:abstractNumId w:val="11"/>
  </w:num>
  <w:num w:numId="11" w16cid:durableId="54276485">
    <w:abstractNumId w:val="8"/>
  </w:num>
  <w:num w:numId="12" w16cid:durableId="382295436">
    <w:abstractNumId w:val="1"/>
  </w:num>
  <w:num w:numId="13" w16cid:durableId="1113129566">
    <w:abstractNumId w:val="3"/>
  </w:num>
  <w:num w:numId="14" w16cid:durableId="207882762">
    <w:abstractNumId w:val="14"/>
  </w:num>
  <w:num w:numId="15" w16cid:durableId="2065332859">
    <w:abstractNumId w:val="10"/>
  </w:num>
  <w:num w:numId="16" w16cid:durableId="1615021029">
    <w:abstractNumId w:val="0"/>
  </w:num>
  <w:num w:numId="17" w16cid:durableId="148006960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4CA1"/>
    <w:rsid w:val="00061B2A"/>
    <w:rsid w:val="00061F09"/>
    <w:rsid w:val="00082362"/>
    <w:rsid w:val="000A683E"/>
    <w:rsid w:val="000B19B9"/>
    <w:rsid w:val="000D0334"/>
    <w:rsid w:val="000D5DA7"/>
    <w:rsid w:val="000F6486"/>
    <w:rsid w:val="00116940"/>
    <w:rsid w:val="00125105"/>
    <w:rsid w:val="00127233"/>
    <w:rsid w:val="0015699B"/>
    <w:rsid w:val="001720E2"/>
    <w:rsid w:val="001A33BF"/>
    <w:rsid w:val="001A48BD"/>
    <w:rsid w:val="001E4177"/>
    <w:rsid w:val="001F0B24"/>
    <w:rsid w:val="001F7DC6"/>
    <w:rsid w:val="0020031E"/>
    <w:rsid w:val="0022400B"/>
    <w:rsid w:val="002421BB"/>
    <w:rsid w:val="0025796E"/>
    <w:rsid w:val="002707A2"/>
    <w:rsid w:val="00281258"/>
    <w:rsid w:val="002951A0"/>
    <w:rsid w:val="002962BC"/>
    <w:rsid w:val="002A093D"/>
    <w:rsid w:val="002A0DD0"/>
    <w:rsid w:val="002A49AC"/>
    <w:rsid w:val="002A64FD"/>
    <w:rsid w:val="002B116F"/>
    <w:rsid w:val="002C7A84"/>
    <w:rsid w:val="002E2BF8"/>
    <w:rsid w:val="002E4FD9"/>
    <w:rsid w:val="002F1E2E"/>
    <w:rsid w:val="0030657A"/>
    <w:rsid w:val="00322A85"/>
    <w:rsid w:val="00324168"/>
    <w:rsid w:val="00330834"/>
    <w:rsid w:val="003448F4"/>
    <w:rsid w:val="00354F05"/>
    <w:rsid w:val="00374F5E"/>
    <w:rsid w:val="00377E3E"/>
    <w:rsid w:val="003A779E"/>
    <w:rsid w:val="003D0F4D"/>
    <w:rsid w:val="003D5B0D"/>
    <w:rsid w:val="003E0499"/>
    <w:rsid w:val="003E4F80"/>
    <w:rsid w:val="003E6439"/>
    <w:rsid w:val="003F3941"/>
    <w:rsid w:val="00406575"/>
    <w:rsid w:val="00414C74"/>
    <w:rsid w:val="0042722E"/>
    <w:rsid w:val="00432038"/>
    <w:rsid w:val="0044528D"/>
    <w:rsid w:val="0045027F"/>
    <w:rsid w:val="00466E39"/>
    <w:rsid w:val="004A1847"/>
    <w:rsid w:val="004A305D"/>
    <w:rsid w:val="004D1A70"/>
    <w:rsid w:val="004F21C4"/>
    <w:rsid w:val="004F685F"/>
    <w:rsid w:val="005566E8"/>
    <w:rsid w:val="00574867"/>
    <w:rsid w:val="00591460"/>
    <w:rsid w:val="005A65E0"/>
    <w:rsid w:val="005B7FEE"/>
    <w:rsid w:val="005C3777"/>
    <w:rsid w:val="005C5CDC"/>
    <w:rsid w:val="005D476C"/>
    <w:rsid w:val="005E2742"/>
    <w:rsid w:val="005F734E"/>
    <w:rsid w:val="006200BF"/>
    <w:rsid w:val="006219F8"/>
    <w:rsid w:val="006302F7"/>
    <w:rsid w:val="00646B9F"/>
    <w:rsid w:val="00665D70"/>
    <w:rsid w:val="006759D2"/>
    <w:rsid w:val="006848E6"/>
    <w:rsid w:val="006900D9"/>
    <w:rsid w:val="00706C16"/>
    <w:rsid w:val="007340C3"/>
    <w:rsid w:val="0075235A"/>
    <w:rsid w:val="00756841"/>
    <w:rsid w:val="007649AB"/>
    <w:rsid w:val="00771D0C"/>
    <w:rsid w:val="007833AC"/>
    <w:rsid w:val="007947CB"/>
    <w:rsid w:val="007A1F0A"/>
    <w:rsid w:val="007A45D6"/>
    <w:rsid w:val="007B268C"/>
    <w:rsid w:val="007B7171"/>
    <w:rsid w:val="007C0C0F"/>
    <w:rsid w:val="007C3DC2"/>
    <w:rsid w:val="007E5497"/>
    <w:rsid w:val="00806F5F"/>
    <w:rsid w:val="00820278"/>
    <w:rsid w:val="00824FA4"/>
    <w:rsid w:val="008258C9"/>
    <w:rsid w:val="00844AE9"/>
    <w:rsid w:val="00867F95"/>
    <w:rsid w:val="008843B6"/>
    <w:rsid w:val="00891928"/>
    <w:rsid w:val="008A446D"/>
    <w:rsid w:val="008B25F1"/>
    <w:rsid w:val="008D180B"/>
    <w:rsid w:val="008F0EA7"/>
    <w:rsid w:val="00906834"/>
    <w:rsid w:val="00923EEF"/>
    <w:rsid w:val="009419F9"/>
    <w:rsid w:val="0095685E"/>
    <w:rsid w:val="00961B09"/>
    <w:rsid w:val="00965334"/>
    <w:rsid w:val="0097093E"/>
    <w:rsid w:val="00974FF4"/>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0E61"/>
    <w:rsid w:val="00AB0ADB"/>
    <w:rsid w:val="00AD7411"/>
    <w:rsid w:val="00B00C0E"/>
    <w:rsid w:val="00B01B1A"/>
    <w:rsid w:val="00B0381D"/>
    <w:rsid w:val="00B44A47"/>
    <w:rsid w:val="00B72CD3"/>
    <w:rsid w:val="00B72FFF"/>
    <w:rsid w:val="00B868B2"/>
    <w:rsid w:val="00BC3D36"/>
    <w:rsid w:val="00BD54A6"/>
    <w:rsid w:val="00BD7F72"/>
    <w:rsid w:val="00BF7425"/>
    <w:rsid w:val="00C04FB3"/>
    <w:rsid w:val="00C11D8B"/>
    <w:rsid w:val="00C15139"/>
    <w:rsid w:val="00C30AEB"/>
    <w:rsid w:val="00C31944"/>
    <w:rsid w:val="00C330EB"/>
    <w:rsid w:val="00C50D69"/>
    <w:rsid w:val="00C5365C"/>
    <w:rsid w:val="00C754BE"/>
    <w:rsid w:val="00C76B1C"/>
    <w:rsid w:val="00C925AC"/>
    <w:rsid w:val="00CA5B9F"/>
    <w:rsid w:val="00CB6357"/>
    <w:rsid w:val="00CC1B26"/>
    <w:rsid w:val="00D26639"/>
    <w:rsid w:val="00D361FD"/>
    <w:rsid w:val="00D423A2"/>
    <w:rsid w:val="00D44E26"/>
    <w:rsid w:val="00D520D8"/>
    <w:rsid w:val="00D63AC2"/>
    <w:rsid w:val="00D7383B"/>
    <w:rsid w:val="00D7788A"/>
    <w:rsid w:val="00D84F49"/>
    <w:rsid w:val="00DA231B"/>
    <w:rsid w:val="00DB28E9"/>
    <w:rsid w:val="00DC39FC"/>
    <w:rsid w:val="00DD400D"/>
    <w:rsid w:val="00DE2C79"/>
    <w:rsid w:val="00DE77CE"/>
    <w:rsid w:val="00DF5254"/>
    <w:rsid w:val="00E02524"/>
    <w:rsid w:val="00E1221E"/>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36232"/>
    <w:rsid w:val="00F462B3"/>
    <w:rsid w:val="00F5664F"/>
    <w:rsid w:val="00F666C4"/>
    <w:rsid w:val="00F76AFC"/>
    <w:rsid w:val="00FA47C0"/>
    <w:rsid w:val="00FB3895"/>
    <w:rsid w:val="00FB5DD1"/>
    <w:rsid w:val="00FC2B5D"/>
    <w:rsid w:val="00FF1449"/>
    <w:rsid w:val="00FF7963"/>
    <w:rsid w:val="00FF7F85"/>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848E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848E6"/>
    <w:rPr>
      <w:rFonts w:ascii="Geomanist Light" w:hAnsi="Geomanist Light"/>
      <w:lang w:val="es-ES"/>
    </w:rPr>
  </w:style>
  <w:style w:type="character" w:customStyle="1" w:styleId="NormalWebCar">
    <w:name w:val="Normal (Web) Car"/>
    <w:link w:val="NormalWeb"/>
    <w:uiPriority w:val="99"/>
    <w:locked/>
    <w:rsid w:val="006848E6"/>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ngelavila@ucundinamarca.edu.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647_2001.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D5C837DA-96D8-4738-B77C-6739A1A1A4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33</TotalTime>
  <Pages>18</Pages>
  <Words>5485</Words>
  <Characters>30169</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10</cp:revision>
  <cp:lastPrinted>2023-01-10T21:18:00Z</cp:lastPrinted>
  <dcterms:created xsi:type="dcterms:W3CDTF">2026-05-19T13:27:00Z</dcterms:created>
  <dcterms:modified xsi:type="dcterms:W3CDTF">2026-05-19T20:29:00Z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