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5CAF4" w14:textId="77777777" w:rsidR="0078074E" w:rsidRDefault="0078074E" w:rsidP="0078074E">
      <w:pPr>
        <w:jc w:val="both"/>
        <w:rPr>
          <w:rFonts w:ascii="Verdana" w:eastAsia="Calibri" w:hAnsi="Verdana" w:cs="Arial"/>
          <w:b/>
          <w:bCs/>
          <w:lang w:val="es-ES" w:eastAsia="es-ES"/>
        </w:rPr>
      </w:pPr>
      <w:bookmarkStart w:id="0" w:name="_Hlk143780582"/>
      <w:r w:rsidRPr="0078074E">
        <w:rPr>
          <w:rFonts w:ascii="Verdana" w:eastAsia="Calibri" w:hAnsi="Verdana" w:cs="Arial"/>
          <w:b/>
          <w:bCs/>
          <w:lang w:val="es-ES" w:eastAsia="es-ES"/>
        </w:rPr>
        <w:t xml:space="preserve">ANTICIPO – Regulación normativa </w:t>
      </w:r>
    </w:p>
    <w:p w14:paraId="4D6B8E72" w14:textId="77777777" w:rsidR="0078074E" w:rsidRPr="0078074E" w:rsidRDefault="0078074E" w:rsidP="0078074E">
      <w:pPr>
        <w:tabs>
          <w:tab w:val="left" w:pos="142"/>
          <w:tab w:val="left" w:pos="284"/>
          <w:tab w:val="left" w:pos="6975"/>
        </w:tabs>
        <w:spacing w:after="0" w:line="240" w:lineRule="auto"/>
        <w:jc w:val="both"/>
        <w:rPr>
          <w:rFonts w:ascii="Verdana" w:eastAsia="Calibri" w:hAnsi="Verdana" w:cs="Arial"/>
          <w:sz w:val="20"/>
          <w:szCs w:val="20"/>
        </w:rPr>
      </w:pPr>
      <w:r w:rsidRPr="0078074E">
        <w:rPr>
          <w:rFonts w:ascii="Verdana" w:eastAsia="Calibri" w:hAnsi="Verdana" w:cs="Arial"/>
          <w:color w:val="000000"/>
          <w:sz w:val="20"/>
          <w:szCs w:val="20"/>
          <w:lang w:eastAsia="en-GB"/>
        </w:rPr>
        <w:t>En materia de contratación pública, la figura del anticipo está prevista en dos (2) normas: el</w:t>
      </w:r>
      <w:r w:rsidRPr="0078074E">
        <w:rPr>
          <w:rFonts w:ascii="Verdana" w:hAnsi="Verdana" w:cs="Arial"/>
          <w:color w:val="000000" w:themeColor="text1"/>
          <w:sz w:val="20"/>
          <w:szCs w:val="20"/>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sidRPr="0078074E">
        <w:rPr>
          <w:rFonts w:ascii="Verdana" w:eastAsia="Calibri" w:hAnsi="Verdana" w:cs="Arial"/>
          <w:color w:val="000000" w:themeColor="text1"/>
          <w:sz w:val="20"/>
          <w:szCs w:val="20"/>
          <w:lang w:val="es-ES"/>
        </w:rPr>
        <w:t>“</w:t>
      </w:r>
      <w:r w:rsidRPr="0078074E">
        <w:rPr>
          <w:rFonts w:ascii="Verdana" w:hAnsi="Verdana" w:cs="Arial"/>
          <w:color w:val="000000" w:themeColor="text1"/>
          <w:sz w:val="20"/>
          <w:szCs w:val="20"/>
        </w:rPr>
        <w:t>En los contratos que celebren las entidades estatales se podrá pactar el pago anticipado y la entrega de anticipos, pero su monto no podrá exceder del cincuenta por ciento (50%) del valor del respectivo contrato</w:t>
      </w:r>
      <w:r w:rsidRPr="0078074E">
        <w:rPr>
          <w:rFonts w:ascii="Verdana" w:eastAsia="Calibri" w:hAnsi="Verdana" w:cs="Arial"/>
          <w:color w:val="000000" w:themeColor="text1"/>
          <w:sz w:val="20"/>
          <w:szCs w:val="20"/>
          <w:lang w:val="es-ES"/>
        </w:rPr>
        <w:t>”</w:t>
      </w:r>
      <w:r w:rsidRPr="0078074E">
        <w:rPr>
          <w:rFonts w:ascii="Verdana" w:hAnsi="Verdana" w:cs="Arial"/>
          <w:color w:val="000000" w:themeColor="text1"/>
          <w:sz w:val="20"/>
          <w:szCs w:val="20"/>
        </w:rPr>
        <w:t xml:space="preserve">. </w:t>
      </w:r>
    </w:p>
    <w:p w14:paraId="4CDFBA3D" w14:textId="77777777" w:rsidR="0078074E" w:rsidRDefault="0078074E" w:rsidP="0078074E">
      <w:pPr>
        <w:tabs>
          <w:tab w:val="left" w:pos="0"/>
        </w:tabs>
        <w:spacing w:after="0" w:line="240" w:lineRule="auto"/>
        <w:jc w:val="both"/>
        <w:rPr>
          <w:rFonts w:ascii="Verdana" w:hAnsi="Verdana" w:cs="Arial"/>
          <w:color w:val="000000" w:themeColor="text1"/>
          <w:sz w:val="20"/>
          <w:szCs w:val="20"/>
        </w:rPr>
      </w:pPr>
    </w:p>
    <w:p w14:paraId="32447C1D" w14:textId="3DF89791" w:rsidR="0078074E" w:rsidRPr="0078074E" w:rsidRDefault="0078074E" w:rsidP="0078074E">
      <w:pPr>
        <w:tabs>
          <w:tab w:val="left" w:pos="0"/>
        </w:tabs>
        <w:spacing w:after="0" w:line="240" w:lineRule="auto"/>
        <w:jc w:val="both"/>
        <w:rPr>
          <w:rFonts w:ascii="Verdana" w:hAnsi="Verdana" w:cs="Arial"/>
          <w:color w:val="000000" w:themeColor="text1"/>
          <w:sz w:val="20"/>
          <w:szCs w:val="20"/>
        </w:rPr>
      </w:pPr>
      <w:r w:rsidRPr="0078074E">
        <w:rPr>
          <w:rFonts w:ascii="Verdana" w:hAnsi="Verdana" w:cs="Arial"/>
          <w:color w:val="000000" w:themeColor="text1"/>
          <w:sz w:val="20"/>
          <w:szCs w:val="20"/>
        </w:rPr>
        <w:t xml:space="preserve">Por su parte, </w:t>
      </w:r>
      <w:r w:rsidRPr="0078074E">
        <w:rPr>
          <w:rFonts w:ascii="Verdana" w:hAnsi="Verdana" w:cs="Arial"/>
          <w:color w:val="000000" w:themeColor="text1"/>
          <w:sz w:val="20"/>
          <w:szCs w:val="20"/>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141233FC" w14:textId="77777777" w:rsidR="0078074E" w:rsidRPr="0078074E" w:rsidRDefault="0078074E" w:rsidP="0078074E">
      <w:pPr>
        <w:spacing w:after="0" w:line="240" w:lineRule="auto"/>
        <w:jc w:val="both"/>
        <w:rPr>
          <w:rFonts w:ascii="Verdana" w:eastAsia="Calibri" w:hAnsi="Verdana" w:cs="Arial"/>
          <w:b/>
          <w:bCs/>
          <w:lang w:eastAsia="es-ES"/>
        </w:rPr>
      </w:pPr>
    </w:p>
    <w:p w14:paraId="5CF830CE" w14:textId="196116FA" w:rsidR="0078074E" w:rsidRPr="0078074E" w:rsidRDefault="0078074E" w:rsidP="0078074E">
      <w:pPr>
        <w:spacing w:after="0" w:line="240" w:lineRule="auto"/>
        <w:jc w:val="both"/>
        <w:rPr>
          <w:rFonts w:ascii="Verdana" w:eastAsia="Calibri" w:hAnsi="Verdana" w:cs="Arial"/>
          <w:b/>
          <w:bCs/>
          <w:lang w:val="es-ES" w:eastAsia="es-ES"/>
        </w:rPr>
      </w:pPr>
      <w:r w:rsidRPr="0078074E">
        <w:rPr>
          <w:rFonts w:ascii="Verdana" w:eastAsia="Calibri" w:hAnsi="Verdana" w:cs="Arial"/>
          <w:b/>
          <w:bCs/>
          <w:lang w:val="es-ES" w:eastAsia="es-ES"/>
        </w:rPr>
        <w:t xml:space="preserve">ANTICIPO – Definición jurisprudencial </w:t>
      </w:r>
    </w:p>
    <w:p w14:paraId="20CC008E" w14:textId="77777777" w:rsidR="0078074E" w:rsidRDefault="0078074E" w:rsidP="0078074E">
      <w:pPr>
        <w:tabs>
          <w:tab w:val="left" w:pos="0"/>
        </w:tabs>
        <w:spacing w:after="0" w:line="240" w:lineRule="auto"/>
        <w:jc w:val="both"/>
        <w:rPr>
          <w:rFonts w:ascii="Verdana" w:eastAsia="Calibri" w:hAnsi="Verdana" w:cs="Arial"/>
          <w:b/>
          <w:bCs/>
          <w:lang w:val="es-ES" w:eastAsia="es-ES"/>
        </w:rPr>
      </w:pPr>
    </w:p>
    <w:p w14:paraId="149D371B" w14:textId="5CC60EF5" w:rsidR="0078074E" w:rsidRPr="0078074E" w:rsidRDefault="0078074E" w:rsidP="0078074E">
      <w:pPr>
        <w:tabs>
          <w:tab w:val="left" w:pos="0"/>
        </w:tabs>
        <w:spacing w:after="0" w:line="240" w:lineRule="auto"/>
        <w:jc w:val="both"/>
        <w:rPr>
          <w:rFonts w:ascii="Verdana" w:eastAsia="Calibri" w:hAnsi="Verdana" w:cs="Arial"/>
          <w:sz w:val="20"/>
          <w:szCs w:val="20"/>
          <w:vertAlign w:val="superscript"/>
        </w:rPr>
      </w:pPr>
      <w:r w:rsidRPr="0078074E">
        <w:rPr>
          <w:rFonts w:ascii="Verdana" w:eastAsia="Calibri" w:hAnsi="Verdana" w:cs="Arial"/>
          <w:lang w:val="es-ES" w:eastAsia="es-ES"/>
        </w:rPr>
        <w:t>[…]</w:t>
      </w:r>
      <w:r>
        <w:rPr>
          <w:rFonts w:ascii="Verdana" w:eastAsia="Calibri" w:hAnsi="Verdana" w:cs="Arial"/>
          <w:b/>
          <w:bCs/>
          <w:lang w:val="es-ES" w:eastAsia="es-ES"/>
        </w:rPr>
        <w:t xml:space="preserve"> </w:t>
      </w:r>
      <w:r w:rsidRPr="0078074E">
        <w:rPr>
          <w:rFonts w:ascii="Verdana" w:eastAsia="Calibri" w:hAnsi="Verdana" w:cs="Arial"/>
          <w:sz w:val="20"/>
          <w:szCs w:val="20"/>
        </w:rPr>
        <w:t>el Consejo de Estado ha precisado su naturaleza jurídica fijando parámetros para su aplicación</w:t>
      </w:r>
      <w:r>
        <w:rPr>
          <w:rFonts w:ascii="Verdana" w:eastAsia="Calibri" w:hAnsi="Verdana" w:cs="Arial"/>
          <w:sz w:val="20"/>
          <w:szCs w:val="20"/>
        </w:rPr>
        <w:t>.</w:t>
      </w:r>
      <w:r w:rsidRPr="0078074E">
        <w:rPr>
          <w:rFonts w:ascii="Verdana" w:eastAsia="Calibri" w:hAnsi="Verdana" w:cs="Arial"/>
          <w:sz w:val="20"/>
          <w:szCs w:val="20"/>
        </w:rPr>
        <w:t xml:space="preserve"> Dicha Corporación se ha referido  al anticipo como </w:t>
      </w:r>
      <w:r w:rsidRPr="0078074E">
        <w:rPr>
          <w:rFonts w:ascii="Verdana" w:eastAsia="Calibri" w:hAnsi="Verdana" w:cs="Arial"/>
          <w:color w:val="000000" w:themeColor="text1"/>
          <w:sz w:val="20"/>
          <w:szCs w:val="20"/>
          <w:lang w:val="es-ES"/>
        </w:rPr>
        <w:t>“</w:t>
      </w:r>
      <w:r w:rsidRPr="0078074E">
        <w:rPr>
          <w:rFonts w:ascii="Verdana" w:eastAsia="Calibri" w:hAnsi="Verdana" w:cs="Arial"/>
          <w:sz w:val="20"/>
          <w:szCs w:val="20"/>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78074E">
        <w:rPr>
          <w:rFonts w:ascii="Verdana" w:eastAsia="Calibri" w:hAnsi="Verdana" w:cs="Arial"/>
          <w:color w:val="000000" w:themeColor="text1"/>
          <w:sz w:val="20"/>
          <w:szCs w:val="20"/>
          <w:lang w:val="es-ES"/>
        </w:rPr>
        <w:t>”.</w:t>
      </w:r>
    </w:p>
    <w:p w14:paraId="7E520F63" w14:textId="77777777" w:rsidR="0078074E" w:rsidRDefault="0078074E" w:rsidP="0078074E">
      <w:pPr>
        <w:spacing w:after="0" w:line="240" w:lineRule="auto"/>
        <w:jc w:val="both"/>
        <w:rPr>
          <w:rFonts w:ascii="Verdana" w:eastAsia="Calibri" w:hAnsi="Verdana" w:cs="Arial"/>
          <w:sz w:val="20"/>
          <w:szCs w:val="20"/>
        </w:rPr>
      </w:pPr>
    </w:p>
    <w:p w14:paraId="6E57C84B" w14:textId="136EF9EF" w:rsidR="0078074E" w:rsidRPr="0078074E" w:rsidRDefault="0078074E" w:rsidP="0078074E">
      <w:pPr>
        <w:spacing w:after="0" w:line="240" w:lineRule="auto"/>
        <w:jc w:val="both"/>
        <w:rPr>
          <w:rFonts w:ascii="Verdana" w:eastAsia="Calibri" w:hAnsi="Verdana" w:cs="Arial"/>
          <w:sz w:val="20"/>
          <w:szCs w:val="20"/>
        </w:rPr>
      </w:pPr>
      <w:r w:rsidRPr="0078074E">
        <w:rPr>
          <w:rFonts w:ascii="Verdana" w:eastAsia="Calibri" w:hAnsi="Verdana" w:cs="Arial"/>
          <w:sz w:val="20"/>
          <w:szCs w:val="20"/>
        </w:rPr>
        <w:t xml:space="preserve">Sobre la calidad de recurso público del anticipo, la jurisprudencia ha reiterado que </w:t>
      </w:r>
      <w:r w:rsidRPr="0078074E">
        <w:rPr>
          <w:rFonts w:ascii="Verdana" w:eastAsia="Calibri" w:hAnsi="Verdana" w:cs="Arial"/>
          <w:color w:val="000000" w:themeColor="text1"/>
          <w:sz w:val="20"/>
          <w:szCs w:val="20"/>
          <w:lang w:val="es-ES"/>
        </w:rPr>
        <w:t>“</w:t>
      </w:r>
      <w:r w:rsidRPr="0078074E">
        <w:rPr>
          <w:rFonts w:ascii="Verdana" w:eastAsia="Calibri" w:hAnsi="Verdana" w:cs="Arial"/>
          <w:sz w:val="20"/>
          <w:szCs w:val="20"/>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78074E">
        <w:rPr>
          <w:rFonts w:ascii="Verdana" w:eastAsia="Calibri" w:hAnsi="Verdana" w:cs="Arial"/>
          <w:color w:val="000000" w:themeColor="text1"/>
          <w:sz w:val="20"/>
          <w:szCs w:val="20"/>
          <w:lang w:val="es-ES"/>
        </w:rPr>
        <w:t>”</w:t>
      </w:r>
      <w:r w:rsidRPr="0078074E">
        <w:rPr>
          <w:rFonts w:ascii="Verdana" w:eastAsia="Calibri" w:hAnsi="Verdana" w:cs="Arial"/>
          <w:sz w:val="20"/>
          <w:szCs w:val="20"/>
        </w:rPr>
        <w:t xml:space="preserve">. Igualmente, explica que el anticipo, al facilitar al contratista la financiación de los bienes y servicios que se le han encargado, es un factor determinante para impulsar la ejecución del contrato. </w:t>
      </w:r>
    </w:p>
    <w:p w14:paraId="45A308A6" w14:textId="77777777" w:rsidR="0078074E" w:rsidRDefault="0078074E" w:rsidP="0078074E">
      <w:pPr>
        <w:tabs>
          <w:tab w:val="left" w:pos="2442"/>
        </w:tabs>
        <w:spacing w:after="0" w:line="240" w:lineRule="auto"/>
        <w:jc w:val="both"/>
        <w:rPr>
          <w:rFonts w:ascii="Verdana" w:eastAsia="Calibri" w:hAnsi="Verdana" w:cs="Arial"/>
          <w:b/>
          <w:bCs/>
          <w:lang w:eastAsia="es-ES"/>
        </w:rPr>
      </w:pPr>
    </w:p>
    <w:p w14:paraId="44B31681" w14:textId="77777777" w:rsidR="0078074E" w:rsidRDefault="0078074E" w:rsidP="0078074E">
      <w:pPr>
        <w:tabs>
          <w:tab w:val="left" w:pos="2442"/>
        </w:tabs>
        <w:jc w:val="both"/>
        <w:rPr>
          <w:rFonts w:ascii="Verdana" w:eastAsia="Calibri" w:hAnsi="Verdana" w:cs="Arial"/>
          <w:b/>
          <w:bCs/>
          <w:lang w:val="es-ES" w:eastAsia="es-ES"/>
        </w:rPr>
      </w:pPr>
      <w:r w:rsidRPr="0078074E">
        <w:rPr>
          <w:rFonts w:ascii="Verdana" w:eastAsia="Calibri" w:hAnsi="Verdana" w:cs="Arial"/>
          <w:b/>
          <w:bCs/>
          <w:lang w:val="es-ES" w:eastAsia="es-ES"/>
        </w:rPr>
        <w:t xml:space="preserve">ANTICIPO – Autonomía de la voluntad – Derechos y obligaciones recíprocas </w:t>
      </w:r>
    </w:p>
    <w:p w14:paraId="27B1005A" w14:textId="5E6F7E3A" w:rsidR="0078074E" w:rsidRDefault="0078074E" w:rsidP="0078074E">
      <w:pPr>
        <w:jc w:val="both"/>
        <w:rPr>
          <w:rFonts w:ascii="Verdana" w:eastAsia="Calibri" w:hAnsi="Verdana" w:cs="Arial"/>
          <w:color w:val="000000" w:themeColor="text1"/>
          <w:sz w:val="20"/>
          <w:szCs w:val="20"/>
        </w:rPr>
      </w:pPr>
      <w:r w:rsidRPr="0078074E">
        <w:rPr>
          <w:rFonts w:ascii="Verdana" w:eastAsia="Calibri" w:hAnsi="Verdana" w:cs="Arial"/>
          <w:color w:val="000000" w:themeColor="text1"/>
          <w:sz w:val="20"/>
          <w:szCs w:val="20"/>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w:t>
      </w:r>
      <w:r w:rsidRPr="0078074E">
        <w:rPr>
          <w:rFonts w:ascii="Verdana" w:eastAsia="Calibri" w:hAnsi="Verdana" w:cs="Arial"/>
          <w:color w:val="000000" w:themeColor="text1"/>
          <w:sz w:val="20"/>
          <w:szCs w:val="20"/>
        </w:rPr>
        <w:lastRenderedPageBreak/>
        <w:t>tiene la obligación de entregar el valor pactado como anticipo y el derecho a que los recursos sean empleados en la forma estipulada. Por otro lado, el contratista tiene derecho a recibir dicho anticipo y la obligación de destinarlo a la ejecución del contrato.</w:t>
      </w:r>
    </w:p>
    <w:p w14:paraId="262B78C7" w14:textId="77777777" w:rsidR="0078074E" w:rsidRDefault="0078074E" w:rsidP="0078074E">
      <w:pPr>
        <w:jc w:val="both"/>
        <w:rPr>
          <w:rFonts w:ascii="Verdana" w:eastAsia="Calibri" w:hAnsi="Verdana" w:cs="Arial"/>
          <w:color w:val="000000" w:themeColor="text1"/>
          <w:sz w:val="20"/>
          <w:szCs w:val="20"/>
          <w:lang w:val="es-ES"/>
        </w:rPr>
      </w:pPr>
      <w:r w:rsidRPr="0078074E">
        <w:rPr>
          <w:rFonts w:ascii="Verdana" w:eastAsia="Calibri" w:hAnsi="Verdana" w:cs="Arial"/>
          <w:color w:val="000000" w:themeColor="text1"/>
          <w:sz w:val="20"/>
          <w:szCs w:val="20"/>
          <w:lang w:val="es-ES"/>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5B880D17" w14:textId="77777777" w:rsidR="0078074E" w:rsidRDefault="0078074E" w:rsidP="0078074E">
      <w:pPr>
        <w:jc w:val="both"/>
        <w:rPr>
          <w:rFonts w:ascii="Verdana" w:eastAsia="Calibri" w:hAnsi="Verdana" w:cs="Arial"/>
          <w:color w:val="000000" w:themeColor="text1"/>
          <w:sz w:val="20"/>
          <w:szCs w:val="20"/>
          <w:lang w:val="es-ES"/>
        </w:rPr>
      </w:pPr>
      <w:r w:rsidRPr="0078074E">
        <w:rPr>
          <w:rFonts w:ascii="Verdana" w:eastAsia="Calibri" w:hAnsi="Verdana" w:cs="Arial"/>
          <w:color w:val="000000" w:themeColor="text1"/>
          <w:sz w:val="20"/>
          <w:szCs w:val="20"/>
          <w:lang w:val="es-ES"/>
        </w:rPr>
        <w:t>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De hecho, el Estatuto General de Contratación de la Administración Pública dispone como única limitación el valor máximo que puede desembolsar la entidad para pactar el anticipo.</w:t>
      </w:r>
    </w:p>
    <w:p w14:paraId="7CF91D91" w14:textId="4320B2E3" w:rsidR="0078074E" w:rsidRDefault="0078074E" w:rsidP="0078074E">
      <w:pPr>
        <w:jc w:val="both"/>
        <w:rPr>
          <w:rFonts w:ascii="Verdana" w:eastAsia="Calibri" w:hAnsi="Verdana" w:cs="Arial"/>
          <w:color w:val="000000" w:themeColor="text1"/>
          <w:sz w:val="20"/>
          <w:szCs w:val="20"/>
          <w:lang w:val="es-ES"/>
        </w:rPr>
      </w:pPr>
      <w:r w:rsidRPr="0078074E">
        <w:rPr>
          <w:rFonts w:ascii="Verdana" w:eastAsia="Calibri" w:hAnsi="Verdana" w:cs="Arial"/>
          <w:b/>
          <w:bCs/>
          <w:lang w:val="es-ES" w:eastAsia="es-ES"/>
        </w:rPr>
        <w:t xml:space="preserve">CONSTITUCIÓN DE FIDUCIA O PATRIMONIO AUTÓNOMO IRREVOCABLE – Artículo 91 Ley 1474 de 2011 - Alcance </w:t>
      </w:r>
    </w:p>
    <w:p w14:paraId="07577B95" w14:textId="48AB26E0" w:rsidR="009051F1" w:rsidRDefault="0078074E" w:rsidP="009051F1">
      <w:pPr>
        <w:jc w:val="both"/>
        <w:rPr>
          <w:rFonts w:ascii="Verdana" w:eastAsia="Calibri" w:hAnsi="Verdana" w:cs="Arial"/>
          <w:sz w:val="20"/>
          <w:szCs w:val="20"/>
        </w:rPr>
      </w:pPr>
      <w:r w:rsidRPr="009051F1">
        <w:rPr>
          <w:rFonts w:ascii="Verdana" w:eastAsia="Calibri" w:hAnsi="Verdana" w:cs="Arial"/>
          <w:sz w:val="20"/>
          <w:szCs w:val="20"/>
        </w:rPr>
        <w:t xml:space="preserve">[…] </w:t>
      </w:r>
      <w:r w:rsidRPr="009051F1">
        <w:rPr>
          <w:rFonts w:ascii="Verdana" w:eastAsia="Calibri" w:hAnsi="Verdana" w:cs="Arial"/>
          <w:sz w:val="20"/>
          <w:szCs w:val="20"/>
        </w:rPr>
        <w:t xml:space="preserve">conforme al citado artículo 91 de la Ley 1474 de 2011, existen algunos contratos respecto de los cuales la ley obliga al contratista de constituir una fiducia mercantil para el manejo de los recursos entregados a título de anticipo. </w:t>
      </w:r>
      <w:r w:rsidRPr="009051F1">
        <w:rPr>
          <w:rFonts w:ascii="Verdana" w:eastAsia="Calibri" w:hAnsi="Verdana" w:cs="Arial"/>
          <w:bCs/>
          <w:color w:val="000000" w:themeColor="text1"/>
          <w:sz w:val="20"/>
          <w:szCs w:val="20"/>
          <w:lang w:val="es-ES_tradnl"/>
        </w:rPr>
        <w:t>Esta norma dispone que: “</w:t>
      </w:r>
      <w:r w:rsidRPr="009051F1">
        <w:rPr>
          <w:rFonts w:ascii="Verdana" w:eastAsia="Calibri" w:hAnsi="Verdana" w:cs="Arial"/>
          <w:sz w:val="20"/>
          <w:szCs w:val="20"/>
        </w:rPr>
        <w:t>En los contratos de obra, concesión, salud, o los que se realicen por licitación pública</w:t>
      </w:r>
      <w:r w:rsidRPr="009051F1">
        <w:rPr>
          <w:rFonts w:ascii="Verdana" w:eastAsia="Calibri" w:hAnsi="Verdana" w:cs="Arial"/>
          <w:i/>
          <w:iCs/>
          <w:sz w:val="20"/>
          <w:szCs w:val="20"/>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9051F1">
        <w:rPr>
          <w:rFonts w:ascii="Verdana" w:eastAsia="Calibri" w:hAnsi="Verdana" w:cs="Arial"/>
          <w:sz w:val="20"/>
          <w:szCs w:val="20"/>
        </w:rPr>
        <w:t>. El costo de la comisión fiduciaria será cubierto directamente por el contratista”</w:t>
      </w:r>
      <w:r w:rsidR="009051F1" w:rsidRPr="009051F1">
        <w:rPr>
          <w:rFonts w:ascii="Verdana" w:eastAsia="Calibri" w:hAnsi="Verdana" w:cs="Arial"/>
          <w:sz w:val="20"/>
          <w:szCs w:val="20"/>
        </w:rPr>
        <w:t>.</w:t>
      </w:r>
    </w:p>
    <w:p w14:paraId="6BA0D54F" w14:textId="3E237427" w:rsidR="009051F1" w:rsidRDefault="009051F1" w:rsidP="009051F1">
      <w:pPr>
        <w:jc w:val="both"/>
        <w:rPr>
          <w:rFonts w:ascii="Verdana" w:eastAsia="Calibri" w:hAnsi="Verdana" w:cs="Arial"/>
          <w:sz w:val="20"/>
          <w:szCs w:val="20"/>
        </w:rPr>
      </w:pPr>
      <w:r>
        <w:rPr>
          <w:rFonts w:ascii="Verdana" w:eastAsia="Calibri" w:hAnsi="Verdana" w:cs="Arial"/>
          <w:sz w:val="20"/>
          <w:szCs w:val="20"/>
        </w:rPr>
        <w:t xml:space="preserve">[…] </w:t>
      </w:r>
    </w:p>
    <w:p w14:paraId="400E6380" w14:textId="77777777" w:rsidR="009051F1" w:rsidRPr="009051F1" w:rsidRDefault="009051F1" w:rsidP="009051F1">
      <w:pPr>
        <w:spacing w:after="0" w:line="240" w:lineRule="auto"/>
        <w:jc w:val="both"/>
        <w:rPr>
          <w:rFonts w:ascii="Verdana" w:eastAsia="Calibri" w:hAnsi="Verdana" w:cs="Arial"/>
          <w:sz w:val="20"/>
          <w:szCs w:val="20"/>
        </w:rPr>
      </w:pPr>
      <w:r w:rsidRPr="009051F1">
        <w:rPr>
          <w:rFonts w:ascii="Verdana" w:eastAsia="Calibri" w:hAnsi="Verdana" w:cs="Arial"/>
          <w:sz w:val="20"/>
          <w:szCs w:val="20"/>
        </w:rPr>
        <w:t xml:space="preserve">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 como se explicó </w:t>
      </w:r>
      <w:r w:rsidRPr="009051F1">
        <w:rPr>
          <w:rFonts w:ascii="Verdana" w:eastAsia="Calibri" w:hAnsi="Verdana" w:cs="Arial"/>
          <w:i/>
          <w:iCs/>
          <w:sz w:val="20"/>
          <w:szCs w:val="20"/>
        </w:rPr>
        <w:t>ut supra</w:t>
      </w:r>
      <w:r w:rsidRPr="009051F1">
        <w:rPr>
          <w:rFonts w:ascii="Verdana" w:eastAsia="Calibri" w:hAnsi="Verdana" w:cs="Arial"/>
          <w:sz w:val="20"/>
          <w:szCs w:val="20"/>
        </w:rPr>
        <w:t>.</w:t>
      </w:r>
    </w:p>
    <w:p w14:paraId="38340E1E" w14:textId="77777777" w:rsidR="009051F1" w:rsidRPr="009051F1" w:rsidRDefault="009051F1" w:rsidP="009051F1">
      <w:pPr>
        <w:spacing w:after="0" w:line="240" w:lineRule="auto"/>
        <w:jc w:val="both"/>
        <w:rPr>
          <w:rFonts w:ascii="Verdana" w:eastAsia="Calibri" w:hAnsi="Verdana" w:cs="Arial"/>
          <w:sz w:val="20"/>
          <w:szCs w:val="20"/>
        </w:rPr>
      </w:pPr>
    </w:p>
    <w:p w14:paraId="0064ECAE" w14:textId="3E131428" w:rsidR="0078074E" w:rsidRDefault="0078074E" w:rsidP="0078074E">
      <w:pPr>
        <w:jc w:val="both"/>
        <w:rPr>
          <w:rFonts w:ascii="Verdana" w:eastAsia="Calibri" w:hAnsi="Verdana" w:cs="Arial"/>
          <w:b/>
          <w:bCs/>
          <w:lang w:val="es-ES" w:eastAsia="es-ES"/>
        </w:rPr>
      </w:pPr>
      <w:r w:rsidRPr="0078074E">
        <w:rPr>
          <w:rFonts w:ascii="Verdana" w:eastAsia="Calibri" w:hAnsi="Verdana" w:cs="Arial"/>
          <w:b/>
          <w:bCs/>
          <w:lang w:val="es-ES" w:eastAsia="es-ES"/>
        </w:rPr>
        <w:t>DECRETO 1082 DE 2015 – Contrato de servicios de salud – Selección abreviada – No constitución de fiducia o patrimonio autónomo</w:t>
      </w:r>
    </w:p>
    <w:p w14:paraId="795EF7B9" w14:textId="2DFB0A14" w:rsidR="009051F1" w:rsidRPr="009051F1" w:rsidRDefault="009051F1" w:rsidP="009051F1">
      <w:pPr>
        <w:spacing w:after="0" w:line="240" w:lineRule="auto"/>
        <w:jc w:val="both"/>
        <w:rPr>
          <w:rFonts w:ascii="Verdana" w:eastAsia="Calibri" w:hAnsi="Verdana" w:cs="Arial"/>
          <w:sz w:val="20"/>
          <w:szCs w:val="20"/>
        </w:rPr>
      </w:pPr>
      <w:r w:rsidRPr="009051F1">
        <w:rPr>
          <w:rFonts w:ascii="Verdana" w:eastAsia="Calibri" w:hAnsi="Verdana" w:cs="Arial"/>
          <w:sz w:val="20"/>
          <w:szCs w:val="20"/>
        </w:rPr>
        <w:t xml:space="preserve">[…] </w:t>
      </w:r>
      <w:r w:rsidRPr="009051F1">
        <w:rPr>
          <w:rFonts w:ascii="Verdana" w:eastAsia="Calibri" w:hAnsi="Verdana" w:cs="Arial"/>
          <w:sz w:val="20"/>
          <w:szCs w:val="20"/>
        </w:rPr>
        <w:t>el artículo 2.2.1.2.1.2.21 del Decreto 1082 de 2015 determina que, en los eventos en que la entidad estatal requiera de la contratación de servicios de salud, se deberá utilizar el procedimiento de selección abreviada de menor cuantía. De esta manera, haciendo una lectura armónica tanto del artículo 91 de la Ley 1474 de 2011 y el Decreto 1082 de 2015, para la contratación de los servicios de salud, deberá seleccionarse al contratista a través del proceso de selección de menor cuantía, por lo que la fiducia o el patrimonio autónomo irrevocable para el manejo de los recursos del anticipo en este caso no es obligatoria, ya que el contrato que se llegue a celebrar estaría en curso en la excepción general contemplada en el artículo 91 de la Ley 1474 de 2011.</w:t>
      </w:r>
    </w:p>
    <w:p w14:paraId="3D46C891" w14:textId="77777777" w:rsidR="009051F1" w:rsidRPr="009051F1" w:rsidRDefault="009051F1" w:rsidP="0078074E">
      <w:pPr>
        <w:spacing w:after="0" w:line="240" w:lineRule="auto"/>
        <w:jc w:val="both"/>
        <w:rPr>
          <w:rFonts w:ascii="Verdana" w:eastAsia="Calibri" w:hAnsi="Verdana" w:cs="Arial"/>
          <w:b/>
          <w:bCs/>
          <w:lang w:eastAsia="es-ES"/>
        </w:rPr>
      </w:pPr>
    </w:p>
    <w:p w14:paraId="362D3C09" w14:textId="77777777" w:rsidR="0078074E" w:rsidRDefault="0078074E" w:rsidP="00C7633E">
      <w:pPr>
        <w:spacing w:after="0"/>
        <w:rPr>
          <w:rFonts w:ascii="Verdana" w:eastAsia="Verdana" w:hAnsi="Verdana" w:cs="Verdana"/>
          <w:lang w:val="es-ES"/>
        </w:rPr>
      </w:pPr>
    </w:p>
    <w:p w14:paraId="6B787B35" w14:textId="77777777" w:rsidR="009051F1" w:rsidRDefault="009051F1" w:rsidP="00C7633E">
      <w:pPr>
        <w:spacing w:after="0"/>
        <w:rPr>
          <w:rFonts w:ascii="Verdana" w:eastAsia="Verdana" w:hAnsi="Verdana" w:cs="Verdana"/>
          <w:lang w:val="es-ES"/>
        </w:rPr>
      </w:pPr>
    </w:p>
    <w:p w14:paraId="25A86888" w14:textId="77777777" w:rsidR="009051F1" w:rsidRDefault="009051F1" w:rsidP="00C7633E">
      <w:pPr>
        <w:spacing w:after="0"/>
        <w:rPr>
          <w:rFonts w:ascii="Verdana" w:eastAsia="Verdana" w:hAnsi="Verdana" w:cs="Verdana"/>
          <w:lang w:val="es-ES"/>
        </w:rPr>
      </w:pPr>
    </w:p>
    <w:p w14:paraId="626AFF60" w14:textId="77777777" w:rsidR="009051F1" w:rsidRDefault="009051F1" w:rsidP="00C7633E">
      <w:pPr>
        <w:spacing w:after="0"/>
        <w:rPr>
          <w:rFonts w:ascii="Verdana" w:eastAsia="Verdana" w:hAnsi="Verdana" w:cs="Verdana"/>
          <w:lang w:val="es-ES"/>
        </w:rPr>
      </w:pPr>
    </w:p>
    <w:p w14:paraId="08F46AB6" w14:textId="77777777" w:rsidR="009051F1" w:rsidRDefault="009051F1" w:rsidP="00C7633E">
      <w:pPr>
        <w:spacing w:after="0"/>
        <w:rPr>
          <w:rFonts w:ascii="Verdana" w:eastAsia="Verdana" w:hAnsi="Verdana" w:cs="Verdana"/>
          <w:lang w:val="es-ES"/>
        </w:rPr>
      </w:pPr>
    </w:p>
    <w:p w14:paraId="766C7789" w14:textId="77777777" w:rsidR="009051F1" w:rsidRDefault="009051F1" w:rsidP="00C7633E">
      <w:pPr>
        <w:spacing w:after="0"/>
        <w:rPr>
          <w:rFonts w:ascii="Verdana" w:eastAsia="Verdana" w:hAnsi="Verdana" w:cs="Verdana"/>
          <w:lang w:val="es-ES"/>
        </w:rPr>
      </w:pPr>
    </w:p>
    <w:p w14:paraId="485A7D09" w14:textId="77777777" w:rsidR="009051F1" w:rsidRDefault="009051F1" w:rsidP="00C7633E">
      <w:pPr>
        <w:spacing w:after="0"/>
        <w:rPr>
          <w:rFonts w:ascii="Verdana" w:eastAsia="Verdana" w:hAnsi="Verdana" w:cs="Verdana"/>
          <w:lang w:val="es-ES"/>
        </w:rPr>
      </w:pPr>
    </w:p>
    <w:p w14:paraId="69A2610B" w14:textId="77777777" w:rsidR="009051F1" w:rsidRDefault="009051F1" w:rsidP="00C7633E">
      <w:pPr>
        <w:spacing w:after="0"/>
        <w:rPr>
          <w:rFonts w:ascii="Verdana" w:eastAsia="Verdana" w:hAnsi="Verdana" w:cs="Verdana"/>
          <w:lang w:val="es-ES"/>
        </w:rPr>
      </w:pPr>
    </w:p>
    <w:p w14:paraId="48FB7D2E" w14:textId="77777777" w:rsidR="009051F1" w:rsidRDefault="009051F1" w:rsidP="00C7633E">
      <w:pPr>
        <w:spacing w:after="0"/>
        <w:rPr>
          <w:rFonts w:ascii="Verdana" w:eastAsia="Verdana" w:hAnsi="Verdana" w:cs="Verdana"/>
          <w:lang w:val="es-ES"/>
        </w:rPr>
      </w:pPr>
    </w:p>
    <w:p w14:paraId="1A57485F" w14:textId="77777777" w:rsidR="009051F1" w:rsidRDefault="009051F1" w:rsidP="00C7633E">
      <w:pPr>
        <w:spacing w:after="0"/>
        <w:rPr>
          <w:rFonts w:ascii="Verdana" w:eastAsia="Verdana" w:hAnsi="Verdana" w:cs="Verdana"/>
          <w:lang w:val="es-ES"/>
        </w:rPr>
      </w:pPr>
    </w:p>
    <w:p w14:paraId="4E1EA8CD" w14:textId="77777777" w:rsidR="009051F1" w:rsidRDefault="009051F1" w:rsidP="00C7633E">
      <w:pPr>
        <w:spacing w:after="0"/>
        <w:rPr>
          <w:rFonts w:ascii="Verdana" w:eastAsia="Verdana" w:hAnsi="Verdana" w:cs="Verdana"/>
          <w:lang w:val="es-ES"/>
        </w:rPr>
      </w:pPr>
    </w:p>
    <w:p w14:paraId="41794352" w14:textId="77777777" w:rsidR="009051F1" w:rsidRDefault="009051F1" w:rsidP="00C7633E">
      <w:pPr>
        <w:spacing w:after="0"/>
        <w:rPr>
          <w:rFonts w:ascii="Verdana" w:eastAsia="Verdana" w:hAnsi="Verdana" w:cs="Verdana"/>
          <w:lang w:val="es-ES"/>
        </w:rPr>
      </w:pPr>
    </w:p>
    <w:p w14:paraId="1AEE7B1C" w14:textId="77777777" w:rsidR="009051F1" w:rsidRDefault="009051F1" w:rsidP="00C7633E">
      <w:pPr>
        <w:spacing w:after="0"/>
        <w:rPr>
          <w:rFonts w:ascii="Verdana" w:eastAsia="Verdana" w:hAnsi="Verdana" w:cs="Verdana"/>
          <w:lang w:val="es-ES"/>
        </w:rPr>
      </w:pPr>
    </w:p>
    <w:p w14:paraId="700656F0" w14:textId="77777777" w:rsidR="009051F1" w:rsidRDefault="009051F1" w:rsidP="00C7633E">
      <w:pPr>
        <w:spacing w:after="0"/>
        <w:rPr>
          <w:rFonts w:ascii="Verdana" w:eastAsia="Verdana" w:hAnsi="Verdana" w:cs="Verdana"/>
          <w:lang w:val="es-ES"/>
        </w:rPr>
      </w:pPr>
    </w:p>
    <w:p w14:paraId="08780396" w14:textId="77777777" w:rsidR="009051F1" w:rsidRDefault="009051F1" w:rsidP="00C7633E">
      <w:pPr>
        <w:spacing w:after="0"/>
        <w:rPr>
          <w:rFonts w:ascii="Verdana" w:eastAsia="Verdana" w:hAnsi="Verdana" w:cs="Verdana"/>
          <w:lang w:val="es-ES"/>
        </w:rPr>
      </w:pPr>
    </w:p>
    <w:p w14:paraId="2BD99E1F" w14:textId="77777777" w:rsidR="009051F1" w:rsidRDefault="009051F1" w:rsidP="00C7633E">
      <w:pPr>
        <w:spacing w:after="0"/>
        <w:rPr>
          <w:rFonts w:ascii="Verdana" w:eastAsia="Verdana" w:hAnsi="Verdana" w:cs="Verdana"/>
          <w:lang w:val="es-ES"/>
        </w:rPr>
      </w:pPr>
    </w:p>
    <w:p w14:paraId="024A6DD0" w14:textId="77777777" w:rsidR="009051F1" w:rsidRDefault="009051F1" w:rsidP="00C7633E">
      <w:pPr>
        <w:spacing w:after="0"/>
        <w:rPr>
          <w:rFonts w:ascii="Verdana" w:eastAsia="Verdana" w:hAnsi="Verdana" w:cs="Verdana"/>
          <w:lang w:val="es-ES"/>
        </w:rPr>
      </w:pPr>
    </w:p>
    <w:p w14:paraId="0D5D3C31" w14:textId="77777777" w:rsidR="009051F1" w:rsidRDefault="009051F1" w:rsidP="00C7633E">
      <w:pPr>
        <w:spacing w:after="0"/>
        <w:rPr>
          <w:rFonts w:ascii="Verdana" w:eastAsia="Verdana" w:hAnsi="Verdana" w:cs="Verdana"/>
          <w:lang w:val="es-ES"/>
        </w:rPr>
      </w:pPr>
    </w:p>
    <w:p w14:paraId="0413FE5D" w14:textId="77777777" w:rsidR="009051F1" w:rsidRDefault="009051F1" w:rsidP="00C7633E">
      <w:pPr>
        <w:spacing w:after="0"/>
        <w:rPr>
          <w:rFonts w:ascii="Verdana" w:eastAsia="Verdana" w:hAnsi="Verdana" w:cs="Verdana"/>
          <w:lang w:val="es-ES"/>
        </w:rPr>
      </w:pPr>
    </w:p>
    <w:p w14:paraId="5FE3C45F" w14:textId="77777777" w:rsidR="009051F1" w:rsidRDefault="009051F1" w:rsidP="00C7633E">
      <w:pPr>
        <w:spacing w:after="0"/>
        <w:rPr>
          <w:rFonts w:ascii="Verdana" w:eastAsia="Verdana" w:hAnsi="Verdana" w:cs="Verdana"/>
          <w:lang w:val="es-ES"/>
        </w:rPr>
      </w:pPr>
    </w:p>
    <w:p w14:paraId="2B3BFCA3" w14:textId="77777777" w:rsidR="009051F1" w:rsidRDefault="009051F1" w:rsidP="00C7633E">
      <w:pPr>
        <w:spacing w:after="0"/>
        <w:rPr>
          <w:rFonts w:ascii="Verdana" w:eastAsia="Verdana" w:hAnsi="Verdana" w:cs="Verdana"/>
          <w:lang w:val="es-ES"/>
        </w:rPr>
      </w:pPr>
    </w:p>
    <w:p w14:paraId="3F655077" w14:textId="77777777" w:rsidR="009051F1" w:rsidRDefault="009051F1" w:rsidP="00C7633E">
      <w:pPr>
        <w:spacing w:after="0"/>
        <w:rPr>
          <w:rFonts w:ascii="Verdana" w:eastAsia="Verdana" w:hAnsi="Verdana" w:cs="Verdana"/>
          <w:lang w:val="es-ES"/>
        </w:rPr>
      </w:pPr>
    </w:p>
    <w:p w14:paraId="454C6CE7" w14:textId="77777777" w:rsidR="009051F1" w:rsidRDefault="009051F1" w:rsidP="00C7633E">
      <w:pPr>
        <w:spacing w:after="0"/>
        <w:rPr>
          <w:rFonts w:ascii="Verdana" w:eastAsia="Verdana" w:hAnsi="Verdana" w:cs="Verdana"/>
          <w:lang w:val="es-ES"/>
        </w:rPr>
      </w:pPr>
    </w:p>
    <w:p w14:paraId="6E2B3E07" w14:textId="77777777" w:rsidR="009051F1" w:rsidRDefault="009051F1" w:rsidP="00C7633E">
      <w:pPr>
        <w:spacing w:after="0"/>
        <w:rPr>
          <w:rFonts w:ascii="Verdana" w:eastAsia="Verdana" w:hAnsi="Verdana" w:cs="Verdana"/>
          <w:lang w:val="es-ES"/>
        </w:rPr>
      </w:pPr>
    </w:p>
    <w:p w14:paraId="31E290DD" w14:textId="77777777" w:rsidR="009051F1" w:rsidRDefault="009051F1" w:rsidP="00C7633E">
      <w:pPr>
        <w:spacing w:after="0"/>
        <w:rPr>
          <w:rFonts w:ascii="Verdana" w:eastAsia="Verdana" w:hAnsi="Verdana" w:cs="Verdana"/>
          <w:lang w:val="es-ES"/>
        </w:rPr>
      </w:pPr>
    </w:p>
    <w:p w14:paraId="28471929" w14:textId="77777777" w:rsidR="009051F1" w:rsidRDefault="009051F1" w:rsidP="00C7633E">
      <w:pPr>
        <w:spacing w:after="0"/>
        <w:rPr>
          <w:rFonts w:ascii="Verdana" w:eastAsia="Verdana" w:hAnsi="Verdana" w:cs="Verdana"/>
          <w:lang w:val="es-ES"/>
        </w:rPr>
      </w:pPr>
    </w:p>
    <w:p w14:paraId="01AA02EC" w14:textId="77777777" w:rsidR="009051F1" w:rsidRDefault="009051F1" w:rsidP="00C7633E">
      <w:pPr>
        <w:spacing w:after="0"/>
        <w:rPr>
          <w:rFonts w:ascii="Verdana" w:eastAsia="Verdana" w:hAnsi="Verdana" w:cs="Verdana"/>
          <w:lang w:val="es-ES"/>
        </w:rPr>
      </w:pPr>
    </w:p>
    <w:p w14:paraId="6AD36D25" w14:textId="77777777" w:rsidR="009051F1" w:rsidRDefault="009051F1" w:rsidP="00C7633E">
      <w:pPr>
        <w:spacing w:after="0"/>
        <w:rPr>
          <w:rFonts w:ascii="Verdana" w:eastAsia="Verdana" w:hAnsi="Verdana" w:cs="Verdana"/>
          <w:lang w:val="es-ES"/>
        </w:rPr>
      </w:pPr>
    </w:p>
    <w:p w14:paraId="7B73A5E4" w14:textId="77777777" w:rsidR="009051F1" w:rsidRDefault="009051F1" w:rsidP="00C7633E">
      <w:pPr>
        <w:spacing w:after="0"/>
        <w:rPr>
          <w:rFonts w:ascii="Verdana" w:eastAsia="Verdana" w:hAnsi="Verdana" w:cs="Verdana"/>
          <w:lang w:val="es-ES"/>
        </w:rPr>
      </w:pPr>
    </w:p>
    <w:p w14:paraId="67103B21" w14:textId="77777777" w:rsidR="009051F1" w:rsidRDefault="009051F1" w:rsidP="00C7633E">
      <w:pPr>
        <w:spacing w:after="0"/>
        <w:rPr>
          <w:rFonts w:ascii="Verdana" w:eastAsia="Verdana" w:hAnsi="Verdana" w:cs="Verdana"/>
          <w:lang w:val="es-ES"/>
        </w:rPr>
      </w:pPr>
    </w:p>
    <w:p w14:paraId="03712D67" w14:textId="77777777" w:rsidR="009051F1" w:rsidRDefault="009051F1" w:rsidP="00C7633E">
      <w:pPr>
        <w:spacing w:after="0"/>
        <w:rPr>
          <w:rFonts w:ascii="Verdana" w:eastAsia="Verdana" w:hAnsi="Verdana" w:cs="Verdana"/>
          <w:lang w:val="es-ES"/>
        </w:rPr>
      </w:pPr>
    </w:p>
    <w:p w14:paraId="7865FC64" w14:textId="77777777" w:rsidR="009051F1" w:rsidRDefault="009051F1" w:rsidP="00C7633E">
      <w:pPr>
        <w:spacing w:after="0"/>
        <w:rPr>
          <w:rFonts w:ascii="Verdana" w:eastAsia="Verdana" w:hAnsi="Verdana" w:cs="Verdana"/>
          <w:lang w:val="es-ES"/>
        </w:rPr>
      </w:pPr>
    </w:p>
    <w:p w14:paraId="08E48051" w14:textId="77777777" w:rsidR="009051F1" w:rsidRPr="0078074E" w:rsidRDefault="009051F1" w:rsidP="00C7633E">
      <w:pPr>
        <w:spacing w:after="0"/>
        <w:rPr>
          <w:rFonts w:ascii="Verdana" w:eastAsia="Verdana" w:hAnsi="Verdana" w:cs="Verdana"/>
          <w:lang w:val="es-ES"/>
        </w:rPr>
      </w:pPr>
    </w:p>
    <w:p w14:paraId="307578F2" w14:textId="1D4333F7" w:rsidR="0078074E" w:rsidRDefault="00C7633E" w:rsidP="00C7633E">
      <w:pPr>
        <w:spacing w:after="0"/>
        <w:rPr>
          <w:rFonts w:ascii="Verdana" w:eastAsia="Verdana" w:hAnsi="Verdana" w:cs="Verdana"/>
        </w:rPr>
      </w:pPr>
      <w:r w:rsidRPr="30821638">
        <w:rPr>
          <w:rFonts w:ascii="Verdana" w:eastAsia="Verdana" w:hAnsi="Verdana" w:cs="Verdana"/>
        </w:rPr>
        <w:t xml:space="preserve">Bogotá D.C., </w:t>
      </w:r>
      <w:r w:rsidR="0078074E">
        <w:rPr>
          <w:rFonts w:ascii="Verdana" w:eastAsia="Verdana" w:hAnsi="Verdana" w:cs="Verdana"/>
        </w:rPr>
        <w:t xml:space="preserve">18 </w:t>
      </w:r>
      <w:proofErr w:type="gramStart"/>
      <w:r w:rsidR="0078074E">
        <w:rPr>
          <w:rFonts w:ascii="Verdana" w:eastAsia="Verdana" w:hAnsi="Verdana" w:cs="Verdana"/>
        </w:rPr>
        <w:t>Mayo</w:t>
      </w:r>
      <w:proofErr w:type="gramEnd"/>
      <w:r w:rsidR="0078074E">
        <w:rPr>
          <w:rFonts w:ascii="Verdana" w:eastAsia="Verdana" w:hAnsi="Verdana" w:cs="Verdana"/>
        </w:rPr>
        <w:t xml:space="preserve"> 2026</w:t>
      </w:r>
    </w:p>
    <w:p w14:paraId="136A8711" w14:textId="77777777" w:rsidR="0078074E" w:rsidRDefault="0078074E" w:rsidP="00C7633E">
      <w:pPr>
        <w:spacing w:after="0"/>
        <w:rPr>
          <w:rFonts w:ascii="Verdana" w:eastAsia="Verdana" w:hAnsi="Verdana" w:cs="Verdana"/>
        </w:rPr>
      </w:pPr>
    </w:p>
    <w:p w14:paraId="29B0A6BA" w14:textId="2E88AC1F" w:rsidR="00C7633E" w:rsidRPr="0024624F" w:rsidRDefault="0078074E" w:rsidP="0078074E">
      <w:pPr>
        <w:spacing w:after="0"/>
        <w:jc w:val="right"/>
        <w:rPr>
          <w:rFonts w:ascii="Verdana" w:eastAsia="Verdana" w:hAnsi="Verdana" w:cs="Verdana"/>
        </w:rPr>
      </w:pPr>
      <w:r w:rsidRPr="0078074E">
        <w:drawing>
          <wp:inline distT="0" distB="0" distL="0" distR="0" wp14:anchorId="298477BE" wp14:editId="65008049">
            <wp:extent cx="2178685" cy="466725"/>
            <wp:effectExtent l="0" t="0" r="0" b="9525"/>
            <wp:docPr id="6597814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781464" name=""/>
                    <pic:cNvPicPr/>
                  </pic:nvPicPr>
                  <pic:blipFill>
                    <a:blip r:embed="rId10"/>
                    <a:stretch>
                      <a:fillRect/>
                    </a:stretch>
                  </pic:blipFill>
                  <pic:spPr>
                    <a:xfrm>
                      <a:off x="0" y="0"/>
                      <a:ext cx="2205405" cy="472449"/>
                    </a:xfrm>
                    <a:prstGeom prst="rect">
                      <a:avLst/>
                    </a:prstGeom>
                  </pic:spPr>
                </pic:pic>
              </a:graphicData>
            </a:graphic>
          </wp:inline>
        </w:drawing>
      </w:r>
      <w:r w:rsidR="00C7633E">
        <w:tab/>
      </w:r>
    </w:p>
    <w:p w14:paraId="78F8F460" w14:textId="77777777" w:rsidR="00C7633E" w:rsidRDefault="00C7633E" w:rsidP="00C7633E">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w:t>
      </w:r>
    </w:p>
    <w:p w14:paraId="01C3F9AB" w14:textId="77777777" w:rsidR="00C7633E" w:rsidRPr="00C7633E" w:rsidRDefault="00C7633E" w:rsidP="00C7633E">
      <w:pPr>
        <w:spacing w:after="0" w:line="240" w:lineRule="auto"/>
        <w:jc w:val="both"/>
        <w:rPr>
          <w:rFonts w:ascii="Verdana" w:eastAsia="Calibri" w:hAnsi="Verdana" w:cs="Arial"/>
          <w:b/>
          <w:bCs/>
          <w:lang w:eastAsia="es-ES"/>
        </w:rPr>
      </w:pPr>
      <w:r w:rsidRPr="00C7633E">
        <w:rPr>
          <w:rFonts w:ascii="Verdana" w:eastAsia="Calibri" w:hAnsi="Verdana" w:cs="Arial"/>
          <w:b/>
          <w:bCs/>
          <w:lang w:eastAsia="es-ES"/>
        </w:rPr>
        <w:t>Nelson Ferney Romero Segura</w:t>
      </w:r>
    </w:p>
    <w:p w14:paraId="564DD316" w14:textId="77777777" w:rsidR="00C7633E" w:rsidRDefault="00C7633E" w:rsidP="00C7633E">
      <w:pPr>
        <w:spacing w:after="0" w:line="240" w:lineRule="auto"/>
        <w:jc w:val="both"/>
      </w:pPr>
      <w:hyperlink r:id="rId11" w:history="1">
        <w:r w:rsidRPr="00B47FD7">
          <w:rPr>
            <w:rStyle w:val="Hipervnculo"/>
            <w:rFonts w:ascii="Verdana" w:hAnsi="Verdana"/>
            <w:b/>
            <w:bCs/>
          </w:rPr>
          <w:t>soujiro25ls@me.com</w:t>
        </w:r>
      </w:hyperlink>
    </w:p>
    <w:p w14:paraId="72ED75AF" w14:textId="65C5C9B8" w:rsidR="003C35DC" w:rsidRDefault="003C35DC" w:rsidP="00C7633E">
      <w:pPr>
        <w:spacing w:after="0" w:line="240" w:lineRule="auto"/>
        <w:jc w:val="both"/>
        <w:rPr>
          <w:rFonts w:ascii="Verdana" w:hAnsi="Verdana"/>
          <w:b/>
          <w:bCs/>
        </w:rPr>
      </w:pPr>
      <w:hyperlink r:id="rId12" w:history="1">
        <w:r w:rsidRPr="008E7CE1">
          <w:rPr>
            <w:rStyle w:val="Hipervnculo"/>
            <w:rFonts w:ascii="Verdana" w:hAnsi="Verdana"/>
            <w:b/>
            <w:bCs/>
          </w:rPr>
          <w:t>zenit138@gmail.com</w:t>
        </w:r>
      </w:hyperlink>
    </w:p>
    <w:p w14:paraId="02A7D528" w14:textId="77777777" w:rsidR="00C7633E" w:rsidRPr="007F2AEC" w:rsidRDefault="00C7633E" w:rsidP="00C7633E">
      <w:pPr>
        <w:spacing w:after="0" w:line="240" w:lineRule="auto"/>
        <w:jc w:val="both"/>
        <w:rPr>
          <w:rFonts w:ascii="Verdana" w:hAnsi="Verdana"/>
        </w:rPr>
      </w:pPr>
      <w:r>
        <w:rPr>
          <w:rFonts w:ascii="Verdana" w:hAnsi="Verdana"/>
        </w:rPr>
        <w:t>Villavicencio - Meta</w:t>
      </w:r>
    </w:p>
    <w:p w14:paraId="7BA901B2" w14:textId="77777777" w:rsidR="00C7633E" w:rsidRPr="007F2AEC" w:rsidRDefault="00C7633E" w:rsidP="00C7633E">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7633E" w:rsidRPr="005644FE" w14:paraId="70914786" w14:textId="77777777" w:rsidTr="00DA3402">
        <w:trPr>
          <w:trHeight w:val="162"/>
        </w:trPr>
        <w:tc>
          <w:tcPr>
            <w:tcW w:w="3119" w:type="dxa"/>
          </w:tcPr>
          <w:p w14:paraId="1DB30347" w14:textId="77777777" w:rsidR="00C7633E" w:rsidRPr="007F2AEC" w:rsidRDefault="00C7633E" w:rsidP="00DA3402">
            <w:pPr>
              <w:jc w:val="both"/>
              <w:rPr>
                <w:rFonts w:ascii="Verdana" w:eastAsia="Calibri" w:hAnsi="Verdana" w:cs="Arial"/>
                <w:b/>
                <w:bCs/>
                <w:color w:val="7030A0"/>
                <w:lang w:eastAsia="es-ES_tradnl"/>
              </w:rPr>
            </w:pPr>
          </w:p>
        </w:tc>
        <w:tc>
          <w:tcPr>
            <w:tcW w:w="5670" w:type="dxa"/>
          </w:tcPr>
          <w:p w14:paraId="77917DB3" w14:textId="77777777" w:rsidR="00C7633E" w:rsidRPr="005644FE" w:rsidRDefault="00C7633E" w:rsidP="00DA3402">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666 de 2026</w:t>
            </w:r>
          </w:p>
          <w:p w14:paraId="23904419" w14:textId="77777777" w:rsidR="00C7633E" w:rsidRPr="005644FE" w:rsidRDefault="00C7633E" w:rsidP="00DA3402">
            <w:pPr>
              <w:jc w:val="both"/>
              <w:rPr>
                <w:rFonts w:ascii="Verdana" w:eastAsia="Calibri" w:hAnsi="Verdana" w:cs="Arial"/>
                <w:b/>
                <w:bCs/>
                <w:color w:val="7030A0"/>
                <w:lang w:eastAsia="es-ES"/>
              </w:rPr>
            </w:pPr>
          </w:p>
        </w:tc>
      </w:tr>
      <w:tr w:rsidR="00C7633E" w:rsidRPr="005644FE" w14:paraId="2FB750BC" w14:textId="77777777" w:rsidTr="00DA3402">
        <w:trPr>
          <w:trHeight w:val="884"/>
        </w:trPr>
        <w:tc>
          <w:tcPr>
            <w:tcW w:w="3119" w:type="dxa"/>
          </w:tcPr>
          <w:p w14:paraId="1071D4B9" w14:textId="77777777" w:rsidR="00C7633E" w:rsidRPr="005644FE" w:rsidRDefault="00C7633E" w:rsidP="00DA3402">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B830394" w14:textId="77777777" w:rsidR="00C7633E" w:rsidRDefault="00C7633E" w:rsidP="00DA3402">
            <w:pPr>
              <w:spacing w:line="276" w:lineRule="auto"/>
              <w:jc w:val="both"/>
              <w:rPr>
                <w:rFonts w:ascii="Verdana" w:eastAsia="Calibri" w:hAnsi="Verdana" w:cs="Arial"/>
                <w:lang w:val="es-ES" w:eastAsia="es-ES"/>
              </w:rPr>
            </w:pPr>
            <w:r w:rsidRPr="00267F65">
              <w:rPr>
                <w:rFonts w:ascii="Verdana" w:eastAsia="Calibri" w:hAnsi="Verdana" w:cs="Arial"/>
                <w:lang w:val="es-ES" w:eastAsia="es-ES"/>
              </w:rPr>
              <w:t>ANTICIPO – Regulación normativa</w:t>
            </w:r>
            <w:r>
              <w:rPr>
                <w:rFonts w:ascii="Verdana" w:eastAsia="Calibri" w:hAnsi="Verdana" w:cs="Arial"/>
                <w:lang w:val="es-ES" w:eastAsia="es-ES"/>
              </w:rPr>
              <w:t xml:space="preserve"> / </w:t>
            </w:r>
            <w:r w:rsidRPr="00267F65">
              <w:rPr>
                <w:rFonts w:ascii="Verdana" w:eastAsia="Calibri" w:hAnsi="Verdana" w:cs="Arial"/>
                <w:lang w:val="es-ES" w:eastAsia="es-ES"/>
              </w:rPr>
              <w:t>ANTICIPO – Definición jurisprudencial</w:t>
            </w:r>
            <w:r>
              <w:rPr>
                <w:rFonts w:ascii="Verdana" w:eastAsia="Calibri" w:hAnsi="Verdana" w:cs="Arial"/>
                <w:lang w:val="es-ES" w:eastAsia="es-ES"/>
              </w:rPr>
              <w:t xml:space="preserve"> / </w:t>
            </w:r>
            <w:r w:rsidRPr="00267F65">
              <w:rPr>
                <w:rFonts w:ascii="Verdana" w:eastAsia="Calibri" w:hAnsi="Verdana" w:cs="Arial"/>
                <w:lang w:val="es-ES" w:eastAsia="es-ES"/>
              </w:rPr>
              <w:t xml:space="preserve">ANTICIPO – Autonomía de la voluntad – Derechos y obligaciones recíprocas </w:t>
            </w:r>
            <w:r>
              <w:rPr>
                <w:rFonts w:ascii="Verdana" w:eastAsia="Calibri" w:hAnsi="Verdana" w:cs="Arial"/>
                <w:lang w:val="es-ES" w:eastAsia="es-ES"/>
              </w:rPr>
              <w:t xml:space="preserve">/ </w:t>
            </w:r>
            <w:r w:rsidRPr="00267F65">
              <w:rPr>
                <w:rFonts w:ascii="Verdana" w:eastAsia="Calibri" w:hAnsi="Verdana" w:cs="Arial"/>
                <w:lang w:val="es-ES" w:eastAsia="es-ES"/>
              </w:rPr>
              <w:t>CONSTITUCIÓN DE FIDUCIA O PATRIMONIO AUTÓNOMO IRREVOCABLE – Artículo 91 Ley 1474</w:t>
            </w:r>
            <w:r>
              <w:rPr>
                <w:rFonts w:ascii="Verdana" w:eastAsia="Calibri" w:hAnsi="Verdana" w:cs="Arial"/>
                <w:lang w:val="es-ES" w:eastAsia="es-ES"/>
              </w:rPr>
              <w:t xml:space="preserve"> </w:t>
            </w:r>
            <w:r w:rsidRPr="00267F65">
              <w:rPr>
                <w:rFonts w:ascii="Verdana" w:eastAsia="Calibri" w:hAnsi="Verdana" w:cs="Arial"/>
                <w:lang w:val="es-ES" w:eastAsia="es-ES"/>
              </w:rPr>
              <w:t>de 2011</w:t>
            </w:r>
            <w:r>
              <w:rPr>
                <w:rFonts w:ascii="Verdana" w:eastAsia="Calibri" w:hAnsi="Verdana" w:cs="Arial"/>
                <w:lang w:val="es-ES" w:eastAsia="es-ES"/>
              </w:rPr>
              <w:t xml:space="preserve"> - Alcance / DECRETO 1082 DE 2015 – Contrato de servicios de salud – Selección abreviada – No constitución de fiducia o patrimonio autónomo</w:t>
            </w:r>
          </w:p>
          <w:p w14:paraId="162F4D5B" w14:textId="6476D4A2" w:rsidR="009D5162" w:rsidRPr="0084712D" w:rsidRDefault="009D5162" w:rsidP="00DA3402">
            <w:pPr>
              <w:spacing w:line="276" w:lineRule="auto"/>
              <w:jc w:val="both"/>
              <w:rPr>
                <w:rFonts w:ascii="Verdana" w:eastAsia="Calibri" w:hAnsi="Verdana" w:cs="Arial"/>
                <w:lang w:val="es-ES" w:eastAsia="es-ES"/>
              </w:rPr>
            </w:pPr>
          </w:p>
        </w:tc>
      </w:tr>
      <w:tr w:rsidR="00C7633E" w:rsidRPr="005644FE" w14:paraId="2994D486" w14:textId="77777777" w:rsidTr="00DA3402">
        <w:tc>
          <w:tcPr>
            <w:tcW w:w="3119" w:type="dxa"/>
          </w:tcPr>
          <w:p w14:paraId="26A10A60" w14:textId="77777777" w:rsidR="00C7633E" w:rsidRPr="005644FE" w:rsidRDefault="00C7633E" w:rsidP="00DA3402">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0B17C2B2" w14:textId="7C355C84" w:rsidR="00C7633E" w:rsidRPr="00F04657" w:rsidRDefault="00C7633E" w:rsidP="00DA3402">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B47FD7">
              <w:rPr>
                <w:rFonts w:ascii="Verdana" w:eastAsia="Calibri" w:hAnsi="Verdana" w:cs="Arial"/>
                <w:lang w:eastAsia="es-ES"/>
              </w:rPr>
              <w:t>1_2026_04_22_005480</w:t>
            </w:r>
            <w:r w:rsidR="006520E1">
              <w:rPr>
                <w:rFonts w:ascii="Verdana" w:eastAsia="Calibri" w:hAnsi="Verdana" w:cs="Arial"/>
                <w:lang w:eastAsia="es-ES"/>
              </w:rPr>
              <w:t xml:space="preserve"> y </w:t>
            </w:r>
            <w:r w:rsidR="006520E1" w:rsidRPr="006520E1">
              <w:rPr>
                <w:rFonts w:ascii="Verdana" w:eastAsia="Calibri" w:hAnsi="Verdana" w:cs="Arial"/>
                <w:lang w:eastAsia="es-ES"/>
              </w:rPr>
              <w:t>1_2026_04_22_005516</w:t>
            </w:r>
            <w:r w:rsidR="006520E1">
              <w:rPr>
                <w:rFonts w:ascii="Verdana" w:eastAsia="Calibri" w:hAnsi="Verdana" w:cs="Arial"/>
                <w:lang w:eastAsia="es-ES"/>
              </w:rPr>
              <w:t xml:space="preserve"> (Acumuladas)</w:t>
            </w:r>
          </w:p>
        </w:tc>
      </w:tr>
    </w:tbl>
    <w:p w14:paraId="4DA9D273" w14:textId="77777777" w:rsidR="00C7633E" w:rsidRPr="005644FE" w:rsidRDefault="00C7633E" w:rsidP="00C7633E">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06FB6158" w14:textId="77777777" w:rsidR="00C7633E" w:rsidRPr="005644FE" w:rsidRDefault="00C7633E" w:rsidP="00C7633E">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Romero: </w:t>
      </w:r>
    </w:p>
    <w:p w14:paraId="74D21F18" w14:textId="77777777" w:rsidR="00C7633E" w:rsidRPr="00E02524" w:rsidRDefault="00C7633E" w:rsidP="00C7633E">
      <w:pPr>
        <w:spacing w:after="0" w:line="240" w:lineRule="auto"/>
        <w:jc w:val="both"/>
        <w:rPr>
          <w:rFonts w:ascii="Verdana" w:hAnsi="Verdana"/>
          <w:lang w:val="es-MX"/>
        </w:rPr>
      </w:pPr>
    </w:p>
    <w:p w14:paraId="6440F0D5" w14:textId="77777777" w:rsidR="0084712D" w:rsidRPr="0084712D" w:rsidRDefault="0084712D" w:rsidP="0084712D">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las solicitudes de consulta de fecha 22 de abril de 2026, en las cuales manifiesta lo siguiente:</w:t>
      </w:r>
    </w:p>
    <w:p w14:paraId="5DF0C522" w14:textId="77777777" w:rsidR="0084712D" w:rsidRDefault="0084712D" w:rsidP="0084712D">
      <w:pPr>
        <w:spacing w:after="0" w:line="240" w:lineRule="auto"/>
        <w:jc w:val="both"/>
        <w:rPr>
          <w:rFonts w:ascii="Verdana" w:hAnsi="Verdana"/>
        </w:rPr>
      </w:pPr>
    </w:p>
    <w:p w14:paraId="5EDEBE59" w14:textId="40BAEBB1" w:rsidR="00C7633E" w:rsidRPr="002D339E" w:rsidRDefault="00C7633E" w:rsidP="00C7633E">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22394A2E" w14:textId="77777777" w:rsidR="00C7633E" w:rsidRDefault="00C7633E" w:rsidP="00C7633E">
      <w:pPr>
        <w:spacing w:after="0" w:line="240" w:lineRule="auto"/>
        <w:ind w:left="709" w:right="709"/>
        <w:jc w:val="both"/>
        <w:rPr>
          <w:rFonts w:ascii="Verdana" w:hAnsi="Verdana"/>
          <w:sz w:val="20"/>
          <w:szCs w:val="20"/>
        </w:rPr>
      </w:pPr>
      <w:r>
        <w:rPr>
          <w:rFonts w:ascii="Verdana" w:hAnsi="Verdana"/>
          <w:sz w:val="20"/>
          <w:szCs w:val="20"/>
        </w:rPr>
        <w:t xml:space="preserve">“(…) </w:t>
      </w:r>
      <w:r w:rsidRPr="00B47FD7">
        <w:rPr>
          <w:rFonts w:ascii="Verdana" w:hAnsi="Verdana"/>
          <w:sz w:val="20"/>
          <w:szCs w:val="20"/>
        </w:rPr>
        <w:t xml:space="preserve">Se de claridad sobre el alcance de la norma en cuanto lo siguiente: 1- Se determine en </w:t>
      </w:r>
      <w:proofErr w:type="spellStart"/>
      <w:r w:rsidRPr="00B47FD7">
        <w:rPr>
          <w:rFonts w:ascii="Verdana" w:hAnsi="Verdana"/>
          <w:sz w:val="20"/>
          <w:szCs w:val="20"/>
        </w:rPr>
        <w:t>que</w:t>
      </w:r>
      <w:proofErr w:type="spellEnd"/>
      <w:r w:rsidRPr="00B47FD7">
        <w:rPr>
          <w:rFonts w:ascii="Verdana" w:hAnsi="Verdana"/>
          <w:sz w:val="20"/>
          <w:szCs w:val="20"/>
        </w:rPr>
        <w:t xml:space="preserve"> casos y cuales no, se debe exigir fiducia para el manejo de recurso de anticipo en los contratos de salud entendiéndose que todos se desarrollan bajo la modalidad de selección abreviada y la misma norma tiene el excluyente para ellos</w:t>
      </w:r>
      <w:r>
        <w:rPr>
          <w:rFonts w:ascii="Verdana" w:hAnsi="Verdana"/>
          <w:sz w:val="20"/>
          <w:szCs w:val="20"/>
        </w:rPr>
        <w:t>.</w:t>
      </w:r>
    </w:p>
    <w:p w14:paraId="0FB31028" w14:textId="77777777" w:rsidR="009D5162" w:rsidRDefault="009D5162" w:rsidP="00C7633E">
      <w:pPr>
        <w:spacing w:after="0" w:line="240" w:lineRule="auto"/>
        <w:ind w:left="709" w:right="709"/>
        <w:jc w:val="both"/>
        <w:rPr>
          <w:rFonts w:ascii="Verdana" w:hAnsi="Verdana"/>
          <w:sz w:val="20"/>
          <w:szCs w:val="20"/>
        </w:rPr>
      </w:pPr>
    </w:p>
    <w:p w14:paraId="0ADF8521" w14:textId="1C2D44BF" w:rsidR="00C7633E" w:rsidRDefault="00C7633E" w:rsidP="00C7633E">
      <w:pPr>
        <w:spacing w:after="0" w:line="240" w:lineRule="auto"/>
        <w:ind w:left="709" w:right="709"/>
        <w:jc w:val="both"/>
        <w:rPr>
          <w:rFonts w:ascii="Verdana" w:hAnsi="Verdana"/>
          <w:sz w:val="20"/>
          <w:szCs w:val="20"/>
        </w:rPr>
      </w:pPr>
      <w:r>
        <w:rPr>
          <w:rFonts w:ascii="Verdana" w:hAnsi="Verdana"/>
          <w:sz w:val="20"/>
          <w:szCs w:val="20"/>
        </w:rPr>
        <w:t xml:space="preserve">2- </w:t>
      </w:r>
      <w:r w:rsidRPr="00903A0E">
        <w:rPr>
          <w:rFonts w:ascii="Verdana" w:hAnsi="Verdana"/>
          <w:sz w:val="20"/>
          <w:szCs w:val="20"/>
        </w:rPr>
        <w:t xml:space="preserve">En caso de no poderse dar claridad; se solicite ante un ente superior (concejo </w:t>
      </w:r>
      <w:r>
        <w:rPr>
          <w:rFonts w:ascii="Verdana" w:hAnsi="Verdana"/>
          <w:sz w:val="20"/>
          <w:szCs w:val="20"/>
        </w:rPr>
        <w:t xml:space="preserve">(sic) </w:t>
      </w:r>
      <w:r w:rsidRPr="00903A0E">
        <w:rPr>
          <w:rFonts w:ascii="Verdana" w:hAnsi="Verdana"/>
          <w:sz w:val="20"/>
          <w:szCs w:val="20"/>
        </w:rPr>
        <w:t>de estado) se determine cual</w:t>
      </w:r>
      <w:r>
        <w:rPr>
          <w:rFonts w:ascii="Verdana" w:hAnsi="Verdana"/>
          <w:sz w:val="20"/>
          <w:szCs w:val="20"/>
        </w:rPr>
        <w:t xml:space="preserve"> (sic)</w:t>
      </w:r>
      <w:r w:rsidRPr="00903A0E">
        <w:rPr>
          <w:rFonts w:ascii="Verdana" w:hAnsi="Verdana"/>
          <w:sz w:val="20"/>
          <w:szCs w:val="20"/>
        </w:rPr>
        <w:t xml:space="preserve"> fue el espíritu de la norma, y se aclara la contradicción existente. </w:t>
      </w:r>
      <w:r>
        <w:rPr>
          <w:rFonts w:ascii="Verdana" w:hAnsi="Verdana"/>
          <w:sz w:val="20"/>
          <w:szCs w:val="20"/>
        </w:rPr>
        <w:t xml:space="preserve"> (…)”.</w:t>
      </w:r>
    </w:p>
    <w:p w14:paraId="3C03023A" w14:textId="77777777" w:rsidR="00C7633E" w:rsidRPr="00647D77" w:rsidRDefault="00C7633E" w:rsidP="00C7633E">
      <w:pPr>
        <w:spacing w:after="0" w:line="240" w:lineRule="auto"/>
        <w:ind w:right="709"/>
        <w:jc w:val="both"/>
        <w:rPr>
          <w:rFonts w:ascii="Verdana" w:hAnsi="Verdana"/>
        </w:rPr>
      </w:pPr>
    </w:p>
    <w:p w14:paraId="5A795099" w14:textId="77777777" w:rsidR="00C7633E" w:rsidRPr="00F64722" w:rsidRDefault="00C7633E" w:rsidP="00C7633E">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B15DC23" w14:textId="77777777" w:rsidR="00C7633E" w:rsidRPr="00BC65C7" w:rsidRDefault="00C7633E" w:rsidP="00C7633E">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BC65C7">
        <w:rPr>
          <w:rFonts w:ascii="Verdana" w:eastAsia="Calibri" w:hAnsi="Verdana" w:cs="Arial"/>
          <w:color w:val="000000"/>
          <w:lang w:eastAsia="es-ES"/>
        </w:rPr>
        <w:t>señalando algunas consideraciones sobre las normas generales relacionadas al problema jurídico de su consulta.</w:t>
      </w:r>
      <w:r w:rsidRPr="00BC65C7">
        <w:rPr>
          <w:rFonts w:ascii="Verdana" w:eastAsia="Calibri" w:hAnsi="Verdana" w:cs="Arial"/>
          <w:lang w:eastAsia="es-ES"/>
        </w:rPr>
        <w:t xml:space="preserve">  </w:t>
      </w:r>
    </w:p>
    <w:p w14:paraId="10AB33C3" w14:textId="77777777" w:rsidR="00C7633E" w:rsidRPr="00BC65C7" w:rsidRDefault="00C7633E" w:rsidP="00C763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C65C7">
        <w:rPr>
          <w:rFonts w:ascii="Verdana" w:eastAsia="Century Gothic" w:hAnsi="Verdana" w:cs="Century Gothic"/>
          <w:b/>
          <w:bCs/>
        </w:rPr>
        <w:t>Problema planteado:</w:t>
      </w:r>
    </w:p>
    <w:p w14:paraId="12ED7BDC" w14:textId="77777777" w:rsidR="00C7633E" w:rsidRPr="00DB6A18" w:rsidRDefault="00C7633E" w:rsidP="00C7633E">
      <w:pPr>
        <w:spacing w:after="0" w:line="240" w:lineRule="auto"/>
        <w:jc w:val="both"/>
        <w:rPr>
          <w:rFonts w:ascii="Verdana" w:eastAsia="Calibri" w:hAnsi="Verdana" w:cs="Arial"/>
          <w:color w:val="000000"/>
          <w:lang w:eastAsia="es-ES"/>
        </w:rPr>
      </w:pPr>
    </w:p>
    <w:p w14:paraId="3BB56D5B" w14:textId="77777777" w:rsidR="00C7633E" w:rsidRDefault="00C7633E" w:rsidP="00C7633E">
      <w:pPr>
        <w:spacing w:after="0" w:line="276" w:lineRule="auto"/>
        <w:jc w:val="both"/>
        <w:rPr>
          <w:rFonts w:ascii="Verdana" w:hAnsi="Verdana"/>
        </w:rPr>
      </w:pPr>
      <w:r w:rsidRPr="00BC65C7">
        <w:rPr>
          <w:rFonts w:ascii="Verdana" w:eastAsia="Calibri" w:hAnsi="Verdana" w:cs="Arial"/>
          <w:color w:val="000000"/>
          <w:lang w:eastAsia="es-ES"/>
        </w:rPr>
        <w:t xml:space="preserve">De acuerdo con el contenido de su solicitud, esta Agencia resolverá el siguiente problema jurídico: </w:t>
      </w:r>
      <w:proofErr w:type="gramStart"/>
      <w:r w:rsidRPr="00BC65C7">
        <w:rPr>
          <w:rFonts w:ascii="Verdana" w:eastAsia="Calibri" w:hAnsi="Verdana" w:cs="Arial"/>
          <w:color w:val="000000"/>
          <w:lang w:eastAsia="es-ES"/>
        </w:rPr>
        <w:t>¿Cuál es el alcance e interpretación del artículo 91 de la Ley 1474 de 2011 y el artículo 2.</w:t>
      </w:r>
      <w:proofErr w:type="gramEnd"/>
      <w:r w:rsidRPr="00BC65C7">
        <w:rPr>
          <w:rFonts w:ascii="Verdana" w:eastAsia="Calibri" w:hAnsi="Verdana" w:cs="Arial"/>
          <w:color w:val="000000"/>
          <w:lang w:eastAsia="es-ES"/>
        </w:rPr>
        <w:t xml:space="preserve">2.1.2.1.2.21 del Decreto 1082 de 2015 relativo a la obligatoriedad </w:t>
      </w:r>
      <w:r>
        <w:rPr>
          <w:rFonts w:ascii="Verdana" w:eastAsia="Calibri" w:hAnsi="Verdana" w:cs="Arial"/>
          <w:color w:val="000000"/>
          <w:lang w:eastAsia="es-ES"/>
        </w:rPr>
        <w:t xml:space="preserve">o no </w:t>
      </w:r>
      <w:r w:rsidRPr="00BC65C7">
        <w:rPr>
          <w:rFonts w:ascii="Verdana" w:eastAsia="Calibri" w:hAnsi="Verdana" w:cs="Arial"/>
          <w:color w:val="000000"/>
          <w:lang w:eastAsia="es-ES"/>
        </w:rPr>
        <w:t>de constituir una fiducia o patrimonio autónomo irrevocable en los contratos de prestación de los servicios de salud?</w:t>
      </w:r>
      <w:r>
        <w:rPr>
          <w:rFonts w:ascii="Verdana" w:eastAsia="Calibri" w:hAnsi="Verdana" w:cs="Arial"/>
          <w:color w:val="000000"/>
          <w:lang w:eastAsia="es-ES"/>
        </w:rPr>
        <w:t xml:space="preserve"> </w:t>
      </w:r>
      <w:r w:rsidRPr="008C7626">
        <w:rPr>
          <w:rFonts w:ascii="Verdana" w:hAnsi="Verdana"/>
        </w:rPr>
        <w:t xml:space="preserve"> </w:t>
      </w:r>
    </w:p>
    <w:p w14:paraId="3A310C02" w14:textId="77777777" w:rsidR="00C7633E" w:rsidRPr="007620A2" w:rsidRDefault="00C7633E" w:rsidP="00C7633E">
      <w:pPr>
        <w:spacing w:after="0" w:line="240" w:lineRule="auto"/>
        <w:jc w:val="both"/>
        <w:rPr>
          <w:rFonts w:ascii="Verdana" w:hAnsi="Verdana"/>
        </w:rPr>
      </w:pPr>
      <w:r>
        <w:rPr>
          <w:rFonts w:ascii="Verdana" w:hAnsi="Verdana"/>
        </w:rPr>
        <w:t xml:space="preserve"> </w:t>
      </w:r>
    </w:p>
    <w:p w14:paraId="06A67B4D" w14:textId="77777777" w:rsidR="00C7633E" w:rsidRPr="00C97CA6" w:rsidRDefault="00C7633E" w:rsidP="00C7633E">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3BD4F2E5" w14:textId="77777777" w:rsidR="00C7633E" w:rsidRPr="005644FE" w:rsidRDefault="00C7633E" w:rsidP="00C7633E">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7633E" w:rsidRPr="005644FE" w14:paraId="48EA3350" w14:textId="77777777" w:rsidTr="00DA3402">
        <w:tc>
          <w:tcPr>
            <w:tcW w:w="8828" w:type="dxa"/>
          </w:tcPr>
          <w:p w14:paraId="7376FE53" w14:textId="77777777" w:rsidR="00C7633E" w:rsidRDefault="00C7633E" w:rsidP="00DA3402">
            <w:pPr>
              <w:spacing w:after="120" w:line="276" w:lineRule="auto"/>
              <w:jc w:val="both"/>
              <w:rPr>
                <w:rFonts w:ascii="Verdana" w:eastAsia="Calibri" w:hAnsi="Verdana" w:cs="Arial"/>
              </w:rPr>
            </w:pPr>
            <w:r>
              <w:rPr>
                <w:rFonts w:ascii="Verdana" w:eastAsia="Calibri" w:hAnsi="Verdana" w:cs="Arial"/>
              </w:rPr>
              <w:t>C</w:t>
            </w:r>
            <w:r w:rsidRPr="005F2061">
              <w:rPr>
                <w:rFonts w:ascii="Verdana" w:eastAsia="Calibri" w:hAnsi="Verdana" w:cs="Arial"/>
              </w:rPr>
              <w:t>onforme al artículo 91 de la Ley 1474 de 2011, existen algunos contratos respecto de los cuales la ley obliga al contratista de constituir una fiducia mercantil para el manejo de los recursos entregados a título de anticipo.</w:t>
            </w:r>
            <w:r>
              <w:rPr>
                <w:rFonts w:ascii="Verdana" w:eastAsia="Calibri" w:hAnsi="Verdana" w:cs="Arial"/>
              </w:rPr>
              <w:t xml:space="preserve"> </w:t>
            </w:r>
            <w:r w:rsidRPr="005F2061">
              <w:rPr>
                <w:rFonts w:ascii="Verdana" w:eastAsia="Calibri" w:hAnsi="Verdana" w:cs="Arial"/>
                <w:bCs/>
                <w:color w:val="000000" w:themeColor="text1"/>
                <w:lang w:val="es-ES_tradnl"/>
              </w:rPr>
              <w:t xml:space="preserve">Esta norma dispone que: </w:t>
            </w:r>
            <w:r>
              <w:rPr>
                <w:rFonts w:ascii="Verdana" w:eastAsia="Calibri" w:hAnsi="Verdana" w:cs="Arial"/>
                <w:bCs/>
                <w:color w:val="000000" w:themeColor="text1"/>
                <w:lang w:val="es-ES_tradnl"/>
              </w:rPr>
              <w:t>“</w:t>
            </w:r>
            <w:r w:rsidRPr="005F2061">
              <w:rPr>
                <w:rFonts w:ascii="Verdana" w:eastAsia="Calibri" w:hAnsi="Verdana" w:cs="Arial"/>
              </w:rPr>
              <w:t>En los contratos de obra, concesión, salud, o los que se realicen por licitación pública</w:t>
            </w:r>
            <w:r w:rsidRPr="005F2061">
              <w:rPr>
                <w:rFonts w:ascii="Verdana" w:eastAsia="Calibri" w:hAnsi="Verdana" w:cs="Arial"/>
                <w:i/>
                <w:iCs/>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5F2061">
              <w:rPr>
                <w:rFonts w:ascii="Verdana" w:eastAsia="Calibri" w:hAnsi="Verdana" w:cs="Arial"/>
              </w:rPr>
              <w:t>. El costo de la comisión fiduciaria será cubierto directamente por el contratista</w:t>
            </w:r>
            <w:r>
              <w:rPr>
                <w:rFonts w:ascii="Verdana" w:eastAsia="Calibri" w:hAnsi="Verdana" w:cs="Arial"/>
              </w:rPr>
              <w:t>”.</w:t>
            </w:r>
          </w:p>
          <w:p w14:paraId="3707ACC4" w14:textId="77777777" w:rsidR="00C7633E" w:rsidRDefault="00C7633E" w:rsidP="00DA3402">
            <w:pPr>
              <w:spacing w:after="120" w:line="276" w:lineRule="auto"/>
              <w:ind w:firstLine="709"/>
              <w:jc w:val="both"/>
              <w:rPr>
                <w:rFonts w:ascii="Verdana" w:eastAsia="Calibri" w:hAnsi="Verdana" w:cs="Arial"/>
              </w:rPr>
            </w:pPr>
            <w:r>
              <w:rPr>
                <w:rFonts w:ascii="Verdana" w:eastAsia="Calibri" w:hAnsi="Verdana" w:cs="Arial"/>
              </w:rPr>
              <w:t xml:space="preserve">Del análisis de la norma se puede indicar que </w:t>
            </w:r>
            <w:r w:rsidRPr="005F2061">
              <w:rPr>
                <w:rFonts w:ascii="Verdana" w:eastAsia="Calibri" w:hAnsi="Verdana" w:cs="Arial"/>
              </w:rPr>
              <w:t>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w:t>
            </w:r>
            <w:r>
              <w:rPr>
                <w:rFonts w:ascii="Verdana" w:eastAsia="Calibri" w:hAnsi="Verdana" w:cs="Arial"/>
              </w:rPr>
              <w:t xml:space="preserve"> como se explicó </w:t>
            </w:r>
            <w:r w:rsidRPr="00277D9E">
              <w:rPr>
                <w:rFonts w:ascii="Verdana" w:eastAsia="Calibri" w:hAnsi="Verdana" w:cs="Arial"/>
                <w:i/>
                <w:iCs/>
              </w:rPr>
              <w:t>ut supra</w:t>
            </w:r>
            <w:r w:rsidRPr="005F2061">
              <w:rPr>
                <w:rFonts w:ascii="Verdana" w:eastAsia="Calibri" w:hAnsi="Verdana" w:cs="Arial"/>
              </w:rPr>
              <w:t>.</w:t>
            </w:r>
          </w:p>
          <w:p w14:paraId="3C7BA35C" w14:textId="77777777" w:rsidR="00C7633E" w:rsidRDefault="00C7633E" w:rsidP="00DA3402">
            <w:pPr>
              <w:spacing w:after="120" w:line="276" w:lineRule="auto"/>
              <w:ind w:firstLine="709"/>
              <w:jc w:val="both"/>
              <w:rPr>
                <w:rFonts w:ascii="Verdana" w:eastAsia="Calibri" w:hAnsi="Verdana" w:cs="Arial"/>
              </w:rPr>
            </w:pPr>
            <w:r>
              <w:rPr>
                <w:rFonts w:ascii="Verdana" w:eastAsia="Calibri" w:hAnsi="Verdana" w:cs="Arial"/>
              </w:rPr>
              <w:t>L</w:t>
            </w:r>
            <w:r w:rsidRPr="00397C86">
              <w:rPr>
                <w:rFonts w:ascii="Verdana" w:eastAsia="Calibri" w:hAnsi="Verdana" w:cs="Arial"/>
              </w:rPr>
              <w:t xml:space="preserve">a Agencia Nacional de Contratación Pública – Colombia Compra Eficiente en </w:t>
            </w:r>
            <w:r>
              <w:rPr>
                <w:rFonts w:ascii="Verdana" w:eastAsia="Calibri" w:hAnsi="Verdana" w:cs="Arial"/>
              </w:rPr>
              <w:t xml:space="preserve">conceptos anteriores ha sostenido que </w:t>
            </w:r>
            <w:r w:rsidRPr="00790259">
              <w:rPr>
                <w:rFonts w:ascii="Verdana" w:eastAsia="Calibri" w:hAnsi="Verdana" w:cs="Arial"/>
              </w:rPr>
              <w:t>“En consideración a lo enunciado previamente, el ejercicio interpretativo que esta Agencia ha mantenido sobre la sobre la expresión “salvo que el contrato sea de menor o mínima cuantía” contenida en la parte final del artículo 91 de la Ley 1474 de 2011, ha sido la de entender que en los contratos cuya cuantía resulte ser de mínima o menor cuantía no será obligatoria la constitución de un patrimonio autónomo o una fiducia para administrar los recursos del anticipo, así haya surgido a través de un proceso de selección por licitación pública.”</w:t>
            </w:r>
          </w:p>
          <w:p w14:paraId="6E36D730" w14:textId="77777777" w:rsidR="00C7633E" w:rsidRPr="00790259" w:rsidRDefault="00C7633E" w:rsidP="00DA3402">
            <w:pPr>
              <w:spacing w:after="120" w:line="276" w:lineRule="auto"/>
              <w:ind w:firstLine="709"/>
              <w:jc w:val="both"/>
              <w:rPr>
                <w:rFonts w:ascii="Verdana" w:eastAsia="Calibri" w:hAnsi="Verdana" w:cs="Arial"/>
              </w:rPr>
            </w:pPr>
            <w:r>
              <w:rPr>
                <w:rFonts w:ascii="Verdana" w:eastAsia="Calibri" w:hAnsi="Verdana" w:cs="Arial"/>
              </w:rPr>
              <w:t xml:space="preserve">Adicionalmente, el artículo </w:t>
            </w:r>
            <w:r w:rsidRPr="002310F3">
              <w:rPr>
                <w:rFonts w:ascii="Verdana" w:eastAsia="Calibri" w:hAnsi="Verdana" w:cs="Arial"/>
              </w:rPr>
              <w:t>2.2.1.2.1.2.21</w:t>
            </w:r>
            <w:r>
              <w:rPr>
                <w:rFonts w:ascii="Verdana" w:eastAsia="Calibri" w:hAnsi="Verdana" w:cs="Arial"/>
              </w:rPr>
              <w:t xml:space="preserve"> del Decreto 1082 de 2015 determina que, en los eventos en que la entidad estatal requiera de la contratación de servicios de salud, se deberá utilizar el procedimiento de selección abreviada de menor cuantía. De esta manera, haciendo una lectura armónica tanto del artículo 91 de la Ley 1474 de 2011 y el Decreto 1082 de 2015, para la contratación de los servicios de salud, deberá seleccionarse al contratista a través del proceso de selección de menor cuantía, por lo que </w:t>
            </w:r>
            <w:r w:rsidRPr="00397C86">
              <w:rPr>
                <w:rFonts w:ascii="Verdana" w:eastAsia="Calibri" w:hAnsi="Verdana" w:cs="Arial"/>
              </w:rPr>
              <w:t xml:space="preserve">la fiducia o el patrimonio autónomo irrevocable para el manejo de los recursos del anticipo </w:t>
            </w:r>
            <w:r>
              <w:rPr>
                <w:rFonts w:ascii="Verdana" w:eastAsia="Calibri" w:hAnsi="Verdana" w:cs="Arial"/>
              </w:rPr>
              <w:t>en este caso no</w:t>
            </w:r>
            <w:r w:rsidRPr="00397C86">
              <w:rPr>
                <w:rFonts w:ascii="Verdana" w:eastAsia="Calibri" w:hAnsi="Verdana" w:cs="Arial"/>
              </w:rPr>
              <w:t xml:space="preserve"> es obligatoria, </w:t>
            </w:r>
            <w:r>
              <w:rPr>
                <w:rFonts w:ascii="Verdana" w:eastAsia="Calibri" w:hAnsi="Verdana" w:cs="Arial"/>
              </w:rPr>
              <w:t>ya que</w:t>
            </w:r>
            <w:r w:rsidRPr="00397C86">
              <w:rPr>
                <w:rFonts w:ascii="Verdana" w:eastAsia="Calibri" w:hAnsi="Verdana" w:cs="Arial"/>
              </w:rPr>
              <w:t xml:space="preserve"> el contrato que se llegue a celebrar estaría en curso en la excepción general contemplada en el artículo 91 de la Ley 1474 de </w:t>
            </w:r>
            <w:r>
              <w:rPr>
                <w:rFonts w:ascii="Verdana" w:eastAsia="Calibri" w:hAnsi="Verdana" w:cs="Arial"/>
              </w:rPr>
              <w:t>2011.</w:t>
            </w:r>
          </w:p>
        </w:tc>
      </w:tr>
    </w:tbl>
    <w:p w14:paraId="42DE0458" w14:textId="77777777" w:rsidR="0084712D" w:rsidRDefault="0084712D" w:rsidP="00C7633E">
      <w:pPr>
        <w:tabs>
          <w:tab w:val="left" w:pos="142"/>
          <w:tab w:val="left" w:pos="284"/>
        </w:tabs>
        <w:spacing w:after="0" w:line="276" w:lineRule="auto"/>
        <w:jc w:val="both"/>
        <w:rPr>
          <w:rFonts w:ascii="Verdana" w:eastAsia="Century Gothic" w:hAnsi="Verdana" w:cs="Century Gothic"/>
          <w:b/>
          <w:bCs/>
        </w:rPr>
      </w:pPr>
    </w:p>
    <w:p w14:paraId="59C6DE77" w14:textId="3DC8291D" w:rsidR="00C7633E" w:rsidRPr="005644FE" w:rsidRDefault="00C7633E" w:rsidP="00C7633E">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D516029" w14:textId="77777777" w:rsidR="00C7633E" w:rsidRPr="005644FE" w:rsidRDefault="00C7633E" w:rsidP="00C7633E">
      <w:pPr>
        <w:pStyle w:val="Prrafodelista"/>
        <w:tabs>
          <w:tab w:val="left" w:pos="142"/>
          <w:tab w:val="left" w:pos="284"/>
        </w:tabs>
        <w:spacing w:after="0" w:line="240" w:lineRule="auto"/>
        <w:ind w:left="0"/>
        <w:contextualSpacing w:val="0"/>
        <w:jc w:val="both"/>
        <w:rPr>
          <w:rFonts w:ascii="Verdana" w:eastAsia="Calibri" w:hAnsi="Verdana" w:cs="Arial"/>
        </w:rPr>
      </w:pPr>
    </w:p>
    <w:p w14:paraId="75E2D211" w14:textId="77777777" w:rsidR="00C7633E" w:rsidRDefault="00C7633E" w:rsidP="00C7633E">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19A1D9D4" w14:textId="77777777" w:rsidR="00C7633E" w:rsidRDefault="00C7633E" w:rsidP="00C7633E">
      <w:pPr>
        <w:tabs>
          <w:tab w:val="left" w:pos="142"/>
          <w:tab w:val="left" w:pos="284"/>
          <w:tab w:val="left" w:pos="6975"/>
        </w:tabs>
        <w:spacing w:after="0" w:line="240" w:lineRule="auto"/>
        <w:jc w:val="both"/>
        <w:rPr>
          <w:rFonts w:ascii="Verdana" w:eastAsia="Calibri" w:hAnsi="Verdana" w:cs="Arial"/>
        </w:rPr>
      </w:pPr>
    </w:p>
    <w:p w14:paraId="712E5309" w14:textId="77777777" w:rsidR="00C7633E" w:rsidRPr="00B706E8" w:rsidRDefault="00C7633E" w:rsidP="00C7633E">
      <w:pPr>
        <w:tabs>
          <w:tab w:val="left" w:pos="142"/>
          <w:tab w:val="left" w:pos="284"/>
          <w:tab w:val="left" w:pos="6975"/>
        </w:tabs>
        <w:spacing w:after="120" w:line="276" w:lineRule="auto"/>
        <w:jc w:val="both"/>
        <w:rPr>
          <w:rFonts w:ascii="Verdana" w:eastAsia="Calibri" w:hAnsi="Verdana" w:cs="Arial"/>
        </w:rPr>
      </w:pPr>
      <w:r w:rsidRPr="00326D28">
        <w:rPr>
          <w:rFonts w:ascii="Verdana" w:eastAsia="Calibri" w:hAnsi="Verdana" w:cs="Arial"/>
          <w:color w:val="000000"/>
          <w:lang w:eastAsia="en-GB"/>
        </w:rPr>
        <w:t>En materia de contratación pública, la figura del anticipo está prevista en dos (2) normas: el</w:t>
      </w:r>
      <w:r w:rsidRPr="00326D28">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eastAsia="Calibri" w:hAnsi="Verdana" w:cs="Arial"/>
          <w:color w:val="000000" w:themeColor="text1"/>
          <w:lang w:val="es-ES"/>
        </w:rPr>
        <w:t>“</w:t>
      </w:r>
      <w:r w:rsidRPr="00326D28">
        <w:rPr>
          <w:rFonts w:ascii="Verdana" w:hAnsi="Verdana" w:cs="Arial"/>
          <w:color w:val="000000" w:themeColor="text1"/>
        </w:rPr>
        <w:t>En los contratos que celebren las entidades estatales se podrá pactar el pago anticipado y la entrega de anticipos, pero su monto no podrá exceder del cincuenta por ciento (50%) del valor del respectivo contrato</w:t>
      </w:r>
      <w:r>
        <w:rPr>
          <w:rFonts w:ascii="Verdana" w:eastAsia="Calibri" w:hAnsi="Verdana" w:cs="Arial"/>
          <w:color w:val="000000" w:themeColor="text1"/>
          <w:lang w:val="es-ES"/>
        </w:rPr>
        <w:t>”</w:t>
      </w:r>
      <w:r w:rsidRPr="00326D28">
        <w:rPr>
          <w:rFonts w:ascii="Verdana" w:hAnsi="Verdana" w:cs="Arial"/>
          <w:color w:val="000000" w:themeColor="text1"/>
        </w:rPr>
        <w:t xml:space="preserve">. </w:t>
      </w:r>
    </w:p>
    <w:p w14:paraId="193462E1" w14:textId="77777777" w:rsidR="00C7633E" w:rsidRPr="00326D28" w:rsidRDefault="00C7633E" w:rsidP="00C7633E">
      <w:pPr>
        <w:tabs>
          <w:tab w:val="left" w:pos="0"/>
        </w:tabs>
        <w:spacing w:after="120" w:line="276" w:lineRule="auto"/>
        <w:ind w:firstLine="709"/>
        <w:jc w:val="both"/>
        <w:rPr>
          <w:rFonts w:ascii="Verdana" w:hAnsi="Verdana" w:cs="Arial"/>
          <w:color w:val="000000" w:themeColor="text1"/>
        </w:rPr>
      </w:pPr>
      <w:r w:rsidRPr="00326D28">
        <w:rPr>
          <w:rFonts w:ascii="Verdana" w:hAnsi="Verdana" w:cs="Arial"/>
          <w:color w:val="000000" w:themeColor="text1"/>
        </w:rPr>
        <w:t xml:space="preserve">Por su parte, </w:t>
      </w:r>
      <w:r w:rsidRPr="00326D28">
        <w:rPr>
          <w:rFonts w:ascii="Verdana" w:hAnsi="Verdana" w:cs="Arial"/>
          <w:color w:val="000000" w:themeColor="text1"/>
          <w:lang w:val="es-ES"/>
        </w:rPr>
        <w:t>el artículo 91 de la Ley 1474 de 2011</w:t>
      </w:r>
      <w:r>
        <w:rPr>
          <w:rStyle w:val="Refdenotaalpie"/>
          <w:rFonts w:ascii="Verdana" w:hAnsi="Verdana" w:cs="Arial"/>
          <w:color w:val="000000" w:themeColor="text1"/>
          <w:lang w:val="es-ES"/>
        </w:rPr>
        <w:footnoteReference w:id="1"/>
      </w:r>
      <w:r w:rsidRPr="00326D28">
        <w:rPr>
          <w:rFonts w:ascii="Verdana" w:hAnsi="Verdana" w:cs="Arial"/>
          <w:color w:val="000000" w:themeColor="text1"/>
          <w:lang w:val="es-ES"/>
        </w:rPr>
        <w:t xml:space="preserve">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09C206B7" w14:textId="77777777" w:rsidR="00C7633E" w:rsidRPr="00326D28" w:rsidRDefault="00C7633E" w:rsidP="00C7633E">
      <w:pPr>
        <w:tabs>
          <w:tab w:val="left" w:pos="0"/>
        </w:tabs>
        <w:spacing w:after="120" w:line="276" w:lineRule="auto"/>
        <w:ind w:firstLine="709"/>
        <w:jc w:val="both"/>
        <w:rPr>
          <w:rFonts w:ascii="Verdana" w:eastAsia="Calibri" w:hAnsi="Verdana" w:cs="Arial"/>
          <w:vertAlign w:val="superscript"/>
        </w:rPr>
      </w:pPr>
      <w:r w:rsidRPr="00326D28">
        <w:rPr>
          <w:rFonts w:ascii="Verdana" w:eastAsia="Calibri" w:hAnsi="Verdana" w:cs="Arial"/>
        </w:rPr>
        <w:t>Aunque las normas citadas no definen el anticipo, el Consejo de Estado ha precisado su naturaleza jurídica fijando parámetros para su aplicación</w:t>
      </w:r>
      <w:r w:rsidRPr="00326D28">
        <w:rPr>
          <w:rStyle w:val="Refdenotaalpie"/>
          <w:rFonts w:ascii="Verdana" w:eastAsia="Calibri" w:hAnsi="Verdana" w:cs="Arial"/>
        </w:rPr>
        <w:footnoteReference w:id="2"/>
      </w:r>
      <w:r w:rsidRPr="00326D28">
        <w:rPr>
          <w:rFonts w:ascii="Verdana" w:eastAsia="Calibri" w:hAnsi="Verdana" w:cs="Arial"/>
        </w:rPr>
        <w:t xml:space="preserve">. Dicha Corporación se ha referido  al anticipo como </w:t>
      </w:r>
      <w:r>
        <w:rPr>
          <w:rFonts w:ascii="Verdana" w:eastAsia="Calibri" w:hAnsi="Verdana" w:cs="Arial"/>
          <w:color w:val="000000" w:themeColor="text1"/>
          <w:lang w:val="es-ES"/>
        </w:rPr>
        <w:t>“</w:t>
      </w:r>
      <w:r w:rsidRPr="00326D28">
        <w:rPr>
          <w:rFonts w:ascii="Verdana" w:eastAsia="Calibri" w:hAnsi="Verdana" w:cs="Arial"/>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Pr>
          <w:rFonts w:ascii="Verdana" w:eastAsia="Calibri" w:hAnsi="Verdana" w:cs="Arial"/>
          <w:color w:val="000000" w:themeColor="text1"/>
          <w:lang w:val="es-ES"/>
        </w:rPr>
        <w:t>”</w:t>
      </w:r>
      <w:r w:rsidRPr="00326D28">
        <w:rPr>
          <w:rFonts w:ascii="Verdana" w:eastAsia="Calibri" w:hAnsi="Verdana" w:cs="Arial"/>
          <w:vertAlign w:val="superscript"/>
        </w:rPr>
        <w:footnoteReference w:id="3"/>
      </w:r>
      <w:r w:rsidRPr="00326D28">
        <w:rPr>
          <w:rFonts w:ascii="Verdana" w:eastAsia="Calibri" w:hAnsi="Verdana" w:cs="Arial"/>
          <w:color w:val="000000" w:themeColor="text1"/>
          <w:lang w:val="es-ES"/>
        </w:rPr>
        <w:t>.</w:t>
      </w:r>
    </w:p>
    <w:p w14:paraId="73885E10" w14:textId="77777777" w:rsidR="00C7633E" w:rsidRPr="00326D28" w:rsidRDefault="00C7633E" w:rsidP="00C7633E">
      <w:pPr>
        <w:spacing w:after="120" w:line="276" w:lineRule="auto"/>
        <w:ind w:firstLine="708"/>
        <w:jc w:val="both"/>
        <w:rPr>
          <w:rFonts w:ascii="Verdana" w:eastAsia="Calibri" w:hAnsi="Verdana" w:cs="Arial"/>
        </w:rPr>
      </w:pPr>
      <w:r w:rsidRPr="00326D28">
        <w:rPr>
          <w:rFonts w:ascii="Verdana" w:eastAsia="Calibri" w:hAnsi="Verdana" w:cs="Arial"/>
        </w:rPr>
        <w:t xml:space="preserve">Sobre la calidad de recurso público del anticipo, la jurisprudencia ha reiterado que </w:t>
      </w:r>
      <w:r>
        <w:rPr>
          <w:rFonts w:ascii="Verdana" w:eastAsia="Calibri" w:hAnsi="Verdana" w:cs="Arial"/>
          <w:color w:val="000000" w:themeColor="text1"/>
          <w:lang w:val="es-ES"/>
        </w:rPr>
        <w:t>“</w:t>
      </w:r>
      <w:r w:rsidRPr="00326D28">
        <w:rPr>
          <w:rFonts w:ascii="Verdana" w:eastAsia="Calibri"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eastAsia="Calibri" w:hAnsi="Verdana" w:cs="Arial"/>
          <w:color w:val="000000" w:themeColor="text1"/>
          <w:lang w:val="es-ES"/>
        </w:rPr>
        <w:t>”</w:t>
      </w:r>
      <w:r w:rsidRPr="00326D28">
        <w:rPr>
          <w:rStyle w:val="Refdenotaalpie"/>
          <w:rFonts w:ascii="Verdana" w:eastAsia="Calibri" w:hAnsi="Verdana" w:cs="Arial"/>
        </w:rPr>
        <w:footnoteReference w:id="4"/>
      </w:r>
      <w:r w:rsidRPr="00326D28">
        <w:rPr>
          <w:rFonts w:ascii="Verdana" w:eastAsia="Calibri" w:hAnsi="Verdana" w:cs="Arial"/>
        </w:rPr>
        <w:t>. Igualmente, explica que el anticipo, al facilitar al contratista la financiación de los bienes y servicios que se le han encargado, es un factor determinante para impulsar la ejecución del contrato</w:t>
      </w:r>
      <w:r w:rsidRPr="00326D28">
        <w:rPr>
          <w:rStyle w:val="Refdenotaalpie"/>
          <w:rFonts w:ascii="Verdana" w:eastAsia="Calibri" w:hAnsi="Verdana" w:cs="Arial"/>
        </w:rPr>
        <w:footnoteReference w:id="5"/>
      </w:r>
      <w:r w:rsidRPr="00326D28">
        <w:rPr>
          <w:rFonts w:ascii="Verdana" w:eastAsia="Calibri" w:hAnsi="Verdana" w:cs="Arial"/>
        </w:rPr>
        <w:t>. Este también es el entendimiento de la doctrina</w:t>
      </w:r>
      <w:r w:rsidRPr="00326D28">
        <w:rPr>
          <w:rFonts w:ascii="Verdana" w:eastAsia="Calibri" w:hAnsi="Verdana" w:cs="Arial"/>
          <w:color w:val="000000" w:themeColor="text1"/>
        </w:rPr>
        <w:t>,</w:t>
      </w:r>
      <w:r w:rsidRPr="00326D28">
        <w:rPr>
          <w:rFonts w:ascii="Verdana" w:eastAsia="Calibri" w:hAnsi="Verdana" w:cs="Arial"/>
        </w:rPr>
        <w:t xml:space="preserve"> que ha considerado el anticipo como un dinero entregado al contratista que debe cancelarse mediante descuentos parciales, siendo una práctica común que permite impulsar la ejecución del contrato</w:t>
      </w:r>
      <w:r w:rsidRPr="00326D28">
        <w:rPr>
          <w:rStyle w:val="Refdenotaalpie"/>
          <w:rFonts w:ascii="Verdana" w:eastAsia="Calibri" w:hAnsi="Verdana" w:cs="Arial"/>
        </w:rPr>
        <w:footnoteReference w:id="6"/>
      </w:r>
      <w:r w:rsidRPr="00326D28">
        <w:rPr>
          <w:rFonts w:ascii="Verdana" w:eastAsia="Calibri" w:hAnsi="Verdana" w:cs="Arial"/>
        </w:rPr>
        <w:t xml:space="preserve">. </w:t>
      </w:r>
    </w:p>
    <w:p w14:paraId="518D85DF" w14:textId="77777777" w:rsidR="00C7633E" w:rsidRPr="00326D28" w:rsidRDefault="00C7633E" w:rsidP="00C7633E">
      <w:pPr>
        <w:spacing w:after="120" w:line="276" w:lineRule="auto"/>
        <w:ind w:firstLine="708"/>
        <w:jc w:val="both"/>
        <w:rPr>
          <w:rFonts w:ascii="Verdana" w:eastAsia="Calibri" w:hAnsi="Verdana" w:cs="Arial"/>
          <w:color w:val="000000" w:themeColor="text1"/>
        </w:rPr>
      </w:pPr>
      <w:r w:rsidRPr="00326D28">
        <w:rPr>
          <w:rFonts w:ascii="Verdana" w:eastAsia="Calibri" w:hAnsi="Verdana" w:cs="Arial"/>
          <w:color w:val="000000" w:themeColor="text1"/>
        </w:rPr>
        <w:t xml:space="preserve">Así, de acuerdo con las consideraciones de la jurisprudencia y la doctrina, 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con el avance en la ejecución. De esta forma, los recursos entregados a título de anticipo son del erario, razón por la que debe garantizarse su buen manejo y correcta inversión.</w:t>
      </w:r>
    </w:p>
    <w:p w14:paraId="3D5591CE" w14:textId="77777777" w:rsidR="00C7633E" w:rsidRPr="00B706E8" w:rsidRDefault="00C7633E" w:rsidP="00C7633E">
      <w:pPr>
        <w:spacing w:after="120" w:line="276" w:lineRule="auto"/>
        <w:ind w:firstLine="709"/>
        <w:jc w:val="both"/>
        <w:rPr>
          <w:rFonts w:ascii="Verdana" w:eastAsia="Calibri" w:hAnsi="Verdana" w:cs="Arial"/>
          <w:color w:val="000000" w:themeColor="text1"/>
        </w:rPr>
      </w:pPr>
      <w:r w:rsidRPr="00326D28">
        <w:rPr>
          <w:rFonts w:ascii="Verdana" w:eastAsia="Calibri"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16C764DB" w14:textId="77777777" w:rsidR="00C7633E" w:rsidRPr="00B706E8" w:rsidRDefault="00C7633E" w:rsidP="00C7633E">
      <w:pPr>
        <w:spacing w:after="0" w:line="240" w:lineRule="auto"/>
        <w:ind w:left="709" w:right="709"/>
        <w:jc w:val="both"/>
        <w:rPr>
          <w:rFonts w:ascii="Verdana" w:eastAsia="Calibri" w:hAnsi="Verdana" w:cs="Arial"/>
          <w:sz w:val="20"/>
          <w:szCs w:val="20"/>
        </w:rPr>
      </w:pPr>
      <w:r w:rsidRPr="00B706E8">
        <w:rPr>
          <w:rFonts w:ascii="Verdana" w:eastAsia="Calibri" w:hAnsi="Verdana" w:cs="Arial"/>
          <w:sz w:val="20"/>
          <w:szCs w:val="20"/>
        </w:rPr>
        <w:t>“</w:t>
      </w:r>
      <w:r>
        <w:rPr>
          <w:rFonts w:ascii="Verdana" w:eastAsia="Calibri" w:hAnsi="Verdana" w:cs="Arial"/>
          <w:sz w:val="20"/>
          <w:szCs w:val="20"/>
        </w:rPr>
        <w:t xml:space="preserve">(…) </w:t>
      </w:r>
      <w:r w:rsidRPr="00B706E8">
        <w:rPr>
          <w:rFonts w:ascii="Verdana" w:eastAsia="Calibri" w:hAnsi="Verdana" w:cs="Arial"/>
          <w:sz w:val="20"/>
          <w:szCs w:val="20"/>
        </w:rPr>
        <w:t xml:space="preserve">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w:t>
      </w:r>
      <w:proofErr w:type="spellStart"/>
      <w:r w:rsidRPr="00B706E8">
        <w:rPr>
          <w:rFonts w:ascii="Verdana" w:eastAsia="Calibri" w:hAnsi="Verdana" w:cs="Arial"/>
          <w:sz w:val="20"/>
          <w:szCs w:val="20"/>
        </w:rPr>
        <w:t>etc</w:t>
      </w:r>
      <w:proofErr w:type="spellEnd"/>
      <w:r w:rsidRPr="00B706E8">
        <w:rPr>
          <w:rFonts w:ascii="Verdana" w:eastAsia="Calibri" w:hAnsi="Verdana" w:cs="Arial"/>
          <w:sz w:val="20"/>
          <w:szCs w:val="20"/>
        </w:rPr>
        <w:t>).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Pr="00B706E8">
        <w:rPr>
          <w:rFonts w:ascii="Verdana" w:eastAsia="Calibri" w:hAnsi="Verdana" w:cs="Arial"/>
          <w:b/>
          <w:sz w:val="20"/>
          <w:szCs w:val="20"/>
        </w:rPr>
        <w:t xml:space="preserve"> </w:t>
      </w:r>
      <w:r w:rsidRPr="00B706E8">
        <w:rPr>
          <w:rFonts w:ascii="Verdana" w:eastAsia="Calibri" w:hAnsi="Verdana" w:cs="Arial"/>
          <w:sz w:val="20"/>
          <w:szCs w:val="20"/>
        </w:rPr>
        <w:t>por hechos del contratista que impliquen mal manejo o incorrecta inversión de los dineros de propiedad pública. Las partes contratantes, acuerdan además en el contrato, las condiciones de efectividad, la proporción con el valor del contrato, la oportunidad en que debe entregarse, la vigilancia Estatal sobre las sumas y las amortizaciones”</w:t>
      </w:r>
      <w:r w:rsidRPr="00B706E8">
        <w:rPr>
          <w:rStyle w:val="Refdenotaalpie"/>
          <w:rFonts w:ascii="Verdana" w:eastAsia="Calibri" w:hAnsi="Verdana" w:cs="Arial"/>
          <w:sz w:val="20"/>
          <w:szCs w:val="20"/>
        </w:rPr>
        <w:footnoteReference w:id="7"/>
      </w:r>
      <w:r w:rsidRPr="00B706E8">
        <w:rPr>
          <w:rFonts w:ascii="Verdana" w:eastAsia="Calibri" w:hAnsi="Verdana" w:cs="Arial"/>
          <w:sz w:val="20"/>
          <w:szCs w:val="20"/>
        </w:rPr>
        <w:t>.</w:t>
      </w:r>
    </w:p>
    <w:p w14:paraId="7A74D0F0" w14:textId="77777777" w:rsidR="00C7633E" w:rsidRPr="00326D28" w:rsidRDefault="00C7633E" w:rsidP="00C7633E">
      <w:pPr>
        <w:spacing w:after="0" w:line="240" w:lineRule="auto"/>
        <w:ind w:left="567" w:right="709"/>
        <w:jc w:val="both"/>
        <w:rPr>
          <w:rFonts w:ascii="Verdana" w:eastAsia="Calibri" w:hAnsi="Verdana" w:cs="Arial"/>
        </w:rPr>
      </w:pPr>
      <w:r>
        <w:rPr>
          <w:rFonts w:ascii="Verdana" w:eastAsia="Calibri" w:hAnsi="Verdana" w:cs="Arial"/>
          <w:sz w:val="21"/>
          <w:szCs w:val="21"/>
        </w:rPr>
        <w:tab/>
      </w:r>
    </w:p>
    <w:p w14:paraId="6E808DE8" w14:textId="77777777" w:rsidR="00C7633E" w:rsidRPr="00326D28" w:rsidRDefault="00C7633E" w:rsidP="00C7633E">
      <w:pPr>
        <w:tabs>
          <w:tab w:val="left" w:pos="0"/>
        </w:tabs>
        <w:spacing w:after="120" w:line="276" w:lineRule="auto"/>
        <w:ind w:firstLine="709"/>
        <w:jc w:val="both"/>
        <w:rPr>
          <w:rFonts w:ascii="Verdana" w:eastAsia="Calibri" w:hAnsi="Verdana" w:cs="Arial"/>
          <w:lang w:val="es-MX"/>
        </w:rPr>
      </w:pPr>
      <w:r w:rsidRPr="00326D28">
        <w:rPr>
          <w:rFonts w:ascii="Verdana" w:eastAsia="Calibri" w:hAnsi="Verdana" w:cs="Arial"/>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54D0EDE6" w14:textId="77777777" w:rsidR="00C7633E" w:rsidRPr="00326D28" w:rsidRDefault="00C7633E" w:rsidP="00C7633E">
      <w:pPr>
        <w:tabs>
          <w:tab w:val="left" w:pos="0"/>
        </w:tabs>
        <w:spacing w:after="120" w:line="276" w:lineRule="auto"/>
        <w:ind w:firstLine="709"/>
        <w:jc w:val="both"/>
        <w:rPr>
          <w:rFonts w:ascii="Verdana" w:hAnsi="Verdana" w:cs="Arial"/>
          <w:color w:val="000000" w:themeColor="text1"/>
          <w:lang w:val="es-ES"/>
        </w:rPr>
      </w:pPr>
      <w:r w:rsidRPr="00326D28">
        <w:rPr>
          <w:rFonts w:ascii="Verdana" w:eastAsia="Calibri" w:hAnsi="Verdana" w:cs="Arial"/>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326D28">
        <w:rPr>
          <w:rFonts w:ascii="Verdana" w:hAnsi="Verdana" w:cs="Arial"/>
          <w:color w:val="000000" w:themeColor="text1"/>
          <w:lang w:val="es-ES"/>
        </w:rPr>
        <w:t xml:space="preserve">De hecho, el Estatuto General de Contratación de la Administración Pública dispone como única limitación el valor máximo que puede desembolsar la entidad para pactar el anticipo. </w:t>
      </w:r>
    </w:p>
    <w:p w14:paraId="6E436AB1" w14:textId="77777777" w:rsidR="00C7633E" w:rsidRPr="00326D28" w:rsidRDefault="00C7633E" w:rsidP="00C7633E">
      <w:pPr>
        <w:tabs>
          <w:tab w:val="left" w:pos="0"/>
        </w:tabs>
        <w:spacing w:after="120" w:line="276" w:lineRule="auto"/>
        <w:ind w:firstLine="709"/>
        <w:jc w:val="both"/>
        <w:rPr>
          <w:rFonts w:ascii="Verdana" w:hAnsi="Verdana" w:cs="Arial"/>
          <w:color w:val="000000" w:themeColor="text1"/>
          <w:lang w:val="es-MX"/>
        </w:rPr>
      </w:pPr>
      <w:r w:rsidRPr="00326D28">
        <w:rPr>
          <w:rFonts w:ascii="Verdana" w:hAnsi="Verdana" w:cs="Arial"/>
          <w:color w:val="000000" w:themeColor="text1"/>
          <w:lang w:val="es-ES"/>
        </w:rPr>
        <w:t>La entidad y el contratista podrán disponer, en ejercicio de la autonomía de la voluntad, las condiciones que consideren convenientes de acuerdo con las normas civiles, siempre que no contraríen los parámetros normativos y los principios de la actividad contractual. No obstante, se reitera la importancia de analizar y justificar en cada caso la pertinencia y conveniencia de entregar al contratista recursos en calidad de anticipo.</w:t>
      </w:r>
    </w:p>
    <w:p w14:paraId="2B60F5D9" w14:textId="77777777" w:rsidR="00C7633E" w:rsidRDefault="00C7633E" w:rsidP="00C7633E">
      <w:pPr>
        <w:spacing w:after="120" w:line="276" w:lineRule="auto"/>
        <w:ind w:firstLine="709"/>
        <w:jc w:val="both"/>
        <w:rPr>
          <w:rFonts w:ascii="Verdana" w:eastAsia="Calibri" w:hAnsi="Verdana" w:cs="Arial"/>
        </w:rPr>
      </w:pPr>
      <w:r w:rsidRPr="00326D28">
        <w:rPr>
          <w:rFonts w:ascii="Verdana" w:hAnsi="Verdana" w:cs="Arial"/>
          <w:color w:val="000000" w:themeColor="text1"/>
        </w:rPr>
        <w:t>Del análisis realizado se desprende</w:t>
      </w:r>
      <w:r w:rsidRPr="00326D28">
        <w:rPr>
          <w:rFonts w:ascii="Verdana" w:hAnsi="Verdana" w:cs="Arial"/>
          <w:color w:val="000000" w:themeColor="text1"/>
          <w:lang w:val="es-ES"/>
        </w:rPr>
        <w:t xml:space="preserve"> que los recursos entregados al contratista en calidad de anticipo son recursos públicos. Por tanto, corresponde a la entidad </w:t>
      </w:r>
      <w:r w:rsidRPr="00326D28">
        <w:rPr>
          <w:rFonts w:ascii="Verdana" w:eastAsia="Calibri" w:hAnsi="Verdana" w:cs="Arial"/>
        </w:rPr>
        <w:t>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w:t>
      </w:r>
      <w:proofErr w:type="spellStart"/>
      <w:r w:rsidRPr="00326D28">
        <w:rPr>
          <w:rFonts w:ascii="Verdana" w:eastAsia="Calibri" w:hAnsi="Verdana" w:cs="Arial"/>
        </w:rPr>
        <w:t>ii</w:t>
      </w:r>
      <w:proofErr w:type="spellEnd"/>
      <w:r w:rsidRPr="00326D28">
        <w:rPr>
          <w:rFonts w:ascii="Verdana" w:eastAsia="Calibri" w:hAnsi="Verdana" w:cs="Arial"/>
        </w:rPr>
        <w:t xml:space="preserve">) el uso indebido del anticipo; y </w:t>
      </w:r>
      <w:proofErr w:type="spellStart"/>
      <w:r w:rsidRPr="00326D28">
        <w:rPr>
          <w:rFonts w:ascii="Verdana" w:eastAsia="Calibri" w:hAnsi="Verdana" w:cs="Arial"/>
        </w:rPr>
        <w:t>iii</w:t>
      </w:r>
      <w:proofErr w:type="spellEnd"/>
      <w:r w:rsidRPr="00326D28">
        <w:rPr>
          <w:rFonts w:ascii="Verdana" w:eastAsia="Calibri" w:hAnsi="Verdana" w:cs="Arial"/>
        </w:rPr>
        <w:t xml:space="preserve">) la apropiación indebida de los recursos recibidos en calidad de anticipo. </w:t>
      </w:r>
    </w:p>
    <w:p w14:paraId="41C44EE3" w14:textId="77777777" w:rsidR="00C7633E" w:rsidRPr="005F2061" w:rsidRDefault="00C7633E" w:rsidP="00C7633E">
      <w:pPr>
        <w:spacing w:after="120" w:line="276" w:lineRule="auto"/>
        <w:ind w:firstLine="709"/>
        <w:jc w:val="both"/>
        <w:rPr>
          <w:rFonts w:ascii="Verdana" w:eastAsia="Calibri" w:hAnsi="Verdana" w:cs="Arial"/>
        </w:rPr>
      </w:pPr>
      <w:r w:rsidRPr="005F2061">
        <w:rPr>
          <w:rFonts w:ascii="Verdana" w:eastAsia="Calibri" w:hAnsi="Verdana" w:cs="Arial"/>
        </w:rPr>
        <w:t>Adicionalmente, conforme al citado artículo 91 de la Ley 1474 de 2011, existen algunos contratos respecto de los cuales la ley obliga al contratista de constituir una fiducia mercantil para el manejo de los recursos entregados a título de anticipo.</w:t>
      </w:r>
      <w:r>
        <w:rPr>
          <w:rFonts w:ascii="Verdana" w:eastAsia="Calibri" w:hAnsi="Verdana" w:cs="Arial"/>
        </w:rPr>
        <w:t xml:space="preserve"> </w:t>
      </w:r>
      <w:r w:rsidRPr="005F2061">
        <w:rPr>
          <w:rFonts w:ascii="Verdana" w:eastAsia="Calibri" w:hAnsi="Verdana" w:cs="Arial"/>
          <w:bCs/>
          <w:color w:val="000000" w:themeColor="text1"/>
          <w:lang w:val="es-ES_tradnl"/>
        </w:rPr>
        <w:t xml:space="preserve">Esta norma dispone que: </w:t>
      </w:r>
      <w:r>
        <w:rPr>
          <w:rFonts w:ascii="Verdana" w:eastAsia="Calibri" w:hAnsi="Verdana" w:cs="Arial"/>
          <w:bCs/>
          <w:color w:val="000000" w:themeColor="text1"/>
          <w:lang w:val="es-ES_tradnl"/>
        </w:rPr>
        <w:t>“</w:t>
      </w:r>
      <w:r w:rsidRPr="005F2061">
        <w:rPr>
          <w:rFonts w:ascii="Verdana" w:eastAsia="Calibri" w:hAnsi="Verdana" w:cs="Arial"/>
        </w:rPr>
        <w:t>En los contratos de obra, concesión, salud, o los que se realicen por licitación pública</w:t>
      </w:r>
      <w:r w:rsidRPr="005F2061">
        <w:rPr>
          <w:rFonts w:ascii="Verdana" w:eastAsia="Calibri" w:hAnsi="Verdana" w:cs="Arial"/>
          <w:i/>
          <w:iCs/>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5F2061">
        <w:rPr>
          <w:rFonts w:ascii="Verdana" w:eastAsia="Calibri" w:hAnsi="Verdana" w:cs="Arial"/>
        </w:rPr>
        <w:t>. El costo de la comisión fiduciaria será cubierto directamente por el contratista</w:t>
      </w:r>
      <w:r>
        <w:rPr>
          <w:rFonts w:ascii="Verdana" w:eastAsia="Calibri" w:hAnsi="Verdana" w:cs="Arial"/>
        </w:rPr>
        <w:t>”</w:t>
      </w:r>
      <w:r w:rsidRPr="005F2061">
        <w:rPr>
          <w:rFonts w:ascii="Verdana" w:eastAsia="Calibri" w:hAnsi="Verdana" w:cs="Arial"/>
        </w:rPr>
        <w:t xml:space="preserve"> (Énfasis fuera de texto).</w:t>
      </w:r>
    </w:p>
    <w:p w14:paraId="23133821" w14:textId="77777777" w:rsidR="00C7633E" w:rsidRPr="005F2061" w:rsidRDefault="00C7633E" w:rsidP="00C7633E">
      <w:pPr>
        <w:spacing w:after="120" w:line="276" w:lineRule="auto"/>
        <w:ind w:firstLine="709"/>
        <w:jc w:val="both"/>
        <w:rPr>
          <w:rFonts w:ascii="Verdana" w:eastAsia="Calibri" w:hAnsi="Verdana" w:cs="Arial"/>
          <w:bCs/>
          <w:color w:val="000000" w:themeColor="text1"/>
          <w:lang w:val="es-ES_tradnl"/>
        </w:rPr>
      </w:pPr>
      <w:r w:rsidRPr="005F2061">
        <w:rPr>
          <w:rFonts w:ascii="Verdana" w:eastAsia="Calibri" w:hAnsi="Verdana" w:cs="Arial"/>
          <w:bCs/>
          <w:color w:val="000000" w:themeColor="text1"/>
          <w:lang w:val="es-ES_tradnl"/>
        </w:rPr>
        <w:t>En concordancia</w:t>
      </w:r>
      <w:r>
        <w:rPr>
          <w:rFonts w:ascii="Verdana" w:eastAsia="Calibri" w:hAnsi="Verdana" w:cs="Arial"/>
          <w:bCs/>
          <w:color w:val="000000" w:themeColor="text1"/>
          <w:lang w:val="es-ES_tradnl"/>
        </w:rPr>
        <w:t xml:space="preserve"> con lo anterior</w:t>
      </w:r>
      <w:r w:rsidRPr="005F2061">
        <w:rPr>
          <w:rFonts w:ascii="Verdana" w:eastAsia="Calibri" w:hAnsi="Verdana" w:cs="Arial"/>
          <w:bCs/>
          <w:color w:val="000000" w:themeColor="text1"/>
          <w:lang w:val="es-ES_tradnl"/>
        </w:rPr>
        <w:t>,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w:t>
      </w:r>
      <w:r w:rsidRPr="005F2061">
        <w:rPr>
          <w:rStyle w:val="Refdenotaalpie"/>
          <w:rFonts w:ascii="Verdana" w:eastAsia="Calibri" w:hAnsi="Verdana" w:cs="Arial"/>
          <w:bCs/>
          <w:color w:val="000000" w:themeColor="text1"/>
          <w:lang w:val="es-ES_tradnl"/>
        </w:rPr>
        <w:footnoteReference w:id="8"/>
      </w:r>
      <w:r w:rsidRPr="005F2061">
        <w:rPr>
          <w:rFonts w:ascii="Verdana" w:eastAsia="Calibri" w:hAnsi="Verdana" w:cs="Arial"/>
          <w:bCs/>
          <w:color w:val="000000" w:themeColor="text1"/>
          <w:lang w:val="es-ES_tradnl"/>
        </w:rPr>
        <w:t xml:space="preserve">. </w:t>
      </w:r>
    </w:p>
    <w:p w14:paraId="335CFF6A" w14:textId="77777777" w:rsidR="00C7633E" w:rsidRPr="005F2061" w:rsidRDefault="00C7633E" w:rsidP="00C7633E">
      <w:pPr>
        <w:spacing w:after="120" w:line="276" w:lineRule="auto"/>
        <w:ind w:firstLine="709"/>
        <w:jc w:val="both"/>
        <w:rPr>
          <w:rFonts w:ascii="Verdana" w:eastAsia="Calibri" w:hAnsi="Verdana" w:cs="Arial"/>
          <w:color w:val="000000" w:themeColor="text1"/>
          <w:lang w:val="es-ES"/>
        </w:rPr>
      </w:pPr>
      <w:r w:rsidRPr="0A0BB7DD">
        <w:rPr>
          <w:rFonts w:ascii="Verdana" w:eastAsia="Calibri" w:hAnsi="Verdana" w:cs="Arial"/>
          <w:color w:val="000000" w:themeColor="text1"/>
          <w:lang w:val="es-ES"/>
        </w:rPr>
        <w:t xml:space="preserve">Lo anterior surge como una medida para fortalecer los mecanismos de prevención, investigación y sanción de actos de corrupción y la efectividad del control de la gestión pública, en atención a la problemática identificada sobre el incumplimiento de los contratistas de destinar los anticipos en la ejecución del contrato.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11BF4C8B" w14:textId="77777777" w:rsidR="00C7633E" w:rsidRPr="005F2061" w:rsidRDefault="00C7633E" w:rsidP="00C7633E">
      <w:pPr>
        <w:spacing w:after="120" w:line="276" w:lineRule="auto"/>
        <w:ind w:firstLine="709"/>
        <w:jc w:val="both"/>
        <w:rPr>
          <w:rFonts w:ascii="Verdana" w:eastAsia="Calibri" w:hAnsi="Verdana" w:cs="Arial"/>
          <w:color w:val="000000" w:themeColor="text1"/>
          <w:lang w:val="es-ES"/>
        </w:rPr>
      </w:pPr>
      <w:r w:rsidRPr="005F2061">
        <w:rPr>
          <w:rFonts w:ascii="Verdana" w:eastAsia="Calibri" w:hAnsi="Verdana" w:cs="Arial"/>
          <w:bCs/>
          <w:color w:val="000000" w:themeColor="text1"/>
          <w:lang w:val="es-ES_tradnl"/>
        </w:rPr>
        <w:t>Sobre el particular, la Agencia Nacional de Contratación Pública</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 xml:space="preserve">Colombia Compra Eficiente expidió la </w:t>
      </w:r>
      <w:r>
        <w:rPr>
          <w:rFonts w:ascii="Verdana" w:eastAsia="Calibri" w:hAnsi="Verdana" w:cs="Arial"/>
          <w:color w:val="000000" w:themeColor="text1"/>
          <w:lang w:val="es-ES"/>
        </w:rPr>
        <w:t>“</w:t>
      </w:r>
      <w:r w:rsidRPr="005F2061">
        <w:rPr>
          <w:rFonts w:ascii="Verdana" w:eastAsia="Calibri" w:hAnsi="Verdana" w:cs="Arial"/>
          <w:bCs/>
          <w:color w:val="000000" w:themeColor="text1"/>
          <w:lang w:val="es-ES_tradnl"/>
        </w:rPr>
        <w:t>Guía para el manejo de anticipos mediante contrato de fiducia irrevocable</w:t>
      </w:r>
      <w:r>
        <w:rPr>
          <w:rFonts w:ascii="Verdana" w:eastAsia="Calibri" w:hAnsi="Verdana" w:cs="Arial"/>
          <w:color w:val="000000" w:themeColor="text1"/>
          <w:lang w:val="es-ES"/>
        </w:rPr>
        <w:t>”</w:t>
      </w:r>
      <w:r w:rsidRPr="005F2061">
        <w:rPr>
          <w:rStyle w:val="Refdenotaalpie"/>
          <w:rFonts w:ascii="Verdana" w:eastAsia="Calibri" w:hAnsi="Verdana" w:cs="Arial"/>
          <w:color w:val="000000" w:themeColor="text1"/>
          <w:lang w:val="es-ES"/>
        </w:rPr>
        <w:footnoteReference w:id="9"/>
      </w:r>
      <w:r w:rsidRPr="005F2061">
        <w:rPr>
          <w:rFonts w:ascii="Verdana" w:eastAsia="Calibri" w:hAnsi="Verdana" w:cs="Arial"/>
          <w:bCs/>
          <w:color w:val="000000" w:themeColor="text1"/>
          <w:lang w:val="es-ES_tradnl"/>
        </w:rPr>
        <w:t xml:space="preserve">. En esta se explica que </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w:t>
      </w:r>
      <w:r w:rsidRPr="005F2061">
        <w:rPr>
          <w:rFonts w:ascii="Verdana" w:eastAsia="Calibri" w:hAnsi="Verdana" w:cs="Arial"/>
          <w:bCs/>
          <w:color w:val="000000" w:themeColor="text1"/>
          <w:lang w:val="es-ES"/>
        </w:rPr>
        <w:t>e</w:t>
      </w:r>
      <w:r w:rsidRPr="005F2061">
        <w:rPr>
          <w:rFonts w:ascii="Verdana" w:eastAsia="Calibri" w:hAnsi="Verdana" w:cs="Arial"/>
          <w:bCs/>
          <w:color w:val="000000" w:themeColor="text1"/>
        </w:rPr>
        <w:t>l patrimonio autónomo para manejo de anticipos tiene como finalidad: (i) la correcta y adecuada inversión y administración del anticipo y, (</w:t>
      </w:r>
      <w:proofErr w:type="spellStart"/>
      <w:r w:rsidRPr="005F2061">
        <w:rPr>
          <w:rFonts w:ascii="Verdana" w:eastAsia="Calibri" w:hAnsi="Verdana" w:cs="Arial"/>
          <w:bCs/>
          <w:color w:val="000000" w:themeColor="text1"/>
        </w:rPr>
        <w:t>ii</w:t>
      </w:r>
      <w:proofErr w:type="spellEnd"/>
      <w:r w:rsidRPr="005F2061">
        <w:rPr>
          <w:rFonts w:ascii="Verdana" w:eastAsia="Calibri" w:hAnsi="Verdana" w:cs="Arial"/>
          <w:bCs/>
          <w:color w:val="000000" w:themeColor="text1"/>
        </w:rPr>
        <w:t>) el reintegro de los recursos del anticipo a la Entidad Estatal cuando declara la caducidad, incumplimiento o terminación del contrato estatal o cuando se presenta la nulidad del contrato estatal</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Además, indica que, en los contratos de obra, concesión, salud y los que se realicen por licitación pública, siempre que no sean de menor o mínima cuantía, el contratista debe constituir un contrato de fiducia mercantil irrevocable para el manejo de los recursos que recibe a título de anticipo. Igualmente, expone las condiciones para administrar los recursos del patrimonio autónomo, las obligaciones principales de la fiduciaria, el manejo de los excedentes, entre otros. </w:t>
      </w:r>
    </w:p>
    <w:p w14:paraId="72E82B76" w14:textId="77777777" w:rsidR="00C7633E" w:rsidRPr="005F2061" w:rsidRDefault="00C7633E" w:rsidP="00C7633E">
      <w:pPr>
        <w:spacing w:after="120" w:line="276" w:lineRule="auto"/>
        <w:ind w:firstLine="709"/>
        <w:jc w:val="both"/>
        <w:rPr>
          <w:rFonts w:ascii="Verdana" w:eastAsia="Calibri" w:hAnsi="Verdana" w:cs="Arial"/>
          <w:lang w:val="es-MX"/>
        </w:rPr>
      </w:pPr>
      <w:r w:rsidRPr="005F2061">
        <w:rPr>
          <w:rFonts w:ascii="Verdana" w:eastAsia="Calibri" w:hAnsi="Verdana" w:cs="Arial"/>
          <w:bCs/>
          <w:color w:val="000000" w:themeColor="text1"/>
          <w:lang w:val="es-ES_tradnl"/>
        </w:rPr>
        <w:t xml:space="preserve">Es evidente entonces que para ciertos tipos de contratos la </w:t>
      </w:r>
      <w:r>
        <w:rPr>
          <w:rFonts w:ascii="Verdana" w:eastAsia="Calibri" w:hAnsi="Verdana" w:cs="Arial"/>
          <w:bCs/>
          <w:color w:val="000000" w:themeColor="text1"/>
          <w:lang w:val="es-ES_tradnl"/>
        </w:rPr>
        <w:t>l</w:t>
      </w:r>
      <w:r w:rsidRPr="005F2061">
        <w:rPr>
          <w:rFonts w:ascii="Verdana" w:eastAsia="Calibri" w:hAnsi="Verdana" w:cs="Arial"/>
          <w:bCs/>
          <w:color w:val="000000" w:themeColor="text1"/>
          <w:lang w:val="es-ES_tradnl"/>
        </w:rPr>
        <w:t xml:space="preserve">ey ha impuesto la obligación al contratista de constituir una fiducia o patrimonio autónomo irrevocable. Esta obligación tiene el propósito de asegurar el buen manejo de los recursos que se entreguen a título de anticipo, así como garantizar que estos sean destinados única y exclusivamente para </w:t>
      </w:r>
      <w:r w:rsidRPr="005F2061">
        <w:rPr>
          <w:rFonts w:ascii="Verdana" w:eastAsia="Calibri" w:hAnsi="Verdana" w:cs="Arial"/>
        </w:rPr>
        <w:t xml:space="preserve">solventar los costos iniciales de la ejecución, de acuerdo con las condiciones pactadas. </w:t>
      </w:r>
    </w:p>
    <w:p w14:paraId="4FD84C32" w14:textId="77777777" w:rsidR="00C7633E" w:rsidRPr="005F2061" w:rsidRDefault="00C7633E" w:rsidP="00C7633E">
      <w:pPr>
        <w:spacing w:after="120" w:line="276" w:lineRule="auto"/>
        <w:ind w:firstLine="709"/>
        <w:jc w:val="both"/>
        <w:rPr>
          <w:rFonts w:ascii="Verdana" w:eastAsia="Calibri" w:hAnsi="Verdana" w:cs="Arial"/>
        </w:rPr>
      </w:pPr>
      <w:r w:rsidRPr="005F2061">
        <w:rPr>
          <w:rFonts w:ascii="Verdana" w:eastAsia="Calibri" w:hAnsi="Verdana" w:cs="Arial"/>
        </w:rPr>
        <w:t xml:space="preserve">El artículo 91 de la Ley 1474 de 2011 determina el ámbito de aplicación, al enumerar los casos en los cuales es deber del contratista constituir un patrimonio autónomo o una fiducia para administrar los recursos del anticipo. Para tales efectos, se establecen los siguientes contratos: i) obra, </w:t>
      </w:r>
      <w:proofErr w:type="spellStart"/>
      <w:r w:rsidRPr="005F2061">
        <w:rPr>
          <w:rFonts w:ascii="Verdana" w:eastAsia="Calibri" w:hAnsi="Verdana" w:cs="Arial"/>
        </w:rPr>
        <w:t>ii</w:t>
      </w:r>
      <w:proofErr w:type="spellEnd"/>
      <w:r w:rsidRPr="005F2061">
        <w:rPr>
          <w:rFonts w:ascii="Verdana" w:eastAsia="Calibri" w:hAnsi="Verdana" w:cs="Arial"/>
        </w:rPr>
        <w:t xml:space="preserve">) concesión, </w:t>
      </w:r>
      <w:proofErr w:type="spellStart"/>
      <w:r w:rsidRPr="005F2061">
        <w:rPr>
          <w:rFonts w:ascii="Verdana" w:eastAsia="Calibri" w:hAnsi="Verdana" w:cs="Arial"/>
        </w:rPr>
        <w:t>iii</w:t>
      </w:r>
      <w:proofErr w:type="spellEnd"/>
      <w:r w:rsidRPr="005F2061">
        <w:rPr>
          <w:rFonts w:ascii="Verdana" w:eastAsia="Calibri" w:hAnsi="Verdana" w:cs="Arial"/>
        </w:rPr>
        <w:t xml:space="preserve">) salud y </w:t>
      </w:r>
      <w:proofErr w:type="spellStart"/>
      <w:r w:rsidRPr="005F2061">
        <w:rPr>
          <w:rFonts w:ascii="Verdana" w:eastAsia="Calibri" w:hAnsi="Verdana" w:cs="Arial"/>
        </w:rPr>
        <w:t>iv</w:t>
      </w:r>
      <w:proofErr w:type="spellEnd"/>
      <w:r w:rsidRPr="005F2061">
        <w:rPr>
          <w:rFonts w:ascii="Verdana" w:eastAsia="Calibri" w:hAnsi="Verdana" w:cs="Arial"/>
        </w:rPr>
        <w:t xml:space="preserve">) los contratos derivados de un proceso de licitación pública. En ese orden, aunque la norma menciona la modalidad de selección como un criterio principal que determine su ámbito de aplicación, la expresión </w:t>
      </w:r>
      <w:r>
        <w:rPr>
          <w:rFonts w:ascii="Verdana" w:eastAsia="Calibri" w:hAnsi="Verdana" w:cs="Arial"/>
          <w:color w:val="000000" w:themeColor="text1"/>
          <w:lang w:val="es-ES"/>
        </w:rPr>
        <w:t>“</w:t>
      </w:r>
      <w:r w:rsidRPr="005F2061">
        <w:rPr>
          <w:rFonts w:ascii="Verdana" w:eastAsia="Calibri" w:hAnsi="Verdana" w:cs="Arial"/>
        </w:rPr>
        <w:t>o los que se realicen por licitación pública</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indica que, además de los objetos mencionados, también para estos contratos aplica el supuesto de hecho. </w:t>
      </w:r>
    </w:p>
    <w:p w14:paraId="37EFFD98" w14:textId="77777777" w:rsidR="00C7633E" w:rsidRPr="005F2061" w:rsidRDefault="00C7633E" w:rsidP="00C7633E">
      <w:pPr>
        <w:spacing w:after="120" w:line="276" w:lineRule="auto"/>
        <w:ind w:firstLine="709"/>
        <w:jc w:val="both"/>
        <w:rPr>
          <w:rFonts w:ascii="Verdana" w:eastAsia="Calibri" w:hAnsi="Verdana" w:cs="Arial"/>
        </w:rPr>
      </w:pPr>
      <w:r w:rsidRPr="005F2061">
        <w:rPr>
          <w:rFonts w:ascii="Verdana" w:eastAsia="Calibri" w:hAnsi="Verdana" w:cs="Arial"/>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 entidad estatal de exigir la garantía de buen manejo y correcta inversión.</w:t>
      </w:r>
    </w:p>
    <w:p w14:paraId="0CE08B7C" w14:textId="77777777" w:rsidR="00C7633E" w:rsidRDefault="00C7633E" w:rsidP="00C7633E">
      <w:pPr>
        <w:spacing w:after="120" w:line="276" w:lineRule="auto"/>
        <w:ind w:firstLine="709"/>
        <w:jc w:val="both"/>
        <w:rPr>
          <w:rFonts w:ascii="Verdana" w:eastAsia="Calibri" w:hAnsi="Verdana" w:cs="Arial"/>
        </w:rPr>
      </w:pPr>
      <w:r w:rsidRPr="005F2061">
        <w:rPr>
          <w:rFonts w:ascii="Verdana" w:eastAsia="Calibri" w:hAnsi="Verdana" w:cs="Arial"/>
        </w:rPr>
        <w:t>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w:t>
      </w:r>
      <w:r>
        <w:rPr>
          <w:rFonts w:ascii="Verdana" w:eastAsia="Calibri" w:hAnsi="Verdana" w:cs="Arial"/>
        </w:rPr>
        <w:t xml:space="preserve"> como se explicó </w:t>
      </w:r>
      <w:r w:rsidRPr="00277D9E">
        <w:rPr>
          <w:rFonts w:ascii="Verdana" w:eastAsia="Calibri" w:hAnsi="Verdana" w:cs="Arial"/>
          <w:i/>
          <w:iCs/>
        </w:rPr>
        <w:t>ut supra</w:t>
      </w:r>
      <w:r w:rsidRPr="005F2061">
        <w:rPr>
          <w:rFonts w:ascii="Verdana" w:eastAsia="Calibri" w:hAnsi="Verdana" w:cs="Arial"/>
        </w:rPr>
        <w:t>.</w:t>
      </w:r>
    </w:p>
    <w:p w14:paraId="1D53D0AB" w14:textId="77777777" w:rsidR="00C7633E" w:rsidRDefault="00C7633E" w:rsidP="00C7633E">
      <w:pPr>
        <w:spacing w:before="120" w:after="0" w:line="276" w:lineRule="auto"/>
        <w:ind w:firstLine="709"/>
        <w:jc w:val="both"/>
        <w:rPr>
          <w:rFonts w:ascii="Verdana" w:eastAsia="Calibri" w:hAnsi="Verdana" w:cs="Arial"/>
        </w:rPr>
      </w:pPr>
      <w:r w:rsidRPr="00397C86">
        <w:rPr>
          <w:rFonts w:ascii="Verdana" w:eastAsia="Calibri" w:hAnsi="Verdana" w:cs="Arial"/>
        </w:rPr>
        <w:t>Aunque la norma menciona de manera general que en los cuatro casos anteriores se debe constituir patrimonio autónomo irrevocable o fiducia para el manejo del anticipo, la norma también determina una excepción de su aplicación cuya disposición resulta obligatoria. Ello es así, por cuanto la expresión “</w:t>
      </w:r>
      <w:r w:rsidRPr="00397C86">
        <w:rPr>
          <w:rFonts w:ascii="Verdana" w:eastAsia="Calibri" w:hAnsi="Verdana" w:cs="Arial"/>
          <w:i/>
        </w:rPr>
        <w:t>salvo que el contrato sea de menor o mínima cuantía</w:t>
      </w:r>
      <w:r w:rsidRPr="00397C86">
        <w:rPr>
          <w:rFonts w:ascii="Verdana" w:eastAsia="Calibri" w:hAnsi="Verdana" w:cs="Arial"/>
        </w:rPr>
        <w:t>”, describe que, a pesar de las enunciaciones anteriores, dicha disposición imperativa no aplica en el supuesto de hecho de que la cuantía del contrato no resulte ser de mayor cuantía, sin discriminar</w:t>
      </w:r>
      <w:r w:rsidRPr="006073B4">
        <w:rPr>
          <w:rFonts w:ascii="Verdana" w:eastAsia="Calibri" w:hAnsi="Verdana" w:cs="Arial"/>
        </w:rPr>
        <w:t xml:space="preserve"> la</w:t>
      </w:r>
      <w:r w:rsidRPr="00397C86">
        <w:rPr>
          <w:rFonts w:ascii="Verdana" w:eastAsia="Calibri" w:hAnsi="Verdana" w:cs="Arial"/>
        </w:rPr>
        <w:t xml:space="preserve"> modalidad de selección mediante la cual se celebre dichos contratos. </w:t>
      </w:r>
    </w:p>
    <w:p w14:paraId="3378E193" w14:textId="77777777" w:rsidR="00C7633E" w:rsidRPr="00397C86" w:rsidRDefault="00C7633E" w:rsidP="00C7633E">
      <w:pPr>
        <w:spacing w:before="120" w:after="0" w:line="276" w:lineRule="auto"/>
        <w:ind w:firstLine="709"/>
        <w:jc w:val="both"/>
        <w:rPr>
          <w:rFonts w:ascii="Verdana" w:eastAsia="Calibri" w:hAnsi="Verdana" w:cs="Arial"/>
          <w:lang w:val="es-MX"/>
        </w:rPr>
      </w:pPr>
      <w:r w:rsidRPr="00397C86">
        <w:rPr>
          <w:rFonts w:ascii="Verdana" w:eastAsia="Calibri" w:hAnsi="Verdana" w:cs="Arial"/>
        </w:rPr>
        <w:t>Teniendo en cuenta las consideraciones desarrolladas en relación con la obligación de constituir una fiducia o un patrimonio autónomo irrevocable para el manejo de los recursos que reciba a título de anticipo, es pertinente mencionar que la Agencia Nacional de Contratación Pública – Colombia Compra Eficiente en los conceptos C-049 del 21 de febrero de 2020, C-209 del 16 de marzo de 2020, C-693 del 25 de noviembre de 2020, C-154 del 18 de mayo de 2021, C-825 del 28 de diciembre de 2022 y C- 003 de 13 de marzo de 2023, sobre la expresión  “</w:t>
      </w:r>
      <w:r w:rsidRPr="00397C86">
        <w:rPr>
          <w:rFonts w:ascii="Verdana" w:eastAsia="Calibri" w:hAnsi="Verdana" w:cs="Arial"/>
          <w:i/>
        </w:rPr>
        <w:t>salvo que el contrato sea de menor o mínima cuantía</w:t>
      </w:r>
      <w:r w:rsidRPr="00397C86">
        <w:rPr>
          <w:rFonts w:ascii="Verdana" w:eastAsia="Calibri" w:hAnsi="Verdana" w:cs="Arial"/>
        </w:rPr>
        <w:t xml:space="preserve">” contenida en la parte final del artículo 91 de la Ley 1474 de 2011, se ha pronunciado en el sentido de indicar que dicha excepción implica que la </w:t>
      </w:r>
      <w:r w:rsidRPr="00397C86">
        <w:rPr>
          <w:rFonts w:ascii="Verdana" w:eastAsia="Calibri" w:hAnsi="Verdana" w:cs="Arial"/>
          <w:lang w:val="es-MX"/>
        </w:rPr>
        <w:t xml:space="preserve">obligación se aplica a los contratos de obra, concesión, salud, o los que se realicen por licitación pública, </w:t>
      </w:r>
      <w:r w:rsidRPr="00397C86">
        <w:rPr>
          <w:rFonts w:ascii="Verdana" w:eastAsia="Calibri" w:hAnsi="Verdana" w:cs="Arial"/>
          <w:i/>
          <w:lang w:val="es-MX"/>
        </w:rPr>
        <w:t>salvo que los mismos</w:t>
      </w:r>
      <w:r w:rsidRPr="00397C86">
        <w:rPr>
          <w:rFonts w:ascii="Verdana" w:eastAsia="Calibri" w:hAnsi="Verdana" w:cs="Arial"/>
          <w:lang w:val="es-MX"/>
        </w:rPr>
        <w:t xml:space="preserve"> sean de menor o mínima cuantía, sin tener en cuenta la modalidad de selección por la que se suscribió el contrato así:</w:t>
      </w:r>
    </w:p>
    <w:p w14:paraId="3F7299BF" w14:textId="77777777" w:rsidR="00C7633E" w:rsidRDefault="00C7633E" w:rsidP="00C7633E">
      <w:pPr>
        <w:spacing w:after="0" w:line="240" w:lineRule="auto"/>
        <w:ind w:left="709" w:right="618"/>
        <w:jc w:val="both"/>
        <w:rPr>
          <w:rFonts w:ascii="Verdana" w:eastAsia="Calibri" w:hAnsi="Verdana" w:cs="Arial"/>
          <w:sz w:val="20"/>
          <w:szCs w:val="20"/>
          <w:lang w:val="es-MX"/>
        </w:rPr>
      </w:pPr>
    </w:p>
    <w:p w14:paraId="2A8109F5" w14:textId="77777777" w:rsidR="00C7633E" w:rsidRPr="00622C01" w:rsidRDefault="00C7633E" w:rsidP="00C7633E">
      <w:pPr>
        <w:spacing w:after="0" w:line="240" w:lineRule="auto"/>
        <w:ind w:left="709" w:right="618"/>
        <w:jc w:val="both"/>
        <w:rPr>
          <w:rFonts w:ascii="Verdana" w:eastAsia="Calibri" w:hAnsi="Verdana" w:cs="Arial"/>
          <w:sz w:val="20"/>
          <w:szCs w:val="20"/>
        </w:rPr>
      </w:pPr>
      <w:r w:rsidRPr="00622C01">
        <w:rPr>
          <w:rFonts w:ascii="Verdana" w:eastAsia="Calibri" w:hAnsi="Verdana" w:cs="Arial"/>
          <w:sz w:val="20"/>
          <w:szCs w:val="20"/>
          <w:lang w:val="es-MX"/>
        </w:rPr>
        <w:t>“</w:t>
      </w:r>
      <w:r w:rsidRPr="00622C01">
        <w:rPr>
          <w:rFonts w:ascii="Verdana" w:eastAsia="Calibri" w:hAnsi="Verdana" w:cs="Arial"/>
          <w:sz w:val="20"/>
          <w:szCs w:val="20"/>
        </w:rPr>
        <w:t>En consideración a lo enunciado previamente, el ejercicio interpretativo que esta Agencia ha mantenido sobre la sobre la expresión “</w:t>
      </w:r>
      <w:r w:rsidRPr="00622C01">
        <w:rPr>
          <w:rFonts w:ascii="Verdana" w:eastAsia="Calibri" w:hAnsi="Verdana" w:cs="Arial"/>
          <w:i/>
          <w:sz w:val="20"/>
          <w:szCs w:val="20"/>
        </w:rPr>
        <w:t>salvo que el contrato sea de menor o mínima cuantía</w:t>
      </w:r>
      <w:r w:rsidRPr="00622C01">
        <w:rPr>
          <w:rFonts w:ascii="Verdana" w:eastAsia="Calibri" w:hAnsi="Verdana" w:cs="Arial"/>
          <w:sz w:val="20"/>
          <w:szCs w:val="20"/>
        </w:rPr>
        <w:t>” contenida en la parte final del artículo 91 de la Ley 1474 de 2011, ha sido la de entender que en los contratos cuya cuantía resulte ser de mínima o menor cuantía no será obligatoria la constitución de un patrimonio autónomo o una fiducia para administrar los recursos del anticipo, así haya surgido a través de un proceso de selección por licitación pública.”</w:t>
      </w:r>
      <w:r w:rsidRPr="00622C01">
        <w:rPr>
          <w:rFonts w:ascii="Verdana" w:eastAsia="Calibri" w:hAnsi="Verdana" w:cs="Arial"/>
          <w:sz w:val="20"/>
          <w:szCs w:val="20"/>
          <w:vertAlign w:val="superscript"/>
        </w:rPr>
        <w:footnoteReference w:id="10"/>
      </w:r>
    </w:p>
    <w:p w14:paraId="0B9A596A" w14:textId="77777777" w:rsidR="0084712D" w:rsidRDefault="0084712D" w:rsidP="0084712D">
      <w:pPr>
        <w:spacing w:after="0" w:line="240" w:lineRule="auto"/>
        <w:ind w:firstLine="709"/>
        <w:jc w:val="both"/>
        <w:rPr>
          <w:rFonts w:ascii="Verdana" w:eastAsia="Calibri" w:hAnsi="Verdana" w:cs="Arial"/>
        </w:rPr>
      </w:pPr>
    </w:p>
    <w:p w14:paraId="3367C01D" w14:textId="5DB88A31" w:rsidR="00C7633E" w:rsidRPr="00397C86" w:rsidRDefault="00C7633E" w:rsidP="00C7633E">
      <w:pPr>
        <w:spacing w:before="120" w:after="0" w:line="276" w:lineRule="auto"/>
        <w:ind w:firstLine="709"/>
        <w:jc w:val="both"/>
        <w:rPr>
          <w:rFonts w:ascii="Verdana" w:eastAsia="Calibri" w:hAnsi="Verdana" w:cs="Arial"/>
        </w:rPr>
      </w:pPr>
      <w:r>
        <w:rPr>
          <w:rFonts w:ascii="Verdana" w:eastAsia="Calibri" w:hAnsi="Verdana" w:cs="Arial"/>
        </w:rPr>
        <w:t xml:space="preserve">Adicionalmente, el artículo </w:t>
      </w:r>
      <w:r w:rsidRPr="002310F3">
        <w:rPr>
          <w:rFonts w:ascii="Verdana" w:eastAsia="Calibri" w:hAnsi="Verdana" w:cs="Arial"/>
        </w:rPr>
        <w:t>2.2.1.2.1.2.21</w:t>
      </w:r>
      <w:r>
        <w:rPr>
          <w:rFonts w:ascii="Verdana" w:eastAsia="Calibri" w:hAnsi="Verdana" w:cs="Arial"/>
        </w:rPr>
        <w:t xml:space="preserve"> del Decreto 1082 de 2015 determina que, en los eventos en que la entidad estatal requiera de la contratación de servicios de salud, se deberá utilizar el procedimiento de selección abreviada de menor cuantía. De esta manera, haciendo una lectura armónica tanto del artículo 91 de la Ley 1474 de 2011 y el Decreto 1082 de 2015, para la contratación de los servicios de salud, deberá seleccionarse al contratista a través del proceso de selección de menor cuantía, por lo que </w:t>
      </w:r>
      <w:r w:rsidRPr="00397C86">
        <w:rPr>
          <w:rFonts w:ascii="Verdana" w:eastAsia="Calibri" w:hAnsi="Verdana" w:cs="Arial"/>
        </w:rPr>
        <w:t xml:space="preserve">la fiducia o el patrimonio autónomo irrevocable para el manejo de los recursos del anticipo </w:t>
      </w:r>
      <w:r>
        <w:rPr>
          <w:rFonts w:ascii="Verdana" w:eastAsia="Calibri" w:hAnsi="Verdana" w:cs="Arial"/>
        </w:rPr>
        <w:t>en este caso no</w:t>
      </w:r>
      <w:r w:rsidRPr="00397C86">
        <w:rPr>
          <w:rFonts w:ascii="Verdana" w:eastAsia="Calibri" w:hAnsi="Verdana" w:cs="Arial"/>
        </w:rPr>
        <w:t xml:space="preserve"> es obligatoria, </w:t>
      </w:r>
      <w:r>
        <w:rPr>
          <w:rFonts w:ascii="Verdana" w:eastAsia="Calibri" w:hAnsi="Verdana" w:cs="Arial"/>
        </w:rPr>
        <w:t xml:space="preserve">ya que </w:t>
      </w:r>
      <w:r w:rsidRPr="00397C86">
        <w:rPr>
          <w:rFonts w:ascii="Verdana" w:eastAsia="Calibri" w:hAnsi="Verdana" w:cs="Arial"/>
        </w:rPr>
        <w:t xml:space="preserve">el contrato que se llegue a celebrar estaría en curso en la excepción general contemplada en el artículo 91 de la Ley 1474 de </w:t>
      </w:r>
      <w:r>
        <w:rPr>
          <w:rFonts w:ascii="Verdana" w:eastAsia="Calibri" w:hAnsi="Verdana" w:cs="Arial"/>
        </w:rPr>
        <w:t>2011.</w:t>
      </w:r>
    </w:p>
    <w:p w14:paraId="2E41F6A6" w14:textId="77777777" w:rsidR="00C7633E" w:rsidRDefault="00C7633E" w:rsidP="00C7633E">
      <w:pPr>
        <w:spacing w:before="120" w:after="0" w:line="276" w:lineRule="auto"/>
        <w:ind w:firstLine="709"/>
        <w:jc w:val="both"/>
        <w:rPr>
          <w:rFonts w:ascii="Verdana" w:eastAsia="Calibri" w:hAnsi="Verdana" w:cs="Arial"/>
        </w:rPr>
      </w:pPr>
      <w:r w:rsidRPr="006073B4">
        <w:rPr>
          <w:rFonts w:ascii="Verdana" w:eastAsia="Calibri" w:hAnsi="Verdana" w:cs="Arial"/>
        </w:rPr>
        <w:t xml:space="preserve">Así las cosas, el artículo </w:t>
      </w:r>
      <w:bookmarkStart w:id="3" w:name="_Hlk185879184"/>
      <w:r w:rsidRPr="006073B4">
        <w:rPr>
          <w:rFonts w:ascii="Verdana" w:eastAsia="Calibri" w:hAnsi="Verdana" w:cs="Arial"/>
        </w:rPr>
        <w:t xml:space="preserve">91 de la Ley 1474 de 2011 </w:t>
      </w:r>
      <w:bookmarkEnd w:id="3"/>
      <w:r w:rsidRPr="006073B4">
        <w:rPr>
          <w:rFonts w:ascii="Verdana" w:eastAsia="Calibri" w:hAnsi="Verdana" w:cs="Arial"/>
        </w:rPr>
        <w:t>delimita los eventos en los cuales se debe exigir la constitución de la fiducia o patrimonio autónomo para el manejo del anticipo en los contratos estatales, de manera que aquellos supuestos que no estén contemplados dentro de este marco legal no es obligatoria su constitución.</w:t>
      </w:r>
    </w:p>
    <w:p w14:paraId="339FF72D" w14:textId="77777777" w:rsidR="00C7633E" w:rsidRDefault="00C7633E" w:rsidP="00C7633E">
      <w:pPr>
        <w:spacing w:before="120" w:after="0" w:line="276" w:lineRule="auto"/>
        <w:ind w:firstLine="709"/>
        <w:jc w:val="both"/>
        <w:rPr>
          <w:rFonts w:ascii="Verdana" w:eastAsia="Calibri" w:hAnsi="Verdana" w:cs="Arial"/>
        </w:rPr>
      </w:pPr>
      <w:r>
        <w:rPr>
          <w:rFonts w:ascii="Verdana" w:eastAsia="Calibri" w:hAnsi="Verdana" w:cs="Arial"/>
        </w:rPr>
        <w:t>A</w:t>
      </w:r>
      <w:r w:rsidRPr="00E853DE">
        <w:rPr>
          <w:rFonts w:ascii="Verdana" w:eastAsia="Calibri" w:hAnsi="Verdana" w:cs="Arial"/>
          <w:bCs/>
          <w:color w:val="000000" w:themeColor="text1"/>
        </w:rPr>
        <w:t>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ADA4E05" w14:textId="77777777" w:rsidR="00C7633E" w:rsidRDefault="00C7633E" w:rsidP="00C7633E">
      <w:pPr>
        <w:spacing w:before="120" w:after="0" w:line="276" w:lineRule="auto"/>
        <w:ind w:firstLine="709"/>
        <w:jc w:val="both"/>
        <w:rPr>
          <w:rFonts w:ascii="Verdana" w:eastAsia="Calibri" w:hAnsi="Verdana" w:cs="Arial"/>
        </w:rPr>
      </w:pPr>
      <w:r w:rsidRPr="00E853DE">
        <w:rPr>
          <w:rFonts w:ascii="Verdana" w:eastAsia="Calibri" w:hAnsi="Verdana" w:cs="Arial"/>
          <w:bCs/>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3EFD308" w14:textId="77777777" w:rsidR="00C7633E" w:rsidRDefault="00C7633E" w:rsidP="00C7633E">
      <w:pPr>
        <w:spacing w:after="0" w:line="240" w:lineRule="auto"/>
        <w:ind w:firstLine="709"/>
        <w:jc w:val="both"/>
        <w:rPr>
          <w:rFonts w:ascii="Verdana" w:eastAsia="Calibri" w:hAnsi="Verdana" w:cs="Arial"/>
        </w:rPr>
      </w:pPr>
    </w:p>
    <w:p w14:paraId="2F7463D6" w14:textId="77777777" w:rsidR="009D5162" w:rsidRDefault="009D5162" w:rsidP="00C7633E">
      <w:pPr>
        <w:spacing w:after="0" w:line="276" w:lineRule="auto"/>
        <w:jc w:val="both"/>
        <w:rPr>
          <w:rFonts w:ascii="Verdana" w:hAnsi="Verdana" w:cs="Arial"/>
          <w:b/>
          <w:color w:val="000000" w:themeColor="text1"/>
        </w:rPr>
      </w:pPr>
      <w:bookmarkStart w:id="4" w:name="_Hlk204854194"/>
    </w:p>
    <w:p w14:paraId="627FC31B" w14:textId="637F8DEB" w:rsidR="00C7633E" w:rsidRDefault="00C7633E" w:rsidP="00C7633E">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4"/>
    </w:p>
    <w:p w14:paraId="5A6CBD8C" w14:textId="77777777" w:rsidR="00C7633E" w:rsidRPr="00E5656D" w:rsidRDefault="00C7633E" w:rsidP="00C7633E">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633E" w:rsidRPr="002D2C18" w14:paraId="44B1DC36" w14:textId="77777777" w:rsidTr="00DA3402">
        <w:trPr>
          <w:trHeight w:val="56"/>
          <w:jc w:val="center"/>
        </w:trPr>
        <w:tc>
          <w:tcPr>
            <w:tcW w:w="8647" w:type="dxa"/>
          </w:tcPr>
          <w:p w14:paraId="18B07C6D" w14:textId="77777777" w:rsidR="00C7633E" w:rsidRPr="00C133D5"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val="es-CO" w:eastAsia="es-ES"/>
              </w:rPr>
            </w:pPr>
            <w:r w:rsidRPr="00C133D5">
              <w:rPr>
                <w:rFonts w:ascii="Verdana" w:eastAsia="Calibri" w:hAnsi="Verdana" w:cs="Arial"/>
                <w:lang w:val="es-CO" w:eastAsia="es-ES"/>
              </w:rPr>
              <w:t>Ley 80 de 1993. Artículo 40.</w:t>
            </w:r>
          </w:p>
          <w:p w14:paraId="45A22FE6" w14:textId="77777777" w:rsidR="00C7633E"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val="es-CO" w:eastAsia="es-ES"/>
              </w:rPr>
            </w:pPr>
            <w:r w:rsidRPr="00C133D5">
              <w:rPr>
                <w:rFonts w:ascii="Verdana" w:eastAsia="Calibri" w:hAnsi="Verdana" w:cs="Arial"/>
                <w:lang w:val="es-CO" w:eastAsia="es-ES"/>
              </w:rPr>
              <w:t>Ley 1474 de 2011. Artículo 91.</w:t>
            </w:r>
          </w:p>
          <w:p w14:paraId="7A145D46" w14:textId="77777777" w:rsidR="00C7633E" w:rsidRPr="00A374FD"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val="es-CO" w:eastAsia="es-ES"/>
              </w:rPr>
            </w:pPr>
            <w:r w:rsidRPr="00A374FD">
              <w:rPr>
                <w:rFonts w:ascii="Verdana" w:eastAsia="Calibri" w:hAnsi="Verdana" w:cs="Arial"/>
                <w:lang w:val="es-CO" w:eastAsia="es-ES"/>
              </w:rPr>
              <w:t xml:space="preserve">Decreto 1082 de 2015. Artículos </w:t>
            </w:r>
            <w:r w:rsidRPr="005F2061">
              <w:rPr>
                <w:rFonts w:ascii="Verdana" w:eastAsia="Calibri" w:hAnsi="Verdana" w:cs="Arial"/>
                <w:bCs/>
                <w:color w:val="000000" w:themeColor="text1"/>
                <w:lang w:val="es-ES_tradnl"/>
              </w:rPr>
              <w:t>2.2.1.1.2.4.1</w:t>
            </w:r>
            <w:r>
              <w:rPr>
                <w:rFonts w:ascii="Verdana" w:eastAsia="Calibri" w:hAnsi="Verdana" w:cs="Arial"/>
                <w:bCs/>
                <w:color w:val="000000" w:themeColor="text1"/>
                <w:lang w:val="es-ES_tradnl"/>
              </w:rPr>
              <w:t xml:space="preserve">, </w:t>
            </w:r>
            <w:r w:rsidRPr="00A374FD">
              <w:rPr>
                <w:rFonts w:ascii="Verdana" w:eastAsia="Calibri" w:hAnsi="Verdana" w:cs="Arial"/>
              </w:rPr>
              <w:t xml:space="preserve">2.2.1.2.3.1.7, </w:t>
            </w:r>
            <w:r w:rsidRPr="002310F3">
              <w:rPr>
                <w:rFonts w:ascii="Verdana" w:eastAsia="Calibri" w:hAnsi="Verdana" w:cs="Arial"/>
              </w:rPr>
              <w:t>2.2.1.2.1.2.21</w:t>
            </w:r>
            <w:r>
              <w:rPr>
                <w:rFonts w:ascii="Verdana" w:eastAsia="Calibri" w:hAnsi="Verdana" w:cs="Arial"/>
              </w:rPr>
              <w:t>.</w:t>
            </w:r>
          </w:p>
          <w:p w14:paraId="7A4B34A5" w14:textId="77777777" w:rsidR="00C7633E" w:rsidRPr="00A374FD" w:rsidRDefault="00C7633E" w:rsidP="00C7633E">
            <w:pPr>
              <w:pStyle w:val="Prrafodelista"/>
              <w:widowControl w:val="0"/>
              <w:numPr>
                <w:ilvl w:val="0"/>
                <w:numId w:val="18"/>
              </w:numPr>
              <w:autoSpaceDE w:val="0"/>
              <w:autoSpaceDN w:val="0"/>
              <w:spacing w:line="276" w:lineRule="auto"/>
              <w:ind w:left="714" w:hanging="357"/>
              <w:jc w:val="both"/>
              <w:rPr>
                <w:rFonts w:ascii="Verdana" w:eastAsia="Calibri" w:hAnsi="Verdana" w:cs="Arial"/>
                <w:lang w:val="es-CO" w:eastAsia="es-ES"/>
              </w:rPr>
            </w:pPr>
            <w:r w:rsidRPr="00A374FD">
              <w:rPr>
                <w:rFonts w:ascii="Verdana" w:eastAsia="Calibri" w:hAnsi="Verdana" w:cs="Arial"/>
                <w:lang w:eastAsia="es-ES"/>
              </w:rPr>
              <w:t>Consejo de Estado. Sala de lo Contencioso Administrativo. Sección Tercera – Subsección A. Sentencia del 16 de mayo de 2019. Rad. 85001-23-31-000-2007-00159-01 (40102). C.P: María Adriana Marín.</w:t>
            </w:r>
          </w:p>
          <w:p w14:paraId="322FA5A3" w14:textId="77777777" w:rsidR="00C7633E" w:rsidRPr="00A374FD" w:rsidRDefault="00C7633E" w:rsidP="00C7633E">
            <w:pPr>
              <w:pStyle w:val="Prrafodelista"/>
              <w:widowControl w:val="0"/>
              <w:numPr>
                <w:ilvl w:val="0"/>
                <w:numId w:val="18"/>
              </w:numPr>
              <w:autoSpaceDE w:val="0"/>
              <w:autoSpaceDN w:val="0"/>
              <w:spacing w:line="276" w:lineRule="auto"/>
              <w:ind w:left="714" w:hanging="357"/>
              <w:jc w:val="both"/>
              <w:rPr>
                <w:rFonts w:ascii="Verdana" w:eastAsia="Calibri" w:hAnsi="Verdana" w:cs="Arial"/>
                <w:lang w:eastAsia="es-ES"/>
              </w:rPr>
            </w:pPr>
            <w:r w:rsidRPr="00A374FD">
              <w:rPr>
                <w:rFonts w:ascii="Verdana" w:eastAsia="Calibri" w:hAnsi="Verdana" w:cs="Arial"/>
                <w:lang w:eastAsia="es-ES"/>
              </w:rPr>
              <w:t xml:space="preserve">Consejo de Estado. Sala de lo Contencioso Administrativo. Sección Tercera – Subsección C. Sentencia del 2 de octubre del 2020. Rad. 52001-23-33-000-2019-00002-01 (63644). C.P: Jaime Enrique Rodríguez Nava. </w:t>
            </w:r>
          </w:p>
          <w:p w14:paraId="68F23641" w14:textId="77777777" w:rsidR="00C7633E" w:rsidRPr="00A374FD"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eastAsia="es-ES"/>
              </w:rPr>
            </w:pPr>
            <w:r w:rsidRPr="00A374FD">
              <w:rPr>
                <w:rFonts w:ascii="Verdana" w:eastAsia="Calibri" w:hAnsi="Verdana" w:cs="Arial"/>
                <w:lang w:eastAsia="es-ES"/>
              </w:rPr>
              <w:t xml:space="preserve">Consejo de Estado. Sección Tercera. Sentencia de 22 de junio de 2001. </w:t>
            </w:r>
            <w:proofErr w:type="spellStart"/>
            <w:r w:rsidRPr="00A374FD">
              <w:rPr>
                <w:rFonts w:ascii="Verdana" w:eastAsia="Calibri" w:hAnsi="Verdana" w:cs="Arial"/>
                <w:lang w:eastAsia="es-ES"/>
              </w:rPr>
              <w:t>Exp</w:t>
            </w:r>
            <w:proofErr w:type="spellEnd"/>
            <w:r w:rsidRPr="00A374FD">
              <w:rPr>
                <w:rFonts w:ascii="Verdana" w:eastAsia="Calibri" w:hAnsi="Verdana" w:cs="Arial"/>
                <w:lang w:eastAsia="es-ES"/>
              </w:rPr>
              <w:t>. 44001-23-31-000-1996-00686-01 (13436) C.P. Ricardo Hoyos Duque.</w:t>
            </w:r>
          </w:p>
          <w:p w14:paraId="2F1845DD" w14:textId="77777777" w:rsidR="00C7633E" w:rsidRPr="00A374FD"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eastAsia="es-ES"/>
              </w:rPr>
            </w:pPr>
            <w:r w:rsidRPr="00A374FD">
              <w:rPr>
                <w:rFonts w:ascii="Verdana" w:eastAsia="Calibri" w:hAnsi="Verdana" w:cs="Arial"/>
                <w:lang w:eastAsia="es-ES"/>
              </w:rPr>
              <w:t xml:space="preserve">Consejo de Estado. Sala Plena. Sentencia del 8 de agosto de 2001. </w:t>
            </w:r>
            <w:proofErr w:type="spellStart"/>
            <w:r w:rsidRPr="00A374FD">
              <w:rPr>
                <w:rFonts w:ascii="Verdana" w:eastAsia="Calibri" w:hAnsi="Verdana" w:cs="Arial"/>
                <w:lang w:eastAsia="es-ES"/>
              </w:rPr>
              <w:t>Exp</w:t>
            </w:r>
            <w:proofErr w:type="spellEnd"/>
            <w:r w:rsidRPr="00A374FD">
              <w:rPr>
                <w:rFonts w:ascii="Verdana" w:eastAsia="Calibri" w:hAnsi="Verdana" w:cs="Arial"/>
                <w:lang w:eastAsia="es-ES"/>
              </w:rPr>
              <w:t>. AC-10966 - AC-11274. Consejero Ponente: Reinaldo Chavarro Buriticá.</w:t>
            </w:r>
          </w:p>
          <w:p w14:paraId="513CF87D" w14:textId="77777777" w:rsidR="00C7633E" w:rsidRPr="00A374FD"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eastAsia="es-ES"/>
              </w:rPr>
            </w:pPr>
            <w:r w:rsidRPr="00A374FD">
              <w:rPr>
                <w:rFonts w:ascii="Verdana" w:eastAsia="Calibri" w:hAnsi="Verdana" w:cs="Arial"/>
                <w:lang w:eastAsia="es-ES"/>
              </w:rPr>
              <w:t>EXPÓSITO VÉLEZ, Juan Carlos. Forma y contenido del contrato estatal. Bogotá: Universidad Externado de Colombia, 2013.</w:t>
            </w:r>
          </w:p>
          <w:p w14:paraId="2B15BF02" w14:textId="77777777" w:rsidR="00C7633E" w:rsidRPr="00A374FD" w:rsidRDefault="00C7633E" w:rsidP="00C7633E">
            <w:pPr>
              <w:pStyle w:val="Prrafodelista"/>
              <w:widowControl w:val="0"/>
              <w:numPr>
                <w:ilvl w:val="0"/>
                <w:numId w:val="18"/>
              </w:numPr>
              <w:autoSpaceDE w:val="0"/>
              <w:autoSpaceDN w:val="0"/>
              <w:spacing w:line="276" w:lineRule="auto"/>
              <w:jc w:val="both"/>
              <w:rPr>
                <w:rFonts w:ascii="Verdana" w:eastAsia="Calibri" w:hAnsi="Verdana" w:cs="Arial"/>
                <w:lang w:eastAsia="es-ES"/>
              </w:rPr>
            </w:pPr>
            <w:r>
              <w:rPr>
                <w:rFonts w:ascii="Verdana" w:eastAsia="Calibri" w:hAnsi="Verdana" w:cs="Arial"/>
                <w:lang w:eastAsia="es-ES"/>
              </w:rPr>
              <w:t>M</w:t>
            </w:r>
            <w:r w:rsidRPr="00A374FD">
              <w:rPr>
                <w:rFonts w:ascii="Verdana" w:eastAsia="Calibri" w:hAnsi="Verdana" w:cs="Arial"/>
                <w:lang w:eastAsia="es-ES"/>
              </w:rPr>
              <w:t>ATALLANA CAMACHO, Ernesto. Manual de Contratación de la Administración Pública. Reforma de la Ley 80 de 1993. Cuarta edición. Bogotá: Universidad Externado de Colombia, 2015.</w:t>
            </w:r>
          </w:p>
          <w:p w14:paraId="7C4D8345" w14:textId="77777777" w:rsidR="00C7633E" w:rsidRPr="00A374FD" w:rsidRDefault="00C7633E" w:rsidP="00DA3402">
            <w:pPr>
              <w:pStyle w:val="Textonotapie"/>
              <w:numPr>
                <w:ilvl w:val="0"/>
                <w:numId w:val="17"/>
              </w:numPr>
              <w:jc w:val="both"/>
              <w:rPr>
                <w:rFonts w:ascii="Verdana" w:hAnsi="Verdana" w:cs="Arial"/>
                <w:sz w:val="22"/>
                <w:szCs w:val="22"/>
                <w:lang w:eastAsia="es-ES"/>
              </w:rPr>
            </w:pPr>
            <w:r w:rsidRPr="00A374FD">
              <w:rPr>
                <w:rFonts w:ascii="Verdana" w:eastAsia="Calibri" w:hAnsi="Verdana" w:cs="Arial"/>
                <w:sz w:val="22"/>
                <w:szCs w:val="22"/>
                <w:lang w:val="es-CO" w:eastAsia="es-ES"/>
              </w:rPr>
              <w:t>La Guía para el manejo de anticipos mediante contrato de fiducia irrevocable puede ser consultada en:</w:t>
            </w:r>
            <w:r w:rsidRPr="00A374FD">
              <w:rPr>
                <w:rFonts w:ascii="Verdana" w:hAnsi="Verdana" w:cs="Arial"/>
                <w:sz w:val="22"/>
                <w:szCs w:val="22"/>
                <w:lang w:val="es-ES"/>
              </w:rPr>
              <w:t xml:space="preserve"> </w:t>
            </w:r>
            <w:hyperlink r:id="rId13" w:history="1">
              <w:r w:rsidRPr="00A374FD">
                <w:rPr>
                  <w:rStyle w:val="Hipervnculo"/>
                  <w:rFonts w:ascii="Verdana" w:hAnsi="Verdana" w:cs="Arial"/>
                  <w:sz w:val="22"/>
                  <w:szCs w:val="22"/>
                  <w:lang w:val="es-ES"/>
                </w:rPr>
                <w:t>https://www.colombiacompra.gov.co/wp-content/uploads/2024/08/2017-Guia-para-el-manejo-de-anticipos-mediante-contrato-de-fiducia-mercantil-irrevocable-G-MACFMI-01.pdf</w:t>
              </w:r>
            </w:hyperlink>
          </w:p>
        </w:tc>
      </w:tr>
    </w:tbl>
    <w:p w14:paraId="7659DE0D" w14:textId="77777777" w:rsidR="00C7633E" w:rsidRDefault="00C7633E" w:rsidP="00C7633E">
      <w:pPr>
        <w:tabs>
          <w:tab w:val="left" w:pos="142"/>
          <w:tab w:val="left" w:pos="284"/>
          <w:tab w:val="left" w:pos="3828"/>
        </w:tabs>
        <w:spacing w:after="0" w:line="276" w:lineRule="auto"/>
        <w:jc w:val="both"/>
        <w:rPr>
          <w:rFonts w:ascii="Verdana" w:eastAsia="Century Gothic" w:hAnsi="Verdana" w:cs="Century Gothic"/>
          <w:b/>
          <w:bCs/>
        </w:rPr>
      </w:pPr>
    </w:p>
    <w:p w14:paraId="70A8A223" w14:textId="77777777" w:rsidR="00C7633E" w:rsidRPr="0091091D" w:rsidRDefault="00C7633E" w:rsidP="00C7633E">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10611E04" w14:textId="77777777" w:rsidR="00C7633E" w:rsidRPr="007A3DD4" w:rsidRDefault="00C7633E" w:rsidP="00C7633E">
      <w:pPr>
        <w:widowControl w:val="0"/>
        <w:autoSpaceDE w:val="0"/>
        <w:autoSpaceDN w:val="0"/>
        <w:spacing w:after="0" w:line="240" w:lineRule="auto"/>
        <w:jc w:val="both"/>
        <w:rPr>
          <w:rStyle w:val="normaltextrun"/>
          <w:rFonts w:ascii="Verdana" w:hAnsi="Verdana" w:cs="Arial"/>
          <w:shd w:val="clear" w:color="auto" w:fill="FFFFFF"/>
        </w:rPr>
      </w:pPr>
    </w:p>
    <w:p w14:paraId="78C93852" w14:textId="77777777" w:rsidR="00C7633E" w:rsidRDefault="00C7633E" w:rsidP="00C7633E">
      <w:pPr>
        <w:widowControl w:val="0"/>
        <w:autoSpaceDE w:val="0"/>
        <w:autoSpaceDN w:val="0"/>
        <w:spacing w:after="120" w:line="276" w:lineRule="auto"/>
        <w:jc w:val="both"/>
        <w:rPr>
          <w:rFonts w:ascii="Verdana" w:hAnsi="Verdana" w:cs="Arial"/>
          <w:color w:val="000000" w:themeColor="text1"/>
          <w:shd w:val="clear" w:color="auto" w:fill="FFFFFF"/>
        </w:rPr>
      </w:pPr>
      <w:r w:rsidRPr="00540A2C">
        <w:rPr>
          <w:rFonts w:ascii="Verdana" w:eastAsia="Calibri" w:hAnsi="Verdana" w:cs="Arial"/>
          <w:lang w:eastAsia="es-ES"/>
        </w:rPr>
        <w:t xml:space="preserve">La Agencia Nacional de Contratación Pública – Colombia Compra Eficiente </w:t>
      </w:r>
      <w:r>
        <w:rPr>
          <w:rFonts w:ascii="Verdana" w:eastAsia="Calibri" w:hAnsi="Verdana" w:cs="Arial"/>
          <w:lang w:eastAsia="es-ES"/>
        </w:rPr>
        <w:t xml:space="preserve">se ha pronunciado sobre </w:t>
      </w:r>
      <w:r w:rsidRPr="00540A2C">
        <w:rPr>
          <w:rFonts w:ascii="Verdana" w:eastAsia="Calibri" w:hAnsi="Verdana" w:cs="Arial"/>
          <w:lang w:eastAsia="es-ES"/>
        </w:rPr>
        <w:t>el análisis y estudio de la facultad de las entidades estatales para pactar la entrega de anticipos en los contratos estatales y el ámbito de aplicación del artículo 91 de la Ley 1474 de 2011</w:t>
      </w:r>
      <w:r>
        <w:rPr>
          <w:rFonts w:ascii="Verdana" w:eastAsia="Calibri" w:hAnsi="Verdana" w:cs="Arial"/>
          <w:lang w:eastAsia="es-ES"/>
        </w:rPr>
        <w:t xml:space="preserve"> </w:t>
      </w:r>
      <w:r w:rsidRPr="00540A2C">
        <w:rPr>
          <w:rFonts w:ascii="Verdana" w:eastAsia="Calibri" w:hAnsi="Verdana" w:cs="Arial"/>
          <w:lang w:eastAsia="es-ES"/>
        </w:rPr>
        <w:t>en los conceptos C-731 del 14 de diciembre de 2020, C-154 del 18 de mayo de 2021, C-842 del 7 de diciembre de 2022, C-825 del 28 de diciembre de 2022, C-033 de 27 de febrero de 2023, C-003 de 13 de marzo de 2023, C-037 del 5 de abril de 2023</w:t>
      </w:r>
      <w:r>
        <w:rPr>
          <w:rFonts w:ascii="Verdana" w:eastAsia="Calibri" w:hAnsi="Verdana" w:cs="Arial"/>
          <w:lang w:eastAsia="es-ES"/>
        </w:rPr>
        <w:t>,</w:t>
      </w:r>
      <w:r w:rsidRPr="00540A2C">
        <w:rPr>
          <w:rFonts w:ascii="Verdana" w:eastAsia="Calibri" w:hAnsi="Verdana" w:cs="Arial"/>
          <w:lang w:eastAsia="es-ES"/>
        </w:rPr>
        <w:t xml:space="preserve"> C-109 de 10 de mayo de 2023</w:t>
      </w:r>
      <w:r>
        <w:rPr>
          <w:rFonts w:ascii="Verdana" w:eastAsia="Calibri" w:hAnsi="Verdana" w:cs="Arial"/>
          <w:lang w:eastAsia="es-ES"/>
        </w:rPr>
        <w:t>,</w:t>
      </w:r>
      <w:r w:rsidRPr="00540A2C">
        <w:rPr>
          <w:rFonts w:ascii="Verdana" w:eastAsia="Calibri" w:hAnsi="Verdana" w:cs="Arial"/>
          <w:lang w:eastAsia="es-ES"/>
        </w:rPr>
        <w:t xml:space="preserve"> </w:t>
      </w:r>
      <w:r>
        <w:rPr>
          <w:rFonts w:ascii="Verdana" w:eastAsia="Calibri" w:hAnsi="Verdana" w:cs="Arial"/>
          <w:lang w:eastAsia="es-ES"/>
        </w:rPr>
        <w:t xml:space="preserve">y </w:t>
      </w:r>
      <w:r w:rsidRPr="00540A2C">
        <w:rPr>
          <w:rFonts w:ascii="Verdana" w:eastAsia="Calibri" w:hAnsi="Verdana" w:cs="Arial"/>
          <w:lang w:eastAsia="es-ES"/>
        </w:rPr>
        <w:t xml:space="preserve">C- 157 </w:t>
      </w:r>
      <w:r>
        <w:rPr>
          <w:rFonts w:ascii="Verdana" w:eastAsia="Calibri" w:hAnsi="Verdana" w:cs="Arial"/>
          <w:lang w:eastAsia="es-ES"/>
        </w:rPr>
        <w:t>de</w:t>
      </w:r>
      <w:r w:rsidRPr="00540A2C">
        <w:rPr>
          <w:rFonts w:ascii="Verdana" w:eastAsia="Calibri" w:hAnsi="Verdana" w:cs="Arial"/>
          <w:lang w:eastAsia="es-ES"/>
        </w:rPr>
        <w:t xml:space="preserve"> 10 de agosto de 2023,</w:t>
      </w:r>
      <w:r>
        <w:rPr>
          <w:rFonts w:ascii="Verdana" w:eastAsia="Calibri" w:hAnsi="Verdana" w:cs="Arial"/>
          <w:lang w:eastAsia="es-ES"/>
        </w:rPr>
        <w:t xml:space="preserve"> C-911 del 31 de diciembre de </w:t>
      </w:r>
      <w:r w:rsidRPr="00622C01">
        <w:rPr>
          <w:rFonts w:ascii="Verdana" w:eastAsia="Calibri" w:hAnsi="Verdana" w:cs="Arial"/>
          <w:lang w:eastAsia="es-ES"/>
        </w:rPr>
        <w:t xml:space="preserve">2024, </w:t>
      </w:r>
      <w:r>
        <w:rPr>
          <w:rFonts w:ascii="Verdana" w:eastAsia="Calibri" w:hAnsi="Verdana" w:cs="Arial"/>
          <w:lang w:eastAsia="es-ES"/>
        </w:rPr>
        <w:t xml:space="preserve">C-726 del 16 de julio de 2025, </w:t>
      </w:r>
      <w:r w:rsidRPr="00622C01">
        <w:rPr>
          <w:rFonts w:ascii="Verdana" w:hAnsi="Verdana" w:cs="Arial"/>
          <w:shd w:val="clear" w:color="auto" w:fill="FFFFFF"/>
          <w:lang w:val="es-ES"/>
        </w:rPr>
        <w:t xml:space="preserve">entre otros. </w:t>
      </w:r>
      <w:r w:rsidRPr="00622C01">
        <w:rPr>
          <w:rFonts w:ascii="Verdana" w:hAnsi="Verdana" w:cs="Arial"/>
        </w:rPr>
        <w:t xml:space="preserve">Estos y otros </w:t>
      </w:r>
      <w:r w:rsidRPr="00622C01">
        <w:rPr>
          <w:rFonts w:ascii="Verdana" w:hAnsi="Verdana"/>
        </w:rPr>
        <w:t>conceptos se encuentran disponibles para consulta en el Sistema de relatoría de la Agencia, al cual se puede acceder a través del siguiente enlace:</w:t>
      </w:r>
      <w:r w:rsidRPr="00622C01">
        <w:rPr>
          <w:rFonts w:ascii="Verdana" w:hAnsi="Verdana" w:cs="Arial"/>
          <w:shd w:val="clear" w:color="auto" w:fill="FFFFFF"/>
        </w:rPr>
        <w:t xml:space="preserve"> </w:t>
      </w:r>
      <w:hyperlink r:id="rId14"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5A829CD2" w14:textId="77777777" w:rsidR="00C7633E" w:rsidRPr="00AB4B99" w:rsidRDefault="00C7633E" w:rsidP="00C7633E">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8746BD">
          <w:rPr>
            <w:rStyle w:val="Hipervnculo"/>
            <w:rFonts w:ascii="Verdana" w:hAnsi="Verdana"/>
          </w:rPr>
          <w:t>https://formacionvirtual.colombiacompra.gov.co/mod/page/view.php?id=3718</w:t>
        </w:r>
      </w:hyperlink>
    </w:p>
    <w:p w14:paraId="3439B705" w14:textId="77777777" w:rsidR="0084712D" w:rsidRDefault="0084712D" w:rsidP="0084712D">
      <w:pPr>
        <w:widowControl w:val="0"/>
        <w:autoSpaceDE w:val="0"/>
        <w:autoSpaceDN w:val="0"/>
        <w:spacing w:after="0" w:line="240" w:lineRule="auto"/>
        <w:jc w:val="both"/>
        <w:rPr>
          <w:rFonts w:ascii="Verdana" w:hAnsi="Verdana"/>
        </w:rPr>
      </w:pPr>
    </w:p>
    <w:p w14:paraId="5FC70804" w14:textId="5A597065" w:rsidR="00C7633E" w:rsidRPr="000E1EA7" w:rsidRDefault="00C7633E" w:rsidP="00C7633E">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0E1EA7">
          <w:rPr>
            <w:rStyle w:val="Hipervnculo"/>
            <w:rFonts w:ascii="Verdana" w:hAnsi="Verdana"/>
          </w:rPr>
          <w:t>https://www.colombiacompra.gov.co/normativa-y-relatoria/documentos-tipo</w:t>
        </w:r>
      </w:hyperlink>
    </w:p>
    <w:p w14:paraId="2272E90F" w14:textId="77777777" w:rsidR="0084712D" w:rsidRDefault="0084712D" w:rsidP="0084712D">
      <w:pPr>
        <w:widowControl w:val="0"/>
        <w:autoSpaceDE w:val="0"/>
        <w:autoSpaceDN w:val="0"/>
        <w:spacing w:after="0" w:line="240" w:lineRule="auto"/>
        <w:jc w:val="both"/>
        <w:rPr>
          <w:rFonts w:ascii="Verdana" w:hAnsi="Verdana"/>
        </w:rPr>
      </w:pPr>
    </w:p>
    <w:p w14:paraId="718B7896" w14:textId="5DFF33CB" w:rsidR="00C7633E" w:rsidRDefault="00C7633E" w:rsidP="00C7633E">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7"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E9E0B5B" w14:textId="77777777" w:rsidR="00C7633E" w:rsidRPr="007A3DD4" w:rsidRDefault="00C7633E" w:rsidP="00C7633E">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60265515" w14:textId="77777777" w:rsidR="00C7633E" w:rsidRPr="00116940" w:rsidRDefault="00C7633E" w:rsidP="00C7633E">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99AFB38" w14:textId="77777777" w:rsidR="00C7633E" w:rsidRPr="00116940" w:rsidRDefault="00C7633E" w:rsidP="00C7633E">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9A45F1A" w14:textId="77777777" w:rsidR="00C7633E" w:rsidRPr="00116940" w:rsidRDefault="00C7633E" w:rsidP="00C7633E">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01E10E10" w14:textId="77777777" w:rsidR="00C7633E" w:rsidRPr="00116940" w:rsidRDefault="00C7633E" w:rsidP="00C7633E">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31E53655" w14:textId="77777777" w:rsidR="00C7633E" w:rsidRDefault="00C7633E" w:rsidP="00C7633E">
      <w:pPr>
        <w:spacing w:after="0" w:line="240" w:lineRule="auto"/>
        <w:jc w:val="both"/>
        <w:rPr>
          <w:rFonts w:ascii="Verdana" w:hAnsi="Verdana"/>
        </w:rPr>
      </w:pPr>
    </w:p>
    <w:p w14:paraId="314825E1" w14:textId="77777777" w:rsidR="009D5162" w:rsidRDefault="009D5162" w:rsidP="009D5162">
      <w:pPr>
        <w:spacing w:after="0" w:line="240" w:lineRule="auto"/>
        <w:jc w:val="both"/>
        <w:rPr>
          <w:rFonts w:ascii="Verdana" w:hAnsi="Verdana"/>
        </w:rPr>
      </w:pPr>
    </w:p>
    <w:p w14:paraId="41622F67" w14:textId="1F26DF10" w:rsidR="00C7633E" w:rsidRDefault="00C7633E" w:rsidP="00C7633E">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6EC148B3" w14:textId="77777777" w:rsidR="00C7633E" w:rsidRDefault="00C7633E" w:rsidP="00C7633E">
      <w:pPr>
        <w:spacing w:after="0" w:line="240" w:lineRule="auto"/>
        <w:jc w:val="both"/>
        <w:rPr>
          <w:rFonts w:ascii="Verdana" w:hAnsi="Verdana"/>
        </w:rPr>
      </w:pPr>
    </w:p>
    <w:p w14:paraId="080EE368" w14:textId="77777777" w:rsidR="00C7633E" w:rsidRPr="00116940" w:rsidRDefault="00C7633E" w:rsidP="00C7633E">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E36C14E" w14:textId="77777777" w:rsidR="00C7633E" w:rsidRPr="008746BD" w:rsidRDefault="00C7633E" w:rsidP="00C7633E">
      <w:pPr>
        <w:spacing w:after="0" w:line="240" w:lineRule="auto"/>
        <w:jc w:val="both"/>
        <w:rPr>
          <w:rFonts w:ascii="Verdana" w:hAnsi="Verdana"/>
        </w:rPr>
      </w:pPr>
    </w:p>
    <w:p w14:paraId="55A2B3D6" w14:textId="77777777" w:rsidR="00C7633E" w:rsidRPr="00116940" w:rsidRDefault="00C7633E" w:rsidP="00C7633E">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DDA0529" w14:textId="77777777" w:rsidR="00C7633E" w:rsidRPr="00116940" w:rsidRDefault="00C7633E" w:rsidP="00C7633E">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004EFBB" w14:textId="77777777" w:rsidR="00C7633E" w:rsidRPr="00116940" w:rsidRDefault="00C7633E" w:rsidP="00C7633E">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86D99C0" w14:textId="77777777" w:rsidR="00C7633E" w:rsidRDefault="00C7633E" w:rsidP="00C7633E">
      <w:pPr>
        <w:spacing w:after="0" w:line="276" w:lineRule="auto"/>
        <w:jc w:val="both"/>
        <w:rPr>
          <w:rFonts w:ascii="Century Gothic" w:eastAsia="Century Gothic" w:hAnsi="Century Gothic" w:cs="Century Gothic"/>
          <w:lang w:val="es-ES" w:eastAsia="es-ES_tradnl"/>
        </w:rPr>
      </w:pPr>
    </w:p>
    <w:p w14:paraId="0FB012CD" w14:textId="77777777" w:rsidR="00C7633E" w:rsidRPr="00842775" w:rsidRDefault="00C7633E" w:rsidP="00C7633E">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70CDF0DA" w14:textId="77777777" w:rsidR="00C7633E" w:rsidRDefault="00C7633E" w:rsidP="00C7633E">
      <w:pPr>
        <w:spacing w:after="0" w:line="276" w:lineRule="auto"/>
        <w:jc w:val="both"/>
        <w:rPr>
          <w:rFonts w:ascii="Verdana" w:hAnsi="Verdana"/>
          <w:lang w:val="es-MX"/>
        </w:rPr>
      </w:pPr>
    </w:p>
    <w:p w14:paraId="279DC5BF" w14:textId="77777777" w:rsidR="00C7633E" w:rsidRPr="00330029" w:rsidRDefault="00C7633E" w:rsidP="00C7633E">
      <w:pPr>
        <w:spacing w:after="0" w:line="276" w:lineRule="auto"/>
        <w:jc w:val="both"/>
        <w:rPr>
          <w:rFonts w:ascii="Verdana" w:hAnsi="Verdana"/>
          <w:lang w:val="es-MX"/>
        </w:rPr>
      </w:pPr>
      <w:r w:rsidRPr="00E02524">
        <w:rPr>
          <w:rFonts w:ascii="Verdana" w:hAnsi="Verdana"/>
          <w:lang w:val="es-MX"/>
        </w:rPr>
        <w:t>Cordialmente,</w:t>
      </w:r>
    </w:p>
    <w:p w14:paraId="6AB7EF40" w14:textId="1E79BEC4" w:rsidR="00C7633E" w:rsidRDefault="0078074E" w:rsidP="00C7633E">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F982917" wp14:editId="4B6D208F">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962953" cy="1867161"/>
                    </a:xfrm>
                    <a:prstGeom prst="rect">
                      <a:avLst/>
                    </a:prstGeom>
                  </pic:spPr>
                </pic:pic>
              </a:graphicData>
            </a:graphic>
          </wp:inline>
        </w:drawing>
      </w:r>
    </w:p>
    <w:p w14:paraId="07C8F23E" w14:textId="77777777" w:rsidR="0053493C" w:rsidRDefault="0053493C" w:rsidP="0078074E">
      <w:pPr>
        <w:spacing w:after="0" w:line="256" w:lineRule="auto"/>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7633E" w:rsidRPr="005644FE" w14:paraId="2EDDEE62" w14:textId="77777777" w:rsidTr="00DA3402">
        <w:trPr>
          <w:trHeight w:val="288"/>
        </w:trPr>
        <w:tc>
          <w:tcPr>
            <w:tcW w:w="893" w:type="dxa"/>
            <w:vAlign w:val="center"/>
            <w:hideMark/>
          </w:tcPr>
          <w:p w14:paraId="30227DC7" w14:textId="77777777" w:rsidR="00C7633E" w:rsidRPr="005644FE" w:rsidRDefault="00C7633E" w:rsidP="00DA3402">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63FF5BD" w14:textId="77777777" w:rsidR="00C7633E" w:rsidRPr="005644FE" w:rsidRDefault="00C7633E" w:rsidP="00DA3402">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EC32136" w14:textId="77777777" w:rsidR="00C7633E" w:rsidRPr="005644FE" w:rsidRDefault="00C7633E" w:rsidP="00DA3402">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7633E" w:rsidRPr="005644FE" w14:paraId="28F437DA" w14:textId="77777777" w:rsidTr="00DA3402">
        <w:trPr>
          <w:trHeight w:val="330"/>
        </w:trPr>
        <w:tc>
          <w:tcPr>
            <w:tcW w:w="893" w:type="dxa"/>
            <w:vAlign w:val="center"/>
            <w:hideMark/>
          </w:tcPr>
          <w:p w14:paraId="130EF04F" w14:textId="77777777" w:rsidR="00C7633E" w:rsidRPr="005644FE" w:rsidRDefault="00C7633E" w:rsidP="00DA3402">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F25BDD9" w14:textId="77777777" w:rsidR="00C7633E" w:rsidRPr="00B25B15" w:rsidRDefault="00C7633E" w:rsidP="00DA3402">
            <w:pPr>
              <w:pStyle w:val="paragraph"/>
              <w:spacing w:before="0" w:beforeAutospacing="0" w:after="0" w:afterAutospacing="0"/>
              <w:contextualSpacing/>
              <w:textAlignment w:val="baseline"/>
              <w:rPr>
                <w:rStyle w:val="normaltextrun"/>
                <w:rFonts w:ascii="Verdana" w:hAnsi="Verdana"/>
                <w:sz w:val="16"/>
                <w:szCs w:val="16"/>
              </w:rPr>
            </w:pPr>
            <w:r w:rsidRPr="00B25B15">
              <w:rPr>
                <w:rStyle w:val="normaltextrun"/>
                <w:rFonts w:ascii="Verdana" w:hAnsi="Verdana"/>
                <w:sz w:val="16"/>
                <w:szCs w:val="16"/>
              </w:rPr>
              <w:t xml:space="preserve">Diana Lucía Saavedra Castañeda. </w:t>
            </w:r>
          </w:p>
          <w:p w14:paraId="25F0FBAF" w14:textId="77777777" w:rsidR="00C7633E" w:rsidRPr="00147D6A" w:rsidRDefault="00C7633E" w:rsidP="00DA3402">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C7633E" w:rsidRPr="005644FE" w14:paraId="22208E36" w14:textId="77777777" w:rsidTr="00DA3402">
        <w:trPr>
          <w:trHeight w:val="300"/>
        </w:trPr>
        <w:tc>
          <w:tcPr>
            <w:tcW w:w="893" w:type="dxa"/>
            <w:vAlign w:val="center"/>
          </w:tcPr>
          <w:p w14:paraId="3C0F606A" w14:textId="77777777" w:rsidR="00C7633E" w:rsidRPr="005644FE" w:rsidRDefault="00C7633E" w:rsidP="00DA3402">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4F2A185" w14:textId="77777777" w:rsidR="00C7633E" w:rsidRPr="00147D6A" w:rsidRDefault="00C7633E" w:rsidP="00DA3402">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5B2B2B14" w14:textId="77777777" w:rsidR="00C7633E" w:rsidRPr="00147D6A" w:rsidRDefault="00C7633E" w:rsidP="00DA3402">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55FC6F54" w14:textId="77777777" w:rsidR="00C7633E" w:rsidRPr="0024624F" w:rsidRDefault="00C7633E" w:rsidP="00C7633E">
      <w:pPr>
        <w:spacing w:after="0"/>
        <w:rPr>
          <w:rFonts w:ascii="Verdana" w:eastAsia="Verdana" w:hAnsi="Verdana" w:cs="Verdana"/>
        </w:rPr>
      </w:pPr>
    </w:p>
    <w:p w14:paraId="5047CED1" w14:textId="77777777" w:rsidR="00C7633E" w:rsidRPr="00A374FD" w:rsidRDefault="00C7633E" w:rsidP="00C7633E"/>
    <w:p w14:paraId="0F293BF4" w14:textId="4E92B36D" w:rsidR="00127233" w:rsidRPr="00A35A17" w:rsidRDefault="00127233" w:rsidP="00A35A17"/>
    <w:sectPr w:rsidR="00127233" w:rsidRPr="00A35A17"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232A3" w14:textId="77777777" w:rsidR="00AE2FF5" w:rsidRDefault="00AE2FF5" w:rsidP="004A1847">
      <w:pPr>
        <w:spacing w:after="0" w:line="240" w:lineRule="auto"/>
      </w:pPr>
      <w:r>
        <w:separator/>
      </w:r>
    </w:p>
  </w:endnote>
  <w:endnote w:type="continuationSeparator" w:id="0">
    <w:p w14:paraId="316EDF01" w14:textId="77777777" w:rsidR="00AE2FF5" w:rsidRDefault="00AE2FF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C0FA0" w14:textId="77777777" w:rsidR="00AE2FF5" w:rsidRDefault="00AE2FF5" w:rsidP="004A1847">
      <w:pPr>
        <w:spacing w:after="0" w:line="240" w:lineRule="auto"/>
      </w:pPr>
      <w:r>
        <w:separator/>
      </w:r>
    </w:p>
  </w:footnote>
  <w:footnote w:type="continuationSeparator" w:id="0">
    <w:p w14:paraId="3E3E4EF9" w14:textId="77777777" w:rsidR="00AE2FF5" w:rsidRDefault="00AE2FF5" w:rsidP="004A1847">
      <w:pPr>
        <w:spacing w:after="0" w:line="240" w:lineRule="auto"/>
      </w:pPr>
      <w:r>
        <w:continuationSeparator/>
      </w:r>
    </w:p>
  </w:footnote>
  <w:footnote w:id="1">
    <w:p w14:paraId="67C774B7" w14:textId="77777777" w:rsidR="00C7633E" w:rsidRPr="001D7F0B" w:rsidRDefault="00C7633E" w:rsidP="00C7633E">
      <w:pPr>
        <w:pStyle w:val="Textonotapie"/>
        <w:ind w:firstLine="709"/>
        <w:jc w:val="both"/>
        <w:rPr>
          <w:rFonts w:ascii="Verdana" w:hAnsi="Verdana"/>
          <w:sz w:val="16"/>
          <w:szCs w:val="16"/>
          <w:lang w:val="es-CO"/>
        </w:rPr>
      </w:pPr>
      <w:r w:rsidRPr="001D7F0B">
        <w:rPr>
          <w:rStyle w:val="Refdenotaalpie"/>
          <w:rFonts w:ascii="Verdana" w:hAnsi="Verdana"/>
          <w:sz w:val="16"/>
          <w:szCs w:val="16"/>
        </w:rPr>
        <w:footnoteRef/>
      </w:r>
      <w:r w:rsidRPr="001D7F0B">
        <w:rPr>
          <w:rFonts w:ascii="Verdana" w:hAnsi="Verdana"/>
          <w:sz w:val="16"/>
          <w:szCs w:val="16"/>
        </w:rPr>
        <w:t xml:space="preserve"> </w:t>
      </w:r>
      <w:bookmarkStart w:id="2" w:name="91"/>
      <w:r w:rsidRPr="001D7F0B">
        <w:rPr>
          <w:rFonts w:ascii="Verdana" w:hAnsi="Verdana"/>
          <w:b/>
          <w:bCs/>
          <w:sz w:val="16"/>
          <w:szCs w:val="16"/>
          <w:lang w:val="es-CO"/>
        </w:rPr>
        <w:t>ARTÍCULO 91. ANTICIPOS.</w:t>
      </w:r>
      <w:bookmarkEnd w:id="2"/>
      <w:r w:rsidRPr="001D7F0B">
        <w:rPr>
          <w:rFonts w:ascii="Verdana" w:hAnsi="Verdana"/>
          <w:sz w:val="16"/>
          <w:szCs w:val="16"/>
          <w:lang w:val="es-CO"/>
        </w:rPr>
        <w:t> En los contratos de obra, concesión, salud, o los que se realicen por licitación pública,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p>
    <w:p w14:paraId="69D5842B" w14:textId="77777777" w:rsidR="00C7633E" w:rsidRPr="001D7F0B" w:rsidRDefault="00C7633E" w:rsidP="00C7633E">
      <w:pPr>
        <w:pStyle w:val="Textonotapie"/>
        <w:ind w:firstLine="709"/>
        <w:jc w:val="both"/>
        <w:rPr>
          <w:rFonts w:ascii="Verdana" w:hAnsi="Verdana"/>
          <w:sz w:val="16"/>
          <w:szCs w:val="16"/>
          <w:lang w:val="es-CO"/>
        </w:rPr>
      </w:pPr>
      <w:r w:rsidRPr="001D7F0B">
        <w:rPr>
          <w:rFonts w:ascii="Verdana" w:hAnsi="Verdana"/>
          <w:sz w:val="16"/>
          <w:szCs w:val="16"/>
          <w:lang w:val="es-CO"/>
        </w:rPr>
        <w:t>El costo de la comisión fiduciaria será cubierto directamente por el contratista.</w:t>
      </w:r>
    </w:p>
    <w:p w14:paraId="3F3C50D8" w14:textId="77777777" w:rsidR="00C7633E" w:rsidRPr="001D7F0B" w:rsidRDefault="00C7633E" w:rsidP="00C7633E">
      <w:pPr>
        <w:pStyle w:val="Textonotapie"/>
        <w:ind w:firstLine="709"/>
        <w:jc w:val="both"/>
        <w:rPr>
          <w:rFonts w:ascii="Verdana" w:hAnsi="Verdana"/>
          <w:sz w:val="16"/>
          <w:szCs w:val="16"/>
          <w:lang w:val="es-CO"/>
        </w:rPr>
      </w:pPr>
      <w:r w:rsidRPr="001D7F0B">
        <w:rPr>
          <w:rFonts w:ascii="Verdana" w:hAnsi="Verdana"/>
          <w:b/>
          <w:bCs/>
          <w:sz w:val="16"/>
          <w:szCs w:val="16"/>
          <w:lang w:val="es-CO"/>
        </w:rPr>
        <w:t>PARÁGRAFO.</w:t>
      </w:r>
      <w:r w:rsidRPr="001D7F0B">
        <w:rPr>
          <w:rFonts w:ascii="Verdana" w:hAnsi="Verdana"/>
          <w:sz w:val="16"/>
          <w:szCs w:val="16"/>
          <w:lang w:val="es-CO"/>
        </w:rPr>
        <w:t> La información financiera y contable de la fiducia podrá ser consultada por los Organismos de Vigilancia y Control Fiscal.</w:t>
      </w:r>
    </w:p>
    <w:p w14:paraId="07F6458A" w14:textId="77777777" w:rsidR="00C7633E" w:rsidRPr="001D7F0B" w:rsidRDefault="00C7633E" w:rsidP="00C7633E">
      <w:pPr>
        <w:pStyle w:val="Textonotapie"/>
      </w:pPr>
    </w:p>
  </w:footnote>
  <w:footnote w:id="2">
    <w:p w14:paraId="0DD67529" w14:textId="77777777" w:rsidR="00C7633E" w:rsidRPr="00984E13" w:rsidRDefault="00C7633E" w:rsidP="00C7633E">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color w:val="000000" w:themeColor="text1"/>
          <w:sz w:val="16"/>
          <w:szCs w:val="16"/>
          <w:lang w:val="es-ES"/>
        </w:rPr>
        <w:t xml:space="preserve">“Consejo de Estado. </w:t>
      </w:r>
      <w:r w:rsidRPr="00984E13">
        <w:rPr>
          <w:rFonts w:ascii="Verdana" w:hAnsi="Verdana" w:cs="Arial"/>
          <w:sz w:val="16"/>
          <w:szCs w:val="16"/>
        </w:rPr>
        <w:t>Sala de lo Contencioso Administrativo. Sección Tercera – Subsección A. Sentencia del 16 de mayo de 2019. Rad</w:t>
      </w:r>
      <w:r>
        <w:rPr>
          <w:rFonts w:ascii="Verdana" w:hAnsi="Verdana" w:cs="Arial"/>
          <w:sz w:val="16"/>
          <w:szCs w:val="16"/>
        </w:rPr>
        <w:t xml:space="preserve">icado: </w:t>
      </w:r>
      <w:r w:rsidRPr="00C133D5">
        <w:rPr>
          <w:rFonts w:ascii="Verdana" w:hAnsi="Verdana" w:cs="Arial"/>
          <w:sz w:val="16"/>
          <w:szCs w:val="16"/>
        </w:rPr>
        <w:t>85001-23-31-000-2007-00159-01</w:t>
      </w:r>
      <w:r w:rsidRPr="00984E13">
        <w:rPr>
          <w:rFonts w:ascii="Verdana" w:hAnsi="Verdana" w:cs="Arial"/>
          <w:sz w:val="16"/>
          <w:szCs w:val="16"/>
        </w:rPr>
        <w:t xml:space="preserve"> </w:t>
      </w:r>
      <w:r>
        <w:rPr>
          <w:rFonts w:ascii="Verdana" w:hAnsi="Verdana" w:cs="Arial"/>
          <w:sz w:val="16"/>
          <w:szCs w:val="16"/>
        </w:rPr>
        <w:t>(</w:t>
      </w:r>
      <w:r w:rsidRPr="00984E13">
        <w:rPr>
          <w:rFonts w:ascii="Verdana" w:hAnsi="Verdana" w:cs="Arial"/>
          <w:sz w:val="16"/>
          <w:szCs w:val="16"/>
        </w:rPr>
        <w:t>40102</w:t>
      </w:r>
      <w:r>
        <w:rPr>
          <w:rFonts w:ascii="Verdana" w:hAnsi="Verdana" w:cs="Arial"/>
          <w:sz w:val="16"/>
          <w:szCs w:val="16"/>
        </w:rPr>
        <w:t>)</w:t>
      </w:r>
      <w:r w:rsidRPr="00984E13">
        <w:rPr>
          <w:rFonts w:ascii="Verdana" w:hAnsi="Verdana" w:cs="Arial"/>
          <w:sz w:val="16"/>
          <w:szCs w:val="16"/>
        </w:rPr>
        <w:t xml:space="preserve">. C.P: María Adriana Marín [cita No. 35]. </w:t>
      </w:r>
    </w:p>
  </w:footnote>
  <w:footnote w:id="3">
    <w:p w14:paraId="775957F2" w14:textId="77777777" w:rsidR="00C7633E" w:rsidRDefault="00C7633E" w:rsidP="00C7633E">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Ibidem.</w:t>
      </w:r>
    </w:p>
    <w:p w14:paraId="398FC5A4" w14:textId="77777777" w:rsidR="00C7633E" w:rsidRPr="00984E13" w:rsidRDefault="00C7633E" w:rsidP="00C7633E">
      <w:pPr>
        <w:pStyle w:val="Textonotapie"/>
        <w:ind w:firstLine="709"/>
        <w:jc w:val="both"/>
        <w:rPr>
          <w:rFonts w:ascii="Verdana" w:hAnsi="Verdana" w:cs="Arial"/>
          <w:sz w:val="16"/>
          <w:szCs w:val="16"/>
        </w:rPr>
      </w:pPr>
    </w:p>
  </w:footnote>
  <w:footnote w:id="4">
    <w:p w14:paraId="5B9DFF9D" w14:textId="77777777" w:rsidR="00C7633E" w:rsidRDefault="00C7633E" w:rsidP="00C7633E">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xml:space="preserve">. Sala de lo Contencioso Administrativo. Sección Tercera – Subsección C. Sentencia del 2 de octubre del 2020. Rad. </w:t>
      </w:r>
      <w:r w:rsidRPr="00C133D5">
        <w:rPr>
          <w:rFonts w:ascii="Verdana" w:hAnsi="Verdana" w:cs="Arial"/>
          <w:sz w:val="16"/>
          <w:szCs w:val="16"/>
          <w:lang w:val="es-CO"/>
        </w:rPr>
        <w:t>52001-23-33-000-2019-00002-01</w:t>
      </w:r>
      <w:r>
        <w:rPr>
          <w:rFonts w:ascii="Verdana" w:hAnsi="Verdana" w:cs="Arial"/>
          <w:sz w:val="16"/>
          <w:szCs w:val="16"/>
          <w:lang w:val="es-CO"/>
        </w:rPr>
        <w:t xml:space="preserve"> (</w:t>
      </w:r>
      <w:r w:rsidRPr="00984E13">
        <w:rPr>
          <w:rFonts w:ascii="Verdana" w:hAnsi="Verdana" w:cs="Arial"/>
          <w:sz w:val="16"/>
          <w:szCs w:val="16"/>
        </w:rPr>
        <w:t>63644</w:t>
      </w:r>
      <w:r>
        <w:rPr>
          <w:rFonts w:ascii="Verdana" w:hAnsi="Verdana" w:cs="Arial"/>
          <w:sz w:val="16"/>
          <w:szCs w:val="16"/>
        </w:rPr>
        <w:t>)</w:t>
      </w:r>
      <w:r w:rsidRPr="00984E13">
        <w:rPr>
          <w:rFonts w:ascii="Verdana" w:hAnsi="Verdana" w:cs="Arial"/>
          <w:sz w:val="16"/>
          <w:szCs w:val="16"/>
        </w:rPr>
        <w:t>. C</w:t>
      </w:r>
      <w:r>
        <w:rPr>
          <w:rFonts w:ascii="Verdana" w:hAnsi="Verdana" w:cs="Arial"/>
          <w:sz w:val="16"/>
          <w:szCs w:val="16"/>
        </w:rPr>
        <w:t>.</w:t>
      </w:r>
      <w:r w:rsidRPr="00984E13">
        <w:rPr>
          <w:rFonts w:ascii="Verdana" w:hAnsi="Verdana" w:cs="Arial"/>
          <w:sz w:val="16"/>
          <w:szCs w:val="16"/>
        </w:rPr>
        <w:t>P</w:t>
      </w:r>
      <w:r>
        <w:rPr>
          <w:rFonts w:ascii="Verdana" w:hAnsi="Verdana" w:cs="Arial"/>
          <w:sz w:val="16"/>
          <w:szCs w:val="16"/>
        </w:rPr>
        <w:t xml:space="preserve">: </w:t>
      </w:r>
      <w:r w:rsidRPr="00984E13">
        <w:rPr>
          <w:rFonts w:ascii="Verdana" w:hAnsi="Verdana" w:cs="Arial"/>
          <w:sz w:val="16"/>
          <w:szCs w:val="16"/>
        </w:rPr>
        <w:t xml:space="preserve">Jaime Enrique Rodríguez Nava. </w:t>
      </w:r>
    </w:p>
    <w:p w14:paraId="57641E79" w14:textId="77777777" w:rsidR="00C7633E" w:rsidRPr="00984E13" w:rsidRDefault="00C7633E" w:rsidP="00C7633E">
      <w:pPr>
        <w:pStyle w:val="Textonotapie"/>
        <w:ind w:firstLine="709"/>
        <w:jc w:val="both"/>
        <w:rPr>
          <w:rFonts w:ascii="Verdana" w:hAnsi="Verdana" w:cs="Arial"/>
          <w:sz w:val="16"/>
          <w:szCs w:val="16"/>
        </w:rPr>
      </w:pPr>
    </w:p>
  </w:footnote>
  <w:footnote w:id="5">
    <w:p w14:paraId="36F1EC23" w14:textId="77777777" w:rsidR="00C7633E" w:rsidRDefault="00C7633E" w:rsidP="00C7633E">
      <w:pPr>
        <w:pStyle w:val="Textonotapie"/>
        <w:ind w:firstLine="709"/>
        <w:jc w:val="both"/>
        <w:rPr>
          <w:rFonts w:ascii="Verdana" w:hAnsi="Verdana" w:cs="Arial"/>
          <w:color w:val="000000" w:themeColor="text1"/>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color w:val="000000" w:themeColor="text1"/>
          <w:sz w:val="16"/>
          <w:szCs w:val="16"/>
          <w:lang w:val="es-ES"/>
        </w:rPr>
        <w:t>. Sección Tercera. Sentencia de 22 de junio de 2001. Exp.</w:t>
      </w:r>
      <w:r>
        <w:rPr>
          <w:rFonts w:ascii="Verdana" w:hAnsi="Verdana" w:cs="Arial"/>
          <w:color w:val="000000" w:themeColor="text1"/>
          <w:sz w:val="16"/>
          <w:szCs w:val="16"/>
          <w:lang w:val="es-ES"/>
        </w:rPr>
        <w:t xml:space="preserve"> </w:t>
      </w:r>
      <w:r w:rsidRPr="00C133D5">
        <w:rPr>
          <w:rFonts w:ascii="Verdana" w:hAnsi="Verdana" w:cs="Arial"/>
          <w:color w:val="000000" w:themeColor="text1"/>
          <w:sz w:val="16"/>
          <w:szCs w:val="16"/>
          <w:lang w:val="es-ES"/>
        </w:rPr>
        <w:t>44001-23-31-000-1996-00686-01</w:t>
      </w:r>
      <w:r>
        <w:rPr>
          <w:rFonts w:ascii="Verdana" w:hAnsi="Verdana" w:cs="Arial"/>
          <w:color w:val="000000" w:themeColor="text1"/>
          <w:sz w:val="16"/>
          <w:szCs w:val="16"/>
          <w:lang w:val="es-ES"/>
        </w:rPr>
        <w:t xml:space="preserve"> (</w:t>
      </w:r>
      <w:r w:rsidRPr="00984E13">
        <w:rPr>
          <w:rFonts w:ascii="Verdana" w:hAnsi="Verdana" w:cs="Arial"/>
          <w:color w:val="000000" w:themeColor="text1"/>
          <w:sz w:val="16"/>
          <w:szCs w:val="16"/>
          <w:lang w:val="es-ES"/>
        </w:rPr>
        <w:t>13436</w:t>
      </w:r>
      <w:r>
        <w:rPr>
          <w:rFonts w:ascii="Verdana" w:hAnsi="Verdana" w:cs="Arial"/>
          <w:color w:val="000000" w:themeColor="text1"/>
          <w:sz w:val="16"/>
          <w:szCs w:val="16"/>
          <w:lang w:val="es-ES"/>
        </w:rPr>
        <w:t>)</w:t>
      </w:r>
      <w:r w:rsidRPr="00984E13">
        <w:rPr>
          <w:rFonts w:ascii="Verdana" w:hAnsi="Verdana" w:cs="Arial"/>
          <w:color w:val="000000" w:themeColor="text1"/>
          <w:sz w:val="16"/>
          <w:szCs w:val="16"/>
          <w:lang w:val="es-ES"/>
        </w:rPr>
        <w:t xml:space="preserve"> C.P. Ricardo Hoyos Duque</w:t>
      </w:r>
      <w:r>
        <w:rPr>
          <w:rFonts w:ascii="Verdana" w:hAnsi="Verdana" w:cs="Arial"/>
          <w:color w:val="000000" w:themeColor="text1"/>
          <w:sz w:val="16"/>
          <w:szCs w:val="16"/>
          <w:lang w:val="es-ES"/>
        </w:rPr>
        <w:t>.</w:t>
      </w:r>
    </w:p>
    <w:p w14:paraId="79FCCEEE" w14:textId="77777777" w:rsidR="00C7633E" w:rsidRPr="00984E13" w:rsidRDefault="00C7633E" w:rsidP="00C7633E">
      <w:pPr>
        <w:pStyle w:val="Textonotapie"/>
        <w:ind w:firstLine="709"/>
        <w:jc w:val="both"/>
        <w:rPr>
          <w:rFonts w:ascii="Verdana" w:hAnsi="Verdana" w:cs="Arial"/>
          <w:color w:val="000000" w:themeColor="text1"/>
          <w:sz w:val="16"/>
          <w:szCs w:val="16"/>
          <w:lang w:val="es-ES"/>
        </w:rPr>
      </w:pPr>
    </w:p>
  </w:footnote>
  <w:footnote w:id="6">
    <w:p w14:paraId="729B86F4" w14:textId="77777777" w:rsidR="00C7633E" w:rsidRPr="00984E13" w:rsidRDefault="00C7633E" w:rsidP="00C7633E">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hAnsi="Verdana" w:cs="Arial"/>
          <w:sz w:val="16"/>
          <w:szCs w:val="16"/>
        </w:rPr>
        <w:t>“</w:t>
      </w:r>
      <w:r w:rsidRPr="00984E13">
        <w:rPr>
          <w:rFonts w:ascii="Verdana" w:hAnsi="Verdana" w:cs="Arial"/>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 xml:space="preserve"> (</w:t>
      </w:r>
      <w:r w:rsidRPr="00984E13">
        <w:rPr>
          <w:rFonts w:ascii="Verdana" w:hAnsi="Verdana" w:cs="Arial"/>
          <w:sz w:val="16"/>
          <w:szCs w:val="16"/>
        </w:rPr>
        <w:t xml:space="preserve">EXPÓSITO VÉLEZ, Juan Carlos. Forma y contenido del contrato estatal. Bogotá: Universidad Externado de Colombia, 2013, p. 165-166). De igual manera, se ha expuesto que </w:t>
      </w:r>
      <w:r>
        <w:rPr>
          <w:rFonts w:ascii="Verdana" w:hAnsi="Verdana" w:cs="Arial"/>
          <w:sz w:val="16"/>
          <w:szCs w:val="16"/>
        </w:rPr>
        <w:t>“</w:t>
      </w:r>
      <w:r w:rsidRPr="00984E13">
        <w:rPr>
          <w:rFonts w:ascii="Verdana" w:hAnsi="Verdana" w:cs="Arial"/>
          <w:sz w:val="16"/>
          <w:szCs w:val="16"/>
        </w:rPr>
        <w:t>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Pr>
          <w:rFonts w:ascii="Verdana" w:eastAsia="Calibri" w:hAnsi="Verdana" w:cs="Arial"/>
          <w:color w:val="000000" w:themeColor="text1"/>
          <w:sz w:val="16"/>
          <w:szCs w:val="16"/>
          <w:lang w:val="es-ES"/>
        </w:rPr>
        <w:t>”</w:t>
      </w:r>
      <w:r w:rsidRPr="00984E13">
        <w:rPr>
          <w:rFonts w:ascii="Verdana" w:hAnsi="Verdana" w:cs="Arial"/>
          <w:sz w:val="16"/>
          <w:szCs w:val="16"/>
        </w:rPr>
        <w:t xml:space="preserve"> (MATALLANA CAMACHO, Ernesto. Manual de Contratación de la Administración Pública. Reforma de la Ley 80 de 1993. Cuarta edición. Bogotá: Universidad Externado de Colombia, 2015. p. 921 y ss).</w:t>
      </w:r>
    </w:p>
  </w:footnote>
  <w:footnote w:id="7">
    <w:p w14:paraId="539540A4" w14:textId="77777777" w:rsidR="00C7633E" w:rsidRPr="00984E13" w:rsidRDefault="00C7633E" w:rsidP="00C7633E">
      <w:pPr>
        <w:spacing w:after="0" w:line="240" w:lineRule="auto"/>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Plena. Sentencia del 8 de agosto de 2001. Exp. AC-10966 - AC-11274. Consejero Ponente: Reinaldo Chavarro Buriticá.</w:t>
      </w:r>
    </w:p>
  </w:footnote>
  <w:footnote w:id="8">
    <w:p w14:paraId="1FDDB31D" w14:textId="77777777" w:rsidR="00C7633E" w:rsidRPr="00984E13" w:rsidRDefault="00C7633E" w:rsidP="00C7633E">
      <w:pPr>
        <w:pStyle w:val="NormalWeb"/>
        <w:shd w:val="clear" w:color="auto" w:fill="FFFFFF"/>
        <w:spacing w:before="0" w:beforeAutospacing="0" w:after="0" w:afterAutospacing="0"/>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sz w:val="16"/>
          <w:szCs w:val="16"/>
          <w:lang w:val="es-ES"/>
        </w:rPr>
        <w:t>“</w:t>
      </w:r>
      <w:r w:rsidRPr="00984E13">
        <w:rPr>
          <w:rFonts w:ascii="Verdana" w:hAnsi="Verdana" w:cs="Arial"/>
          <w:sz w:val="16"/>
          <w:szCs w:val="16"/>
        </w:rPr>
        <w:t>Artículo 2.2.1.1.2.4.1.</w:t>
      </w:r>
      <w:r w:rsidRPr="00984E13">
        <w:rPr>
          <w:rFonts w:ascii="Verdana" w:hAnsi="Verdana" w:cs="Arial"/>
          <w:i/>
          <w:iCs/>
          <w:sz w:val="16"/>
          <w:szCs w:val="16"/>
        </w:rPr>
        <w:t> </w:t>
      </w:r>
      <w:r w:rsidRPr="00984E13">
        <w:rPr>
          <w:rFonts w:ascii="Verdana" w:hAnsi="Verdana" w:cs="Arial"/>
          <w:sz w:val="16"/>
          <w:szCs w:val="16"/>
        </w:rPr>
        <w:t>Patrimonio autónomo para el manejo de anticipos.</w:t>
      </w:r>
      <w:r w:rsidRPr="00984E13">
        <w:rPr>
          <w:rFonts w:ascii="Verdana" w:hAnsi="Verdana" w:cs="Arial"/>
          <w:i/>
          <w:iCs/>
          <w:sz w:val="16"/>
          <w:szCs w:val="16"/>
        </w:rPr>
        <w:t> </w:t>
      </w:r>
      <w:r w:rsidRPr="00984E13">
        <w:rPr>
          <w:rFonts w:ascii="Verdana" w:hAnsi="Verdana" w:cs="Arial"/>
          <w:sz w:val="16"/>
          <w:szCs w:val="16"/>
        </w:rPr>
        <w:t>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w:t>
      </w:r>
    </w:p>
    <w:p w14:paraId="172D29B8" w14:textId="77777777" w:rsidR="00C7633E" w:rsidRPr="00984E13" w:rsidRDefault="00C7633E" w:rsidP="00C7633E">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Los recursos entregados por la Entidad Estatal a título de anticipo dejan de ser parte del patrimonio de esta para conformar el patrimonio autónomo. En consecuencia, los recursos del patrimonio autónomo y sus rendimientos son autónomos y son manejados de acuerdo con el contrato de fiducia mercantil.</w:t>
      </w:r>
    </w:p>
    <w:p w14:paraId="3AA62494" w14:textId="77777777" w:rsidR="00C7633E" w:rsidRPr="00984E13" w:rsidRDefault="00C7633E" w:rsidP="00C7633E">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En los pliegos de condiciones, la Entidad Estatal debe establecer los términos y condiciones de la administración del anticipo a través del patrimonio autónomo.</w:t>
      </w:r>
    </w:p>
    <w:p w14:paraId="12D6061A" w14:textId="77777777" w:rsidR="00C7633E" w:rsidRDefault="00C7633E" w:rsidP="00C7633E">
      <w:pPr>
        <w:pStyle w:val="NormalWeb"/>
        <w:shd w:val="clear" w:color="auto" w:fill="FFFFFF"/>
        <w:spacing w:before="0" w:beforeAutospacing="0" w:after="0" w:afterAutospacing="0"/>
        <w:ind w:firstLine="709"/>
        <w:jc w:val="both"/>
        <w:rPr>
          <w:rFonts w:ascii="Verdana" w:eastAsia="Calibri" w:hAnsi="Verdana" w:cs="Arial"/>
          <w:sz w:val="16"/>
          <w:szCs w:val="16"/>
          <w:lang w:val="es-ES"/>
        </w:rPr>
      </w:pPr>
      <w:r w:rsidRPr="00984E13">
        <w:rPr>
          <w:rFonts w:ascii="Verdana" w:hAnsi="Verdana" w:cs="Arial"/>
          <w:sz w:val="16"/>
          <w:szCs w:val="16"/>
        </w:rPr>
        <w:t>En este caso, la sociedad fiduciaria debe pagar a los proveedores, con base en las instrucciones que reciba del contratista, las cuales deben haber sido autorizadas por el Supervisor o el Interventor, siempre y cuando tales pagos correspondan a los rubros previstos en el plan de utilización o de inversión del anticipo</w:t>
      </w:r>
      <w:r>
        <w:rPr>
          <w:rFonts w:ascii="Verdana" w:eastAsia="Calibri" w:hAnsi="Verdana" w:cs="Arial"/>
          <w:sz w:val="16"/>
          <w:szCs w:val="16"/>
          <w:lang w:val="es-ES"/>
        </w:rPr>
        <w:t>”</w:t>
      </w:r>
      <w:r w:rsidRPr="00984E13">
        <w:rPr>
          <w:rFonts w:ascii="Verdana" w:eastAsia="Calibri" w:hAnsi="Verdana" w:cs="Arial"/>
          <w:sz w:val="16"/>
          <w:szCs w:val="16"/>
          <w:lang w:val="es-ES"/>
        </w:rPr>
        <w:t>.</w:t>
      </w:r>
    </w:p>
    <w:p w14:paraId="37B4E019" w14:textId="77777777" w:rsidR="00C7633E" w:rsidRPr="00984E13" w:rsidRDefault="00C7633E" w:rsidP="00C7633E">
      <w:pPr>
        <w:pStyle w:val="NormalWeb"/>
        <w:shd w:val="clear" w:color="auto" w:fill="FFFFFF"/>
        <w:spacing w:before="0" w:beforeAutospacing="0" w:after="0" w:afterAutospacing="0"/>
        <w:ind w:firstLine="709"/>
        <w:jc w:val="both"/>
        <w:rPr>
          <w:rFonts w:ascii="Verdana" w:eastAsia="Calibri" w:hAnsi="Verdana" w:cs="Arial"/>
          <w:sz w:val="16"/>
          <w:szCs w:val="16"/>
          <w:lang w:val="es-ES" w:eastAsia="es-ES_tradnl"/>
        </w:rPr>
      </w:pPr>
    </w:p>
  </w:footnote>
  <w:footnote w:id="9">
    <w:p w14:paraId="3105F1F4" w14:textId="77777777" w:rsidR="00C7633E" w:rsidRPr="00984E13" w:rsidRDefault="00C7633E" w:rsidP="00C7633E">
      <w:pPr>
        <w:pStyle w:val="Sinespaciado"/>
        <w:ind w:firstLine="708"/>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La Guía para el manejo de anticipos mediante contrato de fiducia irrevocable puede ser consultada en: </w:t>
      </w:r>
      <w:hyperlink r:id="rId1" w:history="1">
        <w:r w:rsidRPr="00984E13">
          <w:rPr>
            <w:rStyle w:val="Hipervnculo"/>
            <w:rFonts w:ascii="Verdana" w:hAnsi="Verdana" w:cs="Arial"/>
            <w:sz w:val="16"/>
            <w:szCs w:val="16"/>
            <w:lang w:val="es-ES"/>
          </w:rPr>
          <w:t>https://www.colombiacompra.gov.co/wp-content/uploads/2024/08/2017-Guia-para-el-manejo-de-anticipos-mediante-contrato-de-fiducia-mercantil-irrevocable-G-MACFMI-01.pdf</w:t>
        </w:r>
      </w:hyperlink>
      <w:r w:rsidRPr="00984E13">
        <w:rPr>
          <w:rFonts w:ascii="Verdana" w:hAnsi="Verdana" w:cs="Arial"/>
          <w:sz w:val="16"/>
          <w:szCs w:val="16"/>
          <w:lang w:val="es-ES"/>
        </w:rPr>
        <w:t xml:space="preserve">.  </w:t>
      </w:r>
    </w:p>
  </w:footnote>
  <w:footnote w:id="10">
    <w:p w14:paraId="4C1FF36F" w14:textId="77777777" w:rsidR="00C7633E" w:rsidRPr="00540A2C" w:rsidRDefault="00C7633E" w:rsidP="00C7633E">
      <w:pPr>
        <w:pStyle w:val="Textonotapie"/>
        <w:ind w:firstLine="708"/>
        <w:jc w:val="both"/>
        <w:rPr>
          <w:rFonts w:ascii="Verdana" w:hAnsi="Verdana" w:cs="Arial"/>
          <w:sz w:val="16"/>
          <w:szCs w:val="16"/>
        </w:rPr>
      </w:pPr>
      <w:r w:rsidRPr="00540A2C">
        <w:rPr>
          <w:rStyle w:val="Refdenotaalpie"/>
          <w:rFonts w:ascii="Verdana" w:hAnsi="Verdana" w:cs="Arial"/>
          <w:sz w:val="16"/>
          <w:szCs w:val="16"/>
        </w:rPr>
        <w:footnoteRef/>
      </w:r>
      <w:r w:rsidRPr="00540A2C">
        <w:rPr>
          <w:rFonts w:ascii="Verdana" w:hAnsi="Verdana" w:cs="Arial"/>
          <w:sz w:val="16"/>
          <w:szCs w:val="16"/>
        </w:rPr>
        <w:t xml:space="preserve"> Ver concepto C-003 de 13 de marzo de 2023 emitido por la ANCP-CCE</w:t>
      </w:r>
      <w:r>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AD122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5AD76F3"/>
    <w:multiLevelType w:val="hybridMultilevel"/>
    <w:tmpl w:val="42985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341274352">
    <w:abstractNumId w:val="0"/>
  </w:num>
  <w:num w:numId="17" w16cid:durableId="1358431546">
    <w:abstractNumId w:val="3"/>
  </w:num>
  <w:num w:numId="18" w16cid:durableId="14297358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5789F"/>
    <w:rsid w:val="001A33BF"/>
    <w:rsid w:val="001E4177"/>
    <w:rsid w:val="001F058D"/>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35DC"/>
    <w:rsid w:val="003D0F4D"/>
    <w:rsid w:val="003D5B0D"/>
    <w:rsid w:val="003E0499"/>
    <w:rsid w:val="003E4F80"/>
    <w:rsid w:val="003E6439"/>
    <w:rsid w:val="003F3941"/>
    <w:rsid w:val="003F7FDF"/>
    <w:rsid w:val="00406575"/>
    <w:rsid w:val="00414C74"/>
    <w:rsid w:val="0042722E"/>
    <w:rsid w:val="0044528D"/>
    <w:rsid w:val="00466E39"/>
    <w:rsid w:val="004A1847"/>
    <w:rsid w:val="004A305D"/>
    <w:rsid w:val="004D36E0"/>
    <w:rsid w:val="004F21C4"/>
    <w:rsid w:val="004F685F"/>
    <w:rsid w:val="0053493C"/>
    <w:rsid w:val="005566E8"/>
    <w:rsid w:val="00574867"/>
    <w:rsid w:val="00591460"/>
    <w:rsid w:val="005A65E0"/>
    <w:rsid w:val="005C3777"/>
    <w:rsid w:val="005C5CDC"/>
    <w:rsid w:val="005D476C"/>
    <w:rsid w:val="00604FDB"/>
    <w:rsid w:val="006200BF"/>
    <w:rsid w:val="006219F8"/>
    <w:rsid w:val="006302F7"/>
    <w:rsid w:val="00646B9F"/>
    <w:rsid w:val="006520E1"/>
    <w:rsid w:val="00665D70"/>
    <w:rsid w:val="006900D9"/>
    <w:rsid w:val="00706C16"/>
    <w:rsid w:val="007340C3"/>
    <w:rsid w:val="0075235A"/>
    <w:rsid w:val="00756841"/>
    <w:rsid w:val="007649AB"/>
    <w:rsid w:val="00771D0C"/>
    <w:rsid w:val="0078074E"/>
    <w:rsid w:val="007833AC"/>
    <w:rsid w:val="007B268C"/>
    <w:rsid w:val="007B7171"/>
    <w:rsid w:val="007C0C0F"/>
    <w:rsid w:val="007C3DC2"/>
    <w:rsid w:val="007E5497"/>
    <w:rsid w:val="00806F5F"/>
    <w:rsid w:val="00820278"/>
    <w:rsid w:val="008258C9"/>
    <w:rsid w:val="00844AE9"/>
    <w:rsid w:val="0084712D"/>
    <w:rsid w:val="00867F95"/>
    <w:rsid w:val="008843B6"/>
    <w:rsid w:val="00891928"/>
    <w:rsid w:val="008A446D"/>
    <w:rsid w:val="008B25F1"/>
    <w:rsid w:val="008D180B"/>
    <w:rsid w:val="008F0EA7"/>
    <w:rsid w:val="009051F1"/>
    <w:rsid w:val="00923EEF"/>
    <w:rsid w:val="009419F9"/>
    <w:rsid w:val="0095685E"/>
    <w:rsid w:val="00961B09"/>
    <w:rsid w:val="00965334"/>
    <w:rsid w:val="0097093E"/>
    <w:rsid w:val="009A0DFA"/>
    <w:rsid w:val="009A1C6F"/>
    <w:rsid w:val="009B2D26"/>
    <w:rsid w:val="009C71FA"/>
    <w:rsid w:val="009C72E7"/>
    <w:rsid w:val="009C7F7E"/>
    <w:rsid w:val="009D3058"/>
    <w:rsid w:val="009D5162"/>
    <w:rsid w:val="009F3A13"/>
    <w:rsid w:val="00A122D3"/>
    <w:rsid w:val="00A14468"/>
    <w:rsid w:val="00A17F13"/>
    <w:rsid w:val="00A20739"/>
    <w:rsid w:val="00A23AF9"/>
    <w:rsid w:val="00A33C78"/>
    <w:rsid w:val="00A35A17"/>
    <w:rsid w:val="00AB0ADB"/>
    <w:rsid w:val="00AC65FB"/>
    <w:rsid w:val="00AE2FF5"/>
    <w:rsid w:val="00B00C0E"/>
    <w:rsid w:val="00B01B1A"/>
    <w:rsid w:val="00B0381D"/>
    <w:rsid w:val="00B13D65"/>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33E"/>
    <w:rsid w:val="00C76B1C"/>
    <w:rsid w:val="00C925AC"/>
    <w:rsid w:val="00CB6357"/>
    <w:rsid w:val="00CC1B26"/>
    <w:rsid w:val="00CE0D91"/>
    <w:rsid w:val="00D361FD"/>
    <w:rsid w:val="00D423A2"/>
    <w:rsid w:val="00D44E26"/>
    <w:rsid w:val="00D520D8"/>
    <w:rsid w:val="00D63AC2"/>
    <w:rsid w:val="00D7383B"/>
    <w:rsid w:val="00D7788A"/>
    <w:rsid w:val="00D969D6"/>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355A"/>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633E"/>
    <w:rPr>
      <w:rFonts w:ascii="Geomanist Light" w:hAnsi="Geomanist Light"/>
      <w:lang w:val="es-ES"/>
    </w:rPr>
  </w:style>
  <w:style w:type="paragraph" w:customStyle="1" w:styleId="Appelnotedebasde">
    <w:name w:val="Appel note de bas de..."/>
    <w:basedOn w:val="Normal"/>
    <w:link w:val="Refdenotaalpie"/>
    <w:uiPriority w:val="99"/>
    <w:rsid w:val="00C7633E"/>
    <w:pPr>
      <w:spacing w:line="240" w:lineRule="exact"/>
    </w:pPr>
    <w:rPr>
      <w:vertAlign w:val="superscript"/>
    </w:rPr>
  </w:style>
  <w:style w:type="paragraph" w:styleId="Sinespaciado">
    <w:name w:val="No Spacing"/>
    <w:aliases w:val="No Indent"/>
    <w:uiPriority w:val="1"/>
    <w:qFormat/>
    <w:rsid w:val="00C7633E"/>
    <w:pPr>
      <w:spacing w:after="0" w:line="240" w:lineRule="auto"/>
    </w:pPr>
    <w:rPr>
      <w:sz w:val="24"/>
      <w:lang w:val="es-MX"/>
    </w:rPr>
  </w:style>
  <w:style w:type="character" w:customStyle="1" w:styleId="NormalWebCar">
    <w:name w:val="Normal (Web) Car"/>
    <w:link w:val="NormalWeb"/>
    <w:uiPriority w:val="99"/>
    <w:locked/>
    <w:rsid w:val="00C7633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2017-Guia-para-el-manejo-de-anticipos-mediante-contrato-de-fiducia-mercantil-irrevocable-G-MACFMI-01.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mailto:zenit138@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ujiro25ls@me.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7-Guia-para-el-manejo-de-anticipos-mediante-contrato-de-fiducia-mercantil-irrevocable-G-MACFMI-0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60B7DB-EF30-4F7B-96F2-376BFCC2E17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18</Pages>
  <Words>5731</Words>
  <Characters>31523</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2026-05-19T01:02:00Z</dcterms:created>
  <dcterms:modified xsi:type="dcterms:W3CDTF">2026-05-19T13:26:00Z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