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14D12" w14:textId="77777777" w:rsidR="00030193" w:rsidRPr="008211E7" w:rsidRDefault="00030193" w:rsidP="00030193">
      <w:pPr>
        <w:spacing w:after="0" w:line="240" w:lineRule="auto"/>
        <w:jc w:val="both"/>
        <w:rPr>
          <w:rFonts w:ascii="Verdana" w:eastAsia="Calibri" w:hAnsi="Verdana" w:cs="Arial"/>
          <w:b/>
          <w:color w:val="000000" w:themeColor="text1"/>
          <w:sz w:val="20"/>
          <w:szCs w:val="20"/>
          <w:lang w:val="es-ES_tradnl"/>
        </w:rPr>
      </w:pPr>
    </w:p>
    <w:p w14:paraId="1A3664A4" w14:textId="77777777" w:rsidR="00030193" w:rsidRPr="008211E7" w:rsidRDefault="00030193" w:rsidP="00030193">
      <w:pPr>
        <w:spacing w:after="0" w:line="240" w:lineRule="auto"/>
        <w:jc w:val="both"/>
        <w:rPr>
          <w:rFonts w:ascii="Verdana" w:hAnsi="Verdana" w:cs="Arial"/>
          <w:b/>
          <w:lang w:val="es-ES_tradnl" w:eastAsia="es-ES"/>
        </w:rPr>
      </w:pPr>
      <w:r w:rsidRPr="008211E7">
        <w:rPr>
          <w:rFonts w:ascii="Verdana" w:hAnsi="Verdana" w:cs="Arial"/>
          <w:b/>
          <w:lang w:val="es-ES_tradnl" w:eastAsia="es-ES"/>
        </w:rPr>
        <w:t xml:space="preserve">LIQUIDACIÓN DEL CONTRATO – Definición – Objetivo </w:t>
      </w:r>
    </w:p>
    <w:p w14:paraId="33BF9B6E" w14:textId="77777777" w:rsidR="00030193" w:rsidRPr="008211E7" w:rsidRDefault="00030193" w:rsidP="00030193">
      <w:pPr>
        <w:spacing w:after="0" w:line="240" w:lineRule="auto"/>
        <w:jc w:val="both"/>
        <w:rPr>
          <w:rFonts w:ascii="Verdana" w:hAnsi="Verdana" w:cs="Arial"/>
          <w:b/>
          <w:sz w:val="20"/>
          <w:szCs w:val="20"/>
          <w:lang w:val="es-ES_tradnl" w:eastAsia="es-ES"/>
        </w:rPr>
      </w:pPr>
    </w:p>
    <w:p w14:paraId="58BA991C" w14:textId="77777777" w:rsidR="00030193" w:rsidRPr="008211E7" w:rsidRDefault="00030193" w:rsidP="00030193">
      <w:pPr>
        <w:spacing w:after="0" w:line="240" w:lineRule="auto"/>
        <w:jc w:val="both"/>
        <w:rPr>
          <w:rFonts w:ascii="Verdana" w:hAnsi="Verdana" w:cs="Arial"/>
          <w:sz w:val="20"/>
          <w:szCs w:val="20"/>
          <w:lang w:val="es-ES_tradnl"/>
        </w:rPr>
      </w:pPr>
      <w:r w:rsidRPr="008211E7">
        <w:rPr>
          <w:rFonts w:ascii="Verdana" w:hAnsi="Verdana" w:cs="Arial"/>
          <w:sz w:val="20"/>
          <w:szCs w:val="20"/>
          <w:lang w:val="es-ES_tradnl"/>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8211E7">
        <w:rPr>
          <w:rFonts w:ascii="Verdana" w:hAnsi="Verdana" w:cs="Arial"/>
          <w:i/>
          <w:iCs/>
          <w:sz w:val="20"/>
          <w:szCs w:val="20"/>
          <w:lang w:val="es-ES_tradnl"/>
        </w:rPr>
        <w:t>liquidar</w:t>
      </w:r>
      <w:r w:rsidRPr="008211E7">
        <w:rPr>
          <w:rFonts w:ascii="Verdana" w:hAnsi="Verdana" w:cs="Arial"/>
          <w:sz w:val="20"/>
          <w:szCs w:val="20"/>
          <w:lang w:val="es-ES_tradnl"/>
        </w:rPr>
        <w:t xml:space="preserve"> supone un ajuste en relación con las cuentas y el estado de cumplimiento del contrato estatal y, por otro, que la </w:t>
      </w:r>
      <w:r w:rsidRPr="008211E7">
        <w:rPr>
          <w:rFonts w:ascii="Verdana" w:hAnsi="Verdana" w:cs="Arial"/>
          <w:i/>
          <w:iCs/>
          <w:sz w:val="20"/>
          <w:szCs w:val="20"/>
          <w:lang w:val="es-ES_tradnl"/>
        </w:rPr>
        <w:t>liquidación</w:t>
      </w:r>
      <w:r w:rsidRPr="008211E7">
        <w:rPr>
          <w:rFonts w:ascii="Verdana" w:hAnsi="Verdana" w:cs="Arial"/>
          <w:sz w:val="20"/>
          <w:szCs w:val="20"/>
          <w:lang w:val="es-ES_tradnl"/>
        </w:rPr>
        <w:t xml:space="preserve"> debe incluir el análisis de las condiciones de calidad y oportunidad en la entrega de los bienes, obras o servicios, así como el balance económico y el comportamiento financiero del negocio.</w:t>
      </w:r>
    </w:p>
    <w:p w14:paraId="0990B253" w14:textId="77777777" w:rsidR="00030193" w:rsidRPr="008211E7" w:rsidRDefault="00030193" w:rsidP="00030193">
      <w:pPr>
        <w:spacing w:after="0" w:line="240" w:lineRule="auto"/>
        <w:jc w:val="both"/>
        <w:rPr>
          <w:rFonts w:ascii="Verdana" w:hAnsi="Verdana" w:cs="Arial"/>
          <w:sz w:val="20"/>
          <w:szCs w:val="20"/>
          <w:lang w:val="es-ES_tradnl" w:eastAsia="es-ES"/>
        </w:rPr>
      </w:pPr>
    </w:p>
    <w:p w14:paraId="0F15C3E4" w14:textId="77777777" w:rsidR="00030193" w:rsidRPr="008211E7" w:rsidRDefault="00030193" w:rsidP="00030193">
      <w:pPr>
        <w:spacing w:after="0" w:line="240" w:lineRule="auto"/>
        <w:jc w:val="both"/>
        <w:rPr>
          <w:rFonts w:ascii="Verdana" w:hAnsi="Verdana" w:cs="Arial"/>
          <w:b/>
          <w:lang w:val="es-ES_tradnl" w:eastAsia="es-ES"/>
        </w:rPr>
      </w:pPr>
      <w:r w:rsidRPr="008211E7">
        <w:rPr>
          <w:rFonts w:ascii="Verdana" w:hAnsi="Verdana" w:cs="Arial"/>
          <w:b/>
          <w:lang w:val="es-ES_tradnl" w:eastAsia="es-ES"/>
        </w:rPr>
        <w:t xml:space="preserve">LIQUIDACIÓN DEL CONTRATO – Normativa </w:t>
      </w:r>
    </w:p>
    <w:p w14:paraId="5108BBF9" w14:textId="77777777" w:rsidR="00030193" w:rsidRPr="008211E7" w:rsidRDefault="00030193" w:rsidP="00030193">
      <w:pPr>
        <w:spacing w:after="0" w:line="240" w:lineRule="auto"/>
        <w:jc w:val="both"/>
        <w:rPr>
          <w:rFonts w:ascii="Verdana" w:hAnsi="Verdana" w:cs="Arial"/>
          <w:sz w:val="20"/>
          <w:szCs w:val="20"/>
          <w:lang w:val="es-ES_tradnl" w:eastAsia="es-ES"/>
        </w:rPr>
      </w:pPr>
    </w:p>
    <w:p w14:paraId="5720177F" w14:textId="77777777" w:rsidR="00030193" w:rsidRPr="008211E7" w:rsidRDefault="00030193" w:rsidP="00030193">
      <w:pPr>
        <w:spacing w:after="0" w:line="240" w:lineRule="auto"/>
        <w:jc w:val="both"/>
        <w:rPr>
          <w:rFonts w:ascii="Verdana" w:hAnsi="Verdana" w:cs="Arial"/>
          <w:sz w:val="20"/>
          <w:szCs w:val="20"/>
          <w:lang w:val="es-ES_tradnl" w:eastAsia="es-ES"/>
        </w:rPr>
      </w:pPr>
      <w:r w:rsidRPr="008211E7">
        <w:rPr>
          <w:rFonts w:ascii="Verdana" w:hAnsi="Verdana" w:cs="Arial"/>
          <w:sz w:val="20"/>
          <w:szCs w:val="20"/>
          <w:lang w:val="es-ES_tradnl" w:eastAsia="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w:t>
      </w:r>
      <w:r>
        <w:rPr>
          <w:rFonts w:ascii="Verdana" w:hAnsi="Verdana" w:cs="Arial"/>
          <w:sz w:val="20"/>
          <w:szCs w:val="20"/>
          <w:lang w:val="es-ES_tradnl" w:eastAsia="es-ES"/>
        </w:rPr>
        <w:t>“</w:t>
      </w:r>
      <w:r w:rsidRPr="008211E7">
        <w:rPr>
          <w:rFonts w:ascii="Verdana" w:hAnsi="Verdana" w:cs="Arial"/>
          <w:sz w:val="20"/>
          <w:szCs w:val="20"/>
          <w:lang w:val="es-ES_tradnl" w:eastAsia="es-ES"/>
        </w:rPr>
        <w:t>serán objeto de liquidación</w:t>
      </w:r>
      <w:r>
        <w:rPr>
          <w:rFonts w:ascii="Verdana" w:hAnsi="Verdana" w:cs="Arial"/>
          <w:sz w:val="20"/>
          <w:szCs w:val="20"/>
          <w:lang w:val="es-ES_tradnl" w:eastAsia="es-ES"/>
        </w:rPr>
        <w:t>”</w:t>
      </w:r>
      <w:r w:rsidRPr="008211E7">
        <w:rPr>
          <w:rFonts w:ascii="Verdana" w:hAnsi="Verdana" w:cs="Arial"/>
          <w:sz w:val="20"/>
          <w:szCs w:val="20"/>
          <w:lang w:val="es-ES_tradnl" w:eastAsia="es-ES"/>
        </w:rPr>
        <w:t>. El mismo artículo prescribe que no será obligatoria la liquidación en los contratos de prestación de servicios profesionales y de apoyo a la gestión. El artículo 11 de la Ley 1150 de 2007 contiene las reglas de tipo procedimental para liquidar los contratos estatales, […].</w:t>
      </w:r>
    </w:p>
    <w:p w14:paraId="05324D64" w14:textId="77777777" w:rsidR="00030193" w:rsidRPr="008211E7" w:rsidRDefault="00030193" w:rsidP="00030193">
      <w:pPr>
        <w:spacing w:after="0" w:line="240" w:lineRule="auto"/>
        <w:jc w:val="both"/>
        <w:rPr>
          <w:rFonts w:ascii="Verdana" w:hAnsi="Verdana" w:cs="Arial"/>
          <w:b/>
          <w:sz w:val="20"/>
          <w:szCs w:val="20"/>
          <w:lang w:val="es-ES_tradnl" w:eastAsia="es-ES"/>
        </w:rPr>
      </w:pPr>
    </w:p>
    <w:p w14:paraId="75CF982B" w14:textId="77777777" w:rsidR="00030193" w:rsidRPr="008211E7" w:rsidRDefault="00030193" w:rsidP="00030193">
      <w:pPr>
        <w:spacing w:after="0" w:line="240" w:lineRule="auto"/>
        <w:jc w:val="both"/>
        <w:rPr>
          <w:rFonts w:ascii="Verdana" w:hAnsi="Verdana" w:cs="Arial"/>
          <w:b/>
          <w:lang w:val="es-ES_tradnl" w:eastAsia="es-ES"/>
        </w:rPr>
      </w:pPr>
      <w:r w:rsidRPr="008211E7">
        <w:rPr>
          <w:rFonts w:ascii="Verdana" w:hAnsi="Verdana" w:cs="Arial"/>
          <w:b/>
          <w:lang w:val="es-ES_tradnl" w:eastAsia="es-ES"/>
        </w:rPr>
        <w:t>LIQUIDACIÓN DEL CONTRATO – Tipos – Bilateral – Unilateral – Judicial</w:t>
      </w:r>
    </w:p>
    <w:p w14:paraId="380D9538" w14:textId="77777777" w:rsidR="00030193" w:rsidRPr="008211E7" w:rsidRDefault="00030193" w:rsidP="00030193">
      <w:pPr>
        <w:spacing w:after="0" w:line="240" w:lineRule="auto"/>
        <w:jc w:val="both"/>
        <w:rPr>
          <w:rFonts w:ascii="Verdana" w:hAnsi="Verdana" w:cs="Arial"/>
          <w:b/>
          <w:sz w:val="20"/>
          <w:szCs w:val="20"/>
          <w:lang w:val="es-ES_tradnl" w:eastAsia="es-ES"/>
        </w:rPr>
      </w:pPr>
    </w:p>
    <w:p w14:paraId="7C2258E3" w14:textId="77777777" w:rsidR="00030193" w:rsidRPr="002C0402" w:rsidRDefault="00030193" w:rsidP="00030193">
      <w:pPr>
        <w:spacing w:after="0" w:line="240" w:lineRule="auto"/>
        <w:jc w:val="both"/>
        <w:textAlignment w:val="baseline"/>
        <w:rPr>
          <w:rFonts w:ascii="Verdana" w:hAnsi="Verdana" w:cs="Arial"/>
          <w:bCs/>
          <w:sz w:val="20"/>
          <w:szCs w:val="20"/>
          <w:lang w:val="es-ES_tradnl" w:eastAsia="es-CO"/>
        </w:rPr>
      </w:pPr>
      <w:r w:rsidRPr="008211E7">
        <w:rPr>
          <w:rFonts w:ascii="Verdana" w:hAnsi="Verdana" w:cs="Arial"/>
          <w:sz w:val="20"/>
          <w:szCs w:val="20"/>
          <w:lang w:val="es-ES_tradnl" w:eastAsia="es-ES"/>
        </w:rPr>
        <w:t xml:space="preserve">En suma, de acuerdo con el artículo 11 de la Ley 1150 de 2007, existen tres tipos de liquidación: i) bilateral, </w:t>
      </w:r>
      <w:proofErr w:type="spellStart"/>
      <w:r w:rsidRPr="008211E7">
        <w:rPr>
          <w:rFonts w:ascii="Verdana" w:hAnsi="Verdana" w:cs="Arial"/>
          <w:sz w:val="20"/>
          <w:szCs w:val="20"/>
          <w:lang w:val="es-ES_tradnl" w:eastAsia="es-ES"/>
        </w:rPr>
        <w:t>ii</w:t>
      </w:r>
      <w:proofErr w:type="spellEnd"/>
      <w:r w:rsidRPr="008211E7">
        <w:rPr>
          <w:rFonts w:ascii="Verdana" w:hAnsi="Verdana" w:cs="Arial"/>
          <w:sz w:val="20"/>
          <w:szCs w:val="20"/>
          <w:lang w:val="es-ES_tradnl" w:eastAsia="es-ES"/>
        </w:rPr>
        <w:t xml:space="preserve">) unilateral y </w:t>
      </w:r>
      <w:proofErr w:type="spellStart"/>
      <w:r w:rsidRPr="008211E7">
        <w:rPr>
          <w:rFonts w:ascii="Verdana" w:hAnsi="Verdana" w:cs="Arial"/>
          <w:sz w:val="20"/>
          <w:szCs w:val="20"/>
          <w:lang w:val="es-ES_tradnl" w:eastAsia="es-ES"/>
        </w:rPr>
        <w:t>iii</w:t>
      </w:r>
      <w:proofErr w:type="spellEnd"/>
      <w:r w:rsidRPr="008211E7">
        <w:rPr>
          <w:rFonts w:ascii="Verdana" w:hAnsi="Verdana" w:cs="Arial"/>
          <w:sz w:val="20"/>
          <w:szCs w:val="20"/>
          <w:lang w:val="es-ES_tradnl" w:eastAsia="es-ES"/>
        </w:rPr>
        <w:t>) judicial. En términos generales, la primera, que puede ser total o parcial, debe hacerse en el término que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2 años contados a partir de los dos meses establecidos en la Ley para realizar la liquidación unilateral.</w:t>
      </w:r>
    </w:p>
    <w:p w14:paraId="4CB8EA9C" w14:textId="77777777" w:rsidR="00030193" w:rsidRPr="008211E7" w:rsidRDefault="00030193" w:rsidP="00030193">
      <w:pPr>
        <w:spacing w:after="0" w:line="240" w:lineRule="auto"/>
        <w:jc w:val="both"/>
        <w:rPr>
          <w:rFonts w:ascii="Verdana" w:hAnsi="Verdana" w:cs="Arial"/>
          <w:b/>
          <w:sz w:val="20"/>
          <w:szCs w:val="20"/>
          <w:lang w:val="es-ES_tradnl" w:eastAsia="es-ES"/>
        </w:rPr>
      </w:pPr>
    </w:p>
    <w:p w14:paraId="6D0D3CF5" w14:textId="77777777" w:rsidR="00030193" w:rsidRPr="008211E7" w:rsidRDefault="00030193" w:rsidP="00030193">
      <w:pPr>
        <w:spacing w:after="0" w:line="240" w:lineRule="auto"/>
        <w:jc w:val="both"/>
        <w:rPr>
          <w:rFonts w:ascii="Verdana" w:hAnsi="Verdana" w:cs="Arial"/>
          <w:b/>
          <w:lang w:val="es-ES_tradnl" w:eastAsia="es-ES"/>
        </w:rPr>
      </w:pPr>
      <w:r w:rsidRPr="001454A3">
        <w:rPr>
          <w:rFonts w:ascii="Verdana" w:hAnsi="Verdana" w:cs="Arial"/>
          <w:b/>
          <w:lang w:val="es-ES" w:eastAsia="es-ES"/>
        </w:rPr>
        <w:t>COMPETENCIA TEMPORAL – Liquidación</w:t>
      </w:r>
    </w:p>
    <w:p w14:paraId="2FE87E7D" w14:textId="77777777" w:rsidR="00030193" w:rsidRPr="008211E7" w:rsidRDefault="00030193" w:rsidP="00030193">
      <w:pPr>
        <w:spacing w:after="0" w:line="240" w:lineRule="auto"/>
        <w:jc w:val="both"/>
        <w:rPr>
          <w:rFonts w:ascii="Verdana" w:hAnsi="Verdana" w:cs="Arial"/>
          <w:b/>
          <w:sz w:val="20"/>
          <w:szCs w:val="20"/>
          <w:lang w:val="es-ES_tradnl" w:eastAsia="es-ES"/>
        </w:rPr>
      </w:pPr>
    </w:p>
    <w:p w14:paraId="05494214" w14:textId="77777777" w:rsidR="00030193" w:rsidRDefault="00030193" w:rsidP="00030193">
      <w:pPr>
        <w:spacing w:after="0" w:line="240" w:lineRule="auto"/>
        <w:jc w:val="both"/>
        <w:textAlignment w:val="baseline"/>
        <w:rPr>
          <w:rFonts w:ascii="Verdana" w:hAnsi="Verdana" w:cs="Arial"/>
          <w:sz w:val="20"/>
          <w:szCs w:val="20"/>
          <w:lang w:val="es-ES_tradnl" w:eastAsia="es-ES"/>
        </w:rPr>
      </w:pPr>
      <w:r w:rsidRPr="001454A3">
        <w:rPr>
          <w:rFonts w:ascii="Verdana" w:hAnsi="Verdana" w:cs="Arial"/>
          <w:sz w:val="20"/>
          <w:szCs w:val="20"/>
          <w:lang w:val="es-ES_tradnl" w:eastAsia="es-ES"/>
        </w:rPr>
        <w:t xml:space="preserve">dentro de los límites previstos en el literal j) del artículo 164.2 de la Ley 1437 de 2011,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w:t>
      </w:r>
      <w:r w:rsidRPr="001454A3">
        <w:rPr>
          <w:rFonts w:ascii="Verdana" w:hAnsi="Verdana" w:cs="Arial"/>
          <w:sz w:val="20"/>
          <w:szCs w:val="20"/>
          <w:lang w:val="es-ES_tradnl" w:eastAsia="es-ES"/>
        </w:rPr>
        <w:lastRenderedPageBreak/>
        <w:t>liquidación unilateral–. Cualquier liquidación efectuada después de la caducidad del medio de control implica la pérdida de competencia temporal, por lo que está viciada de nulidad.</w:t>
      </w:r>
    </w:p>
    <w:p w14:paraId="6678A360" w14:textId="77777777" w:rsidR="00030193" w:rsidRPr="001454A3" w:rsidRDefault="00030193" w:rsidP="00030193">
      <w:pPr>
        <w:spacing w:after="0" w:line="240" w:lineRule="auto"/>
        <w:jc w:val="both"/>
        <w:textAlignment w:val="baseline"/>
        <w:rPr>
          <w:rFonts w:ascii="Verdana" w:hAnsi="Verdana" w:cs="Arial"/>
          <w:sz w:val="20"/>
          <w:szCs w:val="20"/>
          <w:lang w:val="es-ES_tradnl" w:eastAsia="es-ES"/>
        </w:rPr>
      </w:pPr>
    </w:p>
    <w:p w14:paraId="3D2076DD" w14:textId="77777777" w:rsidR="00030193" w:rsidRPr="002C0402" w:rsidRDefault="00030193" w:rsidP="00030193">
      <w:pPr>
        <w:spacing w:after="0" w:line="240" w:lineRule="auto"/>
        <w:jc w:val="both"/>
        <w:textAlignment w:val="baseline"/>
        <w:rPr>
          <w:rFonts w:ascii="Verdana" w:hAnsi="Verdana" w:cs="Arial"/>
          <w:bCs/>
          <w:sz w:val="20"/>
          <w:szCs w:val="20"/>
          <w:lang w:val="es-ES_tradnl" w:eastAsia="es-CO"/>
        </w:rPr>
      </w:pPr>
      <w:r w:rsidRPr="001454A3">
        <w:rPr>
          <w:rFonts w:ascii="Verdana" w:hAnsi="Verdana" w:cs="Arial"/>
          <w:sz w:val="20"/>
          <w:szCs w:val="20"/>
          <w:lang w:val="es-ES_tradnl" w:eastAsia="es-ES"/>
        </w:rPr>
        <w:t xml:space="preserve">Si </w:t>
      </w:r>
      <w:r>
        <w:rPr>
          <w:rFonts w:ascii="Verdana" w:hAnsi="Verdana" w:cs="Arial"/>
          <w:sz w:val="20"/>
          <w:szCs w:val="20"/>
          <w:lang w:val="es-ES_tradnl" w:eastAsia="es-ES"/>
        </w:rPr>
        <w:t>no ha caducado el medio de control de controversias contractuales, es posible modificar</w:t>
      </w:r>
      <w:r w:rsidRPr="001454A3">
        <w:rPr>
          <w:rFonts w:ascii="Verdana" w:hAnsi="Verdana" w:cs="Arial"/>
          <w:sz w:val="20"/>
          <w:szCs w:val="20"/>
          <w:lang w:val="es-ES_tradnl" w:eastAsia="es-ES"/>
        </w:rPr>
        <w:t xml:space="preserve"> la liquidación bilateral siempre que exista mutuo acuerdo entre las partes que la suscribieron. Si la liquidación se realizó unilateralmente, las modificaciones pueden provenir de la necesidad de corregir errores simplemente formales en los términos del artículo 45 de la Ley 1437 de 2011, aplicable por remisión del inciso 1 del artículo 77 de la Ley 80 de 1993. Por lo demás, el inciso segundo de la norma precitada también dispone que “Los actos administrativos que se produzcan con motivo u ocasión de la actividad contractual sólo serán susceptibles de recurso de reposición […]”. Dicho medio de impugnación tiene como objetivo que, quien expidió la decisión, la aclare, modifique, adicione o revoque –art. 74.1 del CPACA–. Siempre que la interposición del recurso sea oportuna conforme al artículo 76 de la Ley 1437 de 2011, la entidad podrá modificar o adicionar el acta de liquidación en congruencia con los argumentos del recurrente y bajo el principio de non </w:t>
      </w:r>
      <w:proofErr w:type="spellStart"/>
      <w:r w:rsidRPr="001454A3">
        <w:rPr>
          <w:rFonts w:ascii="Verdana" w:hAnsi="Verdana" w:cs="Arial"/>
          <w:sz w:val="20"/>
          <w:szCs w:val="20"/>
          <w:lang w:val="es-ES_tradnl" w:eastAsia="es-ES"/>
        </w:rPr>
        <w:t>reformatio</w:t>
      </w:r>
      <w:proofErr w:type="spellEnd"/>
      <w:r w:rsidRPr="001454A3">
        <w:rPr>
          <w:rFonts w:ascii="Verdana" w:hAnsi="Verdana" w:cs="Arial"/>
          <w:sz w:val="20"/>
          <w:szCs w:val="20"/>
          <w:lang w:val="es-ES_tradnl" w:eastAsia="es-ES"/>
        </w:rPr>
        <w:t xml:space="preserve"> in pejus.  </w:t>
      </w:r>
    </w:p>
    <w:p w14:paraId="217CBFB9" w14:textId="77777777" w:rsidR="00030193" w:rsidRDefault="00030193" w:rsidP="00030193">
      <w:pPr>
        <w:spacing w:after="0" w:line="240" w:lineRule="auto"/>
        <w:rPr>
          <w:rFonts w:ascii="Verdana" w:eastAsia="Calibri" w:hAnsi="Verdana" w:cs="Arial"/>
          <w:b/>
          <w:color w:val="000000" w:themeColor="text1"/>
          <w:lang w:val="es-ES"/>
        </w:rPr>
      </w:pPr>
    </w:p>
    <w:p w14:paraId="49D3E1F7" w14:textId="77777777" w:rsidR="00030193" w:rsidRDefault="00030193" w:rsidP="00030193">
      <w:pPr>
        <w:spacing w:after="0" w:line="240" w:lineRule="auto"/>
        <w:rPr>
          <w:rFonts w:ascii="Verdana" w:eastAsia="Calibri" w:hAnsi="Verdana" w:cs="Arial"/>
          <w:b/>
          <w:color w:val="000000" w:themeColor="text1"/>
          <w:lang w:val="es-ES"/>
        </w:rPr>
      </w:pPr>
    </w:p>
    <w:p w14:paraId="60909EB0" w14:textId="77777777" w:rsidR="00030193" w:rsidRDefault="00030193" w:rsidP="00030193">
      <w:pPr>
        <w:spacing w:after="0" w:line="240" w:lineRule="auto"/>
        <w:rPr>
          <w:rFonts w:ascii="Verdana" w:eastAsia="Calibri" w:hAnsi="Verdana" w:cs="Arial"/>
          <w:b/>
          <w:color w:val="000000" w:themeColor="text1"/>
          <w:lang w:val="es-ES"/>
        </w:rPr>
      </w:pPr>
    </w:p>
    <w:p w14:paraId="2724BD9A" w14:textId="77777777" w:rsidR="00030193" w:rsidRDefault="00030193" w:rsidP="00030193">
      <w:pPr>
        <w:spacing w:after="0" w:line="240" w:lineRule="auto"/>
        <w:rPr>
          <w:rFonts w:ascii="Verdana" w:eastAsia="Calibri" w:hAnsi="Verdana" w:cs="Arial"/>
          <w:b/>
          <w:color w:val="000000" w:themeColor="text1"/>
          <w:lang w:val="es-ES"/>
        </w:rPr>
      </w:pPr>
    </w:p>
    <w:p w14:paraId="478A737E" w14:textId="77777777" w:rsidR="00030193" w:rsidRDefault="00030193" w:rsidP="00030193">
      <w:pPr>
        <w:spacing w:after="0" w:line="240" w:lineRule="auto"/>
        <w:rPr>
          <w:rFonts w:ascii="Verdana" w:eastAsia="Calibri" w:hAnsi="Verdana" w:cs="Arial"/>
          <w:b/>
          <w:color w:val="000000" w:themeColor="text1"/>
          <w:lang w:val="es-ES"/>
        </w:rPr>
      </w:pPr>
    </w:p>
    <w:p w14:paraId="257D8B9B" w14:textId="77777777" w:rsidR="00030193" w:rsidRDefault="00030193" w:rsidP="00030193">
      <w:pPr>
        <w:spacing w:after="0" w:line="240" w:lineRule="auto"/>
        <w:rPr>
          <w:rFonts w:ascii="Verdana" w:eastAsia="Calibri" w:hAnsi="Verdana" w:cs="Arial"/>
          <w:b/>
          <w:color w:val="000000" w:themeColor="text1"/>
          <w:lang w:val="es-ES"/>
        </w:rPr>
      </w:pPr>
    </w:p>
    <w:p w14:paraId="5C618330" w14:textId="77777777" w:rsidR="00030193" w:rsidRDefault="00030193" w:rsidP="00030193">
      <w:pPr>
        <w:spacing w:after="0" w:line="240" w:lineRule="auto"/>
        <w:rPr>
          <w:rFonts w:ascii="Verdana" w:eastAsia="Geomanist Light" w:hAnsi="Verdana" w:cs="Arial"/>
          <w:color w:val="000000" w:themeColor="text1"/>
          <w:lang w:val="es-MX"/>
        </w:rPr>
      </w:pPr>
    </w:p>
    <w:p w14:paraId="23F2A606" w14:textId="77777777" w:rsidR="00030193" w:rsidRDefault="00030193" w:rsidP="00030193">
      <w:pPr>
        <w:spacing w:after="0" w:line="240" w:lineRule="auto"/>
        <w:rPr>
          <w:rFonts w:ascii="Verdana" w:eastAsia="Geomanist Light" w:hAnsi="Verdana" w:cs="Arial"/>
          <w:color w:val="000000" w:themeColor="text1"/>
          <w:lang w:val="es-MX"/>
        </w:rPr>
      </w:pPr>
    </w:p>
    <w:p w14:paraId="2ED80900" w14:textId="77777777" w:rsidR="00030193" w:rsidRDefault="00030193" w:rsidP="00030193">
      <w:pPr>
        <w:spacing w:after="0" w:line="240" w:lineRule="auto"/>
        <w:rPr>
          <w:rFonts w:ascii="Verdana" w:eastAsia="Geomanist Light" w:hAnsi="Verdana" w:cs="Arial"/>
          <w:color w:val="000000" w:themeColor="text1"/>
          <w:lang w:val="es-MX"/>
        </w:rPr>
      </w:pPr>
    </w:p>
    <w:p w14:paraId="30DE1028" w14:textId="77777777" w:rsidR="00030193" w:rsidRDefault="00030193" w:rsidP="00030193">
      <w:pPr>
        <w:spacing w:after="0" w:line="240" w:lineRule="auto"/>
        <w:rPr>
          <w:rFonts w:ascii="Verdana" w:eastAsia="Geomanist Light" w:hAnsi="Verdana" w:cs="Arial"/>
          <w:color w:val="000000" w:themeColor="text1"/>
          <w:lang w:val="es-MX"/>
        </w:rPr>
      </w:pPr>
    </w:p>
    <w:p w14:paraId="521E8920" w14:textId="77777777" w:rsidR="00030193" w:rsidRDefault="00030193" w:rsidP="00030193">
      <w:pPr>
        <w:spacing w:after="0" w:line="240" w:lineRule="auto"/>
        <w:rPr>
          <w:rFonts w:ascii="Verdana" w:eastAsia="Geomanist Light" w:hAnsi="Verdana" w:cs="Arial"/>
          <w:color w:val="000000" w:themeColor="text1"/>
          <w:lang w:val="es-MX"/>
        </w:rPr>
      </w:pPr>
    </w:p>
    <w:p w14:paraId="787F6C1C" w14:textId="77777777" w:rsidR="00030193" w:rsidRDefault="00030193" w:rsidP="00030193">
      <w:pPr>
        <w:spacing w:after="0" w:line="240" w:lineRule="auto"/>
        <w:rPr>
          <w:rFonts w:ascii="Verdana" w:eastAsia="Geomanist Light" w:hAnsi="Verdana" w:cs="Arial"/>
          <w:color w:val="000000" w:themeColor="text1"/>
          <w:lang w:val="es-MX"/>
        </w:rPr>
      </w:pPr>
    </w:p>
    <w:p w14:paraId="4B63660F" w14:textId="77777777" w:rsidR="00030193" w:rsidRDefault="00030193" w:rsidP="00030193">
      <w:pPr>
        <w:spacing w:after="0" w:line="240" w:lineRule="auto"/>
        <w:rPr>
          <w:rFonts w:ascii="Verdana" w:eastAsia="Geomanist Light" w:hAnsi="Verdana" w:cs="Arial"/>
          <w:color w:val="000000" w:themeColor="text1"/>
          <w:lang w:val="es-MX"/>
        </w:rPr>
      </w:pPr>
    </w:p>
    <w:p w14:paraId="3F4F18E7" w14:textId="77777777" w:rsidR="00030193" w:rsidRDefault="00030193" w:rsidP="00030193">
      <w:pPr>
        <w:spacing w:after="0" w:line="240" w:lineRule="auto"/>
        <w:rPr>
          <w:rFonts w:ascii="Verdana" w:eastAsia="Geomanist Light" w:hAnsi="Verdana" w:cs="Arial"/>
          <w:color w:val="000000" w:themeColor="text1"/>
          <w:lang w:val="es-MX"/>
        </w:rPr>
      </w:pPr>
    </w:p>
    <w:p w14:paraId="587B2C62" w14:textId="77777777" w:rsidR="00030193" w:rsidRDefault="00030193" w:rsidP="00030193">
      <w:pPr>
        <w:spacing w:after="0" w:line="240" w:lineRule="auto"/>
        <w:rPr>
          <w:rFonts w:ascii="Verdana" w:eastAsia="Geomanist Light" w:hAnsi="Verdana" w:cs="Arial"/>
          <w:color w:val="000000" w:themeColor="text1"/>
          <w:lang w:val="es-MX"/>
        </w:rPr>
      </w:pPr>
    </w:p>
    <w:p w14:paraId="08629CF9" w14:textId="77777777" w:rsidR="00030193" w:rsidRDefault="00030193" w:rsidP="00030193">
      <w:pPr>
        <w:spacing w:after="0" w:line="240" w:lineRule="auto"/>
        <w:rPr>
          <w:rFonts w:ascii="Verdana" w:eastAsia="Geomanist Light" w:hAnsi="Verdana" w:cs="Arial"/>
          <w:color w:val="000000" w:themeColor="text1"/>
          <w:lang w:val="es-MX"/>
        </w:rPr>
      </w:pPr>
    </w:p>
    <w:p w14:paraId="4A2CA91D" w14:textId="77777777" w:rsidR="00030193" w:rsidRDefault="00030193" w:rsidP="00030193">
      <w:pPr>
        <w:spacing w:after="0" w:line="240" w:lineRule="auto"/>
        <w:rPr>
          <w:rFonts w:ascii="Verdana" w:eastAsia="Geomanist Light" w:hAnsi="Verdana" w:cs="Arial"/>
          <w:color w:val="000000" w:themeColor="text1"/>
          <w:lang w:val="es-MX"/>
        </w:rPr>
      </w:pPr>
    </w:p>
    <w:p w14:paraId="2E60A144" w14:textId="77777777" w:rsidR="00030193" w:rsidRDefault="00030193" w:rsidP="00030193">
      <w:pPr>
        <w:spacing w:after="0" w:line="240" w:lineRule="auto"/>
        <w:rPr>
          <w:rFonts w:ascii="Verdana" w:eastAsia="Geomanist Light" w:hAnsi="Verdana" w:cs="Arial"/>
          <w:color w:val="000000" w:themeColor="text1"/>
          <w:lang w:val="es-MX"/>
        </w:rPr>
      </w:pPr>
    </w:p>
    <w:p w14:paraId="4C177E7A" w14:textId="77777777" w:rsidR="00030193" w:rsidRDefault="00030193" w:rsidP="00030193">
      <w:pPr>
        <w:spacing w:after="0" w:line="240" w:lineRule="auto"/>
        <w:rPr>
          <w:rFonts w:ascii="Verdana" w:eastAsia="Geomanist Light" w:hAnsi="Verdana" w:cs="Arial"/>
          <w:color w:val="000000" w:themeColor="text1"/>
          <w:lang w:val="es-MX"/>
        </w:rPr>
      </w:pPr>
    </w:p>
    <w:p w14:paraId="3C5BE0D1" w14:textId="77777777" w:rsidR="00030193" w:rsidRDefault="00030193" w:rsidP="00030193">
      <w:pPr>
        <w:spacing w:after="0" w:line="240" w:lineRule="auto"/>
        <w:rPr>
          <w:rFonts w:ascii="Verdana" w:eastAsia="Geomanist Light" w:hAnsi="Verdana" w:cs="Arial"/>
          <w:color w:val="000000" w:themeColor="text1"/>
          <w:lang w:val="es-MX"/>
        </w:rPr>
      </w:pPr>
    </w:p>
    <w:p w14:paraId="2BCC8B3E" w14:textId="77777777" w:rsidR="00030193" w:rsidRDefault="00030193" w:rsidP="00030193">
      <w:pPr>
        <w:spacing w:after="0" w:line="240" w:lineRule="auto"/>
        <w:rPr>
          <w:rFonts w:ascii="Verdana" w:eastAsia="Geomanist Light" w:hAnsi="Verdana" w:cs="Arial"/>
          <w:color w:val="000000" w:themeColor="text1"/>
          <w:lang w:val="es-MX"/>
        </w:rPr>
      </w:pPr>
    </w:p>
    <w:p w14:paraId="610690C7" w14:textId="77777777" w:rsidR="00030193" w:rsidRDefault="00030193" w:rsidP="00030193">
      <w:pPr>
        <w:spacing w:after="0" w:line="240" w:lineRule="auto"/>
        <w:rPr>
          <w:rFonts w:ascii="Verdana" w:eastAsia="Geomanist Light" w:hAnsi="Verdana" w:cs="Arial"/>
          <w:color w:val="000000" w:themeColor="text1"/>
          <w:lang w:val="es-MX"/>
        </w:rPr>
      </w:pPr>
    </w:p>
    <w:p w14:paraId="53ED1887" w14:textId="77777777" w:rsidR="00030193" w:rsidRDefault="00030193" w:rsidP="00030193">
      <w:pPr>
        <w:spacing w:after="0" w:line="240" w:lineRule="auto"/>
        <w:rPr>
          <w:rFonts w:ascii="Verdana" w:eastAsia="Geomanist Light" w:hAnsi="Verdana" w:cs="Arial"/>
          <w:color w:val="000000" w:themeColor="text1"/>
          <w:lang w:val="es-MX"/>
        </w:rPr>
      </w:pPr>
    </w:p>
    <w:p w14:paraId="49D2E502" w14:textId="77777777" w:rsidR="00030193" w:rsidRDefault="00030193" w:rsidP="00030193">
      <w:pPr>
        <w:spacing w:after="0" w:line="240" w:lineRule="auto"/>
        <w:rPr>
          <w:rFonts w:ascii="Verdana" w:eastAsia="Geomanist Light" w:hAnsi="Verdana" w:cs="Arial"/>
          <w:color w:val="000000" w:themeColor="text1"/>
          <w:lang w:val="es-MX"/>
        </w:rPr>
      </w:pPr>
    </w:p>
    <w:p w14:paraId="3AA86222" w14:textId="77777777" w:rsidR="00030193" w:rsidRDefault="00030193" w:rsidP="00030193">
      <w:pPr>
        <w:spacing w:after="0" w:line="240" w:lineRule="auto"/>
        <w:rPr>
          <w:rFonts w:ascii="Verdana" w:eastAsia="Geomanist Light" w:hAnsi="Verdana" w:cs="Arial"/>
          <w:color w:val="000000" w:themeColor="text1"/>
          <w:lang w:val="es-MX"/>
        </w:rPr>
      </w:pPr>
    </w:p>
    <w:p w14:paraId="579B2EF9" w14:textId="77777777" w:rsidR="00030193" w:rsidRDefault="00030193" w:rsidP="00597401">
      <w:pPr>
        <w:spacing w:after="0" w:line="240" w:lineRule="auto"/>
        <w:rPr>
          <w:rFonts w:ascii="Verdana" w:eastAsia="Geomanist Light" w:hAnsi="Verdana" w:cs="Arial"/>
          <w:color w:val="000000" w:themeColor="text1"/>
          <w:lang w:val="es-MX"/>
        </w:rPr>
      </w:pPr>
    </w:p>
    <w:p w14:paraId="45492D2F" w14:textId="1FC159B5" w:rsidR="00597401" w:rsidRPr="00593A5F" w:rsidRDefault="00597401" w:rsidP="00597401">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4577B2" w:rsidRPr="004577B2">
        <w:rPr>
          <w:rFonts w:ascii="Verdana" w:eastAsia="Geomanist Light" w:hAnsi="Verdana" w:cs="Arial"/>
          <w:color w:val="000000" w:themeColor="text1"/>
          <w:lang w:val="es-MX"/>
        </w:rPr>
        <w:t>07 de Mayo de 2026</w:t>
      </w:r>
    </w:p>
    <w:p w14:paraId="235731A1" w14:textId="77777777" w:rsidR="00597401" w:rsidRDefault="00597401" w:rsidP="00597401">
      <w:pPr>
        <w:spacing w:after="0" w:line="240" w:lineRule="auto"/>
        <w:jc w:val="both"/>
        <w:rPr>
          <w:rFonts w:ascii="Verdana" w:eastAsia="Calibri" w:hAnsi="Verdana" w:cs="Arial"/>
          <w:color w:val="000000"/>
          <w:lang w:val="es-ES"/>
        </w:rPr>
      </w:pPr>
    </w:p>
    <w:p w14:paraId="5C8D74B4" w14:textId="2F24B91F" w:rsidR="004577B2" w:rsidRDefault="004577B2" w:rsidP="004577B2">
      <w:pPr>
        <w:spacing w:after="0" w:line="240" w:lineRule="auto"/>
        <w:jc w:val="right"/>
        <w:rPr>
          <w:rFonts w:ascii="Verdana" w:eastAsia="Calibri" w:hAnsi="Verdana" w:cs="Arial"/>
          <w:color w:val="000000"/>
          <w:lang w:val="es-ES"/>
        </w:rPr>
      </w:pPr>
      <w:r w:rsidRPr="004577B2">
        <w:rPr>
          <w:rFonts w:ascii="Verdana" w:eastAsia="Calibri" w:hAnsi="Verdana" w:cs="Arial"/>
          <w:noProof/>
          <w:color w:val="000000"/>
          <w:lang w:val="es-ES"/>
        </w:rPr>
        <w:drawing>
          <wp:inline distT="0" distB="0" distL="0" distR="0" wp14:anchorId="2EDE9A41" wp14:editId="2CD07EBD">
            <wp:extent cx="2400300" cy="622300"/>
            <wp:effectExtent l="0" t="0" r="0" b="0"/>
            <wp:docPr id="5728113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811392" name=""/>
                    <pic:cNvPicPr/>
                  </pic:nvPicPr>
                  <pic:blipFill>
                    <a:blip r:embed="rId10"/>
                    <a:stretch>
                      <a:fillRect/>
                    </a:stretch>
                  </pic:blipFill>
                  <pic:spPr>
                    <a:xfrm>
                      <a:off x="0" y="0"/>
                      <a:ext cx="2400300" cy="622300"/>
                    </a:xfrm>
                    <a:prstGeom prst="rect">
                      <a:avLst/>
                    </a:prstGeom>
                  </pic:spPr>
                </pic:pic>
              </a:graphicData>
            </a:graphic>
          </wp:inline>
        </w:drawing>
      </w:r>
    </w:p>
    <w:p w14:paraId="6317A0E3" w14:textId="77777777" w:rsidR="00597401" w:rsidRPr="00593A5F" w:rsidRDefault="00597401" w:rsidP="00597401">
      <w:pPr>
        <w:spacing w:after="0" w:line="240" w:lineRule="auto"/>
        <w:jc w:val="both"/>
        <w:rPr>
          <w:rFonts w:ascii="Verdana" w:eastAsia="Calibri" w:hAnsi="Verdana" w:cs="Arial"/>
          <w:color w:val="000000"/>
          <w:lang w:val="es-ES"/>
        </w:rPr>
      </w:pPr>
    </w:p>
    <w:p w14:paraId="1C841589" w14:textId="77777777" w:rsidR="00597401" w:rsidRPr="00B96799" w:rsidRDefault="00597401" w:rsidP="00597401">
      <w:pPr>
        <w:spacing w:after="0" w:line="240" w:lineRule="auto"/>
        <w:jc w:val="both"/>
        <w:rPr>
          <w:rFonts w:ascii="Verdana" w:eastAsia="Calibri" w:hAnsi="Verdana" w:cs="Arial"/>
          <w:lang w:val="es-ES" w:eastAsia="es-ES"/>
        </w:rPr>
      </w:pPr>
      <w:r>
        <w:rPr>
          <w:rFonts w:ascii="Verdana" w:eastAsia="Calibri" w:hAnsi="Verdana" w:cs="Arial"/>
          <w:lang w:val="es-ES" w:eastAsia="es-ES"/>
        </w:rPr>
        <w:t>Teniente Coronel</w:t>
      </w:r>
    </w:p>
    <w:p w14:paraId="123ADFEB" w14:textId="77777777" w:rsidR="00597401" w:rsidRPr="00772BAF" w:rsidRDefault="00597401" w:rsidP="00597401">
      <w:pPr>
        <w:spacing w:after="0" w:line="240" w:lineRule="auto"/>
        <w:rPr>
          <w:rFonts w:ascii="Verdana" w:eastAsia="Calibri" w:hAnsi="Verdana" w:cs="Arial"/>
          <w:b/>
          <w:lang w:val="es-ES_tradnl" w:eastAsia="es-ES_tradnl"/>
        </w:rPr>
      </w:pPr>
      <w:r w:rsidRPr="00FA6849">
        <w:rPr>
          <w:rFonts w:ascii="Verdana" w:eastAsia="Calibri" w:hAnsi="Verdana" w:cs="Arial"/>
          <w:b/>
          <w:lang w:val="es-ES_tradnl" w:eastAsia="es-ES_tradnl"/>
        </w:rPr>
        <w:t>Jenny Patricia Rubiano Ávila</w:t>
      </w:r>
    </w:p>
    <w:p w14:paraId="77AD0838" w14:textId="77777777" w:rsidR="00597401" w:rsidRPr="00772BAF" w:rsidRDefault="00597401" w:rsidP="00597401">
      <w:pPr>
        <w:spacing w:after="0" w:line="240" w:lineRule="auto"/>
        <w:rPr>
          <w:rFonts w:ascii="Verdana" w:eastAsia="Calibri" w:hAnsi="Verdana" w:cs="Arial"/>
          <w:lang w:val="es-ES" w:eastAsia="es-ES"/>
        </w:rPr>
      </w:pPr>
      <w:hyperlink r:id="rId11" w:history="1">
        <w:r w:rsidRPr="0049658A">
          <w:rPr>
            <w:rStyle w:val="Hipervnculo"/>
            <w:rFonts w:ascii="Verdana" w:hAnsi="Verdana"/>
          </w:rPr>
          <w:t>notificacionesdce@mindefensa.gov.co</w:t>
        </w:r>
      </w:hyperlink>
      <w:r>
        <w:rPr>
          <w:rFonts w:ascii="Verdana" w:hAnsi="Verdana"/>
        </w:rPr>
        <w:t xml:space="preserve"> </w:t>
      </w:r>
      <w:r w:rsidRPr="00772BAF">
        <w:rPr>
          <w:rFonts w:ascii="Verdana" w:hAnsi="Verdana"/>
        </w:rPr>
        <w:t xml:space="preserve">                    </w:t>
      </w:r>
      <w:r w:rsidRPr="00772BAF">
        <w:rPr>
          <w:rFonts w:ascii="Verdana" w:eastAsia="Calibri" w:hAnsi="Verdana" w:cs="Arial"/>
          <w:lang w:val="es-ES" w:eastAsia="es-ES"/>
        </w:rPr>
        <w:t xml:space="preserve">    </w:t>
      </w:r>
    </w:p>
    <w:p w14:paraId="442141FB" w14:textId="77777777" w:rsidR="00597401" w:rsidRDefault="00597401" w:rsidP="00597401">
      <w:pPr>
        <w:spacing w:after="0" w:line="240" w:lineRule="auto"/>
        <w:rPr>
          <w:rFonts w:ascii="Verdana" w:eastAsia="Calibri" w:hAnsi="Verdana" w:cs="Arial"/>
          <w:lang w:val="es-ES" w:eastAsia="es-ES"/>
        </w:rPr>
      </w:pPr>
      <w:r>
        <w:rPr>
          <w:rFonts w:ascii="Verdana" w:eastAsia="Calibri" w:hAnsi="Verdana" w:cs="Arial"/>
          <w:lang w:val="es-ES" w:eastAsia="es-ES"/>
        </w:rPr>
        <w:t>Medellín</w:t>
      </w:r>
      <w:r w:rsidRPr="004513BB">
        <w:rPr>
          <w:rFonts w:ascii="Verdana" w:eastAsia="Calibri" w:hAnsi="Verdana" w:cs="Arial"/>
          <w:lang w:val="es-ES" w:eastAsia="es-ES"/>
        </w:rPr>
        <w:t xml:space="preserve">, </w:t>
      </w:r>
      <w:r>
        <w:rPr>
          <w:rFonts w:ascii="Verdana" w:eastAsia="Calibri" w:hAnsi="Verdana" w:cs="Arial"/>
          <w:lang w:val="es-ES" w:eastAsia="es-ES"/>
        </w:rPr>
        <w:t xml:space="preserve">Antioquia </w:t>
      </w:r>
    </w:p>
    <w:p w14:paraId="4AED1AC4" w14:textId="77777777" w:rsidR="00597401" w:rsidRPr="00593A5F" w:rsidRDefault="00597401" w:rsidP="00597401">
      <w:pPr>
        <w:spacing w:after="0" w:line="240" w:lineRule="auto"/>
        <w:rPr>
          <w:rFonts w:ascii="Verdana" w:eastAsia="Calibri" w:hAnsi="Verdana" w:cs="Arial"/>
          <w:b/>
          <w:bCs/>
          <w:color w:val="000000"/>
          <w:lang w:val="es-ES_tradnl" w:eastAsia="es-ES_tradnl"/>
        </w:rPr>
      </w:pPr>
    </w:p>
    <w:p w14:paraId="0528B037" w14:textId="77777777" w:rsidR="00597401" w:rsidRPr="00593A5F" w:rsidRDefault="00597401" w:rsidP="00597401">
      <w:pPr>
        <w:spacing w:after="0" w:line="240" w:lineRule="auto"/>
        <w:rPr>
          <w:rFonts w:ascii="Verdana" w:eastAsia="Calibri" w:hAnsi="Verdana" w:cs="Arial"/>
          <w:b/>
          <w:bCs/>
          <w:color w:val="000000"/>
          <w:lang w:val="es-ES_tradnl" w:eastAsia="es-ES_tradnl"/>
        </w:rPr>
      </w:pPr>
    </w:p>
    <w:tbl>
      <w:tblPr>
        <w:tblW w:w="8789" w:type="dxa"/>
        <w:tblCellMar>
          <w:left w:w="0" w:type="dxa"/>
          <w:right w:w="0" w:type="dxa"/>
        </w:tblCellMar>
        <w:tblLook w:val="04A0" w:firstRow="1" w:lastRow="0" w:firstColumn="1" w:lastColumn="0" w:noHBand="0" w:noVBand="1"/>
      </w:tblPr>
      <w:tblGrid>
        <w:gridCol w:w="2689"/>
        <w:gridCol w:w="6100"/>
      </w:tblGrid>
      <w:tr w:rsidR="00C16B64" w:rsidRPr="00593A5F" w14:paraId="173BC8CF" w14:textId="77777777">
        <w:trPr>
          <w:trHeight w:val="884"/>
        </w:trPr>
        <w:tc>
          <w:tcPr>
            <w:tcW w:w="2689" w:type="dxa"/>
          </w:tcPr>
          <w:p w14:paraId="04FCEDC0" w14:textId="77777777" w:rsidR="00597401" w:rsidRPr="00C00976" w:rsidRDefault="00597401">
            <w:pPr>
              <w:jc w:val="both"/>
              <w:rPr>
                <w:rFonts w:ascii="Verdana" w:eastAsia="Calibri" w:hAnsi="Verdana" w:cs="Arial"/>
                <w:b/>
                <w:bCs/>
                <w:color w:val="7030A0"/>
                <w:lang w:val="es-ES_tradnl" w:eastAsia="es-ES_tradnl"/>
              </w:rPr>
            </w:pPr>
          </w:p>
        </w:tc>
        <w:tc>
          <w:tcPr>
            <w:tcW w:w="6100" w:type="dxa"/>
          </w:tcPr>
          <w:p w14:paraId="763981F7" w14:textId="77777777" w:rsidR="00597401" w:rsidRPr="00C00976" w:rsidRDefault="00597401">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673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C16B64" w:rsidRPr="00593A5F" w14:paraId="5A148634" w14:textId="77777777">
        <w:trPr>
          <w:trHeight w:val="884"/>
        </w:trPr>
        <w:tc>
          <w:tcPr>
            <w:tcW w:w="2689" w:type="dxa"/>
          </w:tcPr>
          <w:p w14:paraId="6B936C36" w14:textId="77777777" w:rsidR="00597401" w:rsidRPr="00593A5F" w:rsidRDefault="0059740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1AB4A9B" w14:textId="77777777" w:rsidR="00597401" w:rsidRPr="00A11406" w:rsidRDefault="00597401">
            <w:pPr>
              <w:spacing w:line="276" w:lineRule="auto"/>
              <w:jc w:val="both"/>
              <w:rPr>
                <w:rFonts w:ascii="Verdana" w:eastAsia="Calibri" w:hAnsi="Verdana" w:cs="Arial"/>
                <w:lang w:val="es-ES" w:eastAsia="es-ES"/>
              </w:rPr>
            </w:pPr>
            <w:r w:rsidRPr="00AB1FEA">
              <w:rPr>
                <w:rFonts w:ascii="Verdana" w:eastAsia="Calibri" w:hAnsi="Verdana" w:cs="Arial"/>
                <w:lang w:val="es-ES" w:eastAsia="es-ES"/>
              </w:rPr>
              <w:t>LIQUIDACIÓN DEL CONTRATO – Definición – Objetivo / LIQUIDACIÓN DEL CONTRATO – Normativa / LIQUIDACIÓN DEL CONTRATO – Tipos – Bilateral – Unilateral – Judicial</w:t>
            </w:r>
            <w:r>
              <w:rPr>
                <w:rFonts w:ascii="Verdana" w:eastAsia="Calibri" w:hAnsi="Verdana" w:cs="Arial"/>
                <w:lang w:val="es-ES" w:eastAsia="es-ES"/>
              </w:rPr>
              <w:t xml:space="preserve"> / COMPETENCIA TEMPORAL – Liquidación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359E0DD" w14:textId="77777777" w:rsidR="00597401" w:rsidRPr="00593A5F" w:rsidRDefault="00597401">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16B64" w:rsidRPr="008E6AD9" w14:paraId="0C20A0EE" w14:textId="77777777">
        <w:tc>
          <w:tcPr>
            <w:tcW w:w="2689" w:type="dxa"/>
          </w:tcPr>
          <w:p w14:paraId="606D65C3" w14:textId="77777777" w:rsidR="00597401" w:rsidRPr="008E6AD9" w:rsidRDefault="00597401">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FE5C0C1" w14:textId="77777777" w:rsidR="00597401" w:rsidRPr="00B92340" w:rsidRDefault="00597401">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FA6849">
              <w:rPr>
                <w:rFonts w:ascii="Verdana" w:eastAsia="Calibri" w:hAnsi="Verdana" w:cs="Arial"/>
                <w:lang w:val="es-ES_tradnl" w:eastAsia="es-ES_tradnl"/>
              </w:rPr>
              <w:t xml:space="preserve">1_2026_04_24_005602 </w:t>
            </w:r>
            <w:r>
              <w:rPr>
                <w:rFonts w:ascii="Verdana" w:eastAsia="Calibri" w:hAnsi="Verdana" w:cs="Arial"/>
                <w:lang w:val="es-ES_tradnl" w:eastAsia="es-ES_tradnl"/>
              </w:rPr>
              <w:t>y</w:t>
            </w:r>
            <w:r w:rsidRPr="00FA6849">
              <w:rPr>
                <w:rFonts w:ascii="Verdana" w:eastAsia="Calibri" w:hAnsi="Verdana" w:cs="Arial"/>
                <w:lang w:val="es-ES_tradnl" w:eastAsia="es-ES_tradnl"/>
              </w:rPr>
              <w:t xml:space="preserve"> 1_2026_04_24_005627</w:t>
            </w:r>
            <w:r>
              <w:rPr>
                <w:rFonts w:ascii="Verdana" w:eastAsia="Calibri" w:hAnsi="Verdana" w:cs="Arial"/>
                <w:lang w:val="es-ES_tradnl" w:eastAsia="es-ES_tradnl"/>
              </w:rPr>
              <w:t xml:space="preserve">       –Acumulados–</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ACA84C1" w14:textId="77777777" w:rsidR="00597401" w:rsidRPr="00593A5F" w:rsidRDefault="00597401" w:rsidP="00597401">
      <w:pPr>
        <w:spacing w:after="0" w:line="240" w:lineRule="auto"/>
        <w:jc w:val="both"/>
        <w:rPr>
          <w:rFonts w:ascii="Verdana" w:eastAsia="Calibri" w:hAnsi="Verdana" w:cs="Arial"/>
          <w:color w:val="000000"/>
          <w:lang w:val="es-ES_tradnl" w:eastAsia="es-ES_tradnl"/>
        </w:rPr>
      </w:pPr>
    </w:p>
    <w:p w14:paraId="2653C618" w14:textId="77777777" w:rsidR="00597401" w:rsidRPr="00593A5F" w:rsidRDefault="00597401" w:rsidP="00597401">
      <w:pPr>
        <w:spacing w:after="0" w:line="240" w:lineRule="auto"/>
        <w:jc w:val="both"/>
        <w:rPr>
          <w:rFonts w:ascii="Verdana" w:eastAsia="Calibri" w:hAnsi="Verdana" w:cs="Arial"/>
          <w:color w:val="000000"/>
          <w:lang w:val="es-ES_tradnl" w:eastAsia="es-ES_tradnl"/>
        </w:rPr>
      </w:pPr>
    </w:p>
    <w:p w14:paraId="76E3425C" w14:textId="77777777" w:rsidR="00597401" w:rsidRPr="008E6AD9" w:rsidRDefault="00597401" w:rsidP="00597401">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TC </w:t>
      </w:r>
      <w:r w:rsidRPr="00772BAF">
        <w:rPr>
          <w:rFonts w:ascii="Verdana" w:eastAsia="Calibri" w:hAnsi="Verdana" w:cs="Arial"/>
          <w:lang w:val="es-ES" w:eastAsia="es-ES"/>
        </w:rPr>
        <w:t>Rubiano Ávila</w:t>
      </w:r>
      <w:r w:rsidRPr="008E6AD9">
        <w:rPr>
          <w:rFonts w:ascii="Verdana" w:eastAsia="Calibri" w:hAnsi="Verdana" w:cs="Arial"/>
          <w:lang w:val="es-ES" w:eastAsia="es-ES"/>
        </w:rPr>
        <w:t xml:space="preserve">: </w:t>
      </w:r>
    </w:p>
    <w:p w14:paraId="0775B3BE" w14:textId="77777777" w:rsidR="00597401" w:rsidRDefault="00597401" w:rsidP="0059740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97D3E4A" w14:textId="77777777" w:rsidR="00597401" w:rsidRPr="00593A5F" w:rsidRDefault="00597401" w:rsidP="0059740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24 de abril de 2026, donde solicita manifiesta que</w:t>
      </w:r>
      <w:r w:rsidRPr="008E6AD9">
        <w:rPr>
          <w:rFonts w:ascii="Verdana" w:eastAsia="Calibri" w:hAnsi="Verdana" w:cs="Arial"/>
          <w:lang w:val="es-ES" w:eastAsia="es-ES"/>
        </w:rPr>
        <w:t xml:space="preserve">: </w:t>
      </w:r>
    </w:p>
    <w:p w14:paraId="64CB748C" w14:textId="77777777" w:rsidR="00597401" w:rsidRPr="00272A7B" w:rsidRDefault="00597401" w:rsidP="00597401">
      <w:pPr>
        <w:pStyle w:val="Prrafodelista"/>
        <w:tabs>
          <w:tab w:val="left" w:pos="142"/>
          <w:tab w:val="left" w:pos="284"/>
        </w:tabs>
        <w:spacing w:after="0" w:line="276" w:lineRule="auto"/>
        <w:ind w:left="0"/>
        <w:jc w:val="both"/>
        <w:rPr>
          <w:rFonts w:ascii="Verdana" w:eastAsia="Century Gothic" w:hAnsi="Verdana" w:cs="Century Gothic"/>
          <w:b/>
          <w:bCs/>
        </w:rPr>
      </w:pPr>
    </w:p>
    <w:p w14:paraId="6C430CA0" w14:textId="77777777" w:rsidR="00597401" w:rsidRPr="003B779B" w:rsidRDefault="00597401" w:rsidP="00597401">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3B779B">
        <w:rPr>
          <w:rFonts w:ascii="Verdana" w:eastAsia="Century Gothic" w:hAnsi="Verdana" w:cs="Century Gothic"/>
          <w:sz w:val="20"/>
          <w:szCs w:val="20"/>
          <w:lang w:val="es-ES"/>
        </w:rPr>
        <w:t xml:space="preserve">De conformidad con el régimen jurídico aplicable a la liquidación de los contratos estatales y convenios de colaboración, y atendiendo a los efectos derivados de la caducidad del medio de control de controversias </w:t>
      </w:r>
      <w:r w:rsidRPr="003B779B">
        <w:rPr>
          <w:rFonts w:ascii="Verdana" w:eastAsia="Century Gothic" w:hAnsi="Verdana" w:cs="Century Gothic"/>
          <w:sz w:val="20"/>
          <w:szCs w:val="20"/>
          <w:lang w:val="es-ES"/>
        </w:rPr>
        <w:lastRenderedPageBreak/>
        <w:t>contractuales, así como a la fuerza ejecutoria de la liquidación de común acuerdo debidamente suscrita y de la liquidación unilateral válidamente expedida, se plantean los siguientes problemas jurídicos para su análisis:</w:t>
      </w:r>
    </w:p>
    <w:p w14:paraId="63485A4C" w14:textId="77777777" w:rsidR="00597401" w:rsidRPr="003B779B" w:rsidRDefault="00597401" w:rsidP="00597401">
      <w:pPr>
        <w:spacing w:after="120" w:line="240" w:lineRule="auto"/>
        <w:ind w:left="709" w:right="709"/>
        <w:jc w:val="both"/>
        <w:rPr>
          <w:rFonts w:ascii="Verdana" w:eastAsia="Century Gothic" w:hAnsi="Verdana" w:cs="Century Gothic"/>
          <w:b/>
          <w:bCs/>
          <w:sz w:val="20"/>
          <w:szCs w:val="20"/>
          <w:lang w:val="es-ES"/>
        </w:rPr>
      </w:pPr>
      <w:r w:rsidRPr="003B779B">
        <w:rPr>
          <w:rFonts w:ascii="Verdana" w:eastAsia="Century Gothic" w:hAnsi="Verdana" w:cs="Century Gothic"/>
          <w:b/>
          <w:bCs/>
          <w:sz w:val="20"/>
          <w:szCs w:val="20"/>
          <w:lang w:val="es-ES"/>
        </w:rPr>
        <w:t>1. Modificación de la liquidación antes de la caducidad</w:t>
      </w:r>
    </w:p>
    <w:p w14:paraId="69BCFF55" w14:textId="77777777" w:rsidR="00597401" w:rsidRPr="003B779B" w:rsidRDefault="00597401" w:rsidP="00597401">
      <w:pPr>
        <w:spacing w:after="120" w:line="240" w:lineRule="auto"/>
        <w:ind w:left="709" w:right="709"/>
        <w:jc w:val="both"/>
        <w:rPr>
          <w:rFonts w:ascii="Verdana" w:eastAsia="Century Gothic" w:hAnsi="Verdana" w:cs="Century Gothic"/>
          <w:sz w:val="20"/>
          <w:szCs w:val="20"/>
          <w:lang w:val="es-ES"/>
        </w:rPr>
      </w:pPr>
      <w:r w:rsidRPr="003B779B">
        <w:rPr>
          <w:rFonts w:ascii="Verdana" w:eastAsia="Century Gothic" w:hAnsi="Verdana" w:cs="Century Gothic"/>
          <w:sz w:val="20"/>
          <w:szCs w:val="20"/>
          <w:lang w:val="es-ES"/>
        </w:rPr>
        <w:t>¿La entidad estatal se encuentra jurídicamente facultada para modificar una liquidación de mutuo acuerdo o expedida de manera unilateral de un contrato estatal o convenio, cuando aún no ha operado la caducidad del medio de control de controversias contractuales, y cuáles son los límites de dicha facultad?</w:t>
      </w:r>
    </w:p>
    <w:p w14:paraId="129C4509" w14:textId="77777777" w:rsidR="00597401" w:rsidRPr="003B779B" w:rsidRDefault="00597401" w:rsidP="00597401">
      <w:pPr>
        <w:spacing w:after="120" w:line="240" w:lineRule="auto"/>
        <w:ind w:left="709" w:right="709"/>
        <w:jc w:val="both"/>
        <w:rPr>
          <w:rFonts w:ascii="Verdana" w:eastAsia="Century Gothic" w:hAnsi="Verdana" w:cs="Century Gothic"/>
          <w:b/>
          <w:bCs/>
          <w:sz w:val="20"/>
          <w:szCs w:val="20"/>
          <w:lang w:val="es-ES"/>
        </w:rPr>
      </w:pPr>
      <w:r w:rsidRPr="003B779B">
        <w:rPr>
          <w:rFonts w:ascii="Verdana" w:eastAsia="Century Gothic" w:hAnsi="Verdana" w:cs="Century Gothic"/>
          <w:b/>
          <w:bCs/>
          <w:sz w:val="20"/>
          <w:szCs w:val="20"/>
          <w:lang w:val="es-ES"/>
        </w:rPr>
        <w:t>2. Modificación de la liquidación después de la caducidad</w:t>
      </w:r>
    </w:p>
    <w:p w14:paraId="101125FE" w14:textId="77777777" w:rsidR="00597401" w:rsidRDefault="00597401" w:rsidP="00597401">
      <w:pPr>
        <w:spacing w:after="120" w:line="240" w:lineRule="auto"/>
        <w:ind w:left="709" w:right="709"/>
        <w:jc w:val="both"/>
        <w:rPr>
          <w:rFonts w:ascii="Verdana" w:eastAsia="Century Gothic" w:hAnsi="Verdana" w:cs="Century Gothic"/>
          <w:sz w:val="20"/>
          <w:szCs w:val="20"/>
          <w:lang w:val="es-ES"/>
        </w:rPr>
      </w:pPr>
      <w:r w:rsidRPr="003B779B">
        <w:rPr>
          <w:rFonts w:ascii="Verdana" w:eastAsia="Century Gothic" w:hAnsi="Verdana" w:cs="Century Gothic"/>
          <w:sz w:val="20"/>
          <w:szCs w:val="20"/>
          <w:lang w:val="es-ES"/>
        </w:rPr>
        <w:t>¿Es jurídicamente procedente la modificación de una liquidación, ya sea bilateral o unilateral, de un contrato estatal o convenio, cuando ha operado la caducidad del medio de control de controversias contractuales?</w:t>
      </w:r>
    </w:p>
    <w:p w14:paraId="7CEB2BD4" w14:textId="77777777" w:rsidR="00597401" w:rsidRPr="003B779B" w:rsidRDefault="00597401" w:rsidP="00597401">
      <w:pPr>
        <w:spacing w:after="120" w:line="240" w:lineRule="auto"/>
        <w:ind w:left="709" w:right="709"/>
        <w:jc w:val="both"/>
        <w:rPr>
          <w:rFonts w:ascii="Verdana" w:eastAsia="Century Gothic" w:hAnsi="Verdana" w:cs="Century Gothic"/>
          <w:b/>
          <w:bCs/>
          <w:sz w:val="20"/>
          <w:szCs w:val="20"/>
          <w:lang w:val="es-ES"/>
        </w:rPr>
      </w:pPr>
      <w:r w:rsidRPr="003B779B">
        <w:rPr>
          <w:rFonts w:ascii="Verdana" w:eastAsia="Century Gothic" w:hAnsi="Verdana" w:cs="Century Gothic"/>
          <w:b/>
          <w:bCs/>
          <w:sz w:val="20"/>
          <w:szCs w:val="20"/>
          <w:lang w:val="es-ES"/>
        </w:rPr>
        <w:t>3. Eximentes de responsabilidad y modificación de plazos</w:t>
      </w:r>
    </w:p>
    <w:p w14:paraId="64FD6ACF" w14:textId="77777777" w:rsidR="00597401" w:rsidRPr="008E6AD9" w:rsidRDefault="00597401" w:rsidP="00597401">
      <w:pPr>
        <w:spacing w:after="0" w:line="240" w:lineRule="auto"/>
        <w:ind w:left="709" w:right="709"/>
        <w:jc w:val="both"/>
        <w:rPr>
          <w:rFonts w:ascii="Verdana" w:eastAsia="Century Gothic" w:hAnsi="Verdana" w:cs="Century Gothic"/>
          <w:b/>
          <w:bCs/>
        </w:rPr>
      </w:pPr>
      <w:r w:rsidRPr="003B779B">
        <w:rPr>
          <w:rFonts w:ascii="Verdana" w:eastAsia="Century Gothic" w:hAnsi="Verdana" w:cs="Century Gothic"/>
          <w:sz w:val="20"/>
          <w:szCs w:val="20"/>
          <w:lang w:val="es-ES"/>
        </w:rPr>
        <w:t>¿Puede la entidad estatal modificar los plazos pactados para el cumplimiento de las obligaciones respaldadas en la liquidación de un contrato estatal o convenio, invocando la existencia de eximentes de responsabilidad, aun cuando ya ha operado la caducidad del medio de control de controversias contractuales?</w:t>
      </w:r>
      <w:r>
        <w:rPr>
          <w:rFonts w:ascii="Verdana" w:eastAsia="Century Gothic" w:hAnsi="Verdana" w:cs="Century Gothic"/>
          <w:sz w:val="20"/>
          <w:szCs w:val="20"/>
          <w:lang w:val="es-ES"/>
        </w:rPr>
        <w:t>”. (Énfasis dentro del texto)</w:t>
      </w:r>
    </w:p>
    <w:p w14:paraId="68F77EB5" w14:textId="77777777" w:rsidR="00597401" w:rsidRDefault="00597401" w:rsidP="00597401">
      <w:pPr>
        <w:spacing w:after="0" w:line="276" w:lineRule="auto"/>
        <w:ind w:firstLine="709"/>
        <w:jc w:val="both"/>
        <w:rPr>
          <w:rFonts w:ascii="Verdana" w:eastAsia="Calibri" w:hAnsi="Verdana" w:cs="Arial"/>
          <w:color w:val="000000"/>
          <w:lang w:val="es-ES" w:eastAsia="es-ES"/>
        </w:rPr>
      </w:pPr>
    </w:p>
    <w:p w14:paraId="79C4DB17" w14:textId="77777777" w:rsidR="00597401" w:rsidRPr="00A652FF" w:rsidRDefault="00597401" w:rsidP="00597401">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015EC6E" w14:textId="77777777" w:rsidR="00597401" w:rsidRDefault="00597401" w:rsidP="00597401">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41C012B" w14:textId="77777777" w:rsidR="00597401" w:rsidRPr="00593A5F" w:rsidRDefault="00597401" w:rsidP="00597401">
      <w:pPr>
        <w:spacing w:after="0" w:line="276" w:lineRule="auto"/>
        <w:ind w:firstLine="709"/>
        <w:jc w:val="both"/>
        <w:rPr>
          <w:rFonts w:ascii="Verdana" w:eastAsia="Calibri" w:hAnsi="Verdana" w:cs="Arial"/>
          <w:color w:val="000000"/>
          <w:lang w:val="es-ES" w:eastAsia="es-ES"/>
        </w:rPr>
      </w:pPr>
    </w:p>
    <w:p w14:paraId="316593DB" w14:textId="77777777" w:rsidR="00597401" w:rsidRPr="00593A5F" w:rsidRDefault="00597401" w:rsidP="0059740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lastRenderedPageBreak/>
        <w:t>Problema planteado:</w:t>
      </w:r>
    </w:p>
    <w:p w14:paraId="20E60C1B" w14:textId="77777777" w:rsidR="00597401" w:rsidRPr="00593A5F" w:rsidRDefault="00597401" w:rsidP="00597401">
      <w:pPr>
        <w:tabs>
          <w:tab w:val="left" w:pos="426"/>
        </w:tabs>
        <w:spacing w:after="0" w:line="276" w:lineRule="auto"/>
        <w:jc w:val="both"/>
        <w:rPr>
          <w:rFonts w:ascii="Verdana" w:eastAsia="Century Gothic" w:hAnsi="Verdana" w:cs="Century Gothic"/>
          <w:lang w:val="es-ES"/>
        </w:rPr>
      </w:pPr>
    </w:p>
    <w:p w14:paraId="346B2F97" w14:textId="01E97E57" w:rsidR="00597401" w:rsidRPr="00593A5F" w:rsidRDefault="00597401" w:rsidP="00597401">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066A9D">
        <w:rPr>
          <w:rFonts w:ascii="Verdana" w:eastAsia="Century Gothic" w:hAnsi="Verdana" w:cs="Century Gothic"/>
        </w:rPr>
        <w:t>¿</w:t>
      </w:r>
      <w:r w:rsidRPr="00AD3260">
        <w:rPr>
          <w:rFonts w:ascii="Verdana" w:eastAsia="Century Gothic" w:hAnsi="Verdana" w:cs="Century Gothic"/>
        </w:rPr>
        <w:t>es posible liquidar contratos estatales fuera de los plazos regulados en la ley</w:t>
      </w:r>
      <w:r w:rsidR="00912638" w:rsidRPr="00AD3260">
        <w:rPr>
          <w:rFonts w:ascii="Verdana" w:eastAsia="Century Gothic" w:hAnsi="Verdana" w:cs="Century Gothic"/>
        </w:rPr>
        <w:t xml:space="preserve"> o rea</w:t>
      </w:r>
      <w:r w:rsidR="001D226E" w:rsidRPr="00AD3260">
        <w:rPr>
          <w:rFonts w:ascii="Verdana" w:eastAsia="Century Gothic" w:hAnsi="Verdana" w:cs="Century Gothic"/>
        </w:rPr>
        <w:t xml:space="preserve">lizar modificaciones después de la caducidad del medio </w:t>
      </w:r>
      <w:r w:rsidR="00FD7236" w:rsidRPr="00AD3260">
        <w:rPr>
          <w:rFonts w:ascii="Verdana" w:eastAsia="Century Gothic" w:hAnsi="Verdana" w:cs="Century Gothic"/>
        </w:rPr>
        <w:t>de control de controversias contractuales</w:t>
      </w:r>
      <w:r w:rsidRPr="00066A9D">
        <w:rPr>
          <w:rFonts w:ascii="Verdana" w:eastAsia="Century Gothic" w:hAnsi="Verdana" w:cs="Century Gothic"/>
        </w:rPr>
        <w:t>?</w:t>
      </w:r>
      <w:r>
        <w:rPr>
          <w:rFonts w:ascii="Verdana" w:eastAsia="Century Gothic" w:hAnsi="Verdana" w:cs="Century Gothic"/>
        </w:rPr>
        <w:t xml:space="preserve"> </w:t>
      </w:r>
    </w:p>
    <w:p w14:paraId="0F0D8E26" w14:textId="77777777" w:rsidR="00597401" w:rsidRPr="004B140F" w:rsidRDefault="00597401" w:rsidP="00597401">
      <w:pPr>
        <w:spacing w:after="0" w:line="276" w:lineRule="auto"/>
        <w:jc w:val="both"/>
        <w:rPr>
          <w:rFonts w:ascii="Verdana" w:eastAsia="Calibri" w:hAnsi="Verdana" w:cs="Arial"/>
          <w:color w:val="7030A0"/>
        </w:rPr>
      </w:pPr>
    </w:p>
    <w:p w14:paraId="1612F690" w14:textId="77777777" w:rsidR="00597401" w:rsidRPr="00593A5F" w:rsidRDefault="00597401" w:rsidP="005974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089B2F9" w14:textId="77777777" w:rsidR="00597401" w:rsidRPr="00593A5F" w:rsidRDefault="00597401" w:rsidP="00597401">
      <w:pPr>
        <w:tabs>
          <w:tab w:val="left" w:pos="142"/>
          <w:tab w:val="left" w:pos="284"/>
        </w:tabs>
        <w:spacing w:after="0" w:line="276" w:lineRule="auto"/>
        <w:jc w:val="both"/>
        <w:rPr>
          <w:rFonts w:ascii="Verdana" w:eastAsia="Century Gothic" w:hAnsi="Verdana" w:cs="Century Gothic"/>
          <w:b/>
          <w:bCs/>
          <w:lang w:val="es-ES"/>
        </w:rPr>
      </w:pP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97401" w:rsidRPr="00593A5F" w14:paraId="7F3FDF6C" w14:textId="77777777">
        <w:trPr>
          <w:jc w:val="center"/>
        </w:trPr>
        <w:tc>
          <w:tcPr>
            <w:tcW w:w="8828" w:type="dxa"/>
          </w:tcPr>
          <w:p w14:paraId="6DA3F14A" w14:textId="77777777" w:rsidR="00597401" w:rsidRDefault="00597401">
            <w:pPr>
              <w:tabs>
                <w:tab w:val="left" w:pos="426"/>
              </w:tabs>
              <w:spacing w:after="120" w:line="276" w:lineRule="auto"/>
              <w:jc w:val="both"/>
              <w:rPr>
                <w:rFonts w:ascii="Verdana" w:eastAsia="Calibri" w:hAnsi="Verdana" w:cs="Arial"/>
                <w:bCs/>
                <w:color w:val="000000" w:themeColor="text1"/>
                <w:lang w:val="es-ES_tradnl"/>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sidRPr="006B4AB3">
              <w:rPr>
                <w:rFonts w:ascii="Verdana" w:eastAsia="Arial" w:hAnsi="Verdana" w:cs="Arial"/>
                <w:lang w:val="es-MX" w:eastAsia="es-ES" w:bidi="es-ES"/>
              </w:rPr>
              <w:t>dentro de los límites previstos en el literal j) del artículo 164.2 de la Ley 1437 de 2011,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w:t>
            </w:r>
          </w:p>
          <w:p w14:paraId="5CF7F399" w14:textId="77777777" w:rsidR="00E23FEE" w:rsidRDefault="00597401">
            <w:pPr>
              <w:pStyle w:val="NormalWeb"/>
              <w:spacing w:before="120" w:beforeAutospacing="0" w:after="120" w:afterAutospacing="0" w:line="276" w:lineRule="auto"/>
              <w:ind w:firstLine="709"/>
              <w:jc w:val="both"/>
              <w:rPr>
                <w:rFonts w:ascii="Verdana" w:eastAsia="Calibri" w:hAnsi="Verdana" w:cs="Arial"/>
                <w:bCs/>
                <w:color w:val="000000" w:themeColor="text1"/>
                <w:sz w:val="22"/>
                <w:lang w:val="es-ES_tradnl"/>
              </w:rPr>
            </w:pPr>
            <w:r w:rsidRPr="00CE60B9">
              <w:rPr>
                <w:rFonts w:ascii="Verdana" w:eastAsia="Calibri" w:hAnsi="Verdana" w:cs="Arial"/>
                <w:bCs/>
                <w:color w:val="000000" w:themeColor="text1"/>
                <w:sz w:val="22"/>
                <w:lang w:val="es-ES"/>
              </w:rPr>
              <w:t xml:space="preserve">Si </w:t>
            </w:r>
            <w:r>
              <w:rPr>
                <w:rFonts w:ascii="Verdana" w:eastAsia="Calibri" w:hAnsi="Verdana" w:cs="Arial"/>
                <w:bCs/>
                <w:color w:val="000000" w:themeColor="text1"/>
                <w:sz w:val="22"/>
                <w:lang w:val="es-ES"/>
              </w:rPr>
              <w:t>no ha caducado el medio de control de controversias contractuales, es posible modificar</w:t>
            </w:r>
            <w:r w:rsidRPr="00CE60B9">
              <w:rPr>
                <w:rFonts w:ascii="Verdana" w:eastAsia="Calibri" w:hAnsi="Verdana" w:cs="Arial"/>
                <w:bCs/>
                <w:color w:val="000000" w:themeColor="text1"/>
                <w:sz w:val="22"/>
                <w:lang w:val="es-ES"/>
              </w:rPr>
              <w:t xml:space="preserve"> la liquidación bilateral siempre que exista mutuo acuerdo entre las partes que la suscribieron. Si la liquidación se realizó unilateralmente, las modificaciones pueden provenir de la necesidad de corregir errores simplemente formales en los términos del artículo 45 de la Ley 1437 de 2011, aplicable por remisión del inciso 1 del artículo 77 de la Ley 80 de 1993. Por lo demás, el inciso segundo de la norma precitada también dispone que “Los actos administrativos que se produzcan con motivo u ocasión de la actividad contractual sólo serán susceptibles de recurso de reposición […]”. Dicho medio de impugnación tiene como objetivo que, quien expidió la decisión, la aclare, modifique, adicione o revoque –art. 74.1 del CPACA–. Siempre que la interposición del recurso sea oportuna conforme al artículo 76 de la Ley 1437 de 2011, la entidad podrá modificar o adicionar el acta de liquidación en congruencia con los argumentos del recurrente y bajo el principio de </w:t>
            </w:r>
            <w:r w:rsidRPr="00CE60B9">
              <w:rPr>
                <w:rFonts w:ascii="Verdana" w:eastAsia="Calibri" w:hAnsi="Verdana" w:cs="Arial"/>
                <w:bCs/>
                <w:i/>
                <w:iCs/>
                <w:color w:val="000000" w:themeColor="text1"/>
                <w:sz w:val="22"/>
                <w:lang w:val="es-ES"/>
              </w:rPr>
              <w:t xml:space="preserve">non </w:t>
            </w:r>
            <w:proofErr w:type="spellStart"/>
            <w:r w:rsidRPr="00CE60B9">
              <w:rPr>
                <w:rFonts w:ascii="Verdana" w:eastAsia="Calibri" w:hAnsi="Verdana" w:cs="Arial"/>
                <w:bCs/>
                <w:i/>
                <w:iCs/>
                <w:color w:val="000000" w:themeColor="text1"/>
                <w:sz w:val="22"/>
                <w:lang w:val="es-ES"/>
              </w:rPr>
              <w:t>reformatio</w:t>
            </w:r>
            <w:proofErr w:type="spellEnd"/>
            <w:r w:rsidRPr="00CE60B9">
              <w:rPr>
                <w:rFonts w:ascii="Verdana" w:eastAsia="Calibri" w:hAnsi="Verdana" w:cs="Arial"/>
                <w:bCs/>
                <w:i/>
                <w:iCs/>
                <w:color w:val="000000" w:themeColor="text1"/>
                <w:sz w:val="22"/>
                <w:lang w:val="es-ES"/>
              </w:rPr>
              <w:t xml:space="preserve"> in </w:t>
            </w:r>
            <w:proofErr w:type="spellStart"/>
            <w:r w:rsidRPr="00CE60B9">
              <w:rPr>
                <w:rFonts w:ascii="Verdana" w:eastAsia="Calibri" w:hAnsi="Verdana" w:cs="Arial"/>
                <w:bCs/>
                <w:i/>
                <w:iCs/>
                <w:color w:val="000000" w:themeColor="text1"/>
                <w:sz w:val="22"/>
                <w:lang w:val="es-ES"/>
              </w:rPr>
              <w:t>pejus</w:t>
            </w:r>
            <w:proofErr w:type="spellEnd"/>
            <w:r w:rsidRPr="00CE60B9">
              <w:rPr>
                <w:rFonts w:ascii="Verdana" w:eastAsia="Calibri" w:hAnsi="Verdana" w:cs="Arial"/>
                <w:bCs/>
                <w:color w:val="000000" w:themeColor="text1"/>
                <w:sz w:val="22"/>
                <w:lang w:val="es-ES"/>
              </w:rPr>
              <w:t>.</w:t>
            </w:r>
            <w:r>
              <w:rPr>
                <w:rFonts w:ascii="Verdana" w:eastAsia="Calibri" w:hAnsi="Verdana" w:cs="Arial"/>
                <w:bCs/>
                <w:color w:val="000000" w:themeColor="text1"/>
                <w:sz w:val="22"/>
                <w:lang w:val="es-ES_tradnl"/>
              </w:rPr>
              <w:t xml:space="preserve"> </w:t>
            </w:r>
          </w:p>
          <w:p w14:paraId="456CA73B" w14:textId="4058C480" w:rsidR="00597401" w:rsidRPr="00502997" w:rsidRDefault="006D0512">
            <w:pPr>
              <w:pStyle w:val="NormalWeb"/>
              <w:spacing w:before="120" w:beforeAutospacing="0" w:after="120" w:afterAutospacing="0" w:line="276" w:lineRule="auto"/>
              <w:ind w:firstLine="709"/>
              <w:jc w:val="both"/>
              <w:rPr>
                <w:rFonts w:ascii="Verdana" w:eastAsia="Calibri" w:hAnsi="Verdana" w:cs="Arial"/>
                <w:bCs/>
                <w:color w:val="000000" w:themeColor="text1"/>
                <w:sz w:val="22"/>
                <w:lang w:val="es-ES_tradnl"/>
              </w:rPr>
            </w:pPr>
            <w:r w:rsidRPr="00AD3260">
              <w:rPr>
                <w:rFonts w:ascii="Verdana" w:eastAsia="Calibri" w:hAnsi="Verdana" w:cs="Arial"/>
                <w:color w:val="000000" w:themeColor="text1"/>
                <w:sz w:val="22"/>
                <w:lang w:val="es-ES_tradnl"/>
              </w:rPr>
              <w:lastRenderedPageBreak/>
              <w:t xml:space="preserve">En todo caso, </w:t>
            </w:r>
            <w:r w:rsidR="00AB5251" w:rsidRPr="00AD3260">
              <w:rPr>
                <w:rFonts w:ascii="Verdana" w:eastAsia="Calibri" w:hAnsi="Verdana" w:cs="Arial"/>
                <w:color w:val="000000" w:themeColor="text1"/>
                <w:sz w:val="22"/>
                <w:lang w:val="es-ES_tradnl"/>
              </w:rPr>
              <w:t xml:space="preserve">al margen de la existencia </w:t>
            </w:r>
            <w:r w:rsidR="00083CD5" w:rsidRPr="00AD3260">
              <w:rPr>
                <w:rFonts w:ascii="Verdana" w:eastAsia="Calibri" w:hAnsi="Verdana" w:cs="Arial"/>
                <w:color w:val="000000" w:themeColor="text1"/>
                <w:sz w:val="22"/>
                <w:lang w:val="es-ES_tradnl"/>
              </w:rPr>
              <w:t xml:space="preserve">o no de causales eximentes de responsabilidad, </w:t>
            </w:r>
            <w:r w:rsidRPr="00AD3260">
              <w:rPr>
                <w:rFonts w:ascii="Verdana" w:eastAsia="Calibri" w:hAnsi="Verdana" w:cs="Arial"/>
                <w:color w:val="000000" w:themeColor="text1"/>
                <w:sz w:val="22"/>
                <w:lang w:val="es-ES_tradnl"/>
              </w:rPr>
              <w:t xml:space="preserve">caducado el medio de control de </w:t>
            </w:r>
            <w:r w:rsidR="00B50811" w:rsidRPr="00AD3260">
              <w:rPr>
                <w:rFonts w:ascii="Verdana" w:eastAsia="Calibri" w:hAnsi="Verdana" w:cs="Arial"/>
                <w:color w:val="000000" w:themeColor="text1"/>
                <w:sz w:val="22"/>
                <w:lang w:val="es-ES_tradnl"/>
              </w:rPr>
              <w:t xml:space="preserve">controversias contractuales </w:t>
            </w:r>
            <w:r w:rsidR="00CC29C7" w:rsidRPr="00AD3260">
              <w:rPr>
                <w:rFonts w:ascii="Verdana" w:eastAsia="Calibri" w:hAnsi="Verdana" w:cs="Arial"/>
                <w:color w:val="000000" w:themeColor="text1"/>
                <w:sz w:val="22"/>
                <w:lang w:val="es-ES_tradnl"/>
              </w:rPr>
              <w:t xml:space="preserve">precluye </w:t>
            </w:r>
            <w:r w:rsidR="00C36FD7" w:rsidRPr="00AD3260">
              <w:rPr>
                <w:rFonts w:ascii="Verdana" w:eastAsia="Calibri" w:hAnsi="Verdana" w:cs="Arial"/>
                <w:color w:val="000000" w:themeColor="text1"/>
                <w:sz w:val="22"/>
                <w:lang w:val="es-ES_tradnl"/>
              </w:rPr>
              <w:t xml:space="preserve">absolutamente </w:t>
            </w:r>
            <w:r w:rsidR="00CC29C7" w:rsidRPr="00AD3260">
              <w:rPr>
                <w:rFonts w:ascii="Verdana" w:eastAsia="Calibri" w:hAnsi="Verdana" w:cs="Arial"/>
                <w:color w:val="000000" w:themeColor="text1"/>
                <w:sz w:val="22"/>
                <w:lang w:val="es-ES_tradnl"/>
              </w:rPr>
              <w:t>la oportunidad</w:t>
            </w:r>
            <w:r w:rsidR="00E075F7" w:rsidRPr="00AD3260">
              <w:rPr>
                <w:rFonts w:ascii="Verdana" w:eastAsia="Calibri" w:hAnsi="Verdana" w:cs="Arial"/>
                <w:color w:val="000000" w:themeColor="text1"/>
                <w:sz w:val="22"/>
                <w:lang w:val="es-ES_tradnl"/>
              </w:rPr>
              <w:t xml:space="preserve"> de modificar</w:t>
            </w:r>
            <w:r w:rsidR="00CC29C7" w:rsidRPr="00AD3260">
              <w:rPr>
                <w:rFonts w:ascii="Verdana" w:eastAsia="Calibri" w:hAnsi="Verdana" w:cs="Arial"/>
                <w:color w:val="000000" w:themeColor="text1"/>
                <w:sz w:val="22"/>
                <w:lang w:val="es-ES_tradnl"/>
              </w:rPr>
              <w:t xml:space="preserve"> las liquidaciones previamente realizadas</w:t>
            </w:r>
            <w:r w:rsidR="00146FA1" w:rsidRPr="00AD3260">
              <w:rPr>
                <w:rFonts w:ascii="Verdana" w:eastAsia="Calibri" w:hAnsi="Verdana" w:cs="Arial"/>
                <w:color w:val="000000" w:themeColor="text1"/>
                <w:sz w:val="22"/>
                <w:lang w:val="es-ES_tradnl"/>
              </w:rPr>
              <w:t xml:space="preserve">. </w:t>
            </w:r>
            <w:r w:rsidR="007C133B" w:rsidRPr="00AD3260">
              <w:rPr>
                <w:rFonts w:ascii="Verdana" w:eastAsia="Calibri" w:hAnsi="Verdana" w:cs="Arial"/>
                <w:color w:val="000000" w:themeColor="text1"/>
                <w:sz w:val="22"/>
                <w:lang w:val="es-ES_tradnl"/>
              </w:rPr>
              <w:t>Lo anterior, sin perjuicio de que subsistan los pactos alcanzados</w:t>
            </w:r>
            <w:r w:rsidR="00F54243" w:rsidRPr="00AD3260">
              <w:rPr>
                <w:rFonts w:ascii="Verdana" w:eastAsia="Calibri" w:hAnsi="Verdana" w:cs="Arial"/>
                <w:color w:val="000000" w:themeColor="text1"/>
                <w:sz w:val="22"/>
                <w:lang w:val="es-ES_tradnl"/>
              </w:rPr>
              <w:t xml:space="preserve"> –liquidación bilateral–</w:t>
            </w:r>
            <w:r w:rsidR="00FC5DB2" w:rsidRPr="00AD3260">
              <w:rPr>
                <w:rFonts w:ascii="Verdana" w:eastAsia="Calibri" w:hAnsi="Verdana" w:cs="Arial"/>
                <w:color w:val="000000" w:themeColor="text1"/>
                <w:sz w:val="22"/>
                <w:lang w:val="es-ES_tradnl"/>
              </w:rPr>
              <w:t xml:space="preserve"> o las decisiones tomadas –liquidación unilateral– antes del vencimiento de dicho término</w:t>
            </w:r>
            <w:r w:rsidR="00CA1393" w:rsidRPr="00AD3260">
              <w:rPr>
                <w:rFonts w:ascii="Verdana" w:eastAsia="Calibri" w:hAnsi="Verdana" w:cs="Arial"/>
                <w:color w:val="000000" w:themeColor="text1"/>
                <w:sz w:val="22"/>
                <w:lang w:val="es-ES_tradnl"/>
              </w:rPr>
              <w:t xml:space="preserve">, donde se incluyan nuevos plazos o condiciones que </w:t>
            </w:r>
            <w:r w:rsidR="00CB7552" w:rsidRPr="00AD3260">
              <w:rPr>
                <w:rFonts w:ascii="Verdana" w:eastAsia="Calibri" w:hAnsi="Verdana" w:cs="Arial"/>
                <w:color w:val="000000" w:themeColor="text1"/>
                <w:sz w:val="22"/>
                <w:lang w:val="es-ES_tradnl"/>
              </w:rPr>
              <w:t>generen</w:t>
            </w:r>
            <w:r w:rsidR="00CA1393" w:rsidRPr="00AD3260">
              <w:rPr>
                <w:rFonts w:ascii="Verdana" w:eastAsia="Calibri" w:hAnsi="Verdana" w:cs="Arial"/>
                <w:color w:val="000000" w:themeColor="text1"/>
                <w:sz w:val="22"/>
                <w:lang w:val="es-ES_tradnl"/>
              </w:rPr>
              <w:t xml:space="preserve"> obligaciones</w:t>
            </w:r>
            <w:r w:rsidR="0027026A" w:rsidRPr="00AD3260">
              <w:rPr>
                <w:rFonts w:ascii="Verdana" w:eastAsia="Calibri" w:hAnsi="Verdana" w:cs="Arial"/>
                <w:color w:val="000000" w:themeColor="text1"/>
                <w:sz w:val="22"/>
                <w:lang w:val="es-ES_tradnl"/>
              </w:rPr>
              <w:t>.</w:t>
            </w:r>
            <w:r w:rsidR="0027026A">
              <w:rPr>
                <w:rFonts w:ascii="Verdana" w:eastAsia="Calibri" w:hAnsi="Verdana" w:cs="Arial"/>
                <w:bCs/>
                <w:color w:val="000000" w:themeColor="text1"/>
                <w:sz w:val="22"/>
                <w:lang w:val="es-ES_tradnl"/>
              </w:rPr>
              <w:t xml:space="preserve"> </w:t>
            </w:r>
            <w:r w:rsidR="00E075F7">
              <w:rPr>
                <w:rFonts w:ascii="Verdana" w:eastAsia="Calibri" w:hAnsi="Verdana" w:cs="Arial"/>
                <w:bCs/>
                <w:color w:val="000000" w:themeColor="text1"/>
                <w:sz w:val="22"/>
                <w:lang w:val="es-ES_tradnl"/>
              </w:rPr>
              <w:t xml:space="preserve"> </w:t>
            </w:r>
            <w:r w:rsidR="00597401">
              <w:rPr>
                <w:rFonts w:ascii="Verdana" w:eastAsia="Calibri" w:hAnsi="Verdana" w:cs="Arial"/>
                <w:bCs/>
                <w:color w:val="000000" w:themeColor="text1"/>
                <w:sz w:val="22"/>
                <w:lang w:val="es-ES_tradnl"/>
              </w:rPr>
              <w:t xml:space="preserve"> </w:t>
            </w:r>
          </w:p>
          <w:p w14:paraId="74586C4E" w14:textId="77777777" w:rsidR="00597401" w:rsidRPr="001941FD" w:rsidRDefault="00597401" w:rsidP="00982E8B">
            <w:pPr>
              <w:spacing w:after="0" w:line="276" w:lineRule="auto"/>
              <w:ind w:firstLine="737"/>
              <w:jc w:val="both"/>
              <w:rPr>
                <w:rFonts w:ascii="Verdana" w:eastAsia="Calibri" w:hAnsi="Verdana" w:cs="Arial"/>
                <w:bCs/>
                <w:color w:val="000000" w:themeColor="text1"/>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06B3270" w14:textId="77777777" w:rsidR="00597401" w:rsidRPr="00593A5F" w:rsidRDefault="00597401" w:rsidP="00597401">
      <w:pPr>
        <w:tabs>
          <w:tab w:val="left" w:pos="142"/>
          <w:tab w:val="left" w:pos="284"/>
        </w:tabs>
        <w:spacing w:after="0" w:line="276" w:lineRule="auto"/>
        <w:jc w:val="both"/>
        <w:rPr>
          <w:rFonts w:ascii="Verdana" w:eastAsia="Century Gothic" w:hAnsi="Verdana" w:cs="Century Gothic"/>
          <w:b/>
          <w:bCs/>
          <w:lang w:val="es-ES"/>
        </w:rPr>
      </w:pPr>
    </w:p>
    <w:bookmarkEnd w:id="1"/>
    <w:p w14:paraId="3B7AC46F" w14:textId="77777777" w:rsidR="00597401" w:rsidRPr="00593A5F" w:rsidRDefault="00597401" w:rsidP="005974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FCEB6AE" w14:textId="77777777" w:rsidR="00597401" w:rsidRPr="00593A5F" w:rsidRDefault="00597401" w:rsidP="00597401">
      <w:pPr>
        <w:spacing w:after="0" w:line="276" w:lineRule="auto"/>
        <w:jc w:val="both"/>
        <w:rPr>
          <w:rFonts w:ascii="Verdana" w:eastAsia="Calibri" w:hAnsi="Verdana" w:cs="Arial"/>
          <w:color w:val="7030A0"/>
          <w:lang w:val="es-ES"/>
        </w:rPr>
      </w:pPr>
    </w:p>
    <w:p w14:paraId="684321AD" w14:textId="77777777" w:rsidR="00597401" w:rsidRDefault="00597401" w:rsidP="00597401">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26FDC69" w14:textId="77777777" w:rsidR="00597401" w:rsidRPr="00415608" w:rsidRDefault="00597401" w:rsidP="00597401">
      <w:pPr>
        <w:spacing w:after="0" w:line="276" w:lineRule="auto"/>
        <w:jc w:val="both"/>
        <w:rPr>
          <w:rFonts w:ascii="Verdana" w:eastAsia="Calibri" w:hAnsi="Verdana" w:cs="Arial"/>
          <w:lang w:val="es-ES"/>
        </w:rPr>
      </w:pPr>
    </w:p>
    <w:p w14:paraId="48679DEE" w14:textId="77777777" w:rsidR="00597401" w:rsidRPr="00FB5FC4" w:rsidRDefault="00597401" w:rsidP="00597401">
      <w:pPr>
        <w:spacing w:after="0" w:line="276" w:lineRule="auto"/>
        <w:jc w:val="both"/>
        <w:rPr>
          <w:rFonts w:ascii="Verdana" w:eastAsia="Calibri" w:hAnsi="Verdana" w:cs="Arial"/>
          <w:color w:val="000000"/>
          <w:lang w:val="es-ES_tradnl"/>
        </w:rPr>
      </w:pPr>
      <w:r w:rsidRPr="00FB5FC4">
        <w:rPr>
          <w:rFonts w:ascii="Verdana" w:eastAsia="Calibri" w:hAnsi="Verdana" w:cs="Arial"/>
          <w:color w:val="000000"/>
          <w:lang w:val="es-ES_tradnl"/>
        </w:rPr>
        <w:t>La liquidación es el momento en el cual, una vez concluido el contrato estatal, las partes cruzan cuentas respecto de sus obligaciones</w:t>
      </w:r>
      <w:r>
        <w:rPr>
          <w:rFonts w:ascii="Verdana" w:eastAsia="Calibri" w:hAnsi="Verdana" w:cs="Arial"/>
          <w:color w:val="000000"/>
          <w:lang w:val="es-ES_tradnl"/>
        </w:rPr>
        <w:t>.</w:t>
      </w:r>
      <w:r w:rsidRPr="00FB5FC4">
        <w:rPr>
          <w:rFonts w:ascii="Verdana" w:eastAsia="Calibri" w:hAnsi="Verdana" w:cs="Arial"/>
          <w:color w:val="000000"/>
          <w:lang w:val="es-ES_tradnl"/>
        </w:rPr>
        <w:t xml:space="preserve"> </w:t>
      </w:r>
      <w:r>
        <w:rPr>
          <w:rFonts w:ascii="Verdana" w:eastAsia="Calibri" w:hAnsi="Verdana" w:cs="Arial"/>
          <w:color w:val="000000"/>
          <w:lang w:val="es-ES_tradnl"/>
        </w:rPr>
        <w:t>P</w:t>
      </w:r>
      <w:r w:rsidRPr="00FB5FC4">
        <w:rPr>
          <w:rFonts w:ascii="Verdana" w:eastAsia="Calibri" w:hAnsi="Verdana" w:cs="Arial"/>
          <w:color w:val="000000"/>
          <w:lang w:val="es-ES_tradnl"/>
        </w:rPr>
        <w:t xml:space="preserve">or tanto, su objetivo es determinar si pueden declararse a paz y salvo mutuo o si, por el contrario, existen aún obligaciones por cumplir, para acordar la forma en que deben ser </w:t>
      </w:r>
      <w:r>
        <w:rPr>
          <w:rFonts w:ascii="Verdana" w:eastAsia="Calibri" w:hAnsi="Verdana" w:cs="Arial"/>
          <w:color w:val="000000"/>
          <w:lang w:val="es-ES_tradnl"/>
        </w:rPr>
        <w:t>finalizadas</w:t>
      </w:r>
      <w:r w:rsidRPr="00FB5FC4">
        <w:rPr>
          <w:rFonts w:ascii="Verdana" w:eastAsia="Calibri" w:hAnsi="Verdana" w:cs="Arial"/>
          <w:color w:val="000000"/>
          <w:vertAlign w:val="superscript"/>
          <w:lang w:val="es-ES_tradnl"/>
        </w:rPr>
        <w:footnoteReference w:id="1"/>
      </w:r>
      <w:r w:rsidRPr="00FB5FC4">
        <w:rPr>
          <w:rFonts w:ascii="Verdana" w:eastAsia="Calibri" w:hAnsi="Verdana" w:cs="Arial"/>
          <w:color w:val="000000"/>
          <w:lang w:val="es-ES_tradnl"/>
        </w:rPr>
        <w:t>. En armonía con lo anterior, la doctrina ha definido la liquidación de la siguiente manera:</w:t>
      </w:r>
    </w:p>
    <w:p w14:paraId="4A22A1FB" w14:textId="77777777" w:rsidR="00597401" w:rsidRPr="00FB5FC4" w:rsidRDefault="00597401" w:rsidP="00597401">
      <w:pPr>
        <w:spacing w:after="0" w:line="276" w:lineRule="auto"/>
        <w:jc w:val="both"/>
        <w:rPr>
          <w:rFonts w:ascii="Verdana" w:eastAsia="Calibri" w:hAnsi="Verdana" w:cs="Arial"/>
          <w:color w:val="000000"/>
          <w:lang w:val="es-ES_tradnl"/>
        </w:rPr>
      </w:pPr>
    </w:p>
    <w:p w14:paraId="2DACF0F4" w14:textId="77777777" w:rsidR="00597401" w:rsidRPr="00A71E32" w:rsidRDefault="00597401" w:rsidP="00597401">
      <w:pPr>
        <w:spacing w:after="0" w:line="240" w:lineRule="auto"/>
        <w:ind w:left="709" w:right="758"/>
        <w:jc w:val="both"/>
        <w:rPr>
          <w:rFonts w:ascii="Verdana" w:eastAsia="Calibri" w:hAnsi="Verdana" w:cs="Arial"/>
          <w:sz w:val="20"/>
          <w:szCs w:val="20"/>
          <w:lang w:val="es-MX"/>
        </w:rPr>
      </w:pPr>
      <w:r w:rsidRPr="00A71E32">
        <w:rPr>
          <w:rFonts w:ascii="Verdana" w:eastAsia="Calibri" w:hAnsi="Verdana" w:cs="Arial"/>
          <w:i/>
          <w:iCs/>
          <w:color w:val="000000"/>
          <w:sz w:val="20"/>
          <w:szCs w:val="20"/>
          <w:lang w:val="es-ES_tradnl"/>
        </w:rPr>
        <w:t>“</w:t>
      </w:r>
      <w:r w:rsidRPr="00A71E32">
        <w:rPr>
          <w:rFonts w:ascii="Verdana" w:eastAsia="Calibri"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w:t>
      </w:r>
      <w:r w:rsidRPr="00A71E32">
        <w:rPr>
          <w:rFonts w:ascii="Verdana" w:eastAsia="Calibri" w:hAnsi="Verdana" w:cs="Arial"/>
          <w:sz w:val="20"/>
          <w:szCs w:val="20"/>
          <w:lang w:val="es-MX"/>
        </w:rPr>
        <w:lastRenderedPageBreak/>
        <w:t>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A71E32">
        <w:rPr>
          <w:rFonts w:ascii="Verdana" w:eastAsia="Calibri" w:hAnsi="Verdana" w:cs="Arial"/>
          <w:sz w:val="20"/>
          <w:szCs w:val="20"/>
          <w:vertAlign w:val="superscript"/>
          <w:lang w:val="es-MX"/>
        </w:rPr>
        <w:footnoteReference w:id="2"/>
      </w:r>
      <w:r w:rsidRPr="00A71E32">
        <w:rPr>
          <w:rFonts w:ascii="Verdana" w:eastAsia="Calibri" w:hAnsi="Verdana" w:cs="Arial"/>
          <w:sz w:val="20"/>
          <w:szCs w:val="20"/>
          <w:lang w:val="es-MX"/>
        </w:rPr>
        <w:t>.</w:t>
      </w:r>
    </w:p>
    <w:p w14:paraId="5EA48127" w14:textId="77777777" w:rsidR="00597401" w:rsidRPr="00FB5FC4" w:rsidRDefault="00597401" w:rsidP="00597401">
      <w:pPr>
        <w:spacing w:after="0" w:line="276" w:lineRule="auto"/>
        <w:jc w:val="both"/>
        <w:rPr>
          <w:rFonts w:ascii="Verdana" w:eastAsia="Calibri" w:hAnsi="Verdana" w:cs="Arial"/>
          <w:color w:val="000000"/>
          <w:lang w:val="es-ES_tradnl"/>
        </w:rPr>
      </w:pPr>
    </w:p>
    <w:p w14:paraId="67FB9E11" w14:textId="77777777" w:rsidR="00597401" w:rsidRPr="00FB5FC4" w:rsidRDefault="00597401" w:rsidP="00597401">
      <w:pPr>
        <w:spacing w:after="120" w:line="276" w:lineRule="auto"/>
        <w:ind w:firstLine="709"/>
        <w:jc w:val="both"/>
        <w:rPr>
          <w:rFonts w:ascii="Verdana" w:eastAsia="Times New Roman" w:hAnsi="Verdana" w:cs="Arial"/>
          <w:color w:val="000000"/>
          <w:sz w:val="21"/>
          <w:szCs w:val="21"/>
          <w:lang w:val="es-ES_tradnl" w:eastAsia="es-ES_tradnl"/>
        </w:rPr>
      </w:pP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egún la jurisprudencia, la liquidación es el ajuste de cuentas donde las partes hacen un balance económico, técnico y jurídico del cumplimiento de las obligaciones que tienen a su cargo. Así lo manifestó el Consejo de Estado en la </w:t>
      </w: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entencia del 20 de octubre de 2014, en la que consideró, por un lado, que </w:t>
      </w:r>
      <w:r w:rsidRPr="00FB5FC4">
        <w:rPr>
          <w:rFonts w:ascii="Verdana" w:eastAsia="Times New Roman" w:hAnsi="Verdana" w:cs="Arial"/>
          <w:i/>
          <w:iCs/>
          <w:color w:val="000000"/>
          <w:szCs w:val="24"/>
          <w:lang w:val="es-ES_tradnl" w:eastAsia="es-ES_tradnl"/>
        </w:rPr>
        <w:t>liquidar</w:t>
      </w:r>
      <w:r w:rsidRPr="00FB5FC4">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FB5FC4">
        <w:rPr>
          <w:rFonts w:ascii="Verdana" w:eastAsia="Times New Roman" w:hAnsi="Verdana" w:cs="Arial"/>
          <w:i/>
          <w:iCs/>
          <w:color w:val="000000"/>
          <w:szCs w:val="24"/>
          <w:lang w:val="es-ES_tradnl" w:eastAsia="es-ES_tradnl"/>
        </w:rPr>
        <w:t>liquidación</w:t>
      </w:r>
      <w:r w:rsidRPr="00FB5FC4">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FB5FC4">
        <w:rPr>
          <w:rFonts w:ascii="Verdana" w:eastAsia="Times New Roman" w:hAnsi="Verdana" w:cs="Arial"/>
          <w:color w:val="000000"/>
          <w:szCs w:val="24"/>
          <w:vertAlign w:val="superscript"/>
          <w:lang w:val="es-ES_tradnl" w:eastAsia="es-ES_tradnl"/>
        </w:rPr>
        <w:footnoteReference w:id="3"/>
      </w:r>
      <w:r w:rsidRPr="00FB5FC4">
        <w:rPr>
          <w:rFonts w:ascii="Verdana" w:eastAsia="Times New Roman" w:hAnsi="Verdana" w:cs="Arial"/>
          <w:color w:val="000000"/>
          <w:szCs w:val="24"/>
          <w:lang w:val="es-ES_tradnl" w:eastAsia="es-ES_tradnl"/>
        </w:rPr>
        <w:t xml:space="preserve">. </w:t>
      </w:r>
    </w:p>
    <w:p w14:paraId="3AEBD768" w14:textId="77777777" w:rsidR="00597401" w:rsidRPr="00FB5FC4" w:rsidRDefault="00597401" w:rsidP="00597401">
      <w:pPr>
        <w:spacing w:after="0" w:line="276" w:lineRule="auto"/>
        <w:ind w:firstLine="709"/>
        <w:jc w:val="both"/>
        <w:rPr>
          <w:rFonts w:ascii="Verdana" w:eastAsia="Calibri" w:hAnsi="Verdana" w:cs="Arial"/>
          <w:color w:val="000000"/>
          <w:lang w:val="es-ES_tradnl"/>
        </w:rPr>
      </w:pPr>
      <w:r w:rsidRPr="00570C1A">
        <w:rPr>
          <w:rFonts w:ascii="Verdana" w:eastAsia="Calibri" w:hAnsi="Verdana" w:cs="Arial"/>
          <w:i/>
          <w:iCs/>
          <w:color w:val="000000"/>
          <w:lang w:val="es-ES_tradnl"/>
        </w:rPr>
        <w:t>Para las entidades sometidas al EGCAP</w:t>
      </w:r>
      <w:r>
        <w:rPr>
          <w:rFonts w:ascii="Verdana" w:eastAsia="Calibri" w:hAnsi="Verdana" w:cs="Arial"/>
          <w:color w:val="000000"/>
          <w:lang w:val="es-ES_tradnl"/>
        </w:rPr>
        <w:t>, l</w:t>
      </w:r>
      <w:r w:rsidRPr="00FB5FC4">
        <w:rPr>
          <w:rFonts w:ascii="Verdana" w:eastAsia="Calibri" w:hAnsi="Verdana" w:cs="Arial"/>
          <w:color w:val="000000"/>
          <w:lang w:val="es-ES_tradnl"/>
        </w:rPr>
        <w:t xml:space="preserve">as disposiciones legales que regulan la etapa de liquidación de los contratos estatales son el artículo 60 de la Ley 80 de 1993, modificado por el artículo 217 del Decreto </w:t>
      </w:r>
      <w:r>
        <w:rPr>
          <w:rFonts w:ascii="Verdana" w:eastAsia="Calibri" w:hAnsi="Verdana" w:cs="Arial"/>
          <w:color w:val="000000"/>
          <w:lang w:val="es-ES_tradnl"/>
        </w:rPr>
        <w:t xml:space="preserve">Ley </w:t>
      </w:r>
      <w:r w:rsidRPr="00FB5FC4">
        <w:rPr>
          <w:rFonts w:ascii="Verdana" w:eastAsia="Calibri" w:hAnsi="Verdana" w:cs="Arial"/>
          <w:color w:val="000000"/>
          <w:lang w:val="es-ES_tradnl"/>
        </w:rPr>
        <w:t xml:space="preserve">019 de 2012, y </w:t>
      </w:r>
      <w:r w:rsidRPr="00FB5FC4">
        <w:rPr>
          <w:rFonts w:ascii="Verdana" w:eastAsia="Calibri" w:hAnsi="Verdana" w:cs="Arial"/>
          <w:color w:val="000000"/>
          <w:lang w:val="es-ES_tradnl"/>
        </w:rPr>
        <w:lastRenderedPageBreak/>
        <w:t>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04B37379" w14:textId="77777777" w:rsidR="00597401" w:rsidRPr="00D71733" w:rsidRDefault="00597401" w:rsidP="00597401">
      <w:pPr>
        <w:spacing w:after="0" w:line="276" w:lineRule="auto"/>
        <w:ind w:firstLine="708"/>
        <w:jc w:val="both"/>
        <w:rPr>
          <w:rFonts w:ascii="Verdana" w:eastAsia="Calibri" w:hAnsi="Verdana" w:cs="Arial"/>
          <w:lang w:val="es-ES"/>
        </w:rPr>
      </w:pPr>
    </w:p>
    <w:p w14:paraId="73618F64" w14:textId="77777777" w:rsidR="00597401" w:rsidRPr="00A71E32" w:rsidRDefault="00597401" w:rsidP="00597401">
      <w:pPr>
        <w:spacing w:after="0" w:line="240" w:lineRule="auto"/>
        <w:ind w:left="709" w:right="758"/>
        <w:jc w:val="both"/>
        <w:rPr>
          <w:rFonts w:ascii="Verdana" w:eastAsia="Calibri" w:hAnsi="Verdana" w:cs="Arial"/>
          <w:sz w:val="20"/>
          <w:szCs w:val="20"/>
          <w:lang w:val="es-MX"/>
        </w:rPr>
      </w:pPr>
      <w:r w:rsidRPr="00A71E32">
        <w:rPr>
          <w:rFonts w:ascii="Verdana" w:eastAsia="Calibri" w:hAnsi="Verdana" w:cs="Arial"/>
          <w:sz w:val="20"/>
          <w:szCs w:val="20"/>
          <w:lang w:val="es-ES"/>
        </w:rPr>
        <w:t>“</w:t>
      </w:r>
      <w:r w:rsidRPr="00A71E32">
        <w:rPr>
          <w:rFonts w:ascii="Verdana" w:eastAsia="Calibri" w:hAnsi="Verdana" w:cs="Arial"/>
          <w:sz w:val="20"/>
          <w:szCs w:val="20"/>
          <w:lang w:val="es-MX"/>
        </w:rPr>
        <w:t xml:space="preserve">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w:t>
      </w:r>
      <w:r>
        <w:rPr>
          <w:rFonts w:ascii="Verdana" w:eastAsia="Calibri" w:hAnsi="Verdana" w:cs="Arial"/>
          <w:sz w:val="20"/>
          <w:szCs w:val="20"/>
          <w:lang w:val="es-MX"/>
        </w:rPr>
        <w:t>‘</w:t>
      </w:r>
      <w:r w:rsidRPr="00A71E32">
        <w:rPr>
          <w:rFonts w:ascii="Verdana" w:eastAsia="Calibri" w:hAnsi="Verdana" w:cs="Arial"/>
          <w:sz w:val="20"/>
          <w:szCs w:val="20"/>
          <w:lang w:val="es-MX"/>
        </w:rPr>
        <w:t>los acuerdos, conciliaciones y transacciones a que llegaren las partes para poner fin a las divergencias presentadas y poder declararse a paz y salvo</w:t>
      </w:r>
      <w:r>
        <w:rPr>
          <w:rFonts w:ascii="Verdana" w:eastAsia="Calibri" w:hAnsi="Verdana" w:cs="Arial"/>
          <w:sz w:val="20"/>
          <w:szCs w:val="20"/>
          <w:lang w:val="es-MX"/>
        </w:rPr>
        <w:t>’</w:t>
      </w:r>
      <w:r w:rsidRPr="00A71E32">
        <w:rPr>
          <w:rFonts w:ascii="Verdana" w:eastAsia="Calibri" w:hAnsi="Verdana" w:cs="Arial"/>
          <w:sz w:val="20"/>
          <w:szCs w:val="20"/>
          <w:lang w:val="es-MX"/>
        </w:rPr>
        <w:t>”</w:t>
      </w:r>
      <w:r w:rsidRPr="00A71E32">
        <w:rPr>
          <w:rFonts w:ascii="Verdana" w:eastAsia="Calibri" w:hAnsi="Verdana" w:cs="Arial"/>
          <w:sz w:val="20"/>
          <w:szCs w:val="20"/>
          <w:vertAlign w:val="superscript"/>
          <w:lang w:val="es-MX"/>
        </w:rPr>
        <w:footnoteReference w:id="4"/>
      </w:r>
      <w:r w:rsidRPr="00A71E32">
        <w:rPr>
          <w:rFonts w:ascii="Verdana" w:eastAsia="Calibri" w:hAnsi="Verdana" w:cs="Arial"/>
          <w:sz w:val="20"/>
          <w:szCs w:val="20"/>
          <w:lang w:val="es-MX"/>
        </w:rPr>
        <w:t>.</w:t>
      </w:r>
    </w:p>
    <w:p w14:paraId="00C6F681" w14:textId="77777777" w:rsidR="00597401" w:rsidRPr="00D71733" w:rsidRDefault="00597401" w:rsidP="00597401">
      <w:pPr>
        <w:spacing w:after="0" w:line="276" w:lineRule="auto"/>
        <w:ind w:left="709" w:right="758"/>
        <w:jc w:val="both"/>
        <w:rPr>
          <w:rFonts w:ascii="Verdana" w:eastAsia="Calibri" w:hAnsi="Verdana" w:cs="Arial"/>
          <w:lang w:val="es-ES"/>
        </w:rPr>
      </w:pPr>
    </w:p>
    <w:p w14:paraId="6BEB5A0C" w14:textId="77777777" w:rsidR="00597401" w:rsidRPr="00FB5FC4" w:rsidRDefault="00597401" w:rsidP="00597401">
      <w:pPr>
        <w:spacing w:after="120" w:line="276" w:lineRule="auto"/>
        <w:ind w:firstLine="708"/>
        <w:jc w:val="both"/>
        <w:rPr>
          <w:rFonts w:ascii="Verdana" w:eastAsia="Calibri" w:hAnsi="Verdana" w:cs="Arial"/>
          <w:color w:val="000000"/>
          <w:lang w:val="es-ES_tradnl"/>
        </w:rPr>
      </w:pPr>
      <w:r w:rsidRPr="00FB5FC4">
        <w:rPr>
          <w:rFonts w:ascii="Verdana" w:eastAsia="Calibri" w:hAnsi="Verdana" w:cs="Arial"/>
          <w:color w:val="000000"/>
          <w:lang w:val="es-ES_tradnl"/>
        </w:rPr>
        <w:t>Así las cosas, de acuerdo con el artículo 60 de la Ley 80 de 1993, los contratos de tracto sucesivo, aquellos cuyo cumplimiento o ejecución se prolongue en el tiempo y los demás que lo requieran “</w:t>
      </w:r>
      <w:r w:rsidRPr="00D71733">
        <w:rPr>
          <w:rFonts w:ascii="Verdana" w:eastAsia="Calibri" w:hAnsi="Verdana" w:cs="Arial"/>
          <w:color w:val="000000"/>
          <w:lang w:val="es-ES_tradnl"/>
        </w:rPr>
        <w:t>serán objeto de liquidación</w:t>
      </w:r>
      <w:r w:rsidRPr="00FB5FC4">
        <w:rPr>
          <w:rFonts w:ascii="Verdana" w:eastAsia="Calibri" w:hAnsi="Verdana" w:cs="Arial"/>
          <w:color w:val="000000"/>
          <w:lang w:val="es-ES_tradnl"/>
        </w:rPr>
        <w:t>”.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FB5FC4">
        <w:rPr>
          <w:rFonts w:ascii="Verdana" w:eastAsia="Calibri" w:hAnsi="Verdana" w:cs="Arial"/>
          <w:color w:val="000000"/>
          <w:vertAlign w:val="superscript"/>
          <w:lang w:val="es-ES_tradnl"/>
        </w:rPr>
        <w:footnoteReference w:id="5"/>
      </w:r>
      <w:r w:rsidRPr="00FB5FC4">
        <w:rPr>
          <w:rFonts w:ascii="Verdana" w:eastAsia="Calibri" w:hAnsi="Verdana" w:cs="Arial"/>
          <w:color w:val="000000"/>
          <w:lang w:val="es-ES_tradnl"/>
        </w:rPr>
        <w:t xml:space="preserve">, así como la probabilidad de que puedan surgir diferencias durante la ejecución del contrato; sin perjuicio de que, como se indicó, todos los contratos estatales de </w:t>
      </w:r>
      <w:r w:rsidRPr="00FB5FC4">
        <w:rPr>
          <w:rFonts w:ascii="Verdana" w:eastAsia="Calibri" w:hAnsi="Verdana" w:cs="Arial"/>
          <w:i/>
          <w:iCs/>
          <w:color w:val="000000"/>
          <w:lang w:val="es-ES_tradnl"/>
        </w:rPr>
        <w:t>tracto sucesivo</w:t>
      </w:r>
      <w:r w:rsidRPr="00FB5FC4">
        <w:rPr>
          <w:rFonts w:ascii="Verdana" w:eastAsia="Calibri" w:hAnsi="Verdana" w:cs="Arial"/>
          <w:color w:val="000000"/>
          <w:lang w:val="es-ES_tradnl"/>
        </w:rPr>
        <w:t xml:space="preserve"> o aquellos cuya ejecución se prolongue en el tiempo siempre deban liquidarse, convirtiéndose en estos contratos en una cláusula de la naturaleza, conforme a la clasificación prevista en el Código Civil.</w:t>
      </w:r>
    </w:p>
    <w:p w14:paraId="3EEA7E7D" w14:textId="77777777" w:rsidR="00597401" w:rsidRPr="00FB5FC4" w:rsidRDefault="00597401" w:rsidP="00597401">
      <w:pPr>
        <w:spacing w:after="120" w:line="276" w:lineRule="auto"/>
        <w:ind w:firstLine="708"/>
        <w:jc w:val="both"/>
        <w:rPr>
          <w:rFonts w:ascii="Verdana" w:eastAsia="Calibri" w:hAnsi="Verdana" w:cs="Arial"/>
          <w:color w:val="000000"/>
          <w:lang w:val="es-ES"/>
        </w:rPr>
      </w:pPr>
      <w:r w:rsidRPr="45A9DD81">
        <w:rPr>
          <w:rFonts w:ascii="Verdana" w:eastAsia="Calibri" w:hAnsi="Verdana" w:cs="Arial"/>
          <w:color w:val="000000"/>
          <w:lang w:val="es-ES"/>
        </w:rPr>
        <w:t>Por su parte, el artículo 11 de la Ley 1150 de 2007 contiene las reglas de tipo procedimental para liquidar los contratos estatales, las cuales se pasan a explicar</w:t>
      </w:r>
      <w:r w:rsidRPr="45A9DD81">
        <w:rPr>
          <w:rFonts w:ascii="Verdana" w:eastAsia="Calibri" w:hAnsi="Verdana" w:cs="Arial"/>
          <w:color w:val="000000"/>
          <w:vertAlign w:val="superscript"/>
          <w:lang w:val="es-ES"/>
        </w:rPr>
        <w:footnoteReference w:id="6"/>
      </w:r>
      <w:r w:rsidRPr="45A9DD81">
        <w:rPr>
          <w:rFonts w:ascii="Verdana" w:eastAsia="Calibri" w:hAnsi="Verdana" w:cs="Arial"/>
          <w:color w:val="000000"/>
          <w:lang w:val="es-ES"/>
        </w:rPr>
        <w:t xml:space="preserve">. En primer lugar, en ejercicio de la autonomía de la voluntad y de </w:t>
      </w:r>
      <w:r w:rsidRPr="45A9DD81">
        <w:rPr>
          <w:rFonts w:ascii="Verdana" w:eastAsia="Calibri" w:hAnsi="Verdana" w:cs="Arial"/>
          <w:color w:val="000000"/>
          <w:lang w:val="es-ES"/>
        </w:rPr>
        <w:lastRenderedPageBreak/>
        <w:t xml:space="preserve">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w:t>
      </w:r>
      <w:proofErr w:type="spellStart"/>
      <w:r w:rsidRPr="45A9DD81">
        <w:rPr>
          <w:rFonts w:ascii="Verdana" w:eastAsia="Calibri" w:hAnsi="Verdana" w:cs="Arial"/>
          <w:color w:val="000000"/>
          <w:lang w:val="es-ES"/>
        </w:rPr>
        <w:t>ii</w:t>
      </w:r>
      <w:proofErr w:type="spellEnd"/>
      <w:r w:rsidRPr="45A9DD81">
        <w:rPr>
          <w:rFonts w:ascii="Verdana" w:eastAsia="Calibri" w:hAnsi="Verdana" w:cs="Arial"/>
          <w:color w:val="000000"/>
          <w:lang w:val="es-ES"/>
        </w:rPr>
        <w:t xml:space="preserve">) la expedición del acto administrativo que ordene la terminación del contrato; o, </w:t>
      </w:r>
      <w:proofErr w:type="spellStart"/>
      <w:r w:rsidRPr="45A9DD81">
        <w:rPr>
          <w:rFonts w:ascii="Verdana" w:eastAsia="Calibri" w:hAnsi="Verdana" w:cs="Arial"/>
          <w:color w:val="000000"/>
          <w:lang w:val="es-ES"/>
        </w:rPr>
        <w:t>iii</w:t>
      </w:r>
      <w:proofErr w:type="spellEnd"/>
      <w:r w:rsidRPr="45A9DD81">
        <w:rPr>
          <w:rFonts w:ascii="Verdana" w:eastAsia="Calibri" w:hAnsi="Verdana" w:cs="Arial"/>
          <w:color w:val="000000"/>
          <w:lang w:val="es-ES"/>
        </w:rPr>
        <w:t>) la fecha del acuerdo que disponga la terminación del contrato.</w:t>
      </w:r>
    </w:p>
    <w:p w14:paraId="450357A7" w14:textId="77777777" w:rsidR="00597401" w:rsidRPr="004B5D6E" w:rsidRDefault="00597401" w:rsidP="00597401">
      <w:pPr>
        <w:spacing w:after="120" w:line="276" w:lineRule="auto"/>
        <w:ind w:firstLine="709"/>
        <w:jc w:val="both"/>
        <w:rPr>
          <w:rFonts w:ascii="Verdana" w:eastAsia="Times New Roman" w:hAnsi="Verdana" w:cs="Arial"/>
          <w:lang w:val="es-ES_tradnl" w:eastAsia="es-ES_tradnl"/>
        </w:rPr>
      </w:pPr>
      <w:r w:rsidRPr="00FB5FC4">
        <w:rPr>
          <w:rFonts w:ascii="Verdana" w:eastAsia="Times New Roman" w:hAnsi="Verdana" w:cs="Arial"/>
          <w:szCs w:val="24"/>
          <w:lang w:val="es-ES_tradnl" w:eastAsia="es-ES_tradnl"/>
        </w:rPr>
        <w:t xml:space="preserve">El </w:t>
      </w:r>
      <w:r w:rsidRPr="004B5D6E">
        <w:rPr>
          <w:rFonts w:ascii="Verdana" w:eastAsia="Times New Roman" w:hAnsi="Verdana" w:cs="Arial"/>
          <w:szCs w:val="24"/>
          <w:lang w:val="es-ES_tradnl" w:eastAsia="es-ES_tradnl"/>
        </w:rPr>
        <w:t>artículo 11 de la Ley 1150 de 2007 señala que la liquidación de mutuo acuerdo deberá realizar dentro del plazo previsto en “</w:t>
      </w:r>
      <w:r w:rsidRPr="004B5D6E">
        <w:rPr>
          <w:rFonts w:ascii="Verdana" w:eastAsia="Times New Roman" w:hAnsi="Verdana" w:cs="Arial"/>
          <w:lang w:val="es-ES_tradnl" w:eastAsia="es-ES_tradnl"/>
        </w:rPr>
        <w:t>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w:t>
      </w:r>
      <w:r w:rsidRPr="004B5D6E">
        <w:rPr>
          <w:rFonts w:ascii="Verdana" w:eastAsia="Times New Roman" w:hAnsi="Verdana" w:cs="Arial"/>
          <w:szCs w:val="24"/>
          <w:lang w:val="es-ES_tradnl" w:eastAsia="es-ES_tradnl"/>
        </w:rPr>
        <w:t>materializa los principios de planeación contractual y de trasparencia, comoquiera que su adecuada formulación permite o garantiza la selección objetiva del contratista de acuerdo con los parámetros de calificación correspondientes para cada tipo de procedimiento [y que</w:t>
      </w:r>
      <w:r w:rsidRPr="004B5D6E">
        <w:rPr>
          <w:rFonts w:ascii="Verdana" w:eastAsia="Times New Roman" w:hAnsi="Verdana" w:cs="Arial"/>
          <w:lang w:val="es-ES_tradnl" w:eastAsia="es-ES_tradnl"/>
        </w:rPr>
        <w:t>] constituye la ley tanto del procedimiento administrativo de selección del contratista, como del contrato a</w:t>
      </w:r>
      <w:r w:rsidRPr="004B5D6E">
        <w:rPr>
          <w:rFonts w:ascii="Verdana" w:eastAsia="Times New Roman" w:hAnsi="Verdana" w:cs="Arial"/>
          <w:spacing w:val="-7"/>
          <w:lang w:val="es-ES_tradnl" w:eastAsia="es-ES_tradnl"/>
        </w:rPr>
        <w:t xml:space="preserve"> </w:t>
      </w:r>
      <w:r w:rsidRPr="004B5D6E">
        <w:rPr>
          <w:rFonts w:ascii="Verdana" w:eastAsia="Times New Roman" w:hAnsi="Verdana" w:cs="Arial"/>
          <w:lang w:val="es-ES_tradnl" w:eastAsia="es-ES_tradnl"/>
        </w:rPr>
        <w:t>celebrar”</w:t>
      </w:r>
      <w:r w:rsidRPr="004B5D6E">
        <w:rPr>
          <w:rFonts w:ascii="Verdana" w:eastAsia="Times New Roman" w:hAnsi="Verdana" w:cs="Arial"/>
          <w:vertAlign w:val="superscript"/>
          <w:lang w:val="es-ES_tradnl" w:eastAsia="es-ES_tradnl"/>
        </w:rPr>
        <w:footnoteReference w:id="7"/>
      </w:r>
      <w:r w:rsidRPr="004B5D6E">
        <w:rPr>
          <w:rFonts w:ascii="Verdana" w:eastAsia="Times New Roman" w:hAnsi="Verdana" w:cs="Arial"/>
          <w:lang w:val="es-ES_tradnl" w:eastAsia="es-ES_tradnl"/>
        </w:rPr>
        <w:t>. A partir de tales características debe determinarse la equivalencia de un documento con un pliego de condiciones, la cual se puede ejemplificar claramente con la invitación a participar en los procesos de mínima cuantía</w:t>
      </w:r>
      <w:r w:rsidRPr="004B5D6E">
        <w:rPr>
          <w:rFonts w:ascii="Verdana" w:eastAsia="Times New Roman" w:hAnsi="Verdana" w:cs="Arial"/>
          <w:vertAlign w:val="superscript"/>
          <w:lang w:val="es-ES_tradnl" w:eastAsia="es-ES_tradnl"/>
        </w:rPr>
        <w:footnoteReference w:id="8"/>
      </w:r>
      <w:r w:rsidRPr="004B5D6E">
        <w:rPr>
          <w:rFonts w:ascii="Verdana" w:eastAsia="Times New Roman" w:hAnsi="Verdana" w:cs="Arial"/>
          <w:lang w:val="es-ES_tradnl" w:eastAsia="es-ES_tradnl"/>
        </w:rPr>
        <w:t xml:space="preserve">, documento dentro del cual la </w:t>
      </w:r>
      <w:r w:rsidRPr="004B5D6E">
        <w:rPr>
          <w:rFonts w:ascii="Verdana" w:eastAsia="Times New Roman" w:hAnsi="Verdana" w:cs="Arial"/>
          <w:lang w:val="es-ES_tradnl" w:eastAsia="es-ES_tradnl"/>
        </w:rPr>
        <w:lastRenderedPageBreak/>
        <w:t xml:space="preserve">entidad contratante debe fijar las reglas aplicables al procedimiento de selección, cumpliendo con la función del pliego de condiciones. En tal sentido, es un documento “equivalente” del mismo en los términos del artículo 11 </w:t>
      </w:r>
      <w:r w:rsidRPr="00A71E32">
        <w:rPr>
          <w:rFonts w:ascii="Verdana" w:eastAsia="Times New Roman" w:hAnsi="Verdana" w:cs="Arial"/>
          <w:i/>
          <w:iCs/>
          <w:lang w:val="es-ES_tradnl" w:eastAsia="es-ES_tradnl"/>
        </w:rPr>
        <w:t>ibidem</w:t>
      </w:r>
      <w:r w:rsidRPr="004B5D6E">
        <w:rPr>
          <w:rFonts w:ascii="Verdana" w:eastAsia="Times New Roman" w:hAnsi="Verdana" w:cs="Arial"/>
          <w:lang w:val="es-ES_tradnl" w:eastAsia="es-ES_tradnl"/>
        </w:rPr>
        <w:t xml:space="preserve">, dentro del cual es viable establecer el plazo para la liquidación de mutuo acuerdo. </w:t>
      </w:r>
    </w:p>
    <w:p w14:paraId="2C467E22" w14:textId="77777777" w:rsidR="00597401" w:rsidRPr="00FB5FC4" w:rsidRDefault="00597401" w:rsidP="00597401">
      <w:pPr>
        <w:spacing w:after="120" w:line="276" w:lineRule="auto"/>
        <w:ind w:firstLine="709"/>
        <w:jc w:val="both"/>
        <w:rPr>
          <w:rFonts w:ascii="Verdana" w:eastAsia="Times New Roman" w:hAnsi="Verdana" w:cs="Arial"/>
          <w:lang w:val="es-ES_tradnl" w:eastAsia="es-ES_tradnl"/>
        </w:rPr>
      </w:pPr>
      <w:r w:rsidRPr="00FB5FC4">
        <w:rPr>
          <w:rFonts w:ascii="Verdana" w:eastAsia="Times New Roman" w:hAnsi="Verdana" w:cs="Arial"/>
          <w:lang w:val="es-ES_tradnl" w:eastAsia="es-ES_tradnl"/>
        </w:rPr>
        <w:t>De otra parte, cuando el artículo 11 de la Ley 1150 de 2007 hace referencia al término que “</w:t>
      </w:r>
      <w:r w:rsidRPr="004B5D6E">
        <w:rPr>
          <w:rFonts w:ascii="Verdana" w:eastAsia="Times New Roman" w:hAnsi="Verdana" w:cs="Arial"/>
          <w:lang w:val="es-ES_tradnl" w:eastAsia="es-ES_tradnl"/>
        </w:rPr>
        <w:t>acuerden las partes</w:t>
      </w:r>
      <w:r w:rsidRPr="00FB5FC4">
        <w:rPr>
          <w:rFonts w:ascii="Verdana" w:eastAsia="Times New Roman" w:hAnsi="Verdana" w:cs="Arial"/>
          <w:lang w:val="es-ES_tradnl" w:eastAsia="es-ES_tradnl"/>
        </w:rPr>
        <w:t xml:space="preserve">”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w:t>
      </w:r>
      <w:r>
        <w:rPr>
          <w:rFonts w:ascii="Verdana" w:eastAsia="Times New Roman" w:hAnsi="Verdana" w:cs="Arial"/>
          <w:lang w:val="es-ES_tradnl" w:eastAsia="es-ES_tradnl"/>
        </w:rPr>
        <w:t>implica</w:t>
      </w:r>
      <w:r w:rsidRPr="00FB5FC4">
        <w:rPr>
          <w:rFonts w:ascii="Verdana" w:eastAsia="Times New Roman" w:hAnsi="Verdana" w:cs="Arial"/>
          <w:lang w:val="es-ES_tradnl" w:eastAsia="es-ES_tradnl"/>
        </w:rPr>
        <w:t xml:space="preserve"> una modificación del contrato. Por tal razón, su celebración debe cumplir con los requisitos del negocio jurídico, ameritando la concurrencia de capacidad jurídica de los agentes, un consentimiento libre de vicios, un objeto y causa lícita, así como la </w:t>
      </w:r>
      <w:r>
        <w:rPr>
          <w:rFonts w:ascii="Verdana" w:eastAsia="Times New Roman" w:hAnsi="Verdana" w:cs="Arial"/>
          <w:lang w:val="es-ES_tradnl" w:eastAsia="es-ES_tradnl"/>
        </w:rPr>
        <w:t>formalidad escrita</w:t>
      </w:r>
      <w:r w:rsidRPr="00FB5FC4">
        <w:rPr>
          <w:rFonts w:ascii="Verdana" w:eastAsia="Times New Roman" w:hAnsi="Verdana" w:cs="Arial"/>
          <w:lang w:val="es-ES_tradnl" w:eastAsia="es-ES_tradnl"/>
        </w:rPr>
        <w:t xml:space="preserve"> requerida en materia de contratación estatal</w:t>
      </w:r>
      <w:r w:rsidRPr="00FB5FC4">
        <w:rPr>
          <w:rFonts w:ascii="Verdana" w:eastAsia="Times New Roman" w:hAnsi="Verdana" w:cs="Arial"/>
          <w:vertAlign w:val="superscript"/>
          <w:lang w:val="es-ES_tradnl" w:eastAsia="es-ES_tradnl"/>
        </w:rPr>
        <w:footnoteReference w:id="9"/>
      </w:r>
      <w:r w:rsidRPr="00FB5FC4">
        <w:rPr>
          <w:rFonts w:ascii="Verdana" w:eastAsia="Times New Roman" w:hAnsi="Verdana" w:cs="Arial"/>
          <w:lang w:val="es-ES_tradnl" w:eastAsia="es-ES_tradnl"/>
        </w:rPr>
        <w:t xml:space="preserve">. </w:t>
      </w:r>
    </w:p>
    <w:p w14:paraId="27619760" w14:textId="77777777" w:rsidR="00597401" w:rsidRPr="00FB5FC4" w:rsidRDefault="00597401" w:rsidP="00597401">
      <w:pPr>
        <w:spacing w:after="120" w:line="276" w:lineRule="auto"/>
        <w:ind w:firstLine="709"/>
        <w:jc w:val="both"/>
        <w:rPr>
          <w:rFonts w:ascii="Verdana" w:eastAsia="Calibri" w:hAnsi="Verdana" w:cs="Arial"/>
          <w:lang w:val="es-ES_tradnl"/>
        </w:rPr>
      </w:pPr>
      <w:r w:rsidRPr="00FB5FC4">
        <w:rPr>
          <w:rFonts w:ascii="Verdana" w:eastAsia="Calibri" w:hAnsi="Verdana" w:cs="Arial"/>
          <w:lang w:val="es-ES_tradnl"/>
        </w:rPr>
        <w:t xml:space="preserve">Ahora bien, el término de 4 meses previsto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w:t>
      </w:r>
      <w:r w:rsidRPr="00FB5FC4">
        <w:rPr>
          <w:rFonts w:ascii="Verdana" w:eastAsia="Calibri" w:hAnsi="Verdana" w:cs="Arial"/>
          <w:lang w:val="es-ES_tradnl"/>
        </w:rPr>
        <w:lastRenderedPageBreak/>
        <w:t>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FB5FC4">
        <w:rPr>
          <w:rFonts w:ascii="Verdana" w:eastAsia="Calibri" w:hAnsi="Verdana" w:cs="Arial"/>
          <w:vertAlign w:val="superscript"/>
          <w:lang w:val="es-ES_tradnl"/>
        </w:rPr>
        <w:footnoteReference w:id="10"/>
      </w:r>
      <w:r w:rsidRPr="00FB5FC4">
        <w:rPr>
          <w:rFonts w:ascii="Verdana" w:eastAsia="Calibri" w:hAnsi="Verdana" w:cs="Arial"/>
          <w:lang w:val="es-ES_tradnl"/>
        </w:rPr>
        <w:t>, lo cual implica que las mismas se desarrollen en procura de la economía y la celeridad</w:t>
      </w:r>
      <w:r w:rsidRPr="00FB5FC4">
        <w:rPr>
          <w:rFonts w:ascii="Verdana" w:eastAsia="Calibri" w:hAnsi="Verdana" w:cs="Arial"/>
          <w:vertAlign w:val="superscript"/>
          <w:lang w:val="es-ES_tradnl"/>
        </w:rPr>
        <w:footnoteReference w:id="11"/>
      </w:r>
      <w:r w:rsidRPr="00FB5FC4">
        <w:rPr>
          <w:rFonts w:ascii="Verdana" w:eastAsia="Calibri" w:hAnsi="Verdana" w:cs="Arial"/>
          <w:lang w:val="es-ES_tradnl"/>
        </w:rPr>
        <w:t>. Esto significa que, en ejercicio de la facultad que les asiste para fijar el plazo para la liquidación bilateral, las partes deben actuar en garantía de estos principios, por lo que el término que se acuerde debe fija</w:t>
      </w:r>
      <w:r>
        <w:rPr>
          <w:rFonts w:ascii="Verdana" w:eastAsia="Calibri" w:hAnsi="Verdana" w:cs="Arial"/>
          <w:lang w:val="es-ES_tradnl"/>
        </w:rPr>
        <w:t>rse</w:t>
      </w:r>
      <w:r w:rsidRPr="00FB5FC4">
        <w:rPr>
          <w:rFonts w:ascii="Verdana" w:eastAsia="Calibri" w:hAnsi="Verdana" w:cs="Arial"/>
          <w:lang w:val="es-ES_tradnl"/>
        </w:rPr>
        <w:t xml:space="preserve"> de manera razonable.</w:t>
      </w:r>
    </w:p>
    <w:p w14:paraId="65F8FA1E" w14:textId="77777777" w:rsidR="00597401" w:rsidRPr="00FB5FC4" w:rsidRDefault="00597401" w:rsidP="00597401">
      <w:pPr>
        <w:spacing w:after="120" w:line="276" w:lineRule="auto"/>
        <w:ind w:firstLine="709"/>
        <w:jc w:val="both"/>
        <w:rPr>
          <w:rFonts w:ascii="Verdana" w:eastAsia="Calibri" w:hAnsi="Verdana" w:cs="Arial"/>
          <w:color w:val="000000"/>
          <w:lang w:val="es-ES_tradnl"/>
        </w:rPr>
      </w:pPr>
      <w:r w:rsidRPr="00FB5FC4">
        <w:rPr>
          <w:rFonts w:ascii="Verdana" w:eastAsia="Calibri" w:hAnsi="Verdana" w:cs="Arial"/>
          <w:color w:val="000000"/>
          <w:lang w:val="es-ES_tradn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FB5FC4">
        <w:rPr>
          <w:rFonts w:ascii="Verdana" w:eastAsia="Calibri" w:hAnsi="Verdana" w:cs="Arial"/>
          <w:color w:val="000000"/>
          <w:vertAlign w:val="superscript"/>
          <w:lang w:val="es-ES_tradnl"/>
        </w:rPr>
        <w:footnoteReference w:id="12"/>
      </w:r>
      <w:r w:rsidRPr="00FB5FC4">
        <w:rPr>
          <w:rFonts w:ascii="Verdana" w:eastAsia="Calibri" w:hAnsi="Verdana" w:cs="Arial"/>
          <w:color w:val="000000"/>
          <w:lang w:val="es-ES_tradnl"/>
        </w:rPr>
        <w:t>, de manera que el contrato pueda ser liquidado bilateralmente, bien sea en el plazo previsto en el pliego de condiciones, el acordado por las partes, o el supletivo de cuatro meses señalado en la ley, según corresponda. Esta liquidación bilateral puede ser total o parcial</w:t>
      </w:r>
      <w:r w:rsidRPr="00FB5FC4">
        <w:rPr>
          <w:rFonts w:ascii="Verdana" w:eastAsia="Calibri" w:hAnsi="Verdana" w:cs="Arial"/>
          <w:iCs/>
          <w:color w:val="000000"/>
          <w:vertAlign w:val="superscript"/>
          <w:lang w:val="es-ES_tradnl"/>
        </w:rPr>
        <w:footnoteReference w:id="13"/>
      </w:r>
      <w:r w:rsidRPr="00FB5FC4">
        <w:rPr>
          <w:rFonts w:ascii="Verdana" w:eastAsia="Calibri" w:hAnsi="Verdana" w:cs="Arial"/>
          <w:color w:val="000000"/>
          <w:lang w:val="es-ES_tradnl"/>
        </w:rPr>
        <w:t xml:space="preserve">, y </w:t>
      </w:r>
      <w:r w:rsidRPr="00FB5FC4">
        <w:rPr>
          <w:rFonts w:ascii="Verdana" w:eastAsia="Calibri" w:hAnsi="Verdana" w:cs="Arial"/>
          <w:iCs/>
          <w:color w:val="000000"/>
          <w:lang w:val="es-ES_tradnl"/>
        </w:rPr>
        <w:t>el documento que la contiene presta mérito ejecutivo, siempre que se satisfagan los elementos para considerarlo como tal</w:t>
      </w:r>
      <w:r w:rsidRPr="00FB5FC4">
        <w:rPr>
          <w:rFonts w:ascii="Verdana" w:eastAsia="Calibri" w:hAnsi="Verdana" w:cs="Arial"/>
          <w:color w:val="000000"/>
          <w:lang w:val="es-ES_tradnl"/>
        </w:rPr>
        <w:t>.</w:t>
      </w:r>
    </w:p>
    <w:p w14:paraId="1BA02C3D" w14:textId="77777777" w:rsidR="00597401" w:rsidRPr="00FB5FC4" w:rsidRDefault="00597401" w:rsidP="00597401">
      <w:pPr>
        <w:spacing w:after="0" w:line="276" w:lineRule="auto"/>
        <w:ind w:firstLine="705"/>
        <w:jc w:val="both"/>
        <w:rPr>
          <w:rFonts w:ascii="Verdana" w:eastAsia="Times New Roman" w:hAnsi="Verdana" w:cs="Arial"/>
          <w:color w:val="000000"/>
          <w:lang w:eastAsia="es-ES_tradnl"/>
        </w:rPr>
      </w:pPr>
      <w:r w:rsidRPr="00FB5FC4">
        <w:rPr>
          <w:rFonts w:ascii="Verdana" w:eastAsia="Times New Roman" w:hAnsi="Verdana" w:cs="Arial"/>
          <w:color w:val="000000"/>
          <w:bdr w:val="none" w:sz="0" w:space="0" w:color="auto" w:frame="1"/>
          <w:shd w:val="clear" w:color="auto" w:fill="FFFFFF"/>
          <w:lang w:val="es-ES" w:eastAsia="es-ES_tradnl"/>
        </w:rPr>
        <w:t xml:space="preserve">Si no es posible efectuar la liquidación de manera bilateral, el ordenamiento jurídico prevé una facultad, de carácter subsidiario, para que la Entidad Estatal realice la liquidación unilateralmente. En relación con este aspecto, la </w:t>
      </w:r>
      <w:r w:rsidRPr="00FB5FC4">
        <w:rPr>
          <w:rFonts w:ascii="Verdana" w:eastAsia="Times New Roman" w:hAnsi="Verdana" w:cs="Arial"/>
          <w:color w:val="000000"/>
          <w:bdr w:val="none" w:sz="0" w:space="0" w:color="auto" w:frame="1"/>
          <w:shd w:val="clear" w:color="auto" w:fill="FFFFFF"/>
          <w:lang w:val="es-MX" w:eastAsia="es-ES_tradnl"/>
        </w:rPr>
        <w:t xml:space="preserve">Sala de Consulta y Servicio Civil del </w:t>
      </w:r>
      <w:r w:rsidRPr="00FB5FC4">
        <w:rPr>
          <w:rFonts w:ascii="Verdana" w:eastAsia="Times New Roman" w:hAnsi="Verdana" w:cs="Arial"/>
          <w:color w:val="000000"/>
          <w:bdr w:val="none" w:sz="0" w:space="0" w:color="auto" w:frame="1"/>
          <w:shd w:val="clear" w:color="auto" w:fill="FFFFFF"/>
          <w:lang w:val="es-ES" w:eastAsia="es-ES_tradnl"/>
        </w:rPr>
        <w:t>Consejo de Estado</w:t>
      </w:r>
      <w:r w:rsidRPr="00FB5FC4">
        <w:rPr>
          <w:rFonts w:ascii="Verdana" w:eastAsia="Times New Roman" w:hAnsi="Verdana" w:cs="Arial"/>
          <w:color w:val="000000"/>
          <w:bdr w:val="none" w:sz="0" w:space="0" w:color="auto" w:frame="1"/>
          <w:shd w:val="clear" w:color="auto" w:fill="FFFFFF"/>
          <w:lang w:val="es-MX" w:eastAsia="es-ES_tradnl"/>
        </w:rPr>
        <w:t>, en concepto del 28 de junio de 2016, manifestó que:  </w:t>
      </w:r>
    </w:p>
    <w:p w14:paraId="6ACDE3BE" w14:textId="77777777" w:rsidR="00597401" w:rsidRPr="00FB5FC4" w:rsidRDefault="00597401" w:rsidP="00597401">
      <w:pPr>
        <w:spacing w:after="0" w:line="276" w:lineRule="auto"/>
        <w:ind w:left="705" w:right="750"/>
        <w:jc w:val="both"/>
        <w:rPr>
          <w:rFonts w:ascii="Verdana" w:eastAsia="Times New Roman" w:hAnsi="Verdana" w:cs="Arial"/>
          <w:color w:val="000000"/>
          <w:lang w:eastAsia="es-ES_tradnl"/>
        </w:rPr>
      </w:pPr>
    </w:p>
    <w:p w14:paraId="77A6EA14" w14:textId="77777777" w:rsidR="00597401" w:rsidRPr="00A71E32" w:rsidRDefault="00597401" w:rsidP="00597401">
      <w:pPr>
        <w:spacing w:after="0" w:line="240" w:lineRule="auto"/>
        <w:ind w:left="705" w:right="750"/>
        <w:jc w:val="both"/>
        <w:rPr>
          <w:rFonts w:ascii="Verdana" w:eastAsia="Times New Roman" w:hAnsi="Verdana" w:cs="Arial"/>
          <w:color w:val="000000"/>
          <w:sz w:val="20"/>
          <w:szCs w:val="20"/>
          <w:lang w:eastAsia="es-ES_tradnl"/>
        </w:rPr>
      </w:pPr>
      <w:r w:rsidRPr="00A71E32">
        <w:rPr>
          <w:rFonts w:ascii="Verdana" w:eastAsia="Times New Roman" w:hAnsi="Verdana" w:cs="Arial"/>
          <w:i/>
          <w:iCs/>
          <w:sz w:val="20"/>
          <w:szCs w:val="20"/>
          <w:lang w:val="es-ES_tradnl" w:eastAsia="es-ES_tradnl"/>
        </w:rPr>
        <w:t>“</w:t>
      </w:r>
      <w:r w:rsidRPr="00A71E32">
        <w:rPr>
          <w:rFonts w:ascii="Verdana" w:eastAsia="Calibri" w:hAnsi="Verdana" w:cs="Arial"/>
          <w:color w:val="000000"/>
          <w:sz w:val="20"/>
          <w:szCs w:val="20"/>
          <w:lang w:val="es-ES" w:eastAsia="es-ES_tradnl"/>
        </w:rPr>
        <w:t>[</w:t>
      </w:r>
      <w:r w:rsidRPr="00A71E32">
        <w:rPr>
          <w:rFonts w:ascii="Verdana" w:eastAsia="Times New Roman" w:hAnsi="Verdana" w:cs="Arial"/>
          <w:color w:val="000000"/>
          <w:sz w:val="20"/>
          <w:szCs w:val="20"/>
          <w:bdr w:val="none" w:sz="0" w:space="0" w:color="auto" w:frame="1"/>
          <w:shd w:val="clear" w:color="auto" w:fill="FFFFFF"/>
          <w:lang w:eastAsia="es-ES_tradnl"/>
        </w:rPr>
        <w:t xml:space="preserve">…] </w:t>
      </w:r>
      <w:r w:rsidRPr="00A71E32">
        <w:rPr>
          <w:rFonts w:ascii="Verdana" w:eastAsia="Times New Roman" w:hAnsi="Verdana" w:cs="Arial"/>
          <w:color w:val="000000"/>
          <w:sz w:val="20"/>
          <w:szCs w:val="20"/>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A71E32">
        <w:rPr>
          <w:rFonts w:ascii="Verdana" w:eastAsia="Times New Roman" w:hAnsi="Verdana" w:cs="Arial"/>
          <w:color w:val="000000"/>
          <w:sz w:val="20"/>
          <w:szCs w:val="20"/>
          <w:bdr w:val="none" w:sz="0" w:space="0" w:color="auto" w:frame="1"/>
          <w:shd w:val="clear" w:color="auto" w:fill="FFFFFF"/>
          <w:vertAlign w:val="superscript"/>
          <w:lang w:val="es-MX" w:eastAsia="es-ES_tradnl"/>
        </w:rPr>
        <w:footnoteReference w:id="14"/>
      </w:r>
      <w:r w:rsidRPr="00A71E32">
        <w:rPr>
          <w:rFonts w:ascii="Verdana" w:eastAsia="Times New Roman" w:hAnsi="Verdana" w:cs="Arial"/>
          <w:color w:val="000000"/>
          <w:sz w:val="20"/>
          <w:szCs w:val="20"/>
          <w:bdr w:val="none" w:sz="0" w:space="0" w:color="auto" w:frame="1"/>
          <w:shd w:val="clear" w:color="auto" w:fill="FFFFFF"/>
          <w:lang w:val="es-ES" w:eastAsia="es-ES_tradnl"/>
        </w:rPr>
        <w:t>. </w:t>
      </w:r>
      <w:r w:rsidRPr="00A71E32">
        <w:rPr>
          <w:rFonts w:ascii="Verdana" w:eastAsia="Times New Roman" w:hAnsi="Verdana" w:cs="Arial"/>
          <w:color w:val="000000"/>
          <w:sz w:val="20"/>
          <w:szCs w:val="20"/>
          <w:bdr w:val="none" w:sz="0" w:space="0" w:color="auto" w:frame="1"/>
          <w:shd w:val="clear" w:color="auto" w:fill="FFFFFF"/>
          <w:lang w:eastAsia="es-ES_tradnl"/>
        </w:rPr>
        <w:t>  </w:t>
      </w:r>
    </w:p>
    <w:p w14:paraId="596EFD6C" w14:textId="77777777" w:rsidR="00597401" w:rsidRPr="00FB5FC4" w:rsidRDefault="00597401" w:rsidP="00597401">
      <w:pPr>
        <w:spacing w:after="0" w:line="276" w:lineRule="auto"/>
        <w:ind w:left="705" w:right="750"/>
        <w:jc w:val="both"/>
        <w:rPr>
          <w:rFonts w:ascii="Verdana" w:eastAsia="Times New Roman" w:hAnsi="Verdana" w:cs="Arial"/>
          <w:color w:val="000000"/>
          <w:lang w:eastAsia="es-ES_tradnl"/>
        </w:rPr>
      </w:pPr>
    </w:p>
    <w:p w14:paraId="11FCF154" w14:textId="77777777" w:rsidR="00597401" w:rsidRPr="00FB5FC4" w:rsidRDefault="00597401" w:rsidP="00597401">
      <w:pPr>
        <w:spacing w:after="120" w:line="276" w:lineRule="auto"/>
        <w:ind w:firstLine="705"/>
        <w:jc w:val="both"/>
        <w:rPr>
          <w:rFonts w:ascii="Verdana" w:eastAsia="Times New Roman" w:hAnsi="Verdana" w:cs="Arial"/>
          <w:color w:val="000000"/>
          <w:lang w:eastAsia="es-ES_tradnl"/>
        </w:rPr>
      </w:pPr>
      <w:bookmarkStart w:id="9" w:name="_Hlk141851266"/>
      <w:r w:rsidRPr="00FB5FC4">
        <w:rPr>
          <w:rFonts w:ascii="Verdana" w:eastAsia="Times New Roman" w:hAnsi="Verdana" w:cs="Arial"/>
          <w:color w:val="000000"/>
          <w:bdr w:val="none" w:sz="0" w:space="0" w:color="auto"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p>
    <w:p w14:paraId="2FC2D5DE" w14:textId="77777777" w:rsidR="00597401" w:rsidRPr="00FB5FC4" w:rsidRDefault="00597401" w:rsidP="00597401">
      <w:pPr>
        <w:spacing w:after="0" w:line="276" w:lineRule="auto"/>
        <w:ind w:firstLine="705"/>
        <w:jc w:val="both"/>
        <w:rPr>
          <w:rFonts w:ascii="Verdana" w:eastAsia="Times New Roman" w:hAnsi="Verdana" w:cs="Arial"/>
          <w:color w:val="000000"/>
          <w:bdr w:val="none" w:sz="0" w:space="0" w:color="auto" w:frame="1"/>
          <w:shd w:val="clear" w:color="auto" w:fill="FFFFFF"/>
          <w:lang w:eastAsia="es-ES_tradnl"/>
        </w:rPr>
      </w:pPr>
      <w:r w:rsidRPr="00FB5FC4">
        <w:rPr>
          <w:rFonts w:ascii="Verdana" w:eastAsia="Times New Roman" w:hAnsi="Verdana" w:cs="Arial"/>
          <w:color w:val="000000"/>
          <w:bdr w:val="none" w:sz="0" w:space="0" w:color="auto" w:frame="1"/>
          <w:shd w:val="clear" w:color="auto" w:fill="FFFFFF"/>
          <w:lang w:val="es-ES" w:eastAsia="es-ES_tradn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w:t>
      </w:r>
      <w:bookmarkEnd w:id="9"/>
      <w:r w:rsidRPr="00FB5FC4">
        <w:rPr>
          <w:rFonts w:ascii="Verdana" w:eastAsia="Times New Roman" w:hAnsi="Verdana" w:cs="Arial"/>
          <w:color w:val="000000"/>
          <w:bdr w:val="none" w:sz="0" w:space="0" w:color="auto" w:frame="1"/>
          <w:shd w:val="clear" w:color="auto" w:fill="FFFFFF"/>
          <w:lang w:val="es-ES" w:eastAsia="es-ES_tradnl"/>
        </w:rPr>
        <w:t xml:space="preserve">En este sentido, en decisión de unificación de la </w:t>
      </w:r>
      <w:r w:rsidRPr="00FB5FC4">
        <w:rPr>
          <w:rFonts w:ascii="Verdana" w:eastAsia="Times New Roman" w:hAnsi="Verdana" w:cs="Arial"/>
          <w:color w:val="000000"/>
          <w:bdr w:val="none" w:sz="0" w:space="0" w:color="auto" w:frame="1"/>
          <w:shd w:val="clear" w:color="auto" w:fill="FFFFFF"/>
          <w:lang w:val="es-MX" w:eastAsia="es-ES_tradnl"/>
        </w:rPr>
        <w:t>Sección Tercera</w:t>
      </w:r>
      <w:r w:rsidRPr="00FB5FC4">
        <w:rPr>
          <w:rFonts w:ascii="Verdana" w:eastAsia="Times New Roman" w:hAnsi="Verdana" w:cs="Arial"/>
          <w:color w:val="000000"/>
          <w:bdr w:val="none" w:sz="0" w:space="0" w:color="auto" w:frame="1"/>
          <w:shd w:val="clear" w:color="auto" w:fill="FFFFFF"/>
          <w:lang w:val="es-ES" w:eastAsia="es-ES_tradnl"/>
        </w:rPr>
        <w:t xml:space="preserve"> del Consejo de Estado del</w:t>
      </w:r>
      <w:r w:rsidRPr="00FB5FC4">
        <w:rPr>
          <w:rFonts w:ascii="Verdana" w:eastAsia="Times New Roman" w:hAnsi="Verdana" w:cs="Arial"/>
          <w:color w:val="000000"/>
          <w:bdr w:val="none" w:sz="0" w:space="0" w:color="auto" w:frame="1"/>
          <w:shd w:val="clear" w:color="auto" w:fill="FFFFFF"/>
          <w:lang w:val="es-MX" w:eastAsia="es-ES_tradnl"/>
        </w:rPr>
        <w:t> </w:t>
      </w:r>
      <w:r w:rsidRPr="00FB5FC4">
        <w:rPr>
          <w:rFonts w:ascii="Verdana" w:eastAsia="Times New Roman" w:hAnsi="Verdana" w:cs="Arial"/>
          <w:color w:val="000000"/>
          <w:bdr w:val="none" w:sz="0" w:space="0" w:color="auto" w:frame="1"/>
          <w:shd w:val="clear" w:color="auto" w:fill="FFFFFF"/>
          <w:lang w:eastAsia="es-ES_tradnl"/>
        </w:rPr>
        <w:t>1 de agosto de 2019, se expresó: </w:t>
      </w:r>
    </w:p>
    <w:p w14:paraId="609381E2" w14:textId="77777777" w:rsidR="00597401" w:rsidRPr="00FB5FC4" w:rsidRDefault="00597401" w:rsidP="00597401">
      <w:pPr>
        <w:spacing w:after="0" w:line="276" w:lineRule="auto"/>
        <w:ind w:firstLine="705"/>
        <w:jc w:val="both"/>
        <w:rPr>
          <w:rFonts w:ascii="Verdana" w:eastAsia="Times New Roman" w:hAnsi="Verdana" w:cs="Arial"/>
          <w:color w:val="000000"/>
          <w:lang w:eastAsia="es-ES_tradnl"/>
        </w:rPr>
      </w:pPr>
    </w:p>
    <w:p w14:paraId="15EAABF2" w14:textId="77777777" w:rsidR="00597401" w:rsidRPr="00A71E32" w:rsidRDefault="00597401" w:rsidP="00597401">
      <w:pPr>
        <w:spacing w:after="0" w:line="240" w:lineRule="auto"/>
        <w:ind w:left="705" w:right="750"/>
        <w:jc w:val="both"/>
        <w:rPr>
          <w:rFonts w:ascii="Verdana" w:eastAsia="Times New Roman" w:hAnsi="Verdana" w:cs="Arial"/>
          <w:color w:val="000000"/>
          <w:sz w:val="20"/>
          <w:szCs w:val="20"/>
          <w:lang w:eastAsia="es-ES_tradnl"/>
        </w:rPr>
      </w:pP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lang w:val="es-ES" w:eastAsia="es-ES_tradn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A71E32">
        <w:rPr>
          <w:rFonts w:ascii="Verdana" w:eastAsia="Times New Roman" w:hAnsi="Verdana" w:cs="Arial"/>
          <w:color w:val="000000"/>
          <w:sz w:val="20"/>
          <w:szCs w:val="20"/>
          <w:bdr w:val="none" w:sz="0" w:space="0" w:color="auto" w:frame="1"/>
          <w:shd w:val="clear" w:color="auto" w:fill="FFFFFF"/>
          <w:lang w:val="es-ES" w:eastAsia="es-ES_tradnl"/>
        </w:rPr>
        <w:t>liquidatorio</w:t>
      </w:r>
      <w:proofErr w:type="spellEnd"/>
      <w:r w:rsidRPr="00A71E32">
        <w:rPr>
          <w:rFonts w:ascii="Verdana" w:eastAsia="Times New Roman" w:hAnsi="Verdana" w:cs="Arial"/>
          <w:color w:val="000000"/>
          <w:sz w:val="20"/>
          <w:szCs w:val="20"/>
          <w:bdr w:val="none" w:sz="0" w:space="0" w:color="auto" w:frame="1"/>
          <w:shd w:val="clear" w:color="auto" w:fill="FFFFFF"/>
          <w:lang w:val="es-ES" w:eastAsia="es-ES_tradnl"/>
        </w:rPr>
        <w:t> se logre dentro del lapso de dos años contados a partir del vencimiento del término legalmente conocido para la liquidación unilateral, pues ese es el lapso que el ordenamiento ha fijado para el ejercicio oportuno de la acción</w:t>
      </w: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vertAlign w:val="superscript"/>
          <w:lang w:eastAsia="es-ES_tradnl"/>
        </w:rPr>
        <w:t xml:space="preserve"> </w:t>
      </w:r>
      <w:r w:rsidRPr="00A71E32">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5"/>
      </w: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lang w:val="es-ES" w:eastAsia="es-ES_tradnl"/>
        </w:rPr>
        <w:t> </w:t>
      </w:r>
    </w:p>
    <w:p w14:paraId="66D32B84" w14:textId="77777777" w:rsidR="00597401" w:rsidRPr="00FB5FC4" w:rsidRDefault="00597401" w:rsidP="00597401">
      <w:pPr>
        <w:spacing w:after="0" w:line="276" w:lineRule="auto"/>
        <w:ind w:firstLine="708"/>
        <w:jc w:val="both"/>
        <w:rPr>
          <w:rFonts w:ascii="Verdana" w:eastAsia="Times New Roman" w:hAnsi="Verdana" w:cs="Arial"/>
          <w:color w:val="000000"/>
          <w:lang w:eastAsia="es-ES_tradnl"/>
        </w:rPr>
      </w:pPr>
    </w:p>
    <w:p w14:paraId="4E396788" w14:textId="77777777" w:rsidR="00597401" w:rsidRDefault="00597401" w:rsidP="00597401">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r>
      <w:r w:rsidRPr="00FB5FC4">
        <w:rPr>
          <w:rFonts w:ascii="Verdana" w:eastAsia="Times New Roman" w:hAnsi="Verdana" w:cs="Arial"/>
          <w:color w:val="000000"/>
          <w:bdr w:val="none" w:sz="0" w:space="0" w:color="auto" w:frame="1"/>
          <w:shd w:val="clear" w:color="auto" w:fill="FFFFFF"/>
          <w:lang w:eastAsia="es-ES_tradnl"/>
        </w:rPr>
        <w:t>A su turno</w:t>
      </w:r>
      <w:r>
        <w:rPr>
          <w:rFonts w:ascii="Verdana" w:eastAsia="Times New Roman" w:hAnsi="Verdana" w:cs="Arial"/>
          <w:color w:val="000000"/>
          <w:bdr w:val="none" w:sz="0" w:space="0" w:color="auto" w:frame="1"/>
          <w:shd w:val="clear" w:color="auto" w:fill="FFFFFF"/>
          <w:lang w:eastAsia="es-ES_tradnl"/>
        </w:rPr>
        <w:t xml:space="preserve">, la liquidación judicial hace parte de una de las pretensiones que admite el medio de control de controversias contractuales. Al respecto, el artículo 141 de la Ley 1437 de 2011 dispone que “[…] </w:t>
      </w:r>
      <w:r w:rsidRPr="00F915F3">
        <w:rPr>
          <w:rFonts w:ascii="Verdana" w:eastAsia="Times New Roman" w:hAnsi="Verdana" w:cs="Arial"/>
          <w:color w:val="000000"/>
          <w:bdr w:val="none" w:sz="0" w:space="0" w:color="auto" w:frame="1"/>
          <w:shd w:val="clear" w:color="auto" w:fill="FFFFFF"/>
          <w:lang w:eastAsia="es-ES_tradnl"/>
        </w:rPr>
        <w:t xml:space="preserve">el interesado podrá </w:t>
      </w:r>
      <w:bookmarkStart w:id="10" w:name="_Hlk172560769"/>
      <w:r w:rsidRPr="00F915F3">
        <w:rPr>
          <w:rFonts w:ascii="Verdana" w:eastAsia="Times New Roman" w:hAnsi="Verdana" w:cs="Arial"/>
          <w:color w:val="000000"/>
          <w:bdr w:val="none" w:sz="0" w:space="0" w:color="auto" w:frame="1"/>
          <w:shd w:val="clear" w:color="auto" w:fill="FFFFFF"/>
          <w:lang w:eastAsia="es-ES_tradnl"/>
        </w:rPr>
        <w:t>solicitar la liquidación judicial</w:t>
      </w:r>
      <w:bookmarkEnd w:id="10"/>
      <w:r w:rsidRPr="00F915F3">
        <w:rPr>
          <w:rFonts w:ascii="Verdana" w:eastAsia="Times New Roman" w:hAnsi="Verdana" w:cs="Arial"/>
          <w:color w:val="000000"/>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w:t>
      </w:r>
      <w:r>
        <w:rPr>
          <w:rFonts w:ascii="Verdana" w:eastAsia="Times New Roman" w:hAnsi="Verdana" w:cs="Arial"/>
          <w:color w:val="000000"/>
          <w:bdr w:val="none" w:sz="0" w:space="0" w:color="auto" w:frame="1"/>
          <w:shd w:val="clear" w:color="auto" w:fill="FFFFFF"/>
          <w:lang w:eastAsia="es-ES_tradnl"/>
        </w:rPr>
        <w:t>”</w:t>
      </w:r>
      <w:r w:rsidRPr="00F915F3">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Bajo esta perspectiva, para la entidad cesa la facultad de liquidar bilateral o unilateralmente, ya que el tema pasa de la administración a la jurisdicción.</w:t>
      </w:r>
    </w:p>
    <w:p w14:paraId="0B459A8F" w14:textId="77777777" w:rsidR="00597401" w:rsidRDefault="00597401" w:rsidP="00597401">
      <w:pPr>
        <w:tabs>
          <w:tab w:val="left" w:pos="709"/>
        </w:tabs>
        <w:spacing w:after="120" w:line="276" w:lineRule="auto"/>
        <w:jc w:val="both"/>
        <w:rPr>
          <w:rFonts w:ascii="Verdana" w:eastAsia="Times New Roman" w:hAnsi="Verdana" w:cs="Arial"/>
          <w:color w:val="000000"/>
          <w:bdr w:val="none" w:sz="0" w:space="0" w:color="auto" w:frame="1"/>
          <w:shd w:val="clear" w:color="auto" w:fill="FFFFFF"/>
          <w:lang w:val="es-ES" w:eastAsia="es-ES"/>
        </w:rPr>
      </w:pPr>
      <w:r>
        <w:rPr>
          <w:rFonts w:ascii="Verdana" w:eastAsia="Times New Roman" w:hAnsi="Verdana" w:cs="Arial"/>
          <w:color w:val="000000"/>
          <w:bdr w:val="none" w:sz="0" w:space="0" w:color="auto" w:frame="1"/>
          <w:shd w:val="clear" w:color="auto" w:fill="FFFFFF"/>
          <w:lang w:eastAsia="es-ES_tradnl"/>
        </w:rPr>
        <w:tab/>
      </w:r>
      <w:r w:rsidRPr="34069AAF">
        <w:rPr>
          <w:rFonts w:ascii="Verdana" w:eastAsia="Times New Roman" w:hAnsi="Verdana" w:cs="Arial"/>
          <w:color w:val="000000"/>
          <w:bdr w:val="none" w:sz="0" w:space="0" w:color="auto" w:frame="1"/>
          <w:shd w:val="clear" w:color="auto" w:fill="FFFFFF"/>
          <w:lang w:val="es-ES" w:eastAsia="es-ES"/>
        </w:rPr>
        <w:t xml:space="preserve">En suma, de acuerdo con el artículo 11 de la Ley 1150 de 2007, existen tres (3) tipos de liquidación: i) bilateral, </w:t>
      </w:r>
      <w:proofErr w:type="spellStart"/>
      <w:r w:rsidRPr="34069AAF">
        <w:rPr>
          <w:rFonts w:ascii="Verdana" w:eastAsia="Times New Roman" w:hAnsi="Verdana" w:cs="Arial"/>
          <w:color w:val="000000"/>
          <w:bdr w:val="none" w:sz="0" w:space="0" w:color="auto" w:frame="1"/>
          <w:shd w:val="clear" w:color="auto" w:fill="FFFFFF"/>
          <w:lang w:val="es-ES" w:eastAsia="es-ES"/>
        </w:rPr>
        <w:t>ii</w:t>
      </w:r>
      <w:proofErr w:type="spellEnd"/>
      <w:r w:rsidRPr="34069AAF">
        <w:rPr>
          <w:rFonts w:ascii="Verdana" w:eastAsia="Times New Roman" w:hAnsi="Verdana" w:cs="Arial"/>
          <w:color w:val="000000"/>
          <w:bdr w:val="none" w:sz="0" w:space="0" w:color="auto" w:frame="1"/>
          <w:shd w:val="clear" w:color="auto" w:fill="FFFFFF"/>
          <w:lang w:val="es-ES" w:eastAsia="es-ES"/>
        </w:rPr>
        <w:t xml:space="preserve">) unilateral y </w:t>
      </w:r>
      <w:proofErr w:type="spellStart"/>
      <w:r w:rsidRPr="34069AAF">
        <w:rPr>
          <w:rFonts w:ascii="Verdana" w:eastAsia="Times New Roman" w:hAnsi="Verdana" w:cs="Arial"/>
          <w:color w:val="000000"/>
          <w:bdr w:val="none" w:sz="0" w:space="0" w:color="auto" w:frame="1"/>
          <w:shd w:val="clear" w:color="auto" w:fill="FFFFFF"/>
          <w:lang w:val="es-ES" w:eastAsia="es-ES"/>
        </w:rPr>
        <w:t>iii</w:t>
      </w:r>
      <w:proofErr w:type="spellEnd"/>
      <w:r w:rsidRPr="34069AAF">
        <w:rPr>
          <w:rFonts w:ascii="Verdana" w:eastAsia="Times New Roman" w:hAnsi="Verdana" w:cs="Arial"/>
          <w:color w:val="000000"/>
          <w:bdr w:val="none" w:sz="0" w:space="0" w:color="auto" w:frame="1"/>
          <w:shd w:val="clear" w:color="auto" w:fill="FFFFFF"/>
          <w:lang w:val="es-ES"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14:paraId="084724BD" w14:textId="77777777" w:rsidR="00597401" w:rsidRPr="00882C9A" w:rsidRDefault="00597401" w:rsidP="00597401">
      <w:pPr>
        <w:spacing w:after="0" w:line="276" w:lineRule="auto"/>
        <w:ind w:firstLine="708"/>
        <w:jc w:val="both"/>
        <w:rPr>
          <w:rFonts w:ascii="Verdana" w:eastAsia="Times New Roman" w:hAnsi="Verdana" w:cs="Arial"/>
          <w:color w:val="000000" w:themeColor="text1"/>
          <w:lang w:eastAsia="es-CO"/>
        </w:rPr>
      </w:pPr>
      <w:r w:rsidRPr="00882C9A">
        <w:rPr>
          <w:rFonts w:ascii="Verdana" w:eastAsia="Times New Roman" w:hAnsi="Verdana" w:cs="Arial"/>
          <w:color w:val="000000" w:themeColor="text1"/>
          <w:lang w:eastAsia="es-CO"/>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14:paraId="2C591066" w14:textId="77777777" w:rsidR="00597401" w:rsidRPr="00882C9A" w:rsidRDefault="00597401" w:rsidP="00597401">
      <w:pPr>
        <w:spacing w:after="0" w:line="276" w:lineRule="auto"/>
        <w:jc w:val="both"/>
        <w:rPr>
          <w:rFonts w:ascii="Verdana" w:eastAsia="Times New Roman" w:hAnsi="Verdana" w:cs="Arial"/>
          <w:color w:val="000000" w:themeColor="text1"/>
          <w:lang w:eastAsia="es-CO"/>
        </w:rPr>
      </w:pPr>
    </w:p>
    <w:p w14:paraId="6FD6D332" w14:textId="77777777" w:rsidR="00597401" w:rsidRPr="00882C9A" w:rsidRDefault="00597401" w:rsidP="00597401">
      <w:pPr>
        <w:spacing w:after="0" w:line="240" w:lineRule="auto"/>
        <w:ind w:left="709" w:right="709"/>
        <w:jc w:val="both"/>
        <w:rPr>
          <w:rFonts w:ascii="Verdana" w:eastAsia="Times New Roman" w:hAnsi="Verdana" w:cs="Arial"/>
          <w:color w:val="000000" w:themeColor="text1"/>
          <w:sz w:val="20"/>
          <w:szCs w:val="20"/>
          <w:lang w:eastAsia="es-CO"/>
        </w:rPr>
      </w:pPr>
      <w:r w:rsidRPr="00882C9A">
        <w:rPr>
          <w:rFonts w:ascii="Verdana" w:eastAsia="Times New Roman" w:hAnsi="Verdana" w:cs="Arial"/>
          <w:color w:val="000000" w:themeColor="text1"/>
          <w:sz w:val="20"/>
          <w:szCs w:val="20"/>
          <w:lang w:eastAsia="es-CO"/>
        </w:rPr>
        <w:t xml:space="preserve">“Suele argüirse, en la práctica, que es factible efectuar la liquidación del contrato, así haya operado la caducidad de la acción, con base en la </w:t>
      </w:r>
      <w:r w:rsidRPr="00882C9A">
        <w:rPr>
          <w:rFonts w:ascii="Verdana" w:eastAsia="Times New Roman" w:hAnsi="Verdana" w:cs="Arial"/>
          <w:color w:val="000000" w:themeColor="text1"/>
          <w:sz w:val="20"/>
          <w:szCs w:val="20"/>
          <w:lang w:eastAsia="es-CO"/>
        </w:rPr>
        <w:lastRenderedPageBreak/>
        <w:t>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liquidar el contrato estatal, luego de expirado el término de caducidad del medio de control de controversias contractuales”</w:t>
      </w:r>
      <w:r w:rsidRPr="00882C9A">
        <w:rPr>
          <w:rStyle w:val="Refdenotaalpie"/>
          <w:rFonts w:ascii="Verdana" w:eastAsia="Times New Roman" w:hAnsi="Verdana" w:cs="Arial"/>
          <w:color w:val="000000" w:themeColor="text1"/>
          <w:sz w:val="20"/>
          <w:szCs w:val="20"/>
          <w:lang w:eastAsia="es-CO"/>
        </w:rPr>
        <w:footnoteReference w:id="16"/>
      </w:r>
      <w:r w:rsidRPr="00882C9A">
        <w:rPr>
          <w:rFonts w:ascii="Verdana" w:eastAsia="Times New Roman" w:hAnsi="Verdana" w:cs="Arial"/>
          <w:color w:val="000000" w:themeColor="text1"/>
          <w:sz w:val="20"/>
          <w:szCs w:val="20"/>
          <w:lang w:eastAsia="es-CO"/>
        </w:rPr>
        <w:t xml:space="preserve">.   </w:t>
      </w:r>
    </w:p>
    <w:p w14:paraId="1F712392" w14:textId="77777777" w:rsidR="00597401" w:rsidRPr="00882C9A" w:rsidRDefault="00597401" w:rsidP="00597401">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26E5C00" w14:textId="77777777" w:rsidR="00597401" w:rsidRDefault="00597401" w:rsidP="00597401">
      <w:pPr>
        <w:tabs>
          <w:tab w:val="left" w:pos="709"/>
        </w:tabs>
        <w:spacing w:after="120" w:line="276" w:lineRule="auto"/>
        <w:jc w:val="both"/>
        <w:rPr>
          <w:rFonts w:ascii="Verdana" w:eastAsia="Calibri" w:hAnsi="Verdana" w:cs="Arial"/>
          <w:color w:val="000000"/>
          <w:lang w:val="es-ES" w:eastAsia="es-ES"/>
        </w:rPr>
      </w:pPr>
      <w:r>
        <w:rPr>
          <w:rFonts w:ascii="Verdana" w:eastAsia="Times New Roman" w:hAnsi="Verdana" w:cs="Arial"/>
          <w:color w:val="000000"/>
          <w:bdr w:val="none" w:sz="0" w:space="0" w:color="auto" w:frame="1"/>
          <w:shd w:val="clear" w:color="auto" w:fill="FFFFFF"/>
          <w:lang w:eastAsia="es-ES_tradnl"/>
        </w:rPr>
        <w:tab/>
      </w:r>
      <w:r>
        <w:rPr>
          <w:rFonts w:ascii="Verdana" w:eastAsia="Calibri" w:hAnsi="Verdana" w:cs="Arial"/>
          <w:color w:val="000000"/>
          <w:lang w:val="es-ES" w:eastAsia="es-ES"/>
        </w:rPr>
        <w:t xml:space="preserve">En consecuencia, </w:t>
      </w:r>
      <w:r w:rsidRPr="00851576">
        <w:rPr>
          <w:rFonts w:ascii="Verdana" w:eastAsia="Calibri" w:hAnsi="Verdana" w:cs="Arial"/>
          <w:color w:val="000000"/>
          <w:lang w:val="es-ES" w:eastAsia="es-ES"/>
        </w:rPr>
        <w:t xml:space="preserve">dentro de los límites previstos en el </w:t>
      </w:r>
      <w:r>
        <w:rPr>
          <w:rFonts w:ascii="Verdana" w:eastAsia="Calibri" w:hAnsi="Verdana" w:cs="Arial"/>
          <w:color w:val="000000"/>
          <w:lang w:val="es-ES" w:eastAsia="es-ES"/>
        </w:rPr>
        <w:t xml:space="preserve">literal j) del </w:t>
      </w:r>
      <w:r w:rsidRPr="00851576">
        <w:rPr>
          <w:rFonts w:ascii="Verdana" w:eastAsia="Calibri" w:hAnsi="Verdana" w:cs="Arial"/>
          <w:color w:val="000000"/>
          <w:lang w:val="es-ES" w:eastAsia="es-ES"/>
        </w:rPr>
        <w:t>artículo 164</w:t>
      </w:r>
      <w:r>
        <w:rPr>
          <w:rFonts w:ascii="Verdana" w:eastAsia="Calibri" w:hAnsi="Verdana" w:cs="Arial"/>
          <w:color w:val="000000"/>
          <w:lang w:val="es-ES" w:eastAsia="es-ES"/>
        </w:rPr>
        <w:t>.2</w:t>
      </w:r>
      <w:r w:rsidRPr="00851576">
        <w:rPr>
          <w:rFonts w:ascii="Verdana" w:eastAsia="Calibri" w:hAnsi="Verdana" w:cs="Arial"/>
          <w:color w:val="000000"/>
          <w:lang w:val="es-ES" w:eastAsia="es-ES"/>
        </w:rPr>
        <w:t xml:space="preserve"> de la Ley 1437 de 2011</w:t>
      </w:r>
      <w:r>
        <w:rPr>
          <w:rFonts w:ascii="Verdana" w:eastAsia="Calibri" w:hAnsi="Verdana" w:cs="Arial"/>
          <w:color w:val="000000"/>
          <w:lang w:val="es-ES" w:eastAsia="es-ES"/>
        </w:rPr>
        <w:t>,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w:t>
      </w:r>
    </w:p>
    <w:p w14:paraId="6ECC3C2C" w14:textId="77777777" w:rsidR="00597401" w:rsidRDefault="00597401" w:rsidP="00597401">
      <w:pPr>
        <w:tabs>
          <w:tab w:val="left" w:pos="709"/>
        </w:tabs>
        <w:spacing w:after="120" w:line="276" w:lineRule="auto"/>
        <w:jc w:val="both"/>
        <w:rPr>
          <w:rFonts w:ascii="Verdana" w:eastAsia="Calibri" w:hAnsi="Verdana" w:cs="Arial"/>
          <w:color w:val="000000"/>
          <w:lang w:val="es-ES" w:eastAsia="es-ES"/>
        </w:rPr>
      </w:pPr>
      <w:r>
        <w:rPr>
          <w:rFonts w:ascii="Verdana" w:eastAsia="Calibri" w:hAnsi="Verdana" w:cs="Arial"/>
          <w:color w:val="000000"/>
          <w:lang w:val="es-ES" w:eastAsia="es-ES"/>
        </w:rPr>
        <w:tab/>
        <w:t>Si no ha caducado el medio de control de controversias contractuales, es posible modificar la liquidación bilateral siempre que exista mutuo acuerdo entre las partes que la suscribieron. Si la liquidación se realizó unilateralmente, las modificaciones pueden provenir de la necesidad de corregir errores simplemente formales en los términos del artículo 45 de la Ley 1437 de 2011</w:t>
      </w:r>
      <w:r>
        <w:rPr>
          <w:rStyle w:val="Refdenotaalpie"/>
          <w:rFonts w:ascii="Verdana" w:eastAsia="Calibri" w:hAnsi="Verdana" w:cs="Arial"/>
          <w:color w:val="000000"/>
          <w:lang w:val="es-ES" w:eastAsia="es-ES"/>
        </w:rPr>
        <w:footnoteReference w:id="17"/>
      </w:r>
      <w:r>
        <w:rPr>
          <w:rFonts w:ascii="Verdana" w:eastAsia="Calibri" w:hAnsi="Verdana" w:cs="Arial"/>
          <w:color w:val="000000"/>
          <w:lang w:val="es-ES" w:eastAsia="es-ES"/>
        </w:rPr>
        <w:t>, aplicable por remisión del inciso 1 del artículo 77 de la Ley 80 de 1993</w:t>
      </w:r>
      <w:r>
        <w:rPr>
          <w:rStyle w:val="Refdenotaalpie"/>
          <w:rFonts w:ascii="Verdana" w:eastAsia="Calibri" w:hAnsi="Verdana" w:cs="Arial"/>
          <w:color w:val="000000"/>
          <w:lang w:val="es-ES" w:eastAsia="es-ES"/>
        </w:rPr>
        <w:footnoteReference w:id="18"/>
      </w:r>
      <w:r>
        <w:rPr>
          <w:rFonts w:ascii="Verdana" w:eastAsia="Calibri" w:hAnsi="Verdana" w:cs="Arial"/>
          <w:color w:val="000000"/>
          <w:lang w:val="es-ES" w:eastAsia="es-ES"/>
        </w:rPr>
        <w:t>. Por lo demás, el inciso segundo de la norma precitada también dispone que “</w:t>
      </w:r>
      <w:r w:rsidRPr="004559D9">
        <w:rPr>
          <w:rFonts w:ascii="Verdana" w:eastAsia="Calibri" w:hAnsi="Verdana" w:cs="Arial"/>
          <w:color w:val="000000"/>
          <w:lang w:val="es-ES" w:eastAsia="es-ES"/>
        </w:rPr>
        <w:t>Los actos administrativos que se produzcan con motivo u ocasión de la actividad contractual sólo serán susceptibles de recurso de reposición</w:t>
      </w:r>
      <w:r>
        <w:rPr>
          <w:rFonts w:ascii="Verdana" w:eastAsia="Calibri" w:hAnsi="Verdana" w:cs="Arial"/>
          <w:color w:val="000000"/>
          <w:lang w:val="es-ES" w:eastAsia="es-ES"/>
        </w:rPr>
        <w:t xml:space="preserve"> […]”. Dicho medio de impugnación tiene como objetivo que, quien expidió la decisión, </w:t>
      </w:r>
      <w:r w:rsidRPr="004559D9">
        <w:rPr>
          <w:rFonts w:ascii="Verdana" w:eastAsia="Calibri" w:hAnsi="Verdana" w:cs="Arial"/>
          <w:color w:val="000000"/>
          <w:lang w:val="es-ES" w:eastAsia="es-ES"/>
        </w:rPr>
        <w:t xml:space="preserve">la aclare, </w:t>
      </w:r>
      <w:r w:rsidRPr="004559D9">
        <w:rPr>
          <w:rFonts w:ascii="Verdana" w:eastAsia="Calibri" w:hAnsi="Verdana" w:cs="Arial"/>
          <w:color w:val="000000"/>
          <w:lang w:val="es-ES" w:eastAsia="es-ES"/>
        </w:rPr>
        <w:lastRenderedPageBreak/>
        <w:t>modifique, adicione o revoque</w:t>
      </w:r>
      <w:r>
        <w:rPr>
          <w:rFonts w:ascii="Verdana" w:eastAsia="Calibri" w:hAnsi="Verdana" w:cs="Arial"/>
          <w:color w:val="000000"/>
          <w:lang w:val="es-ES" w:eastAsia="es-ES"/>
        </w:rPr>
        <w:t xml:space="preserve"> –art. 74.1 del CPACA–. Siempre que la interposición del recurso sea oportuna conforme al artículo 76 de la Ley 1437 de 2011, la entidad podrá modificar o adicionar el acta de liquidación en congruencia con los argumentos del recurrente y bajo el principio de </w:t>
      </w:r>
      <w:r w:rsidRPr="004559D9">
        <w:rPr>
          <w:rFonts w:ascii="Verdana" w:eastAsia="Calibri" w:hAnsi="Verdana" w:cs="Arial"/>
          <w:i/>
          <w:iCs/>
          <w:color w:val="000000"/>
          <w:lang w:val="es-ES" w:eastAsia="es-ES"/>
        </w:rPr>
        <w:t>no</w:t>
      </w:r>
      <w:r>
        <w:rPr>
          <w:rFonts w:ascii="Verdana" w:eastAsia="Calibri" w:hAnsi="Verdana" w:cs="Arial"/>
          <w:i/>
          <w:iCs/>
          <w:color w:val="000000"/>
          <w:lang w:val="es-ES" w:eastAsia="es-ES"/>
        </w:rPr>
        <w:t>n</w:t>
      </w:r>
      <w:r w:rsidRPr="004559D9">
        <w:rPr>
          <w:rFonts w:ascii="Verdana" w:eastAsia="Calibri" w:hAnsi="Verdana" w:cs="Arial"/>
          <w:i/>
          <w:iCs/>
          <w:color w:val="000000"/>
          <w:lang w:val="es-ES" w:eastAsia="es-ES"/>
        </w:rPr>
        <w:t xml:space="preserve"> </w:t>
      </w:r>
      <w:proofErr w:type="spellStart"/>
      <w:r w:rsidRPr="004559D9">
        <w:rPr>
          <w:rFonts w:ascii="Verdana" w:eastAsia="Calibri" w:hAnsi="Verdana" w:cs="Arial"/>
          <w:i/>
          <w:iCs/>
          <w:color w:val="000000"/>
          <w:lang w:val="es-ES" w:eastAsia="es-ES"/>
        </w:rPr>
        <w:t>reformatio</w:t>
      </w:r>
      <w:proofErr w:type="spellEnd"/>
      <w:r w:rsidRPr="004559D9">
        <w:rPr>
          <w:rFonts w:ascii="Verdana" w:eastAsia="Calibri" w:hAnsi="Verdana" w:cs="Arial"/>
          <w:i/>
          <w:iCs/>
          <w:color w:val="000000"/>
          <w:lang w:val="es-ES" w:eastAsia="es-ES"/>
        </w:rPr>
        <w:t xml:space="preserve"> in </w:t>
      </w:r>
      <w:proofErr w:type="spellStart"/>
      <w:r w:rsidRPr="004559D9">
        <w:rPr>
          <w:rFonts w:ascii="Verdana" w:eastAsia="Calibri" w:hAnsi="Verdana" w:cs="Arial"/>
          <w:i/>
          <w:iCs/>
          <w:color w:val="000000"/>
          <w:lang w:val="es-ES" w:eastAsia="es-ES"/>
        </w:rPr>
        <w:t>pejus</w:t>
      </w:r>
      <w:proofErr w:type="spellEnd"/>
      <w:r>
        <w:rPr>
          <w:rStyle w:val="Refdenotaalpie"/>
          <w:rFonts w:ascii="Verdana" w:eastAsia="Calibri" w:hAnsi="Verdana" w:cs="Arial"/>
          <w:i/>
          <w:iCs/>
          <w:color w:val="000000"/>
          <w:lang w:val="es-ES" w:eastAsia="es-ES"/>
        </w:rPr>
        <w:footnoteReference w:id="19"/>
      </w:r>
      <w:r>
        <w:rPr>
          <w:rFonts w:ascii="Verdana" w:eastAsia="Calibri" w:hAnsi="Verdana" w:cs="Arial"/>
          <w:color w:val="000000"/>
          <w:lang w:val="es-ES" w:eastAsia="es-ES"/>
        </w:rPr>
        <w:t>.</w:t>
      </w:r>
    </w:p>
    <w:p w14:paraId="5A2F879C" w14:textId="2DC39834" w:rsidR="00D04205" w:rsidRPr="00D04205" w:rsidRDefault="00D04205" w:rsidP="00D04205">
      <w:pPr>
        <w:pStyle w:val="NormalWeb"/>
        <w:spacing w:before="120" w:beforeAutospacing="0" w:after="120" w:afterAutospacing="0" w:line="276" w:lineRule="auto"/>
        <w:ind w:firstLine="709"/>
        <w:jc w:val="both"/>
        <w:rPr>
          <w:rFonts w:ascii="Verdana" w:eastAsia="Calibri" w:hAnsi="Verdana" w:cs="Arial"/>
          <w:bCs/>
          <w:color w:val="000000" w:themeColor="text1"/>
          <w:sz w:val="22"/>
          <w:lang w:val="es-ES_tradnl"/>
        </w:rPr>
      </w:pPr>
      <w:r w:rsidRPr="002607AF">
        <w:rPr>
          <w:rFonts w:ascii="Verdana" w:eastAsia="Calibri" w:hAnsi="Verdana" w:cs="Arial"/>
          <w:bCs/>
          <w:color w:val="000000" w:themeColor="text1"/>
          <w:sz w:val="22"/>
          <w:lang w:val="es-ES_tradnl"/>
        </w:rPr>
        <w:t>En todo caso, al margen de la existencia o no de causales eximentes de responsabilidad, caducado el medio de control de controversias contractuales precluye absolutamente la oportunidad de modificar las liquidaciones previamente realizadas. Lo anterior, sin perjuicio de que subsistan los pactos alcanzados –liquidación bilateral– o las decisiones tomadas –liquidación unilateral– antes del vencimiento de dicho término, donde se incluyan nuevos plazos o condiciones que generen obligaciones.</w:t>
      </w:r>
      <w:r>
        <w:rPr>
          <w:rFonts w:ascii="Verdana" w:eastAsia="Calibri" w:hAnsi="Verdana" w:cs="Arial"/>
          <w:bCs/>
          <w:color w:val="000000" w:themeColor="text1"/>
          <w:sz w:val="22"/>
          <w:lang w:val="es-ES_tradnl"/>
        </w:rPr>
        <w:t xml:space="preserve">   </w:t>
      </w:r>
    </w:p>
    <w:p w14:paraId="2C2D4B76" w14:textId="77777777" w:rsidR="00597401" w:rsidRPr="00FA1A01" w:rsidRDefault="00597401" w:rsidP="00597401">
      <w:pPr>
        <w:tabs>
          <w:tab w:val="left" w:pos="709"/>
        </w:tabs>
        <w:spacing w:after="120" w:line="276" w:lineRule="auto"/>
        <w:jc w:val="both"/>
        <w:rPr>
          <w:rFonts w:ascii="Verdana" w:eastAsia="Calibri" w:hAnsi="Verdana" w:cs="Arial"/>
          <w:color w:val="000000"/>
          <w:lang w:val="es-ES" w:eastAsia="es-ES"/>
        </w:rPr>
      </w:pPr>
      <w:r>
        <w:rPr>
          <w:rFonts w:ascii="Verdana" w:eastAsia="Calibri" w:hAnsi="Verdana" w:cs="Arial"/>
          <w:color w:val="000000"/>
          <w:lang w:val="es-ES" w:eastAsia="es-ES"/>
        </w:rPr>
        <w:tab/>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0B4C1DC" w14:textId="77777777" w:rsidR="00597401" w:rsidRPr="00185EE9" w:rsidRDefault="00597401" w:rsidP="00597401">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A47393">
        <w:rPr>
          <w:rFonts w:ascii="Verdana" w:eastAsia="Calibri" w:hAnsi="Verdana" w:cs="Arial"/>
          <w:bCs/>
          <w:color w:val="000000" w:themeColor="text1"/>
        </w:rPr>
        <w:lastRenderedPageBreak/>
        <w:t xml:space="preserve">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117E0684" w14:textId="77777777" w:rsidR="00597401" w:rsidRPr="00182C89" w:rsidRDefault="00597401" w:rsidP="00597401">
      <w:pPr>
        <w:tabs>
          <w:tab w:val="left" w:pos="709"/>
        </w:tabs>
        <w:spacing w:after="0" w:line="276" w:lineRule="auto"/>
        <w:jc w:val="both"/>
        <w:rPr>
          <w:rFonts w:ascii="Verdana" w:eastAsia="Calibri" w:hAnsi="Verdana" w:cs="Arial"/>
          <w:color w:val="000000" w:themeColor="text1"/>
        </w:rPr>
      </w:pPr>
    </w:p>
    <w:p w14:paraId="2ACCB784" w14:textId="77777777" w:rsidR="00597401" w:rsidRPr="00593A5F" w:rsidRDefault="00597401" w:rsidP="005974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AA91A53" w14:textId="77777777" w:rsidR="00597401" w:rsidRPr="00593A5F" w:rsidRDefault="00597401" w:rsidP="00597401">
      <w:pPr>
        <w:widowControl w:val="0"/>
        <w:autoSpaceDE w:val="0"/>
        <w:autoSpaceDN w:val="0"/>
        <w:spacing w:after="0" w:line="276" w:lineRule="auto"/>
        <w:jc w:val="both"/>
        <w:rPr>
          <w:rFonts w:ascii="Verdana" w:hAnsi="Verdana" w:cs="Arial"/>
        </w:rPr>
      </w:pPr>
    </w:p>
    <w:tbl>
      <w:tblPr>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97401" w:rsidRPr="002407CE" w14:paraId="0B1EBA41" w14:textId="77777777">
        <w:trPr>
          <w:trHeight w:val="56"/>
          <w:jc w:val="center"/>
        </w:trPr>
        <w:tc>
          <w:tcPr>
            <w:tcW w:w="8647" w:type="dxa"/>
          </w:tcPr>
          <w:p w14:paraId="14638DB0" w14:textId="77777777" w:rsidR="00597401" w:rsidRDefault="0059740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586F16">
              <w:rPr>
                <w:rFonts w:ascii="Verdana" w:hAnsi="Verdana" w:cs="Arial"/>
              </w:rPr>
              <w:t>Ley 80 de 1993, artículo</w:t>
            </w:r>
            <w:r>
              <w:rPr>
                <w:rFonts w:ascii="Verdana" w:hAnsi="Verdana" w:cs="Arial"/>
              </w:rPr>
              <w:t>s</w:t>
            </w:r>
            <w:r w:rsidRPr="00586F16">
              <w:rPr>
                <w:rFonts w:ascii="Verdana" w:hAnsi="Verdana" w:cs="Arial"/>
              </w:rPr>
              <w:t xml:space="preserve"> 60</w:t>
            </w:r>
            <w:r>
              <w:rPr>
                <w:rFonts w:ascii="Verdana" w:hAnsi="Verdana" w:cs="Arial"/>
              </w:rPr>
              <w:t xml:space="preserve"> y 77</w:t>
            </w:r>
            <w:r w:rsidRPr="00586F16">
              <w:rPr>
                <w:rFonts w:ascii="Verdana" w:hAnsi="Verdana" w:cs="Arial"/>
              </w:rPr>
              <w:t>.</w:t>
            </w:r>
            <w:r w:rsidRPr="00B87E7A">
              <w:rPr>
                <w:rFonts w:ascii="Verdana" w:hAnsi="Verdana" w:cs="Arial"/>
              </w:rPr>
              <w:t xml:space="preserve"> </w:t>
            </w:r>
          </w:p>
          <w:p w14:paraId="4A3F60DE" w14:textId="77777777" w:rsidR="00597401" w:rsidRDefault="0059740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975FA">
              <w:rPr>
                <w:rFonts w:ascii="Verdana" w:hAnsi="Verdana" w:cs="Arial"/>
              </w:rPr>
              <w:t>Ley 1150 de 2007, artículo 11.</w:t>
            </w:r>
          </w:p>
          <w:p w14:paraId="7C740CDF" w14:textId="77777777" w:rsidR="00597401" w:rsidRPr="002975FA" w:rsidRDefault="00597401">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2975FA">
              <w:rPr>
                <w:rFonts w:ascii="Verdana" w:hAnsi="Verdana" w:cs="Arial"/>
              </w:rPr>
              <w:t xml:space="preserve">Ley 1437 de 2011, artículos </w:t>
            </w:r>
            <w:r>
              <w:rPr>
                <w:rFonts w:ascii="Verdana" w:hAnsi="Verdana" w:cs="Arial"/>
              </w:rPr>
              <w:t xml:space="preserve">45, 74, 76, </w:t>
            </w:r>
            <w:r w:rsidRPr="002975FA">
              <w:rPr>
                <w:rFonts w:ascii="Verdana" w:hAnsi="Verdana" w:cs="Arial"/>
              </w:rPr>
              <w:t>141 y 164.</w:t>
            </w:r>
          </w:p>
        </w:tc>
      </w:tr>
    </w:tbl>
    <w:p w14:paraId="34DC1107" w14:textId="77777777" w:rsidR="00597401" w:rsidRPr="002407CE" w:rsidRDefault="00597401" w:rsidP="00597401">
      <w:pPr>
        <w:widowControl w:val="0"/>
        <w:autoSpaceDE w:val="0"/>
        <w:autoSpaceDN w:val="0"/>
        <w:spacing w:after="0" w:line="276" w:lineRule="auto"/>
        <w:jc w:val="both"/>
        <w:rPr>
          <w:rFonts w:ascii="Verdana" w:hAnsi="Verdana" w:cs="Arial"/>
        </w:rPr>
      </w:pPr>
    </w:p>
    <w:p w14:paraId="798602F8" w14:textId="77777777" w:rsidR="00597401" w:rsidRPr="00593A5F" w:rsidRDefault="00597401" w:rsidP="005974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52CE499" w14:textId="77777777" w:rsidR="00597401" w:rsidRPr="00593A5F" w:rsidRDefault="00597401" w:rsidP="00597401">
      <w:pPr>
        <w:widowControl w:val="0"/>
        <w:autoSpaceDE w:val="0"/>
        <w:autoSpaceDN w:val="0"/>
        <w:spacing w:after="0" w:line="276" w:lineRule="auto"/>
        <w:jc w:val="both"/>
        <w:rPr>
          <w:rFonts w:ascii="Verdana" w:hAnsi="Verdana" w:cs="Arial"/>
        </w:rPr>
      </w:pPr>
    </w:p>
    <w:p w14:paraId="464A88D7" w14:textId="77777777" w:rsidR="00597401" w:rsidRPr="00ED0098" w:rsidRDefault="00597401" w:rsidP="00597401">
      <w:pPr>
        <w:widowControl w:val="0"/>
        <w:autoSpaceDE w:val="0"/>
        <w:autoSpaceDN w:val="0"/>
        <w:spacing w:after="0" w:line="276" w:lineRule="auto"/>
        <w:jc w:val="both"/>
        <w:rPr>
          <w:rStyle w:val="normaltextrun"/>
          <w:rFonts w:ascii="Verdana" w:hAnsi="Verdana" w:cs="Arial"/>
          <w:shd w:val="clear" w:color="auto" w:fill="FFFFFF"/>
        </w:rPr>
      </w:pPr>
      <w:r w:rsidRPr="00AF4396">
        <w:rPr>
          <w:rFonts w:ascii="Verdana" w:hAnsi="Verdana" w:cs="Arial"/>
          <w:shd w:val="clear" w:color="auto" w:fill="FFFFFF"/>
        </w:rPr>
        <w:t>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C-968 del 16 de diciembre de 2024</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4706FFB" w14:textId="77777777" w:rsidR="00597401" w:rsidRPr="00096788" w:rsidRDefault="00597401" w:rsidP="00597401">
      <w:pPr>
        <w:widowControl w:val="0"/>
        <w:autoSpaceDE w:val="0"/>
        <w:autoSpaceDN w:val="0"/>
        <w:spacing w:after="0" w:line="276" w:lineRule="auto"/>
        <w:jc w:val="both"/>
        <w:rPr>
          <w:rFonts w:ascii="Verdana" w:hAnsi="Verdana" w:cs="Arial"/>
          <w:color w:val="000000" w:themeColor="text1"/>
          <w:shd w:val="clear" w:color="auto" w:fill="FFFFFF"/>
        </w:rPr>
      </w:pPr>
    </w:p>
    <w:p w14:paraId="5884BBC9" w14:textId="77777777" w:rsidR="00597401" w:rsidRDefault="00597401" w:rsidP="00597401">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724F26C" w14:textId="77777777" w:rsidR="00597401" w:rsidRPr="009A385A" w:rsidRDefault="00597401" w:rsidP="00597401">
      <w:pPr>
        <w:spacing w:after="0"/>
        <w:jc w:val="both"/>
        <w:rPr>
          <w:rFonts w:ascii="Verdana" w:hAnsi="Verdana"/>
        </w:rPr>
      </w:pPr>
    </w:p>
    <w:p w14:paraId="5F75025B" w14:textId="77777777" w:rsidR="00597401" w:rsidRDefault="00597401" w:rsidP="00597401">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 xml:space="preserve">mediante las cuales </w:t>
      </w:r>
      <w:r w:rsidRPr="009A385A">
        <w:rPr>
          <w:rFonts w:ascii="Verdana" w:hAnsi="Verdana"/>
          <w:b/>
          <w:bCs/>
        </w:rPr>
        <w:lastRenderedPageBreak/>
        <w:t>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26E85745" w14:textId="77777777" w:rsidR="00597401" w:rsidRDefault="00597401" w:rsidP="00597401">
      <w:pPr>
        <w:spacing w:after="0"/>
        <w:jc w:val="both"/>
        <w:rPr>
          <w:rFonts w:ascii="Verdana" w:hAnsi="Verdana"/>
        </w:rPr>
      </w:pPr>
    </w:p>
    <w:p w14:paraId="3A68AF5C" w14:textId="77777777" w:rsidR="00597401" w:rsidRPr="008E1CD7" w:rsidRDefault="00597401" w:rsidP="00597401">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D1C263A" w14:textId="77777777" w:rsidR="00597401" w:rsidRDefault="00597401" w:rsidP="00597401">
      <w:pPr>
        <w:shd w:val="clear" w:color="auto" w:fill="FFFFFF"/>
        <w:spacing w:after="0" w:line="276" w:lineRule="auto"/>
        <w:jc w:val="both"/>
        <w:rPr>
          <w:rFonts w:ascii="Verdana" w:hAnsi="Verdana"/>
          <w:color w:val="000000"/>
          <w:u w:val="single"/>
        </w:rPr>
      </w:pPr>
    </w:p>
    <w:p w14:paraId="1BF355B1" w14:textId="77777777" w:rsidR="00597401" w:rsidRPr="00116940" w:rsidRDefault="00597401" w:rsidP="00597401">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612B19E0" w14:textId="77777777" w:rsidR="00597401" w:rsidRPr="00116940" w:rsidRDefault="00597401" w:rsidP="00597401">
      <w:pPr>
        <w:spacing w:after="0"/>
        <w:jc w:val="both"/>
        <w:rPr>
          <w:rFonts w:ascii="Verdana" w:hAnsi="Verdana"/>
        </w:rPr>
      </w:pPr>
    </w:p>
    <w:p w14:paraId="4D8C9784" w14:textId="77777777" w:rsidR="00597401" w:rsidRPr="00116940" w:rsidRDefault="00597401" w:rsidP="00597401">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59D876F" w14:textId="77777777" w:rsidR="00597401" w:rsidRPr="00116940" w:rsidRDefault="00597401" w:rsidP="00597401">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761770E" w14:textId="77777777" w:rsidR="00597401" w:rsidRPr="00116940" w:rsidRDefault="00597401" w:rsidP="0059740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612123BC" w14:textId="77777777" w:rsidR="00597401" w:rsidRPr="00116940" w:rsidRDefault="00597401" w:rsidP="0059740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4F64C05B" w14:textId="77777777" w:rsidR="00597401" w:rsidRPr="00116940" w:rsidRDefault="00597401" w:rsidP="00597401">
      <w:pPr>
        <w:spacing w:after="0" w:line="240" w:lineRule="auto"/>
        <w:ind w:left="720"/>
        <w:jc w:val="both"/>
        <w:rPr>
          <w:rFonts w:ascii="Verdana" w:hAnsi="Verdana"/>
        </w:rPr>
      </w:pPr>
    </w:p>
    <w:p w14:paraId="673453D3" w14:textId="77777777" w:rsidR="00597401" w:rsidRPr="00116940" w:rsidRDefault="00597401" w:rsidP="00597401">
      <w:pPr>
        <w:spacing w:after="0" w:line="240" w:lineRule="auto"/>
        <w:rPr>
          <w:rFonts w:ascii="Verdana" w:hAnsi="Verdana"/>
        </w:rPr>
      </w:pPr>
      <w:r w:rsidRPr="00116940">
        <w:rPr>
          <w:rFonts w:ascii="Verdana" w:hAnsi="Verdana"/>
        </w:rPr>
        <w:lastRenderedPageBreak/>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D80ADA7" w14:textId="77777777" w:rsidR="00597401" w:rsidRPr="00116940" w:rsidRDefault="00597401" w:rsidP="00597401">
      <w:pPr>
        <w:spacing w:after="0" w:line="240" w:lineRule="auto"/>
        <w:rPr>
          <w:rFonts w:ascii="Verdana" w:hAnsi="Verdana"/>
        </w:rPr>
      </w:pPr>
    </w:p>
    <w:p w14:paraId="2C92BE01" w14:textId="77777777" w:rsidR="00597401" w:rsidRPr="00116940" w:rsidRDefault="00597401" w:rsidP="00597401">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48FFA24" w14:textId="77777777" w:rsidR="00597401" w:rsidRPr="00116940" w:rsidRDefault="00597401" w:rsidP="00597401">
      <w:pPr>
        <w:spacing w:after="0" w:line="240" w:lineRule="auto"/>
        <w:jc w:val="both"/>
        <w:rPr>
          <w:rFonts w:ascii="Verdana" w:hAnsi="Verdana"/>
        </w:rPr>
      </w:pPr>
    </w:p>
    <w:p w14:paraId="727BFF62" w14:textId="77777777" w:rsidR="00597401" w:rsidRPr="00116940" w:rsidRDefault="00597401" w:rsidP="00597401">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A01374F" w14:textId="77777777" w:rsidR="00597401" w:rsidRPr="00116940" w:rsidRDefault="00597401" w:rsidP="00597401">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BB389F9" w14:textId="77777777" w:rsidR="00597401" w:rsidRPr="00116940" w:rsidRDefault="00597401" w:rsidP="00597401">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1C0D8BD" w14:textId="77777777" w:rsidR="00597401" w:rsidRPr="009C4035" w:rsidRDefault="00597401" w:rsidP="00597401">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0E47CF36" w14:textId="77777777" w:rsidR="00597401" w:rsidRPr="00593A5F" w:rsidRDefault="00597401" w:rsidP="0059740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3E50A87" w14:textId="77777777" w:rsidR="00597401" w:rsidRPr="00593A5F" w:rsidRDefault="00597401" w:rsidP="00597401">
      <w:pPr>
        <w:widowControl w:val="0"/>
        <w:autoSpaceDE w:val="0"/>
        <w:autoSpaceDN w:val="0"/>
        <w:spacing w:after="0" w:line="276" w:lineRule="auto"/>
        <w:jc w:val="both"/>
        <w:rPr>
          <w:rFonts w:ascii="Verdana" w:hAnsi="Verdana" w:cs="Arial"/>
        </w:rPr>
      </w:pPr>
    </w:p>
    <w:p w14:paraId="34D1DAEC" w14:textId="77777777" w:rsidR="00597401" w:rsidRPr="00593A5F" w:rsidRDefault="00597401" w:rsidP="00597401">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1C86F91" w14:textId="3029CC54" w:rsidR="00597401" w:rsidRPr="00593A5F" w:rsidRDefault="00291EA0" w:rsidP="00597401">
      <w:pPr>
        <w:spacing w:line="276" w:lineRule="auto"/>
        <w:jc w:val="center"/>
        <w:rPr>
          <w:rFonts w:ascii="Verdana" w:hAnsi="Verdana" w:cs="Arial"/>
          <w:color w:val="000000"/>
          <w:lang w:val="es-ES_tradnl" w:eastAsia="es-CO"/>
        </w:rPr>
      </w:pPr>
      <w:r>
        <w:rPr>
          <w:noProof/>
        </w:rPr>
        <w:drawing>
          <wp:inline distT="0" distB="0" distL="0" distR="0" wp14:anchorId="4E907640" wp14:editId="171556E2">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W w:w="6521" w:type="dxa"/>
        <w:tblLook w:val="04A0" w:firstRow="1" w:lastRow="0" w:firstColumn="1" w:lastColumn="0" w:noHBand="0" w:noVBand="1"/>
      </w:tblPr>
      <w:tblGrid>
        <w:gridCol w:w="893"/>
        <w:gridCol w:w="5628"/>
      </w:tblGrid>
      <w:tr w:rsidR="007F36BC" w:rsidRPr="00593A5F" w14:paraId="7D8FF23A" w14:textId="77777777">
        <w:trPr>
          <w:trHeight w:val="315"/>
        </w:trPr>
        <w:tc>
          <w:tcPr>
            <w:tcW w:w="893" w:type="dxa"/>
            <w:vAlign w:val="center"/>
            <w:hideMark/>
          </w:tcPr>
          <w:p w14:paraId="316CF3BB" w14:textId="77777777" w:rsidR="00597401" w:rsidRPr="003751C7" w:rsidRDefault="0059740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BCF0F8C" w14:textId="77777777" w:rsidR="00597401" w:rsidRPr="00254A7A" w:rsidRDefault="00597401">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19433B2" w14:textId="77777777" w:rsidR="00597401" w:rsidRPr="00254A7A" w:rsidRDefault="00597401">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7F36BC" w:rsidRPr="00593A5F" w14:paraId="344C01B3" w14:textId="77777777">
        <w:trPr>
          <w:trHeight w:val="330"/>
        </w:trPr>
        <w:tc>
          <w:tcPr>
            <w:tcW w:w="893" w:type="dxa"/>
            <w:vAlign w:val="center"/>
            <w:hideMark/>
          </w:tcPr>
          <w:p w14:paraId="164C8E9D" w14:textId="77777777" w:rsidR="00597401" w:rsidRPr="003751C7" w:rsidRDefault="0059740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207D3F6" w14:textId="77777777" w:rsidR="00597401" w:rsidRPr="00F71DBB" w:rsidRDefault="00597401">
            <w:pPr>
              <w:pStyle w:val="paragraph"/>
              <w:spacing w:after="0"/>
              <w:contextualSpacing/>
              <w:textAlignment w:val="baseline"/>
              <w:rPr>
                <w:rStyle w:val="normaltextrun"/>
                <w:rFonts w:ascii="Verdana" w:hAnsi="Verdana" w:cs="Arial"/>
                <w:sz w:val="16"/>
                <w:szCs w:val="16"/>
                <w:lang w:val="es-ES_tradnl"/>
              </w:rPr>
            </w:pPr>
            <w:r w:rsidRPr="00F71DBB">
              <w:rPr>
                <w:rStyle w:val="normaltextrun"/>
                <w:rFonts w:ascii="Verdana" w:hAnsi="Verdana" w:cs="Arial"/>
                <w:sz w:val="16"/>
                <w:szCs w:val="16"/>
                <w:lang w:val="es-ES_tradnl"/>
              </w:rPr>
              <w:t>Alejandro Sarmiento Cantillo</w:t>
            </w:r>
          </w:p>
          <w:p w14:paraId="515B3D50" w14:textId="77777777" w:rsidR="00597401" w:rsidRPr="00A40FD0" w:rsidRDefault="00597401">
            <w:pPr>
              <w:pStyle w:val="paragraph"/>
              <w:spacing w:before="0" w:beforeAutospacing="0" w:after="0" w:afterAutospacing="0"/>
              <w:contextualSpacing/>
              <w:textAlignment w:val="baseline"/>
              <w:rPr>
                <w:rFonts w:ascii="Verdana" w:hAnsi="Verdana" w:cs="Segoe UI"/>
                <w:sz w:val="16"/>
                <w:szCs w:val="16"/>
              </w:rPr>
            </w:pPr>
            <w:r w:rsidRPr="00F71DBB">
              <w:rPr>
                <w:rStyle w:val="normaltextrun"/>
                <w:rFonts w:ascii="Verdana" w:hAnsi="Verdana" w:cs="Arial"/>
                <w:sz w:val="16"/>
                <w:szCs w:val="16"/>
                <w:lang w:val="es-ES_tradnl"/>
              </w:rPr>
              <w:t>Gestor T1 ‒ 15 de la Subdirección de Gestión Contractual</w:t>
            </w:r>
          </w:p>
        </w:tc>
      </w:tr>
      <w:tr w:rsidR="007F36BC" w:rsidRPr="00593A5F" w14:paraId="1DCA5C25" w14:textId="77777777">
        <w:trPr>
          <w:trHeight w:val="300"/>
        </w:trPr>
        <w:tc>
          <w:tcPr>
            <w:tcW w:w="893" w:type="dxa"/>
            <w:vAlign w:val="center"/>
          </w:tcPr>
          <w:p w14:paraId="62EA0F7C" w14:textId="77777777" w:rsidR="00597401" w:rsidRPr="003751C7" w:rsidRDefault="0059740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60F19F" w14:textId="77777777" w:rsidR="00597401" w:rsidRPr="00FE00BE" w:rsidRDefault="00597401">
            <w:pPr>
              <w:contextualSpacing/>
              <w:rPr>
                <w:rFonts w:ascii="Verdana" w:eastAsia="Calibri" w:hAnsi="Verdana" w:cs="Arial"/>
                <w:sz w:val="16"/>
                <w:szCs w:val="16"/>
                <w:lang w:val="es-ES" w:eastAsia="es-ES"/>
              </w:rPr>
            </w:pPr>
            <w:r w:rsidRPr="3F9BD63E">
              <w:rPr>
                <w:rFonts w:ascii="Verdana" w:eastAsia="Calibri" w:hAnsi="Verdana" w:cs="Arial"/>
                <w:sz w:val="16"/>
                <w:szCs w:val="16"/>
                <w:lang w:val="es-ES" w:eastAsia="es-ES"/>
              </w:rPr>
              <w:t>Carolina Quintero Gacharná</w:t>
            </w:r>
          </w:p>
          <w:p w14:paraId="4A2237FA" w14:textId="77777777" w:rsidR="00597401" w:rsidRPr="00FE00BE" w:rsidRDefault="00597401">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773DC79D" w14:textId="77777777" w:rsidR="00597401" w:rsidRDefault="00597401" w:rsidP="00597401"/>
    <w:p w14:paraId="181FB984" w14:textId="7C2DB6D4" w:rsidR="00597401" w:rsidRPr="00543BFE" w:rsidRDefault="00597401" w:rsidP="00597401"/>
    <w:p w14:paraId="0F293BF4" w14:textId="4C139BB4" w:rsidR="00127233" w:rsidRPr="007C26EA" w:rsidRDefault="00127233" w:rsidP="007C26EA"/>
    <w:sectPr w:rsidR="00127233" w:rsidRPr="007C26EA"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BD0213" w14:textId="77777777" w:rsidR="003936FF" w:rsidRDefault="003936FF" w:rsidP="004A1847">
      <w:pPr>
        <w:spacing w:after="0" w:line="240" w:lineRule="auto"/>
      </w:pPr>
      <w:r>
        <w:separator/>
      </w:r>
    </w:p>
  </w:endnote>
  <w:endnote w:type="continuationSeparator" w:id="0">
    <w:p w14:paraId="56370C93" w14:textId="77777777" w:rsidR="003936FF" w:rsidRDefault="003936F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AD3260"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AD3260">
      <w:rPr>
        <w:rFonts w:ascii="Verdana" w:eastAsia="Verdana" w:hAnsi="Verdana" w:cs="Verdana"/>
        <w:b/>
        <w:color w:val="000000" w:themeColor="text1"/>
        <w:sz w:val="18"/>
        <w:szCs w:val="18"/>
        <w:lang w:val="pt-BR" w:eastAsia="es-CO"/>
      </w:rPr>
      <w:t xml:space="preserve">Código: </w:t>
    </w:r>
    <w:r w:rsidRPr="00AD3260">
      <w:rPr>
        <w:rFonts w:ascii="Verdana" w:eastAsia="Verdana" w:hAnsi="Verdana" w:cs="Verdana"/>
        <w:color w:val="000000" w:themeColor="text1"/>
        <w:sz w:val="18"/>
        <w:szCs w:val="18"/>
        <w:lang w:val="pt-BR" w:eastAsia="es-CO"/>
      </w:rPr>
      <w:t xml:space="preserve">CCE-REC-FM-17 </w:t>
    </w:r>
    <w:r w:rsidRPr="00AD3260">
      <w:rPr>
        <w:rFonts w:ascii="Verdana" w:eastAsia="Verdana" w:hAnsi="Verdana" w:cs="Verdana"/>
        <w:b/>
        <w:color w:val="000000" w:themeColor="text1"/>
        <w:sz w:val="18"/>
        <w:szCs w:val="18"/>
        <w:lang w:val="pt-BR" w:eastAsia="es-CO"/>
      </w:rPr>
      <w:t xml:space="preserve">V: </w:t>
    </w:r>
    <w:r w:rsidRPr="00AD3260">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9C51D" w14:textId="77777777" w:rsidR="003936FF" w:rsidRDefault="003936FF" w:rsidP="004A1847">
      <w:pPr>
        <w:spacing w:after="0" w:line="240" w:lineRule="auto"/>
      </w:pPr>
      <w:r>
        <w:separator/>
      </w:r>
    </w:p>
  </w:footnote>
  <w:footnote w:type="continuationSeparator" w:id="0">
    <w:p w14:paraId="335DB988" w14:textId="77777777" w:rsidR="003936FF" w:rsidRDefault="003936FF" w:rsidP="004A1847">
      <w:pPr>
        <w:spacing w:after="0" w:line="240" w:lineRule="auto"/>
      </w:pPr>
      <w:r>
        <w:continuationSeparator/>
      </w:r>
    </w:p>
  </w:footnote>
  <w:footnote w:id="1">
    <w:p w14:paraId="267AFBB9" w14:textId="77777777" w:rsidR="00597401" w:rsidRPr="00224A89" w:rsidRDefault="00597401" w:rsidP="00597401">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224A89">
        <w:rPr>
          <w:rFonts w:ascii="Verdana" w:hAnsi="Verdana" w:cs="Arial"/>
          <w:color w:val="000000"/>
          <w:sz w:val="16"/>
          <w:szCs w:val="16"/>
          <w:shd w:val="clear" w:color="auto" w:fill="FFFFFF"/>
        </w:rPr>
        <w:t>” (</w:t>
      </w:r>
      <w:r w:rsidRPr="00224A89">
        <w:rPr>
          <w:rFonts w:ascii="Verdana" w:hAnsi="Verdana" w:cs="Arial"/>
          <w:color w:val="000000"/>
          <w:sz w:val="16"/>
          <w:szCs w:val="16"/>
        </w:rPr>
        <w:t>EXPOSITO, Juan Carlos. Forma y contenido del contrato estatal. Bogotá: Universidad Externado de Colombia, p. 89 y 90).</w:t>
      </w:r>
    </w:p>
  </w:footnote>
  <w:footnote w:id="2">
    <w:p w14:paraId="5717B023" w14:textId="77777777" w:rsidR="00597401" w:rsidRPr="00224A89" w:rsidRDefault="00597401" w:rsidP="00597401">
      <w:pPr>
        <w:pStyle w:val="Textonotapie"/>
        <w:ind w:firstLine="708"/>
        <w:jc w:val="both"/>
        <w:rPr>
          <w:rFonts w:ascii="Verdana" w:hAnsi="Verdana" w:cs="Arial"/>
          <w:color w:val="000000"/>
          <w:sz w:val="16"/>
          <w:szCs w:val="16"/>
          <w:lang w:val="es-CO"/>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3">
    <w:p w14:paraId="42CD16F1" w14:textId="77777777" w:rsidR="00597401" w:rsidRPr="00224A89" w:rsidRDefault="00597401" w:rsidP="00597401">
      <w:pPr>
        <w:spacing w:after="0"/>
        <w:ind w:firstLine="708"/>
        <w:jc w:val="both"/>
        <w:rPr>
          <w:rFonts w:ascii="Verdana" w:hAnsi="Verdana" w:cs="Arial"/>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4">
    <w:p w14:paraId="50F5E86D" w14:textId="77777777" w:rsidR="00597401" w:rsidRPr="00224A89" w:rsidRDefault="00597401" w:rsidP="00597401">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EXPÓSITO VÉLEZ, Juan Carlos. Forma y contenido del contrato estatal, p. 90.</w:t>
      </w:r>
    </w:p>
  </w:footnote>
  <w:footnote w:id="5">
    <w:p w14:paraId="04E28561" w14:textId="77777777" w:rsidR="00597401" w:rsidRPr="00224A89" w:rsidRDefault="00597401" w:rsidP="00597401">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Sala de Consulta y Servicio Civil. Radicado No. 1453. Concepto de 6 de agosto de 2003. MP. Augusto Trejos.</w:t>
      </w:r>
    </w:p>
  </w:footnote>
  <w:footnote w:id="6">
    <w:p w14:paraId="01237D4F" w14:textId="77777777" w:rsidR="00597401" w:rsidRPr="00224A89" w:rsidRDefault="00597401" w:rsidP="00597401">
      <w:pPr>
        <w:pStyle w:val="Textonotapie"/>
        <w:ind w:firstLine="708"/>
        <w:jc w:val="both"/>
        <w:rPr>
          <w:rFonts w:ascii="Verdana" w:hAnsi="Verdana" w:cs="Arial"/>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w:t>
      </w:r>
      <w:r w:rsidRPr="00224A89">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498AF379" w14:textId="77777777" w:rsidR="00597401" w:rsidRPr="00224A89" w:rsidRDefault="00597401" w:rsidP="00597401">
      <w:pPr>
        <w:pStyle w:val="Textonotapie"/>
        <w:ind w:firstLine="708"/>
        <w:jc w:val="both"/>
        <w:rPr>
          <w:rFonts w:ascii="Verdana" w:hAnsi="Verdana" w:cs="Arial"/>
          <w:color w:val="000000"/>
          <w:sz w:val="16"/>
          <w:szCs w:val="16"/>
          <w:lang w:val="es-ES"/>
        </w:rPr>
      </w:pPr>
      <w:r w:rsidRPr="00224A89">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72AB5680" w14:textId="77777777" w:rsidR="00597401" w:rsidRPr="00224A89" w:rsidRDefault="00597401" w:rsidP="00597401">
      <w:pPr>
        <w:pStyle w:val="Textonotapie"/>
        <w:ind w:firstLine="708"/>
        <w:jc w:val="both"/>
        <w:rPr>
          <w:rFonts w:ascii="Verdana" w:hAnsi="Verdana" w:cs="Arial"/>
          <w:color w:val="000000"/>
          <w:sz w:val="16"/>
          <w:szCs w:val="16"/>
          <w:lang w:val="es-ES"/>
        </w:rPr>
      </w:pPr>
      <w:r w:rsidRPr="00224A89">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3222673C" w14:textId="77777777" w:rsidR="00597401" w:rsidRPr="00224A89" w:rsidRDefault="00597401" w:rsidP="00597401">
      <w:pPr>
        <w:pStyle w:val="Textonotapie"/>
        <w:ind w:firstLine="708"/>
        <w:jc w:val="both"/>
        <w:rPr>
          <w:rFonts w:ascii="Verdana" w:hAnsi="Verdana" w:cs="Arial"/>
          <w:color w:val="000000"/>
          <w:sz w:val="16"/>
          <w:szCs w:val="16"/>
          <w:lang w:val="es-ES"/>
        </w:rPr>
      </w:pPr>
      <w:r w:rsidRPr="00224A89">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7">
    <w:p w14:paraId="6CDF3080" w14:textId="77777777" w:rsidR="00597401" w:rsidRPr="00224A89" w:rsidRDefault="00597401" w:rsidP="00597401">
      <w:pPr>
        <w:pStyle w:val="Textonotapie"/>
        <w:ind w:firstLine="709"/>
        <w:jc w:val="both"/>
        <w:rPr>
          <w:rFonts w:ascii="Verdana" w:hAnsi="Verdana" w:cs="Arial"/>
          <w:color w:val="000000"/>
          <w:sz w:val="16"/>
          <w:szCs w:val="16"/>
          <w:lang w:val="es-CO"/>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Subsección C, Sentencia del 24 de julio de 2013, radicado No. 25.642, Consejero Ponente Enrique Gil Botero.</w:t>
      </w:r>
    </w:p>
  </w:footnote>
  <w:footnote w:id="8">
    <w:p w14:paraId="4954982F" w14:textId="77777777" w:rsidR="00597401" w:rsidRPr="00224A89" w:rsidRDefault="00597401" w:rsidP="00597401">
      <w:pPr>
        <w:pStyle w:val="NormalWeb"/>
        <w:spacing w:before="0" w:beforeAutospacing="0" w:after="0" w:afterAutospacing="0"/>
        <w:ind w:firstLine="709"/>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Decreto 1082 de 2015 “</w:t>
      </w:r>
      <w:r w:rsidRPr="00224A89">
        <w:rPr>
          <w:rStyle w:val="Fuerte"/>
          <w:rFonts w:ascii="Verdana" w:hAnsi="Verdana" w:cs="Arial"/>
          <w:color w:val="000000"/>
          <w:sz w:val="16"/>
          <w:szCs w:val="16"/>
        </w:rPr>
        <w:t>Artículo 2.2.1.2.1.5.2. </w:t>
      </w:r>
      <w:r w:rsidRPr="00224A89">
        <w:rPr>
          <w:rStyle w:val="nfasis"/>
          <w:rFonts w:ascii="Verdana" w:eastAsia="MS Mincho" w:hAnsi="Verdana" w:cs="Arial"/>
          <w:color w:val="000000"/>
          <w:sz w:val="16"/>
          <w:szCs w:val="16"/>
        </w:rPr>
        <w:t>Procedimiento para la contratación de mínima cuantía. </w:t>
      </w:r>
      <w:r w:rsidRPr="00224A89">
        <w:rPr>
          <w:rFonts w:ascii="Verdana" w:hAnsi="Verdana" w:cs="Arial"/>
          <w:color w:val="000000"/>
          <w:sz w:val="16"/>
          <w:szCs w:val="16"/>
        </w:rPr>
        <w:t>Las siguientes reglas son aplicables a la contratación cuyo valor no excede del 10% de la menor cuantía de la Entidad Estatal, independientemente de su objeto: </w:t>
      </w:r>
    </w:p>
    <w:p w14:paraId="4D5F1C50" w14:textId="77777777" w:rsidR="00597401" w:rsidRPr="00224A89" w:rsidRDefault="00597401" w:rsidP="00597401">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y el cumplimiento de las condiciones técnicas exigidas […]”. </w:t>
      </w:r>
    </w:p>
  </w:footnote>
  <w:footnote w:id="9">
    <w:p w14:paraId="54CE0FB7" w14:textId="77777777" w:rsidR="00597401" w:rsidRPr="00224A89" w:rsidRDefault="00597401" w:rsidP="00597401">
      <w:pPr>
        <w:pStyle w:val="NormalWeb"/>
        <w:spacing w:before="0" w:beforeAutospacing="0" w:after="0" w:afterAutospacing="0"/>
        <w:ind w:firstLine="720"/>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Ley 80 de 1993 “</w:t>
      </w:r>
      <w:r w:rsidRPr="00224A89">
        <w:rPr>
          <w:rStyle w:val="Fuerte"/>
          <w:rFonts w:ascii="Verdana" w:hAnsi="Verdana" w:cs="Arial"/>
          <w:color w:val="000000"/>
          <w:sz w:val="16"/>
          <w:szCs w:val="16"/>
        </w:rPr>
        <w:t>Articulo 39. De la forma del contrato estatal. </w:t>
      </w:r>
      <w:r w:rsidRPr="00224A89">
        <w:rPr>
          <w:rFonts w:ascii="Verdana" w:hAnsi="Verdana" w:cs="Arial"/>
          <w:color w:val="000000"/>
          <w:sz w:val="16"/>
          <w:szCs w:val="16"/>
        </w:rPr>
        <w:t>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w:t>
      </w:r>
    </w:p>
    <w:p w14:paraId="003DB37B" w14:textId="77777777" w:rsidR="00597401" w:rsidRPr="00224A89" w:rsidRDefault="00597401" w:rsidP="00597401">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w:t>
      </w:r>
      <w:bookmarkStart w:id="2" w:name="ver_1790147"/>
      <w:bookmarkStart w:id="3" w:name="ver_30220791"/>
      <w:bookmarkStart w:id="4" w:name="ver_1790148"/>
      <w:bookmarkEnd w:id="2"/>
      <w:bookmarkEnd w:id="3"/>
    </w:p>
    <w:p w14:paraId="5A1B1A8C" w14:textId="77777777" w:rsidR="00597401" w:rsidRPr="00224A89" w:rsidRDefault="00597401" w:rsidP="00597401">
      <w:pPr>
        <w:pStyle w:val="NormalWeb"/>
        <w:spacing w:before="0" w:beforeAutospacing="0" w:after="0" w:afterAutospacing="0"/>
        <w:ind w:firstLine="720"/>
        <w:jc w:val="both"/>
        <w:rPr>
          <w:rFonts w:ascii="Verdana" w:hAnsi="Verdana" w:cs="Arial"/>
          <w:color w:val="000000"/>
          <w:sz w:val="16"/>
          <w:szCs w:val="16"/>
        </w:rPr>
      </w:pPr>
      <w:r w:rsidRPr="00224A89">
        <w:rPr>
          <w:rStyle w:val="Fuerte"/>
          <w:rFonts w:ascii="Verdana" w:hAnsi="Verdana" w:cs="Arial"/>
          <w:color w:val="000000"/>
          <w:sz w:val="16"/>
          <w:szCs w:val="16"/>
        </w:rPr>
        <w:t>Artículo 40. Del contenido del contrato estatal.</w:t>
      </w:r>
      <w:r w:rsidRPr="00224A89">
        <w:rPr>
          <w:rFonts w:ascii="Verdana" w:hAnsi="Verdana" w:cs="Arial"/>
          <w:color w:val="000000"/>
          <w:sz w:val="16"/>
          <w:szCs w:val="16"/>
        </w:rPr>
        <w:t> Las estipulaciones de los contratos serán las que de acuerdo con las normas civiles, comerciales y las previstas en esta ley, correspondan a su esencia y naturaleza. </w:t>
      </w:r>
    </w:p>
    <w:p w14:paraId="5CD654C9" w14:textId="77777777" w:rsidR="00597401" w:rsidRPr="00224A89" w:rsidRDefault="00597401" w:rsidP="00597401">
      <w:pPr>
        <w:pStyle w:val="NormalWeb"/>
        <w:spacing w:before="0" w:beforeAutospacing="0" w:after="0" w:afterAutospacing="0"/>
        <w:ind w:firstLine="720"/>
        <w:jc w:val="both"/>
        <w:rPr>
          <w:rFonts w:ascii="Verdana" w:hAnsi="Verdana" w:cs="Arial"/>
          <w:color w:val="000000"/>
          <w:sz w:val="16"/>
          <w:szCs w:val="16"/>
        </w:rPr>
      </w:pPr>
      <w:r w:rsidRPr="00224A89">
        <w:rPr>
          <w:rFonts w:ascii="Verdana" w:hAnsi="Verdana" w:cs="Arial"/>
          <w:color w:val="000000"/>
          <w:sz w:val="16"/>
          <w:szCs w:val="16"/>
        </w:rPr>
        <w:t>Las entidades podrán celebrar los contratos y acuerdos que permitan la autonomía de la voluntad y requieran el cumplimiento de los fines estatales. </w:t>
      </w:r>
    </w:p>
    <w:p w14:paraId="257F88C6" w14:textId="77777777" w:rsidR="00597401" w:rsidRPr="00224A89" w:rsidRDefault="00597401" w:rsidP="00597401">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  </w:t>
      </w:r>
    </w:p>
    <w:p w14:paraId="28AEE108" w14:textId="77777777" w:rsidR="00597401" w:rsidRPr="00224A89" w:rsidRDefault="00597401" w:rsidP="00597401">
      <w:pPr>
        <w:pStyle w:val="NormalWeb"/>
        <w:spacing w:before="0" w:beforeAutospacing="0" w:after="0" w:afterAutospacing="0"/>
        <w:ind w:firstLine="720"/>
        <w:jc w:val="both"/>
        <w:rPr>
          <w:rFonts w:ascii="Verdana" w:hAnsi="Verdana" w:cs="Arial"/>
          <w:color w:val="000000"/>
          <w:sz w:val="16"/>
          <w:szCs w:val="16"/>
        </w:rPr>
      </w:pPr>
      <w:bookmarkStart w:id="5" w:name="ver_30161420"/>
      <w:bookmarkStart w:id="6" w:name="ver_1790149"/>
      <w:bookmarkStart w:id="7" w:name="ver_30161408"/>
      <w:bookmarkStart w:id="8" w:name="ver_30161443"/>
      <w:bookmarkEnd w:id="4"/>
      <w:bookmarkEnd w:id="5"/>
      <w:bookmarkEnd w:id="6"/>
      <w:bookmarkEnd w:id="7"/>
      <w:bookmarkEnd w:id="8"/>
      <w:r w:rsidRPr="00224A89">
        <w:rPr>
          <w:rStyle w:val="Fuerte"/>
          <w:rFonts w:ascii="Verdana" w:hAnsi="Verdana" w:cs="Arial"/>
          <w:color w:val="000000"/>
          <w:sz w:val="16"/>
          <w:szCs w:val="16"/>
        </w:rPr>
        <w:t>Artículo 41. Del perfeccionamiento del contrato.</w:t>
      </w:r>
      <w:r w:rsidRPr="00224A89">
        <w:rPr>
          <w:rFonts w:ascii="Verdana" w:hAnsi="Verdana" w:cs="Arial"/>
          <w:color w:val="000000"/>
          <w:sz w:val="16"/>
          <w:szCs w:val="16"/>
        </w:rPr>
        <w:t> Los contratos del Estado se perfeccionan cuando se logre acuerdo sobre el objeto y la contraprestación y éste se eleve a escrito […]”.</w:t>
      </w:r>
    </w:p>
  </w:footnote>
  <w:footnote w:id="10">
    <w:p w14:paraId="57FBC639" w14:textId="77777777" w:rsidR="00597401" w:rsidRPr="00224A89" w:rsidRDefault="00597401" w:rsidP="00597401">
      <w:pPr>
        <w:pStyle w:val="Textonotapie"/>
        <w:ind w:firstLine="709"/>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Ley 80 de 1993 “</w:t>
      </w:r>
      <w:r w:rsidRPr="00224A89">
        <w:rPr>
          <w:rStyle w:val="Fuerte"/>
          <w:rFonts w:ascii="Verdana" w:hAnsi="Verdana" w:cs="Arial"/>
          <w:color w:val="000000"/>
          <w:sz w:val="16"/>
          <w:szCs w:val="16"/>
        </w:rPr>
        <w:t>Artículo 77. De la normatividad aplicable en las actuaciones administrativas.</w:t>
      </w:r>
      <w:r w:rsidRPr="00224A89">
        <w:rPr>
          <w:rFonts w:ascii="Verdana" w:hAnsi="Verdana" w:cs="Arial"/>
          <w:color w:val="000000"/>
          <w:sz w:val="16"/>
          <w:szCs w:val="16"/>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1">
    <w:p w14:paraId="70F05C22" w14:textId="77777777" w:rsidR="00597401" w:rsidRPr="00224A89" w:rsidRDefault="00597401" w:rsidP="00597401">
      <w:pPr>
        <w:pStyle w:val="NormalWeb"/>
        <w:spacing w:before="0" w:beforeAutospacing="0" w:after="0" w:afterAutospacing="0"/>
        <w:ind w:firstLine="709"/>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Ley 80 de 1993 “</w:t>
      </w:r>
      <w:r w:rsidRPr="00224A89">
        <w:rPr>
          <w:rStyle w:val="Fuerte"/>
          <w:rFonts w:ascii="Verdana" w:hAnsi="Verdana" w:cs="Arial"/>
          <w:color w:val="000000"/>
          <w:sz w:val="16"/>
          <w:szCs w:val="16"/>
        </w:rPr>
        <w:t>Artículo 25. Del principio de economía.</w:t>
      </w:r>
      <w:r w:rsidRPr="00224A89">
        <w:rPr>
          <w:rFonts w:ascii="Verdana" w:hAnsi="Verdana" w:cs="Arial"/>
          <w:color w:val="000000"/>
          <w:sz w:val="16"/>
          <w:szCs w:val="16"/>
        </w:rPr>
        <w:t> En virtud de este principio: </w:t>
      </w:r>
    </w:p>
    <w:p w14:paraId="500B85FA" w14:textId="77777777" w:rsidR="00597401" w:rsidRPr="00224A89" w:rsidRDefault="00597401" w:rsidP="00597401">
      <w:pPr>
        <w:pStyle w:val="NormalWeb"/>
        <w:spacing w:before="0" w:beforeAutospacing="0" w:after="0" w:afterAutospacing="0"/>
        <w:ind w:firstLine="709"/>
        <w:jc w:val="both"/>
        <w:rPr>
          <w:rFonts w:ascii="Verdana" w:hAnsi="Verdana" w:cs="Arial"/>
          <w:color w:val="000000"/>
          <w:sz w:val="16"/>
          <w:szCs w:val="16"/>
        </w:rPr>
      </w:pPr>
      <w:r w:rsidRPr="00224A89">
        <w:rPr>
          <w:rFonts w:ascii="Verdana" w:hAnsi="Verdana" w:cs="Arial"/>
          <w:color w:val="000000"/>
          <w:sz w:val="16"/>
          <w:szCs w:val="16"/>
        </w:rPr>
        <w:t>[…]</w:t>
      </w:r>
    </w:p>
    <w:p w14:paraId="651FAACC" w14:textId="77777777" w:rsidR="00597401" w:rsidRPr="00224A89" w:rsidRDefault="00597401" w:rsidP="00597401">
      <w:pPr>
        <w:pStyle w:val="NormalWeb"/>
        <w:spacing w:before="0" w:beforeAutospacing="0" w:after="0" w:afterAutospacing="0"/>
        <w:ind w:firstLine="709"/>
        <w:jc w:val="both"/>
        <w:rPr>
          <w:rFonts w:ascii="Verdana" w:hAnsi="Verdana" w:cs="Arial"/>
          <w:color w:val="000000"/>
          <w:sz w:val="16"/>
          <w:szCs w:val="16"/>
        </w:rPr>
      </w:pPr>
      <w:r w:rsidRPr="00224A89">
        <w:rPr>
          <w:rFonts w:ascii="Verdana" w:hAnsi="Verdana" w:cs="Arial"/>
          <w:color w:val="000000"/>
          <w:sz w:val="16"/>
          <w:szCs w:val="16"/>
        </w:rPr>
        <w:t>4o. Los trámites se adelantarán con austeridad de tiempo, medios y gastos y se impedirán las dilaciones y los retardos en la ejecución del contrato. </w:t>
      </w:r>
    </w:p>
    <w:p w14:paraId="0AE8524B" w14:textId="77777777" w:rsidR="00597401" w:rsidRPr="00224A89" w:rsidRDefault="00597401" w:rsidP="00597401">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5o. Se adoptarán procedimientos que garanticen la pronta solución de las diferencias y controversias que con motivo de la celebración y ejecución del contrato se presenten […]”.</w:t>
      </w:r>
    </w:p>
  </w:footnote>
  <w:footnote w:id="12">
    <w:p w14:paraId="0DA9B63B" w14:textId="77777777" w:rsidR="00597401" w:rsidRPr="00224A89" w:rsidRDefault="00597401" w:rsidP="00597401">
      <w:pPr>
        <w:pStyle w:val="Textonotapie"/>
        <w:ind w:firstLine="708"/>
        <w:jc w:val="both"/>
        <w:rPr>
          <w:rFonts w:ascii="Verdana" w:hAnsi="Verdana" w:cs="Arial"/>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COLOMBIA COMPRA EFICIENTE. Guía para la Liquidación de los Procesos de Contratación. página 5, disponible en: </w:t>
      </w:r>
      <w:hyperlink r:id="rId1" w:history="1">
        <w:r w:rsidRPr="00224A89">
          <w:rPr>
            <w:rStyle w:val="Hipervnculo"/>
            <w:rFonts w:ascii="Verdana" w:hAnsi="Verdana" w:cs="Arial"/>
            <w:sz w:val="16"/>
            <w:szCs w:val="16"/>
          </w:rPr>
          <w:t xml:space="preserve">https://www.colombiacompra.gov.co/sites/cce_public/files/cce_documents/cce_guia_liquidacion_procesos.pdf  </w:t>
        </w:r>
      </w:hyperlink>
    </w:p>
  </w:footnote>
  <w:footnote w:id="13">
    <w:p w14:paraId="42C0A4A3" w14:textId="77777777" w:rsidR="00597401" w:rsidRPr="00224A89" w:rsidRDefault="00597401" w:rsidP="00597401">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4">
    <w:p w14:paraId="7378EBAF" w14:textId="77777777" w:rsidR="00597401" w:rsidRPr="00224A89" w:rsidRDefault="00597401" w:rsidP="00597401">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Sala de Consulta y Servicio Civil. Concepto de 28 de Junio de 2016. Radicación: 2253. C.P. Álvaro Namén Vargas. </w:t>
      </w:r>
    </w:p>
  </w:footnote>
  <w:footnote w:id="15">
    <w:p w14:paraId="00F69D0D" w14:textId="77777777" w:rsidR="00597401" w:rsidRPr="00224A89" w:rsidRDefault="00597401" w:rsidP="00597401">
      <w:pPr>
        <w:pStyle w:val="Textonotapie"/>
        <w:ind w:firstLine="708"/>
        <w:jc w:val="both"/>
        <w:rPr>
          <w:rFonts w:ascii="Verdana" w:hAnsi="Verdana"/>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w:t>
      </w:r>
      <w:r w:rsidRPr="00224A89">
        <w:rPr>
          <w:rFonts w:ascii="Verdana" w:hAnsi="Verdana" w:cs="Arial"/>
          <w:color w:val="000000"/>
          <w:sz w:val="16"/>
          <w:szCs w:val="16"/>
          <w:lang w:val="es-CO"/>
        </w:rPr>
        <w:t xml:space="preserve">Sala Plena. Auto del 1 de agosto de 2019. </w:t>
      </w:r>
      <w:r w:rsidRPr="00224A89">
        <w:rPr>
          <w:rFonts w:ascii="Verdana" w:hAnsi="Verdana" w:cs="Arial"/>
          <w:color w:val="000000"/>
          <w:sz w:val="16"/>
          <w:szCs w:val="16"/>
        </w:rPr>
        <w:t xml:space="preserve">Exp. 62009. C.P. Jaime Enrique Rodríguez Navas. </w:t>
      </w:r>
      <w:r w:rsidRPr="00224A89">
        <w:rPr>
          <w:rFonts w:ascii="Verdana" w:hAnsi="Verdana"/>
          <w:color w:val="000000"/>
          <w:sz w:val="16"/>
          <w:szCs w:val="16"/>
          <w:lang w:val="es-ES"/>
        </w:rPr>
        <w:t xml:space="preserve"> </w:t>
      </w:r>
    </w:p>
  </w:footnote>
  <w:footnote w:id="16">
    <w:p w14:paraId="0FF3B499" w14:textId="77777777" w:rsidR="00597401" w:rsidRPr="00224A89" w:rsidRDefault="00597401" w:rsidP="00597401">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DÍAZ DÍEZ, La liquidación… Op. cit., pp. 255-256.</w:t>
      </w:r>
    </w:p>
  </w:footnote>
  <w:footnote w:id="17">
    <w:p w14:paraId="1363FFE4" w14:textId="77777777" w:rsidR="00597401" w:rsidRPr="000606B6" w:rsidRDefault="00597401" w:rsidP="00597401">
      <w:pPr>
        <w:pStyle w:val="Textonotapie"/>
        <w:ind w:firstLine="708"/>
        <w:jc w:val="both"/>
        <w:rPr>
          <w:rFonts w:ascii="Verdana" w:hAnsi="Verdana"/>
          <w:sz w:val="16"/>
          <w:szCs w:val="16"/>
          <w:lang w:val="es-CO"/>
        </w:rPr>
      </w:pPr>
      <w:r w:rsidRPr="000606B6">
        <w:rPr>
          <w:rStyle w:val="Refdenotaalpie"/>
          <w:rFonts w:ascii="Verdana" w:hAnsi="Verdana"/>
          <w:sz w:val="16"/>
          <w:szCs w:val="16"/>
        </w:rPr>
        <w:footnoteRef/>
      </w:r>
      <w:r w:rsidRPr="000606B6">
        <w:rPr>
          <w:rFonts w:ascii="Verdana" w:hAnsi="Verdana"/>
          <w:sz w:val="16"/>
          <w:szCs w:val="16"/>
        </w:rPr>
        <w:t xml:space="preserve"> </w:t>
      </w:r>
      <w:r>
        <w:rPr>
          <w:rFonts w:ascii="Verdana" w:hAnsi="Verdana"/>
          <w:sz w:val="16"/>
          <w:szCs w:val="16"/>
        </w:rPr>
        <w:t>E</w:t>
      </w:r>
      <w:r w:rsidRPr="000606B6">
        <w:rPr>
          <w:rFonts w:ascii="Verdana" w:hAnsi="Verdana"/>
          <w:sz w:val="16"/>
          <w:szCs w:val="16"/>
        </w:rPr>
        <w:t>l artículo 45 de la Ley 1437 de 2011</w:t>
      </w:r>
      <w:r>
        <w:rPr>
          <w:rFonts w:ascii="Verdana" w:hAnsi="Verdana"/>
          <w:sz w:val="16"/>
          <w:szCs w:val="16"/>
        </w:rPr>
        <w:t xml:space="preserve"> dispone que “</w:t>
      </w:r>
      <w:r w:rsidRPr="00C8458E">
        <w:rPr>
          <w:rFonts w:ascii="Verdana" w:hAnsi="Verdana"/>
          <w:sz w:val="16"/>
          <w:szCs w:val="16"/>
        </w:rPr>
        <w:t>En cualquier tiempo, de oficio o a petición de parte, se podrán corregir los errores simplemente formales contenidos en los actos administrativos, ya sean aritméticos, de digitación, de transcripción o de omisión de palabras. En ningún caso la corrección dará lugar a cambios en el sentido material de la decisión, ni revivirá los términos legales para demandar el acto. Realizada la corrección, esta deberá ser notificada o comunicada a todos los interesados, según corresponda</w:t>
      </w:r>
      <w:r>
        <w:rPr>
          <w:rFonts w:ascii="Verdana" w:hAnsi="Verdana"/>
          <w:sz w:val="16"/>
          <w:szCs w:val="16"/>
        </w:rPr>
        <w:t>”</w:t>
      </w:r>
      <w:r w:rsidRPr="00C8458E">
        <w:rPr>
          <w:rFonts w:ascii="Verdana" w:hAnsi="Verdana"/>
          <w:sz w:val="16"/>
          <w:szCs w:val="16"/>
        </w:rPr>
        <w:t>.</w:t>
      </w:r>
    </w:p>
  </w:footnote>
  <w:footnote w:id="18">
    <w:p w14:paraId="7E5C968B" w14:textId="77777777" w:rsidR="00597401" w:rsidRPr="004559D9" w:rsidRDefault="00597401" w:rsidP="00597401">
      <w:pPr>
        <w:pStyle w:val="Textonotapie"/>
        <w:ind w:firstLine="708"/>
        <w:jc w:val="both"/>
        <w:rPr>
          <w:rFonts w:ascii="Verdana" w:hAnsi="Verdana"/>
          <w:sz w:val="16"/>
          <w:szCs w:val="16"/>
          <w:lang w:val="es-CO"/>
        </w:rPr>
      </w:pPr>
      <w:r w:rsidRPr="004559D9">
        <w:rPr>
          <w:rStyle w:val="Refdenotaalpie"/>
          <w:rFonts w:ascii="Verdana" w:hAnsi="Verdana"/>
          <w:sz w:val="16"/>
          <w:szCs w:val="16"/>
        </w:rPr>
        <w:footnoteRef/>
      </w:r>
      <w:r w:rsidRPr="004559D9">
        <w:rPr>
          <w:rFonts w:ascii="Verdana" w:hAnsi="Verdana"/>
          <w:sz w:val="16"/>
          <w:szCs w:val="16"/>
        </w:rPr>
        <w:t xml:space="preserve"> </w:t>
      </w:r>
      <w:r>
        <w:rPr>
          <w:rFonts w:ascii="Verdana" w:hAnsi="Verdana"/>
          <w:sz w:val="16"/>
          <w:szCs w:val="16"/>
        </w:rPr>
        <w:t>E</w:t>
      </w:r>
      <w:r w:rsidRPr="004559D9">
        <w:rPr>
          <w:rFonts w:ascii="Verdana" w:hAnsi="Verdana"/>
          <w:sz w:val="16"/>
          <w:szCs w:val="16"/>
        </w:rPr>
        <w:t>l inciso 1 del artículo 77 de la Ley 80 de 1993</w:t>
      </w:r>
      <w:r>
        <w:rPr>
          <w:rFonts w:ascii="Verdana" w:hAnsi="Verdana"/>
          <w:sz w:val="16"/>
          <w:szCs w:val="16"/>
        </w:rPr>
        <w:t xml:space="preserve"> precisa lo siguiente: “</w:t>
      </w:r>
      <w:r w:rsidRPr="004559D9">
        <w:rPr>
          <w:rFonts w:ascii="Verdana" w:hAnsi="Verdana"/>
          <w:sz w:val="16"/>
          <w:szCs w:val="16"/>
        </w:rPr>
        <w:t>En cuanto sean compatibles con la finalidad y los principios de esta ley, las normas que rigen los procedimientos y actuaciones en la función administrativa, serán aplicables en las actuaciones contractuales</w:t>
      </w:r>
      <w:r>
        <w:rPr>
          <w:rFonts w:ascii="Verdana" w:hAnsi="Verdana"/>
          <w:sz w:val="16"/>
          <w:szCs w:val="16"/>
        </w:rPr>
        <w:t xml:space="preserve"> […]”.</w:t>
      </w:r>
    </w:p>
  </w:footnote>
  <w:footnote w:id="19">
    <w:p w14:paraId="41084A58" w14:textId="77777777" w:rsidR="00597401" w:rsidRPr="00FD08CD" w:rsidRDefault="00597401" w:rsidP="00597401">
      <w:pPr>
        <w:pStyle w:val="Textonotapie"/>
        <w:ind w:firstLine="708"/>
        <w:jc w:val="both"/>
        <w:rPr>
          <w:rFonts w:ascii="Verdana" w:hAnsi="Verdana"/>
          <w:sz w:val="16"/>
          <w:szCs w:val="16"/>
        </w:rPr>
      </w:pPr>
      <w:r w:rsidRPr="00FD08CD">
        <w:rPr>
          <w:rStyle w:val="Refdenotaalpie"/>
          <w:rFonts w:ascii="Verdana" w:hAnsi="Verdana"/>
          <w:sz w:val="16"/>
          <w:szCs w:val="16"/>
        </w:rPr>
        <w:footnoteRef/>
      </w:r>
      <w:r w:rsidRPr="00FD08CD">
        <w:rPr>
          <w:rFonts w:ascii="Verdana" w:hAnsi="Verdana"/>
          <w:sz w:val="16"/>
          <w:szCs w:val="16"/>
        </w:rPr>
        <w:t xml:space="preserve"> </w:t>
      </w:r>
      <w:r>
        <w:rPr>
          <w:rFonts w:ascii="Verdana" w:hAnsi="Verdana"/>
          <w:sz w:val="16"/>
          <w:szCs w:val="16"/>
        </w:rPr>
        <w:t xml:space="preserve">En efecto, en virtud del principio de congruencia “[…] </w:t>
      </w:r>
      <w:r w:rsidRPr="00FD08CD">
        <w:rPr>
          <w:rFonts w:ascii="Verdana" w:hAnsi="Verdana"/>
          <w:sz w:val="16"/>
          <w:szCs w:val="16"/>
        </w:rPr>
        <w:t>se obliga al órgano competente para</w:t>
      </w:r>
      <w:r>
        <w:rPr>
          <w:rFonts w:ascii="Verdana" w:hAnsi="Verdana"/>
          <w:sz w:val="16"/>
          <w:szCs w:val="16"/>
        </w:rPr>
        <w:t xml:space="preserve"> </w:t>
      </w:r>
      <w:r w:rsidRPr="00FD08CD">
        <w:rPr>
          <w:rFonts w:ascii="Verdana" w:hAnsi="Verdana"/>
          <w:sz w:val="16"/>
          <w:szCs w:val="16"/>
        </w:rPr>
        <w:t>resolver el recurso administrativo a no desbordar y</w:t>
      </w:r>
      <w:r>
        <w:rPr>
          <w:rFonts w:ascii="Verdana" w:hAnsi="Verdana"/>
          <w:sz w:val="16"/>
          <w:szCs w:val="16"/>
        </w:rPr>
        <w:t xml:space="preserve"> </w:t>
      </w:r>
      <w:r w:rsidRPr="00FD08CD">
        <w:rPr>
          <w:rFonts w:ascii="Verdana" w:hAnsi="Verdana"/>
          <w:sz w:val="16"/>
          <w:szCs w:val="16"/>
        </w:rPr>
        <w:t>pronunciarse dentro del perímetro de las pretensiones del recurrente, sin poder resolver al margen o</w:t>
      </w:r>
      <w:r>
        <w:rPr>
          <w:rFonts w:ascii="Verdana" w:hAnsi="Verdana"/>
          <w:sz w:val="16"/>
          <w:szCs w:val="16"/>
        </w:rPr>
        <w:t xml:space="preserve"> </w:t>
      </w:r>
      <w:r w:rsidRPr="00FD08CD">
        <w:rPr>
          <w:rFonts w:ascii="Verdana" w:hAnsi="Verdana"/>
          <w:sz w:val="16"/>
          <w:szCs w:val="16"/>
        </w:rPr>
        <w:t>más allá de esas pretensiones -ultra petita-</w:t>
      </w:r>
      <w:r>
        <w:rPr>
          <w:rFonts w:ascii="Verdana" w:hAnsi="Verdana"/>
          <w:sz w:val="16"/>
          <w:szCs w:val="16"/>
        </w:rPr>
        <w:t xml:space="preserve">” (Cfr. </w:t>
      </w:r>
      <w:r w:rsidRPr="00FD08CD">
        <w:rPr>
          <w:rFonts w:ascii="Verdana" w:hAnsi="Verdana"/>
          <w:sz w:val="16"/>
          <w:szCs w:val="16"/>
        </w:rPr>
        <w:t>TÁBOAS BENTANACHS</w:t>
      </w:r>
      <w:r>
        <w:rPr>
          <w:rFonts w:ascii="Verdana" w:hAnsi="Verdana"/>
          <w:sz w:val="16"/>
          <w:szCs w:val="16"/>
        </w:rPr>
        <w:t xml:space="preserve">, </w:t>
      </w:r>
      <w:r w:rsidRPr="00FD08CD">
        <w:rPr>
          <w:rFonts w:ascii="Verdana" w:hAnsi="Verdana"/>
          <w:sz w:val="16"/>
          <w:szCs w:val="16"/>
        </w:rPr>
        <w:t>Manuel</w:t>
      </w:r>
      <w:r>
        <w:rPr>
          <w:rFonts w:ascii="Verdana" w:hAnsi="Verdana"/>
          <w:sz w:val="16"/>
          <w:szCs w:val="16"/>
        </w:rPr>
        <w:t>. Los recursos administrativos: una visión práctica. Segunda edición. Barcelona: Ediciones Experiencia, 2005. p. 129)</w:t>
      </w:r>
      <w:r w:rsidRPr="00FD08CD">
        <w:rPr>
          <w:rFonts w:ascii="Verdana" w:hAnsi="Verdana"/>
          <w:sz w:val="16"/>
          <w:szCs w:val="16"/>
        </w:rPr>
        <w:t>.</w:t>
      </w:r>
      <w:r>
        <w:rPr>
          <w:rFonts w:ascii="Verdana" w:hAnsi="Verdana"/>
          <w:sz w:val="16"/>
          <w:szCs w:val="16"/>
        </w:rPr>
        <w:t xml:space="preserve"> En este contexto, “[…] </w:t>
      </w:r>
      <w:r w:rsidRPr="00FD08CD">
        <w:rPr>
          <w:rFonts w:ascii="Verdana" w:hAnsi="Verdana"/>
          <w:sz w:val="16"/>
          <w:szCs w:val="16"/>
        </w:rPr>
        <w:t xml:space="preserve">la </w:t>
      </w:r>
      <w:r w:rsidRPr="00FD08CD">
        <w:rPr>
          <w:rFonts w:ascii="Verdana" w:hAnsi="Verdana"/>
          <w:i/>
          <w:iCs/>
          <w:sz w:val="16"/>
          <w:szCs w:val="16"/>
        </w:rPr>
        <w:t>reformatio in peius</w:t>
      </w:r>
      <w:r w:rsidRPr="00FD08CD">
        <w:rPr>
          <w:rFonts w:ascii="Verdana" w:hAnsi="Verdana"/>
          <w:sz w:val="16"/>
          <w:szCs w:val="16"/>
        </w:rPr>
        <w:t xml:space="preserve"> consiste en una forma de incongruencia procedimental en virtud de la que se agrava, con ocasión de un recurso, la situación del impugnante, quien experimenta así un efecto contrario al perseguido con la interposición del mismo sin que exista ninguna otra impugnación de sentido contrario que pueda justificarlo. Pero esta agravación ha de ser real, considerando en conjunto la posición procesal que venga sosteniendo el recurrente, de forma que pueda estimarse que la mera interposición del oportuno recurso por su parte suponga una auténtica penalización de su actitud</w:t>
      </w:r>
      <w:r>
        <w:rPr>
          <w:rFonts w:ascii="Verdana" w:hAnsi="Verdana"/>
          <w:sz w:val="16"/>
          <w:szCs w:val="16"/>
        </w:rPr>
        <w:t>” (Cfr.</w:t>
      </w:r>
      <w:r w:rsidRPr="00AF5140">
        <w:t xml:space="preserve"> </w:t>
      </w:r>
      <w:r w:rsidRPr="00AF5140">
        <w:rPr>
          <w:rFonts w:ascii="Verdana" w:hAnsi="Verdana"/>
          <w:sz w:val="16"/>
          <w:szCs w:val="16"/>
        </w:rPr>
        <w:t>CAMPOS DAROCA</w:t>
      </w:r>
      <w:r>
        <w:rPr>
          <w:rFonts w:ascii="Verdana" w:hAnsi="Verdana"/>
          <w:sz w:val="16"/>
          <w:szCs w:val="16"/>
        </w:rPr>
        <w:t xml:space="preserve">, José María &amp; </w:t>
      </w:r>
      <w:r w:rsidRPr="00AF5140">
        <w:rPr>
          <w:rFonts w:ascii="Verdana" w:hAnsi="Verdana"/>
          <w:sz w:val="16"/>
          <w:szCs w:val="16"/>
        </w:rPr>
        <w:t>VIVAS PUIG</w:t>
      </w:r>
      <w:r>
        <w:rPr>
          <w:rFonts w:ascii="Verdana" w:hAnsi="Verdana"/>
          <w:sz w:val="16"/>
          <w:szCs w:val="16"/>
        </w:rPr>
        <w:t xml:space="preserve">, Federico. </w:t>
      </w:r>
      <w:r w:rsidRPr="00AF5140">
        <w:rPr>
          <w:rFonts w:ascii="Verdana" w:hAnsi="Verdana"/>
          <w:sz w:val="16"/>
          <w:szCs w:val="16"/>
        </w:rPr>
        <w:t>Revisión de actos y recursos administrativos</w:t>
      </w:r>
      <w:r>
        <w:rPr>
          <w:rFonts w:ascii="Verdana" w:hAnsi="Verdana"/>
          <w:sz w:val="16"/>
          <w:szCs w:val="16"/>
        </w:rPr>
        <w:t xml:space="preserve">. Segunda edición. Madrid: </w:t>
      </w:r>
      <w:r w:rsidRPr="00AF5140">
        <w:rPr>
          <w:rFonts w:ascii="Verdana" w:hAnsi="Verdana"/>
          <w:sz w:val="16"/>
          <w:szCs w:val="16"/>
        </w:rPr>
        <w:t>Wolters Kluwer</w:t>
      </w:r>
      <w:r>
        <w:rPr>
          <w:rFonts w:ascii="Verdana" w:hAnsi="Verdana"/>
          <w:sz w:val="16"/>
          <w:szCs w:val="16"/>
        </w:rPr>
        <w:t>, 2022. p. 126).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193"/>
    <w:rsid w:val="000441DA"/>
    <w:rsid w:val="00044B0C"/>
    <w:rsid w:val="00046945"/>
    <w:rsid w:val="00061B2A"/>
    <w:rsid w:val="00065274"/>
    <w:rsid w:val="00072FAE"/>
    <w:rsid w:val="00081B29"/>
    <w:rsid w:val="00082362"/>
    <w:rsid w:val="00083CD5"/>
    <w:rsid w:val="000A683E"/>
    <w:rsid w:val="000B19B9"/>
    <w:rsid w:val="000D0334"/>
    <w:rsid w:val="000D5DA7"/>
    <w:rsid w:val="000F44B4"/>
    <w:rsid w:val="000F6486"/>
    <w:rsid w:val="00101FFF"/>
    <w:rsid w:val="00116940"/>
    <w:rsid w:val="00125105"/>
    <w:rsid w:val="00127233"/>
    <w:rsid w:val="00146FA1"/>
    <w:rsid w:val="0015699B"/>
    <w:rsid w:val="00172FFB"/>
    <w:rsid w:val="001A33BF"/>
    <w:rsid w:val="001D226E"/>
    <w:rsid w:val="001E4177"/>
    <w:rsid w:val="001F0B24"/>
    <w:rsid w:val="001F71E7"/>
    <w:rsid w:val="001F7DC6"/>
    <w:rsid w:val="00217F56"/>
    <w:rsid w:val="0022400B"/>
    <w:rsid w:val="00240E52"/>
    <w:rsid w:val="002421BB"/>
    <w:rsid w:val="0025796E"/>
    <w:rsid w:val="002607AF"/>
    <w:rsid w:val="0027026A"/>
    <w:rsid w:val="002707A2"/>
    <w:rsid w:val="00273167"/>
    <w:rsid w:val="00291EA0"/>
    <w:rsid w:val="002944A0"/>
    <w:rsid w:val="002951A0"/>
    <w:rsid w:val="002962BC"/>
    <w:rsid w:val="002A093D"/>
    <w:rsid w:val="002A0DD0"/>
    <w:rsid w:val="002A49AC"/>
    <w:rsid w:val="002A507D"/>
    <w:rsid w:val="002A64FD"/>
    <w:rsid w:val="002B200A"/>
    <w:rsid w:val="002C7A84"/>
    <w:rsid w:val="002E2BF8"/>
    <w:rsid w:val="002E4FD9"/>
    <w:rsid w:val="0030657A"/>
    <w:rsid w:val="00322A85"/>
    <w:rsid w:val="00324168"/>
    <w:rsid w:val="00330834"/>
    <w:rsid w:val="00342A60"/>
    <w:rsid w:val="003448F4"/>
    <w:rsid w:val="00350C13"/>
    <w:rsid w:val="003553E9"/>
    <w:rsid w:val="003729E1"/>
    <w:rsid w:val="00374F5E"/>
    <w:rsid w:val="00377E3E"/>
    <w:rsid w:val="003936FF"/>
    <w:rsid w:val="003A779E"/>
    <w:rsid w:val="003B1E8F"/>
    <w:rsid w:val="003D0F4D"/>
    <w:rsid w:val="003D5B0D"/>
    <w:rsid w:val="003E0499"/>
    <w:rsid w:val="003E4F80"/>
    <w:rsid w:val="003E6439"/>
    <w:rsid w:val="003F3941"/>
    <w:rsid w:val="00406575"/>
    <w:rsid w:val="00414C74"/>
    <w:rsid w:val="0042722E"/>
    <w:rsid w:val="0044528D"/>
    <w:rsid w:val="004577B2"/>
    <w:rsid w:val="00457BB1"/>
    <w:rsid w:val="00466E39"/>
    <w:rsid w:val="004A1847"/>
    <w:rsid w:val="004A305D"/>
    <w:rsid w:val="004C2987"/>
    <w:rsid w:val="004C648F"/>
    <w:rsid w:val="004F21C4"/>
    <w:rsid w:val="004F34E3"/>
    <w:rsid w:val="004F685F"/>
    <w:rsid w:val="005566E8"/>
    <w:rsid w:val="00574736"/>
    <w:rsid w:val="00574867"/>
    <w:rsid w:val="00591460"/>
    <w:rsid w:val="00597401"/>
    <w:rsid w:val="005A65E0"/>
    <w:rsid w:val="005C3777"/>
    <w:rsid w:val="005C5CDC"/>
    <w:rsid w:val="005D476C"/>
    <w:rsid w:val="005F293C"/>
    <w:rsid w:val="006200BF"/>
    <w:rsid w:val="006219F8"/>
    <w:rsid w:val="006302F7"/>
    <w:rsid w:val="00646B9F"/>
    <w:rsid w:val="00656382"/>
    <w:rsid w:val="00665D70"/>
    <w:rsid w:val="0068425A"/>
    <w:rsid w:val="006900D9"/>
    <w:rsid w:val="006B0852"/>
    <w:rsid w:val="006B5823"/>
    <w:rsid w:val="006C29BF"/>
    <w:rsid w:val="006D0512"/>
    <w:rsid w:val="006E6F4E"/>
    <w:rsid w:val="00706C16"/>
    <w:rsid w:val="007340C3"/>
    <w:rsid w:val="00751113"/>
    <w:rsid w:val="0075235A"/>
    <w:rsid w:val="00755819"/>
    <w:rsid w:val="00756841"/>
    <w:rsid w:val="00756A5E"/>
    <w:rsid w:val="007649AB"/>
    <w:rsid w:val="00771D0C"/>
    <w:rsid w:val="007833AC"/>
    <w:rsid w:val="007A4625"/>
    <w:rsid w:val="007B268C"/>
    <w:rsid w:val="007B7171"/>
    <w:rsid w:val="007C0C0F"/>
    <w:rsid w:val="007C133B"/>
    <w:rsid w:val="007C26EA"/>
    <w:rsid w:val="007C3DC2"/>
    <w:rsid w:val="007E1F6A"/>
    <w:rsid w:val="007E5497"/>
    <w:rsid w:val="007F36BC"/>
    <w:rsid w:val="00802DD8"/>
    <w:rsid w:val="00806F5F"/>
    <w:rsid w:val="00820278"/>
    <w:rsid w:val="008258C9"/>
    <w:rsid w:val="00844AE9"/>
    <w:rsid w:val="00850276"/>
    <w:rsid w:val="00851E2F"/>
    <w:rsid w:val="00857330"/>
    <w:rsid w:val="00867F95"/>
    <w:rsid w:val="00870648"/>
    <w:rsid w:val="008820F3"/>
    <w:rsid w:val="008843B6"/>
    <w:rsid w:val="00891928"/>
    <w:rsid w:val="008A446D"/>
    <w:rsid w:val="008B25F1"/>
    <w:rsid w:val="008C1222"/>
    <w:rsid w:val="008D180B"/>
    <w:rsid w:val="008F0EA7"/>
    <w:rsid w:val="00911F19"/>
    <w:rsid w:val="00912638"/>
    <w:rsid w:val="009236E1"/>
    <w:rsid w:val="00923EEF"/>
    <w:rsid w:val="009419F9"/>
    <w:rsid w:val="009532BA"/>
    <w:rsid w:val="0095685E"/>
    <w:rsid w:val="00961B09"/>
    <w:rsid w:val="00965334"/>
    <w:rsid w:val="0097093E"/>
    <w:rsid w:val="00982E8B"/>
    <w:rsid w:val="00983915"/>
    <w:rsid w:val="009A0DFA"/>
    <w:rsid w:val="009A1C6F"/>
    <w:rsid w:val="009B2D26"/>
    <w:rsid w:val="009B4894"/>
    <w:rsid w:val="009C71FA"/>
    <w:rsid w:val="009C72E7"/>
    <w:rsid w:val="009C7F7E"/>
    <w:rsid w:val="009D3058"/>
    <w:rsid w:val="009F3A13"/>
    <w:rsid w:val="009F65AB"/>
    <w:rsid w:val="00A122D3"/>
    <w:rsid w:val="00A14468"/>
    <w:rsid w:val="00A17F13"/>
    <w:rsid w:val="00A20739"/>
    <w:rsid w:val="00A23AF9"/>
    <w:rsid w:val="00A31A74"/>
    <w:rsid w:val="00A33C78"/>
    <w:rsid w:val="00A67FA4"/>
    <w:rsid w:val="00AB0ADB"/>
    <w:rsid w:val="00AB5251"/>
    <w:rsid w:val="00AC05E3"/>
    <w:rsid w:val="00AC1E78"/>
    <w:rsid w:val="00AD3260"/>
    <w:rsid w:val="00B00C0E"/>
    <w:rsid w:val="00B01B1A"/>
    <w:rsid w:val="00B0381D"/>
    <w:rsid w:val="00B12F98"/>
    <w:rsid w:val="00B35C6C"/>
    <w:rsid w:val="00B44A47"/>
    <w:rsid w:val="00B50811"/>
    <w:rsid w:val="00B71BDE"/>
    <w:rsid w:val="00B72CD3"/>
    <w:rsid w:val="00B72FFF"/>
    <w:rsid w:val="00BC3D36"/>
    <w:rsid w:val="00BD54A6"/>
    <w:rsid w:val="00BD7F72"/>
    <w:rsid w:val="00BF7425"/>
    <w:rsid w:val="00C04FB3"/>
    <w:rsid w:val="00C11D8B"/>
    <w:rsid w:val="00C15139"/>
    <w:rsid w:val="00C16B64"/>
    <w:rsid w:val="00C330EB"/>
    <w:rsid w:val="00C36FD7"/>
    <w:rsid w:val="00C50D69"/>
    <w:rsid w:val="00C5365C"/>
    <w:rsid w:val="00C754BE"/>
    <w:rsid w:val="00C76B1C"/>
    <w:rsid w:val="00C925AC"/>
    <w:rsid w:val="00CA1393"/>
    <w:rsid w:val="00CB6357"/>
    <w:rsid w:val="00CB7552"/>
    <w:rsid w:val="00CC1B26"/>
    <w:rsid w:val="00CC29C7"/>
    <w:rsid w:val="00CC3514"/>
    <w:rsid w:val="00CF5E58"/>
    <w:rsid w:val="00CF6752"/>
    <w:rsid w:val="00D04205"/>
    <w:rsid w:val="00D361FD"/>
    <w:rsid w:val="00D423A2"/>
    <w:rsid w:val="00D44E26"/>
    <w:rsid w:val="00D45DB6"/>
    <w:rsid w:val="00D460A6"/>
    <w:rsid w:val="00D520D8"/>
    <w:rsid w:val="00D5215A"/>
    <w:rsid w:val="00D63AC2"/>
    <w:rsid w:val="00D7383B"/>
    <w:rsid w:val="00D742D9"/>
    <w:rsid w:val="00D7788A"/>
    <w:rsid w:val="00DA231B"/>
    <w:rsid w:val="00DB1E4D"/>
    <w:rsid w:val="00DB6CC8"/>
    <w:rsid w:val="00DC39FC"/>
    <w:rsid w:val="00DE1EA6"/>
    <w:rsid w:val="00DF5254"/>
    <w:rsid w:val="00E02524"/>
    <w:rsid w:val="00E075F7"/>
    <w:rsid w:val="00E16408"/>
    <w:rsid w:val="00E20894"/>
    <w:rsid w:val="00E23FEE"/>
    <w:rsid w:val="00E245AB"/>
    <w:rsid w:val="00E2764C"/>
    <w:rsid w:val="00E27F2E"/>
    <w:rsid w:val="00E47CA5"/>
    <w:rsid w:val="00E50AFE"/>
    <w:rsid w:val="00E63D63"/>
    <w:rsid w:val="00E6596E"/>
    <w:rsid w:val="00E75C92"/>
    <w:rsid w:val="00E771DC"/>
    <w:rsid w:val="00E8772A"/>
    <w:rsid w:val="00E90F6B"/>
    <w:rsid w:val="00E919FB"/>
    <w:rsid w:val="00E92C27"/>
    <w:rsid w:val="00EA0E3D"/>
    <w:rsid w:val="00EA2268"/>
    <w:rsid w:val="00EB5567"/>
    <w:rsid w:val="00EC38A7"/>
    <w:rsid w:val="00EE1AA8"/>
    <w:rsid w:val="00EE66B1"/>
    <w:rsid w:val="00EF3FF7"/>
    <w:rsid w:val="00F045A1"/>
    <w:rsid w:val="00F11E61"/>
    <w:rsid w:val="00F23FEA"/>
    <w:rsid w:val="00F31EDC"/>
    <w:rsid w:val="00F425A2"/>
    <w:rsid w:val="00F462B3"/>
    <w:rsid w:val="00F54243"/>
    <w:rsid w:val="00F5664F"/>
    <w:rsid w:val="00F666C4"/>
    <w:rsid w:val="00F76AFC"/>
    <w:rsid w:val="00FA47C0"/>
    <w:rsid w:val="00FB5DD1"/>
    <w:rsid w:val="00FC2B5D"/>
    <w:rsid w:val="00FC5DB2"/>
    <w:rsid w:val="00FD7236"/>
    <w:rsid w:val="00FF1449"/>
    <w:rsid w:val="00FF5B08"/>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4069AAF"/>
    <w:rsid w:val="356CEDFD"/>
    <w:rsid w:val="3C591AFD"/>
    <w:rsid w:val="3F9BD63E"/>
    <w:rsid w:val="42183F0A"/>
    <w:rsid w:val="45A9DD81"/>
    <w:rsid w:val="4A03DA8F"/>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EBA890B-750F-A04C-A8CD-900B77F45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9740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97401"/>
    <w:rPr>
      <w:rFonts w:ascii="Geomanist Light" w:hAnsi="Geomanist Light"/>
      <w:lang w:val="es-ES"/>
    </w:rPr>
  </w:style>
  <w:style w:type="character" w:customStyle="1" w:styleId="s15">
    <w:name w:val="s15"/>
    <w:basedOn w:val="Fuentedeprrafopredeter"/>
    <w:rsid w:val="00597401"/>
  </w:style>
  <w:style w:type="character" w:customStyle="1" w:styleId="NormalWebCar">
    <w:name w:val="Normal (Web) Car"/>
    <w:link w:val="NormalWeb"/>
    <w:uiPriority w:val="99"/>
    <w:rsid w:val="00597401"/>
    <w:rPr>
      <w:rFonts w:ascii="Times New Roman" w:eastAsia="Times New Roman" w:hAnsi="Times New Roman" w:cs="Times New Roman"/>
      <w:sz w:val="24"/>
      <w:szCs w:val="24"/>
      <w:lang w:eastAsia="es-CO"/>
    </w:rPr>
  </w:style>
  <w:style w:type="character" w:styleId="Fuerte">
    <w:name w:val="Strong"/>
    <w:basedOn w:val="Fuentedeprrafopredeter"/>
    <w:uiPriority w:val="22"/>
    <w:qFormat/>
    <w:rsid w:val="00597401"/>
    <w:rPr>
      <w:b/>
      <w:bCs/>
    </w:rPr>
  </w:style>
  <w:style w:type="character" w:styleId="nfasis">
    <w:name w:val="Emphasis"/>
    <w:basedOn w:val="Fuentedeprrafopredeter"/>
    <w:uiPriority w:val="20"/>
    <w:qFormat/>
    <w:rsid w:val="00597401"/>
    <w:rPr>
      <w:i/>
      <w:iCs/>
    </w:rPr>
  </w:style>
  <w:style w:type="character" w:styleId="Refdecomentario">
    <w:name w:val="annotation reference"/>
    <w:basedOn w:val="Fuentedeprrafopredeter"/>
    <w:uiPriority w:val="99"/>
    <w:semiHidden/>
    <w:unhideWhenUsed/>
    <w:rsid w:val="002944A0"/>
    <w:rPr>
      <w:sz w:val="16"/>
      <w:szCs w:val="16"/>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rsid w:val="002944A0"/>
    <w:rPr>
      <w:sz w:val="20"/>
      <w:szCs w:val="20"/>
    </w:rPr>
  </w:style>
  <w:style w:type="character" w:customStyle="1" w:styleId="CommentReference1">
    <w:name w:val="Comment Reference1"/>
    <w:basedOn w:val="Fuentedeprrafopredeter"/>
    <w:uiPriority w:val="99"/>
    <w:semiHidden/>
    <w:unhideWhenUsed/>
    <w:rsid w:val="00983915"/>
    <w:rPr>
      <w:sz w:val="16"/>
      <w:szCs w:val="16"/>
    </w:rPr>
  </w:style>
  <w:style w:type="paragraph" w:customStyle="1" w:styleId="CommentText1">
    <w:name w:val="Comment Text1"/>
    <w:basedOn w:val="Normal"/>
    <w:uiPriority w:val="99"/>
    <w:unhideWhenUsed/>
    <w:rsid w:val="00983915"/>
    <w:pPr>
      <w:spacing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otificacionesdce@mindefens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E67684-80D0-4E73-9F8D-2378DD5395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18</Pages>
  <Words>5696</Words>
  <Characters>31334</Characters>
  <Application>Microsoft Office Word</Application>
  <DocSecurity>0</DocSecurity>
  <Lines>261</Lines>
  <Paragraphs>73</Paragraphs>
  <ScaleCrop>false</ScaleCrop>
  <Company/>
  <LinksUpToDate>false</LinksUpToDate>
  <CharactersWithSpaces>36957</CharactersWithSpaces>
  <SharedDoc>false</SharedDoc>
  <HLinks>
    <vt:vector size="54"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6619141</vt:i4>
      </vt:variant>
      <vt:variant>
        <vt:i4>0</vt:i4>
      </vt:variant>
      <vt:variant>
        <vt:i4>0</vt:i4>
      </vt:variant>
      <vt:variant>
        <vt:i4>5</vt:i4>
      </vt:variant>
      <vt:variant>
        <vt:lpwstr>mailto:notificacionesdce@mindefensa.gov.co</vt:lpwstr>
      </vt:variant>
      <vt:variant>
        <vt:lpwstr/>
      </vt:variant>
      <vt:variant>
        <vt:i4>458817</vt:i4>
      </vt:variant>
      <vt:variant>
        <vt:i4>0</vt:i4>
      </vt:variant>
      <vt:variant>
        <vt:i4>0</vt:i4>
      </vt:variant>
      <vt:variant>
        <vt:i4>5</vt:i4>
      </vt:variant>
      <vt:variant>
        <vt:lpwstr>https://cceficiente.sharepoint.com/sites/SGDEA/TRD_254/EXPEDIENTE_1668/DOCUMENTO_407171/DOCUMENTO_407171.docx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2026-05-07T17:25:00Z</dcterms:created>
  <dcterms:modified xsi:type="dcterms:W3CDTF">2026-05-11T22:41:00Z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