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0905D5" w14:textId="77777777" w:rsidR="000C0330" w:rsidRPr="00826C1E" w:rsidRDefault="000C0330" w:rsidP="000C0330">
      <w:pPr>
        <w:snapToGrid w:val="0"/>
        <w:spacing w:line="240" w:lineRule="auto"/>
        <w:contextualSpacing/>
        <w:jc w:val="both"/>
        <w:rPr>
          <w:rFonts w:ascii="Verdana" w:eastAsia="Calibri" w:hAnsi="Verdana" w:cs="Arial"/>
          <w:b/>
          <w:bCs/>
          <w:color w:val="000000"/>
          <w:kern w:val="2"/>
          <w14:ligatures w14:val="standardContextual"/>
        </w:rPr>
      </w:pPr>
      <w:bookmarkStart w:id="0" w:name="_Hlk143780582"/>
      <w:r w:rsidRPr="00826C1E">
        <w:rPr>
          <w:rFonts w:ascii="Verdana" w:eastAsia="Calibri" w:hAnsi="Verdana" w:cs="Arial"/>
          <w:b/>
          <w:bCs/>
          <w:color w:val="000000"/>
          <w:kern w:val="2"/>
          <w14:ligatures w14:val="standardContextual"/>
        </w:rPr>
        <w:t>INHABILIDADES E INCOMPATIBILIDADES – Concepto – Principio de legalidad – Interpretación restrictiva</w:t>
      </w:r>
    </w:p>
    <w:p w14:paraId="4831AC79" w14:textId="77777777" w:rsidR="000C0330" w:rsidRPr="00826C1E" w:rsidRDefault="000C0330" w:rsidP="000C0330">
      <w:pPr>
        <w:widowControl w:val="0"/>
        <w:autoSpaceDE w:val="0"/>
        <w:autoSpaceDN w:val="0"/>
        <w:snapToGrid w:val="0"/>
        <w:spacing w:line="240" w:lineRule="auto"/>
        <w:contextualSpacing/>
        <w:jc w:val="both"/>
        <w:rPr>
          <w:rFonts w:ascii="Verdana" w:eastAsia="Calibri" w:hAnsi="Verdana" w:cs="Arial"/>
          <w:b/>
          <w:bCs/>
          <w:color w:val="000000"/>
          <w:kern w:val="2"/>
          <w:sz w:val="20"/>
          <w:szCs w:val="20"/>
          <w14:ligatures w14:val="standardContextual"/>
        </w:rPr>
      </w:pPr>
    </w:p>
    <w:p w14:paraId="34B26D9B" w14:textId="77777777" w:rsidR="000C0330" w:rsidRPr="00826C1E" w:rsidRDefault="000C0330" w:rsidP="000C0330">
      <w:pPr>
        <w:widowControl w:val="0"/>
        <w:autoSpaceDE w:val="0"/>
        <w:autoSpaceDN w:val="0"/>
        <w:snapToGrid w:val="0"/>
        <w:spacing w:after="0" w:line="240" w:lineRule="auto"/>
        <w:contextualSpacing/>
        <w:jc w:val="both"/>
        <w:rPr>
          <w:rFonts w:ascii="Verdana" w:eastAsia="Calibri" w:hAnsi="Verdana" w:cs="Arial"/>
          <w:color w:val="000000" w:themeColor="text1"/>
          <w:sz w:val="20"/>
          <w:szCs w:val="20"/>
          <w:lang w:val="es-ES_tradnl"/>
        </w:rPr>
      </w:pPr>
      <w:r w:rsidRPr="00826C1E">
        <w:rPr>
          <w:rFonts w:ascii="Verdana" w:eastAsia="Calibri" w:hAnsi="Verdana" w:cs="Arial"/>
          <w:color w:val="000000" w:themeColor="text1"/>
          <w:sz w:val="20"/>
          <w:szCs w:val="20"/>
          <w:lang w:val="es-ES_tradnl"/>
        </w:rPr>
        <w:t>[…]las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restrictiva , 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w:t>
      </w:r>
    </w:p>
    <w:p w14:paraId="3C23B05F" w14:textId="77777777" w:rsidR="000C0330" w:rsidRPr="00826C1E" w:rsidRDefault="000C0330" w:rsidP="000C0330">
      <w:pPr>
        <w:snapToGrid w:val="0"/>
        <w:spacing w:line="240" w:lineRule="auto"/>
        <w:contextualSpacing/>
        <w:jc w:val="both"/>
        <w:rPr>
          <w:rFonts w:ascii="Verdana" w:eastAsia="Calibri" w:hAnsi="Verdana" w:cs="Arial"/>
          <w:color w:val="000000" w:themeColor="text1"/>
          <w:sz w:val="20"/>
          <w:szCs w:val="20"/>
          <w:lang w:val="es-ES"/>
        </w:rPr>
      </w:pPr>
      <w:r w:rsidRPr="00826C1E">
        <w:rPr>
          <w:rFonts w:ascii="Verdana" w:eastAsia="Calibri" w:hAnsi="Verdana" w:cs="Arial"/>
          <w:color w:val="000000" w:themeColor="text1"/>
          <w:sz w:val="20"/>
          <w:szCs w:val="20"/>
          <w:lang w:val="es-ES"/>
        </w:rPr>
        <w:t>[…]</w:t>
      </w:r>
    </w:p>
    <w:p w14:paraId="57DA5702" w14:textId="77777777" w:rsidR="000C0330" w:rsidRPr="00826C1E" w:rsidRDefault="000C0330" w:rsidP="000C0330">
      <w:pPr>
        <w:spacing w:after="0" w:line="240" w:lineRule="auto"/>
        <w:jc w:val="both"/>
        <w:rPr>
          <w:rFonts w:ascii="Verdana" w:eastAsia="Geomanist Light" w:hAnsi="Verdana" w:cs="Arial"/>
          <w:b/>
          <w:bCs/>
          <w:color w:val="000000" w:themeColor="text1"/>
          <w:sz w:val="20"/>
          <w:szCs w:val="20"/>
          <w:lang w:val="es-MX"/>
        </w:rPr>
      </w:pPr>
    </w:p>
    <w:p w14:paraId="6E48C60F" w14:textId="77777777" w:rsidR="000C0330" w:rsidRPr="00523932" w:rsidRDefault="000C0330" w:rsidP="000C0330">
      <w:pPr>
        <w:spacing w:after="0" w:line="240" w:lineRule="auto"/>
        <w:jc w:val="both"/>
        <w:rPr>
          <w:rFonts w:ascii="Verdana" w:eastAsia="Calibri" w:hAnsi="Verdana" w:cs="Arial"/>
          <w:b/>
          <w:lang w:val="es-MX" w:eastAsia="es-ES_tradnl"/>
        </w:rPr>
      </w:pPr>
      <w:r w:rsidRPr="00523932">
        <w:rPr>
          <w:rFonts w:ascii="Verdana" w:eastAsia="Calibri" w:hAnsi="Verdana" w:cs="Arial"/>
          <w:b/>
          <w:lang w:val="es-MX" w:eastAsia="es-ES_tradnl"/>
        </w:rPr>
        <w:t xml:space="preserve">INHABILIDADES </w:t>
      </w:r>
      <w:r>
        <w:rPr>
          <w:rFonts w:ascii="Verdana" w:eastAsia="Calibri" w:hAnsi="Verdana" w:cs="Arial"/>
          <w:b/>
          <w:lang w:val="es-MX" w:eastAsia="es-ES_tradnl"/>
        </w:rPr>
        <w:t xml:space="preserve">SOBREVIENTES </w:t>
      </w:r>
      <w:r w:rsidRPr="00523932">
        <w:rPr>
          <w:rFonts w:ascii="Verdana" w:eastAsia="Calibri" w:hAnsi="Verdana" w:cs="Arial"/>
          <w:b/>
          <w:lang w:val="es-MX" w:eastAsia="es-ES_tradnl"/>
        </w:rPr>
        <w:t xml:space="preserve">– </w:t>
      </w:r>
      <w:r>
        <w:rPr>
          <w:rFonts w:ascii="Verdana" w:eastAsia="Calibri" w:hAnsi="Verdana" w:cs="Arial"/>
          <w:b/>
          <w:lang w:val="es-MX" w:eastAsia="es-ES_tradnl"/>
        </w:rPr>
        <w:t xml:space="preserve">Efectos – Oferentes – Adjudicatarios – Cesión de contrato – Imposibilidad </w:t>
      </w:r>
    </w:p>
    <w:p w14:paraId="78E32196" w14:textId="77777777" w:rsidR="000C0330" w:rsidRPr="00523932" w:rsidRDefault="000C0330" w:rsidP="000C0330">
      <w:pPr>
        <w:spacing w:after="0" w:line="240" w:lineRule="auto"/>
        <w:rPr>
          <w:rFonts w:ascii="Verdana" w:eastAsia="Calibri" w:hAnsi="Verdana" w:cs="Arial"/>
          <w:bCs/>
          <w:sz w:val="20"/>
          <w:szCs w:val="20"/>
          <w:lang w:val="es-MX" w:eastAsia="es-ES_tradnl"/>
        </w:rPr>
      </w:pPr>
    </w:p>
    <w:p w14:paraId="3C8C6650" w14:textId="77777777" w:rsidR="000C0330" w:rsidRDefault="000C0330" w:rsidP="000C0330">
      <w:pPr>
        <w:spacing w:after="0" w:line="240" w:lineRule="auto"/>
        <w:jc w:val="both"/>
        <w:rPr>
          <w:rFonts w:ascii="Verdana" w:eastAsia="Calibri" w:hAnsi="Verdana" w:cs="Arial"/>
          <w:bCs/>
          <w:sz w:val="20"/>
          <w:szCs w:val="20"/>
          <w:lang w:eastAsia="es-ES_tradnl"/>
        </w:rPr>
      </w:pPr>
      <w:r>
        <w:rPr>
          <w:rFonts w:ascii="Verdana" w:eastAsia="Calibri" w:hAnsi="Verdana" w:cs="Arial"/>
          <w:bCs/>
          <w:sz w:val="20"/>
          <w:szCs w:val="20"/>
          <w:lang w:eastAsia="es-ES_tradnl"/>
        </w:rPr>
        <w:t>S</w:t>
      </w:r>
      <w:r w:rsidRPr="00523932">
        <w:rPr>
          <w:rFonts w:ascii="Verdana" w:eastAsia="Calibri" w:hAnsi="Verdana" w:cs="Arial"/>
          <w:bCs/>
          <w:sz w:val="20"/>
          <w:szCs w:val="20"/>
          <w:lang w:eastAsia="es-ES_tradnl"/>
        </w:rPr>
        <w:t xml:space="preserve">i las inhabilidades o incompatibilidades tienen carácter sobreviniente, es necesario tener en cuenta que el ordenamiento jurídico trata de manera distinta al oferente, al adjudicatario y al contratista. </w:t>
      </w:r>
      <w:r w:rsidRPr="00523932">
        <w:rPr>
          <w:rFonts w:ascii="Verdana" w:eastAsia="Calibri" w:hAnsi="Verdana" w:cs="Arial"/>
          <w:bCs/>
          <w:i/>
          <w:iCs/>
          <w:sz w:val="20"/>
          <w:szCs w:val="20"/>
          <w:lang w:eastAsia="es-ES_tradnl"/>
        </w:rPr>
        <w:t>Respecto al oferente</w:t>
      </w:r>
      <w:r w:rsidRPr="00523932">
        <w:rPr>
          <w:rFonts w:ascii="Verdana" w:eastAsia="Calibri" w:hAnsi="Verdana" w:cs="Arial"/>
          <w:bCs/>
          <w:sz w:val="20"/>
          <w:szCs w:val="20"/>
          <w:lang w:eastAsia="es-ES_tradnl"/>
        </w:rPr>
        <w:t xml:space="preserve">, el inciso segundo del artículo 9 de la Ley 80 de 1993 dispone que “Cuando la inhabilidad o incompatibilidad sobrevenga en un proponente dentro de un proceso de selección, se entenderá que renuncia a la participación en el proceso de selección y a los derechos surgidos del mismo”. </w:t>
      </w:r>
      <w:r w:rsidRPr="00523932">
        <w:rPr>
          <w:rFonts w:ascii="Verdana" w:eastAsia="Calibri" w:hAnsi="Verdana" w:cs="Arial"/>
          <w:bCs/>
          <w:i/>
          <w:iCs/>
          <w:sz w:val="20"/>
          <w:szCs w:val="20"/>
          <w:lang w:eastAsia="es-ES_tradnl"/>
        </w:rPr>
        <w:t>Respecto al adjudicatario</w:t>
      </w:r>
      <w:r w:rsidRPr="00523932">
        <w:rPr>
          <w:rFonts w:ascii="Verdana" w:eastAsia="Calibri" w:hAnsi="Verdana" w:cs="Arial"/>
          <w:bCs/>
          <w:sz w:val="20"/>
          <w:szCs w:val="20"/>
          <w:lang w:eastAsia="es-ES_tradnl"/>
        </w:rPr>
        <w:t>, el inciso 3 del artículo 9 de la Ley 1150 de 2007 prescribe lo siguiente: “[…] si dentro del plazo comprendido entre la adjudicación del contrato y la suscripción del mismo, sobreviene una inhabilidad o incompatibilidad […] este podrá ser revocado […]”.</w:t>
      </w:r>
    </w:p>
    <w:p w14:paraId="713DD769" w14:textId="77777777" w:rsidR="000C0330" w:rsidRPr="00523932" w:rsidRDefault="000C0330" w:rsidP="000C0330">
      <w:pPr>
        <w:spacing w:after="0" w:line="240" w:lineRule="auto"/>
        <w:jc w:val="both"/>
        <w:rPr>
          <w:rFonts w:ascii="Verdana" w:eastAsia="Calibri" w:hAnsi="Verdana" w:cs="Arial"/>
          <w:bCs/>
          <w:sz w:val="20"/>
          <w:szCs w:val="20"/>
          <w:lang w:eastAsia="es-ES_tradnl"/>
        </w:rPr>
      </w:pPr>
    </w:p>
    <w:p w14:paraId="6C7DDADE" w14:textId="77777777" w:rsidR="000C0330" w:rsidRPr="002368BE" w:rsidRDefault="000C0330" w:rsidP="000C0330">
      <w:pPr>
        <w:spacing w:after="0" w:line="240" w:lineRule="auto"/>
        <w:jc w:val="both"/>
        <w:rPr>
          <w:rFonts w:ascii="Verdana" w:eastAsia="Calibri" w:hAnsi="Verdana" w:cs="Arial"/>
          <w:bCs/>
          <w:sz w:val="20"/>
          <w:szCs w:val="20"/>
          <w:lang w:eastAsia="es-ES_tradnl"/>
        </w:rPr>
      </w:pPr>
      <w:r w:rsidRPr="00523932">
        <w:rPr>
          <w:rFonts w:ascii="Verdana" w:eastAsia="Calibri" w:hAnsi="Verdana" w:cs="Arial"/>
          <w:bCs/>
          <w:sz w:val="20"/>
          <w:szCs w:val="20"/>
          <w:lang w:eastAsia="es-ES_tradnl"/>
        </w:rPr>
        <w:t xml:space="preserve">Sólo con el cumplimiento de los requisitos de los artículos 39 y 41 del Estatuto General de Contratación Pública existe el contrato estatal, de manera que tienen carácter solemne y, por tanto, requieren formalidad escrita. Por ello, </w:t>
      </w:r>
      <w:r w:rsidRPr="00523932">
        <w:rPr>
          <w:rFonts w:ascii="Verdana" w:eastAsia="Calibri" w:hAnsi="Verdana" w:cs="Arial"/>
          <w:bCs/>
          <w:i/>
          <w:iCs/>
          <w:sz w:val="20"/>
          <w:szCs w:val="20"/>
          <w:lang w:eastAsia="es-ES_tradnl"/>
        </w:rPr>
        <w:t>respecto al contratista</w:t>
      </w:r>
      <w:r w:rsidRPr="00523932">
        <w:rPr>
          <w:rFonts w:ascii="Verdana" w:eastAsia="Calibri" w:hAnsi="Verdana" w:cs="Arial"/>
          <w:bCs/>
          <w:sz w:val="20"/>
          <w:szCs w:val="20"/>
          <w:lang w:eastAsia="es-ES_tradnl"/>
        </w:rPr>
        <w:t xml:space="preserve">, el inciso primero del artículo 9 de la Ley 80 de 1993 dispone que “Si llegare a sobrevenir inhabilidad o incompatibilidad en el contratista, este cederá el contrato previa autorización escrita de la entidad contratante o, si ello no fuere posible, renunciará a su ejecución”. El inciso tercero </w:t>
      </w:r>
      <w:r w:rsidRPr="00523932">
        <w:rPr>
          <w:rFonts w:ascii="Verdana" w:eastAsia="Calibri" w:hAnsi="Verdana" w:cs="Arial"/>
          <w:bCs/>
          <w:i/>
          <w:iCs/>
          <w:sz w:val="20"/>
          <w:szCs w:val="20"/>
          <w:lang w:eastAsia="es-ES_tradnl"/>
        </w:rPr>
        <w:t>ibidem</w:t>
      </w:r>
      <w:r w:rsidRPr="00523932">
        <w:rPr>
          <w:rFonts w:ascii="Verdana" w:eastAsia="Calibri" w:hAnsi="Verdana" w:cs="Arial"/>
          <w:bCs/>
          <w:sz w:val="20"/>
          <w:szCs w:val="20"/>
          <w:lang w:eastAsia="es-ES_tradnl"/>
        </w:rPr>
        <w:t xml:space="preserve"> agrega lo siguiente: “Si la inhabilidad o incompatibilidad sobreviene en uno de los miembros de un consorcio o unión temporal, este cederá su participación a un tercero previa autorización escrita de la entidad contratante. En ningún caso podrá haber cesión del contrato entre quienes integran el consorcio o unión temporal”.  </w:t>
      </w:r>
    </w:p>
    <w:p w14:paraId="33425D14" w14:textId="77777777" w:rsidR="000C0330" w:rsidRDefault="000C0330" w:rsidP="000C0330">
      <w:pPr>
        <w:spacing w:after="0"/>
        <w:rPr>
          <w:rFonts w:ascii="Verdana" w:eastAsia="Geomanist Light" w:hAnsi="Verdana" w:cs="Arial"/>
          <w:color w:val="000000" w:themeColor="text1"/>
          <w:lang w:val="es-MX"/>
        </w:rPr>
      </w:pPr>
    </w:p>
    <w:p w14:paraId="13F9876F" w14:textId="77777777" w:rsidR="000C0330" w:rsidRDefault="000C0330" w:rsidP="000C0330">
      <w:pPr>
        <w:spacing w:after="0" w:line="240" w:lineRule="auto"/>
        <w:rPr>
          <w:rFonts w:ascii="Verdana" w:eastAsia="Aptos" w:hAnsi="Verdana" w:cs="Times New Roman"/>
          <w:sz w:val="20"/>
          <w:szCs w:val="20"/>
        </w:rPr>
      </w:pPr>
    </w:p>
    <w:p w14:paraId="66CD6585" w14:textId="77777777" w:rsidR="000C0330" w:rsidRDefault="000C0330" w:rsidP="000C0330">
      <w:pPr>
        <w:spacing w:after="0" w:line="240" w:lineRule="auto"/>
        <w:rPr>
          <w:rFonts w:ascii="Verdana" w:eastAsia="Aptos" w:hAnsi="Verdana" w:cs="Times New Roman"/>
          <w:sz w:val="20"/>
          <w:szCs w:val="20"/>
        </w:rPr>
      </w:pPr>
    </w:p>
    <w:p w14:paraId="70BC81FF" w14:textId="77777777" w:rsidR="000C0330" w:rsidRDefault="000C0330" w:rsidP="000C0330">
      <w:pPr>
        <w:spacing w:after="0" w:line="240" w:lineRule="auto"/>
        <w:rPr>
          <w:rFonts w:ascii="Verdana" w:eastAsia="Aptos" w:hAnsi="Verdana" w:cs="Times New Roman"/>
          <w:sz w:val="20"/>
          <w:szCs w:val="20"/>
        </w:rPr>
      </w:pPr>
    </w:p>
    <w:p w14:paraId="0AD3F5F2" w14:textId="77777777" w:rsidR="000C0330" w:rsidRDefault="000C0330" w:rsidP="000C0330">
      <w:pPr>
        <w:spacing w:after="0" w:line="240" w:lineRule="auto"/>
        <w:rPr>
          <w:rFonts w:ascii="Verdana" w:eastAsia="Aptos" w:hAnsi="Verdana" w:cs="Times New Roman"/>
          <w:sz w:val="20"/>
          <w:szCs w:val="20"/>
        </w:rPr>
      </w:pPr>
    </w:p>
    <w:p w14:paraId="35163DFA" w14:textId="6266572A" w:rsidR="000C0330" w:rsidRPr="0019499E" w:rsidRDefault="000C0330" w:rsidP="000C0330">
      <w:pPr>
        <w:spacing w:after="0" w:line="240" w:lineRule="auto"/>
        <w:jc w:val="both"/>
        <w:rPr>
          <w:rFonts w:ascii="Verdana" w:eastAsia="Calibri" w:hAnsi="Verdana" w:cs="Arial"/>
          <w:lang w:val="es-ES"/>
        </w:rPr>
      </w:pPr>
      <w:r w:rsidRPr="009B7B7E">
        <w:rPr>
          <w:rFonts w:ascii="Verdana" w:eastAsia="Geomanist Light" w:hAnsi="Verdana" w:cs="Arial"/>
          <w:lang w:val="es-MX"/>
        </w:rPr>
        <w:lastRenderedPageBreak/>
        <w:t>Bogotá D.C., </w:t>
      </w:r>
      <w:r w:rsidR="009B7B7E" w:rsidRPr="009B7B7E">
        <w:rPr>
          <w:rFonts w:ascii="Verdana" w:eastAsia="Geomanist Light" w:hAnsi="Verdana" w:cs="Arial"/>
          <w:lang w:val="es-MX"/>
        </w:rPr>
        <w:t>27 de mayo de 2026</w:t>
      </w:r>
    </w:p>
    <w:p w14:paraId="31546954" w14:textId="77777777" w:rsidR="000C0330" w:rsidRPr="0019499E" w:rsidRDefault="000C0330" w:rsidP="000C0330">
      <w:pPr>
        <w:spacing w:after="0" w:line="240" w:lineRule="auto"/>
        <w:jc w:val="both"/>
        <w:rPr>
          <w:rFonts w:ascii="Verdana" w:eastAsia="Calibri" w:hAnsi="Verdana" w:cs="Arial"/>
          <w:lang w:val="es-ES"/>
        </w:rPr>
      </w:pPr>
    </w:p>
    <w:p w14:paraId="0E597643" w14:textId="6B42CE82" w:rsidR="000C0330" w:rsidRPr="0019499E" w:rsidRDefault="00E11ABA" w:rsidP="000C0330">
      <w:pPr>
        <w:spacing w:after="0" w:line="240" w:lineRule="auto"/>
        <w:jc w:val="right"/>
        <w:rPr>
          <w:rFonts w:ascii="Verdana" w:eastAsia="Calibri" w:hAnsi="Verdana" w:cs="Arial"/>
          <w:lang w:val="es-ES"/>
        </w:rPr>
      </w:pPr>
      <w:r w:rsidRPr="00E11ABA">
        <w:rPr>
          <w:rFonts w:ascii="Verdana" w:eastAsia="Calibri" w:hAnsi="Verdana" w:cs="Arial"/>
          <w:lang w:val="es-ES"/>
        </w:rPr>
        <w:drawing>
          <wp:inline distT="0" distB="0" distL="0" distR="0" wp14:anchorId="7CF94882" wp14:editId="025FAA07">
            <wp:extent cx="1714739" cy="514422"/>
            <wp:effectExtent l="0" t="0" r="0" b="0"/>
            <wp:docPr id="212460087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600879" name=""/>
                    <pic:cNvPicPr/>
                  </pic:nvPicPr>
                  <pic:blipFill>
                    <a:blip r:embed="rId10"/>
                    <a:stretch>
                      <a:fillRect/>
                    </a:stretch>
                  </pic:blipFill>
                  <pic:spPr>
                    <a:xfrm>
                      <a:off x="0" y="0"/>
                      <a:ext cx="1714739" cy="514422"/>
                    </a:xfrm>
                    <a:prstGeom prst="rect">
                      <a:avLst/>
                    </a:prstGeom>
                  </pic:spPr>
                </pic:pic>
              </a:graphicData>
            </a:graphic>
          </wp:inline>
        </w:drawing>
      </w:r>
    </w:p>
    <w:p w14:paraId="191AAB67" w14:textId="77777777" w:rsidR="000C0330" w:rsidRPr="0019499E" w:rsidRDefault="000C0330" w:rsidP="000C0330">
      <w:pPr>
        <w:spacing w:after="0" w:line="240" w:lineRule="auto"/>
        <w:jc w:val="both"/>
        <w:rPr>
          <w:rFonts w:ascii="Verdana" w:eastAsia="Calibri" w:hAnsi="Verdana" w:cs="Arial"/>
          <w:lang w:val="es-ES" w:eastAsia="es-ES"/>
        </w:rPr>
      </w:pPr>
      <w:r w:rsidRPr="0019499E">
        <w:rPr>
          <w:rFonts w:ascii="Verdana" w:eastAsia="Calibri" w:hAnsi="Verdana" w:cs="Arial"/>
          <w:lang w:val="es-ES" w:eastAsia="es-ES"/>
        </w:rPr>
        <w:t>Señor</w:t>
      </w:r>
      <w:r>
        <w:rPr>
          <w:rFonts w:ascii="Verdana" w:eastAsia="Calibri" w:hAnsi="Verdana" w:cs="Arial"/>
          <w:lang w:val="es-ES" w:eastAsia="es-ES"/>
        </w:rPr>
        <w:t>a</w:t>
      </w:r>
    </w:p>
    <w:p w14:paraId="2F2E57B3" w14:textId="77777777" w:rsidR="000C0330" w:rsidRPr="00CB14CD" w:rsidRDefault="000C0330" w:rsidP="000C0330">
      <w:pPr>
        <w:spacing w:after="0" w:line="240" w:lineRule="auto"/>
        <w:rPr>
          <w:rFonts w:ascii="Verdana" w:eastAsia="Calibri" w:hAnsi="Verdana" w:cs="Arial"/>
          <w:b/>
          <w:lang w:val="es-ES" w:eastAsia="es-ES"/>
        </w:rPr>
      </w:pPr>
      <w:r w:rsidRPr="00CB14CD">
        <w:rPr>
          <w:rFonts w:ascii="Verdana" w:eastAsia="Calibri" w:hAnsi="Verdana" w:cs="Arial"/>
          <w:b/>
          <w:lang w:val="es-ES" w:eastAsia="es-ES"/>
        </w:rPr>
        <w:t>María Camila Salazar</w:t>
      </w:r>
    </w:p>
    <w:p w14:paraId="1FE73A3B" w14:textId="77777777" w:rsidR="000C0330" w:rsidRPr="00CB14CD" w:rsidRDefault="000C0330" w:rsidP="000C0330">
      <w:pPr>
        <w:spacing w:after="0" w:line="240" w:lineRule="auto"/>
        <w:rPr>
          <w:rFonts w:ascii="Verdana" w:hAnsi="Verdana"/>
        </w:rPr>
      </w:pPr>
      <w:hyperlink r:id="rId11" w:history="1">
        <w:r w:rsidRPr="00CB14CD">
          <w:rPr>
            <w:rStyle w:val="Hipervnculo"/>
            <w:rFonts w:ascii="Verdana" w:hAnsi="Verdana"/>
          </w:rPr>
          <w:t>contratacion@alcaldiadepiedecuesta.gov.co</w:t>
        </w:r>
      </w:hyperlink>
      <w:r w:rsidRPr="00CB14CD">
        <w:rPr>
          <w:rFonts w:ascii="Verdana" w:hAnsi="Verdana"/>
        </w:rPr>
        <w:t xml:space="preserve"> </w:t>
      </w:r>
    </w:p>
    <w:p w14:paraId="04B1B8DD" w14:textId="77777777" w:rsidR="000C0330" w:rsidRPr="0019499E" w:rsidRDefault="000C0330" w:rsidP="000C0330">
      <w:pPr>
        <w:spacing w:after="0" w:line="240" w:lineRule="auto"/>
        <w:rPr>
          <w:rFonts w:ascii="Verdana" w:eastAsia="Calibri" w:hAnsi="Verdana" w:cs="Arial"/>
          <w:b/>
          <w:bCs/>
          <w:lang w:val="es-ES" w:eastAsia="es-ES"/>
        </w:rPr>
      </w:pPr>
      <w:r>
        <w:rPr>
          <w:rFonts w:ascii="Verdana" w:eastAsia="Calibri" w:hAnsi="Verdana" w:cs="Arial"/>
          <w:lang w:val="es-ES" w:eastAsia="es-ES"/>
        </w:rPr>
        <w:t>Piedecuesta, Santander</w:t>
      </w:r>
    </w:p>
    <w:p w14:paraId="310D9814" w14:textId="77777777" w:rsidR="000C0330" w:rsidRPr="0019499E" w:rsidRDefault="000C0330" w:rsidP="000C0330">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C0330" w:rsidRPr="0019499E" w14:paraId="7165B0AF" w14:textId="77777777" w:rsidTr="0042480B">
        <w:trPr>
          <w:trHeight w:val="308"/>
        </w:trPr>
        <w:tc>
          <w:tcPr>
            <w:tcW w:w="2689" w:type="dxa"/>
          </w:tcPr>
          <w:p w14:paraId="71900E08" w14:textId="77777777" w:rsidR="000C0330" w:rsidRPr="0019499E" w:rsidRDefault="000C0330" w:rsidP="0042480B">
            <w:pPr>
              <w:jc w:val="both"/>
              <w:rPr>
                <w:rFonts w:ascii="Verdana" w:eastAsia="Calibri" w:hAnsi="Verdana" w:cs="Arial"/>
                <w:b/>
                <w:bCs/>
                <w:lang w:val="es-ES_tradnl" w:eastAsia="es-ES_tradnl"/>
              </w:rPr>
            </w:pPr>
          </w:p>
        </w:tc>
        <w:tc>
          <w:tcPr>
            <w:tcW w:w="6100" w:type="dxa"/>
          </w:tcPr>
          <w:p w14:paraId="3E772FC9" w14:textId="77777777" w:rsidR="000C0330" w:rsidRPr="002368BE" w:rsidRDefault="000C0330" w:rsidP="0042480B">
            <w:pPr>
              <w:jc w:val="both"/>
              <w:rPr>
                <w:rFonts w:ascii="Verdana" w:eastAsia="Calibri" w:hAnsi="Verdana" w:cs="Arial"/>
                <w:b/>
                <w:bCs/>
                <w:lang w:val="es-ES" w:eastAsia="es-ES"/>
              </w:rPr>
            </w:pPr>
            <w:r w:rsidRPr="002368BE">
              <w:rPr>
                <w:rFonts w:ascii="Verdana" w:eastAsia="Calibri" w:hAnsi="Verdana" w:cs="Arial"/>
                <w:b/>
                <w:bCs/>
                <w:lang w:val="es-ES" w:eastAsia="es-ES"/>
              </w:rPr>
              <w:t>Concepto C-677 de 2026</w:t>
            </w:r>
          </w:p>
          <w:p w14:paraId="7D70F4A1" w14:textId="77777777" w:rsidR="000C0330" w:rsidRPr="002368BE" w:rsidRDefault="000C0330" w:rsidP="0042480B">
            <w:pPr>
              <w:jc w:val="both"/>
              <w:rPr>
                <w:rFonts w:ascii="Verdana" w:eastAsia="Calibri" w:hAnsi="Verdana" w:cs="Arial"/>
                <w:b/>
                <w:bCs/>
                <w:lang w:val="es-ES" w:eastAsia="es-ES"/>
              </w:rPr>
            </w:pPr>
          </w:p>
        </w:tc>
      </w:tr>
      <w:tr w:rsidR="000C0330" w:rsidRPr="0019499E" w14:paraId="082294CB" w14:textId="77777777" w:rsidTr="0042480B">
        <w:trPr>
          <w:trHeight w:val="884"/>
        </w:trPr>
        <w:tc>
          <w:tcPr>
            <w:tcW w:w="2689" w:type="dxa"/>
          </w:tcPr>
          <w:p w14:paraId="65380E80" w14:textId="77777777" w:rsidR="000C0330" w:rsidRPr="00D936DA" w:rsidRDefault="000C0330" w:rsidP="0042480B">
            <w:pPr>
              <w:jc w:val="both"/>
              <w:rPr>
                <w:rFonts w:ascii="Verdana" w:eastAsia="Calibri" w:hAnsi="Verdana" w:cs="Arial"/>
                <w:lang w:val="es-ES_tradnl" w:eastAsia="es-ES_tradnl"/>
              </w:rPr>
            </w:pPr>
            <w:r w:rsidRPr="00D936DA">
              <w:rPr>
                <w:rFonts w:ascii="Verdana" w:eastAsia="Calibri" w:hAnsi="Verdana" w:cs="Arial"/>
                <w:b/>
                <w:lang w:val="es-ES_tradnl" w:eastAsia="es-ES_tradnl"/>
              </w:rPr>
              <w:t>Temas:</w:t>
            </w:r>
            <w:r w:rsidRPr="00D936DA">
              <w:rPr>
                <w:rFonts w:ascii="Verdana" w:eastAsia="Calibri" w:hAnsi="Verdana" w:cs="Arial"/>
                <w:lang w:val="es-ES_tradnl" w:eastAsia="es-ES_tradnl"/>
              </w:rPr>
              <w:t xml:space="preserve">                   </w:t>
            </w:r>
          </w:p>
        </w:tc>
        <w:tc>
          <w:tcPr>
            <w:tcW w:w="6100" w:type="dxa"/>
          </w:tcPr>
          <w:p w14:paraId="3291381E" w14:textId="77777777" w:rsidR="000C0330" w:rsidRPr="002368BE" w:rsidRDefault="000C0330" w:rsidP="0042480B">
            <w:pPr>
              <w:spacing w:line="276" w:lineRule="auto"/>
              <w:jc w:val="both"/>
              <w:rPr>
                <w:rFonts w:ascii="Verdana" w:eastAsia="Calibri" w:hAnsi="Verdana" w:cs="Arial"/>
                <w:lang w:val="es-ES" w:eastAsia="es-ES"/>
              </w:rPr>
            </w:pPr>
            <w:r w:rsidRPr="002368BE">
              <w:rPr>
                <w:rFonts w:ascii="Verdana" w:eastAsia="Calibri" w:hAnsi="Verdana" w:cs="Arial"/>
                <w:lang w:val="es-ES" w:eastAsia="es-ES"/>
              </w:rPr>
              <w:t>INHABILIDADES E INCOMPATIBILIDADES – Concepto – Principio de legalidad – Interpretación restrictiva /</w:t>
            </w:r>
            <w:r w:rsidRPr="002368BE">
              <w:t xml:space="preserve"> </w:t>
            </w:r>
            <w:r w:rsidRPr="002368BE">
              <w:rPr>
                <w:rFonts w:ascii="Verdana" w:eastAsia="Calibri" w:hAnsi="Verdana" w:cs="Arial"/>
                <w:lang w:val="es-ES" w:eastAsia="es-ES"/>
              </w:rPr>
              <w:t>INHABILIDADES SOBREVIENTES – Efectos – Oferentes – Adjudicatarios – Cesión de contrato – Imposibilidad</w:t>
            </w:r>
          </w:p>
        </w:tc>
      </w:tr>
    </w:tbl>
    <w:p w14:paraId="31B2E492" w14:textId="77777777" w:rsidR="000C0330" w:rsidRPr="0019499E" w:rsidRDefault="000C0330" w:rsidP="000C0330">
      <w:pPr>
        <w:spacing w:after="0" w:line="240" w:lineRule="auto"/>
        <w:rPr>
          <w:rFonts w:ascii="Verdana" w:eastAsia="Calibri" w:hAnsi="Verdana" w:cs="Arial"/>
          <w:b/>
          <w:bCs/>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C0330" w:rsidRPr="0019499E" w14:paraId="3F88D75D" w14:textId="77777777" w:rsidTr="0042480B">
        <w:tc>
          <w:tcPr>
            <w:tcW w:w="2689" w:type="dxa"/>
          </w:tcPr>
          <w:p w14:paraId="36F7910D" w14:textId="77777777" w:rsidR="000C0330" w:rsidRPr="0019499E" w:rsidRDefault="000C0330" w:rsidP="0042480B">
            <w:pPr>
              <w:jc w:val="both"/>
              <w:rPr>
                <w:rFonts w:ascii="Verdana" w:eastAsia="Calibri" w:hAnsi="Verdana" w:cs="Arial"/>
                <w:b/>
                <w:lang w:val="es-ES_tradnl" w:eastAsia="es-ES_tradnl"/>
              </w:rPr>
            </w:pPr>
            <w:r w:rsidRPr="0019499E">
              <w:rPr>
                <w:rFonts w:ascii="Verdana" w:eastAsia="Calibri" w:hAnsi="Verdana" w:cs="Arial"/>
                <w:b/>
                <w:lang w:val="es-ES_tradnl" w:eastAsia="es-ES_tradnl"/>
              </w:rPr>
              <w:t>Radicación:</w:t>
            </w:r>
            <w:r w:rsidRPr="0019499E">
              <w:rPr>
                <w:rFonts w:ascii="Verdana" w:eastAsia="Calibri" w:hAnsi="Verdana" w:cs="Arial"/>
                <w:lang w:val="es-ES_tradnl" w:eastAsia="es-ES_tradnl"/>
              </w:rPr>
              <w:t xml:space="preserve">               </w:t>
            </w:r>
          </w:p>
        </w:tc>
        <w:tc>
          <w:tcPr>
            <w:tcW w:w="6100" w:type="dxa"/>
          </w:tcPr>
          <w:p w14:paraId="52847BA9" w14:textId="77777777" w:rsidR="000C0330" w:rsidRPr="0019499E" w:rsidRDefault="000C0330" w:rsidP="0042480B">
            <w:pPr>
              <w:jc w:val="both"/>
              <w:rPr>
                <w:rFonts w:ascii="Verdana" w:eastAsia="Calibri" w:hAnsi="Verdana" w:cs="Arial"/>
                <w:lang w:val="es-ES_tradnl" w:eastAsia="es-ES_tradnl"/>
              </w:rPr>
            </w:pPr>
            <w:r w:rsidRPr="0019499E">
              <w:rPr>
                <w:rFonts w:ascii="Verdana" w:eastAsia="Calibri" w:hAnsi="Verdana" w:cs="Arial"/>
                <w:lang w:val="es-ES_tradnl" w:eastAsia="es-ES_tradnl"/>
              </w:rPr>
              <w:t xml:space="preserve">Respuesta a consulta con radicado No. </w:t>
            </w:r>
            <w:r w:rsidRPr="00A87C23">
              <w:rPr>
                <w:rFonts w:ascii="Verdana" w:eastAsia="Calibri" w:hAnsi="Verdana" w:cs="Arial"/>
                <w:lang w:val="es-ES_tradnl" w:eastAsia="es-ES_tradnl"/>
              </w:rPr>
              <w:t>1_2026_04_24_005633</w:t>
            </w:r>
          </w:p>
        </w:tc>
      </w:tr>
    </w:tbl>
    <w:p w14:paraId="7FBAE3DF" w14:textId="77777777" w:rsidR="000C0330" w:rsidRPr="0019499E" w:rsidRDefault="000C0330" w:rsidP="000C0330">
      <w:pPr>
        <w:spacing w:after="0" w:line="240" w:lineRule="auto"/>
        <w:jc w:val="both"/>
        <w:rPr>
          <w:rFonts w:ascii="Verdana" w:eastAsia="Calibri" w:hAnsi="Verdana" w:cs="Arial"/>
          <w:lang w:val="es-ES_tradnl" w:eastAsia="es-ES_tradnl"/>
        </w:rPr>
      </w:pPr>
    </w:p>
    <w:p w14:paraId="3FC4E117" w14:textId="77777777" w:rsidR="000C0330" w:rsidRPr="0019499E" w:rsidRDefault="000C0330" w:rsidP="000C0330">
      <w:pPr>
        <w:spacing w:after="0" w:line="240" w:lineRule="auto"/>
        <w:jc w:val="both"/>
        <w:rPr>
          <w:rFonts w:ascii="Verdana" w:eastAsia="Calibri" w:hAnsi="Verdana" w:cs="Arial"/>
          <w:lang w:val="es-ES_tradnl" w:eastAsia="es-ES_tradnl"/>
        </w:rPr>
      </w:pPr>
    </w:p>
    <w:p w14:paraId="7EFC0B97" w14:textId="77777777" w:rsidR="000C0330" w:rsidRPr="0019499E" w:rsidRDefault="000C0330" w:rsidP="000C0330">
      <w:pPr>
        <w:spacing w:after="0" w:line="276" w:lineRule="auto"/>
        <w:jc w:val="both"/>
        <w:rPr>
          <w:rFonts w:ascii="Verdana" w:eastAsia="Calibri" w:hAnsi="Verdana" w:cs="Arial"/>
          <w:lang w:val="es-ES" w:eastAsia="es-ES"/>
        </w:rPr>
      </w:pPr>
      <w:r w:rsidRPr="0019499E">
        <w:rPr>
          <w:rFonts w:ascii="Verdana" w:eastAsia="Calibri" w:hAnsi="Verdana" w:cs="Arial"/>
          <w:lang w:val="es-ES" w:eastAsia="es-ES"/>
        </w:rPr>
        <w:t>Estimad</w:t>
      </w:r>
      <w:r>
        <w:rPr>
          <w:rFonts w:ascii="Verdana" w:eastAsia="Calibri" w:hAnsi="Verdana" w:cs="Arial"/>
          <w:lang w:val="es-ES" w:eastAsia="es-ES"/>
        </w:rPr>
        <w:t>a Se</w:t>
      </w:r>
      <w:r w:rsidRPr="0019499E">
        <w:rPr>
          <w:rFonts w:ascii="Verdana" w:eastAsia="Calibri" w:hAnsi="Verdana" w:cs="Arial"/>
          <w:lang w:val="es-ES" w:eastAsia="es-ES"/>
        </w:rPr>
        <w:t>ñor</w:t>
      </w:r>
      <w:r>
        <w:rPr>
          <w:rFonts w:ascii="Verdana" w:eastAsia="Calibri" w:hAnsi="Verdana" w:cs="Arial"/>
          <w:lang w:val="es-ES" w:eastAsia="es-ES"/>
        </w:rPr>
        <w:t>a</w:t>
      </w:r>
      <w:r w:rsidRPr="0019499E">
        <w:rPr>
          <w:rFonts w:ascii="Verdana" w:eastAsia="Calibri" w:hAnsi="Verdana" w:cs="Arial"/>
          <w:lang w:val="es-ES" w:eastAsia="es-ES"/>
        </w:rPr>
        <w:t xml:space="preserve"> </w:t>
      </w:r>
      <w:r>
        <w:rPr>
          <w:rFonts w:ascii="Verdana" w:eastAsia="Calibri" w:hAnsi="Verdana" w:cs="Arial"/>
          <w:lang w:val="es-ES" w:eastAsia="es-ES"/>
        </w:rPr>
        <w:t>Salazar</w:t>
      </w:r>
      <w:r w:rsidRPr="0019499E">
        <w:rPr>
          <w:rFonts w:ascii="Verdana" w:eastAsia="Calibri" w:hAnsi="Verdana" w:cs="Arial"/>
          <w:lang w:val="es-ES" w:eastAsia="es-ES"/>
        </w:rPr>
        <w:t xml:space="preserve">: </w:t>
      </w:r>
    </w:p>
    <w:p w14:paraId="265590B3" w14:textId="77777777" w:rsidR="000C0330" w:rsidRPr="0019499E" w:rsidRDefault="000C0330" w:rsidP="000C0330">
      <w:pPr>
        <w:tabs>
          <w:tab w:val="left" w:pos="3768"/>
        </w:tabs>
        <w:spacing w:after="0" w:line="276" w:lineRule="auto"/>
        <w:jc w:val="both"/>
        <w:rPr>
          <w:rFonts w:ascii="Verdana" w:eastAsia="Calibri" w:hAnsi="Verdana" w:cs="Arial"/>
          <w:lang w:val="es-ES" w:eastAsia="es-ES"/>
        </w:rPr>
      </w:pPr>
    </w:p>
    <w:p w14:paraId="3B9CEBC9" w14:textId="77777777" w:rsidR="000C0330" w:rsidRPr="0019499E" w:rsidRDefault="000C0330" w:rsidP="000C0330">
      <w:pPr>
        <w:spacing w:after="0" w:line="276" w:lineRule="auto"/>
        <w:jc w:val="both"/>
        <w:rPr>
          <w:rFonts w:ascii="Verdana" w:eastAsia="Calibri" w:hAnsi="Verdana" w:cs="Arial"/>
          <w:lang w:val="es-ES" w:eastAsia="es-ES"/>
        </w:rPr>
      </w:pPr>
      <w:r w:rsidRPr="0019499E">
        <w:rPr>
          <w:rFonts w:ascii="Verdana" w:eastAsia="Calibri" w:hAnsi="Verdana" w:cs="Arial"/>
          <w:lang w:val="es-ES" w:eastAsia="es-ES"/>
        </w:rPr>
        <w:t>En ejercicio de la competencia otorgada por los artículos 3, numeral 5º, y 11, numeral 8º, del Decreto Ley 4170 de 2011,</w:t>
      </w:r>
      <w:r w:rsidRPr="0019499E">
        <w:rPr>
          <w:rFonts w:ascii="Verdana" w:eastAsia="Arial MT" w:hAnsi="Verdana" w:cs="Arial MT"/>
          <w:lang w:val="es-ES" w:eastAsia="es-ES"/>
        </w:rPr>
        <w:t xml:space="preserve"> </w:t>
      </w:r>
      <w:r w:rsidRPr="0019499E">
        <w:rPr>
          <w:rFonts w:ascii="Verdana" w:eastAsia="Aptos" w:hAnsi="Verdana" w:cs="Arial"/>
        </w:rPr>
        <w:t xml:space="preserve">así como lo establecido en el artículo 4 de la Resolución 1707 de 2018 expedida por esta Entidad, </w:t>
      </w:r>
      <w:r w:rsidRPr="0019499E">
        <w:rPr>
          <w:rFonts w:ascii="Verdana" w:eastAsia="Calibri" w:hAnsi="Verdana" w:cs="Arial"/>
          <w:lang w:val="es-ES" w:eastAsia="es-ES"/>
        </w:rPr>
        <w:t xml:space="preserve">la Agencia Nacional de Contratación Pública – Colombia Compra Eficiente– responde su petición del </w:t>
      </w:r>
      <w:r>
        <w:rPr>
          <w:rFonts w:ascii="Verdana" w:eastAsia="Calibri" w:hAnsi="Verdana" w:cs="Arial"/>
          <w:lang w:val="es-ES" w:eastAsia="es-ES"/>
        </w:rPr>
        <w:t>24</w:t>
      </w:r>
      <w:r w:rsidRPr="0019499E">
        <w:rPr>
          <w:rFonts w:ascii="Verdana" w:eastAsia="Calibri" w:hAnsi="Verdana" w:cs="Arial"/>
          <w:lang w:val="es-ES" w:eastAsia="es-ES"/>
        </w:rPr>
        <w:t xml:space="preserve"> de abril de 2026</w:t>
      </w:r>
      <w:r>
        <w:rPr>
          <w:rFonts w:ascii="Verdana" w:eastAsia="Calibri" w:hAnsi="Verdana" w:cs="Arial"/>
          <w:lang w:val="es-ES" w:eastAsia="es-ES"/>
        </w:rPr>
        <w:t xml:space="preserve">, en la que </w:t>
      </w:r>
      <w:r w:rsidRPr="0019499E">
        <w:rPr>
          <w:rFonts w:ascii="Verdana" w:eastAsia="Calibri" w:hAnsi="Verdana" w:cs="Arial"/>
          <w:lang w:val="es-ES" w:eastAsia="es-ES"/>
        </w:rPr>
        <w:t xml:space="preserve">realiza la siguiente consulta: </w:t>
      </w:r>
    </w:p>
    <w:p w14:paraId="0E0E3FCF" w14:textId="77777777" w:rsidR="000C0330" w:rsidRPr="0019499E" w:rsidRDefault="000C0330" w:rsidP="000C0330">
      <w:pPr>
        <w:spacing w:after="0" w:line="276" w:lineRule="auto"/>
        <w:jc w:val="both"/>
        <w:rPr>
          <w:rFonts w:ascii="Verdana" w:eastAsia="Calibri" w:hAnsi="Verdana" w:cs="Arial"/>
          <w:lang w:val="es-ES" w:eastAsia="es-ES"/>
        </w:rPr>
      </w:pPr>
    </w:p>
    <w:p w14:paraId="53B2AE1B" w14:textId="77777777" w:rsidR="000C0330" w:rsidRPr="0004153E" w:rsidRDefault="000C0330" w:rsidP="000C0330">
      <w:pPr>
        <w:spacing w:after="0" w:line="240" w:lineRule="auto"/>
        <w:ind w:left="709" w:right="709"/>
        <w:jc w:val="both"/>
        <w:rPr>
          <w:rFonts w:ascii="Verdana" w:eastAsia="Calibri" w:hAnsi="Verdana" w:cs="Arial"/>
          <w:sz w:val="20"/>
          <w:szCs w:val="20"/>
          <w:lang w:val="es-MX"/>
        </w:rPr>
      </w:pPr>
      <w:r w:rsidRPr="0019499E">
        <w:rPr>
          <w:rFonts w:ascii="Verdana" w:eastAsia="Calibri" w:hAnsi="Verdana" w:cs="Arial"/>
          <w:sz w:val="20"/>
          <w:szCs w:val="20"/>
          <w:lang w:val="es-MX"/>
        </w:rPr>
        <w:t>“</w:t>
      </w:r>
      <w:r>
        <w:rPr>
          <w:rFonts w:ascii="Verdana" w:eastAsia="Calibri" w:hAnsi="Verdana" w:cs="Arial"/>
          <w:sz w:val="20"/>
          <w:szCs w:val="20"/>
          <w:lang w:val="es-MX"/>
        </w:rPr>
        <w:t xml:space="preserve">1. Un servidor público (Secretario de Despacho) renuncia y posterior a la renuncia sale publicado en la página se la Procuraduría General de la Nación que contempla la inhabilidad para desempeñar cargos públicos e inhabilidad para contratar con el estado y cuyo efecto jurídico de la inhabilidad surten a partir de seis (6) meses posteriores a la renuncia. Las preguntas especificas son las siguientes: </w:t>
      </w:r>
      <w:r>
        <w:rPr>
          <w:rFonts w:ascii="Verdana" w:eastAsia="Calibri" w:hAnsi="Verdana" w:cs="Arial"/>
          <w:b/>
          <w:bCs/>
          <w:sz w:val="20"/>
          <w:szCs w:val="20"/>
          <w:u w:val="single"/>
          <w:lang w:val="es-MX"/>
        </w:rPr>
        <w:t xml:space="preserve">A) </w:t>
      </w:r>
      <w:r>
        <w:rPr>
          <w:rFonts w:ascii="Verdana" w:eastAsia="Calibri" w:hAnsi="Verdana" w:cs="Arial"/>
          <w:sz w:val="20"/>
          <w:szCs w:val="20"/>
          <w:lang w:val="es-MX"/>
        </w:rPr>
        <w:t xml:space="preserve">Debe la entidad solicitar ante el juez de contencioso administrativo la nulidad absoluta de los contratos. </w:t>
      </w:r>
      <w:r>
        <w:rPr>
          <w:rFonts w:ascii="Verdana" w:eastAsia="Calibri" w:hAnsi="Verdana" w:cs="Arial"/>
          <w:b/>
          <w:bCs/>
          <w:sz w:val="20"/>
          <w:szCs w:val="20"/>
          <w:lang w:val="es-MX"/>
        </w:rPr>
        <w:t xml:space="preserve">B) </w:t>
      </w:r>
      <w:r>
        <w:rPr>
          <w:rFonts w:ascii="Verdana" w:eastAsia="Calibri" w:hAnsi="Verdana" w:cs="Arial"/>
          <w:sz w:val="20"/>
          <w:szCs w:val="20"/>
          <w:lang w:val="es-MX"/>
        </w:rPr>
        <w:t>Son nulos los contratos que se suscribieron durante la inhabilidad sobreviniente pese a que la entidad no tenía conocimiento del resultado del fallo?</w:t>
      </w:r>
      <w:r w:rsidRPr="0004153E">
        <w:rPr>
          <w:rFonts w:ascii="Verdana" w:eastAsia="Calibri" w:hAnsi="Verdana" w:cs="Arial"/>
          <w:sz w:val="20"/>
          <w:szCs w:val="20"/>
          <w:lang w:val="es-MX"/>
        </w:rPr>
        <w:t>” [sic]</w:t>
      </w:r>
      <w:r>
        <w:rPr>
          <w:rFonts w:ascii="Verdana" w:eastAsia="Calibri" w:hAnsi="Verdana" w:cs="Arial"/>
          <w:sz w:val="20"/>
          <w:szCs w:val="20"/>
          <w:lang w:val="es-MX"/>
        </w:rPr>
        <w:t xml:space="preserve"> [Énfasis propio]</w:t>
      </w:r>
    </w:p>
    <w:p w14:paraId="08CE2DB6" w14:textId="77777777" w:rsidR="000C0330" w:rsidRPr="0019499E" w:rsidRDefault="000C0330" w:rsidP="000C0330">
      <w:pPr>
        <w:spacing w:after="0" w:line="276" w:lineRule="auto"/>
        <w:jc w:val="both"/>
        <w:rPr>
          <w:rFonts w:ascii="Verdana" w:eastAsia="Calibri" w:hAnsi="Verdana" w:cs="Arial"/>
          <w:lang w:val="es-ES" w:eastAsia="es-ES"/>
        </w:rPr>
      </w:pPr>
    </w:p>
    <w:p w14:paraId="68BC41CF" w14:textId="77777777" w:rsidR="000C0330" w:rsidRPr="0019499E" w:rsidRDefault="000C0330" w:rsidP="000C0330">
      <w:pPr>
        <w:spacing w:after="120" w:line="276" w:lineRule="auto"/>
        <w:jc w:val="both"/>
        <w:rPr>
          <w:rFonts w:ascii="Verdana" w:eastAsia="Calibri" w:hAnsi="Verdana" w:cs="Arial"/>
          <w:lang w:val="es-ES" w:eastAsia="es-ES"/>
        </w:rPr>
      </w:pPr>
      <w:r w:rsidRPr="0019499E">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y Contratación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9357FDD" w14:textId="77777777" w:rsidR="000C0330" w:rsidRPr="0019499E" w:rsidRDefault="000C0330" w:rsidP="000C0330">
      <w:pPr>
        <w:spacing w:after="0" w:line="276" w:lineRule="auto"/>
        <w:ind w:firstLine="709"/>
        <w:jc w:val="both"/>
        <w:rPr>
          <w:rFonts w:ascii="Verdana" w:eastAsia="Calibri" w:hAnsi="Verdana" w:cs="Arial"/>
          <w:lang w:val="es-ES" w:eastAsia="es-ES"/>
        </w:rPr>
      </w:pPr>
      <w:r w:rsidRPr="0019499E">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3476F6B6" w14:textId="77777777" w:rsidR="000C0330" w:rsidRPr="0019499E" w:rsidRDefault="000C0330" w:rsidP="000C0330">
      <w:pPr>
        <w:spacing w:after="0" w:line="276" w:lineRule="auto"/>
        <w:ind w:firstLine="709"/>
        <w:jc w:val="both"/>
        <w:rPr>
          <w:rFonts w:ascii="Verdana" w:eastAsia="Calibri" w:hAnsi="Verdana" w:cs="Arial"/>
          <w:lang w:val="es-ES" w:eastAsia="es-ES"/>
        </w:rPr>
      </w:pPr>
    </w:p>
    <w:p w14:paraId="52E36B26" w14:textId="77777777" w:rsidR="000C0330" w:rsidRPr="0019499E" w:rsidRDefault="000C0330" w:rsidP="000C0330">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19499E">
        <w:rPr>
          <w:rFonts w:ascii="Verdana" w:eastAsia="Arial" w:hAnsi="Verdana" w:cs="Arial"/>
          <w:b/>
          <w:bCs/>
          <w:lang w:val="es-ES"/>
        </w:rPr>
        <w:t>1. Problema planteado:</w:t>
      </w:r>
    </w:p>
    <w:p w14:paraId="79927222" w14:textId="77777777" w:rsidR="000C0330" w:rsidRPr="0019499E" w:rsidRDefault="000C0330" w:rsidP="000C0330">
      <w:pPr>
        <w:tabs>
          <w:tab w:val="left" w:pos="426"/>
        </w:tabs>
        <w:spacing w:after="0" w:line="276" w:lineRule="auto"/>
        <w:jc w:val="both"/>
        <w:rPr>
          <w:rFonts w:ascii="Verdana" w:eastAsia="Century Gothic" w:hAnsi="Verdana" w:cs="Century Gothic"/>
          <w:lang w:val="es-ES"/>
        </w:rPr>
      </w:pPr>
    </w:p>
    <w:p w14:paraId="023180AF" w14:textId="77777777" w:rsidR="000C0330" w:rsidRPr="0019499E" w:rsidRDefault="000C0330" w:rsidP="000C0330">
      <w:pPr>
        <w:spacing w:after="0" w:line="276" w:lineRule="auto"/>
        <w:jc w:val="both"/>
        <w:rPr>
          <w:rFonts w:ascii="Verdana" w:hAnsi="Verdana"/>
        </w:rPr>
      </w:pPr>
      <w:r w:rsidRPr="0019499E">
        <w:rPr>
          <w:rFonts w:ascii="Verdana" w:eastAsia="Century Gothic" w:hAnsi="Verdana" w:cs="Century Gothic"/>
        </w:rPr>
        <w:t xml:space="preserve">De acuerdo con el contenido de su solicitud, le informamos que la misma se resolverá desde </w:t>
      </w:r>
      <w:r>
        <w:rPr>
          <w:rFonts w:ascii="Verdana" w:eastAsia="Century Gothic" w:hAnsi="Verdana" w:cs="Century Gothic"/>
        </w:rPr>
        <w:t>el</w:t>
      </w:r>
      <w:r w:rsidRPr="0019499E">
        <w:rPr>
          <w:rFonts w:ascii="Verdana" w:eastAsia="Century Gothic" w:hAnsi="Verdana" w:cs="Century Gothic"/>
        </w:rPr>
        <w:t xml:space="preserve"> siguiente </w:t>
      </w:r>
      <w:bookmarkStart w:id="1" w:name="_Hlk171070029"/>
      <w:r w:rsidRPr="0019499E">
        <w:rPr>
          <w:rFonts w:ascii="Verdana" w:eastAsia="Century Gothic" w:hAnsi="Verdana" w:cs="Century Gothic"/>
        </w:rPr>
        <w:t>interrogante:</w:t>
      </w:r>
      <w:r w:rsidRPr="00277E26">
        <w:rPr>
          <w:rFonts w:ascii="Verdana" w:eastAsia="Century Gothic" w:hAnsi="Verdana" w:cs="Century Gothic"/>
        </w:rPr>
        <w:t xml:space="preserve"> ¿</w:t>
      </w:r>
      <w:r>
        <w:rPr>
          <w:rFonts w:ascii="Verdana" w:eastAsia="Century Gothic" w:hAnsi="Verdana" w:cs="Century Gothic"/>
        </w:rPr>
        <w:t>Cuáles son los efectos de las inhabilidades sobrevinientes en la contratación pública</w:t>
      </w:r>
      <w:r w:rsidRPr="00277E26">
        <w:rPr>
          <w:rFonts w:ascii="Verdana" w:eastAsia="Century Gothic" w:hAnsi="Verdana" w:cs="Century Gothic"/>
        </w:rPr>
        <w:t>?</w:t>
      </w:r>
    </w:p>
    <w:p w14:paraId="402276A4" w14:textId="77777777" w:rsidR="000C0330" w:rsidRPr="0019499E" w:rsidRDefault="000C0330" w:rsidP="000C0330">
      <w:pPr>
        <w:spacing w:after="0"/>
        <w:jc w:val="both"/>
        <w:rPr>
          <w:rFonts w:ascii="Verdana" w:hAnsi="Verdana"/>
        </w:rPr>
      </w:pPr>
    </w:p>
    <w:bookmarkEnd w:id="1"/>
    <w:p w14:paraId="052E4CD9" w14:textId="77777777" w:rsidR="000C0330" w:rsidRPr="0019499E" w:rsidRDefault="000C0330" w:rsidP="000C0330">
      <w:pPr>
        <w:widowControl w:val="0"/>
        <w:autoSpaceDE w:val="0"/>
        <w:autoSpaceDN w:val="0"/>
        <w:spacing w:before="1" w:after="0" w:line="240" w:lineRule="auto"/>
        <w:jc w:val="both"/>
        <w:outlineLvl w:val="0"/>
        <w:rPr>
          <w:rFonts w:ascii="Verdana" w:eastAsia="Arial" w:hAnsi="Verdana" w:cs="Arial"/>
          <w:b/>
          <w:bCs/>
          <w:lang w:val="es-ES"/>
        </w:rPr>
      </w:pPr>
      <w:r w:rsidRPr="0019499E">
        <w:rPr>
          <w:rFonts w:ascii="Verdana" w:eastAsia="Arial" w:hAnsi="Verdana" w:cs="Arial"/>
          <w:b/>
          <w:bCs/>
          <w:lang w:val="es-ES"/>
        </w:rPr>
        <w:t>2. Respuesta:</w:t>
      </w:r>
    </w:p>
    <w:p w14:paraId="5C46CE16" w14:textId="77777777" w:rsidR="000C0330" w:rsidRPr="0019499E" w:rsidRDefault="000C0330" w:rsidP="000C0330">
      <w:pPr>
        <w:spacing w:after="0"/>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C0330" w:rsidRPr="0019499E" w14:paraId="68CD9891" w14:textId="77777777" w:rsidTr="0042480B">
        <w:tc>
          <w:tcPr>
            <w:tcW w:w="8828" w:type="dxa"/>
          </w:tcPr>
          <w:p w14:paraId="235D171B" w14:textId="77777777" w:rsidR="000C0330" w:rsidRDefault="000C0330" w:rsidP="0042480B">
            <w:pPr>
              <w:spacing w:after="120" w:line="276" w:lineRule="auto"/>
              <w:jc w:val="both"/>
              <w:rPr>
                <w:rFonts w:ascii="Verdana" w:hAnsi="Verdana" w:cs="Arial"/>
                <w:color w:val="000000" w:themeColor="text1"/>
              </w:rPr>
            </w:pPr>
            <w:bookmarkStart w:id="2" w:name="_Hlk171067516"/>
            <w:r>
              <w:rPr>
                <w:rFonts w:ascii="Verdana" w:hAnsi="Verdana" w:cs="Arial"/>
                <w:color w:val="000000" w:themeColor="text1"/>
              </w:rPr>
              <w:t xml:space="preserve">Sobre el particular debe precisarse que, si las inhabilidades o incompatibilidades tienen carácter sobreviniente, es necesario tener en cuenta que el ordenamiento jurídico trata de manera distinta al oferente, al adjudicatario y al contratista. </w:t>
            </w:r>
            <w:r w:rsidRPr="006437AB">
              <w:rPr>
                <w:rFonts w:ascii="Verdana" w:hAnsi="Verdana" w:cs="Arial"/>
                <w:i/>
                <w:iCs/>
                <w:color w:val="000000" w:themeColor="text1"/>
              </w:rPr>
              <w:t>Respecto al ofer</w:t>
            </w:r>
            <w:r>
              <w:rPr>
                <w:rFonts w:ascii="Verdana" w:hAnsi="Verdana" w:cs="Arial"/>
                <w:i/>
                <w:iCs/>
                <w:color w:val="000000" w:themeColor="text1"/>
              </w:rPr>
              <w:t>en</w:t>
            </w:r>
            <w:r w:rsidRPr="006437AB">
              <w:rPr>
                <w:rFonts w:ascii="Verdana" w:hAnsi="Verdana" w:cs="Arial"/>
                <w:i/>
                <w:iCs/>
                <w:color w:val="000000" w:themeColor="text1"/>
              </w:rPr>
              <w:t>te</w:t>
            </w:r>
            <w:r>
              <w:rPr>
                <w:rFonts w:ascii="Verdana" w:hAnsi="Verdana" w:cs="Arial"/>
                <w:color w:val="000000" w:themeColor="text1"/>
              </w:rPr>
              <w:t>, el inciso segundo del artículo 9 de la Ley 80 de 1993 dispone que “[c]</w:t>
            </w:r>
            <w:r w:rsidRPr="006437AB">
              <w:rPr>
                <w:rFonts w:ascii="Verdana" w:hAnsi="Verdana" w:cs="Arial"/>
                <w:color w:val="000000" w:themeColor="text1"/>
              </w:rPr>
              <w:t>uando la inhabilidad o incompatibilidad sobrevenga en un proponente dentro de un proceso de selección, se entenderá que renuncia a la participación en el proceso de selección y a los derechos surgidos del mismo</w:t>
            </w:r>
            <w:r>
              <w:rPr>
                <w:rFonts w:ascii="Verdana" w:hAnsi="Verdana" w:cs="Arial"/>
                <w:color w:val="000000" w:themeColor="text1"/>
              </w:rPr>
              <w:t>”</w:t>
            </w:r>
            <w:r w:rsidRPr="006437AB">
              <w:rPr>
                <w:rFonts w:ascii="Verdana" w:hAnsi="Verdana" w:cs="Arial"/>
                <w:color w:val="000000" w:themeColor="text1"/>
              </w:rPr>
              <w:t>.</w:t>
            </w:r>
            <w:r>
              <w:rPr>
                <w:rFonts w:ascii="Verdana" w:hAnsi="Verdana" w:cs="Arial"/>
                <w:color w:val="000000" w:themeColor="text1"/>
              </w:rPr>
              <w:t xml:space="preserve"> </w:t>
            </w:r>
            <w:r w:rsidRPr="00102540">
              <w:rPr>
                <w:rFonts w:ascii="Verdana" w:hAnsi="Verdana" w:cs="Arial"/>
                <w:i/>
                <w:iCs/>
                <w:color w:val="000000" w:themeColor="text1"/>
              </w:rPr>
              <w:t>Respecto al adjudicatario</w:t>
            </w:r>
            <w:r>
              <w:rPr>
                <w:rFonts w:ascii="Verdana" w:hAnsi="Verdana" w:cs="Arial"/>
                <w:color w:val="000000" w:themeColor="text1"/>
              </w:rPr>
              <w:t xml:space="preserve">, el </w:t>
            </w:r>
            <w:r>
              <w:rPr>
                <w:rFonts w:ascii="Verdana" w:hAnsi="Verdana" w:cs="Arial"/>
                <w:color w:val="000000" w:themeColor="text1"/>
              </w:rPr>
              <w:lastRenderedPageBreak/>
              <w:t xml:space="preserve">inciso 3 del artículo 9 de la Ley 1150 de 2007 prescribe lo siguiente: “[…] </w:t>
            </w:r>
            <w:r w:rsidRPr="00102540">
              <w:rPr>
                <w:rFonts w:ascii="Verdana" w:hAnsi="Verdana" w:cs="Arial"/>
                <w:color w:val="000000" w:themeColor="text1"/>
              </w:rPr>
              <w:t xml:space="preserve">si dentro del plazo comprendido entre la adjudicación del contrato y la suscripción del mismo, sobreviene una inhabilidad o incompatibilidad </w:t>
            </w:r>
            <w:r>
              <w:rPr>
                <w:rFonts w:ascii="Verdana" w:hAnsi="Verdana" w:cs="Arial"/>
                <w:color w:val="000000" w:themeColor="text1"/>
              </w:rPr>
              <w:t>[…]</w:t>
            </w:r>
            <w:r w:rsidRPr="00102540">
              <w:rPr>
                <w:rFonts w:ascii="Verdana" w:hAnsi="Verdana" w:cs="Arial"/>
                <w:color w:val="000000" w:themeColor="text1"/>
              </w:rPr>
              <w:t xml:space="preserve"> este podrá ser revocado</w:t>
            </w:r>
            <w:r>
              <w:rPr>
                <w:rFonts w:ascii="Verdana" w:hAnsi="Verdana" w:cs="Arial"/>
                <w:color w:val="000000" w:themeColor="text1"/>
              </w:rPr>
              <w:t xml:space="preserve"> […]”.</w:t>
            </w:r>
          </w:p>
          <w:p w14:paraId="454C3CFA" w14:textId="77777777" w:rsidR="000C0330" w:rsidRDefault="000C0330" w:rsidP="0042480B">
            <w:pPr>
              <w:spacing w:after="120" w:line="276" w:lineRule="auto"/>
              <w:ind w:firstLine="708"/>
              <w:jc w:val="both"/>
              <w:rPr>
                <w:rFonts w:ascii="Verdana" w:hAnsi="Verdana" w:cs="Arial"/>
                <w:color w:val="000000" w:themeColor="text1"/>
              </w:rPr>
            </w:pPr>
            <w:r>
              <w:rPr>
                <w:rFonts w:ascii="Verdana" w:hAnsi="Verdana" w:cs="Arial"/>
                <w:color w:val="000000" w:themeColor="text1"/>
              </w:rPr>
              <w:t>Sólo con el cumplimiento de los requisitos de los artículos 39 y 41 del Estatuto General de Contratación Pública existe el contrato estatal, de manera que tienen carácter solemne</w:t>
            </w:r>
            <w:r w:rsidRPr="00102540">
              <w:rPr>
                <w:rFonts w:ascii="Verdana" w:hAnsi="Verdana" w:cs="Arial"/>
                <w:color w:val="000000" w:themeColor="text1"/>
              </w:rPr>
              <w:t xml:space="preserve"> y, por tanto, requieren formalidad escrita</w:t>
            </w:r>
            <w:r>
              <w:rPr>
                <w:rFonts w:ascii="Verdana" w:hAnsi="Verdana" w:cs="Arial"/>
                <w:color w:val="000000" w:themeColor="text1"/>
              </w:rPr>
              <w:t xml:space="preserve">. Por ello, </w:t>
            </w:r>
            <w:r w:rsidRPr="00F87C06">
              <w:rPr>
                <w:rFonts w:ascii="Verdana" w:hAnsi="Verdana" w:cs="Arial"/>
                <w:i/>
                <w:iCs/>
                <w:color w:val="000000" w:themeColor="text1"/>
              </w:rPr>
              <w:t>respecto al contratista</w:t>
            </w:r>
            <w:r>
              <w:rPr>
                <w:rFonts w:ascii="Verdana" w:hAnsi="Verdana" w:cs="Arial"/>
                <w:color w:val="000000" w:themeColor="text1"/>
              </w:rPr>
              <w:t>, el inciso primero del artículo 9 de la Ley 80 de 1993 dispone que “[s]</w:t>
            </w:r>
            <w:r w:rsidRPr="00F87C06">
              <w:rPr>
                <w:rFonts w:ascii="Verdana" w:hAnsi="Verdana" w:cs="Arial"/>
                <w:color w:val="000000" w:themeColor="text1"/>
              </w:rPr>
              <w:t>i llegare a sobrevenir inhabilidad o incompatibilidad en el contratista, este cederá el contrato previa autorización escrita de la entidad contratante o, si ello no fuere posible, renunciará a su ejecución</w:t>
            </w:r>
            <w:r>
              <w:rPr>
                <w:rFonts w:ascii="Verdana" w:hAnsi="Verdana" w:cs="Arial"/>
                <w:color w:val="000000" w:themeColor="text1"/>
              </w:rPr>
              <w:t xml:space="preserve">”. El inciso tercero </w:t>
            </w:r>
            <w:r w:rsidRPr="00F87C06">
              <w:rPr>
                <w:rFonts w:ascii="Verdana" w:hAnsi="Verdana" w:cs="Arial"/>
                <w:i/>
                <w:iCs/>
                <w:color w:val="000000" w:themeColor="text1"/>
              </w:rPr>
              <w:t>ibidem</w:t>
            </w:r>
            <w:r>
              <w:rPr>
                <w:rFonts w:ascii="Verdana" w:hAnsi="Verdana" w:cs="Arial"/>
                <w:color w:val="000000" w:themeColor="text1"/>
              </w:rPr>
              <w:t xml:space="preserve"> agrega lo siguiente: “[s]</w:t>
            </w:r>
            <w:r w:rsidRPr="00F87C06">
              <w:rPr>
                <w:rFonts w:ascii="Verdana" w:hAnsi="Verdana" w:cs="Arial"/>
                <w:color w:val="000000" w:themeColor="text1"/>
              </w:rPr>
              <w:t>i la inhabilidad o incompatibilidad sobreviene en uno de los miembros de un consorcio o unión temporal, este cederá su participación a un tercero previa autorización escrita de la entidad contratante. En ningún caso podrá haber cesión del contrato entre quienes integran el consorcio o unión temporal</w:t>
            </w:r>
            <w:r>
              <w:rPr>
                <w:rFonts w:ascii="Verdana" w:hAnsi="Verdana" w:cs="Arial"/>
                <w:color w:val="000000" w:themeColor="text1"/>
              </w:rPr>
              <w:t>”</w:t>
            </w:r>
            <w:r w:rsidRPr="00F87C06">
              <w:rPr>
                <w:rFonts w:ascii="Verdana" w:hAnsi="Verdana" w:cs="Arial"/>
                <w:color w:val="000000" w:themeColor="text1"/>
              </w:rPr>
              <w:t>.</w:t>
            </w:r>
            <w:r>
              <w:rPr>
                <w:rFonts w:ascii="Verdana" w:hAnsi="Verdana" w:cs="Arial"/>
                <w:color w:val="000000" w:themeColor="text1"/>
              </w:rPr>
              <w:t xml:space="preserve"> </w:t>
            </w:r>
          </w:p>
          <w:p w14:paraId="18CC1851" w14:textId="77777777" w:rsidR="000C0330" w:rsidRPr="0019499E" w:rsidRDefault="000C0330" w:rsidP="0042480B">
            <w:pPr>
              <w:snapToGrid w:val="0"/>
              <w:spacing w:line="276" w:lineRule="auto"/>
              <w:ind w:firstLine="709"/>
              <w:contextualSpacing/>
              <w:jc w:val="both"/>
              <w:rPr>
                <w:rFonts w:ascii="Verdana" w:eastAsia="Geomanist Light" w:hAnsi="Verdana" w:cs="Arial"/>
                <w:color w:val="000000"/>
                <w:lang w:val="es-MX"/>
              </w:rPr>
            </w:pPr>
            <w:r>
              <w:rPr>
                <w:rFonts w:ascii="Verdana" w:hAnsi="Verdana" w:cs="Arial"/>
                <w:color w:val="000000" w:themeColor="text1"/>
              </w:rPr>
              <w:t xml:space="preserve">En este contexto, durante la fase de selección, los </w:t>
            </w:r>
            <w:r w:rsidRPr="00F87C06">
              <w:rPr>
                <w:rFonts w:ascii="Verdana" w:hAnsi="Verdana" w:cs="Arial"/>
                <w:i/>
                <w:iCs/>
                <w:color w:val="000000" w:themeColor="text1"/>
              </w:rPr>
              <w:t>oferentes</w:t>
            </w:r>
            <w:r>
              <w:rPr>
                <w:rFonts w:ascii="Verdana" w:hAnsi="Verdana" w:cs="Arial"/>
                <w:color w:val="000000" w:themeColor="text1"/>
              </w:rPr>
              <w:t xml:space="preserve"> y </w:t>
            </w:r>
            <w:r w:rsidRPr="00F87C06">
              <w:rPr>
                <w:rFonts w:ascii="Verdana" w:hAnsi="Verdana" w:cs="Arial"/>
                <w:i/>
                <w:iCs/>
                <w:color w:val="000000" w:themeColor="text1"/>
              </w:rPr>
              <w:t>adjudicatarios</w:t>
            </w:r>
            <w:r>
              <w:rPr>
                <w:rFonts w:ascii="Verdana" w:hAnsi="Verdana" w:cs="Arial"/>
                <w:color w:val="000000" w:themeColor="text1"/>
              </w:rPr>
              <w:t xml:space="preserve"> carecen de la posibilidad de ceder contratos por sustracción de materia, siendo los efectos de la inhabilidad sobreviniente las consecuencias descritas </w:t>
            </w:r>
            <w:r w:rsidRPr="005366FC">
              <w:rPr>
                <w:rFonts w:ascii="Verdana" w:hAnsi="Verdana" w:cs="Arial"/>
                <w:i/>
                <w:iCs/>
                <w:color w:val="000000" w:themeColor="text1"/>
              </w:rPr>
              <w:t>ut supra</w:t>
            </w:r>
            <w:r>
              <w:rPr>
                <w:rFonts w:ascii="Verdana" w:hAnsi="Verdana" w:cs="Arial"/>
                <w:color w:val="000000" w:themeColor="text1"/>
              </w:rPr>
              <w:t>. La cesión es una institución jurídica propia de la etapa contractual, por lo que sólo pueden cederse los contratos estatales que se encuentren perfeccionados y no estén liquidados, para los que la requieran, o no se hayan extinguido las obligaciones entre las partes, para aquellos negocios que no la requieran.</w:t>
            </w:r>
          </w:p>
        </w:tc>
      </w:tr>
      <w:bookmarkEnd w:id="2"/>
    </w:tbl>
    <w:p w14:paraId="3262D4E8" w14:textId="77777777" w:rsidR="000C0330" w:rsidRPr="0019499E" w:rsidRDefault="000C0330" w:rsidP="000C0330">
      <w:pPr>
        <w:widowControl w:val="0"/>
        <w:autoSpaceDE w:val="0"/>
        <w:autoSpaceDN w:val="0"/>
        <w:spacing w:before="1" w:after="0" w:line="240" w:lineRule="auto"/>
        <w:ind w:left="360" w:hanging="360"/>
        <w:outlineLvl w:val="0"/>
        <w:rPr>
          <w:rFonts w:ascii="Verdana" w:eastAsia="Arial" w:hAnsi="Verdana" w:cs="Arial"/>
          <w:b/>
        </w:rPr>
      </w:pPr>
    </w:p>
    <w:p w14:paraId="148EA725" w14:textId="77777777" w:rsidR="000C0330" w:rsidRPr="0019499E" w:rsidRDefault="000C0330" w:rsidP="000C0330">
      <w:pPr>
        <w:widowControl w:val="0"/>
        <w:autoSpaceDE w:val="0"/>
        <w:autoSpaceDN w:val="0"/>
        <w:spacing w:before="1" w:after="0" w:line="240" w:lineRule="auto"/>
        <w:ind w:left="360" w:hanging="360"/>
        <w:outlineLvl w:val="0"/>
        <w:rPr>
          <w:rFonts w:ascii="Verdana" w:eastAsia="Arial" w:hAnsi="Verdana" w:cs="Arial"/>
          <w:b/>
          <w:bCs/>
          <w:lang w:val="es-ES"/>
        </w:rPr>
      </w:pPr>
      <w:r w:rsidRPr="0019499E">
        <w:rPr>
          <w:rFonts w:ascii="Verdana" w:eastAsia="Arial" w:hAnsi="Verdana" w:cs="Arial"/>
          <w:b/>
          <w:bCs/>
          <w:lang w:val="es-ES"/>
        </w:rPr>
        <w:t>3. Razones de la respuesta</w:t>
      </w:r>
    </w:p>
    <w:p w14:paraId="3FAEE845" w14:textId="77777777" w:rsidR="000C0330" w:rsidRPr="0019499E" w:rsidRDefault="000C0330" w:rsidP="000C0330">
      <w:pPr>
        <w:spacing w:after="0" w:line="276" w:lineRule="auto"/>
        <w:jc w:val="both"/>
        <w:rPr>
          <w:rFonts w:ascii="Verdana" w:eastAsia="Calibri" w:hAnsi="Verdana" w:cs="Arial"/>
          <w:lang w:val="es-ES"/>
        </w:rPr>
      </w:pPr>
    </w:p>
    <w:p w14:paraId="341170E4" w14:textId="77777777" w:rsidR="000C0330" w:rsidRPr="0019499E" w:rsidRDefault="000C0330" w:rsidP="000C0330">
      <w:pPr>
        <w:spacing w:after="0" w:line="276" w:lineRule="auto"/>
        <w:jc w:val="both"/>
        <w:rPr>
          <w:rFonts w:ascii="Verdana" w:eastAsia="Calibri" w:hAnsi="Verdana" w:cs="Arial"/>
          <w:lang w:val="es-ES"/>
        </w:rPr>
      </w:pPr>
      <w:r w:rsidRPr="0019499E">
        <w:rPr>
          <w:rFonts w:ascii="Verdana" w:eastAsia="Calibri" w:hAnsi="Verdana" w:cs="Arial"/>
          <w:lang w:val="es-ES"/>
        </w:rPr>
        <w:t xml:space="preserve">Las respuestas anteriores se sustentan en las siguientes consideraciones: </w:t>
      </w:r>
    </w:p>
    <w:p w14:paraId="1C249BCB" w14:textId="77777777" w:rsidR="000C0330" w:rsidRPr="0019499E" w:rsidRDefault="000C0330" w:rsidP="000C0330">
      <w:pPr>
        <w:spacing w:after="0" w:line="276" w:lineRule="auto"/>
        <w:jc w:val="both"/>
        <w:rPr>
          <w:rFonts w:ascii="Verdana" w:eastAsia="Calibri" w:hAnsi="Verdana" w:cs="Arial"/>
          <w:lang w:val="es-ES"/>
        </w:rPr>
      </w:pPr>
    </w:p>
    <w:p w14:paraId="437980BB" w14:textId="77777777" w:rsidR="000C0330" w:rsidRPr="006030CA" w:rsidRDefault="000C0330" w:rsidP="000C0330">
      <w:pPr>
        <w:pStyle w:val="Sinespaciado"/>
        <w:spacing w:after="120" w:line="276" w:lineRule="auto"/>
        <w:jc w:val="both"/>
        <w:rPr>
          <w:rFonts w:ascii="Verdana" w:eastAsia="Calibri" w:hAnsi="Verdana" w:cs="Arial"/>
          <w:lang w:val="es-MX"/>
        </w:rPr>
      </w:pPr>
      <w:r w:rsidRPr="0019499E">
        <w:rPr>
          <w:rFonts w:ascii="Verdana" w:eastAsia="Calibri" w:hAnsi="Verdana" w:cs="Arial"/>
          <w:lang w:val="es-ES"/>
        </w:rPr>
        <w:t>De manera preliminar debe precisarse que,</w:t>
      </w:r>
      <w:r>
        <w:rPr>
          <w:rFonts w:ascii="Verdana" w:eastAsia="Calibri" w:hAnsi="Verdana" w:cs="Arial"/>
          <w:lang w:val="es-ES"/>
        </w:rPr>
        <w:t xml:space="preserve"> </w:t>
      </w:r>
      <w:r>
        <w:rPr>
          <w:rFonts w:ascii="Verdana" w:eastAsia="Calibri" w:hAnsi="Verdana" w:cs="Arial"/>
          <w:lang w:val="es-MX"/>
        </w:rPr>
        <w:t>l</w:t>
      </w:r>
      <w:r w:rsidRPr="006030CA">
        <w:rPr>
          <w:rFonts w:ascii="Verdana" w:eastAsia="Calibri" w:hAnsi="Verdana" w:cs="Arial"/>
          <w:lang w:val="es-MX"/>
        </w:rPr>
        <w:t xml:space="preserve">as inhabilidades son circunstancias establecidas por la Constitución o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  </w:t>
      </w:r>
    </w:p>
    <w:p w14:paraId="274C5270" w14:textId="77777777" w:rsidR="000C0330" w:rsidRPr="006030CA" w:rsidRDefault="000C0330" w:rsidP="000C0330">
      <w:pPr>
        <w:spacing w:after="120" w:line="276" w:lineRule="auto"/>
        <w:ind w:firstLine="709"/>
        <w:jc w:val="both"/>
        <w:rPr>
          <w:rFonts w:ascii="Verdana" w:eastAsia="Calibri" w:hAnsi="Verdana" w:cs="Arial"/>
        </w:rPr>
      </w:pPr>
      <w:r w:rsidRPr="006030CA">
        <w:rPr>
          <w:rFonts w:ascii="Verdana" w:eastAsia="Calibri" w:hAnsi="Verdana" w:cs="Arial"/>
        </w:rPr>
        <w:lastRenderedPageBreak/>
        <w:t xml:space="preserve">El régimen de inhabilidades para contratar con el Estado es un conjunto de restricciones establecidas por el </w:t>
      </w:r>
      <w:r>
        <w:rPr>
          <w:rFonts w:ascii="Verdana" w:eastAsia="Calibri" w:hAnsi="Verdana" w:cs="Arial"/>
        </w:rPr>
        <w:t>C</w:t>
      </w:r>
      <w:r w:rsidRPr="006030CA">
        <w:rPr>
          <w:rFonts w:ascii="Verdana" w:eastAsia="Calibri" w:hAnsi="Verdana" w:cs="Arial"/>
        </w:rPr>
        <w:t xml:space="preserve">onstituyente o por el </w:t>
      </w:r>
      <w:r>
        <w:rPr>
          <w:rFonts w:ascii="Verdana" w:eastAsia="Calibri" w:hAnsi="Verdana" w:cs="Arial"/>
        </w:rPr>
        <w:t>L</w:t>
      </w:r>
      <w:r w:rsidRPr="006030CA">
        <w:rPr>
          <w:rFonts w:ascii="Verdana" w:eastAsia="Calibri" w:hAnsi="Verdana" w:cs="Arial"/>
        </w:rPr>
        <w:t>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6030CA">
        <w:rPr>
          <w:rFonts w:ascii="Verdana" w:eastAsia="Calibri" w:hAnsi="Verdana" w:cs="Arial"/>
          <w:vertAlign w:val="superscript"/>
        </w:rPr>
        <w:footnoteReference w:id="1"/>
      </w:r>
      <w:r w:rsidRPr="006030CA">
        <w:rPr>
          <w:rFonts w:ascii="Verdana" w:eastAsia="Calibri" w:hAnsi="Verdana" w:cs="Arial"/>
        </w:rPr>
        <w:t>.</w:t>
      </w:r>
    </w:p>
    <w:p w14:paraId="3603579F" w14:textId="77777777" w:rsidR="000C0330" w:rsidRPr="006030CA" w:rsidRDefault="000C0330" w:rsidP="000C0330">
      <w:pPr>
        <w:spacing w:after="0" w:line="276" w:lineRule="auto"/>
        <w:ind w:firstLine="709"/>
        <w:jc w:val="both"/>
        <w:rPr>
          <w:rFonts w:ascii="Verdana" w:eastAsia="Calibri" w:hAnsi="Verdana" w:cs="Arial"/>
          <w:lang w:val="es-MX"/>
        </w:rPr>
      </w:pPr>
      <w:r w:rsidRPr="006030CA">
        <w:rPr>
          <w:rFonts w:ascii="Verdana" w:eastAsia="Calibri" w:hAnsi="Verdana" w:cs="Arial"/>
          <w:lang w:val="es-MX"/>
        </w:rPr>
        <w:t xml:space="preserve">La consagración limitaciones que afectan la capacidad jurídica para contratar desarrolla los principios de la función administrativa consagrados en el artículo 209 de la Constitución Política, con especial énfasis el de moralidad. Así lo entiende el Consejo de Estado: </w:t>
      </w:r>
    </w:p>
    <w:p w14:paraId="39454CCC" w14:textId="77777777" w:rsidR="000C0330" w:rsidRPr="006030CA" w:rsidRDefault="000C0330" w:rsidP="000C0330">
      <w:pPr>
        <w:spacing w:after="0" w:line="276" w:lineRule="auto"/>
        <w:jc w:val="both"/>
        <w:rPr>
          <w:rFonts w:ascii="Verdana" w:eastAsia="Calibri" w:hAnsi="Verdana" w:cs="Arial"/>
          <w:lang w:val="es-MX"/>
        </w:rPr>
      </w:pPr>
    </w:p>
    <w:p w14:paraId="32A00660" w14:textId="77777777" w:rsidR="000C0330" w:rsidRPr="006030CA" w:rsidRDefault="000C0330" w:rsidP="000C0330">
      <w:pPr>
        <w:shd w:val="clear" w:color="auto" w:fill="FFFFFF"/>
        <w:spacing w:after="0" w:line="240" w:lineRule="auto"/>
        <w:ind w:left="709" w:right="709"/>
        <w:jc w:val="both"/>
        <w:rPr>
          <w:rFonts w:ascii="Verdana" w:eastAsia="Times New Roman" w:hAnsi="Verdana" w:cs="Arial"/>
          <w:sz w:val="21"/>
          <w:szCs w:val="21"/>
          <w:lang w:val="es-ES" w:eastAsia="es-CO"/>
        </w:rPr>
      </w:pPr>
      <w:r w:rsidRPr="006030CA">
        <w:rPr>
          <w:rFonts w:ascii="Verdana" w:eastAsia="Times New Roman" w:hAnsi="Verdana" w:cs="Arial"/>
          <w:sz w:val="21"/>
          <w:szCs w:val="21"/>
          <w:lang w:val="es-ES" w:eastAsia="es-CO"/>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402169AA" w14:textId="77777777" w:rsidR="000C0330" w:rsidRPr="006030CA" w:rsidRDefault="000C0330" w:rsidP="000C0330">
      <w:pPr>
        <w:shd w:val="clear" w:color="auto" w:fill="FFFFFF"/>
        <w:spacing w:after="0" w:line="240" w:lineRule="auto"/>
        <w:ind w:left="709" w:right="709"/>
        <w:jc w:val="both"/>
        <w:rPr>
          <w:rFonts w:ascii="Verdana" w:eastAsia="Times New Roman" w:hAnsi="Verdana" w:cs="Arial"/>
          <w:sz w:val="21"/>
          <w:szCs w:val="21"/>
          <w:lang w:val="es-ES" w:eastAsia="es-CO"/>
        </w:rPr>
      </w:pPr>
      <w:r w:rsidRPr="006030CA">
        <w:rPr>
          <w:rFonts w:ascii="Verdana" w:eastAsia="Times New Roman" w:hAnsi="Verdana" w:cs="Arial"/>
          <w:sz w:val="21"/>
          <w:szCs w:val="21"/>
          <w:lang w:val="es-ES" w:eastAsia="es-CO"/>
        </w:rPr>
        <w:t xml:space="preserve">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w:t>
      </w:r>
      <w:r w:rsidRPr="006030CA">
        <w:rPr>
          <w:rFonts w:ascii="Verdana" w:eastAsia="Times New Roman" w:hAnsi="Verdana" w:cs="Arial"/>
          <w:sz w:val="21"/>
          <w:szCs w:val="21"/>
          <w:lang w:val="es-ES" w:eastAsia="es-CO"/>
        </w:rPr>
        <w:lastRenderedPageBreak/>
        <w:t>legal prevalente, esto es que puede ser impuesta sobre el derecho individual a contratar con el Estado”</w:t>
      </w:r>
      <w:r w:rsidRPr="006030CA">
        <w:rPr>
          <w:rFonts w:ascii="Verdana" w:eastAsia="Times New Roman" w:hAnsi="Verdana" w:cs="Arial"/>
          <w:sz w:val="21"/>
          <w:szCs w:val="21"/>
          <w:vertAlign w:val="superscript"/>
          <w:lang w:val="es-ES" w:eastAsia="es-CO"/>
        </w:rPr>
        <w:footnoteReference w:id="2"/>
      </w:r>
      <w:r w:rsidRPr="006030CA">
        <w:rPr>
          <w:rFonts w:ascii="Verdana" w:eastAsia="Times New Roman" w:hAnsi="Verdana" w:cs="Arial"/>
          <w:sz w:val="21"/>
          <w:szCs w:val="21"/>
          <w:lang w:val="es-ES" w:eastAsia="es-CO"/>
        </w:rPr>
        <w:t>.</w:t>
      </w:r>
    </w:p>
    <w:p w14:paraId="5CDF81F6" w14:textId="77777777" w:rsidR="000C0330" w:rsidRPr="006030CA" w:rsidRDefault="000C0330" w:rsidP="000C0330">
      <w:pPr>
        <w:shd w:val="clear" w:color="auto" w:fill="FFFFFF"/>
        <w:spacing w:after="0" w:line="276" w:lineRule="auto"/>
        <w:ind w:left="709" w:right="709"/>
        <w:jc w:val="both"/>
        <w:rPr>
          <w:rFonts w:ascii="Verdana" w:eastAsia="Times New Roman" w:hAnsi="Verdana" w:cs="Arial"/>
          <w:lang w:val="es-ES" w:eastAsia="es-CO"/>
        </w:rPr>
      </w:pPr>
    </w:p>
    <w:p w14:paraId="0589A718" w14:textId="77777777" w:rsidR="000C0330" w:rsidRPr="006030CA" w:rsidRDefault="000C0330" w:rsidP="000C0330">
      <w:pPr>
        <w:spacing w:after="0" w:line="276" w:lineRule="auto"/>
        <w:ind w:firstLine="709"/>
        <w:jc w:val="both"/>
        <w:rPr>
          <w:rFonts w:ascii="Verdana" w:eastAsia="Calibri" w:hAnsi="Verdana" w:cs="Arial"/>
          <w:lang w:val="es-MX"/>
        </w:rPr>
      </w:pPr>
      <w:r w:rsidRPr="006030CA">
        <w:rPr>
          <w:rFonts w:ascii="Verdana" w:eastAsia="Calibri" w:hAnsi="Verdana" w:cs="Arial"/>
          <w:lang w:val="es-MX"/>
        </w:rPr>
        <w:t xml:space="preserve">Así las cosas,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estar justificadas en la salvaguarda del interés general y que su lectura e interpretación es taxativa y restrictiva: </w:t>
      </w:r>
    </w:p>
    <w:p w14:paraId="0CDBE657" w14:textId="77777777" w:rsidR="000C0330" w:rsidRPr="006030CA" w:rsidRDefault="000C0330" w:rsidP="000C0330">
      <w:pPr>
        <w:spacing w:after="0" w:line="276" w:lineRule="auto"/>
        <w:ind w:firstLine="709"/>
        <w:jc w:val="both"/>
        <w:rPr>
          <w:rFonts w:ascii="Verdana" w:eastAsia="Calibri" w:hAnsi="Verdana" w:cs="Arial"/>
          <w:lang w:val="es-MX"/>
        </w:rPr>
      </w:pPr>
    </w:p>
    <w:p w14:paraId="6B2047EF" w14:textId="77777777" w:rsidR="000C0330" w:rsidRPr="006030CA" w:rsidRDefault="000C0330" w:rsidP="000C0330">
      <w:pPr>
        <w:spacing w:after="120" w:line="240" w:lineRule="auto"/>
        <w:ind w:left="709" w:right="709"/>
        <w:jc w:val="both"/>
        <w:rPr>
          <w:rFonts w:ascii="Verdana" w:eastAsia="Calibri" w:hAnsi="Verdana" w:cs="Arial"/>
          <w:sz w:val="21"/>
          <w:szCs w:val="21"/>
        </w:rPr>
      </w:pPr>
      <w:r w:rsidRPr="006030CA">
        <w:rPr>
          <w:rFonts w:ascii="Verdana" w:eastAsia="Calibri" w:hAnsi="Verdana" w:cs="Arial"/>
          <w:sz w:val="21"/>
          <w:szCs w:val="21"/>
        </w:rPr>
        <w:t>“Todo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incompatibilidades, se erige en causal de nulidad del contrato celebrado en esas condiciones (ley 80 de 1993, art. 44).</w:t>
      </w:r>
    </w:p>
    <w:p w14:paraId="50747BBB" w14:textId="77777777" w:rsidR="000C0330" w:rsidRPr="006030CA" w:rsidRDefault="000C0330" w:rsidP="000C0330">
      <w:pPr>
        <w:spacing w:after="0" w:line="240" w:lineRule="auto"/>
        <w:ind w:left="709" w:right="709"/>
        <w:jc w:val="both"/>
        <w:rPr>
          <w:rFonts w:ascii="Verdana" w:eastAsia="Calibri" w:hAnsi="Verdana" w:cs="Arial"/>
          <w:sz w:val="21"/>
          <w:szCs w:val="21"/>
        </w:rPr>
      </w:pPr>
      <w:r w:rsidRPr="006030CA">
        <w:rPr>
          <w:rFonts w:ascii="Verdana" w:eastAsia="Calibri" w:hAnsi="Verdana" w:cs="Arial"/>
          <w:sz w:val="21"/>
          <w:szCs w:val="21"/>
        </w:rPr>
        <w:t>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a la igualdad y el reconocimiento de la personalidad jurídica de las personas que resultan rechazadas del ámbito contractual del Estado”</w:t>
      </w:r>
      <w:r w:rsidRPr="006030CA">
        <w:rPr>
          <w:rFonts w:ascii="Verdana" w:eastAsia="Calibri" w:hAnsi="Verdana" w:cs="Arial"/>
          <w:sz w:val="21"/>
          <w:szCs w:val="21"/>
          <w:vertAlign w:val="superscript"/>
        </w:rPr>
        <w:footnoteReference w:id="3"/>
      </w:r>
      <w:r w:rsidRPr="006030CA">
        <w:rPr>
          <w:rFonts w:ascii="Verdana" w:eastAsia="Calibri" w:hAnsi="Verdana" w:cs="Arial"/>
          <w:sz w:val="21"/>
          <w:szCs w:val="21"/>
        </w:rPr>
        <w:t>.</w:t>
      </w:r>
    </w:p>
    <w:p w14:paraId="1FBBA1F5" w14:textId="77777777" w:rsidR="000C0330" w:rsidRPr="006030CA" w:rsidRDefault="000C0330" w:rsidP="000C0330">
      <w:pPr>
        <w:spacing w:after="0" w:line="276" w:lineRule="auto"/>
        <w:ind w:right="709"/>
        <w:jc w:val="both"/>
        <w:rPr>
          <w:rFonts w:ascii="Verdana" w:eastAsia="Calibri" w:hAnsi="Verdana" w:cs="Arial"/>
        </w:rPr>
      </w:pPr>
    </w:p>
    <w:p w14:paraId="7C40F27E" w14:textId="77777777" w:rsidR="000C0330" w:rsidRPr="006030CA" w:rsidRDefault="000C0330" w:rsidP="000C0330">
      <w:pPr>
        <w:spacing w:after="0" w:line="276" w:lineRule="auto"/>
        <w:ind w:firstLine="709"/>
        <w:jc w:val="both"/>
        <w:rPr>
          <w:rFonts w:ascii="Verdana" w:eastAsia="Calibri" w:hAnsi="Verdana" w:cs="Arial"/>
        </w:rPr>
      </w:pPr>
      <w:r w:rsidRPr="006030CA">
        <w:rPr>
          <w:rFonts w:ascii="Verdana" w:eastAsia="Calibri" w:hAnsi="Verdana" w:cs="Arial"/>
        </w:rPr>
        <w:t xml:space="preserve">Además, la Corte Constitucional explica que el </w:t>
      </w:r>
      <w:r>
        <w:rPr>
          <w:rFonts w:ascii="Verdana" w:eastAsia="Calibri" w:hAnsi="Verdana" w:cs="Arial"/>
        </w:rPr>
        <w:t>L</w:t>
      </w:r>
      <w:r w:rsidRPr="006030CA">
        <w:rPr>
          <w:rFonts w:ascii="Verdana" w:eastAsia="Calibri" w:hAnsi="Verdana" w:cs="Arial"/>
        </w:rPr>
        <w:t xml:space="preserve">egislador tiene la competencia para determinar qué hechos o situaciones generan inhabilidad para </w:t>
      </w:r>
      <w:r w:rsidRPr="006030CA">
        <w:rPr>
          <w:rFonts w:ascii="Verdana" w:eastAsia="Calibri" w:hAnsi="Verdana" w:cs="Arial"/>
        </w:rPr>
        <w:lastRenderedPageBreak/>
        <w:t>contratar, pues este régimen es un aspecto propio del Estatuto General de Contratación de la Administración Pública, cuya expedición compete al Congreso de la República a la luz del artículo 150 de la Constitución Política, y que en esta materia rige el principio de legalidad:</w:t>
      </w:r>
    </w:p>
    <w:p w14:paraId="62A3B858" w14:textId="77777777" w:rsidR="000C0330" w:rsidRPr="006030CA" w:rsidRDefault="000C0330" w:rsidP="000C0330">
      <w:pPr>
        <w:tabs>
          <w:tab w:val="left" w:pos="1532"/>
        </w:tabs>
        <w:spacing w:after="0" w:line="276" w:lineRule="auto"/>
        <w:jc w:val="both"/>
        <w:rPr>
          <w:rFonts w:ascii="Verdana" w:eastAsia="Calibri" w:hAnsi="Verdana" w:cs="Arial"/>
          <w:lang w:val="es-MX"/>
        </w:rPr>
      </w:pPr>
    </w:p>
    <w:p w14:paraId="3DE3E973" w14:textId="77777777" w:rsidR="000C0330" w:rsidRPr="006030CA" w:rsidRDefault="000C0330" w:rsidP="000C0330">
      <w:pPr>
        <w:spacing w:after="0" w:line="240" w:lineRule="auto"/>
        <w:ind w:left="709" w:right="709"/>
        <w:jc w:val="both"/>
        <w:rPr>
          <w:rFonts w:ascii="Verdana" w:eastAsia="Calibri" w:hAnsi="Verdana" w:cs="Arial"/>
          <w:sz w:val="21"/>
          <w:szCs w:val="21"/>
        </w:rPr>
      </w:pPr>
      <w:r w:rsidRPr="006030CA">
        <w:rPr>
          <w:rFonts w:ascii="Verdana" w:eastAsia="Calibri" w:hAnsi="Verdana" w:cs="Arial"/>
          <w:sz w:val="21"/>
          <w:szCs w:val="21"/>
        </w:rPr>
        <w:t>“Las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w:t>
      </w:r>
      <w:r w:rsidRPr="006030CA">
        <w:rPr>
          <w:rFonts w:ascii="Verdana" w:eastAsia="Calibri" w:hAnsi="Verdana" w:cs="Arial"/>
          <w:i/>
          <w:iCs/>
          <w:sz w:val="21"/>
          <w:szCs w:val="21"/>
        </w:rPr>
        <w:t>pro libertate</w:t>
      </w:r>
      <w:r w:rsidRPr="006030CA">
        <w:rPr>
          <w:rFonts w:ascii="Verdana" w:eastAsia="Calibri" w:hAnsi="Verdana" w:cs="Arial"/>
          <w:sz w:val="21"/>
          <w:szCs w:val="21"/>
        </w:rPr>
        <w:t xml:space="preserve">, sino el de legalidad, el que ordena que la función pública debe someterse estrictamente a lo que disponga la Constitución y la ley (CP art. 6). </w:t>
      </w:r>
    </w:p>
    <w:p w14:paraId="6B7FC6AD" w14:textId="77777777" w:rsidR="000C0330" w:rsidRPr="006030CA" w:rsidRDefault="000C0330" w:rsidP="000C0330">
      <w:pPr>
        <w:spacing w:after="120" w:line="240" w:lineRule="auto"/>
        <w:ind w:left="709" w:right="709"/>
        <w:jc w:val="both"/>
        <w:rPr>
          <w:rFonts w:ascii="Verdana" w:eastAsia="Calibri" w:hAnsi="Verdana" w:cs="Arial"/>
          <w:sz w:val="21"/>
          <w:szCs w:val="21"/>
        </w:rPr>
      </w:pPr>
      <w:r w:rsidRPr="006030CA">
        <w:rPr>
          <w:rFonts w:ascii="Verdana" w:eastAsia="Calibri" w:hAnsi="Verdana" w:cs="Arial"/>
          <w:sz w:val="21"/>
          <w:szCs w:val="21"/>
        </w:rPr>
        <w:t xml:space="preserve">[…] </w:t>
      </w:r>
    </w:p>
    <w:p w14:paraId="1FF5DC40" w14:textId="77777777" w:rsidR="000C0330" w:rsidRPr="006030CA" w:rsidRDefault="000C0330" w:rsidP="000C0330">
      <w:pPr>
        <w:spacing w:after="0" w:line="240" w:lineRule="auto"/>
        <w:ind w:left="709" w:right="709"/>
        <w:jc w:val="both"/>
        <w:rPr>
          <w:rFonts w:ascii="Verdana" w:eastAsia="Calibri" w:hAnsi="Verdana" w:cs="Arial"/>
          <w:sz w:val="21"/>
          <w:szCs w:val="21"/>
        </w:rPr>
      </w:pPr>
      <w:r w:rsidRPr="006030CA">
        <w:rPr>
          <w:rFonts w:ascii="Verdana" w:eastAsia="Calibri" w:hAnsi="Verdana" w:cs="Arial"/>
          <w:sz w:val="21"/>
          <w:szCs w:val="21"/>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006030CA">
        <w:rPr>
          <w:rFonts w:ascii="Verdana" w:eastAsia="Calibri" w:hAnsi="Verdana" w:cs="Arial"/>
          <w:sz w:val="21"/>
          <w:szCs w:val="21"/>
          <w:vertAlign w:val="superscript"/>
        </w:rPr>
        <w:footnoteReference w:id="4"/>
      </w:r>
      <w:r w:rsidRPr="006030CA">
        <w:rPr>
          <w:rFonts w:ascii="Verdana" w:eastAsia="Calibri" w:hAnsi="Verdana" w:cs="Arial"/>
          <w:sz w:val="21"/>
          <w:szCs w:val="21"/>
        </w:rPr>
        <w:t>.</w:t>
      </w:r>
    </w:p>
    <w:p w14:paraId="360F5167" w14:textId="77777777" w:rsidR="000C0330" w:rsidRPr="006030CA" w:rsidRDefault="000C0330" w:rsidP="000C0330">
      <w:pPr>
        <w:spacing w:after="0" w:line="276" w:lineRule="auto"/>
        <w:ind w:left="709" w:right="709"/>
        <w:jc w:val="both"/>
        <w:rPr>
          <w:rFonts w:ascii="Verdana" w:eastAsia="Calibri" w:hAnsi="Verdana" w:cs="Arial"/>
        </w:rPr>
      </w:pPr>
    </w:p>
    <w:p w14:paraId="04B2A135" w14:textId="77777777" w:rsidR="000C0330" w:rsidRPr="006030CA" w:rsidRDefault="000C0330" w:rsidP="000C0330">
      <w:pPr>
        <w:spacing w:after="120" w:line="276" w:lineRule="auto"/>
        <w:ind w:firstLine="709"/>
        <w:jc w:val="both"/>
        <w:rPr>
          <w:rFonts w:ascii="Verdana" w:eastAsia="Calibri" w:hAnsi="Verdana" w:cs="Arial"/>
        </w:rPr>
      </w:pPr>
      <w:r w:rsidRPr="006030CA">
        <w:rPr>
          <w:rFonts w:ascii="Verdana" w:eastAsia="Calibri" w:hAnsi="Verdana" w:cs="Arial"/>
        </w:rPr>
        <w:t>Conviene también distinguir las fuentes de las inhabilidades, las cuales han sido clasificadas en dos (2) grupos: i) inhabilidades-sanción y ii)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r w:rsidRPr="006030CA">
        <w:rPr>
          <w:rFonts w:ascii="Verdana" w:eastAsia="Calibri" w:hAnsi="Verdana" w:cs="Arial"/>
          <w:vertAlign w:val="superscript"/>
        </w:rPr>
        <w:footnoteReference w:id="5"/>
      </w:r>
      <w:r w:rsidRPr="006030CA">
        <w:rPr>
          <w:rFonts w:ascii="Verdana" w:eastAsia="Calibri" w:hAnsi="Verdana" w:cs="Arial"/>
        </w:rPr>
        <w:t>.</w:t>
      </w:r>
    </w:p>
    <w:p w14:paraId="53DF17FD" w14:textId="77777777" w:rsidR="000C0330" w:rsidRPr="006030CA" w:rsidRDefault="000C0330" w:rsidP="000C0330">
      <w:pPr>
        <w:spacing w:after="120" w:line="276" w:lineRule="auto"/>
        <w:ind w:firstLine="709"/>
        <w:jc w:val="both"/>
        <w:rPr>
          <w:rFonts w:ascii="Verdana" w:eastAsia="Calibri" w:hAnsi="Verdana" w:cs="Arial"/>
        </w:rPr>
      </w:pPr>
      <w:r w:rsidRPr="006030CA">
        <w:rPr>
          <w:rFonts w:ascii="Verdana" w:eastAsia="Calibri" w:hAnsi="Verdana" w:cs="Arial"/>
        </w:rPr>
        <w:t xml:space="preserve">A manera de ejemplo, en materia contractual, los literales c), d) y j) del numeral 1 del artículo 8 de la Ley 80 de 1993 establecen inhabilidades-sanción, porque la prohibición para contratar con el Estado en esos eventos es una consecuencia de una declaratoria de responsabilidad que surge luego de un proceso sancionatorio –administrativo, disciplinario o penal–; mientras que las </w:t>
      </w:r>
      <w:r w:rsidRPr="006030CA">
        <w:rPr>
          <w:rFonts w:ascii="Verdana" w:eastAsia="Calibri" w:hAnsi="Verdana" w:cs="Arial"/>
        </w:rPr>
        <w:lastRenderedPageBreak/>
        <w:t xml:space="preserve">inhabilidades de los literales f), g) y h) del literal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bookmarkStart w:id="3" w:name="_Hlk40976328"/>
      <w:r w:rsidRPr="006030CA">
        <w:rPr>
          <w:rFonts w:ascii="Verdana" w:eastAsia="Calibri" w:hAnsi="Verdana" w:cs="Arial"/>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bookmarkEnd w:id="3"/>
    </w:p>
    <w:p w14:paraId="30A8256B" w14:textId="77777777" w:rsidR="000C0330" w:rsidRPr="006030CA" w:rsidRDefault="000C0330" w:rsidP="000C0330">
      <w:pPr>
        <w:spacing w:after="120" w:line="276" w:lineRule="auto"/>
        <w:ind w:firstLine="708"/>
        <w:jc w:val="both"/>
        <w:rPr>
          <w:rFonts w:ascii="Verdana" w:eastAsia="Calibri" w:hAnsi="Verdana" w:cs="Arial"/>
          <w:lang w:val="es-ES_tradnl"/>
        </w:rPr>
      </w:pPr>
      <w:r w:rsidRPr="00D8513F">
        <w:rPr>
          <w:rFonts w:ascii="Verdana" w:eastAsia="Calibri" w:hAnsi="Verdana" w:cs="Arial"/>
          <w:lang w:val="es-ES_tradnl"/>
        </w:rPr>
        <w:t>Igualmente</w:t>
      </w:r>
      <w:r w:rsidRPr="006030CA">
        <w:rPr>
          <w:rFonts w:ascii="Verdana" w:eastAsia="Calibri" w:hAnsi="Verdana" w:cs="Arial"/>
          <w:lang w:val="es-ES_tradnl"/>
        </w:rPr>
        <w:t xml:space="preserve">, </w:t>
      </w:r>
      <w:bookmarkStart w:id="4" w:name="_Hlk135133412"/>
      <w:r w:rsidRPr="006030CA">
        <w:rPr>
          <w:rFonts w:ascii="Verdana" w:eastAsia="Calibri" w:hAnsi="Verdana" w:cs="Arial"/>
          <w:lang w:val="es-ES_tradnl"/>
        </w:rPr>
        <w:t xml:space="preserve">en la contratación estatal, la </w:t>
      </w:r>
      <w:r w:rsidRPr="00D8513F">
        <w:rPr>
          <w:rFonts w:ascii="Verdana" w:eastAsia="Calibri" w:hAnsi="Verdana" w:cs="Arial"/>
          <w:lang w:val="es-ES_tradnl"/>
        </w:rPr>
        <w:t>capacidad</w:t>
      </w:r>
      <w:r w:rsidRPr="006030CA">
        <w:rPr>
          <w:rFonts w:ascii="Verdana" w:eastAsia="Calibri" w:hAnsi="Verdana" w:cs="Arial"/>
          <w:lang w:val="es-ES_tradnl"/>
        </w:rPr>
        <w:t xml:space="preserve"> también es un requisito de validez de los contratos, tanto en el régimen de las entidades sujetas al Estatuto General de Contratación de la Administración Pública</w:t>
      </w:r>
      <w:r w:rsidRPr="006030CA">
        <w:rPr>
          <w:rFonts w:ascii="Verdana" w:eastAsia="Calibri" w:hAnsi="Verdana" w:cs="Arial"/>
          <w:vertAlign w:val="superscript"/>
          <w:lang w:val="es-ES_tradnl"/>
        </w:rPr>
        <w:footnoteReference w:id="6"/>
      </w:r>
      <w:r w:rsidRPr="006030CA">
        <w:rPr>
          <w:rFonts w:ascii="Verdana" w:eastAsia="Calibri" w:hAnsi="Verdana" w:cs="Arial"/>
          <w:lang w:val="es-ES_tradnl"/>
        </w:rPr>
        <w:t xml:space="preserve"> como en el de las entidades exceptuadas de aquel</w:t>
      </w:r>
      <w:r w:rsidRPr="006030CA">
        <w:rPr>
          <w:rFonts w:ascii="Verdana" w:eastAsia="Calibri" w:hAnsi="Verdana" w:cs="Arial"/>
          <w:vertAlign w:val="superscript"/>
          <w:lang w:val="es-ES_tradnl"/>
        </w:rPr>
        <w:footnoteReference w:id="7"/>
      </w:r>
      <w:r w:rsidRPr="006030CA">
        <w:rPr>
          <w:rFonts w:ascii="Verdana" w:eastAsia="Calibri" w:hAnsi="Verdana" w:cs="Arial"/>
          <w:lang w:val="es-ES_tradnl"/>
        </w:rPr>
        <w:t>. Si bien la regulación de la capacidad se integra por varias disposiciones y exigencias especiales –como el requisito de inscribirse, por regla general, en el Registro Único de Proponentes (RUP), establecido en el artículo 6 de la Ley 1150 de 2007, modificado por el artículo 221 del Decreto 19 de 2012</w:t>
      </w:r>
      <w:r w:rsidRPr="006030CA">
        <w:rPr>
          <w:rFonts w:ascii="Verdana" w:eastAsia="Calibri" w:hAnsi="Verdana" w:cs="Arial"/>
          <w:vertAlign w:val="superscript"/>
          <w:lang w:val="es-ES_tradnl"/>
        </w:rPr>
        <w:footnoteReference w:id="8"/>
      </w:r>
      <w:r w:rsidRPr="006030CA">
        <w:rPr>
          <w:rFonts w:ascii="Verdana" w:eastAsia="Calibri" w:hAnsi="Verdana" w:cs="Arial"/>
          <w:lang w:val="es-ES_tradnl"/>
        </w:rPr>
        <w:t xml:space="preserve">–, se destaca el régimen de inhabilidades e incompatibilidades como un conjunto de normas que imponen restricciones para </w:t>
      </w:r>
      <w:r w:rsidRPr="006030CA">
        <w:rPr>
          <w:rFonts w:ascii="Verdana" w:eastAsia="Calibri" w:hAnsi="Verdana" w:cs="Arial"/>
          <w:lang w:val="es-ES_tradnl"/>
        </w:rPr>
        <w:lastRenderedPageBreak/>
        <w:t>los sujetos que, eventualmente, pretendan participar en los procedimientos de selección o celebrar contratos con las entidades estatales</w:t>
      </w:r>
      <w:r w:rsidRPr="006030CA">
        <w:rPr>
          <w:rFonts w:ascii="Verdana" w:eastAsia="Calibri" w:hAnsi="Verdana" w:cs="Arial"/>
          <w:vertAlign w:val="superscript"/>
          <w:lang w:val="es-ES_tradnl"/>
        </w:rPr>
        <w:footnoteReference w:id="9"/>
      </w:r>
      <w:r w:rsidRPr="006030CA">
        <w:rPr>
          <w:rFonts w:ascii="Verdana" w:eastAsia="Calibri" w:hAnsi="Verdana" w:cs="Arial"/>
          <w:lang w:val="es-ES_tradnl"/>
        </w:rPr>
        <w:t>.</w:t>
      </w:r>
    </w:p>
    <w:p w14:paraId="3DB051EA" w14:textId="77777777" w:rsidR="000C0330" w:rsidRPr="006030CA" w:rsidRDefault="000C0330" w:rsidP="000C0330">
      <w:pPr>
        <w:spacing w:after="120" w:line="276" w:lineRule="auto"/>
        <w:ind w:firstLine="709"/>
        <w:jc w:val="both"/>
        <w:rPr>
          <w:rFonts w:ascii="Verdana" w:eastAsia="Calibri" w:hAnsi="Verdana" w:cs="Arial"/>
          <w:lang w:val="es-ES"/>
        </w:rPr>
      </w:pPr>
      <w:r w:rsidRPr="006030CA">
        <w:rPr>
          <w:rFonts w:ascii="Verdana" w:eastAsia="Calibri" w:hAnsi="Verdana" w:cs="Arial"/>
          <w:lang w:val="es-ES"/>
        </w:rPr>
        <w:t>Las inhabilidades son prohibiciones para concurrir a los procedimientos de selección y para contratar con el Estado, que se derivan: i) de la existencia de comportamientos reprochables o de sanciones anteriormente impuestas, ii) de vínculos personales relativos al parentesco o al estado civil o iii) de una actividad u oficio que se desempeñó en el pasado. De otro lado, las incompatibilidades, según un sector de la doctrina,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En todo caso, a pesar de la existencia de distintos criterios para diferenciar las inhabilidades de las incompatibilidades, de la presencia de ellas se derivan las mismas consecuencias jurídicas, esto es, la limitación de la capacidad contractual, de manera que la presencia de ellas impide que se puedan celebrar contratos con el Estado o participar en procedimientos de selección de las entidades estatales, por lo que de cualquiera de ellas se derivan los mismos efectos jurídicos</w:t>
      </w:r>
      <w:r w:rsidRPr="006030CA">
        <w:rPr>
          <w:rFonts w:ascii="Verdana" w:eastAsia="Calibri" w:hAnsi="Verdana" w:cs="Arial"/>
          <w:vertAlign w:val="superscript"/>
          <w:lang w:val="es-ES"/>
        </w:rPr>
        <w:footnoteReference w:id="10"/>
      </w:r>
      <w:r w:rsidRPr="006030CA">
        <w:rPr>
          <w:rFonts w:ascii="Verdana" w:eastAsia="Calibri" w:hAnsi="Verdana" w:cs="Arial"/>
          <w:lang w:val="es-ES"/>
        </w:rPr>
        <w:t>.</w:t>
      </w:r>
    </w:p>
    <w:bookmarkEnd w:id="4"/>
    <w:p w14:paraId="304341E5" w14:textId="77777777" w:rsidR="000C0330" w:rsidRPr="006030CA" w:rsidRDefault="000C0330" w:rsidP="000C0330">
      <w:pPr>
        <w:spacing w:after="120" w:line="276" w:lineRule="auto"/>
        <w:ind w:firstLine="709"/>
        <w:jc w:val="both"/>
        <w:rPr>
          <w:rFonts w:ascii="Verdana" w:eastAsia="Calibri" w:hAnsi="Verdana" w:cs="Arial"/>
          <w:lang w:val="es-ES"/>
        </w:rPr>
      </w:pPr>
      <w:r w:rsidRPr="006030CA">
        <w:rPr>
          <w:rFonts w:ascii="Verdana" w:eastAsia="Calibri" w:hAnsi="Verdana" w:cs="Arial"/>
          <w:lang w:val="es-ES"/>
        </w:rPr>
        <w:t xml:space="preserve">De otro lado, el régimen de inhabilidades e incompatibilidades en la contratación pública responde a la tendencia, vigente desde hace varias décadas en nuestro país, pero que se ha reforzado en los últimos años, de asegurar que la actividad de provisión de los bienes, obras y servicios por parte de las entidades estatales se efectúe cumpliendo con los principios de la función administrativa y de la gestión fiscal, especialmente con probidad y transparencia. Por ello, como destaca la doctrina, las inhabilidades e incompatibilidades son herramientas en la lucha contra la corrupción, adoptando </w:t>
      </w:r>
      <w:r w:rsidRPr="006030CA">
        <w:rPr>
          <w:rFonts w:ascii="Verdana" w:eastAsia="Calibri" w:hAnsi="Verdana" w:cs="Arial"/>
          <w:lang w:val="es-ES"/>
        </w:rPr>
        <w:lastRenderedPageBreak/>
        <w:t>paulatinamente una naturaleza sancionatoria o “neopunitiva”</w:t>
      </w:r>
      <w:r w:rsidRPr="006030CA">
        <w:rPr>
          <w:rFonts w:ascii="Verdana" w:eastAsia="Calibri" w:hAnsi="Verdana" w:cs="Arial"/>
          <w:vertAlign w:val="superscript"/>
          <w:lang w:val="es-ES"/>
        </w:rPr>
        <w:footnoteReference w:id="11"/>
      </w:r>
      <w:r w:rsidRPr="006030CA">
        <w:rPr>
          <w:rFonts w:ascii="Verdana" w:eastAsia="Calibri" w:hAnsi="Verdana" w:cs="Arial"/>
          <w:lang w:val="es-ES"/>
        </w:rPr>
        <w:t xml:space="preserve">. Si bien no todas las causales de inhabilidad y de incompatibilidad son consecuencia de una medida de reproche ni de una sanción previa, como ya se explicó, es indiscutible que en los años más recientes los lamentables hechos de corrupción han generado, como respuesta del </w:t>
      </w:r>
      <w:r>
        <w:rPr>
          <w:rFonts w:ascii="Verdana" w:eastAsia="Calibri" w:hAnsi="Verdana" w:cs="Arial"/>
          <w:lang w:val="es-ES"/>
        </w:rPr>
        <w:t>L</w:t>
      </w:r>
      <w:r w:rsidRPr="006030CA">
        <w:rPr>
          <w:rFonts w:ascii="Verdana" w:eastAsia="Calibri" w:hAnsi="Verdana" w:cs="Arial"/>
          <w:lang w:val="es-ES"/>
        </w:rPr>
        <w:t>egislador, un incremento de las restricciones a la capacidad contractual, dirigidas a prevenir este tipo de situaciones o a sancionar tales conductas.</w:t>
      </w:r>
    </w:p>
    <w:p w14:paraId="1F43B766" w14:textId="77777777" w:rsidR="000C0330" w:rsidRPr="006030CA" w:rsidRDefault="000C0330" w:rsidP="000C0330">
      <w:pPr>
        <w:spacing w:after="120" w:line="276" w:lineRule="auto"/>
        <w:ind w:firstLine="709"/>
        <w:jc w:val="both"/>
        <w:rPr>
          <w:rFonts w:ascii="Verdana" w:eastAsia="Calibri" w:hAnsi="Verdana" w:cs="Arial"/>
          <w:lang w:val="es-ES_tradnl"/>
        </w:rPr>
      </w:pPr>
      <w:r w:rsidRPr="006030CA">
        <w:rPr>
          <w:rFonts w:ascii="Verdana" w:eastAsia="Calibri" w:hAnsi="Verdana" w:cs="Arial"/>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6030CA">
        <w:rPr>
          <w:rFonts w:ascii="Verdana" w:eastAsia="Calibri" w:hAnsi="Verdana" w:cs="Arial"/>
          <w:i/>
          <w:iCs/>
          <w:lang w:val="es-ES_tradnl"/>
        </w:rPr>
        <w:t>restrictiva</w:t>
      </w:r>
      <w:r w:rsidRPr="006030CA">
        <w:rPr>
          <w:rFonts w:ascii="Verdana" w:eastAsia="Calibri" w:hAnsi="Verdana" w:cs="Arial"/>
          <w:i/>
          <w:iCs/>
          <w:vertAlign w:val="superscript"/>
          <w:lang w:val="es-ES_tradnl"/>
        </w:rPr>
        <w:footnoteReference w:id="12"/>
      </w:r>
      <w:r w:rsidRPr="006030CA">
        <w:rPr>
          <w:rFonts w:ascii="Verdana" w:eastAsia="Calibri" w:hAnsi="Verdana" w:cs="Arial"/>
          <w:i/>
          <w:iCs/>
          <w:lang w:val="es-ES_tradnl"/>
        </w:rPr>
        <w:t xml:space="preserve">, </w:t>
      </w:r>
      <w:r w:rsidRPr="006030CA">
        <w:rPr>
          <w:rFonts w:ascii="Verdana" w:eastAsia="Calibri" w:hAnsi="Verdana" w:cs="Arial"/>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 </w:t>
      </w:r>
    </w:p>
    <w:p w14:paraId="03DF894B" w14:textId="77777777" w:rsidR="000C0330" w:rsidRPr="006030CA" w:rsidRDefault="000C0330" w:rsidP="000C0330">
      <w:pPr>
        <w:spacing w:after="0" w:line="276" w:lineRule="auto"/>
        <w:ind w:firstLine="709"/>
        <w:jc w:val="both"/>
        <w:rPr>
          <w:rFonts w:ascii="Verdana" w:eastAsia="Calibri" w:hAnsi="Verdana" w:cs="Arial"/>
          <w:lang w:val="es-ES_tradnl"/>
        </w:rPr>
      </w:pPr>
      <w:r w:rsidRPr="006030CA">
        <w:rPr>
          <w:rFonts w:ascii="Verdana" w:eastAsia="Calibri" w:hAnsi="Verdana" w:cs="Arial"/>
          <w:lang w:val="es-ES_tradnl"/>
        </w:rPr>
        <w:t>En efecto,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6030CA">
        <w:rPr>
          <w:rFonts w:ascii="Verdana" w:eastAsia="Calibri" w:hAnsi="Verdana" w:cs="Arial"/>
          <w:vertAlign w:val="superscript"/>
          <w:lang w:val="es-ES_tradnl"/>
        </w:rPr>
        <w:footnoteReference w:id="13"/>
      </w:r>
      <w:r w:rsidRPr="006030CA">
        <w:rPr>
          <w:rFonts w:ascii="Verdana" w:eastAsia="Calibri" w:hAnsi="Verdana" w:cs="Arial"/>
          <w:lang w:val="es-ES_tradnl"/>
        </w:rPr>
        <w:t>. Por su parte, el Consejo de Estado ha acogido también este criterio, considerando –como expresa la Sala de Consulta y Servicio Civil–, que “</w:t>
      </w:r>
      <w:r>
        <w:rPr>
          <w:rFonts w:ascii="Verdana" w:eastAsia="Calibri" w:hAnsi="Verdana" w:cs="Arial"/>
          <w:lang w:val="es-ES_tradnl"/>
        </w:rPr>
        <w:t>[l]</w:t>
      </w:r>
      <w:r w:rsidRPr="006030CA">
        <w:rPr>
          <w:rFonts w:ascii="Verdana" w:eastAsia="Calibri" w:hAnsi="Verdana" w:cs="Arial"/>
          <w:lang w:val="es-ES_tradnl"/>
        </w:rPr>
        <w:t xml:space="preserve">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w:t>
      </w:r>
      <w:r w:rsidRPr="006030CA">
        <w:rPr>
          <w:rFonts w:ascii="Verdana" w:eastAsia="Calibri" w:hAnsi="Verdana" w:cs="Arial"/>
          <w:lang w:val="es-ES_tradnl"/>
        </w:rPr>
        <w:lastRenderedPageBreak/>
        <w:t>aquello que no les esté expresamente prohibido”</w:t>
      </w:r>
      <w:r w:rsidRPr="006030CA">
        <w:rPr>
          <w:rFonts w:ascii="Verdana" w:eastAsia="Calibri" w:hAnsi="Verdana" w:cs="Arial"/>
          <w:vertAlign w:val="superscript"/>
          <w:lang w:val="es-ES_tradnl"/>
        </w:rPr>
        <w:footnoteReference w:id="14"/>
      </w:r>
      <w:r w:rsidRPr="006030CA">
        <w:rPr>
          <w:rFonts w:ascii="Verdana" w:eastAsia="Calibri" w:hAnsi="Verdana" w:cs="Arial"/>
          <w:lang w:val="es-ES_tradnl"/>
        </w:rPr>
        <w:t>. En tal sentido, la Sección Tercera ha señalado que:</w:t>
      </w:r>
    </w:p>
    <w:p w14:paraId="31A2AF6E" w14:textId="77777777" w:rsidR="000C0330" w:rsidRPr="006030CA" w:rsidRDefault="000C0330" w:rsidP="000C0330">
      <w:pPr>
        <w:spacing w:after="0"/>
        <w:ind w:firstLine="709"/>
        <w:jc w:val="both"/>
        <w:rPr>
          <w:rFonts w:ascii="Verdana" w:eastAsia="Calibri" w:hAnsi="Verdana" w:cs="Arial"/>
          <w:lang w:val="es-ES_tradnl"/>
        </w:rPr>
      </w:pPr>
    </w:p>
    <w:p w14:paraId="4930D6BE" w14:textId="77777777" w:rsidR="000C0330" w:rsidRPr="006030CA" w:rsidRDefault="000C0330" w:rsidP="000C0330">
      <w:pPr>
        <w:spacing w:after="0" w:line="240" w:lineRule="auto"/>
        <w:ind w:left="709" w:right="709"/>
        <w:jc w:val="both"/>
        <w:rPr>
          <w:rFonts w:ascii="Verdana" w:eastAsia="Calibri" w:hAnsi="Verdana" w:cs="Arial"/>
          <w:lang w:val="es-ES_tradnl"/>
        </w:rPr>
      </w:pPr>
      <w:r w:rsidRPr="006030CA">
        <w:rPr>
          <w:rFonts w:ascii="Verdana" w:eastAsia="Calibri" w:hAnsi="Verdana" w:cs="Arial"/>
          <w:sz w:val="21"/>
          <w:szCs w:val="21"/>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6030CA">
        <w:rPr>
          <w:rFonts w:ascii="Verdana" w:eastAsia="Calibri" w:hAnsi="Verdana" w:cs="Arial"/>
          <w:sz w:val="21"/>
          <w:szCs w:val="21"/>
          <w:vertAlign w:val="superscript"/>
          <w:lang w:val="es-ES_tradnl"/>
        </w:rPr>
        <w:footnoteReference w:id="15"/>
      </w:r>
      <w:r w:rsidRPr="006030CA">
        <w:rPr>
          <w:rFonts w:ascii="Verdana" w:eastAsia="Calibri" w:hAnsi="Verdana" w:cs="Arial"/>
          <w:sz w:val="21"/>
          <w:szCs w:val="21"/>
          <w:lang w:val="es-ES_tradnl"/>
        </w:rPr>
        <w:t>.</w:t>
      </w:r>
    </w:p>
    <w:p w14:paraId="71AB114F" w14:textId="77777777" w:rsidR="000C0330" w:rsidRPr="006030CA" w:rsidRDefault="000C0330" w:rsidP="000C0330">
      <w:pPr>
        <w:spacing w:after="0" w:line="276" w:lineRule="auto"/>
        <w:ind w:firstLine="709"/>
        <w:jc w:val="both"/>
        <w:rPr>
          <w:rFonts w:ascii="Verdana" w:eastAsia="Calibri" w:hAnsi="Verdana" w:cs="Arial"/>
          <w:lang w:val="es-ES_tradnl"/>
        </w:rPr>
      </w:pPr>
    </w:p>
    <w:p w14:paraId="4AC3FF2E" w14:textId="77777777" w:rsidR="000C0330" w:rsidRPr="006030CA" w:rsidRDefault="000C0330" w:rsidP="000C0330">
      <w:pPr>
        <w:spacing w:after="0"/>
        <w:ind w:firstLine="709"/>
        <w:jc w:val="both"/>
        <w:rPr>
          <w:rFonts w:ascii="Verdana" w:eastAsia="Calibri" w:hAnsi="Verdana" w:cs="Arial"/>
          <w:lang w:val="es-ES_tradnl"/>
        </w:rPr>
      </w:pPr>
      <w:r w:rsidRPr="006030CA">
        <w:rPr>
          <w:rFonts w:ascii="Verdana" w:eastAsia="Calibri" w:hAnsi="Verdana" w:cs="Arial"/>
          <w:lang w:val="es-ES_tradnl"/>
        </w:rPr>
        <w:t>También ha dicho que:</w:t>
      </w:r>
    </w:p>
    <w:p w14:paraId="5C216EBC" w14:textId="77777777" w:rsidR="000C0330" w:rsidRPr="006030CA" w:rsidRDefault="000C0330" w:rsidP="000C0330">
      <w:pPr>
        <w:spacing w:after="0"/>
        <w:ind w:firstLine="709"/>
        <w:jc w:val="both"/>
        <w:rPr>
          <w:rFonts w:ascii="Verdana" w:eastAsia="Calibri" w:hAnsi="Verdana" w:cs="Arial"/>
          <w:lang w:val="es-ES_tradnl"/>
        </w:rPr>
      </w:pPr>
    </w:p>
    <w:p w14:paraId="09A21923" w14:textId="77777777" w:rsidR="000C0330" w:rsidRPr="006030CA" w:rsidRDefault="000C0330" w:rsidP="000C0330">
      <w:pPr>
        <w:spacing w:after="0" w:line="240" w:lineRule="auto"/>
        <w:ind w:left="709" w:right="616"/>
        <w:jc w:val="both"/>
        <w:rPr>
          <w:rFonts w:ascii="Verdana" w:eastAsia="Calibri" w:hAnsi="Verdana" w:cs="Arial"/>
          <w:sz w:val="21"/>
          <w:szCs w:val="21"/>
          <w:lang w:val="es-ES"/>
        </w:rPr>
      </w:pPr>
      <w:r w:rsidRPr="006030CA">
        <w:rPr>
          <w:rFonts w:ascii="Verdana" w:eastAsia="Calibri" w:hAnsi="Verdana" w:cs="Arial"/>
          <w:sz w:val="21"/>
          <w:szCs w:val="21"/>
          <w:lang w:val="es-ES"/>
        </w:rPr>
        <w:t xml:space="preserve">“[…] la aplicación de estos preceptos exige una interpretación restrictiva, dado que según el principio hermenéutico </w:t>
      </w:r>
      <w:r w:rsidRPr="006030CA">
        <w:rPr>
          <w:rFonts w:ascii="Verdana" w:eastAsia="Calibri" w:hAnsi="Verdana" w:cs="Arial"/>
          <w:i/>
          <w:sz w:val="21"/>
          <w:szCs w:val="21"/>
          <w:lang w:val="es-ES"/>
        </w:rPr>
        <w:t>pro libertate</w:t>
      </w:r>
      <w:r w:rsidRPr="006030CA">
        <w:rPr>
          <w:rFonts w:ascii="Verdana" w:eastAsia="Calibri" w:hAnsi="Verdana" w:cs="Arial"/>
          <w:sz w:val="21"/>
          <w:szCs w:val="21"/>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6030CA">
        <w:rPr>
          <w:rFonts w:ascii="Verdana" w:eastAsia="Calibri" w:hAnsi="Verdana" w:cs="Arial"/>
          <w:sz w:val="21"/>
          <w:szCs w:val="21"/>
          <w:vertAlign w:val="superscript"/>
          <w:lang w:val="es-ES"/>
        </w:rPr>
        <w:footnoteReference w:id="16"/>
      </w:r>
      <w:r w:rsidRPr="006030CA">
        <w:rPr>
          <w:rFonts w:ascii="Verdana" w:eastAsia="Calibri" w:hAnsi="Verdana" w:cs="Arial"/>
          <w:sz w:val="21"/>
          <w:szCs w:val="21"/>
          <w:lang w:val="es-ES"/>
        </w:rPr>
        <w:t>.</w:t>
      </w:r>
    </w:p>
    <w:p w14:paraId="2AAB0A57" w14:textId="77777777" w:rsidR="000C0330" w:rsidRPr="006030CA" w:rsidRDefault="000C0330" w:rsidP="000C0330">
      <w:pPr>
        <w:spacing w:after="0"/>
        <w:ind w:firstLine="708"/>
        <w:jc w:val="both"/>
        <w:rPr>
          <w:rFonts w:ascii="Verdana" w:eastAsia="Arial" w:hAnsi="Verdana" w:cs="Arial"/>
          <w:color w:val="000000"/>
          <w:lang w:val="es-ES_tradnl"/>
        </w:rPr>
      </w:pPr>
    </w:p>
    <w:p w14:paraId="7EB86F0A" w14:textId="77777777" w:rsidR="000C0330" w:rsidRPr="006030CA" w:rsidRDefault="000C0330" w:rsidP="000C0330">
      <w:pPr>
        <w:spacing w:after="120" w:line="276" w:lineRule="auto"/>
        <w:ind w:firstLine="709"/>
        <w:jc w:val="both"/>
        <w:rPr>
          <w:rFonts w:ascii="Verdana" w:eastAsia="Calibri" w:hAnsi="Verdana" w:cs="Arial"/>
          <w:color w:val="000000"/>
        </w:rPr>
      </w:pPr>
      <w:bookmarkStart w:id="5" w:name="_Hlk136439150"/>
      <w:r w:rsidRPr="006030CA">
        <w:rPr>
          <w:rFonts w:ascii="Verdana" w:eastAsia="Arial" w:hAnsi="Verdana" w:cs="Arial"/>
          <w:color w:val="000000"/>
          <w:lang w:val="es-ES_tradnl"/>
        </w:rPr>
        <w:t xml:space="preserve">Como se aprecia, el principio </w:t>
      </w:r>
      <w:r w:rsidRPr="006030CA">
        <w:rPr>
          <w:rFonts w:ascii="Verdana" w:eastAsia="Arial" w:hAnsi="Verdana" w:cs="Arial"/>
          <w:i/>
          <w:iCs/>
          <w:color w:val="000000"/>
          <w:lang w:val="es-ES_tradnl"/>
        </w:rPr>
        <w:t>pro libertate</w:t>
      </w:r>
      <w:r w:rsidRPr="006030CA">
        <w:rPr>
          <w:rFonts w:ascii="Verdana" w:eastAsia="Arial" w:hAnsi="Verdana" w:cs="Arial"/>
          <w:color w:val="000000"/>
          <w:lang w:val="es-ES_tradnl"/>
        </w:rPr>
        <w:t xml:space="preserve"> es el que debe dirigir la interpretación de las disposiciones normativas que consagran restricciones de derechos, como sucede con las causales de inhabilidad e incompatibilidad en la contratación estatal. Además, en relación con la determinación de las causales de inhabilidad e incompatibilidad, la</w:t>
      </w:r>
      <w:r w:rsidRPr="006030CA">
        <w:rPr>
          <w:rFonts w:ascii="Verdana" w:eastAsia="Calibri" w:hAnsi="Verdana" w:cs="Arial"/>
          <w:color w:val="000000"/>
        </w:rPr>
        <w:t xml:space="preserve"> Corte Constitucional ha resaltado que la competencia para determinar qué hechos o situaciones generan inhabilidades o incompatibilidades para contratar con el Estado la tiene el </w:t>
      </w:r>
      <w:r>
        <w:rPr>
          <w:rFonts w:ascii="Verdana" w:eastAsia="Calibri" w:hAnsi="Verdana" w:cs="Arial"/>
          <w:color w:val="000000"/>
        </w:rPr>
        <w:t>L</w:t>
      </w:r>
      <w:r w:rsidRPr="006030CA">
        <w:rPr>
          <w:rFonts w:ascii="Verdana" w:eastAsia="Calibri" w:hAnsi="Verdana" w:cs="Arial"/>
          <w:color w:val="000000"/>
        </w:rPr>
        <w:t xml:space="preserve">egislador, pues este régimen es un aspecto propio del Estatuto General de la Contratación de la Administración Pública, cuya expedición compete al Congreso de la República, </w:t>
      </w:r>
      <w:r w:rsidRPr="006030CA">
        <w:rPr>
          <w:rFonts w:ascii="Verdana" w:eastAsia="Calibri" w:hAnsi="Verdana" w:cs="Arial"/>
          <w:color w:val="000000"/>
        </w:rPr>
        <w:lastRenderedPageBreak/>
        <w:t>conforme al artículo 150 de la Constitución Política, y que en esta materia rige el principio de legalidad</w:t>
      </w:r>
      <w:bookmarkEnd w:id="5"/>
      <w:r w:rsidRPr="006030CA">
        <w:rPr>
          <w:rFonts w:ascii="Verdana" w:eastAsia="Calibri" w:hAnsi="Verdana" w:cs="Arial"/>
          <w:color w:val="000000"/>
          <w:vertAlign w:val="superscript"/>
        </w:rPr>
        <w:footnoteReference w:id="17"/>
      </w:r>
      <w:r w:rsidRPr="006030CA">
        <w:rPr>
          <w:rFonts w:ascii="Verdana" w:eastAsia="Calibri" w:hAnsi="Verdana" w:cs="Arial"/>
          <w:color w:val="000000"/>
        </w:rPr>
        <w:t>.</w:t>
      </w:r>
    </w:p>
    <w:p w14:paraId="0488BEC2" w14:textId="77777777" w:rsidR="000C0330" w:rsidRPr="006030CA" w:rsidRDefault="000C0330" w:rsidP="000C0330">
      <w:pPr>
        <w:spacing w:after="120" w:line="276" w:lineRule="auto"/>
        <w:ind w:firstLine="708"/>
        <w:jc w:val="both"/>
        <w:rPr>
          <w:rFonts w:ascii="Verdana" w:eastAsia="Calibri" w:hAnsi="Verdana" w:cs="Arial"/>
          <w:color w:val="000000"/>
        </w:rPr>
      </w:pPr>
      <w:r w:rsidRPr="006030CA">
        <w:rPr>
          <w:rFonts w:ascii="Verdana" w:eastAsia="Calibri" w:hAnsi="Verdana" w:cs="Arial"/>
          <w:color w:val="000000"/>
        </w:rPr>
        <w:t>Por otra parte,</w:t>
      </w:r>
      <w:r>
        <w:rPr>
          <w:rFonts w:ascii="Verdana" w:eastAsia="Calibri" w:hAnsi="Verdana" w:cs="Arial"/>
          <w:color w:val="000000"/>
        </w:rPr>
        <w:t xml:space="preserve"> </w:t>
      </w:r>
      <w:r w:rsidRPr="006030CA">
        <w:rPr>
          <w:rFonts w:ascii="Verdana" w:eastAsia="Calibri" w:hAnsi="Verdana" w:cs="Arial"/>
          <w:color w:val="000000"/>
        </w:rPr>
        <w:t xml:space="preserve">si las inhabilidades o incompatibilidades tienen carácter sobreviniente, es necesario tener en cuenta que el ordenamiento jurídico trata de manera distinta al oferente, al adjudicatario y al contratista. </w:t>
      </w:r>
      <w:r w:rsidRPr="006030CA">
        <w:rPr>
          <w:rFonts w:ascii="Verdana" w:eastAsia="Calibri" w:hAnsi="Verdana" w:cs="Arial"/>
          <w:i/>
          <w:iCs/>
          <w:color w:val="000000"/>
        </w:rPr>
        <w:t>Respecto al oferente</w:t>
      </w:r>
      <w:r w:rsidRPr="006030CA">
        <w:rPr>
          <w:rFonts w:ascii="Verdana" w:eastAsia="Calibri" w:hAnsi="Verdana" w:cs="Arial"/>
          <w:color w:val="000000"/>
        </w:rPr>
        <w:t>, el inciso segundo del artículo 9 de la Ley 80 de 1993 dispone que “</w:t>
      </w:r>
      <w:r>
        <w:rPr>
          <w:rFonts w:ascii="Verdana" w:eastAsia="Calibri" w:hAnsi="Verdana" w:cs="Arial"/>
          <w:color w:val="000000"/>
        </w:rPr>
        <w:t>[c]</w:t>
      </w:r>
      <w:r w:rsidRPr="006030CA">
        <w:rPr>
          <w:rFonts w:ascii="Verdana" w:eastAsia="Calibri" w:hAnsi="Verdana" w:cs="Arial"/>
          <w:color w:val="000000"/>
        </w:rPr>
        <w:t xml:space="preserve">uando la inhabilidad o incompatibilidad sobrevenga en un proponente dentro de un proceso de selección, se entenderá que renuncia a la participación en el proceso de selección y a los derechos surgidos del mismo”. </w:t>
      </w:r>
      <w:r w:rsidRPr="006030CA">
        <w:rPr>
          <w:rFonts w:ascii="Verdana" w:eastAsia="Calibri" w:hAnsi="Verdana" w:cs="Arial"/>
          <w:i/>
          <w:iCs/>
          <w:color w:val="000000"/>
        </w:rPr>
        <w:t>Respecto al adjudicatario</w:t>
      </w:r>
      <w:r w:rsidRPr="006030CA">
        <w:rPr>
          <w:rFonts w:ascii="Verdana" w:eastAsia="Calibri" w:hAnsi="Verdana" w:cs="Arial"/>
          <w:color w:val="000000"/>
        </w:rPr>
        <w:t>, el inciso 3 del artículo 9 de la Ley 1150 de 2007 prescribe lo siguiente: “[…] si dentro del plazo comprendido entre la adjudicación del contrato y la suscripción del mismo, sobreviene una inhabilidad o incompatibilidad […] este podrá ser revocado […]”.</w:t>
      </w:r>
    </w:p>
    <w:p w14:paraId="0D0AD027" w14:textId="77777777" w:rsidR="000C0330" w:rsidRPr="006030CA" w:rsidRDefault="000C0330" w:rsidP="000C0330">
      <w:pPr>
        <w:spacing w:after="120" w:line="276" w:lineRule="auto"/>
        <w:ind w:firstLine="708"/>
        <w:jc w:val="both"/>
        <w:rPr>
          <w:rFonts w:ascii="Verdana" w:eastAsia="Calibri" w:hAnsi="Verdana" w:cs="Arial"/>
          <w:color w:val="000000"/>
        </w:rPr>
      </w:pPr>
      <w:r w:rsidRPr="006030CA">
        <w:rPr>
          <w:rFonts w:ascii="Verdana" w:eastAsia="Calibri" w:hAnsi="Verdana" w:cs="Arial"/>
          <w:color w:val="000000"/>
        </w:rPr>
        <w:t>Sólo con el cumplimiento de los requisitos de los artículos 39 y 41 del Estatuto General de Contratación</w:t>
      </w:r>
      <w:r>
        <w:rPr>
          <w:rFonts w:ascii="Verdana" w:eastAsia="Calibri" w:hAnsi="Verdana" w:cs="Arial"/>
          <w:color w:val="000000"/>
        </w:rPr>
        <w:t xml:space="preserve"> de la Administración</w:t>
      </w:r>
      <w:r w:rsidRPr="006030CA">
        <w:rPr>
          <w:rFonts w:ascii="Verdana" w:eastAsia="Calibri" w:hAnsi="Verdana" w:cs="Arial"/>
          <w:color w:val="000000"/>
        </w:rPr>
        <w:t xml:space="preserve"> Pública existe el contrato estatal, de manera que tienen carácter solemne y, por tanto, requieren formalidad escrita. Por ello, </w:t>
      </w:r>
      <w:r w:rsidRPr="006030CA">
        <w:rPr>
          <w:rFonts w:ascii="Verdana" w:eastAsia="Calibri" w:hAnsi="Verdana" w:cs="Arial"/>
          <w:i/>
          <w:iCs/>
          <w:color w:val="000000"/>
        </w:rPr>
        <w:t>respecto al contratista</w:t>
      </w:r>
      <w:r w:rsidRPr="006030CA">
        <w:rPr>
          <w:rFonts w:ascii="Verdana" w:eastAsia="Calibri" w:hAnsi="Verdana" w:cs="Arial"/>
          <w:color w:val="000000"/>
        </w:rPr>
        <w:t>, el inciso primero del artículo 9 de la Ley 80 de 1993 dispone que “</w:t>
      </w:r>
      <w:r>
        <w:rPr>
          <w:rFonts w:ascii="Verdana" w:eastAsia="Calibri" w:hAnsi="Verdana" w:cs="Arial"/>
          <w:color w:val="000000"/>
        </w:rPr>
        <w:t>[s]</w:t>
      </w:r>
      <w:r w:rsidRPr="006030CA">
        <w:rPr>
          <w:rFonts w:ascii="Verdana" w:eastAsia="Calibri" w:hAnsi="Verdana" w:cs="Arial"/>
          <w:color w:val="000000"/>
        </w:rPr>
        <w:t xml:space="preserve">i llegare a sobrevenir inhabilidad o incompatibilidad en el contratista, este cederá el contrato previa autorización escrita de la entidad contratante o, si ello no fuere posible, renunciará a su ejecución”. El inciso tercero </w:t>
      </w:r>
      <w:r w:rsidRPr="006030CA">
        <w:rPr>
          <w:rFonts w:ascii="Verdana" w:eastAsia="Calibri" w:hAnsi="Verdana" w:cs="Arial"/>
          <w:i/>
          <w:iCs/>
          <w:color w:val="000000"/>
        </w:rPr>
        <w:t>ibidem</w:t>
      </w:r>
      <w:r w:rsidRPr="006030CA">
        <w:rPr>
          <w:rFonts w:ascii="Verdana" w:eastAsia="Calibri" w:hAnsi="Verdana" w:cs="Arial"/>
          <w:color w:val="000000"/>
        </w:rPr>
        <w:t xml:space="preserve"> agrega lo siguiente: “</w:t>
      </w:r>
      <w:r>
        <w:rPr>
          <w:rFonts w:ascii="Verdana" w:eastAsia="Calibri" w:hAnsi="Verdana" w:cs="Arial"/>
          <w:color w:val="000000"/>
        </w:rPr>
        <w:t>[s]</w:t>
      </w:r>
      <w:r w:rsidRPr="006030CA">
        <w:rPr>
          <w:rFonts w:ascii="Verdana" w:eastAsia="Calibri" w:hAnsi="Verdana" w:cs="Arial"/>
          <w:color w:val="000000"/>
        </w:rPr>
        <w:t xml:space="preserve">i la inhabilidad o incompatibilidad sobreviene en uno de los miembros de un consorcio o unión temporal, este cederá su participación a un tercero previa autorización escrita de la entidad contratante. En ningún caso podrá haber cesión del contrato entre quienes integran el consorcio o unión temporal”.   </w:t>
      </w:r>
    </w:p>
    <w:p w14:paraId="72E01A11" w14:textId="77777777" w:rsidR="000C0330" w:rsidRDefault="000C0330" w:rsidP="000C0330">
      <w:pPr>
        <w:spacing w:after="0" w:line="276" w:lineRule="auto"/>
        <w:ind w:firstLine="708"/>
        <w:jc w:val="both"/>
        <w:rPr>
          <w:rFonts w:ascii="Verdana" w:eastAsia="Calibri" w:hAnsi="Verdana" w:cs="Arial"/>
          <w:color w:val="000000"/>
        </w:rPr>
      </w:pPr>
      <w:r w:rsidRPr="006030CA">
        <w:rPr>
          <w:rFonts w:ascii="Verdana" w:eastAsia="Calibri" w:hAnsi="Verdana" w:cs="Arial"/>
          <w:color w:val="000000"/>
        </w:rPr>
        <w:t xml:space="preserve">En este contexto, durante la fase de selección, los </w:t>
      </w:r>
      <w:r w:rsidRPr="006030CA">
        <w:rPr>
          <w:rFonts w:ascii="Verdana" w:eastAsia="Calibri" w:hAnsi="Verdana" w:cs="Arial"/>
          <w:i/>
          <w:iCs/>
          <w:color w:val="000000"/>
        </w:rPr>
        <w:t>oferentes</w:t>
      </w:r>
      <w:r w:rsidRPr="006030CA">
        <w:rPr>
          <w:rFonts w:ascii="Verdana" w:eastAsia="Calibri" w:hAnsi="Verdana" w:cs="Arial"/>
          <w:color w:val="000000"/>
        </w:rPr>
        <w:t xml:space="preserve"> y </w:t>
      </w:r>
      <w:r w:rsidRPr="006030CA">
        <w:rPr>
          <w:rFonts w:ascii="Verdana" w:eastAsia="Calibri" w:hAnsi="Verdana" w:cs="Arial"/>
          <w:i/>
          <w:iCs/>
          <w:color w:val="000000"/>
        </w:rPr>
        <w:t>adjudicatarios</w:t>
      </w:r>
      <w:r w:rsidRPr="006030CA">
        <w:rPr>
          <w:rFonts w:ascii="Verdana" w:eastAsia="Calibri" w:hAnsi="Verdana" w:cs="Arial"/>
          <w:color w:val="000000"/>
        </w:rPr>
        <w:t xml:space="preserve"> carecen de la posibilidad de ceder contratos por sustracción de materia, siendo los efectos de la inhabilidad sobreviniente las consecuencias descritas </w:t>
      </w:r>
      <w:r w:rsidRPr="006030CA">
        <w:rPr>
          <w:rFonts w:ascii="Verdana" w:eastAsia="Calibri" w:hAnsi="Verdana" w:cs="Arial"/>
          <w:i/>
          <w:iCs/>
          <w:color w:val="000000"/>
        </w:rPr>
        <w:t>ut supra</w:t>
      </w:r>
      <w:r w:rsidRPr="006030CA">
        <w:rPr>
          <w:rFonts w:ascii="Verdana" w:eastAsia="Calibri" w:hAnsi="Verdana" w:cs="Arial"/>
          <w:color w:val="000000"/>
        </w:rPr>
        <w:t xml:space="preserve">. La cesión es una institución jurídica propia de la etapa contractual, por lo que sólo pueden cederse los contratos estatales que se encuentren perfeccionados y no estén liquidados, para los que la requieran, o </w:t>
      </w:r>
      <w:r w:rsidRPr="006030CA">
        <w:rPr>
          <w:rFonts w:ascii="Verdana" w:eastAsia="Calibri" w:hAnsi="Verdana" w:cs="Arial"/>
          <w:color w:val="000000"/>
        </w:rPr>
        <w:lastRenderedPageBreak/>
        <w:t>no se hayan extinguido las obligaciones entre las partes, para aquellos negocios que no la requieran</w:t>
      </w:r>
      <w:r w:rsidRPr="006030CA">
        <w:rPr>
          <w:rFonts w:ascii="Verdana" w:eastAsia="Calibri" w:hAnsi="Verdana" w:cs="Arial"/>
          <w:color w:val="000000"/>
          <w:vertAlign w:val="superscript"/>
        </w:rPr>
        <w:footnoteReference w:id="18"/>
      </w:r>
      <w:r w:rsidRPr="006030CA">
        <w:rPr>
          <w:rFonts w:ascii="Verdana" w:eastAsia="Calibri" w:hAnsi="Verdana" w:cs="Arial"/>
          <w:color w:val="000000"/>
        </w:rPr>
        <w:t xml:space="preserve">. </w:t>
      </w:r>
    </w:p>
    <w:p w14:paraId="1A54FD55" w14:textId="77777777" w:rsidR="000C0330" w:rsidRPr="0019499E" w:rsidRDefault="000C0330" w:rsidP="000C0330">
      <w:pPr>
        <w:widowControl w:val="0"/>
        <w:autoSpaceDE w:val="0"/>
        <w:autoSpaceDN w:val="0"/>
        <w:spacing w:before="120" w:after="0" w:line="276" w:lineRule="auto"/>
        <w:ind w:firstLine="709"/>
        <w:jc w:val="both"/>
        <w:rPr>
          <w:rFonts w:ascii="Verdana" w:eastAsia="Calibri" w:hAnsi="Verdana" w:cs="Arial"/>
        </w:rPr>
      </w:pPr>
      <w:r w:rsidRPr="0019499E">
        <w:rPr>
          <w:rFonts w:ascii="Verdana" w:eastAsia="Calibri" w:hAnsi="Verdana" w:cs="Arial"/>
        </w:rPr>
        <w:t>Dentro de este marco, la entidad contratante definirá en cada caso concreto lo relacionado con el tema objeto de consulta. Al tratarse de un análisis que debe realizarse en el procedimiento contractual específico, la Agencia sólo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98762CC" w14:textId="77777777" w:rsidR="000C0330" w:rsidRPr="0019499E" w:rsidRDefault="000C0330" w:rsidP="000C0330">
      <w:pPr>
        <w:spacing w:after="0" w:line="276" w:lineRule="auto"/>
        <w:jc w:val="both"/>
        <w:rPr>
          <w:rFonts w:ascii="Verdana" w:eastAsia="Calibri" w:hAnsi="Verdana" w:cs="Arial"/>
          <w:lang w:val="es-ES" w:eastAsia="es-CO"/>
        </w:rPr>
      </w:pPr>
    </w:p>
    <w:p w14:paraId="69E5F96F" w14:textId="77777777" w:rsidR="000C0330" w:rsidRPr="0019499E" w:rsidRDefault="000C0330" w:rsidP="000C0330">
      <w:pPr>
        <w:widowControl w:val="0"/>
        <w:autoSpaceDE w:val="0"/>
        <w:autoSpaceDN w:val="0"/>
        <w:spacing w:before="1" w:after="0" w:line="240" w:lineRule="auto"/>
        <w:outlineLvl w:val="0"/>
        <w:rPr>
          <w:rFonts w:ascii="Verdana" w:eastAsia="Arial" w:hAnsi="Verdana" w:cs="Arial"/>
          <w:b/>
          <w:bCs/>
          <w:lang w:val="es-ES"/>
        </w:rPr>
      </w:pPr>
      <w:r w:rsidRPr="0019499E">
        <w:rPr>
          <w:rFonts w:ascii="Verdana" w:eastAsia="Arial" w:hAnsi="Verdana" w:cs="Arial"/>
          <w:b/>
          <w:bCs/>
          <w:lang w:val="es-ES"/>
        </w:rPr>
        <w:t>4.Referencias normativas, jurisprudenciales y otras fuentes:</w:t>
      </w:r>
    </w:p>
    <w:p w14:paraId="369F028C" w14:textId="77777777" w:rsidR="000C0330" w:rsidRPr="0019499E" w:rsidRDefault="000C0330" w:rsidP="000C0330">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C0330" w:rsidRPr="0019499E" w14:paraId="72EAD92E" w14:textId="77777777" w:rsidTr="0042480B">
        <w:trPr>
          <w:trHeight w:val="870"/>
        </w:trPr>
        <w:tc>
          <w:tcPr>
            <w:tcW w:w="8647" w:type="dxa"/>
          </w:tcPr>
          <w:p w14:paraId="0D318BEE" w14:textId="77777777" w:rsidR="000C0330" w:rsidRPr="00940C1E" w:rsidRDefault="000C0330" w:rsidP="000C0330">
            <w:pPr>
              <w:pStyle w:val="Prrafodelista"/>
              <w:numPr>
                <w:ilvl w:val="0"/>
                <w:numId w:val="16"/>
              </w:numPr>
              <w:jc w:val="both"/>
              <w:rPr>
                <w:rFonts w:ascii="Verdana" w:eastAsia="Geomanist Light" w:hAnsi="Verdana" w:cs="Arial"/>
                <w:color w:val="000000" w:themeColor="text1"/>
                <w:lang w:val="es-MX"/>
              </w:rPr>
            </w:pPr>
            <w:r w:rsidRPr="00940C1E">
              <w:rPr>
                <w:rFonts w:ascii="Verdana" w:eastAsia="Geomanist Light" w:hAnsi="Verdana" w:cs="Arial"/>
                <w:color w:val="000000" w:themeColor="text1"/>
                <w:lang w:val="es-MX"/>
              </w:rPr>
              <w:t>Ley 80 de 1993. Artículo</w:t>
            </w:r>
            <w:r>
              <w:rPr>
                <w:rFonts w:ascii="Verdana" w:eastAsia="Geomanist Light" w:hAnsi="Verdana" w:cs="Arial"/>
                <w:color w:val="000000" w:themeColor="text1"/>
                <w:lang w:val="es-MX"/>
              </w:rPr>
              <w:t>s</w:t>
            </w:r>
            <w:r w:rsidRPr="00940C1E">
              <w:rPr>
                <w:rFonts w:ascii="Verdana" w:eastAsia="Geomanist Light" w:hAnsi="Verdana" w:cs="Arial"/>
                <w:color w:val="000000" w:themeColor="text1"/>
                <w:lang w:val="es-MX"/>
              </w:rPr>
              <w:t xml:space="preserve"> 8, </w:t>
            </w:r>
            <w:r>
              <w:rPr>
                <w:rFonts w:ascii="Verdana" w:eastAsia="Geomanist Light" w:hAnsi="Verdana" w:cs="Arial"/>
                <w:color w:val="000000" w:themeColor="text1"/>
                <w:lang w:val="es-MX"/>
              </w:rPr>
              <w:t>9, 39 y 41</w:t>
            </w:r>
          </w:p>
          <w:p w14:paraId="40D1DF7C" w14:textId="77777777" w:rsidR="000C0330" w:rsidRDefault="000C0330" w:rsidP="000C0330">
            <w:pPr>
              <w:pStyle w:val="Prrafodelista"/>
              <w:numPr>
                <w:ilvl w:val="0"/>
                <w:numId w:val="16"/>
              </w:numPr>
              <w:jc w:val="both"/>
              <w:rPr>
                <w:rFonts w:ascii="Verdana" w:eastAsia="Geomanist Light" w:hAnsi="Verdana" w:cs="Arial"/>
                <w:color w:val="000000" w:themeColor="text1"/>
                <w:lang w:val="es-MX"/>
              </w:rPr>
            </w:pPr>
            <w:r>
              <w:rPr>
                <w:rFonts w:ascii="Verdana" w:eastAsia="Geomanist Light" w:hAnsi="Verdana" w:cs="Arial"/>
                <w:color w:val="000000" w:themeColor="text1"/>
                <w:lang w:val="es-MX"/>
              </w:rPr>
              <w:t>Ley 1150 de 2007. Artículos 6 y 9.</w:t>
            </w:r>
          </w:p>
          <w:p w14:paraId="4E777076" w14:textId="77777777" w:rsidR="000C0330" w:rsidRPr="00940C1E" w:rsidRDefault="000C0330" w:rsidP="000C0330">
            <w:pPr>
              <w:pStyle w:val="Prrafodelista"/>
              <w:numPr>
                <w:ilvl w:val="0"/>
                <w:numId w:val="16"/>
              </w:numPr>
              <w:jc w:val="both"/>
              <w:rPr>
                <w:rFonts w:ascii="Verdana" w:eastAsia="Geomanist Light" w:hAnsi="Verdana" w:cs="Arial"/>
                <w:color w:val="000000" w:themeColor="text1"/>
                <w:lang w:val="es-MX"/>
              </w:rPr>
            </w:pPr>
            <w:r>
              <w:rPr>
                <w:rFonts w:ascii="Verdana" w:eastAsia="Geomanist Light" w:hAnsi="Verdana" w:cs="Arial"/>
                <w:color w:val="000000" w:themeColor="text1"/>
                <w:lang w:val="es-MX"/>
              </w:rPr>
              <w:t>Código Civil. Artículos 1502 y 1503.</w:t>
            </w:r>
          </w:p>
          <w:p w14:paraId="57224598" w14:textId="77777777" w:rsidR="000C0330" w:rsidRPr="00940C1E" w:rsidRDefault="000C0330" w:rsidP="000C0330">
            <w:pPr>
              <w:pStyle w:val="Prrafodelista"/>
              <w:numPr>
                <w:ilvl w:val="0"/>
                <w:numId w:val="16"/>
              </w:numPr>
              <w:jc w:val="both"/>
              <w:rPr>
                <w:rFonts w:ascii="Verdana" w:eastAsia="Geomanist Light" w:hAnsi="Verdana" w:cs="Arial"/>
                <w:color w:val="000000" w:themeColor="text1"/>
                <w:lang w:val="es-MX"/>
              </w:rPr>
            </w:pPr>
            <w:r w:rsidRPr="00940C1E">
              <w:rPr>
                <w:rFonts w:ascii="Verdana" w:eastAsia="Geomanist Light" w:hAnsi="Verdana" w:cs="Arial"/>
                <w:color w:val="000000" w:themeColor="text1"/>
                <w:lang w:val="es-MX"/>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p w14:paraId="58D4B32E" w14:textId="77777777" w:rsidR="000C0330" w:rsidRPr="00203216" w:rsidRDefault="000C0330" w:rsidP="000C0330">
            <w:pPr>
              <w:pStyle w:val="Prrafodelista"/>
              <w:numPr>
                <w:ilvl w:val="0"/>
                <w:numId w:val="16"/>
              </w:numPr>
              <w:jc w:val="both"/>
              <w:rPr>
                <w:rFonts w:ascii="Verdana" w:eastAsia="Geomanist Light" w:hAnsi="Verdana" w:cs="Arial"/>
                <w:color w:val="000000" w:themeColor="text1"/>
                <w:lang w:val="es-MX"/>
              </w:rPr>
            </w:pPr>
            <w:r w:rsidRPr="00940C1E">
              <w:rPr>
                <w:rFonts w:ascii="Verdana" w:eastAsia="Geomanist Light" w:hAnsi="Verdana" w:cs="Arial"/>
                <w:color w:val="000000" w:themeColor="text1"/>
                <w:lang w:val="es-MX"/>
              </w:rPr>
              <w:t>Superintendencia de Sociedades. Oficio No. 220-087303 del 16 de agosto de 2019.</w:t>
            </w:r>
          </w:p>
        </w:tc>
      </w:tr>
    </w:tbl>
    <w:p w14:paraId="369AA203" w14:textId="77777777" w:rsidR="000C0330" w:rsidRPr="0019499E" w:rsidRDefault="000C0330" w:rsidP="000C0330">
      <w:pPr>
        <w:widowControl w:val="0"/>
        <w:autoSpaceDE w:val="0"/>
        <w:autoSpaceDN w:val="0"/>
        <w:spacing w:after="0" w:line="276" w:lineRule="auto"/>
        <w:jc w:val="both"/>
        <w:rPr>
          <w:rFonts w:ascii="Verdana" w:eastAsia="Aptos" w:hAnsi="Verdana" w:cs="Arial"/>
        </w:rPr>
      </w:pPr>
    </w:p>
    <w:p w14:paraId="654620EF" w14:textId="77777777" w:rsidR="000C0330" w:rsidRPr="0019499E" w:rsidRDefault="000C0330" w:rsidP="000C0330">
      <w:pPr>
        <w:widowControl w:val="0"/>
        <w:autoSpaceDE w:val="0"/>
        <w:autoSpaceDN w:val="0"/>
        <w:spacing w:before="1" w:after="0" w:line="276" w:lineRule="auto"/>
        <w:outlineLvl w:val="0"/>
        <w:rPr>
          <w:rFonts w:ascii="Verdana" w:eastAsia="Arial" w:hAnsi="Verdana" w:cs="Arial"/>
          <w:b/>
          <w:bCs/>
          <w:lang w:val="es-ES"/>
        </w:rPr>
      </w:pPr>
      <w:r w:rsidRPr="0019499E">
        <w:rPr>
          <w:rFonts w:ascii="Verdana" w:eastAsia="Arial" w:hAnsi="Verdana" w:cs="Arial"/>
          <w:b/>
          <w:bCs/>
          <w:lang w:val="es-ES"/>
        </w:rPr>
        <w:t>5. Doctrina de la Agencia Nacional de Contratación Pública:</w:t>
      </w:r>
    </w:p>
    <w:p w14:paraId="4E6A547A" w14:textId="77777777" w:rsidR="000C0330" w:rsidRPr="0019499E" w:rsidRDefault="000C0330" w:rsidP="000C0330">
      <w:pPr>
        <w:widowControl w:val="0"/>
        <w:autoSpaceDE w:val="0"/>
        <w:autoSpaceDN w:val="0"/>
        <w:spacing w:after="0" w:line="276" w:lineRule="auto"/>
        <w:jc w:val="both"/>
        <w:rPr>
          <w:rFonts w:ascii="Verdana" w:eastAsia="Aptos" w:hAnsi="Verdana" w:cs="Arial"/>
        </w:rPr>
      </w:pPr>
    </w:p>
    <w:p w14:paraId="6037BC7C" w14:textId="77777777" w:rsidR="000C0330" w:rsidRPr="0019499E" w:rsidRDefault="000C0330" w:rsidP="000C0330">
      <w:pPr>
        <w:jc w:val="both"/>
        <w:rPr>
          <w:rFonts w:ascii="Verdana" w:hAnsi="Verdana" w:cs="Arial"/>
          <w:shd w:val="clear" w:color="auto" w:fill="FFFFFF"/>
          <w:lang w:val="es-ES"/>
        </w:rPr>
      </w:pPr>
      <w:r w:rsidRPr="002069C6">
        <w:rPr>
          <w:rStyle w:val="normaltextrun"/>
          <w:rFonts w:ascii="Verdana" w:hAnsi="Verdana" w:cs="Arial"/>
          <w:color w:val="000000" w:themeColor="text1"/>
          <w:shd w:val="clear" w:color="auto" w:fill="FFFFFF"/>
          <w:lang w:val="es-ES"/>
        </w:rPr>
        <w:t>La Agencia Nacional de Contratación Pública – Colombia Compra Eficiente</w:t>
      </w:r>
      <w:r>
        <w:rPr>
          <w:rStyle w:val="normaltextrun"/>
          <w:rFonts w:ascii="Verdana" w:hAnsi="Verdana" w:cs="Arial"/>
          <w:color w:val="000000" w:themeColor="text1"/>
          <w:shd w:val="clear" w:color="auto" w:fill="FFFFFF"/>
          <w:lang w:val="es-ES"/>
        </w:rPr>
        <w:t xml:space="preserve"> </w:t>
      </w:r>
      <w:r>
        <w:rPr>
          <w:rFonts w:ascii="Verdana" w:eastAsia="Calibri" w:hAnsi="Verdana" w:cs="Arial"/>
          <w:lang w:val="es-ES_tradnl" w:eastAsia="es-ES_tradnl"/>
        </w:rPr>
        <w:t>se ha pronunciado s</w:t>
      </w:r>
      <w:r w:rsidRPr="008557D1">
        <w:rPr>
          <w:rFonts w:ascii="Verdana" w:eastAsia="Calibri" w:hAnsi="Verdana" w:cs="Arial"/>
          <w:lang w:val="es-ES_tradnl" w:eastAsia="es-ES_tradnl"/>
        </w:rPr>
        <w:t>obre el régimen de inhabilidades e incompatibilidades en los conceptos</w:t>
      </w:r>
      <w:r w:rsidRPr="008557D1">
        <w:rPr>
          <w:rFonts w:ascii="Verdana" w:eastAsia="Calibri" w:hAnsi="Verdana" w:cs="Arial"/>
          <w:lang w:val="es-MX"/>
        </w:rPr>
        <w:t xml:space="preserve">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w:t>
      </w:r>
      <w:r>
        <w:rPr>
          <w:rFonts w:ascii="Verdana" w:eastAsia="Calibri" w:hAnsi="Verdana" w:cs="Arial"/>
          <w:lang w:val="es-MX"/>
        </w:rPr>
        <w:t xml:space="preserve">, </w:t>
      </w:r>
      <w:r w:rsidRPr="008557D1">
        <w:rPr>
          <w:rFonts w:ascii="Verdana" w:eastAsia="Calibri" w:hAnsi="Verdana" w:cs="Arial"/>
          <w:lang w:val="es-MX"/>
        </w:rPr>
        <w:t>C-039 del 23 de abril de 2024</w:t>
      </w:r>
      <w:r>
        <w:rPr>
          <w:rFonts w:ascii="Verdana" w:eastAsia="Calibri" w:hAnsi="Verdana" w:cs="Arial"/>
          <w:lang w:val="es-MX"/>
        </w:rPr>
        <w:t xml:space="preserve">, C-1027 del 29 de enero de 2025, </w:t>
      </w:r>
      <w:r w:rsidRPr="00195D74">
        <w:rPr>
          <w:rFonts w:ascii="Verdana" w:eastAsia="Calibri" w:hAnsi="Verdana" w:cs="Arial"/>
          <w:lang w:val="es-ES" w:eastAsia="es-ES"/>
        </w:rPr>
        <w:t>C-1009 del 03 de agosto de 2025</w:t>
      </w:r>
      <w:r>
        <w:rPr>
          <w:rFonts w:ascii="Verdana" w:eastAsia="Calibri" w:hAnsi="Verdana" w:cs="Arial"/>
          <w:lang w:val="es-ES" w:eastAsia="es-ES"/>
        </w:rPr>
        <w:t>, C-1463 del 20 de noviembre de 2025, entre otros</w:t>
      </w:r>
      <w:r w:rsidRPr="008557D1">
        <w:rPr>
          <w:rFonts w:ascii="Verdana" w:hAnsi="Verdana" w:cs="Arial"/>
        </w:rPr>
        <w:t xml:space="preserve">. </w:t>
      </w:r>
      <w:r w:rsidRPr="0019499E">
        <w:rPr>
          <w:rFonts w:ascii="Verdana" w:eastAsia="Calibri" w:hAnsi="Verdana" w:cs="Arial"/>
          <w:bCs/>
          <w:shd w:val="clear" w:color="auto" w:fill="FFFFFF"/>
          <w:lang w:val="es-ES"/>
        </w:rPr>
        <w:t xml:space="preserve">En tal sentido, recoge los </w:t>
      </w:r>
      <w:r w:rsidRPr="0019499E">
        <w:rPr>
          <w:rFonts w:ascii="Verdana" w:eastAsia="Calibri" w:hAnsi="Verdana" w:cs="Arial"/>
          <w:bCs/>
          <w:shd w:val="clear" w:color="auto" w:fill="FFFFFF"/>
          <w:lang w:val="es-ES"/>
        </w:rPr>
        <w:lastRenderedPageBreak/>
        <w:t xml:space="preserve">conceptos expuestos, sin perjuicio de otras consideraciones. </w:t>
      </w:r>
      <w:r w:rsidRPr="0019499E">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19499E">
          <w:rPr>
            <w:rFonts w:ascii="Verdana" w:eastAsia="Aptos" w:hAnsi="Verdana" w:cs="Arial"/>
            <w:u w:val="single"/>
            <w:shd w:val="clear" w:color="auto" w:fill="FFFFFF"/>
            <w:lang w:val="es-ES"/>
          </w:rPr>
          <w:t>https://relatoria.colombiacompra.gov.co/</w:t>
        </w:r>
      </w:hyperlink>
      <w:r w:rsidRPr="0019499E">
        <w:rPr>
          <w:rFonts w:ascii="Verdana" w:eastAsia="Aptos" w:hAnsi="Verdana" w:cs="Arial"/>
          <w:shd w:val="clear" w:color="auto" w:fill="FFFFFF"/>
          <w:lang w:val="es-ES"/>
        </w:rPr>
        <w:t xml:space="preserve">. </w:t>
      </w:r>
    </w:p>
    <w:p w14:paraId="5546DE07" w14:textId="77777777" w:rsidR="000C0330" w:rsidRPr="0019499E" w:rsidRDefault="000C0330" w:rsidP="000C0330">
      <w:pPr>
        <w:spacing w:before="120" w:after="120" w:line="276" w:lineRule="auto"/>
        <w:ind w:firstLine="709"/>
        <w:jc w:val="both"/>
        <w:rPr>
          <w:rFonts w:ascii="Verdana" w:eastAsia="Aptos" w:hAnsi="Verdana" w:cs="Times New Roman"/>
        </w:rPr>
      </w:pPr>
      <w:r w:rsidRPr="0019499E">
        <w:rPr>
          <w:rFonts w:ascii="Verdana" w:eastAsia="Aptos" w:hAnsi="Verdana" w:cs="Times New Roman"/>
        </w:rPr>
        <w:t xml:space="preserve">La sostenibilidad no es una opción, es una obligación. Por ello, la Agencia Nacional de Contratación Pública –Colombia Compra Eficiente– te invita a realizar el </w:t>
      </w:r>
      <w:r w:rsidRPr="0019499E">
        <w:rPr>
          <w:rFonts w:ascii="Verdana" w:eastAsia="Aptos" w:hAnsi="Verdana" w:cs="Times New Roman"/>
          <w:b/>
          <w:bCs/>
        </w:rPr>
        <w:t>Curso de Contratación Pública Sostenible y Socialmente Responsable</w:t>
      </w:r>
      <w:r w:rsidRPr="0019499E">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9499E">
        <w:rPr>
          <w:rFonts w:ascii="Verdana" w:eastAsia="Aptos" w:hAnsi="Verdana" w:cs="Times New Roman"/>
        </w:rPr>
        <w:br/>
      </w:r>
      <w:hyperlink r:id="rId13" w:tgtFrame="_new" w:history="1">
        <w:r w:rsidRPr="0019499E">
          <w:rPr>
            <w:rFonts w:ascii="Verdana" w:eastAsia="Aptos" w:hAnsi="Verdana" w:cs="Times New Roman"/>
            <w:u w:val="single"/>
          </w:rPr>
          <w:t>https://formacionvirtual.colombiacompra.gov.co/mod/page/view.php?id=3718</w:t>
        </w:r>
      </w:hyperlink>
    </w:p>
    <w:p w14:paraId="1AC08B7C" w14:textId="77777777" w:rsidR="000C0330" w:rsidRPr="0019499E" w:rsidRDefault="000C0330" w:rsidP="000C0330">
      <w:pPr>
        <w:spacing w:line="276" w:lineRule="auto"/>
        <w:ind w:firstLine="708"/>
        <w:jc w:val="both"/>
        <w:rPr>
          <w:rFonts w:ascii="Verdana" w:eastAsia="Aptos" w:hAnsi="Verdana" w:cs="Times New Roman"/>
        </w:rPr>
      </w:pPr>
      <w:r w:rsidRPr="0019499E">
        <w:rPr>
          <w:rFonts w:ascii="Verdana" w:eastAsia="Aptos" w:hAnsi="Verdana" w:cs="Times New Roman"/>
        </w:rPr>
        <w:t xml:space="preserve">De otro lado, te contamos que esta Agencia ha da un paso decisivo en la estandarización y modernización del </w:t>
      </w:r>
      <w:r w:rsidRPr="0019499E">
        <w:rPr>
          <w:rFonts w:ascii="Verdana" w:eastAsia="Aptos" w:hAnsi="Verdana" w:cs="Times New Roman"/>
          <w:b/>
          <w:bCs/>
        </w:rPr>
        <w:t>sector  social</w:t>
      </w:r>
      <w:r w:rsidRPr="0019499E">
        <w:rPr>
          <w:rFonts w:ascii="Verdana" w:eastAsia="Aptos" w:hAnsi="Verdana" w:cs="Times New Roman"/>
        </w:rPr>
        <w:t xml:space="preserve"> con la expedición de las </w:t>
      </w:r>
      <w:r w:rsidRPr="0019499E">
        <w:rPr>
          <w:rFonts w:ascii="Verdana" w:eastAsia="Aptos" w:hAnsi="Verdana" w:cs="Times New Roman"/>
          <w:b/>
          <w:bCs/>
        </w:rPr>
        <w:t>Resoluciones 539, 540, 541, 952 y 953 de 2025</w:t>
      </w:r>
      <w:r w:rsidRPr="0019499E">
        <w:rPr>
          <w:rFonts w:ascii="Verdana" w:eastAsia="Aptos" w:hAnsi="Verdana" w:cs="Times New Roman"/>
        </w:rPr>
        <w:t xml:space="preserve">, </w:t>
      </w:r>
      <w:r w:rsidRPr="0019499E">
        <w:rPr>
          <w:rFonts w:ascii="Verdana" w:eastAsia="Aptos" w:hAnsi="Verdana" w:cs="Times New Roman"/>
          <w:b/>
          <w:bCs/>
        </w:rPr>
        <w:t>mediante las cuales adoptó Documentos Tipo</w:t>
      </w:r>
      <w:r w:rsidRPr="0019499E">
        <w:rPr>
          <w:rFonts w:ascii="Verdana" w:eastAsia="Aptos" w:hAnsi="Verdana" w:cs="Times New Roman"/>
        </w:rPr>
        <w:t xml:space="preserve"> para las modalidades de selección de</w:t>
      </w:r>
      <w:r w:rsidRPr="0019499E">
        <w:rPr>
          <w:rFonts w:ascii="Verdana" w:eastAsia="Aptos" w:hAnsi="Verdana" w:cs="Times New Roman"/>
          <w:b/>
          <w:bCs/>
        </w:rPr>
        <w:t xml:space="preserve"> licitación pública (versión 2), selección abreviada de menor cuantía, mínima cuantía, consultoría e interventoría</w:t>
      </w:r>
      <w:r w:rsidRPr="0019499E">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19499E">
          <w:rPr>
            <w:rFonts w:ascii="Verdana" w:eastAsia="Aptos" w:hAnsi="Verdana" w:cs="Times New Roman"/>
            <w:u w:val="single"/>
          </w:rPr>
          <w:t>https://www.colombiacompra.gov.co/normativa-y-relatoria/documentos-tipo</w:t>
        </w:r>
      </w:hyperlink>
    </w:p>
    <w:p w14:paraId="67B3DED3" w14:textId="77777777" w:rsidR="000C0330" w:rsidRPr="0019499E" w:rsidRDefault="000C0330" w:rsidP="000C0330">
      <w:pPr>
        <w:spacing w:after="0" w:line="276" w:lineRule="auto"/>
        <w:ind w:firstLine="708"/>
        <w:jc w:val="both"/>
        <w:rPr>
          <w:rFonts w:ascii="Verdana" w:eastAsia="Aptos" w:hAnsi="Verdana" w:cs="Times New Roman"/>
        </w:rPr>
      </w:pPr>
      <w:r w:rsidRPr="0019499E">
        <w:rPr>
          <w:rFonts w:ascii="Verdana" w:eastAsia="Aptos" w:hAnsi="Verdana" w:cs="Times New Roman"/>
        </w:rPr>
        <w:t xml:space="preserve">Si quieres conocer más sobre la aplicación de Documentos Tipo puedes consultar la última versión de la </w:t>
      </w:r>
      <w:r w:rsidRPr="0019499E">
        <w:rPr>
          <w:rFonts w:ascii="Verdana" w:eastAsia="Aptos" w:hAnsi="Verdana" w:cs="Times New Roman"/>
          <w:b/>
          <w:bCs/>
        </w:rPr>
        <w:t>Guía para la comprensión e implementación de los Documentos Tipo de obra pública de infraestructura de transporte</w:t>
      </w:r>
      <w:r w:rsidRPr="0019499E">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9499E">
        <w:rPr>
          <w:rFonts w:ascii="Verdana" w:eastAsia="Aptos" w:hAnsi="Verdana" w:cs="Times New Roman"/>
        </w:rPr>
        <w:br/>
      </w:r>
      <w:hyperlink r:id="rId15" w:tgtFrame="_new" w:history="1">
        <w:r w:rsidRPr="0019499E">
          <w:rPr>
            <w:rFonts w:ascii="Verdana" w:eastAsia="Aptos" w:hAnsi="Verdana" w:cs="Times New Roman"/>
            <w:u w:val="single"/>
          </w:rPr>
          <w:t>https://www.colombiacompra.gov.co/archivos/manual/guia-para-la-comprension-e-implementacion-de-los-documentos-tipo-de-obra-publica-de-</w:t>
        </w:r>
        <w:r w:rsidRPr="0019499E">
          <w:rPr>
            <w:rFonts w:ascii="Verdana" w:eastAsia="Aptos" w:hAnsi="Verdana" w:cs="Times New Roman"/>
            <w:u w:val="single"/>
          </w:rPr>
          <w:lastRenderedPageBreak/>
          <w:t>infraestructura-de-transporte-bajo-las-diferentes-modalidades-de-contratacion-vigentes</w:t>
        </w:r>
      </w:hyperlink>
    </w:p>
    <w:p w14:paraId="7A782921" w14:textId="77777777" w:rsidR="000C0330" w:rsidRPr="0019499E" w:rsidRDefault="000C0330" w:rsidP="000C0330">
      <w:pPr>
        <w:spacing w:before="120" w:after="0" w:line="276" w:lineRule="auto"/>
        <w:ind w:firstLine="708"/>
        <w:jc w:val="both"/>
        <w:rPr>
          <w:rFonts w:ascii="Verdana" w:eastAsia="Aptos" w:hAnsi="Verdana" w:cs="Times New Roman"/>
        </w:rPr>
      </w:pPr>
      <w:r w:rsidRPr="0019499E">
        <w:rPr>
          <w:rFonts w:ascii="Verdana" w:eastAsia="Aptos" w:hAnsi="Verdana" w:cs="Times New Roman"/>
        </w:rPr>
        <w:t xml:space="preserve">Por último, lo invitamos a seguirnos en las redes sociales en las cuales se difunde información institucional: </w:t>
      </w:r>
    </w:p>
    <w:p w14:paraId="6ECEC714" w14:textId="77777777" w:rsidR="000C0330" w:rsidRPr="0019499E" w:rsidRDefault="000C0330" w:rsidP="000C0330">
      <w:pPr>
        <w:spacing w:after="0" w:line="276" w:lineRule="auto"/>
        <w:jc w:val="both"/>
        <w:rPr>
          <w:rFonts w:ascii="Verdana" w:eastAsia="Aptos" w:hAnsi="Verdana" w:cs="Times New Roman"/>
        </w:rPr>
      </w:pPr>
    </w:p>
    <w:p w14:paraId="0DB84048" w14:textId="77777777" w:rsidR="000C0330" w:rsidRPr="0019499E" w:rsidRDefault="000C0330" w:rsidP="000C0330">
      <w:pPr>
        <w:spacing w:after="0" w:line="276" w:lineRule="auto"/>
        <w:jc w:val="both"/>
        <w:rPr>
          <w:rFonts w:ascii="Verdana" w:eastAsia="Aptos" w:hAnsi="Verdana" w:cs="Times New Roman"/>
        </w:rPr>
      </w:pPr>
      <w:r w:rsidRPr="0019499E">
        <w:rPr>
          <w:rFonts w:ascii="Verdana" w:eastAsia="Aptos" w:hAnsi="Verdana" w:cs="Times New Roman"/>
        </w:rPr>
        <w:t xml:space="preserve">Twitter: </w:t>
      </w:r>
      <w:r w:rsidRPr="0019499E">
        <w:rPr>
          <w:rFonts w:ascii="Verdana" w:eastAsia="Aptos" w:hAnsi="Verdana" w:cs="Arial"/>
          <w:u w:val="single"/>
          <w:shd w:val="clear" w:color="auto" w:fill="FFFFFF"/>
          <w:lang w:val="es-ES"/>
        </w:rPr>
        <w:t>@colombiacompra</w:t>
      </w:r>
      <w:r w:rsidRPr="0019499E">
        <w:rPr>
          <w:rFonts w:ascii="Verdana" w:eastAsia="Aptos" w:hAnsi="Verdana" w:cs="Times New Roman"/>
        </w:rPr>
        <w:t xml:space="preserve"> </w:t>
      </w:r>
    </w:p>
    <w:p w14:paraId="7086C0ED" w14:textId="77777777" w:rsidR="000C0330" w:rsidRPr="0019499E" w:rsidRDefault="000C0330" w:rsidP="000C0330">
      <w:pPr>
        <w:spacing w:after="0" w:line="276" w:lineRule="auto"/>
        <w:jc w:val="both"/>
        <w:rPr>
          <w:rFonts w:ascii="Verdana" w:eastAsia="Aptos" w:hAnsi="Verdana" w:cs="Times New Roman"/>
        </w:rPr>
      </w:pPr>
      <w:r w:rsidRPr="0019499E">
        <w:rPr>
          <w:rFonts w:ascii="Verdana" w:eastAsia="Aptos" w:hAnsi="Verdana" w:cs="Times New Roman"/>
        </w:rPr>
        <w:t xml:space="preserve">Facebook: </w:t>
      </w:r>
      <w:r w:rsidRPr="0019499E">
        <w:rPr>
          <w:rFonts w:ascii="Verdana" w:eastAsia="Aptos" w:hAnsi="Verdana" w:cs="Arial"/>
          <w:u w:val="single"/>
          <w:shd w:val="clear" w:color="auto" w:fill="FFFFFF"/>
          <w:lang w:val="es-ES"/>
        </w:rPr>
        <w:t>ColombiaCompraEficiente</w:t>
      </w:r>
    </w:p>
    <w:p w14:paraId="7CA43BD4" w14:textId="77777777" w:rsidR="000C0330" w:rsidRPr="0019499E" w:rsidRDefault="000C0330" w:rsidP="000C0330">
      <w:pPr>
        <w:spacing w:after="0" w:line="276" w:lineRule="auto"/>
        <w:jc w:val="both"/>
        <w:rPr>
          <w:rFonts w:ascii="Verdana" w:eastAsia="Aptos" w:hAnsi="Verdana" w:cs="Times New Roman"/>
        </w:rPr>
      </w:pPr>
      <w:r w:rsidRPr="0019499E">
        <w:rPr>
          <w:rFonts w:ascii="Verdana" w:eastAsia="Aptos" w:hAnsi="Verdana" w:cs="Times New Roman"/>
        </w:rPr>
        <w:t xml:space="preserve">LinkedIn: </w:t>
      </w:r>
      <w:r w:rsidRPr="0019499E">
        <w:rPr>
          <w:rFonts w:ascii="Verdana" w:eastAsia="Aptos" w:hAnsi="Verdana" w:cs="Arial"/>
          <w:u w:val="single"/>
          <w:shd w:val="clear" w:color="auto" w:fill="FFFFFF"/>
          <w:lang w:val="es-ES"/>
        </w:rPr>
        <w:t>Agencia Nacional de Contratación Pública - Colombia Compra Eficiente</w:t>
      </w:r>
      <w:r w:rsidRPr="0019499E">
        <w:rPr>
          <w:rFonts w:ascii="Verdana" w:eastAsia="Aptos" w:hAnsi="Verdana" w:cs="Times New Roman"/>
        </w:rPr>
        <w:t xml:space="preserve"> Instagram: </w:t>
      </w:r>
      <w:r w:rsidRPr="0019499E">
        <w:rPr>
          <w:rFonts w:ascii="Verdana" w:eastAsia="Aptos" w:hAnsi="Verdana" w:cs="Arial"/>
          <w:u w:val="single"/>
          <w:shd w:val="clear" w:color="auto" w:fill="FFFFFF"/>
          <w:lang w:val="es-ES"/>
        </w:rPr>
        <w:t>@colombiacompraeficiente_cce</w:t>
      </w:r>
    </w:p>
    <w:p w14:paraId="43983E69" w14:textId="77777777" w:rsidR="000C0330" w:rsidRPr="0019499E" w:rsidRDefault="000C0330" w:rsidP="000C0330">
      <w:pPr>
        <w:widowControl w:val="0"/>
        <w:autoSpaceDE w:val="0"/>
        <w:autoSpaceDN w:val="0"/>
        <w:spacing w:after="0" w:line="276" w:lineRule="auto"/>
        <w:jc w:val="both"/>
        <w:rPr>
          <w:rFonts w:ascii="Verdana" w:eastAsia="Aptos" w:hAnsi="Verdana" w:cs="Arial"/>
        </w:rPr>
      </w:pPr>
    </w:p>
    <w:p w14:paraId="429F0881" w14:textId="77777777" w:rsidR="000C0330" w:rsidRPr="0019499E" w:rsidRDefault="000C0330" w:rsidP="000C0330">
      <w:pPr>
        <w:widowControl w:val="0"/>
        <w:autoSpaceDE w:val="0"/>
        <w:autoSpaceDN w:val="0"/>
        <w:spacing w:after="0" w:line="276" w:lineRule="auto"/>
        <w:jc w:val="both"/>
        <w:rPr>
          <w:rFonts w:ascii="Verdana" w:eastAsia="Aptos" w:hAnsi="Verdana" w:cs="Arial"/>
          <w:lang w:val="es-ES_tradnl"/>
        </w:rPr>
      </w:pPr>
      <w:r w:rsidRPr="0019499E">
        <w:rPr>
          <w:rFonts w:ascii="Verdana" w:eastAsia="Aptos" w:hAnsi="Verdana" w:cs="Arial"/>
        </w:rPr>
        <w:t xml:space="preserve">Este concepto tiene el alcance previsto en el artículo 28 del Código de Procedimiento Administrativo y de lo Contencioso Administrativo </w:t>
      </w:r>
      <w:r w:rsidRPr="0019499E">
        <w:rPr>
          <w:rFonts w:ascii="Verdana" w:eastAsia="Aptos" w:hAnsi="Verdana" w:cs="Arial"/>
          <w:lang w:val="es-ES_tradnl"/>
        </w:rPr>
        <w:t>y las expresiones aquí utilizadas con mayúscula inicial deben ser entendidas con el significado que les otorga el artículo 2.2.1.1.1.3.1. del Decreto 1082 de 2015.</w:t>
      </w:r>
    </w:p>
    <w:p w14:paraId="6A1605D7" w14:textId="77777777" w:rsidR="000C0330" w:rsidRPr="0019499E" w:rsidRDefault="000C0330" w:rsidP="000C0330">
      <w:pPr>
        <w:widowControl w:val="0"/>
        <w:autoSpaceDE w:val="0"/>
        <w:autoSpaceDN w:val="0"/>
        <w:spacing w:after="0" w:line="276" w:lineRule="auto"/>
        <w:jc w:val="both"/>
        <w:rPr>
          <w:rFonts w:ascii="Verdana" w:eastAsia="Aptos" w:hAnsi="Verdana" w:cs="Arial"/>
        </w:rPr>
      </w:pPr>
    </w:p>
    <w:p w14:paraId="69EB0629" w14:textId="77777777" w:rsidR="000C0330" w:rsidRPr="0019499E" w:rsidRDefault="000C0330" w:rsidP="000C0330">
      <w:pPr>
        <w:spacing w:after="0" w:line="276" w:lineRule="auto"/>
        <w:rPr>
          <w:rFonts w:ascii="Verdana" w:eastAsia="Aptos" w:hAnsi="Verdana" w:cs="Arial"/>
          <w:lang w:eastAsia="es-CO"/>
        </w:rPr>
      </w:pPr>
      <w:r w:rsidRPr="0019499E">
        <w:rPr>
          <w:rFonts w:ascii="Verdana" w:eastAsia="Times New Roman" w:hAnsi="Verdana" w:cs="Arial"/>
          <w:lang w:eastAsia="es-CO"/>
        </w:rPr>
        <w:t>Atentamente,</w:t>
      </w:r>
      <w:r w:rsidRPr="0019499E">
        <w:rPr>
          <w:rFonts w:ascii="Verdana" w:eastAsia="Aptos" w:hAnsi="Verdana" w:cs="Arial"/>
          <w:lang w:eastAsia="es-CO"/>
        </w:rPr>
        <w:t xml:space="preserve"> </w:t>
      </w:r>
    </w:p>
    <w:p w14:paraId="785832CD" w14:textId="77777777" w:rsidR="000C0330" w:rsidRPr="0019499E" w:rsidRDefault="000C0330" w:rsidP="000C0330">
      <w:pPr>
        <w:spacing w:after="0" w:line="276" w:lineRule="auto"/>
        <w:jc w:val="center"/>
        <w:rPr>
          <w:rFonts w:ascii="Verdana" w:eastAsia="Aptos" w:hAnsi="Verdana" w:cs="Arial"/>
          <w:lang w:val="es-ES_tradnl" w:eastAsia="es-CO"/>
        </w:rPr>
      </w:pPr>
    </w:p>
    <w:p w14:paraId="6AA1CF7E" w14:textId="36C590A4" w:rsidR="000C0330" w:rsidRPr="0019499E" w:rsidRDefault="00E0288F" w:rsidP="000C0330">
      <w:pPr>
        <w:spacing w:after="0" w:line="276" w:lineRule="auto"/>
        <w:jc w:val="center"/>
        <w:rPr>
          <w:rFonts w:ascii="Verdana" w:eastAsia="Aptos" w:hAnsi="Verdana" w:cs="Arial"/>
          <w:lang w:val="es-ES_tradnl" w:eastAsia="es-CO"/>
        </w:rPr>
      </w:pPr>
      <w:r>
        <w:rPr>
          <w:noProof/>
        </w:rPr>
        <w:drawing>
          <wp:inline distT="0" distB="0" distL="0" distR="0" wp14:anchorId="3C6483B1" wp14:editId="67B57139">
            <wp:extent cx="3257550" cy="1390650"/>
            <wp:effectExtent l="0" t="0" r="0" b="0"/>
            <wp:docPr id="160631609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xto&#10;&#10;El contenido generado por IA puede ser incorrect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57550" cy="1390650"/>
                    </a:xfrm>
                    <a:prstGeom prst="rect">
                      <a:avLst/>
                    </a:prstGeom>
                    <a:noFill/>
                    <a:ln>
                      <a:noFill/>
                    </a:ln>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0C0330" w:rsidRPr="0019499E" w14:paraId="1746EAAE" w14:textId="77777777" w:rsidTr="0042480B">
        <w:trPr>
          <w:trHeight w:val="286"/>
        </w:trPr>
        <w:tc>
          <w:tcPr>
            <w:tcW w:w="901" w:type="dxa"/>
            <w:vAlign w:val="center"/>
            <w:hideMark/>
          </w:tcPr>
          <w:p w14:paraId="5CA1F9B3" w14:textId="77777777" w:rsidR="000C0330" w:rsidRPr="0019499E" w:rsidRDefault="000C0330" w:rsidP="0042480B">
            <w:pPr>
              <w:rPr>
                <w:rFonts w:ascii="Verdana" w:eastAsia="Aptos" w:hAnsi="Verdana" w:cs="Arial"/>
                <w:sz w:val="14"/>
                <w:szCs w:val="14"/>
                <w:lang w:eastAsia="es-ES"/>
              </w:rPr>
            </w:pPr>
            <w:r w:rsidRPr="0019499E">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4CF53B91" w14:textId="77777777" w:rsidR="000C0330" w:rsidRPr="0019499E" w:rsidRDefault="000C0330" w:rsidP="0042480B">
            <w:pPr>
              <w:rPr>
                <w:rFonts w:ascii="Verdana" w:eastAsia="Aptos" w:hAnsi="Verdana" w:cs="Arial"/>
                <w:sz w:val="14"/>
                <w:szCs w:val="14"/>
                <w:lang w:eastAsia="es-ES"/>
              </w:rPr>
            </w:pPr>
            <w:r w:rsidRPr="0019499E">
              <w:rPr>
                <w:rFonts w:ascii="Verdana" w:eastAsia="Aptos" w:hAnsi="Verdana" w:cs="Arial"/>
                <w:sz w:val="14"/>
                <w:szCs w:val="14"/>
                <w:lang w:eastAsia="es-ES"/>
              </w:rPr>
              <w:t>Nasly Yeana Mosquera Rivas</w:t>
            </w:r>
          </w:p>
          <w:p w14:paraId="76FB06F5" w14:textId="77777777" w:rsidR="000C0330" w:rsidRPr="0019499E" w:rsidRDefault="000C0330" w:rsidP="0042480B">
            <w:pPr>
              <w:rPr>
                <w:rFonts w:ascii="Verdana" w:eastAsia="Aptos" w:hAnsi="Verdana" w:cs="Arial"/>
                <w:sz w:val="14"/>
                <w:szCs w:val="14"/>
                <w:lang w:eastAsia="es-ES"/>
              </w:rPr>
            </w:pPr>
            <w:r w:rsidRPr="0019499E">
              <w:rPr>
                <w:rFonts w:ascii="Verdana" w:eastAsia="Aptos" w:hAnsi="Verdana" w:cs="Arial"/>
                <w:sz w:val="14"/>
                <w:szCs w:val="14"/>
                <w:lang w:eastAsia="es-ES"/>
              </w:rPr>
              <w:t>Analista T2–06 de la Subdirección de Gestión Contractual</w:t>
            </w:r>
          </w:p>
        </w:tc>
      </w:tr>
      <w:tr w:rsidR="000C0330" w:rsidRPr="0019499E" w14:paraId="446B2BFB" w14:textId="77777777" w:rsidTr="0042480B">
        <w:trPr>
          <w:trHeight w:val="299"/>
        </w:trPr>
        <w:tc>
          <w:tcPr>
            <w:tcW w:w="901" w:type="dxa"/>
            <w:vAlign w:val="center"/>
          </w:tcPr>
          <w:p w14:paraId="16A5CA7D" w14:textId="77777777" w:rsidR="000C0330" w:rsidRPr="0019499E" w:rsidRDefault="000C0330" w:rsidP="0042480B">
            <w:pPr>
              <w:rPr>
                <w:rFonts w:ascii="Verdana" w:eastAsia="Aptos" w:hAnsi="Verdana" w:cs="Arial"/>
                <w:sz w:val="14"/>
                <w:szCs w:val="14"/>
                <w:lang w:eastAsia="es-ES"/>
              </w:rPr>
            </w:pPr>
            <w:r w:rsidRPr="0019499E">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7155D681" w14:textId="77777777" w:rsidR="000C0330" w:rsidRPr="0019499E" w:rsidRDefault="000C0330" w:rsidP="0042480B">
            <w:pPr>
              <w:rPr>
                <w:rFonts w:ascii="Verdana" w:eastAsia="Aptos" w:hAnsi="Verdana" w:cs="Arial"/>
                <w:sz w:val="14"/>
                <w:szCs w:val="14"/>
                <w:lang w:eastAsia="es-ES"/>
              </w:rPr>
            </w:pPr>
            <w:r>
              <w:rPr>
                <w:rFonts w:ascii="Verdana" w:eastAsia="Aptos" w:hAnsi="Verdana" w:cs="Arial"/>
                <w:sz w:val="14"/>
                <w:szCs w:val="14"/>
                <w:lang w:eastAsia="es-ES"/>
              </w:rPr>
              <w:t>Adriana Katherine López Rodríguez</w:t>
            </w:r>
          </w:p>
          <w:p w14:paraId="0512FC71" w14:textId="77777777" w:rsidR="000C0330" w:rsidRPr="0019499E" w:rsidRDefault="000C0330" w:rsidP="0042480B">
            <w:pPr>
              <w:rPr>
                <w:rFonts w:ascii="Verdana" w:eastAsia="Aptos" w:hAnsi="Verdana" w:cs="Arial"/>
                <w:sz w:val="14"/>
                <w:szCs w:val="14"/>
                <w:lang w:eastAsia="es-ES"/>
              </w:rPr>
            </w:pPr>
            <w:r w:rsidRPr="0019499E">
              <w:rPr>
                <w:rFonts w:ascii="Verdana" w:eastAsia="Aptos" w:hAnsi="Verdana" w:cs="Arial"/>
                <w:sz w:val="14"/>
                <w:szCs w:val="14"/>
                <w:lang w:eastAsia="es-ES"/>
              </w:rPr>
              <w:t>Contratista de la Subdirección de Gestión Contractual</w:t>
            </w:r>
          </w:p>
        </w:tc>
      </w:tr>
      <w:tr w:rsidR="000C0330" w:rsidRPr="00B1039B" w14:paraId="7691015D" w14:textId="77777777" w:rsidTr="0042480B">
        <w:trPr>
          <w:trHeight w:val="272"/>
        </w:trPr>
        <w:tc>
          <w:tcPr>
            <w:tcW w:w="901" w:type="dxa"/>
            <w:vAlign w:val="center"/>
            <w:hideMark/>
          </w:tcPr>
          <w:p w14:paraId="5E83071C" w14:textId="77777777" w:rsidR="000C0330" w:rsidRPr="0019499E" w:rsidRDefault="000C0330" w:rsidP="0042480B">
            <w:pPr>
              <w:rPr>
                <w:rFonts w:ascii="Verdana" w:eastAsia="Aptos" w:hAnsi="Verdana" w:cs="Arial"/>
                <w:sz w:val="14"/>
                <w:szCs w:val="14"/>
                <w:lang w:eastAsia="es-ES"/>
              </w:rPr>
            </w:pPr>
            <w:r w:rsidRPr="0019499E">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63B4AF96" w14:textId="77777777" w:rsidR="000C0330" w:rsidRPr="0019499E" w:rsidRDefault="000C0330" w:rsidP="0042480B">
            <w:pPr>
              <w:rPr>
                <w:rFonts w:ascii="Verdana" w:eastAsia="Aptos" w:hAnsi="Verdana" w:cs="Arial"/>
                <w:sz w:val="14"/>
                <w:szCs w:val="14"/>
                <w:lang w:eastAsia="es-ES"/>
              </w:rPr>
            </w:pPr>
            <w:r w:rsidRPr="0019499E">
              <w:rPr>
                <w:rFonts w:ascii="Verdana" w:eastAsia="Aptos" w:hAnsi="Verdana" w:cs="Arial"/>
                <w:sz w:val="14"/>
                <w:szCs w:val="14"/>
                <w:lang w:eastAsia="es-ES"/>
              </w:rPr>
              <w:t>Carolina Quintero Gacharná</w:t>
            </w:r>
          </w:p>
          <w:p w14:paraId="25C0F558" w14:textId="77777777" w:rsidR="000C0330" w:rsidRPr="00B1039B" w:rsidRDefault="000C0330" w:rsidP="0042480B">
            <w:pPr>
              <w:rPr>
                <w:rFonts w:ascii="Verdana" w:eastAsia="Aptos" w:hAnsi="Verdana" w:cs="Arial"/>
                <w:sz w:val="14"/>
                <w:szCs w:val="14"/>
                <w:lang w:eastAsia="es-ES"/>
              </w:rPr>
            </w:pPr>
            <w:r w:rsidRPr="0019499E">
              <w:rPr>
                <w:rFonts w:ascii="Verdana" w:eastAsia="Aptos" w:hAnsi="Verdana" w:cs="Arial"/>
                <w:sz w:val="14"/>
                <w:szCs w:val="14"/>
                <w:lang w:eastAsia="es-ES"/>
              </w:rPr>
              <w:t>Subdirectora de Gestión Contractual ANCP – CCE</w:t>
            </w:r>
          </w:p>
        </w:tc>
      </w:tr>
    </w:tbl>
    <w:p w14:paraId="33EE492B" w14:textId="77777777" w:rsidR="000C0330" w:rsidRPr="00B1039B" w:rsidRDefault="000C0330" w:rsidP="000C0330">
      <w:pPr>
        <w:spacing w:after="0" w:line="240" w:lineRule="auto"/>
        <w:rPr>
          <w:rFonts w:ascii="Verdana" w:eastAsia="Times New Roman" w:hAnsi="Verdana" w:cs="Arial"/>
          <w:sz w:val="24"/>
          <w:szCs w:val="24"/>
          <w:lang w:eastAsia="es-ES"/>
        </w:rPr>
      </w:pPr>
    </w:p>
    <w:p w14:paraId="5779BE2D" w14:textId="77777777" w:rsidR="000C0330" w:rsidRPr="00B1039B" w:rsidRDefault="000C0330" w:rsidP="000C0330">
      <w:pPr>
        <w:rPr>
          <w:rFonts w:ascii="Verdana" w:eastAsia="Aptos" w:hAnsi="Verdana" w:cs="Times New Roman"/>
        </w:rPr>
      </w:pPr>
    </w:p>
    <w:p w14:paraId="7481B017" w14:textId="77777777" w:rsidR="000C0330" w:rsidRPr="00B1039B" w:rsidRDefault="000C0330" w:rsidP="000C0330">
      <w:pPr>
        <w:rPr>
          <w:rFonts w:ascii="Verdana" w:hAnsi="Verdana"/>
        </w:rPr>
      </w:pPr>
    </w:p>
    <w:p w14:paraId="69BC4D14" w14:textId="17D61351" w:rsidR="00C15139" w:rsidRPr="000C0330" w:rsidRDefault="000C0330" w:rsidP="30821638">
      <w:pPr>
        <w:spacing w:after="0" w:line="240" w:lineRule="auto"/>
        <w:textAlignment w:val="baseline"/>
        <w:rPr>
          <w:rFonts w:ascii="Verdana" w:hAnsi="Verdana"/>
        </w:rPr>
      </w:pPr>
      <w:r w:rsidRPr="00B1039B">
        <w:rPr>
          <w:rFonts w:ascii="Verdana" w:eastAsia="Verdana" w:hAnsi="Verdana" w:cs="Verdana"/>
          <w:lang w:eastAsia="es-CO"/>
        </w:rPr>
        <w:t> </w:t>
      </w:r>
      <w:r w:rsidR="00C15139" w:rsidRPr="30821638">
        <w:rPr>
          <w:rFonts w:ascii="Verdana" w:eastAsia="Verdana" w:hAnsi="Verdana" w:cs="Verdana"/>
          <w:lang w:eastAsia="es-CO"/>
        </w:rPr>
        <w:t> </w:t>
      </w:r>
      <w:bookmarkEnd w:id="0"/>
    </w:p>
    <w:sectPr w:rsidR="00C15139" w:rsidRPr="000C0330"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C076B8" w14:textId="77777777" w:rsidR="00436B54" w:rsidRDefault="00436B54" w:rsidP="004A1847">
      <w:pPr>
        <w:spacing w:after="0" w:line="240" w:lineRule="auto"/>
      </w:pPr>
      <w:r>
        <w:separator/>
      </w:r>
    </w:p>
  </w:endnote>
  <w:endnote w:type="continuationSeparator" w:id="0">
    <w:p w14:paraId="29D92D90" w14:textId="77777777" w:rsidR="00436B54" w:rsidRDefault="00436B5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57E642" w14:textId="77777777" w:rsidR="00436B54" w:rsidRDefault="00436B54" w:rsidP="004A1847">
      <w:pPr>
        <w:spacing w:after="0" w:line="240" w:lineRule="auto"/>
      </w:pPr>
      <w:r>
        <w:separator/>
      </w:r>
    </w:p>
  </w:footnote>
  <w:footnote w:type="continuationSeparator" w:id="0">
    <w:p w14:paraId="7B67BEE6" w14:textId="77777777" w:rsidR="00436B54" w:rsidRDefault="00436B54" w:rsidP="004A1847">
      <w:pPr>
        <w:spacing w:after="0" w:line="240" w:lineRule="auto"/>
      </w:pPr>
      <w:r>
        <w:continuationSeparator/>
      </w:r>
    </w:p>
  </w:footnote>
  <w:footnote w:id="1">
    <w:p w14:paraId="613B3EF7" w14:textId="77777777" w:rsidR="000C0330" w:rsidRPr="00E96901" w:rsidRDefault="000C0330" w:rsidP="000C0330">
      <w:pPr>
        <w:pStyle w:val="Textonotapie"/>
        <w:ind w:firstLine="709"/>
        <w:jc w:val="both"/>
        <w:rPr>
          <w:rFonts w:ascii="Verdana" w:hAnsi="Verdana" w:cs="Arial"/>
          <w:sz w:val="16"/>
          <w:szCs w:val="16"/>
          <w:lang w:val="es-ES_tradnl"/>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pt-BR"/>
        </w:rPr>
        <w:t>CORTE CONSTITUCIONAL. Sentencia C-1016 de 2012. M.P. Jorge Iván Palacio.</w:t>
      </w:r>
    </w:p>
  </w:footnote>
  <w:footnote w:id="2">
    <w:p w14:paraId="38EB6E49" w14:textId="77777777" w:rsidR="000C0330" w:rsidRPr="00E96901" w:rsidRDefault="000C0330" w:rsidP="000C0330">
      <w:pPr>
        <w:pStyle w:val="Textonotapie"/>
        <w:ind w:firstLine="709"/>
        <w:jc w:val="both"/>
        <w:rPr>
          <w:rFonts w:ascii="Verdana" w:hAnsi="Verdana" w:cs="Arial"/>
          <w:sz w:val="16"/>
          <w:szCs w:val="16"/>
          <w:lang w:val="pt-BR"/>
        </w:rPr>
      </w:pPr>
      <w:r w:rsidRPr="00E96901">
        <w:rPr>
          <w:rStyle w:val="Refdenotaalpie"/>
          <w:rFonts w:ascii="Verdana" w:hAnsi="Verdana" w:cs="Arial"/>
          <w:sz w:val="16"/>
          <w:szCs w:val="16"/>
        </w:rPr>
        <w:footnoteRef/>
      </w:r>
      <w:r w:rsidRPr="00E96901">
        <w:rPr>
          <w:rFonts w:ascii="Verdana" w:hAnsi="Verdana" w:cs="Arial"/>
          <w:sz w:val="16"/>
          <w:szCs w:val="16"/>
        </w:rPr>
        <w:t xml:space="preserve"> CONSEJO DE ESTADO. Sección Tercera. Subsección A. Sentencia del 13 de noviembre de 2013. </w:t>
      </w:r>
      <w:r w:rsidRPr="00E96901">
        <w:rPr>
          <w:rFonts w:ascii="Verdana" w:hAnsi="Verdana" w:cs="Arial"/>
          <w:sz w:val="16"/>
          <w:szCs w:val="16"/>
          <w:lang w:val="pt-BR"/>
        </w:rPr>
        <w:t>Rad. 25.646. C.P. Mauricio Fajardo Gómez.</w:t>
      </w:r>
    </w:p>
  </w:footnote>
  <w:footnote w:id="3">
    <w:p w14:paraId="3AF2B738" w14:textId="77777777" w:rsidR="000C0330" w:rsidRPr="00E96901" w:rsidRDefault="000C0330" w:rsidP="000C0330">
      <w:pPr>
        <w:pStyle w:val="Textonotapie"/>
        <w:ind w:firstLine="709"/>
        <w:jc w:val="both"/>
        <w:rPr>
          <w:rFonts w:ascii="Verdana" w:hAnsi="Verdana" w:cs="Arial"/>
          <w:sz w:val="16"/>
          <w:szCs w:val="16"/>
          <w:lang w:val="es-ES_tradnl"/>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pt-BR"/>
        </w:rPr>
        <w:t>CORTE CONSTITUCIONAL. Sentencia C-415 de 1994. M.P. Eduardo Cifuentes Muñoz.</w:t>
      </w:r>
    </w:p>
  </w:footnote>
  <w:footnote w:id="4">
    <w:p w14:paraId="0C6BAAE0" w14:textId="77777777" w:rsidR="000C0330" w:rsidRPr="00E96901" w:rsidRDefault="000C0330" w:rsidP="000C0330">
      <w:pPr>
        <w:pStyle w:val="Textonotapie"/>
        <w:ind w:firstLine="709"/>
        <w:jc w:val="both"/>
        <w:rPr>
          <w:rFonts w:ascii="Verdana" w:hAnsi="Verdana" w:cs="Arial"/>
          <w:sz w:val="16"/>
          <w:szCs w:val="16"/>
          <w:lang w:val="pt-BR"/>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pt-BR"/>
        </w:rPr>
        <w:t>Ibídem.</w:t>
      </w:r>
    </w:p>
  </w:footnote>
  <w:footnote w:id="5">
    <w:p w14:paraId="19870A73" w14:textId="77777777" w:rsidR="000C0330" w:rsidRPr="00E96901" w:rsidRDefault="000C0330" w:rsidP="000C0330">
      <w:pPr>
        <w:pStyle w:val="Textonotapie"/>
        <w:ind w:firstLine="709"/>
        <w:jc w:val="both"/>
        <w:rPr>
          <w:rFonts w:ascii="Verdana" w:hAnsi="Verdana" w:cs="Arial"/>
          <w:sz w:val="16"/>
          <w:szCs w:val="16"/>
          <w:lang w:val="es-CO"/>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pt-BR"/>
        </w:rPr>
        <w:t xml:space="preserve">CORTE CONSTITUCIONAL. </w:t>
      </w:r>
      <w:r w:rsidRPr="00E96901">
        <w:rPr>
          <w:rFonts w:ascii="Verdana" w:hAnsi="Verdana" w:cs="Arial"/>
          <w:sz w:val="16"/>
          <w:szCs w:val="16"/>
        </w:rPr>
        <w:t xml:space="preserve">Sentencia C-780 de 2001. </w:t>
      </w:r>
      <w:r w:rsidRPr="00E96901">
        <w:rPr>
          <w:rFonts w:ascii="Verdana" w:hAnsi="Verdana" w:cs="Arial"/>
          <w:sz w:val="16"/>
          <w:szCs w:val="16"/>
          <w:lang w:val="es-CO"/>
        </w:rPr>
        <w:t xml:space="preserve">M.P. Jaime Córdoba Triviño. </w:t>
      </w:r>
    </w:p>
  </w:footnote>
  <w:footnote w:id="6">
    <w:p w14:paraId="6CA8A4A8" w14:textId="77777777" w:rsidR="000C0330" w:rsidRPr="00E96901" w:rsidRDefault="000C0330" w:rsidP="000C0330">
      <w:pPr>
        <w:pStyle w:val="Textonotapie"/>
        <w:ind w:firstLine="709"/>
        <w:jc w:val="both"/>
        <w:rPr>
          <w:rFonts w:ascii="Verdana" w:hAnsi="Verdana" w:cs="Arial"/>
          <w:sz w:val="16"/>
          <w:szCs w:val="16"/>
        </w:rPr>
      </w:pPr>
      <w:r w:rsidRPr="00E96901">
        <w:rPr>
          <w:rStyle w:val="Refdenotaalpie"/>
          <w:rFonts w:ascii="Verdana" w:hAnsi="Verdana" w:cs="Arial"/>
          <w:sz w:val="16"/>
          <w:szCs w:val="16"/>
        </w:rPr>
        <w:footnoteRef/>
      </w:r>
      <w:r w:rsidRPr="00E96901">
        <w:rPr>
          <w:rFonts w:ascii="Verdana" w:hAnsi="Verdana" w:cs="Arial"/>
          <w:sz w:val="16"/>
          <w:szCs w:val="16"/>
        </w:rPr>
        <w:t xml:space="preserve"> Ley 80 de 1993: “Artículo 6. De la capacidad para contratar. Pueden celebrar contratos con las entidades estatales las personas consideradas legalmente capaces en las disposiciones vigentes. También podrán celebrar contratos con las entidades estatales, los consorcios y uniones temporales.</w:t>
      </w:r>
    </w:p>
    <w:p w14:paraId="1CC1BACB" w14:textId="77777777" w:rsidR="000C0330" w:rsidRPr="00E96901" w:rsidRDefault="000C0330" w:rsidP="000C0330">
      <w:pPr>
        <w:pStyle w:val="Textonotapie"/>
        <w:ind w:firstLine="709"/>
        <w:jc w:val="both"/>
        <w:rPr>
          <w:rFonts w:ascii="Verdana" w:hAnsi="Verdana" w:cs="Arial"/>
          <w:sz w:val="16"/>
          <w:szCs w:val="16"/>
        </w:rPr>
      </w:pPr>
      <w:r w:rsidRPr="00E96901">
        <w:rPr>
          <w:rFonts w:ascii="Verdana" w:hAnsi="Verdana" w:cs="Arial"/>
          <w:sz w:val="16"/>
          <w:szCs w:val="16"/>
        </w:rPr>
        <w:t>Las personas jurídicas nacionales y extranjeras deberán acreditar que su duración no será inferior a la del plazo del contrato y un año más”.</w:t>
      </w:r>
    </w:p>
  </w:footnote>
  <w:footnote w:id="7">
    <w:p w14:paraId="4F27B7AA" w14:textId="77777777" w:rsidR="000C0330" w:rsidRPr="00E96901" w:rsidRDefault="000C0330" w:rsidP="000C0330">
      <w:pPr>
        <w:pStyle w:val="Textonotapie"/>
        <w:ind w:firstLine="709"/>
        <w:jc w:val="both"/>
        <w:rPr>
          <w:rFonts w:ascii="Verdana" w:hAnsi="Verdana" w:cs="Arial"/>
          <w:sz w:val="16"/>
          <w:szCs w:val="16"/>
        </w:rPr>
      </w:pPr>
      <w:r w:rsidRPr="00E96901">
        <w:rPr>
          <w:rStyle w:val="Refdenotaalpie"/>
          <w:rFonts w:ascii="Verdana" w:hAnsi="Verdana" w:cs="Arial"/>
          <w:sz w:val="16"/>
          <w:szCs w:val="16"/>
        </w:rPr>
        <w:footnoteRef/>
      </w:r>
      <w:r w:rsidRPr="00E96901">
        <w:rPr>
          <w:rFonts w:ascii="Verdana" w:hAnsi="Verdana" w:cs="Arial"/>
          <w:sz w:val="16"/>
          <w:szCs w:val="16"/>
        </w:rPr>
        <w:t xml:space="preserve"> Código Civil: “Artículo 1502. Requisitos para obligarse. Para que una persona se obligue a otra por un acto o declaración de voluntad, es necesario:</w:t>
      </w:r>
    </w:p>
    <w:p w14:paraId="41BDDE42" w14:textId="77777777" w:rsidR="000C0330" w:rsidRPr="00E96901" w:rsidRDefault="000C0330" w:rsidP="000C0330">
      <w:pPr>
        <w:pStyle w:val="Textonotapie"/>
        <w:ind w:firstLine="709"/>
        <w:jc w:val="both"/>
        <w:rPr>
          <w:rFonts w:ascii="Verdana" w:hAnsi="Verdana" w:cs="Arial"/>
          <w:sz w:val="16"/>
          <w:szCs w:val="16"/>
        </w:rPr>
      </w:pPr>
      <w:r w:rsidRPr="00E96901">
        <w:rPr>
          <w:rFonts w:ascii="Verdana" w:hAnsi="Verdana" w:cs="Arial"/>
          <w:sz w:val="16"/>
          <w:szCs w:val="16"/>
        </w:rPr>
        <w:t>1o.) que sea legalmente capaz.</w:t>
      </w:r>
    </w:p>
    <w:p w14:paraId="2C045A3A" w14:textId="77777777" w:rsidR="000C0330" w:rsidRPr="00E96901" w:rsidRDefault="000C0330" w:rsidP="000C0330">
      <w:pPr>
        <w:pStyle w:val="Textonotapie"/>
        <w:ind w:firstLine="709"/>
        <w:jc w:val="both"/>
        <w:rPr>
          <w:rFonts w:ascii="Verdana" w:hAnsi="Verdana" w:cs="Arial"/>
          <w:sz w:val="16"/>
          <w:szCs w:val="16"/>
        </w:rPr>
      </w:pPr>
      <w:r w:rsidRPr="00E96901">
        <w:rPr>
          <w:rFonts w:ascii="Verdana" w:hAnsi="Verdana" w:cs="Arial"/>
          <w:sz w:val="16"/>
          <w:szCs w:val="16"/>
        </w:rPr>
        <w:t>[…]</w:t>
      </w:r>
    </w:p>
    <w:p w14:paraId="3E062B27" w14:textId="77777777" w:rsidR="000C0330" w:rsidRPr="00E96901" w:rsidRDefault="000C0330" w:rsidP="000C0330">
      <w:pPr>
        <w:pStyle w:val="Textonotapie"/>
        <w:ind w:firstLine="709"/>
        <w:jc w:val="both"/>
        <w:rPr>
          <w:rFonts w:ascii="Verdana" w:hAnsi="Verdana" w:cs="Arial"/>
          <w:sz w:val="16"/>
          <w:szCs w:val="16"/>
        </w:rPr>
      </w:pPr>
      <w:r w:rsidRPr="00E96901">
        <w:rPr>
          <w:rFonts w:ascii="Verdana" w:hAnsi="Verdana" w:cs="Arial"/>
          <w:sz w:val="16"/>
          <w:szCs w:val="16"/>
        </w:rPr>
        <w:t>La capacidad legal de una persona consiste en poderse obligar por sí misma, sin el ministerio o la autorización de otra”.</w:t>
      </w:r>
    </w:p>
  </w:footnote>
  <w:footnote w:id="8">
    <w:p w14:paraId="0DB246F8" w14:textId="77777777" w:rsidR="000C0330" w:rsidRPr="00E96901" w:rsidRDefault="000C0330" w:rsidP="000C0330">
      <w:pPr>
        <w:pStyle w:val="Textonotapie"/>
        <w:ind w:firstLine="709"/>
        <w:jc w:val="both"/>
        <w:rPr>
          <w:rFonts w:ascii="Verdana" w:hAnsi="Verdana" w:cs="Arial"/>
          <w:sz w:val="16"/>
          <w:szCs w:val="16"/>
        </w:rPr>
      </w:pPr>
      <w:r w:rsidRPr="00E96901">
        <w:rPr>
          <w:rStyle w:val="Refdenotaalpie"/>
          <w:rFonts w:ascii="Verdana" w:hAnsi="Verdana" w:cs="Arial"/>
          <w:sz w:val="16"/>
          <w:szCs w:val="16"/>
        </w:rPr>
        <w:footnoteRef/>
      </w:r>
      <w:r w:rsidRPr="00E96901">
        <w:rPr>
          <w:rFonts w:ascii="Verdana" w:hAnsi="Verdana" w:cs="Arial"/>
          <w:sz w:val="16"/>
          <w:szCs w:val="16"/>
        </w:rPr>
        <w:t xml:space="preserve"> Decreto Ley 19 de 2012: “Artículo 221. El artículo 6 de la Ley 1150 de 2007, quedará así:</w:t>
      </w:r>
    </w:p>
    <w:p w14:paraId="0B595CBB" w14:textId="77777777" w:rsidR="000C0330" w:rsidRPr="00E96901" w:rsidRDefault="000C0330" w:rsidP="000C0330">
      <w:pPr>
        <w:pStyle w:val="Textonotapie"/>
        <w:ind w:firstLine="709"/>
        <w:jc w:val="both"/>
        <w:rPr>
          <w:rFonts w:ascii="Verdana" w:hAnsi="Verdana" w:cs="Arial"/>
          <w:sz w:val="16"/>
          <w:szCs w:val="16"/>
          <w:lang w:val="es-ES"/>
        </w:rPr>
      </w:pPr>
      <w:r w:rsidRPr="00E96901">
        <w:rPr>
          <w:rFonts w:ascii="Verdana" w:hAnsi="Verdana" w:cs="Arial"/>
          <w:sz w:val="16"/>
          <w:szCs w:val="16"/>
        </w:rPr>
        <w:t>Artículo 6. De la verificación de las condiciones de los proponentes. T</w:t>
      </w:r>
      <w:r w:rsidRPr="00E96901">
        <w:rPr>
          <w:rFonts w:ascii="Verdana" w:hAnsi="Verdana" w:cs="Arial"/>
          <w:sz w:val="16"/>
          <w:szCs w:val="16"/>
          <w:lang w:val="es-ES"/>
        </w:rPr>
        <w: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7E473418" w14:textId="77777777" w:rsidR="000C0330" w:rsidRPr="00E96901" w:rsidRDefault="000C0330" w:rsidP="000C0330">
      <w:pPr>
        <w:pStyle w:val="Textonotapie"/>
        <w:ind w:firstLine="709"/>
        <w:jc w:val="both"/>
        <w:rPr>
          <w:rFonts w:ascii="Verdana" w:hAnsi="Verdana" w:cs="Arial"/>
          <w:sz w:val="16"/>
          <w:szCs w:val="16"/>
          <w:lang w:val="es-ES"/>
        </w:rPr>
      </w:pPr>
      <w:r w:rsidRPr="00E96901">
        <w:rPr>
          <w:rFonts w:ascii="Verdana" w:hAnsi="Verdana" w:cs="Arial"/>
          <w:sz w:val="16"/>
          <w:szCs w:val="16"/>
          <w:lang w:val="es-ES"/>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footnote>
  <w:footnote w:id="9">
    <w:p w14:paraId="0CA66579" w14:textId="77777777" w:rsidR="000C0330" w:rsidRPr="00E96901" w:rsidRDefault="000C0330" w:rsidP="000C0330">
      <w:pPr>
        <w:pStyle w:val="Textonotapie"/>
        <w:ind w:firstLine="709"/>
        <w:jc w:val="both"/>
        <w:rPr>
          <w:rFonts w:ascii="Verdana" w:hAnsi="Verdana" w:cs="Arial"/>
          <w:sz w:val="16"/>
          <w:szCs w:val="16"/>
          <w:lang w:val="es-ES"/>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es-ES"/>
        </w:rPr>
        <w:t xml:space="preserve">En tal sentido, José Luis Benavides comenta que “Aunque la mayoría de las reglas limitativas de la responsabilidad contractual se aplican a la administración, existen también algunas restricciones importantes a la capacidad de los contratistas: </w:t>
      </w:r>
      <w:r w:rsidRPr="00E96901">
        <w:rPr>
          <w:rFonts w:ascii="Verdana" w:hAnsi="Verdana" w:cs="Arial"/>
          <w:i/>
          <w:iCs/>
          <w:sz w:val="16"/>
          <w:szCs w:val="16"/>
          <w:lang w:val="es-ES"/>
        </w:rPr>
        <w:t>el régimen de inhabilidades e incompatibilidades</w:t>
      </w:r>
      <w:r w:rsidRPr="00E96901">
        <w:rPr>
          <w:rFonts w:ascii="Verdana" w:hAnsi="Verdana" w:cs="Arial"/>
          <w:sz w:val="16"/>
          <w:szCs w:val="16"/>
          <w:lang w:val="es-ES"/>
        </w:rPr>
        <w:t xml:space="preserve"> (1) y la obligación de ciertos proponentes de inscribirse en el </w:t>
      </w:r>
      <w:r w:rsidRPr="00E96901">
        <w:rPr>
          <w:rFonts w:ascii="Verdana" w:hAnsi="Verdana" w:cs="Arial"/>
          <w:i/>
          <w:iCs/>
          <w:sz w:val="16"/>
          <w:szCs w:val="16"/>
          <w:lang w:val="es-ES"/>
        </w:rPr>
        <w:t>registro único</w:t>
      </w:r>
      <w:r w:rsidRPr="00E96901">
        <w:rPr>
          <w:rFonts w:ascii="Verdana" w:hAnsi="Verdana" w:cs="Arial"/>
          <w:sz w:val="16"/>
          <w:szCs w:val="16"/>
          <w:lang w:val="es-ES"/>
        </w:rPr>
        <w:t xml:space="preserve"> (2)” (BENAVIDES, José Luis. El contrato estatal. Entre el Derecho público y el Derecho privado. 2ª ed. Bogotá: Universidad Externado de Colombia, 2004. p. 278). </w:t>
      </w:r>
    </w:p>
  </w:footnote>
  <w:footnote w:id="10">
    <w:p w14:paraId="668F8408" w14:textId="77777777" w:rsidR="000C0330" w:rsidRPr="00E96901" w:rsidRDefault="000C0330" w:rsidP="000C0330">
      <w:pPr>
        <w:pStyle w:val="Textonotapie"/>
        <w:ind w:firstLine="709"/>
        <w:jc w:val="both"/>
        <w:rPr>
          <w:rFonts w:ascii="Verdana" w:hAnsi="Verdana" w:cs="Arial"/>
          <w:sz w:val="16"/>
          <w:szCs w:val="16"/>
        </w:rPr>
      </w:pPr>
      <w:r w:rsidRPr="00E96901">
        <w:rPr>
          <w:rStyle w:val="Refdenotaalpie"/>
          <w:rFonts w:ascii="Verdana" w:hAnsi="Verdana" w:cs="Arial"/>
          <w:sz w:val="16"/>
          <w:szCs w:val="16"/>
        </w:rPr>
        <w:footnoteRef/>
      </w:r>
      <w:r w:rsidRPr="00E96901">
        <w:rPr>
          <w:rFonts w:ascii="Verdana" w:hAnsi="Verdana" w:cs="Arial"/>
          <w:sz w:val="16"/>
          <w:szCs w:val="16"/>
        </w:rPr>
        <w:t xml:space="preserve"> En esta línea Dávila Vinueza Expresa: “El legislador para calificar estas prohibiciones emplea dos vocablos: Inhabilidades o incompatibilidades, los cuales en un examen desprevenido podrían sugerir ideas diferentes y en consecuencia, efectos también distintos. Sin embargo, se trata de conceptos que no producen distinciones más allá de las puramente semánticas. En nada afecta el calificar una causal con denominación diferente a la empleada en el texto legal, cuando mucho se criticará la falta de precisión. Ello es así por cuanto los efectos jurídicos que se general para una y otra son exactamente los mismos. Incluso se podría afirmar que ante la semejanza de las figuras, conviene emplear un único vocablo, con lo cual serían innecesarias los intentos y las elucubraciones y explicaciones, algunas novedosas que podrían ensayarse”. (DÁVILA VINUEZA, Luis Guillermo. Régimen jurídico de la contratación estatal. 3ª ed. Bogotá: Legis, 2016. p. 148).</w:t>
      </w:r>
    </w:p>
  </w:footnote>
  <w:footnote w:id="11">
    <w:p w14:paraId="2AC92623" w14:textId="77777777" w:rsidR="000C0330" w:rsidRPr="00E96901" w:rsidRDefault="000C0330" w:rsidP="000C0330">
      <w:pPr>
        <w:pStyle w:val="Textonotapie"/>
        <w:ind w:firstLine="709"/>
        <w:jc w:val="both"/>
        <w:rPr>
          <w:rFonts w:ascii="Verdana" w:hAnsi="Verdana" w:cs="Arial"/>
          <w:sz w:val="16"/>
          <w:szCs w:val="16"/>
          <w:lang w:val="es-ES"/>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footnote>
  <w:footnote w:id="12">
    <w:p w14:paraId="01C8D087" w14:textId="77777777" w:rsidR="000C0330" w:rsidRPr="00E96901" w:rsidRDefault="000C0330" w:rsidP="000C0330">
      <w:pPr>
        <w:pStyle w:val="Textonotapie"/>
        <w:ind w:firstLine="709"/>
        <w:jc w:val="both"/>
        <w:rPr>
          <w:rFonts w:ascii="Verdana" w:hAnsi="Verdana" w:cs="Arial"/>
          <w:sz w:val="16"/>
          <w:szCs w:val="16"/>
          <w:lang w:val="es-ES"/>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es-ES"/>
        </w:rPr>
        <w:t>Ibídem. p. 69.</w:t>
      </w:r>
    </w:p>
  </w:footnote>
  <w:footnote w:id="13">
    <w:p w14:paraId="0FF48D48" w14:textId="77777777" w:rsidR="000C0330" w:rsidRPr="00E96901" w:rsidRDefault="000C0330" w:rsidP="000C0330">
      <w:pPr>
        <w:pStyle w:val="Textonotapie"/>
        <w:ind w:firstLine="709"/>
        <w:jc w:val="both"/>
        <w:rPr>
          <w:rFonts w:ascii="Verdana" w:hAnsi="Verdana" w:cs="Arial"/>
          <w:sz w:val="16"/>
          <w:szCs w:val="16"/>
          <w:lang w:val="es-ES"/>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es-ES"/>
        </w:rPr>
        <w:t xml:space="preserve">CORTE CONSTITUCIONAL. Sentencia T-1039 de 2006. M.P. Humberto Sierra Porto. La Corte Constitucional ha mantenido este criterio en las sentencias: C-903 de 2008. M.P. Jaime Araujo Rentería; C-101 de 2018. M.P. Gloria Stella Ortiz Delgado; entre otras. </w:t>
      </w:r>
    </w:p>
  </w:footnote>
  <w:footnote w:id="14">
    <w:p w14:paraId="33DCCC84" w14:textId="77777777" w:rsidR="000C0330" w:rsidRPr="00E96901" w:rsidRDefault="000C0330" w:rsidP="000C0330">
      <w:pPr>
        <w:pStyle w:val="Textonotapie"/>
        <w:ind w:firstLine="709"/>
        <w:jc w:val="both"/>
        <w:rPr>
          <w:rFonts w:ascii="Verdana" w:hAnsi="Verdana" w:cs="Arial"/>
          <w:sz w:val="16"/>
          <w:szCs w:val="16"/>
          <w:lang w:val="es-ES"/>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es-ES"/>
        </w:rPr>
        <w:t>CONSEJO DE ESTADO. Sala de Consulta y Servicio Civil. Concepto del 30 de abril de 2015. Exp. 2251. C.P. Álvaro Namén Vargas.</w:t>
      </w:r>
    </w:p>
  </w:footnote>
  <w:footnote w:id="15">
    <w:p w14:paraId="389EA7C4" w14:textId="77777777" w:rsidR="000C0330" w:rsidRPr="00E96901" w:rsidRDefault="000C0330" w:rsidP="000C0330">
      <w:pPr>
        <w:pStyle w:val="Textonotapie"/>
        <w:ind w:firstLine="709"/>
        <w:jc w:val="both"/>
        <w:rPr>
          <w:rFonts w:ascii="Verdana" w:hAnsi="Verdana" w:cs="Arial"/>
          <w:sz w:val="16"/>
          <w:szCs w:val="16"/>
        </w:rPr>
      </w:pPr>
      <w:r w:rsidRPr="00E96901">
        <w:rPr>
          <w:rStyle w:val="Refdenotaalpie"/>
          <w:rFonts w:ascii="Verdana" w:hAnsi="Verdana" w:cs="Arial"/>
          <w:sz w:val="16"/>
          <w:szCs w:val="16"/>
        </w:rPr>
        <w:footnoteRef/>
      </w:r>
      <w:r w:rsidRPr="00E96901">
        <w:rPr>
          <w:rFonts w:ascii="Verdana" w:hAnsi="Verdana" w:cs="Arial"/>
          <w:sz w:val="16"/>
          <w:szCs w:val="16"/>
        </w:rPr>
        <w:t xml:space="preserve"> CONSEJO DE ESTADO. Sección Tercera. Subsección A. Sentencia del 24 de junio de 2015. Exp. 40.635. C.P. Hernán Andrade Rincón (E).</w:t>
      </w:r>
    </w:p>
  </w:footnote>
  <w:footnote w:id="16">
    <w:p w14:paraId="3996CC71" w14:textId="77777777" w:rsidR="000C0330" w:rsidRPr="00E96901" w:rsidRDefault="000C0330" w:rsidP="000C0330">
      <w:pPr>
        <w:pStyle w:val="Textonotapie"/>
        <w:ind w:firstLine="709"/>
        <w:jc w:val="both"/>
        <w:rPr>
          <w:rFonts w:ascii="Verdana" w:hAnsi="Verdana" w:cs="Arial"/>
          <w:sz w:val="16"/>
          <w:szCs w:val="16"/>
          <w:lang w:val="es-ES_tradnl"/>
        </w:rPr>
      </w:pPr>
      <w:r w:rsidRPr="00E96901">
        <w:rPr>
          <w:rStyle w:val="Refdenotaalpie"/>
          <w:rFonts w:ascii="Verdana" w:hAnsi="Verdana" w:cs="Arial"/>
          <w:sz w:val="16"/>
          <w:szCs w:val="16"/>
        </w:rPr>
        <w:footnoteRef/>
      </w:r>
      <w:r w:rsidRPr="00E96901">
        <w:rPr>
          <w:rFonts w:ascii="Verdana" w:hAnsi="Verdana" w:cs="Arial"/>
          <w:sz w:val="16"/>
          <w:szCs w:val="16"/>
        </w:rPr>
        <w:t xml:space="preserve"> CONSEJO DE ESTADO. Sección Tercera. Subsección C. Sentencia del 22 de mayo de 2013. Rad. 24.057. C.P. Olga Mélida Valle De De La Hoz. </w:t>
      </w:r>
    </w:p>
  </w:footnote>
  <w:footnote w:id="17">
    <w:p w14:paraId="692DD467" w14:textId="77777777" w:rsidR="000C0330" w:rsidRPr="00E96901" w:rsidRDefault="000C0330" w:rsidP="000C0330">
      <w:pPr>
        <w:pStyle w:val="Textonotapie"/>
        <w:ind w:firstLine="709"/>
        <w:jc w:val="both"/>
        <w:rPr>
          <w:rFonts w:ascii="Verdana" w:hAnsi="Verdana" w:cs="Arial"/>
          <w:sz w:val="16"/>
          <w:szCs w:val="16"/>
          <w:lang w:val="pt-BR"/>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pt-BR"/>
        </w:rPr>
        <w:t>Corte Constitucional. Sentencia C-415 de 1994. M.P. Eduardo Cifuentes Muñoz.</w:t>
      </w:r>
    </w:p>
  </w:footnote>
  <w:footnote w:id="18">
    <w:p w14:paraId="1E3A6CF4" w14:textId="77777777" w:rsidR="000C0330" w:rsidRPr="005366FC" w:rsidRDefault="000C0330" w:rsidP="000C0330">
      <w:pPr>
        <w:pStyle w:val="Textonotapie"/>
        <w:ind w:firstLine="708"/>
        <w:jc w:val="both"/>
        <w:rPr>
          <w:rFonts w:ascii="Verdana" w:hAnsi="Verdana"/>
          <w:sz w:val="16"/>
          <w:szCs w:val="16"/>
          <w:lang w:val="es-ES_tradnl"/>
        </w:rPr>
      </w:pPr>
      <w:r w:rsidRPr="005366FC">
        <w:rPr>
          <w:rStyle w:val="Refdenotaalpie"/>
          <w:rFonts w:ascii="Verdana" w:hAnsi="Verdana"/>
          <w:sz w:val="16"/>
          <w:szCs w:val="16"/>
        </w:rPr>
        <w:footnoteRef/>
      </w:r>
      <w:r w:rsidRPr="00090B08">
        <w:rPr>
          <w:rFonts w:ascii="Verdana" w:hAnsi="Verdana"/>
          <w:sz w:val="16"/>
          <w:szCs w:val="16"/>
          <w:lang w:val="es-CO"/>
        </w:rPr>
        <w:t xml:space="preserve"> RAMÍREZ </w:t>
      </w:r>
      <w:r w:rsidRPr="005366FC">
        <w:rPr>
          <w:rFonts w:ascii="Verdana" w:hAnsi="Verdana"/>
          <w:sz w:val="16"/>
          <w:szCs w:val="16"/>
          <w:lang w:val="es-ES_tradnl"/>
        </w:rPr>
        <w:t>GRISALES, Richard Steve. La cesión.</w:t>
      </w:r>
      <w:r>
        <w:rPr>
          <w:rFonts w:ascii="Verdana" w:hAnsi="Verdana"/>
          <w:sz w:val="16"/>
          <w:szCs w:val="16"/>
          <w:lang w:val="es-ES_tradnl"/>
        </w:rPr>
        <w:t xml:space="preserve"> Medellín: Librería Jurídica Sánchez R LTDA – Centro de Estudios de Derecho Administrativo, 2014.</w:t>
      </w:r>
      <w:r w:rsidRPr="005366FC">
        <w:rPr>
          <w:rFonts w:ascii="Verdana" w:hAnsi="Verdana"/>
          <w:sz w:val="16"/>
          <w:szCs w:val="16"/>
          <w:lang w:val="es-ES_tradnl"/>
        </w:rPr>
        <w:t xml:space="preserve"> p. 36.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67908957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0330"/>
    <w:rsid w:val="000D0334"/>
    <w:rsid w:val="000D5DA7"/>
    <w:rsid w:val="000F6486"/>
    <w:rsid w:val="00116940"/>
    <w:rsid w:val="00125105"/>
    <w:rsid w:val="00127233"/>
    <w:rsid w:val="0015699B"/>
    <w:rsid w:val="001A33BF"/>
    <w:rsid w:val="001C7B3C"/>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36B54"/>
    <w:rsid w:val="0044528D"/>
    <w:rsid w:val="004468B6"/>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5790A"/>
    <w:rsid w:val="007649AB"/>
    <w:rsid w:val="00771D0C"/>
    <w:rsid w:val="007833AC"/>
    <w:rsid w:val="007B268C"/>
    <w:rsid w:val="007B7171"/>
    <w:rsid w:val="007C0C0F"/>
    <w:rsid w:val="007C3DC2"/>
    <w:rsid w:val="007E5497"/>
    <w:rsid w:val="00806F5F"/>
    <w:rsid w:val="00820278"/>
    <w:rsid w:val="008258C9"/>
    <w:rsid w:val="00844AE9"/>
    <w:rsid w:val="00860CBE"/>
    <w:rsid w:val="00867F95"/>
    <w:rsid w:val="008843B6"/>
    <w:rsid w:val="00886011"/>
    <w:rsid w:val="00891928"/>
    <w:rsid w:val="008A446D"/>
    <w:rsid w:val="008B25F1"/>
    <w:rsid w:val="008D180B"/>
    <w:rsid w:val="008F0EA7"/>
    <w:rsid w:val="00923EEF"/>
    <w:rsid w:val="009419F9"/>
    <w:rsid w:val="0095685E"/>
    <w:rsid w:val="00961B09"/>
    <w:rsid w:val="00965334"/>
    <w:rsid w:val="0097093E"/>
    <w:rsid w:val="009804B3"/>
    <w:rsid w:val="00980897"/>
    <w:rsid w:val="009A0DFA"/>
    <w:rsid w:val="009A1C6F"/>
    <w:rsid w:val="009B2D26"/>
    <w:rsid w:val="009B7B7E"/>
    <w:rsid w:val="009C71FA"/>
    <w:rsid w:val="009C72E7"/>
    <w:rsid w:val="009C7F7E"/>
    <w:rsid w:val="009D3058"/>
    <w:rsid w:val="009D3E3D"/>
    <w:rsid w:val="009F3A13"/>
    <w:rsid w:val="00A122D3"/>
    <w:rsid w:val="00A14468"/>
    <w:rsid w:val="00A17F13"/>
    <w:rsid w:val="00A20739"/>
    <w:rsid w:val="00A23AF9"/>
    <w:rsid w:val="00A33C78"/>
    <w:rsid w:val="00A527C1"/>
    <w:rsid w:val="00AB0ADB"/>
    <w:rsid w:val="00B00C0E"/>
    <w:rsid w:val="00B01B1A"/>
    <w:rsid w:val="00B0381D"/>
    <w:rsid w:val="00B44A47"/>
    <w:rsid w:val="00B72CD3"/>
    <w:rsid w:val="00B72FFF"/>
    <w:rsid w:val="00BB4A4D"/>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0288F"/>
    <w:rsid w:val="00E11ABA"/>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82123"/>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C0330"/>
    <w:pPr>
      <w:spacing w:line="240" w:lineRule="exact"/>
    </w:pPr>
    <w:rPr>
      <w:vertAlign w:val="superscript"/>
    </w:rPr>
  </w:style>
  <w:style w:type="table" w:customStyle="1" w:styleId="Tablaconcuadrcula11">
    <w:name w:val="Tabla con cuadrícula11"/>
    <w:basedOn w:val="Tablanormal"/>
    <w:next w:val="Tablaconcuadrcula"/>
    <w:uiPriority w:val="59"/>
    <w:qFormat/>
    <w:rsid w:val="000C03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C0330"/>
    <w:rPr>
      <w:rFonts w:ascii="Geomanist Light" w:hAnsi="Geomanist Light"/>
      <w:lang w:val="es-ES"/>
    </w:rPr>
  </w:style>
  <w:style w:type="paragraph" w:styleId="Sinespaciado">
    <w:name w:val="No Spacing"/>
    <w:uiPriority w:val="1"/>
    <w:qFormat/>
    <w:rsid w:val="000C03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ntratacion@alcaldiadepiedecuesta.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BBA0A142-31B0-4A80-9BFD-B65F463F41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15</Pages>
  <Words>4835</Words>
  <Characters>26594</Characters>
  <Application>Microsoft Office Word</Application>
  <DocSecurity>0</DocSecurity>
  <Lines>221</Lines>
  <Paragraphs>62</Paragraphs>
  <ScaleCrop>false</ScaleCrop>
  <Company/>
  <LinksUpToDate>false</LinksUpToDate>
  <CharactersWithSpaces>31367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Nasly Yeana Mosquera Rivas</cp:lastModifiedBy>
  <cp:revision>3</cp:revision>
  <cp:lastPrinted>2023-01-10T21:18:00Z</cp:lastPrinted>
  <dcterms:created xsi:type="dcterms:W3CDTF">2026-05-28T15:35:00Z</dcterms:created>
  <dcterms:modified xsi:type="dcterms:W3CDTF">2026-05-28T15:36:00Z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