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1B2BC" w14:textId="77777777" w:rsidR="008B3F3D" w:rsidRPr="00760536" w:rsidRDefault="008B3F3D" w:rsidP="008B3F3D">
      <w:pPr>
        <w:spacing w:after="0" w:line="240" w:lineRule="auto"/>
        <w:jc w:val="both"/>
        <w:rPr>
          <w:rFonts w:ascii="Verdana" w:hAnsi="Verdana" w:cs="Arial"/>
          <w:b/>
        </w:rPr>
      </w:pPr>
      <w:r>
        <w:rPr>
          <w:rFonts w:ascii="Verdana" w:hAnsi="Verdana" w:cs="Arial"/>
          <w:b/>
        </w:rPr>
        <w:t>SELECCIÓN ABREVIADA</w:t>
      </w:r>
      <w:r w:rsidRPr="00760536">
        <w:rPr>
          <w:rFonts w:ascii="Verdana" w:hAnsi="Verdana" w:cs="Arial"/>
          <w:b/>
        </w:rPr>
        <w:t xml:space="preserve"> – </w:t>
      </w:r>
      <w:r>
        <w:rPr>
          <w:rFonts w:ascii="Verdana" w:hAnsi="Verdana" w:cs="Arial"/>
          <w:b/>
        </w:rPr>
        <w:t>Fundamento jurídico</w:t>
      </w:r>
      <w:r w:rsidRPr="00760536">
        <w:rPr>
          <w:rFonts w:ascii="Verdana" w:hAnsi="Verdana" w:cs="Arial"/>
          <w:b/>
        </w:rPr>
        <w:t xml:space="preserve"> </w:t>
      </w:r>
    </w:p>
    <w:p w14:paraId="4C22B0F6" w14:textId="77777777" w:rsidR="008B3F3D" w:rsidRPr="00760536" w:rsidRDefault="008B3F3D" w:rsidP="008B3F3D">
      <w:pPr>
        <w:spacing w:after="0" w:line="240" w:lineRule="auto"/>
        <w:jc w:val="both"/>
        <w:rPr>
          <w:rFonts w:ascii="Verdana" w:hAnsi="Verdana" w:cs="Arial"/>
          <w:b/>
          <w:sz w:val="20"/>
          <w:szCs w:val="20"/>
        </w:rPr>
      </w:pPr>
    </w:p>
    <w:p w14:paraId="69EBB5F7" w14:textId="77777777" w:rsidR="008B3F3D" w:rsidRDefault="008B3F3D" w:rsidP="008B3F3D">
      <w:pPr>
        <w:spacing w:after="0" w:line="240" w:lineRule="auto"/>
        <w:jc w:val="both"/>
        <w:textAlignment w:val="baseline"/>
        <w:rPr>
          <w:rFonts w:ascii="Verdana" w:hAnsi="Verdana" w:cs="Arial"/>
          <w:sz w:val="20"/>
          <w:szCs w:val="20"/>
          <w:lang w:eastAsia="es-CO"/>
        </w:rPr>
      </w:pPr>
      <w:r w:rsidRPr="00CE0389">
        <w:rPr>
          <w:rFonts w:ascii="Verdana" w:hAnsi="Verdana" w:cs="Arial"/>
          <w:sz w:val="20"/>
          <w:szCs w:val="20"/>
          <w:lang w:eastAsia="es-CO"/>
        </w:rPr>
        <w:t>Sobre la selección abreviada, el numeral 2 del artículo 2 de la Ley 1150 de 2007 dispone que “[…]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 regulando cada una de las causales</w:t>
      </w:r>
      <w:r>
        <w:rPr>
          <w:rFonts w:ascii="Verdana" w:hAnsi="Verdana" w:cs="Arial"/>
          <w:sz w:val="20"/>
          <w:szCs w:val="20"/>
          <w:lang w:eastAsia="es-CO"/>
        </w:rPr>
        <w:t xml:space="preserve">. </w:t>
      </w:r>
      <w:r w:rsidRPr="00CE0389">
        <w:rPr>
          <w:rFonts w:ascii="Verdana" w:hAnsi="Verdana" w:cs="Arial"/>
          <w:sz w:val="20"/>
          <w:szCs w:val="20"/>
          <w:lang w:eastAsia="es-CO"/>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p>
    <w:p w14:paraId="12B0B474" w14:textId="77777777" w:rsidR="008B3F3D" w:rsidRPr="00CE0389" w:rsidRDefault="008B3F3D" w:rsidP="008B3F3D">
      <w:pPr>
        <w:spacing w:after="0" w:line="240" w:lineRule="auto"/>
        <w:jc w:val="both"/>
        <w:textAlignment w:val="baseline"/>
        <w:rPr>
          <w:rFonts w:ascii="Verdana" w:hAnsi="Verdana" w:cs="Arial"/>
          <w:sz w:val="20"/>
          <w:szCs w:val="20"/>
          <w:lang w:eastAsia="es-CO"/>
        </w:rPr>
      </w:pPr>
    </w:p>
    <w:p w14:paraId="200772F3" w14:textId="77777777" w:rsidR="008B3F3D" w:rsidRPr="002C0402" w:rsidRDefault="008B3F3D" w:rsidP="008B3F3D">
      <w:pPr>
        <w:spacing w:after="0" w:line="240" w:lineRule="auto"/>
        <w:jc w:val="both"/>
        <w:textAlignment w:val="baseline"/>
        <w:rPr>
          <w:rFonts w:ascii="Verdana" w:hAnsi="Verdana" w:cs="Arial"/>
          <w:bCs/>
          <w:sz w:val="20"/>
          <w:szCs w:val="20"/>
          <w:lang w:val="es-ES_tradnl" w:eastAsia="es-CO"/>
        </w:rPr>
      </w:pPr>
      <w:r w:rsidRPr="00CE0389">
        <w:rPr>
          <w:rFonts w:ascii="Verdana" w:hAnsi="Verdana" w:cs="Arial"/>
          <w:sz w:val="20"/>
          <w:szCs w:val="20"/>
          <w:lang w:eastAsia="es-CO"/>
        </w:rPr>
        <w:t>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Según el Consejo de Estado, el propósito 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hAnsi="Verdana" w:cs="Arial"/>
          <w:sz w:val="20"/>
          <w:szCs w:val="20"/>
          <w:lang w:eastAsia="es-CO"/>
        </w:rPr>
        <w:t>.</w:t>
      </w:r>
    </w:p>
    <w:p w14:paraId="58D19F94" w14:textId="77777777" w:rsidR="008B3F3D" w:rsidRPr="00760536" w:rsidRDefault="008B3F3D" w:rsidP="008B3F3D">
      <w:pPr>
        <w:spacing w:after="0" w:line="240" w:lineRule="auto"/>
        <w:jc w:val="both"/>
        <w:textAlignment w:val="baseline"/>
        <w:rPr>
          <w:rFonts w:ascii="Verdana" w:hAnsi="Verdana" w:cs="Arial"/>
          <w:sz w:val="20"/>
          <w:szCs w:val="20"/>
          <w:lang w:val="es-ES" w:eastAsia="es-CO"/>
        </w:rPr>
      </w:pPr>
    </w:p>
    <w:p w14:paraId="7CE3DFA8" w14:textId="77777777" w:rsidR="008B3F3D" w:rsidRPr="00760536" w:rsidRDefault="008B3F3D" w:rsidP="008B3F3D">
      <w:pPr>
        <w:spacing w:after="0" w:line="240" w:lineRule="auto"/>
        <w:jc w:val="both"/>
        <w:rPr>
          <w:rFonts w:ascii="Verdana" w:hAnsi="Verdana" w:cs="Arial"/>
          <w:b/>
          <w:lang w:val="es-ES"/>
        </w:rPr>
      </w:pPr>
      <w:r>
        <w:rPr>
          <w:rFonts w:ascii="Verdana" w:hAnsi="Verdana" w:cs="Arial"/>
          <w:b/>
          <w:lang w:val="es-ES"/>
        </w:rPr>
        <w:t>BIENES DE CARACTERÍSTICAS TÉCNICAS UNIFORMES Y DE COMÚN UTILIZACIÓN</w:t>
      </w:r>
      <w:r w:rsidRPr="00760536">
        <w:rPr>
          <w:rFonts w:ascii="Verdana" w:hAnsi="Verdana" w:cs="Arial"/>
          <w:b/>
          <w:lang w:val="es-ES"/>
        </w:rPr>
        <w:t xml:space="preserve"> – </w:t>
      </w:r>
      <w:r>
        <w:rPr>
          <w:rFonts w:ascii="Verdana" w:hAnsi="Verdana" w:cs="Arial"/>
          <w:b/>
          <w:lang w:val="es-ES"/>
        </w:rPr>
        <w:t>Selección abreviada</w:t>
      </w:r>
      <w:r w:rsidRPr="00760536">
        <w:rPr>
          <w:rFonts w:ascii="Verdana" w:hAnsi="Verdana" w:cs="Arial"/>
          <w:b/>
          <w:lang w:val="es-ES"/>
        </w:rPr>
        <w:t xml:space="preserve"> </w:t>
      </w:r>
      <w:r>
        <w:rPr>
          <w:rFonts w:ascii="Verdana" w:hAnsi="Verdana" w:cs="Arial"/>
          <w:b/>
          <w:lang w:val="es-ES"/>
        </w:rPr>
        <w:t>– Subasta inversa – Lances – Reglas aplicables</w:t>
      </w:r>
    </w:p>
    <w:p w14:paraId="4D0829A4" w14:textId="77777777" w:rsidR="008B3F3D" w:rsidRPr="00760536" w:rsidRDefault="008B3F3D" w:rsidP="008B3F3D">
      <w:pPr>
        <w:spacing w:after="0" w:line="240" w:lineRule="auto"/>
        <w:jc w:val="both"/>
        <w:rPr>
          <w:rFonts w:ascii="Verdana" w:hAnsi="Verdana" w:cs="Arial"/>
          <w:b/>
          <w:sz w:val="20"/>
          <w:szCs w:val="20"/>
          <w:lang w:val="es-ES"/>
        </w:rPr>
      </w:pPr>
    </w:p>
    <w:p w14:paraId="4D324AED" w14:textId="77777777" w:rsidR="008B3F3D" w:rsidRDefault="008B3F3D" w:rsidP="008B3F3D">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t>P</w:t>
      </w:r>
      <w:r w:rsidRPr="00C31253">
        <w:rPr>
          <w:rFonts w:ascii="Verdana" w:hAnsi="Verdana" w:cs="Arial"/>
          <w:bCs/>
          <w:sz w:val="20"/>
          <w:szCs w:val="20"/>
          <w:lang w:val="es-ES_tradnl" w:eastAsia="es-CO"/>
        </w:rPr>
        <w:t xml:space="preserve">ara efectos de la modalidad de selección abreviada, el inciso segundo del literal a) del artículo 2, numeral 2 de la Ley 1150 de 2007 dispone que las entidades podrán aplicar el procedimiento de subasta inversa para adquirir bienes y servicios de características técnicas uniformes y de común utilización. Aunque en la </w:t>
      </w:r>
      <w:r w:rsidRPr="00C31253">
        <w:rPr>
          <w:rFonts w:ascii="Verdana" w:hAnsi="Verdana" w:cs="Arial"/>
          <w:bCs/>
          <w:i/>
          <w:iCs/>
          <w:sz w:val="20"/>
          <w:szCs w:val="20"/>
          <w:lang w:val="es-ES_tradnl" w:eastAsia="es-CO"/>
        </w:rPr>
        <w:t>subasta ordinaria</w:t>
      </w:r>
      <w:r w:rsidRPr="00C31253">
        <w:rPr>
          <w:rFonts w:ascii="Verdana" w:hAnsi="Verdana" w:cs="Arial"/>
          <w:bCs/>
          <w:sz w:val="20"/>
          <w:szCs w:val="20"/>
          <w:lang w:val="es-ES_tradnl" w:eastAsia="es-CO"/>
        </w:rPr>
        <w:t xml:space="preserve"> los compradores compiten para obtener un bien o servicio ofreciendo precios cada vez más altos al vendedor, la </w:t>
      </w:r>
      <w:r w:rsidRPr="00C31253">
        <w:rPr>
          <w:rFonts w:ascii="Verdana" w:hAnsi="Verdana" w:cs="Arial"/>
          <w:bCs/>
          <w:i/>
          <w:iCs/>
          <w:sz w:val="20"/>
          <w:szCs w:val="20"/>
          <w:lang w:val="es-ES_tradnl" w:eastAsia="es-CO"/>
        </w:rPr>
        <w:t>subasta inversa</w:t>
      </w:r>
      <w:r w:rsidRPr="00C31253">
        <w:rPr>
          <w:rFonts w:ascii="Verdana" w:hAnsi="Verdana" w:cs="Arial"/>
          <w:bCs/>
          <w:sz w:val="20"/>
          <w:szCs w:val="20"/>
          <w:lang w:val="es-ES_tradnl" w:eastAsia="es-CO"/>
        </w:rPr>
        <w:t xml:space="preserve"> implica un intercambio es estos roles, es decir, los vendedores compiten para suscribir el contrato con el comprador y los precios disminuyen a medida que existe puja entre los oferentes.</w:t>
      </w:r>
    </w:p>
    <w:p w14:paraId="1D71317A" w14:textId="77777777" w:rsidR="008B3F3D" w:rsidRPr="00C31253" w:rsidRDefault="008B3F3D" w:rsidP="008B3F3D">
      <w:pPr>
        <w:spacing w:after="0" w:line="240" w:lineRule="auto"/>
        <w:jc w:val="both"/>
        <w:textAlignment w:val="baseline"/>
        <w:rPr>
          <w:rFonts w:ascii="Verdana" w:hAnsi="Verdana" w:cs="Arial"/>
          <w:bCs/>
          <w:sz w:val="20"/>
          <w:szCs w:val="20"/>
          <w:lang w:val="es-ES_tradnl" w:eastAsia="es-CO"/>
        </w:rPr>
      </w:pPr>
    </w:p>
    <w:p w14:paraId="1A83E4D2" w14:textId="77777777" w:rsidR="008B3F3D" w:rsidRPr="002C0402" w:rsidRDefault="008B3F3D" w:rsidP="008B3F3D">
      <w:pPr>
        <w:spacing w:after="0" w:line="240" w:lineRule="auto"/>
        <w:jc w:val="both"/>
        <w:textAlignment w:val="baseline"/>
        <w:rPr>
          <w:rFonts w:ascii="Verdana" w:hAnsi="Verdana" w:cs="Arial"/>
          <w:bCs/>
          <w:sz w:val="20"/>
          <w:szCs w:val="20"/>
          <w:lang w:val="es-ES_tradnl" w:eastAsia="es-CO"/>
        </w:rPr>
      </w:pPr>
      <w:r w:rsidRPr="00C31253">
        <w:rPr>
          <w:rFonts w:ascii="Verdana" w:hAnsi="Verdana" w:cs="Arial"/>
          <w:bCs/>
          <w:sz w:val="20"/>
          <w:szCs w:val="20"/>
          <w:lang w:val="es-ES_tradnl" w:eastAsia="es-CO"/>
        </w:rPr>
        <w:t xml:space="preserve">Conforme al artículo 5.3 de la Ley 1150 de 2007, las entidades estatales incluirán como único factor de evaluación el menor precio ofrecido; razón por la cual, el artículo 2.2.1.2.1.2.2 del Decreto 1082 de 2015 regula los lances entre los proponentes que participan en la subasta. Particularmente, los numerales 6, 7, 8 y 9 disponen los siguiente: i) “La subasta debe iniciar con el precio más bajo indicado por los oferentes y en consecuencia, solamente serán válidos los Lances efectuados durante la subasta inversa en los cuales la oferta sea mejorada en por lo menos el Margen Mínimo </w:t>
      </w:r>
      <w:r w:rsidRPr="00C31253">
        <w:rPr>
          <w:rFonts w:ascii="Verdana" w:hAnsi="Verdana" w:cs="Arial"/>
          <w:bCs/>
          <w:sz w:val="20"/>
          <w:szCs w:val="20"/>
          <w:lang w:val="es-ES_tradnl" w:eastAsia="es-CO"/>
        </w:rPr>
        <w:lastRenderedPageBreak/>
        <w:t xml:space="preserve">establecido”, </w:t>
      </w:r>
      <w:proofErr w:type="spellStart"/>
      <w:r w:rsidRPr="00C31253">
        <w:rPr>
          <w:rFonts w:ascii="Verdana" w:hAnsi="Verdana" w:cs="Arial"/>
          <w:bCs/>
          <w:sz w:val="20"/>
          <w:szCs w:val="20"/>
          <w:lang w:val="es-ES_tradnl" w:eastAsia="es-CO"/>
        </w:rPr>
        <w:t>ii</w:t>
      </w:r>
      <w:proofErr w:type="spellEnd"/>
      <w:r w:rsidRPr="00C31253">
        <w:rPr>
          <w:rFonts w:ascii="Verdana" w:hAnsi="Verdana" w:cs="Arial"/>
          <w:bCs/>
          <w:sz w:val="20"/>
          <w:szCs w:val="20"/>
          <w:lang w:val="es-ES_tradnl" w:eastAsia="es-CO"/>
        </w:rPr>
        <w:t xml:space="preserve">) “Si los oferentes no presentan Lances durante la subasta, la Entidad Estatal debe adjudicar el contrato al oferente que haya presentado el precio inicial más bajo”, </w:t>
      </w:r>
      <w:proofErr w:type="spellStart"/>
      <w:r w:rsidRPr="00C31253">
        <w:rPr>
          <w:rFonts w:ascii="Verdana" w:hAnsi="Verdana" w:cs="Arial"/>
          <w:bCs/>
          <w:sz w:val="20"/>
          <w:szCs w:val="20"/>
          <w:lang w:val="es-ES_tradnl" w:eastAsia="es-CO"/>
        </w:rPr>
        <w:t>iii</w:t>
      </w:r>
      <w:proofErr w:type="spellEnd"/>
      <w:r w:rsidRPr="00C31253">
        <w:rPr>
          <w:rFonts w:ascii="Verdana" w:hAnsi="Verdana" w:cs="Arial"/>
          <w:bCs/>
          <w:sz w:val="20"/>
          <w:szCs w:val="20"/>
          <w:lang w:val="es-ES_tradnl" w:eastAsia="es-CO"/>
        </w:rPr>
        <w:t xml:space="preserve">) “Al terminar la presentación de cada Lance, la Entidad Estatal debe informar el valor del Lance más bajo” y </w:t>
      </w:r>
      <w:proofErr w:type="spellStart"/>
      <w:r w:rsidRPr="00C31253">
        <w:rPr>
          <w:rFonts w:ascii="Verdana" w:hAnsi="Verdana" w:cs="Arial"/>
          <w:bCs/>
          <w:sz w:val="20"/>
          <w:szCs w:val="20"/>
          <w:lang w:val="es-ES_tradnl" w:eastAsia="es-CO"/>
        </w:rPr>
        <w:t>iv</w:t>
      </w:r>
      <w:proofErr w:type="spellEnd"/>
      <w:r w:rsidRPr="00C31253">
        <w:rPr>
          <w:rFonts w:ascii="Verdana" w:hAnsi="Verdana" w:cs="Arial"/>
          <w:bCs/>
          <w:sz w:val="20"/>
          <w:szCs w:val="20"/>
          <w:lang w:val="es-ES_tradnl" w:eastAsia="es-CO"/>
        </w:rPr>
        <w:t>) “Si al terminar la subasta inversa hay empate, la Entidad Estatal debe aplicar los criterios del artículo 35 de la Ley 2069 de 2020 conforme con los medios de acreditación del artículo 2.2.1.2.4.2.17 del presente decreto”</w:t>
      </w:r>
      <w:r w:rsidRPr="002C0402">
        <w:rPr>
          <w:rFonts w:ascii="Verdana" w:hAnsi="Verdana" w:cs="Arial"/>
          <w:bCs/>
          <w:sz w:val="20"/>
          <w:szCs w:val="20"/>
          <w:lang w:val="es-ES_tradnl" w:eastAsia="es-CO"/>
        </w:rPr>
        <w:t xml:space="preserve">.  </w:t>
      </w:r>
    </w:p>
    <w:p w14:paraId="50EE1B6A" w14:textId="77777777" w:rsidR="008B3F3D" w:rsidRPr="00760536" w:rsidRDefault="008B3F3D" w:rsidP="008B3F3D">
      <w:pPr>
        <w:spacing w:after="0" w:line="240" w:lineRule="auto"/>
        <w:jc w:val="both"/>
        <w:textAlignment w:val="baseline"/>
        <w:rPr>
          <w:rFonts w:ascii="Verdana" w:hAnsi="Verdana" w:cs="Arial"/>
          <w:sz w:val="20"/>
          <w:szCs w:val="20"/>
          <w:lang w:val="es-ES" w:eastAsia="es-CO"/>
        </w:rPr>
      </w:pPr>
    </w:p>
    <w:p w14:paraId="599E8427" w14:textId="77777777" w:rsidR="008B3F3D" w:rsidRPr="00760536" w:rsidRDefault="008B3F3D" w:rsidP="008B3F3D">
      <w:pPr>
        <w:spacing w:after="0" w:line="240" w:lineRule="auto"/>
        <w:jc w:val="both"/>
        <w:rPr>
          <w:rFonts w:ascii="Verdana" w:hAnsi="Verdana" w:cs="Arial"/>
          <w:b/>
          <w:lang w:val="es-ES"/>
        </w:rPr>
      </w:pPr>
      <w:r>
        <w:rPr>
          <w:rFonts w:ascii="Verdana" w:hAnsi="Verdana" w:cs="Arial"/>
          <w:b/>
          <w:lang w:val="es-ES"/>
        </w:rPr>
        <w:t>SUBASTA INVERSA ELECTRÓNICA</w:t>
      </w:r>
      <w:r w:rsidRPr="00760536">
        <w:rPr>
          <w:rFonts w:ascii="Verdana" w:hAnsi="Verdana" w:cs="Arial"/>
          <w:b/>
          <w:lang w:val="es-ES"/>
        </w:rPr>
        <w:t xml:space="preserve"> – </w:t>
      </w:r>
      <w:r>
        <w:rPr>
          <w:rFonts w:ascii="Verdana" w:hAnsi="Verdana" w:cs="Arial"/>
          <w:b/>
          <w:lang w:val="es-ES"/>
        </w:rPr>
        <w:t>Plataformas transaccionales – SECOP II</w:t>
      </w:r>
    </w:p>
    <w:p w14:paraId="3140B36C" w14:textId="77777777" w:rsidR="008B3F3D" w:rsidRPr="00760536" w:rsidRDefault="008B3F3D" w:rsidP="008B3F3D">
      <w:pPr>
        <w:spacing w:after="0" w:line="240" w:lineRule="auto"/>
        <w:jc w:val="both"/>
        <w:rPr>
          <w:rFonts w:ascii="Verdana" w:hAnsi="Verdana" w:cs="Arial"/>
          <w:b/>
          <w:sz w:val="20"/>
          <w:szCs w:val="20"/>
          <w:lang w:val="es-ES"/>
        </w:rPr>
      </w:pPr>
    </w:p>
    <w:p w14:paraId="1A2FF540" w14:textId="77777777" w:rsidR="008B3F3D" w:rsidRDefault="008B3F3D" w:rsidP="008B3F3D">
      <w:pPr>
        <w:spacing w:after="0" w:line="240" w:lineRule="auto"/>
        <w:jc w:val="both"/>
        <w:textAlignment w:val="baseline"/>
        <w:rPr>
          <w:rFonts w:ascii="Verdana" w:hAnsi="Verdana" w:cs="Arial"/>
          <w:bCs/>
          <w:sz w:val="20"/>
          <w:szCs w:val="20"/>
          <w:lang w:val="es-ES_tradnl" w:eastAsia="es-CO"/>
        </w:rPr>
      </w:pPr>
      <w:r w:rsidRPr="00E759BC">
        <w:rPr>
          <w:rFonts w:ascii="Verdana" w:hAnsi="Verdana" w:cs="Arial"/>
          <w:bCs/>
          <w:sz w:val="20"/>
          <w:szCs w:val="20"/>
          <w:lang w:val="es-ES_tradnl" w:eastAsia="es-CO"/>
        </w:rPr>
        <w:t>En lo que corresponde a la Selección Abreviada por subasta inversa, el SECOP II permite a las Entidades Estatales hacer los eventos de subastas completamente en línea, para lo cual, la entidad deberá realizar todo el proceso de selección a través de la plataforma, lo que incluye la creación y publicación de los pliegos electrónicos en su fase borrador y definitiva; la recepción, y apertura de ofertas –sobre habilitante y técnico–; la publicación del informe de habilitación, posteriormente la apertura del sobre económico y en consecuencia la configuración técnica del evento de subasta inversa y su realización, a través de SECOP II. Con el fin de cumplir las con las necesidades de los usuarios y especificaciones requeridas para el efecto, la Agencia implementó algunas mejoras a partir del 19 de septiembre de 2020 al módulo de Subasta Electrónica del SECOP II para la modalidad de selección de contratistas por Selección Abreviada para la adquisición de Bienes y Servicios de Características Técnicas Uniformes</w:t>
      </w:r>
      <w:r w:rsidRPr="00C31253">
        <w:rPr>
          <w:rFonts w:ascii="Verdana" w:hAnsi="Verdana" w:cs="Arial"/>
          <w:bCs/>
          <w:sz w:val="20"/>
          <w:szCs w:val="20"/>
          <w:lang w:val="es-ES_tradnl" w:eastAsia="es-CO"/>
        </w:rPr>
        <w:t>.</w:t>
      </w:r>
    </w:p>
    <w:p w14:paraId="3CE068E0" w14:textId="77777777" w:rsidR="008B3F3D" w:rsidRPr="00C31253" w:rsidRDefault="008B3F3D" w:rsidP="008B3F3D">
      <w:pPr>
        <w:spacing w:after="0" w:line="240" w:lineRule="auto"/>
        <w:jc w:val="both"/>
        <w:textAlignment w:val="baseline"/>
        <w:rPr>
          <w:rFonts w:ascii="Verdana" w:hAnsi="Verdana" w:cs="Arial"/>
          <w:bCs/>
          <w:sz w:val="20"/>
          <w:szCs w:val="20"/>
          <w:lang w:val="es-ES_tradnl" w:eastAsia="es-CO"/>
        </w:rPr>
      </w:pPr>
    </w:p>
    <w:p w14:paraId="08241DF0" w14:textId="77777777" w:rsidR="008B3F3D" w:rsidRPr="00E759BC" w:rsidRDefault="008B3F3D" w:rsidP="008B3F3D">
      <w:pPr>
        <w:spacing w:after="0" w:line="240" w:lineRule="auto"/>
        <w:rPr>
          <w:rFonts w:ascii="Verdana" w:eastAsia="Calibri" w:hAnsi="Verdana" w:cs="Arial"/>
          <w:b/>
          <w:color w:val="000000" w:themeColor="text1"/>
          <w:lang w:val="es-ES_tradnl"/>
        </w:rPr>
      </w:pPr>
    </w:p>
    <w:p w14:paraId="6C9D3B61" w14:textId="77777777" w:rsidR="008B3F3D" w:rsidRDefault="008B3F3D" w:rsidP="008B3F3D">
      <w:pPr>
        <w:spacing w:after="0" w:line="240" w:lineRule="auto"/>
        <w:rPr>
          <w:rFonts w:ascii="Verdana" w:eastAsia="Calibri" w:hAnsi="Verdana" w:cs="Arial"/>
          <w:b/>
          <w:color w:val="000000" w:themeColor="text1"/>
          <w:lang w:val="es-ES"/>
        </w:rPr>
      </w:pPr>
    </w:p>
    <w:p w14:paraId="66FBE51B" w14:textId="77777777" w:rsidR="008B3F3D" w:rsidRDefault="008B3F3D" w:rsidP="008B3F3D">
      <w:pPr>
        <w:spacing w:after="0" w:line="240" w:lineRule="auto"/>
        <w:rPr>
          <w:rFonts w:ascii="Verdana" w:eastAsia="Calibri" w:hAnsi="Verdana" w:cs="Arial"/>
          <w:b/>
          <w:color w:val="000000" w:themeColor="text1"/>
          <w:lang w:val="es-ES"/>
        </w:rPr>
      </w:pPr>
    </w:p>
    <w:p w14:paraId="68913A29" w14:textId="77777777" w:rsidR="008B3F3D" w:rsidRDefault="008B3F3D" w:rsidP="008B3F3D">
      <w:pPr>
        <w:spacing w:after="0" w:line="240" w:lineRule="auto"/>
        <w:rPr>
          <w:rFonts w:ascii="Verdana" w:eastAsia="Calibri" w:hAnsi="Verdana" w:cs="Arial"/>
          <w:b/>
          <w:color w:val="000000" w:themeColor="text1"/>
          <w:lang w:val="es-ES"/>
        </w:rPr>
      </w:pPr>
    </w:p>
    <w:p w14:paraId="267132AE" w14:textId="77777777" w:rsidR="008B3F3D" w:rsidRDefault="008B3F3D" w:rsidP="008B3F3D">
      <w:pPr>
        <w:spacing w:after="0" w:line="240" w:lineRule="auto"/>
        <w:rPr>
          <w:rFonts w:ascii="Verdana" w:eastAsia="Calibri" w:hAnsi="Verdana" w:cs="Arial"/>
          <w:b/>
          <w:color w:val="000000" w:themeColor="text1"/>
          <w:lang w:val="es-ES"/>
        </w:rPr>
      </w:pPr>
    </w:p>
    <w:p w14:paraId="5FB1F362" w14:textId="77777777" w:rsidR="008B3F3D" w:rsidRDefault="008B3F3D" w:rsidP="008B3F3D">
      <w:pPr>
        <w:spacing w:after="0" w:line="240" w:lineRule="auto"/>
        <w:rPr>
          <w:rFonts w:ascii="Verdana" w:eastAsia="Calibri" w:hAnsi="Verdana" w:cs="Arial"/>
          <w:b/>
          <w:color w:val="000000" w:themeColor="text1"/>
          <w:lang w:val="es-ES"/>
        </w:rPr>
      </w:pPr>
    </w:p>
    <w:p w14:paraId="48D2DCF4" w14:textId="77777777" w:rsidR="008B3F3D" w:rsidRDefault="008B3F3D" w:rsidP="008B3F3D">
      <w:pPr>
        <w:spacing w:after="0" w:line="240" w:lineRule="auto"/>
        <w:rPr>
          <w:rFonts w:ascii="Verdana" w:eastAsia="Calibri" w:hAnsi="Verdana" w:cs="Arial"/>
          <w:b/>
          <w:color w:val="000000" w:themeColor="text1"/>
          <w:lang w:val="es-ES"/>
        </w:rPr>
      </w:pPr>
    </w:p>
    <w:p w14:paraId="5C735B20" w14:textId="77777777" w:rsidR="008B3F3D" w:rsidRDefault="008B3F3D" w:rsidP="008B3F3D">
      <w:pPr>
        <w:spacing w:after="0" w:line="240" w:lineRule="auto"/>
        <w:rPr>
          <w:rFonts w:ascii="Verdana" w:eastAsia="Calibri" w:hAnsi="Verdana" w:cs="Arial"/>
          <w:b/>
          <w:color w:val="000000" w:themeColor="text1"/>
          <w:lang w:val="es-ES"/>
        </w:rPr>
      </w:pPr>
    </w:p>
    <w:p w14:paraId="507BB656" w14:textId="77777777" w:rsidR="008B3F3D" w:rsidRDefault="008B3F3D" w:rsidP="008B3F3D">
      <w:pPr>
        <w:spacing w:after="0" w:line="240" w:lineRule="auto"/>
        <w:rPr>
          <w:rFonts w:ascii="Verdana" w:eastAsia="Calibri" w:hAnsi="Verdana" w:cs="Arial"/>
          <w:b/>
          <w:color w:val="000000" w:themeColor="text1"/>
          <w:lang w:val="es-ES"/>
        </w:rPr>
      </w:pPr>
    </w:p>
    <w:p w14:paraId="350EE7AC" w14:textId="77777777" w:rsidR="008B3F3D" w:rsidRDefault="008B3F3D" w:rsidP="008B3F3D">
      <w:pPr>
        <w:spacing w:after="0" w:line="240" w:lineRule="auto"/>
        <w:rPr>
          <w:rFonts w:ascii="Verdana" w:eastAsia="Calibri" w:hAnsi="Verdana" w:cs="Arial"/>
          <w:b/>
          <w:color w:val="000000" w:themeColor="text1"/>
          <w:lang w:val="es-ES"/>
        </w:rPr>
      </w:pPr>
    </w:p>
    <w:p w14:paraId="17DA7094" w14:textId="77777777" w:rsidR="008B3F3D" w:rsidRDefault="008B3F3D" w:rsidP="008B3F3D">
      <w:pPr>
        <w:spacing w:after="0" w:line="240" w:lineRule="auto"/>
        <w:rPr>
          <w:rFonts w:ascii="Verdana" w:eastAsia="Calibri" w:hAnsi="Verdana" w:cs="Arial"/>
          <w:b/>
          <w:color w:val="000000" w:themeColor="text1"/>
          <w:lang w:val="es-ES"/>
        </w:rPr>
      </w:pPr>
    </w:p>
    <w:p w14:paraId="321D8EFF" w14:textId="77777777" w:rsidR="008B3F3D" w:rsidRDefault="008B3F3D" w:rsidP="008B3F3D">
      <w:pPr>
        <w:spacing w:after="0" w:line="240" w:lineRule="auto"/>
        <w:rPr>
          <w:rFonts w:ascii="Verdana" w:eastAsia="Calibri" w:hAnsi="Verdana" w:cs="Arial"/>
          <w:b/>
          <w:color w:val="000000" w:themeColor="text1"/>
          <w:lang w:val="es-ES"/>
        </w:rPr>
      </w:pPr>
    </w:p>
    <w:p w14:paraId="33038D13" w14:textId="77777777" w:rsidR="008B3F3D" w:rsidRDefault="008B3F3D" w:rsidP="008B3F3D">
      <w:pPr>
        <w:spacing w:after="0" w:line="240" w:lineRule="auto"/>
        <w:rPr>
          <w:rFonts w:ascii="Verdana" w:eastAsia="Calibri" w:hAnsi="Verdana" w:cs="Arial"/>
          <w:b/>
          <w:color w:val="000000" w:themeColor="text1"/>
          <w:lang w:val="es-ES"/>
        </w:rPr>
      </w:pPr>
    </w:p>
    <w:p w14:paraId="2A47F3D6" w14:textId="77777777" w:rsidR="008B3F3D" w:rsidRDefault="008B3F3D" w:rsidP="008B3F3D">
      <w:pPr>
        <w:spacing w:after="0" w:line="240" w:lineRule="auto"/>
        <w:rPr>
          <w:rFonts w:ascii="Verdana" w:eastAsia="Calibri" w:hAnsi="Verdana" w:cs="Arial"/>
          <w:b/>
          <w:color w:val="000000" w:themeColor="text1"/>
          <w:lang w:val="es-ES"/>
        </w:rPr>
      </w:pPr>
    </w:p>
    <w:p w14:paraId="25621BBB" w14:textId="77777777" w:rsidR="008B3F3D" w:rsidRDefault="008B3F3D" w:rsidP="008B3F3D">
      <w:pPr>
        <w:spacing w:after="0" w:line="240" w:lineRule="auto"/>
        <w:rPr>
          <w:rFonts w:ascii="Verdana" w:eastAsia="Calibri" w:hAnsi="Verdana" w:cs="Arial"/>
          <w:b/>
          <w:color w:val="000000" w:themeColor="text1"/>
          <w:lang w:val="es-ES"/>
        </w:rPr>
      </w:pPr>
    </w:p>
    <w:p w14:paraId="3FCE973F" w14:textId="77777777" w:rsidR="008B3F3D" w:rsidRDefault="008B3F3D" w:rsidP="008B3F3D">
      <w:pPr>
        <w:spacing w:after="0" w:line="240" w:lineRule="auto"/>
        <w:rPr>
          <w:rFonts w:ascii="Verdana" w:eastAsia="Calibri" w:hAnsi="Verdana" w:cs="Arial"/>
          <w:b/>
          <w:color w:val="000000" w:themeColor="text1"/>
          <w:lang w:val="es-ES"/>
        </w:rPr>
      </w:pPr>
    </w:p>
    <w:p w14:paraId="06B719EB" w14:textId="77777777" w:rsidR="008B3F3D" w:rsidRDefault="008B3F3D" w:rsidP="0066300B">
      <w:pPr>
        <w:spacing w:after="0" w:line="240" w:lineRule="auto"/>
        <w:rPr>
          <w:rFonts w:ascii="Verdana" w:eastAsia="Calibri" w:hAnsi="Verdana" w:cs="Arial"/>
          <w:b/>
          <w:color w:val="000000" w:themeColor="text1"/>
          <w:lang w:val="es-ES"/>
        </w:rPr>
      </w:pPr>
    </w:p>
    <w:p w14:paraId="55026BDE" w14:textId="77777777" w:rsidR="008B3F3D" w:rsidRPr="008B3F3D" w:rsidRDefault="008B3F3D" w:rsidP="0066300B">
      <w:pPr>
        <w:spacing w:after="0" w:line="240" w:lineRule="auto"/>
        <w:rPr>
          <w:rFonts w:ascii="Verdana" w:eastAsia="Geomanist Light" w:hAnsi="Verdana" w:cs="Arial"/>
          <w:color w:val="000000" w:themeColor="text1"/>
          <w:lang w:val="es-ES"/>
        </w:rPr>
      </w:pPr>
    </w:p>
    <w:p w14:paraId="334C70B6" w14:textId="77777777" w:rsidR="008B3F3D" w:rsidRDefault="008B3F3D" w:rsidP="0066300B">
      <w:pPr>
        <w:spacing w:after="0" w:line="240" w:lineRule="auto"/>
        <w:rPr>
          <w:rFonts w:ascii="Verdana" w:eastAsia="Geomanist Light" w:hAnsi="Verdana" w:cs="Arial"/>
          <w:color w:val="000000" w:themeColor="text1"/>
          <w:lang w:val="es-MX"/>
        </w:rPr>
      </w:pPr>
    </w:p>
    <w:p w14:paraId="314110A1" w14:textId="77777777" w:rsidR="008B3F3D" w:rsidRDefault="008B3F3D" w:rsidP="0066300B">
      <w:pPr>
        <w:spacing w:after="0" w:line="240" w:lineRule="auto"/>
        <w:rPr>
          <w:rFonts w:ascii="Verdana" w:eastAsia="Geomanist Light" w:hAnsi="Verdana" w:cs="Arial"/>
          <w:color w:val="000000" w:themeColor="text1"/>
          <w:lang w:val="es-MX"/>
        </w:rPr>
      </w:pPr>
    </w:p>
    <w:p w14:paraId="2DDFC9CC" w14:textId="77777777" w:rsidR="00652A29" w:rsidRDefault="00652A29" w:rsidP="0066300B">
      <w:pPr>
        <w:spacing w:after="0" w:line="240" w:lineRule="auto"/>
        <w:rPr>
          <w:rFonts w:ascii="Verdana" w:eastAsia="Geomanist Light" w:hAnsi="Verdana" w:cs="Arial"/>
          <w:color w:val="000000" w:themeColor="text1"/>
          <w:lang w:val="es-MX"/>
        </w:rPr>
      </w:pPr>
    </w:p>
    <w:p w14:paraId="58563341" w14:textId="1E4393D7" w:rsidR="0066300B" w:rsidRPr="00593A5F" w:rsidRDefault="0066300B" w:rsidP="0066300B">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E95AB9" w:rsidRPr="00E95AB9">
        <w:rPr>
          <w:rFonts w:ascii="Verdana" w:eastAsia="Geomanist Light" w:hAnsi="Verdana" w:cs="Arial"/>
          <w:color w:val="000000" w:themeColor="text1"/>
          <w:lang w:val="es-MX"/>
        </w:rPr>
        <w:t xml:space="preserve">15 de </w:t>
      </w:r>
      <w:r w:rsidR="00652A29" w:rsidRPr="00E95AB9">
        <w:rPr>
          <w:rFonts w:ascii="Verdana" w:eastAsia="Geomanist Light" w:hAnsi="Verdana" w:cs="Arial"/>
          <w:color w:val="000000" w:themeColor="text1"/>
          <w:lang w:val="es-MX"/>
        </w:rPr>
        <w:t>mayo</w:t>
      </w:r>
      <w:r w:rsidR="00E95AB9" w:rsidRPr="00E95AB9">
        <w:rPr>
          <w:rFonts w:ascii="Verdana" w:eastAsia="Geomanist Light" w:hAnsi="Verdana" w:cs="Arial"/>
          <w:color w:val="000000" w:themeColor="text1"/>
          <w:lang w:val="es-MX"/>
        </w:rPr>
        <w:t xml:space="preserve"> de 2026</w:t>
      </w:r>
    </w:p>
    <w:p w14:paraId="7DF9262B" w14:textId="77777777" w:rsidR="0066300B" w:rsidRDefault="0066300B" w:rsidP="0066300B">
      <w:pPr>
        <w:spacing w:after="0" w:line="240" w:lineRule="auto"/>
        <w:jc w:val="both"/>
        <w:rPr>
          <w:rFonts w:ascii="Verdana" w:eastAsia="Calibri" w:hAnsi="Verdana" w:cs="Arial"/>
          <w:color w:val="000000"/>
          <w:lang w:val="es-ES"/>
        </w:rPr>
      </w:pPr>
    </w:p>
    <w:p w14:paraId="4C8CE7ED" w14:textId="2EF2406A" w:rsidR="00E95AB9" w:rsidRDefault="00E95AB9" w:rsidP="00E95AB9">
      <w:pPr>
        <w:spacing w:after="0" w:line="240" w:lineRule="auto"/>
        <w:jc w:val="right"/>
        <w:rPr>
          <w:rFonts w:ascii="Verdana" w:eastAsia="Calibri" w:hAnsi="Verdana" w:cs="Arial"/>
          <w:color w:val="000000"/>
          <w:lang w:val="es-ES"/>
        </w:rPr>
      </w:pPr>
    </w:p>
    <w:p w14:paraId="5A3A2C7E" w14:textId="1FBFA533" w:rsidR="0066300B" w:rsidRPr="00593A5F" w:rsidRDefault="0066300B" w:rsidP="0066300B">
      <w:pPr>
        <w:spacing w:after="0" w:line="240" w:lineRule="auto"/>
        <w:jc w:val="both"/>
        <w:rPr>
          <w:rFonts w:ascii="Verdana" w:eastAsia="Calibri" w:hAnsi="Verdana" w:cs="Arial"/>
          <w:color w:val="000000"/>
          <w:lang w:val="es-ES"/>
        </w:rPr>
      </w:pPr>
    </w:p>
    <w:p w14:paraId="04C9B4C5" w14:textId="1E9DDCCE" w:rsidR="0066300B" w:rsidRPr="00B96799" w:rsidRDefault="00652A29" w:rsidP="0066300B">
      <w:pPr>
        <w:spacing w:after="0" w:line="240" w:lineRule="auto"/>
        <w:jc w:val="both"/>
        <w:rPr>
          <w:rFonts w:ascii="Verdana" w:eastAsia="Calibri" w:hAnsi="Verdana" w:cs="Arial"/>
          <w:lang w:val="es-ES" w:eastAsia="es-ES"/>
        </w:rPr>
      </w:pPr>
      <w:r w:rsidRPr="00E95AB9">
        <w:rPr>
          <w:rFonts w:ascii="Verdana" w:eastAsia="Calibri" w:hAnsi="Verdana" w:cs="Arial"/>
          <w:noProof/>
          <w:color w:val="000000"/>
          <w:lang w:val="es-ES"/>
        </w:rPr>
        <w:drawing>
          <wp:anchor distT="0" distB="0" distL="114300" distR="114300" simplePos="0" relativeHeight="251658240" behindDoc="0" locked="0" layoutInCell="1" allowOverlap="1" wp14:anchorId="41E2D42D" wp14:editId="292C8A74">
            <wp:simplePos x="0" y="0"/>
            <wp:positionH relativeFrom="margin">
              <wp:align>right</wp:align>
            </wp:positionH>
            <wp:positionV relativeFrom="paragraph">
              <wp:posOffset>5991</wp:posOffset>
            </wp:positionV>
            <wp:extent cx="2400300" cy="622300"/>
            <wp:effectExtent l="0" t="0" r="0" b="6350"/>
            <wp:wrapSquare wrapText="bothSides"/>
            <wp:docPr id="1233028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02834"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622300"/>
                    </a:xfrm>
                    <a:prstGeom prst="rect">
                      <a:avLst/>
                    </a:prstGeom>
                  </pic:spPr>
                </pic:pic>
              </a:graphicData>
            </a:graphic>
          </wp:anchor>
        </w:drawing>
      </w:r>
      <w:r w:rsidR="0066300B">
        <w:rPr>
          <w:rFonts w:ascii="Verdana" w:eastAsia="Calibri" w:hAnsi="Verdana" w:cs="Arial"/>
          <w:lang w:val="es-ES" w:eastAsia="es-ES"/>
        </w:rPr>
        <w:t>Señora</w:t>
      </w:r>
    </w:p>
    <w:p w14:paraId="4928989F" w14:textId="77777777" w:rsidR="0066300B" w:rsidRDefault="0066300B" w:rsidP="0066300B">
      <w:pPr>
        <w:spacing w:after="0" w:line="240" w:lineRule="auto"/>
        <w:rPr>
          <w:rFonts w:ascii="Verdana" w:eastAsia="Calibri" w:hAnsi="Verdana" w:cs="Arial"/>
          <w:b/>
          <w:lang w:val="es-ES" w:eastAsia="es-ES"/>
        </w:rPr>
      </w:pPr>
      <w:r w:rsidRPr="16726447">
        <w:rPr>
          <w:rFonts w:ascii="Verdana" w:eastAsia="Calibri" w:hAnsi="Verdana" w:cs="Arial"/>
          <w:b/>
          <w:lang w:val="es-ES" w:eastAsia="es-ES"/>
        </w:rPr>
        <w:t xml:space="preserve">Karoll </w:t>
      </w:r>
      <w:proofErr w:type="spellStart"/>
      <w:r w:rsidRPr="16726447">
        <w:rPr>
          <w:rFonts w:ascii="Verdana" w:eastAsia="Calibri" w:hAnsi="Verdana" w:cs="Arial"/>
          <w:b/>
          <w:lang w:val="es-ES" w:eastAsia="es-ES"/>
        </w:rPr>
        <w:t>Sophia</w:t>
      </w:r>
      <w:proofErr w:type="spellEnd"/>
      <w:r w:rsidRPr="16726447">
        <w:rPr>
          <w:rFonts w:ascii="Verdana" w:eastAsia="Calibri" w:hAnsi="Verdana" w:cs="Arial"/>
          <w:b/>
          <w:lang w:val="es-ES" w:eastAsia="es-ES"/>
        </w:rPr>
        <w:t xml:space="preserve"> Rodríguez Castellanos </w:t>
      </w:r>
    </w:p>
    <w:p w14:paraId="3573E84D" w14:textId="77777777" w:rsidR="0066300B" w:rsidRPr="005534B0" w:rsidRDefault="0066300B" w:rsidP="0066300B">
      <w:pPr>
        <w:spacing w:after="0" w:line="240" w:lineRule="auto"/>
        <w:rPr>
          <w:rFonts w:ascii="Verdana" w:eastAsia="Calibri" w:hAnsi="Verdana" w:cs="Arial"/>
          <w:lang w:val="es-ES" w:eastAsia="es-ES"/>
        </w:rPr>
      </w:pPr>
      <w:hyperlink r:id="rId11" w:history="1">
        <w:r w:rsidRPr="003D0F71">
          <w:rPr>
            <w:rStyle w:val="Hipervnculo"/>
            <w:rFonts w:ascii="Verdana" w:hAnsi="Verdana"/>
          </w:rPr>
          <w:t>anjal57@hotmail.com</w:t>
        </w:r>
      </w:hyperlink>
      <w:r>
        <w:rPr>
          <w:rFonts w:ascii="Verdana" w:hAnsi="Verdana"/>
        </w:rPr>
        <w:t xml:space="preserve"> </w:t>
      </w:r>
      <w:r w:rsidRPr="005534B0">
        <w:rPr>
          <w:rFonts w:ascii="Verdana" w:hAnsi="Verdana"/>
        </w:rPr>
        <w:t xml:space="preserve">                    </w:t>
      </w:r>
      <w:r w:rsidRPr="005534B0">
        <w:rPr>
          <w:rFonts w:ascii="Verdana" w:eastAsia="Calibri" w:hAnsi="Verdana" w:cs="Arial"/>
          <w:lang w:val="es-ES" w:eastAsia="es-ES"/>
        </w:rPr>
        <w:t xml:space="preserve">    </w:t>
      </w:r>
    </w:p>
    <w:p w14:paraId="3AA391F6" w14:textId="77777777" w:rsidR="0066300B" w:rsidRDefault="0066300B" w:rsidP="0066300B">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r>
        <w:rPr>
          <w:rFonts w:ascii="Verdana" w:eastAsia="Calibri" w:hAnsi="Verdana" w:cs="Arial"/>
          <w:lang w:val="es-ES" w:eastAsia="es-ES"/>
        </w:rPr>
        <w:t xml:space="preserve"> </w:t>
      </w:r>
    </w:p>
    <w:p w14:paraId="302368DA" w14:textId="77777777" w:rsidR="0066300B" w:rsidRPr="00593A5F" w:rsidRDefault="0066300B" w:rsidP="0066300B">
      <w:pPr>
        <w:spacing w:after="0" w:line="240" w:lineRule="auto"/>
        <w:rPr>
          <w:rFonts w:ascii="Verdana" w:eastAsia="Calibri" w:hAnsi="Verdana" w:cs="Arial"/>
          <w:b/>
          <w:bCs/>
          <w:color w:val="000000"/>
          <w:lang w:val="es-ES_tradnl" w:eastAsia="es-ES_tradnl"/>
        </w:rPr>
      </w:pPr>
    </w:p>
    <w:p w14:paraId="597A4EE8" w14:textId="77777777" w:rsidR="0066300B" w:rsidRPr="00593A5F" w:rsidRDefault="0066300B" w:rsidP="0066300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300B" w:rsidRPr="00593A5F" w14:paraId="5E9E99D8" w14:textId="77777777" w:rsidTr="00850BE6">
        <w:trPr>
          <w:trHeight w:val="884"/>
        </w:trPr>
        <w:tc>
          <w:tcPr>
            <w:tcW w:w="2689" w:type="dxa"/>
          </w:tcPr>
          <w:p w14:paraId="443200B5" w14:textId="77777777" w:rsidR="0066300B" w:rsidRPr="00C00976" w:rsidRDefault="0066300B" w:rsidP="00850BE6">
            <w:pPr>
              <w:jc w:val="both"/>
              <w:rPr>
                <w:rFonts w:ascii="Verdana" w:eastAsia="Calibri" w:hAnsi="Verdana" w:cs="Arial"/>
                <w:b/>
                <w:bCs/>
                <w:color w:val="7030A0"/>
                <w:lang w:val="es-ES_tradnl" w:eastAsia="es-ES_tradnl"/>
              </w:rPr>
            </w:pPr>
          </w:p>
        </w:tc>
        <w:tc>
          <w:tcPr>
            <w:tcW w:w="6100" w:type="dxa"/>
          </w:tcPr>
          <w:p w14:paraId="4D520535" w14:textId="386FA835" w:rsidR="0066300B" w:rsidRPr="00C00976" w:rsidRDefault="0066300B" w:rsidP="00850BE6">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sidR="00BA611E">
              <w:rPr>
                <w:rFonts w:ascii="Verdana" w:eastAsia="Calibri" w:hAnsi="Verdana" w:cs="Arial"/>
                <w:b/>
                <w:bCs/>
                <w:lang w:val="es-ES" w:eastAsia="es-ES"/>
              </w:rPr>
              <w:t>-</w:t>
            </w:r>
            <w:r>
              <w:rPr>
                <w:rFonts w:ascii="Verdana" w:eastAsia="Calibri" w:hAnsi="Verdana" w:cs="Arial"/>
                <w:b/>
                <w:bCs/>
                <w:lang w:val="es-ES" w:eastAsia="es-ES"/>
              </w:rPr>
              <w:t xml:space="preserve">684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66300B" w:rsidRPr="00593A5F" w14:paraId="38C62939" w14:textId="77777777" w:rsidTr="00850BE6">
        <w:trPr>
          <w:trHeight w:val="884"/>
        </w:trPr>
        <w:tc>
          <w:tcPr>
            <w:tcW w:w="2689" w:type="dxa"/>
          </w:tcPr>
          <w:p w14:paraId="0580DA46" w14:textId="77777777" w:rsidR="0066300B" w:rsidRPr="00593A5F" w:rsidRDefault="0066300B" w:rsidP="00850BE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B426B00" w14:textId="77777777" w:rsidR="0066300B" w:rsidRPr="00A11406" w:rsidRDefault="0066300B" w:rsidP="00850BE6">
            <w:pPr>
              <w:spacing w:line="276" w:lineRule="auto"/>
              <w:jc w:val="both"/>
              <w:rPr>
                <w:rFonts w:ascii="Verdana" w:eastAsia="Calibri" w:hAnsi="Verdana" w:cs="Arial"/>
                <w:lang w:val="es-ES" w:eastAsia="es-ES"/>
              </w:rPr>
            </w:pPr>
            <w:r w:rsidRPr="004F4664">
              <w:rPr>
                <w:rFonts w:ascii="Verdana" w:eastAsia="Calibri" w:hAnsi="Verdana" w:cs="Arial"/>
                <w:lang w:val="es-ES" w:eastAsia="es-ES"/>
              </w:rPr>
              <w:t>SELECCIÓN ABREVIADA – Fundamento jurídico</w:t>
            </w:r>
            <w:r>
              <w:rPr>
                <w:rFonts w:ascii="Verdana" w:eastAsia="Calibri" w:hAnsi="Verdana" w:cs="Arial"/>
                <w:lang w:val="es-ES" w:eastAsia="es-ES"/>
              </w:rPr>
              <w:t xml:space="preserve"> / </w:t>
            </w:r>
            <w:r w:rsidRPr="004F4664">
              <w:rPr>
                <w:rFonts w:ascii="Verdana" w:eastAsia="Calibri" w:hAnsi="Verdana" w:cs="Arial"/>
                <w:lang w:val="es-ES" w:eastAsia="es-ES"/>
              </w:rPr>
              <w:t>BIENES DE CARACTERÍSTICAS TÉCNICAS UNIFORMES Y DE COMÚN UTILIZACIÓN – Selección abreviada – Subasta inversa – Lances – Reglas aplicables</w:t>
            </w:r>
            <w:r>
              <w:rPr>
                <w:rFonts w:ascii="Verdana" w:eastAsia="Calibri" w:hAnsi="Verdana" w:cs="Arial"/>
                <w:lang w:val="es-ES" w:eastAsia="es-ES"/>
              </w:rPr>
              <w:t xml:space="preserve"> / </w:t>
            </w:r>
            <w:r w:rsidRPr="004F4664">
              <w:rPr>
                <w:rFonts w:ascii="Verdana" w:eastAsia="Calibri" w:hAnsi="Verdana" w:cs="Arial"/>
                <w:lang w:val="es-ES" w:eastAsia="es-ES"/>
              </w:rPr>
              <w:t>SUBASTA INVERSA ELECTRÓNICA – Plataformas transaccionales – SECOP II</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7E0FA1FC" w14:textId="77777777" w:rsidR="0066300B" w:rsidRPr="00593A5F" w:rsidRDefault="0066300B" w:rsidP="00850BE6">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6300B" w:rsidRPr="008E6AD9" w14:paraId="158E8993" w14:textId="77777777" w:rsidTr="00850BE6">
        <w:tc>
          <w:tcPr>
            <w:tcW w:w="2689" w:type="dxa"/>
          </w:tcPr>
          <w:p w14:paraId="2528401B" w14:textId="77777777" w:rsidR="0066300B" w:rsidRPr="008E6AD9" w:rsidRDefault="0066300B" w:rsidP="00850BE6">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43021D4" w14:textId="77777777" w:rsidR="0066300B" w:rsidRPr="00B92340" w:rsidRDefault="0066300B" w:rsidP="00850BE6">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FC3931">
              <w:rPr>
                <w:rFonts w:ascii="Verdana" w:eastAsia="Calibri" w:hAnsi="Verdana" w:cs="Arial"/>
                <w:lang w:val="es-ES_tradnl" w:eastAsia="es-ES_tradnl"/>
              </w:rPr>
              <w:t>1_2026_04_24_005671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84091CA" w14:textId="77777777" w:rsidR="0066300B" w:rsidRPr="00593A5F" w:rsidRDefault="0066300B" w:rsidP="0066300B">
      <w:pPr>
        <w:spacing w:after="0" w:line="240" w:lineRule="auto"/>
        <w:jc w:val="both"/>
        <w:rPr>
          <w:rFonts w:ascii="Verdana" w:eastAsia="Calibri" w:hAnsi="Verdana" w:cs="Arial"/>
          <w:color w:val="000000"/>
          <w:lang w:val="es-ES_tradnl" w:eastAsia="es-ES_tradnl"/>
        </w:rPr>
      </w:pPr>
    </w:p>
    <w:p w14:paraId="0025AD81" w14:textId="77777777" w:rsidR="0066300B" w:rsidRPr="00593A5F" w:rsidRDefault="0066300B" w:rsidP="0066300B">
      <w:pPr>
        <w:spacing w:after="0" w:line="240" w:lineRule="auto"/>
        <w:jc w:val="both"/>
        <w:rPr>
          <w:rFonts w:ascii="Verdana" w:eastAsia="Calibri" w:hAnsi="Verdana" w:cs="Arial"/>
          <w:color w:val="000000"/>
          <w:lang w:val="es-ES_tradnl" w:eastAsia="es-ES_tradnl"/>
        </w:rPr>
      </w:pPr>
    </w:p>
    <w:p w14:paraId="407DED67" w14:textId="77777777" w:rsidR="0066300B" w:rsidRPr="008E6AD9" w:rsidRDefault="0066300B" w:rsidP="0066300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705CE5">
        <w:rPr>
          <w:rFonts w:ascii="Verdana" w:eastAsia="Calibri" w:hAnsi="Verdana" w:cs="Arial"/>
          <w:lang w:val="es-ES" w:eastAsia="es-ES"/>
        </w:rPr>
        <w:t>Rodríguez Castellanos</w:t>
      </w:r>
      <w:r w:rsidRPr="008E6AD9">
        <w:rPr>
          <w:rFonts w:ascii="Verdana" w:eastAsia="Calibri" w:hAnsi="Verdana" w:cs="Arial"/>
          <w:lang w:val="es-ES" w:eastAsia="es-ES"/>
        </w:rPr>
        <w:t xml:space="preserve">: </w:t>
      </w:r>
    </w:p>
    <w:p w14:paraId="3A096375" w14:textId="77777777" w:rsidR="0066300B" w:rsidRDefault="0066300B" w:rsidP="0066300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5395BF8" w14:textId="77777777" w:rsidR="0066300B" w:rsidRPr="00593A5F" w:rsidRDefault="0066300B" w:rsidP="0066300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24 de abril de 2026, donde solicita conceptuar sobre el siguiente aspecto</w:t>
      </w:r>
      <w:r w:rsidRPr="008E6AD9">
        <w:rPr>
          <w:rFonts w:ascii="Verdana" w:eastAsia="Calibri" w:hAnsi="Verdana" w:cs="Arial"/>
          <w:lang w:val="es-ES" w:eastAsia="es-ES"/>
        </w:rPr>
        <w:t xml:space="preserve">: </w:t>
      </w:r>
    </w:p>
    <w:p w14:paraId="5489F21D" w14:textId="77777777" w:rsidR="0066300B" w:rsidRPr="00272A7B" w:rsidRDefault="0066300B" w:rsidP="0066300B">
      <w:pPr>
        <w:pStyle w:val="Prrafodelista"/>
        <w:tabs>
          <w:tab w:val="left" w:pos="142"/>
          <w:tab w:val="left" w:pos="284"/>
        </w:tabs>
        <w:spacing w:after="0" w:line="276" w:lineRule="auto"/>
        <w:ind w:left="0"/>
        <w:jc w:val="both"/>
        <w:rPr>
          <w:rFonts w:ascii="Verdana" w:eastAsia="Century Gothic" w:hAnsi="Verdana" w:cs="Century Gothic"/>
          <w:b/>
          <w:bCs/>
        </w:rPr>
      </w:pPr>
    </w:p>
    <w:p w14:paraId="4B1A2524" w14:textId="77777777" w:rsidR="0066300B" w:rsidRPr="00331F06" w:rsidRDefault="0066300B" w:rsidP="0066300B">
      <w:pPr>
        <w:spacing w:after="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r w:rsidRPr="00331F06">
        <w:rPr>
          <w:rFonts w:ascii="Verdana" w:eastAsia="Century Gothic" w:hAnsi="Verdana" w:cs="Century Gothic"/>
          <w:sz w:val="20"/>
          <w:szCs w:val="20"/>
          <w:lang w:val="es-ES"/>
        </w:rPr>
        <w:t>la posibilidad y alcance normativo de establecer reglas específicas para el desarrollo de subastas inversas electrónicas dentro de los procesos de selección</w:t>
      </w:r>
      <w:r>
        <w:rPr>
          <w:rFonts w:ascii="Verdana" w:eastAsia="Century Gothic" w:hAnsi="Verdana" w:cs="Century Gothic"/>
          <w:sz w:val="20"/>
          <w:szCs w:val="20"/>
          <w:lang w:val="es-ES"/>
        </w:rPr>
        <w:t xml:space="preserve"> </w:t>
      </w:r>
      <w:r w:rsidRPr="00331F06">
        <w:rPr>
          <w:rFonts w:ascii="Verdana" w:eastAsia="Century Gothic" w:hAnsi="Verdana" w:cs="Century Gothic"/>
          <w:sz w:val="20"/>
          <w:szCs w:val="20"/>
          <w:lang w:val="es-ES"/>
        </w:rPr>
        <w:t>abreviada, particularmente en lo relacionado con la</w:t>
      </w:r>
      <w:r>
        <w:rPr>
          <w:rFonts w:ascii="Verdana" w:eastAsia="Century Gothic" w:hAnsi="Verdana" w:cs="Century Gothic"/>
          <w:sz w:val="20"/>
          <w:szCs w:val="20"/>
          <w:lang w:val="es-ES"/>
        </w:rPr>
        <w:t xml:space="preserve"> </w:t>
      </w:r>
      <w:r w:rsidRPr="00331F06">
        <w:rPr>
          <w:rFonts w:ascii="Verdana" w:eastAsia="Century Gothic" w:hAnsi="Verdana" w:cs="Century Gothic"/>
          <w:sz w:val="20"/>
          <w:szCs w:val="20"/>
          <w:lang w:val="es-ES"/>
        </w:rPr>
        <w:t>estructuración de la dinámica de puja y su implementación en plataformas transaccionales</w:t>
      </w:r>
      <w:r>
        <w:rPr>
          <w:rFonts w:ascii="Verdana" w:eastAsia="Century Gothic" w:hAnsi="Verdana" w:cs="Century Gothic"/>
          <w:sz w:val="20"/>
          <w:szCs w:val="20"/>
          <w:lang w:val="es-ES"/>
        </w:rPr>
        <w:t>”.</w:t>
      </w:r>
    </w:p>
    <w:p w14:paraId="450FB16A" w14:textId="77777777" w:rsidR="0066300B" w:rsidRDefault="0066300B" w:rsidP="0066300B">
      <w:pPr>
        <w:spacing w:after="0" w:line="276" w:lineRule="auto"/>
        <w:ind w:firstLine="709"/>
        <w:jc w:val="both"/>
        <w:rPr>
          <w:rFonts w:ascii="Verdana" w:eastAsia="Calibri" w:hAnsi="Verdana" w:cs="Arial"/>
          <w:color w:val="000000"/>
          <w:lang w:val="es-ES" w:eastAsia="es-ES"/>
        </w:rPr>
      </w:pPr>
    </w:p>
    <w:p w14:paraId="06161976" w14:textId="77777777" w:rsidR="0066300B" w:rsidRPr="00A652FF" w:rsidRDefault="0066300B" w:rsidP="0066300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8DB7134" w14:textId="77777777" w:rsidR="0066300B" w:rsidRDefault="0066300B" w:rsidP="0066300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592873F" w14:textId="77777777" w:rsidR="0066300B" w:rsidRPr="00593A5F" w:rsidRDefault="0066300B" w:rsidP="0066300B">
      <w:pPr>
        <w:spacing w:after="0" w:line="276" w:lineRule="auto"/>
        <w:ind w:firstLine="709"/>
        <w:jc w:val="both"/>
        <w:rPr>
          <w:rFonts w:ascii="Verdana" w:eastAsia="Calibri" w:hAnsi="Verdana" w:cs="Arial"/>
          <w:color w:val="000000"/>
          <w:lang w:val="es-ES" w:eastAsia="es-ES"/>
        </w:rPr>
      </w:pPr>
    </w:p>
    <w:p w14:paraId="515B4DEF" w14:textId="77777777" w:rsidR="0066300B" w:rsidRPr="00593A5F" w:rsidRDefault="0066300B" w:rsidP="0066300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6C99FB1" w14:textId="77777777" w:rsidR="0066300B" w:rsidRPr="00593A5F" w:rsidRDefault="0066300B" w:rsidP="0066300B">
      <w:pPr>
        <w:tabs>
          <w:tab w:val="left" w:pos="426"/>
        </w:tabs>
        <w:spacing w:after="0" w:line="276" w:lineRule="auto"/>
        <w:jc w:val="both"/>
        <w:rPr>
          <w:rFonts w:ascii="Verdana" w:eastAsia="Century Gothic" w:hAnsi="Verdana" w:cs="Century Gothic"/>
          <w:lang w:val="es-ES"/>
        </w:rPr>
      </w:pPr>
    </w:p>
    <w:p w14:paraId="70002948" w14:textId="77777777" w:rsidR="0066300B" w:rsidRPr="00593A5F" w:rsidRDefault="0066300B" w:rsidP="0066300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margen de configuración que tienen las entidades para estructurar reglas específicas para las subastas inversas electrónicas en relación con las pujas dinámicas y la utilización de sistemas transaccionales</w:t>
      </w:r>
      <w:r w:rsidRPr="00DF2EF1">
        <w:rPr>
          <w:rFonts w:ascii="Verdana" w:eastAsia="Century Gothic" w:hAnsi="Verdana" w:cs="Century Gothic"/>
        </w:rPr>
        <w:t>?</w:t>
      </w:r>
      <w:r>
        <w:rPr>
          <w:rFonts w:ascii="Verdana" w:eastAsia="Century Gothic" w:hAnsi="Verdana" w:cs="Century Gothic"/>
        </w:rPr>
        <w:t xml:space="preserve"> </w:t>
      </w:r>
    </w:p>
    <w:p w14:paraId="513CA325" w14:textId="77777777" w:rsidR="0066300B" w:rsidRPr="004B140F" w:rsidRDefault="0066300B" w:rsidP="0066300B">
      <w:pPr>
        <w:spacing w:after="0" w:line="276" w:lineRule="auto"/>
        <w:jc w:val="both"/>
        <w:rPr>
          <w:rFonts w:ascii="Verdana" w:eastAsia="Calibri" w:hAnsi="Verdana" w:cs="Arial"/>
          <w:color w:val="7030A0"/>
        </w:rPr>
      </w:pPr>
    </w:p>
    <w:p w14:paraId="1E4BA32D" w14:textId="77777777" w:rsidR="0066300B" w:rsidRPr="00593A5F" w:rsidRDefault="0066300B" w:rsidP="006630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6BFBBEE" w14:textId="77777777" w:rsidR="0066300B" w:rsidRPr="00593A5F" w:rsidRDefault="0066300B" w:rsidP="0066300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300B" w:rsidRPr="00593A5F" w14:paraId="24304976" w14:textId="77777777" w:rsidTr="00850BE6">
        <w:trPr>
          <w:jc w:val="center"/>
        </w:trPr>
        <w:tc>
          <w:tcPr>
            <w:tcW w:w="8828" w:type="dxa"/>
          </w:tcPr>
          <w:p w14:paraId="14997759" w14:textId="77777777" w:rsidR="0066300B" w:rsidRDefault="0066300B" w:rsidP="00850BE6">
            <w:pPr>
              <w:tabs>
                <w:tab w:val="left" w:pos="426"/>
              </w:tabs>
              <w:spacing w:after="120" w:line="276" w:lineRule="auto"/>
              <w:jc w:val="both"/>
              <w:rPr>
                <w:rFonts w:ascii="Verdana" w:hAnsi="Verdana" w:cs="Arial"/>
                <w:bCs/>
                <w:lang w:val="es-ES_tradn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para efectos de la modalidad de selección abreviada, </w:t>
            </w:r>
            <w:r w:rsidRPr="00185EE9">
              <w:rPr>
                <w:rFonts w:ascii="Verdana" w:eastAsia="Calibri" w:hAnsi="Verdana" w:cs="Arial"/>
                <w:bCs/>
                <w:color w:val="000000" w:themeColor="text1"/>
              </w:rPr>
              <w:t xml:space="preserve">el inciso segundo del literal a) del artículo 2, numeral 2 de la Ley 1150 de 2007 dispone que </w:t>
            </w:r>
            <w:r w:rsidRPr="00EE6EA3">
              <w:rPr>
                <w:rFonts w:ascii="Verdana" w:eastAsia="Calibri" w:hAnsi="Verdana" w:cs="Arial"/>
                <w:bCs/>
                <w:color w:val="000000" w:themeColor="text1"/>
              </w:rPr>
              <w:t xml:space="preserve">las entidades </w:t>
            </w:r>
            <w:r>
              <w:rPr>
                <w:rFonts w:ascii="Verdana" w:eastAsia="Calibri" w:hAnsi="Verdana" w:cs="Arial"/>
                <w:bCs/>
                <w:color w:val="000000" w:themeColor="text1"/>
              </w:rPr>
              <w:t>podrán aplicar</w:t>
            </w:r>
            <w:r w:rsidRPr="00EE6EA3">
              <w:rPr>
                <w:rFonts w:ascii="Verdana" w:eastAsia="Calibri" w:hAnsi="Verdana" w:cs="Arial"/>
                <w:bCs/>
                <w:color w:val="000000" w:themeColor="text1"/>
              </w:rPr>
              <w:t xml:space="preserve"> </w:t>
            </w:r>
            <w:r>
              <w:rPr>
                <w:rFonts w:ascii="Verdana" w:eastAsia="Calibri" w:hAnsi="Verdana" w:cs="Arial"/>
                <w:bCs/>
                <w:color w:val="000000" w:themeColor="text1"/>
              </w:rPr>
              <w:t xml:space="preserve">el </w:t>
            </w:r>
            <w:r w:rsidRPr="00EE6EA3">
              <w:rPr>
                <w:rFonts w:ascii="Verdana" w:eastAsia="Calibri" w:hAnsi="Verdana" w:cs="Arial"/>
                <w:bCs/>
                <w:color w:val="000000" w:themeColor="text1"/>
              </w:rPr>
              <w:t>procedimiento de subasta inversa</w:t>
            </w:r>
            <w:r>
              <w:rPr>
                <w:rFonts w:ascii="Verdana" w:eastAsia="Calibri" w:hAnsi="Verdana" w:cs="Arial"/>
                <w:bCs/>
                <w:color w:val="000000" w:themeColor="text1"/>
              </w:rPr>
              <w:t xml:space="preserve"> p</w:t>
            </w:r>
            <w:r w:rsidRPr="00EE6EA3">
              <w:rPr>
                <w:rFonts w:ascii="Verdana" w:eastAsia="Calibri" w:hAnsi="Verdana" w:cs="Arial"/>
                <w:bCs/>
                <w:color w:val="000000" w:themeColor="text1"/>
              </w:rPr>
              <w:t xml:space="preserve">ara </w:t>
            </w:r>
            <w:r>
              <w:rPr>
                <w:rFonts w:ascii="Verdana" w:eastAsia="Calibri" w:hAnsi="Verdana" w:cs="Arial"/>
                <w:bCs/>
                <w:color w:val="000000" w:themeColor="text1"/>
              </w:rPr>
              <w:t>adquirir</w:t>
            </w:r>
            <w:r w:rsidRPr="00EE6EA3">
              <w:rPr>
                <w:rFonts w:ascii="Verdana" w:eastAsia="Calibri" w:hAnsi="Verdana" w:cs="Arial"/>
                <w:bCs/>
                <w:color w:val="000000" w:themeColor="text1"/>
              </w:rPr>
              <w:t xml:space="preserve"> bienes y servicios</w:t>
            </w:r>
            <w:r>
              <w:rPr>
                <w:rFonts w:ascii="Verdana" w:eastAsia="Calibri" w:hAnsi="Verdana" w:cs="Arial"/>
                <w:bCs/>
                <w:color w:val="000000" w:themeColor="text1"/>
              </w:rPr>
              <w:t xml:space="preserve"> de características técnicas uniformes y de común utilización. </w:t>
            </w:r>
            <w:r>
              <w:rPr>
                <w:rFonts w:ascii="Verdana" w:hAnsi="Verdana" w:cs="Arial"/>
                <w:bCs/>
                <w:lang w:val="es-ES_tradnl"/>
              </w:rPr>
              <w:t xml:space="preserve">Aunque en la </w:t>
            </w:r>
            <w:r w:rsidRPr="00D842EE">
              <w:rPr>
                <w:rFonts w:ascii="Verdana" w:hAnsi="Verdana" w:cs="Arial"/>
                <w:bCs/>
                <w:i/>
                <w:iCs/>
                <w:lang w:val="es-ES_tradnl"/>
              </w:rPr>
              <w:t>subasta ordinaria</w:t>
            </w:r>
            <w:r>
              <w:rPr>
                <w:rFonts w:ascii="Verdana" w:hAnsi="Verdana" w:cs="Arial"/>
                <w:bCs/>
                <w:lang w:val="es-ES_tradnl"/>
              </w:rPr>
              <w:t xml:space="preserve"> </w:t>
            </w:r>
            <w:r w:rsidRPr="00D842EE">
              <w:rPr>
                <w:rFonts w:ascii="Verdana" w:hAnsi="Verdana" w:cs="Arial"/>
                <w:bCs/>
                <w:lang w:val="es-ES_tradnl"/>
              </w:rPr>
              <w:t>los compradores compiten para obtener un bien</w:t>
            </w:r>
            <w:r>
              <w:rPr>
                <w:rFonts w:ascii="Verdana" w:hAnsi="Verdana" w:cs="Arial"/>
                <w:bCs/>
                <w:lang w:val="es-ES_tradnl"/>
              </w:rPr>
              <w:t xml:space="preserve"> o servicio</w:t>
            </w:r>
            <w:r w:rsidRPr="00D842EE">
              <w:rPr>
                <w:rFonts w:ascii="Verdana" w:hAnsi="Verdana" w:cs="Arial"/>
                <w:bCs/>
                <w:lang w:val="es-ES_tradnl"/>
              </w:rPr>
              <w:t xml:space="preserve"> ofreciendo precios cada vez más altos</w:t>
            </w:r>
            <w:r>
              <w:rPr>
                <w:rFonts w:ascii="Verdana" w:hAnsi="Verdana" w:cs="Arial"/>
                <w:bCs/>
                <w:lang w:val="es-ES_tradnl"/>
              </w:rPr>
              <w:t xml:space="preserve"> al vendedor, la </w:t>
            </w:r>
            <w:r w:rsidRPr="00D842EE">
              <w:rPr>
                <w:rFonts w:ascii="Verdana" w:hAnsi="Verdana" w:cs="Arial"/>
                <w:bCs/>
                <w:i/>
                <w:iCs/>
                <w:lang w:val="es-ES_tradnl"/>
              </w:rPr>
              <w:t>subasta inversa</w:t>
            </w:r>
            <w:r>
              <w:rPr>
                <w:rFonts w:ascii="Verdana" w:hAnsi="Verdana" w:cs="Arial"/>
                <w:bCs/>
                <w:lang w:val="es-ES_tradnl"/>
              </w:rPr>
              <w:t xml:space="preserve"> implica un intercambio es estos roles, es decir, l</w:t>
            </w:r>
            <w:r w:rsidRPr="00D842EE">
              <w:rPr>
                <w:rFonts w:ascii="Verdana" w:hAnsi="Verdana" w:cs="Arial"/>
                <w:bCs/>
                <w:lang w:val="es-ES_tradnl"/>
              </w:rPr>
              <w:t xml:space="preserve">os </w:t>
            </w:r>
            <w:r w:rsidRPr="00D842EE">
              <w:rPr>
                <w:rFonts w:ascii="Verdana" w:hAnsi="Verdana" w:cs="Arial"/>
                <w:bCs/>
                <w:lang w:val="es-ES_tradnl"/>
              </w:rPr>
              <w:lastRenderedPageBreak/>
              <w:t xml:space="preserve">vendedores compiten para </w:t>
            </w:r>
            <w:r>
              <w:rPr>
                <w:rFonts w:ascii="Verdana" w:hAnsi="Verdana" w:cs="Arial"/>
                <w:bCs/>
                <w:lang w:val="es-ES_tradnl"/>
              </w:rPr>
              <w:t>suscribir el contrato con el</w:t>
            </w:r>
            <w:r w:rsidRPr="00D842EE">
              <w:rPr>
                <w:rFonts w:ascii="Verdana" w:hAnsi="Verdana" w:cs="Arial"/>
                <w:bCs/>
                <w:lang w:val="es-ES_tradnl"/>
              </w:rPr>
              <w:t xml:space="preserve"> comprador y los precios</w:t>
            </w:r>
            <w:r>
              <w:rPr>
                <w:rFonts w:ascii="Verdana" w:hAnsi="Verdana" w:cs="Arial"/>
                <w:bCs/>
                <w:lang w:val="es-ES_tradnl"/>
              </w:rPr>
              <w:t xml:space="preserve"> disminuyen</w:t>
            </w:r>
            <w:r w:rsidRPr="00D842EE">
              <w:rPr>
                <w:rFonts w:ascii="Verdana" w:hAnsi="Verdana" w:cs="Arial"/>
                <w:bCs/>
                <w:lang w:val="es-ES_tradnl"/>
              </w:rPr>
              <w:t xml:space="preserve"> a medida</w:t>
            </w:r>
            <w:r>
              <w:rPr>
                <w:rFonts w:ascii="Verdana" w:hAnsi="Verdana" w:cs="Arial"/>
                <w:bCs/>
                <w:lang w:val="es-ES_tradnl"/>
              </w:rPr>
              <w:t xml:space="preserve"> que existe puja entre los oferentes.</w:t>
            </w:r>
          </w:p>
          <w:p w14:paraId="5E845BA9" w14:textId="77777777" w:rsidR="0066300B" w:rsidRDefault="0066300B" w:rsidP="00850BE6">
            <w:pPr>
              <w:spacing w:after="120" w:line="276" w:lineRule="auto"/>
              <w:ind w:firstLine="709"/>
              <w:jc w:val="both"/>
              <w:rPr>
                <w:rFonts w:ascii="Verdana" w:hAnsi="Verdana" w:cs="Arial"/>
                <w:lang w:val="es-ES"/>
              </w:rPr>
            </w:pPr>
            <w:r w:rsidRPr="16726447">
              <w:rPr>
                <w:rFonts w:ascii="Verdana" w:hAnsi="Verdana" w:cs="Arial"/>
                <w:lang w:val="es-ES"/>
              </w:rPr>
              <w:t xml:space="preserve">Conforme al artículo 5.3 de la Ley 1150 de 2007, las entidades estatales incluirán como único factor de evaluación el menor precio ofrecido; razón por la cual, el artículo 2.2.1.2.1.2.2 del Decreto 1082 de 2015 regula los lances entre los proponentes que participan en la subasta. Particularmente, los numerales 6, 7, 8 y 9 disponen los siguiente: i) “La subasta debe iniciar con el precio más bajo indicado por los oferentes y en consecuencia, solamente serán válidos los Lances efectuados durante la subasta inversa en los cuales la oferta sea mejorada en por lo menos el Margen Mínimo establecido”, </w:t>
            </w:r>
            <w:proofErr w:type="spellStart"/>
            <w:r w:rsidRPr="16726447">
              <w:rPr>
                <w:rFonts w:ascii="Verdana" w:hAnsi="Verdana" w:cs="Arial"/>
                <w:lang w:val="es-ES"/>
              </w:rPr>
              <w:t>ii</w:t>
            </w:r>
            <w:proofErr w:type="spellEnd"/>
            <w:r w:rsidRPr="16726447">
              <w:rPr>
                <w:rFonts w:ascii="Verdana" w:hAnsi="Verdana" w:cs="Arial"/>
                <w:lang w:val="es-ES"/>
              </w:rPr>
              <w:t xml:space="preserve">) “Si los oferentes no presentan Lances durante la subasta, la Entidad Estatal debe adjudicar el contrato al oferente que haya presentado el precio inicial más bajo”, </w:t>
            </w:r>
            <w:proofErr w:type="spellStart"/>
            <w:r w:rsidRPr="16726447">
              <w:rPr>
                <w:rFonts w:ascii="Verdana" w:hAnsi="Verdana" w:cs="Arial"/>
                <w:lang w:val="es-ES"/>
              </w:rPr>
              <w:t>iii</w:t>
            </w:r>
            <w:proofErr w:type="spellEnd"/>
            <w:r w:rsidRPr="16726447">
              <w:rPr>
                <w:rFonts w:ascii="Verdana" w:hAnsi="Verdana" w:cs="Arial"/>
                <w:lang w:val="es-ES"/>
              </w:rPr>
              <w:t xml:space="preserve">) “Al terminar la presentación de cada Lance, la Entidad Estatal debe informar el valor del Lance más bajo” y </w:t>
            </w:r>
            <w:proofErr w:type="spellStart"/>
            <w:r w:rsidRPr="16726447">
              <w:rPr>
                <w:rFonts w:ascii="Verdana" w:hAnsi="Verdana" w:cs="Arial"/>
                <w:lang w:val="es-ES"/>
              </w:rPr>
              <w:t>iv</w:t>
            </w:r>
            <w:proofErr w:type="spellEnd"/>
            <w:r w:rsidRPr="16726447">
              <w:rPr>
                <w:rFonts w:ascii="Verdana" w:hAnsi="Verdana" w:cs="Arial"/>
                <w:lang w:val="es-ES"/>
              </w:rPr>
              <w:t>) “Si al terminar la subasta inversa hay empate, la Entidad Estatal debe aplicar los criterios del artículo 35 de la Ley 2069 de 2020 conforme con los medios de acreditación del artículo 2.2.1.2.4.2.17 del presente decreto”.</w:t>
            </w:r>
          </w:p>
          <w:p w14:paraId="16BD436E" w14:textId="77777777" w:rsidR="0066300B" w:rsidRDefault="0066300B" w:rsidP="00850BE6">
            <w:pPr>
              <w:spacing w:after="120" w:line="276" w:lineRule="auto"/>
              <w:ind w:firstLine="709"/>
              <w:jc w:val="both"/>
              <w:rPr>
                <w:rFonts w:ascii="Verdana" w:hAnsi="Verdana" w:cs="Arial"/>
                <w:bCs/>
                <w:lang w:val="es-ES_tradnl"/>
              </w:rPr>
            </w:pPr>
            <w:r>
              <w:rPr>
                <w:rFonts w:ascii="Verdana" w:hAnsi="Verdana" w:cs="Arial"/>
                <w:bCs/>
                <w:lang w:val="es-ES_tradnl"/>
              </w:rPr>
              <w:t xml:space="preserve">Con sujeción a los criterios descritos en la norma citada en el párrafo precedente, así como lo dispuesto en los artículos </w:t>
            </w:r>
            <w:r w:rsidRPr="00A2511F">
              <w:rPr>
                <w:rFonts w:ascii="Verdana" w:hAnsi="Verdana" w:cs="Arial"/>
                <w:bCs/>
                <w:lang w:val="es-ES_tradnl"/>
              </w:rPr>
              <w:t>2.2.1.2.1.2.3</w:t>
            </w:r>
            <w:r>
              <w:rPr>
                <w:rFonts w:ascii="Verdana" w:hAnsi="Verdana" w:cs="Arial"/>
                <w:bCs/>
                <w:lang w:val="es-ES_tradnl"/>
              </w:rPr>
              <w:t xml:space="preserve"> y </w:t>
            </w:r>
            <w:r w:rsidRPr="00A2511F">
              <w:rPr>
                <w:rFonts w:ascii="Verdana" w:hAnsi="Verdana" w:cs="Arial"/>
                <w:bCs/>
                <w:lang w:val="es-ES_tradnl"/>
              </w:rPr>
              <w:t>2.2.1.2.1.2.4</w:t>
            </w:r>
            <w:r>
              <w:rPr>
                <w:rFonts w:ascii="Verdana" w:hAnsi="Verdana" w:cs="Arial"/>
                <w:bCs/>
                <w:lang w:val="es-ES_tradnl"/>
              </w:rPr>
              <w:t xml:space="preserve"> del Decreto 1082 de 2015, las entidades pueden establecer </w:t>
            </w:r>
            <w:r w:rsidRPr="00B71DCC">
              <w:rPr>
                <w:rFonts w:ascii="Verdana" w:hAnsi="Verdana" w:cs="Arial"/>
                <w:bCs/>
                <w:i/>
                <w:iCs/>
                <w:lang w:val="es-ES_tradnl"/>
              </w:rPr>
              <w:t>reglas específicas para el desarrollo de las subastas</w:t>
            </w:r>
            <w:r>
              <w:rPr>
                <w:rFonts w:ascii="Verdana" w:hAnsi="Verdana" w:cs="Arial"/>
                <w:bCs/>
                <w:lang w:val="es-ES_tradnl"/>
              </w:rPr>
              <w:t xml:space="preserve"> en el pliego de condiciones. </w:t>
            </w:r>
            <w:r w:rsidRPr="00B71DCC">
              <w:rPr>
                <w:rFonts w:ascii="Verdana" w:eastAsia="Calibri" w:hAnsi="Verdana" w:cs="Arial"/>
                <w:color w:val="000000" w:themeColor="text1"/>
              </w:rPr>
              <w:t xml:space="preserve">Sin embargo, dicha discrecionalidad no puede </w:t>
            </w:r>
            <w:r>
              <w:rPr>
                <w:rFonts w:ascii="Verdana" w:eastAsia="Calibri" w:hAnsi="Verdana" w:cs="Arial"/>
                <w:color w:val="000000" w:themeColor="text1"/>
              </w:rPr>
              <w:t xml:space="preserve">contrariar los aspectos reglados de la causal de selección abreviada </w:t>
            </w:r>
            <w:r w:rsidRPr="00B71DCC">
              <w:rPr>
                <w:rFonts w:ascii="Verdana" w:eastAsia="Calibri" w:hAnsi="Verdana" w:cs="Arial"/>
                <w:i/>
                <w:iCs/>
                <w:color w:val="000000" w:themeColor="text1"/>
              </w:rPr>
              <w:t>sub examine</w:t>
            </w:r>
            <w:r w:rsidRPr="00B71DCC">
              <w:rPr>
                <w:rFonts w:ascii="Verdana" w:eastAsia="Calibri" w:hAnsi="Verdana" w:cs="Arial"/>
                <w:color w:val="000000" w:themeColor="text1"/>
              </w:rPr>
              <w:t>.</w:t>
            </w:r>
            <w:r>
              <w:rPr>
                <w:rFonts w:ascii="Verdana" w:eastAsia="Calibri" w:hAnsi="Verdana" w:cs="Arial"/>
                <w:color w:val="000000" w:themeColor="text1"/>
              </w:rPr>
              <w:t xml:space="preserve"> El artículo 25.3 del EGCAP exige que “</w:t>
            </w:r>
            <w:r w:rsidRPr="00B71DCC">
              <w:rPr>
                <w:rFonts w:ascii="Verdana" w:eastAsia="Calibri" w:hAnsi="Verdana" w:cs="Arial"/>
                <w:color w:val="000000" w:themeColor="text1"/>
              </w:rPr>
              <w:t>Las normas de los procedimientos contractuales se interpretarán de tal manera que no den ocasión a seguir trámites distintos y adicionales a los expresamente previstos</w:t>
            </w:r>
            <w:r>
              <w:rPr>
                <w:rFonts w:ascii="Verdana" w:eastAsia="Calibri" w:hAnsi="Verdana" w:cs="Arial"/>
                <w:color w:val="000000" w:themeColor="text1"/>
              </w:rPr>
              <w:t xml:space="preserve"> […]”; razón por la cual, la </w:t>
            </w:r>
            <w:r w:rsidRPr="00B71DCC">
              <w:rPr>
                <w:rFonts w:ascii="Verdana" w:eastAsia="Calibri" w:hAnsi="Verdana" w:cs="Arial"/>
                <w:i/>
                <w:iCs/>
                <w:color w:val="000000" w:themeColor="text1"/>
              </w:rPr>
              <w:t>estructuración dinámica de la puja</w:t>
            </w:r>
            <w:r>
              <w:rPr>
                <w:rFonts w:ascii="Verdana" w:eastAsia="Calibri" w:hAnsi="Verdana" w:cs="Arial"/>
                <w:color w:val="000000" w:themeColor="text1"/>
              </w:rPr>
              <w:t xml:space="preserve"> debe ajustarse a los parámetros generales del precitado artículo</w:t>
            </w:r>
            <w:r>
              <w:rPr>
                <w:rFonts w:ascii="Verdana" w:hAnsi="Verdana" w:cs="Arial"/>
                <w:bCs/>
                <w:lang w:val="es-ES_tradnl"/>
              </w:rPr>
              <w:t xml:space="preserve"> </w:t>
            </w:r>
            <w:r w:rsidRPr="00014FB7">
              <w:rPr>
                <w:rFonts w:ascii="Verdana" w:hAnsi="Verdana" w:cs="Arial"/>
                <w:bCs/>
                <w:lang w:val="es-ES_tradnl"/>
              </w:rPr>
              <w:t>2.2.1.2.1.2.2</w:t>
            </w:r>
            <w:r>
              <w:rPr>
                <w:rFonts w:ascii="Verdana" w:hAnsi="Verdana" w:cs="Arial"/>
                <w:bCs/>
                <w:lang w:val="es-ES_tradnl"/>
              </w:rPr>
              <w:t xml:space="preserve"> del Decreto 1082 de 2015. </w:t>
            </w:r>
          </w:p>
          <w:p w14:paraId="75D08F0D" w14:textId="77777777" w:rsidR="0066300B" w:rsidRDefault="0066300B" w:rsidP="00850BE6">
            <w:pPr>
              <w:spacing w:after="120" w:line="276" w:lineRule="auto"/>
              <w:ind w:firstLine="709"/>
              <w:jc w:val="both"/>
              <w:rPr>
                <w:rFonts w:ascii="Verdana" w:hAnsi="Verdana" w:cs="Arial"/>
                <w:bCs/>
                <w:lang w:val="es-ES_tradnl"/>
              </w:rPr>
            </w:pPr>
            <w:r>
              <w:rPr>
                <w:rFonts w:ascii="Verdana" w:hAnsi="Verdana" w:cs="Arial"/>
                <w:bCs/>
                <w:lang w:val="es-ES_tradnl"/>
              </w:rPr>
              <w:t xml:space="preserve">Lo anterior rige tanto para las subastas presenciales como para las subastas electrónicas: estas últimas se autorizan en el artículo </w:t>
            </w:r>
            <w:r w:rsidRPr="00F148A0">
              <w:rPr>
                <w:rFonts w:ascii="Verdana" w:hAnsi="Verdana" w:cs="Arial"/>
                <w:bCs/>
                <w:lang w:val="es-ES_tradnl"/>
              </w:rPr>
              <w:t>2.2.1.2.1.2.5</w:t>
            </w:r>
            <w:r>
              <w:rPr>
                <w:rFonts w:ascii="Verdana" w:hAnsi="Verdana" w:cs="Arial"/>
                <w:bCs/>
                <w:lang w:val="es-ES_tradnl"/>
              </w:rPr>
              <w:t xml:space="preserve"> </w:t>
            </w:r>
            <w:r w:rsidRPr="0058423C">
              <w:rPr>
                <w:rFonts w:ascii="Verdana" w:hAnsi="Verdana" w:cs="Arial"/>
                <w:bCs/>
                <w:i/>
                <w:iCs/>
                <w:lang w:val="es-ES_tradnl"/>
              </w:rPr>
              <w:t>ibidem</w:t>
            </w:r>
            <w:r>
              <w:rPr>
                <w:rFonts w:ascii="Verdana" w:hAnsi="Verdana" w:cs="Arial"/>
                <w:bCs/>
                <w:lang w:val="es-ES_tradnl"/>
              </w:rPr>
              <w:t xml:space="preserve">, caso en el cual el pliego de condiciones también debe indicar “[…] </w:t>
            </w:r>
            <w:r w:rsidRPr="00F148A0">
              <w:rPr>
                <w:rFonts w:ascii="Verdana" w:hAnsi="Verdana" w:cs="Arial"/>
                <w:bCs/>
                <w:lang w:val="es-ES_tradnl"/>
              </w:rPr>
              <w:t>el sistema que utilizará para la subasta inversa y los mecanismos de seguridad para el intercambio de mensajes de datos</w:t>
            </w:r>
            <w:r>
              <w:rPr>
                <w:rFonts w:ascii="Verdana" w:hAnsi="Verdana" w:cs="Arial"/>
                <w:bCs/>
                <w:lang w:val="es-ES_tradnl"/>
              </w:rPr>
              <w:t>”</w:t>
            </w:r>
            <w:r w:rsidRPr="00F148A0">
              <w:rPr>
                <w:rFonts w:ascii="Verdana" w:hAnsi="Verdana" w:cs="Arial"/>
                <w:bCs/>
                <w:lang w:val="es-ES_tradnl"/>
              </w:rPr>
              <w:t>.</w:t>
            </w:r>
            <w:r>
              <w:rPr>
                <w:rFonts w:ascii="Verdana" w:hAnsi="Verdana" w:cs="Arial"/>
                <w:bCs/>
                <w:lang w:val="es-ES_tradnl"/>
              </w:rPr>
              <w:t xml:space="preserve"> En este contexto, el pliego puede disponer la </w:t>
            </w:r>
            <w:r w:rsidRPr="00044C92">
              <w:rPr>
                <w:rFonts w:ascii="Verdana" w:hAnsi="Verdana" w:cs="Arial"/>
                <w:bCs/>
                <w:i/>
                <w:iCs/>
                <w:lang w:val="es-ES_tradnl"/>
              </w:rPr>
              <w:t>implementación de plataformas transaccionales</w:t>
            </w:r>
            <w:r>
              <w:rPr>
                <w:rFonts w:ascii="Verdana" w:hAnsi="Verdana" w:cs="Arial"/>
                <w:bCs/>
                <w:lang w:val="es-ES_tradnl"/>
              </w:rPr>
              <w:t xml:space="preserve"> para adelantar subastas inversas electrónicas. </w:t>
            </w:r>
          </w:p>
          <w:p w14:paraId="5D0CD97C" w14:textId="77777777" w:rsidR="0066300B" w:rsidRPr="00765D8D" w:rsidRDefault="0066300B" w:rsidP="00850BE6">
            <w:pPr>
              <w:spacing w:after="120" w:line="276" w:lineRule="auto"/>
              <w:ind w:firstLine="741"/>
              <w:jc w:val="both"/>
              <w:rPr>
                <w:rFonts w:ascii="Verdana" w:hAnsi="Verdana"/>
              </w:rPr>
            </w:pPr>
            <w:r w:rsidRPr="00765D8D">
              <w:rPr>
                <w:rFonts w:ascii="Verdana" w:eastAsia="Century Gothic" w:hAnsi="Verdana" w:cs="Century Gothic"/>
              </w:rPr>
              <w:lastRenderedPageBreak/>
              <w:t xml:space="preserve">En lo que corresponde a la Selección Abreviada </w:t>
            </w:r>
            <w:r>
              <w:rPr>
                <w:rFonts w:ascii="Verdana" w:eastAsia="Century Gothic" w:hAnsi="Verdana" w:cs="Century Gothic"/>
              </w:rPr>
              <w:t>por</w:t>
            </w:r>
            <w:r w:rsidRPr="00765D8D">
              <w:rPr>
                <w:rFonts w:ascii="Verdana" w:eastAsia="Century Gothic" w:hAnsi="Verdana" w:cs="Century Gothic"/>
              </w:rPr>
              <w:t xml:space="preserve"> subasta</w:t>
            </w:r>
            <w:r>
              <w:rPr>
                <w:rFonts w:ascii="Verdana" w:eastAsia="Century Gothic" w:hAnsi="Verdana" w:cs="Century Gothic"/>
              </w:rPr>
              <w:t xml:space="preserve"> inversa</w:t>
            </w:r>
            <w:r w:rsidRPr="00765D8D">
              <w:rPr>
                <w:rFonts w:ascii="Verdana" w:eastAsia="Century Gothic" w:hAnsi="Verdana" w:cs="Century Gothic"/>
              </w:rPr>
              <w:t xml:space="preserve">, el SECOP II permite a las Entidades Estatales hacer los eventos de subastas completamente en línea, para lo cual, la entidad deberá realizar todo el proceso de selección a través de la plataforma, lo que incluye la creación y publicación de los pliegos electrónicos en su fase borrador y definitiva; la recepción, y apertura de ofertas </w:t>
            </w:r>
            <w:r>
              <w:rPr>
                <w:rFonts w:ascii="Verdana" w:eastAsia="Century Gothic" w:hAnsi="Verdana" w:cs="Century Gothic"/>
              </w:rPr>
              <w:t>–</w:t>
            </w:r>
            <w:r w:rsidRPr="00765D8D">
              <w:rPr>
                <w:rFonts w:ascii="Verdana" w:eastAsia="Century Gothic" w:hAnsi="Verdana" w:cs="Century Gothic"/>
              </w:rPr>
              <w:t>sobre habilitante y técnico</w:t>
            </w:r>
            <w:r>
              <w:rPr>
                <w:rFonts w:ascii="Verdana" w:eastAsia="Century Gothic" w:hAnsi="Verdana" w:cs="Century Gothic"/>
              </w:rPr>
              <w:t>–</w:t>
            </w:r>
            <w:r w:rsidRPr="00765D8D">
              <w:rPr>
                <w:rFonts w:ascii="Verdana" w:eastAsia="Century Gothic" w:hAnsi="Verdana" w:cs="Century Gothic"/>
              </w:rPr>
              <w:t>; la publicación del informe de habilitación, posteriormente la apertura del sobre económico y en consecuencia la configuración técnica del evento de subasta inversa y su realización, a través de SECOP II.</w:t>
            </w:r>
            <w:r>
              <w:rPr>
                <w:rFonts w:ascii="Verdana" w:hAnsi="Verdana"/>
              </w:rPr>
              <w:t xml:space="preserve"> </w:t>
            </w:r>
            <w:r>
              <w:rPr>
                <w:rFonts w:ascii="Verdana" w:eastAsia="Century Gothic" w:hAnsi="Verdana" w:cs="Century Gothic"/>
              </w:rPr>
              <w:t>C</w:t>
            </w:r>
            <w:r w:rsidRPr="00765D8D">
              <w:rPr>
                <w:rFonts w:ascii="Verdana" w:eastAsia="Century Gothic" w:hAnsi="Verdana" w:cs="Century Gothic"/>
              </w:rPr>
              <w:t>on el fin de cumplir las con las necesidades de los usuarios y especificaciones requeridas para el efecto, la Agencia implementó algunas mejoras a partir del 19 de septiembre de 2020 al módulo de Subasta Electrónica del SECOP II para la modalidad de selección de contratistas por Selección Abreviada para la adquisición de Bienes y Servicios de Características Técnicas Uniformes.</w:t>
            </w:r>
          </w:p>
          <w:p w14:paraId="51005C50" w14:textId="77777777" w:rsidR="0066300B" w:rsidRPr="002C7C85" w:rsidRDefault="0066300B" w:rsidP="00850BE6">
            <w:pPr>
              <w:spacing w:after="120" w:line="276" w:lineRule="auto"/>
              <w:ind w:firstLine="709"/>
              <w:jc w:val="both"/>
              <w:rPr>
                <w:rFonts w:ascii="Verdana" w:eastAsia="Century Gothic" w:hAnsi="Verdana" w:cs="Century Gothic"/>
              </w:rPr>
            </w:pPr>
            <w:r>
              <w:rPr>
                <w:rFonts w:ascii="Verdana" w:eastAsia="Century Gothic" w:hAnsi="Verdana" w:cs="Century Gothic"/>
              </w:rPr>
              <w:t>Para mayor información, puede consultar la guía “</w:t>
            </w:r>
            <w:r w:rsidRPr="00D7124D">
              <w:rPr>
                <w:rFonts w:ascii="Verdana" w:eastAsia="Century Gothic" w:hAnsi="Verdana" w:cs="Century Gothic"/>
              </w:rPr>
              <w:t xml:space="preserve">SECOP </w:t>
            </w:r>
            <w:r>
              <w:rPr>
                <w:rFonts w:ascii="Verdana" w:eastAsia="Century Gothic" w:hAnsi="Verdana" w:cs="Century Gothic"/>
              </w:rPr>
              <w:t>I</w:t>
            </w:r>
            <w:r w:rsidRPr="00D7124D">
              <w:rPr>
                <w:rFonts w:ascii="Verdana" w:eastAsia="Century Gothic" w:hAnsi="Verdana" w:cs="Century Gothic"/>
              </w:rPr>
              <w:t>I -</w:t>
            </w:r>
            <w:r>
              <w:rPr>
                <w:rFonts w:ascii="Verdana" w:eastAsia="Century Gothic" w:hAnsi="Verdana" w:cs="Century Gothic"/>
              </w:rPr>
              <w:t xml:space="preserve"> </w:t>
            </w:r>
            <w:r w:rsidRPr="00D7124D">
              <w:rPr>
                <w:rFonts w:ascii="Verdana" w:eastAsia="Century Gothic" w:hAnsi="Verdana" w:cs="Century Gothic"/>
              </w:rPr>
              <w:t>Modalidades de</w:t>
            </w:r>
            <w:r>
              <w:rPr>
                <w:rFonts w:ascii="Verdana" w:eastAsia="Century Gothic" w:hAnsi="Verdana" w:cs="Century Gothic"/>
              </w:rPr>
              <w:t xml:space="preserve"> </w:t>
            </w:r>
            <w:r w:rsidRPr="00D7124D">
              <w:rPr>
                <w:rFonts w:ascii="Verdana" w:eastAsia="Century Gothic" w:hAnsi="Verdana" w:cs="Century Gothic"/>
              </w:rPr>
              <w:t>Contratación:</w:t>
            </w:r>
            <w:r>
              <w:rPr>
                <w:rFonts w:ascii="Verdana" w:eastAsia="Century Gothic" w:hAnsi="Verdana" w:cs="Century Gothic"/>
              </w:rPr>
              <w:t xml:space="preserve"> </w:t>
            </w:r>
            <w:r w:rsidRPr="00D7124D">
              <w:rPr>
                <w:rFonts w:ascii="Verdana" w:eastAsia="Century Gothic" w:hAnsi="Verdana" w:cs="Century Gothic"/>
              </w:rPr>
              <w:t>Selección Abreviada con</w:t>
            </w:r>
            <w:r>
              <w:rPr>
                <w:rFonts w:ascii="Verdana" w:eastAsia="Century Gothic" w:hAnsi="Verdana" w:cs="Century Gothic"/>
              </w:rPr>
              <w:t xml:space="preserve"> </w:t>
            </w:r>
            <w:r w:rsidRPr="00D7124D">
              <w:rPr>
                <w:rFonts w:ascii="Verdana" w:eastAsia="Century Gothic" w:hAnsi="Verdana" w:cs="Century Gothic"/>
              </w:rPr>
              <w:t>Subasta Inversa</w:t>
            </w:r>
            <w:r>
              <w:rPr>
                <w:rFonts w:ascii="Verdana" w:eastAsia="Century Gothic" w:hAnsi="Verdana" w:cs="Century Gothic"/>
              </w:rPr>
              <w:t xml:space="preserve"> </w:t>
            </w:r>
            <w:r w:rsidRPr="00D7124D">
              <w:rPr>
                <w:rFonts w:ascii="Verdana" w:eastAsia="Century Gothic" w:hAnsi="Verdana" w:cs="Century Gothic"/>
              </w:rPr>
              <w:t>(Subasta Electrónica)</w:t>
            </w:r>
            <w:r>
              <w:rPr>
                <w:rFonts w:ascii="Verdana" w:eastAsia="Century Gothic" w:hAnsi="Verdana" w:cs="Century Gothic"/>
              </w:rPr>
              <w:t xml:space="preserve">, documento que se encuentra en el siguiente enlace: </w:t>
            </w:r>
            <w:hyperlink r:id="rId12" w:history="1">
              <w:r w:rsidRPr="003D0F71">
                <w:rPr>
                  <w:rStyle w:val="Hipervnculo"/>
                  <w:rFonts w:ascii="Verdana" w:eastAsia="Century Gothic" w:hAnsi="Verdana" w:cs="Century Gothic"/>
                </w:rPr>
                <w:t>https://surl.li/osmmug</w:t>
              </w:r>
            </w:hyperlink>
            <w:r>
              <w:rPr>
                <w:rFonts w:ascii="Verdana" w:eastAsia="Century Gothic" w:hAnsi="Verdana" w:cs="Century Gothic"/>
              </w:rPr>
              <w:t xml:space="preserve">. Asimismo, cualquier inquietud adicional sobre el uso del SECOP II puede plantearla a la </w:t>
            </w:r>
            <w:r w:rsidRPr="00D7124D">
              <w:rPr>
                <w:rFonts w:ascii="Verdana" w:eastAsia="Century Gothic" w:hAnsi="Verdana" w:cs="Century Gothic"/>
              </w:rPr>
              <w:t>Subdirección de Información y Desarrollo Tecnológico</w:t>
            </w:r>
            <w:r>
              <w:rPr>
                <w:rFonts w:ascii="Verdana" w:eastAsia="Century Gothic" w:hAnsi="Verdana" w:cs="Century Gothic"/>
              </w:rPr>
              <w:t xml:space="preserve"> de la ANCP – CCE, pues –conforme a los numerales 6 y 4 del artículo 13 del Decreto Ley 4170 de 2011– tiene la función de “</w:t>
            </w:r>
            <w:r w:rsidRPr="00D7124D">
              <w:rPr>
                <w:rFonts w:ascii="Verdana" w:eastAsia="Century Gothic" w:hAnsi="Verdana" w:cs="Century Gothic"/>
              </w:rPr>
              <w:t>Gestionar y administrar el Sistema Electrónico para la Contratación Pública (SECOP), o el que haga sus veces</w:t>
            </w:r>
            <w:r>
              <w:rPr>
                <w:rFonts w:ascii="Verdana" w:eastAsia="Century Gothic" w:hAnsi="Verdana" w:cs="Century Gothic"/>
              </w:rPr>
              <w:t>” y “</w:t>
            </w:r>
            <w:r w:rsidRPr="00D7124D">
              <w:rPr>
                <w:rFonts w:ascii="Verdana" w:eastAsia="Century Gothic" w:hAnsi="Verdana" w:cs="Century Gothic"/>
              </w:rPr>
              <w:t>Absolver consultas de carácter general sobre asuntos de competencia de la dependencia</w:t>
            </w:r>
            <w:r>
              <w:rPr>
                <w:rFonts w:ascii="Verdana" w:eastAsia="Century Gothic" w:hAnsi="Verdana" w:cs="Century Gothic"/>
              </w:rPr>
              <w:t>”.</w:t>
            </w:r>
            <w:r w:rsidRPr="00D7124D">
              <w:rPr>
                <w:rFonts w:ascii="Verdana" w:eastAsia="Century Gothic" w:hAnsi="Verdana" w:cs="Century Gothic"/>
              </w:rPr>
              <w:t xml:space="preserve">  </w:t>
            </w:r>
            <w:r>
              <w:rPr>
                <w:rFonts w:ascii="Verdana" w:eastAsia="Calibri" w:hAnsi="Verdana" w:cs="Arial"/>
                <w:bCs/>
                <w:color w:val="000000" w:themeColor="text1"/>
                <w:lang w:val="es-ES_tradnl"/>
              </w:rPr>
              <w:t xml:space="preserve"> </w:t>
            </w:r>
          </w:p>
          <w:p w14:paraId="15E242FB" w14:textId="77777777" w:rsidR="0066300B" w:rsidRPr="001941FD" w:rsidRDefault="0066300B" w:rsidP="00850BE6">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B7F0922" w14:textId="77777777" w:rsidR="0066300B" w:rsidRPr="00593A5F" w:rsidRDefault="0066300B" w:rsidP="0066300B">
      <w:pPr>
        <w:tabs>
          <w:tab w:val="left" w:pos="142"/>
          <w:tab w:val="left" w:pos="284"/>
        </w:tabs>
        <w:spacing w:after="0" w:line="276" w:lineRule="auto"/>
        <w:jc w:val="both"/>
        <w:rPr>
          <w:rFonts w:ascii="Verdana" w:eastAsia="Century Gothic" w:hAnsi="Verdana" w:cs="Century Gothic"/>
          <w:b/>
          <w:bCs/>
          <w:lang w:val="es-ES"/>
        </w:rPr>
      </w:pPr>
    </w:p>
    <w:bookmarkEnd w:id="1"/>
    <w:p w14:paraId="038E5252" w14:textId="77777777" w:rsidR="0066300B" w:rsidRPr="00E66EAF" w:rsidRDefault="0066300B" w:rsidP="006630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5F8B5BC" w14:textId="77777777" w:rsidR="0066300B" w:rsidRPr="00593A5F" w:rsidRDefault="0066300B" w:rsidP="0066300B">
      <w:pPr>
        <w:spacing w:after="0" w:line="276" w:lineRule="auto"/>
        <w:jc w:val="both"/>
        <w:rPr>
          <w:rFonts w:ascii="Verdana" w:eastAsia="Calibri" w:hAnsi="Verdana" w:cs="Arial"/>
          <w:color w:val="7030A0"/>
          <w:lang w:val="es-ES"/>
        </w:rPr>
      </w:pPr>
    </w:p>
    <w:p w14:paraId="3160ABA3" w14:textId="77777777" w:rsidR="0066300B" w:rsidRDefault="0066300B" w:rsidP="0066300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4A56AD9" w14:textId="77777777" w:rsidR="0066300B" w:rsidRDefault="0066300B" w:rsidP="0066300B">
      <w:pPr>
        <w:tabs>
          <w:tab w:val="left" w:pos="0"/>
        </w:tabs>
        <w:spacing w:after="0" w:line="276" w:lineRule="auto"/>
        <w:jc w:val="both"/>
        <w:rPr>
          <w:rFonts w:ascii="Verdana" w:hAnsi="Verdana" w:cs="Arial"/>
          <w:color w:val="000000" w:themeColor="text1"/>
          <w:lang w:val="es-ES"/>
        </w:rPr>
      </w:pPr>
    </w:p>
    <w:p w14:paraId="3900F07B" w14:textId="77777777" w:rsidR="0066300B" w:rsidRPr="007D48B0" w:rsidRDefault="0066300B" w:rsidP="0066300B">
      <w:pPr>
        <w:spacing w:after="120" w:line="276" w:lineRule="auto"/>
        <w:jc w:val="both"/>
        <w:rPr>
          <w:rFonts w:ascii="Verdana" w:hAnsi="Verdana" w:cs="Arial"/>
          <w:bCs/>
          <w:sz w:val="21"/>
          <w:szCs w:val="21"/>
          <w:lang w:val="es-ES_tradnl"/>
        </w:rPr>
      </w:pPr>
      <w:r>
        <w:rPr>
          <w:rFonts w:ascii="Verdana" w:hAnsi="Verdana" w:cs="Arial"/>
          <w:bCs/>
          <w:lang w:val="es-ES_tradnl"/>
        </w:rPr>
        <w:t xml:space="preserve">i. </w:t>
      </w:r>
      <w:r w:rsidRPr="007D48B0">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D48B0">
        <w:rPr>
          <w:rStyle w:val="Refdenotaalpie"/>
          <w:rFonts w:ascii="Verdana" w:hAnsi="Verdana" w:cs="Arial"/>
          <w:bCs/>
          <w:sz w:val="21"/>
          <w:szCs w:val="21"/>
          <w:lang w:val="es-ES_tradnl"/>
        </w:rPr>
        <w:footnoteReference w:id="1"/>
      </w:r>
      <w:r w:rsidRPr="007D48B0">
        <w:rPr>
          <w:rFonts w:ascii="Verdana" w:hAnsi="Verdana" w:cs="Arial"/>
          <w:bCs/>
          <w:sz w:val="21"/>
          <w:szCs w:val="21"/>
          <w:lang w:val="es-ES_tradnl"/>
        </w:rPr>
        <w:t>.</w:t>
      </w:r>
    </w:p>
    <w:p w14:paraId="74167CDE" w14:textId="77777777" w:rsidR="0066300B" w:rsidRPr="007D48B0" w:rsidRDefault="0066300B" w:rsidP="0066300B">
      <w:pPr>
        <w:spacing w:after="120" w:line="276" w:lineRule="auto"/>
        <w:jc w:val="both"/>
        <w:rPr>
          <w:rFonts w:ascii="Verdana" w:hAnsi="Verdana" w:cs="Arial"/>
          <w:lang w:val="es-ES"/>
        </w:rPr>
      </w:pPr>
      <w:r w:rsidRPr="007D48B0">
        <w:rPr>
          <w:rFonts w:ascii="Verdana" w:hAnsi="Verdana" w:cs="Arial"/>
          <w:bCs/>
          <w:lang w:val="es-ES_tradnl"/>
        </w:rPr>
        <w:tab/>
      </w:r>
      <w:r w:rsidRPr="16726447">
        <w:rPr>
          <w:rFonts w:ascii="Verdana" w:hAnsi="Verdana" w:cs="Arial"/>
          <w:lang w:val="es-ES"/>
        </w:rPr>
        <w:t xml:space="preserve">Inicialmente, la Ley 80 de 1993 estableció tres (3) procedimientos de selección: i) licitación o concurso público, </w:t>
      </w:r>
      <w:proofErr w:type="spellStart"/>
      <w:r w:rsidRPr="16726447">
        <w:rPr>
          <w:rFonts w:ascii="Verdana" w:hAnsi="Verdana" w:cs="Arial"/>
          <w:lang w:val="es-ES"/>
        </w:rPr>
        <w:t>ii</w:t>
      </w:r>
      <w:proofErr w:type="spellEnd"/>
      <w:r w:rsidRPr="16726447">
        <w:rPr>
          <w:rFonts w:ascii="Verdana" w:hAnsi="Verdana" w:cs="Arial"/>
          <w:lang w:val="es-ES"/>
        </w:rPr>
        <w:t xml:space="preserve">) contratación sin formalidades plenas y </w:t>
      </w:r>
      <w:proofErr w:type="spellStart"/>
      <w:r w:rsidRPr="16726447">
        <w:rPr>
          <w:rFonts w:ascii="Verdana" w:hAnsi="Verdana" w:cs="Arial"/>
          <w:lang w:val="es-ES"/>
        </w:rPr>
        <w:t>iii</w:t>
      </w:r>
      <w:proofErr w:type="spellEnd"/>
      <w:r w:rsidRPr="16726447">
        <w:rPr>
          <w:rFonts w:ascii="Verdana" w:hAnsi="Verdana" w:cs="Arial"/>
          <w:lang w:val="es-ES"/>
        </w:rPr>
        <w:t>) contratación directa. Dentro de este esquema, el primero era y continúa siendo la regla general, pues sólo es posible acudir a los demás frente a la configuración de las causales previamente establecidas por el ordenamiento, razón por la cual la Administración carece de discrecionalidad para establecer procedimientos</w:t>
      </w:r>
      <w:r w:rsidRPr="16726447">
        <w:rPr>
          <w:rStyle w:val="Refdenotaalpie"/>
          <w:rFonts w:ascii="Verdana" w:hAnsi="Verdana" w:cs="Arial"/>
          <w:lang w:val="es-ES"/>
        </w:rPr>
        <w:footnoteReference w:id="2"/>
      </w:r>
      <w:r w:rsidRPr="16726447">
        <w:rPr>
          <w:rFonts w:ascii="Verdana" w:hAnsi="Verdana" w:cs="Arial"/>
          <w:lang w:val="es-ES"/>
        </w:rPr>
        <w:t xml:space="preserve">. </w:t>
      </w:r>
    </w:p>
    <w:p w14:paraId="1DC136DA" w14:textId="77777777" w:rsidR="0066300B" w:rsidRPr="00FC0529" w:rsidRDefault="0066300B" w:rsidP="0066300B">
      <w:pPr>
        <w:spacing w:after="120" w:line="276" w:lineRule="auto"/>
        <w:jc w:val="both"/>
        <w:rPr>
          <w:rFonts w:ascii="Verdana" w:hAnsi="Verdana" w:cs="Arial"/>
          <w:bCs/>
          <w:lang w:val="es-ES_tradnl"/>
        </w:rPr>
      </w:pPr>
      <w:r w:rsidRPr="007D48B0">
        <w:rPr>
          <w:rFonts w:ascii="Verdana" w:hAnsi="Verdana" w:cs="Arial"/>
          <w:bCs/>
          <w:lang w:val="es-ES_tradnl"/>
        </w:rPr>
        <w:tab/>
        <w:t xml:space="preserve">No obstante, después del 2007, el ordenamiento reguló nuevos procesos de selección. En efecto, con el artículo 2 de la Ley 1150 la licitación pública no solo es un procedimiento independiente del concurso de méritos, sino que también se creó el procedimiento de selección de selección abreviada. </w:t>
      </w:r>
      <w:r w:rsidRPr="007D48B0">
        <w:rPr>
          <w:rFonts w:ascii="Verdana" w:hAnsi="Verdana" w:cs="Arial"/>
          <w:bCs/>
          <w:lang w:val="es-ES_tradnl"/>
        </w:rPr>
        <w:lastRenderedPageBreak/>
        <w:t xml:space="preserve">Finalmente, teniendo en cuenta la reforma introducida con la Ley 1474 de 2011, los procedimientos actualmente regulados son los siguientes: i) licitación pública, </w:t>
      </w:r>
      <w:proofErr w:type="spellStart"/>
      <w:r w:rsidRPr="007D48B0">
        <w:rPr>
          <w:rFonts w:ascii="Verdana" w:hAnsi="Verdana" w:cs="Arial"/>
          <w:bCs/>
          <w:lang w:val="es-ES_tradnl"/>
        </w:rPr>
        <w:t>ii</w:t>
      </w:r>
      <w:proofErr w:type="spellEnd"/>
      <w:r w:rsidRPr="007D48B0">
        <w:rPr>
          <w:rFonts w:ascii="Verdana" w:hAnsi="Verdana" w:cs="Arial"/>
          <w:bCs/>
          <w:lang w:val="es-ES_tradnl"/>
        </w:rPr>
        <w:t xml:space="preserve">) selección abreviada, </w:t>
      </w:r>
      <w:proofErr w:type="spellStart"/>
      <w:r w:rsidRPr="007D48B0">
        <w:rPr>
          <w:rFonts w:ascii="Verdana" w:hAnsi="Verdana" w:cs="Arial"/>
          <w:bCs/>
          <w:lang w:val="es-ES_tradnl"/>
        </w:rPr>
        <w:t>iii</w:t>
      </w:r>
      <w:proofErr w:type="spellEnd"/>
      <w:r w:rsidRPr="007D48B0">
        <w:rPr>
          <w:rFonts w:ascii="Verdana" w:hAnsi="Verdana" w:cs="Arial"/>
          <w:bCs/>
          <w:lang w:val="es-ES_tradnl"/>
        </w:rPr>
        <w:t xml:space="preserve">) concurso de méritos, </w:t>
      </w:r>
      <w:proofErr w:type="spellStart"/>
      <w:r w:rsidRPr="007D48B0">
        <w:rPr>
          <w:rFonts w:ascii="Verdana" w:hAnsi="Verdana" w:cs="Arial"/>
          <w:bCs/>
          <w:lang w:val="es-ES_tradnl"/>
        </w:rPr>
        <w:t>iv</w:t>
      </w:r>
      <w:proofErr w:type="spellEnd"/>
      <w:r w:rsidRPr="007D48B0">
        <w:rPr>
          <w:rFonts w:ascii="Verdana" w:hAnsi="Verdana" w:cs="Arial"/>
          <w:bCs/>
          <w:lang w:val="es-ES_tradnl"/>
        </w:rPr>
        <w:t>) mínima cuantía y v) contratación directa.</w:t>
      </w:r>
      <w:r>
        <w:rPr>
          <w:rFonts w:ascii="Verdana" w:hAnsi="Verdana" w:cs="Arial"/>
          <w:bCs/>
          <w:lang w:val="es-ES_tradnl"/>
        </w:rPr>
        <w:t xml:space="preserve"> </w:t>
      </w:r>
      <w:r w:rsidRPr="007D48B0">
        <w:rPr>
          <w:rFonts w:ascii="Verdana" w:hAnsi="Verdana" w:cs="Arial"/>
          <w:bCs/>
          <w:lang w:val="es-ES_tradnl"/>
        </w:rPr>
        <w:t xml:space="preserve">En dichos procedimientos constan </w:t>
      </w:r>
      <w:r w:rsidRPr="007D48B0">
        <w:rPr>
          <w:rFonts w:ascii="Verdana" w:eastAsia="Calibri" w:hAnsi="Verdana" w:cs="Arial"/>
        </w:rPr>
        <w:t>las etapas para la adquisición de obras, bienes y servicios, por lo que cada entidad es responsable de estructurar los procedimientos de contratación, siempre que respete el principio de legalidad.</w:t>
      </w:r>
      <w:bookmarkStart w:id="3" w:name="_Hlk39596760"/>
    </w:p>
    <w:p w14:paraId="186219BF" w14:textId="77777777" w:rsidR="0066300B" w:rsidRPr="00C11001" w:rsidRDefault="0066300B" w:rsidP="0066300B">
      <w:pPr>
        <w:spacing w:after="120" w:line="276" w:lineRule="auto"/>
        <w:ind w:firstLine="709"/>
        <w:jc w:val="both"/>
        <w:rPr>
          <w:rFonts w:ascii="Verdana" w:hAnsi="Verdana" w:cs="Arial"/>
          <w:bCs/>
          <w:lang w:val="es-MX"/>
        </w:rPr>
      </w:pPr>
      <w:r>
        <w:rPr>
          <w:rFonts w:ascii="Verdana" w:hAnsi="Verdana" w:cs="Arial"/>
          <w:lang w:val="es-ES"/>
        </w:rPr>
        <w:t>En este contexto, p</w:t>
      </w:r>
      <w:r w:rsidRPr="00B47324">
        <w:rPr>
          <w:rFonts w:ascii="Verdana" w:hAnsi="Verdana" w:cs="Arial"/>
          <w:lang w:val="es-ES"/>
        </w:rPr>
        <w:t xml:space="preserve">ara las entidades </w:t>
      </w:r>
      <w:r>
        <w:rPr>
          <w:rFonts w:ascii="Verdana" w:hAnsi="Verdana" w:cs="Arial"/>
          <w:lang w:val="es-ES"/>
        </w:rPr>
        <w:t>sometidas a la Ley 80 de 1993,</w:t>
      </w:r>
      <w:r w:rsidRPr="00B47324">
        <w:rPr>
          <w:rFonts w:ascii="Verdana" w:hAnsi="Verdana" w:cs="Arial"/>
          <w:lang w:val="es-ES"/>
        </w:rPr>
        <w:t xml:space="preserve"> los procesos de selección 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3"/>
      </w:r>
      <w:r w:rsidRPr="00666B6A">
        <w:rPr>
          <w:rFonts w:ascii="Verdana" w:hAnsi="Verdana" w:cs="Arial"/>
          <w:bCs/>
          <w:lang w:val="es-MX"/>
        </w:rPr>
        <w:t xml:space="preserve">. </w:t>
      </w:r>
      <w:r>
        <w:rPr>
          <w:rFonts w:ascii="Verdana" w:hAnsi="Verdana" w:cs="Arial"/>
          <w:bCs/>
          <w:lang w:val="es-MX"/>
        </w:rPr>
        <w:t>Así</w:t>
      </w:r>
      <w:r w:rsidRPr="00666B6A">
        <w:rPr>
          <w:rFonts w:ascii="Verdana" w:hAnsi="Verdana" w:cs="Arial"/>
          <w:bCs/>
          <w:lang w:val="es-MX"/>
        </w:rPr>
        <w:t>,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4"/>
      </w:r>
      <w:r w:rsidRPr="00666B6A">
        <w:rPr>
          <w:rFonts w:ascii="Verdana" w:hAnsi="Verdana" w:cs="Arial"/>
          <w:bCs/>
          <w:lang w:val="es-MX"/>
        </w:rPr>
        <w:t>.</w:t>
      </w:r>
    </w:p>
    <w:p w14:paraId="068271FB" w14:textId="77777777" w:rsidR="0066300B" w:rsidRPr="004F0676" w:rsidRDefault="0066300B" w:rsidP="0066300B">
      <w:pPr>
        <w:spacing w:after="120" w:line="276" w:lineRule="auto"/>
        <w:ind w:firstLine="708"/>
        <w:jc w:val="both"/>
        <w:rPr>
          <w:rFonts w:ascii="Verdana" w:hAnsi="Verdana" w:cs="Arial"/>
          <w:bCs/>
          <w:lang w:val="es-ES_tradnl"/>
        </w:rPr>
      </w:pPr>
      <w:r>
        <w:rPr>
          <w:rFonts w:ascii="Verdana" w:eastAsia="Calibri" w:hAnsi="Verdana" w:cs="Arial"/>
          <w:lang w:val="es-MX"/>
        </w:rPr>
        <w:t>Sobre</w:t>
      </w:r>
      <w:r w:rsidRPr="007D48B0">
        <w:rPr>
          <w:rFonts w:ascii="Verdana" w:eastAsia="Calibri" w:hAnsi="Verdana" w:cs="Arial"/>
        </w:rPr>
        <w:t xml:space="preserve"> la selección abreviada, </w:t>
      </w:r>
      <w:bookmarkStart w:id="4" w:name="_Hlk39070608"/>
      <w:r w:rsidRPr="007D48B0">
        <w:rPr>
          <w:rFonts w:ascii="Verdana" w:eastAsia="Calibri" w:hAnsi="Verdana" w:cs="Arial"/>
        </w:rPr>
        <w:t>el numeral 2 del artículo 2 de la Ley 1150 de 2007</w:t>
      </w:r>
      <w:bookmarkEnd w:id="4"/>
      <w:r w:rsidRPr="007D48B0">
        <w:rPr>
          <w:rFonts w:ascii="Verdana" w:eastAsia="Calibri" w:hAnsi="Verdana" w:cs="Arial"/>
        </w:rPr>
        <w:t xml:space="preserve"> dispone que </w:t>
      </w:r>
      <w:r>
        <w:rPr>
          <w:rFonts w:ascii="Verdana" w:eastAsia="Calibri" w:hAnsi="Verdana" w:cs="Arial"/>
        </w:rPr>
        <w:t>“</w:t>
      </w:r>
      <w:r w:rsidRPr="007D48B0">
        <w:rPr>
          <w:rFonts w:ascii="Verdana" w:eastAsia="Calibri" w:hAnsi="Verdana" w:cs="Arial"/>
        </w:rPr>
        <w:t xml:space="preserve">[…] corresponde a la modalidad de selección objetiva prevista para aquellos casos en que por las características del objeto a contratar, las circunstancias de la contratación o la cuantía o destinación del bien, obra o </w:t>
      </w:r>
      <w:r w:rsidRPr="007D48B0">
        <w:rPr>
          <w:rFonts w:ascii="Verdana" w:eastAsia="Calibri" w:hAnsi="Verdana" w:cs="Arial"/>
        </w:rPr>
        <w:lastRenderedPageBreak/>
        <w:t>servicio, puedan adelantarse procesos simplificados para garantizar la eficiencia de la gestión contractual</w:t>
      </w:r>
      <w:r>
        <w:rPr>
          <w:rFonts w:ascii="Verdana" w:eastAsia="Calibri" w:hAnsi="Verdana" w:cs="Arial"/>
        </w:rPr>
        <w:t>”</w:t>
      </w:r>
      <w:r w:rsidRPr="007D48B0">
        <w:rPr>
          <w:rFonts w:ascii="Verdana" w:eastAsia="Calibri" w:hAnsi="Verdana" w:cs="Arial"/>
        </w:rPr>
        <w:t>, regulando cada una de las causales</w:t>
      </w:r>
      <w:r w:rsidRPr="007D48B0">
        <w:rPr>
          <w:rStyle w:val="Refdenotaalpie"/>
          <w:rFonts w:ascii="Verdana" w:eastAsia="Calibri" w:hAnsi="Verdana" w:cs="Arial"/>
        </w:rPr>
        <w:footnoteReference w:id="5"/>
      </w:r>
      <w:r w:rsidRPr="007D48B0">
        <w:rPr>
          <w:rFonts w:ascii="Verdana" w:eastAsia="Calibri" w:hAnsi="Verdana" w:cs="Arial"/>
        </w:rPr>
        <w:t xml:space="preserve">. </w:t>
      </w:r>
    </w:p>
    <w:p w14:paraId="555B697F" w14:textId="77777777" w:rsidR="0066300B" w:rsidRPr="007D48B0" w:rsidRDefault="0066300B" w:rsidP="0066300B">
      <w:pPr>
        <w:spacing w:after="0" w:line="276" w:lineRule="auto"/>
        <w:ind w:firstLine="708"/>
        <w:jc w:val="both"/>
        <w:rPr>
          <w:rFonts w:ascii="Verdana" w:eastAsia="Calibri" w:hAnsi="Verdana" w:cs="Arial"/>
        </w:rPr>
      </w:pPr>
      <w:bookmarkStart w:id="5" w:name="_Hlk39174727"/>
      <w:r w:rsidRPr="007D48B0">
        <w:rPr>
          <w:rFonts w:ascii="Verdana" w:eastAsia="Calibri" w:hAnsi="Verdana" w:cs="Arial"/>
        </w:rPr>
        <w:t>Se trata de un procedimiento que, conforme a la reglamentación que expida el Gobierno Nacional, agiliza la contratación estatal en los eventos en que no se justifica adelantar una licitación pública, pero tampoco limitar la participación de los proponentes como en la contratación directa, de forma tal que es un mecanismo de selección objetiva que asegura una mayor concurrencia de participantes sin sacrificar los principios de eficacia y eficiencia en el proceso de selección</w:t>
      </w:r>
      <w:bookmarkEnd w:id="3"/>
      <w:bookmarkEnd w:id="5"/>
      <w:r w:rsidRPr="007D48B0">
        <w:rPr>
          <w:rFonts w:ascii="Verdana" w:eastAsia="Calibri" w:hAnsi="Verdana" w:cs="Arial"/>
        </w:rPr>
        <w:t>. En la exposición de motivos se explica lo siguiente:</w:t>
      </w:r>
    </w:p>
    <w:p w14:paraId="2EEB19A2" w14:textId="77777777" w:rsidR="0066300B" w:rsidRPr="007D48B0" w:rsidRDefault="0066300B" w:rsidP="0066300B">
      <w:pPr>
        <w:spacing w:after="0" w:line="276" w:lineRule="auto"/>
        <w:jc w:val="both"/>
        <w:rPr>
          <w:rFonts w:ascii="Verdana" w:eastAsia="Calibri" w:hAnsi="Verdana" w:cs="Arial"/>
        </w:rPr>
      </w:pPr>
    </w:p>
    <w:p w14:paraId="0C43364B" w14:textId="77777777" w:rsidR="0066300B" w:rsidRPr="00C11001" w:rsidRDefault="0066300B" w:rsidP="0066300B">
      <w:pPr>
        <w:spacing w:after="12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Si bien la Licitación Pública sigue siendo la regla general, la misma pasa a reservarse para los procesos en los que la complejidad del objeto a contratar amerita la larga y cuidadosa ponderación de factores técnicos y económicos de las propuestas […].</w:t>
      </w:r>
    </w:p>
    <w:p w14:paraId="098697F1" w14:textId="77777777" w:rsidR="0066300B" w:rsidRPr="00C11001" w:rsidRDefault="0066300B" w:rsidP="0066300B">
      <w:pPr>
        <w:spacing w:after="120" w:line="240" w:lineRule="auto"/>
        <w:ind w:left="709" w:right="709"/>
        <w:jc w:val="both"/>
        <w:rPr>
          <w:rFonts w:ascii="Verdana" w:eastAsia="Calibri" w:hAnsi="Verdana" w:cs="Arial"/>
          <w:sz w:val="20"/>
          <w:szCs w:val="20"/>
        </w:rPr>
      </w:pPr>
      <w:r w:rsidRPr="00C11001">
        <w:rPr>
          <w:rFonts w:ascii="Verdana" w:eastAsia="Calibri" w:hAnsi="Verdana" w:cs="Arial"/>
          <w:sz w:val="20"/>
          <w:szCs w:val="20"/>
        </w:rPr>
        <w:t xml:space="preserve">– Se crea la llamada </w:t>
      </w:r>
      <w:r>
        <w:rPr>
          <w:rFonts w:ascii="Verdana" w:eastAsia="Calibri" w:hAnsi="Verdana" w:cs="Arial"/>
          <w:sz w:val="20"/>
          <w:szCs w:val="20"/>
        </w:rPr>
        <w:t>‘</w:t>
      </w:r>
      <w:r w:rsidRPr="00C11001">
        <w:rPr>
          <w:rFonts w:ascii="Verdana" w:eastAsia="Calibri" w:hAnsi="Verdana" w:cs="Arial"/>
          <w:sz w:val="20"/>
          <w:szCs w:val="20"/>
        </w:rPr>
        <w:t>selección abreviada</w:t>
      </w:r>
      <w:r>
        <w:rPr>
          <w:rFonts w:ascii="Verdana" w:eastAsia="Calibri" w:hAnsi="Verdana" w:cs="Arial"/>
          <w:sz w:val="20"/>
          <w:szCs w:val="20"/>
        </w:rPr>
        <w:t>’</w:t>
      </w:r>
      <w:r w:rsidRPr="00C11001">
        <w:rPr>
          <w:rFonts w:ascii="Verdana" w:eastAsia="Calibri" w:hAnsi="Verdana" w:cs="Arial"/>
          <w:sz w:val="20"/>
          <w:szCs w:val="20"/>
        </w:rPr>
        <w:t>,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 “características técnicas uniformes y de común utilización” […].</w:t>
      </w:r>
    </w:p>
    <w:p w14:paraId="0B7FB0FA" w14:textId="77777777" w:rsidR="0066300B" w:rsidRPr="007D48B0" w:rsidRDefault="0066300B" w:rsidP="0066300B">
      <w:pPr>
        <w:spacing w:after="0" w:line="240" w:lineRule="auto"/>
        <w:ind w:left="709" w:right="709"/>
        <w:jc w:val="both"/>
        <w:rPr>
          <w:rFonts w:ascii="Verdana" w:eastAsia="Calibri" w:hAnsi="Verdana" w:cs="Arial"/>
          <w:sz w:val="21"/>
          <w:szCs w:val="21"/>
        </w:rPr>
      </w:pPr>
      <w:r w:rsidRPr="00C11001">
        <w:rPr>
          <w:rFonts w:ascii="Verdana" w:eastAsia="Calibri" w:hAnsi="Verdana" w:cs="Arial"/>
          <w:sz w:val="20"/>
          <w:szCs w:val="20"/>
        </w:rPr>
        <w:t xml:space="preserve">– Adicionalmente en esta categoría se recoge la llamada </w:t>
      </w:r>
      <w:r>
        <w:rPr>
          <w:rFonts w:ascii="Verdana" w:eastAsia="Calibri" w:hAnsi="Verdana" w:cs="Arial"/>
          <w:sz w:val="20"/>
          <w:szCs w:val="20"/>
        </w:rPr>
        <w:t>‘</w:t>
      </w:r>
      <w:r w:rsidRPr="00C11001">
        <w:rPr>
          <w:rFonts w:ascii="Verdana" w:eastAsia="Calibri" w:hAnsi="Verdana" w:cs="Arial"/>
          <w:sz w:val="20"/>
          <w:szCs w:val="20"/>
        </w:rPr>
        <w:t>menor cuantía</w:t>
      </w:r>
      <w:r>
        <w:rPr>
          <w:rFonts w:ascii="Verdana" w:eastAsia="Calibri" w:hAnsi="Verdana" w:cs="Arial"/>
          <w:sz w:val="20"/>
          <w:szCs w:val="20"/>
        </w:rPr>
        <w:t>’</w:t>
      </w:r>
      <w:r w:rsidRPr="00C11001">
        <w:rPr>
          <w:rFonts w:ascii="Verdana" w:eastAsia="Calibri" w:hAnsi="Verdana" w:cs="Arial"/>
          <w:sz w:val="20"/>
          <w:szCs w:val="20"/>
        </w:rPr>
        <w:t xml:space="preserve"> (sólo aplicable en lo sucesivo a bienes o servicios diferentes de los anteriores), así como otros procesos que por su naturaleza o circunstancias deben ser objeto de tratamiento expedido, tales como la defensa y seguridad nacional, entre otras”</w:t>
      </w:r>
      <w:r w:rsidRPr="00C11001">
        <w:rPr>
          <w:rStyle w:val="Refdenotaalpie"/>
          <w:rFonts w:ascii="Verdana" w:eastAsia="Calibri" w:hAnsi="Verdana" w:cs="Arial"/>
          <w:sz w:val="20"/>
          <w:szCs w:val="20"/>
        </w:rPr>
        <w:footnoteReference w:id="6"/>
      </w:r>
      <w:r w:rsidRPr="00C11001">
        <w:rPr>
          <w:rFonts w:ascii="Verdana" w:eastAsia="Calibri" w:hAnsi="Verdana" w:cs="Arial"/>
          <w:sz w:val="20"/>
          <w:szCs w:val="20"/>
        </w:rPr>
        <w:t>.</w:t>
      </w:r>
    </w:p>
    <w:p w14:paraId="3CB511AE" w14:textId="77777777" w:rsidR="0066300B" w:rsidRPr="007D48B0" w:rsidRDefault="0066300B" w:rsidP="0066300B">
      <w:pPr>
        <w:spacing w:after="0" w:line="276" w:lineRule="auto"/>
        <w:jc w:val="both"/>
        <w:rPr>
          <w:rFonts w:ascii="Verdana" w:eastAsia="Calibri" w:hAnsi="Verdana" w:cs="Arial"/>
        </w:rPr>
      </w:pPr>
    </w:p>
    <w:p w14:paraId="09741628" w14:textId="77777777" w:rsidR="0066300B" w:rsidRDefault="0066300B" w:rsidP="0066300B">
      <w:pPr>
        <w:tabs>
          <w:tab w:val="left" w:pos="0"/>
        </w:tabs>
        <w:spacing w:after="0" w:line="276" w:lineRule="auto"/>
        <w:jc w:val="both"/>
        <w:rPr>
          <w:rFonts w:ascii="Verdana" w:eastAsia="Calibri" w:hAnsi="Verdana" w:cs="Arial"/>
        </w:rPr>
      </w:pPr>
      <w:r>
        <w:rPr>
          <w:rFonts w:ascii="Verdana" w:eastAsia="Calibri" w:hAnsi="Verdana" w:cs="Arial"/>
        </w:rPr>
        <w:tab/>
      </w:r>
      <w:r w:rsidRPr="007D48B0">
        <w:rPr>
          <w:rFonts w:ascii="Verdana" w:eastAsia="Calibri" w:hAnsi="Verdana" w:cs="Arial"/>
        </w:rPr>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2015 desarrolla las causales, regulando el pliego de condiciones, el procedimiento, las etapas, entre otros. Según el Consejo de Estado, el propósito del legislador es </w:t>
      </w:r>
      <w:r>
        <w:rPr>
          <w:rFonts w:ascii="Verdana" w:eastAsia="Calibri" w:hAnsi="Verdana" w:cs="Arial"/>
        </w:rPr>
        <w:t>“</w:t>
      </w:r>
      <w:r w:rsidRPr="007D48B0">
        <w:rPr>
          <w:rFonts w:ascii="Verdana" w:eastAsia="Calibri" w:hAnsi="Verdana" w:cs="Arial"/>
        </w:rPr>
        <w:t>[…] proveer de mayor agilidad y eficiencia la contratación de algunos bienes o servicios, en los que es deseable la concurrencia de oferentes, pero no en los términos y condiciones de una licitación pública, sino de manera abreviada o, en términos de la ley, simplificada</w:t>
      </w:r>
      <w:r>
        <w:rPr>
          <w:rFonts w:ascii="Verdana" w:eastAsia="Calibri" w:hAnsi="Verdana" w:cs="Arial"/>
        </w:rPr>
        <w:t>”</w:t>
      </w:r>
      <w:r w:rsidRPr="007D48B0">
        <w:rPr>
          <w:rStyle w:val="Refdenotaalpie"/>
          <w:rFonts w:ascii="Verdana" w:eastAsia="Calibri" w:hAnsi="Verdana" w:cs="Arial"/>
        </w:rPr>
        <w:footnoteReference w:id="7"/>
      </w:r>
      <w:r w:rsidRPr="007D48B0">
        <w:rPr>
          <w:rFonts w:ascii="Verdana" w:eastAsia="Calibri" w:hAnsi="Verdana" w:cs="Arial"/>
        </w:rPr>
        <w:t>.</w:t>
      </w:r>
    </w:p>
    <w:p w14:paraId="4582BD1F" w14:textId="77777777" w:rsidR="0066300B" w:rsidRDefault="0066300B" w:rsidP="0066300B">
      <w:pPr>
        <w:tabs>
          <w:tab w:val="left" w:pos="0"/>
        </w:tabs>
        <w:spacing w:after="0" w:line="276" w:lineRule="auto"/>
        <w:jc w:val="both"/>
        <w:rPr>
          <w:rFonts w:ascii="Verdana" w:eastAsia="Calibri" w:hAnsi="Verdana" w:cs="Arial"/>
        </w:rPr>
      </w:pPr>
    </w:p>
    <w:p w14:paraId="439E17C4" w14:textId="77777777" w:rsidR="0066300B" w:rsidRPr="00185EE9" w:rsidRDefault="0066300B" w:rsidP="0066300B">
      <w:pPr>
        <w:spacing w:after="120" w:line="276" w:lineRule="auto"/>
        <w:jc w:val="both"/>
        <w:rPr>
          <w:rFonts w:ascii="Verdana" w:eastAsia="Calibri" w:hAnsi="Verdana" w:cs="Arial"/>
          <w:color w:val="000000"/>
          <w:szCs w:val="24"/>
          <w:lang w:val="es-ES_tradnl" w:eastAsia="es-ES_tradnl"/>
        </w:rPr>
      </w:pPr>
      <w:proofErr w:type="spellStart"/>
      <w:r>
        <w:rPr>
          <w:rFonts w:ascii="Verdana" w:eastAsia="Calibri" w:hAnsi="Verdana" w:cs="Arial"/>
        </w:rPr>
        <w:t>ii</w:t>
      </w:r>
      <w:proofErr w:type="spellEnd"/>
      <w:r>
        <w:rPr>
          <w:rFonts w:ascii="Verdana" w:eastAsia="Calibri" w:hAnsi="Verdana" w:cs="Arial"/>
        </w:rPr>
        <w:t xml:space="preserve">. </w:t>
      </w:r>
      <w:r>
        <w:rPr>
          <w:rFonts w:ascii="Verdana" w:eastAsia="Calibri" w:hAnsi="Verdana" w:cs="Arial"/>
          <w:color w:val="000000"/>
          <w:szCs w:val="24"/>
          <w:lang w:val="es-ES_tradnl" w:eastAsia="es-ES_tradnl"/>
        </w:rPr>
        <w:t>E</w:t>
      </w:r>
      <w:r w:rsidRPr="00185EE9">
        <w:rPr>
          <w:rFonts w:ascii="Verdana" w:eastAsia="Calibri" w:hAnsi="Verdana" w:cs="Arial"/>
          <w:color w:val="000000"/>
          <w:szCs w:val="24"/>
          <w:lang w:val="es-ES_tradnl" w:eastAsia="es-ES_tradnl"/>
        </w:rPr>
        <w:t xml:space="preserve">l literal a) del artículo 2.2 de la Ley 1150 de 2007 regula la adquisición o suministro de bienes y servicios de características técnicas uniformes y de común utilización como causal de selección abreviada. Para entender su alcance, es necesario tener en cuenta que </w:t>
      </w:r>
      <w:r w:rsidRPr="00185EE9">
        <w:rPr>
          <w:rFonts w:ascii="Verdana" w:eastAsia="Calibri" w:hAnsi="Verdana" w:cs="Arial"/>
          <w:bCs/>
          <w:color w:val="000000" w:themeColor="text1"/>
        </w:rPr>
        <w:t xml:space="preserve">el artículo 28 del Código Civil dispone que “Las palabras de la ley se entenderán en su sentido natural y obvio, según el uso </w:t>
      </w:r>
      <w:r w:rsidRPr="00185EE9">
        <w:rPr>
          <w:rFonts w:ascii="Verdana" w:eastAsia="Calibri" w:hAnsi="Verdana" w:cs="Arial"/>
          <w:bCs/>
          <w:color w:val="000000" w:themeColor="text1"/>
        </w:rPr>
        <w:lastRenderedPageBreak/>
        <w:t xml:space="preserve">general de las mismas palabras; pero cuando el legislador las haya definido expresamente para ciertas materias, se les dará en éstas su significado legal”; igualmente, el artículo 29 </w:t>
      </w:r>
      <w:r w:rsidRPr="00185EE9">
        <w:rPr>
          <w:rFonts w:ascii="Verdana" w:eastAsia="Calibri" w:hAnsi="Verdana" w:cs="Arial"/>
          <w:bCs/>
          <w:i/>
          <w:iCs/>
          <w:color w:val="000000" w:themeColor="text1"/>
        </w:rPr>
        <w:t>ibidem</w:t>
      </w:r>
      <w:r w:rsidRPr="00185EE9">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185EE9">
        <w:rPr>
          <w:rStyle w:val="Refdenotaalpie"/>
          <w:rFonts w:ascii="Verdana" w:eastAsia="Calibri" w:hAnsi="Verdana" w:cs="Arial"/>
          <w:bCs/>
          <w:color w:val="000000" w:themeColor="text1"/>
        </w:rPr>
        <w:footnoteReference w:id="8"/>
      </w:r>
      <w:r w:rsidRPr="00185EE9">
        <w:rPr>
          <w:rFonts w:ascii="Verdana" w:eastAsia="Calibri" w:hAnsi="Verdana" w:cs="Arial"/>
          <w:bCs/>
          <w:color w:val="000000" w:themeColor="text1"/>
        </w:rPr>
        <w:t xml:space="preserve">. </w:t>
      </w:r>
    </w:p>
    <w:p w14:paraId="23029B50" w14:textId="77777777" w:rsidR="0066300B" w:rsidRPr="00185EE9" w:rsidRDefault="0066300B" w:rsidP="0066300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Por ello, según el literal a) del artículo 2, numeral 2 de la Ley 1150 de 2007, los bienes y servicios de características técnicas uniformes “[…] corresponden a aquellos que poseen las mismas especificaciones técnicas, con independencia de su diseño o de sus características descriptivas, y comparten patrones de desempeño y calidad objetivamente definidos”. Asimismo, el artículo 2.2.1.1.1.3.1 del Decreto 1082 de 2015 los define como aquellos “Bienes y servicios de común utilización con especificaciones técnicas y patrones de desempeño y calidad iguales o similares, que en consecuencia pueden ser agrupados como bienes y servicios homogéneos para su adquisición y a los que se refiere el literal (a) del numeral 2 del artículo 2 de la Ley 1150 de 2007”. De esta manera, conforme a las normas citadas en el párrafo precedente, prima la definición legal sobre el uso general o el significado técnico.  </w:t>
      </w:r>
    </w:p>
    <w:p w14:paraId="360D0F20" w14:textId="77777777" w:rsidR="0066300B" w:rsidRPr="00185EE9" w:rsidRDefault="0066300B" w:rsidP="0066300B">
      <w:pPr>
        <w:spacing w:after="120" w:line="276" w:lineRule="auto"/>
        <w:ind w:firstLine="709"/>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Para identificar los bienes y servicios que corresponden a este tipo, se destacan dos (2) aspectos importantes: la común utilización y la homogeneidad. Para la doctrina, la </w:t>
      </w:r>
      <w:r w:rsidRPr="00185EE9">
        <w:rPr>
          <w:rFonts w:ascii="Verdana" w:eastAsia="Calibri" w:hAnsi="Verdana" w:cs="Arial"/>
          <w:bCs/>
          <w:i/>
          <w:iCs/>
          <w:color w:val="000000" w:themeColor="text1"/>
        </w:rPr>
        <w:t>común utilización</w:t>
      </w:r>
      <w:r w:rsidRPr="00185EE9">
        <w:rPr>
          <w:rFonts w:ascii="Verdana" w:eastAsia="Calibri" w:hAnsi="Verdana" w:cs="Arial"/>
          <w:bCs/>
          <w:color w:val="000000" w:themeColor="text1"/>
        </w:rPr>
        <w:t xml:space="preserve"> “[…] busca que los bienes o servicios que se compren en esta categoría sean de los que se ofrecen en un mercado con un estándar para quienes los demandan, o lo que es igual, que la oferta de los mismos en el mercado ocurriese en condiciones equivalentes para todo interesado en adquirirlos”</w:t>
      </w:r>
      <w:r w:rsidRPr="00185EE9">
        <w:rPr>
          <w:rStyle w:val="Refdenotaalpie"/>
          <w:rFonts w:ascii="Verdana" w:eastAsia="Calibri" w:hAnsi="Verdana" w:cs="Arial"/>
          <w:bCs/>
          <w:color w:val="000000" w:themeColor="text1"/>
        </w:rPr>
        <w:footnoteReference w:id="9"/>
      </w:r>
      <w:r w:rsidRPr="00185EE9">
        <w:rPr>
          <w:rFonts w:ascii="Verdana" w:eastAsia="Calibri" w:hAnsi="Verdana" w:cs="Arial"/>
          <w:bCs/>
          <w:color w:val="000000" w:themeColor="text1"/>
        </w:rPr>
        <w:t xml:space="preserve">. Por su parte, la </w:t>
      </w:r>
      <w:r w:rsidRPr="00185EE9">
        <w:rPr>
          <w:rFonts w:ascii="Verdana" w:eastAsia="Calibri" w:hAnsi="Verdana" w:cs="Arial"/>
          <w:bCs/>
          <w:i/>
          <w:iCs/>
          <w:color w:val="000000" w:themeColor="text1"/>
        </w:rPr>
        <w:t>homogeneidad</w:t>
      </w:r>
      <w:r w:rsidRPr="00185EE9">
        <w:rPr>
          <w:rFonts w:ascii="Verdana" w:eastAsia="Calibri" w:hAnsi="Verdana" w:cs="Arial"/>
          <w:bCs/>
          <w:color w:val="000000" w:themeColor="text1"/>
        </w:rPr>
        <w:t xml:space="preserve"> se refiere a que “[…] </w:t>
      </w:r>
      <w:r w:rsidRPr="00185EE9">
        <w:rPr>
          <w:rFonts w:ascii="Verdana" w:eastAsia="Calibri" w:hAnsi="Verdana" w:cs="Arial"/>
          <w:bCs/>
          <w:color w:val="000000" w:themeColor="text1"/>
        </w:rPr>
        <w:lastRenderedPageBreak/>
        <w:t>sean fácilmente describibles por características mínimas comunes a los de su tipo, excluyendo elementos no esenciales, tales como los de diseño o cualquier otro que no altere la funcionalidad del bien o servicio. Ello debe ser así, en la medida en la cual se busca que la administración logre que compitan bienes o servicios de igual calidad, ofrecidos por los proponentes capaces de satisfacer el requerimiento de la entidad contratante”</w:t>
      </w:r>
      <w:r w:rsidRPr="00185EE9">
        <w:rPr>
          <w:rStyle w:val="Refdenotaalpie"/>
          <w:rFonts w:ascii="Verdana" w:eastAsia="Calibri" w:hAnsi="Verdana" w:cs="Arial"/>
          <w:bCs/>
          <w:color w:val="000000" w:themeColor="text1"/>
        </w:rPr>
        <w:footnoteReference w:id="10"/>
      </w:r>
      <w:r w:rsidRPr="00185EE9">
        <w:rPr>
          <w:rFonts w:ascii="Verdana" w:eastAsia="Calibri" w:hAnsi="Verdana" w:cs="Arial"/>
          <w:bCs/>
          <w:color w:val="000000" w:themeColor="text1"/>
        </w:rPr>
        <w:t>.</w:t>
      </w:r>
    </w:p>
    <w:p w14:paraId="2E0A07E8" w14:textId="77777777" w:rsidR="0066300B" w:rsidRPr="00185EE9" w:rsidRDefault="0066300B" w:rsidP="0066300B">
      <w:pPr>
        <w:spacing w:after="0" w:line="276" w:lineRule="auto"/>
        <w:ind w:firstLine="708"/>
        <w:jc w:val="both"/>
        <w:rPr>
          <w:rFonts w:ascii="Verdana" w:eastAsia="Calibri" w:hAnsi="Verdana" w:cs="Arial"/>
        </w:rPr>
      </w:pPr>
      <w:r w:rsidRPr="00185EE9">
        <w:rPr>
          <w:rFonts w:ascii="Verdana" w:eastAsia="Calibri" w:hAnsi="Verdana" w:cs="Arial"/>
          <w:bCs/>
          <w:color w:val="000000" w:themeColor="text1"/>
        </w:rPr>
        <w:t xml:space="preserve">Los elementos centrales para definir si un bien o servicio se considera de características técnicas uniformes consiste en que posea las mismas especificaciones técnicas y compartan patrones de desempeño y calidad objetivamente definidos. Por ello, es posible adquirirlos en el mercado en condiciones estandarizadas u homogéneas, con independencia de su diseño o de sus características descriptivas, pues éstas no afectan su funcionalidad. La forma cómo se adquieren en el mercado determina si un bien o servicio encaja en esta categoría, de ahí que el Decreto 1082 de 2015 disponga que “[…] pueden ser agrupados como bienes y servicios homogéneos para su adquisición […]”, dado que cuentan con especificaciones técnicas y patrones de desempeño y calidad similares. </w:t>
      </w:r>
      <w:r>
        <w:rPr>
          <w:rFonts w:ascii="Verdana" w:eastAsia="Calibri" w:hAnsi="Verdana" w:cs="Arial"/>
          <w:bCs/>
          <w:color w:val="000000" w:themeColor="text1"/>
        </w:rPr>
        <w:t>Sobre el particular</w:t>
      </w:r>
      <w:r w:rsidRPr="00185EE9">
        <w:rPr>
          <w:rFonts w:ascii="Verdana" w:eastAsia="Calibri" w:hAnsi="Verdana" w:cs="Arial"/>
          <w:bCs/>
          <w:color w:val="000000" w:themeColor="text1"/>
        </w:rPr>
        <w:t xml:space="preserve">, la exposición de motivos de la Ley 1150 de 2007 explica que: </w:t>
      </w:r>
    </w:p>
    <w:p w14:paraId="51DE1B7C" w14:textId="77777777" w:rsidR="0066300B" w:rsidRPr="00185EE9" w:rsidRDefault="0066300B" w:rsidP="0066300B">
      <w:pPr>
        <w:spacing w:after="0" w:line="276" w:lineRule="auto"/>
        <w:jc w:val="both"/>
        <w:rPr>
          <w:rFonts w:ascii="Verdana" w:eastAsia="Calibri" w:hAnsi="Verdana" w:cs="Arial"/>
        </w:rPr>
      </w:pPr>
    </w:p>
    <w:p w14:paraId="50D13378" w14:textId="77777777" w:rsidR="0066300B" w:rsidRPr="006B6861" w:rsidRDefault="0066300B" w:rsidP="0066300B">
      <w:pPr>
        <w:spacing w:after="0" w:line="240" w:lineRule="auto"/>
        <w:ind w:left="709" w:right="709"/>
        <w:jc w:val="both"/>
        <w:rPr>
          <w:rFonts w:ascii="Verdana" w:eastAsia="Calibri" w:hAnsi="Verdana" w:cs="Arial"/>
          <w:sz w:val="20"/>
          <w:szCs w:val="20"/>
        </w:rPr>
      </w:pPr>
      <w:r w:rsidRPr="006B6861">
        <w:rPr>
          <w:rFonts w:ascii="Verdana" w:eastAsia="Calibri" w:hAnsi="Verdana" w:cs="Arial"/>
          <w:sz w:val="20"/>
          <w:szCs w:val="20"/>
        </w:rPr>
        <w:t xml:space="preserve">“[…] las innovaciones del proceso de selección abreviada empiezan por una medida trascendental, para llevar a sólo horas los contratos referidos a la adquisición de bienes de ‘características técnicas uniformes y de común utilización’ que según cálculos del Departamento Nacional de Planeación, corresponden a más del 80% en número de contratos. </w:t>
      </w:r>
      <w:r w:rsidRPr="006B6861">
        <w:rPr>
          <w:rFonts w:ascii="Verdana" w:eastAsia="Calibri" w:hAnsi="Verdana" w:cs="Arial"/>
          <w:i/>
          <w:iCs/>
          <w:sz w:val="20"/>
          <w:szCs w:val="20"/>
        </w:rPr>
        <w:t>De esta forma, en la medida en la cual se trate de adquirir un objeto cuyas características técnicas puedan reducirse a unas comunes a su funcionalidad y calidad, tal proceso debe realizarse únicamente en función del precio del bien, una vez se han verificado las condiciones de capacidad de los proponentes para cumplir con el contrato (‘pasa, no pasa’)</w:t>
      </w:r>
      <w:r w:rsidRPr="006B6861">
        <w:rPr>
          <w:rFonts w:ascii="Verdana" w:eastAsia="Calibri" w:hAnsi="Verdana" w:cs="Arial"/>
          <w:sz w:val="20"/>
          <w:szCs w:val="20"/>
        </w:rPr>
        <w:t xml:space="preserve"> […]”</w:t>
      </w:r>
      <w:r w:rsidRPr="006B6861">
        <w:rPr>
          <w:rStyle w:val="Refdenotaalpie"/>
          <w:rFonts w:ascii="Verdana" w:eastAsia="Calibri" w:hAnsi="Verdana" w:cs="Arial"/>
          <w:sz w:val="20"/>
          <w:szCs w:val="20"/>
        </w:rPr>
        <w:footnoteReference w:id="11"/>
      </w:r>
      <w:r w:rsidRPr="006B6861">
        <w:rPr>
          <w:rFonts w:ascii="Verdana" w:eastAsia="Calibri" w:hAnsi="Verdana" w:cs="Arial"/>
          <w:sz w:val="20"/>
          <w:szCs w:val="20"/>
        </w:rPr>
        <w:t>. (Énfasis fuera de texto)</w:t>
      </w:r>
    </w:p>
    <w:p w14:paraId="04B0711E" w14:textId="77777777" w:rsidR="0066300B" w:rsidRPr="00185EE9" w:rsidRDefault="0066300B" w:rsidP="0066300B">
      <w:pPr>
        <w:spacing w:after="0" w:line="276" w:lineRule="auto"/>
        <w:jc w:val="both"/>
        <w:rPr>
          <w:rFonts w:ascii="Verdana" w:eastAsia="Calibri" w:hAnsi="Verdana" w:cs="Arial"/>
        </w:rPr>
      </w:pPr>
    </w:p>
    <w:p w14:paraId="7FF03C4C" w14:textId="77777777" w:rsidR="0066300B" w:rsidRPr="00185EE9" w:rsidRDefault="0066300B" w:rsidP="0066300B">
      <w:pPr>
        <w:spacing w:after="120" w:line="276" w:lineRule="auto"/>
        <w:ind w:firstLine="709"/>
        <w:jc w:val="both"/>
        <w:rPr>
          <w:rFonts w:ascii="Verdana" w:eastAsia="Calibri" w:hAnsi="Verdana" w:cs="Arial"/>
        </w:rPr>
      </w:pPr>
      <w:r w:rsidRPr="00185EE9">
        <w:rPr>
          <w:rFonts w:ascii="Verdana" w:eastAsia="Calibri" w:hAnsi="Verdana" w:cs="Arial"/>
        </w:rPr>
        <w:t xml:space="preserve">En este contexto, la doctrina identifica como bienes o servicios de características técnicas los insumos de oficina –bolígrafos, cartuchos de tinta, papel de impresora, tijeras, cuadernos, entre otros–, los insumos de limpieza –bolsas de basura, esponjas, limpiador de pisos, papel higiénico, toallas de papel, </w:t>
      </w:r>
      <w:r w:rsidRPr="00185EE9">
        <w:rPr>
          <w:rFonts w:ascii="Verdana" w:eastAsia="Calibri" w:hAnsi="Verdana" w:cs="Arial"/>
        </w:rPr>
        <w:lastRenderedPageBreak/>
        <w:t>entre otros–, y los insumos de cocina –agua, aromáticas, azúcar, café, servilletas, entre otros–. También identifica como tales los muebles y enseres –archivos, asientos, escritorios, mesas, entre otros–, los equipos –computadores, escáneres, impresoras, proyectores, entre otros–, los combustibles –ACPM, biodiesel, gasolina, combustible diésel, entre otros–, los servicios de mantenimiento –equipos electrónicos, de comunicaciones, entre otros–, etc.</w:t>
      </w:r>
      <w:r w:rsidRPr="00185EE9">
        <w:rPr>
          <w:rStyle w:val="Refdenotaalpie"/>
          <w:rFonts w:ascii="Verdana" w:eastAsia="Calibri" w:hAnsi="Verdana" w:cs="Arial"/>
        </w:rPr>
        <w:footnoteReference w:id="12"/>
      </w:r>
    </w:p>
    <w:p w14:paraId="3E463CDA" w14:textId="77777777" w:rsidR="0066300B" w:rsidRDefault="0066300B" w:rsidP="0066300B">
      <w:pPr>
        <w:tabs>
          <w:tab w:val="left" w:pos="0"/>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185EE9">
        <w:rPr>
          <w:rFonts w:ascii="Verdana" w:eastAsia="Calibri" w:hAnsi="Verdana" w:cs="Arial"/>
          <w:bCs/>
          <w:color w:val="000000" w:themeColor="text1"/>
        </w:rPr>
        <w:t>En definitiva, la nota común de este conjunto de bienes y servicios es que, con independencia de sus características descriptivas, comparten patrones de desempeño y calidad similares para la satisfacción de la necesidad a la que atienden. Igualmente, el inciso segundo del literal a) del artículo 2, numeral 2 de la Ley 1150 de 2007 dispone que “</w:t>
      </w:r>
      <w:r w:rsidRPr="00185EE9">
        <w:rPr>
          <w:rFonts w:ascii="Verdana" w:eastAsia="Calibri" w:hAnsi="Verdana" w:cs="Arial"/>
          <w:bCs/>
          <w:i/>
          <w:iCs/>
          <w:color w:val="000000" w:themeColor="text1"/>
        </w:rPr>
        <w:t>Para la adquisición de estos bienes y servicios las entidades deberán</w:t>
      </w:r>
      <w:r w:rsidRPr="00185EE9">
        <w:rPr>
          <w:rFonts w:ascii="Verdana" w:eastAsia="Calibri" w:hAnsi="Verdana" w:cs="Arial"/>
          <w:bCs/>
          <w:color w:val="000000" w:themeColor="text1"/>
        </w:rPr>
        <w:t xml:space="preserve">, siempre que el reglamento así lo señale, </w:t>
      </w:r>
      <w:r w:rsidRPr="00185EE9">
        <w:rPr>
          <w:rFonts w:ascii="Verdana" w:eastAsia="Calibri" w:hAnsi="Verdana" w:cs="Arial"/>
          <w:bCs/>
          <w:i/>
          <w:iCs/>
          <w:color w:val="000000" w:themeColor="text1"/>
        </w:rPr>
        <w:t>hacer uso</w:t>
      </w:r>
      <w:r w:rsidRPr="00185EE9">
        <w:rPr>
          <w:rFonts w:ascii="Verdana" w:eastAsia="Calibri" w:hAnsi="Verdana" w:cs="Arial"/>
          <w:bCs/>
          <w:color w:val="000000" w:themeColor="text1"/>
        </w:rPr>
        <w:t xml:space="preserve"> </w:t>
      </w:r>
      <w:r w:rsidRPr="000E5886">
        <w:rPr>
          <w:rFonts w:ascii="Verdana" w:eastAsia="Calibri" w:hAnsi="Verdana" w:cs="Arial"/>
          <w:bCs/>
          <w:i/>
          <w:iCs/>
          <w:color w:val="000000" w:themeColor="text1"/>
        </w:rPr>
        <w:t>de procedimientos de subasta inversa</w:t>
      </w:r>
      <w:r w:rsidRPr="00185EE9">
        <w:rPr>
          <w:rFonts w:ascii="Verdana" w:eastAsia="Calibri" w:hAnsi="Verdana" w:cs="Arial"/>
          <w:bCs/>
          <w:color w:val="000000" w:themeColor="text1"/>
        </w:rPr>
        <w:t xml:space="preserve"> o de instrumentos de compra por catálogo derivados de la celebración de acuerdos marco de precios </w:t>
      </w:r>
      <w:r w:rsidRPr="000E5886">
        <w:rPr>
          <w:rFonts w:ascii="Verdana" w:eastAsia="Calibri" w:hAnsi="Verdana" w:cs="Arial"/>
          <w:bCs/>
          <w:color w:val="000000" w:themeColor="text1"/>
        </w:rPr>
        <w:t>o de procedimientos de adquisición en bolsas de productos</w:t>
      </w:r>
      <w:r w:rsidRPr="00185EE9">
        <w:rPr>
          <w:rFonts w:ascii="Verdana" w:eastAsia="Calibri" w:hAnsi="Verdana" w:cs="Arial"/>
          <w:bCs/>
          <w:color w:val="000000" w:themeColor="text1"/>
        </w:rPr>
        <w:t>” (Énfasis fuera de texto). Estos mecanismos se aplicarán en la forma que disponga el Decreto 1082 de 2015 para para cada uno de ellos.</w:t>
      </w:r>
    </w:p>
    <w:p w14:paraId="279939CF" w14:textId="77777777" w:rsidR="0066300B" w:rsidRDefault="0066300B" w:rsidP="0066300B">
      <w:pPr>
        <w:tabs>
          <w:tab w:val="left" w:pos="0"/>
        </w:tabs>
        <w:spacing w:after="0" w:line="276" w:lineRule="auto"/>
        <w:jc w:val="both"/>
        <w:rPr>
          <w:rFonts w:ascii="Verdana" w:eastAsia="Calibri" w:hAnsi="Verdana" w:cs="Arial"/>
        </w:rPr>
      </w:pPr>
    </w:p>
    <w:p w14:paraId="3C4B8008" w14:textId="77777777" w:rsidR="0066300B" w:rsidRDefault="0066300B" w:rsidP="0066300B">
      <w:pPr>
        <w:tabs>
          <w:tab w:val="left" w:pos="0"/>
        </w:tabs>
        <w:spacing w:after="0" w:line="276" w:lineRule="auto"/>
        <w:jc w:val="both"/>
        <w:rPr>
          <w:rFonts w:ascii="Verdana" w:hAnsi="Verdana" w:cs="Arial"/>
          <w:bCs/>
          <w:lang w:val="es-ES_tradnl"/>
        </w:rPr>
      </w:pPr>
      <w:proofErr w:type="spellStart"/>
      <w:r>
        <w:rPr>
          <w:rFonts w:ascii="Verdana" w:hAnsi="Verdana" w:cs="Arial"/>
          <w:color w:val="000000" w:themeColor="text1"/>
          <w:lang w:val="es-ES"/>
        </w:rPr>
        <w:t>iii</w:t>
      </w:r>
      <w:proofErr w:type="spellEnd"/>
      <w:r>
        <w:rPr>
          <w:rFonts w:ascii="Verdana" w:hAnsi="Verdana" w:cs="Arial"/>
          <w:color w:val="000000" w:themeColor="text1"/>
          <w:lang w:val="es-ES"/>
        </w:rPr>
        <w:t xml:space="preserve">. </w:t>
      </w:r>
      <w:r>
        <w:rPr>
          <w:rFonts w:ascii="Verdana" w:hAnsi="Verdana" w:cs="Arial"/>
          <w:bCs/>
          <w:lang w:val="es-ES_tradnl"/>
        </w:rPr>
        <w:t xml:space="preserve">En la </w:t>
      </w:r>
      <w:r w:rsidRPr="00D842EE">
        <w:rPr>
          <w:rFonts w:ascii="Verdana" w:hAnsi="Verdana" w:cs="Arial"/>
          <w:bCs/>
          <w:i/>
          <w:iCs/>
          <w:lang w:val="es-ES_tradnl"/>
        </w:rPr>
        <w:t>subasta ordinaria</w:t>
      </w:r>
      <w:r>
        <w:rPr>
          <w:rFonts w:ascii="Verdana" w:hAnsi="Verdana" w:cs="Arial"/>
          <w:bCs/>
          <w:lang w:val="es-ES_tradnl"/>
        </w:rPr>
        <w:t xml:space="preserve"> </w:t>
      </w:r>
      <w:r w:rsidRPr="00D842EE">
        <w:rPr>
          <w:rFonts w:ascii="Verdana" w:hAnsi="Verdana" w:cs="Arial"/>
          <w:bCs/>
          <w:lang w:val="es-ES_tradnl"/>
        </w:rPr>
        <w:t>los compradores compiten para obtener un bien</w:t>
      </w:r>
      <w:r>
        <w:rPr>
          <w:rFonts w:ascii="Verdana" w:hAnsi="Verdana" w:cs="Arial"/>
          <w:bCs/>
          <w:lang w:val="es-ES_tradnl"/>
        </w:rPr>
        <w:t xml:space="preserve"> o servicio</w:t>
      </w:r>
      <w:r w:rsidRPr="00D842EE">
        <w:rPr>
          <w:rFonts w:ascii="Verdana" w:hAnsi="Verdana" w:cs="Arial"/>
          <w:bCs/>
          <w:lang w:val="es-ES_tradnl"/>
        </w:rPr>
        <w:t xml:space="preserve"> ofreciendo precios cada vez más altos</w:t>
      </w:r>
      <w:r>
        <w:rPr>
          <w:rFonts w:ascii="Verdana" w:hAnsi="Verdana" w:cs="Arial"/>
          <w:bCs/>
          <w:lang w:val="es-ES_tradnl"/>
        </w:rPr>
        <w:t xml:space="preserve"> al vendedor. Sin embargo, la </w:t>
      </w:r>
      <w:r w:rsidRPr="00D842EE">
        <w:rPr>
          <w:rFonts w:ascii="Verdana" w:hAnsi="Verdana" w:cs="Arial"/>
          <w:bCs/>
          <w:i/>
          <w:iCs/>
          <w:lang w:val="es-ES_tradnl"/>
        </w:rPr>
        <w:t>subasta inversa</w:t>
      </w:r>
      <w:r>
        <w:rPr>
          <w:rFonts w:ascii="Verdana" w:hAnsi="Verdana" w:cs="Arial"/>
          <w:bCs/>
          <w:lang w:val="es-ES_tradnl"/>
        </w:rPr>
        <w:t xml:space="preserve"> implica un intercambio es estos roles, es decir, l</w:t>
      </w:r>
      <w:r w:rsidRPr="00D842EE">
        <w:rPr>
          <w:rFonts w:ascii="Verdana" w:hAnsi="Verdana" w:cs="Arial"/>
          <w:bCs/>
          <w:lang w:val="es-ES_tradnl"/>
        </w:rPr>
        <w:t xml:space="preserve">os vendedores compiten para </w:t>
      </w:r>
      <w:r>
        <w:rPr>
          <w:rFonts w:ascii="Verdana" w:hAnsi="Verdana" w:cs="Arial"/>
          <w:bCs/>
          <w:lang w:val="es-ES_tradnl"/>
        </w:rPr>
        <w:t>suscribir el contrato con el</w:t>
      </w:r>
      <w:r w:rsidRPr="00D842EE">
        <w:rPr>
          <w:rFonts w:ascii="Verdana" w:hAnsi="Verdana" w:cs="Arial"/>
          <w:bCs/>
          <w:lang w:val="es-ES_tradnl"/>
        </w:rPr>
        <w:t xml:space="preserve"> comprador y los precios</w:t>
      </w:r>
      <w:r>
        <w:rPr>
          <w:rFonts w:ascii="Verdana" w:hAnsi="Verdana" w:cs="Arial"/>
          <w:bCs/>
          <w:lang w:val="es-ES_tradnl"/>
        </w:rPr>
        <w:t xml:space="preserve"> disminuyen</w:t>
      </w:r>
      <w:r w:rsidRPr="00D842EE">
        <w:rPr>
          <w:rFonts w:ascii="Verdana" w:hAnsi="Verdana" w:cs="Arial"/>
          <w:bCs/>
          <w:lang w:val="es-ES_tradnl"/>
        </w:rPr>
        <w:t xml:space="preserve"> a medida</w:t>
      </w:r>
      <w:r>
        <w:rPr>
          <w:rFonts w:ascii="Verdana" w:hAnsi="Verdana" w:cs="Arial"/>
          <w:bCs/>
          <w:lang w:val="es-ES_tradnl"/>
        </w:rPr>
        <w:t xml:space="preserve"> que existe puja entre los oferentes. En este sentido, autores como </w:t>
      </w:r>
      <w:r w:rsidRPr="00ED5D6E">
        <w:rPr>
          <w:rFonts w:ascii="Verdana" w:hAnsi="Verdana" w:cs="Arial"/>
          <w:bCs/>
          <w:lang w:val="es-ES_tradnl"/>
        </w:rPr>
        <w:t>RENGIFO GARDEAZÁBAL</w:t>
      </w:r>
      <w:r>
        <w:rPr>
          <w:rFonts w:ascii="Verdana" w:hAnsi="Verdana" w:cs="Arial"/>
          <w:bCs/>
          <w:lang w:val="es-ES_tradnl"/>
        </w:rPr>
        <w:t xml:space="preserve"> también explican que:</w:t>
      </w:r>
    </w:p>
    <w:p w14:paraId="377B97D6" w14:textId="77777777" w:rsidR="0066300B" w:rsidRDefault="0066300B" w:rsidP="0066300B">
      <w:pPr>
        <w:tabs>
          <w:tab w:val="left" w:pos="0"/>
        </w:tabs>
        <w:spacing w:after="0" w:line="276" w:lineRule="auto"/>
        <w:jc w:val="both"/>
        <w:rPr>
          <w:rFonts w:ascii="Verdana" w:hAnsi="Verdana" w:cs="Arial"/>
          <w:bCs/>
          <w:lang w:val="es-ES_tradnl"/>
        </w:rPr>
      </w:pPr>
    </w:p>
    <w:p w14:paraId="1B7CB9EC" w14:textId="77777777" w:rsidR="0066300B" w:rsidRPr="00842E58" w:rsidRDefault="0066300B" w:rsidP="0066300B">
      <w:pPr>
        <w:tabs>
          <w:tab w:val="left" w:pos="0"/>
        </w:tabs>
        <w:spacing w:after="120" w:line="240" w:lineRule="auto"/>
        <w:ind w:left="709" w:right="709"/>
        <w:jc w:val="both"/>
        <w:rPr>
          <w:rFonts w:ascii="Verdana" w:hAnsi="Verdana" w:cs="Arial"/>
          <w:bCs/>
          <w:sz w:val="20"/>
          <w:szCs w:val="20"/>
        </w:rPr>
      </w:pPr>
      <w:r w:rsidRPr="00842E58">
        <w:rPr>
          <w:rFonts w:ascii="Verdana" w:hAnsi="Verdana" w:cs="Arial"/>
          <w:bCs/>
          <w:sz w:val="20"/>
          <w:szCs w:val="20"/>
          <w:lang w:val="es-ES_tradnl"/>
        </w:rPr>
        <w:t>“</w:t>
      </w:r>
      <w:r w:rsidRPr="00842E58">
        <w:rPr>
          <w:rFonts w:ascii="Verdana" w:hAnsi="Verdana" w:cs="Arial"/>
          <w:bCs/>
          <w:sz w:val="20"/>
          <w:szCs w:val="20"/>
        </w:rPr>
        <w:t xml:space="preserve">Según el tipo de posición jurídica que ocupen el subastador y el postor, se dice que la subasta puede ser ordinaria o inversa. En la </w:t>
      </w:r>
      <w:r w:rsidRPr="00842E58">
        <w:rPr>
          <w:rFonts w:ascii="Verdana" w:hAnsi="Verdana" w:cs="Arial"/>
          <w:bCs/>
          <w:i/>
          <w:iCs/>
          <w:sz w:val="20"/>
          <w:szCs w:val="20"/>
        </w:rPr>
        <w:t>subasta ordinaria</w:t>
      </w:r>
      <w:r w:rsidRPr="00842E58">
        <w:rPr>
          <w:rFonts w:ascii="Verdana" w:hAnsi="Verdana" w:cs="Arial"/>
          <w:bCs/>
          <w:sz w:val="20"/>
          <w:szCs w:val="20"/>
        </w:rPr>
        <w:t xml:space="preserve"> el subastador pone a la venta un bien para que los postores ofrezcan el mejor precio. Así pues, el subastador hace las veces de vendedor y el postor o licitante ofrece un precio. La subasta ordinaria o de venta es el caso más común. El procedimiento está pensado para que el subastador le adjudique el bien al mejor postor, es decir, a quien ofrezca el mejor precio. </w:t>
      </w:r>
    </w:p>
    <w:p w14:paraId="1AF549A9" w14:textId="77777777" w:rsidR="0066300B" w:rsidRDefault="0066300B" w:rsidP="0066300B">
      <w:pPr>
        <w:tabs>
          <w:tab w:val="left" w:pos="0"/>
        </w:tabs>
        <w:spacing w:after="0" w:line="240" w:lineRule="auto"/>
        <w:ind w:left="709" w:right="709"/>
        <w:jc w:val="both"/>
        <w:rPr>
          <w:rFonts w:ascii="Verdana" w:hAnsi="Verdana" w:cs="Arial"/>
          <w:bCs/>
        </w:rPr>
      </w:pPr>
      <w:r w:rsidRPr="00ED5D6E">
        <w:rPr>
          <w:rFonts w:ascii="Verdana" w:hAnsi="Verdana" w:cs="Arial"/>
          <w:bCs/>
          <w:sz w:val="20"/>
          <w:szCs w:val="20"/>
        </w:rPr>
        <w:t xml:space="preserve">En la </w:t>
      </w:r>
      <w:r w:rsidRPr="00ED5D6E">
        <w:rPr>
          <w:rFonts w:ascii="Verdana" w:hAnsi="Verdana" w:cs="Arial"/>
          <w:bCs/>
          <w:i/>
          <w:iCs/>
          <w:sz w:val="20"/>
          <w:szCs w:val="20"/>
        </w:rPr>
        <w:t>subasta inversa</w:t>
      </w:r>
      <w:r w:rsidRPr="00ED5D6E">
        <w:rPr>
          <w:rFonts w:ascii="Verdana" w:hAnsi="Verdana" w:cs="Arial"/>
          <w:bCs/>
          <w:sz w:val="20"/>
          <w:szCs w:val="20"/>
        </w:rPr>
        <w:t xml:space="preserve"> el subastador invita a posibles vendedores o pro-veedores para que los postores ofrezcan sus mejores productos o servicios. El subastador hace las veces de comprador y los postores, de </w:t>
      </w:r>
      <w:r w:rsidRPr="00ED5D6E">
        <w:rPr>
          <w:rFonts w:ascii="Verdana" w:hAnsi="Verdana" w:cs="Arial"/>
          <w:bCs/>
          <w:sz w:val="20"/>
          <w:szCs w:val="20"/>
        </w:rPr>
        <w:lastRenderedPageBreak/>
        <w:t>eventuales vendedores o proveedores. El procedimiento se ha concebido para que el subastado adquiera el producto o servicio más barato. La subasta inversa o de compra suele ser empleada con frecuencia por las empresas estatales que requieren reducir costos</w:t>
      </w:r>
      <w:r w:rsidRPr="00842E58">
        <w:rPr>
          <w:rFonts w:ascii="Verdana" w:hAnsi="Verdana" w:cs="Arial"/>
          <w:bCs/>
          <w:sz w:val="20"/>
          <w:szCs w:val="20"/>
        </w:rPr>
        <w:t>”</w:t>
      </w:r>
      <w:r>
        <w:rPr>
          <w:rStyle w:val="Refdenotaalpie"/>
          <w:rFonts w:ascii="Verdana" w:hAnsi="Verdana" w:cs="Arial"/>
          <w:bCs/>
          <w:sz w:val="20"/>
          <w:szCs w:val="20"/>
        </w:rPr>
        <w:footnoteReference w:id="13"/>
      </w:r>
      <w:r w:rsidRPr="00ED5D6E">
        <w:rPr>
          <w:rFonts w:ascii="Verdana" w:hAnsi="Verdana" w:cs="Arial"/>
          <w:bCs/>
          <w:sz w:val="20"/>
          <w:szCs w:val="20"/>
        </w:rPr>
        <w:t>.</w:t>
      </w:r>
    </w:p>
    <w:p w14:paraId="4F179157" w14:textId="77777777" w:rsidR="0066300B" w:rsidRDefault="0066300B" w:rsidP="0066300B">
      <w:pPr>
        <w:tabs>
          <w:tab w:val="left" w:pos="0"/>
        </w:tabs>
        <w:spacing w:after="0" w:line="276" w:lineRule="auto"/>
        <w:jc w:val="both"/>
        <w:rPr>
          <w:rFonts w:ascii="Verdana" w:hAnsi="Verdana" w:cs="Arial"/>
          <w:bCs/>
        </w:rPr>
      </w:pPr>
    </w:p>
    <w:p w14:paraId="562F923E" w14:textId="77777777" w:rsidR="0066300B" w:rsidRDefault="0066300B" w:rsidP="0066300B">
      <w:pPr>
        <w:spacing w:after="120" w:line="276" w:lineRule="auto"/>
        <w:ind w:firstLine="709"/>
        <w:jc w:val="both"/>
        <w:rPr>
          <w:rFonts w:ascii="Verdana" w:hAnsi="Verdana" w:cs="Arial"/>
          <w:lang w:val="es-ES"/>
        </w:rPr>
      </w:pPr>
      <w:r w:rsidRPr="193AA664">
        <w:rPr>
          <w:rFonts w:ascii="Verdana" w:hAnsi="Verdana" w:cs="Arial"/>
          <w:lang w:val="es-ES"/>
        </w:rPr>
        <w:t xml:space="preserve">Conforme al artículo 5.3 de la Ley 1150 de 2007, las entidades estatales incluirán como único factor de evaluación el menor precio ofrecido; razón por la cual, el artículo 2.2.1.2.1.2.2 del Decreto 1082 de 2015 regula los lances entre los proponentes que participan en la subasta. Particularmente, los numerales 6, 7, 8 y 9 disponen los siguiente: i) “La subasta debe iniciar con el precio más bajo indicado por los oferentes y en consecuencia, solamente serán válidos los Lances efectuados durante la subasta inversa en los cuales la oferta sea mejorada en por lo menos el Margen Mínimo establecido”, </w:t>
      </w:r>
      <w:proofErr w:type="spellStart"/>
      <w:r w:rsidRPr="193AA664">
        <w:rPr>
          <w:rFonts w:ascii="Verdana" w:hAnsi="Verdana" w:cs="Arial"/>
          <w:lang w:val="es-ES"/>
        </w:rPr>
        <w:t>ii</w:t>
      </w:r>
      <w:proofErr w:type="spellEnd"/>
      <w:r w:rsidRPr="193AA664">
        <w:rPr>
          <w:rFonts w:ascii="Verdana" w:hAnsi="Verdana" w:cs="Arial"/>
          <w:lang w:val="es-ES"/>
        </w:rPr>
        <w:t xml:space="preserve">) “Si los oferentes no presentan Lances durante la subasta, la Entidad Estatal debe adjudicar el contrato al oferente que haya presentado el precio inicial más bajo”, </w:t>
      </w:r>
      <w:proofErr w:type="spellStart"/>
      <w:r w:rsidRPr="193AA664">
        <w:rPr>
          <w:rFonts w:ascii="Verdana" w:hAnsi="Verdana" w:cs="Arial"/>
          <w:lang w:val="es-ES"/>
        </w:rPr>
        <w:t>iii</w:t>
      </w:r>
      <w:proofErr w:type="spellEnd"/>
      <w:r w:rsidRPr="193AA664">
        <w:rPr>
          <w:rFonts w:ascii="Verdana" w:hAnsi="Verdana" w:cs="Arial"/>
          <w:lang w:val="es-ES"/>
        </w:rPr>
        <w:t xml:space="preserve">) “Al terminar la presentación de cada Lance, la Entidad Estatal debe informar el valor del Lance más bajo” y </w:t>
      </w:r>
      <w:proofErr w:type="spellStart"/>
      <w:r w:rsidRPr="193AA664">
        <w:rPr>
          <w:rFonts w:ascii="Verdana" w:hAnsi="Verdana" w:cs="Arial"/>
          <w:lang w:val="es-ES"/>
        </w:rPr>
        <w:t>iv</w:t>
      </w:r>
      <w:proofErr w:type="spellEnd"/>
      <w:r w:rsidRPr="193AA664">
        <w:rPr>
          <w:rFonts w:ascii="Verdana" w:hAnsi="Verdana" w:cs="Arial"/>
          <w:lang w:val="es-ES"/>
        </w:rPr>
        <w:t>) “Si al terminar la subasta inversa hay empate, la Entidad Estatal debe aplicar los criterios del artículo 35 de la Ley 2069 de 2020 conforme con los medios de acreditación del artículo 2.2.1.2.4.2.17 del presente decreto”.</w:t>
      </w:r>
    </w:p>
    <w:p w14:paraId="7A0A33FB" w14:textId="77777777" w:rsidR="0066300B" w:rsidRDefault="0066300B" w:rsidP="0066300B">
      <w:pPr>
        <w:spacing w:after="120" w:line="276" w:lineRule="auto"/>
        <w:ind w:firstLine="709"/>
        <w:jc w:val="both"/>
        <w:rPr>
          <w:rFonts w:ascii="Verdana" w:hAnsi="Verdana" w:cs="Arial"/>
          <w:bCs/>
          <w:lang w:val="es-ES_tradnl"/>
        </w:rPr>
      </w:pPr>
      <w:r>
        <w:rPr>
          <w:rFonts w:ascii="Verdana" w:hAnsi="Verdana" w:cs="Arial"/>
          <w:bCs/>
          <w:lang w:val="es-ES_tradnl"/>
        </w:rPr>
        <w:t xml:space="preserve">Con sujeción a los criterios descritos en la norma citada en el párrafo precedente, así como lo dispuesto en los artículos </w:t>
      </w:r>
      <w:r w:rsidRPr="00A2511F">
        <w:rPr>
          <w:rFonts w:ascii="Verdana" w:hAnsi="Verdana" w:cs="Arial"/>
          <w:bCs/>
          <w:lang w:val="es-ES_tradnl"/>
        </w:rPr>
        <w:t>2.2.1.2.1.2.3</w:t>
      </w:r>
      <w:r>
        <w:rPr>
          <w:rFonts w:ascii="Verdana" w:hAnsi="Verdana" w:cs="Arial"/>
          <w:bCs/>
          <w:lang w:val="es-ES_tradnl"/>
        </w:rPr>
        <w:t xml:space="preserve"> y </w:t>
      </w:r>
      <w:r w:rsidRPr="00A2511F">
        <w:rPr>
          <w:rFonts w:ascii="Verdana" w:hAnsi="Verdana" w:cs="Arial"/>
          <w:bCs/>
          <w:lang w:val="es-ES_tradnl"/>
        </w:rPr>
        <w:t>2.2.1.2.1.2.4</w:t>
      </w:r>
      <w:r>
        <w:rPr>
          <w:rFonts w:ascii="Verdana" w:hAnsi="Verdana" w:cs="Arial"/>
          <w:bCs/>
          <w:lang w:val="es-ES_tradnl"/>
        </w:rPr>
        <w:t xml:space="preserve"> del Decreto 1082 de 2015, las entidades pueden establecer </w:t>
      </w:r>
      <w:r w:rsidRPr="00B71DCC">
        <w:rPr>
          <w:rFonts w:ascii="Verdana" w:hAnsi="Verdana" w:cs="Arial"/>
          <w:bCs/>
          <w:i/>
          <w:iCs/>
          <w:lang w:val="es-ES_tradnl"/>
        </w:rPr>
        <w:t>reglas específicas para el desarrollo de las subastas</w:t>
      </w:r>
      <w:r>
        <w:rPr>
          <w:rFonts w:ascii="Verdana" w:hAnsi="Verdana" w:cs="Arial"/>
          <w:bCs/>
          <w:lang w:val="es-ES_tradnl"/>
        </w:rPr>
        <w:t xml:space="preserve"> en el pliego de condiciones. </w:t>
      </w:r>
      <w:r w:rsidRPr="004C07B7">
        <w:rPr>
          <w:rFonts w:ascii="Verdana" w:hAnsi="Verdana" w:cs="Arial"/>
          <w:bCs/>
          <w:lang w:val="es-ES_tradnl"/>
        </w:rPr>
        <w:t xml:space="preserve">Entre estos aspectos se encuentran las causales de rechazo, así como los </w:t>
      </w:r>
      <w:r>
        <w:rPr>
          <w:rFonts w:ascii="Verdana" w:hAnsi="Verdana" w:cs="Arial"/>
          <w:bCs/>
          <w:lang w:val="es-ES_tradnl"/>
        </w:rPr>
        <w:t>requisitos habilitantes que deben acreditar los oferentes</w:t>
      </w:r>
      <w:r w:rsidRPr="004C07B7">
        <w:rPr>
          <w:rFonts w:ascii="Verdana" w:hAnsi="Verdana" w:cs="Arial"/>
          <w:bCs/>
          <w:lang w:val="es-ES_tradnl"/>
        </w:rPr>
        <w:t>. En ese orden, gran parte de la importancia del pliego de condiciones está determinada por el hecho que es el documento en el que se establecen las normas que van a regular la etapa de selección, a las que deberán sujetarse la administración y las oferentes a efectos de lograr una selección objetiva</w:t>
      </w:r>
      <w:r>
        <w:rPr>
          <w:rFonts w:ascii="Verdana" w:hAnsi="Verdana" w:cs="Arial"/>
          <w:bCs/>
          <w:lang w:val="es-ES_tradnl"/>
        </w:rPr>
        <w:t>.</w:t>
      </w:r>
    </w:p>
    <w:p w14:paraId="74790DC1" w14:textId="77777777" w:rsidR="0066300B" w:rsidRPr="00FB6997" w:rsidRDefault="0066300B" w:rsidP="0066300B">
      <w:pPr>
        <w:spacing w:after="120" w:line="276" w:lineRule="auto"/>
        <w:ind w:firstLine="708"/>
        <w:jc w:val="both"/>
        <w:rPr>
          <w:rFonts w:ascii="Verdana" w:eastAsia="Calibri" w:hAnsi="Verdana" w:cs="Arial"/>
          <w:color w:val="000000" w:themeColor="text1"/>
          <w:lang w:val="es-ES_tradnl"/>
        </w:rPr>
      </w:pPr>
      <w:r w:rsidRPr="00064FD7">
        <w:rPr>
          <w:rFonts w:ascii="Verdana" w:hAnsi="Verdana"/>
          <w:lang w:val="es-ES_tradnl"/>
        </w:rPr>
        <w:t xml:space="preserve">Con excepción de los procedimientos regidos por documentos tipo, </w:t>
      </w:r>
      <w:r>
        <w:rPr>
          <w:rFonts w:ascii="Verdana" w:hAnsi="Verdana"/>
          <w:lang w:val="es-ES_tradnl"/>
        </w:rPr>
        <w:t>existe un margen</w:t>
      </w:r>
      <w:r w:rsidRPr="00064FD7">
        <w:rPr>
          <w:rFonts w:ascii="Verdana" w:hAnsi="Verdana"/>
          <w:lang w:val="es-ES_tradnl"/>
        </w:rPr>
        <w:t xml:space="preserve"> de discrecionalidad para definir el contenido del pliego de condiciones o documento </w:t>
      </w:r>
      <w:r w:rsidRPr="00120430">
        <w:rPr>
          <w:rFonts w:ascii="Verdana" w:hAnsi="Verdana"/>
          <w:lang w:val="es-ES_tradnl"/>
        </w:rPr>
        <w:t>equivalente</w:t>
      </w:r>
      <w:r w:rsidRPr="00120430">
        <w:rPr>
          <w:rStyle w:val="Refdenotaalpie"/>
          <w:rFonts w:ascii="Verdana" w:eastAsia="Times New Roman" w:hAnsi="Verdana" w:cs="Arial"/>
          <w:color w:val="000000" w:themeColor="text1"/>
        </w:rPr>
        <w:footnoteReference w:id="14"/>
      </w:r>
      <w:r w:rsidRPr="00120430">
        <w:rPr>
          <w:rFonts w:ascii="Verdana" w:hAnsi="Verdana"/>
          <w:lang w:val="es-ES_tradnl"/>
        </w:rPr>
        <w:t>. Salvo</w:t>
      </w:r>
      <w:r w:rsidRPr="00064FD7">
        <w:rPr>
          <w:rFonts w:ascii="Verdana" w:hAnsi="Verdana"/>
          <w:lang w:val="es-ES_tradnl"/>
        </w:rPr>
        <w:t xml:space="preserve"> los </w:t>
      </w:r>
      <w:r>
        <w:rPr>
          <w:rFonts w:ascii="Verdana" w:hAnsi="Verdana"/>
          <w:lang w:val="es-ES_tradnl"/>
        </w:rPr>
        <w:t>detalles que se encuentren reglados</w:t>
      </w:r>
      <w:r w:rsidRPr="00064FD7">
        <w:rPr>
          <w:rFonts w:ascii="Verdana" w:hAnsi="Verdana"/>
          <w:lang w:val="es-ES_tradnl"/>
        </w:rPr>
        <w:t xml:space="preserve"> en la </w:t>
      </w:r>
      <w:r w:rsidRPr="00064FD7">
        <w:rPr>
          <w:rFonts w:ascii="Verdana" w:hAnsi="Verdana"/>
          <w:lang w:val="es-ES_tradnl"/>
        </w:rPr>
        <w:lastRenderedPageBreak/>
        <w:t xml:space="preserve">actuación administrativa, esto implica libertad de las entidades para determinar </w:t>
      </w:r>
      <w:r>
        <w:rPr>
          <w:rFonts w:ascii="Verdana" w:hAnsi="Verdana"/>
          <w:lang w:val="es-ES_tradnl"/>
        </w:rPr>
        <w:t>varios aspectos del proceso de selección</w:t>
      </w:r>
      <w:r w:rsidRPr="00064FD7">
        <w:rPr>
          <w:rFonts w:ascii="Verdana" w:hAnsi="Verdana"/>
          <w:lang w:val="es-ES_tradnl"/>
        </w:rPr>
        <w:t>. Lo anterior en la medida que no existen potestades completamente discrecionales, por lo que dichos elementos reglados son una limitación efectiva a la libertad de configuración.</w:t>
      </w:r>
    </w:p>
    <w:p w14:paraId="6311A2C4" w14:textId="77777777" w:rsidR="0066300B" w:rsidRDefault="0066300B" w:rsidP="0066300B">
      <w:pPr>
        <w:spacing w:after="120" w:line="276" w:lineRule="auto"/>
        <w:ind w:firstLine="709"/>
        <w:jc w:val="both"/>
        <w:rPr>
          <w:rFonts w:ascii="Verdana" w:eastAsia="Calibri" w:hAnsi="Verdana" w:cs="Arial"/>
          <w:color w:val="000000" w:themeColor="text1"/>
        </w:rPr>
      </w:pPr>
      <w:r>
        <w:rPr>
          <w:rFonts w:ascii="Verdana" w:hAnsi="Verdana"/>
          <w:lang w:val="es-ES_tradnl"/>
        </w:rPr>
        <w:t xml:space="preserve">Conforme </w:t>
      </w:r>
      <w:r>
        <w:rPr>
          <w:rFonts w:ascii="Verdana" w:eastAsia="Calibri" w:hAnsi="Verdana" w:cs="Arial"/>
          <w:color w:val="000000" w:themeColor="text1"/>
        </w:rPr>
        <w:t xml:space="preserve">al inciso final del artículo 2 de la Ley 1437 de 2011 y la remisión del inciso primero del artículo 77 de la Ley 80 de 1993 a </w:t>
      </w:r>
      <w:r w:rsidRPr="00120430">
        <w:rPr>
          <w:rFonts w:ascii="Verdana" w:eastAsia="Calibri" w:hAnsi="Verdana" w:cs="Arial"/>
          <w:color w:val="000000" w:themeColor="text1"/>
        </w:rPr>
        <w:t>las normas que rigen los procedimientos y actuaciones en la función administrativa</w:t>
      </w:r>
      <w:r>
        <w:rPr>
          <w:rFonts w:ascii="Verdana" w:eastAsia="Calibri" w:hAnsi="Verdana" w:cs="Arial"/>
          <w:color w:val="000000" w:themeColor="text1"/>
        </w:rPr>
        <w:t>, es necesario tener cuenta que el artículo 44 del Código de Procedimiento Administrativo y de lo Contencioso Administrativo dispone lo siguiente: “</w:t>
      </w:r>
      <w:r w:rsidRPr="00A87044">
        <w:rPr>
          <w:rFonts w:ascii="Verdana" w:eastAsia="Calibri" w:hAnsi="Verdana" w:cs="Arial"/>
          <w:color w:val="000000" w:themeColor="text1"/>
        </w:rPr>
        <w:t>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color w:val="000000" w:themeColor="text1"/>
        </w:rPr>
        <w:t>”. Asimismo, dado que el pliego de condiciones establece las bases del proceso de selección, tiene fuerza vinculante respecto a la entidad que lo expide por su naturaleza jurídica como acto administrativo</w:t>
      </w:r>
      <w:r>
        <w:rPr>
          <w:rStyle w:val="Refdenotaalpie"/>
          <w:rFonts w:ascii="Verdana" w:eastAsia="Calibri" w:hAnsi="Verdana" w:cs="Arial"/>
          <w:color w:val="000000" w:themeColor="text1"/>
        </w:rPr>
        <w:footnoteReference w:id="15"/>
      </w:r>
      <w:r>
        <w:rPr>
          <w:rFonts w:ascii="Verdana" w:eastAsia="Calibri" w:hAnsi="Verdana" w:cs="Arial"/>
          <w:color w:val="000000" w:themeColor="text1"/>
        </w:rPr>
        <w:t>.</w:t>
      </w:r>
    </w:p>
    <w:p w14:paraId="369E2A92" w14:textId="77777777" w:rsidR="0066300B" w:rsidRDefault="0066300B" w:rsidP="0066300B">
      <w:pPr>
        <w:spacing w:after="120" w:line="276" w:lineRule="auto"/>
        <w:ind w:firstLine="709"/>
        <w:jc w:val="both"/>
        <w:rPr>
          <w:rFonts w:ascii="Verdana" w:hAnsi="Verdana" w:cs="Arial"/>
          <w:bCs/>
          <w:lang w:val="es-ES_tradnl"/>
        </w:rPr>
      </w:pPr>
      <w:r w:rsidRPr="00B71DCC">
        <w:rPr>
          <w:rFonts w:ascii="Verdana" w:eastAsia="Calibri" w:hAnsi="Verdana" w:cs="Arial"/>
          <w:color w:val="000000" w:themeColor="text1"/>
        </w:rPr>
        <w:t xml:space="preserve">Sin embargo, dicha discrecionalidad no puede </w:t>
      </w:r>
      <w:r>
        <w:rPr>
          <w:rFonts w:ascii="Verdana" w:eastAsia="Calibri" w:hAnsi="Verdana" w:cs="Arial"/>
          <w:color w:val="000000" w:themeColor="text1"/>
        </w:rPr>
        <w:t xml:space="preserve">contrariar los aspectos reglados de la causal de selección abreviada </w:t>
      </w:r>
      <w:r w:rsidRPr="00B71DCC">
        <w:rPr>
          <w:rFonts w:ascii="Verdana" w:eastAsia="Calibri" w:hAnsi="Verdana" w:cs="Arial"/>
          <w:i/>
          <w:iCs/>
          <w:color w:val="000000" w:themeColor="text1"/>
        </w:rPr>
        <w:t>sub examine</w:t>
      </w:r>
      <w:r w:rsidRPr="00B71DCC">
        <w:rPr>
          <w:rFonts w:ascii="Verdana" w:eastAsia="Calibri" w:hAnsi="Verdana" w:cs="Arial"/>
          <w:color w:val="000000" w:themeColor="text1"/>
        </w:rPr>
        <w:t>.</w:t>
      </w:r>
      <w:r>
        <w:rPr>
          <w:rFonts w:ascii="Verdana" w:eastAsia="Calibri" w:hAnsi="Verdana" w:cs="Arial"/>
          <w:color w:val="000000" w:themeColor="text1"/>
        </w:rPr>
        <w:t xml:space="preserve"> El artículo 25.3 del EGCAP exige que “</w:t>
      </w:r>
      <w:r w:rsidRPr="00B71DCC">
        <w:rPr>
          <w:rFonts w:ascii="Verdana" w:eastAsia="Calibri" w:hAnsi="Verdana" w:cs="Arial"/>
          <w:color w:val="000000" w:themeColor="text1"/>
        </w:rPr>
        <w:t>Las normas de los procedimientos contractuales se interpretarán de tal manera que no den ocasión a seguir trámites distintos y adicionales a los expresamente previstos</w:t>
      </w:r>
      <w:r>
        <w:rPr>
          <w:rFonts w:ascii="Verdana" w:eastAsia="Calibri" w:hAnsi="Verdana" w:cs="Arial"/>
          <w:color w:val="000000" w:themeColor="text1"/>
        </w:rPr>
        <w:t xml:space="preserve"> […]”; razón por la cual, la </w:t>
      </w:r>
      <w:r w:rsidRPr="00B71DCC">
        <w:rPr>
          <w:rFonts w:ascii="Verdana" w:eastAsia="Calibri" w:hAnsi="Verdana" w:cs="Arial"/>
          <w:i/>
          <w:iCs/>
          <w:color w:val="000000" w:themeColor="text1"/>
        </w:rPr>
        <w:t>estructuración dinámica de la puja</w:t>
      </w:r>
      <w:r>
        <w:rPr>
          <w:rFonts w:ascii="Verdana" w:eastAsia="Calibri" w:hAnsi="Verdana" w:cs="Arial"/>
          <w:color w:val="000000" w:themeColor="text1"/>
        </w:rPr>
        <w:t xml:space="preserve"> debe ajustarse a los parámetros generales del precitado artículo</w:t>
      </w:r>
      <w:r>
        <w:rPr>
          <w:rFonts w:ascii="Verdana" w:hAnsi="Verdana" w:cs="Arial"/>
          <w:bCs/>
          <w:lang w:val="es-ES_tradnl"/>
        </w:rPr>
        <w:t xml:space="preserve"> </w:t>
      </w:r>
      <w:r w:rsidRPr="00014FB7">
        <w:rPr>
          <w:rFonts w:ascii="Verdana" w:hAnsi="Verdana" w:cs="Arial"/>
          <w:bCs/>
          <w:lang w:val="es-ES_tradnl"/>
        </w:rPr>
        <w:t>2.2.1.2.1.2.2</w:t>
      </w:r>
      <w:r>
        <w:rPr>
          <w:rFonts w:ascii="Verdana" w:hAnsi="Verdana" w:cs="Arial"/>
          <w:bCs/>
          <w:lang w:val="es-ES_tradnl"/>
        </w:rPr>
        <w:t xml:space="preserve"> del Decreto 1082 de 2015. </w:t>
      </w:r>
    </w:p>
    <w:p w14:paraId="6CD3F60F" w14:textId="77777777" w:rsidR="0066300B" w:rsidRDefault="0066300B" w:rsidP="0066300B">
      <w:pPr>
        <w:spacing w:after="120" w:line="276" w:lineRule="auto"/>
        <w:ind w:firstLine="709"/>
        <w:jc w:val="both"/>
        <w:rPr>
          <w:rFonts w:ascii="Verdana" w:hAnsi="Verdana" w:cs="Arial"/>
          <w:bCs/>
          <w:lang w:val="es-ES_tradnl"/>
        </w:rPr>
      </w:pPr>
      <w:r>
        <w:rPr>
          <w:rFonts w:ascii="Verdana" w:hAnsi="Verdana" w:cs="Arial"/>
          <w:bCs/>
          <w:lang w:val="es-ES_tradnl"/>
        </w:rPr>
        <w:t xml:space="preserve">Esto rige tanto para las subastas presenciales como para las subastas electrónicas: estas últimas se autorizan en el artículo </w:t>
      </w:r>
      <w:r w:rsidRPr="00F148A0">
        <w:rPr>
          <w:rFonts w:ascii="Verdana" w:hAnsi="Verdana" w:cs="Arial"/>
          <w:bCs/>
          <w:lang w:val="es-ES_tradnl"/>
        </w:rPr>
        <w:t>2.2.1.2.1.2.5</w:t>
      </w:r>
      <w:r>
        <w:rPr>
          <w:rFonts w:ascii="Verdana" w:hAnsi="Verdana" w:cs="Arial"/>
          <w:bCs/>
          <w:lang w:val="es-ES_tradnl"/>
        </w:rPr>
        <w:t xml:space="preserve"> </w:t>
      </w:r>
      <w:r w:rsidRPr="0058423C">
        <w:rPr>
          <w:rFonts w:ascii="Verdana" w:hAnsi="Verdana" w:cs="Arial"/>
          <w:bCs/>
          <w:i/>
          <w:iCs/>
          <w:lang w:val="es-ES_tradnl"/>
        </w:rPr>
        <w:t>ibidem</w:t>
      </w:r>
      <w:r>
        <w:rPr>
          <w:rFonts w:ascii="Verdana" w:hAnsi="Verdana" w:cs="Arial"/>
          <w:bCs/>
          <w:lang w:val="es-ES_tradnl"/>
        </w:rPr>
        <w:t xml:space="preserve">, caso en el cual el pliego de condiciones también debe indicar “[…] </w:t>
      </w:r>
      <w:r w:rsidRPr="00F148A0">
        <w:rPr>
          <w:rFonts w:ascii="Verdana" w:hAnsi="Verdana" w:cs="Arial"/>
          <w:bCs/>
          <w:lang w:val="es-ES_tradnl"/>
        </w:rPr>
        <w:t xml:space="preserve">el sistema que </w:t>
      </w:r>
      <w:r w:rsidRPr="00F148A0">
        <w:rPr>
          <w:rFonts w:ascii="Verdana" w:hAnsi="Verdana" w:cs="Arial"/>
          <w:bCs/>
          <w:lang w:val="es-ES_tradnl"/>
        </w:rPr>
        <w:lastRenderedPageBreak/>
        <w:t>utilizará para la subasta inversa y los mecanismos de seguridad para el intercambio de mensajes de datos</w:t>
      </w:r>
      <w:r>
        <w:rPr>
          <w:rFonts w:ascii="Verdana" w:hAnsi="Verdana" w:cs="Arial"/>
          <w:bCs/>
          <w:lang w:val="es-ES_tradnl"/>
        </w:rPr>
        <w:t>”</w:t>
      </w:r>
      <w:r w:rsidRPr="00F148A0">
        <w:rPr>
          <w:rFonts w:ascii="Verdana" w:hAnsi="Verdana" w:cs="Arial"/>
          <w:bCs/>
          <w:lang w:val="es-ES_tradnl"/>
        </w:rPr>
        <w:t>.</w:t>
      </w:r>
      <w:r>
        <w:rPr>
          <w:rFonts w:ascii="Verdana" w:hAnsi="Verdana" w:cs="Arial"/>
          <w:bCs/>
          <w:lang w:val="es-ES_tradnl"/>
        </w:rPr>
        <w:t xml:space="preserve"> En este contexto, el pliego puede disponer la </w:t>
      </w:r>
      <w:r w:rsidRPr="00044C92">
        <w:rPr>
          <w:rFonts w:ascii="Verdana" w:hAnsi="Verdana" w:cs="Arial"/>
          <w:bCs/>
          <w:i/>
          <w:iCs/>
          <w:lang w:val="es-ES_tradnl"/>
        </w:rPr>
        <w:t>implementación de plataformas transaccionales</w:t>
      </w:r>
      <w:r>
        <w:rPr>
          <w:rFonts w:ascii="Verdana" w:hAnsi="Verdana" w:cs="Arial"/>
          <w:bCs/>
          <w:lang w:val="es-ES_tradnl"/>
        </w:rPr>
        <w:t xml:space="preserve"> para adelantar subastas inversas electrónicas. </w:t>
      </w:r>
    </w:p>
    <w:p w14:paraId="1A93812E" w14:textId="77777777" w:rsidR="0066300B" w:rsidRPr="00F95B1D" w:rsidRDefault="0066300B" w:rsidP="0066300B">
      <w:pPr>
        <w:spacing w:after="120" w:line="276" w:lineRule="auto"/>
        <w:ind w:firstLine="708"/>
        <w:jc w:val="both"/>
        <w:rPr>
          <w:rFonts w:ascii="Verdana" w:eastAsia="Calibri" w:hAnsi="Verdana" w:cs="Arial"/>
          <w:lang w:val="es-ES_tradnl"/>
        </w:rPr>
      </w:pPr>
      <w:r w:rsidRPr="00F95B1D">
        <w:rPr>
          <w:rFonts w:ascii="Verdana" w:eastAsia="Calibri" w:hAnsi="Verdana" w:cs="Arial"/>
          <w:lang w:val="es-ES_tradnl"/>
        </w:rPr>
        <w:t xml:space="preserve">Concretamente, el precitado artículo 3 de la Ley 1150 de 2007 crea </w:t>
      </w:r>
      <w:bookmarkStart w:id="6" w:name="_Hlk56073112"/>
      <w:r w:rsidRPr="00F95B1D">
        <w:rPr>
          <w:rFonts w:ascii="Verdana" w:eastAsia="Calibri" w:hAnsi="Verdana" w:cs="Arial"/>
          <w:lang w:val="es-ES_tradnl"/>
        </w:rPr>
        <w:t>el Sistema Electrónico para la Contratación Pública</w:t>
      </w:r>
      <w:bookmarkEnd w:id="6"/>
      <w:r w:rsidRPr="00F95B1D">
        <w:rPr>
          <w:rFonts w:ascii="Verdana" w:eastAsia="Calibri" w:hAnsi="Verdana" w:cs="Arial"/>
          <w:lang w:val="es-ES_tradnl"/>
        </w:rPr>
        <w:t xml:space="preserve">, el cual –de conformidad con el artículo 3.8 del Decreto 4170 de 2011– es administrado por esta Agencia. Esta plataforma no solo es un canal de publicidad de la gestión contractual de las entidades públicas, pues también es un medio transaccional para la suscripción de contratos electrónicos. A estas dos (2) facetas del SECOP se refiere la ley citada cuando dispone, respectivamente, que “De conformidad con lo dispuesto en la Ley 527 de 1999, […] la expedición de los […] contratos y en general los actos derivados de la actividad precontractual y contractual, podrán tener lugar por medios electrónicos” y que “Contará con la información oficial de la contratación realizada con dineros públicos, para lo cual establecerá los patrones a que haya lugar y se encargará de su difusión a través de canales electrónicos”. </w:t>
      </w:r>
    </w:p>
    <w:p w14:paraId="27CF928F" w14:textId="77777777" w:rsidR="0066300B" w:rsidRPr="00F95B1D" w:rsidRDefault="0066300B" w:rsidP="0066300B">
      <w:pPr>
        <w:spacing w:before="120" w:after="120" w:line="276" w:lineRule="auto"/>
        <w:jc w:val="both"/>
        <w:rPr>
          <w:rFonts w:ascii="Verdana" w:eastAsia="Calibri" w:hAnsi="Verdana" w:cs="Arial"/>
          <w:bCs/>
          <w:color w:val="000000" w:themeColor="text1"/>
          <w:lang w:val="es-ES_tradnl"/>
        </w:rPr>
      </w:pPr>
      <w:r w:rsidRPr="00F95B1D">
        <w:rPr>
          <w:rFonts w:ascii="Verdana" w:eastAsia="Calibri" w:hAnsi="Verdana" w:cs="Arial"/>
          <w:lang w:val="es-ES_tradnl"/>
        </w:rPr>
        <w:tab/>
        <w:t xml:space="preserve">El numeral 1.2 </w:t>
      </w:r>
      <w:r w:rsidRPr="00F95B1D">
        <w:rPr>
          <w:rFonts w:ascii="Verdana" w:eastAsia="Calibri" w:hAnsi="Verdana" w:cs="Arial"/>
        </w:rPr>
        <w:t>de la Circular Externa Única de la Agencia Nacional de Contratación Pública – Colombia Compra Eficiente dispone que el Sistema Electrónico para la Contratación Pública</w:t>
      </w:r>
      <w:r w:rsidRPr="00F95B1D">
        <w:rPr>
          <w:rFonts w:ascii="Verdana" w:eastAsia="Calibri" w:hAnsi="Verdana" w:cs="Arial"/>
          <w:lang w:val="es-ES_tradnl"/>
        </w:rPr>
        <w:t xml:space="preserve"> está compuesto por el SECOP I, el SECOP II y la Tienda Virtual del Estado Colombiano. Conforme a lo explicado en el párrafo precedente</w:t>
      </w:r>
      <w:r w:rsidRPr="00F95B1D">
        <w:rPr>
          <w:rFonts w:ascii="Verdana" w:eastAsia="Calibri" w:hAnsi="Verdana" w:cs="Arial"/>
          <w:bCs/>
          <w:color w:val="000000" w:themeColor="text1"/>
          <w:lang w:val="es-ES_tradnl"/>
        </w:rPr>
        <w:t xml:space="preserve">, 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 por quien tenga la función dentro de la entidad. </w:t>
      </w:r>
    </w:p>
    <w:p w14:paraId="61365169" w14:textId="77777777" w:rsidR="0066300B" w:rsidRDefault="0066300B" w:rsidP="0066300B">
      <w:pPr>
        <w:spacing w:after="120" w:line="276" w:lineRule="auto"/>
        <w:ind w:firstLine="708"/>
        <w:jc w:val="both"/>
        <w:rPr>
          <w:rFonts w:ascii="Verdana" w:eastAsia="Calibri" w:hAnsi="Verdana" w:cs="Arial"/>
          <w:bCs/>
          <w:color w:val="000000" w:themeColor="text1"/>
          <w:lang w:val="es-ES_tradnl"/>
        </w:rPr>
      </w:pPr>
      <w:r w:rsidRPr="00F95B1D">
        <w:rPr>
          <w:rFonts w:ascii="Verdana" w:eastAsia="Calibri" w:hAnsi="Verdana" w:cs="Arial"/>
          <w:bCs/>
          <w:color w:val="000000" w:themeColor="text1"/>
          <w:lang w:val="es-ES_tradnl"/>
        </w:rPr>
        <w:t xml:space="preserve">En contraste, el SECOP II permite generar contratos en línea y realizar la firma electrónica de los mismos. Tiene funciones que permiten al proveedor presentar garantías y facturas; y a la entidad estatal,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w:t>
      </w:r>
      <w:r w:rsidRPr="00F95B1D">
        <w:rPr>
          <w:rFonts w:ascii="Verdana" w:eastAsia="Calibri" w:hAnsi="Verdana" w:cs="Arial"/>
          <w:bCs/>
          <w:color w:val="000000" w:themeColor="text1"/>
          <w:lang w:val="es-ES_tradnl"/>
        </w:rPr>
        <w:lastRenderedPageBreak/>
        <w:t>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7BDE24B3" w14:textId="77777777" w:rsidR="0066300B" w:rsidRDefault="0066300B" w:rsidP="0066300B">
      <w:pPr>
        <w:spacing w:after="0"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Para estos efectos, la Circular Externa Única dispone que “[…] </w:t>
      </w:r>
      <w:r w:rsidRPr="00F95B1D">
        <w:rPr>
          <w:rFonts w:ascii="Verdana" w:eastAsia="Calibri" w:hAnsi="Verdana" w:cs="Arial"/>
          <w:bCs/>
          <w:color w:val="000000" w:themeColor="text1"/>
          <w:lang w:val="es-ES_tradnl"/>
        </w:rPr>
        <w:t>Toda la etapa de gestión</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contractual está contenida en la plataforma, lo que significa que la</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Entidad y el Proveedor deben incluir en el SECOP II la información</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correspondiente que no se genere en línea (garantías, facturas, informes</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de supervisión, modificaciones, etc.)</w:t>
      </w:r>
      <w:r>
        <w:rPr>
          <w:rFonts w:ascii="Verdana" w:eastAsia="Calibri" w:hAnsi="Verdana" w:cs="Arial"/>
          <w:bCs/>
          <w:color w:val="000000" w:themeColor="text1"/>
          <w:lang w:val="es-ES_tradnl"/>
        </w:rPr>
        <w:t xml:space="preserve">”. Esto significa que, a diferencia de SECOP I, en SECOP II no es necesario un expediente físico paralelo con la gestión contractual de los procesos adelantados. No obstante, el numeral 2 de la Circular precisa que “[…] </w:t>
      </w:r>
      <w:r w:rsidRPr="00F95B1D">
        <w:rPr>
          <w:rFonts w:ascii="Verdana" w:eastAsia="Calibri" w:hAnsi="Verdana" w:cs="Arial"/>
          <w:bCs/>
          <w:color w:val="000000" w:themeColor="text1"/>
          <w:lang w:val="es-ES_tradnl"/>
        </w:rPr>
        <w:t>En los casos en que el documento original haya sido producido en formato físico,</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la Entidad Estatal debe conservar su original por el tiempo que indiquen las Tablas</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de Retención Documental - TRD, e incorporar una copia digitalizada dentro del</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proceso de contratación en el SECOP II en cumplimiento de la obligación de</w:t>
      </w:r>
      <w:r>
        <w:rPr>
          <w:rFonts w:ascii="Verdana" w:eastAsia="Calibri" w:hAnsi="Verdana" w:cs="Arial"/>
          <w:bCs/>
          <w:color w:val="000000" w:themeColor="text1"/>
          <w:lang w:val="es-ES_tradnl"/>
        </w:rPr>
        <w:t xml:space="preserve"> </w:t>
      </w:r>
      <w:r w:rsidRPr="00F95B1D">
        <w:rPr>
          <w:rFonts w:ascii="Verdana" w:eastAsia="Calibri" w:hAnsi="Verdana" w:cs="Arial"/>
          <w:bCs/>
          <w:color w:val="000000" w:themeColor="text1"/>
          <w:lang w:val="es-ES_tradnl"/>
        </w:rPr>
        <w:t>publicidad</w:t>
      </w:r>
      <w:r>
        <w:rPr>
          <w:rFonts w:ascii="Verdana" w:eastAsia="Calibri" w:hAnsi="Verdana" w:cs="Arial"/>
          <w:bCs/>
          <w:color w:val="000000" w:themeColor="text1"/>
          <w:lang w:val="es-ES_tradnl"/>
        </w:rPr>
        <w:t>”</w:t>
      </w:r>
      <w:r w:rsidRPr="00F95B1D">
        <w:rPr>
          <w:rFonts w:ascii="Verdana" w:eastAsia="Calibri" w:hAnsi="Verdana" w:cs="Arial"/>
          <w:bCs/>
          <w:color w:val="000000" w:themeColor="text1"/>
          <w:lang w:val="es-ES_tradnl"/>
        </w:rPr>
        <w:t>.</w:t>
      </w:r>
    </w:p>
    <w:p w14:paraId="1432D506" w14:textId="77777777" w:rsidR="0066300B" w:rsidRDefault="0066300B" w:rsidP="0066300B">
      <w:pPr>
        <w:spacing w:after="0" w:line="276" w:lineRule="auto"/>
        <w:jc w:val="both"/>
        <w:rPr>
          <w:rFonts w:ascii="Verdana" w:eastAsia="Calibri" w:hAnsi="Verdana" w:cs="Arial"/>
          <w:bCs/>
          <w:color w:val="000000" w:themeColor="text1"/>
          <w:lang w:val="es-ES_tradnl"/>
        </w:rPr>
      </w:pPr>
    </w:p>
    <w:p w14:paraId="7D231387" w14:textId="77777777" w:rsidR="0066300B" w:rsidRPr="00765D8D" w:rsidRDefault="0066300B" w:rsidP="0066300B">
      <w:pPr>
        <w:spacing w:after="120" w:line="276" w:lineRule="auto"/>
        <w:jc w:val="both"/>
        <w:rPr>
          <w:rFonts w:ascii="Verdana" w:hAnsi="Verdana"/>
        </w:rPr>
      </w:pPr>
      <w:proofErr w:type="spellStart"/>
      <w:r>
        <w:rPr>
          <w:rFonts w:ascii="Verdana" w:eastAsia="Calibri" w:hAnsi="Verdana" w:cs="Arial"/>
          <w:bCs/>
          <w:color w:val="000000" w:themeColor="text1"/>
          <w:lang w:val="es-ES_tradnl"/>
        </w:rPr>
        <w:t>iv</w:t>
      </w:r>
      <w:proofErr w:type="spellEnd"/>
      <w:r>
        <w:rPr>
          <w:rFonts w:ascii="Verdana" w:eastAsia="Calibri" w:hAnsi="Verdana" w:cs="Arial"/>
          <w:bCs/>
          <w:color w:val="000000" w:themeColor="text1"/>
          <w:lang w:val="es-ES_tradnl"/>
        </w:rPr>
        <w:t xml:space="preserve">. </w:t>
      </w:r>
      <w:r w:rsidRPr="00765D8D">
        <w:rPr>
          <w:rFonts w:ascii="Verdana" w:eastAsia="Century Gothic" w:hAnsi="Verdana" w:cs="Century Gothic"/>
        </w:rPr>
        <w:t xml:space="preserve">En lo que corresponde a la Selección Abreviada </w:t>
      </w:r>
      <w:r>
        <w:rPr>
          <w:rFonts w:ascii="Verdana" w:eastAsia="Century Gothic" w:hAnsi="Verdana" w:cs="Century Gothic"/>
        </w:rPr>
        <w:t>por</w:t>
      </w:r>
      <w:r w:rsidRPr="00765D8D">
        <w:rPr>
          <w:rFonts w:ascii="Verdana" w:eastAsia="Century Gothic" w:hAnsi="Verdana" w:cs="Century Gothic"/>
        </w:rPr>
        <w:t xml:space="preserve"> subasta</w:t>
      </w:r>
      <w:r>
        <w:rPr>
          <w:rFonts w:ascii="Verdana" w:eastAsia="Century Gothic" w:hAnsi="Verdana" w:cs="Century Gothic"/>
        </w:rPr>
        <w:t xml:space="preserve"> inversa</w:t>
      </w:r>
      <w:r w:rsidRPr="00765D8D">
        <w:rPr>
          <w:rFonts w:ascii="Verdana" w:eastAsia="Century Gothic" w:hAnsi="Verdana" w:cs="Century Gothic"/>
        </w:rPr>
        <w:t xml:space="preserve">, el SECOP II permite a las Entidades Estatales hacer los eventos de subastas completamente en línea, para lo cual, la entidad deberá realizar todo el proceso de selección a través de la plataforma, lo que incluye la creación y publicación de los pliegos electrónicos en su fase borrador y definitiva; la recepción, y apertura de ofertas </w:t>
      </w:r>
      <w:r>
        <w:rPr>
          <w:rFonts w:ascii="Verdana" w:eastAsia="Century Gothic" w:hAnsi="Verdana" w:cs="Century Gothic"/>
        </w:rPr>
        <w:t>–</w:t>
      </w:r>
      <w:r w:rsidRPr="00765D8D">
        <w:rPr>
          <w:rFonts w:ascii="Verdana" w:eastAsia="Century Gothic" w:hAnsi="Verdana" w:cs="Century Gothic"/>
        </w:rPr>
        <w:t>sobre habilitante y técnico</w:t>
      </w:r>
      <w:r>
        <w:rPr>
          <w:rFonts w:ascii="Verdana" w:eastAsia="Century Gothic" w:hAnsi="Verdana" w:cs="Century Gothic"/>
        </w:rPr>
        <w:t>–</w:t>
      </w:r>
      <w:r w:rsidRPr="00765D8D">
        <w:rPr>
          <w:rFonts w:ascii="Verdana" w:eastAsia="Century Gothic" w:hAnsi="Verdana" w:cs="Century Gothic"/>
        </w:rPr>
        <w:t>; la publicación del informe de habilitación, posteriormente la apertura del sobre económico y en consecuencia la configuración técnica del evento de subasta inversa y su realización, a través de SECOP II.</w:t>
      </w:r>
      <w:r>
        <w:rPr>
          <w:rFonts w:ascii="Verdana" w:hAnsi="Verdana"/>
        </w:rPr>
        <w:t xml:space="preserve"> </w:t>
      </w:r>
      <w:r>
        <w:rPr>
          <w:rFonts w:ascii="Verdana" w:eastAsia="Century Gothic" w:hAnsi="Verdana" w:cs="Century Gothic"/>
        </w:rPr>
        <w:t>C</w:t>
      </w:r>
      <w:r w:rsidRPr="00765D8D">
        <w:rPr>
          <w:rFonts w:ascii="Verdana" w:eastAsia="Century Gothic" w:hAnsi="Verdana" w:cs="Century Gothic"/>
        </w:rPr>
        <w:t>on el fin de cumplir las con las necesidades de los usuarios y especificaciones requeridas para el efecto, la Agencia implementó algunas mejoras a partir del 19 de septiembre de 2020 al módulo de Subasta Electrónica del SECOP II para la modalidad de selección de contratistas por Selección Abreviada para la adquisición de Bienes y Servicios de Características Técnicas Uniformes.</w:t>
      </w:r>
    </w:p>
    <w:p w14:paraId="45B125C4" w14:textId="77777777" w:rsidR="0066300B" w:rsidRPr="00765D8D" w:rsidRDefault="0066300B" w:rsidP="0066300B">
      <w:pPr>
        <w:spacing w:after="120" w:line="276" w:lineRule="auto"/>
        <w:ind w:firstLine="708"/>
        <w:jc w:val="both"/>
        <w:rPr>
          <w:rFonts w:ascii="Verdana" w:hAnsi="Verdana"/>
        </w:rPr>
      </w:pPr>
      <w:r w:rsidRPr="00765D8D">
        <w:rPr>
          <w:rFonts w:ascii="Verdana" w:eastAsia="Century Gothic" w:hAnsi="Verdana" w:cs="Century Gothic"/>
        </w:rPr>
        <w:t>Como se indicó anteriormente, la plataforma de SECOP II permite a las Entidades Estatales adelantar el Proceso de Contratación en línea</w:t>
      </w:r>
      <w:r>
        <w:rPr>
          <w:rFonts w:ascii="Verdana" w:eastAsia="Century Gothic" w:hAnsi="Verdana" w:cs="Century Gothic"/>
        </w:rPr>
        <w:t>, lo que incluye</w:t>
      </w:r>
      <w:r w:rsidRPr="00765D8D">
        <w:rPr>
          <w:rFonts w:ascii="Verdana" w:eastAsia="Century Gothic" w:hAnsi="Verdana" w:cs="Century Gothic"/>
        </w:rPr>
        <w:t xml:space="preserve"> </w:t>
      </w:r>
      <w:r w:rsidRPr="00765D8D">
        <w:rPr>
          <w:rFonts w:ascii="Verdana" w:eastAsia="Century Gothic" w:hAnsi="Verdana" w:cs="Century Gothic"/>
        </w:rPr>
        <w:lastRenderedPageBreak/>
        <w:t>realizar el evento de subasta de manera electrónica. El módulo es de uso gratuito, permite la trazabilidad de las acciones que realizan los proponentes mediante el control sobre sus lances y la generación de un informe al detalle del desarrollo de la misma, así como la comunicación entre la Entidad Estatal y los proponentes por medio de la herramienta de “Chat” que se encuentra incluido en el módulo durante el desarrollo del evento de subasta.</w:t>
      </w:r>
    </w:p>
    <w:p w14:paraId="3802B67B" w14:textId="77777777" w:rsidR="0066300B" w:rsidRDefault="0066300B" w:rsidP="0066300B">
      <w:pPr>
        <w:spacing w:after="0" w:line="276" w:lineRule="auto"/>
        <w:ind w:firstLine="708"/>
        <w:jc w:val="both"/>
        <w:rPr>
          <w:rFonts w:ascii="Verdana" w:eastAsia="Century Gothic" w:hAnsi="Verdana" w:cs="Century Gothic"/>
        </w:rPr>
      </w:pPr>
      <w:r w:rsidRPr="00765D8D">
        <w:rPr>
          <w:rFonts w:ascii="Verdana" w:eastAsia="Century Gothic" w:hAnsi="Verdana" w:cs="Century Gothic"/>
          <w:lang w:val="es"/>
        </w:rPr>
        <w:t>Es importante tener en cuenta que la subasta inversa funciona como una puja dinámica mediante lances, que son una reducción sucesiva de precios, que realizan los oferentes en un período de tiempo determinado teniendo en cuenta el margen mínimo establecido por la entidad, entendido este, en la subasta inversa, como el valor mínimo en el cual los oferentes deben reducir el valor de sus lances y que puede ser expresado en dinero o un porcentaje del precio de inicio de la subasta.</w:t>
      </w:r>
      <w:r>
        <w:rPr>
          <w:rFonts w:ascii="Verdana" w:hAnsi="Verdana"/>
        </w:rPr>
        <w:t xml:space="preserve"> </w:t>
      </w:r>
      <w:r>
        <w:rPr>
          <w:rFonts w:ascii="Verdana" w:eastAsia="Century Gothic" w:hAnsi="Verdana" w:cs="Century Gothic"/>
        </w:rPr>
        <w:t>De esta manera</w:t>
      </w:r>
      <w:r w:rsidRPr="00765D8D">
        <w:rPr>
          <w:rFonts w:ascii="Verdana" w:eastAsia="Century Gothic" w:hAnsi="Verdana" w:cs="Century Gothic"/>
          <w:vertAlign w:val="superscript"/>
        </w:rPr>
        <w:footnoteReference w:id="16"/>
      </w:r>
      <w:r w:rsidRPr="00765D8D">
        <w:rPr>
          <w:rFonts w:ascii="Verdana" w:eastAsia="Century Gothic" w:hAnsi="Verdana" w:cs="Century Gothic"/>
        </w:rPr>
        <w:t>:</w:t>
      </w:r>
    </w:p>
    <w:p w14:paraId="5B1F6433" w14:textId="77777777" w:rsidR="0066300B" w:rsidRPr="00765D8D" w:rsidRDefault="0066300B" w:rsidP="0066300B">
      <w:pPr>
        <w:spacing w:after="0" w:line="276" w:lineRule="auto"/>
        <w:ind w:firstLine="708"/>
        <w:jc w:val="both"/>
        <w:rPr>
          <w:rFonts w:ascii="Verdana" w:hAnsi="Verdana"/>
        </w:rPr>
      </w:pPr>
    </w:p>
    <w:p w14:paraId="5E53D85C" w14:textId="77777777" w:rsidR="0066300B" w:rsidRPr="00A950AE" w:rsidRDefault="0066300B" w:rsidP="0066300B">
      <w:pPr>
        <w:spacing w:after="120" w:line="240" w:lineRule="auto"/>
        <w:ind w:left="709" w:right="709"/>
        <w:jc w:val="both"/>
        <w:rPr>
          <w:rFonts w:ascii="Verdana" w:eastAsia="Century Gothic" w:hAnsi="Verdana" w:cs="Century Gothic"/>
          <w:sz w:val="20"/>
          <w:szCs w:val="20"/>
        </w:rPr>
      </w:pPr>
      <w:r w:rsidRPr="00A950AE">
        <w:rPr>
          <w:rFonts w:ascii="Verdana" w:eastAsia="Century Gothic" w:hAnsi="Verdana" w:cs="Century Gothic"/>
          <w:sz w:val="20"/>
          <w:szCs w:val="20"/>
        </w:rPr>
        <w:t>“La plataforma transaccional controla el margen mínimo configurado por la Entidad Estatal desde el primer lance que realice cada uno de los proponentes, éste entendido como el porcentaje o valor mínimo que un proponente aplica en un evento de subasta inversa con respecto al total del último lance valido o en una subasta de enajenación el incremento en porcentaje o valor mínimo con respecto al último lance valido.</w:t>
      </w:r>
    </w:p>
    <w:p w14:paraId="51A02779" w14:textId="455A94F0" w:rsidR="0066300B" w:rsidRPr="00A950AE" w:rsidRDefault="0066300B" w:rsidP="0066300B">
      <w:pPr>
        <w:spacing w:after="0" w:line="240" w:lineRule="auto"/>
        <w:ind w:left="709" w:right="709"/>
        <w:jc w:val="both"/>
        <w:rPr>
          <w:rFonts w:ascii="Verdana" w:eastAsia="Century Gothic" w:hAnsi="Verdana" w:cs="Century Gothic"/>
          <w:sz w:val="20"/>
          <w:szCs w:val="20"/>
        </w:rPr>
      </w:pPr>
      <w:r w:rsidRPr="00A950AE">
        <w:rPr>
          <w:rFonts w:ascii="Verdana" w:eastAsia="Century Gothic" w:hAnsi="Verdana" w:cs="Century Gothic"/>
          <w:sz w:val="20"/>
          <w:szCs w:val="20"/>
        </w:rPr>
        <w:t>El SECOP II informa en tiempo real el valor del mejor lance, permitiendo a los proponentes conocer en línea el último lance válido realizado durante el evento de subasta, sin identificar el oferente que lo presenta. De igual forma, el proponente que no cumpla con el margen mínimo establecido por la Entidad Estatal, SECOP II no le permitirá presentar el lance hasta que este sea válido conforme a las reglas del proceso. Por lo tanto, no existirán empates debido a que un lance es válido si mejora el último lance del evento en por lo menos el margen mínimo establecido por la Entidad Estatal”</w:t>
      </w:r>
      <w:r w:rsidR="00A950AE" w:rsidRPr="00A950AE">
        <w:rPr>
          <w:rFonts w:ascii="Verdana" w:eastAsia="Century Gothic" w:hAnsi="Verdana" w:cs="Century Gothic"/>
          <w:sz w:val="20"/>
          <w:szCs w:val="20"/>
        </w:rPr>
        <w:t>.</w:t>
      </w:r>
    </w:p>
    <w:p w14:paraId="081735EF" w14:textId="77777777" w:rsidR="0066300B" w:rsidRPr="00EC0598" w:rsidRDefault="0066300B" w:rsidP="0066300B">
      <w:pPr>
        <w:spacing w:after="0" w:line="276" w:lineRule="auto"/>
        <w:ind w:left="708"/>
        <w:jc w:val="both"/>
        <w:rPr>
          <w:rFonts w:ascii="Verdana" w:eastAsia="Century Gothic" w:hAnsi="Verdana" w:cs="Century Gothic"/>
          <w:i/>
          <w:iCs/>
        </w:rPr>
      </w:pPr>
    </w:p>
    <w:p w14:paraId="7D7CD7A7" w14:textId="77777777" w:rsidR="0066300B" w:rsidRPr="00EC0598" w:rsidRDefault="0066300B" w:rsidP="0066300B">
      <w:pPr>
        <w:spacing w:after="120" w:line="276" w:lineRule="auto"/>
        <w:ind w:firstLine="708"/>
        <w:jc w:val="both"/>
        <w:rPr>
          <w:rFonts w:ascii="Verdana" w:hAnsi="Verdana"/>
        </w:rPr>
      </w:pPr>
      <w:r w:rsidRPr="00EC0598">
        <w:rPr>
          <w:rFonts w:ascii="Verdana" w:eastAsia="Century Gothic" w:hAnsi="Verdana" w:cs="Century Gothic"/>
        </w:rPr>
        <w:t xml:space="preserve">En este sentido, SECOP II tiene como referencia la mejor oferta recibida y sobre ese valor comienza el evento de subasta inversa en el cual los proveedores habilitados deberán hacer sus lances aplicando el margen mínimo de mejora establecido por la entidad estatal. La plataforma controla el cumplimiento del margen mínimo desde el primer lance que se presente con </w:t>
      </w:r>
      <w:r w:rsidRPr="00EC0598">
        <w:rPr>
          <w:rFonts w:ascii="Verdana" w:eastAsia="Century Gothic" w:hAnsi="Verdana" w:cs="Century Gothic"/>
        </w:rPr>
        <w:lastRenderedPageBreak/>
        <w:t>respecto al valor por el cual inicia la subasta, sin embargo, después del primer lance, para realizar otros lances los proponentes deberán tener en cuenta el valor del último lance válido presentado, no el valor por el cual inició el evento, y aplicar sobre este el margen mínimo de mejora y así sucesivamente hasta el final. Es decir, la mejora al valor de arranque de la subasta se refleja solamente en el primer lance ya que de ahí en adelante los proveedores deben cumplir el margen mínimo respecto del último lance válido recibido.</w:t>
      </w:r>
    </w:p>
    <w:p w14:paraId="396A2CF6" w14:textId="77777777" w:rsidR="0066300B" w:rsidRPr="00EC0598" w:rsidRDefault="0066300B" w:rsidP="0066300B">
      <w:pPr>
        <w:spacing w:after="120" w:line="276" w:lineRule="auto"/>
        <w:ind w:firstLine="708"/>
        <w:jc w:val="both"/>
        <w:rPr>
          <w:rFonts w:ascii="Verdana" w:eastAsia="Century Gothic" w:hAnsi="Verdana" w:cs="Century Gothic"/>
        </w:rPr>
      </w:pPr>
      <w:r w:rsidRPr="00EC0598">
        <w:rPr>
          <w:rFonts w:ascii="Verdana" w:eastAsia="Century Gothic" w:hAnsi="Verdana" w:cs="Century Gothic"/>
        </w:rPr>
        <w:t>Por otro lado, con respecto de los lances que excedan el margen mínimo para la mejora de oferta en la subasta electrónica, la Entidad Estatal dentro de su autonomía administrativa para el ejercicio de las funciones y competencias referente al proceso contractual podrá solicitar las aclaraciones necesarias para determinar si el nuevo lance remitido se considera o no un precio artificialmente bajo, dependiendo del análisis realizado, la Entidad Estatal podrá suspender o cancelar el evento de subasta y posteriormente reanudarlo o  adelantar un nuevo evento. Adicionalmente, se reitera que es la Entidad Estatal dueña del proceso contractual la que debe adoptar las decisiones y adelantar las actuaciones que estimen pertinentes para desarrollar su actividad contractual.</w:t>
      </w:r>
    </w:p>
    <w:p w14:paraId="394BA69E" w14:textId="77777777" w:rsidR="0066300B" w:rsidRDefault="0066300B" w:rsidP="0066300B">
      <w:pPr>
        <w:spacing w:after="120" w:line="276" w:lineRule="auto"/>
        <w:ind w:firstLine="708"/>
        <w:jc w:val="both"/>
        <w:rPr>
          <w:rFonts w:ascii="Verdana" w:eastAsia="Century Gothic" w:hAnsi="Verdana" w:cs="Century Gothic"/>
        </w:rPr>
      </w:pPr>
      <w:r w:rsidRPr="00EC0598">
        <w:rPr>
          <w:rFonts w:ascii="Verdana" w:eastAsia="Century Gothic" w:hAnsi="Verdana" w:cs="Century Gothic"/>
        </w:rPr>
        <w:t xml:space="preserve">Ahora bien, con relación a la sección de mensajes </w:t>
      </w:r>
      <w:r>
        <w:rPr>
          <w:rFonts w:ascii="Verdana" w:eastAsia="Century Gothic" w:hAnsi="Verdana" w:cs="Century Gothic"/>
        </w:rPr>
        <w:t>–</w:t>
      </w:r>
      <w:r w:rsidRPr="00EC0598">
        <w:rPr>
          <w:rFonts w:ascii="Verdana" w:eastAsia="Century Gothic" w:hAnsi="Verdana" w:cs="Century Gothic"/>
        </w:rPr>
        <w:t>chat</w:t>
      </w:r>
      <w:r>
        <w:rPr>
          <w:rFonts w:ascii="Verdana" w:eastAsia="Century Gothic" w:hAnsi="Verdana" w:cs="Century Gothic"/>
        </w:rPr>
        <w:t>–</w:t>
      </w:r>
      <w:r w:rsidRPr="00EC0598">
        <w:rPr>
          <w:rFonts w:ascii="Verdana" w:eastAsia="Century Gothic" w:hAnsi="Verdana" w:cs="Century Gothic"/>
        </w:rPr>
        <w:t xml:space="preserve"> habilitada dentro del módulo de subasta electrónica, es importante precisar que esta herramienta está disponible para que exista comunicación entre la entidad y los proponentes durante el evento. Sin embargo, corresponde a la Entidad Estatal determinar si hace uso de esta sección para el envío de lances teniendo o para otros fines de comunicación, de acuerdo con las necesidades y circunstancias específicas del proceso contractual que adelante. Es decir, el uso de dicha funcionalidad es potestad de la entidad, en el marco de su autonomía y conforme con lo previsto en los pliegos de condiciones del proceso de contratación.</w:t>
      </w:r>
    </w:p>
    <w:p w14:paraId="2643DFA8" w14:textId="77777777" w:rsidR="0066300B" w:rsidRDefault="0066300B" w:rsidP="0066300B">
      <w:pPr>
        <w:spacing w:after="0" w:line="276" w:lineRule="auto"/>
        <w:ind w:firstLine="708"/>
        <w:jc w:val="both"/>
        <w:rPr>
          <w:rFonts w:ascii="Verdana" w:eastAsia="Century Gothic" w:hAnsi="Verdana" w:cs="Century Gothic"/>
        </w:rPr>
      </w:pPr>
      <w:r>
        <w:rPr>
          <w:rFonts w:ascii="Verdana" w:eastAsia="Century Gothic" w:hAnsi="Verdana" w:cs="Century Gothic"/>
        </w:rPr>
        <w:t>Para mayor información, puede consultar la guía “</w:t>
      </w:r>
      <w:r w:rsidRPr="00D7124D">
        <w:rPr>
          <w:rFonts w:ascii="Verdana" w:eastAsia="Century Gothic" w:hAnsi="Verdana" w:cs="Century Gothic"/>
        </w:rPr>
        <w:t xml:space="preserve">SECOP </w:t>
      </w:r>
      <w:r>
        <w:rPr>
          <w:rFonts w:ascii="Verdana" w:eastAsia="Century Gothic" w:hAnsi="Verdana" w:cs="Century Gothic"/>
        </w:rPr>
        <w:t>I</w:t>
      </w:r>
      <w:r w:rsidRPr="00D7124D">
        <w:rPr>
          <w:rFonts w:ascii="Verdana" w:eastAsia="Century Gothic" w:hAnsi="Verdana" w:cs="Century Gothic"/>
        </w:rPr>
        <w:t>I -</w:t>
      </w:r>
      <w:r>
        <w:rPr>
          <w:rFonts w:ascii="Verdana" w:eastAsia="Century Gothic" w:hAnsi="Verdana" w:cs="Century Gothic"/>
        </w:rPr>
        <w:t xml:space="preserve"> </w:t>
      </w:r>
      <w:r w:rsidRPr="00D7124D">
        <w:rPr>
          <w:rFonts w:ascii="Verdana" w:eastAsia="Century Gothic" w:hAnsi="Verdana" w:cs="Century Gothic"/>
        </w:rPr>
        <w:t>Modalidades de</w:t>
      </w:r>
      <w:r>
        <w:rPr>
          <w:rFonts w:ascii="Verdana" w:eastAsia="Century Gothic" w:hAnsi="Verdana" w:cs="Century Gothic"/>
        </w:rPr>
        <w:t xml:space="preserve"> </w:t>
      </w:r>
      <w:r w:rsidRPr="00D7124D">
        <w:rPr>
          <w:rFonts w:ascii="Verdana" w:eastAsia="Century Gothic" w:hAnsi="Verdana" w:cs="Century Gothic"/>
        </w:rPr>
        <w:t>Contratación:</w:t>
      </w:r>
      <w:r>
        <w:rPr>
          <w:rFonts w:ascii="Verdana" w:eastAsia="Century Gothic" w:hAnsi="Verdana" w:cs="Century Gothic"/>
        </w:rPr>
        <w:t xml:space="preserve"> </w:t>
      </w:r>
      <w:r w:rsidRPr="00D7124D">
        <w:rPr>
          <w:rFonts w:ascii="Verdana" w:eastAsia="Century Gothic" w:hAnsi="Verdana" w:cs="Century Gothic"/>
        </w:rPr>
        <w:t>Selección Abreviada con</w:t>
      </w:r>
      <w:r>
        <w:rPr>
          <w:rFonts w:ascii="Verdana" w:eastAsia="Century Gothic" w:hAnsi="Verdana" w:cs="Century Gothic"/>
        </w:rPr>
        <w:t xml:space="preserve"> </w:t>
      </w:r>
      <w:r w:rsidRPr="00D7124D">
        <w:rPr>
          <w:rFonts w:ascii="Verdana" w:eastAsia="Century Gothic" w:hAnsi="Verdana" w:cs="Century Gothic"/>
        </w:rPr>
        <w:t>Subasta Inversa</w:t>
      </w:r>
      <w:r>
        <w:rPr>
          <w:rFonts w:ascii="Verdana" w:eastAsia="Century Gothic" w:hAnsi="Verdana" w:cs="Century Gothic"/>
        </w:rPr>
        <w:t xml:space="preserve"> </w:t>
      </w:r>
      <w:r w:rsidRPr="00D7124D">
        <w:rPr>
          <w:rFonts w:ascii="Verdana" w:eastAsia="Century Gothic" w:hAnsi="Verdana" w:cs="Century Gothic"/>
        </w:rPr>
        <w:t>(Subasta Electrónica)</w:t>
      </w:r>
      <w:r>
        <w:rPr>
          <w:rFonts w:ascii="Verdana" w:eastAsia="Century Gothic" w:hAnsi="Verdana" w:cs="Century Gothic"/>
        </w:rPr>
        <w:t xml:space="preserve">, documento que se encuentra en el siguiente enlace: </w:t>
      </w:r>
      <w:hyperlink r:id="rId13" w:history="1">
        <w:r w:rsidRPr="003D0F71">
          <w:rPr>
            <w:rStyle w:val="Hipervnculo"/>
            <w:rFonts w:ascii="Verdana" w:eastAsia="Century Gothic" w:hAnsi="Verdana" w:cs="Century Gothic"/>
          </w:rPr>
          <w:t>https://surl.li/osmmug</w:t>
        </w:r>
      </w:hyperlink>
      <w:r>
        <w:rPr>
          <w:rFonts w:ascii="Verdana" w:eastAsia="Century Gothic" w:hAnsi="Verdana" w:cs="Century Gothic"/>
        </w:rPr>
        <w:t xml:space="preserve">. Asimismo, cualquier inquietud adicional sobre el uso del SECOP II puede plantearla a la </w:t>
      </w:r>
      <w:r w:rsidRPr="00D7124D">
        <w:rPr>
          <w:rFonts w:ascii="Verdana" w:eastAsia="Century Gothic" w:hAnsi="Verdana" w:cs="Century Gothic"/>
        </w:rPr>
        <w:t>Subdirección de Información y Desarrollo Tecnológico</w:t>
      </w:r>
      <w:r>
        <w:rPr>
          <w:rFonts w:ascii="Verdana" w:eastAsia="Century Gothic" w:hAnsi="Verdana" w:cs="Century Gothic"/>
        </w:rPr>
        <w:t xml:space="preserve"> de la ANCP – CCE, pues –conforme a los numerales 6 y 4 del artículo 13 del Decreto Ley 4170 de 2011– tiene la función de “</w:t>
      </w:r>
      <w:r w:rsidRPr="00D7124D">
        <w:rPr>
          <w:rFonts w:ascii="Verdana" w:eastAsia="Century Gothic" w:hAnsi="Verdana" w:cs="Century Gothic"/>
        </w:rPr>
        <w:t xml:space="preserve">Gestionar y administrar el Sistema Electrónico para la Contratación Pública (SECOP), o el que haga sus </w:t>
      </w:r>
      <w:r w:rsidRPr="00D7124D">
        <w:rPr>
          <w:rFonts w:ascii="Verdana" w:eastAsia="Century Gothic" w:hAnsi="Verdana" w:cs="Century Gothic"/>
        </w:rPr>
        <w:lastRenderedPageBreak/>
        <w:t>veces</w:t>
      </w:r>
      <w:r>
        <w:rPr>
          <w:rFonts w:ascii="Verdana" w:eastAsia="Century Gothic" w:hAnsi="Verdana" w:cs="Century Gothic"/>
        </w:rPr>
        <w:t>” y “</w:t>
      </w:r>
      <w:r w:rsidRPr="00D7124D">
        <w:rPr>
          <w:rFonts w:ascii="Verdana" w:eastAsia="Century Gothic" w:hAnsi="Verdana" w:cs="Century Gothic"/>
        </w:rPr>
        <w:t>Absolver consultas de carácter general sobre asuntos de competencia de la dependencia</w:t>
      </w:r>
      <w:r>
        <w:rPr>
          <w:rFonts w:ascii="Verdana" w:eastAsia="Century Gothic" w:hAnsi="Verdana" w:cs="Century Gothic"/>
        </w:rPr>
        <w:t>”.</w:t>
      </w:r>
      <w:r w:rsidRPr="00D7124D">
        <w:rPr>
          <w:rFonts w:ascii="Verdana" w:eastAsia="Century Gothic" w:hAnsi="Verdana" w:cs="Century Gothic"/>
        </w:rPr>
        <w:t xml:space="preserve">  </w:t>
      </w:r>
    </w:p>
    <w:p w14:paraId="14E7E4DC" w14:textId="77777777" w:rsidR="0066300B" w:rsidRPr="00046489" w:rsidRDefault="0066300B" w:rsidP="0066300B">
      <w:pPr>
        <w:spacing w:after="0" w:line="276" w:lineRule="auto"/>
        <w:ind w:firstLine="708"/>
        <w:jc w:val="both"/>
        <w:rPr>
          <w:rFonts w:ascii="Verdana" w:eastAsia="Century Gothic" w:hAnsi="Verdana" w:cs="Century Gothic"/>
        </w:rPr>
      </w:pPr>
      <w:r>
        <w:rPr>
          <w:rFonts w:ascii="Verdana" w:eastAsia="Century Gothic" w:hAnsi="Verdana" w:cs="Century Gothic"/>
        </w:rPr>
        <w:t xml:space="preserve"> </w:t>
      </w:r>
    </w:p>
    <w:p w14:paraId="1F438193" w14:textId="77777777" w:rsidR="0066300B" w:rsidRPr="00A47393" w:rsidRDefault="0066300B" w:rsidP="0066300B">
      <w:pPr>
        <w:tabs>
          <w:tab w:val="left" w:pos="0"/>
        </w:tabs>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BCE99F9" w14:textId="77777777" w:rsidR="0066300B" w:rsidRPr="00185EE9" w:rsidRDefault="0066300B" w:rsidP="0066300B">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3FF5E0CA" w14:textId="77777777" w:rsidR="0066300B" w:rsidRPr="00182C89" w:rsidRDefault="0066300B" w:rsidP="0066300B">
      <w:pPr>
        <w:tabs>
          <w:tab w:val="left" w:pos="709"/>
        </w:tabs>
        <w:spacing w:after="0" w:line="276" w:lineRule="auto"/>
        <w:jc w:val="both"/>
        <w:rPr>
          <w:rFonts w:ascii="Verdana" w:eastAsia="Calibri" w:hAnsi="Verdana" w:cs="Arial"/>
          <w:color w:val="000000" w:themeColor="text1"/>
        </w:rPr>
      </w:pPr>
    </w:p>
    <w:p w14:paraId="56BD7E79" w14:textId="77777777" w:rsidR="0066300B" w:rsidRPr="00593A5F" w:rsidRDefault="0066300B" w:rsidP="006630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EA9C0AC" w14:textId="77777777" w:rsidR="0066300B" w:rsidRPr="00593A5F" w:rsidRDefault="0066300B" w:rsidP="0066300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300B" w:rsidRPr="002407CE" w14:paraId="3F6D2620" w14:textId="77777777" w:rsidTr="00850BE6">
        <w:trPr>
          <w:trHeight w:val="56"/>
          <w:jc w:val="center"/>
        </w:trPr>
        <w:tc>
          <w:tcPr>
            <w:tcW w:w="8647" w:type="dxa"/>
          </w:tcPr>
          <w:p w14:paraId="115162B9" w14:textId="77777777" w:rsidR="0066300B" w:rsidRDefault="0066300B" w:rsidP="00850BE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 29.</w:t>
            </w:r>
            <w:r w:rsidRPr="00B87E7A">
              <w:rPr>
                <w:rFonts w:ascii="Verdana" w:hAnsi="Verdana" w:cs="Arial"/>
              </w:rPr>
              <w:t xml:space="preserve"> </w:t>
            </w:r>
          </w:p>
          <w:p w14:paraId="7A451DAF" w14:textId="77777777" w:rsidR="0066300B" w:rsidRDefault="0066300B" w:rsidP="00850BE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24, 25 y 77.</w:t>
            </w:r>
          </w:p>
          <w:p w14:paraId="4890B18B" w14:textId="77777777" w:rsidR="0066300B" w:rsidRDefault="0066300B" w:rsidP="00850BE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3, 2 y 5.</w:t>
            </w:r>
          </w:p>
          <w:p w14:paraId="71F7FBC8" w14:textId="77777777" w:rsidR="0066300B" w:rsidRDefault="0066300B" w:rsidP="00850BE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2.</w:t>
            </w:r>
          </w:p>
          <w:p w14:paraId="51832323" w14:textId="77777777" w:rsidR="0066300B" w:rsidRDefault="0066300B" w:rsidP="00850BE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4170 de 2011, artículo 13.</w:t>
            </w:r>
          </w:p>
          <w:p w14:paraId="2EE7DCBE" w14:textId="77777777" w:rsidR="0066300B" w:rsidRDefault="0066300B" w:rsidP="00850BE6">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1082 de 2015</w:t>
            </w:r>
            <w:r w:rsidRPr="00754D53">
              <w:rPr>
                <w:rFonts w:ascii="Verdana" w:hAnsi="Verdana" w:cs="Arial"/>
              </w:rPr>
              <w:t>, artículo</w:t>
            </w:r>
            <w:r>
              <w:rPr>
                <w:rFonts w:ascii="Verdana" w:hAnsi="Verdana" w:cs="Arial"/>
              </w:rPr>
              <w:t>s</w:t>
            </w:r>
            <w:r w:rsidRPr="00754D53">
              <w:rPr>
                <w:rFonts w:ascii="Verdana" w:hAnsi="Verdana" w:cs="Arial"/>
              </w:rPr>
              <w:t xml:space="preserve"> </w:t>
            </w:r>
            <w:r w:rsidRPr="00185EE9">
              <w:rPr>
                <w:rFonts w:ascii="Verdana" w:eastAsia="Calibri" w:hAnsi="Verdana" w:cs="Arial"/>
                <w:bCs/>
                <w:color w:val="000000" w:themeColor="text1"/>
              </w:rPr>
              <w:t>2.2.1.1.1.3.1</w:t>
            </w:r>
            <w:r>
              <w:rPr>
                <w:rFonts w:ascii="Verdana" w:eastAsia="Calibri" w:hAnsi="Verdana" w:cs="Arial"/>
                <w:bCs/>
                <w:color w:val="000000" w:themeColor="text1"/>
              </w:rPr>
              <w:t xml:space="preserve">, </w:t>
            </w:r>
            <w:r w:rsidRPr="00014FB7">
              <w:rPr>
                <w:rFonts w:ascii="Verdana" w:hAnsi="Verdana" w:cs="Arial"/>
                <w:bCs/>
                <w:lang w:val="es-ES_tradnl"/>
              </w:rPr>
              <w:t>2.2.1.2.1.2.2</w:t>
            </w:r>
            <w:r>
              <w:rPr>
                <w:rFonts w:ascii="Verdana" w:hAnsi="Verdana" w:cs="Arial"/>
                <w:bCs/>
                <w:lang w:val="es-ES_tradnl"/>
              </w:rPr>
              <w:t xml:space="preserve">, </w:t>
            </w:r>
            <w:r w:rsidRPr="00A2511F">
              <w:rPr>
                <w:rFonts w:ascii="Verdana" w:hAnsi="Verdana" w:cs="Arial"/>
                <w:bCs/>
                <w:lang w:val="es-ES_tradnl"/>
              </w:rPr>
              <w:t>2.2.1.2.1.2.3</w:t>
            </w:r>
            <w:r>
              <w:rPr>
                <w:rFonts w:ascii="Verdana" w:hAnsi="Verdana" w:cs="Arial"/>
                <w:bCs/>
                <w:lang w:val="es-ES_tradnl"/>
              </w:rPr>
              <w:t xml:space="preserve">, </w:t>
            </w:r>
            <w:r w:rsidRPr="00A2511F">
              <w:rPr>
                <w:rFonts w:ascii="Verdana" w:hAnsi="Verdana" w:cs="Arial"/>
                <w:bCs/>
                <w:lang w:val="es-ES_tradnl"/>
              </w:rPr>
              <w:t>2.2.1.2.1.2.4</w:t>
            </w:r>
            <w:r>
              <w:rPr>
                <w:rFonts w:ascii="Verdana" w:hAnsi="Verdana" w:cs="Arial"/>
                <w:bCs/>
                <w:lang w:val="es-ES_tradnl"/>
              </w:rPr>
              <w:t xml:space="preserve"> y </w:t>
            </w:r>
            <w:r w:rsidRPr="00A2511F">
              <w:rPr>
                <w:rFonts w:ascii="Verdana" w:hAnsi="Verdana" w:cs="Arial"/>
                <w:bCs/>
                <w:lang w:val="es-ES_tradnl"/>
              </w:rPr>
              <w:t>2.2.1.2.1.2.</w:t>
            </w:r>
            <w:r>
              <w:rPr>
                <w:rFonts w:ascii="Verdana" w:hAnsi="Verdana" w:cs="Arial"/>
                <w:bCs/>
                <w:lang w:val="es-ES_tradnl"/>
              </w:rPr>
              <w:t>5</w:t>
            </w:r>
            <w:r w:rsidRPr="00754D53">
              <w:rPr>
                <w:rFonts w:ascii="Verdana" w:hAnsi="Verdana" w:cs="Arial"/>
              </w:rPr>
              <w:t>.</w:t>
            </w:r>
          </w:p>
          <w:p w14:paraId="100C3580" w14:textId="77777777" w:rsidR="0066300B" w:rsidRPr="00B87E7A" w:rsidRDefault="0066300B" w:rsidP="00850BE6">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artículos 28 y 29.</w:t>
            </w:r>
          </w:p>
        </w:tc>
      </w:tr>
    </w:tbl>
    <w:p w14:paraId="595C5D0F" w14:textId="77777777" w:rsidR="0066300B" w:rsidRPr="002407CE" w:rsidRDefault="0066300B" w:rsidP="0066300B">
      <w:pPr>
        <w:widowControl w:val="0"/>
        <w:autoSpaceDE w:val="0"/>
        <w:autoSpaceDN w:val="0"/>
        <w:spacing w:after="0" w:line="276" w:lineRule="auto"/>
        <w:jc w:val="both"/>
        <w:rPr>
          <w:rFonts w:ascii="Verdana" w:hAnsi="Verdana" w:cs="Arial"/>
        </w:rPr>
      </w:pPr>
    </w:p>
    <w:p w14:paraId="476AF492" w14:textId="77777777" w:rsidR="0066300B" w:rsidRPr="00593A5F" w:rsidRDefault="0066300B" w:rsidP="006630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6D3562FF" w14:textId="77777777" w:rsidR="0066300B" w:rsidRPr="00593A5F" w:rsidRDefault="0066300B" w:rsidP="0066300B">
      <w:pPr>
        <w:widowControl w:val="0"/>
        <w:autoSpaceDE w:val="0"/>
        <w:autoSpaceDN w:val="0"/>
        <w:spacing w:after="0" w:line="276" w:lineRule="auto"/>
        <w:jc w:val="both"/>
        <w:rPr>
          <w:rFonts w:ascii="Verdana" w:hAnsi="Verdana" w:cs="Arial"/>
        </w:rPr>
      </w:pPr>
    </w:p>
    <w:p w14:paraId="3423C84C" w14:textId="77777777" w:rsidR="0066300B" w:rsidRPr="00ED0098" w:rsidRDefault="0066300B" w:rsidP="0066300B">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 xml:space="preserve">se ha pronunciado </w:t>
      </w:r>
      <w:r>
        <w:rPr>
          <w:rStyle w:val="normaltextrun"/>
          <w:rFonts w:ascii="Verdana" w:hAnsi="Verdana" w:cs="Arial"/>
          <w:shd w:val="clear" w:color="auto" w:fill="FFFFFF"/>
        </w:rPr>
        <w:t>sobre</w:t>
      </w:r>
      <w:r w:rsidRPr="00E66EAF">
        <w:rPr>
          <w:rStyle w:val="normaltextrun"/>
          <w:rFonts w:ascii="Verdana" w:hAnsi="Verdana" w:cs="Arial"/>
          <w:shd w:val="clear" w:color="auto" w:fill="FFFFFF"/>
        </w:rPr>
        <w:t xml:space="preserve"> la naturaleza jurídica de la modalidad de selección por subasta inversa y su procedimiento en los conceptos C-008 de 2020, C- 365 de 2020, C-024 de 2021, C-568 de 2021 y C-565 de 2022, C-732 del 8 de noviembre de 2022, C-264 del 22 de julio de 2024, C-359 del 9 de septiembre de 2024</w:t>
      </w:r>
      <w:r>
        <w:rPr>
          <w:rStyle w:val="normaltextrun"/>
          <w:rFonts w:ascii="Verdana" w:hAnsi="Verdana" w:cs="Arial"/>
          <w:shd w:val="clear" w:color="auto" w:fill="FFFFFF"/>
        </w:rPr>
        <w:t xml:space="preserve"> y C-947 del 31 de diciembre de 2024</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4"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BC7E898" w14:textId="77777777" w:rsidR="0066300B" w:rsidRPr="00096788" w:rsidRDefault="0066300B" w:rsidP="0066300B">
      <w:pPr>
        <w:widowControl w:val="0"/>
        <w:autoSpaceDE w:val="0"/>
        <w:autoSpaceDN w:val="0"/>
        <w:spacing w:after="0" w:line="276" w:lineRule="auto"/>
        <w:jc w:val="both"/>
        <w:rPr>
          <w:rFonts w:ascii="Verdana" w:hAnsi="Verdana" w:cs="Arial"/>
          <w:color w:val="000000" w:themeColor="text1"/>
          <w:shd w:val="clear" w:color="auto" w:fill="FFFFFF"/>
        </w:rPr>
      </w:pPr>
    </w:p>
    <w:p w14:paraId="1F32F905" w14:textId="77777777" w:rsidR="0066300B" w:rsidRDefault="0066300B" w:rsidP="0066300B">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0187FA94" w14:textId="77777777" w:rsidR="0066300B" w:rsidRPr="009A385A" w:rsidRDefault="0066300B" w:rsidP="0066300B">
      <w:pPr>
        <w:spacing w:after="0"/>
        <w:jc w:val="both"/>
        <w:rPr>
          <w:rFonts w:ascii="Verdana" w:hAnsi="Verdana"/>
        </w:rPr>
      </w:pPr>
    </w:p>
    <w:p w14:paraId="58A4B75C" w14:textId="77777777" w:rsidR="0066300B" w:rsidRDefault="0066300B" w:rsidP="0066300B">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421B3C15" w14:textId="77777777" w:rsidR="0066300B" w:rsidRDefault="0066300B" w:rsidP="0066300B">
      <w:pPr>
        <w:spacing w:after="0"/>
        <w:jc w:val="both"/>
        <w:rPr>
          <w:rFonts w:ascii="Verdana" w:hAnsi="Verdana"/>
        </w:rPr>
      </w:pPr>
    </w:p>
    <w:p w14:paraId="29DCDA01" w14:textId="77777777" w:rsidR="0066300B" w:rsidRPr="008E1CD7" w:rsidRDefault="0066300B" w:rsidP="0066300B">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w:t>
      </w:r>
      <w:r w:rsidRPr="00797327">
        <w:rPr>
          <w:rFonts w:ascii="Verdana" w:hAnsi="Verdana"/>
        </w:rPr>
        <w:lastRenderedPageBreak/>
        <w:t xml:space="preserve">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8A4332E" w14:textId="77777777" w:rsidR="0066300B" w:rsidRDefault="0066300B" w:rsidP="0066300B">
      <w:pPr>
        <w:shd w:val="clear" w:color="auto" w:fill="FFFFFF"/>
        <w:spacing w:after="0" w:line="276" w:lineRule="auto"/>
        <w:jc w:val="both"/>
        <w:rPr>
          <w:rFonts w:ascii="Verdana" w:hAnsi="Verdana"/>
          <w:color w:val="000000"/>
          <w:u w:val="single"/>
        </w:rPr>
      </w:pPr>
    </w:p>
    <w:p w14:paraId="6E4C24E1" w14:textId="77777777" w:rsidR="0066300B" w:rsidRPr="00116940" w:rsidRDefault="0066300B" w:rsidP="0066300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A2FBC47" w14:textId="77777777" w:rsidR="0066300B" w:rsidRPr="00116940" w:rsidRDefault="0066300B" w:rsidP="0066300B">
      <w:pPr>
        <w:spacing w:after="0"/>
        <w:jc w:val="both"/>
        <w:rPr>
          <w:rFonts w:ascii="Verdana" w:hAnsi="Verdana"/>
        </w:rPr>
      </w:pPr>
    </w:p>
    <w:p w14:paraId="1456E941" w14:textId="77777777" w:rsidR="0066300B" w:rsidRPr="00116940" w:rsidRDefault="0066300B" w:rsidP="0066300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53F2705" w14:textId="77777777" w:rsidR="0066300B" w:rsidRPr="00116940" w:rsidRDefault="0066300B" w:rsidP="0066300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2C8E4CD" w14:textId="77777777" w:rsidR="0066300B" w:rsidRPr="00116940" w:rsidRDefault="0066300B" w:rsidP="0066300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2FFE5B39" w14:textId="77777777" w:rsidR="0066300B" w:rsidRPr="00116940" w:rsidRDefault="0066300B" w:rsidP="0066300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4BFE6FE0" w14:textId="77777777" w:rsidR="0066300B" w:rsidRPr="00116940" w:rsidRDefault="0066300B" w:rsidP="0066300B">
      <w:pPr>
        <w:spacing w:after="0" w:line="240" w:lineRule="auto"/>
        <w:ind w:left="720"/>
        <w:jc w:val="both"/>
        <w:rPr>
          <w:rFonts w:ascii="Verdana" w:hAnsi="Verdana"/>
        </w:rPr>
      </w:pPr>
    </w:p>
    <w:p w14:paraId="7B16B9DD" w14:textId="77777777" w:rsidR="0066300B" w:rsidRPr="00116940" w:rsidRDefault="0066300B" w:rsidP="0066300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0"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1E55D28" w14:textId="77777777" w:rsidR="0066300B" w:rsidRPr="00116940" w:rsidRDefault="0066300B" w:rsidP="0066300B">
      <w:pPr>
        <w:spacing w:after="0" w:line="240" w:lineRule="auto"/>
        <w:rPr>
          <w:rFonts w:ascii="Verdana" w:hAnsi="Verdana"/>
        </w:rPr>
      </w:pPr>
    </w:p>
    <w:p w14:paraId="47338366" w14:textId="77777777" w:rsidR="0066300B" w:rsidRPr="00116940" w:rsidRDefault="0066300B" w:rsidP="0066300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E44BEEB" w14:textId="77777777" w:rsidR="0066300B" w:rsidRPr="00116940" w:rsidRDefault="0066300B" w:rsidP="0066300B">
      <w:pPr>
        <w:spacing w:after="0" w:line="240" w:lineRule="auto"/>
        <w:jc w:val="both"/>
        <w:rPr>
          <w:rFonts w:ascii="Verdana" w:hAnsi="Verdana"/>
        </w:rPr>
      </w:pPr>
    </w:p>
    <w:p w14:paraId="4E5CEF33" w14:textId="77777777" w:rsidR="0066300B" w:rsidRPr="00116940" w:rsidRDefault="0066300B" w:rsidP="0066300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E514959" w14:textId="77777777" w:rsidR="0066300B" w:rsidRPr="00116940" w:rsidRDefault="0066300B" w:rsidP="0066300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F77C2A8" w14:textId="77777777" w:rsidR="0066300B" w:rsidRPr="00116940" w:rsidRDefault="0066300B" w:rsidP="0066300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739360" w14:textId="77777777" w:rsidR="0066300B" w:rsidRPr="009C4035" w:rsidRDefault="0066300B" w:rsidP="0066300B">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4CE9BCBD" w14:textId="77777777" w:rsidR="0066300B" w:rsidRPr="00593A5F" w:rsidRDefault="0066300B" w:rsidP="0066300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DFA89F5" w14:textId="77777777" w:rsidR="0066300B" w:rsidRPr="00593A5F" w:rsidRDefault="0066300B" w:rsidP="0066300B">
      <w:pPr>
        <w:widowControl w:val="0"/>
        <w:autoSpaceDE w:val="0"/>
        <w:autoSpaceDN w:val="0"/>
        <w:spacing w:after="0" w:line="276" w:lineRule="auto"/>
        <w:jc w:val="both"/>
        <w:rPr>
          <w:rFonts w:ascii="Verdana" w:hAnsi="Verdana" w:cs="Arial"/>
        </w:rPr>
      </w:pPr>
    </w:p>
    <w:p w14:paraId="4F8B5A0A" w14:textId="77777777" w:rsidR="0066300B" w:rsidRPr="00593A5F" w:rsidRDefault="0066300B" w:rsidP="0066300B">
      <w:pPr>
        <w:spacing w:after="0" w:line="240" w:lineRule="auto"/>
        <w:rPr>
          <w:rFonts w:ascii="Verdana" w:hAnsi="Verdana" w:cs="Arial"/>
          <w:lang w:eastAsia="es-CO"/>
        </w:rPr>
      </w:pPr>
      <w:r w:rsidRPr="00593A5F">
        <w:rPr>
          <w:rFonts w:ascii="Verdana" w:eastAsia="Times New Roman" w:hAnsi="Verdana" w:cs="Arial"/>
          <w:lang w:eastAsia="es-CO"/>
        </w:rPr>
        <w:lastRenderedPageBreak/>
        <w:t>Atentamente,</w:t>
      </w:r>
      <w:r w:rsidRPr="00593A5F">
        <w:rPr>
          <w:rFonts w:ascii="Verdana" w:hAnsi="Verdana" w:cs="Arial"/>
          <w:lang w:eastAsia="es-CO"/>
        </w:rPr>
        <w:t xml:space="preserve"> </w:t>
      </w:r>
    </w:p>
    <w:p w14:paraId="300A09E6" w14:textId="20368856" w:rsidR="0066300B" w:rsidRPr="00593A5F" w:rsidRDefault="00131468" w:rsidP="0066300B">
      <w:pPr>
        <w:spacing w:line="276" w:lineRule="auto"/>
        <w:jc w:val="center"/>
        <w:rPr>
          <w:rFonts w:ascii="Verdana" w:hAnsi="Verdana" w:cs="Arial"/>
          <w:color w:val="000000"/>
          <w:lang w:val="es-ES_tradnl" w:eastAsia="es-CO"/>
        </w:rPr>
      </w:pPr>
      <w:r>
        <w:rPr>
          <w:noProof/>
        </w:rPr>
        <w:drawing>
          <wp:inline distT="0" distB="0" distL="0" distR="0" wp14:anchorId="6719192A" wp14:editId="48E75CD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1"/>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300B" w:rsidRPr="00593A5F" w14:paraId="5B93B0BC" w14:textId="77777777" w:rsidTr="00850BE6">
        <w:trPr>
          <w:trHeight w:val="315"/>
        </w:trPr>
        <w:tc>
          <w:tcPr>
            <w:tcW w:w="893" w:type="dxa"/>
            <w:vAlign w:val="center"/>
            <w:hideMark/>
          </w:tcPr>
          <w:p w14:paraId="0C2A9559" w14:textId="77777777" w:rsidR="0066300B" w:rsidRPr="003751C7" w:rsidRDefault="0066300B" w:rsidP="00850BE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8B0342C" w14:textId="77777777" w:rsidR="0066300B" w:rsidRPr="00254A7A" w:rsidRDefault="0066300B" w:rsidP="00850BE6">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ACE68B4" w14:textId="77777777" w:rsidR="0066300B" w:rsidRPr="00254A7A" w:rsidRDefault="0066300B" w:rsidP="00850BE6">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6300B" w:rsidRPr="00593A5F" w14:paraId="427C39C5" w14:textId="77777777" w:rsidTr="00850BE6">
        <w:trPr>
          <w:trHeight w:val="330"/>
        </w:trPr>
        <w:tc>
          <w:tcPr>
            <w:tcW w:w="893" w:type="dxa"/>
            <w:vAlign w:val="center"/>
            <w:hideMark/>
          </w:tcPr>
          <w:p w14:paraId="4BEFF2FD" w14:textId="77777777" w:rsidR="0066300B" w:rsidRPr="003751C7" w:rsidRDefault="0066300B" w:rsidP="00850BE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49B3D1" w14:textId="77777777" w:rsidR="0066300B" w:rsidRPr="000F6470" w:rsidRDefault="0066300B" w:rsidP="00850BE6">
            <w:pPr>
              <w:pStyle w:val="paragraph"/>
              <w:spacing w:after="0"/>
              <w:contextualSpacing/>
              <w:textAlignment w:val="baseline"/>
              <w:rPr>
                <w:rStyle w:val="normaltextrun"/>
                <w:rFonts w:ascii="Verdana" w:hAnsi="Verdana" w:cs="Arial"/>
                <w:sz w:val="16"/>
                <w:szCs w:val="16"/>
                <w:lang w:val="es-ES_tradnl"/>
              </w:rPr>
            </w:pPr>
            <w:r w:rsidRPr="000F6470">
              <w:rPr>
                <w:rStyle w:val="normaltextrun"/>
                <w:rFonts w:ascii="Verdana" w:hAnsi="Verdana" w:cs="Arial"/>
                <w:sz w:val="16"/>
                <w:szCs w:val="16"/>
                <w:lang w:val="es-ES_tradnl"/>
              </w:rPr>
              <w:t>Alejandro Sarmiento Cantillo</w:t>
            </w:r>
          </w:p>
          <w:p w14:paraId="598445F2" w14:textId="77777777" w:rsidR="0066300B" w:rsidRPr="00A40FD0" w:rsidRDefault="0066300B" w:rsidP="00850BE6">
            <w:pPr>
              <w:pStyle w:val="paragraph"/>
              <w:spacing w:before="0" w:beforeAutospacing="0" w:after="0" w:afterAutospacing="0"/>
              <w:contextualSpacing/>
              <w:textAlignment w:val="baseline"/>
              <w:rPr>
                <w:rFonts w:ascii="Verdana" w:hAnsi="Verdana" w:cs="Segoe UI"/>
                <w:sz w:val="16"/>
                <w:szCs w:val="16"/>
              </w:rPr>
            </w:pPr>
            <w:r w:rsidRPr="000F6470">
              <w:rPr>
                <w:rStyle w:val="normaltextrun"/>
                <w:rFonts w:ascii="Verdana" w:hAnsi="Verdana" w:cs="Arial"/>
                <w:sz w:val="16"/>
                <w:szCs w:val="16"/>
                <w:lang w:val="es-ES_tradnl"/>
              </w:rPr>
              <w:t>Gestor T1 ‒ 15 de la Subdirección de Gestión Contractua</w:t>
            </w:r>
            <w:r>
              <w:rPr>
                <w:rStyle w:val="normaltextrun"/>
                <w:rFonts w:ascii="Verdana" w:hAnsi="Verdana" w:cs="Arial"/>
                <w:sz w:val="16"/>
                <w:szCs w:val="16"/>
                <w:lang w:val="es-ES_tradnl"/>
              </w:rPr>
              <w:t>l</w:t>
            </w:r>
          </w:p>
        </w:tc>
      </w:tr>
      <w:tr w:rsidR="0066300B" w:rsidRPr="00593A5F" w14:paraId="7D81CC81" w14:textId="77777777" w:rsidTr="00850BE6">
        <w:trPr>
          <w:trHeight w:val="300"/>
        </w:trPr>
        <w:tc>
          <w:tcPr>
            <w:tcW w:w="893" w:type="dxa"/>
            <w:vAlign w:val="center"/>
          </w:tcPr>
          <w:p w14:paraId="32C100C6" w14:textId="77777777" w:rsidR="0066300B" w:rsidRPr="003751C7" w:rsidRDefault="0066300B" w:rsidP="00850BE6">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478D56" w14:textId="77777777" w:rsidR="0066300B" w:rsidRPr="00FE00BE" w:rsidRDefault="0066300B" w:rsidP="00850BE6">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2105FB2E" w14:textId="77777777" w:rsidR="0066300B" w:rsidRPr="00FE00BE" w:rsidRDefault="0066300B" w:rsidP="00850BE6">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531FBFDF" w14:textId="2E94D9D6" w:rsidR="0066300B" w:rsidRPr="00543BFE" w:rsidRDefault="0066300B" w:rsidP="0066300B"/>
    <w:p w14:paraId="0F293BF4" w14:textId="7926662C" w:rsidR="00127233" w:rsidRPr="00E34E05" w:rsidRDefault="00127233" w:rsidP="00E34E05"/>
    <w:sectPr w:rsidR="00127233" w:rsidRPr="00E34E05"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6BD87" w14:textId="77777777" w:rsidR="000509D5" w:rsidRDefault="000509D5" w:rsidP="004A1847">
      <w:pPr>
        <w:spacing w:after="0" w:line="240" w:lineRule="auto"/>
      </w:pPr>
      <w:r>
        <w:separator/>
      </w:r>
    </w:p>
  </w:endnote>
  <w:endnote w:type="continuationSeparator" w:id="0">
    <w:p w14:paraId="4F414D73" w14:textId="77777777" w:rsidR="000509D5" w:rsidRDefault="000509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3BA909" w14:textId="77777777" w:rsidR="000509D5" w:rsidRDefault="000509D5" w:rsidP="004A1847">
      <w:pPr>
        <w:spacing w:after="0" w:line="240" w:lineRule="auto"/>
      </w:pPr>
      <w:r>
        <w:separator/>
      </w:r>
    </w:p>
  </w:footnote>
  <w:footnote w:type="continuationSeparator" w:id="0">
    <w:p w14:paraId="0995B740" w14:textId="77777777" w:rsidR="000509D5" w:rsidRDefault="000509D5" w:rsidP="004A1847">
      <w:pPr>
        <w:spacing w:after="0" w:line="240" w:lineRule="auto"/>
      </w:pPr>
      <w:r>
        <w:continuationSeparator/>
      </w:r>
    </w:p>
  </w:footnote>
  <w:footnote w:id="1">
    <w:p w14:paraId="71A84851"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2">
    <w:p w14:paraId="5FEB39F2"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De hecho, en la exposición de motivos se explicó lo siguiente: “El proyecto mantiene como regla general la utilización de procedimientos reglados de selección objetiva del contratista [...], lo que afirma la ordenación que sobre la materia ha mantenido nuestra legislación desde el Código Fiscal de 1873 en cuanto que su justificación estriba, esencialmente, en los conceptos de seguridad, corrección y moralidad administrativas, así como en el principio de igualdad de oportunidades para que cualquier persona que esté en posibilidad de contratar con la administración tenga acceso a ella” (</w:t>
      </w:r>
      <w:bookmarkStart w:id="2" w:name="_Hlk39067926"/>
      <w:r w:rsidRPr="00765D8D">
        <w:rPr>
          <w:rFonts w:ascii="Verdana" w:hAnsi="Verdana" w:cs="Arial"/>
          <w:sz w:val="16"/>
          <w:szCs w:val="16"/>
        </w:rPr>
        <w:t>CONGRESO DE LA REPÚBLICA. Exposición de motivos de la Ley 80 de 1993. Gaceta del Congreso No. 75 del 23 de septiembre de 1992</w:t>
      </w:r>
      <w:bookmarkEnd w:id="2"/>
      <w:r w:rsidRPr="00765D8D">
        <w:rPr>
          <w:rFonts w:ascii="Verdana" w:hAnsi="Verdana" w:cs="Arial"/>
          <w:sz w:val="16"/>
          <w:szCs w:val="16"/>
        </w:rPr>
        <w:t>).</w:t>
      </w:r>
    </w:p>
  </w:footnote>
  <w:footnote w:id="3">
    <w:p w14:paraId="5E1ACFC1"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El inciso primero de norma disponía que, conforme al principio de transparencia, “</w:t>
      </w:r>
      <w:r w:rsidRPr="00765D8D">
        <w:rPr>
          <w:rFonts w:ascii="Verdana" w:hAnsi="Verdana" w:cs="Arial"/>
          <w:i/>
          <w:iCs/>
          <w:sz w:val="16"/>
          <w:szCs w:val="16"/>
        </w:rPr>
        <w:t>La escogencia del contratista se efectuará siempre a través de licitación o concurso públicos</w:t>
      </w:r>
      <w:r w:rsidRPr="00765D8D">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45A10CF5"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765D8D">
        <w:rPr>
          <w:rFonts w:ascii="Verdana" w:hAnsi="Verdana" w:cs="Arial"/>
          <w:i/>
          <w:iCs/>
          <w:sz w:val="16"/>
          <w:szCs w:val="16"/>
        </w:rPr>
        <w:t>Presentación de la oferta de manera dinámica</w:t>
      </w:r>
      <w:r w:rsidRPr="00765D8D">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4E7AF7C8"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El numeral 2 del artículo 2 de la Ley 1150 de 2007 prescribe: “[…] Serán causales de selección abreviada las siguientes:</w:t>
      </w:r>
    </w:p>
    <w:p w14:paraId="5E809942"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06845E82"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1F2A596D"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36B566EA"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w:t>
      </w:r>
    </w:p>
    <w:p w14:paraId="683A0150"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14513FE5"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0C0CE1E7"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e) La enajenación de bienes del Estado, con excepción de aquellos a que se refiere la Ley 226 de 1995.</w:t>
      </w:r>
    </w:p>
    <w:p w14:paraId="654306C0"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 xml:space="preserve">[…]; </w:t>
      </w:r>
    </w:p>
    <w:p w14:paraId="5766D78E"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 xml:space="preserve">f) Productos de origen o destinación agropecuarios que se ofrezcan en las bolsas de productos legalmente constituidas; </w:t>
      </w:r>
    </w:p>
    <w:p w14:paraId="1F683A54"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7C9276E3"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9E7E285"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i) La contratación de bienes y servicios que se requieran para la defensa y seguridad nacional.</w:t>
      </w:r>
    </w:p>
    <w:p w14:paraId="6FE9CC20"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j) 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6">
    <w:p w14:paraId="7748D039"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CONGRESO DE LA REPÚBLICA. Exposición de motivos de la Ley 1150 de 2007. Gaceta del Congreso No. 458 del 1º de agosto de 2005. p. 8. </w:t>
      </w:r>
    </w:p>
  </w:footnote>
  <w:footnote w:id="7">
    <w:p w14:paraId="3F690A6D"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CONSEJO DE ESTADO. Sección Tercera. Subsección A. Sentencia del 23 de julio de 2015. Exp. 36.805. C. P. Hernán Andrade Rincón. </w:t>
      </w:r>
    </w:p>
  </w:footnote>
  <w:footnote w:id="8">
    <w:p w14:paraId="3BC1CAD8" w14:textId="77777777" w:rsidR="0066300B" w:rsidRPr="00765D8D" w:rsidRDefault="0066300B" w:rsidP="0066300B">
      <w:pPr>
        <w:pStyle w:val="Textonotapie"/>
        <w:ind w:firstLine="708"/>
        <w:jc w:val="both"/>
        <w:rPr>
          <w:rFonts w:ascii="Verdana" w:hAnsi="Verdana"/>
          <w:sz w:val="16"/>
          <w:szCs w:val="16"/>
          <w:lang w:val="es-CO"/>
        </w:rPr>
      </w:pPr>
      <w:r w:rsidRPr="00765D8D">
        <w:rPr>
          <w:rStyle w:val="Refdenotaalpie"/>
          <w:rFonts w:ascii="Verdana" w:hAnsi="Verdana"/>
          <w:sz w:val="16"/>
          <w:szCs w:val="16"/>
        </w:rPr>
        <w:footnoteRef/>
      </w:r>
      <w:r w:rsidRPr="00765D8D">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765D8D">
        <w:rPr>
          <w:rFonts w:ascii="Verdana" w:hAnsi="Verdana"/>
          <w:i/>
          <w:iCs/>
          <w:sz w:val="16"/>
          <w:szCs w:val="16"/>
        </w:rPr>
        <w:t>las palabras de la ley se entenderán en su sentido natural y obvio, según el uso general de las mismas palabras</w:t>
      </w:r>
      <w:r w:rsidRPr="00765D8D">
        <w:rPr>
          <w:rFonts w:ascii="Verdana" w:hAnsi="Verdana"/>
          <w:sz w:val="16"/>
          <w:szCs w:val="16"/>
        </w:rPr>
        <w:t>’, es decir, el uso de la gente educada. El Diccionario de la Lengua publicado por la Real Academia Española goza a este respecto de gran autoridad. ‘</w:t>
      </w:r>
      <w:r w:rsidRPr="00765D8D">
        <w:rPr>
          <w:rFonts w:ascii="Verdana" w:hAnsi="Verdana"/>
          <w:i/>
          <w:iCs/>
          <w:sz w:val="16"/>
          <w:szCs w:val="16"/>
        </w:rPr>
        <w:t>Pero cuando el legislador</w:t>
      </w:r>
      <w:r w:rsidRPr="00765D8D">
        <w:rPr>
          <w:rFonts w:ascii="Verdana" w:hAnsi="Verdana"/>
          <w:sz w:val="16"/>
          <w:szCs w:val="16"/>
        </w:rPr>
        <w:t xml:space="preserve">, agrega el artículo 20, </w:t>
      </w:r>
      <w:r w:rsidRPr="00765D8D">
        <w:rPr>
          <w:rFonts w:ascii="Verdana" w:hAnsi="Verdana"/>
          <w:i/>
          <w:iCs/>
          <w:sz w:val="16"/>
          <w:szCs w:val="16"/>
        </w:rPr>
        <w:t>las haya definido expresamente para ciertas materias se les dará en éstas su significado legal</w:t>
      </w:r>
      <w:r w:rsidRPr="00765D8D">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9">
    <w:p w14:paraId="148F92BE" w14:textId="77777777" w:rsidR="0066300B" w:rsidRPr="00765D8D" w:rsidRDefault="0066300B" w:rsidP="0066300B">
      <w:pPr>
        <w:pStyle w:val="Textonotapie"/>
        <w:ind w:firstLine="708"/>
        <w:jc w:val="both"/>
        <w:rPr>
          <w:rFonts w:ascii="Verdana" w:hAnsi="Verdana"/>
          <w:sz w:val="16"/>
          <w:szCs w:val="16"/>
        </w:rPr>
      </w:pPr>
      <w:r w:rsidRPr="00765D8D">
        <w:rPr>
          <w:rStyle w:val="Refdenotaalpie"/>
          <w:rFonts w:ascii="Verdana" w:hAnsi="Verdana"/>
          <w:sz w:val="16"/>
          <w:szCs w:val="16"/>
        </w:rPr>
        <w:footnoteRef/>
      </w:r>
      <w:r w:rsidRPr="00765D8D">
        <w:rPr>
          <w:rFonts w:ascii="Verdana" w:hAnsi="Verdana"/>
          <w:sz w:val="16"/>
          <w:szCs w:val="16"/>
        </w:rPr>
        <w:t xml:space="preserve"> SUÁREZ BELTRÁN, Gonzalo. Estudios de derecho contractual público. Colombia: Bogotá, 2014. p. 72.</w:t>
      </w:r>
    </w:p>
  </w:footnote>
  <w:footnote w:id="10">
    <w:p w14:paraId="62FD476E" w14:textId="77777777" w:rsidR="0066300B" w:rsidRPr="00765D8D" w:rsidRDefault="0066300B" w:rsidP="0066300B">
      <w:pPr>
        <w:pStyle w:val="Textonotapie"/>
        <w:ind w:firstLine="708"/>
        <w:jc w:val="both"/>
        <w:rPr>
          <w:rFonts w:ascii="Verdana" w:hAnsi="Verdana"/>
          <w:sz w:val="16"/>
          <w:szCs w:val="16"/>
          <w:lang w:val="es-CO"/>
        </w:rPr>
      </w:pPr>
      <w:r w:rsidRPr="00765D8D">
        <w:rPr>
          <w:rStyle w:val="Refdenotaalpie"/>
          <w:rFonts w:ascii="Verdana" w:hAnsi="Verdana"/>
          <w:sz w:val="16"/>
          <w:szCs w:val="16"/>
        </w:rPr>
        <w:footnoteRef/>
      </w:r>
      <w:r w:rsidRPr="00765D8D">
        <w:rPr>
          <w:rFonts w:ascii="Verdana" w:hAnsi="Verdana"/>
          <w:sz w:val="16"/>
          <w:szCs w:val="16"/>
        </w:rPr>
        <w:t xml:space="preserve"> </w:t>
      </w:r>
      <w:r w:rsidRPr="00765D8D">
        <w:rPr>
          <w:rFonts w:ascii="Verdana" w:hAnsi="Verdana"/>
          <w:i/>
          <w:iCs/>
          <w:sz w:val="16"/>
          <w:szCs w:val="16"/>
        </w:rPr>
        <w:t>Ibidem</w:t>
      </w:r>
      <w:r w:rsidRPr="00765D8D">
        <w:rPr>
          <w:rFonts w:ascii="Verdana" w:hAnsi="Verdana"/>
          <w:sz w:val="16"/>
          <w:szCs w:val="16"/>
        </w:rPr>
        <w:t>.</w:t>
      </w:r>
    </w:p>
  </w:footnote>
  <w:footnote w:id="11">
    <w:p w14:paraId="29AA40F2"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sz w:val="16"/>
          <w:szCs w:val="16"/>
        </w:rPr>
        <w:footnoteRef/>
      </w:r>
      <w:r w:rsidRPr="00765D8D">
        <w:rPr>
          <w:rFonts w:ascii="Verdana" w:hAnsi="Verdana"/>
          <w:sz w:val="16"/>
          <w:szCs w:val="16"/>
        </w:rPr>
        <w:t xml:space="preserve"> </w:t>
      </w:r>
      <w:r w:rsidRPr="00765D8D">
        <w:rPr>
          <w:rFonts w:ascii="Verdana" w:hAnsi="Verdana" w:cs="Arial"/>
          <w:sz w:val="16"/>
          <w:szCs w:val="16"/>
        </w:rPr>
        <w:t xml:space="preserve">CONGRESO DE LA REPÚBLICA. Exposición de motivos de la Ley 1150 de 2007. Gaceta del Congreso No. 458 del 1º de agosto de 2005. p. 8. </w:t>
      </w:r>
    </w:p>
  </w:footnote>
  <w:footnote w:id="12">
    <w:p w14:paraId="038A52AB" w14:textId="77777777" w:rsidR="0066300B" w:rsidRPr="00765D8D" w:rsidRDefault="0066300B" w:rsidP="0066300B">
      <w:pPr>
        <w:pStyle w:val="Textonotapie"/>
        <w:ind w:firstLine="708"/>
        <w:jc w:val="both"/>
        <w:rPr>
          <w:rFonts w:ascii="Verdana" w:hAnsi="Verdana"/>
          <w:sz w:val="16"/>
          <w:szCs w:val="16"/>
          <w:lang w:val="es-CO"/>
        </w:rPr>
      </w:pPr>
      <w:r w:rsidRPr="00765D8D">
        <w:rPr>
          <w:rStyle w:val="Refdenotaalpie"/>
          <w:rFonts w:ascii="Verdana" w:hAnsi="Verdana"/>
          <w:sz w:val="16"/>
          <w:szCs w:val="16"/>
        </w:rPr>
        <w:footnoteRef/>
      </w:r>
      <w:r w:rsidRPr="00765D8D">
        <w:rPr>
          <w:rFonts w:ascii="Verdana" w:hAnsi="Verdana"/>
          <w:sz w:val="16"/>
          <w:szCs w:val="16"/>
        </w:rPr>
        <w:t xml:space="preserve"> DÁVILA VINUEZA, Luis Guillermo. Régimen jurídico de la contratación estatal. </w:t>
      </w:r>
      <w:r w:rsidRPr="00765D8D">
        <w:rPr>
          <w:rFonts w:ascii="Verdana" w:hAnsi="Verdana" w:cs="Arial"/>
          <w:sz w:val="16"/>
          <w:szCs w:val="16"/>
          <w:lang w:val="es-CO"/>
        </w:rPr>
        <w:t>Tercera Edición</w:t>
      </w:r>
      <w:r w:rsidRPr="00765D8D">
        <w:rPr>
          <w:rFonts w:ascii="Verdana" w:hAnsi="Verdana"/>
          <w:sz w:val="16"/>
          <w:szCs w:val="16"/>
          <w:lang w:val="es-CO"/>
        </w:rPr>
        <w:t>. Bogotá: Legis, 2016. pp. 466-467.</w:t>
      </w:r>
    </w:p>
  </w:footnote>
  <w:footnote w:id="13">
    <w:p w14:paraId="6C9219EC" w14:textId="77777777" w:rsidR="0066300B" w:rsidRPr="00765D8D" w:rsidRDefault="0066300B" w:rsidP="0066300B">
      <w:pPr>
        <w:pStyle w:val="Textonotapie"/>
        <w:ind w:firstLine="708"/>
        <w:jc w:val="both"/>
        <w:rPr>
          <w:rFonts w:ascii="Verdana" w:hAnsi="Verdana"/>
          <w:sz w:val="16"/>
          <w:szCs w:val="16"/>
          <w:lang w:val="es-CO"/>
        </w:rPr>
      </w:pPr>
      <w:r w:rsidRPr="00765D8D">
        <w:rPr>
          <w:rStyle w:val="Refdenotaalpie"/>
          <w:rFonts w:ascii="Verdana" w:hAnsi="Verdana"/>
          <w:sz w:val="16"/>
          <w:szCs w:val="16"/>
        </w:rPr>
        <w:footnoteRef/>
      </w:r>
      <w:r w:rsidRPr="00765D8D">
        <w:rPr>
          <w:rFonts w:ascii="Verdana" w:hAnsi="Verdana"/>
          <w:sz w:val="16"/>
          <w:szCs w:val="16"/>
        </w:rPr>
        <w:t xml:space="preserve"> RENGIFO GARDEAZÁBAL, Mauricio. La formación del contrato. Bogotá: Temis, 2016, pp. 212-213.</w:t>
      </w:r>
    </w:p>
  </w:footnote>
  <w:footnote w:id="14">
    <w:p w14:paraId="3BF96E97" w14:textId="77777777" w:rsidR="0066300B" w:rsidRPr="00765D8D" w:rsidRDefault="0066300B" w:rsidP="0066300B">
      <w:pPr>
        <w:pStyle w:val="Textonotapie"/>
        <w:ind w:firstLine="708"/>
        <w:jc w:val="both"/>
        <w:rPr>
          <w:rFonts w:ascii="Verdana" w:hAnsi="Verdana" w:cs="Arial"/>
          <w:sz w:val="16"/>
          <w:szCs w:val="16"/>
        </w:rPr>
      </w:pPr>
      <w:r w:rsidRPr="00765D8D">
        <w:rPr>
          <w:rStyle w:val="Refdenotaalpie"/>
          <w:rFonts w:ascii="Verdana" w:hAnsi="Verdana" w:cs="Arial"/>
          <w:sz w:val="16"/>
          <w:szCs w:val="16"/>
        </w:rPr>
        <w:footnoteRef/>
      </w:r>
      <w:r w:rsidRPr="00765D8D">
        <w:rPr>
          <w:rFonts w:ascii="Verdana" w:hAnsi="Verdana" w:cs="Arial"/>
          <w:sz w:val="16"/>
          <w:szCs w:val="16"/>
        </w:rPr>
        <w:t xml:space="preserve"> Para la doctrina, “La administración dispone de libertad de valoración para la configuración del pliego de condiciones, dentro de los parámetros generales señalados en la ley y en el reglamento, y conforme a los requerimientos específicos de cada proceso de selección. </w:t>
      </w:r>
    </w:p>
    <w:p w14:paraId="6B147A6F"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 xml:space="preserve">Por tal razón, se ha señalado que la administración ejerce y mantiene una facultad discrecional para su configuración, para ponderar los hechos, intereses, derechos y principios jurídicos comprometidos en un caso concreto y para una determinada solución. La administración tiene un espacio libre para elegir como posible cualquiera de las alternativas que resuelvan el caso, con un margen de libertad de valoración para que, en cada caso concreto, establezca el contenido del pliego de condiciones y los criterios y reglas que orientarán el proceso de selección. </w:t>
      </w:r>
    </w:p>
    <w:p w14:paraId="0BA9DD87" w14:textId="77777777" w:rsidR="0066300B" w:rsidRPr="00765D8D" w:rsidRDefault="0066300B" w:rsidP="0066300B">
      <w:pPr>
        <w:pStyle w:val="Textonotapie"/>
        <w:ind w:firstLine="708"/>
        <w:jc w:val="both"/>
        <w:rPr>
          <w:rFonts w:ascii="Verdana" w:hAnsi="Verdana" w:cs="Arial"/>
          <w:sz w:val="16"/>
          <w:szCs w:val="16"/>
        </w:rPr>
      </w:pPr>
      <w:r w:rsidRPr="00765D8D">
        <w:rPr>
          <w:rFonts w:ascii="Verdana" w:hAnsi="Verdana" w:cs="Arial"/>
          <w:sz w:val="16"/>
          <w:szCs w:val="16"/>
        </w:rPr>
        <w:t>La ley no determina ni puede determinar el contenido preciso y detallado de los pliegos de condiciones, por razones de eficacia y por la imposibilidad de prever con exactitud los derechos, reglas y obligaciones propios de las particularidades del objeto por contratar. Por ello, se otorga una facultad discrecional para incluir en el proceso y en los contratos las condiciones lícitas que considere convenientes y necesarias, con guarda del principio de legalidad, es decir, que no estén prohibidas por reglamento o por ley” (Cfr. GONZÁLEZ LÓPEZ, Edgar. El pliego de condiciones en la contratación estatal: la reforma consagrada en la Ley 1150 de 2007 y sus decretos reglamentarios. Bogotá: Universidad Externando de Colombia, 2012. p. 87).</w:t>
      </w:r>
    </w:p>
  </w:footnote>
  <w:footnote w:id="15">
    <w:p w14:paraId="0EA4386C" w14:textId="77777777" w:rsidR="0066300B" w:rsidRPr="00765D8D" w:rsidRDefault="0066300B" w:rsidP="0066300B">
      <w:pPr>
        <w:pStyle w:val="Textonotapie"/>
        <w:ind w:firstLine="708"/>
        <w:jc w:val="both"/>
        <w:rPr>
          <w:rFonts w:ascii="Verdana" w:hAnsi="Verdana"/>
          <w:sz w:val="16"/>
          <w:szCs w:val="16"/>
          <w:lang w:val="es-CO"/>
        </w:rPr>
      </w:pPr>
      <w:r w:rsidRPr="00765D8D">
        <w:rPr>
          <w:rStyle w:val="Refdenotaalpie"/>
          <w:rFonts w:ascii="Verdana" w:hAnsi="Verdana"/>
          <w:sz w:val="16"/>
          <w:szCs w:val="16"/>
        </w:rPr>
        <w:footnoteRef/>
      </w:r>
      <w:r w:rsidRPr="00765D8D">
        <w:rPr>
          <w:rFonts w:ascii="Verdana" w:hAnsi="Verdana"/>
          <w:sz w:val="16"/>
          <w:szCs w:val="16"/>
        </w:rPr>
        <w:t xml:space="preserve"> En este contexto, “Los pliegos de condiciones por su carácter de acto administrativo gozan de la presunción de legalidad y son de obligatorio cumplimiento para la Administración Pública y los licitantes y contratistas, que deberán respetarlos durante la formación de la voluntad contractual y la ejecución del vínculo jurídico” (Cfr. </w:t>
      </w:r>
      <w:r w:rsidRPr="00765D8D">
        <w:rPr>
          <w:rFonts w:ascii="Verdana" w:hAnsi="Verdana" w:cs="Arial"/>
          <w:color w:val="000000" w:themeColor="text1"/>
          <w:sz w:val="16"/>
          <w:szCs w:val="16"/>
        </w:rPr>
        <w:t xml:space="preserve">ESCOBAR GIL, Rodrigo. Teoría general de los contratos de la Administración pública. Bogotá: Legis, 2000. </w:t>
      </w:r>
      <w:r w:rsidRPr="00765D8D">
        <w:rPr>
          <w:rFonts w:ascii="Verdana" w:hAnsi="Verdana"/>
          <w:sz w:val="16"/>
          <w:szCs w:val="16"/>
        </w:rPr>
        <w:t>p. 86).</w:t>
      </w:r>
    </w:p>
  </w:footnote>
  <w:footnote w:id="16">
    <w:p w14:paraId="4D153970" w14:textId="77777777" w:rsidR="0066300B" w:rsidRPr="00765D8D" w:rsidRDefault="0066300B" w:rsidP="0066300B">
      <w:pPr>
        <w:ind w:firstLine="708"/>
        <w:jc w:val="both"/>
        <w:rPr>
          <w:rFonts w:ascii="Verdana" w:eastAsia="Century Gothic" w:hAnsi="Verdana" w:cs="Century Gothic"/>
          <w:color w:val="404040" w:themeColor="text1" w:themeTint="BF"/>
          <w:sz w:val="16"/>
          <w:szCs w:val="16"/>
        </w:rPr>
      </w:pPr>
      <w:r w:rsidRPr="00765D8D">
        <w:rPr>
          <w:rFonts w:ascii="Verdana" w:eastAsia="Century Gothic" w:hAnsi="Verdana" w:cs="Century Gothic"/>
          <w:sz w:val="16"/>
          <w:szCs w:val="16"/>
          <w:vertAlign w:val="superscript"/>
        </w:rPr>
        <w:footnoteRef/>
      </w:r>
      <w:r w:rsidRPr="00765D8D">
        <w:rPr>
          <w:rFonts w:ascii="Verdana" w:eastAsia="Century Gothic" w:hAnsi="Verdana" w:cs="Century Gothic"/>
          <w:sz w:val="16"/>
          <w:szCs w:val="16"/>
        </w:rPr>
        <w:t xml:space="preserve"> Comunicado de mejoras implementadas en el módulo de Subasta Electrónica del SECOP II, </w:t>
      </w:r>
      <w:r w:rsidRPr="00765D8D">
        <w:rPr>
          <w:rFonts w:ascii="Verdana" w:eastAsia="Century Gothic" w:hAnsi="Verdana" w:cs="Century Gothic"/>
          <w:color w:val="404040" w:themeColor="text1" w:themeTint="BF"/>
          <w:sz w:val="16"/>
          <w:szCs w:val="16"/>
        </w:rPr>
        <w:t xml:space="preserve">disponible en el siguiente enlace: </w:t>
      </w:r>
      <w:bookmarkStart w:id="7" w:name="_Hlk211420297"/>
      <w:r w:rsidRPr="00765D8D">
        <w:rPr>
          <w:rFonts w:ascii="Verdana" w:eastAsia="Century Gothic" w:hAnsi="Verdana" w:cs="Century Gothic"/>
          <w:color w:val="404040" w:themeColor="text1" w:themeTint="BF"/>
          <w:sz w:val="16"/>
          <w:szCs w:val="16"/>
        </w:rPr>
        <w:fldChar w:fldCharType="begin"/>
      </w:r>
      <w:r w:rsidRPr="00765D8D">
        <w:rPr>
          <w:rFonts w:ascii="Verdana" w:eastAsia="Century Gothic" w:hAnsi="Verdana" w:cs="Century Gothic"/>
          <w:color w:val="404040" w:themeColor="text1" w:themeTint="BF"/>
          <w:sz w:val="16"/>
          <w:szCs w:val="16"/>
        </w:rPr>
        <w:instrText>HYPERLINK "https://operaciones.colombiacompra.gov.co/sala-de-prensa/comunicados/mejoras-al-modulo-de-subasta-electronica-secop-ii"</w:instrText>
      </w:r>
      <w:r w:rsidRPr="00765D8D">
        <w:rPr>
          <w:rFonts w:ascii="Verdana" w:eastAsia="Century Gothic" w:hAnsi="Verdana" w:cs="Century Gothic"/>
          <w:color w:val="404040" w:themeColor="text1" w:themeTint="BF"/>
          <w:sz w:val="16"/>
          <w:szCs w:val="16"/>
        </w:rPr>
      </w:r>
      <w:r w:rsidRPr="00765D8D">
        <w:rPr>
          <w:rFonts w:ascii="Verdana" w:eastAsia="Century Gothic" w:hAnsi="Verdana" w:cs="Century Gothic"/>
          <w:color w:val="404040" w:themeColor="text1" w:themeTint="BF"/>
          <w:sz w:val="16"/>
          <w:szCs w:val="16"/>
        </w:rPr>
        <w:fldChar w:fldCharType="separate"/>
      </w:r>
      <w:r w:rsidRPr="00765D8D">
        <w:rPr>
          <w:rStyle w:val="Hipervnculo"/>
          <w:rFonts w:ascii="Verdana" w:eastAsia="Century Gothic" w:hAnsi="Verdana" w:cs="Century Gothic"/>
          <w:sz w:val="16"/>
          <w:szCs w:val="16"/>
        </w:rPr>
        <w:t>https://operaciones.colombiacompra.gov.co/sala-de-prensa/comunicados/mejoras-al-modulo-de-subasta-electronica-secop-ii</w:t>
      </w:r>
      <w:r w:rsidRPr="00765D8D">
        <w:rPr>
          <w:rFonts w:ascii="Verdana" w:eastAsia="Century Gothic" w:hAnsi="Verdana" w:cs="Century Gothic"/>
          <w:color w:val="404040" w:themeColor="text1" w:themeTint="BF"/>
          <w:sz w:val="16"/>
          <w:szCs w:val="16"/>
        </w:rPr>
        <w:fldChar w:fldCharType="end"/>
      </w:r>
      <w:r w:rsidRPr="00765D8D">
        <w:rPr>
          <w:rFonts w:ascii="Verdana" w:eastAsia="Century Gothic" w:hAnsi="Verdana" w:cs="Century Gothic"/>
          <w:color w:val="404040" w:themeColor="text1" w:themeTint="BF"/>
          <w:sz w:val="16"/>
          <w:szCs w:val="16"/>
        </w:rPr>
        <w:t xml:space="preserve"> </w:t>
      </w:r>
      <w:bookmarkEnd w:id="7"/>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9D5"/>
    <w:rsid w:val="00057AD5"/>
    <w:rsid w:val="00061B2A"/>
    <w:rsid w:val="00082362"/>
    <w:rsid w:val="000A683E"/>
    <w:rsid w:val="000B19B9"/>
    <w:rsid w:val="000D0334"/>
    <w:rsid w:val="000D5DA7"/>
    <w:rsid w:val="000F6486"/>
    <w:rsid w:val="00116940"/>
    <w:rsid w:val="00125105"/>
    <w:rsid w:val="00127233"/>
    <w:rsid w:val="00131468"/>
    <w:rsid w:val="0015699B"/>
    <w:rsid w:val="001722C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4375"/>
    <w:rsid w:val="00330834"/>
    <w:rsid w:val="003448F4"/>
    <w:rsid w:val="00374F5E"/>
    <w:rsid w:val="00377E3E"/>
    <w:rsid w:val="00397513"/>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14ED"/>
    <w:rsid w:val="005C3777"/>
    <w:rsid w:val="005C5CDC"/>
    <w:rsid w:val="005C5D09"/>
    <w:rsid w:val="005D476C"/>
    <w:rsid w:val="006200BF"/>
    <w:rsid w:val="006219F8"/>
    <w:rsid w:val="006302F7"/>
    <w:rsid w:val="00646B9F"/>
    <w:rsid w:val="00652A29"/>
    <w:rsid w:val="0066300B"/>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0CDF"/>
    <w:rsid w:val="00891928"/>
    <w:rsid w:val="008A446D"/>
    <w:rsid w:val="008B25F1"/>
    <w:rsid w:val="008B3F3D"/>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1663"/>
    <w:rsid w:val="00A122D3"/>
    <w:rsid w:val="00A14468"/>
    <w:rsid w:val="00A17F13"/>
    <w:rsid w:val="00A20739"/>
    <w:rsid w:val="00A23AF9"/>
    <w:rsid w:val="00A33C78"/>
    <w:rsid w:val="00A950AE"/>
    <w:rsid w:val="00AB0ADB"/>
    <w:rsid w:val="00B00C0E"/>
    <w:rsid w:val="00B01B1A"/>
    <w:rsid w:val="00B0381D"/>
    <w:rsid w:val="00B44A47"/>
    <w:rsid w:val="00B72CD3"/>
    <w:rsid w:val="00B72FFF"/>
    <w:rsid w:val="00BA2C6C"/>
    <w:rsid w:val="00BA611E"/>
    <w:rsid w:val="00BC09DE"/>
    <w:rsid w:val="00BC3D36"/>
    <w:rsid w:val="00BD54A6"/>
    <w:rsid w:val="00BD7F72"/>
    <w:rsid w:val="00BF7425"/>
    <w:rsid w:val="00C04FB3"/>
    <w:rsid w:val="00C11D8B"/>
    <w:rsid w:val="00C15139"/>
    <w:rsid w:val="00C330EB"/>
    <w:rsid w:val="00C50D69"/>
    <w:rsid w:val="00C5365C"/>
    <w:rsid w:val="00C63CDB"/>
    <w:rsid w:val="00C754BE"/>
    <w:rsid w:val="00C76B1C"/>
    <w:rsid w:val="00C77E4A"/>
    <w:rsid w:val="00C925AC"/>
    <w:rsid w:val="00CB6357"/>
    <w:rsid w:val="00CC1B26"/>
    <w:rsid w:val="00CF1B48"/>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1DC"/>
    <w:rsid w:val="00E2764C"/>
    <w:rsid w:val="00E27F2E"/>
    <w:rsid w:val="00E34E05"/>
    <w:rsid w:val="00E50AFE"/>
    <w:rsid w:val="00E75C92"/>
    <w:rsid w:val="00E771DC"/>
    <w:rsid w:val="00E8772A"/>
    <w:rsid w:val="00E90F6B"/>
    <w:rsid w:val="00E92C27"/>
    <w:rsid w:val="00E95AB9"/>
    <w:rsid w:val="00EA0E3D"/>
    <w:rsid w:val="00EB24E8"/>
    <w:rsid w:val="00EC38A7"/>
    <w:rsid w:val="00EE1AA8"/>
    <w:rsid w:val="00EF6B10"/>
    <w:rsid w:val="00F23FEA"/>
    <w:rsid w:val="00F31EDC"/>
    <w:rsid w:val="00F462B3"/>
    <w:rsid w:val="00F5664F"/>
    <w:rsid w:val="00F666C4"/>
    <w:rsid w:val="00F76AFC"/>
    <w:rsid w:val="00FA47C0"/>
    <w:rsid w:val="00FB5DD1"/>
    <w:rsid w:val="00FC2B5D"/>
    <w:rsid w:val="00FD4492"/>
    <w:rsid w:val="00FF1449"/>
    <w:rsid w:val="00FF7963"/>
    <w:rsid w:val="071B8F93"/>
    <w:rsid w:val="07C73DD1"/>
    <w:rsid w:val="09908A09"/>
    <w:rsid w:val="0EFE6349"/>
    <w:rsid w:val="0FF4CCA8"/>
    <w:rsid w:val="13CFC91B"/>
    <w:rsid w:val="16726447"/>
    <w:rsid w:val="193AA664"/>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6300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6300B"/>
    <w:rPr>
      <w:rFonts w:ascii="Geomanist Light" w:hAnsi="Geomanist Light"/>
      <w:lang w:val="es-ES"/>
    </w:rPr>
  </w:style>
  <w:style w:type="character" w:customStyle="1" w:styleId="s15">
    <w:name w:val="s15"/>
    <w:basedOn w:val="Fuentedeprrafopredeter"/>
    <w:rsid w:val="0066300B"/>
  </w:style>
  <w:style w:type="character" w:styleId="Refdecomentario">
    <w:name w:val="annotation reference"/>
    <w:basedOn w:val="Fuentedeprrafopredeter"/>
    <w:uiPriority w:val="99"/>
    <w:semiHidden/>
    <w:unhideWhenUsed/>
    <w:rsid w:val="0066300B"/>
    <w:rPr>
      <w:sz w:val="16"/>
      <w:szCs w:val="16"/>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url.li/osmmug"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surl.li/osmmug"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jal57@hot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57B421-3548-4017-8391-06EDB60D7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7335</Words>
  <Characters>40345</Characters>
  <Application>Microsoft Office Word</Application>
  <DocSecurity>0</DocSecurity>
  <Lines>336</Lines>
  <Paragraphs>95</Paragraphs>
  <ScaleCrop>false</ScaleCrop>
  <Company/>
  <LinksUpToDate>false</LinksUpToDate>
  <CharactersWithSpaces>47585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2026-05-15T13:50:00Z</dcterms:created>
  <dcterms:modified xsi:type="dcterms:W3CDTF">2026-05-19T22:20:00Z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