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A92F1" w14:textId="77777777" w:rsidR="009F143C" w:rsidRPr="007D4A74" w:rsidRDefault="009F143C" w:rsidP="009F143C">
      <w:pPr>
        <w:spacing w:after="0" w:line="240" w:lineRule="auto"/>
        <w:jc w:val="both"/>
        <w:rPr>
          <w:rFonts w:ascii="Verdana" w:eastAsia="Calibri" w:hAnsi="Verdana" w:cs="Arial"/>
          <w:b/>
          <w:bCs/>
          <w:lang w:eastAsia="es-ES_tradnl"/>
        </w:rPr>
      </w:pPr>
      <w:bookmarkStart w:id="0" w:name="_Hlk143780582"/>
      <w:r w:rsidRPr="007D4A74">
        <w:rPr>
          <w:rFonts w:ascii="Verdana" w:eastAsia="Calibri" w:hAnsi="Verdana" w:cs="Arial"/>
          <w:b/>
          <w:bCs/>
          <w:lang w:eastAsia="es-ES_tradnl"/>
        </w:rPr>
        <w:t>DECRETO 1600 DE 2024 – Estrategia de lucha contra la corrupción</w:t>
      </w:r>
    </w:p>
    <w:p w14:paraId="4E540DD4" w14:textId="77777777" w:rsidR="009F143C" w:rsidRPr="007D4A74" w:rsidRDefault="009F143C" w:rsidP="009F143C">
      <w:pPr>
        <w:spacing w:after="0" w:line="240" w:lineRule="auto"/>
        <w:jc w:val="both"/>
        <w:rPr>
          <w:rFonts w:ascii="Verdana" w:eastAsia="Calibri" w:hAnsi="Verdana" w:cs="Arial"/>
          <w:bCs/>
          <w:sz w:val="20"/>
          <w:szCs w:val="20"/>
          <w:lang w:eastAsia="es-ES_tradnl"/>
        </w:rPr>
      </w:pPr>
    </w:p>
    <w:p w14:paraId="09A3559C" w14:textId="77777777" w:rsidR="009F143C" w:rsidRPr="007D4A74" w:rsidRDefault="009F143C" w:rsidP="009F143C">
      <w:pPr>
        <w:spacing w:after="0" w:line="240" w:lineRule="auto"/>
        <w:jc w:val="both"/>
        <w:rPr>
          <w:rFonts w:ascii="Verdana" w:eastAsia="Calibri" w:hAnsi="Verdana" w:cs="Arial"/>
          <w:bCs/>
          <w:iCs/>
          <w:sz w:val="20"/>
          <w:szCs w:val="20"/>
          <w:lang w:eastAsia="es-ES_tradnl"/>
        </w:rPr>
      </w:pPr>
      <w:r w:rsidRPr="007D4A74">
        <w:rPr>
          <w:rFonts w:ascii="Verdana" w:eastAsia="Calibri" w:hAnsi="Verdana" w:cs="Arial"/>
          <w:bCs/>
          <w:sz w:val="20"/>
          <w:szCs w:val="20"/>
          <w:lang w:eastAsia="es-ES_tradnl"/>
        </w:rPr>
        <w:t xml:space="preserve">En la búsqueda de fortalecer una estrategia de lucha contra la corrupción se expidió el Decreto 1600 de 2024. […] El Capítulo 3°, Sección 1°, Título 4°, Parte 1°, Libro 2° del Decreto 1081 de 2015, que fue modificado por el Decreto 1600 de 2024, tiene como objeto: “[…] </w:t>
      </w:r>
      <w:r w:rsidRPr="007D4A74">
        <w:rPr>
          <w:rFonts w:ascii="Verdana" w:eastAsia="Calibri" w:hAnsi="Verdana" w:cs="Arial"/>
          <w:bCs/>
          <w:iCs/>
          <w:sz w:val="20"/>
          <w:szCs w:val="20"/>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5A18021C" w14:textId="77777777" w:rsidR="009F143C" w:rsidRPr="007D4A74" w:rsidRDefault="009F143C" w:rsidP="009F143C">
      <w:pPr>
        <w:tabs>
          <w:tab w:val="left" w:pos="709"/>
        </w:tabs>
        <w:spacing w:after="0" w:line="240" w:lineRule="auto"/>
        <w:jc w:val="both"/>
        <w:rPr>
          <w:rFonts w:ascii="Verdana" w:eastAsia="Calibri" w:hAnsi="Verdana" w:cs="Arial"/>
          <w:bCs/>
          <w:sz w:val="20"/>
          <w:szCs w:val="20"/>
          <w:lang w:val="es-ES_tradnl" w:eastAsia="es-ES_tradnl"/>
        </w:rPr>
      </w:pPr>
    </w:p>
    <w:p w14:paraId="6615CE1A" w14:textId="77777777" w:rsidR="009F143C" w:rsidRPr="007D4A74" w:rsidRDefault="009F143C" w:rsidP="009F143C">
      <w:pPr>
        <w:tabs>
          <w:tab w:val="left" w:pos="709"/>
        </w:tabs>
        <w:spacing w:after="0" w:line="240" w:lineRule="auto"/>
        <w:jc w:val="both"/>
        <w:rPr>
          <w:rFonts w:ascii="Verdana" w:eastAsia="Calibri" w:hAnsi="Verdana" w:cs="Arial"/>
          <w:b/>
          <w:lang w:val="es-ES_tradnl" w:eastAsia="es-ES_tradnl"/>
        </w:rPr>
      </w:pPr>
      <w:r w:rsidRPr="007D4A74">
        <w:rPr>
          <w:rFonts w:ascii="Verdana" w:eastAsia="Calibri" w:hAnsi="Verdana" w:cs="Arial"/>
          <w:b/>
          <w:lang w:val="es-ES_tradnl" w:eastAsia="es-ES_tradnl"/>
        </w:rPr>
        <w:t>SITUACIONES DE CONTROL – Acreditación –</w:t>
      </w:r>
      <w:r>
        <w:rPr>
          <w:rFonts w:ascii="Verdana" w:eastAsia="Calibri" w:hAnsi="Verdana" w:cs="Arial"/>
          <w:b/>
          <w:lang w:val="es-ES_tradnl" w:eastAsia="es-ES_tradnl"/>
        </w:rPr>
        <w:t xml:space="preserve"> Subsanación </w:t>
      </w:r>
    </w:p>
    <w:p w14:paraId="6D90A4CB" w14:textId="77777777" w:rsidR="009F143C" w:rsidRPr="007D4A74" w:rsidRDefault="009F143C" w:rsidP="009F143C">
      <w:pPr>
        <w:tabs>
          <w:tab w:val="left" w:pos="709"/>
        </w:tabs>
        <w:spacing w:after="0" w:line="240" w:lineRule="auto"/>
        <w:jc w:val="both"/>
        <w:rPr>
          <w:rFonts w:ascii="Verdana" w:eastAsia="Calibri" w:hAnsi="Verdana" w:cs="Arial"/>
          <w:bCs/>
          <w:sz w:val="20"/>
          <w:szCs w:val="20"/>
          <w:lang w:val="es-ES_tradnl" w:eastAsia="es-ES_tradnl"/>
        </w:rPr>
      </w:pPr>
    </w:p>
    <w:p w14:paraId="610EE86B" w14:textId="77777777" w:rsidR="009F143C" w:rsidRPr="007D4A74" w:rsidRDefault="009F143C" w:rsidP="009F143C">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 </w:t>
      </w:r>
    </w:p>
    <w:p w14:paraId="13F747A3" w14:textId="77777777" w:rsidR="009F143C" w:rsidRPr="007D4A74" w:rsidRDefault="009F143C" w:rsidP="009F143C">
      <w:pPr>
        <w:spacing w:after="0" w:line="240" w:lineRule="auto"/>
        <w:jc w:val="both"/>
        <w:rPr>
          <w:rFonts w:ascii="Verdana" w:hAnsi="Verdana" w:cs="Arial"/>
          <w:color w:val="000000" w:themeColor="text1"/>
          <w:sz w:val="20"/>
          <w:szCs w:val="20"/>
        </w:rPr>
      </w:pPr>
    </w:p>
    <w:p w14:paraId="1083E7DF" w14:textId="77777777" w:rsidR="009F143C" w:rsidRDefault="009F143C" w:rsidP="009F143C">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   </w:t>
      </w:r>
    </w:p>
    <w:p w14:paraId="2F631D92" w14:textId="77777777" w:rsidR="009F143C" w:rsidRDefault="009F143C" w:rsidP="009F143C">
      <w:pPr>
        <w:spacing w:after="0" w:line="240" w:lineRule="auto"/>
        <w:jc w:val="both"/>
        <w:rPr>
          <w:rFonts w:ascii="Verdana" w:hAnsi="Verdana" w:cs="Arial"/>
          <w:color w:val="000000" w:themeColor="text1"/>
          <w:sz w:val="20"/>
          <w:szCs w:val="20"/>
        </w:rPr>
      </w:pPr>
    </w:p>
    <w:p w14:paraId="08722F6D" w14:textId="77777777" w:rsidR="009F143C" w:rsidRDefault="009F143C" w:rsidP="009F143C">
      <w:pPr>
        <w:spacing w:after="0" w:line="240" w:lineRule="auto"/>
        <w:jc w:val="both"/>
        <w:rPr>
          <w:rFonts w:ascii="Verdana" w:eastAsia="Calibri" w:hAnsi="Verdana" w:cs="Arial"/>
          <w:bCs/>
          <w:sz w:val="20"/>
          <w:szCs w:val="20"/>
          <w:lang w:eastAsia="es-ES_tradnl"/>
        </w:rPr>
      </w:pPr>
      <w:r w:rsidRPr="007D4A74">
        <w:rPr>
          <w:rFonts w:ascii="Verdana" w:eastAsia="Calibri" w:hAnsi="Verdana" w:cs="Arial"/>
          <w:bCs/>
          <w:sz w:val="20"/>
          <w:szCs w:val="20"/>
          <w:lang w:eastAsia="es-ES_tradnl"/>
        </w:rPr>
        <w:t>[…]</w:t>
      </w:r>
    </w:p>
    <w:p w14:paraId="1F9223B8" w14:textId="77777777" w:rsidR="009F143C" w:rsidRDefault="009F143C" w:rsidP="009F143C">
      <w:pPr>
        <w:spacing w:after="0" w:line="240" w:lineRule="auto"/>
        <w:jc w:val="both"/>
        <w:rPr>
          <w:rFonts w:ascii="Verdana" w:eastAsia="Calibri" w:hAnsi="Verdana" w:cs="Arial"/>
          <w:bCs/>
          <w:sz w:val="20"/>
          <w:szCs w:val="20"/>
          <w:lang w:eastAsia="es-ES_tradnl"/>
        </w:rPr>
      </w:pPr>
    </w:p>
    <w:p w14:paraId="44710962" w14:textId="77777777" w:rsidR="009F143C" w:rsidRPr="007D4A74" w:rsidRDefault="009F143C" w:rsidP="009F143C">
      <w:pPr>
        <w:spacing w:after="0" w:line="240" w:lineRule="auto"/>
        <w:jc w:val="both"/>
        <w:rPr>
          <w:rFonts w:ascii="Verdana" w:hAnsi="Verdana" w:cs="Arial"/>
          <w:color w:val="000000" w:themeColor="text1"/>
          <w:sz w:val="20"/>
          <w:szCs w:val="20"/>
        </w:rPr>
      </w:pPr>
      <w:r w:rsidRPr="000661B7">
        <w:rPr>
          <w:rFonts w:ascii="Verdana" w:hAnsi="Verdana" w:cs="Arial"/>
          <w:color w:val="000000" w:themeColor="text1"/>
          <w:sz w:val="20"/>
          <w:szCs w:val="20"/>
        </w:rPr>
        <w:t>Aunque en sí mismo no es un requisito habilitante, constituye un insumo relevante verificar la capacidad jurídica, específicamente, para constatar la ausencia de inhabilidades como las de los literales j) y k) del artículo 8.1 del EGCAP; razón por la cual, en la omisión o reporte erróneo de la información aplica el régimen de subsanación –parágrafo 1 del artículo 5 de la Ley 1150 de 2007– o aclaración de las ofertas –artículo 30.7 de la Ley 80 de 1993.</w:t>
      </w:r>
    </w:p>
    <w:p w14:paraId="3F81CFA4" w14:textId="77777777" w:rsidR="009F143C" w:rsidRPr="007D4A74" w:rsidRDefault="009F143C" w:rsidP="009F143C">
      <w:pPr>
        <w:tabs>
          <w:tab w:val="left" w:pos="709"/>
        </w:tabs>
        <w:spacing w:after="0" w:line="240" w:lineRule="auto"/>
        <w:jc w:val="both"/>
        <w:rPr>
          <w:rFonts w:ascii="Verdana" w:eastAsia="Calibri" w:hAnsi="Verdana" w:cs="Arial"/>
          <w:b/>
          <w:lang w:val="es-ES_tradnl" w:eastAsia="es-ES_tradnl"/>
        </w:rPr>
      </w:pPr>
    </w:p>
    <w:p w14:paraId="720794A7" w14:textId="77777777" w:rsidR="009F143C" w:rsidRPr="007D4A74" w:rsidRDefault="009F143C" w:rsidP="009F143C">
      <w:pPr>
        <w:tabs>
          <w:tab w:val="left" w:pos="709"/>
        </w:tabs>
        <w:spacing w:after="0" w:line="240" w:lineRule="auto"/>
        <w:jc w:val="both"/>
        <w:rPr>
          <w:rFonts w:ascii="Verdana" w:eastAsia="Calibri" w:hAnsi="Verdana" w:cs="Arial"/>
          <w:b/>
          <w:lang w:val="es-ES_tradnl" w:eastAsia="es-ES_tradnl"/>
        </w:rPr>
      </w:pPr>
      <w:r w:rsidRPr="007D4A74">
        <w:rPr>
          <w:rFonts w:ascii="Verdana" w:eastAsia="Calibri" w:hAnsi="Verdana" w:cs="Arial"/>
          <w:b/>
          <w:lang w:val="es-ES_tradnl" w:eastAsia="es-ES_tradnl"/>
        </w:rPr>
        <w:t>REGISTRO ÚNICO DE PROPONENTES – Definición – Marco jurídico</w:t>
      </w:r>
    </w:p>
    <w:p w14:paraId="27DEAED9" w14:textId="77777777" w:rsidR="009F143C" w:rsidRPr="007D4A74" w:rsidRDefault="009F143C" w:rsidP="009F143C">
      <w:pPr>
        <w:tabs>
          <w:tab w:val="left" w:pos="709"/>
        </w:tabs>
        <w:spacing w:after="0" w:line="240" w:lineRule="auto"/>
        <w:jc w:val="both"/>
        <w:rPr>
          <w:rFonts w:ascii="Verdana" w:eastAsia="Calibri" w:hAnsi="Verdana" w:cs="Arial"/>
          <w:bCs/>
          <w:sz w:val="20"/>
          <w:szCs w:val="20"/>
          <w:lang w:val="es-ES_tradnl" w:eastAsia="es-ES_tradnl"/>
        </w:rPr>
      </w:pPr>
    </w:p>
    <w:p w14:paraId="24E68F21" w14:textId="77777777" w:rsidR="009F143C" w:rsidRPr="007D4A74" w:rsidRDefault="009F143C" w:rsidP="009F143C">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lastRenderedPageBreak/>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3C0DA5BA" w14:textId="77777777" w:rsidR="009F143C" w:rsidRPr="007D4A74" w:rsidRDefault="009F143C" w:rsidP="009F143C">
      <w:pPr>
        <w:spacing w:after="0" w:line="240" w:lineRule="auto"/>
        <w:jc w:val="both"/>
        <w:rPr>
          <w:rFonts w:ascii="Verdana" w:hAnsi="Verdana" w:cs="Arial"/>
          <w:color w:val="000000" w:themeColor="text1"/>
          <w:sz w:val="20"/>
          <w:szCs w:val="20"/>
        </w:rPr>
      </w:pPr>
    </w:p>
    <w:p w14:paraId="729BA802" w14:textId="77777777" w:rsidR="009F143C" w:rsidRPr="007D4A74" w:rsidRDefault="009F143C" w:rsidP="009F143C">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p>
    <w:p w14:paraId="588953F4" w14:textId="77777777" w:rsidR="009F143C" w:rsidRPr="007D4A74" w:rsidRDefault="009F143C" w:rsidP="009F143C">
      <w:pPr>
        <w:spacing w:after="0" w:line="240" w:lineRule="auto"/>
        <w:jc w:val="both"/>
        <w:rPr>
          <w:rFonts w:ascii="Verdana" w:hAnsi="Verdana" w:cs="Arial"/>
          <w:color w:val="000000" w:themeColor="text1"/>
          <w:sz w:val="20"/>
          <w:szCs w:val="20"/>
        </w:rPr>
      </w:pPr>
      <w:r w:rsidRPr="007D4A74">
        <w:rPr>
          <w:rFonts w:ascii="Verdana" w:hAnsi="Verdana" w:cs="Arial"/>
          <w:color w:val="000000" w:themeColor="text1"/>
          <w:sz w:val="20"/>
          <w:szCs w:val="20"/>
        </w:rPr>
        <w:t xml:space="preserve"> </w:t>
      </w:r>
    </w:p>
    <w:p w14:paraId="2766A1F7" w14:textId="77777777" w:rsidR="009F143C" w:rsidRPr="007D4A74" w:rsidRDefault="009F143C" w:rsidP="009F143C">
      <w:pPr>
        <w:tabs>
          <w:tab w:val="left" w:pos="426"/>
        </w:tabs>
        <w:spacing w:after="0" w:line="240" w:lineRule="auto"/>
        <w:jc w:val="both"/>
        <w:rPr>
          <w:rFonts w:ascii="Verdana" w:hAnsi="Verdana" w:cs="Arial"/>
          <w:b/>
          <w:lang w:eastAsia="es-CO"/>
        </w:rPr>
      </w:pPr>
      <w:r w:rsidRPr="007D4A74">
        <w:rPr>
          <w:rFonts w:ascii="Verdana" w:hAnsi="Verdana" w:cs="Arial"/>
          <w:b/>
          <w:lang w:eastAsia="es-CO"/>
        </w:rPr>
        <w:t xml:space="preserve">REQUISITOS HABILITANTES – Registro Único de Proponentes – Plena prueba    </w:t>
      </w:r>
    </w:p>
    <w:p w14:paraId="276050E8" w14:textId="77777777" w:rsidR="009F143C" w:rsidRPr="007D4A74" w:rsidRDefault="009F143C" w:rsidP="009F143C">
      <w:pPr>
        <w:tabs>
          <w:tab w:val="left" w:pos="426"/>
        </w:tabs>
        <w:spacing w:after="0" w:line="240" w:lineRule="auto"/>
        <w:jc w:val="both"/>
        <w:rPr>
          <w:rFonts w:ascii="Verdana" w:hAnsi="Verdana" w:cs="Arial"/>
          <w:b/>
          <w:sz w:val="20"/>
          <w:szCs w:val="20"/>
          <w:lang w:eastAsia="es-CO"/>
        </w:rPr>
      </w:pPr>
    </w:p>
    <w:p w14:paraId="350C9565" w14:textId="77777777" w:rsidR="009F143C" w:rsidRPr="007D4A74" w:rsidRDefault="009F143C" w:rsidP="009F143C">
      <w:pPr>
        <w:spacing w:after="0" w:line="240" w:lineRule="auto"/>
        <w:jc w:val="both"/>
        <w:rPr>
          <w:rFonts w:ascii="Verdana" w:hAnsi="Verdana" w:cs="Arial"/>
          <w:bCs/>
          <w:sz w:val="20"/>
          <w:szCs w:val="20"/>
          <w:lang w:val="es-ES" w:eastAsia="es-CO"/>
        </w:rPr>
      </w:pPr>
      <w:r w:rsidRPr="007D4A74">
        <w:rPr>
          <w:rFonts w:ascii="Verdana" w:hAnsi="Verdana" w:cs="Arial"/>
          <w:bCs/>
          <w:sz w:val="20"/>
          <w:szCs w:val="20"/>
          <w:lang w:eastAsia="es-CO"/>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3ECC179D" w14:textId="77777777" w:rsidR="009F143C" w:rsidRPr="007D4A74" w:rsidRDefault="009F143C" w:rsidP="009F143C">
      <w:pPr>
        <w:spacing w:after="0" w:line="240" w:lineRule="auto"/>
        <w:jc w:val="both"/>
        <w:rPr>
          <w:rFonts w:ascii="Verdana" w:eastAsia="Calibri" w:hAnsi="Verdana" w:cs="Arial"/>
          <w:sz w:val="20"/>
          <w:szCs w:val="20"/>
        </w:rPr>
      </w:pPr>
    </w:p>
    <w:p w14:paraId="36B2A64C" w14:textId="77777777" w:rsidR="009F143C" w:rsidRPr="007D4A74" w:rsidRDefault="009F143C" w:rsidP="009F143C">
      <w:pPr>
        <w:pStyle w:val="s16"/>
        <w:spacing w:before="0" w:beforeAutospacing="0" w:after="0" w:afterAutospacing="0"/>
        <w:jc w:val="both"/>
        <w:rPr>
          <w:rFonts w:ascii="Verdana" w:hAnsi="Verdana" w:cs="Arial"/>
          <w:b/>
          <w:bCs/>
          <w:color w:val="000000"/>
          <w:sz w:val="22"/>
          <w:szCs w:val="22"/>
        </w:rPr>
      </w:pPr>
      <w:r w:rsidRPr="007D4A74">
        <w:rPr>
          <w:rStyle w:val="s15"/>
          <w:rFonts w:ascii="Verdana" w:hAnsi="Verdana" w:cs="Arial"/>
          <w:b/>
          <w:bCs/>
          <w:color w:val="000000"/>
          <w:sz w:val="22"/>
          <w:szCs w:val="22"/>
        </w:rPr>
        <w:t xml:space="preserve">GRUPO EMPRESARIAL – Existencia – Acreditación – Plazo </w:t>
      </w:r>
    </w:p>
    <w:p w14:paraId="7EA2774A" w14:textId="77777777" w:rsidR="009F143C" w:rsidRPr="007D4A74" w:rsidRDefault="009F143C" w:rsidP="009F143C">
      <w:pPr>
        <w:pStyle w:val="s17"/>
        <w:spacing w:before="0" w:beforeAutospacing="0" w:after="0" w:afterAutospacing="0"/>
        <w:jc w:val="both"/>
        <w:rPr>
          <w:rFonts w:ascii="Verdana" w:hAnsi="Verdana" w:cs="Arial"/>
          <w:color w:val="000000"/>
          <w:sz w:val="20"/>
          <w:szCs w:val="20"/>
        </w:rPr>
      </w:pPr>
      <w:r w:rsidRPr="007D4A74">
        <w:rPr>
          <w:rFonts w:ascii="Verdana" w:hAnsi="Verdana" w:cs="Arial"/>
          <w:color w:val="000000"/>
          <w:sz w:val="20"/>
          <w:szCs w:val="20"/>
        </w:rPr>
        <w:t> </w:t>
      </w:r>
    </w:p>
    <w:p w14:paraId="39C74F3D" w14:textId="77777777" w:rsidR="009F143C" w:rsidRPr="007D4A74" w:rsidRDefault="009F143C" w:rsidP="009F143C">
      <w:pPr>
        <w:pStyle w:val="s17"/>
        <w:spacing w:before="0" w:beforeAutospacing="0" w:after="0" w:afterAutospacing="0"/>
        <w:jc w:val="both"/>
        <w:rPr>
          <w:rStyle w:val="s18"/>
          <w:rFonts w:ascii="Verdana" w:hAnsi="Verdana" w:cs="Arial"/>
          <w:color w:val="000000"/>
          <w:sz w:val="20"/>
          <w:szCs w:val="20"/>
        </w:rPr>
      </w:pPr>
      <w:r w:rsidRPr="007D4A74">
        <w:rPr>
          <w:rFonts w:ascii="Verdana" w:hAnsi="Verdana" w:cs="Arial"/>
          <w:bCs/>
          <w:color w:val="000000"/>
          <w:sz w:val="20"/>
          <w:szCs w:val="20"/>
        </w:rPr>
        <w:t>Por regla general, además de lo manifestado por los interesados, las entidades podrán verificar situaciones de control a través del RUP. En caso de que el registro no sea obligatorio, el pliego de condiciones o documento equivalente debe establecer el mecanismo de validación. 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w:t>
      </w:r>
      <w:r w:rsidRPr="007D4A74">
        <w:rPr>
          <w:rFonts w:ascii="Verdana" w:hAnsi="Verdana" w:cs="Arial"/>
          <w:color w:val="000000"/>
          <w:sz w:val="20"/>
          <w:szCs w:val="20"/>
        </w:rPr>
        <w:t>.</w:t>
      </w:r>
      <w:r w:rsidRPr="007D4A74">
        <w:rPr>
          <w:rStyle w:val="s18"/>
          <w:rFonts w:ascii="Verdana" w:hAnsi="Verdana" w:cs="Arial"/>
          <w:color w:val="000000"/>
          <w:sz w:val="20"/>
          <w:szCs w:val="20"/>
        </w:rPr>
        <w:t xml:space="preserve"> </w:t>
      </w:r>
    </w:p>
    <w:p w14:paraId="2E37ACA8" w14:textId="77777777" w:rsidR="009F143C" w:rsidRPr="007D4A74" w:rsidRDefault="009F143C" w:rsidP="009F143C">
      <w:pPr>
        <w:spacing w:after="0" w:line="240" w:lineRule="auto"/>
        <w:jc w:val="both"/>
        <w:rPr>
          <w:rFonts w:ascii="Verdana" w:eastAsia="Calibri" w:hAnsi="Verdana" w:cs="Arial"/>
          <w:bCs/>
          <w:color w:val="000000" w:themeColor="text1"/>
          <w:sz w:val="20"/>
          <w:szCs w:val="20"/>
        </w:rPr>
      </w:pPr>
    </w:p>
    <w:p w14:paraId="28E7662D" w14:textId="77777777" w:rsidR="009F143C" w:rsidRPr="007D4A74" w:rsidRDefault="009F143C" w:rsidP="009F143C">
      <w:pPr>
        <w:spacing w:after="0" w:line="240" w:lineRule="auto"/>
        <w:rPr>
          <w:rFonts w:ascii="Verdana" w:eastAsia="Geomanist Light" w:hAnsi="Verdana" w:cs="Arial"/>
          <w:color w:val="000000" w:themeColor="text1"/>
          <w:lang w:val="es-ES"/>
        </w:rPr>
      </w:pPr>
    </w:p>
    <w:p w14:paraId="50478837" w14:textId="77777777" w:rsidR="009F143C" w:rsidRPr="007D4A74" w:rsidRDefault="009F143C" w:rsidP="009F143C">
      <w:pPr>
        <w:spacing w:after="0" w:line="240" w:lineRule="auto"/>
        <w:rPr>
          <w:rFonts w:ascii="Verdana" w:eastAsia="Geomanist Light" w:hAnsi="Verdana" w:cs="Arial"/>
          <w:color w:val="000000" w:themeColor="text1"/>
          <w:lang w:val="es-MX"/>
        </w:rPr>
      </w:pPr>
    </w:p>
    <w:p w14:paraId="634184D6" w14:textId="77777777" w:rsidR="009F143C" w:rsidRPr="007D4A74" w:rsidRDefault="009F143C" w:rsidP="009F143C">
      <w:pPr>
        <w:spacing w:after="0" w:line="240" w:lineRule="auto"/>
        <w:rPr>
          <w:rFonts w:ascii="Verdana" w:eastAsia="Geomanist Light" w:hAnsi="Verdana" w:cs="Arial"/>
          <w:color w:val="000000" w:themeColor="text1"/>
          <w:lang w:val="es-MX"/>
        </w:rPr>
      </w:pPr>
    </w:p>
    <w:p w14:paraId="6392044B" w14:textId="77777777" w:rsidR="009F143C" w:rsidRDefault="009F143C" w:rsidP="009F143C">
      <w:pPr>
        <w:spacing w:after="0" w:line="240" w:lineRule="auto"/>
        <w:rPr>
          <w:rFonts w:ascii="Verdana" w:eastAsia="Geomanist Light" w:hAnsi="Verdana" w:cs="Arial"/>
          <w:color w:val="000000" w:themeColor="text1"/>
          <w:lang w:val="es-MX"/>
        </w:rPr>
      </w:pPr>
    </w:p>
    <w:p w14:paraId="73BBA96E" w14:textId="77777777" w:rsidR="009F143C" w:rsidRDefault="009F143C" w:rsidP="009F143C">
      <w:pPr>
        <w:spacing w:after="0" w:line="240" w:lineRule="auto"/>
        <w:rPr>
          <w:rFonts w:ascii="Verdana" w:eastAsia="Geomanist Light" w:hAnsi="Verdana" w:cs="Arial"/>
          <w:color w:val="000000" w:themeColor="text1"/>
          <w:lang w:val="es-MX"/>
        </w:rPr>
      </w:pPr>
    </w:p>
    <w:p w14:paraId="015FC84B" w14:textId="09326802" w:rsidR="009F143C" w:rsidRPr="007D4A74" w:rsidRDefault="009F143C" w:rsidP="009F143C">
      <w:pPr>
        <w:spacing w:after="0" w:line="240" w:lineRule="auto"/>
        <w:rPr>
          <w:rFonts w:ascii="Verdana" w:eastAsia="Geomanist Light" w:hAnsi="Verdana" w:cs="Arial"/>
          <w:color w:val="201F1E"/>
          <w:lang w:val="es-MX"/>
        </w:rPr>
      </w:pPr>
      <w:r w:rsidRPr="007D4A74">
        <w:rPr>
          <w:rFonts w:ascii="Verdana" w:eastAsia="Geomanist Light" w:hAnsi="Verdana" w:cs="Arial"/>
          <w:color w:val="000000" w:themeColor="text1"/>
          <w:lang w:val="es-MX"/>
        </w:rPr>
        <w:lastRenderedPageBreak/>
        <w:t>Bogotá D.C., </w:t>
      </w:r>
      <w:r w:rsidR="00E7764D">
        <w:rPr>
          <w:rFonts w:ascii="Verdana" w:eastAsia="Geomanist Light" w:hAnsi="Verdana" w:cs="Arial"/>
          <w:color w:val="201F1E"/>
        </w:rPr>
        <w:t>21 de mayo de 2026</w:t>
      </w:r>
    </w:p>
    <w:p w14:paraId="529384F1" w14:textId="77777777" w:rsidR="009F143C" w:rsidRPr="007D4A74" w:rsidRDefault="009F143C" w:rsidP="009F143C">
      <w:pPr>
        <w:spacing w:after="0" w:line="240" w:lineRule="auto"/>
        <w:rPr>
          <w:rFonts w:ascii="Verdana" w:eastAsia="Calibri" w:hAnsi="Verdana" w:cs="Arial"/>
          <w:color w:val="000000"/>
          <w:lang w:val="es-ES"/>
        </w:rPr>
      </w:pPr>
    </w:p>
    <w:p w14:paraId="005FE507" w14:textId="753A0DBF" w:rsidR="009F143C" w:rsidRPr="007D4A74" w:rsidRDefault="00E7764D" w:rsidP="00E7764D">
      <w:pPr>
        <w:spacing w:after="0" w:line="240" w:lineRule="auto"/>
        <w:jc w:val="right"/>
        <w:rPr>
          <w:rFonts w:ascii="Verdana" w:eastAsia="Calibri" w:hAnsi="Verdana" w:cs="Arial"/>
          <w:color w:val="000000"/>
          <w:lang w:val="es-ES"/>
        </w:rPr>
      </w:pPr>
      <w:r w:rsidRPr="00E7764D">
        <w:rPr>
          <w:rFonts w:ascii="Verdana" w:eastAsia="Calibri" w:hAnsi="Verdana" w:cs="Arial"/>
          <w:noProof/>
          <w:color w:val="000000"/>
          <w:lang w:val="es-ES"/>
        </w:rPr>
        <w:drawing>
          <wp:anchor distT="0" distB="0" distL="114300" distR="114300" simplePos="0" relativeHeight="251658240" behindDoc="0" locked="0" layoutInCell="1" allowOverlap="1" wp14:anchorId="74EF2668" wp14:editId="02EA377E">
            <wp:simplePos x="0" y="0"/>
            <wp:positionH relativeFrom="column">
              <wp:posOffset>3575685</wp:posOffset>
            </wp:positionH>
            <wp:positionV relativeFrom="paragraph">
              <wp:posOffset>3175</wp:posOffset>
            </wp:positionV>
            <wp:extent cx="2034540" cy="861060"/>
            <wp:effectExtent l="0" t="0" r="3810" b="0"/>
            <wp:wrapSquare wrapText="bothSides"/>
            <wp:docPr id="5560568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4540" cy="861060"/>
                    </a:xfrm>
                    <a:prstGeom prst="rect">
                      <a:avLst/>
                    </a:prstGeom>
                    <a:noFill/>
                    <a:ln>
                      <a:noFill/>
                    </a:ln>
                  </pic:spPr>
                </pic:pic>
              </a:graphicData>
            </a:graphic>
          </wp:anchor>
        </w:drawing>
      </w:r>
    </w:p>
    <w:p w14:paraId="79E1E374" w14:textId="77777777" w:rsidR="009F143C" w:rsidRDefault="009F143C" w:rsidP="009F143C">
      <w:pPr>
        <w:spacing w:after="0" w:line="240" w:lineRule="auto"/>
        <w:jc w:val="both"/>
        <w:rPr>
          <w:rFonts w:ascii="Verdana" w:eastAsia="Calibri" w:hAnsi="Verdana" w:cs="Arial"/>
          <w:lang w:val="es-ES" w:eastAsia="es-ES"/>
        </w:rPr>
      </w:pPr>
      <w:r w:rsidRPr="007D4A74">
        <w:rPr>
          <w:rFonts w:ascii="Verdana" w:eastAsia="Calibri" w:hAnsi="Verdana" w:cs="Arial"/>
          <w:lang w:val="es-ES" w:eastAsia="es-ES"/>
        </w:rPr>
        <w:t>Señor</w:t>
      </w:r>
    </w:p>
    <w:p w14:paraId="69DFD5E5" w14:textId="77777777" w:rsidR="009F143C" w:rsidRPr="003221CD" w:rsidRDefault="009F143C" w:rsidP="009F143C">
      <w:pPr>
        <w:spacing w:after="0" w:line="240" w:lineRule="auto"/>
        <w:jc w:val="both"/>
        <w:rPr>
          <w:rFonts w:ascii="Verdana" w:eastAsia="Calibri" w:hAnsi="Verdana" w:cs="Arial"/>
          <w:b/>
          <w:bCs/>
          <w:lang w:val="es-ES" w:eastAsia="es-ES"/>
        </w:rPr>
      </w:pPr>
      <w:r w:rsidRPr="003221CD">
        <w:rPr>
          <w:rFonts w:ascii="Verdana" w:eastAsia="Calibri" w:hAnsi="Verdana" w:cs="Arial"/>
          <w:b/>
          <w:bCs/>
          <w:lang w:val="es-ES" w:eastAsia="es-ES"/>
        </w:rPr>
        <w:t>Camilo Andrés Guerrero Guerrero</w:t>
      </w:r>
    </w:p>
    <w:p w14:paraId="4B1DAB0D" w14:textId="6189FA48" w:rsidR="009F143C" w:rsidRPr="003221CD" w:rsidRDefault="00E7764D" w:rsidP="009F143C">
      <w:pPr>
        <w:spacing w:after="0" w:line="240" w:lineRule="auto"/>
        <w:rPr>
          <w:rFonts w:ascii="Verdana" w:eastAsia="Calibri" w:hAnsi="Verdana" w:cs="Arial"/>
          <w:bCs/>
          <w:lang w:val="es-ES_tradnl" w:eastAsia="es-ES_tradnl"/>
        </w:rPr>
      </w:pPr>
      <w:hyperlink r:id="rId11" w:history="1">
        <w:r w:rsidRPr="00C80344">
          <w:rPr>
            <w:rStyle w:val="Hipervnculo"/>
            <w:rFonts w:ascii="Verdana" w:eastAsia="Calibri" w:hAnsi="Verdana" w:cs="Arial"/>
            <w:bCs/>
            <w:lang w:val="es-ES_tradnl" w:eastAsia="es-ES_tradnl"/>
          </w:rPr>
          <w:t>camilo.guerrero9381@correo.policia.gov.co</w:t>
        </w:r>
      </w:hyperlink>
      <w:r>
        <w:rPr>
          <w:rFonts w:ascii="Verdana" w:eastAsia="Calibri" w:hAnsi="Verdana" w:cs="Arial"/>
          <w:bCs/>
          <w:lang w:val="es-ES_tradnl" w:eastAsia="es-ES_tradnl"/>
        </w:rPr>
        <w:t xml:space="preserve"> </w:t>
      </w:r>
    </w:p>
    <w:p w14:paraId="4C37EB09" w14:textId="77777777" w:rsidR="009F143C" w:rsidRPr="007D4A74" w:rsidRDefault="009F143C" w:rsidP="009F143C">
      <w:pPr>
        <w:spacing w:after="0" w:line="240" w:lineRule="auto"/>
        <w:rPr>
          <w:rFonts w:ascii="Verdana" w:eastAsia="Calibri" w:hAnsi="Verdana" w:cs="Arial"/>
          <w:lang w:val="es-ES" w:eastAsia="es-ES"/>
        </w:rPr>
      </w:pPr>
      <w:r w:rsidRPr="007D4A74">
        <w:rPr>
          <w:rFonts w:ascii="Verdana" w:eastAsia="Geomanist Light" w:hAnsi="Verdana" w:cs="Arial"/>
          <w:color w:val="000000" w:themeColor="text1"/>
          <w:lang w:val="es-MX"/>
        </w:rPr>
        <w:t>Bogotá D.C.</w:t>
      </w:r>
    </w:p>
    <w:p w14:paraId="1840A5E4" w14:textId="77777777" w:rsidR="009F143C" w:rsidRPr="007D4A74" w:rsidRDefault="009F143C" w:rsidP="009F143C">
      <w:pPr>
        <w:spacing w:after="0" w:line="240" w:lineRule="auto"/>
        <w:rPr>
          <w:rFonts w:ascii="Verdana" w:eastAsia="Calibri" w:hAnsi="Verdana" w:cs="Arial"/>
          <w:b/>
          <w:bCs/>
          <w:color w:val="000000"/>
          <w:lang w:val="es-ES_tradnl" w:eastAsia="es-ES_tradnl"/>
        </w:rPr>
      </w:pPr>
    </w:p>
    <w:p w14:paraId="0328EBB5" w14:textId="77777777" w:rsidR="009F143C" w:rsidRPr="007D4A74" w:rsidRDefault="009F143C" w:rsidP="009F143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F143C" w:rsidRPr="007D4A74" w14:paraId="2F330BFA" w14:textId="77777777" w:rsidTr="00C532C8">
        <w:trPr>
          <w:trHeight w:val="884"/>
        </w:trPr>
        <w:tc>
          <w:tcPr>
            <w:tcW w:w="2689" w:type="dxa"/>
          </w:tcPr>
          <w:p w14:paraId="53E723FE" w14:textId="77777777" w:rsidR="009F143C" w:rsidRPr="007D4A74" w:rsidRDefault="009F143C" w:rsidP="00C532C8">
            <w:pPr>
              <w:jc w:val="both"/>
              <w:rPr>
                <w:rFonts w:ascii="Verdana" w:eastAsia="Calibri" w:hAnsi="Verdana" w:cs="Arial"/>
                <w:b/>
                <w:bCs/>
                <w:color w:val="7030A0"/>
                <w:lang w:val="es-ES_tradnl" w:eastAsia="es-ES_tradnl"/>
              </w:rPr>
            </w:pPr>
          </w:p>
        </w:tc>
        <w:tc>
          <w:tcPr>
            <w:tcW w:w="6100" w:type="dxa"/>
          </w:tcPr>
          <w:p w14:paraId="655CABAE" w14:textId="77777777" w:rsidR="009F143C" w:rsidRPr="007D4A74" w:rsidRDefault="009F143C" w:rsidP="00C532C8">
            <w:pPr>
              <w:jc w:val="both"/>
              <w:rPr>
                <w:rFonts w:ascii="Verdana" w:eastAsia="Calibri" w:hAnsi="Verdana" w:cs="Arial"/>
                <w:b/>
                <w:bCs/>
                <w:color w:val="7030A0"/>
                <w:lang w:val="es-ES" w:eastAsia="es-ES"/>
              </w:rPr>
            </w:pPr>
            <w:r w:rsidRPr="007D4A74">
              <w:rPr>
                <w:rFonts w:ascii="Verdana" w:eastAsia="Calibri" w:hAnsi="Verdana" w:cs="Arial"/>
                <w:b/>
                <w:bCs/>
                <w:lang w:val="es-ES" w:eastAsia="es-ES"/>
              </w:rPr>
              <w:t xml:space="preserve">Concepto C – </w:t>
            </w:r>
            <w:r>
              <w:rPr>
                <w:rFonts w:ascii="Verdana" w:eastAsia="Calibri" w:hAnsi="Verdana" w:cs="Arial"/>
                <w:b/>
                <w:bCs/>
                <w:lang w:val="es-ES" w:eastAsia="es-ES"/>
              </w:rPr>
              <w:t>690</w:t>
            </w:r>
            <w:r w:rsidRPr="007D4A74">
              <w:rPr>
                <w:rFonts w:ascii="Verdana" w:eastAsia="Calibri" w:hAnsi="Verdana" w:cs="Arial"/>
                <w:b/>
                <w:bCs/>
                <w:lang w:val="es-ES" w:eastAsia="es-ES"/>
              </w:rPr>
              <w:t xml:space="preserve"> de 2026</w:t>
            </w:r>
          </w:p>
        </w:tc>
      </w:tr>
      <w:tr w:rsidR="009F143C" w:rsidRPr="007D4A74" w14:paraId="6C5988F1" w14:textId="77777777" w:rsidTr="00C532C8">
        <w:trPr>
          <w:trHeight w:val="884"/>
        </w:trPr>
        <w:tc>
          <w:tcPr>
            <w:tcW w:w="2689" w:type="dxa"/>
          </w:tcPr>
          <w:p w14:paraId="545F4086" w14:textId="77777777" w:rsidR="009F143C" w:rsidRPr="007D4A74" w:rsidRDefault="009F143C" w:rsidP="00C532C8">
            <w:pPr>
              <w:jc w:val="both"/>
              <w:rPr>
                <w:rFonts w:ascii="Verdana" w:eastAsia="Calibri" w:hAnsi="Verdana" w:cs="Arial"/>
                <w:color w:val="000000"/>
                <w:lang w:val="es-ES_tradnl" w:eastAsia="es-ES_tradnl"/>
              </w:rPr>
            </w:pPr>
            <w:r w:rsidRPr="007D4A74">
              <w:rPr>
                <w:rFonts w:ascii="Verdana" w:eastAsia="Calibri" w:hAnsi="Verdana" w:cs="Arial"/>
                <w:b/>
                <w:color w:val="000000"/>
                <w:lang w:val="es-ES_tradnl" w:eastAsia="es-ES_tradnl"/>
              </w:rPr>
              <w:t>Temas:</w:t>
            </w:r>
            <w:r w:rsidRPr="007D4A74">
              <w:rPr>
                <w:rFonts w:ascii="Verdana" w:eastAsia="Calibri" w:hAnsi="Verdana" w:cs="Arial"/>
                <w:color w:val="000000"/>
                <w:lang w:val="es-ES_tradnl" w:eastAsia="es-ES_tradnl"/>
              </w:rPr>
              <w:t xml:space="preserve">                   </w:t>
            </w:r>
          </w:p>
        </w:tc>
        <w:tc>
          <w:tcPr>
            <w:tcW w:w="6100" w:type="dxa"/>
          </w:tcPr>
          <w:p w14:paraId="653B3230" w14:textId="77777777" w:rsidR="009F143C" w:rsidRPr="007D4A74" w:rsidRDefault="009F143C" w:rsidP="00C532C8">
            <w:pPr>
              <w:spacing w:line="276" w:lineRule="auto"/>
              <w:jc w:val="both"/>
              <w:rPr>
                <w:rFonts w:ascii="Verdana" w:eastAsia="Calibri" w:hAnsi="Verdana" w:cs="Arial"/>
                <w:lang w:val="es-ES" w:eastAsia="es-ES"/>
              </w:rPr>
            </w:pPr>
            <w:r w:rsidRPr="007D4A74">
              <w:rPr>
                <w:rFonts w:ascii="Verdana" w:eastAsia="Calibri" w:hAnsi="Verdana" w:cs="Arial"/>
                <w:lang w:val="es-ES" w:eastAsia="es-ES"/>
              </w:rPr>
              <w:t>DECRETO 1600 DE 2024 – Estrategia de lucha contra la corrupción / SITUACIONES DE CONTROL – Acreditación –</w:t>
            </w:r>
            <w:r>
              <w:rPr>
                <w:rFonts w:ascii="Verdana" w:eastAsia="Calibri" w:hAnsi="Verdana" w:cs="Arial"/>
                <w:lang w:val="es-ES" w:eastAsia="es-ES"/>
              </w:rPr>
              <w:t xml:space="preserve"> Subsanación </w:t>
            </w:r>
            <w:r w:rsidRPr="007D4A74">
              <w:rPr>
                <w:rFonts w:ascii="Verdana" w:eastAsia="Calibri" w:hAnsi="Verdana" w:cs="Arial"/>
                <w:lang w:val="es-ES" w:eastAsia="es-ES"/>
              </w:rPr>
              <w:t xml:space="preserve">/ REGISTRO ÚNICO DE PROPONENTES – Definición – Marco jurídico / REQUISITOS HABILITANTES – Registro Único de Proponentes – Plena prueba / GRUPO EMPRESARIAL – Existencia – Acreditación – Plazo </w:t>
            </w:r>
          </w:p>
          <w:p w14:paraId="2B014FA7" w14:textId="77777777" w:rsidR="009F143C" w:rsidRPr="007D4A74" w:rsidRDefault="009F143C" w:rsidP="00C532C8">
            <w:pPr>
              <w:spacing w:line="276" w:lineRule="auto"/>
              <w:jc w:val="both"/>
              <w:rPr>
                <w:rFonts w:ascii="Verdana" w:eastAsia="Calibri" w:hAnsi="Verdana" w:cs="Arial"/>
                <w:lang w:val="es-ES" w:eastAsia="es-ES"/>
              </w:rPr>
            </w:pPr>
          </w:p>
        </w:tc>
      </w:tr>
      <w:tr w:rsidR="009F143C" w:rsidRPr="007D4A74" w14:paraId="4A4B606B" w14:textId="77777777" w:rsidTr="00C532C8">
        <w:tc>
          <w:tcPr>
            <w:tcW w:w="2689" w:type="dxa"/>
          </w:tcPr>
          <w:p w14:paraId="41E76622" w14:textId="77777777" w:rsidR="009F143C" w:rsidRPr="007D4A74" w:rsidRDefault="009F143C" w:rsidP="00C532C8">
            <w:pPr>
              <w:jc w:val="both"/>
              <w:rPr>
                <w:rFonts w:ascii="Verdana" w:eastAsia="Calibri" w:hAnsi="Verdana" w:cs="Arial"/>
                <w:b/>
                <w:lang w:val="es-ES_tradnl" w:eastAsia="es-ES_tradnl"/>
              </w:rPr>
            </w:pPr>
            <w:r w:rsidRPr="007D4A74">
              <w:rPr>
                <w:rFonts w:ascii="Verdana" w:eastAsia="Calibri" w:hAnsi="Verdana" w:cs="Arial"/>
                <w:b/>
                <w:lang w:val="es-ES_tradnl" w:eastAsia="es-ES_tradnl"/>
              </w:rPr>
              <w:t>Radicación:</w:t>
            </w:r>
            <w:r w:rsidRPr="007D4A74">
              <w:rPr>
                <w:rFonts w:ascii="Verdana" w:eastAsia="Calibri" w:hAnsi="Verdana" w:cs="Arial"/>
                <w:lang w:val="es-ES_tradnl" w:eastAsia="es-ES_tradnl"/>
              </w:rPr>
              <w:t xml:space="preserve">               </w:t>
            </w:r>
          </w:p>
        </w:tc>
        <w:tc>
          <w:tcPr>
            <w:tcW w:w="6100" w:type="dxa"/>
          </w:tcPr>
          <w:p w14:paraId="6546056F" w14:textId="77777777" w:rsidR="009F143C" w:rsidRPr="007D4A74" w:rsidRDefault="009F143C" w:rsidP="00C532C8">
            <w:pPr>
              <w:jc w:val="both"/>
              <w:rPr>
                <w:rFonts w:ascii="Verdana" w:eastAsia="Calibri" w:hAnsi="Verdana" w:cs="Arial"/>
                <w:lang w:eastAsia="es-ES_tradnl"/>
              </w:rPr>
            </w:pPr>
            <w:r w:rsidRPr="007D4A74">
              <w:rPr>
                <w:rFonts w:ascii="Verdana" w:eastAsia="Calibri" w:hAnsi="Verdana" w:cs="Arial"/>
                <w:lang w:val="es-ES_tradnl" w:eastAsia="es-ES_tradnl"/>
              </w:rPr>
              <w:t xml:space="preserve">Respuesta a consulta con radicado No. </w:t>
            </w:r>
            <w:r w:rsidRPr="00977BAE">
              <w:rPr>
                <w:rFonts w:ascii="Verdana" w:eastAsia="Calibri" w:hAnsi="Verdana" w:cs="Arial"/>
                <w:lang w:val="es-ES_tradnl" w:eastAsia="es-ES_tradnl"/>
              </w:rPr>
              <w:t>1_2026_04_23_005589</w:t>
            </w:r>
          </w:p>
        </w:tc>
      </w:tr>
    </w:tbl>
    <w:p w14:paraId="48BED4B1" w14:textId="77777777" w:rsidR="009F143C" w:rsidRPr="007D4A74" w:rsidRDefault="009F143C" w:rsidP="009F143C">
      <w:pPr>
        <w:spacing w:after="0" w:line="240" w:lineRule="auto"/>
        <w:jc w:val="both"/>
        <w:rPr>
          <w:rFonts w:ascii="Verdana" w:eastAsia="Calibri" w:hAnsi="Verdana" w:cs="Arial"/>
          <w:color w:val="000000"/>
          <w:lang w:val="es-ES_tradnl" w:eastAsia="es-ES_tradnl"/>
        </w:rPr>
      </w:pPr>
    </w:p>
    <w:p w14:paraId="5BF272C0" w14:textId="77777777" w:rsidR="009F143C" w:rsidRPr="007D4A74" w:rsidRDefault="009F143C" w:rsidP="009F143C">
      <w:pPr>
        <w:spacing w:after="0" w:line="240" w:lineRule="auto"/>
        <w:jc w:val="both"/>
        <w:rPr>
          <w:rFonts w:ascii="Verdana" w:eastAsia="Calibri" w:hAnsi="Verdana" w:cs="Arial"/>
          <w:color w:val="000000"/>
          <w:lang w:val="es-ES_tradnl" w:eastAsia="es-ES_tradnl"/>
        </w:rPr>
      </w:pPr>
    </w:p>
    <w:p w14:paraId="7F291187" w14:textId="77777777" w:rsidR="009F143C" w:rsidRPr="007D4A74" w:rsidRDefault="009F143C" w:rsidP="009F143C">
      <w:pPr>
        <w:spacing w:after="0" w:line="276" w:lineRule="auto"/>
        <w:jc w:val="both"/>
        <w:rPr>
          <w:rFonts w:ascii="Verdana" w:eastAsia="Calibri" w:hAnsi="Verdana" w:cs="Arial"/>
          <w:lang w:val="es-ES" w:eastAsia="es-ES"/>
        </w:rPr>
      </w:pPr>
      <w:r w:rsidRPr="007D4A74">
        <w:rPr>
          <w:rFonts w:ascii="Verdana" w:eastAsia="Calibri" w:hAnsi="Verdana" w:cs="Arial"/>
          <w:lang w:val="es-ES" w:eastAsia="es-ES"/>
        </w:rPr>
        <w:t xml:space="preserve">Estimado señor </w:t>
      </w:r>
      <w:r>
        <w:rPr>
          <w:rFonts w:ascii="Verdana" w:eastAsia="Calibri" w:hAnsi="Verdana" w:cs="Arial"/>
          <w:lang w:val="es-ES" w:eastAsia="es-ES"/>
        </w:rPr>
        <w:t>Guerrero</w:t>
      </w:r>
      <w:r w:rsidRPr="007D4A74">
        <w:rPr>
          <w:rFonts w:ascii="Verdana" w:eastAsia="Calibri" w:hAnsi="Verdana" w:cs="Arial"/>
          <w:lang w:val="es-ES" w:eastAsia="es-ES"/>
        </w:rPr>
        <w:t xml:space="preserve">: </w:t>
      </w:r>
    </w:p>
    <w:p w14:paraId="659269D1" w14:textId="77777777" w:rsidR="009F143C" w:rsidRPr="007D4A74" w:rsidRDefault="009F143C" w:rsidP="009F143C">
      <w:pPr>
        <w:tabs>
          <w:tab w:val="left" w:pos="3768"/>
        </w:tabs>
        <w:spacing w:after="0" w:line="276" w:lineRule="auto"/>
        <w:jc w:val="both"/>
        <w:rPr>
          <w:rFonts w:ascii="Verdana" w:eastAsia="Calibri" w:hAnsi="Verdana" w:cs="Arial"/>
          <w:color w:val="000000" w:themeColor="text1"/>
          <w:lang w:val="es-ES" w:eastAsia="es-ES"/>
        </w:rPr>
      </w:pPr>
      <w:r w:rsidRPr="007D4A74">
        <w:rPr>
          <w:rFonts w:ascii="Verdana" w:eastAsia="Calibri" w:hAnsi="Verdana" w:cs="Arial"/>
          <w:color w:val="000000" w:themeColor="text1"/>
          <w:lang w:val="es-ES" w:eastAsia="es-ES"/>
        </w:rPr>
        <w:tab/>
      </w:r>
    </w:p>
    <w:p w14:paraId="3CF267D8" w14:textId="77777777" w:rsidR="009F143C" w:rsidRPr="007D4A74" w:rsidRDefault="009F143C" w:rsidP="009F143C">
      <w:pPr>
        <w:spacing w:after="0" w:line="276" w:lineRule="auto"/>
        <w:jc w:val="both"/>
        <w:rPr>
          <w:rFonts w:ascii="Verdana" w:eastAsia="Calibri" w:hAnsi="Verdana" w:cs="Arial"/>
          <w:color w:val="7030A0"/>
          <w:lang w:val="es-ES" w:eastAsia="es-ES"/>
        </w:rPr>
      </w:pPr>
      <w:r w:rsidRPr="007D4A74">
        <w:rPr>
          <w:rFonts w:ascii="Verdana" w:eastAsia="Calibri" w:hAnsi="Verdana" w:cs="Arial"/>
          <w:color w:val="000000" w:themeColor="text1"/>
          <w:lang w:val="es-ES" w:eastAsia="es-ES"/>
        </w:rPr>
        <w:t>En ejercicio de la competencia otorgada por los artículos 3, numeral 5º, y 11, numeral 8º, del Decreto Ley 4170 de 2011,</w:t>
      </w:r>
      <w:r w:rsidRPr="007D4A74">
        <w:rPr>
          <w:rFonts w:ascii="Verdana" w:eastAsia="Arial MT" w:hAnsi="Verdana" w:cs="Arial MT"/>
          <w:lang w:val="es-ES" w:eastAsia="es-ES"/>
        </w:rPr>
        <w:t xml:space="preserve"> </w:t>
      </w:r>
      <w:r w:rsidRPr="007D4A74">
        <w:rPr>
          <w:rFonts w:ascii="Verdana" w:hAnsi="Verdana" w:cs="Arial"/>
        </w:rPr>
        <w:t xml:space="preserve">así como lo establecido en el artículo 4 de la Resolución 469 de 2025 expedida por esta Entidad, </w:t>
      </w:r>
      <w:r w:rsidRPr="007D4A74">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7D4A74">
        <w:rPr>
          <w:rFonts w:ascii="Verdana" w:eastAsia="Calibri" w:hAnsi="Verdana" w:cs="Arial"/>
          <w:lang w:val="es-ES" w:eastAsia="es-ES"/>
        </w:rPr>
        <w:t>fecha 2</w:t>
      </w:r>
      <w:r>
        <w:rPr>
          <w:rFonts w:ascii="Verdana" w:eastAsia="Calibri" w:hAnsi="Verdana" w:cs="Arial"/>
          <w:lang w:val="es-ES" w:eastAsia="es-ES"/>
        </w:rPr>
        <w:t>3</w:t>
      </w:r>
      <w:r w:rsidRPr="007D4A74">
        <w:rPr>
          <w:rFonts w:ascii="Verdana" w:eastAsia="Calibri" w:hAnsi="Verdana" w:cs="Arial"/>
          <w:lang w:val="es-ES" w:eastAsia="es-ES"/>
        </w:rPr>
        <w:t xml:space="preserve"> de </w:t>
      </w:r>
      <w:r>
        <w:rPr>
          <w:rFonts w:ascii="Verdana" w:eastAsia="Calibri" w:hAnsi="Verdana" w:cs="Arial"/>
          <w:lang w:val="es-ES" w:eastAsia="es-ES"/>
        </w:rPr>
        <w:t xml:space="preserve">abril </w:t>
      </w:r>
      <w:r w:rsidRPr="007D4A74">
        <w:rPr>
          <w:rFonts w:ascii="Verdana" w:eastAsia="Calibri" w:hAnsi="Verdana" w:cs="Arial"/>
          <w:lang w:val="es-ES" w:eastAsia="es-ES"/>
        </w:rPr>
        <w:t xml:space="preserve">de 2026, en la cual solicita conceptuar sobre los siguientes aspectos: </w:t>
      </w:r>
    </w:p>
    <w:p w14:paraId="3A86990B" w14:textId="77777777" w:rsidR="009F143C" w:rsidRPr="007D4A74" w:rsidRDefault="009F143C" w:rsidP="009F143C">
      <w:pPr>
        <w:pStyle w:val="Prrafodelista"/>
        <w:tabs>
          <w:tab w:val="left" w:pos="142"/>
          <w:tab w:val="left" w:pos="284"/>
        </w:tabs>
        <w:spacing w:after="0" w:line="276" w:lineRule="auto"/>
        <w:ind w:left="0"/>
        <w:jc w:val="both"/>
        <w:rPr>
          <w:rFonts w:ascii="Verdana" w:eastAsia="Century Gothic" w:hAnsi="Verdana" w:cs="Century Gothic"/>
          <w:b/>
          <w:bCs/>
        </w:rPr>
      </w:pPr>
    </w:p>
    <w:p w14:paraId="58AA1116" w14:textId="77777777" w:rsidR="009F143C" w:rsidRPr="00983BD2" w:rsidRDefault="009F143C" w:rsidP="009F143C">
      <w:pPr>
        <w:spacing w:after="120" w:line="240" w:lineRule="auto"/>
        <w:ind w:left="709" w:right="709"/>
        <w:jc w:val="both"/>
        <w:rPr>
          <w:rFonts w:ascii="Verdana" w:eastAsia="Century Gothic" w:hAnsi="Verdana" w:cs="Century Gothic"/>
          <w:sz w:val="20"/>
          <w:szCs w:val="20"/>
          <w:lang w:val="es-ES"/>
        </w:rPr>
      </w:pPr>
      <w:bookmarkStart w:id="1" w:name="_Hlk95313578"/>
      <w:r w:rsidRPr="007D4A74">
        <w:rPr>
          <w:rFonts w:ascii="Verdana" w:eastAsia="Century Gothic" w:hAnsi="Verdana" w:cs="Century Gothic"/>
          <w:sz w:val="20"/>
          <w:szCs w:val="20"/>
          <w:lang w:val="es-ES"/>
        </w:rPr>
        <w:t>“</w:t>
      </w:r>
      <w:r w:rsidRPr="00983BD2">
        <w:rPr>
          <w:rFonts w:ascii="Verdana" w:eastAsia="Century Gothic" w:hAnsi="Verdana" w:cs="Century Gothic"/>
          <w:sz w:val="20"/>
          <w:szCs w:val="20"/>
          <w:lang w:val="es-ES"/>
        </w:rPr>
        <w:t xml:space="preserve">Si un oferente no ha allega el Formulario “EXISTENCIA O NO DE SITUACIONES DE CONTROL”, establecido por la entidad, en el término máximo de tres (3) días después del momento en que se cierre definitivamente la presentación de ofertas, </w:t>
      </w:r>
      <w:proofErr w:type="gramStart"/>
      <w:r w:rsidRPr="00983BD2">
        <w:rPr>
          <w:rFonts w:ascii="Verdana" w:eastAsia="Century Gothic" w:hAnsi="Verdana" w:cs="Century Gothic"/>
          <w:sz w:val="20"/>
          <w:szCs w:val="20"/>
          <w:lang w:val="es-ES"/>
        </w:rPr>
        <w:t>de acuerdo a</w:t>
      </w:r>
      <w:proofErr w:type="gramEnd"/>
      <w:r w:rsidRPr="00983BD2">
        <w:rPr>
          <w:rFonts w:ascii="Verdana" w:eastAsia="Century Gothic" w:hAnsi="Verdana" w:cs="Century Gothic"/>
          <w:sz w:val="20"/>
          <w:szCs w:val="20"/>
          <w:lang w:val="es-ES"/>
        </w:rPr>
        <w:t xml:space="preserve"> lo señalado en el numeral a del artículo 2.1.4.3.2.1 “Prevención de corrupción en la contratación pública” del Decreto 1600 de 2024.</w:t>
      </w:r>
    </w:p>
    <w:p w14:paraId="0F5E6DE2" w14:textId="77777777" w:rsidR="009F143C" w:rsidRPr="00983BD2" w:rsidRDefault="009F143C" w:rsidP="009F143C">
      <w:pPr>
        <w:spacing w:after="120" w:line="240" w:lineRule="auto"/>
        <w:ind w:left="709" w:right="709"/>
        <w:jc w:val="both"/>
        <w:rPr>
          <w:rFonts w:ascii="Verdana" w:eastAsia="Century Gothic" w:hAnsi="Verdana" w:cs="Century Gothic"/>
          <w:sz w:val="20"/>
          <w:szCs w:val="20"/>
          <w:lang w:val="es-ES"/>
        </w:rPr>
      </w:pPr>
      <w:r w:rsidRPr="00983BD2">
        <w:rPr>
          <w:rFonts w:ascii="Verdana" w:eastAsia="Century Gothic" w:hAnsi="Verdana" w:cs="Century Gothic"/>
          <w:sz w:val="20"/>
          <w:szCs w:val="20"/>
          <w:lang w:val="es-ES"/>
        </w:rPr>
        <w:lastRenderedPageBreak/>
        <w:t>La entidad deberá rechazarlo, teniendo en cuenta que estableció esa causal de rechazo o si por el contrario debe permitir la subsanación de este requisito establecido por la entidad, por fuera del término establecido en el numeral a del artículo 2.1.4.3.2.1 “del Decreto 1600 de 2024 (3 días después del cierre).</w:t>
      </w:r>
    </w:p>
    <w:p w14:paraId="34AA385D" w14:textId="77777777" w:rsidR="009F143C" w:rsidRDefault="009F143C" w:rsidP="009F143C">
      <w:pPr>
        <w:spacing w:after="120" w:line="240" w:lineRule="auto"/>
        <w:ind w:left="709" w:right="709"/>
        <w:jc w:val="both"/>
        <w:rPr>
          <w:rFonts w:ascii="Verdana" w:eastAsia="Century Gothic" w:hAnsi="Verdana" w:cs="Century Gothic"/>
          <w:sz w:val="20"/>
          <w:szCs w:val="20"/>
          <w:lang w:val="es-ES"/>
        </w:rPr>
      </w:pPr>
      <w:r w:rsidRPr="00983BD2">
        <w:rPr>
          <w:rFonts w:ascii="Verdana" w:eastAsia="Century Gothic" w:hAnsi="Verdana" w:cs="Century Gothic"/>
          <w:sz w:val="20"/>
          <w:szCs w:val="20"/>
          <w:lang w:val="es-ES"/>
        </w:rPr>
        <w:t>¿es procedente establecer como causal de rechazo “Cuando el proponente no aporte en el término y/o condiciones establecidas por la entidad, la manifestación de la existencia de situaciones de control, de conformidad a lo señalado en el Decreto 1600 de 2024”, en cumplimiento al termino establecido por la norma ibidem (3 días después del cierre). ¿o si por el contrario aplica el régimen de subsanabilidad después del término establecido por esta norma ibidem (3 días después del cierre)?</w:t>
      </w:r>
      <w:r>
        <w:rPr>
          <w:rFonts w:ascii="Verdana" w:eastAsia="Century Gothic" w:hAnsi="Verdana" w:cs="Century Gothic"/>
          <w:sz w:val="20"/>
          <w:szCs w:val="20"/>
          <w:lang w:val="es-ES"/>
        </w:rPr>
        <w:t>”</w:t>
      </w:r>
    </w:p>
    <w:bookmarkEnd w:id="1"/>
    <w:p w14:paraId="014129A5" w14:textId="77777777" w:rsidR="009F143C" w:rsidRPr="007D4A74" w:rsidRDefault="009F143C" w:rsidP="009F143C">
      <w:pPr>
        <w:pStyle w:val="Prrafodelista"/>
        <w:tabs>
          <w:tab w:val="left" w:pos="142"/>
          <w:tab w:val="left" w:pos="284"/>
        </w:tabs>
        <w:spacing w:after="0" w:line="276" w:lineRule="auto"/>
        <w:ind w:left="0"/>
        <w:jc w:val="both"/>
        <w:rPr>
          <w:rFonts w:ascii="Verdana" w:eastAsia="Century Gothic" w:hAnsi="Verdana" w:cs="Century Gothic"/>
          <w:b/>
          <w:bCs/>
        </w:rPr>
      </w:pPr>
    </w:p>
    <w:p w14:paraId="3BE75AF6" w14:textId="77777777" w:rsidR="009F143C" w:rsidRPr="007D4A74" w:rsidRDefault="009F143C" w:rsidP="009F143C">
      <w:pPr>
        <w:spacing w:after="12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D4A74">
        <w:rPr>
          <w:rFonts w:ascii="Verdana" w:eastAsia="Calibri" w:hAnsi="Verdana" w:cs="Arial"/>
          <w:color w:val="000000"/>
          <w:szCs w:val="24"/>
          <w:lang w:val="es-ES_tradnl" w:eastAsia="es-ES_tradnl"/>
        </w:rPr>
        <w:tab/>
      </w:r>
    </w:p>
    <w:p w14:paraId="359955CD" w14:textId="77777777" w:rsidR="009F143C" w:rsidRPr="007D4A74" w:rsidRDefault="009F143C" w:rsidP="009F143C">
      <w:pPr>
        <w:spacing w:after="0" w:line="276" w:lineRule="auto"/>
        <w:ind w:firstLine="709"/>
        <w:jc w:val="both"/>
        <w:rPr>
          <w:rFonts w:ascii="Verdana" w:eastAsia="Calibri" w:hAnsi="Verdana" w:cs="Arial"/>
          <w:color w:val="000000"/>
          <w:lang w:val="es-ES" w:eastAsia="es-ES"/>
        </w:rPr>
      </w:pPr>
      <w:r w:rsidRPr="007D4A7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problema</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jurídico</w:t>
      </w:r>
      <w:r w:rsidRPr="007D4A74">
        <w:rPr>
          <w:rFonts w:ascii="Verdana" w:eastAsia="Calibri" w:hAnsi="Verdana" w:cs="Arial"/>
          <w:color w:val="7030A0"/>
          <w:lang w:val="es-ES" w:eastAsia="es-ES"/>
        </w:rPr>
        <w:t xml:space="preserve"> </w:t>
      </w:r>
      <w:r w:rsidRPr="007D4A74">
        <w:rPr>
          <w:rFonts w:ascii="Verdana" w:eastAsia="Calibri" w:hAnsi="Verdana" w:cs="Arial"/>
          <w:color w:val="000000"/>
          <w:lang w:val="es-ES" w:eastAsia="es-ES"/>
        </w:rPr>
        <w:t xml:space="preserve">de su consulta. </w:t>
      </w:r>
    </w:p>
    <w:p w14:paraId="567D74E2" w14:textId="77777777" w:rsidR="009F143C" w:rsidRPr="007D4A74" w:rsidRDefault="009F143C" w:rsidP="009F143C">
      <w:pPr>
        <w:spacing w:after="0" w:line="276" w:lineRule="auto"/>
        <w:ind w:firstLine="709"/>
        <w:jc w:val="both"/>
        <w:rPr>
          <w:rFonts w:ascii="Verdana" w:eastAsia="Calibri" w:hAnsi="Verdana" w:cs="Arial"/>
          <w:color w:val="000000"/>
          <w:lang w:val="es-ES" w:eastAsia="es-ES"/>
        </w:rPr>
      </w:pPr>
    </w:p>
    <w:p w14:paraId="25F9F305" w14:textId="77777777" w:rsidR="009F143C" w:rsidRPr="001B5979" w:rsidRDefault="009F143C" w:rsidP="009F143C">
      <w:pPr>
        <w:pStyle w:val="Prrafodelista"/>
        <w:numPr>
          <w:ilvl w:val="0"/>
          <w:numId w:val="2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979">
        <w:rPr>
          <w:rFonts w:ascii="Verdana" w:eastAsia="Century Gothic" w:hAnsi="Verdana" w:cs="Century Gothic"/>
          <w:b/>
          <w:bCs/>
        </w:rPr>
        <w:t>Problema planteado:</w:t>
      </w:r>
    </w:p>
    <w:p w14:paraId="00ECD665" w14:textId="77777777" w:rsidR="009F143C" w:rsidRPr="007D4A74" w:rsidRDefault="009F143C" w:rsidP="009F143C">
      <w:pPr>
        <w:tabs>
          <w:tab w:val="left" w:pos="426"/>
        </w:tabs>
        <w:spacing w:after="0" w:line="276" w:lineRule="auto"/>
        <w:jc w:val="both"/>
        <w:rPr>
          <w:rFonts w:ascii="Verdana" w:eastAsia="Century Gothic" w:hAnsi="Verdana" w:cs="Century Gothic"/>
          <w:lang w:val="es-ES"/>
        </w:rPr>
      </w:pPr>
    </w:p>
    <w:p w14:paraId="18E9906C" w14:textId="77777777" w:rsidR="009F143C" w:rsidRPr="007D4A74" w:rsidRDefault="009F143C" w:rsidP="009F143C">
      <w:pPr>
        <w:spacing w:after="0" w:line="276" w:lineRule="auto"/>
        <w:jc w:val="both"/>
        <w:rPr>
          <w:rFonts w:ascii="Verdana" w:eastAsia="Century Gothic" w:hAnsi="Verdana" w:cs="Century Gothic"/>
        </w:rPr>
      </w:pPr>
      <w:r w:rsidRPr="007D4A74">
        <w:rPr>
          <w:rFonts w:ascii="Verdana" w:eastAsia="Century Gothic" w:hAnsi="Verdana" w:cs="Century Gothic"/>
        </w:rPr>
        <w:t>De acuerdo con el contenido de su solicitud, esta Agencia resolverá el siguiente problema jurídico</w:t>
      </w:r>
      <w:r w:rsidRPr="0015155B">
        <w:rPr>
          <w:rFonts w:ascii="Verdana" w:eastAsia="Century Gothic" w:hAnsi="Verdana" w:cs="Century Gothic"/>
        </w:rPr>
        <w:t xml:space="preserve">: </w:t>
      </w:r>
      <w:proofErr w:type="gramStart"/>
      <w:r w:rsidRPr="0015155B">
        <w:rPr>
          <w:rFonts w:ascii="Verdana" w:eastAsia="Century Gothic" w:hAnsi="Verdana" w:cs="Century Gothic"/>
        </w:rPr>
        <w:t>¿</w:t>
      </w:r>
      <w:r>
        <w:rPr>
          <w:rFonts w:ascii="Verdana" w:eastAsia="Century Gothic" w:hAnsi="Verdana" w:cs="Century Gothic"/>
        </w:rPr>
        <w:t>El documento que</w:t>
      </w:r>
      <w:r w:rsidRPr="0015155B">
        <w:rPr>
          <w:rFonts w:ascii="Verdana" w:eastAsia="Century Gothic" w:hAnsi="Verdana" w:cs="Century Gothic"/>
        </w:rPr>
        <w:t xml:space="preserve"> </w:t>
      </w:r>
      <w:r>
        <w:rPr>
          <w:rFonts w:ascii="Verdana" w:eastAsia="Century Gothic" w:hAnsi="Verdana" w:cs="Century Gothic"/>
        </w:rPr>
        <w:t>reporta la e</w:t>
      </w:r>
      <w:r w:rsidRPr="0015155B">
        <w:rPr>
          <w:rFonts w:ascii="Verdana" w:eastAsia="Century Gothic" w:hAnsi="Verdana" w:cs="Century Gothic"/>
        </w:rPr>
        <w:t>xistencia o no de situaciones de control dentro</w:t>
      </w:r>
      <w:r w:rsidRPr="00421552">
        <w:rPr>
          <w:rFonts w:ascii="Verdana" w:eastAsia="Century Gothic" w:hAnsi="Verdana" w:cs="Century Gothic"/>
        </w:rPr>
        <w:t xml:space="preserve"> de los tres (3) días siguientes al cierre del proceso de selección, </w:t>
      </w:r>
      <w:r>
        <w:rPr>
          <w:rFonts w:ascii="Verdana" w:eastAsia="Century Gothic" w:hAnsi="Verdana" w:cs="Century Gothic"/>
        </w:rPr>
        <w:t>de acuerdo con lo previsto en</w:t>
      </w:r>
      <w:r w:rsidRPr="00421552">
        <w:rPr>
          <w:rFonts w:ascii="Verdana" w:eastAsia="Century Gothic" w:hAnsi="Verdana" w:cs="Century Gothic"/>
        </w:rPr>
        <w:t xml:space="preserve"> el artículo 2.</w:t>
      </w:r>
      <w:proofErr w:type="gramEnd"/>
      <w:r w:rsidRPr="00421552">
        <w:rPr>
          <w:rFonts w:ascii="Verdana" w:eastAsia="Century Gothic" w:hAnsi="Verdana" w:cs="Century Gothic"/>
        </w:rPr>
        <w:t xml:space="preserve">1.4.3.2.1 </w:t>
      </w:r>
      <w:r>
        <w:rPr>
          <w:rFonts w:ascii="Verdana" w:eastAsia="Calibri" w:hAnsi="Verdana" w:cs="Arial"/>
          <w:color w:val="000000" w:themeColor="text1"/>
        </w:rPr>
        <w:t xml:space="preserve">del Decreto </w:t>
      </w:r>
      <w:r>
        <w:rPr>
          <w:rFonts w:ascii="Verdana" w:eastAsia="Calibri" w:hAnsi="Verdana" w:cs="Arial"/>
        </w:rPr>
        <w:t>1081 de 2015</w:t>
      </w:r>
      <w:r w:rsidRPr="00421552">
        <w:rPr>
          <w:rFonts w:ascii="Verdana" w:eastAsia="Century Gothic" w:hAnsi="Verdana" w:cs="Century Gothic"/>
        </w:rPr>
        <w:t xml:space="preserve">, </w:t>
      </w:r>
      <w:r>
        <w:rPr>
          <w:rFonts w:ascii="Verdana" w:eastAsia="Century Gothic" w:hAnsi="Verdana" w:cs="Century Gothic"/>
        </w:rPr>
        <w:t>puede ser objeto de subsanación o aclaración?</w:t>
      </w:r>
    </w:p>
    <w:p w14:paraId="53564DC2" w14:textId="77777777" w:rsidR="009F143C" w:rsidRPr="007D4A74" w:rsidRDefault="009F143C" w:rsidP="009F143C">
      <w:pPr>
        <w:spacing w:after="0" w:line="276" w:lineRule="auto"/>
        <w:jc w:val="both"/>
        <w:rPr>
          <w:rFonts w:ascii="Verdana" w:eastAsia="Calibri" w:hAnsi="Verdana" w:cs="Arial"/>
          <w:color w:val="7030A0"/>
          <w:lang w:val="es-ES"/>
        </w:rPr>
      </w:pPr>
    </w:p>
    <w:p w14:paraId="30F1FE9B" w14:textId="77777777" w:rsidR="009F143C" w:rsidRPr="002A1C4E" w:rsidRDefault="009F143C" w:rsidP="009F143C">
      <w:pPr>
        <w:pStyle w:val="Prrafodelista"/>
        <w:numPr>
          <w:ilvl w:val="0"/>
          <w:numId w:val="22"/>
        </w:numPr>
        <w:tabs>
          <w:tab w:val="left" w:pos="142"/>
          <w:tab w:val="left" w:pos="284"/>
        </w:tabs>
        <w:spacing w:after="0" w:line="276" w:lineRule="auto"/>
        <w:ind w:left="284" w:hanging="284"/>
        <w:jc w:val="both"/>
        <w:rPr>
          <w:rFonts w:ascii="Verdana" w:eastAsia="Century Gothic" w:hAnsi="Verdana" w:cs="Century Gothic"/>
          <w:b/>
          <w:bCs/>
        </w:rPr>
      </w:pPr>
      <w:r w:rsidRPr="002A1C4E">
        <w:rPr>
          <w:rFonts w:ascii="Verdana" w:eastAsia="Century Gothic" w:hAnsi="Verdana" w:cs="Century Gothic"/>
          <w:b/>
          <w:bCs/>
        </w:rPr>
        <w:t>Respuesta:</w:t>
      </w:r>
    </w:p>
    <w:p w14:paraId="4EC14A7D" w14:textId="77777777" w:rsidR="009F143C" w:rsidRPr="007D4A74" w:rsidRDefault="009F143C" w:rsidP="009F143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F143C" w:rsidRPr="007D4A74" w14:paraId="1BBDF9DF" w14:textId="77777777" w:rsidTr="00C532C8">
        <w:trPr>
          <w:jc w:val="center"/>
        </w:trPr>
        <w:tc>
          <w:tcPr>
            <w:tcW w:w="8828" w:type="dxa"/>
          </w:tcPr>
          <w:p w14:paraId="68537081" w14:textId="77777777" w:rsidR="009F143C" w:rsidRDefault="009F143C" w:rsidP="00C532C8">
            <w:pPr>
              <w:spacing w:after="120" w:line="276" w:lineRule="auto"/>
              <w:jc w:val="both"/>
              <w:rPr>
                <w:rFonts w:ascii="Verdana" w:hAnsi="Verdana" w:cs="Arial"/>
              </w:rPr>
            </w:pPr>
            <w:r>
              <w:rPr>
                <w:rFonts w:ascii="Verdana" w:eastAsia="Calibri" w:hAnsi="Verdana" w:cs="Arial"/>
                <w:bCs/>
                <w:color w:val="000000" w:themeColor="text1"/>
              </w:rPr>
              <w:t>Conforme a la interpretación general de las normas del sistema de compras públicas,</w:t>
            </w:r>
            <w:r>
              <w:rPr>
                <w:rFonts w:ascii="Verdana" w:eastAsia="Calibri" w:hAnsi="Verdana" w:cs="Arial"/>
                <w:color w:val="000000" w:themeColor="text1"/>
              </w:rPr>
              <w:t xml:space="preserve"> de acuerdo con el</w:t>
            </w:r>
            <w:r>
              <w:rPr>
                <w:rFonts w:ascii="Verdana" w:eastAsia="Calibri" w:hAnsi="Verdana" w:cs="Arial"/>
              </w:rPr>
              <w:t xml:space="preserve"> literal a) del artículo 2.1.4.3.2.1 del Decreto 1081 de 2015, adicionado por el artículo 1 del Decreto 1600 de 2024, </w:t>
            </w:r>
            <w:r>
              <w:rPr>
                <w:rFonts w:ascii="Verdana" w:hAnsi="Verdana" w:cs="Arial"/>
              </w:rPr>
              <w:t xml:space="preserve">la información sobre situaciones de control es un instrumento para verificar la capacidad jurídica en el proceso de contratación. Aunque en sí mismo no es un requisito habilitante, constituye un insumo relevante verificar la capacidad jurídica, específicamente, para constatar la ausencia de inhabilidades como las de los literales j) y k) del artículo 8.1 del EGCAP; razón por la cual, en la omisión o reporte erróneo de la información aplica el régimen de subsanación –parágrafo 1 del artículo 5 de la Ley 1150 de 2007– o aclaración de las ofertas –artículo 30.7 de la Ley 80 de 1993. </w:t>
            </w:r>
          </w:p>
          <w:p w14:paraId="640FEF8F" w14:textId="77777777" w:rsidR="009F143C" w:rsidRDefault="009F143C" w:rsidP="00C532C8">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Pr>
                <w:rFonts w:ascii="Verdana" w:hAnsi="Verdana" w:cs="Arial"/>
              </w:rPr>
              <w:t xml:space="preserve">Así, según </w:t>
            </w:r>
            <w:r>
              <w:rPr>
                <w:rFonts w:ascii="Verdana" w:eastAsia="Times New Roman" w:hAnsi="Verdana" w:cs="Arial"/>
                <w:bdr w:val="none" w:sz="0" w:space="0" w:color="auto" w:frame="1"/>
                <w:shd w:val="clear" w:color="auto" w:fill="FFFFFF"/>
                <w:lang w:val="es-ES" w:eastAsia="es-ES_tradnl"/>
              </w:rPr>
              <w:t>las reglas dispuestas en la Ley 1882 de 2018, todo lo que no sea necesario para la comparación de propuestas no es argumento suficiente para su rechazo. De esta manera, se conserva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526633F7" w14:textId="77777777" w:rsidR="009F143C" w:rsidRPr="00383887" w:rsidRDefault="009F143C" w:rsidP="00C532C8">
            <w:pPr>
              <w:spacing w:before="120" w:after="160" w:line="276" w:lineRule="auto"/>
              <w:ind w:firstLine="708"/>
              <w:jc w:val="both"/>
              <w:rPr>
                <w:rFonts w:ascii="Verdana" w:eastAsia="Times New Roman" w:hAnsi="Verdana" w:cs="Arial"/>
                <w:bdr w:val="none" w:sz="0" w:space="0" w:color="auto" w:frame="1"/>
                <w:shd w:val="clear" w:color="auto" w:fill="FFFFFF"/>
                <w:lang w:val="es-ES" w:eastAsia="es-ES_tradnl"/>
              </w:rPr>
            </w:pPr>
            <w:r>
              <w:rPr>
                <w:rFonts w:ascii="Verdana" w:eastAsia="Times New Roman" w:hAnsi="Verdana" w:cs="Arial"/>
                <w:bdr w:val="none" w:sz="0" w:space="0" w:color="auto" w:frame="1"/>
                <w:shd w:val="clear" w:color="auto" w:fill="FFFFFF"/>
                <w:lang w:val="es-ES" w:eastAsia="es-ES_tradnl"/>
              </w:rPr>
              <w:t>En ese contexto, por regla general, son subsanables i) la falta de entrega o ii) los defectos de los requisitos habilitantes. La excepción se encuentra en los casos, previstos en la ley, que limitan la subsanabilidad, es decir, en la prohibición de permitir la entrega de la garantía de seriedad de la oferta que no fue aportada con la propuesta y de valer la acreditación de circunstancias ocurridas con posterioridad al cierre del proceso.</w:t>
            </w:r>
          </w:p>
          <w:p w14:paraId="35E45D9A" w14:textId="77777777" w:rsidR="009F143C" w:rsidRDefault="009F143C" w:rsidP="00C532C8">
            <w:pPr>
              <w:spacing w:after="120" w:line="276" w:lineRule="auto"/>
              <w:ind w:right="51"/>
              <w:jc w:val="both"/>
              <w:rPr>
                <w:rFonts w:ascii="Verdana" w:eastAsia="Calibri" w:hAnsi="Verdana" w:cs="Arial"/>
              </w:rPr>
            </w:pPr>
            <w:r>
              <w:rPr>
                <w:rFonts w:ascii="Verdana" w:eastAsia="Calibri" w:hAnsi="Verdana" w:cs="Arial"/>
              </w:rPr>
              <w:tab/>
              <w:t xml:space="preserve">En ese sentido, si en el marco de la evaluación de las ofertas, la entidad estatal advierte la omisión o reporte erróneo del documento sobre la información de la situación de control, estará facultada para solicitar a los proponentes las explicaciones, aclaraciones o información adicional que resulten necesarias para esclarecer dicha circunstancia. Esto, en ejercicio de su deber de verificación y con el fin de garantizar la correcta evaluación de la capacidad jurídica de los oferentes. </w:t>
            </w:r>
          </w:p>
          <w:p w14:paraId="14E7B2BE" w14:textId="77777777" w:rsidR="009F143C" w:rsidRDefault="009F143C" w:rsidP="00C532C8">
            <w:pPr>
              <w:spacing w:after="120" w:line="276" w:lineRule="auto"/>
              <w:ind w:right="51" w:firstLine="709"/>
              <w:jc w:val="both"/>
              <w:rPr>
                <w:rFonts w:ascii="Verdana" w:eastAsia="Calibri" w:hAnsi="Verdana" w:cs="Arial"/>
              </w:rPr>
            </w:pPr>
            <w:r>
              <w:rPr>
                <w:rFonts w:ascii="Verdana" w:eastAsia="Calibri" w:hAnsi="Verdana" w:cs="Arial"/>
              </w:rPr>
              <w:lastRenderedPageBreak/>
              <w:t>En todo caso, la omisión del contratista del deber de declarar la existencia o inexistencia de situaciones de control en las que participe no exime a la entidad estatal del cumplimiento de su deber de ejercer la potestad verificadora que le corresponde, especialmente en lo que respecta a la acreditación de la capacidad jurídica, la cual puede verse comprometida por la configuración de dichas situaciones. Así, la información relacionada con situaciones de control constituye un insumo fundamental para verificar la capacidad jurídica de los proponentes dentro del proceso de contratación.</w:t>
            </w:r>
          </w:p>
          <w:p w14:paraId="17C0D5AE" w14:textId="77777777" w:rsidR="009F143C" w:rsidRDefault="009F143C" w:rsidP="00C532C8">
            <w:pPr>
              <w:spacing w:after="120" w:line="276" w:lineRule="auto"/>
              <w:ind w:right="51" w:firstLine="709"/>
              <w:jc w:val="both"/>
              <w:rPr>
                <w:rFonts w:ascii="Verdana" w:hAnsi="Verdana" w:cs="Arial"/>
                <w:color w:val="000000" w:themeColor="text1"/>
              </w:rPr>
            </w:pPr>
            <w:r>
              <w:rPr>
                <w:rFonts w:ascii="Verdana" w:hAnsi="Verdana" w:cs="Arial"/>
                <w:color w:val="000000" w:themeColor="text1"/>
              </w:rPr>
              <w:t>Si bien la Administración tiene facultad para establecer causales de rechazo o exclusión de ofertas en sus procesos de selección, que consulten la necesidad de establecer las exigencias mínimas que deben satisfacer los proponentes para ser idóneos para la ejecución del objeto contractual, lo cierto es que esas facultades no le permiten fijar requerimientos que al ser analizados a fondo constituyen hechos o situaciones propias del régimen de inhabilidades o incompatibilidades.</w:t>
            </w:r>
          </w:p>
          <w:p w14:paraId="5BD21F98" w14:textId="77777777" w:rsidR="009F143C" w:rsidRPr="000661B7" w:rsidRDefault="009F143C" w:rsidP="00C532C8">
            <w:pPr>
              <w:spacing w:before="120" w:after="120" w:line="276" w:lineRule="auto"/>
              <w:ind w:firstLine="708"/>
              <w:jc w:val="both"/>
              <w:rPr>
                <w:rFonts w:ascii="Verdana" w:hAnsi="Verdana" w:cs="Arial"/>
                <w:bCs/>
                <w:color w:val="000000" w:themeColor="text1"/>
              </w:rPr>
            </w:pPr>
            <w:r>
              <w:rPr>
                <w:rFonts w:ascii="Verdana" w:eastAsia="Arial" w:hAnsi="Verdana" w:cs="Arial"/>
                <w:color w:val="000000"/>
              </w:rPr>
              <w:t>Así, l</w:t>
            </w:r>
            <w:r w:rsidRPr="008C03E8">
              <w:rPr>
                <w:rFonts w:ascii="Verdana" w:eastAsia="Arial" w:hAnsi="Verdana" w:cs="Arial"/>
                <w:color w:val="000000"/>
              </w:rPr>
              <w:t>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r w:rsidRPr="008C03E8">
              <w:rPr>
                <w:rFonts w:ascii="Verdana" w:hAnsi="Verdana" w:cs="Arial"/>
                <w:bCs/>
                <w:color w:val="000000" w:themeColor="text1"/>
              </w:rPr>
              <w:t xml:space="preserve"> En ese orden de ideas, el rechazo de las ofertas debe provenir entre otros factores, de la imposibilidad de hacer una escogencia favorable a la entidad estatal y a los fines que ella busca en cumplimiento del deber selección objetiva.</w:t>
            </w:r>
          </w:p>
          <w:p w14:paraId="2712EA94" w14:textId="77777777" w:rsidR="009F143C" w:rsidRPr="008547EC" w:rsidRDefault="009F143C" w:rsidP="00C532C8">
            <w:pPr>
              <w:spacing w:after="120" w:line="276" w:lineRule="auto"/>
              <w:ind w:firstLine="743"/>
              <w:jc w:val="both"/>
              <w:rPr>
                <w:rFonts w:ascii="Verdana" w:hAnsi="Verdana" w:cs="Arial"/>
              </w:rPr>
            </w:pPr>
            <w:r w:rsidRPr="008C03E8">
              <w:rPr>
                <w:rFonts w:ascii="Verdana" w:hAnsi="Verdana" w:cs="Arial"/>
                <w:bCs/>
                <w:color w:val="000000" w:themeColor="text1"/>
              </w:rPr>
              <w:t xml:space="preserve">Sin embargo, será́ </w:t>
            </w:r>
            <w:r>
              <w:rPr>
                <w:rFonts w:ascii="Verdana" w:hAnsi="Verdana" w:cs="Arial"/>
                <w:bCs/>
                <w:color w:val="000000" w:themeColor="text1"/>
              </w:rPr>
              <w:t>cada</w:t>
            </w:r>
            <w:r w:rsidRPr="008C03E8">
              <w:rPr>
                <w:rFonts w:ascii="Verdana" w:hAnsi="Verdana" w:cs="Arial"/>
                <w:bCs/>
                <w:color w:val="000000" w:themeColor="text1"/>
              </w:rPr>
              <w:t xml:space="preserve"> Entidad Estatal quién determinará en los documentos del proceso las circunstancias que no permitan admitir una propuesta en un proceso de contratación. En el ejercicio de esta facultad, las entidades deben respetar el deber de selección objetiva, de manera que las causales de rechazo que dispongan no impongan barreras injustificadas a la participación, y respondan a principios de proporcionalidad y razonabilidad.</w:t>
            </w:r>
          </w:p>
        </w:tc>
      </w:tr>
    </w:tbl>
    <w:p w14:paraId="6227AC23" w14:textId="77777777" w:rsidR="009F143C" w:rsidRPr="00E80F9C" w:rsidRDefault="009F143C" w:rsidP="009F143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703A989" w14:textId="77777777" w:rsidR="009F143C" w:rsidRPr="00AA4CBD" w:rsidRDefault="009F143C" w:rsidP="009F143C">
      <w:pPr>
        <w:pStyle w:val="Prrafodelista"/>
        <w:numPr>
          <w:ilvl w:val="0"/>
          <w:numId w:val="22"/>
        </w:numPr>
        <w:tabs>
          <w:tab w:val="left" w:pos="142"/>
          <w:tab w:val="left" w:pos="284"/>
        </w:tabs>
        <w:spacing w:after="0" w:line="276" w:lineRule="auto"/>
        <w:ind w:left="284"/>
        <w:contextualSpacing w:val="0"/>
        <w:jc w:val="both"/>
        <w:rPr>
          <w:rFonts w:ascii="Verdana" w:eastAsia="Century Gothic" w:hAnsi="Verdana" w:cs="Century Gothic"/>
          <w:b/>
          <w:bCs/>
        </w:rPr>
      </w:pPr>
      <w:r w:rsidRPr="00E80F9C">
        <w:rPr>
          <w:rFonts w:ascii="Verdana" w:eastAsia="Century Gothic" w:hAnsi="Verdana" w:cs="Century Gothic"/>
          <w:b/>
          <w:bCs/>
          <w:lang w:val="es-CO"/>
        </w:rPr>
        <w:t>Razones de la respuesta:</w:t>
      </w:r>
    </w:p>
    <w:p w14:paraId="528BB90C" w14:textId="77777777" w:rsidR="009F143C" w:rsidRPr="007D4A74" w:rsidRDefault="009F143C" w:rsidP="009F143C">
      <w:pPr>
        <w:spacing w:after="0" w:line="276" w:lineRule="auto"/>
        <w:jc w:val="both"/>
        <w:rPr>
          <w:rFonts w:ascii="Verdana" w:eastAsia="Calibri" w:hAnsi="Verdana" w:cs="Arial"/>
          <w:color w:val="7030A0"/>
          <w:lang w:val="es-ES"/>
        </w:rPr>
      </w:pPr>
    </w:p>
    <w:p w14:paraId="5546D7C0" w14:textId="77777777" w:rsidR="009F143C" w:rsidRPr="007D4A74" w:rsidRDefault="009F143C" w:rsidP="009F143C">
      <w:pPr>
        <w:spacing w:after="0" w:line="276" w:lineRule="auto"/>
        <w:jc w:val="both"/>
        <w:rPr>
          <w:rFonts w:ascii="Verdana" w:eastAsia="Calibri" w:hAnsi="Verdana" w:cs="Arial"/>
          <w:lang w:val="es-ES"/>
        </w:rPr>
      </w:pPr>
      <w:r w:rsidRPr="007D4A74">
        <w:rPr>
          <w:rFonts w:ascii="Verdana" w:eastAsia="Calibri" w:hAnsi="Verdana" w:cs="Arial"/>
          <w:lang w:val="es-ES"/>
        </w:rPr>
        <w:lastRenderedPageBreak/>
        <w:t xml:space="preserve">Lo anterior se sustenta en las siguientes consideraciones: </w:t>
      </w:r>
    </w:p>
    <w:p w14:paraId="19CFCB27" w14:textId="77777777" w:rsidR="009F143C" w:rsidRPr="007D4A74" w:rsidRDefault="009F143C" w:rsidP="009F143C">
      <w:pPr>
        <w:spacing w:after="0" w:line="276" w:lineRule="auto"/>
        <w:jc w:val="both"/>
        <w:rPr>
          <w:rFonts w:ascii="Verdana" w:eastAsia="Calibri" w:hAnsi="Verdana" w:cs="Arial"/>
          <w:color w:val="7030A0"/>
          <w:lang w:val="es-ES"/>
        </w:rPr>
      </w:pPr>
    </w:p>
    <w:p w14:paraId="53B147F2" w14:textId="77777777" w:rsidR="009F143C" w:rsidRPr="007D4A74" w:rsidRDefault="009F143C" w:rsidP="009F143C">
      <w:pPr>
        <w:spacing w:after="120" w:line="276" w:lineRule="auto"/>
        <w:jc w:val="both"/>
        <w:rPr>
          <w:rFonts w:ascii="Verdana" w:eastAsia="Calibri" w:hAnsi="Verdana" w:cs="Arial"/>
        </w:rPr>
      </w:pPr>
      <w:bookmarkStart w:id="2" w:name="_Hlk170989338"/>
      <w:r>
        <w:rPr>
          <w:rFonts w:ascii="Verdana" w:eastAsia="Calibri" w:hAnsi="Verdana" w:cs="Arial"/>
        </w:rPr>
        <w:t xml:space="preserve">i. </w:t>
      </w:r>
      <w:r w:rsidRPr="007D4A74">
        <w:rPr>
          <w:rFonts w:ascii="Verdana" w:hAnsi="Verdana" w:cs="Arial"/>
          <w:iCs/>
          <w:lang w:val="es-419"/>
        </w:rPr>
        <w:t>El artículo 209 de la Constitución Política establece que la función administrativa está orientada hacia el servicio de los intereses generales y se fundamenta en principios de igualdad, moralidad, eficacia, economía, celeridad, imparcialidad y publicidad. Asimismo, conforme al Código de Procedimiento Administrativo y de lo Contencioso Administrativo, Ley 1437 de 2011, las acciones administrativas deben llevarse a cabo con transparencia.</w:t>
      </w:r>
    </w:p>
    <w:p w14:paraId="5321F245" w14:textId="77777777" w:rsidR="009F143C" w:rsidRPr="007D4A74" w:rsidRDefault="009F143C" w:rsidP="009F143C">
      <w:pPr>
        <w:spacing w:after="120" w:line="276" w:lineRule="auto"/>
        <w:ind w:firstLine="708"/>
        <w:jc w:val="both"/>
        <w:rPr>
          <w:rFonts w:ascii="Verdana" w:eastAsia="Calibri" w:hAnsi="Verdana" w:cs="Arial"/>
          <w:lang w:eastAsia="es-ES_tradnl"/>
        </w:rPr>
      </w:pPr>
      <w:r w:rsidRPr="007D4A74">
        <w:rPr>
          <w:rFonts w:ascii="Verdana" w:eastAsia="Calibri" w:hAnsi="Verdana" w:cs="Arial"/>
          <w:lang w:eastAsia="es-ES_tradnl"/>
        </w:rPr>
        <w:t>El artículo 200 de la Ley 2294 de 2023 estableció el deber de formular una Estrategia Nacional de Lucha contra la Corrupción</w:t>
      </w:r>
      <w:r w:rsidRPr="007D4A74">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7D4A74">
        <w:rPr>
          <w:rStyle w:val="Refdenotaalpie"/>
          <w:rFonts w:ascii="Verdana" w:eastAsia="Calibri" w:hAnsi="Verdana" w:cs="Arial"/>
          <w:lang w:eastAsia="es-ES_tradnl"/>
        </w:rPr>
        <w:footnoteReference w:id="1"/>
      </w:r>
      <w:r w:rsidRPr="007D4A74">
        <w:rPr>
          <w:rFonts w:ascii="Verdana" w:eastAsia="Calibri" w:hAnsi="Verdana" w:cs="Arial"/>
          <w:lang w:eastAsia="es-ES_tradnl"/>
        </w:rPr>
        <w:t>. De este modo, la estrategia de la lucha contra la corrupción incluye las dimensiones de la garantía de los derechos humanos, la protección al denunciante, el derecho de acceso a la información pública, el fortalecimiento de la veeduría ciudadana, la transparencia en la contratación y gestión pública</w:t>
      </w:r>
      <w:r w:rsidRPr="007D4A74">
        <w:rPr>
          <w:rFonts w:ascii="Verdana" w:eastAsia="Calibri" w:hAnsi="Verdana" w:cs="Arial"/>
          <w:i/>
          <w:iCs/>
          <w:lang w:eastAsia="es-ES_tradnl"/>
        </w:rPr>
        <w:t>,</w:t>
      </w:r>
      <w:r w:rsidRPr="007D4A74">
        <w:rPr>
          <w:rFonts w:ascii="Verdana" w:eastAsia="Calibri" w:hAnsi="Verdana" w:cs="Arial"/>
          <w:lang w:eastAsia="es-ES_tradnl"/>
        </w:rPr>
        <w:t xml:space="preserve"> la </w:t>
      </w:r>
      <w:r w:rsidRPr="007D4A74">
        <w:rPr>
          <w:rFonts w:ascii="Verdana" w:eastAsia="Calibri" w:hAnsi="Verdana" w:cs="Arial"/>
          <w:lang w:eastAsia="es-ES_tradnl"/>
        </w:rPr>
        <w:lastRenderedPageBreak/>
        <w:t>innovación pública y la prevención, detección, gestión y sanción de riesgos y hechos de corrupción. </w:t>
      </w:r>
    </w:p>
    <w:p w14:paraId="5858155C" w14:textId="77777777" w:rsidR="009F143C" w:rsidRPr="007D4A74" w:rsidRDefault="009F143C" w:rsidP="009F143C">
      <w:pPr>
        <w:spacing w:after="12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t xml:space="preserve">En la búsqueda de fortalecer una estrategia de lucha contra la corrupción se expidió el Decreto 1600 de 2024. El Capítulo 3°, Sección 1°, Título 4°, Parte 1°, Libro 2° del Decreto 1081 de 2015, que fue modificado por el artículo 2 del reglamento citado, tiene como objeto: “[…] </w:t>
      </w:r>
      <w:r w:rsidRPr="007D4A74">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46385186" w14:textId="77777777" w:rsidR="009F143C" w:rsidRPr="007D4A74" w:rsidRDefault="009F143C" w:rsidP="009F143C">
      <w:pPr>
        <w:spacing w:after="120" w:line="276" w:lineRule="auto"/>
        <w:ind w:firstLine="708"/>
        <w:jc w:val="both"/>
        <w:rPr>
          <w:rFonts w:ascii="Verdana" w:eastAsia="Calibri" w:hAnsi="Verdana" w:cs="Arial"/>
          <w:bCs/>
          <w:iCs/>
          <w:lang w:eastAsia="es-ES_tradnl"/>
        </w:rPr>
      </w:pPr>
      <w:r w:rsidRPr="007D4A74">
        <w:rPr>
          <w:rFonts w:ascii="Verdana" w:eastAsia="Calibri" w:hAnsi="Verdana" w:cs="Arial"/>
          <w:bCs/>
          <w:iCs/>
          <w:lang w:eastAsia="es-ES_tradnl"/>
        </w:rPr>
        <w:t>El ámbito o campo de aplicación de este capítulo está regulado en el artículo 2.1.4.3.1.2 que señala que sus reglas están dirigidas a las entidades y empresas del Estado del orden nacional y pertenecientes a la Rama Ejecutiva del Poder Público</w:t>
      </w:r>
      <w:r w:rsidRPr="007D4A74">
        <w:rPr>
          <w:rFonts w:ascii="Verdana" w:eastAsia="Calibri" w:hAnsi="Verdana" w:cs="Arial"/>
          <w:bCs/>
          <w:iCs/>
          <w:vertAlign w:val="superscript"/>
          <w:lang w:eastAsia="es-ES_tradnl"/>
        </w:rPr>
        <w:footnoteReference w:id="2"/>
      </w:r>
      <w:r w:rsidRPr="007D4A74">
        <w:rPr>
          <w:rFonts w:ascii="Verdana" w:eastAsia="Calibri" w:hAnsi="Verdana" w:cs="Arial"/>
          <w:bCs/>
          <w:iCs/>
          <w:lang w:eastAsia="es-ES_tradnl"/>
        </w:rPr>
        <w:t xml:space="preserve">. Además,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799C591E" w14:textId="77777777" w:rsidR="009F143C" w:rsidRPr="007D4A74" w:rsidRDefault="009F143C" w:rsidP="009F143C">
      <w:pPr>
        <w:spacing w:after="120" w:line="276" w:lineRule="auto"/>
        <w:ind w:firstLine="708"/>
        <w:jc w:val="both"/>
        <w:rPr>
          <w:rFonts w:ascii="Verdana" w:eastAsia="Calibri" w:hAnsi="Verdana" w:cs="Arial"/>
          <w:bCs/>
          <w:iCs/>
          <w:lang w:eastAsia="es-ES_tradnl"/>
        </w:rPr>
      </w:pPr>
      <w:r w:rsidRPr="007D4A74">
        <w:rPr>
          <w:rFonts w:ascii="Verdana" w:eastAsia="Calibri" w:hAnsi="Verdana" w:cs="Arial"/>
          <w:bCs/>
          <w:iCs/>
          <w:lang w:eastAsia="es-ES_tradnl"/>
        </w:rPr>
        <w:t xml:space="preserve">En los temas no regulados por dicho régimen, no se aplica lo dispuesto en el artículo 2.1.4.3.2.1, por lo que las demás disposiciones deberán aplicarse, de </w:t>
      </w:r>
      <w:r w:rsidRPr="007D4A74">
        <w:rPr>
          <w:rFonts w:ascii="Verdana" w:eastAsia="Calibri" w:hAnsi="Verdana" w:cs="Arial"/>
          <w:bCs/>
          <w:iCs/>
          <w:lang w:eastAsia="es-ES_tradnl"/>
        </w:rPr>
        <w:lastRenderedPageBreak/>
        <w:t>acuerdo con su estructura orgánica y la normativa aplicable a su funcionamiento.</w:t>
      </w:r>
      <w:r w:rsidRPr="007D4A74">
        <w:rPr>
          <w:rFonts w:ascii="Verdana" w:eastAsia="Calibri" w:hAnsi="Verdana" w:cs="Arial"/>
          <w:bCs/>
          <w:lang w:eastAsia="es-ES_tradnl"/>
        </w:rPr>
        <w:t xml:space="preserve"> </w:t>
      </w:r>
      <w:r w:rsidRPr="007D4A74">
        <w:rPr>
          <w:rFonts w:ascii="Verdana" w:eastAsia="Calibri" w:hAnsi="Verdana" w:cs="Arial"/>
          <w:bCs/>
          <w:iCs/>
          <w:lang w:eastAsia="es-ES_tradnl"/>
        </w:rPr>
        <w:t xml:space="preserve">Con respecto a las entidades territoriales y sus entidades descentralizadas el citado artículo dispone que en el marco de su autonomía y en cumplimiento de lo previsto en el artículo 32 de la Ley 152 de 1994, por la cual se establece la Ley Orgánica de Plan de Desarrollo, aplicarán en sus planes y políticas, las líneas de acción contenidas en el presente Capítulo, conforme a lo regulado en el precitado artículo 200 de la Ley 2294 de 2023. </w:t>
      </w:r>
    </w:p>
    <w:p w14:paraId="7E13D320" w14:textId="77777777" w:rsidR="009F143C" w:rsidRPr="007D4A74" w:rsidRDefault="009F143C" w:rsidP="009F143C">
      <w:pPr>
        <w:spacing w:after="0" w:line="276" w:lineRule="auto"/>
        <w:ind w:firstLine="709"/>
        <w:jc w:val="both"/>
        <w:rPr>
          <w:rFonts w:ascii="Verdana" w:eastAsia="Calibri" w:hAnsi="Verdana" w:cs="Arial"/>
          <w:bCs/>
          <w:iCs/>
          <w:lang w:eastAsia="es-ES_tradnl"/>
        </w:rPr>
      </w:pPr>
      <w:r w:rsidRPr="007D4A74">
        <w:rPr>
          <w:rFonts w:ascii="Verdana" w:eastAsia="Calibri" w:hAnsi="Verdana" w:cs="Arial"/>
          <w:bCs/>
          <w:iCs/>
          <w:lang w:eastAsia="es-ES_tradnl"/>
        </w:rPr>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59975CF2" w14:textId="77777777" w:rsidR="009F143C" w:rsidRPr="007D4A74" w:rsidRDefault="009F143C" w:rsidP="009F143C">
      <w:pPr>
        <w:spacing w:after="0" w:line="276" w:lineRule="auto"/>
        <w:ind w:firstLine="709"/>
        <w:jc w:val="both"/>
        <w:rPr>
          <w:rFonts w:ascii="Verdana" w:eastAsia="Calibri" w:hAnsi="Verdana" w:cs="Arial"/>
          <w:bCs/>
          <w:iCs/>
          <w:lang w:eastAsia="es-ES_tradnl"/>
        </w:rPr>
      </w:pPr>
    </w:p>
    <w:p w14:paraId="1ED5A687" w14:textId="77777777" w:rsidR="009F143C" w:rsidRPr="007D4A74" w:rsidRDefault="009F143C" w:rsidP="009F143C">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“a) Verificar la existencia de situaciones de control. 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05625121" w14:textId="77777777" w:rsidR="009F143C" w:rsidRPr="007D4A74" w:rsidRDefault="009F143C" w:rsidP="009F143C">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27CF086D" w14:textId="77777777" w:rsidR="009F143C" w:rsidRPr="007D4A74" w:rsidRDefault="009F143C" w:rsidP="009F143C">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w:t>
      </w:r>
      <w:r w:rsidRPr="007D4A74">
        <w:rPr>
          <w:rFonts w:ascii="Verdana" w:eastAsia="Calibri" w:hAnsi="Verdana" w:cs="Arial"/>
          <w:bCs/>
          <w:iCs/>
          <w:sz w:val="20"/>
          <w:szCs w:val="20"/>
          <w:lang w:eastAsia="es-ES_tradnl"/>
        </w:rPr>
        <w:lastRenderedPageBreak/>
        <w:t xml:space="preserve">generar los mecanismos necesarios para mitigar los riesgos de corrupción que puedan advertirse como consecuencia del análisis dispuesto en este literal.  </w:t>
      </w:r>
    </w:p>
    <w:p w14:paraId="4C83023B" w14:textId="77777777" w:rsidR="009F143C" w:rsidRPr="007D4A74" w:rsidRDefault="009F143C" w:rsidP="009F143C">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b) Aplicar buenas prácticas para la contratación transparente. Las entidades deberán garantizar que las guías y manuales definidos por la Agencia Nacional de Contratación Pública - Colombia Compra Eficiente, para la definición de criterios que permitan garantizar la pluralidad de oferentes, se apliquen en la organización.  </w:t>
      </w:r>
    </w:p>
    <w:p w14:paraId="58F979F5" w14:textId="77777777" w:rsidR="009F143C" w:rsidRPr="007D4A74" w:rsidRDefault="009F143C" w:rsidP="009F143C">
      <w:pPr>
        <w:spacing w:after="120" w:line="240" w:lineRule="auto"/>
        <w:ind w:left="709" w:right="709"/>
        <w:jc w:val="both"/>
        <w:rPr>
          <w:rFonts w:ascii="Verdana" w:eastAsia="Calibri" w:hAnsi="Verdana" w:cs="Arial"/>
          <w:bCs/>
          <w:iCs/>
          <w:sz w:val="20"/>
          <w:szCs w:val="20"/>
          <w:lang w:eastAsia="es-ES_tradnl"/>
        </w:rPr>
      </w:pPr>
      <w:r w:rsidRPr="007D4A74">
        <w:rPr>
          <w:rFonts w:ascii="Verdana" w:eastAsia="Calibri" w:hAnsi="Verdana" w:cs="Arial"/>
          <w:bCs/>
          <w:iCs/>
          <w:sz w:val="20"/>
          <w:szCs w:val="20"/>
          <w:lang w:eastAsia="es-ES_tradnl"/>
        </w:rPr>
        <w:t xml:space="preserve">En consecuencia, en los documentos del proceso deberá dejarse constancia que en la estructuración se tuvieron en cuenta las prácticas recomendadas por Colombia Compra Eficiente.  </w:t>
      </w:r>
    </w:p>
    <w:p w14:paraId="75C894C0" w14:textId="77777777" w:rsidR="009F143C" w:rsidRPr="007D4A74" w:rsidRDefault="009F143C" w:rsidP="009F143C">
      <w:pPr>
        <w:spacing w:after="0" w:line="240" w:lineRule="auto"/>
        <w:ind w:left="709" w:right="709"/>
        <w:jc w:val="both"/>
        <w:rPr>
          <w:rFonts w:ascii="Verdana" w:eastAsia="Calibri" w:hAnsi="Verdana" w:cs="Arial"/>
          <w:bCs/>
          <w:iCs/>
          <w:lang w:eastAsia="es-ES_tradnl"/>
        </w:rPr>
      </w:pPr>
      <w:r w:rsidRPr="007D4A74">
        <w:rPr>
          <w:rFonts w:ascii="Verdana" w:eastAsia="Calibri" w:hAnsi="Verdana" w:cs="Arial"/>
          <w:bCs/>
          <w:iCs/>
          <w:sz w:val="20"/>
          <w:szCs w:val="20"/>
          <w:lang w:eastAsia="es-ES_tradnl"/>
        </w:rPr>
        <w:t>c) 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7D4A74">
        <w:rPr>
          <w:rFonts w:ascii="Verdana" w:eastAsia="Calibri" w:hAnsi="Verdana" w:cs="Arial"/>
          <w:bCs/>
          <w:iCs/>
          <w:lang w:eastAsia="es-ES_tradnl"/>
        </w:rPr>
        <w:t xml:space="preserve">  </w:t>
      </w:r>
    </w:p>
    <w:p w14:paraId="2AFF8768" w14:textId="77777777" w:rsidR="009F143C" w:rsidRPr="007D4A74" w:rsidRDefault="009F143C" w:rsidP="009F143C">
      <w:pPr>
        <w:spacing w:after="0" w:line="276" w:lineRule="auto"/>
        <w:ind w:firstLine="709"/>
        <w:jc w:val="both"/>
        <w:rPr>
          <w:rFonts w:ascii="Verdana" w:eastAsia="Calibri" w:hAnsi="Verdana" w:cs="Arial"/>
          <w:bCs/>
          <w:iCs/>
          <w:lang w:eastAsia="es-ES_tradnl"/>
        </w:rPr>
      </w:pPr>
    </w:p>
    <w:p w14:paraId="27FA6BC9" w14:textId="77777777" w:rsidR="009F143C" w:rsidRDefault="009F143C" w:rsidP="009F143C">
      <w:pPr>
        <w:spacing w:after="120" w:line="276" w:lineRule="auto"/>
        <w:ind w:firstLine="708"/>
        <w:jc w:val="both"/>
        <w:rPr>
          <w:rFonts w:ascii="Verdana" w:eastAsia="Calibri" w:hAnsi="Verdana" w:cs="Arial"/>
          <w:bCs/>
          <w:lang w:eastAsia="es-ES_tradnl"/>
        </w:rPr>
      </w:pPr>
      <w:r w:rsidRPr="007D4A74">
        <w:rPr>
          <w:rFonts w:ascii="Verdana" w:eastAsia="Calibri" w:hAnsi="Verdana" w:cs="Arial"/>
          <w:bCs/>
          <w:lang w:eastAsia="es-ES_tradnl"/>
        </w:rPr>
        <w:t>Lo anterior deberá ser incorporado por parte de las entidades definidas en el artículo 2.1.4.3.1.2 en los manuales de contratación dentro de los seis (6) meses siguientes a la expedición del Decreto 1600 de 2024 –parágrafo 1–. Asimismo, serán incorporadas por parte de las entidades territoriales y sus entidades descentralizadas en el marco de su autonomía contemplada en el artículo 32 de la Ley 152 de 1994 –parágrafo 2–.</w:t>
      </w:r>
    </w:p>
    <w:p w14:paraId="4D05D10A" w14:textId="77777777" w:rsidR="009F143C" w:rsidRPr="003A46A1" w:rsidRDefault="009F143C" w:rsidP="009F143C">
      <w:pPr>
        <w:spacing w:after="120" w:line="276" w:lineRule="auto"/>
        <w:ind w:firstLine="708"/>
        <w:jc w:val="both"/>
        <w:rPr>
          <w:rFonts w:ascii="Verdana" w:eastAsia="Calibri" w:hAnsi="Verdana" w:cs="Arial"/>
          <w:bCs/>
          <w:lang w:eastAsia="es-ES_tradnl"/>
        </w:rPr>
      </w:pPr>
      <w:r>
        <w:rPr>
          <w:rFonts w:ascii="Verdana" w:eastAsia="Calibri" w:hAnsi="Verdana" w:cs="Arial"/>
          <w:bCs/>
          <w:iCs/>
          <w:lang w:eastAsia="es-ES_tradnl"/>
        </w:rPr>
        <w:t xml:space="preserve">De lo expuesto se concluye que, las disposiciones contenidas en el Decreto 1600 de 2024, específicamente en el capítulo 3, son aplicables de forma obligatoria a las entidades y empresas del Estado del orden nacional y pertenecientes a la Rama Ejecutiva del Poder Público, así como a las empresas industriales y comerciales del Estado, las sociedades de economía mixta y todas las demás instituciones sometidas a regímenes especiales de contratación de este orden. Tratándose de las entidades territoriales y sus entidades descentralizadas no serán aplicables dichas disposiciones. No obstante, se establece que en el marco de su autonomía y en cumplimiento de lo previsto en el artículo 32 de la Ley 152 de 1994, aplicarán en sus planes y políticas, las </w:t>
      </w:r>
      <w:r>
        <w:rPr>
          <w:rFonts w:ascii="Verdana" w:eastAsia="Calibri" w:hAnsi="Verdana" w:cs="Arial"/>
          <w:bCs/>
          <w:iCs/>
          <w:lang w:eastAsia="es-ES_tradnl"/>
        </w:rPr>
        <w:lastRenderedPageBreak/>
        <w:t>líneas de acción contenidas en el citado Decreto, conforme a lo regulado en el artículo 200</w:t>
      </w:r>
      <w:r>
        <w:rPr>
          <w:rFonts w:ascii="Verdana" w:hAnsi="Verdana"/>
        </w:rPr>
        <w:t xml:space="preserve"> </w:t>
      </w:r>
      <w:r>
        <w:rPr>
          <w:rFonts w:ascii="Verdana" w:eastAsia="Calibri" w:hAnsi="Verdana" w:cs="Arial"/>
          <w:bCs/>
          <w:iCs/>
          <w:lang w:eastAsia="es-ES_tradnl"/>
        </w:rPr>
        <w:t>de la Ley 2294 de 2023.</w:t>
      </w:r>
    </w:p>
    <w:p w14:paraId="7331505C" w14:textId="77777777" w:rsidR="009F143C" w:rsidRPr="00F92D75" w:rsidRDefault="009F143C" w:rsidP="009F143C">
      <w:pPr>
        <w:spacing w:after="12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 xml:space="preserve">En este sentido, si bien la norma no impone una obligación directa a las entidades territoriales y sus descentralizadas, sí establece un mandato legal que estas deben considerar al momento de estructurar sus planes y políticas. De esta forma, la incorporación de dichas líneas de acción deberá realizarse en el marco de autonomía y en cumplimiento de lo previsto en el artículo 32 de la Ley 152 de 1994, por lo que corresponderá a cada entidad determinar el instrumento más adecuado para integrarlas en sus </w:t>
      </w:r>
      <w:r>
        <w:rPr>
          <w:rFonts w:ascii="Verdana" w:eastAsia="Calibri" w:hAnsi="Verdana" w:cs="Arial"/>
          <w:bCs/>
          <w:i/>
          <w:lang w:eastAsia="es-ES_tradnl"/>
        </w:rPr>
        <w:t>planes</w:t>
      </w:r>
      <w:r>
        <w:rPr>
          <w:rFonts w:ascii="Verdana" w:eastAsia="Calibri" w:hAnsi="Verdana" w:cs="Arial"/>
          <w:bCs/>
          <w:iCs/>
          <w:lang w:eastAsia="es-ES_tradnl"/>
        </w:rPr>
        <w:t xml:space="preserve"> y</w:t>
      </w:r>
      <w:r>
        <w:rPr>
          <w:rFonts w:ascii="Verdana" w:eastAsia="Calibri" w:hAnsi="Verdana" w:cs="Arial"/>
          <w:bCs/>
          <w:i/>
          <w:lang w:eastAsia="es-ES_tradnl"/>
        </w:rPr>
        <w:t xml:space="preserve"> en sus políticas</w:t>
      </w:r>
      <w:r>
        <w:rPr>
          <w:rFonts w:ascii="Verdana" w:eastAsia="Calibri" w:hAnsi="Verdana" w:cs="Arial"/>
          <w:bCs/>
          <w:iCs/>
          <w:lang w:eastAsia="es-ES_tradnl"/>
        </w:rPr>
        <w:t xml:space="preserve">, según sus competencias y capacidades institucionales. </w:t>
      </w:r>
    </w:p>
    <w:p w14:paraId="45E4D08F" w14:textId="77777777" w:rsidR="009F143C" w:rsidRPr="007D4A74" w:rsidRDefault="009F143C" w:rsidP="009F143C">
      <w:pPr>
        <w:spacing w:after="0" w:line="276" w:lineRule="auto"/>
        <w:jc w:val="both"/>
        <w:rPr>
          <w:rFonts w:ascii="Verdana" w:eastAsia="Calibri" w:hAnsi="Verdana" w:cs="Arial"/>
          <w:bCs/>
          <w:lang w:eastAsia="es-ES_tradnl"/>
        </w:rPr>
      </w:pPr>
      <w:r>
        <w:rPr>
          <w:rFonts w:ascii="Verdana" w:eastAsia="Calibri" w:hAnsi="Verdana" w:cs="Arial"/>
          <w:bCs/>
          <w:lang w:eastAsia="es-ES_tradnl"/>
        </w:rPr>
        <w:t>ii</w:t>
      </w:r>
      <w:r w:rsidRPr="007D4A74">
        <w:rPr>
          <w:rFonts w:ascii="Verdana" w:eastAsia="Calibri" w:hAnsi="Verdana" w:cs="Arial"/>
          <w:bCs/>
          <w:lang w:eastAsia="es-ES_tradnl"/>
        </w:rPr>
        <w:t xml:space="preserve">. </w:t>
      </w:r>
      <w:r w:rsidRPr="007D4A74">
        <w:rPr>
          <w:rFonts w:ascii="Verdana" w:eastAsia="Calibri" w:hAnsi="Verdana" w:cs="Arial"/>
        </w:rPr>
        <w:t>El literal a) del artículo 2.1.4.3.2.1 del Decreto 1081 de 2015, adicionado por el artículo 1 del Decreto 1600 de 2024, dispone que los organismos, entidades y empresas del Estado del orden nacional y pertenecientes a la Rama Ejecutiva del Poder Público deben verificar la existencia de situaciones de control que, conforme artículos 260 y 261 del Código de Comercio, afecten tanto a las personas jurídicas oferentes como a los proponentes plurales</w:t>
      </w:r>
      <w:r w:rsidRPr="007D4A74">
        <w:rPr>
          <w:rStyle w:val="Refdenotaalpie"/>
          <w:rFonts w:ascii="Verdana" w:eastAsia="Calibri" w:hAnsi="Verdana" w:cs="Arial"/>
        </w:rPr>
        <w:footnoteReference w:id="3"/>
      </w:r>
      <w:r w:rsidRPr="007D4A74">
        <w:rPr>
          <w:rFonts w:ascii="Verdana" w:eastAsia="Calibri" w:hAnsi="Verdana" w:cs="Arial"/>
        </w:rPr>
        <w:t>. En este contexto, la norma precisa que quienes se presenten como proponentes en procesos de selección:</w:t>
      </w:r>
    </w:p>
    <w:p w14:paraId="7621D098" w14:textId="77777777" w:rsidR="009F143C" w:rsidRPr="007D4A74" w:rsidRDefault="009F143C" w:rsidP="009F143C">
      <w:pPr>
        <w:spacing w:after="0" w:line="276" w:lineRule="auto"/>
        <w:jc w:val="both"/>
        <w:rPr>
          <w:rFonts w:ascii="Verdana" w:eastAsia="Calibri" w:hAnsi="Verdana" w:cs="Arial"/>
        </w:rPr>
      </w:pPr>
    </w:p>
    <w:p w14:paraId="0A4C3E79" w14:textId="77777777" w:rsidR="009F143C" w:rsidRPr="007D4A74" w:rsidRDefault="009F143C" w:rsidP="009F143C">
      <w:pPr>
        <w:spacing w:after="0" w:line="240" w:lineRule="auto"/>
        <w:ind w:left="709" w:right="709"/>
        <w:jc w:val="both"/>
        <w:rPr>
          <w:rFonts w:ascii="Verdana" w:hAnsi="Verdana" w:cs="Arial"/>
          <w:sz w:val="20"/>
          <w:szCs w:val="20"/>
        </w:rPr>
      </w:pPr>
      <w:r w:rsidRPr="007D4A74">
        <w:rPr>
          <w:rFonts w:ascii="Verdana" w:hAnsi="Verdana" w:cs="Arial"/>
          <w:sz w:val="20"/>
          <w:szCs w:val="20"/>
        </w:rPr>
        <w:lastRenderedPageBreak/>
        <w:t xml:space="preserve">“[…]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contratación. Para el caso de los proponentes plurales, deberán indicar si las personas que los conforman se encuentran en alguna de las situaciones descritas anteriormente”. </w:t>
      </w:r>
    </w:p>
    <w:p w14:paraId="2A056720" w14:textId="77777777" w:rsidR="009F143C" w:rsidRPr="007D4A74" w:rsidRDefault="009F143C" w:rsidP="009F143C">
      <w:pPr>
        <w:spacing w:after="0" w:line="276" w:lineRule="auto"/>
        <w:jc w:val="both"/>
        <w:rPr>
          <w:rFonts w:ascii="Verdana" w:hAnsi="Verdana" w:cs="Arial"/>
        </w:rPr>
      </w:pPr>
    </w:p>
    <w:p w14:paraId="2C51EED3" w14:textId="77777777" w:rsidR="009F143C" w:rsidRDefault="009F143C" w:rsidP="009F143C">
      <w:pPr>
        <w:spacing w:after="120" w:line="276" w:lineRule="auto"/>
        <w:jc w:val="both"/>
        <w:rPr>
          <w:rFonts w:ascii="Verdana" w:hAnsi="Verdana" w:cs="Arial"/>
        </w:rPr>
      </w:pPr>
      <w:r w:rsidRPr="007D4A74">
        <w:rPr>
          <w:rFonts w:ascii="Verdana" w:hAnsi="Verdana" w:cs="Arial"/>
        </w:rPr>
        <w:tab/>
        <w:t>De acuerdo con la norma citada, “Las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Luego, la información sobre situaciones de control es un punto de referencia para verificar la capacidad jurídica en el proceso de contratación.</w:t>
      </w:r>
    </w:p>
    <w:p w14:paraId="5E43D0F8" w14:textId="77777777" w:rsidR="009F143C" w:rsidRDefault="009F143C" w:rsidP="009F143C">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Pr>
          <w:rFonts w:ascii="Verdana" w:hAnsi="Verdana" w:cs="Arial"/>
        </w:rPr>
        <w:t xml:space="preserve">Aunque en sí mismo no es un requisito habilitante, constituye un insumo relevante para constatar la ausencia de inhabilidades como las de los literales j) y k) del artículo 8.1 del EGCAP y verificar la capacidad jurídica del proponente; razón por la cual, en la omisión o reporte erróneo de la información aplica el régimen de subsanación –parágrafo 1 del artículo 5 de la Ley 1150 de 2007– o aclaración de las ofertas –artículo 30.7 de la Ley 80 de 1993–. Así, según </w:t>
      </w:r>
      <w:r>
        <w:rPr>
          <w:rFonts w:ascii="Verdana" w:eastAsia="Times New Roman" w:hAnsi="Verdana" w:cs="Arial"/>
          <w:bdr w:val="none" w:sz="0" w:space="0" w:color="auto" w:frame="1"/>
          <w:shd w:val="clear" w:color="auto" w:fill="FFFFFF"/>
          <w:lang w:val="es-ES" w:eastAsia="es-ES_tradnl"/>
        </w:rPr>
        <w:t>las reglas dispuestas en la Ley 1882 de 2018, todo lo que no sea necesario para la comparación de propuestas no es argumento suficiente para su rechazo. De esta manera, se conserva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6AB49C66" w14:textId="77777777" w:rsidR="009F143C" w:rsidRPr="00383887" w:rsidRDefault="009F143C" w:rsidP="009F143C">
      <w:pPr>
        <w:spacing w:before="120" w:line="276" w:lineRule="auto"/>
        <w:ind w:firstLine="708"/>
        <w:jc w:val="both"/>
        <w:rPr>
          <w:rFonts w:ascii="Verdana" w:eastAsia="Times New Roman" w:hAnsi="Verdana" w:cs="Arial"/>
          <w:bdr w:val="none" w:sz="0" w:space="0" w:color="auto" w:frame="1"/>
          <w:shd w:val="clear" w:color="auto" w:fill="FFFFFF"/>
          <w:lang w:val="es-ES" w:eastAsia="es-ES_tradnl"/>
        </w:rPr>
      </w:pPr>
      <w:r>
        <w:rPr>
          <w:rFonts w:ascii="Verdana" w:eastAsia="Times New Roman" w:hAnsi="Verdana" w:cs="Arial"/>
          <w:bdr w:val="none" w:sz="0" w:space="0" w:color="auto" w:frame="1"/>
          <w:shd w:val="clear" w:color="auto" w:fill="FFFFFF"/>
          <w:lang w:val="es-ES" w:eastAsia="es-ES_tradnl"/>
        </w:rPr>
        <w:t>En ese contexto, por regla general, son subsanables i) la falta de entrega o ii) los defectos de los requisitos habilitantes. La excepción se encuentra en los casos, previstos en la ley, que limitan la subsanabilidad, es decir, en la prohibición de permitir la entrega de la garantía de seriedad de la oferta que no fue aportada con la propuesta y de valer la acreditación de circunstancias ocurridas con posterioridad al cierre del proceso.</w:t>
      </w:r>
    </w:p>
    <w:p w14:paraId="2DE0DAE2" w14:textId="77777777" w:rsidR="009F143C" w:rsidRDefault="009F143C" w:rsidP="009F143C">
      <w:pPr>
        <w:spacing w:after="120" w:line="276" w:lineRule="auto"/>
        <w:ind w:right="51"/>
        <w:jc w:val="both"/>
        <w:rPr>
          <w:rFonts w:ascii="Verdana" w:eastAsia="Calibri" w:hAnsi="Verdana" w:cs="Arial"/>
        </w:rPr>
      </w:pPr>
      <w:r>
        <w:rPr>
          <w:rFonts w:ascii="Verdana" w:eastAsia="Calibri" w:hAnsi="Verdana" w:cs="Arial"/>
        </w:rPr>
        <w:tab/>
        <w:t xml:space="preserve">En ese sentido, si en el marco de la evaluación de las ofertas, la entidad estatal advierte la omisión o reporte erróneo del documento sobre la </w:t>
      </w:r>
      <w:r>
        <w:rPr>
          <w:rFonts w:ascii="Verdana" w:eastAsia="Calibri" w:hAnsi="Verdana" w:cs="Arial"/>
        </w:rPr>
        <w:lastRenderedPageBreak/>
        <w:t xml:space="preserve">información de la situación de control, estará facultada para solicitar a los proponentes las explicaciones, aclaraciones o información adicional que resulten necesarias para esclarecer dicha circunstancia. Esto, en ejercicio de su deber de verificación y con el fin de garantizar la correcta evaluación de la capacidad jurídica de los oferentes. </w:t>
      </w:r>
    </w:p>
    <w:p w14:paraId="2639E42C" w14:textId="77777777" w:rsidR="009F143C" w:rsidRDefault="009F143C" w:rsidP="009F143C">
      <w:pPr>
        <w:spacing w:after="120" w:line="276" w:lineRule="auto"/>
        <w:ind w:right="51" w:firstLine="709"/>
        <w:jc w:val="both"/>
        <w:rPr>
          <w:rFonts w:ascii="Verdana" w:eastAsia="Calibri" w:hAnsi="Verdana" w:cs="Arial"/>
        </w:rPr>
      </w:pPr>
      <w:r>
        <w:rPr>
          <w:rFonts w:ascii="Verdana" w:eastAsia="Calibri" w:hAnsi="Verdana" w:cs="Arial"/>
        </w:rPr>
        <w:t>En todo caso, la omisión del contratista del deber de declarar la existencia o inexistencia de situaciones de control en las que participe no exime a la entidad estatal del cumplimiento de su deber de ejercer la potestad verificadora que le corresponde, especialmente en lo que respecta a la acreditación de la capacidad jurídica, la cual puede verse comprometida por la configuración de dichas situaciones. Así, la información relacionada con situaciones de control constituye un insumo fundamental para verificar la capacidad jurídica de los proponentes dentro del proceso de contratación.</w:t>
      </w:r>
    </w:p>
    <w:p w14:paraId="15F33E2F" w14:textId="77777777" w:rsidR="009F143C" w:rsidRDefault="009F143C" w:rsidP="009F143C">
      <w:pPr>
        <w:spacing w:after="0" w:line="276" w:lineRule="auto"/>
        <w:ind w:firstLine="709"/>
        <w:jc w:val="both"/>
        <w:rPr>
          <w:rFonts w:ascii="Verdana" w:eastAsia="Calibri" w:hAnsi="Verdana" w:cs="Arial"/>
        </w:rPr>
      </w:pPr>
      <w:r>
        <w:rPr>
          <w:rFonts w:ascii="Verdana" w:eastAsia="Calibri" w:hAnsi="Verdana" w:cs="Arial"/>
        </w:rPr>
        <w:t xml:space="preserve">Vale aclarar que de acuerdo con el último inciso del literal a) del artículo 2.1.4.3.2.1 del Decreto 1081 de 2015, si en desarrollo del análisis que debe realizar la entidad se evidencian circunstancias que pudieran implicar afectaciones a la libertad de concurrencia o competencia, o a la pluralidad real de oferentes dentro del proceso de selección correspondiente, la entidad que adelanta el proceso de selección, deberá, </w:t>
      </w:r>
      <w:r>
        <w:rPr>
          <w:rFonts w:ascii="Verdana" w:eastAsia="Calibri" w:hAnsi="Verdana" w:cs="Arial"/>
          <w:i/>
          <w:iCs/>
        </w:rPr>
        <w:t>por una parte</w:t>
      </w:r>
      <w:r>
        <w:rPr>
          <w:rFonts w:ascii="Verdana" w:eastAsia="Calibri" w:hAnsi="Verdana" w:cs="Arial"/>
        </w:rPr>
        <w:t xml:space="preserve">, evaluar la necesidad de poner tales situaciones en conocimiento de los entes de control competentes y, </w:t>
      </w:r>
      <w:r>
        <w:rPr>
          <w:rFonts w:ascii="Verdana" w:eastAsia="Calibri" w:hAnsi="Verdana" w:cs="Arial"/>
          <w:i/>
          <w:iCs/>
        </w:rPr>
        <w:t>por otra parte</w:t>
      </w:r>
      <w:r>
        <w:rPr>
          <w:rFonts w:ascii="Verdana" w:eastAsia="Calibri" w:hAnsi="Verdana" w:cs="Arial"/>
        </w:rPr>
        <w:t>, de ser necesario, solicitar el acompañamiento preventivo de estas entidades.</w:t>
      </w:r>
    </w:p>
    <w:p w14:paraId="2FA54E84" w14:textId="77777777" w:rsidR="009F143C" w:rsidRDefault="009F143C" w:rsidP="009F143C">
      <w:pPr>
        <w:spacing w:after="0" w:line="276" w:lineRule="auto"/>
        <w:jc w:val="both"/>
        <w:rPr>
          <w:rFonts w:ascii="Verdana" w:eastAsia="Calibri" w:hAnsi="Verdana" w:cs="Arial"/>
        </w:rPr>
      </w:pPr>
    </w:p>
    <w:p w14:paraId="73C1F5B1" w14:textId="77777777" w:rsidR="009F143C" w:rsidRDefault="009F143C" w:rsidP="009F143C">
      <w:pPr>
        <w:spacing w:after="0" w:line="276" w:lineRule="auto"/>
        <w:jc w:val="both"/>
        <w:rPr>
          <w:rFonts w:ascii="Verdana" w:hAnsi="Verdana" w:cs="Arial"/>
        </w:rPr>
      </w:pPr>
      <w:r>
        <w:rPr>
          <w:rFonts w:ascii="Verdana" w:hAnsi="Verdana" w:cs="Arial"/>
        </w:rPr>
        <w:t xml:space="preserve">iii. Las cámaras de comercio verifican las situaciones de control al momento de las inscripción, renovación y actualización del Registro Único de Proponentes. Al respecto, tratándose de personas jurídicas, el numeral 2.2 del artículo 2.2.1.1.1.5.2 del Decreto 1082 de 2015 ordena la entrega del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w:t>
      </w:r>
      <w:r>
        <w:rPr>
          <w:rFonts w:ascii="Verdana" w:hAnsi="Verdana" w:cs="Arial"/>
          <w:i/>
          <w:iCs/>
        </w:rPr>
        <w:t>Si el grupo empresarial o la circunstancia de control existe, en el certificado debe constar la identificación de los miembros del grupo empresarial, la situación de control y los controlantes y controlados</w:t>
      </w:r>
      <w:r>
        <w:rPr>
          <w:rFonts w:ascii="Verdana" w:hAnsi="Verdana" w:cs="Arial"/>
        </w:rPr>
        <w:t xml:space="preserve">” (Énfasis fuera de texto). </w:t>
      </w:r>
    </w:p>
    <w:p w14:paraId="72FB7C09" w14:textId="77777777" w:rsidR="009F143C" w:rsidRDefault="009F143C" w:rsidP="009F143C">
      <w:pPr>
        <w:spacing w:after="0" w:line="276" w:lineRule="auto"/>
        <w:jc w:val="both"/>
        <w:rPr>
          <w:rFonts w:ascii="Verdana" w:hAnsi="Verdana" w:cs="Arial"/>
        </w:rPr>
      </w:pPr>
    </w:p>
    <w:p w14:paraId="34D26579" w14:textId="77777777" w:rsidR="009F143C" w:rsidRDefault="009F143C" w:rsidP="009F143C">
      <w:pPr>
        <w:spacing w:after="120" w:line="276" w:lineRule="auto"/>
        <w:jc w:val="both"/>
        <w:rPr>
          <w:rFonts w:ascii="Verdana" w:hAnsi="Verdana" w:cs="Arial"/>
        </w:rPr>
      </w:pPr>
      <w:r>
        <w:rPr>
          <w:rFonts w:ascii="Verdana" w:hAnsi="Verdana" w:cs="Arial"/>
        </w:rPr>
        <w:lastRenderedPageBreak/>
        <w:t xml:space="preserve">iv. 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068BA4B5" w14:textId="77777777" w:rsidR="009F143C" w:rsidRDefault="009F143C" w:rsidP="009F143C">
      <w:pPr>
        <w:spacing w:after="0" w:line="276" w:lineRule="auto"/>
        <w:ind w:firstLine="708"/>
        <w:jc w:val="both"/>
        <w:rPr>
          <w:rFonts w:ascii="Verdana" w:hAnsi="Verdana" w:cs="Arial"/>
        </w:rPr>
      </w:pPr>
      <w:r>
        <w:rPr>
          <w:rFonts w:ascii="Verdana"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p w14:paraId="363A6DC0" w14:textId="77777777" w:rsidR="009F143C" w:rsidRDefault="009F143C" w:rsidP="009F143C">
      <w:pPr>
        <w:spacing w:after="0" w:line="276" w:lineRule="auto"/>
        <w:jc w:val="both"/>
        <w:rPr>
          <w:rFonts w:ascii="Verdana" w:hAnsi="Verdana" w:cs="Arial"/>
        </w:rPr>
      </w:pPr>
    </w:p>
    <w:p w14:paraId="7A9128DA" w14:textId="77777777" w:rsidR="009F143C" w:rsidRDefault="009F143C" w:rsidP="009F143C">
      <w:pPr>
        <w:spacing w:after="0" w:line="276" w:lineRule="auto"/>
        <w:jc w:val="both"/>
        <w:rPr>
          <w:rFonts w:ascii="Verdana" w:hAnsi="Verdana" w:cs="Arial"/>
          <w:shd w:val="clear" w:color="auto" w:fill="FFFFFF"/>
        </w:rPr>
      </w:pPr>
      <w:r>
        <w:rPr>
          <w:rFonts w:ascii="Verdana" w:hAnsi="Verdana" w:cs="Arial"/>
        </w:rPr>
        <w:t xml:space="preserve">v. </w:t>
      </w:r>
      <w:r>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Pr>
          <w:rFonts w:ascii="Verdana" w:hAnsi="Verdana" w:cs="Arial"/>
          <w:shd w:val="clear" w:color="auto" w:fill="FFFFFF"/>
        </w:rPr>
        <w:t>En tal sentido la Corte explicó la función registral de las Cámaras de Comercio y la confiabilidad de la información en él contenida de la siguiente manera:</w:t>
      </w:r>
    </w:p>
    <w:p w14:paraId="2DD925B0" w14:textId="77777777" w:rsidR="009F143C" w:rsidRDefault="009F143C" w:rsidP="009F143C">
      <w:pPr>
        <w:spacing w:after="0" w:line="276" w:lineRule="auto"/>
        <w:jc w:val="both"/>
        <w:rPr>
          <w:rFonts w:ascii="Verdana" w:hAnsi="Verdana" w:cs="Arial"/>
          <w:shd w:val="clear" w:color="auto" w:fill="FFFFFF"/>
        </w:rPr>
      </w:pPr>
    </w:p>
    <w:p w14:paraId="7E879964" w14:textId="77777777" w:rsidR="009F143C" w:rsidRDefault="009F143C" w:rsidP="009F143C">
      <w:pPr>
        <w:spacing w:after="0" w:line="240" w:lineRule="auto"/>
        <w:ind w:left="709" w:right="709"/>
        <w:jc w:val="both"/>
        <w:rPr>
          <w:rFonts w:ascii="Verdana" w:hAnsi="Verdana" w:cs="Arial"/>
          <w:sz w:val="21"/>
          <w:szCs w:val="21"/>
          <w:shd w:val="clear" w:color="auto" w:fill="FFFFFF"/>
        </w:rPr>
      </w:pPr>
      <w:r w:rsidRPr="00B06EC6">
        <w:rPr>
          <w:rFonts w:ascii="Verdana" w:hAnsi="Verdana" w:cs="Arial"/>
          <w:sz w:val="20"/>
          <w:szCs w:val="20"/>
          <w:shd w:val="clear" w:color="auto" w:fill="FFFFFF"/>
        </w:rPr>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w:t>
      </w:r>
      <w:proofErr w:type="gramStart"/>
      <w:r w:rsidRPr="00B06EC6">
        <w:rPr>
          <w:rFonts w:ascii="Verdana" w:hAnsi="Verdana" w:cs="Arial"/>
          <w:sz w:val="20"/>
          <w:szCs w:val="20"/>
          <w:shd w:val="clear" w:color="auto" w:fill="FFFFFF"/>
        </w:rPr>
        <w:t>los mismos</w:t>
      </w:r>
      <w:proofErr w:type="gramEnd"/>
      <w:r w:rsidRPr="00B06EC6">
        <w:rPr>
          <w:rFonts w:ascii="Verdana" w:hAnsi="Verdana" w:cs="Arial"/>
          <w:sz w:val="20"/>
          <w:szCs w:val="20"/>
          <w:shd w:val="clear" w:color="auto" w:fill="FFFFFF"/>
        </w:rPr>
        <w:t xml:space="preserve">, recursos que se pueden interponer en contra de tales actos, derechos de las personas naturales y jurídicas inscritas, </w:t>
      </w:r>
      <w:r w:rsidRPr="00B06EC6">
        <w:rPr>
          <w:rFonts w:ascii="Verdana" w:hAnsi="Verdana" w:cs="Arial"/>
          <w:sz w:val="20"/>
          <w:szCs w:val="20"/>
          <w:shd w:val="clear" w:color="auto" w:fill="FFFFFF"/>
        </w:rPr>
        <w:lastRenderedPageBreak/>
        <w:t>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(ii) simplificar la tarea de los contratistas en sus trámites respecto de la administración, haciendo que con la sola inscripción en la Cámara de Comercio del domicilio del proponente el interesado quede válidamente registrado ante todas las entidades del país, y (iii)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sus actos dolosos defraude la confianza considerada como elemento fundamental de las relaciones contractuales con el Estado</w:t>
      </w:r>
      <w:r>
        <w:rPr>
          <w:rFonts w:ascii="Verdana" w:hAnsi="Verdana" w:cs="Arial"/>
          <w:sz w:val="21"/>
          <w:szCs w:val="21"/>
          <w:shd w:val="clear" w:color="auto" w:fill="FFFFFF"/>
        </w:rPr>
        <w:t>”</w:t>
      </w:r>
      <w:r>
        <w:rPr>
          <w:rStyle w:val="Refdenotaalpie"/>
          <w:rFonts w:ascii="Verdana" w:eastAsia="Calibri" w:hAnsi="Verdana" w:cs="Arial"/>
          <w:sz w:val="21"/>
          <w:szCs w:val="21"/>
        </w:rPr>
        <w:footnoteReference w:id="4"/>
      </w:r>
      <w:r>
        <w:rPr>
          <w:rFonts w:ascii="Verdana" w:hAnsi="Verdana" w:cs="Arial"/>
          <w:sz w:val="21"/>
          <w:szCs w:val="21"/>
          <w:shd w:val="clear" w:color="auto" w:fill="FFFFFF"/>
        </w:rPr>
        <w:t xml:space="preserve">. </w:t>
      </w:r>
    </w:p>
    <w:p w14:paraId="331483F8" w14:textId="77777777" w:rsidR="009F143C" w:rsidRDefault="009F143C" w:rsidP="009F143C">
      <w:pPr>
        <w:spacing w:after="0" w:line="276" w:lineRule="auto"/>
        <w:jc w:val="both"/>
        <w:rPr>
          <w:rFonts w:ascii="Verdana" w:eastAsia="Calibri" w:hAnsi="Verdana" w:cs="Arial"/>
        </w:rPr>
      </w:pPr>
    </w:p>
    <w:p w14:paraId="351797A3" w14:textId="77777777" w:rsidR="009F143C" w:rsidRDefault="009F143C" w:rsidP="009F143C">
      <w:pPr>
        <w:spacing w:after="0" w:line="276" w:lineRule="auto"/>
        <w:ind w:firstLine="709"/>
        <w:jc w:val="both"/>
        <w:rPr>
          <w:rFonts w:ascii="Verdana" w:eastAsia="Calibri" w:hAnsi="Verdana" w:cs="Arial"/>
        </w:rPr>
      </w:pPr>
      <w:r>
        <w:rPr>
          <w:rFonts w:ascii="Verdana" w:eastAsia="Calibri" w:hAnsi="Verdana" w:cs="Arial"/>
        </w:rPr>
        <w:t xml:space="preserve">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w:t>
      </w:r>
      <w:r>
        <w:rPr>
          <w:rFonts w:ascii="Verdana" w:eastAsia="Calibri" w:hAnsi="Verdana" w:cs="Arial"/>
        </w:rPr>
        <w:lastRenderedPageBreak/>
        <w:t>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65211A2F" w14:textId="77777777" w:rsidR="009F143C" w:rsidRDefault="009F143C" w:rsidP="009F143C">
      <w:pPr>
        <w:spacing w:after="0" w:line="276" w:lineRule="auto"/>
        <w:jc w:val="both"/>
        <w:rPr>
          <w:rFonts w:ascii="Verdana" w:eastAsia="Calibri" w:hAnsi="Verdana" w:cs="Arial"/>
        </w:rPr>
      </w:pPr>
    </w:p>
    <w:p w14:paraId="41F67256" w14:textId="77777777" w:rsidR="009F143C" w:rsidRDefault="009F143C" w:rsidP="009F143C">
      <w:pPr>
        <w:spacing w:after="0" w:line="276" w:lineRule="auto"/>
        <w:jc w:val="both"/>
        <w:rPr>
          <w:rFonts w:ascii="Verdana" w:eastAsia="Calibri" w:hAnsi="Verdana" w:cs="Arial"/>
        </w:rPr>
      </w:pPr>
      <w:r>
        <w:rPr>
          <w:rFonts w:ascii="Verdana" w:hAnsi="Verdana" w:cs="Arial"/>
        </w:rPr>
        <w:t xml:space="preserve">vi. </w:t>
      </w:r>
      <w:r>
        <w:rPr>
          <w:rFonts w:ascii="Verdana" w:eastAsia="Calibri" w:hAnsi="Verdana" w:cs="Arial"/>
        </w:rPr>
        <w:t>Lo anterior fue reafirmado por el Consejo de Estado, quien enlistó las excepciones en las cuales no es necesario estar inscrito en el RUP para participar en procedimientos de selección adelantados por las entidades estatales, incluyendo el supuesto en que se puede verificar información adicional a la contenida en él:</w:t>
      </w:r>
    </w:p>
    <w:p w14:paraId="268D3159" w14:textId="77777777" w:rsidR="009F143C" w:rsidRDefault="009F143C" w:rsidP="009F143C">
      <w:pPr>
        <w:spacing w:after="0" w:line="276" w:lineRule="auto"/>
        <w:jc w:val="both"/>
        <w:rPr>
          <w:rFonts w:ascii="Verdana" w:eastAsia="Calibri" w:hAnsi="Verdana" w:cs="Arial"/>
        </w:rPr>
      </w:pPr>
    </w:p>
    <w:p w14:paraId="11AAF096" w14:textId="77777777" w:rsidR="009F143C" w:rsidRDefault="009F143C" w:rsidP="009F143C">
      <w:pPr>
        <w:pStyle w:val="Prrafodelista"/>
        <w:numPr>
          <w:ilvl w:val="0"/>
          <w:numId w:val="19"/>
        </w:numPr>
        <w:spacing w:after="0" w:line="276" w:lineRule="auto"/>
        <w:jc w:val="both"/>
        <w:rPr>
          <w:rFonts w:ascii="Verdana" w:eastAsia="Calibri" w:hAnsi="Verdana" w:cs="Arial"/>
        </w:rPr>
      </w:pPr>
      <w:r>
        <w:rPr>
          <w:rFonts w:ascii="Verdana" w:eastAsia="Calibri" w:hAnsi="Verdana" w:cs="Arial"/>
        </w:rPr>
        <w:t>No se requiere el RUP respecto de los proponentes que pretenden celebrar los contratos enunciados en el inciso segundo del artículo 6 de la ley 1150, así como en los eventos de contratación directa.</w:t>
      </w:r>
    </w:p>
    <w:p w14:paraId="65DC6862" w14:textId="77777777" w:rsidR="009F143C" w:rsidRDefault="009F143C" w:rsidP="009F143C">
      <w:pPr>
        <w:pStyle w:val="Prrafodelista"/>
        <w:numPr>
          <w:ilvl w:val="0"/>
          <w:numId w:val="19"/>
        </w:numPr>
        <w:spacing w:before="240" w:after="0" w:line="276" w:lineRule="auto"/>
        <w:jc w:val="both"/>
        <w:rPr>
          <w:rFonts w:ascii="Verdana" w:eastAsia="Calibri" w:hAnsi="Verdana" w:cs="Arial"/>
        </w:rPr>
      </w:pPr>
      <w:r>
        <w:rPr>
          <w:rFonts w:ascii="Verdana" w:eastAsia="Calibri" w:hAnsi="Verdana" w:cs="Arial"/>
        </w:rPr>
        <w:t>Tratándose de personas naturales extranjeras sin domicilio en el país o de personas jurídicas extranjeras que no tengan sucursal en Colombia, o en aquellos casos en que el procedimiento de selección haya utilizado sistemas de precalificación.</w:t>
      </w:r>
    </w:p>
    <w:p w14:paraId="539D52CA" w14:textId="77777777" w:rsidR="009F143C" w:rsidRDefault="009F143C" w:rsidP="009F143C">
      <w:pPr>
        <w:pStyle w:val="Prrafodelista"/>
        <w:numPr>
          <w:ilvl w:val="0"/>
          <w:numId w:val="19"/>
        </w:numPr>
        <w:spacing w:after="0" w:line="276" w:lineRule="auto"/>
        <w:jc w:val="both"/>
        <w:rPr>
          <w:rFonts w:ascii="Verdana" w:eastAsia="Calibri" w:hAnsi="Verdana" w:cs="Arial"/>
        </w:rPr>
      </w:pPr>
      <w:r>
        <w:rPr>
          <w:rFonts w:ascii="Verdana" w:eastAsia="Calibri" w:hAnsi="Verdana" w:cs="Arial"/>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557DEB65" w14:textId="77777777" w:rsidR="009F143C" w:rsidRDefault="009F143C" w:rsidP="009F143C">
      <w:pPr>
        <w:spacing w:after="0" w:line="276" w:lineRule="auto"/>
        <w:ind w:firstLine="708"/>
        <w:jc w:val="both"/>
        <w:rPr>
          <w:rFonts w:ascii="Verdana" w:eastAsia="Calibri" w:hAnsi="Verdana" w:cs="Arial"/>
        </w:rPr>
      </w:pPr>
    </w:p>
    <w:p w14:paraId="5ABC5DA1" w14:textId="77777777" w:rsidR="009F143C" w:rsidRDefault="009F143C" w:rsidP="009F143C">
      <w:pPr>
        <w:spacing w:after="0" w:line="276" w:lineRule="auto"/>
        <w:ind w:firstLine="709"/>
        <w:jc w:val="both"/>
        <w:rPr>
          <w:rFonts w:ascii="Verdana" w:eastAsia="Calibri" w:hAnsi="Verdana" w:cs="Arial"/>
        </w:rPr>
      </w:pPr>
      <w:r>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p>
    <w:p w14:paraId="0760BE76" w14:textId="77777777" w:rsidR="009F143C" w:rsidRDefault="009F143C" w:rsidP="009F143C">
      <w:pPr>
        <w:spacing w:after="0" w:line="276" w:lineRule="auto"/>
        <w:jc w:val="both"/>
        <w:rPr>
          <w:rFonts w:ascii="Verdana" w:eastAsia="Calibri" w:hAnsi="Verdana" w:cs="Arial"/>
        </w:rPr>
      </w:pPr>
    </w:p>
    <w:p w14:paraId="25776798" w14:textId="77777777" w:rsidR="009F143C" w:rsidRDefault="009F143C" w:rsidP="009F143C">
      <w:pPr>
        <w:spacing w:after="120" w:line="276" w:lineRule="auto"/>
        <w:jc w:val="both"/>
        <w:rPr>
          <w:rFonts w:ascii="Verdana" w:eastAsia="Calibri" w:hAnsi="Verdana" w:cs="Arial"/>
          <w:color w:val="000000" w:themeColor="text1"/>
        </w:rPr>
      </w:pPr>
      <w:r>
        <w:rPr>
          <w:rFonts w:ascii="Verdana" w:eastAsia="Calibri" w:hAnsi="Verdana" w:cs="Arial"/>
        </w:rPr>
        <w:t xml:space="preserve">vii. Por regla general, además de lo manifestado por los interesados, las entidades podrán verificar situaciones de control a través del RUP. En caso de que el registro no sea obligatorio, el pliego de condiciones debe establecer el mecanismo de validación correspondiente. Como la verificación se realiza en el </w:t>
      </w:r>
      <w:r>
        <w:rPr>
          <w:rFonts w:ascii="Verdana" w:eastAsia="Calibri" w:hAnsi="Verdana" w:cs="Arial"/>
        </w:rPr>
        <w:lastRenderedPageBreak/>
        <w:t>marco del procedimiento de selección, para efectos de la garantía del debido proceso, el principio de transparencia demanda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–artículo 24.2 de la Ley 80 de 1993–.</w:t>
      </w:r>
    </w:p>
    <w:p w14:paraId="70CE0AEE" w14:textId="77777777" w:rsidR="009F143C" w:rsidRDefault="009F143C" w:rsidP="009F143C">
      <w:pPr>
        <w:spacing w:after="0" w:line="276" w:lineRule="auto"/>
        <w:ind w:firstLine="708"/>
        <w:jc w:val="both"/>
        <w:rPr>
          <w:rFonts w:ascii="Verdana" w:eastAsia="Calibri" w:hAnsi="Verdana" w:cs="Arial"/>
        </w:rPr>
      </w:pPr>
      <w:r>
        <w:rPr>
          <w:rFonts w:ascii="Verdana" w:eastAsia="Calibri" w:hAnsi="Verdana" w:cs="Arial"/>
        </w:rPr>
        <w:t xml:space="preserve">Lo usual es que todos los documentos de la oferta se entreguen antes de cierre del proceso. Sin embargo, el literal a) del artículo 2.1.4.3.2.1 del Decreto 1081 de 2015, adicionado por el artículo 1 del Decreto 1600 de 2024, dispone que “[…] en el término máximo de tres (3) días después del momento en que se cierre definitivamente la presentación de ofertas, deberán poner de presente la existencia o no de situaciones de control de las que participen […]”. Por tanto, si se entregó la información antes del cierre, la Agencia estima que no es necesario un nuevo requerimiento, pues con la entregada inicialmente la entidad puede verificar la existencia o no grupo empresarial en la que existan relaciones de subordinación conforme a los artículos 260 y 261 del Código de Comercio. </w:t>
      </w:r>
    </w:p>
    <w:p w14:paraId="2B864F10" w14:textId="77777777" w:rsidR="009F143C" w:rsidRDefault="009F143C" w:rsidP="009F143C">
      <w:pPr>
        <w:spacing w:after="0" w:line="276" w:lineRule="auto"/>
        <w:jc w:val="both"/>
        <w:rPr>
          <w:rFonts w:ascii="Verdana" w:eastAsia="Calibri" w:hAnsi="Verdana" w:cs="Arial"/>
        </w:rPr>
      </w:pPr>
    </w:p>
    <w:p w14:paraId="5A93E35D" w14:textId="77777777" w:rsidR="009F143C" w:rsidRPr="001F0EBA" w:rsidRDefault="009F143C" w:rsidP="009F143C">
      <w:pPr>
        <w:spacing w:after="120" w:line="276" w:lineRule="auto"/>
        <w:jc w:val="both"/>
        <w:rPr>
          <w:rFonts w:ascii="Verdana" w:eastAsia="Calibri" w:hAnsi="Verdana" w:cs="Arial"/>
          <w:bCs/>
          <w:color w:val="000000" w:themeColor="text1"/>
        </w:rPr>
      </w:pPr>
      <w:r>
        <w:rPr>
          <w:rFonts w:ascii="Verdana" w:eastAsia="Calibri" w:hAnsi="Verdana" w:cs="Arial"/>
        </w:rPr>
        <w:t xml:space="preserve">viii. </w:t>
      </w:r>
      <w:r>
        <w:rPr>
          <w:rFonts w:ascii="Verdana" w:eastAsia="Calibri" w:hAnsi="Verdana" w:cs="Arial"/>
          <w:color w:val="000000" w:themeColor="text1"/>
          <w:lang w:val="es-ES_tradnl"/>
        </w:rPr>
        <w:t>Conforme al inciso 1 del artículo 209 de la Constitución Política de Colombia, la función administrativa está al servicio de los intereses generales y se desarrolla, entre otros, con fundamento en el principio de imparcialidad. En este sentido, el numeral 3 del artículo 3 de la Ley 1437 de 2011 prescribe que “En virtud del principio de imparcialidad, las autoridades deberán actuar teniendo en cuenta que la finalidad de los procedimientos consiste en asegurar y garantizar los derechos de todas las personas sin discriminación alguna y sin tener en consideración factores de afecto o de interés y, en general, cualquier clase de motivación subjetiva”. Esta directriz es de especial relevancia en materia de contratación estatal, ya que –en virtud del artículo 77 de la Ley 80 de 1993 y el artículo 13 de la Ley 1150 de 2007– se integra tanto al régimen de las entidades sometidas como al de las exceptuadas del Estatuto General de Contratación de la Administración Pública, guardando una estrecha relación con el principio de selección objetiva.</w:t>
      </w:r>
    </w:p>
    <w:p w14:paraId="76865CB8" w14:textId="77777777" w:rsidR="009F143C" w:rsidRDefault="009F143C" w:rsidP="009F143C">
      <w:pPr>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r>
      <w:bookmarkStart w:id="3" w:name="_Hlk34855985"/>
      <w:r>
        <w:rPr>
          <w:rFonts w:ascii="Verdana" w:eastAsia="Calibri" w:hAnsi="Verdana" w:cs="Arial"/>
          <w:color w:val="000000" w:themeColor="text1"/>
          <w:lang w:val="es-ES_tradnl"/>
        </w:rPr>
        <w:t xml:space="preserve">Dichos principios tienen un papel relevante en la elaboración de los pliegos de condiciones o documentos equivalentes, pues si bien las entidades tienen un margen de autonomía para definir algunos aspectos del futuro negocio, las causales de rechazo de las propuestas deben ser razonables, bien porque </w:t>
      </w:r>
      <w:r>
        <w:rPr>
          <w:rFonts w:ascii="Verdana" w:eastAsia="Calibri" w:hAnsi="Verdana" w:cs="Arial"/>
          <w:color w:val="000000" w:themeColor="text1"/>
          <w:lang w:val="es-ES_tradnl"/>
        </w:rPr>
        <w:lastRenderedPageBreak/>
        <w:t>algunas de éstas se encuentren previstas en el ordenamiento o porque conducen a que se adjudique el contrato al proponente que no cumple con los requisitos técnicos y económicos para su ejecución. En esta medida, dichas causales no deben fundamentarse en el simple capricho o el mero arbitrio, lo cual –además de contrariar los principios analizados– limita la participación</w:t>
      </w:r>
      <w:bookmarkEnd w:id="3"/>
      <w:r>
        <w:rPr>
          <w:rFonts w:ascii="Verdana" w:eastAsia="Calibri" w:hAnsi="Verdana" w:cs="Arial"/>
          <w:color w:val="000000" w:themeColor="text1"/>
          <w:lang w:val="es-ES_tradnl"/>
        </w:rPr>
        <w:t>. No en vano, la jurisprudencia ha sostenido que:</w:t>
      </w:r>
    </w:p>
    <w:p w14:paraId="1B9FFB4D" w14:textId="77777777" w:rsidR="009F143C" w:rsidRDefault="009F143C" w:rsidP="009F143C">
      <w:pPr>
        <w:spacing w:after="0" w:line="276" w:lineRule="auto"/>
        <w:jc w:val="both"/>
        <w:rPr>
          <w:rFonts w:ascii="Verdana" w:eastAsia="Calibri" w:hAnsi="Verdana" w:cs="Arial"/>
          <w:color w:val="000000" w:themeColor="text1"/>
          <w:lang w:val="es-ES_tradnl"/>
        </w:rPr>
      </w:pPr>
    </w:p>
    <w:p w14:paraId="63788792" w14:textId="77777777" w:rsidR="009F143C" w:rsidRDefault="009F143C" w:rsidP="009F143C">
      <w:pPr>
        <w:spacing w:after="0" w:line="240" w:lineRule="auto"/>
        <w:ind w:left="709" w:right="709"/>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 puesto que la causa excluyente debe ser razonable, esencial y proporcionada, toda vez que no tendría justificación excluir una propuesta por una deficiencia que no tenga incidencia alguna en la contratación”</w:t>
      </w:r>
      <w:r>
        <w:rPr>
          <w:rStyle w:val="Refdenotaalpie"/>
          <w:rFonts w:ascii="Verdana" w:eastAsia="Calibri" w:hAnsi="Verdana" w:cs="Arial"/>
          <w:color w:val="000000" w:themeColor="text1"/>
          <w:sz w:val="20"/>
          <w:szCs w:val="20"/>
          <w:lang w:val="es-ES_tradnl"/>
        </w:rPr>
        <w:footnoteReference w:id="5"/>
      </w:r>
      <w:r>
        <w:rPr>
          <w:rFonts w:ascii="Verdana" w:eastAsia="Calibri" w:hAnsi="Verdana" w:cs="Arial"/>
          <w:color w:val="000000" w:themeColor="text1"/>
          <w:sz w:val="20"/>
          <w:szCs w:val="20"/>
          <w:lang w:val="es-ES_tradnl"/>
        </w:rPr>
        <w:t>.</w:t>
      </w:r>
    </w:p>
    <w:p w14:paraId="21F5DAA3" w14:textId="77777777" w:rsidR="009F143C" w:rsidRDefault="009F143C" w:rsidP="009F143C">
      <w:pPr>
        <w:spacing w:after="0" w:line="276" w:lineRule="auto"/>
        <w:ind w:left="709" w:right="709"/>
        <w:jc w:val="both"/>
        <w:rPr>
          <w:rFonts w:ascii="Verdana" w:eastAsia="Calibri" w:hAnsi="Verdana" w:cs="Arial"/>
          <w:color w:val="000000" w:themeColor="text1"/>
          <w:lang w:val="es-ES_tradnl"/>
        </w:rPr>
      </w:pPr>
    </w:p>
    <w:p w14:paraId="6FD15696" w14:textId="77777777" w:rsidR="009F143C" w:rsidRDefault="009F143C" w:rsidP="009F143C">
      <w:pPr>
        <w:spacing w:after="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este contexto, </w:t>
      </w:r>
      <w:bookmarkStart w:id="4" w:name="_Hlk34855896"/>
      <w:r>
        <w:rPr>
          <w:rFonts w:ascii="Verdana" w:eastAsia="Calibri" w:hAnsi="Verdana" w:cs="Arial"/>
          <w:color w:val="000000" w:themeColor="text1"/>
          <w:lang w:val="es-ES"/>
        </w:rPr>
        <w:t>las causales de rechazo de la oferta deben emanar directamente de la ley o del pliego de condiciones, pero en uno y en otro caso guardan relación con defectos, omisiones o circunstancias impeditivas que permitan deducir que la misma no resulta favorable para los intereses de la entidad, en los términos del inciso 1 del artículo 5 de la Ley 1150 de 2007. En otras palabras, no pueden fundamentarse en consideraciones subjetivas, que conviertan dichas causales en inhabilidades para participar en los procesos de selección.</w:t>
      </w:r>
      <w:bookmarkEnd w:id="4"/>
    </w:p>
    <w:p w14:paraId="4CF39B3F" w14:textId="77777777" w:rsidR="009F143C" w:rsidRPr="001F0EBA" w:rsidRDefault="009F143C" w:rsidP="009F143C">
      <w:pPr>
        <w:spacing w:before="120" w:after="120" w:line="276" w:lineRule="auto"/>
        <w:ind w:firstLine="708"/>
        <w:jc w:val="both"/>
        <w:rPr>
          <w:rFonts w:ascii="Verdana" w:hAnsi="Verdana" w:cs="Arial"/>
          <w:bCs/>
          <w:color w:val="000000" w:themeColor="text1"/>
        </w:rPr>
      </w:pPr>
      <w:r>
        <w:rPr>
          <w:rFonts w:ascii="Verdana" w:eastAsia="Arial" w:hAnsi="Verdana" w:cs="Arial"/>
          <w:color w:val="000000"/>
        </w:rPr>
        <w:t>Así, l</w:t>
      </w:r>
      <w:r w:rsidRPr="008C03E8">
        <w:rPr>
          <w:rFonts w:ascii="Verdana" w:eastAsia="Arial" w:hAnsi="Verdana" w:cs="Arial"/>
          <w:color w:val="000000"/>
        </w:rPr>
        <w:t xml:space="preserve">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w:t>
      </w:r>
      <w:r w:rsidRPr="008C03E8">
        <w:rPr>
          <w:rFonts w:ascii="Verdana" w:eastAsia="Arial" w:hAnsi="Verdana" w:cs="Arial"/>
          <w:color w:val="000000"/>
        </w:rPr>
        <w:lastRenderedPageBreak/>
        <w:t>derecho sustancial sobre las formalidades.</w:t>
      </w:r>
      <w:r w:rsidRPr="008C03E8">
        <w:rPr>
          <w:rFonts w:ascii="Verdana" w:hAnsi="Verdana" w:cs="Arial"/>
          <w:bCs/>
          <w:color w:val="000000" w:themeColor="text1"/>
        </w:rPr>
        <w:t xml:space="preserve"> En ese orden de ideas, el rechazo de las ofertas debe provenir entre otros factores, de la imposibilidad de hacer una escogencia favorable a la entidad estatal y a los fines que ella busca en cumplimiento del deber selección objetiva.</w:t>
      </w:r>
    </w:p>
    <w:bookmarkEnd w:id="2"/>
    <w:p w14:paraId="3897A950" w14:textId="77777777" w:rsidR="009F143C" w:rsidRPr="00794749" w:rsidRDefault="009F143C" w:rsidP="009F143C">
      <w:pPr>
        <w:spacing w:line="276" w:lineRule="auto"/>
        <w:ind w:firstLine="708"/>
        <w:jc w:val="both"/>
        <w:rPr>
          <w:rFonts w:ascii="Verdana" w:hAnsi="Verdana"/>
        </w:rPr>
      </w:pPr>
      <w:r w:rsidRPr="008C03E8">
        <w:rPr>
          <w:rFonts w:ascii="Verdana" w:hAnsi="Verdana" w:cs="Arial"/>
          <w:bCs/>
          <w:color w:val="000000" w:themeColor="text1"/>
        </w:rPr>
        <w:t xml:space="preserve">Sin embargo, será́ </w:t>
      </w:r>
      <w:r>
        <w:rPr>
          <w:rFonts w:ascii="Verdana" w:hAnsi="Verdana" w:cs="Arial"/>
          <w:bCs/>
          <w:color w:val="000000" w:themeColor="text1"/>
        </w:rPr>
        <w:t xml:space="preserve">cada </w:t>
      </w:r>
      <w:r w:rsidRPr="008C03E8">
        <w:rPr>
          <w:rFonts w:ascii="Verdana" w:hAnsi="Verdana" w:cs="Arial"/>
          <w:bCs/>
          <w:color w:val="000000" w:themeColor="text1"/>
        </w:rPr>
        <w:t xml:space="preserve">Entidad Estatal quién determinará en los documentos del proceso las circunstancias que no permitan admitir una propuesta en un proceso de contratación. Como se señaló antes, en el ejercicio de esta facultad, las entidades deben respetar el deber de selección objetiva, de manera que las causales de rechazo que dispongan no impongan barreras injustificadas a la participación, y respondan a principios de proporcionalidad y razonabilidad. </w:t>
      </w:r>
    </w:p>
    <w:p w14:paraId="2D472B58" w14:textId="77777777" w:rsidR="009F143C" w:rsidRPr="007D4A74" w:rsidRDefault="009F143C" w:rsidP="009F143C">
      <w:pPr>
        <w:spacing w:after="120" w:line="276" w:lineRule="auto"/>
        <w:jc w:val="both"/>
        <w:rPr>
          <w:rFonts w:ascii="Verdana" w:hAnsi="Verdana" w:cs="Arial"/>
          <w:color w:val="000000" w:themeColor="text1"/>
        </w:rPr>
      </w:pPr>
      <w:r>
        <w:rPr>
          <w:rFonts w:ascii="Verdana" w:eastAsia="Calibri" w:hAnsi="Verdana" w:cs="Arial"/>
          <w:bCs/>
          <w:lang w:val="es-ES_tradnl" w:eastAsia="es-ES_tradnl"/>
        </w:rPr>
        <w:t>i</w:t>
      </w:r>
      <w:r w:rsidRPr="007D4A74">
        <w:rPr>
          <w:rFonts w:ascii="Verdana" w:eastAsia="Calibri" w:hAnsi="Verdana" w:cs="Arial"/>
          <w:bCs/>
          <w:lang w:val="es-ES_tradnl" w:eastAsia="es-ES_tradnl"/>
        </w:rPr>
        <w:t xml:space="preserve">x. </w:t>
      </w:r>
      <w:r w:rsidRPr="007D4A7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E569B2C" w14:textId="77777777" w:rsidR="009F143C" w:rsidRPr="007D4A74" w:rsidRDefault="009F143C" w:rsidP="009F143C">
      <w:pPr>
        <w:widowControl w:val="0"/>
        <w:autoSpaceDE w:val="0"/>
        <w:autoSpaceDN w:val="0"/>
        <w:spacing w:after="0" w:line="276" w:lineRule="auto"/>
        <w:ind w:firstLine="708"/>
        <w:jc w:val="both"/>
        <w:rPr>
          <w:rFonts w:ascii="Verdana" w:hAnsi="Verdana" w:cs="Arial"/>
        </w:rPr>
      </w:pPr>
      <w:r w:rsidRPr="007D4A7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7D4A74">
        <w:rPr>
          <w:rFonts w:ascii="Verdana" w:hAnsi="Verdana" w:cs="Arial"/>
        </w:rPr>
        <w:t xml:space="preserve">  </w:t>
      </w:r>
    </w:p>
    <w:p w14:paraId="7B8BB668" w14:textId="77777777" w:rsidR="009F143C" w:rsidRPr="007D4A74" w:rsidRDefault="009F143C" w:rsidP="009F143C">
      <w:pPr>
        <w:widowControl w:val="0"/>
        <w:autoSpaceDE w:val="0"/>
        <w:autoSpaceDN w:val="0"/>
        <w:spacing w:after="0" w:line="276" w:lineRule="auto"/>
        <w:jc w:val="both"/>
        <w:rPr>
          <w:rFonts w:ascii="Verdana" w:hAnsi="Verdana" w:cs="Arial"/>
        </w:rPr>
      </w:pPr>
    </w:p>
    <w:p w14:paraId="39E1A24D" w14:textId="77777777" w:rsidR="009F143C" w:rsidRPr="007D4A74" w:rsidRDefault="009F143C" w:rsidP="009F143C">
      <w:pPr>
        <w:pStyle w:val="Prrafodelista"/>
        <w:numPr>
          <w:ilvl w:val="0"/>
          <w:numId w:val="29"/>
        </w:numPr>
        <w:tabs>
          <w:tab w:val="left" w:pos="142"/>
          <w:tab w:val="left" w:pos="284"/>
        </w:tabs>
        <w:spacing w:after="0" w:line="276" w:lineRule="auto"/>
        <w:ind w:left="567" w:hanging="567"/>
        <w:contextualSpacing w:val="0"/>
        <w:jc w:val="both"/>
        <w:rPr>
          <w:rFonts w:ascii="Verdana" w:eastAsia="Century Gothic" w:hAnsi="Verdana" w:cs="Century Gothic"/>
          <w:b/>
          <w:bCs/>
        </w:rPr>
      </w:pPr>
      <w:r w:rsidRPr="007D4A74">
        <w:rPr>
          <w:rFonts w:ascii="Verdana" w:eastAsia="Century Gothic" w:hAnsi="Verdana" w:cs="Century Gothic"/>
          <w:b/>
          <w:bCs/>
        </w:rPr>
        <w:t>Referencias normativas:</w:t>
      </w:r>
    </w:p>
    <w:p w14:paraId="201C3AD1" w14:textId="77777777" w:rsidR="009F143C" w:rsidRPr="007D4A74" w:rsidRDefault="009F143C" w:rsidP="009F143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F143C" w:rsidRPr="007D4A74" w14:paraId="378241EA" w14:textId="77777777" w:rsidTr="00C532C8">
        <w:trPr>
          <w:trHeight w:val="870"/>
          <w:jc w:val="center"/>
        </w:trPr>
        <w:tc>
          <w:tcPr>
            <w:tcW w:w="8647" w:type="dxa"/>
          </w:tcPr>
          <w:p w14:paraId="76092B68" w14:textId="77777777" w:rsidR="009F143C" w:rsidRPr="00384E19" w:rsidRDefault="009F143C" w:rsidP="009F143C">
            <w:pPr>
              <w:pStyle w:val="Prrafodelista"/>
              <w:widowControl w:val="0"/>
              <w:numPr>
                <w:ilvl w:val="0"/>
                <w:numId w:val="21"/>
              </w:numPr>
              <w:autoSpaceDE w:val="0"/>
              <w:autoSpaceDN w:val="0"/>
              <w:spacing w:line="360" w:lineRule="auto"/>
              <w:jc w:val="both"/>
              <w:rPr>
                <w:rFonts w:ascii="Verdana" w:hAnsi="Verdana" w:cs="Arial"/>
                <w:lang w:val="es-CO"/>
              </w:rPr>
            </w:pPr>
            <w:r>
              <w:rPr>
                <w:rFonts w:ascii="Verdana" w:hAnsi="Verdana" w:cs="Arial"/>
                <w:lang w:val="es-CO"/>
              </w:rPr>
              <w:lastRenderedPageBreak/>
              <w:t>Constitución Política. Artículo 209</w:t>
            </w:r>
          </w:p>
          <w:p w14:paraId="58D3198F" w14:textId="77777777" w:rsidR="009F143C" w:rsidRDefault="009F143C" w:rsidP="009F143C">
            <w:pPr>
              <w:pStyle w:val="Prrafodelista"/>
              <w:widowControl w:val="0"/>
              <w:numPr>
                <w:ilvl w:val="0"/>
                <w:numId w:val="21"/>
              </w:numPr>
              <w:autoSpaceDE w:val="0"/>
              <w:autoSpaceDN w:val="0"/>
              <w:spacing w:line="360" w:lineRule="auto"/>
              <w:jc w:val="both"/>
              <w:rPr>
                <w:rFonts w:ascii="Verdana" w:hAnsi="Verdana" w:cs="Arial"/>
                <w:lang w:val="es-CO"/>
              </w:rPr>
            </w:pPr>
            <w:r>
              <w:rPr>
                <w:rFonts w:ascii="Verdana" w:hAnsi="Verdana" w:cs="Arial"/>
              </w:rPr>
              <w:t>Ley 1150 de 2007. Artículo 5</w:t>
            </w:r>
          </w:p>
          <w:p w14:paraId="358868A1" w14:textId="77777777" w:rsidR="009F143C" w:rsidRPr="00474A65" w:rsidRDefault="009F143C" w:rsidP="009F143C">
            <w:pPr>
              <w:pStyle w:val="Prrafodelista"/>
              <w:widowControl w:val="0"/>
              <w:numPr>
                <w:ilvl w:val="0"/>
                <w:numId w:val="21"/>
              </w:numPr>
              <w:autoSpaceDE w:val="0"/>
              <w:autoSpaceDN w:val="0"/>
              <w:spacing w:line="360" w:lineRule="auto"/>
              <w:jc w:val="both"/>
              <w:rPr>
                <w:rFonts w:ascii="Verdana" w:hAnsi="Verdana" w:cs="Arial"/>
                <w:lang w:val="es-CO"/>
              </w:rPr>
            </w:pPr>
            <w:r w:rsidRPr="00474A65">
              <w:rPr>
                <w:rFonts w:ascii="Verdana" w:hAnsi="Verdana" w:cs="Arial"/>
                <w:lang w:val="es-CO"/>
              </w:rPr>
              <w:t xml:space="preserve">Decreto 1600 de 2024. Artículos </w:t>
            </w:r>
            <w:r w:rsidRPr="00474A65">
              <w:rPr>
                <w:rFonts w:ascii="Verdana" w:eastAsia="Calibri" w:hAnsi="Verdana" w:cs="Arial"/>
                <w:bCs/>
                <w:iCs/>
                <w:lang w:val="es-CO" w:eastAsia="es-ES_tradnl"/>
              </w:rPr>
              <w:t xml:space="preserve">2.1.4.3.1.1, 2.1.4.3.1.2, 2.1.4.3.2.1, </w:t>
            </w:r>
          </w:p>
          <w:p w14:paraId="4D22AE9F" w14:textId="77777777" w:rsidR="009F143C" w:rsidRPr="00474A65" w:rsidRDefault="009F143C" w:rsidP="009F143C">
            <w:pPr>
              <w:pStyle w:val="Prrafodelista"/>
              <w:widowControl w:val="0"/>
              <w:numPr>
                <w:ilvl w:val="0"/>
                <w:numId w:val="21"/>
              </w:numPr>
              <w:autoSpaceDE w:val="0"/>
              <w:autoSpaceDN w:val="0"/>
              <w:spacing w:line="360" w:lineRule="auto"/>
              <w:jc w:val="both"/>
              <w:rPr>
                <w:rFonts w:ascii="Verdana" w:hAnsi="Verdana" w:cs="Arial"/>
                <w:lang w:val="es-CO"/>
              </w:rPr>
            </w:pPr>
            <w:r w:rsidRPr="00474A65">
              <w:rPr>
                <w:rFonts w:ascii="Verdana" w:eastAsia="Calibri" w:hAnsi="Verdana" w:cs="Arial"/>
                <w:bCs/>
                <w:iCs/>
                <w:lang w:val="es-CO" w:eastAsia="es-ES_tradnl"/>
              </w:rPr>
              <w:t xml:space="preserve">Ley 152 de 1994. Artículo 52. </w:t>
            </w:r>
          </w:p>
          <w:p w14:paraId="4691E433" w14:textId="77777777" w:rsidR="009F143C" w:rsidRPr="005F33D4" w:rsidRDefault="009F143C" w:rsidP="009F143C">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474A65">
              <w:rPr>
                <w:rFonts w:ascii="Verdana" w:eastAsia="Calibri" w:hAnsi="Verdana" w:cs="Arial"/>
                <w:bCs/>
                <w:iCs/>
                <w:lang w:val="es-CO" w:eastAsia="es-ES_tradnl"/>
              </w:rPr>
              <w:t>Ley 2294 de 2023. Artículo 200.</w:t>
            </w:r>
          </w:p>
          <w:p w14:paraId="65EC5B95" w14:textId="77777777" w:rsidR="009F143C" w:rsidRPr="00A62579" w:rsidRDefault="009F143C" w:rsidP="009F143C">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eastAsia="Calibri" w:hAnsi="Verdana" w:cs="Arial"/>
                <w:bCs/>
                <w:iCs/>
                <w:lang w:val="es-CO" w:eastAsia="es-ES_tradnl"/>
              </w:rPr>
              <w:t xml:space="preserve">Decreto 1082 de 2015. Artículos </w:t>
            </w:r>
            <w:r>
              <w:rPr>
                <w:rFonts w:ascii="Verdana" w:hAnsi="Verdana" w:cs="Arial"/>
              </w:rPr>
              <w:t>2.2.1.1.1.5.2</w:t>
            </w:r>
          </w:p>
        </w:tc>
      </w:tr>
    </w:tbl>
    <w:p w14:paraId="1B277F3C" w14:textId="77777777" w:rsidR="009F143C" w:rsidRPr="007D4A74" w:rsidRDefault="009F143C" w:rsidP="009F143C">
      <w:pPr>
        <w:widowControl w:val="0"/>
        <w:autoSpaceDE w:val="0"/>
        <w:autoSpaceDN w:val="0"/>
        <w:spacing w:after="0" w:line="276" w:lineRule="auto"/>
        <w:jc w:val="both"/>
        <w:rPr>
          <w:rFonts w:ascii="Verdana" w:hAnsi="Verdana" w:cs="Arial"/>
        </w:rPr>
      </w:pPr>
    </w:p>
    <w:p w14:paraId="5548D060" w14:textId="77777777" w:rsidR="009F143C" w:rsidRPr="007D4A74" w:rsidRDefault="009F143C" w:rsidP="009F143C">
      <w:pPr>
        <w:pStyle w:val="Prrafodelista"/>
        <w:numPr>
          <w:ilvl w:val="0"/>
          <w:numId w:val="29"/>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D4A74">
        <w:rPr>
          <w:rFonts w:ascii="Verdana" w:eastAsia="Century Gothic" w:hAnsi="Verdana" w:cs="Century Gothic"/>
          <w:b/>
          <w:bCs/>
        </w:rPr>
        <w:t>Doctrina de la Agencia Nacional de Contratación Pública:</w:t>
      </w:r>
    </w:p>
    <w:p w14:paraId="656ED9D3" w14:textId="77777777" w:rsidR="009F143C" w:rsidRPr="007D4A74" w:rsidRDefault="009F143C" w:rsidP="009F143C">
      <w:pPr>
        <w:widowControl w:val="0"/>
        <w:autoSpaceDE w:val="0"/>
        <w:autoSpaceDN w:val="0"/>
        <w:spacing w:after="0" w:line="276" w:lineRule="auto"/>
        <w:jc w:val="both"/>
        <w:rPr>
          <w:rFonts w:ascii="Verdana" w:hAnsi="Verdana" w:cs="Arial"/>
        </w:rPr>
      </w:pPr>
    </w:p>
    <w:p w14:paraId="68A76385" w14:textId="77777777" w:rsidR="009F143C" w:rsidRPr="007D4A74" w:rsidRDefault="009F143C" w:rsidP="009F143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Pr>
          <w:rFonts w:ascii="Verdana" w:hAnsi="Verdana" w:cs="Arial"/>
          <w:shd w:val="clear" w:color="auto" w:fill="FFFFFF"/>
        </w:rPr>
        <w:t>Esta Subdirección se ha pronunciado sobre el Decreto 1600 de 2024 en los conceptos C-292 del 21 de abril de 2025, C-586 del 25 de junio de 2025, C-818 del 15 de julio de 2025, C-867 del 15 de julio de 2025, C – 1026 del 30 de julio de 2025, C-1008 del 16 de septiembre de 2025, C-1281 del 14 de octubre de 2025, C-1328 del 1 de octubre de 2025, C-849 del 22 de enero de 2026, C-307 del 10 de marzo de 2026</w:t>
      </w:r>
      <w:r>
        <w:rPr>
          <w:rFonts w:ascii="Verdana" w:hAnsi="Verdana"/>
        </w:rPr>
        <w:t xml:space="preserve">. </w:t>
      </w:r>
      <w:r w:rsidRPr="007D4A74">
        <w:rPr>
          <w:rStyle w:val="normaltextrun"/>
          <w:rFonts w:ascii="Verdana" w:hAnsi="Verdana" w:cs="Arial"/>
          <w:shd w:val="clear" w:color="auto" w:fill="FFFFFF"/>
          <w:lang w:val="es-ES"/>
        </w:rPr>
        <w:t>Es</w:t>
      </w:r>
      <w:r w:rsidRPr="007D4A74">
        <w:rPr>
          <w:rFonts w:ascii="Verdana" w:hAnsi="Verdana"/>
          <w:lang w:val="es-ES"/>
        </w:rPr>
        <w:t>te</w:t>
      </w:r>
      <w:r w:rsidRPr="007D4A74">
        <w:rPr>
          <w:rFonts w:ascii="Verdana" w:hAnsi="Verdana"/>
        </w:rPr>
        <w:t xml:space="preserve"> y otros conceptos de la Subdirección se encuentran disponibles para consulta en el Sistema de relatoría de la Agencia, al cual puede accederse a través del siguiente enlace:</w:t>
      </w:r>
      <w:r w:rsidRPr="007D4A74">
        <w:rPr>
          <w:rStyle w:val="normaltextrun"/>
          <w:rFonts w:ascii="Verdana" w:hAnsi="Verdana" w:cs="Arial"/>
          <w:shd w:val="clear" w:color="auto" w:fill="FFFFFF"/>
          <w:lang w:val="es-ES"/>
        </w:rPr>
        <w:t xml:space="preserve"> </w:t>
      </w:r>
      <w:hyperlink r:id="rId12" w:history="1">
        <w:r w:rsidRPr="007D4A74">
          <w:rPr>
            <w:rStyle w:val="Hipervnculo"/>
            <w:rFonts w:ascii="Verdana" w:hAnsi="Verdana" w:cs="Arial"/>
            <w:shd w:val="clear" w:color="auto" w:fill="FFFFFF"/>
            <w:lang w:val="es-ES"/>
          </w:rPr>
          <w:t>https://relatoria.colombiacompra.gov.co/busqueda/conceptos</w:t>
        </w:r>
      </w:hyperlink>
      <w:r w:rsidRPr="007D4A74">
        <w:rPr>
          <w:rStyle w:val="normaltextrun"/>
          <w:rFonts w:ascii="Verdana" w:hAnsi="Verdana" w:cs="Arial"/>
          <w:shd w:val="clear" w:color="auto" w:fill="FFFFFF"/>
          <w:lang w:val="es-ES"/>
        </w:rPr>
        <w:t>.</w:t>
      </w:r>
      <w:r w:rsidRPr="007D4A74">
        <w:rPr>
          <w:rStyle w:val="normaltextrun"/>
          <w:rFonts w:ascii="Verdana" w:hAnsi="Verdana" w:cs="Arial"/>
          <w:color w:val="FF0000"/>
          <w:shd w:val="clear" w:color="auto" w:fill="FFFFFF"/>
          <w:lang w:val="es-ES"/>
        </w:rPr>
        <w:t xml:space="preserve"> </w:t>
      </w:r>
    </w:p>
    <w:p w14:paraId="78A1C66C" w14:textId="77777777" w:rsidR="009F143C" w:rsidRPr="007D4A74" w:rsidRDefault="009F143C" w:rsidP="009F143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14606A8" w14:textId="77777777" w:rsidR="009F143C" w:rsidRPr="007D4A74" w:rsidRDefault="009F143C" w:rsidP="009F143C">
      <w:pPr>
        <w:spacing w:after="0"/>
        <w:jc w:val="both"/>
      </w:pPr>
      <w:r w:rsidRPr="007D4A74">
        <w:rPr>
          <w:rFonts w:ascii="Verdana" w:hAnsi="Verdana"/>
        </w:rPr>
        <w:t xml:space="preserve">La sostenibilidad no es una opción, es una obligación. Por ello, la Agencia Nacional de Contratación Pública –Colombia Compra Eficiente– te invita a realizar el </w:t>
      </w:r>
      <w:r w:rsidRPr="007D4A74">
        <w:rPr>
          <w:rFonts w:ascii="Verdana" w:hAnsi="Verdana"/>
          <w:b/>
          <w:bCs/>
        </w:rPr>
        <w:t>Curso de Contratación Pública Sostenible y Socialmente Responsable</w:t>
      </w:r>
      <w:r w:rsidRPr="007D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D4A74">
        <w:rPr>
          <w:rFonts w:ascii="Verdana" w:hAnsi="Verdana"/>
        </w:rPr>
        <w:br/>
      </w:r>
      <w:hyperlink r:id="rId13" w:tgtFrame="_new" w:history="1">
        <w:r w:rsidRPr="007D4A74">
          <w:rPr>
            <w:rStyle w:val="Hipervnculo"/>
            <w:rFonts w:ascii="Verdana" w:hAnsi="Verdana"/>
          </w:rPr>
          <w:t>https://formacionvirtual.colombiacompra.gov.co/mod/page/view.php?id=3718</w:t>
        </w:r>
      </w:hyperlink>
    </w:p>
    <w:p w14:paraId="267A4AC0" w14:textId="77777777" w:rsidR="009F143C" w:rsidRPr="007D4A74" w:rsidRDefault="009F143C" w:rsidP="009F143C">
      <w:pPr>
        <w:spacing w:after="0"/>
        <w:jc w:val="both"/>
        <w:rPr>
          <w:rFonts w:ascii="Verdana" w:hAnsi="Verdana"/>
        </w:rPr>
      </w:pPr>
    </w:p>
    <w:p w14:paraId="3C927AFF" w14:textId="77777777" w:rsidR="009F143C" w:rsidRPr="007D4A74" w:rsidRDefault="009F143C" w:rsidP="009F143C">
      <w:pPr>
        <w:spacing w:after="0"/>
        <w:jc w:val="both"/>
      </w:pPr>
      <w:r w:rsidRPr="007D4A74">
        <w:rPr>
          <w:rFonts w:ascii="Verdana" w:hAnsi="Verdana"/>
        </w:rPr>
        <w:t xml:space="preserve">De otro lado, te contamos que esta Agencia ha da un paso decisivo en la estandarización y modernización del </w:t>
      </w:r>
      <w:r w:rsidRPr="007D4A74">
        <w:rPr>
          <w:rFonts w:ascii="Verdana" w:hAnsi="Verdana"/>
          <w:b/>
          <w:bCs/>
        </w:rPr>
        <w:t>sector  social</w:t>
      </w:r>
      <w:r w:rsidRPr="007D4A74">
        <w:rPr>
          <w:rFonts w:ascii="Verdana" w:hAnsi="Verdana"/>
        </w:rPr>
        <w:t xml:space="preserve"> con la expedición de las </w:t>
      </w:r>
      <w:r w:rsidRPr="007D4A74">
        <w:rPr>
          <w:rFonts w:ascii="Verdana" w:hAnsi="Verdana"/>
          <w:b/>
          <w:bCs/>
        </w:rPr>
        <w:t>Resoluciones 539, 540, 541, 952 y 953 de 2025</w:t>
      </w:r>
      <w:r w:rsidRPr="007D4A74">
        <w:rPr>
          <w:rFonts w:ascii="Verdana" w:hAnsi="Verdana"/>
        </w:rPr>
        <w:t xml:space="preserve">, </w:t>
      </w:r>
      <w:r w:rsidRPr="007D4A74">
        <w:rPr>
          <w:rFonts w:ascii="Verdana" w:hAnsi="Verdana"/>
          <w:b/>
          <w:bCs/>
        </w:rPr>
        <w:t>mediante las cuales adoptó Documentos Tipo</w:t>
      </w:r>
      <w:r w:rsidRPr="007D4A74">
        <w:rPr>
          <w:rFonts w:ascii="Verdana" w:hAnsi="Verdana"/>
        </w:rPr>
        <w:t xml:space="preserve"> para las modalidades de selección de</w:t>
      </w:r>
      <w:r w:rsidRPr="007D4A74">
        <w:rPr>
          <w:rFonts w:ascii="Verdana" w:hAnsi="Verdana"/>
          <w:b/>
          <w:bCs/>
        </w:rPr>
        <w:t xml:space="preserve"> licitación pública (versión 2), selección abreviada de menor cuantía, mínima cuantía, consultoría e interventoría</w:t>
      </w:r>
      <w:r w:rsidRPr="007D4A74">
        <w:rPr>
          <w:rFonts w:ascii="Verdana" w:hAnsi="Verdana"/>
        </w:rPr>
        <w:t xml:space="preserve">, promoviendo procesos más transparentes, eficientes  competitivos y sostenibles en sectores estratégicos </w:t>
      </w:r>
      <w:r w:rsidRPr="007D4A74">
        <w:rPr>
          <w:rFonts w:ascii="Verdana" w:hAnsi="Verdana"/>
        </w:rPr>
        <w:lastRenderedPageBreak/>
        <w:t xml:space="preserve">como educación, salud, cultura, recreación, deporte, institucional y vivienda. Consulta y descarga los documentos aquí: </w:t>
      </w:r>
      <w:hyperlink r:id="rId14" w:tgtFrame="_new" w:history="1">
        <w:r w:rsidRPr="007D4A74">
          <w:rPr>
            <w:rStyle w:val="Hipervnculo"/>
            <w:rFonts w:ascii="Verdana" w:hAnsi="Verdana"/>
          </w:rPr>
          <w:t>https://www.colombiacompra.gov.co/normativa-y-relatoria/documentos-tipo</w:t>
        </w:r>
      </w:hyperlink>
    </w:p>
    <w:p w14:paraId="5A855AE8" w14:textId="77777777" w:rsidR="009F143C" w:rsidRPr="007D4A74" w:rsidRDefault="009F143C" w:rsidP="009F143C">
      <w:pPr>
        <w:spacing w:after="0"/>
        <w:jc w:val="both"/>
        <w:rPr>
          <w:rFonts w:ascii="Verdana" w:hAnsi="Verdana"/>
        </w:rPr>
      </w:pPr>
    </w:p>
    <w:p w14:paraId="48FD610E" w14:textId="77777777" w:rsidR="009F143C" w:rsidRPr="007D4A74" w:rsidRDefault="009F143C" w:rsidP="009F143C">
      <w:pPr>
        <w:spacing w:after="0"/>
        <w:jc w:val="both"/>
        <w:rPr>
          <w:rFonts w:ascii="Verdana" w:hAnsi="Verdana"/>
        </w:rPr>
      </w:pPr>
      <w:r w:rsidRPr="007D4A74">
        <w:rPr>
          <w:rFonts w:ascii="Verdana" w:hAnsi="Verdana"/>
        </w:rPr>
        <w:t xml:space="preserve">Si quieres conocer más sobre la aplicación de Documentos Tipo puedes consultar la última versión de la </w:t>
      </w:r>
      <w:r w:rsidRPr="007D4A74">
        <w:rPr>
          <w:rFonts w:ascii="Verdana" w:hAnsi="Verdana"/>
          <w:b/>
          <w:bCs/>
        </w:rPr>
        <w:t>Guía para la comprensión e implementación de los Documentos Tipo de obra pública de infraestructura de transporte</w:t>
      </w:r>
      <w:r w:rsidRPr="007D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D4A74">
        <w:rPr>
          <w:rFonts w:ascii="Verdana" w:hAnsi="Verdana"/>
        </w:rPr>
        <w:br/>
      </w:r>
      <w:hyperlink r:id="rId15" w:tgtFrame="_new" w:history="1">
        <w:r w:rsidRPr="007D4A7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B8129B5" w14:textId="77777777" w:rsidR="009F143C" w:rsidRPr="007D4A74" w:rsidRDefault="009F143C" w:rsidP="009F143C">
      <w:pPr>
        <w:shd w:val="clear" w:color="auto" w:fill="FFFFFF"/>
        <w:spacing w:after="0" w:line="276" w:lineRule="auto"/>
        <w:jc w:val="both"/>
        <w:rPr>
          <w:rFonts w:ascii="Verdana" w:hAnsi="Verdana"/>
          <w:color w:val="000000"/>
          <w:u w:val="single"/>
        </w:rPr>
      </w:pPr>
    </w:p>
    <w:p w14:paraId="6529D380" w14:textId="77777777" w:rsidR="009F143C" w:rsidRPr="007D4A74" w:rsidRDefault="009F143C" w:rsidP="009F143C">
      <w:pPr>
        <w:spacing w:after="0"/>
        <w:jc w:val="both"/>
        <w:rPr>
          <w:rFonts w:ascii="Verdana" w:hAnsi="Verdana"/>
        </w:rPr>
      </w:pPr>
      <w:r w:rsidRPr="007D4A7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0A3D209" w14:textId="77777777" w:rsidR="009F143C" w:rsidRPr="007D4A74" w:rsidRDefault="009F143C" w:rsidP="009F143C">
      <w:pPr>
        <w:spacing w:after="0"/>
        <w:jc w:val="both"/>
        <w:rPr>
          <w:rFonts w:ascii="Verdana" w:hAnsi="Verdana"/>
        </w:rPr>
      </w:pPr>
    </w:p>
    <w:p w14:paraId="77BD5265" w14:textId="77777777" w:rsidR="009F143C" w:rsidRPr="007D4A74" w:rsidRDefault="009F143C" w:rsidP="009F143C">
      <w:pPr>
        <w:pStyle w:val="Prrafodelista"/>
        <w:numPr>
          <w:ilvl w:val="0"/>
          <w:numId w:val="15"/>
        </w:numPr>
        <w:spacing w:after="0" w:line="240" w:lineRule="auto"/>
        <w:jc w:val="both"/>
        <w:rPr>
          <w:rFonts w:ascii="Verdana" w:eastAsia="Verdana" w:hAnsi="Verdana" w:cs="Verdana"/>
          <w:color w:val="4472C4" w:themeColor="accent1"/>
          <w:u w:val="single"/>
        </w:rPr>
      </w:pPr>
      <w:r w:rsidRPr="007D4A74">
        <w:rPr>
          <w:rFonts w:ascii="Verdana" w:eastAsia="Verdana" w:hAnsi="Verdana" w:cs="Verdana"/>
        </w:rPr>
        <w:t xml:space="preserve">Línea nacional gratuita o servicio a la ciudadanía (Mesa de servicio): </w:t>
      </w:r>
      <w:r w:rsidRPr="007D4A74">
        <w:rPr>
          <w:rStyle w:val="Hipervnculo"/>
          <w:rFonts w:ascii="Verdana" w:hAnsi="Verdana"/>
        </w:rPr>
        <w:t>01800 0520808</w:t>
      </w:r>
    </w:p>
    <w:p w14:paraId="350EF68F" w14:textId="77777777" w:rsidR="009F143C" w:rsidRPr="007D4A74" w:rsidRDefault="009F143C" w:rsidP="009F143C">
      <w:pPr>
        <w:pStyle w:val="Prrafodelista"/>
        <w:numPr>
          <w:ilvl w:val="0"/>
          <w:numId w:val="15"/>
        </w:numPr>
        <w:spacing w:after="0"/>
        <w:rPr>
          <w:rFonts w:ascii="Verdana" w:eastAsia="Verdana" w:hAnsi="Verdana" w:cs="Verdana"/>
          <w:color w:val="4472C4" w:themeColor="accent1"/>
          <w:u w:val="single"/>
        </w:rPr>
      </w:pPr>
      <w:r w:rsidRPr="007D4A74">
        <w:rPr>
          <w:rFonts w:ascii="Verdana" w:eastAsia="Verdana" w:hAnsi="Verdana" w:cs="Verdana"/>
        </w:rPr>
        <w:t>Línea en Bogotá (Mesa de servicio</w:t>
      </w:r>
      <w:proofErr w:type="gramStart"/>
      <w:r w:rsidRPr="007D4A74">
        <w:rPr>
          <w:rFonts w:ascii="Verdana" w:eastAsia="Verdana" w:hAnsi="Verdana" w:cs="Verdana"/>
        </w:rPr>
        <w:t>):</w:t>
      </w:r>
      <w:r w:rsidRPr="007D4A74">
        <w:rPr>
          <w:rStyle w:val="Hipervnculo"/>
          <w:rFonts w:ascii="Verdana" w:hAnsi="Verdana"/>
        </w:rPr>
        <w:t>+</w:t>
      </w:r>
      <w:proofErr w:type="gramEnd"/>
      <w:r w:rsidRPr="007D4A74">
        <w:rPr>
          <w:rStyle w:val="Hipervnculo"/>
          <w:rFonts w:ascii="Verdana" w:hAnsi="Verdana"/>
        </w:rPr>
        <w:t>57 601 7456788</w:t>
      </w:r>
    </w:p>
    <w:p w14:paraId="1A15AE2F" w14:textId="77777777" w:rsidR="009F143C" w:rsidRPr="007D4A74" w:rsidRDefault="009F143C" w:rsidP="009F143C">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 xml:space="preserve">Correo de radicación de correspondencia: </w:t>
      </w:r>
      <w:hyperlink r:id="rId16">
        <w:r w:rsidRPr="007D4A74">
          <w:rPr>
            <w:rStyle w:val="Hipervnculo"/>
            <w:rFonts w:ascii="Verdana" w:eastAsia="Verdana" w:hAnsi="Verdana" w:cs="Verdana"/>
          </w:rPr>
          <w:t>ventanilladeradicacion@colombiacompra.gov.co</w:t>
        </w:r>
      </w:hyperlink>
    </w:p>
    <w:p w14:paraId="4CC7F992" w14:textId="77777777" w:rsidR="009F143C" w:rsidRPr="007D4A74" w:rsidRDefault="009F143C" w:rsidP="009F143C">
      <w:pPr>
        <w:pStyle w:val="Prrafodelista"/>
        <w:numPr>
          <w:ilvl w:val="0"/>
          <w:numId w:val="15"/>
        </w:numPr>
        <w:spacing w:after="0"/>
        <w:rPr>
          <w:rFonts w:ascii="Verdana" w:eastAsia="Verdana" w:hAnsi="Verdana" w:cs="Verdana"/>
          <w:color w:val="0000FF"/>
          <w:u w:val="single"/>
        </w:rPr>
      </w:pPr>
      <w:r w:rsidRPr="007D4A74">
        <w:rPr>
          <w:rFonts w:ascii="Verdana" w:eastAsia="Verdana" w:hAnsi="Verdana" w:cs="Verdana"/>
        </w:rPr>
        <w:t>Formulario web para</w:t>
      </w:r>
      <w:r w:rsidRPr="007D4A74">
        <w:rPr>
          <w:rFonts w:ascii="Verdana" w:eastAsia="Verdana" w:hAnsi="Verdana" w:cs="Verdana"/>
          <w:lang w:val="es"/>
        </w:rPr>
        <w:t xml:space="preserve"> PQRSD: </w:t>
      </w:r>
      <w:hyperlink r:id="rId17">
        <w:r w:rsidRPr="007D4A74">
          <w:rPr>
            <w:rStyle w:val="Hipervnculo"/>
            <w:rFonts w:ascii="Verdana" w:eastAsia="Verdana" w:hAnsi="Verdana" w:cs="Verdana"/>
          </w:rPr>
          <w:t>https://www.colombiacompra.gov.co/pqrsd/informacion-importante-antes-de-formular-una-pqrsd</w:t>
        </w:r>
      </w:hyperlink>
    </w:p>
    <w:p w14:paraId="2EBE2E3B" w14:textId="77777777" w:rsidR="009F143C" w:rsidRPr="007D4A74" w:rsidRDefault="009F143C" w:rsidP="009F143C">
      <w:pPr>
        <w:spacing w:after="0" w:line="240" w:lineRule="auto"/>
        <w:ind w:left="720"/>
        <w:jc w:val="both"/>
        <w:rPr>
          <w:rFonts w:ascii="Verdana" w:hAnsi="Verdana"/>
        </w:rPr>
      </w:pPr>
    </w:p>
    <w:p w14:paraId="51005F41" w14:textId="77777777" w:rsidR="009F143C" w:rsidRPr="007D4A74" w:rsidRDefault="009F143C" w:rsidP="009F143C">
      <w:pPr>
        <w:spacing w:after="0" w:line="240" w:lineRule="auto"/>
        <w:rPr>
          <w:rFonts w:ascii="Verdana" w:hAnsi="Verdana"/>
        </w:rPr>
      </w:pPr>
      <w:r w:rsidRPr="007D4A74">
        <w:rPr>
          <w:rFonts w:ascii="Verdana" w:hAnsi="Verdana"/>
        </w:rPr>
        <w:t xml:space="preserve">Evalúa el servicio que ofrece la Agencia por el canal de atención de PQRSD en el siguiente </w:t>
      </w:r>
      <w:proofErr w:type="gramStart"/>
      <w:r w:rsidRPr="007D4A74">
        <w:rPr>
          <w:rFonts w:ascii="Verdana" w:hAnsi="Verdana"/>
        </w:rPr>
        <w:t>enlace :</w:t>
      </w:r>
      <w:proofErr w:type="gramEnd"/>
      <w:hyperlink r:id="rId18" w:tgtFrame="_blank" w:tooltip="https://forms.office.com/r/pphywvs2sz" w:history="1">
        <w:r w:rsidRPr="007D4A74">
          <w:rPr>
            <w:rStyle w:val="Hipervnculo"/>
            <w:rFonts w:ascii="Verdana" w:hAnsi="Verdana"/>
          </w:rPr>
          <w:t>https://forms.office.com/r/pPHyWVs2SZ</w:t>
        </w:r>
      </w:hyperlink>
      <w:r w:rsidRPr="007D4A74">
        <w:rPr>
          <w:rFonts w:ascii="Verdana" w:hAnsi="Verdana"/>
        </w:rPr>
        <w:t xml:space="preserve"> .¡Ayúdanos a mejorar porque el compromiso es de todos!</w:t>
      </w:r>
    </w:p>
    <w:p w14:paraId="165327F1" w14:textId="77777777" w:rsidR="009F143C" w:rsidRPr="007D4A74" w:rsidRDefault="009F143C" w:rsidP="009F143C">
      <w:pPr>
        <w:spacing w:after="0" w:line="240" w:lineRule="auto"/>
        <w:rPr>
          <w:rFonts w:ascii="Verdana" w:hAnsi="Verdana"/>
        </w:rPr>
      </w:pPr>
    </w:p>
    <w:p w14:paraId="0F300E8A" w14:textId="77777777" w:rsidR="009F143C" w:rsidRPr="007D4A74" w:rsidRDefault="009F143C" w:rsidP="009F143C">
      <w:pPr>
        <w:spacing w:after="0" w:line="240" w:lineRule="auto"/>
        <w:jc w:val="both"/>
        <w:rPr>
          <w:rFonts w:ascii="Verdana" w:hAnsi="Verdana"/>
        </w:rPr>
      </w:pPr>
      <w:r w:rsidRPr="007D4A74">
        <w:rPr>
          <w:rFonts w:ascii="Verdana" w:hAnsi="Verdana"/>
        </w:rPr>
        <w:t xml:space="preserve">Por último, lo invitamos a seguirnos en las redes sociales en las cuales se difunde información institucional: </w:t>
      </w:r>
    </w:p>
    <w:p w14:paraId="41AA6A46" w14:textId="77777777" w:rsidR="009F143C" w:rsidRPr="007D4A74" w:rsidRDefault="009F143C" w:rsidP="009F143C">
      <w:pPr>
        <w:spacing w:after="0" w:line="240" w:lineRule="auto"/>
        <w:jc w:val="both"/>
        <w:rPr>
          <w:rFonts w:ascii="Verdana" w:hAnsi="Verdana"/>
        </w:rPr>
      </w:pPr>
    </w:p>
    <w:p w14:paraId="41BBC45D" w14:textId="77777777" w:rsidR="009F143C" w:rsidRPr="007D4A74" w:rsidRDefault="009F143C" w:rsidP="009F143C">
      <w:pPr>
        <w:spacing w:after="0" w:line="240" w:lineRule="auto"/>
        <w:jc w:val="both"/>
        <w:rPr>
          <w:rFonts w:ascii="Verdana" w:hAnsi="Verdana"/>
        </w:rPr>
      </w:pPr>
      <w:r w:rsidRPr="007D4A74">
        <w:rPr>
          <w:rFonts w:ascii="Verdana" w:hAnsi="Verdana"/>
        </w:rPr>
        <w:t xml:space="preserve">Twitter: </w:t>
      </w:r>
      <w:r w:rsidRPr="007D4A74">
        <w:rPr>
          <w:rStyle w:val="Hipervnculo"/>
          <w:rFonts w:ascii="Verdana" w:hAnsi="Verdana"/>
        </w:rPr>
        <w:t>@colombiacompra</w:t>
      </w:r>
      <w:r w:rsidRPr="007D4A74">
        <w:rPr>
          <w:rFonts w:ascii="Verdana" w:hAnsi="Verdana"/>
        </w:rPr>
        <w:t xml:space="preserve"> </w:t>
      </w:r>
    </w:p>
    <w:p w14:paraId="5B6901D2" w14:textId="77777777" w:rsidR="009F143C" w:rsidRPr="007D4A74" w:rsidRDefault="009F143C" w:rsidP="009F143C">
      <w:pPr>
        <w:spacing w:after="0" w:line="240" w:lineRule="auto"/>
        <w:jc w:val="both"/>
        <w:rPr>
          <w:rFonts w:ascii="Verdana" w:hAnsi="Verdana"/>
        </w:rPr>
      </w:pPr>
      <w:r w:rsidRPr="007D4A74">
        <w:rPr>
          <w:rFonts w:ascii="Verdana" w:hAnsi="Verdana"/>
        </w:rPr>
        <w:t xml:space="preserve">Facebook: </w:t>
      </w:r>
      <w:r w:rsidRPr="007D4A74">
        <w:rPr>
          <w:rStyle w:val="Hipervnculo"/>
          <w:rFonts w:ascii="Verdana" w:hAnsi="Verdana"/>
        </w:rPr>
        <w:t>ColombiaCompraEficiente</w:t>
      </w:r>
    </w:p>
    <w:p w14:paraId="6677AD8D" w14:textId="77777777" w:rsidR="009F143C" w:rsidRPr="007D4A74" w:rsidRDefault="009F143C" w:rsidP="009F143C">
      <w:pPr>
        <w:spacing w:after="0" w:line="240" w:lineRule="auto"/>
        <w:jc w:val="both"/>
        <w:rPr>
          <w:rFonts w:ascii="Verdana" w:hAnsi="Verdana"/>
        </w:rPr>
      </w:pPr>
      <w:r w:rsidRPr="007D4A74">
        <w:rPr>
          <w:rFonts w:ascii="Verdana" w:hAnsi="Verdana"/>
        </w:rPr>
        <w:t xml:space="preserve">LinkedIn: </w:t>
      </w:r>
      <w:r w:rsidRPr="007D4A74">
        <w:rPr>
          <w:rStyle w:val="Hipervnculo"/>
          <w:rFonts w:ascii="Verdana" w:hAnsi="Verdana"/>
        </w:rPr>
        <w:t>Agencia Nacional de Contratación Pública - Colombia Compra Eficiente</w:t>
      </w:r>
      <w:r w:rsidRPr="007D4A74">
        <w:rPr>
          <w:rFonts w:ascii="Verdana" w:hAnsi="Verdana"/>
        </w:rPr>
        <w:t xml:space="preserve"> Instagram: </w:t>
      </w:r>
      <w:r w:rsidRPr="007D4A74">
        <w:rPr>
          <w:rStyle w:val="Hipervnculo"/>
          <w:rFonts w:ascii="Verdana" w:hAnsi="Verdana"/>
        </w:rPr>
        <w:t>@colombiacompraeficiente_cce</w:t>
      </w:r>
    </w:p>
    <w:p w14:paraId="1849F961" w14:textId="77777777" w:rsidR="009F143C" w:rsidRPr="007D4A74" w:rsidRDefault="009F143C" w:rsidP="009F143C">
      <w:pPr>
        <w:shd w:val="clear" w:color="auto" w:fill="FFFFFF"/>
        <w:spacing w:after="0" w:line="276" w:lineRule="auto"/>
        <w:jc w:val="both"/>
        <w:rPr>
          <w:rFonts w:ascii="Verdana" w:hAnsi="Verdana" w:cs="Arial"/>
          <w:color w:val="FF0000"/>
          <w:shd w:val="clear" w:color="auto" w:fill="FFFFFF"/>
          <w:lang w:val="es-ES_tradnl"/>
        </w:rPr>
      </w:pPr>
      <w:r w:rsidRPr="007D4A74">
        <w:rPr>
          <w:rFonts w:ascii="Verdana" w:hAnsi="Verdana" w:cs="Arial"/>
          <w:color w:val="000000" w:themeColor="text1"/>
          <w:shd w:val="clear" w:color="auto" w:fill="FFFFFF"/>
          <w:lang w:val="es-ES_tradnl"/>
        </w:rPr>
        <w:t xml:space="preserve"> </w:t>
      </w:r>
      <w:r w:rsidRPr="007D4A74">
        <w:rPr>
          <w:rStyle w:val="normaltextrun"/>
          <w:rFonts w:ascii="Verdana" w:hAnsi="Verdana" w:cs="Arial"/>
          <w:color w:val="FF0000"/>
          <w:shd w:val="clear" w:color="auto" w:fill="FFFFFF"/>
          <w:lang w:val="es-ES_tradnl"/>
        </w:rPr>
        <w:t xml:space="preserve">        </w:t>
      </w:r>
    </w:p>
    <w:p w14:paraId="68F0BB14" w14:textId="77777777" w:rsidR="009F143C" w:rsidRPr="007D4A74" w:rsidRDefault="009F143C" w:rsidP="009F143C">
      <w:pPr>
        <w:widowControl w:val="0"/>
        <w:autoSpaceDE w:val="0"/>
        <w:autoSpaceDN w:val="0"/>
        <w:spacing w:after="0" w:line="276" w:lineRule="auto"/>
        <w:jc w:val="both"/>
        <w:rPr>
          <w:rFonts w:ascii="Verdana" w:hAnsi="Verdana" w:cs="Arial"/>
          <w:lang w:val="es-ES_tradnl"/>
        </w:rPr>
      </w:pPr>
      <w:r w:rsidRPr="007D4A74">
        <w:rPr>
          <w:rFonts w:ascii="Verdana" w:hAnsi="Verdana" w:cs="Arial"/>
        </w:rPr>
        <w:t xml:space="preserve">Este concepto tiene el alcance previsto en el artículo 28 del Código de Procedimiento Administrativo y de lo Contencioso Administrativo </w:t>
      </w:r>
      <w:r w:rsidRPr="007D4A74">
        <w:rPr>
          <w:rFonts w:ascii="Verdana" w:hAnsi="Verdana" w:cs="Arial"/>
          <w:lang w:val="es-ES_tradnl"/>
        </w:rPr>
        <w:t>y las expresiones aquí utilizadas con mayúscula inicial deben ser entendidas con el significado que les otorga el artículo 2.2.1.1.1.3.1. del Decreto 1082 de 2015.</w:t>
      </w:r>
    </w:p>
    <w:p w14:paraId="7645DAFC" w14:textId="77777777" w:rsidR="009F143C" w:rsidRPr="007D4A74" w:rsidRDefault="009F143C" w:rsidP="009F143C">
      <w:pPr>
        <w:widowControl w:val="0"/>
        <w:autoSpaceDE w:val="0"/>
        <w:autoSpaceDN w:val="0"/>
        <w:spacing w:after="0" w:line="276" w:lineRule="auto"/>
        <w:jc w:val="both"/>
        <w:rPr>
          <w:rFonts w:ascii="Verdana" w:hAnsi="Verdana" w:cs="Arial"/>
        </w:rPr>
      </w:pPr>
    </w:p>
    <w:p w14:paraId="70EEE4E3" w14:textId="77777777" w:rsidR="009F143C" w:rsidRPr="007D4A74" w:rsidRDefault="009F143C" w:rsidP="009F143C">
      <w:pPr>
        <w:spacing w:after="0" w:line="240" w:lineRule="auto"/>
        <w:rPr>
          <w:rFonts w:ascii="Verdana" w:hAnsi="Verdana" w:cs="Arial"/>
          <w:lang w:eastAsia="es-CO"/>
        </w:rPr>
      </w:pPr>
      <w:r w:rsidRPr="007D4A74">
        <w:rPr>
          <w:rFonts w:ascii="Verdana" w:eastAsia="Times New Roman" w:hAnsi="Verdana" w:cs="Arial"/>
          <w:lang w:eastAsia="es-CO"/>
        </w:rPr>
        <w:t>Atentamente,</w:t>
      </w:r>
      <w:r w:rsidRPr="007D4A74">
        <w:rPr>
          <w:rFonts w:ascii="Verdana" w:hAnsi="Verdana" w:cs="Arial"/>
          <w:lang w:eastAsia="es-CO"/>
        </w:rPr>
        <w:t xml:space="preserve"> </w:t>
      </w:r>
    </w:p>
    <w:p w14:paraId="17CFD5AC" w14:textId="77777777" w:rsidR="009F143C" w:rsidRDefault="009F143C" w:rsidP="009F143C">
      <w:pPr>
        <w:rPr>
          <w:rFonts w:ascii="Verdana" w:hAnsi="Verdana" w:cs="Arial"/>
          <w:sz w:val="16"/>
          <w:szCs w:val="16"/>
          <w:lang w:val="es-ES" w:eastAsia="es-ES"/>
        </w:rPr>
      </w:pPr>
    </w:p>
    <w:p w14:paraId="1B44EF0B" w14:textId="15683FD1" w:rsidR="009F143C" w:rsidRPr="00915417" w:rsidRDefault="00A33237" w:rsidP="009F143C">
      <w:pPr>
        <w:spacing w:line="276" w:lineRule="auto"/>
        <w:jc w:val="center"/>
        <w:rPr>
          <w:rFonts w:ascii="Verdana" w:hAnsi="Verdana" w:cs="Arial"/>
          <w:color w:val="000000"/>
          <w:lang w:eastAsia="es-CO"/>
        </w:rPr>
      </w:pPr>
      <w:r>
        <w:rPr>
          <w:noProof/>
        </w:rPr>
        <w:drawing>
          <wp:inline distT="0" distB="0" distL="0" distR="0" wp14:anchorId="5B64F9C9" wp14:editId="4BCF6B16">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9F143C" w:rsidRPr="00214793" w14:paraId="71C5826C" w14:textId="77777777" w:rsidTr="00C532C8">
        <w:trPr>
          <w:trHeight w:val="315"/>
        </w:trPr>
        <w:tc>
          <w:tcPr>
            <w:tcW w:w="893" w:type="dxa"/>
            <w:vAlign w:val="center"/>
            <w:hideMark/>
          </w:tcPr>
          <w:p w14:paraId="3E933E61" w14:textId="77777777" w:rsidR="009F143C" w:rsidRPr="00214793" w:rsidRDefault="009F143C"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1CCF0B9" w14:textId="77777777" w:rsidR="009F143C" w:rsidRPr="00214793" w:rsidRDefault="009F143C" w:rsidP="00C532C8">
            <w:pPr>
              <w:spacing w:after="255" w:line="254" w:lineRule="auto"/>
              <w:contextualSpacing/>
              <w:rPr>
                <w:rFonts w:ascii="Verdana" w:eastAsia="Calibri" w:hAnsi="Verdana" w:cs="Times New Roman"/>
                <w:sz w:val="16"/>
                <w:szCs w:val="16"/>
              </w:rPr>
            </w:pPr>
            <w:r w:rsidRPr="00214793">
              <w:rPr>
                <w:rFonts w:ascii="Verdana" w:eastAsia="Calibri" w:hAnsi="Verdana" w:cs="Times New Roman"/>
                <w:sz w:val="16"/>
                <w:szCs w:val="16"/>
              </w:rPr>
              <w:t>Tatiana Baquero Iguarán</w:t>
            </w:r>
          </w:p>
          <w:p w14:paraId="1E3BA8C0" w14:textId="77777777" w:rsidR="009F143C" w:rsidRPr="00214793" w:rsidRDefault="009F143C" w:rsidP="00C532C8">
            <w:pPr>
              <w:spacing w:after="255" w:line="254" w:lineRule="auto"/>
              <w:contextualSpacing/>
              <w:rPr>
                <w:rFonts w:ascii="Verdana" w:hAnsi="Verdana"/>
                <w:sz w:val="16"/>
                <w:szCs w:val="16"/>
              </w:rPr>
            </w:pPr>
            <w:r w:rsidRPr="00214793">
              <w:rPr>
                <w:rFonts w:ascii="Verdana" w:eastAsia="Calibri" w:hAnsi="Verdana" w:cs="Times New Roman"/>
                <w:sz w:val="16"/>
                <w:szCs w:val="16"/>
              </w:rPr>
              <w:t>Contratista de la Subdirección de Gestión Contractual</w:t>
            </w:r>
          </w:p>
        </w:tc>
      </w:tr>
      <w:tr w:rsidR="009F143C" w:rsidRPr="00214793" w14:paraId="746B6EE2" w14:textId="77777777" w:rsidTr="00C532C8">
        <w:trPr>
          <w:trHeight w:val="330"/>
        </w:trPr>
        <w:tc>
          <w:tcPr>
            <w:tcW w:w="893" w:type="dxa"/>
            <w:vAlign w:val="center"/>
            <w:hideMark/>
          </w:tcPr>
          <w:p w14:paraId="41295DAC" w14:textId="77777777" w:rsidR="009F143C" w:rsidRPr="00214793" w:rsidRDefault="009F143C"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FB73D0" w14:textId="77777777" w:rsidR="009F143C" w:rsidRPr="00214793" w:rsidRDefault="009F143C" w:rsidP="00C532C8">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214793">
              <w:rPr>
                <w:rFonts w:ascii="Verdana" w:eastAsia="Times New Roman" w:hAnsi="Verdana"/>
                <w:sz w:val="16"/>
                <w:szCs w:val="16"/>
                <w:lang w:eastAsia="es-ES_tradnl"/>
              </w:rPr>
              <w:t>Alejandro Sarmiento Cantillo</w:t>
            </w:r>
          </w:p>
          <w:p w14:paraId="4B96D4B8" w14:textId="77777777" w:rsidR="009F143C" w:rsidRPr="00214793" w:rsidRDefault="009F143C" w:rsidP="00C532C8">
            <w:pPr>
              <w:spacing w:after="255" w:line="254" w:lineRule="auto"/>
              <w:contextualSpacing/>
              <w:textAlignment w:val="baseline"/>
              <w:rPr>
                <w:rFonts w:ascii="Verdana" w:eastAsia="Times New Roman" w:hAnsi="Verdana" w:cs="Segoe UI"/>
                <w:sz w:val="16"/>
                <w:szCs w:val="16"/>
                <w:lang w:eastAsia="es-ES_tradnl"/>
              </w:rPr>
            </w:pPr>
            <w:r w:rsidRPr="00214793">
              <w:rPr>
                <w:rFonts w:ascii="Verdana" w:eastAsia="Times New Roman" w:hAnsi="Verdana"/>
                <w:sz w:val="16"/>
                <w:szCs w:val="16"/>
                <w:lang w:eastAsia="es-ES_tradnl"/>
              </w:rPr>
              <w:t>Gestor T1 ‒ 15 de la Subdirección de Gestión Contractual </w:t>
            </w:r>
          </w:p>
        </w:tc>
      </w:tr>
      <w:tr w:rsidR="009F143C" w:rsidRPr="00214793" w14:paraId="793A597E" w14:textId="77777777" w:rsidTr="00C532C8">
        <w:trPr>
          <w:trHeight w:val="300"/>
        </w:trPr>
        <w:tc>
          <w:tcPr>
            <w:tcW w:w="893" w:type="dxa"/>
            <w:vAlign w:val="center"/>
            <w:hideMark/>
          </w:tcPr>
          <w:p w14:paraId="5889BE59" w14:textId="77777777" w:rsidR="009F143C" w:rsidRPr="00214793" w:rsidRDefault="009F143C" w:rsidP="00C532C8">
            <w:pPr>
              <w:spacing w:after="255" w:line="254" w:lineRule="auto"/>
              <w:contextualSpacing/>
              <w:rPr>
                <w:rFonts w:ascii="Verdana" w:eastAsia="Calibri" w:hAnsi="Verdana"/>
                <w:sz w:val="16"/>
                <w:szCs w:val="16"/>
                <w:lang w:eastAsia="es-ES"/>
              </w:rPr>
            </w:pPr>
            <w:r w:rsidRPr="00214793">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584C0D" w14:textId="77777777" w:rsidR="009F143C" w:rsidRPr="00214793" w:rsidRDefault="009F143C" w:rsidP="00C532C8">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val="pt-BR" w:eastAsia="es-ES"/>
              </w:rPr>
              <w:t>Carolina Quintero Gacharná</w:t>
            </w:r>
          </w:p>
          <w:p w14:paraId="516A61E4" w14:textId="77777777" w:rsidR="009F143C" w:rsidRPr="00214793" w:rsidRDefault="009F143C" w:rsidP="00C532C8">
            <w:pPr>
              <w:spacing w:after="255" w:line="254" w:lineRule="auto"/>
              <w:contextualSpacing/>
              <w:rPr>
                <w:rFonts w:ascii="Verdana" w:eastAsia="Calibri" w:hAnsi="Verdana"/>
                <w:sz w:val="16"/>
                <w:szCs w:val="16"/>
                <w:lang w:val="pt-BR" w:eastAsia="es-ES"/>
              </w:rPr>
            </w:pPr>
            <w:r w:rsidRPr="00214793">
              <w:rPr>
                <w:rFonts w:ascii="Verdana" w:eastAsia="Calibri" w:hAnsi="Verdana"/>
                <w:sz w:val="16"/>
                <w:szCs w:val="16"/>
                <w:lang w:eastAsia="es-ES"/>
              </w:rPr>
              <w:t>Subdirectora</w:t>
            </w:r>
            <w:r w:rsidRPr="00214793">
              <w:rPr>
                <w:rFonts w:ascii="Verdana" w:eastAsia="Calibri" w:hAnsi="Verdana"/>
                <w:sz w:val="16"/>
                <w:szCs w:val="16"/>
                <w:lang w:val="pt-BR" w:eastAsia="es-ES"/>
              </w:rPr>
              <w:t xml:space="preserve"> de Gestión Contratual ANCP – CCE</w:t>
            </w:r>
          </w:p>
        </w:tc>
      </w:tr>
    </w:tbl>
    <w:p w14:paraId="4E8825AB" w14:textId="77777777" w:rsidR="009F143C" w:rsidRPr="00BD208D" w:rsidRDefault="009F143C" w:rsidP="009F143C"/>
    <w:p w14:paraId="5819E45E" w14:textId="77777777" w:rsidR="009F143C" w:rsidRDefault="009F143C" w:rsidP="009F143C">
      <w:pPr>
        <w:spacing w:after="0" w:line="240" w:lineRule="auto"/>
        <w:jc w:val="both"/>
        <w:textAlignment w:val="baseline"/>
        <w:rPr>
          <w:rFonts w:ascii="Verdana" w:eastAsia="Verdana" w:hAnsi="Verdana" w:cs="Verdana"/>
          <w:lang w:eastAsia="es-CO"/>
        </w:rPr>
      </w:pPr>
    </w:p>
    <w:p w14:paraId="745ABC6B" w14:textId="77777777" w:rsidR="009F143C" w:rsidRPr="000E2B93" w:rsidRDefault="009F143C" w:rsidP="009F143C">
      <w:pPr>
        <w:spacing w:after="0" w:line="240" w:lineRule="auto"/>
        <w:jc w:val="both"/>
        <w:textAlignment w:val="baseline"/>
        <w:rPr>
          <w:rFonts w:ascii="Verdana" w:eastAsia="Verdana" w:hAnsi="Verdana" w:cs="Verdana"/>
          <w:lang w:eastAsia="es-CO"/>
        </w:rPr>
      </w:pPr>
    </w:p>
    <w:p w14:paraId="57FB3FA5" w14:textId="24018C9D" w:rsidR="009F143C" w:rsidRPr="000E2B93" w:rsidRDefault="009F143C" w:rsidP="009F143C">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5CC570A3" w14:textId="77777777" w:rsidR="009F143C" w:rsidRDefault="009F143C" w:rsidP="009F143C">
      <w:pPr>
        <w:spacing w:after="0" w:line="240" w:lineRule="auto"/>
        <w:textAlignment w:val="baseline"/>
        <w:rPr>
          <w:rFonts w:ascii="Verdana" w:eastAsia="Verdana" w:hAnsi="Verdana" w:cs="Verdana"/>
          <w:b/>
          <w:bCs/>
          <w:lang w:val="es-MX" w:eastAsia="es-CO"/>
        </w:rPr>
      </w:pPr>
    </w:p>
    <w:p w14:paraId="0D83B565" w14:textId="77777777" w:rsidR="002E1881" w:rsidRPr="009F143C" w:rsidRDefault="002E1881" w:rsidP="009F143C"/>
    <w:sectPr w:rsidR="002E1881" w:rsidRPr="009F143C"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D4DE" w14:textId="77777777" w:rsidR="00BD5AF1" w:rsidRDefault="00BD5AF1" w:rsidP="004A1847">
      <w:pPr>
        <w:spacing w:after="0" w:line="240" w:lineRule="auto"/>
      </w:pPr>
      <w:r>
        <w:separator/>
      </w:r>
    </w:p>
  </w:endnote>
  <w:endnote w:type="continuationSeparator" w:id="0">
    <w:p w14:paraId="4FDBAE02" w14:textId="77777777" w:rsidR="00BD5AF1" w:rsidRDefault="00BD5AF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01D4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E01D4B">
      <w:rPr>
        <w:rFonts w:ascii="Verdana" w:eastAsia="Verdana" w:hAnsi="Verdana" w:cs="Verdana"/>
        <w:b/>
        <w:color w:val="000000" w:themeColor="text1"/>
        <w:sz w:val="18"/>
        <w:szCs w:val="18"/>
        <w:lang w:val="pt-BR" w:eastAsia="es-CO"/>
      </w:rPr>
      <w:t xml:space="preserve">Código: </w:t>
    </w:r>
    <w:r w:rsidRPr="00E01D4B">
      <w:rPr>
        <w:rFonts w:ascii="Verdana" w:eastAsia="Verdana" w:hAnsi="Verdana" w:cs="Verdana"/>
        <w:color w:val="000000" w:themeColor="text1"/>
        <w:sz w:val="18"/>
        <w:szCs w:val="18"/>
        <w:lang w:val="pt-BR" w:eastAsia="es-CO"/>
      </w:rPr>
      <w:t xml:space="preserve">CCE-REC-FM-17 </w:t>
    </w:r>
    <w:r w:rsidRPr="00E01D4B">
      <w:rPr>
        <w:rFonts w:ascii="Verdana" w:eastAsia="Verdana" w:hAnsi="Verdana" w:cs="Verdana"/>
        <w:b/>
        <w:color w:val="000000" w:themeColor="text1"/>
        <w:sz w:val="18"/>
        <w:szCs w:val="18"/>
        <w:lang w:val="pt-BR" w:eastAsia="es-CO"/>
      </w:rPr>
      <w:t xml:space="preserve">V: </w:t>
    </w:r>
    <w:r w:rsidRPr="00E01D4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14711" w14:textId="77777777" w:rsidR="00BD5AF1" w:rsidRDefault="00BD5AF1" w:rsidP="004A1847">
      <w:pPr>
        <w:spacing w:after="0" w:line="240" w:lineRule="auto"/>
      </w:pPr>
      <w:r>
        <w:separator/>
      </w:r>
    </w:p>
  </w:footnote>
  <w:footnote w:type="continuationSeparator" w:id="0">
    <w:p w14:paraId="6C5B9FC1" w14:textId="77777777" w:rsidR="00BD5AF1" w:rsidRDefault="00BD5AF1" w:rsidP="004A1847">
      <w:pPr>
        <w:spacing w:after="0" w:line="240" w:lineRule="auto"/>
      </w:pPr>
      <w:r>
        <w:continuationSeparator/>
      </w:r>
    </w:p>
  </w:footnote>
  <w:footnote w:id="1">
    <w:p w14:paraId="16945DD6" w14:textId="77777777" w:rsidR="009F143C" w:rsidRPr="00D20DBC" w:rsidRDefault="009F143C" w:rsidP="009F143C">
      <w:pPr>
        <w:pStyle w:val="NormalWeb"/>
        <w:spacing w:before="0" w:beforeAutospacing="0" w:after="0" w:afterAutospacing="0"/>
        <w:ind w:firstLine="708"/>
        <w:jc w:val="both"/>
        <w:rPr>
          <w:rFonts w:ascii="Verdana" w:hAnsi="Verdana" w:cs="Arial"/>
          <w:color w:val="000000"/>
          <w:sz w:val="16"/>
          <w:szCs w:val="16"/>
        </w:rPr>
      </w:pPr>
      <w:r w:rsidRPr="00D20DBC">
        <w:rPr>
          <w:rStyle w:val="Refdenotaalpie"/>
          <w:rFonts w:ascii="Verdana" w:hAnsi="Verdana"/>
          <w:sz w:val="16"/>
          <w:szCs w:val="16"/>
        </w:rPr>
        <w:footnoteRef/>
      </w:r>
      <w:r w:rsidRPr="00D20DBC">
        <w:rPr>
          <w:rFonts w:ascii="Verdana" w:hAnsi="Verdana"/>
          <w:sz w:val="16"/>
          <w:szCs w:val="16"/>
        </w:rPr>
        <w:t xml:space="preserve"> “</w:t>
      </w:r>
      <w:r w:rsidRPr="00715242">
        <w:rPr>
          <w:rStyle w:val="Fuerte"/>
          <w:rFonts w:ascii="Verdana" w:eastAsiaTheme="minorEastAsia" w:hAnsi="Verdana" w:cs="Arial"/>
          <w:b w:val="0"/>
          <w:bCs w:val="0"/>
          <w:color w:val="000000"/>
          <w:sz w:val="16"/>
          <w:szCs w:val="16"/>
        </w:rPr>
        <w:t>Artículo 200.</w:t>
      </w:r>
      <w:r w:rsidRPr="00D20DBC">
        <w:rPr>
          <w:rStyle w:val="Fuerte"/>
          <w:rFonts w:ascii="Verdana" w:eastAsiaTheme="minorEastAsia" w:hAnsi="Verdana" w:cs="Arial"/>
          <w:color w:val="000000"/>
          <w:sz w:val="16"/>
          <w:szCs w:val="16"/>
        </w:rPr>
        <w:t xml:space="preserve"> </w:t>
      </w:r>
      <w:r w:rsidRPr="00D20DBC">
        <w:rPr>
          <w:rStyle w:val="nfasis"/>
          <w:rFonts w:ascii="Verdana" w:hAnsi="Verdana" w:cs="Arial"/>
          <w:color w:val="000000"/>
          <w:sz w:val="16"/>
          <w:szCs w:val="16"/>
        </w:rPr>
        <w:t>Estrategia nacional de lucha contra la corrupción</w:t>
      </w:r>
      <w:r w:rsidRPr="00D20DBC">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54E0951C" w14:textId="77777777" w:rsidR="009F143C" w:rsidRPr="00D20DBC" w:rsidRDefault="009F143C" w:rsidP="009F143C">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46C5401E" w14:textId="77777777" w:rsidR="009F143C" w:rsidRPr="00D20DBC" w:rsidRDefault="009F143C" w:rsidP="009F143C">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18399CC9" w14:textId="77777777" w:rsidR="009F143C" w:rsidRPr="00D20DBC" w:rsidRDefault="009F143C" w:rsidP="009F143C">
      <w:pPr>
        <w:pStyle w:val="NormalWeb"/>
        <w:spacing w:before="0" w:beforeAutospacing="0" w:after="0" w:afterAutospacing="0"/>
        <w:ind w:firstLine="708"/>
        <w:jc w:val="both"/>
        <w:rPr>
          <w:rFonts w:ascii="Verdana" w:hAnsi="Verdana" w:cs="Arial"/>
          <w:color w:val="000000"/>
          <w:sz w:val="16"/>
          <w:szCs w:val="16"/>
        </w:rPr>
      </w:pPr>
      <w:r w:rsidRPr="00D20DBC">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75409558" w14:textId="77777777" w:rsidR="009F143C" w:rsidRPr="00715242" w:rsidRDefault="009F143C" w:rsidP="009F143C">
      <w:pPr>
        <w:pStyle w:val="NormalWeb"/>
        <w:spacing w:before="0" w:beforeAutospacing="0" w:after="0" w:afterAutospacing="0"/>
        <w:ind w:firstLine="708"/>
        <w:jc w:val="both"/>
        <w:rPr>
          <w:rFonts w:ascii="Verdana" w:hAnsi="Verdana" w:cs="Arial"/>
          <w:color w:val="000000"/>
          <w:sz w:val="16"/>
          <w:szCs w:val="16"/>
        </w:rPr>
      </w:pPr>
      <w:r w:rsidRPr="00715242">
        <w:rPr>
          <w:rStyle w:val="Fuerte"/>
          <w:rFonts w:ascii="Verdana" w:eastAsiaTheme="minorEastAsia" w:hAnsi="Verdana" w:cs="Arial"/>
          <w:b w:val="0"/>
          <w:bCs w:val="0"/>
          <w:color w:val="000000"/>
          <w:sz w:val="16"/>
          <w:szCs w:val="16"/>
        </w:rPr>
        <w:t>Parágrafo 1°.</w:t>
      </w:r>
      <w:r w:rsidRPr="00715242">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49AE585D" w14:textId="77777777" w:rsidR="009F143C" w:rsidRPr="00715242" w:rsidRDefault="009F143C" w:rsidP="009F143C">
      <w:pPr>
        <w:pStyle w:val="NormalWeb"/>
        <w:spacing w:before="0" w:beforeAutospacing="0" w:after="0" w:afterAutospacing="0"/>
        <w:ind w:firstLine="708"/>
        <w:jc w:val="both"/>
        <w:rPr>
          <w:rFonts w:ascii="Verdana" w:hAnsi="Verdana" w:cs="Arial"/>
          <w:color w:val="000000"/>
          <w:sz w:val="16"/>
          <w:szCs w:val="16"/>
        </w:rPr>
      </w:pPr>
      <w:r w:rsidRPr="00715242">
        <w:rPr>
          <w:rStyle w:val="Fuerte"/>
          <w:rFonts w:ascii="Verdana" w:eastAsiaTheme="minorEastAsia" w:hAnsi="Verdana" w:cs="Arial"/>
          <w:b w:val="0"/>
          <w:bCs w:val="0"/>
          <w:color w:val="000000"/>
          <w:sz w:val="16"/>
          <w:szCs w:val="16"/>
        </w:rPr>
        <w:t>Parágrafo 2°.</w:t>
      </w:r>
      <w:r w:rsidRPr="00715242">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4080CA51" w14:textId="77777777" w:rsidR="009F143C" w:rsidRPr="00D20DBC" w:rsidRDefault="009F143C" w:rsidP="009F143C">
      <w:pPr>
        <w:pStyle w:val="NormalWeb"/>
        <w:spacing w:before="0" w:beforeAutospacing="0" w:after="0" w:afterAutospacing="0"/>
        <w:ind w:firstLine="708"/>
        <w:jc w:val="both"/>
        <w:rPr>
          <w:rFonts w:ascii="Verdana" w:hAnsi="Verdana" w:cs="Arial"/>
          <w:color w:val="000000"/>
          <w:sz w:val="16"/>
          <w:szCs w:val="16"/>
        </w:rPr>
      </w:pPr>
      <w:r w:rsidRPr="00715242">
        <w:rPr>
          <w:rStyle w:val="Fuerte"/>
          <w:rFonts w:ascii="Verdana" w:eastAsiaTheme="minorEastAsia" w:hAnsi="Verdana" w:cs="Arial"/>
          <w:b w:val="0"/>
          <w:bCs w:val="0"/>
          <w:color w:val="000000"/>
          <w:sz w:val="16"/>
          <w:szCs w:val="16"/>
        </w:rPr>
        <w:t>Parágrafo 3</w:t>
      </w:r>
      <w:r w:rsidRPr="00D20DBC">
        <w:rPr>
          <w:rStyle w:val="Fuerte"/>
          <w:rFonts w:ascii="Verdana" w:eastAsiaTheme="minorEastAsia" w:hAnsi="Verdana" w:cs="Arial"/>
          <w:color w:val="000000"/>
          <w:sz w:val="16"/>
          <w:szCs w:val="16"/>
        </w:rPr>
        <w:t>°.</w:t>
      </w:r>
      <w:r w:rsidRPr="00D20DBC">
        <w:rPr>
          <w:rFonts w:ascii="Verdana" w:hAnsi="Verdana" w:cs="Arial"/>
          <w:color w:val="000000"/>
          <w:sz w:val="16"/>
          <w:szCs w:val="16"/>
        </w:rPr>
        <w:t> Dentro del año siguiente a la entrada en vigor de la presente ley, el Gobierno nacional formulará y adoptará la Estrategia Nacional de Lucha Contra la Corrupción”.</w:t>
      </w:r>
    </w:p>
  </w:footnote>
  <w:footnote w:id="2">
    <w:p w14:paraId="27DE59CC" w14:textId="77777777" w:rsidR="009F143C" w:rsidRPr="00D20DBC" w:rsidRDefault="009F143C" w:rsidP="009F143C">
      <w:pPr>
        <w:spacing w:after="0" w:line="240" w:lineRule="auto"/>
        <w:ind w:firstLine="709"/>
        <w:jc w:val="both"/>
        <w:rPr>
          <w:rFonts w:ascii="Verdana" w:eastAsia="Calibri" w:hAnsi="Verdana" w:cs="Arial"/>
          <w:sz w:val="16"/>
          <w:szCs w:val="16"/>
          <w:lang w:eastAsia="es-ES_tradnl"/>
        </w:rPr>
      </w:pPr>
      <w:r w:rsidRPr="00D20DBC">
        <w:rPr>
          <w:rStyle w:val="Refdenotaalpie"/>
          <w:rFonts w:ascii="Verdana" w:hAnsi="Verdana"/>
          <w:sz w:val="16"/>
          <w:szCs w:val="16"/>
        </w:rPr>
        <w:footnoteRef/>
      </w:r>
      <w:r w:rsidRPr="00D20DBC">
        <w:rPr>
          <w:rFonts w:ascii="Verdana" w:hAnsi="Verdana"/>
          <w:sz w:val="16"/>
          <w:szCs w:val="16"/>
        </w:rPr>
        <w:t xml:space="preserve"> “</w:t>
      </w:r>
      <w:r w:rsidRPr="00D20DBC">
        <w:rPr>
          <w:rFonts w:ascii="Verdana" w:eastAsia="Calibri" w:hAnsi="Verdana" w:cs="Arial"/>
          <w:iCs/>
          <w:sz w:val="16"/>
          <w:szCs w:val="16"/>
          <w:lang w:eastAsia="es-ES_tradnl"/>
        </w:rPr>
        <w:t>Artículo 2.1.4.3.1.2. Ámbito de aplicación. Las disposiciones de este Capítulo rigen en todo el territorio nacional y se aplicarán en todos los organismos, entidades y empresas del Estado del orden nacional y pertenecientes a la Rama Ejecutiva del Poder Público. </w:t>
      </w:r>
      <w:r w:rsidRPr="00D20DBC">
        <w:rPr>
          <w:rFonts w:ascii="Verdana" w:eastAsia="Calibri" w:hAnsi="Verdana" w:cs="Arial"/>
          <w:sz w:val="16"/>
          <w:szCs w:val="16"/>
          <w:lang w:eastAsia="es-ES_tradnl"/>
        </w:rPr>
        <w:t> </w:t>
      </w:r>
    </w:p>
    <w:p w14:paraId="1827AED2" w14:textId="77777777" w:rsidR="009F143C" w:rsidRPr="00D20DBC" w:rsidRDefault="009F143C" w:rsidP="009F143C">
      <w:pPr>
        <w:spacing w:after="0" w:line="240" w:lineRule="auto"/>
        <w:ind w:firstLine="709"/>
        <w:jc w:val="both"/>
        <w:rPr>
          <w:rFonts w:ascii="Verdana" w:eastAsia="Calibri" w:hAnsi="Verdana" w:cs="Arial"/>
          <w:sz w:val="16"/>
          <w:szCs w:val="16"/>
          <w:lang w:eastAsia="es-ES_tradnl"/>
        </w:rPr>
      </w:pPr>
      <w:r w:rsidRPr="00D20DBC">
        <w:rPr>
          <w:rFonts w:ascii="Verdana" w:eastAsia="Calibri" w:hAnsi="Verdana" w:cs="Arial"/>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456A5B3F" w14:textId="77777777" w:rsidR="009F143C" w:rsidRPr="00D20DBC" w:rsidRDefault="009F143C" w:rsidP="009F143C">
      <w:pPr>
        <w:spacing w:after="0" w:line="240" w:lineRule="auto"/>
        <w:ind w:firstLine="709"/>
        <w:jc w:val="both"/>
        <w:rPr>
          <w:rFonts w:ascii="Verdana" w:eastAsia="Calibri" w:hAnsi="Verdana" w:cs="Arial"/>
          <w:sz w:val="16"/>
          <w:szCs w:val="16"/>
          <w:lang w:eastAsia="es-ES_tradnl"/>
        </w:rPr>
      </w:pPr>
      <w:r w:rsidRPr="00D20DBC">
        <w:rPr>
          <w:rFonts w:ascii="Verdana" w:eastAsia="Calibri" w:hAnsi="Verdana" w:cs="Arial"/>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footnote>
  <w:footnote w:id="3">
    <w:p w14:paraId="1C3B5921" w14:textId="77777777" w:rsidR="009F143C" w:rsidRPr="00D20DBC" w:rsidRDefault="009F143C" w:rsidP="009F143C">
      <w:pPr>
        <w:pStyle w:val="Textonotapie"/>
        <w:ind w:firstLine="708"/>
        <w:jc w:val="both"/>
        <w:rPr>
          <w:rFonts w:ascii="Verdana" w:hAnsi="Verdana"/>
          <w:sz w:val="16"/>
          <w:szCs w:val="16"/>
        </w:rPr>
      </w:pPr>
      <w:r w:rsidRPr="00D20DBC">
        <w:rPr>
          <w:rStyle w:val="Refdenotaalpie"/>
          <w:rFonts w:ascii="Verdana" w:hAnsi="Verdana"/>
          <w:sz w:val="16"/>
          <w:szCs w:val="16"/>
        </w:rPr>
        <w:footnoteRef/>
      </w:r>
      <w:r w:rsidRPr="00D20DBC">
        <w:rPr>
          <w:rFonts w:ascii="Verdana" w:hAnsi="Verdana"/>
          <w:sz w:val="16"/>
          <w:szCs w:val="16"/>
        </w:rPr>
        <w:t xml:space="preserve"> El Código de Comercio dispone lo siguiente: </w:t>
      </w:r>
    </w:p>
    <w:p w14:paraId="2BD70747" w14:textId="77777777" w:rsidR="009F143C" w:rsidRPr="00D20DBC" w:rsidRDefault="009F143C" w:rsidP="009F143C">
      <w:pPr>
        <w:pStyle w:val="Textonotapie"/>
        <w:ind w:firstLine="708"/>
        <w:jc w:val="both"/>
        <w:rPr>
          <w:rFonts w:ascii="Verdana" w:hAnsi="Verdana"/>
          <w:sz w:val="16"/>
          <w:szCs w:val="16"/>
        </w:rPr>
      </w:pPr>
      <w:r w:rsidRPr="00D20DBC">
        <w:rPr>
          <w:rFonts w:ascii="Verdana" w:hAnsi="Verdana"/>
          <w:sz w:val="16"/>
          <w:szCs w:val="16"/>
        </w:rPr>
        <w:t>“Artículo 260. SUBORDINACIÓN. Una sociedad será subordinada o controlada cuando su poder de decisión se encuentre sometido a la voluntad de otra u otras personas que serán su matriz o control ante, bien sea directamente, caso en el cual aquélla se denominará filial o con el concurso o por intermedio de las subordinadas de la matriz, en cuyo caso se llamará subsidiaria.</w:t>
      </w:r>
    </w:p>
    <w:p w14:paraId="733F02C9"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 xml:space="preserve">Artículo 261. PRESUNCIONES DE SUBORDINACIÓN. Será subordinada una sociedad cuando se encuentre en uno o más de los siguientes casos:  </w:t>
      </w:r>
    </w:p>
    <w:p w14:paraId="535ACA9C"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 xml:space="preserve">1. Cuando más del cincuenta por ciento (50%) del capital pertenezca a la matriz, directamente o por intermedio o con el concurso de sus subordinadas, o de las subordinadas de éstas. Para tal efecto, no se computarán las acciones con dividendo preferencial y sin derecho a voto.  </w:t>
      </w:r>
    </w:p>
    <w:p w14:paraId="5D1BAA99"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 xml:space="preserve">2. Cuando la matriz y las subordinadas tengan conjunta o separadamente el derecho de emitir los votos constitutivos de la mayoría mínima decisoria en la junta de socios o en la asamblea, o tengan el número de votos necesario para elegir la mayoría de </w:t>
      </w:r>
      <w:proofErr w:type="gramStart"/>
      <w:r w:rsidRPr="00D20DBC">
        <w:rPr>
          <w:rFonts w:ascii="Verdana" w:hAnsi="Verdana"/>
          <w:sz w:val="16"/>
          <w:szCs w:val="16"/>
          <w:lang w:val="es-CO"/>
        </w:rPr>
        <w:t>miembros</w:t>
      </w:r>
      <w:proofErr w:type="gramEnd"/>
      <w:r w:rsidRPr="00D20DBC">
        <w:rPr>
          <w:rFonts w:ascii="Verdana" w:hAnsi="Verdana"/>
          <w:sz w:val="16"/>
          <w:szCs w:val="16"/>
          <w:lang w:val="es-CO"/>
        </w:rPr>
        <w:t xml:space="preserve"> de la junta directiva, si la hubiere.  </w:t>
      </w:r>
    </w:p>
    <w:p w14:paraId="096C86F4"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 xml:space="preserve">3. Cuando la matriz, directamente o por intermedio o con el concurso de las subordinadas, </w:t>
      </w:r>
      <w:proofErr w:type="gramStart"/>
      <w:r w:rsidRPr="00D20DBC">
        <w:rPr>
          <w:rFonts w:ascii="Verdana" w:hAnsi="Verdana"/>
          <w:sz w:val="16"/>
          <w:szCs w:val="16"/>
          <w:lang w:val="es-CO"/>
        </w:rPr>
        <w:t>en razón de</w:t>
      </w:r>
      <w:proofErr w:type="gramEnd"/>
      <w:r w:rsidRPr="00D20DBC">
        <w:rPr>
          <w:rFonts w:ascii="Verdana" w:hAnsi="Verdana"/>
          <w:sz w:val="16"/>
          <w:szCs w:val="16"/>
          <w:lang w:val="es-CO"/>
        </w:rPr>
        <w:t xml:space="preserve"> un acto o negocio con la sociedad controlada o con sus socios, ejerza influencia dominante en las decisiones de los órganos de administración de la sociedad.  </w:t>
      </w:r>
    </w:p>
    <w:p w14:paraId="2381EA2D"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 xml:space="preserve">Parágrafo 1.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éstas posean más del cincuenta por ciento (50%) del capital o configure la mayoría mínima para la toma de decisiones o ejerzan influencia dominante en la dirección o toma de decisiones de la entidad.  </w:t>
      </w:r>
    </w:p>
    <w:p w14:paraId="4A018847" w14:textId="77777777" w:rsidR="009F143C" w:rsidRPr="00D20DBC" w:rsidRDefault="009F143C" w:rsidP="009F143C">
      <w:pPr>
        <w:pStyle w:val="Textonotapie"/>
        <w:ind w:firstLine="708"/>
        <w:jc w:val="both"/>
        <w:rPr>
          <w:rFonts w:ascii="Verdana" w:hAnsi="Verdana"/>
          <w:sz w:val="16"/>
          <w:szCs w:val="16"/>
          <w:lang w:val="es-CO"/>
        </w:rPr>
      </w:pPr>
      <w:r w:rsidRPr="00D20DBC">
        <w:rPr>
          <w:rFonts w:ascii="Verdana" w:hAnsi="Verdana"/>
          <w:sz w:val="16"/>
          <w:szCs w:val="16"/>
          <w:lang w:val="es-CO"/>
        </w:rPr>
        <w:t>Parágrafo 2°. Así mismo, una sociedad se considera subordinada cuando el control sea ejercido por otra sociedad, por intermedio o con el concurso de alguna o algunas de las entidades mencionadas en el parágrafo anterior”.</w:t>
      </w:r>
    </w:p>
    <w:p w14:paraId="37D5F405" w14:textId="77777777" w:rsidR="009F143C" w:rsidRPr="00D20DBC" w:rsidRDefault="009F143C" w:rsidP="009F143C">
      <w:pPr>
        <w:pStyle w:val="Textonotapie"/>
        <w:ind w:firstLine="708"/>
        <w:jc w:val="both"/>
        <w:rPr>
          <w:rFonts w:ascii="Verdana" w:hAnsi="Verdana"/>
          <w:sz w:val="16"/>
          <w:szCs w:val="16"/>
        </w:rPr>
      </w:pPr>
      <w:r w:rsidRPr="00D20DBC">
        <w:rPr>
          <w:rFonts w:ascii="Verdana" w:hAnsi="Verdana"/>
          <w:sz w:val="16"/>
          <w:szCs w:val="16"/>
        </w:rPr>
        <w:t xml:space="preserve">  </w:t>
      </w:r>
    </w:p>
  </w:footnote>
  <w:footnote w:id="4">
    <w:p w14:paraId="25FF30B2" w14:textId="77777777" w:rsidR="009F143C" w:rsidRDefault="009F143C" w:rsidP="009F143C">
      <w:pPr>
        <w:pStyle w:val="Textonotapie"/>
        <w:ind w:firstLine="708"/>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color w:val="2D2D2D"/>
          <w:sz w:val="16"/>
          <w:szCs w:val="16"/>
          <w:shd w:val="clear" w:color="auto" w:fill="FFFFFF"/>
        </w:rPr>
        <w:t>Sentencia C-1016/12</w:t>
      </w:r>
    </w:p>
  </w:footnote>
  <w:footnote w:id="5">
    <w:p w14:paraId="49FBDE14" w14:textId="77777777" w:rsidR="009F143C" w:rsidRDefault="009F143C" w:rsidP="009F143C">
      <w:pPr>
        <w:pStyle w:val="Textonotapie"/>
        <w:ind w:firstLine="708"/>
        <w:jc w:val="both"/>
        <w:rPr>
          <w:rFonts w:ascii="Verdana" w:hAnsi="Verdana" w:cs="Arial"/>
          <w:color w:val="000000" w:themeColor="text1"/>
          <w:sz w:val="16"/>
          <w:szCs w:val="16"/>
          <w:lang w:val="es-ES"/>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CONSEJO DE ESTADO. Sección Tercera. Sentencia del 4 de junio de 2008. Exp. 17.783. C.P. Myriam Guerrero de Escobar.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0432714"/>
    <w:multiLevelType w:val="hybridMultilevel"/>
    <w:tmpl w:val="D6AC287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EB65E6"/>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0781054F"/>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6" w15:restartNumberingAfterBreak="0">
    <w:nsid w:val="07C94E54"/>
    <w:multiLevelType w:val="multilevel"/>
    <w:tmpl w:val="6342646A"/>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7" w15:restartNumberingAfterBreak="0">
    <w:nsid w:val="203D002F"/>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E1446DD"/>
    <w:multiLevelType w:val="hybridMultilevel"/>
    <w:tmpl w:val="94FC202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4C0142A"/>
    <w:multiLevelType w:val="multilevel"/>
    <w:tmpl w:val="6EF6771C"/>
    <w:lvl w:ilvl="0">
      <w:start w:val="4"/>
      <w:numFmt w:val="decimal"/>
      <w:lvlText w:val="%1."/>
      <w:lvlJc w:val="left"/>
      <w:pPr>
        <w:ind w:left="1068" w:hanging="360"/>
      </w:pPr>
      <w:rPr>
        <w:rFonts w:hint="default"/>
        <w:b/>
        <w:color w:val="000000" w:themeColor="text1"/>
      </w:rPr>
    </w:lvl>
    <w:lvl w:ilvl="1">
      <w:start w:val="2"/>
      <w:numFmt w:val="decimal"/>
      <w:isLgl/>
      <w:lvlText w:val="%1.%2"/>
      <w:lvlJc w:val="left"/>
      <w:pPr>
        <w:ind w:left="70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049767B"/>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5"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12"/>
  </w:num>
  <w:num w:numId="2" w16cid:durableId="19822139">
    <w:abstractNumId w:val="4"/>
  </w:num>
  <w:num w:numId="3" w16cid:durableId="876742304">
    <w:abstractNumId w:val="10"/>
  </w:num>
  <w:num w:numId="4" w16cid:durableId="24518640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4"/>
  </w:num>
  <w:num w:numId="6" w16cid:durableId="316692925">
    <w:abstractNumId w:val="22"/>
  </w:num>
  <w:num w:numId="7" w16cid:durableId="1946422806">
    <w:abstractNumId w:val="11"/>
  </w:num>
  <w:num w:numId="8" w16cid:durableId="152644682">
    <w:abstractNumId w:val="21"/>
  </w:num>
  <w:num w:numId="9" w16cid:durableId="1317221377">
    <w:abstractNumId w:val="13"/>
  </w:num>
  <w:num w:numId="10" w16cid:durableId="1471245386">
    <w:abstractNumId w:val="20"/>
  </w:num>
  <w:num w:numId="11" w16cid:durableId="289172385">
    <w:abstractNumId w:val="14"/>
  </w:num>
  <w:num w:numId="12" w16cid:durableId="1470781324">
    <w:abstractNumId w:val="2"/>
  </w:num>
  <w:num w:numId="13" w16cid:durableId="1512908409">
    <w:abstractNumId w:val="8"/>
  </w:num>
  <w:num w:numId="14" w16cid:durableId="895897244">
    <w:abstractNumId w:val="23"/>
  </w:num>
  <w:num w:numId="15" w16cid:durableId="390349800">
    <w:abstractNumId w:val="19"/>
  </w:num>
  <w:num w:numId="16" w16cid:durableId="1330140246">
    <w:abstractNumId w:val="1"/>
  </w:num>
  <w:num w:numId="17" w16cid:durableId="679089576">
    <w:abstractNumId w:val="15"/>
  </w:num>
  <w:num w:numId="18" w16cid:durableId="1589656138">
    <w:abstractNumId w:val="25"/>
  </w:num>
  <w:num w:numId="19" w16cid:durableId="8514962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05030641">
    <w:abstractNumId w:val="9"/>
  </w:num>
  <w:num w:numId="21" w16cid:durableId="1644698797">
    <w:abstractNumId w:val="16"/>
  </w:num>
  <w:num w:numId="22" w16cid:durableId="515191230">
    <w:abstractNumId w:val="0"/>
  </w:num>
  <w:num w:numId="23" w16cid:durableId="549613290">
    <w:abstractNumId w:val="6"/>
  </w:num>
  <w:num w:numId="24" w16cid:durableId="2059166453">
    <w:abstractNumId w:val="7"/>
  </w:num>
  <w:num w:numId="25" w16cid:durableId="1417557454">
    <w:abstractNumId w:val="24"/>
  </w:num>
  <w:num w:numId="26" w16cid:durableId="1182015012">
    <w:abstractNumId w:val="3"/>
  </w:num>
  <w:num w:numId="27" w16cid:durableId="1231961922">
    <w:abstractNumId w:val="5"/>
  </w:num>
  <w:num w:numId="28" w16cid:durableId="871304547">
    <w:abstractNumId w:val="17"/>
  </w:num>
  <w:num w:numId="29" w16cid:durableId="136979121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23F"/>
    <w:rsid w:val="00046945"/>
    <w:rsid w:val="0005673A"/>
    <w:rsid w:val="00061B2A"/>
    <w:rsid w:val="000661B7"/>
    <w:rsid w:val="00073F0F"/>
    <w:rsid w:val="00082362"/>
    <w:rsid w:val="00096FA3"/>
    <w:rsid w:val="000A683E"/>
    <w:rsid w:val="000B0A78"/>
    <w:rsid w:val="000B19B9"/>
    <w:rsid w:val="000D0334"/>
    <w:rsid w:val="000D2D37"/>
    <w:rsid w:val="000D5DA7"/>
    <w:rsid w:val="000F4DA0"/>
    <w:rsid w:val="000F5E8F"/>
    <w:rsid w:val="000F61F2"/>
    <w:rsid w:val="000F6486"/>
    <w:rsid w:val="00116940"/>
    <w:rsid w:val="00125105"/>
    <w:rsid w:val="00125BAC"/>
    <w:rsid w:val="00127233"/>
    <w:rsid w:val="0015155B"/>
    <w:rsid w:val="0015699B"/>
    <w:rsid w:val="00194ACA"/>
    <w:rsid w:val="001A33BF"/>
    <w:rsid w:val="001B528F"/>
    <w:rsid w:val="001B5979"/>
    <w:rsid w:val="001D3B2F"/>
    <w:rsid w:val="001E4177"/>
    <w:rsid w:val="001F0B24"/>
    <w:rsid w:val="001F0EBA"/>
    <w:rsid w:val="001F4BCB"/>
    <w:rsid w:val="001F7DC6"/>
    <w:rsid w:val="002009D3"/>
    <w:rsid w:val="0022400B"/>
    <w:rsid w:val="00240BD0"/>
    <w:rsid w:val="002421BB"/>
    <w:rsid w:val="0025796E"/>
    <w:rsid w:val="002707A2"/>
    <w:rsid w:val="002951A0"/>
    <w:rsid w:val="002962BC"/>
    <w:rsid w:val="00296428"/>
    <w:rsid w:val="00297593"/>
    <w:rsid w:val="002A093D"/>
    <w:rsid w:val="002A0DD0"/>
    <w:rsid w:val="002A1C4E"/>
    <w:rsid w:val="002A49AC"/>
    <w:rsid w:val="002A64FD"/>
    <w:rsid w:val="002C3FD2"/>
    <w:rsid w:val="002C7A84"/>
    <w:rsid w:val="002D2276"/>
    <w:rsid w:val="002E1881"/>
    <w:rsid w:val="002E2BF8"/>
    <w:rsid w:val="002E4FD9"/>
    <w:rsid w:val="0030657A"/>
    <w:rsid w:val="003221CD"/>
    <w:rsid w:val="00322A85"/>
    <w:rsid w:val="00324168"/>
    <w:rsid w:val="00330834"/>
    <w:rsid w:val="003448F4"/>
    <w:rsid w:val="00361CA7"/>
    <w:rsid w:val="00374F5E"/>
    <w:rsid w:val="00377E3E"/>
    <w:rsid w:val="00383887"/>
    <w:rsid w:val="00384E19"/>
    <w:rsid w:val="003A46A1"/>
    <w:rsid w:val="003A779E"/>
    <w:rsid w:val="003D0F4D"/>
    <w:rsid w:val="003D5B0D"/>
    <w:rsid w:val="003E0499"/>
    <w:rsid w:val="003E4F80"/>
    <w:rsid w:val="003E6439"/>
    <w:rsid w:val="003E6BED"/>
    <w:rsid w:val="003F3941"/>
    <w:rsid w:val="00406575"/>
    <w:rsid w:val="00412426"/>
    <w:rsid w:val="00413177"/>
    <w:rsid w:val="00413BA2"/>
    <w:rsid w:val="00414C74"/>
    <w:rsid w:val="00421552"/>
    <w:rsid w:val="0042722E"/>
    <w:rsid w:val="00432306"/>
    <w:rsid w:val="00440FBB"/>
    <w:rsid w:val="0044528D"/>
    <w:rsid w:val="004545A3"/>
    <w:rsid w:val="00466E39"/>
    <w:rsid w:val="00477813"/>
    <w:rsid w:val="004A1847"/>
    <w:rsid w:val="004A305D"/>
    <w:rsid w:val="004B55C6"/>
    <w:rsid w:val="004F21C4"/>
    <w:rsid w:val="004F685F"/>
    <w:rsid w:val="00501604"/>
    <w:rsid w:val="0051336B"/>
    <w:rsid w:val="005134BE"/>
    <w:rsid w:val="005213C1"/>
    <w:rsid w:val="00522DE4"/>
    <w:rsid w:val="00534F96"/>
    <w:rsid w:val="005517D5"/>
    <w:rsid w:val="005566E8"/>
    <w:rsid w:val="00574867"/>
    <w:rsid w:val="0058430D"/>
    <w:rsid w:val="00591460"/>
    <w:rsid w:val="005A65E0"/>
    <w:rsid w:val="005B7AE7"/>
    <w:rsid w:val="005C3777"/>
    <w:rsid w:val="005C5CDC"/>
    <w:rsid w:val="005D476C"/>
    <w:rsid w:val="005F041F"/>
    <w:rsid w:val="005F33D4"/>
    <w:rsid w:val="006200BF"/>
    <w:rsid w:val="006219F8"/>
    <w:rsid w:val="006302F7"/>
    <w:rsid w:val="0064074B"/>
    <w:rsid w:val="00643CD1"/>
    <w:rsid w:val="00646B9F"/>
    <w:rsid w:val="006602E6"/>
    <w:rsid w:val="00665D70"/>
    <w:rsid w:val="006775EA"/>
    <w:rsid w:val="006900D9"/>
    <w:rsid w:val="006A6E03"/>
    <w:rsid w:val="0070509F"/>
    <w:rsid w:val="00706C16"/>
    <w:rsid w:val="00711C65"/>
    <w:rsid w:val="00715242"/>
    <w:rsid w:val="007340C3"/>
    <w:rsid w:val="007465E3"/>
    <w:rsid w:val="0075235A"/>
    <w:rsid w:val="00756841"/>
    <w:rsid w:val="007649AB"/>
    <w:rsid w:val="00771D0C"/>
    <w:rsid w:val="00774461"/>
    <w:rsid w:val="007833AC"/>
    <w:rsid w:val="00794749"/>
    <w:rsid w:val="00797D3A"/>
    <w:rsid w:val="007A6C6C"/>
    <w:rsid w:val="007B0941"/>
    <w:rsid w:val="007B268C"/>
    <w:rsid w:val="007B3465"/>
    <w:rsid w:val="007B7171"/>
    <w:rsid w:val="007C0C0F"/>
    <w:rsid w:val="007C3DC2"/>
    <w:rsid w:val="007D75FF"/>
    <w:rsid w:val="007E5497"/>
    <w:rsid w:val="007F0342"/>
    <w:rsid w:val="00806F5F"/>
    <w:rsid w:val="00820278"/>
    <w:rsid w:val="008258C9"/>
    <w:rsid w:val="00844AE9"/>
    <w:rsid w:val="0084636D"/>
    <w:rsid w:val="008547EC"/>
    <w:rsid w:val="00867F95"/>
    <w:rsid w:val="008843B6"/>
    <w:rsid w:val="00884DD6"/>
    <w:rsid w:val="00887AB6"/>
    <w:rsid w:val="00891928"/>
    <w:rsid w:val="008A1AF4"/>
    <w:rsid w:val="008A446D"/>
    <w:rsid w:val="008B25F1"/>
    <w:rsid w:val="008B549E"/>
    <w:rsid w:val="008B7316"/>
    <w:rsid w:val="008C442D"/>
    <w:rsid w:val="008D180B"/>
    <w:rsid w:val="008F0EA7"/>
    <w:rsid w:val="008F28D4"/>
    <w:rsid w:val="008F5998"/>
    <w:rsid w:val="00923EEF"/>
    <w:rsid w:val="00927EE4"/>
    <w:rsid w:val="0093671E"/>
    <w:rsid w:val="0094159C"/>
    <w:rsid w:val="009419F9"/>
    <w:rsid w:val="0095685E"/>
    <w:rsid w:val="00961B09"/>
    <w:rsid w:val="00965334"/>
    <w:rsid w:val="0097093E"/>
    <w:rsid w:val="00970E91"/>
    <w:rsid w:val="00977BAE"/>
    <w:rsid w:val="00983BD2"/>
    <w:rsid w:val="009A0DFA"/>
    <w:rsid w:val="009A1C6F"/>
    <w:rsid w:val="009A7016"/>
    <w:rsid w:val="009B2D26"/>
    <w:rsid w:val="009C71FA"/>
    <w:rsid w:val="009C72E7"/>
    <w:rsid w:val="009C7F7E"/>
    <w:rsid w:val="009D3058"/>
    <w:rsid w:val="009F143C"/>
    <w:rsid w:val="009F3A13"/>
    <w:rsid w:val="00A106AF"/>
    <w:rsid w:val="00A122D3"/>
    <w:rsid w:val="00A14468"/>
    <w:rsid w:val="00A17F13"/>
    <w:rsid w:val="00A20739"/>
    <w:rsid w:val="00A23AF9"/>
    <w:rsid w:val="00A33237"/>
    <w:rsid w:val="00A33C78"/>
    <w:rsid w:val="00A62579"/>
    <w:rsid w:val="00A9768F"/>
    <w:rsid w:val="00AA0F1F"/>
    <w:rsid w:val="00AA4CBD"/>
    <w:rsid w:val="00AB0ADB"/>
    <w:rsid w:val="00AB7348"/>
    <w:rsid w:val="00AC1528"/>
    <w:rsid w:val="00B005CF"/>
    <w:rsid w:val="00B00C0E"/>
    <w:rsid w:val="00B01B1A"/>
    <w:rsid w:val="00B0381D"/>
    <w:rsid w:val="00B06EC6"/>
    <w:rsid w:val="00B12707"/>
    <w:rsid w:val="00B21B85"/>
    <w:rsid w:val="00B31B08"/>
    <w:rsid w:val="00B40FB6"/>
    <w:rsid w:val="00B44A47"/>
    <w:rsid w:val="00B72CD3"/>
    <w:rsid w:val="00B72FFF"/>
    <w:rsid w:val="00B818DA"/>
    <w:rsid w:val="00BC3D36"/>
    <w:rsid w:val="00BD208D"/>
    <w:rsid w:val="00BD54A6"/>
    <w:rsid w:val="00BD5AF1"/>
    <w:rsid w:val="00BD7F72"/>
    <w:rsid w:val="00BF2BFB"/>
    <w:rsid w:val="00BF7425"/>
    <w:rsid w:val="00BF7F9E"/>
    <w:rsid w:val="00C04FB3"/>
    <w:rsid w:val="00C11D8B"/>
    <w:rsid w:val="00C15139"/>
    <w:rsid w:val="00C330EB"/>
    <w:rsid w:val="00C331C0"/>
    <w:rsid w:val="00C42105"/>
    <w:rsid w:val="00C45C90"/>
    <w:rsid w:val="00C464EC"/>
    <w:rsid w:val="00C50D69"/>
    <w:rsid w:val="00C5365C"/>
    <w:rsid w:val="00C754BE"/>
    <w:rsid w:val="00C76B1C"/>
    <w:rsid w:val="00C87A39"/>
    <w:rsid w:val="00C925AC"/>
    <w:rsid w:val="00CB0455"/>
    <w:rsid w:val="00CB6357"/>
    <w:rsid w:val="00CC1B26"/>
    <w:rsid w:val="00CC3093"/>
    <w:rsid w:val="00CF0B86"/>
    <w:rsid w:val="00D361FD"/>
    <w:rsid w:val="00D36979"/>
    <w:rsid w:val="00D423A2"/>
    <w:rsid w:val="00D44E26"/>
    <w:rsid w:val="00D520D8"/>
    <w:rsid w:val="00D549F8"/>
    <w:rsid w:val="00D57AEE"/>
    <w:rsid w:val="00D62B1C"/>
    <w:rsid w:val="00D63AC2"/>
    <w:rsid w:val="00D7383B"/>
    <w:rsid w:val="00D7788A"/>
    <w:rsid w:val="00DA231B"/>
    <w:rsid w:val="00DA3B71"/>
    <w:rsid w:val="00DC39FC"/>
    <w:rsid w:val="00DF5254"/>
    <w:rsid w:val="00E01759"/>
    <w:rsid w:val="00E01D4B"/>
    <w:rsid w:val="00E02524"/>
    <w:rsid w:val="00E16408"/>
    <w:rsid w:val="00E20894"/>
    <w:rsid w:val="00E245AB"/>
    <w:rsid w:val="00E2764C"/>
    <w:rsid w:val="00E27F2E"/>
    <w:rsid w:val="00E37899"/>
    <w:rsid w:val="00E41A92"/>
    <w:rsid w:val="00E446A4"/>
    <w:rsid w:val="00E5045A"/>
    <w:rsid w:val="00E50AFE"/>
    <w:rsid w:val="00E75C92"/>
    <w:rsid w:val="00E771DC"/>
    <w:rsid w:val="00E7764D"/>
    <w:rsid w:val="00E80F9C"/>
    <w:rsid w:val="00E8772A"/>
    <w:rsid w:val="00E90F6B"/>
    <w:rsid w:val="00E92C27"/>
    <w:rsid w:val="00EA0E3D"/>
    <w:rsid w:val="00EC38A7"/>
    <w:rsid w:val="00ED7964"/>
    <w:rsid w:val="00EE1AA8"/>
    <w:rsid w:val="00F103FD"/>
    <w:rsid w:val="00F23FEA"/>
    <w:rsid w:val="00F24205"/>
    <w:rsid w:val="00F31EDC"/>
    <w:rsid w:val="00F462B3"/>
    <w:rsid w:val="00F5664F"/>
    <w:rsid w:val="00F666C4"/>
    <w:rsid w:val="00F66AA7"/>
    <w:rsid w:val="00F76AFC"/>
    <w:rsid w:val="00F83C76"/>
    <w:rsid w:val="00F92D75"/>
    <w:rsid w:val="00FA3D05"/>
    <w:rsid w:val="00FA47C0"/>
    <w:rsid w:val="00FB5DC0"/>
    <w:rsid w:val="00FB5DD1"/>
    <w:rsid w:val="00FC2403"/>
    <w:rsid w:val="00FC24D9"/>
    <w:rsid w:val="00FC2B5D"/>
    <w:rsid w:val="00FE0741"/>
    <w:rsid w:val="00FF1449"/>
    <w:rsid w:val="00FF59B1"/>
    <w:rsid w:val="00FF7963"/>
    <w:rsid w:val="071B8F93"/>
    <w:rsid w:val="07C73DD1"/>
    <w:rsid w:val="09908A09"/>
    <w:rsid w:val="0EFE6349"/>
    <w:rsid w:val="0FF4CCA8"/>
    <w:rsid w:val="13CFC91B"/>
    <w:rsid w:val="19A2EC2C"/>
    <w:rsid w:val="21779BE6"/>
    <w:rsid w:val="219CE5BC"/>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75F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75FF"/>
    <w:rPr>
      <w:rFonts w:ascii="Geomanist Light" w:hAnsi="Geomanist Light"/>
      <w:lang w:val="es-ES"/>
    </w:rPr>
  </w:style>
  <w:style w:type="character" w:customStyle="1" w:styleId="NormalWebCar">
    <w:name w:val="Normal (Web) Car"/>
    <w:link w:val="NormalWeb"/>
    <w:uiPriority w:val="99"/>
    <w:rsid w:val="007D75F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7D75FF"/>
    <w:rPr>
      <w:i/>
      <w:iCs/>
    </w:rPr>
  </w:style>
  <w:style w:type="character" w:styleId="Fuerte">
    <w:name w:val="Strong"/>
    <w:basedOn w:val="Fuentedeprrafopredeter"/>
    <w:uiPriority w:val="22"/>
    <w:qFormat/>
    <w:rsid w:val="007D75FF"/>
    <w:rPr>
      <w:b/>
      <w:bCs/>
    </w:rPr>
  </w:style>
  <w:style w:type="character" w:customStyle="1" w:styleId="s15">
    <w:name w:val="s15"/>
    <w:basedOn w:val="Fuentedeprrafopredeter"/>
    <w:rsid w:val="007D75FF"/>
  </w:style>
  <w:style w:type="paragraph" w:customStyle="1" w:styleId="s16">
    <w:name w:val="s16"/>
    <w:basedOn w:val="Normal"/>
    <w:rsid w:val="007D75F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7D75FF"/>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7D75FF"/>
  </w:style>
  <w:style w:type="table" w:customStyle="1" w:styleId="Tablaconcuadrcula11">
    <w:name w:val="Tabla con cuadrícula11"/>
    <w:basedOn w:val="Tablanormal"/>
    <w:next w:val="Tablaconcuadrcula"/>
    <w:uiPriority w:val="39"/>
    <w:qFormat/>
    <w:rsid w:val="00970E91"/>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milo.guerrero9381@correo.polici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FE4C453-9D31-4FC5-A4EA-3248BFF6D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TotalTime>
  <Pages>22</Pages>
  <Words>7630</Words>
  <Characters>41966</Characters>
  <Application>Microsoft Office Word</Application>
  <DocSecurity>0</DocSecurity>
  <Lines>349</Lines>
  <Paragraphs>98</Paragraphs>
  <ScaleCrop>false</ScaleCrop>
  <Company/>
  <LinksUpToDate>false</LinksUpToDate>
  <CharactersWithSpaces>49498</CharactersWithSpaces>
  <SharedDoc>false</SharedDoc>
  <HLinks>
    <vt:vector size="66"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6422606</vt:i4>
      </vt:variant>
      <vt:variant>
        <vt:i4>0</vt:i4>
      </vt:variant>
      <vt:variant>
        <vt:i4>0</vt:i4>
      </vt:variant>
      <vt:variant>
        <vt:i4>5</vt:i4>
      </vt:variant>
      <vt:variant>
        <vt:lpwstr>mailto:nicolasechavarriabolivar@gmail.com</vt:lpwstr>
      </vt:variant>
      <vt:variant>
        <vt:lpwstr/>
      </vt:variant>
      <vt:variant>
        <vt:i4>5308671</vt:i4>
      </vt:variant>
      <vt:variant>
        <vt:i4>6</vt:i4>
      </vt:variant>
      <vt:variant>
        <vt:i4>0</vt:i4>
      </vt:variant>
      <vt:variant>
        <vt:i4>5</vt:i4>
      </vt:variant>
      <vt:variant>
        <vt:lpwstr>https://sedeelectronica.sic.gov.co/sites/default/files/publicaciones/04_Guía para la Gestión Integral del Riesgo de PRC en la contratación estatal.pdf</vt:lpwstr>
      </vt:variant>
      <vt:variant>
        <vt:lpwstr/>
      </vt:variant>
      <vt:variant>
        <vt:i4>5308671</vt:i4>
      </vt:variant>
      <vt:variant>
        <vt:i4>3</vt:i4>
      </vt:variant>
      <vt:variant>
        <vt:i4>0</vt:i4>
      </vt:variant>
      <vt:variant>
        <vt:i4>5</vt:i4>
      </vt:variant>
      <vt:variant>
        <vt:lpwstr>https://sedeelectronica.sic.gov.co/sites/default/files/publicaciones/04_Guía para la Gestión Integral del Riesgo de PRC en la contratación estatal.pdf</vt:lpwstr>
      </vt:variant>
      <vt:variant>
        <vt:lpwstr/>
      </vt:variant>
      <vt:variant>
        <vt:i4>4325446</vt:i4>
      </vt:variant>
      <vt:variant>
        <vt:i4>0</vt:i4>
      </vt:variant>
      <vt:variant>
        <vt:i4>0</vt:i4>
      </vt:variant>
      <vt:variant>
        <vt:i4>5</vt:i4>
      </vt:variant>
      <vt:variant>
        <vt:lpwstr>https://www.sic.gov.co/recursos_user/documentos/articulos/2010/Guia_Contratacion.pdf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2026-05-22T18:58:00Z</dcterms:created>
  <dcterms:modified xsi:type="dcterms:W3CDTF">2026-05-26T00:31:00Z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