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9129B" w14:textId="77777777" w:rsidR="00F51D39" w:rsidRPr="004C046B" w:rsidRDefault="00F51D39" w:rsidP="00F51D39">
      <w:pPr>
        <w:spacing w:after="0" w:line="240" w:lineRule="auto"/>
        <w:contextualSpacing/>
        <w:jc w:val="both"/>
        <w:rPr>
          <w:rFonts w:ascii="Verdana" w:eastAsia="Calibri" w:hAnsi="Verdana" w:cs="Arial"/>
          <w:b/>
          <w:bCs/>
          <w:lang w:eastAsia="es-ES"/>
        </w:rPr>
      </w:pPr>
      <w:bookmarkStart w:id="0" w:name="_Hlk230693044"/>
      <w:r w:rsidRPr="004C046B">
        <w:rPr>
          <w:rFonts w:ascii="Verdana" w:eastAsia="Calibri" w:hAnsi="Verdana" w:cs="Arial"/>
          <w:b/>
          <w:bCs/>
          <w:lang w:eastAsia="es-ES"/>
        </w:rPr>
        <w:t>DECRETO 0287 DE 2026 ‒ Sistema Integral de Preferencias ‒ Contratación pública inclusiva ‒ Personas con discapacidad</w:t>
      </w:r>
    </w:p>
    <w:p w14:paraId="549BBE2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5DA5267"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A5E13">
        <w:rPr>
          <w:rFonts w:ascii="Verdana" w:eastAsia="Calibri" w:hAnsi="Verdana" w:cs="Arial"/>
          <w:sz w:val="20"/>
          <w:szCs w:val="20"/>
          <w:lang w:eastAsia="es-ES"/>
        </w:rPr>
        <w:t>PcD</w:t>
      </w:r>
      <w:proofErr w:type="spellEnd"/>
      <w:r w:rsidRPr="000A5E13">
        <w:rPr>
          <w:rFonts w:ascii="Verdana" w:eastAsia="Calibri" w:hAnsi="Verdana" w:cs="Arial"/>
          <w:sz w:val="20"/>
          <w:szCs w:val="20"/>
          <w:lang w:eastAsia="es-ES"/>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539825C3"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EED9CDC"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4CA7506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9C561C1"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4440221"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0127DBD"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506E75A7"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38A47823"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por al menos un año; y personas jurídicas con al menos una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vinculada laboralmente en un cargo de nivel directivo por al menos un año. El segundo sujeto son los empleadores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r w:rsidRPr="007B5AD4">
        <w:rPr>
          <w:rFonts w:ascii="Verdana" w:eastAsia="Calibri" w:hAnsi="Verdana" w:cs="Arial"/>
          <w:sz w:val="20"/>
          <w:szCs w:val="20"/>
          <w:lang w:eastAsia="es-ES"/>
        </w:rPr>
        <w:t>.</w:t>
      </w:r>
    </w:p>
    <w:p w14:paraId="18A1A2D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BF100EE"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No acumulabilidad ‒ Acreditación simultánea de condiciones ‒ Modalidades de selección aplicables</w:t>
      </w:r>
    </w:p>
    <w:p w14:paraId="37BD5060"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74C14944"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artículo 2.2.1.2.4.2.7.4. del Decreto 0287 de 2026 es explícito al disponer que, aunque el proponente acredite simultáneamente ser emprendimiento o empresa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y ser empleador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r w:rsidRPr="007B5AD4">
        <w:rPr>
          <w:rFonts w:ascii="Verdana" w:eastAsia="Calibri" w:hAnsi="Verdana" w:cs="Arial"/>
          <w:sz w:val="20"/>
          <w:szCs w:val="20"/>
          <w:lang w:eastAsia="es-ES"/>
        </w:rPr>
        <w:t>.</w:t>
      </w:r>
    </w:p>
    <w:p w14:paraId="3624A01A" w14:textId="77777777" w:rsidR="00F51D39" w:rsidRDefault="00F51D39" w:rsidP="00F51D39">
      <w:pPr>
        <w:spacing w:after="0" w:line="240" w:lineRule="auto"/>
        <w:contextualSpacing/>
        <w:jc w:val="both"/>
        <w:rPr>
          <w:rFonts w:ascii="Verdana" w:eastAsia="Calibri" w:hAnsi="Verdana" w:cs="Arial"/>
          <w:b/>
          <w:bCs/>
          <w:sz w:val="20"/>
          <w:szCs w:val="20"/>
          <w:lang w:eastAsia="es-ES"/>
        </w:rPr>
      </w:pPr>
    </w:p>
    <w:p w14:paraId="361EDC96"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590149D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17ADE21"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t xml:space="preserve">Ahora bien, la documentación para la acreditación de las condiciones bajo las cuales se otorga el puntaje depende del sujeto de que se trate, en la condición de empleador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los documentos están dispuestos en el artículo 2.2.1.2.4.2.7.4, el cual exige, entre otros documentos, los certificados de aportes a seguridad social de los tres (3) meses anteriores a la presentación de la oferta respecto de cada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cuyas planillas no alcancen ese período, pudiendo el proponente acreditar el puntaje con base en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sí cumplen el requisito temporal y participar en el proceso sin el puntaje en caso de no alcanzar ninguna. El término de tres (3) </w:t>
      </w:r>
      <w:proofErr w:type="gramStart"/>
      <w:r w:rsidRPr="00C820EF">
        <w:rPr>
          <w:rFonts w:ascii="Verdana" w:eastAsia="Calibri" w:hAnsi="Verdana" w:cs="Arial"/>
          <w:sz w:val="20"/>
          <w:szCs w:val="20"/>
          <w:lang w:eastAsia="es-ES"/>
        </w:rPr>
        <w:t>meses aquí mencionado</w:t>
      </w:r>
      <w:proofErr w:type="gramEnd"/>
      <w:r w:rsidRPr="00C820EF">
        <w:rPr>
          <w:rFonts w:ascii="Verdana" w:eastAsia="Calibri" w:hAnsi="Verdana" w:cs="Arial"/>
          <w:sz w:val="20"/>
          <w:szCs w:val="20"/>
          <w:lang w:eastAsia="es-ES"/>
        </w:rPr>
        <w:t xml:space="preserve"> es diferente al término de un (1) año mencionado en el artículo 2.2.1.2.4.2.6 respecto de los emprendimientos y empresas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w:t>
      </w:r>
    </w:p>
    <w:p w14:paraId="01A858BB" w14:textId="77777777" w:rsidR="00F51D39" w:rsidRPr="00C820EF" w:rsidRDefault="00F51D39" w:rsidP="00F51D39">
      <w:pPr>
        <w:spacing w:after="0" w:line="240" w:lineRule="auto"/>
        <w:contextualSpacing/>
        <w:jc w:val="both"/>
        <w:rPr>
          <w:rFonts w:ascii="Verdana" w:eastAsia="Calibri" w:hAnsi="Verdana" w:cs="Arial"/>
          <w:sz w:val="20"/>
          <w:szCs w:val="20"/>
          <w:lang w:eastAsia="es-ES"/>
        </w:rPr>
      </w:pPr>
    </w:p>
    <w:p w14:paraId="3260AF03" w14:textId="77777777" w:rsidR="00F51D39" w:rsidRPr="003C64A5" w:rsidRDefault="00F51D39" w:rsidP="00F51D39">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lastRenderedPageBreak/>
        <w:t xml:space="preserve">Para efectos de determinar el número mínimo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son los indicados en el artículo 2.2.1.2.4.2.6 y no los del artículo 2.2.1.2.4.2.7.4</w:t>
      </w:r>
      <w:r w:rsidRPr="003C64A5">
        <w:rPr>
          <w:rFonts w:ascii="Verdana" w:eastAsia="Calibri" w:hAnsi="Verdana" w:cs="Arial"/>
          <w:sz w:val="20"/>
          <w:szCs w:val="20"/>
          <w:lang w:eastAsia="es-ES"/>
        </w:rPr>
        <w:t>.</w:t>
      </w:r>
    </w:p>
    <w:p w14:paraId="4226DEF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68442C50"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Criterios habilitantes diferenciales ‒ Ajustados ‒ Obligatoriedad ‒ Proporcionalidad ‒ Proponentes plurales ‒ Consorcios y uniones temporales</w:t>
      </w:r>
    </w:p>
    <w:p w14:paraId="1A64F05A" w14:textId="77777777" w:rsidR="00F51D39" w:rsidRPr="00206556" w:rsidRDefault="00F51D39" w:rsidP="00F51D39">
      <w:pPr>
        <w:spacing w:after="0" w:line="240" w:lineRule="auto"/>
        <w:contextualSpacing/>
        <w:jc w:val="both"/>
        <w:rPr>
          <w:rFonts w:ascii="Verdana" w:eastAsia="Calibri" w:hAnsi="Verdana" w:cs="Arial"/>
          <w:b/>
          <w:bCs/>
          <w:sz w:val="20"/>
          <w:szCs w:val="20"/>
          <w:lang w:eastAsia="es-ES"/>
        </w:rPr>
      </w:pPr>
    </w:p>
    <w:p w14:paraId="2D6566C4"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Sobre los criterios habilitantes diferenciales, estos constituyen una obligación para las entidades contratantes en los procesos de licitación pública, selección abreviada y concurso de méritos, tanto bajo el régimen del Estatuto General de Contratación Pública como en los procesos competitivos de entidades con régimen especial. Esta obligación consiste en establecer requisitos habilitantes ajustados o reducidos, palabras que se deben entender en el mismo significado de diferencial, en materia de experiencia, capacidad financiera, capacidad organizacional o valor de la garantía de seriedad de la oferta, con el propósito de facilitar la participación de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con domicilio en el territorio nacional. La entidad contratante debe flexibilizar 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26243E47" w14:textId="77777777" w:rsidR="00F51D39" w:rsidRPr="00DA1940" w:rsidRDefault="00F51D39" w:rsidP="00F51D39">
      <w:pPr>
        <w:spacing w:after="0" w:line="240" w:lineRule="auto"/>
        <w:contextualSpacing/>
        <w:jc w:val="both"/>
        <w:rPr>
          <w:rFonts w:ascii="Verdana" w:eastAsia="Calibri" w:hAnsi="Verdana" w:cs="Arial"/>
          <w:sz w:val="20"/>
          <w:szCs w:val="20"/>
          <w:lang w:eastAsia="es-ES"/>
        </w:rPr>
      </w:pPr>
    </w:p>
    <w:p w14:paraId="5775F1CC"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Estos criterios aplican exclusivamente para el primer sujeto del sistema, es decir, los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y no para los empleadores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 si ese integrante participa con el 15%, debe aportar al menos el 15% de la experiencia exigida en el pliego.</w:t>
      </w:r>
    </w:p>
    <w:p w14:paraId="62CA0E4D"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C938F1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Condiciones especiales de ejecución ‒ Subcontratación inclusiva ‒ Integración del equipo de trabajo ‒ Obligatoriedad ‒ Justificación de omisión</w:t>
      </w:r>
    </w:p>
    <w:p w14:paraId="43E54D82"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EDB3A49"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xml:space="preserve">(…) </w:t>
      </w:r>
      <w:r w:rsidRPr="007A1BCB">
        <w:rPr>
          <w:rFonts w:ascii="Verdana" w:eastAsia="Calibri" w:hAnsi="Verdana" w:cs="Arial"/>
          <w:sz w:val="20"/>
          <w:szCs w:val="20"/>
          <w:lang w:eastAsia="es-ES"/>
        </w:rPr>
        <w:t xml:space="preserve">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y a emprendimientos y empresas de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y sus empresas tengan preferencia cuando existan en el mercado y sea factible su vinculación. 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r w:rsidRPr="00792D67">
        <w:rPr>
          <w:rFonts w:ascii="Verdana" w:eastAsia="Calibri" w:hAnsi="Verdana" w:cs="Arial"/>
          <w:sz w:val="20"/>
          <w:szCs w:val="20"/>
          <w:lang w:eastAsia="es-ES"/>
        </w:rPr>
        <w:t>.</w:t>
      </w:r>
    </w:p>
    <w:p w14:paraId="4B57D5FD"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3B9321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Documentos tipo ‒ Principio de inalterabilidad ‒ Régimen de transición ‒ Actualización ‒ Colombia Compra Eficiente</w:t>
      </w:r>
    </w:p>
    <w:p w14:paraId="72C35466"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A89C82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015670">
        <w:rPr>
          <w:rFonts w:ascii="Verdana" w:eastAsia="Calibri" w:hAnsi="Verdana" w:cs="Arial"/>
          <w:sz w:val="20"/>
          <w:szCs w:val="20"/>
          <w:lang w:eastAsia="es-ES"/>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sidRPr="007B5AD4">
        <w:rPr>
          <w:rFonts w:ascii="Verdana" w:eastAsia="Calibri" w:hAnsi="Verdana" w:cs="Arial"/>
          <w:sz w:val="20"/>
          <w:szCs w:val="20"/>
          <w:lang w:eastAsia="es-ES"/>
        </w:rPr>
        <w:t xml:space="preserve">. </w:t>
      </w:r>
    </w:p>
    <w:p w14:paraId="22D0B78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3C1D2F00"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Contratos de prestación de servicios ‒ personas con discapacidad ‒ Carácter potestativo ‒ Contratación directa</w:t>
      </w:r>
    </w:p>
    <w:p w14:paraId="46A0E9F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263D8AB2"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015670">
        <w:rPr>
          <w:rFonts w:ascii="Verdana" w:eastAsia="Calibri" w:hAnsi="Verdana" w:cs="Arial"/>
          <w:sz w:val="20"/>
          <w:szCs w:val="20"/>
          <w:lang w:eastAsia="es-ES"/>
        </w:rPr>
        <w:t xml:space="preserve"> la inclusión de </w:t>
      </w:r>
      <w:proofErr w:type="spellStart"/>
      <w:r w:rsidRPr="00015670">
        <w:rPr>
          <w:rFonts w:ascii="Verdana" w:eastAsia="Calibri" w:hAnsi="Verdana" w:cs="Arial"/>
          <w:sz w:val="20"/>
          <w:szCs w:val="20"/>
          <w:lang w:eastAsia="es-ES"/>
        </w:rPr>
        <w:t>PcD</w:t>
      </w:r>
      <w:proofErr w:type="spellEnd"/>
      <w:r w:rsidRPr="00015670">
        <w:rPr>
          <w:rFonts w:ascii="Verdana" w:eastAsia="Calibri" w:hAnsi="Verdana" w:cs="Arial"/>
          <w:sz w:val="20"/>
          <w:szCs w:val="20"/>
          <w:lang w:eastAsia="es-ES"/>
        </w:rPr>
        <w:t xml:space="preserve">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015670">
        <w:rPr>
          <w:rFonts w:ascii="Verdana" w:eastAsia="Calibri" w:hAnsi="Verdana" w:cs="Arial"/>
          <w:sz w:val="20"/>
          <w:szCs w:val="20"/>
          <w:lang w:eastAsia="es-ES"/>
        </w:rPr>
        <w:t>PcD</w:t>
      </w:r>
      <w:proofErr w:type="spellEnd"/>
      <w:r w:rsidRPr="00015670">
        <w:rPr>
          <w:rFonts w:ascii="Verdana" w:eastAsia="Calibri" w:hAnsi="Verdana" w:cs="Arial"/>
          <w:sz w:val="20"/>
          <w:szCs w:val="20"/>
          <w:lang w:eastAsia="es-ES"/>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w:t>
      </w:r>
      <w:r w:rsidRPr="00015670">
        <w:rPr>
          <w:rFonts w:ascii="Verdana" w:eastAsia="Calibri" w:hAnsi="Verdana" w:cs="Arial"/>
          <w:sz w:val="20"/>
          <w:szCs w:val="20"/>
          <w:lang w:eastAsia="es-ES"/>
        </w:rPr>
        <w:lastRenderedPageBreak/>
        <w:t>esta medida a través del SECOP, evaluando pertinencia, duración, objeto y nivel de especialización de cada contrato</w:t>
      </w:r>
      <w:r w:rsidRPr="00A54668">
        <w:rPr>
          <w:rFonts w:ascii="Verdana" w:eastAsia="Calibri" w:hAnsi="Verdana" w:cs="Arial"/>
          <w:sz w:val="20"/>
          <w:szCs w:val="20"/>
          <w:lang w:eastAsia="es-ES"/>
        </w:rPr>
        <w:t>.</w:t>
      </w:r>
    </w:p>
    <w:p w14:paraId="21FE84D7"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C3AEC18"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Compatibilidad ‒ Incentivos MiPymes ‒ Empresas de mujeres ‒ Criterio de desempate ‒ Ley 2069 de 2020</w:t>
      </w:r>
    </w:p>
    <w:p w14:paraId="3B803334"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0392D9A"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0542B4">
        <w:rPr>
          <w:rFonts w:ascii="Verdana" w:eastAsia="Calibri" w:hAnsi="Verdana" w:cs="Arial"/>
          <w:sz w:val="20"/>
          <w:szCs w:val="20"/>
          <w:lang w:eastAsia="es-ES"/>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542B4">
        <w:rPr>
          <w:rFonts w:ascii="Verdana" w:eastAsia="Calibri" w:hAnsi="Verdana" w:cs="Arial"/>
          <w:sz w:val="20"/>
          <w:szCs w:val="20"/>
          <w:lang w:eastAsia="es-ES"/>
        </w:rPr>
        <w:t>PcD</w:t>
      </w:r>
      <w:proofErr w:type="spellEnd"/>
      <w:r w:rsidRPr="000542B4">
        <w:rPr>
          <w:rFonts w:ascii="Verdana" w:eastAsia="Calibri" w:hAnsi="Verdana" w:cs="Arial"/>
          <w:sz w:val="20"/>
          <w:szCs w:val="20"/>
          <w:lang w:eastAsia="es-ES"/>
        </w:rPr>
        <w:t xml:space="preserve">, no a los emprendimientos y empresas de </w:t>
      </w:r>
      <w:proofErr w:type="spellStart"/>
      <w:r w:rsidRPr="000542B4">
        <w:rPr>
          <w:rFonts w:ascii="Verdana" w:eastAsia="Calibri" w:hAnsi="Verdana" w:cs="Arial"/>
          <w:sz w:val="20"/>
          <w:szCs w:val="20"/>
          <w:lang w:eastAsia="es-ES"/>
        </w:rPr>
        <w:t>PcD</w:t>
      </w:r>
      <w:proofErr w:type="spellEnd"/>
      <w:r w:rsidRPr="000542B4">
        <w:rPr>
          <w:rFonts w:ascii="Verdana" w:eastAsia="Calibri" w:hAnsi="Verdana" w:cs="Arial"/>
          <w:sz w:val="20"/>
          <w:szCs w:val="20"/>
          <w:lang w:eastAsia="es-ES"/>
        </w:rPr>
        <w:t>, dicha norma exige que al menos el 10% de la nómina esté en condición de discapacidad y opera únicamente cuando hay empate entre dos o más ofertas</w:t>
      </w:r>
      <w:r w:rsidRPr="007B5AD4">
        <w:rPr>
          <w:rFonts w:ascii="Verdana" w:eastAsia="Calibri" w:hAnsi="Verdana" w:cs="Arial"/>
          <w:sz w:val="20"/>
          <w:szCs w:val="20"/>
          <w:lang w:eastAsia="es-ES"/>
        </w:rPr>
        <w:t>.</w:t>
      </w:r>
    </w:p>
    <w:p w14:paraId="6C97535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46648F8"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Compras públicas accesibles ‒ Obligación transversal ‒ Ausencia de normas técnicas ‒ Ficha técnica de accesibilidad ‒ Categorías de discapacidad</w:t>
      </w:r>
    </w:p>
    <w:p w14:paraId="630A0378"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340756"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Ahora, en cuanto a la obligación de compras públicas accesibles, esta es transversal a todos los entes del Estado y aplica en todos los contratos en los que se adquieran bienes, obras o servicios.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w:t>
      </w:r>
      <w:r w:rsidRPr="007B5AD4">
        <w:rPr>
          <w:rFonts w:ascii="Verdana" w:eastAsia="Calibri" w:hAnsi="Verdana" w:cs="Arial"/>
          <w:sz w:val="20"/>
          <w:szCs w:val="20"/>
          <w:lang w:eastAsia="es-ES"/>
        </w:rPr>
        <w:t>.</w:t>
      </w:r>
    </w:p>
    <w:p w14:paraId="710A219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CB6A1C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Ejecución contractual ‒ Permanencia de condiciones ‒ Reducción de personas con discapacidad vinculadas ‒ Incumplimiento contractual</w:t>
      </w:r>
    </w:p>
    <w:p w14:paraId="75690A8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59C703CA"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206556">
        <w:rPr>
          <w:rFonts w:ascii="Verdana" w:eastAsia="Calibri" w:hAnsi="Verdana" w:cs="Arial"/>
          <w:sz w:val="20"/>
          <w:szCs w:val="20"/>
          <w:lang w:eastAsia="es-ES"/>
        </w:rPr>
        <w:t>…</w:t>
      </w:r>
      <w:r>
        <w:rPr>
          <w:rFonts w:ascii="Verdana" w:eastAsia="Calibri" w:hAnsi="Verdana" w:cs="Arial"/>
          <w:sz w:val="20"/>
          <w:szCs w:val="20"/>
          <w:lang w:eastAsia="es-ES"/>
        </w:rPr>
        <w:t xml:space="preserve">) </w:t>
      </w:r>
      <w:r w:rsidRPr="00D33696">
        <w:rPr>
          <w:rFonts w:ascii="Verdana" w:eastAsia="Calibri" w:hAnsi="Verdana" w:cs="Arial"/>
          <w:sz w:val="20"/>
          <w:szCs w:val="20"/>
          <w:lang w:eastAsia="es-ES"/>
        </w:rPr>
        <w:t>El parágrafo 3 del artículo 2.2.1.2.4.2.7.4. del Decreto 0287 de 2026 establece que el contratista debe presentar con cada solicitud de pago la documentación que acredite la permanencia de las condiciones que dieron lugar al puntaje adicional, y que:</w:t>
      </w:r>
    </w:p>
    <w:p w14:paraId="42E92F54"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 </w:t>
      </w:r>
    </w:p>
    <w:p w14:paraId="06C98648"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"la inobservancia de estas medidas y el incumplimiento injustificado en la reducción del número de trabajadores con discapacidad de la planta de personal acreditado para </w:t>
      </w:r>
      <w:r w:rsidRPr="00D33696">
        <w:rPr>
          <w:rFonts w:ascii="Verdana" w:eastAsia="Calibri" w:hAnsi="Verdana" w:cs="Arial"/>
          <w:sz w:val="20"/>
          <w:szCs w:val="20"/>
          <w:lang w:eastAsia="es-ES"/>
        </w:rPr>
        <w:lastRenderedPageBreak/>
        <w:t>obtener el puntaje adicional podrá constituir causal de incumplimiento contractual y se tramitará conforme a la normatividad vigente".</w:t>
      </w:r>
    </w:p>
    <w:p w14:paraId="7C3126AF"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p>
    <w:p w14:paraId="04A60010"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El término "podrá" indica que la entidad tiene discrecionalidad para declarar o no el incumplimiento, valorando la justificación del contratista, el impacto real en el objeto del contrato y la posibilidad de subsanación. Solo queda exonerado quien demuestre fuerza mayor o caso fortuito. El parágrafo 4 del mismo artículo añade que las medidas deben observar las garantías constitucionales de la estabilidad laboral reforzada de las </w:t>
      </w:r>
      <w:proofErr w:type="spellStart"/>
      <w:r w:rsidRPr="00D33696">
        <w:rPr>
          <w:rFonts w:ascii="Verdana" w:eastAsia="Calibri" w:hAnsi="Verdana" w:cs="Arial"/>
          <w:sz w:val="20"/>
          <w:szCs w:val="20"/>
          <w:lang w:eastAsia="es-ES"/>
        </w:rPr>
        <w:t>PcD</w:t>
      </w:r>
      <w:proofErr w:type="spellEnd"/>
      <w:r w:rsidRPr="00D33696">
        <w:rPr>
          <w:rFonts w:ascii="Verdana" w:eastAsia="Calibri" w:hAnsi="Verdana" w:cs="Arial"/>
          <w:sz w:val="20"/>
          <w:szCs w:val="20"/>
          <w:lang w:eastAsia="es-ES"/>
        </w:rPr>
        <w:t xml:space="preserve">,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w:t>
      </w:r>
      <w:proofErr w:type="spellStart"/>
      <w:r w:rsidRPr="00D33696">
        <w:rPr>
          <w:rFonts w:ascii="Verdana" w:eastAsia="Calibri" w:hAnsi="Verdana" w:cs="Arial"/>
          <w:sz w:val="20"/>
          <w:szCs w:val="20"/>
          <w:lang w:eastAsia="es-ES"/>
        </w:rPr>
        <w:t>PcD</w:t>
      </w:r>
      <w:proofErr w:type="spellEnd"/>
      <w:r w:rsidRPr="00D33696">
        <w:rPr>
          <w:rFonts w:ascii="Verdana" w:eastAsia="Calibri" w:hAnsi="Verdana" w:cs="Arial"/>
          <w:sz w:val="20"/>
          <w:szCs w:val="20"/>
          <w:lang w:eastAsia="es-ES"/>
        </w:rPr>
        <w:t>: la norma busca estabilidad real y no meramente nominal, de modo que el contratista debe adoptar las medidas de permanencia compatibles con el ordenamiento laboral vigente.</w:t>
      </w:r>
    </w:p>
    <w:p w14:paraId="6F5D1C48"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6212F861"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w:t>
      </w:r>
      <w:r>
        <w:rPr>
          <w:rFonts w:ascii="Verdana" w:eastAsia="Calibri" w:hAnsi="Verdana" w:cs="Arial"/>
          <w:b/>
          <w:bCs/>
          <w:lang w:eastAsia="es-ES"/>
        </w:rPr>
        <w:t>Entidades de r</w:t>
      </w:r>
      <w:r w:rsidRPr="004C046B">
        <w:rPr>
          <w:rFonts w:ascii="Verdana" w:eastAsia="Calibri" w:hAnsi="Verdana" w:cs="Arial"/>
          <w:b/>
          <w:bCs/>
          <w:lang w:eastAsia="es-ES"/>
        </w:rPr>
        <w:t>égimen especial ‒ Aplicación</w:t>
      </w:r>
    </w:p>
    <w:p w14:paraId="0CCF95C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B0D1E7"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E910FB">
        <w:rPr>
          <w:rFonts w:ascii="Verdana" w:eastAsia="Calibri" w:hAnsi="Verdana" w:cs="Arial"/>
          <w:sz w:val="20"/>
          <w:szCs w:val="20"/>
          <w:lang w:eastAsia="es-ES"/>
        </w:rPr>
        <w:t xml:space="preserve">En cuanto a la aplicación de las medidas afirmativas en entidades con régimen especial de contratación, 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E910FB">
        <w:rPr>
          <w:rFonts w:ascii="Verdana" w:eastAsia="Calibri" w:hAnsi="Verdana" w:cs="Arial"/>
          <w:sz w:val="20"/>
          <w:szCs w:val="20"/>
          <w:lang w:eastAsia="es-ES"/>
        </w:rPr>
        <w:t>PcD</w:t>
      </w:r>
      <w:proofErr w:type="spellEnd"/>
      <w:r w:rsidRPr="00E910FB">
        <w:rPr>
          <w:rFonts w:ascii="Verdana" w:eastAsia="Calibri" w:hAnsi="Verdana" w:cs="Arial"/>
          <w:sz w:val="20"/>
          <w:szCs w:val="20"/>
          <w:lang w:eastAsia="es-ES"/>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247134A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25FDCB2D"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Vigencia ‒ Derogatoria ‒ Decreto 392 de 2018 ‒ Régimen de transición ‒ Resolución de apertura</w:t>
      </w:r>
    </w:p>
    <w:p w14:paraId="1468556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01A0A138"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A54668">
        <w:rPr>
          <w:rFonts w:ascii="Verdana" w:eastAsia="Calibri" w:hAnsi="Verdana" w:cs="Arial"/>
          <w:sz w:val="20"/>
          <w:szCs w:val="20"/>
          <w:lang w:eastAsia="es-ES"/>
        </w:rPr>
        <w:t xml:space="preserve">(…) </w:t>
      </w:r>
      <w:r w:rsidRPr="004C046B">
        <w:rPr>
          <w:rFonts w:ascii="Verdana" w:eastAsia="Calibri" w:hAnsi="Verdana" w:cs="Arial"/>
          <w:sz w:val="20"/>
          <w:szCs w:val="20"/>
          <w:lang w:eastAsia="es-ES"/>
        </w:rPr>
        <w:t>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 pero lo señalado en este concepto debe entenderse de acuerdo con la nueva redacción de los artículos enlistados, y no recurrir a la antigua redacción.</w:t>
      </w:r>
    </w:p>
    <w:p w14:paraId="0A558430"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DBCEAAD"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lastRenderedPageBreak/>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4C046B">
        <w:rPr>
          <w:rFonts w:ascii="Verdana" w:eastAsia="Calibri" w:hAnsi="Verdana" w:cs="Arial"/>
          <w:sz w:val="20"/>
          <w:szCs w:val="20"/>
          <w:lang w:eastAsia="es-ES"/>
        </w:rPr>
        <w:t>ii</w:t>
      </w:r>
      <w:proofErr w:type="spellEnd"/>
      <w:r w:rsidRPr="004C046B">
        <w:rPr>
          <w:rFonts w:ascii="Verdana" w:eastAsia="Calibri" w:hAnsi="Verdana" w:cs="Arial"/>
          <w:sz w:val="20"/>
          <w:szCs w:val="20"/>
          <w:lang w:eastAsia="es-ES"/>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2383A788"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CBEE2D7" w14:textId="4EF73A36" w:rsidR="00F51D39" w:rsidRDefault="00F51D39" w:rsidP="00F51D39">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Para los procesos de contratación con proyecto de pliego </w:t>
      </w:r>
      <w:r w:rsidR="00F33387" w:rsidRPr="004C046B">
        <w:rPr>
          <w:rFonts w:ascii="Verdana" w:eastAsia="Calibri" w:hAnsi="Verdana" w:cs="Arial"/>
          <w:sz w:val="20"/>
          <w:szCs w:val="20"/>
          <w:lang w:eastAsia="es-ES"/>
        </w:rPr>
        <w:t>publicado,</w:t>
      </w:r>
      <w:r w:rsidRPr="004C046B">
        <w:rPr>
          <w:rFonts w:ascii="Verdana" w:eastAsia="Calibri" w:hAnsi="Verdana" w:cs="Arial"/>
          <w:sz w:val="20"/>
          <w:szCs w:val="20"/>
          <w:lang w:eastAsia="es-ES"/>
        </w:rPr>
        <w:t xml:space="preserve"> pero sin apertura al 19 de marzo de 2026, se recomienda que se incorporen las medidas del Decreto 287 de 2026 antes de publicar los pliegos definitivos. En esa etapa aún es posible realizar ajustes sin afectar derechos adquiridos de los proponentes.</w:t>
      </w:r>
    </w:p>
    <w:p w14:paraId="12110672"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482AA94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56192A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E7326F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A47CDFD"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91AF36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0EDA3021"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BFC3C7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B29E45D"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212A9250"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793BC852" w14:textId="77777777" w:rsidR="008D5774" w:rsidRPr="00206556"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1A6A7E64" w14:textId="77777777" w:rsidR="006B694D" w:rsidRDefault="006B694D" w:rsidP="001B064E">
      <w:pPr>
        <w:spacing w:after="0"/>
        <w:rPr>
          <w:rFonts w:ascii="Verdana" w:hAnsi="Verdana"/>
          <w:lang w:val="es-ES_tradnl"/>
        </w:rPr>
      </w:pPr>
    </w:p>
    <w:p w14:paraId="7232AAD6" w14:textId="77777777" w:rsidR="006B694D" w:rsidRDefault="006B694D" w:rsidP="001B064E">
      <w:pPr>
        <w:spacing w:after="0"/>
        <w:rPr>
          <w:rFonts w:ascii="Verdana" w:hAnsi="Verdana"/>
          <w:lang w:val="es-ES_tradnl"/>
        </w:rPr>
      </w:pPr>
    </w:p>
    <w:p w14:paraId="119F3C55" w14:textId="77777777" w:rsidR="006B694D" w:rsidRDefault="006B694D" w:rsidP="001B064E">
      <w:pPr>
        <w:spacing w:after="0"/>
        <w:rPr>
          <w:rFonts w:ascii="Verdana" w:hAnsi="Verdana"/>
          <w:lang w:val="es-ES_tradnl"/>
        </w:rPr>
      </w:pPr>
    </w:p>
    <w:p w14:paraId="640AD810" w14:textId="77777777" w:rsidR="006B694D" w:rsidRDefault="006B694D" w:rsidP="001B064E">
      <w:pPr>
        <w:spacing w:after="0"/>
        <w:rPr>
          <w:rFonts w:ascii="Verdana" w:hAnsi="Verdana"/>
          <w:lang w:val="es-ES_tradnl"/>
        </w:rPr>
      </w:pPr>
    </w:p>
    <w:p w14:paraId="6D917EF6" w14:textId="77777777" w:rsidR="006B694D" w:rsidRDefault="006B694D" w:rsidP="001B064E">
      <w:pPr>
        <w:spacing w:after="0"/>
        <w:rPr>
          <w:rFonts w:ascii="Verdana" w:hAnsi="Verdana"/>
          <w:lang w:val="es-ES_tradnl"/>
        </w:rPr>
      </w:pPr>
    </w:p>
    <w:p w14:paraId="53562C22" w14:textId="77777777" w:rsidR="006B694D" w:rsidRDefault="006B694D" w:rsidP="001B064E">
      <w:pPr>
        <w:spacing w:after="0"/>
        <w:rPr>
          <w:rFonts w:ascii="Verdana" w:hAnsi="Verdana"/>
          <w:lang w:val="es-ES_tradnl"/>
        </w:rPr>
      </w:pPr>
    </w:p>
    <w:p w14:paraId="7A9E6280" w14:textId="77777777" w:rsidR="006B694D" w:rsidRDefault="006B694D" w:rsidP="001B064E">
      <w:pPr>
        <w:spacing w:after="0"/>
        <w:rPr>
          <w:rFonts w:ascii="Verdana" w:hAnsi="Verdana"/>
          <w:lang w:val="es-ES_tradnl"/>
        </w:rPr>
      </w:pPr>
    </w:p>
    <w:p w14:paraId="0DE60436" w14:textId="77777777" w:rsidR="006B694D" w:rsidRDefault="006B694D" w:rsidP="001B064E">
      <w:pPr>
        <w:spacing w:after="0"/>
        <w:rPr>
          <w:rFonts w:ascii="Verdana" w:hAnsi="Verdana"/>
          <w:lang w:val="es-ES_tradnl"/>
        </w:rPr>
      </w:pPr>
    </w:p>
    <w:p w14:paraId="404FD63E" w14:textId="77777777" w:rsidR="006B694D" w:rsidRDefault="006B694D" w:rsidP="001B064E">
      <w:pPr>
        <w:spacing w:after="0"/>
        <w:rPr>
          <w:rFonts w:ascii="Verdana" w:hAnsi="Verdana"/>
          <w:lang w:val="es-ES_tradnl"/>
        </w:rPr>
      </w:pPr>
    </w:p>
    <w:p w14:paraId="53C94B5D" w14:textId="77777777" w:rsidR="006B694D" w:rsidRDefault="006B694D" w:rsidP="001B064E">
      <w:pPr>
        <w:spacing w:after="0"/>
        <w:rPr>
          <w:rFonts w:ascii="Verdana" w:hAnsi="Verdana"/>
          <w:lang w:val="es-ES_tradnl"/>
        </w:rPr>
      </w:pPr>
    </w:p>
    <w:p w14:paraId="4948C67A" w14:textId="77777777" w:rsidR="006B694D" w:rsidRDefault="006B694D" w:rsidP="001B064E">
      <w:pPr>
        <w:spacing w:after="0"/>
        <w:rPr>
          <w:rFonts w:ascii="Verdana" w:hAnsi="Verdana"/>
          <w:lang w:val="es-ES_tradnl"/>
        </w:rPr>
      </w:pPr>
    </w:p>
    <w:p w14:paraId="12528B7C" w14:textId="77777777" w:rsidR="006B694D" w:rsidRDefault="006B694D" w:rsidP="001B064E">
      <w:pPr>
        <w:spacing w:after="0"/>
        <w:rPr>
          <w:rFonts w:ascii="Verdana" w:hAnsi="Verdana"/>
          <w:lang w:val="es-ES_tradnl"/>
        </w:rPr>
      </w:pPr>
    </w:p>
    <w:p w14:paraId="2303ACB3" w14:textId="77777777" w:rsidR="006B694D" w:rsidRDefault="006B694D" w:rsidP="001B064E">
      <w:pPr>
        <w:spacing w:after="0"/>
        <w:rPr>
          <w:rFonts w:ascii="Verdana" w:hAnsi="Verdana"/>
          <w:lang w:val="es-ES_tradnl"/>
        </w:rPr>
      </w:pPr>
    </w:p>
    <w:p w14:paraId="5EF01884" w14:textId="77777777" w:rsidR="006B694D" w:rsidRDefault="006B694D" w:rsidP="001B064E">
      <w:pPr>
        <w:spacing w:after="0"/>
        <w:rPr>
          <w:rFonts w:ascii="Verdana" w:hAnsi="Verdana"/>
          <w:lang w:val="es-ES_tradnl"/>
        </w:rPr>
      </w:pPr>
    </w:p>
    <w:p w14:paraId="04097CB2" w14:textId="77777777" w:rsidR="006B694D" w:rsidRDefault="006B694D" w:rsidP="001B064E">
      <w:pPr>
        <w:spacing w:after="0"/>
        <w:rPr>
          <w:rFonts w:ascii="Verdana" w:hAnsi="Verdana"/>
          <w:lang w:val="es-ES_tradnl"/>
        </w:rPr>
      </w:pPr>
    </w:p>
    <w:p w14:paraId="004836A2" w14:textId="77777777" w:rsidR="006B694D" w:rsidRDefault="006B694D" w:rsidP="001B064E">
      <w:pPr>
        <w:spacing w:after="0"/>
        <w:rPr>
          <w:rFonts w:ascii="Verdana" w:hAnsi="Verdana"/>
          <w:lang w:val="es-ES_tradnl"/>
        </w:rPr>
      </w:pPr>
    </w:p>
    <w:p w14:paraId="75C6C21E" w14:textId="77777777" w:rsidR="00960D60" w:rsidRDefault="00960D60" w:rsidP="001B064E">
      <w:pPr>
        <w:spacing w:after="0"/>
        <w:rPr>
          <w:rFonts w:ascii="Verdana" w:hAnsi="Verdana"/>
          <w:lang w:val="es-ES_tradnl"/>
        </w:rPr>
      </w:pPr>
    </w:p>
    <w:p w14:paraId="62D221C9" w14:textId="4B2D37EB" w:rsidR="001B064E" w:rsidRPr="00777292" w:rsidRDefault="00C37B44" w:rsidP="001B064E">
      <w:pPr>
        <w:spacing w:after="0"/>
        <w:rPr>
          <w:rFonts w:ascii="Verdana" w:hAnsi="Verdana"/>
          <w:lang w:val="es-ES_tradnl"/>
        </w:rPr>
      </w:pPr>
      <w:r w:rsidRPr="00C37B44">
        <w:lastRenderedPageBreak/>
        <w:t xml:space="preserve"> </w:t>
      </w:r>
      <w:r w:rsidRPr="00C37B44">
        <w:rPr>
          <w:rFonts w:ascii="Verdana" w:hAnsi="Verdana"/>
        </w:rPr>
        <w:t xml:space="preserve">Bogotá D.C., 26 de </w:t>
      </w:r>
      <w:r w:rsidR="00F33387" w:rsidRPr="00C37B44">
        <w:rPr>
          <w:rFonts w:ascii="Verdana" w:hAnsi="Verdana"/>
        </w:rPr>
        <w:t>mayo</w:t>
      </w:r>
      <w:r w:rsidRPr="00C37B44">
        <w:rPr>
          <w:rFonts w:ascii="Verdana" w:hAnsi="Verdana"/>
        </w:rPr>
        <w:t xml:space="preserve"> de 2026</w:t>
      </w:r>
    </w:p>
    <w:p w14:paraId="5DF4E0A1" w14:textId="20C70DC9" w:rsidR="008D5774" w:rsidRPr="00777292" w:rsidRDefault="00F33387" w:rsidP="008D5774">
      <w:pPr>
        <w:spacing w:after="0"/>
        <w:rPr>
          <w:rFonts w:ascii="Verdana" w:hAnsi="Verdana"/>
          <w:lang w:val="es-ES_tradnl"/>
        </w:rPr>
      </w:pPr>
      <w:r w:rsidRPr="00C37B44">
        <w:rPr>
          <w:rFonts w:ascii="Verdana" w:hAnsi="Verdana"/>
          <w:noProof/>
          <w:lang w:val="es-ES_tradnl"/>
        </w:rPr>
        <w:drawing>
          <wp:anchor distT="0" distB="0" distL="114300" distR="114300" simplePos="0" relativeHeight="251658240" behindDoc="1" locked="0" layoutInCell="1" allowOverlap="1" wp14:anchorId="28825B5C" wp14:editId="014227D3">
            <wp:simplePos x="0" y="0"/>
            <wp:positionH relativeFrom="margin">
              <wp:align>right</wp:align>
            </wp:positionH>
            <wp:positionV relativeFrom="paragraph">
              <wp:posOffset>8890</wp:posOffset>
            </wp:positionV>
            <wp:extent cx="2542540" cy="826770"/>
            <wp:effectExtent l="0" t="0" r="0" b="0"/>
            <wp:wrapSquare wrapText="bothSides"/>
            <wp:docPr id="20968451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845137"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42540" cy="826770"/>
                    </a:xfrm>
                    <a:prstGeom prst="rect">
                      <a:avLst/>
                    </a:prstGeom>
                  </pic:spPr>
                </pic:pic>
              </a:graphicData>
            </a:graphic>
            <wp14:sizeRelH relativeFrom="page">
              <wp14:pctWidth>0</wp14:pctWidth>
            </wp14:sizeRelH>
            <wp14:sizeRelV relativeFrom="page">
              <wp14:pctHeight>0</wp14:pctHeight>
            </wp14:sizeRelV>
          </wp:anchor>
        </w:drawing>
      </w:r>
    </w:p>
    <w:p w14:paraId="165A5F33" w14:textId="15547450" w:rsidR="008D5774" w:rsidRPr="00777292" w:rsidRDefault="008D5774" w:rsidP="008D5774">
      <w:pPr>
        <w:spacing w:after="0" w:line="240" w:lineRule="auto"/>
        <w:rPr>
          <w:rFonts w:ascii="Verdana" w:hAnsi="Verdana"/>
          <w:lang w:val="es-ES"/>
        </w:rPr>
      </w:pPr>
      <w:bookmarkStart w:id="1" w:name="_Hlk143780582"/>
      <w:r w:rsidRPr="00777292">
        <w:rPr>
          <w:rFonts w:ascii="Verdana" w:eastAsia="Calibri" w:hAnsi="Verdana" w:cs="Arial"/>
          <w:lang w:val="es-ES" w:eastAsia="es-ES"/>
        </w:rPr>
        <w:t>Señor</w:t>
      </w:r>
      <w:r w:rsidR="00F51D39">
        <w:rPr>
          <w:rFonts w:ascii="Verdana" w:eastAsia="Calibri" w:hAnsi="Verdana" w:cs="Arial"/>
          <w:lang w:val="es-ES" w:eastAsia="es-ES"/>
        </w:rPr>
        <w:t>a</w:t>
      </w:r>
    </w:p>
    <w:p w14:paraId="2402F1C9" w14:textId="32F508D6" w:rsidR="008D5774" w:rsidRPr="006B694D" w:rsidRDefault="004D7F56" w:rsidP="008D5774">
      <w:pPr>
        <w:spacing w:after="0"/>
        <w:rPr>
          <w:rFonts w:ascii="Verdana" w:eastAsia="Calibri" w:hAnsi="Verdana" w:cs="Arial"/>
          <w:b/>
          <w:bCs/>
          <w:lang w:val="es-ES" w:eastAsia="es-ES"/>
        </w:rPr>
      </w:pPr>
      <w:r>
        <w:rPr>
          <w:rFonts w:ascii="Verdana" w:eastAsia="Calibri" w:hAnsi="Verdana" w:cs="Arial"/>
          <w:b/>
          <w:bCs/>
          <w:lang w:val="es-ES" w:eastAsia="es-ES"/>
        </w:rPr>
        <w:t>Diana Marcela Delgado Barrera</w:t>
      </w:r>
    </w:p>
    <w:p w14:paraId="161EFC6C" w14:textId="3796EC7E" w:rsidR="008D5774" w:rsidRPr="006B694D" w:rsidRDefault="004D7F56" w:rsidP="008D5774">
      <w:pPr>
        <w:spacing w:after="0"/>
        <w:rPr>
          <w:rStyle w:val="Hipervnculo"/>
          <w:rFonts w:ascii="Verdana" w:hAnsi="Verdana"/>
          <w:color w:val="ED7D31" w:themeColor="accent2"/>
        </w:rPr>
      </w:pPr>
      <w:r>
        <w:rPr>
          <w:rFonts w:ascii="Verdana" w:hAnsi="Verdana"/>
        </w:rPr>
        <w:t>Subgerencialc</w:t>
      </w:r>
      <w:r w:rsidR="00127F4E">
        <w:rPr>
          <w:rFonts w:ascii="Verdana" w:hAnsi="Verdana"/>
        </w:rPr>
        <w:t>@</w:t>
      </w:r>
      <w:r>
        <w:rPr>
          <w:rFonts w:ascii="Verdana" w:hAnsi="Verdana"/>
        </w:rPr>
        <w:t>b2abogados</w:t>
      </w:r>
      <w:r w:rsidR="00127F4E">
        <w:rPr>
          <w:rFonts w:ascii="Verdana" w:hAnsi="Verdana"/>
        </w:rPr>
        <w:t>.com</w:t>
      </w:r>
    </w:p>
    <w:p w14:paraId="61203DA3" w14:textId="1434F83B" w:rsidR="001B6C7C" w:rsidRPr="00777292" w:rsidRDefault="00127F4E" w:rsidP="001B6C7C">
      <w:pPr>
        <w:spacing w:after="0"/>
        <w:rPr>
          <w:rFonts w:ascii="Verdana" w:eastAsia="Calibri" w:hAnsi="Verdana" w:cs="Arial"/>
          <w:lang w:eastAsia="es-ES"/>
        </w:rPr>
      </w:pPr>
      <w:r>
        <w:rPr>
          <w:rFonts w:ascii="Verdana" w:eastAsia="Calibri" w:hAnsi="Verdana" w:cs="Arial"/>
          <w:lang w:eastAsia="es-ES"/>
        </w:rPr>
        <w:t>Bogotá</w:t>
      </w:r>
      <w:r w:rsidR="00377CDF">
        <w:rPr>
          <w:rFonts w:ascii="Verdana" w:eastAsia="Calibri" w:hAnsi="Verdana" w:cs="Arial"/>
          <w:lang w:eastAsia="es-ES"/>
        </w:rPr>
        <w:t xml:space="preserve">, </w:t>
      </w:r>
      <w:r>
        <w:rPr>
          <w:rFonts w:ascii="Verdana" w:eastAsia="Calibri" w:hAnsi="Verdana" w:cs="Arial"/>
          <w:lang w:eastAsia="es-ES"/>
        </w:rPr>
        <w:t>Cundinamarca</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6587080A" w:rsidR="001B6C7C" w:rsidRPr="00777292" w:rsidRDefault="001B6C7C">
            <w:pPr>
              <w:jc w:val="both"/>
              <w:rPr>
                <w:rFonts w:ascii="Verdana" w:eastAsia="Calibri" w:hAnsi="Verdana" w:cs="Arial"/>
                <w:b/>
                <w:bCs/>
                <w:lang w:eastAsia="es-ES"/>
              </w:rPr>
            </w:pPr>
            <w:r w:rsidRPr="00777292">
              <w:rPr>
                <w:rFonts w:ascii="Verdana" w:eastAsia="Calibri" w:hAnsi="Verdana" w:cs="Arial"/>
                <w:b/>
                <w:bCs/>
                <w:lang w:eastAsia="es-ES"/>
              </w:rPr>
              <w:t>Concepto C-</w:t>
            </w:r>
            <w:r w:rsidR="006B694D">
              <w:rPr>
                <w:rFonts w:ascii="Verdana" w:eastAsia="Calibri" w:hAnsi="Verdana" w:cs="Arial"/>
                <w:b/>
                <w:bCs/>
                <w:lang w:eastAsia="es-ES"/>
              </w:rPr>
              <w:t xml:space="preserve"> </w:t>
            </w:r>
            <w:r w:rsidR="004D7F56">
              <w:rPr>
                <w:rFonts w:ascii="Verdana" w:eastAsia="Calibri" w:hAnsi="Verdana" w:cs="Arial"/>
                <w:b/>
                <w:bCs/>
                <w:lang w:eastAsia="es-ES"/>
              </w:rPr>
              <w:t>706</w:t>
            </w:r>
            <w:r w:rsidRPr="00777292">
              <w:rPr>
                <w:rFonts w:ascii="Verdana" w:eastAsia="Calibri" w:hAnsi="Verdana" w:cs="Arial"/>
                <w:b/>
                <w:bCs/>
                <w:lang w:eastAsia="es-ES"/>
              </w:rPr>
              <w:t xml:space="preserve"> de 2026</w:t>
            </w:r>
          </w:p>
          <w:p w14:paraId="7FE82840" w14:textId="77777777" w:rsidR="001B6C7C" w:rsidRPr="00777292" w:rsidRDefault="001B6C7C">
            <w:pPr>
              <w:jc w:val="both"/>
              <w:rPr>
                <w:rFonts w:ascii="Verdana" w:eastAsia="Calibri" w:hAnsi="Verdana" w:cs="Arial"/>
                <w:b/>
                <w:bCs/>
                <w:lang w:eastAsia="es-ES"/>
              </w:rPr>
            </w:pPr>
          </w:p>
        </w:tc>
      </w:tr>
      <w:tr w:rsidR="00D37910" w:rsidRPr="00777292" w14:paraId="63A5AB9D" w14:textId="77777777">
        <w:trPr>
          <w:trHeight w:val="884"/>
        </w:trPr>
        <w:tc>
          <w:tcPr>
            <w:tcW w:w="2689" w:type="dxa"/>
          </w:tcPr>
          <w:p w14:paraId="77DFD30F" w14:textId="77777777" w:rsidR="00D37910" w:rsidRPr="00777292" w:rsidRDefault="00D37910" w:rsidP="00D37910">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07B71920" w14:textId="77777777" w:rsidR="00D37910" w:rsidRDefault="00D37910" w:rsidP="00D37910">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No acumulabilidad ‒ Acreditación simultánea de condiciones ‒ Modalidades de selección aplicables</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Vinculación de personas con discapacidad ‒ Planillas de seguridad social ‒ Período de tres meses ‒ Vinculaciones recientes</w:t>
            </w:r>
            <w:r>
              <w:rPr>
                <w:rFonts w:ascii="Verdana" w:eastAsia="Calibri" w:hAnsi="Verdana" w:cs="Arial"/>
                <w:lang w:eastAsia="es-ES"/>
              </w:rPr>
              <w:t xml:space="preserve"> / </w:t>
            </w:r>
            <w:r w:rsidRPr="00777292">
              <w:rPr>
                <w:rFonts w:ascii="Verdana" w:eastAsia="Calibri" w:hAnsi="Verdana" w:cs="Arial"/>
                <w:lang w:eastAsia="es-ES"/>
              </w:rPr>
              <w:t>DECRETO 0287 DE 2026 ‒ Criterios habilitantes diferenciales ‒ Ajustados ‒ Obligatoriedad ‒ Proporcionalidad ‒ Proponentes plurales ‒ Consorcios y uniones temporales</w:t>
            </w:r>
            <w:r>
              <w:rPr>
                <w:rFonts w:ascii="Verdana" w:eastAsia="Calibri" w:hAnsi="Verdana" w:cs="Arial"/>
                <w:lang w:eastAsia="es-ES"/>
              </w:rPr>
              <w:t xml:space="preserve"> / </w:t>
            </w:r>
            <w:r w:rsidRPr="00777292">
              <w:rPr>
                <w:rFonts w:ascii="Verdana" w:eastAsia="Calibri" w:hAnsi="Verdana" w:cs="Arial"/>
                <w:lang w:eastAsia="es-ES"/>
              </w:rPr>
              <w:t>DECRETO 0287 DE 2026 ‒ Condiciones especiales de ejecución ‒ Subcontratación inclusiva ‒ Integración del equipo de trabajo ‒ Obligatoriedad ‒ Justificación de omisión</w:t>
            </w:r>
            <w:r>
              <w:rPr>
                <w:rFonts w:ascii="Verdana" w:eastAsia="Calibri" w:hAnsi="Verdana" w:cs="Arial"/>
                <w:lang w:eastAsia="es-ES"/>
              </w:rPr>
              <w:t xml:space="preserve"> / </w:t>
            </w:r>
            <w:r w:rsidRPr="00777292">
              <w:rPr>
                <w:rFonts w:ascii="Verdana" w:eastAsia="Calibri" w:hAnsi="Verdana" w:cs="Arial"/>
                <w:lang w:eastAsia="es-ES"/>
              </w:rPr>
              <w:t>DECRETO 0287 DE 2026 ‒ Documentos tipo ‒ Principio de inalterabilidad ‒ Régimen de transición ‒ Actualización ‒ Colombia Compra Eficiente</w:t>
            </w:r>
            <w:r>
              <w:rPr>
                <w:rFonts w:ascii="Verdana" w:eastAsia="Calibri" w:hAnsi="Verdana" w:cs="Arial"/>
                <w:lang w:eastAsia="es-ES"/>
              </w:rPr>
              <w:t xml:space="preserve"> / </w:t>
            </w:r>
            <w:r w:rsidRPr="00777292">
              <w:rPr>
                <w:rFonts w:ascii="Verdana" w:eastAsia="Calibri" w:hAnsi="Verdana" w:cs="Arial"/>
                <w:lang w:eastAsia="es-ES"/>
              </w:rPr>
              <w:t>DECRETO 0287 DE 2026 ‒ Contratos de prestación de servicios ‒ personas con discapacidad ‒ Carácter potestativo ‒ Contratación directa</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Compatibilidad ‒ Incentivos MiPymes ‒ Empresas de mujeres ‒ Criterio de desempate ‒ Ley 2069 de 2020</w:t>
            </w:r>
            <w:r>
              <w:rPr>
                <w:rFonts w:ascii="Verdana" w:eastAsia="Calibri" w:hAnsi="Verdana" w:cs="Arial"/>
                <w:lang w:eastAsia="es-ES"/>
              </w:rPr>
              <w:t xml:space="preserve"> / </w:t>
            </w:r>
            <w:r w:rsidRPr="00777292">
              <w:rPr>
                <w:rFonts w:ascii="Verdana" w:eastAsia="Calibri" w:hAnsi="Verdana" w:cs="Arial"/>
                <w:lang w:eastAsia="es-ES"/>
              </w:rPr>
              <w:t xml:space="preserve">DECRETO 0287 DE 2026 ‒ Compras públicas accesibles ‒ Obligación transversal ‒ Ausencia de normas técnicas ‒ Ficha </w:t>
            </w:r>
            <w:r w:rsidRPr="00777292">
              <w:rPr>
                <w:rFonts w:ascii="Verdana" w:eastAsia="Calibri" w:hAnsi="Verdana" w:cs="Arial"/>
                <w:lang w:eastAsia="es-ES"/>
              </w:rPr>
              <w:lastRenderedPageBreak/>
              <w:t>técnica de accesibilidad ‒ Categorías de discapacidad</w:t>
            </w:r>
            <w:r>
              <w:rPr>
                <w:rFonts w:ascii="Verdana" w:eastAsia="Calibri" w:hAnsi="Verdana" w:cs="Arial"/>
                <w:lang w:eastAsia="es-ES"/>
              </w:rPr>
              <w:t xml:space="preserve"> /</w:t>
            </w:r>
            <w:r>
              <w:t xml:space="preserve"> </w:t>
            </w:r>
            <w:r w:rsidRPr="00777292">
              <w:rPr>
                <w:rFonts w:ascii="Verdana" w:eastAsia="Calibri" w:hAnsi="Verdana" w:cs="Arial"/>
                <w:lang w:eastAsia="es-ES"/>
              </w:rPr>
              <w:t>DECRETO 0287 DE 2026 ‒ Ejecución contractual ‒ Permanencia de condiciones ‒ Reducción de personas con discapacidad vinculadas ‒ Incumplimiento contractual</w:t>
            </w:r>
            <w:r>
              <w:rPr>
                <w:rFonts w:ascii="Verdana" w:eastAsia="Calibri" w:hAnsi="Verdana" w:cs="Arial"/>
                <w:lang w:eastAsia="es-ES"/>
              </w:rPr>
              <w:t xml:space="preserve"> / </w:t>
            </w:r>
            <w:r w:rsidRPr="00777292">
              <w:rPr>
                <w:rFonts w:ascii="Verdana" w:eastAsia="Calibri" w:hAnsi="Verdana" w:cs="Arial"/>
                <w:lang w:eastAsia="es-ES"/>
              </w:rPr>
              <w:t>DECRETO 0287 DE 2026 ‒ Entidades de régimen especial ‒ Aplicación</w:t>
            </w:r>
            <w:r>
              <w:rPr>
                <w:rFonts w:ascii="Verdana" w:eastAsia="Calibri" w:hAnsi="Verdana" w:cs="Arial"/>
                <w:lang w:eastAsia="es-ES"/>
              </w:rPr>
              <w:t xml:space="preserve"> / </w:t>
            </w:r>
            <w:r w:rsidRPr="00777292">
              <w:rPr>
                <w:rFonts w:ascii="Verdana" w:eastAsia="Calibri" w:hAnsi="Verdana" w:cs="Arial"/>
                <w:lang w:eastAsia="es-ES"/>
              </w:rPr>
              <w:t>DECRETO 0287 DE 2026 ‒ Vigencia ‒ Derogatoria ‒ Decreto 392 de 2018 ‒ Régimen de transición ‒ Resolución de apertura</w:t>
            </w:r>
          </w:p>
          <w:p w14:paraId="34C0CDD8" w14:textId="7D0BA071" w:rsidR="00D37910" w:rsidRPr="00777292" w:rsidRDefault="00D37910" w:rsidP="00D37910">
            <w:pPr>
              <w:contextualSpacing/>
              <w:jc w:val="both"/>
              <w:rPr>
                <w:rFonts w:ascii="Verdana" w:eastAsia="Calibri" w:hAnsi="Verdana" w:cs="Arial"/>
                <w:lang w:eastAsia="es-ES"/>
              </w:rPr>
            </w:pPr>
          </w:p>
        </w:tc>
      </w:tr>
      <w:tr w:rsidR="00D37910" w:rsidRPr="00777292" w14:paraId="18649ABC" w14:textId="77777777">
        <w:tc>
          <w:tcPr>
            <w:tcW w:w="2689" w:type="dxa"/>
          </w:tcPr>
          <w:p w14:paraId="65B57F33" w14:textId="77777777" w:rsidR="00D37910" w:rsidRPr="00777292" w:rsidRDefault="00D37910" w:rsidP="00D37910">
            <w:pPr>
              <w:jc w:val="both"/>
              <w:rPr>
                <w:rFonts w:ascii="Verdana" w:eastAsia="Calibri" w:hAnsi="Verdana" w:cs="Arial"/>
                <w:b/>
                <w:lang w:eastAsia="es-ES_tradnl"/>
              </w:rPr>
            </w:pPr>
            <w:r w:rsidRPr="00777292">
              <w:rPr>
                <w:rFonts w:ascii="Verdana" w:eastAsia="Calibri" w:hAnsi="Verdana" w:cs="Arial"/>
                <w:b/>
                <w:lang w:eastAsia="es-ES_tradnl"/>
              </w:rPr>
              <w:lastRenderedPageBreak/>
              <w:t>Radicación:</w:t>
            </w:r>
            <w:r w:rsidRPr="00777292">
              <w:rPr>
                <w:rFonts w:ascii="Verdana" w:eastAsia="Calibri" w:hAnsi="Verdana" w:cs="Arial"/>
                <w:lang w:eastAsia="es-ES_tradnl"/>
              </w:rPr>
              <w:t xml:space="preserve">               </w:t>
            </w:r>
          </w:p>
        </w:tc>
        <w:tc>
          <w:tcPr>
            <w:tcW w:w="6100" w:type="dxa"/>
          </w:tcPr>
          <w:p w14:paraId="7EDDA735" w14:textId="064B5939" w:rsidR="00D37910" w:rsidRPr="00777292" w:rsidRDefault="00D37910" w:rsidP="00D37910">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005562C3">
              <w:rPr>
                <w:rFonts w:ascii="Verdana" w:eastAsia="Calibri" w:hAnsi="Verdana" w:cs="Arial"/>
                <w:lang w:eastAsia="es-ES_tradnl"/>
              </w:rPr>
              <w:t xml:space="preserve"> </w:t>
            </w:r>
            <w:r w:rsidR="004D7F56" w:rsidRPr="004D7F56">
              <w:rPr>
                <w:rFonts w:ascii="Verdana" w:eastAsia="Calibri" w:hAnsi="Verdana" w:cs="Arial"/>
                <w:lang w:eastAsia="es-ES_tradnl"/>
              </w:rPr>
              <w:t>1_2026_04_21_005357</w:t>
            </w:r>
          </w:p>
        </w:tc>
      </w:tr>
    </w:tbl>
    <w:p w14:paraId="7B20ECE9" w14:textId="77777777"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28B6A7ED" w:rsidR="008D5774" w:rsidRPr="00206556" w:rsidRDefault="008D5774" w:rsidP="008D5774">
      <w:pPr>
        <w:spacing w:after="0" w:line="276" w:lineRule="auto"/>
        <w:jc w:val="both"/>
        <w:rPr>
          <w:rFonts w:ascii="Verdana" w:eastAsia="Calibri" w:hAnsi="Verdana" w:cs="Arial"/>
          <w:lang w:val="es-ES" w:eastAsia="es-ES"/>
        </w:rPr>
      </w:pPr>
      <w:r w:rsidRPr="006B694D">
        <w:rPr>
          <w:rFonts w:ascii="Verdana" w:eastAsia="Calibri" w:hAnsi="Verdana" w:cs="Arial"/>
          <w:lang w:val="es-ES" w:eastAsia="es-ES"/>
        </w:rPr>
        <w:t>Estimad</w:t>
      </w:r>
      <w:r w:rsidR="00A32143">
        <w:rPr>
          <w:rFonts w:ascii="Verdana" w:eastAsia="Calibri" w:hAnsi="Verdana" w:cs="Arial"/>
          <w:lang w:val="es-ES" w:eastAsia="es-ES"/>
        </w:rPr>
        <w:t>a</w:t>
      </w:r>
      <w:r w:rsidRPr="006B694D">
        <w:rPr>
          <w:rFonts w:ascii="Verdana" w:eastAsia="Calibri" w:hAnsi="Verdana" w:cs="Arial"/>
          <w:lang w:val="es-ES" w:eastAsia="es-ES"/>
        </w:rPr>
        <w:t xml:space="preserve"> </w:t>
      </w:r>
      <w:r w:rsidR="00F51D39">
        <w:rPr>
          <w:rFonts w:ascii="Verdana" w:eastAsia="Calibri" w:hAnsi="Verdana" w:cs="Arial"/>
          <w:lang w:val="es-ES" w:eastAsia="es-ES"/>
        </w:rPr>
        <w:t>señ</w:t>
      </w:r>
      <w:r w:rsidR="00377CDF">
        <w:rPr>
          <w:rFonts w:ascii="Verdana" w:eastAsia="Calibri" w:hAnsi="Verdana" w:cs="Arial"/>
          <w:lang w:val="es-ES" w:eastAsia="es-ES"/>
        </w:rPr>
        <w:t>or</w:t>
      </w:r>
      <w:r w:rsidR="00A32143">
        <w:rPr>
          <w:rFonts w:ascii="Verdana" w:eastAsia="Calibri" w:hAnsi="Verdana" w:cs="Arial"/>
          <w:lang w:val="es-ES" w:eastAsia="es-ES"/>
        </w:rPr>
        <w:t>a</w:t>
      </w:r>
      <w:r w:rsidR="00377CDF">
        <w:rPr>
          <w:rFonts w:ascii="Verdana" w:eastAsia="Calibri" w:hAnsi="Verdana" w:cs="Arial"/>
          <w:lang w:val="es-ES" w:eastAsia="es-ES"/>
        </w:rPr>
        <w:t xml:space="preserve"> </w:t>
      </w:r>
      <w:r w:rsidR="004D7F56">
        <w:rPr>
          <w:rFonts w:ascii="Verdana" w:eastAsia="Calibri" w:hAnsi="Verdana" w:cs="Arial"/>
          <w:lang w:val="es-ES" w:eastAsia="es-ES"/>
        </w:rPr>
        <w:t>Delgado</w:t>
      </w:r>
      <w:r w:rsidRPr="006B694D">
        <w:rPr>
          <w:rFonts w:ascii="Verdana" w:eastAsia="Calibri" w:hAnsi="Verdana" w:cs="Arial"/>
          <w:lang w:val="es-ES" w:eastAsia="es-ES"/>
        </w:rPr>
        <w:t>,</w:t>
      </w:r>
    </w:p>
    <w:p w14:paraId="23FCCBE5" w14:textId="77777777" w:rsidR="008D5774" w:rsidRPr="00206556" w:rsidRDefault="008D5774" w:rsidP="008D5774">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3426E35D" w14:textId="049F958A" w:rsidR="008D5774" w:rsidRPr="00206556" w:rsidRDefault="008D5774" w:rsidP="008D5774">
      <w:pPr>
        <w:spacing w:after="0" w:line="276" w:lineRule="auto"/>
        <w:jc w:val="both"/>
        <w:rPr>
          <w:rFonts w:ascii="Verdana" w:eastAsia="Calibri" w:hAnsi="Verdana" w:cs="Arial"/>
          <w:lang w:val="es-ES" w:eastAsia="es-ES"/>
        </w:rPr>
      </w:pPr>
      <w:r w:rsidRPr="006B694D">
        <w:rPr>
          <w:rFonts w:ascii="Verdana" w:eastAsia="Calibri" w:hAnsi="Verdana" w:cs="Arial"/>
          <w:lang w:val="es-ES" w:eastAsia="es-ES"/>
        </w:rPr>
        <w:t>En ejercicio de la competencia otorgada por los artículos 3, numeral 5º, y 11, numeral 8º, del Decreto Ley 4170 de 2011,</w:t>
      </w:r>
      <w:r w:rsidRPr="006B694D">
        <w:rPr>
          <w:rFonts w:ascii="Verdana" w:eastAsia="Arial MT" w:hAnsi="Verdana" w:cs="Arial MT"/>
          <w:lang w:val="es-ES" w:eastAsia="es-ES"/>
        </w:rPr>
        <w:t xml:space="preserve"> </w:t>
      </w:r>
      <w:r w:rsidRPr="006B694D">
        <w:rPr>
          <w:rFonts w:ascii="Verdana" w:hAnsi="Verdana" w:cs="Arial"/>
          <w:lang w:val="es-ES"/>
        </w:rPr>
        <w:t xml:space="preserve">así como lo establecido en </w:t>
      </w:r>
      <w:r w:rsidR="00995967" w:rsidRPr="006B694D">
        <w:rPr>
          <w:rFonts w:ascii="Verdana" w:hAnsi="Verdana" w:cs="Arial"/>
          <w:lang w:val="es-ES"/>
        </w:rPr>
        <w:t xml:space="preserve">la Resolución 469 de 2025 </w:t>
      </w:r>
      <w:r w:rsidRPr="006B694D">
        <w:rPr>
          <w:rFonts w:ascii="Verdana" w:hAnsi="Verdana" w:cs="Arial"/>
          <w:lang w:val="es-ES"/>
        </w:rPr>
        <w:t xml:space="preserve">expedida por esta Entidad, </w:t>
      </w:r>
      <w:r w:rsidRPr="006B694D">
        <w:rPr>
          <w:rFonts w:ascii="Verdana" w:eastAsia="Calibri" w:hAnsi="Verdana" w:cs="Arial"/>
          <w:lang w:val="es-ES" w:eastAsia="es-ES"/>
        </w:rPr>
        <w:t xml:space="preserve">la Agencia Nacional de Contratación Pública – Colombia Compra Eficiente– responde su solicitud de consulta de fecha </w:t>
      </w:r>
      <w:r w:rsidR="005562C3">
        <w:rPr>
          <w:rFonts w:ascii="Verdana" w:eastAsia="Calibri" w:hAnsi="Verdana" w:cs="Arial"/>
          <w:lang w:val="es-ES" w:eastAsia="es-ES"/>
        </w:rPr>
        <w:t>2</w:t>
      </w:r>
      <w:r w:rsidR="004D7F56">
        <w:rPr>
          <w:rFonts w:ascii="Verdana" w:eastAsia="Calibri" w:hAnsi="Verdana" w:cs="Arial"/>
          <w:lang w:val="es-ES" w:eastAsia="es-ES"/>
        </w:rPr>
        <w:t>1</w:t>
      </w:r>
      <w:r w:rsidRPr="006B694D">
        <w:rPr>
          <w:rFonts w:ascii="Verdana" w:eastAsia="Calibri" w:hAnsi="Verdana" w:cs="Arial"/>
          <w:lang w:val="es-ES" w:eastAsia="es-ES"/>
        </w:rPr>
        <w:t xml:space="preserve"> de </w:t>
      </w:r>
      <w:r w:rsidR="00F51D39">
        <w:rPr>
          <w:rFonts w:ascii="Verdana" w:eastAsia="Calibri" w:hAnsi="Verdana" w:cs="Arial"/>
          <w:lang w:val="es-ES" w:eastAsia="es-ES"/>
        </w:rPr>
        <w:t>abril</w:t>
      </w:r>
      <w:r w:rsidRPr="006B694D">
        <w:rPr>
          <w:rFonts w:ascii="Verdana" w:eastAsia="Calibri" w:hAnsi="Verdana" w:cs="Arial"/>
          <w:lang w:val="es-ES" w:eastAsia="es-ES"/>
        </w:rPr>
        <w:t xml:space="preserve"> de 202</w:t>
      </w:r>
      <w:r w:rsidR="0006693F" w:rsidRPr="006B694D">
        <w:rPr>
          <w:rFonts w:ascii="Verdana" w:eastAsia="Calibri" w:hAnsi="Verdana" w:cs="Arial"/>
          <w:lang w:val="es-ES" w:eastAsia="es-ES"/>
        </w:rPr>
        <w:t>6</w:t>
      </w:r>
      <w:r w:rsidRPr="006B694D">
        <w:rPr>
          <w:rFonts w:ascii="Verdana" w:eastAsia="Calibri" w:hAnsi="Verdana" w:cs="Arial"/>
          <w:lang w:val="es-ES" w:eastAsia="es-ES"/>
        </w:rPr>
        <w:t>, en la cual manifiesta lo siguiente</w:t>
      </w:r>
      <w:r w:rsidRPr="00206556">
        <w:rPr>
          <w:rFonts w:ascii="Verdana" w:eastAsia="Calibri" w:hAnsi="Verdana" w:cs="Arial"/>
          <w:lang w:val="es-ES" w:eastAsia="es-ES"/>
        </w:rPr>
        <w:t xml:space="preserve">: </w:t>
      </w:r>
    </w:p>
    <w:p w14:paraId="64073759" w14:textId="0A86B783" w:rsidR="009948E7"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4FC14199" w14:textId="5FCB3173" w:rsidR="004D7F56" w:rsidRPr="004D7F56" w:rsidRDefault="00377CDF" w:rsidP="004D7F56">
      <w:pPr>
        <w:spacing w:before="120" w:after="120" w:line="240" w:lineRule="auto"/>
        <w:ind w:left="709" w:right="709"/>
        <w:contextualSpacing/>
        <w:jc w:val="both"/>
        <w:rPr>
          <w:rFonts w:ascii="Verdana" w:eastAsia="Century Gothic" w:hAnsi="Verdana" w:cs="Century Gothic"/>
          <w:sz w:val="20"/>
          <w:szCs w:val="20"/>
        </w:rPr>
      </w:pPr>
      <w:r w:rsidRPr="00377CDF">
        <w:rPr>
          <w:rFonts w:ascii="Verdana" w:eastAsia="Century Gothic" w:hAnsi="Verdana" w:cs="Century Gothic"/>
          <w:sz w:val="20"/>
          <w:szCs w:val="20"/>
        </w:rPr>
        <w:t>“</w:t>
      </w:r>
      <w:r w:rsidR="004D7F56">
        <w:rPr>
          <w:rFonts w:ascii="Verdana" w:eastAsia="Century Gothic" w:hAnsi="Verdana" w:cs="Century Gothic"/>
          <w:sz w:val="20"/>
          <w:szCs w:val="20"/>
        </w:rPr>
        <w:t xml:space="preserve">1. </w:t>
      </w:r>
      <w:proofErr w:type="gramStart"/>
      <w:r w:rsidR="004D7F56">
        <w:rPr>
          <w:rFonts w:ascii="Verdana" w:eastAsia="Century Gothic" w:hAnsi="Verdana" w:cs="Century Gothic"/>
          <w:sz w:val="20"/>
          <w:szCs w:val="20"/>
        </w:rPr>
        <w:t>…</w:t>
      </w:r>
      <w:r w:rsidR="004D7F56" w:rsidRPr="004D7F56">
        <w:rPr>
          <w:rFonts w:ascii="Verdana" w:eastAsia="Century Gothic" w:hAnsi="Verdana" w:cs="Century Gothic"/>
          <w:sz w:val="20"/>
          <w:szCs w:val="20"/>
        </w:rPr>
        <w:t>¿</w:t>
      </w:r>
      <w:proofErr w:type="gramEnd"/>
      <w:r w:rsidR="004D7F56" w:rsidRPr="004D7F56">
        <w:rPr>
          <w:rFonts w:ascii="Verdana" w:eastAsia="Century Gothic" w:hAnsi="Verdana" w:cs="Century Gothic"/>
          <w:sz w:val="20"/>
          <w:szCs w:val="20"/>
        </w:rPr>
        <w:t>Es suficiente aportar únicamente el certificado de discapacidad expedido por el Ministerio de</w:t>
      </w:r>
    </w:p>
    <w:p w14:paraId="43FE7C79" w14:textId="77777777" w:rsidR="004D7F56" w:rsidRPr="004D7F56" w:rsidRDefault="004D7F56" w:rsidP="004D7F56">
      <w:pPr>
        <w:spacing w:before="120" w:after="120" w:line="240" w:lineRule="auto"/>
        <w:ind w:left="709" w:right="709"/>
        <w:contextualSpacing/>
        <w:jc w:val="both"/>
        <w:rPr>
          <w:rFonts w:ascii="Verdana" w:eastAsia="Century Gothic" w:hAnsi="Verdana" w:cs="Century Gothic"/>
          <w:sz w:val="20"/>
          <w:szCs w:val="20"/>
        </w:rPr>
      </w:pPr>
      <w:r w:rsidRPr="004D7F56">
        <w:rPr>
          <w:rFonts w:ascii="Verdana" w:eastAsia="Century Gothic" w:hAnsi="Verdana" w:cs="Century Gothic"/>
          <w:sz w:val="20"/>
          <w:szCs w:val="20"/>
        </w:rPr>
        <w:t>Salud y Protección Social conforme a la normativa del RLCPD para acreditar el puntaje adicional</w:t>
      </w:r>
    </w:p>
    <w:p w14:paraId="14FA0B65" w14:textId="77777777" w:rsidR="004D7F56" w:rsidRPr="004D7F56" w:rsidRDefault="004D7F56" w:rsidP="004D7F56">
      <w:pPr>
        <w:spacing w:before="120" w:after="120" w:line="240" w:lineRule="auto"/>
        <w:ind w:left="709" w:right="709"/>
        <w:contextualSpacing/>
        <w:jc w:val="both"/>
        <w:rPr>
          <w:rFonts w:ascii="Verdana" w:eastAsia="Century Gothic" w:hAnsi="Verdana" w:cs="Century Gothic"/>
          <w:sz w:val="20"/>
          <w:szCs w:val="20"/>
        </w:rPr>
      </w:pPr>
      <w:r w:rsidRPr="004D7F56">
        <w:rPr>
          <w:rFonts w:ascii="Verdana" w:eastAsia="Century Gothic" w:hAnsi="Verdana" w:cs="Century Gothic"/>
          <w:sz w:val="20"/>
          <w:szCs w:val="20"/>
        </w:rPr>
        <w:t>del artículo 2.2.1.2.4.2.7.4., o resulta obligatorio aportar adicionalmente el certificado expedido por</w:t>
      </w:r>
    </w:p>
    <w:p w14:paraId="5793E893" w14:textId="77777777" w:rsidR="004D7F56" w:rsidRPr="004D7F56" w:rsidRDefault="004D7F56" w:rsidP="004D7F56">
      <w:pPr>
        <w:spacing w:before="120" w:after="120" w:line="240" w:lineRule="auto"/>
        <w:ind w:left="709" w:right="709"/>
        <w:contextualSpacing/>
        <w:jc w:val="both"/>
        <w:rPr>
          <w:rFonts w:ascii="Verdana" w:eastAsia="Century Gothic" w:hAnsi="Verdana" w:cs="Century Gothic"/>
          <w:sz w:val="20"/>
          <w:szCs w:val="20"/>
        </w:rPr>
      </w:pPr>
      <w:proofErr w:type="gramStart"/>
      <w:r w:rsidRPr="004D7F56">
        <w:rPr>
          <w:rFonts w:ascii="Verdana" w:eastAsia="Century Gothic" w:hAnsi="Verdana" w:cs="Century Gothic"/>
          <w:sz w:val="20"/>
          <w:szCs w:val="20"/>
        </w:rPr>
        <w:t>el Ministerio de Trabajo?</w:t>
      </w:r>
      <w:proofErr w:type="gramEnd"/>
      <w:r w:rsidRPr="004D7F56">
        <w:rPr>
          <w:rFonts w:ascii="Verdana" w:eastAsia="Century Gothic" w:hAnsi="Verdana" w:cs="Century Gothic"/>
          <w:sz w:val="20"/>
          <w:szCs w:val="20"/>
        </w:rPr>
        <w:t xml:space="preserve"> En caso de ser ambos obligatorios, ¿cuál es la consecuencia de no contar</w:t>
      </w:r>
    </w:p>
    <w:p w14:paraId="13189711" w14:textId="64A56F97" w:rsidR="004D7F56" w:rsidRDefault="004D7F56" w:rsidP="004D7F56">
      <w:pPr>
        <w:spacing w:before="120" w:after="120" w:line="240" w:lineRule="auto"/>
        <w:ind w:left="709" w:right="709"/>
        <w:contextualSpacing/>
        <w:jc w:val="both"/>
        <w:rPr>
          <w:rFonts w:ascii="Verdana" w:eastAsia="Century Gothic" w:hAnsi="Verdana" w:cs="Century Gothic"/>
          <w:sz w:val="20"/>
          <w:szCs w:val="20"/>
        </w:rPr>
      </w:pPr>
      <w:r w:rsidRPr="004D7F56">
        <w:rPr>
          <w:rFonts w:ascii="Verdana" w:eastAsia="Century Gothic" w:hAnsi="Verdana" w:cs="Century Gothic"/>
          <w:sz w:val="20"/>
          <w:szCs w:val="20"/>
        </w:rPr>
        <w:t>con el certificado del Ministerio de Trabajo al momento del cierre del proceso de selección?</w:t>
      </w:r>
    </w:p>
    <w:p w14:paraId="3FD43748" w14:textId="77777777" w:rsidR="004D7F56" w:rsidRPr="004D7F56" w:rsidRDefault="004D7F56" w:rsidP="004D7F56">
      <w:pPr>
        <w:spacing w:before="120" w:after="120" w:line="240" w:lineRule="auto"/>
        <w:ind w:left="709" w:right="709"/>
        <w:contextualSpacing/>
        <w:jc w:val="both"/>
        <w:rPr>
          <w:rFonts w:ascii="Verdana" w:eastAsia="Century Gothic" w:hAnsi="Verdana" w:cs="Century Gothic"/>
          <w:sz w:val="20"/>
          <w:szCs w:val="20"/>
        </w:rPr>
      </w:pPr>
      <w:r>
        <w:rPr>
          <w:rFonts w:ascii="Verdana" w:eastAsia="Century Gothic" w:hAnsi="Verdana" w:cs="Century Gothic"/>
          <w:sz w:val="20"/>
          <w:szCs w:val="20"/>
        </w:rPr>
        <w:t xml:space="preserve">…2. </w:t>
      </w:r>
      <w:proofErr w:type="gramStart"/>
      <w:r w:rsidRPr="004D7F56">
        <w:rPr>
          <w:rFonts w:ascii="Verdana" w:eastAsia="Century Gothic" w:hAnsi="Verdana" w:cs="Century Gothic"/>
          <w:sz w:val="20"/>
          <w:szCs w:val="20"/>
        </w:rPr>
        <w:t>¿Qué debe entenderse por "dedicación exclusiva" en el contexto del artículo 2.</w:t>
      </w:r>
      <w:proofErr w:type="gramEnd"/>
      <w:r w:rsidRPr="004D7F56">
        <w:rPr>
          <w:rFonts w:ascii="Verdana" w:eastAsia="Century Gothic" w:hAnsi="Verdana" w:cs="Century Gothic"/>
          <w:sz w:val="20"/>
          <w:szCs w:val="20"/>
        </w:rPr>
        <w:t>2.1.2.4.2.7.4.</w:t>
      </w:r>
    </w:p>
    <w:p w14:paraId="1782AE3C" w14:textId="5BC3BFBE" w:rsidR="004D7F56" w:rsidRPr="004D7F56" w:rsidRDefault="004D7F56" w:rsidP="004D7F56">
      <w:pPr>
        <w:spacing w:before="120" w:after="120" w:line="240" w:lineRule="auto"/>
        <w:ind w:left="709" w:right="709"/>
        <w:contextualSpacing/>
        <w:jc w:val="both"/>
        <w:rPr>
          <w:rFonts w:ascii="Verdana" w:eastAsia="Century Gothic" w:hAnsi="Verdana" w:cs="Century Gothic"/>
          <w:sz w:val="20"/>
          <w:szCs w:val="20"/>
        </w:rPr>
      </w:pPr>
      <w:r w:rsidRPr="004D7F56">
        <w:rPr>
          <w:rFonts w:ascii="Verdana" w:eastAsia="Century Gothic" w:hAnsi="Verdana" w:cs="Century Gothic"/>
          <w:sz w:val="20"/>
          <w:szCs w:val="20"/>
        </w:rPr>
        <w:t xml:space="preserve">del Decreto 0287 de 2026: </w:t>
      </w:r>
      <w:proofErr w:type="gramStart"/>
      <w:r w:rsidRPr="004D7F56">
        <w:rPr>
          <w:rFonts w:ascii="Verdana" w:eastAsia="Century Gothic" w:hAnsi="Verdana" w:cs="Century Gothic"/>
          <w:sz w:val="20"/>
          <w:szCs w:val="20"/>
        </w:rPr>
        <w:t>equivale a jornada laboral completa (tiempo completo), o</w:t>
      </w:r>
      <w:r>
        <w:rPr>
          <w:rFonts w:ascii="Verdana" w:eastAsia="Century Gothic" w:hAnsi="Verdana" w:cs="Century Gothic"/>
          <w:sz w:val="20"/>
          <w:szCs w:val="20"/>
        </w:rPr>
        <w:t xml:space="preserve"> </w:t>
      </w:r>
      <w:r w:rsidRPr="004D7F56">
        <w:rPr>
          <w:rFonts w:ascii="Verdana" w:eastAsia="Century Gothic" w:hAnsi="Verdana" w:cs="Century Gothic"/>
          <w:sz w:val="20"/>
          <w:szCs w:val="20"/>
        </w:rPr>
        <w:t>implica únicamente la ausencia de pluriempleo con independencia de la jornada</w:t>
      </w:r>
      <w:r>
        <w:rPr>
          <w:rFonts w:ascii="Verdana" w:eastAsia="Century Gothic" w:hAnsi="Verdana" w:cs="Century Gothic"/>
          <w:sz w:val="20"/>
          <w:szCs w:val="20"/>
        </w:rPr>
        <w:t xml:space="preserve"> </w:t>
      </w:r>
      <w:r w:rsidRPr="004D7F56">
        <w:rPr>
          <w:rFonts w:ascii="Verdana" w:eastAsia="Century Gothic" w:hAnsi="Verdana" w:cs="Century Gothic"/>
          <w:sz w:val="20"/>
          <w:szCs w:val="20"/>
        </w:rPr>
        <w:t>pactada?</w:t>
      </w:r>
      <w:proofErr w:type="gramEnd"/>
    </w:p>
    <w:p w14:paraId="0F33DC7E" w14:textId="0E183AFC" w:rsidR="004D7F56" w:rsidRPr="004D7F56" w:rsidRDefault="004D7F56" w:rsidP="004D7F56">
      <w:pPr>
        <w:spacing w:before="120" w:after="120" w:line="240" w:lineRule="auto"/>
        <w:ind w:left="709" w:right="709"/>
        <w:contextualSpacing/>
        <w:jc w:val="both"/>
        <w:rPr>
          <w:rFonts w:ascii="Verdana" w:eastAsia="Century Gothic" w:hAnsi="Verdana" w:cs="Century Gothic"/>
          <w:sz w:val="20"/>
          <w:szCs w:val="20"/>
        </w:rPr>
      </w:pPr>
      <w:r w:rsidRPr="004D7F56">
        <w:rPr>
          <w:rFonts w:ascii="Verdana" w:eastAsia="Century Gothic" w:hAnsi="Verdana" w:cs="Century Gothic"/>
          <w:sz w:val="20"/>
          <w:szCs w:val="20"/>
        </w:rPr>
        <w:t>¿Puede un proponente acreditar el puntaje adicional del 2% vinculando trabajadores con</w:t>
      </w:r>
      <w:r>
        <w:rPr>
          <w:rFonts w:ascii="Verdana" w:eastAsia="Century Gothic" w:hAnsi="Verdana" w:cs="Century Gothic"/>
          <w:sz w:val="20"/>
          <w:szCs w:val="20"/>
        </w:rPr>
        <w:t xml:space="preserve"> </w:t>
      </w:r>
      <w:r w:rsidRPr="004D7F56">
        <w:rPr>
          <w:rFonts w:ascii="Verdana" w:eastAsia="Century Gothic" w:hAnsi="Verdana" w:cs="Century Gothic"/>
          <w:sz w:val="20"/>
          <w:szCs w:val="20"/>
        </w:rPr>
        <w:t xml:space="preserve">discapacidad bajo contratos de medio tiempo o jornada parcial, siempre que </w:t>
      </w:r>
      <w:proofErr w:type="gramStart"/>
      <w:r w:rsidRPr="004D7F56">
        <w:rPr>
          <w:rFonts w:ascii="Verdana" w:eastAsia="Century Gothic" w:hAnsi="Verdana" w:cs="Century Gothic"/>
          <w:sz w:val="20"/>
          <w:szCs w:val="20"/>
        </w:rPr>
        <w:t xml:space="preserve">dichos </w:t>
      </w:r>
      <w:r>
        <w:rPr>
          <w:rFonts w:ascii="Verdana" w:eastAsia="Century Gothic" w:hAnsi="Verdana" w:cs="Century Gothic"/>
          <w:sz w:val="20"/>
          <w:szCs w:val="20"/>
        </w:rPr>
        <w:t xml:space="preserve"> </w:t>
      </w:r>
      <w:r w:rsidRPr="004D7F56">
        <w:rPr>
          <w:rFonts w:ascii="Verdana" w:eastAsia="Century Gothic" w:hAnsi="Verdana" w:cs="Century Gothic"/>
          <w:sz w:val="20"/>
          <w:szCs w:val="20"/>
        </w:rPr>
        <w:t>trabajadores</w:t>
      </w:r>
      <w:proofErr w:type="gramEnd"/>
      <w:r w:rsidRPr="004D7F56">
        <w:rPr>
          <w:rFonts w:ascii="Verdana" w:eastAsia="Century Gothic" w:hAnsi="Verdana" w:cs="Century Gothic"/>
          <w:sz w:val="20"/>
          <w:szCs w:val="20"/>
        </w:rPr>
        <w:t xml:space="preserve"> no tengan simultáneamente otro vínculo laboral? </w:t>
      </w:r>
    </w:p>
    <w:p w14:paraId="38483172" w14:textId="3CCE4E6B" w:rsidR="004D7F56" w:rsidRDefault="004D7F56" w:rsidP="004D7F56">
      <w:pPr>
        <w:spacing w:before="120" w:after="120" w:line="240" w:lineRule="auto"/>
        <w:ind w:left="709" w:right="709"/>
        <w:contextualSpacing/>
        <w:jc w:val="both"/>
        <w:rPr>
          <w:rFonts w:ascii="Verdana" w:eastAsia="Century Gothic" w:hAnsi="Verdana" w:cs="Century Gothic"/>
          <w:sz w:val="20"/>
          <w:szCs w:val="20"/>
        </w:rPr>
      </w:pPr>
      <w:r w:rsidRPr="004D7F56">
        <w:rPr>
          <w:rFonts w:ascii="Verdana" w:eastAsia="Century Gothic" w:hAnsi="Verdana" w:cs="Century Gothic"/>
          <w:sz w:val="20"/>
          <w:szCs w:val="20"/>
        </w:rPr>
        <w:t>¿Puede una misma persona con discapacidad, vinculada a medio tiempo por dos</w:t>
      </w:r>
      <w:r>
        <w:rPr>
          <w:rFonts w:ascii="Verdana" w:eastAsia="Century Gothic" w:hAnsi="Verdana" w:cs="Century Gothic"/>
          <w:sz w:val="20"/>
          <w:szCs w:val="20"/>
        </w:rPr>
        <w:t xml:space="preserve"> </w:t>
      </w:r>
      <w:r w:rsidRPr="004D7F56">
        <w:rPr>
          <w:rFonts w:ascii="Verdana" w:eastAsia="Century Gothic" w:hAnsi="Verdana" w:cs="Century Gothic"/>
          <w:sz w:val="20"/>
          <w:szCs w:val="20"/>
        </w:rPr>
        <w:t>empleadores distintos, ser presentada simultáneamente por cada uno de ellos para efectos</w:t>
      </w:r>
      <w:r>
        <w:rPr>
          <w:rFonts w:ascii="Verdana" w:eastAsia="Century Gothic" w:hAnsi="Verdana" w:cs="Century Gothic"/>
          <w:sz w:val="20"/>
          <w:szCs w:val="20"/>
        </w:rPr>
        <w:t xml:space="preserve"> </w:t>
      </w:r>
      <w:r w:rsidRPr="004D7F56">
        <w:rPr>
          <w:rFonts w:ascii="Verdana" w:eastAsia="Century Gothic" w:hAnsi="Verdana" w:cs="Century Gothic"/>
          <w:sz w:val="20"/>
          <w:szCs w:val="20"/>
        </w:rPr>
        <w:t>de acreditar el puntaje adicional del 2%? ¿Cuál sería la consecuencia jurídica de dicha</w:t>
      </w:r>
      <w:r>
        <w:rPr>
          <w:rFonts w:ascii="Verdana" w:eastAsia="Century Gothic" w:hAnsi="Verdana" w:cs="Century Gothic"/>
          <w:sz w:val="20"/>
          <w:szCs w:val="20"/>
        </w:rPr>
        <w:t xml:space="preserve"> </w:t>
      </w:r>
      <w:r w:rsidRPr="004D7F56">
        <w:rPr>
          <w:rFonts w:ascii="Verdana" w:eastAsia="Century Gothic" w:hAnsi="Verdana" w:cs="Century Gothic"/>
          <w:sz w:val="20"/>
          <w:szCs w:val="20"/>
        </w:rPr>
        <w:t>presentación simultánea?</w:t>
      </w:r>
    </w:p>
    <w:p w14:paraId="174021F6" w14:textId="77777777" w:rsidR="004D7F56" w:rsidRPr="00377CDF" w:rsidRDefault="004D7F56" w:rsidP="004D7F56">
      <w:pPr>
        <w:spacing w:before="120" w:after="120" w:line="240" w:lineRule="auto"/>
        <w:ind w:left="709" w:right="709"/>
        <w:contextualSpacing/>
        <w:jc w:val="both"/>
        <w:rPr>
          <w:rFonts w:ascii="Verdana" w:eastAsia="Calibri" w:hAnsi="Verdana" w:cs="Arial"/>
          <w:sz w:val="20"/>
          <w:szCs w:val="20"/>
          <w:lang w:val="es-ES" w:eastAsia="es-ES"/>
        </w:rPr>
      </w:pPr>
    </w:p>
    <w:p w14:paraId="2961B07D" w14:textId="501B8796" w:rsidR="00A32143" w:rsidRPr="00A32143" w:rsidRDefault="00A32143" w:rsidP="00A32143">
      <w:pPr>
        <w:spacing w:before="120" w:after="120" w:line="240" w:lineRule="auto"/>
        <w:ind w:left="709" w:right="709"/>
        <w:contextualSpacing/>
        <w:jc w:val="both"/>
        <w:rPr>
          <w:rFonts w:ascii="Verdana" w:eastAsia="Calibri" w:hAnsi="Verdana" w:cs="Arial"/>
          <w:sz w:val="20"/>
          <w:szCs w:val="20"/>
          <w:lang w:val="es-ES" w:eastAsia="es-ES"/>
        </w:rPr>
      </w:pPr>
      <w:r w:rsidRPr="00A32143">
        <w:rPr>
          <w:rFonts w:ascii="Verdana" w:eastAsia="Calibri" w:hAnsi="Verdana" w:cs="Arial"/>
          <w:sz w:val="20"/>
          <w:szCs w:val="20"/>
          <w:lang w:val="es-ES" w:eastAsia="es-ES"/>
        </w:rPr>
        <w:t>¿El requisito de acreditar tres (3) meses de aportes a seguridad social de las personas con</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discapacidad vinculadas admite alguna excepción o mecanismo de flexibilización para</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 xml:space="preserve">proponentes que vinculen </w:t>
      </w:r>
      <w:proofErr w:type="spellStart"/>
      <w:r w:rsidRPr="00A32143">
        <w:rPr>
          <w:rFonts w:ascii="Verdana" w:eastAsia="Calibri" w:hAnsi="Verdana" w:cs="Arial"/>
          <w:sz w:val="20"/>
          <w:szCs w:val="20"/>
          <w:lang w:val="es-ES" w:eastAsia="es-ES"/>
        </w:rPr>
        <w:t>PcD</w:t>
      </w:r>
      <w:proofErr w:type="spellEnd"/>
      <w:r w:rsidRPr="00A32143">
        <w:rPr>
          <w:rFonts w:ascii="Verdana" w:eastAsia="Calibri" w:hAnsi="Verdana" w:cs="Arial"/>
          <w:sz w:val="20"/>
          <w:szCs w:val="20"/>
          <w:lang w:val="es-ES" w:eastAsia="es-ES"/>
        </w:rPr>
        <w:t xml:space="preserve"> por primera vez en el marco de un proceso de </w:t>
      </w:r>
      <w:proofErr w:type="gramStart"/>
      <w:r w:rsidRPr="00A32143">
        <w:rPr>
          <w:rFonts w:ascii="Verdana" w:eastAsia="Calibri" w:hAnsi="Verdana" w:cs="Arial"/>
          <w:sz w:val="20"/>
          <w:szCs w:val="20"/>
          <w:lang w:val="es-ES" w:eastAsia="es-ES"/>
        </w:rPr>
        <w:t xml:space="preserve">selección </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cuyo</w:t>
      </w:r>
      <w:proofErr w:type="gramEnd"/>
      <w:r w:rsidRPr="00A32143">
        <w:rPr>
          <w:rFonts w:ascii="Verdana" w:eastAsia="Calibri" w:hAnsi="Verdana" w:cs="Arial"/>
          <w:sz w:val="20"/>
          <w:szCs w:val="20"/>
          <w:lang w:val="es-ES" w:eastAsia="es-ES"/>
        </w:rPr>
        <w:t xml:space="preserve"> plazo no permita completar dicho período antes del cierre?</w:t>
      </w:r>
    </w:p>
    <w:p w14:paraId="75743BDB" w14:textId="3DF65164" w:rsidR="00A32143" w:rsidRPr="00A32143" w:rsidRDefault="00A32143" w:rsidP="00A32143">
      <w:pPr>
        <w:spacing w:before="120" w:after="120" w:line="240" w:lineRule="auto"/>
        <w:ind w:left="709" w:right="709"/>
        <w:contextualSpacing/>
        <w:jc w:val="both"/>
        <w:rPr>
          <w:rFonts w:ascii="Verdana" w:eastAsia="Calibri" w:hAnsi="Verdana" w:cs="Arial"/>
          <w:sz w:val="20"/>
          <w:szCs w:val="20"/>
          <w:lang w:val="es-ES" w:eastAsia="es-ES"/>
        </w:rPr>
      </w:pPr>
      <w:r w:rsidRPr="00A32143">
        <w:rPr>
          <w:rFonts w:ascii="Verdana" w:eastAsia="Calibri" w:hAnsi="Verdana" w:cs="Arial"/>
          <w:sz w:val="20"/>
          <w:szCs w:val="20"/>
          <w:lang w:val="es-ES" w:eastAsia="es-ES"/>
        </w:rPr>
        <w:t>¿Contempla el Decreto 0287 de 2026 o puede Colombia Compra Eficiente establecer</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mediante lineamiento algún período de transición o mecanismo equivalente que permita</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 xml:space="preserve">a nuevos vinculadores de </w:t>
      </w:r>
      <w:proofErr w:type="spellStart"/>
      <w:r w:rsidRPr="00A32143">
        <w:rPr>
          <w:rFonts w:ascii="Verdana" w:eastAsia="Calibri" w:hAnsi="Verdana" w:cs="Arial"/>
          <w:sz w:val="20"/>
          <w:szCs w:val="20"/>
          <w:lang w:val="es-ES" w:eastAsia="es-ES"/>
        </w:rPr>
        <w:t>PcD</w:t>
      </w:r>
      <w:proofErr w:type="spellEnd"/>
      <w:r w:rsidRPr="00A32143">
        <w:rPr>
          <w:rFonts w:ascii="Verdana" w:eastAsia="Calibri" w:hAnsi="Verdana" w:cs="Arial"/>
          <w:sz w:val="20"/>
          <w:szCs w:val="20"/>
          <w:lang w:val="es-ES" w:eastAsia="es-ES"/>
        </w:rPr>
        <w:t xml:space="preserve"> acceder progresivamente al puntaje adicional del 2%, sin</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que el requisito temporal opere como una barrera de entrada?</w:t>
      </w:r>
    </w:p>
    <w:p w14:paraId="0E943F32" w14:textId="73DDD33C" w:rsidR="00A32143" w:rsidRPr="00A32143" w:rsidRDefault="00A32143" w:rsidP="00A32143">
      <w:pPr>
        <w:spacing w:before="120" w:after="120" w:line="240" w:lineRule="auto"/>
        <w:ind w:left="709" w:right="709"/>
        <w:contextualSpacing/>
        <w:jc w:val="both"/>
        <w:rPr>
          <w:rFonts w:ascii="Verdana" w:eastAsia="Calibri" w:hAnsi="Verdana" w:cs="Arial"/>
          <w:sz w:val="20"/>
          <w:szCs w:val="20"/>
          <w:lang w:val="es-ES" w:eastAsia="es-ES"/>
        </w:rPr>
      </w:pPr>
      <w:r w:rsidRPr="00A32143">
        <w:rPr>
          <w:rFonts w:ascii="Verdana" w:eastAsia="Calibri" w:hAnsi="Verdana" w:cs="Arial"/>
          <w:sz w:val="20"/>
          <w:szCs w:val="20"/>
          <w:lang w:val="es-ES" w:eastAsia="es-ES"/>
        </w:rPr>
        <w:t>¿Considera el DNP que el efecto diferencial identificado, en el que el requisito de los 3</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 xml:space="preserve">meses de aportes favorece estructuralmente a quienes ya tenían </w:t>
      </w:r>
      <w:proofErr w:type="spellStart"/>
      <w:r w:rsidRPr="00A32143">
        <w:rPr>
          <w:rFonts w:ascii="Verdana" w:eastAsia="Calibri" w:hAnsi="Verdana" w:cs="Arial"/>
          <w:sz w:val="20"/>
          <w:szCs w:val="20"/>
          <w:lang w:val="es-ES" w:eastAsia="es-ES"/>
        </w:rPr>
        <w:t>PcD</w:t>
      </w:r>
      <w:proofErr w:type="spellEnd"/>
      <w:r w:rsidRPr="00A32143">
        <w:rPr>
          <w:rFonts w:ascii="Verdana" w:eastAsia="Calibri" w:hAnsi="Verdana" w:cs="Arial"/>
          <w:sz w:val="20"/>
          <w:szCs w:val="20"/>
          <w:lang w:val="es-ES" w:eastAsia="es-ES"/>
        </w:rPr>
        <w:t xml:space="preserve"> vinculadas por</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mandato de la Ley 2466 de 2025 frente a quienes desean vincularse por primera vez, es</w:t>
      </w:r>
    </w:p>
    <w:p w14:paraId="56CC27B2" w14:textId="5F1A750E" w:rsidR="00A32143" w:rsidRPr="00A32143" w:rsidRDefault="00A32143" w:rsidP="00A32143">
      <w:pPr>
        <w:spacing w:before="120" w:after="120" w:line="240" w:lineRule="auto"/>
        <w:ind w:left="709" w:right="709"/>
        <w:contextualSpacing/>
        <w:jc w:val="both"/>
        <w:rPr>
          <w:rFonts w:ascii="Verdana" w:eastAsia="Calibri" w:hAnsi="Verdana" w:cs="Arial"/>
          <w:sz w:val="20"/>
          <w:szCs w:val="20"/>
          <w:lang w:val="es-ES" w:eastAsia="es-ES"/>
        </w:rPr>
      </w:pPr>
      <w:r w:rsidRPr="00A32143">
        <w:rPr>
          <w:rFonts w:ascii="Verdana" w:eastAsia="Calibri" w:hAnsi="Verdana" w:cs="Arial"/>
          <w:sz w:val="20"/>
          <w:szCs w:val="20"/>
          <w:lang w:val="es-ES" w:eastAsia="es-ES"/>
        </w:rPr>
        <w:t>consistente con los principios de igualdad real y efectiva y de fomento a la inclusión que</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 xml:space="preserve">orientan la Ley Estatutaria 1618 de 2013? </w:t>
      </w:r>
    </w:p>
    <w:p w14:paraId="711BCC53" w14:textId="6106D547" w:rsidR="00A32143" w:rsidRPr="00A32143" w:rsidRDefault="00A32143" w:rsidP="00A32143">
      <w:pPr>
        <w:spacing w:before="120" w:after="120" w:line="240" w:lineRule="auto"/>
        <w:ind w:left="709" w:right="709"/>
        <w:contextualSpacing/>
        <w:jc w:val="both"/>
        <w:rPr>
          <w:rFonts w:ascii="Verdana" w:eastAsia="Calibri" w:hAnsi="Verdana" w:cs="Arial"/>
          <w:sz w:val="20"/>
          <w:szCs w:val="20"/>
          <w:lang w:val="es-ES" w:eastAsia="es-ES"/>
        </w:rPr>
      </w:pPr>
      <w:r>
        <w:rPr>
          <w:rFonts w:ascii="Verdana" w:eastAsia="Calibri" w:hAnsi="Verdana" w:cs="Arial"/>
          <w:sz w:val="20"/>
          <w:szCs w:val="20"/>
          <w:lang w:val="es-ES" w:eastAsia="es-ES"/>
        </w:rPr>
        <w:t>PETI</w:t>
      </w:r>
      <w:r w:rsidRPr="00A32143">
        <w:rPr>
          <w:rFonts w:ascii="Verdana" w:eastAsia="Calibri" w:hAnsi="Verdana" w:cs="Arial"/>
          <w:sz w:val="20"/>
          <w:szCs w:val="20"/>
          <w:lang w:val="es-ES" w:eastAsia="es-ES"/>
        </w:rPr>
        <w:t>CIÓN</w:t>
      </w:r>
    </w:p>
    <w:p w14:paraId="69E84E1D" w14:textId="0B414E8B" w:rsidR="00A32143" w:rsidRPr="00A32143" w:rsidRDefault="00A32143" w:rsidP="00A32143">
      <w:pPr>
        <w:spacing w:before="120" w:after="120" w:line="240" w:lineRule="auto"/>
        <w:ind w:left="709" w:right="709"/>
        <w:contextualSpacing/>
        <w:jc w:val="both"/>
        <w:rPr>
          <w:rFonts w:ascii="Verdana" w:eastAsia="Calibri" w:hAnsi="Verdana" w:cs="Arial"/>
          <w:sz w:val="20"/>
          <w:szCs w:val="20"/>
          <w:lang w:val="es-ES" w:eastAsia="es-ES"/>
        </w:rPr>
      </w:pPr>
      <w:r w:rsidRPr="00A32143">
        <w:rPr>
          <w:rFonts w:ascii="Verdana" w:eastAsia="Calibri" w:hAnsi="Verdana" w:cs="Arial"/>
          <w:sz w:val="20"/>
          <w:szCs w:val="20"/>
          <w:lang w:val="es-ES" w:eastAsia="es-ES"/>
        </w:rPr>
        <w:t>fundamento en lo expuesto, respetuosamente solicitamos al Departamento Nacional de</w:t>
      </w:r>
      <w:r>
        <w:rPr>
          <w:rFonts w:ascii="Verdana" w:eastAsia="Calibri" w:hAnsi="Verdana" w:cs="Arial"/>
          <w:sz w:val="20"/>
          <w:szCs w:val="20"/>
          <w:lang w:val="es-ES" w:eastAsia="es-ES"/>
        </w:rPr>
        <w:t xml:space="preserve"> pl</w:t>
      </w:r>
      <w:r w:rsidRPr="00A32143">
        <w:rPr>
          <w:rFonts w:ascii="Verdana" w:eastAsia="Calibri" w:hAnsi="Verdana" w:cs="Arial"/>
          <w:sz w:val="20"/>
          <w:szCs w:val="20"/>
          <w:lang w:val="es-ES" w:eastAsia="es-ES"/>
        </w:rPr>
        <w:t>aneación y a la Agencia Nacional de Contratación Pública - Colombia Compra Eficiente:</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 xml:space="preserve"> Emitir concepto jurídico sobre cada una de las preguntas formuladas en los capítulos II, III y</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 xml:space="preserve">IV del presente escrito, con indicación del alcance normativo del artículo 2.2.1.2.4.2.7.4. del </w:t>
      </w:r>
    </w:p>
    <w:p w14:paraId="4CC199D0" w14:textId="77777777" w:rsidR="00A32143" w:rsidRDefault="00A32143" w:rsidP="00A32143">
      <w:pPr>
        <w:spacing w:before="120" w:after="120" w:line="240" w:lineRule="auto"/>
        <w:ind w:left="709" w:right="709"/>
        <w:contextualSpacing/>
        <w:jc w:val="both"/>
        <w:rPr>
          <w:rFonts w:ascii="Verdana" w:eastAsia="Calibri" w:hAnsi="Verdana" w:cs="Arial"/>
          <w:sz w:val="20"/>
          <w:szCs w:val="20"/>
          <w:lang w:val="es-ES" w:eastAsia="es-ES"/>
        </w:rPr>
      </w:pPr>
      <w:r w:rsidRPr="00A32143">
        <w:rPr>
          <w:rFonts w:ascii="Verdana" w:eastAsia="Calibri" w:hAnsi="Verdana" w:cs="Arial"/>
          <w:sz w:val="20"/>
          <w:szCs w:val="20"/>
          <w:lang w:val="es-ES" w:eastAsia="es-ES"/>
        </w:rPr>
        <w:t>Decreto 0287 de 2026.</w:t>
      </w:r>
      <w:r>
        <w:rPr>
          <w:rFonts w:ascii="Verdana" w:eastAsia="Calibri" w:hAnsi="Verdana" w:cs="Arial"/>
          <w:sz w:val="20"/>
          <w:szCs w:val="20"/>
          <w:lang w:val="es-ES" w:eastAsia="es-ES"/>
        </w:rPr>
        <w:t xml:space="preserve"> </w:t>
      </w:r>
    </w:p>
    <w:p w14:paraId="593A4FE8" w14:textId="17E75B2B" w:rsidR="00A32143" w:rsidRDefault="00A32143" w:rsidP="00A32143">
      <w:pPr>
        <w:spacing w:before="120" w:after="120" w:line="240" w:lineRule="auto"/>
        <w:ind w:left="709" w:right="709"/>
        <w:contextualSpacing/>
        <w:jc w:val="both"/>
        <w:rPr>
          <w:rFonts w:ascii="Verdana" w:eastAsia="Calibri" w:hAnsi="Verdana" w:cs="Arial"/>
          <w:sz w:val="20"/>
          <w:szCs w:val="20"/>
          <w:lang w:val="es-ES" w:eastAsia="es-ES"/>
        </w:rPr>
      </w:pPr>
      <w:r w:rsidRPr="00A32143">
        <w:rPr>
          <w:rFonts w:ascii="Verdana" w:eastAsia="Calibri" w:hAnsi="Verdana" w:cs="Arial"/>
          <w:sz w:val="20"/>
          <w:szCs w:val="20"/>
          <w:lang w:val="es-ES" w:eastAsia="es-ES"/>
        </w:rPr>
        <w:t>Indicar de manera expresa si la expresión "dedicación exclusiva" implica jornada completa</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o ausencia de pluriempleo, y si los contratos de medio tiempo o jornada parcial son válidos</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para efectos del puntaje adicional.</w:t>
      </w:r>
    </w:p>
    <w:p w14:paraId="5B1B35A7" w14:textId="6896DBED" w:rsidR="00A32143" w:rsidRPr="00A32143" w:rsidRDefault="00A32143" w:rsidP="00A32143">
      <w:pPr>
        <w:spacing w:before="120" w:after="120" w:line="240" w:lineRule="auto"/>
        <w:ind w:left="709" w:right="709"/>
        <w:contextualSpacing/>
        <w:jc w:val="both"/>
        <w:rPr>
          <w:rFonts w:ascii="Verdana" w:eastAsia="Calibri" w:hAnsi="Verdana" w:cs="Arial"/>
          <w:sz w:val="20"/>
          <w:szCs w:val="20"/>
          <w:lang w:val="es-ES" w:eastAsia="es-ES"/>
        </w:rPr>
      </w:pPr>
      <w:r w:rsidRPr="00A32143">
        <w:rPr>
          <w:rFonts w:ascii="Verdana" w:eastAsia="Calibri" w:hAnsi="Verdana" w:cs="Arial"/>
          <w:sz w:val="20"/>
          <w:szCs w:val="20"/>
          <w:lang w:val="es-ES" w:eastAsia="es-ES"/>
        </w:rPr>
        <w:t>Pronunciarse sobre la obligatoriedad concurrente de los dos certificados previstos en el</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artículo 2.2.1.2.4.2.7.4. y las consecuencias de su ausencia al momento del cierre del</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proceso.</w:t>
      </w:r>
    </w:p>
    <w:p w14:paraId="07A0E538" w14:textId="7E8003A3" w:rsidR="008D5774" w:rsidRPr="00A32143" w:rsidRDefault="00A32143" w:rsidP="00A32143">
      <w:pPr>
        <w:spacing w:before="120" w:after="120" w:line="240" w:lineRule="auto"/>
        <w:ind w:left="709" w:right="709"/>
        <w:contextualSpacing/>
        <w:jc w:val="both"/>
        <w:rPr>
          <w:rFonts w:ascii="Verdana" w:eastAsia="Calibri" w:hAnsi="Verdana" w:cs="Arial"/>
          <w:sz w:val="20"/>
          <w:szCs w:val="20"/>
          <w:lang w:val="es-ES" w:eastAsia="es-ES"/>
        </w:rPr>
      </w:pPr>
      <w:r w:rsidRPr="00A32143">
        <w:rPr>
          <w:rFonts w:ascii="Verdana" w:eastAsia="Calibri" w:hAnsi="Verdana" w:cs="Arial"/>
          <w:sz w:val="20"/>
          <w:szCs w:val="20"/>
          <w:lang w:val="es-ES" w:eastAsia="es-ES"/>
        </w:rPr>
        <w:t xml:space="preserve">Evaluar la conveniencia de expedir norma aclaratoria, circular o lineamiento </w:t>
      </w:r>
      <w:proofErr w:type="gramStart"/>
      <w:r w:rsidRPr="00A32143">
        <w:rPr>
          <w:rFonts w:ascii="Verdana" w:eastAsia="Calibri" w:hAnsi="Verdana" w:cs="Arial"/>
          <w:sz w:val="20"/>
          <w:szCs w:val="20"/>
          <w:lang w:val="es-ES" w:eastAsia="es-ES"/>
        </w:rPr>
        <w:t xml:space="preserve">que </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establezca</w:t>
      </w:r>
      <w:proofErr w:type="gramEnd"/>
      <w:r w:rsidRPr="00A32143">
        <w:rPr>
          <w:rFonts w:ascii="Verdana" w:eastAsia="Calibri" w:hAnsi="Verdana" w:cs="Arial"/>
          <w:sz w:val="20"/>
          <w:szCs w:val="20"/>
          <w:lang w:val="es-ES" w:eastAsia="es-ES"/>
        </w:rPr>
        <w:t xml:space="preserve"> mecanismos de flexibilización o transición frente al requisito de los tres (3) meses</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de aportes a seguridad social, con el fin de eliminar la barrera de entrada que dicho</w:t>
      </w:r>
      <w:r>
        <w:rPr>
          <w:rFonts w:ascii="Verdana" w:eastAsia="Calibri" w:hAnsi="Verdana" w:cs="Arial"/>
          <w:sz w:val="20"/>
          <w:szCs w:val="20"/>
          <w:lang w:val="es-ES" w:eastAsia="es-ES"/>
        </w:rPr>
        <w:t xml:space="preserve"> </w:t>
      </w:r>
      <w:r w:rsidRPr="00A32143">
        <w:rPr>
          <w:rFonts w:ascii="Verdana" w:eastAsia="Calibri" w:hAnsi="Verdana" w:cs="Arial"/>
          <w:sz w:val="20"/>
          <w:szCs w:val="20"/>
          <w:lang w:val="es-ES" w:eastAsia="es-ES"/>
        </w:rPr>
        <w:t xml:space="preserve">requisito genera para proponentes que deseen vincular </w:t>
      </w:r>
      <w:proofErr w:type="spellStart"/>
      <w:r w:rsidRPr="00A32143">
        <w:rPr>
          <w:rFonts w:ascii="Verdana" w:eastAsia="Calibri" w:hAnsi="Verdana" w:cs="Arial"/>
          <w:sz w:val="20"/>
          <w:szCs w:val="20"/>
          <w:lang w:val="es-ES" w:eastAsia="es-ES"/>
        </w:rPr>
        <w:t>PcD</w:t>
      </w:r>
      <w:proofErr w:type="spellEnd"/>
      <w:r w:rsidRPr="00A32143">
        <w:rPr>
          <w:rFonts w:ascii="Verdana" w:eastAsia="Calibri" w:hAnsi="Verdana" w:cs="Arial"/>
          <w:sz w:val="20"/>
          <w:szCs w:val="20"/>
          <w:lang w:val="es-ES" w:eastAsia="es-ES"/>
        </w:rPr>
        <w:t xml:space="preserve"> por primera vez, garantizando</w:t>
      </w:r>
      <w:r w:rsidR="008D5774" w:rsidRPr="00377CDF">
        <w:rPr>
          <w:rFonts w:ascii="Verdana" w:eastAsia="Calibri" w:hAnsi="Verdana" w:cs="Arial"/>
          <w:sz w:val="20"/>
          <w:szCs w:val="20"/>
          <w:lang w:val="es-ES" w:eastAsia="es-ES"/>
        </w:rPr>
        <w:t>.</w:t>
      </w:r>
      <w:r w:rsidR="00377CDF" w:rsidRPr="00377CDF">
        <w:rPr>
          <w:rFonts w:ascii="Verdana" w:eastAsia="Calibri" w:hAnsi="Verdana" w:cs="Arial"/>
          <w:sz w:val="20"/>
          <w:szCs w:val="20"/>
          <w:lang w:val="es-ES" w:eastAsia="es-ES"/>
        </w:rPr>
        <w:t>”</w:t>
      </w:r>
      <w:r w:rsidR="008D5774" w:rsidRPr="00377CDF">
        <w:rPr>
          <w:rFonts w:ascii="Verdana" w:eastAsia="Calibri" w:hAnsi="Verdana" w:cs="Arial"/>
          <w:sz w:val="20"/>
          <w:szCs w:val="20"/>
          <w:lang w:val="es-ES" w:eastAsia="es-ES"/>
        </w:rPr>
        <w:t xml:space="preserve"> </w:t>
      </w:r>
      <w:r w:rsidR="008D5774" w:rsidRPr="00377CDF">
        <w:rPr>
          <w:rFonts w:ascii="Verdana" w:hAnsi="Verdana"/>
          <w:sz w:val="20"/>
          <w:szCs w:val="20"/>
          <w:lang w:val="es-ES"/>
        </w:rPr>
        <w:tab/>
      </w:r>
    </w:p>
    <w:p w14:paraId="622FBB80" w14:textId="77777777" w:rsidR="00F51D39" w:rsidRDefault="00F51D39" w:rsidP="008D5774">
      <w:pPr>
        <w:spacing w:after="0" w:line="276" w:lineRule="auto"/>
        <w:ind w:firstLine="709"/>
        <w:jc w:val="both"/>
        <w:rPr>
          <w:rFonts w:ascii="Verdana" w:eastAsia="Calibri" w:hAnsi="Verdana" w:cs="Arial"/>
          <w:lang w:val="es-ES" w:eastAsia="es-ES"/>
        </w:rPr>
      </w:pPr>
    </w:p>
    <w:p w14:paraId="428652EF" w14:textId="1951622B" w:rsidR="008D5774" w:rsidRPr="00206556" w:rsidRDefault="008D5774" w:rsidP="008D5774">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288081" w14:textId="77777777" w:rsidR="008D5774" w:rsidRDefault="008D5774" w:rsidP="008D5774">
      <w:pPr>
        <w:spacing w:after="0" w:line="276" w:lineRule="auto"/>
        <w:ind w:firstLine="709"/>
        <w:jc w:val="both"/>
        <w:rPr>
          <w:rFonts w:ascii="Verdana" w:eastAsia="Calibri" w:hAnsi="Verdana" w:cs="Arial"/>
          <w:lang w:val="es-ES" w:eastAsia="es-ES"/>
        </w:rPr>
      </w:pPr>
    </w:p>
    <w:p w14:paraId="0839449B" w14:textId="77777777" w:rsidR="009502B2" w:rsidRDefault="009502B2" w:rsidP="008D5774">
      <w:pPr>
        <w:spacing w:after="0" w:line="276" w:lineRule="auto"/>
        <w:ind w:firstLine="709"/>
        <w:jc w:val="both"/>
        <w:rPr>
          <w:rFonts w:ascii="Verdana" w:eastAsia="Calibri" w:hAnsi="Verdana" w:cs="Arial"/>
          <w:lang w:val="es-ES" w:eastAsia="es-ES"/>
        </w:rPr>
      </w:pPr>
    </w:p>
    <w:p w14:paraId="4470CF1D" w14:textId="77777777" w:rsidR="009502B2" w:rsidRDefault="009502B2" w:rsidP="008D5774">
      <w:pPr>
        <w:spacing w:after="0" w:line="276" w:lineRule="auto"/>
        <w:ind w:firstLine="709"/>
        <w:jc w:val="both"/>
        <w:rPr>
          <w:rFonts w:ascii="Verdana" w:eastAsia="Calibri" w:hAnsi="Verdana" w:cs="Arial"/>
          <w:lang w:val="es-ES" w:eastAsia="es-ES"/>
        </w:rPr>
      </w:pPr>
    </w:p>
    <w:p w14:paraId="7525FA4B" w14:textId="77777777" w:rsidR="009502B2" w:rsidRPr="00206556" w:rsidRDefault="009502B2" w:rsidP="008D5774">
      <w:pPr>
        <w:spacing w:after="0" w:line="276" w:lineRule="auto"/>
        <w:ind w:firstLine="709"/>
        <w:jc w:val="both"/>
        <w:rPr>
          <w:rFonts w:ascii="Verdana" w:eastAsia="Calibri" w:hAnsi="Verdana" w:cs="Arial"/>
          <w:lang w:val="es-ES" w:eastAsia="es-ES"/>
        </w:rPr>
      </w:pPr>
    </w:p>
    <w:p w14:paraId="4AD69AFF" w14:textId="77777777" w:rsidR="008D5774" w:rsidRPr="00206556"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26050314" w14:textId="77777777" w:rsidR="008D5774" w:rsidRPr="00206556"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20A6A7B6" w14:textId="6F61211A" w:rsidR="004D7F56" w:rsidRPr="004D7F56" w:rsidRDefault="008D5774" w:rsidP="004D7F56">
      <w:pPr>
        <w:numPr>
          <w:ilvl w:val="0"/>
          <w:numId w:val="18"/>
        </w:num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004D7F56" w:rsidRPr="004D7F56">
        <w:rPr>
          <w:rFonts w:ascii="Verdana" w:eastAsia="Century Gothic" w:hAnsi="Verdana" w:cs="Century Gothic"/>
        </w:rPr>
        <w:t>¿Cuáles son los documentos requeridos para acreditar el puntaje adicional por vinculación de personas con discapacidad previsto en el Decreto 287 de 2026?</w:t>
      </w:r>
    </w:p>
    <w:p w14:paraId="347CB288" w14:textId="77777777" w:rsidR="004D7F56" w:rsidRPr="004D7F56" w:rsidRDefault="004D7F56" w:rsidP="004D7F56">
      <w:pPr>
        <w:numPr>
          <w:ilvl w:val="0"/>
          <w:numId w:val="18"/>
        </w:numPr>
        <w:spacing w:after="0" w:line="276" w:lineRule="auto"/>
        <w:jc w:val="both"/>
        <w:rPr>
          <w:rFonts w:ascii="Verdana" w:eastAsia="Century Gothic" w:hAnsi="Verdana" w:cs="Century Gothic"/>
        </w:rPr>
      </w:pPr>
      <w:r w:rsidRPr="004D7F56">
        <w:rPr>
          <w:rFonts w:ascii="Verdana" w:eastAsia="Century Gothic" w:hAnsi="Verdana" w:cs="Century Gothic"/>
        </w:rPr>
        <w:t>¿Qué debe entenderse por “dedicación exclusiva” en el artículo 2.2.1.2.4.2.7.4. del Decreto 287 de 2026?</w:t>
      </w:r>
    </w:p>
    <w:p w14:paraId="2ED9D4D6" w14:textId="77777777" w:rsidR="004D7F56" w:rsidRPr="004D7F56" w:rsidRDefault="004D7F56" w:rsidP="004D7F56">
      <w:pPr>
        <w:numPr>
          <w:ilvl w:val="0"/>
          <w:numId w:val="18"/>
        </w:numPr>
        <w:spacing w:after="0" w:line="276" w:lineRule="auto"/>
        <w:jc w:val="both"/>
        <w:rPr>
          <w:rFonts w:ascii="Verdana" w:eastAsia="Century Gothic" w:hAnsi="Verdana" w:cs="Century Gothic"/>
        </w:rPr>
      </w:pPr>
      <w:r w:rsidRPr="004D7F56">
        <w:rPr>
          <w:rFonts w:ascii="Verdana" w:eastAsia="Century Gothic" w:hAnsi="Verdana" w:cs="Century Gothic"/>
        </w:rPr>
        <w:t>¿Es posible acreditar el puntaje adicional mediante contratos de medio tiempo o jornada parcial?</w:t>
      </w:r>
    </w:p>
    <w:p w14:paraId="75C6EFE1" w14:textId="77777777" w:rsidR="004D7F56" w:rsidRPr="004D7F56" w:rsidRDefault="004D7F56" w:rsidP="004D7F56">
      <w:pPr>
        <w:numPr>
          <w:ilvl w:val="0"/>
          <w:numId w:val="18"/>
        </w:numPr>
        <w:spacing w:after="0" w:line="276" w:lineRule="auto"/>
        <w:jc w:val="both"/>
        <w:rPr>
          <w:rFonts w:ascii="Verdana" w:eastAsia="Century Gothic" w:hAnsi="Verdana" w:cs="Century Gothic"/>
        </w:rPr>
      </w:pPr>
      <w:r w:rsidRPr="004D7F56">
        <w:rPr>
          <w:rFonts w:ascii="Verdana" w:eastAsia="Century Gothic" w:hAnsi="Verdana" w:cs="Century Gothic"/>
        </w:rPr>
        <w:t>¿Puede una misma persona con discapacidad ser acreditada simultáneamente por dos empleadores para efectos del puntaje adicional?</w:t>
      </w:r>
    </w:p>
    <w:p w14:paraId="6BED7848" w14:textId="77777777" w:rsidR="004D7F56" w:rsidRPr="004D7F56" w:rsidRDefault="004D7F56" w:rsidP="004D7F56">
      <w:pPr>
        <w:numPr>
          <w:ilvl w:val="0"/>
          <w:numId w:val="18"/>
        </w:numPr>
        <w:spacing w:after="0" w:line="276" w:lineRule="auto"/>
        <w:jc w:val="both"/>
        <w:rPr>
          <w:rFonts w:ascii="Verdana" w:eastAsia="Century Gothic" w:hAnsi="Verdana" w:cs="Century Gothic"/>
        </w:rPr>
      </w:pPr>
      <w:r w:rsidRPr="004D7F56">
        <w:rPr>
          <w:rFonts w:ascii="Verdana" w:eastAsia="Century Gothic" w:hAnsi="Verdana" w:cs="Century Gothic"/>
        </w:rPr>
        <w:t>¿El requisito de tres meses de aportes a seguridad social previsto en el Decreto 287 de 2026 constituye una barrera de acceso al puntaje adicional?</w:t>
      </w:r>
    </w:p>
    <w:p w14:paraId="102C5194" w14:textId="77777777" w:rsidR="004D7F56" w:rsidRPr="004D7F56" w:rsidRDefault="004D7F56" w:rsidP="004D7F56">
      <w:pPr>
        <w:numPr>
          <w:ilvl w:val="0"/>
          <w:numId w:val="18"/>
        </w:numPr>
        <w:spacing w:after="0" w:line="276" w:lineRule="auto"/>
        <w:jc w:val="both"/>
        <w:rPr>
          <w:rFonts w:ascii="Verdana" w:eastAsia="Century Gothic" w:hAnsi="Verdana" w:cs="Century Gothic"/>
        </w:rPr>
      </w:pPr>
      <w:r w:rsidRPr="004D7F56">
        <w:rPr>
          <w:rFonts w:ascii="Verdana" w:eastAsia="Century Gothic" w:hAnsi="Verdana" w:cs="Century Gothic"/>
        </w:rPr>
        <w:t>¿Es procedente flexibilizar el requisito de tres meses de aportes a seguridad social para garantizar la inclusión y la libre concurrencia en la contratación pública?</w:t>
      </w:r>
    </w:p>
    <w:p w14:paraId="0FD0DFCB" w14:textId="14853CCF" w:rsidR="008D5774" w:rsidRDefault="008D5774" w:rsidP="008D5774">
      <w:pPr>
        <w:spacing w:after="0" w:line="276" w:lineRule="auto"/>
        <w:jc w:val="both"/>
        <w:rPr>
          <w:rFonts w:ascii="Verdana" w:eastAsia="Century Gothic" w:hAnsi="Verdana" w:cs="Century Gothic"/>
        </w:rPr>
      </w:pPr>
    </w:p>
    <w:p w14:paraId="47BFE32D" w14:textId="77777777" w:rsidR="009502B2" w:rsidRPr="009502B2" w:rsidRDefault="009502B2" w:rsidP="008D5774">
      <w:pPr>
        <w:spacing w:after="0" w:line="276" w:lineRule="auto"/>
        <w:jc w:val="both"/>
        <w:rPr>
          <w:rFonts w:ascii="Verdana" w:eastAsia="Century Gothic" w:hAnsi="Verdana" w:cs="Century Gothic"/>
        </w:rPr>
      </w:pPr>
    </w:p>
    <w:p w14:paraId="5B26199B"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3CFFB6C2"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10BC" w:rsidRPr="00206556" w14:paraId="098CF388" w14:textId="77777777" w:rsidTr="00AD17AD">
        <w:tc>
          <w:tcPr>
            <w:tcW w:w="8828" w:type="dxa"/>
          </w:tcPr>
          <w:p w14:paraId="3912F2A4" w14:textId="77777777" w:rsidR="005510BC" w:rsidRPr="00073658" w:rsidRDefault="005510BC" w:rsidP="00AD17AD">
            <w:pPr>
              <w:spacing w:before="120" w:after="120" w:line="276" w:lineRule="auto"/>
              <w:jc w:val="both"/>
              <w:rPr>
                <w:rFonts w:ascii="Verdana" w:eastAsia="Calibri" w:hAnsi="Verdana" w:cs="Arial"/>
              </w:rPr>
            </w:pPr>
            <w:r>
              <w:rPr>
                <w:rFonts w:ascii="Verdana" w:eastAsia="Calibri" w:hAnsi="Verdana" w:cs="Arial"/>
              </w:rPr>
              <w:t>En atención al problema jurídico planteado y respecto al alcance de</w:t>
            </w:r>
            <w:r w:rsidRPr="00E54F30">
              <w:rPr>
                <w:rFonts w:ascii="Verdana" w:eastAsia="Calibri" w:hAnsi="Verdana" w:cs="Arial"/>
              </w:rPr>
              <w:t>l Decreto 0287 de 2026</w:t>
            </w:r>
            <w:r>
              <w:rPr>
                <w:rFonts w:ascii="Verdana" w:eastAsia="Calibri" w:hAnsi="Verdana" w:cs="Arial"/>
              </w:rPr>
              <w:t>, es necesario indicar que este</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w:t>
            </w:r>
            <w:r w:rsidRPr="00073658">
              <w:rPr>
                <w:rFonts w:ascii="Verdana" w:eastAsia="Calibri" w:hAnsi="Verdana" w:cs="Arial"/>
              </w:rPr>
              <w:lastRenderedPageBreak/>
              <w:t xml:space="preserve">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73658">
              <w:rPr>
                <w:rFonts w:ascii="Verdana" w:eastAsia="Calibri" w:hAnsi="Verdana" w:cs="Arial"/>
              </w:rPr>
              <w:t>PcD</w:t>
            </w:r>
            <w:proofErr w:type="spellEnd"/>
            <w:r w:rsidRPr="00073658">
              <w:rPr>
                <w:rFonts w:ascii="Verdana" w:eastAsia="Calibri" w:hAnsi="Verdana" w:cs="Arial"/>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26F33FF7" w14:textId="77777777" w:rsidR="005510BC" w:rsidRPr="00073658" w:rsidRDefault="005510BC" w:rsidP="00AD17AD">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073658">
              <w:rPr>
                <w:rFonts w:ascii="Verdana" w:eastAsia="Calibri" w:hAnsi="Verdana" w:cs="Arial"/>
              </w:rPr>
              <w:t>PcD</w:t>
            </w:r>
            <w:proofErr w:type="spellEnd"/>
            <w:r w:rsidRPr="00073658">
              <w:rPr>
                <w:rFonts w:ascii="Verdana" w:eastAsia="Calibri" w:hAnsi="Verdana" w:cs="Arial"/>
              </w:rPr>
              <w:t xml:space="preserve"> por al menos un año; y personas jurídicas con al menos una </w:t>
            </w:r>
            <w:proofErr w:type="spellStart"/>
            <w:r w:rsidRPr="00073658">
              <w:rPr>
                <w:rFonts w:ascii="Verdana" w:eastAsia="Calibri" w:hAnsi="Verdana" w:cs="Arial"/>
              </w:rPr>
              <w:t>PcD</w:t>
            </w:r>
            <w:proofErr w:type="spellEnd"/>
            <w:r w:rsidRPr="00073658">
              <w:rPr>
                <w:rFonts w:ascii="Verdana" w:eastAsia="Calibri" w:hAnsi="Verdana" w:cs="Arial"/>
              </w:rPr>
              <w:t xml:space="preserve"> vinculada laboralmente en un cargo de nivel directivo por al menos un año. El segundo sujeto son los empleadores de </w:t>
            </w:r>
            <w:proofErr w:type="spellStart"/>
            <w:r w:rsidRPr="00073658">
              <w:rPr>
                <w:rFonts w:ascii="Verdana" w:eastAsia="Calibri" w:hAnsi="Verdana" w:cs="Arial"/>
              </w:rPr>
              <w:t>PcD</w:t>
            </w:r>
            <w:proofErr w:type="spellEnd"/>
            <w:r w:rsidRPr="00073658">
              <w:rPr>
                <w:rFonts w:ascii="Verdana" w:eastAsia="Calibri" w:hAnsi="Verdana" w:cs="Arial"/>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CE9BE05"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xml:space="preserve">. El artículo 2.2.1.2.4.2.7.4. del Decreto 0287 de 2026 es explícito al disponer que, aunque el proponente acredite simultáneamente ser emprendimiento o empresa de </w:t>
            </w:r>
            <w:proofErr w:type="spellStart"/>
            <w:r w:rsidRPr="00073658">
              <w:rPr>
                <w:rFonts w:ascii="Verdana" w:eastAsia="Calibri" w:hAnsi="Verdana" w:cs="Arial"/>
              </w:rPr>
              <w:t>PcD</w:t>
            </w:r>
            <w:proofErr w:type="spellEnd"/>
            <w:r w:rsidRPr="00073658">
              <w:rPr>
                <w:rFonts w:ascii="Verdana" w:eastAsia="Calibri" w:hAnsi="Verdana" w:cs="Arial"/>
              </w:rPr>
              <w:t xml:space="preserve"> y ser empleador de </w:t>
            </w:r>
            <w:proofErr w:type="spellStart"/>
            <w:r w:rsidRPr="00073658">
              <w:rPr>
                <w:rFonts w:ascii="Verdana" w:eastAsia="Calibri" w:hAnsi="Verdana" w:cs="Arial"/>
              </w:rPr>
              <w:t>PcD</w:t>
            </w:r>
            <w:proofErr w:type="spellEnd"/>
            <w:r w:rsidRPr="00073658">
              <w:rPr>
                <w:rFonts w:ascii="Verdana" w:eastAsia="Calibri" w:hAnsi="Verdana" w:cs="Arial"/>
              </w:rPr>
              <w:t>, el puntaje máximo a otorgar por este criterio es siempre el 2% del total de los puntos del pliego, sin que las condiciones acreditadas sean sumables para efectos de la evaluación de la oferta</w:t>
            </w:r>
            <w:r>
              <w:rPr>
                <w:rFonts w:ascii="Verdana" w:eastAsia="Calibri" w:hAnsi="Verdana" w:cs="Arial"/>
              </w:rPr>
              <w:t xml:space="preserve">, y tampoco es posible disminuir ese porcentaje de puntos ya que </w:t>
            </w:r>
            <w:r>
              <w:rPr>
                <w:rFonts w:ascii="Verdana" w:eastAsia="Calibri" w:hAnsi="Verdana" w:cs="Arial"/>
              </w:rPr>
              <w:lastRenderedPageBreak/>
              <w:t>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0E2BB71D" w14:textId="77777777" w:rsidR="005510BC" w:rsidRPr="00A97194"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La aplicación del puntaje para proponentes plurales </w:t>
            </w:r>
            <w:r w:rsidRPr="00A97194">
              <w:rPr>
                <w:rFonts w:ascii="Verdana" w:eastAsia="Calibri" w:hAnsi="Verdana" w:cs="Arial"/>
              </w:rPr>
              <w:t xml:space="preserve">respecto de los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no exige un mínimo de experiencia sino una participación mayoritaria en el proponente plural, y a ese miembro será al que se le revise su planta de personal con el fin de determinar si cumple con el número mínimo de </w:t>
            </w:r>
            <w:proofErr w:type="spellStart"/>
            <w:r w:rsidRPr="00A97194">
              <w:rPr>
                <w:rFonts w:ascii="Verdana" w:eastAsia="Calibri" w:hAnsi="Verdana" w:cs="Arial"/>
              </w:rPr>
              <w:t>PcD</w:t>
            </w:r>
            <w:proofErr w:type="spellEnd"/>
            <w:r w:rsidRPr="00A97194">
              <w:rPr>
                <w:rFonts w:ascii="Verdana" w:eastAsia="Calibri" w:hAnsi="Verdana" w:cs="Arial"/>
              </w:rPr>
              <w:t xml:space="preserve"> contratadas para acceder al puntaje. </w:t>
            </w:r>
          </w:p>
          <w:p w14:paraId="3E1C7939" w14:textId="77777777" w:rsidR="005510BC" w:rsidRPr="00073658" w:rsidRDefault="005510BC" w:rsidP="00AD17AD">
            <w:pPr>
              <w:spacing w:before="120" w:after="120" w:line="276" w:lineRule="auto"/>
              <w:ind w:firstLine="709"/>
              <w:jc w:val="both"/>
              <w:rPr>
                <w:rFonts w:ascii="Verdana" w:eastAsia="Calibri" w:hAnsi="Verdana" w:cs="Arial"/>
              </w:rPr>
            </w:pPr>
            <w:r w:rsidRPr="00A97194">
              <w:rPr>
                <w:rFonts w:ascii="Verdana" w:eastAsia="Calibri" w:hAnsi="Verdana" w:cs="Arial"/>
              </w:rPr>
              <w:t xml:space="preserve">No obstante, para emprendimientos y empresas </w:t>
            </w:r>
            <w:proofErr w:type="spellStart"/>
            <w:r w:rsidRPr="00A97194">
              <w:rPr>
                <w:rFonts w:ascii="Verdana" w:eastAsia="Calibri" w:hAnsi="Verdana" w:cs="Arial"/>
              </w:rPr>
              <w:t>PcD</w:t>
            </w:r>
            <w:proofErr w:type="spellEnd"/>
            <w:r w:rsidRPr="00A97194">
              <w:rPr>
                <w:rFonts w:ascii="Verdana" w:eastAsia="Calibri" w:hAnsi="Verdana" w:cs="Arial"/>
              </w:rPr>
              <w:t xml:space="preserve"> es necesario hacer una remisión al artículo 2.2.1.2.4.2.7.3 puesto que cuando el proponente plural tenga a este sujeto como miembro, la participación a exigir no es una participación mayoritaria sino una participación no inferior al 10% y en la misma proporción de su participación debe aportar su experiencia. De esta manera, si el proponente plural tiene como miembro a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para obtener el puntaje este debe tener una mayor participación en el proponente plural sin que se requiera aporte de experiencia; pero cuando se trata de emprendimientos o empresas de </w:t>
            </w:r>
            <w:proofErr w:type="spellStart"/>
            <w:r w:rsidRPr="00A97194">
              <w:rPr>
                <w:rFonts w:ascii="Verdana" w:eastAsia="Calibri" w:hAnsi="Verdana" w:cs="Arial"/>
              </w:rPr>
              <w:t>PcD</w:t>
            </w:r>
            <w:proofErr w:type="spellEnd"/>
            <w:r w:rsidRPr="00A97194">
              <w:rPr>
                <w:rFonts w:ascii="Verdana" w:eastAsia="Calibri" w:hAnsi="Verdana" w:cs="Arial"/>
              </w:rPr>
              <w:t>, si se exige un mínimo de participación de estos en el proponente plural, que es el 10% y en la misma proporción se debe aportar experiencia, por lo que no se exige que tengan participación mayoritaria.</w:t>
            </w:r>
          </w:p>
          <w:p w14:paraId="6563678E"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Ahora bien, la documentación para la acreditación de las condiciones bajo las cuales se otorga </w:t>
            </w:r>
            <w:r w:rsidRPr="00073658">
              <w:rPr>
                <w:rFonts w:ascii="Verdana" w:eastAsia="Calibri" w:hAnsi="Verdana" w:cs="Arial"/>
              </w:rPr>
              <w:t>el puntaje</w:t>
            </w:r>
            <w:r>
              <w:rPr>
                <w:rFonts w:ascii="Verdana" w:eastAsia="Calibri" w:hAnsi="Verdana" w:cs="Arial"/>
              </w:rPr>
              <w:t xml:space="preserve"> depende del sujeto de que se trate,</w:t>
            </w:r>
            <w:r w:rsidRPr="00073658">
              <w:rPr>
                <w:rFonts w:ascii="Verdana" w:eastAsia="Calibri" w:hAnsi="Verdana" w:cs="Arial"/>
              </w:rPr>
              <w:t xml:space="preserve"> en la condición de empleador de </w:t>
            </w:r>
            <w:proofErr w:type="spellStart"/>
            <w:r w:rsidRPr="00073658">
              <w:rPr>
                <w:rFonts w:ascii="Verdana" w:eastAsia="Calibri" w:hAnsi="Verdana" w:cs="Arial"/>
              </w:rPr>
              <w:t>PcD</w:t>
            </w:r>
            <w:proofErr w:type="spellEnd"/>
            <w:r>
              <w:rPr>
                <w:rFonts w:ascii="Verdana" w:eastAsia="Calibri" w:hAnsi="Verdana" w:cs="Arial"/>
              </w:rPr>
              <w:t>, los documentos están dispuestos en el artículo 2.2.1.2.4.2.7.4, el cual</w:t>
            </w:r>
            <w:r w:rsidRPr="00073658">
              <w:rPr>
                <w:rFonts w:ascii="Verdana" w:eastAsia="Calibri" w:hAnsi="Verdana" w:cs="Arial"/>
              </w:rPr>
              <w:t xml:space="preserve"> exige, entre otros documentos, los certificados de aportes a seguridad social de los tres (3) meses anteriores a la presentación de la oferta respecto de cada </w:t>
            </w:r>
            <w:proofErr w:type="spellStart"/>
            <w:r w:rsidRPr="00073658">
              <w:rPr>
                <w:rFonts w:ascii="Verdana" w:eastAsia="Calibri" w:hAnsi="Verdana" w:cs="Arial"/>
              </w:rPr>
              <w:t>PcD</w:t>
            </w:r>
            <w:proofErr w:type="spellEnd"/>
            <w:r w:rsidRPr="00073658">
              <w:rPr>
                <w:rFonts w:ascii="Verdana" w:eastAsia="Calibri" w:hAnsi="Verdana" w:cs="Arial"/>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073658">
              <w:rPr>
                <w:rFonts w:ascii="Verdana" w:eastAsia="Calibri" w:hAnsi="Verdana" w:cs="Arial"/>
              </w:rPr>
              <w:t>PcD</w:t>
            </w:r>
            <w:proofErr w:type="spellEnd"/>
            <w:r w:rsidRPr="00073658">
              <w:rPr>
                <w:rFonts w:ascii="Verdana" w:eastAsia="Calibri" w:hAnsi="Verdana" w:cs="Arial"/>
              </w:rPr>
              <w:t xml:space="preserve"> cuyas planillas no alcancen ese período, pudiendo el proponente acreditar el puntaje con base en las </w:t>
            </w:r>
            <w:proofErr w:type="spellStart"/>
            <w:r w:rsidRPr="00073658">
              <w:rPr>
                <w:rFonts w:ascii="Verdana" w:eastAsia="Calibri" w:hAnsi="Verdana" w:cs="Arial"/>
              </w:rPr>
              <w:t>PcD</w:t>
            </w:r>
            <w:proofErr w:type="spellEnd"/>
            <w:r w:rsidRPr="00073658">
              <w:rPr>
                <w:rFonts w:ascii="Verdana" w:eastAsia="Calibri" w:hAnsi="Verdana" w:cs="Arial"/>
              </w:rPr>
              <w:t xml:space="preserve"> que sí cumplen el requisito temporal y participar en el proceso sin el puntaje en caso de no alcanzar ninguna.</w:t>
            </w:r>
            <w:r>
              <w:rPr>
                <w:rFonts w:ascii="Verdana" w:eastAsia="Calibri" w:hAnsi="Verdana" w:cs="Arial"/>
              </w:rPr>
              <w:t xml:space="preserve"> El término de tres </w:t>
            </w:r>
            <w:r>
              <w:rPr>
                <w:rFonts w:ascii="Verdana" w:eastAsia="Calibri" w:hAnsi="Verdana" w:cs="Arial"/>
              </w:rPr>
              <w:lastRenderedPageBreak/>
              <w:t xml:space="preserve">(3) </w:t>
            </w:r>
            <w:proofErr w:type="gramStart"/>
            <w:r>
              <w:rPr>
                <w:rFonts w:ascii="Verdana" w:eastAsia="Calibri" w:hAnsi="Verdana" w:cs="Arial"/>
              </w:rPr>
              <w:t>meses aquí mencionado</w:t>
            </w:r>
            <w:proofErr w:type="gramEnd"/>
            <w:r>
              <w:rPr>
                <w:rFonts w:ascii="Verdana" w:eastAsia="Calibri" w:hAnsi="Verdana" w:cs="Arial"/>
              </w:rPr>
              <w:t xml:space="preserve"> es diferente al término de un (1) año mencionado en el artículo 2.2.1.2.4.2.6 respecto de los emprendimientos y empresas de </w:t>
            </w:r>
            <w:proofErr w:type="spellStart"/>
            <w:r>
              <w:rPr>
                <w:rFonts w:ascii="Verdana" w:eastAsia="Calibri" w:hAnsi="Verdana" w:cs="Arial"/>
              </w:rPr>
              <w:t>PcD</w:t>
            </w:r>
            <w:proofErr w:type="spellEnd"/>
            <w:r>
              <w:rPr>
                <w:rFonts w:ascii="Verdana" w:eastAsia="Calibri" w:hAnsi="Verdana" w:cs="Arial"/>
              </w:rPr>
              <w:t>.</w:t>
            </w:r>
          </w:p>
          <w:p w14:paraId="3188A959" w14:textId="77777777" w:rsidR="005510BC" w:rsidRDefault="005510BC" w:rsidP="00AD17AD">
            <w:pPr>
              <w:spacing w:before="120" w:after="120" w:line="276" w:lineRule="auto"/>
              <w:ind w:firstLine="709"/>
              <w:jc w:val="both"/>
              <w:rPr>
                <w:rFonts w:ascii="Verdana" w:eastAsia="Times New Roman" w:hAnsi="Verdana" w:cs="Times New Roman"/>
              </w:rPr>
            </w:pPr>
            <w:r w:rsidRPr="00502309">
              <w:rPr>
                <w:rFonts w:ascii="Verdana" w:eastAsia="Times New Roman" w:hAnsi="Verdana" w:cs="Times New Roman"/>
              </w:rPr>
              <w:t xml:space="preserve">Para efectos de determinar el número mínimo de </w:t>
            </w:r>
            <w:proofErr w:type="spellStart"/>
            <w:r w:rsidRPr="00502309">
              <w:rPr>
                <w:rFonts w:ascii="Verdana" w:eastAsia="Times New Roman" w:hAnsi="Verdana" w:cs="Times New Roman"/>
              </w:rPr>
              <w:t>PcD</w:t>
            </w:r>
            <w:proofErr w:type="spellEnd"/>
            <w:r w:rsidRPr="00502309">
              <w:rPr>
                <w:rFonts w:ascii="Verdana" w:eastAsia="Times New Roman" w:hAnsi="Verdana" w:cs="Times New Roman"/>
              </w:rPr>
              <w:t xml:space="preserve"> que el proponente debe tener vinculadas en su planta de personal para acceder al puntaje, el artículo 2.2.1.2.4.2.7.4. del Decreto 0287 de 2026 establece </w:t>
            </w:r>
            <w:r>
              <w:rPr>
                <w:rFonts w:ascii="Verdana" w:eastAsia="Times New Roman" w:hAnsi="Verdana" w:cs="Times New Roman"/>
              </w:rPr>
              <w:t>una</w:t>
            </w:r>
            <w:r w:rsidRPr="00502309">
              <w:rPr>
                <w:rFonts w:ascii="Verdana" w:eastAsia="Times New Roman" w:hAnsi="Verdana" w:cs="Times New Roman"/>
              </w:rPr>
              <w:t xml:space="preserve"> tabla, que ya incorpora los mínimos exigidos por la Ley 2466 de 2025 (Reforma Laboral), de modo que el puntaje solo se otorga a quien </w:t>
            </w:r>
            <w:r>
              <w:rPr>
                <w:rFonts w:ascii="Verdana" w:eastAsia="Times New Roman" w:hAnsi="Verdana" w:cs="Times New Roman"/>
              </w:rPr>
              <w:t xml:space="preserve">cumpla lo indicado en la tabla. La vinculación de </w:t>
            </w:r>
            <w:proofErr w:type="spellStart"/>
            <w:r>
              <w:rPr>
                <w:rFonts w:ascii="Verdana" w:eastAsia="Times New Roman" w:hAnsi="Verdana" w:cs="Times New Roman"/>
              </w:rPr>
              <w:t>PcD</w:t>
            </w:r>
            <w:proofErr w:type="spellEnd"/>
            <w:r>
              <w:rPr>
                <w:rFonts w:ascii="Verdana" w:eastAsia="Times New Roman" w:hAnsi="Verdana" w:cs="Times New Roman"/>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Pr>
                <w:rFonts w:ascii="Verdana" w:eastAsia="Times New Roman" w:hAnsi="Verdana" w:cs="Times New Roman"/>
              </w:rPr>
              <w:t>PcD</w:t>
            </w:r>
            <w:proofErr w:type="spellEnd"/>
            <w:r>
              <w:rPr>
                <w:rFonts w:ascii="Verdana" w:eastAsia="Times New Roman" w:hAnsi="Verdana" w:cs="Times New Roman"/>
              </w:rPr>
              <w:t xml:space="preserve"> son los indicados en el artículo 2.2.1.2.4.2.6 y no los del artículo </w:t>
            </w:r>
            <w:r w:rsidRPr="00502309">
              <w:rPr>
                <w:rFonts w:ascii="Verdana" w:eastAsia="Times New Roman" w:hAnsi="Verdana" w:cs="Times New Roman"/>
              </w:rPr>
              <w:t xml:space="preserve">2.2.1.2.4.2.7.4. </w:t>
            </w:r>
            <w:r>
              <w:rPr>
                <w:rFonts w:ascii="Verdana" w:eastAsia="Times New Roman" w:hAnsi="Verdana" w:cs="Times New Roman"/>
              </w:rPr>
              <w:t xml:space="preserve"> </w:t>
            </w:r>
          </w:p>
          <w:p w14:paraId="62D59159" w14:textId="77777777" w:rsidR="005510BC" w:rsidRDefault="005510BC" w:rsidP="00AD17AD">
            <w:pPr>
              <w:spacing w:after="120" w:line="276" w:lineRule="auto"/>
              <w:ind w:firstLine="709"/>
              <w:jc w:val="both"/>
              <w:rPr>
                <w:rFonts w:ascii="Verdana" w:eastAsia="Calibri" w:hAnsi="Verdana" w:cs="Arial"/>
              </w:rPr>
            </w:pPr>
            <w:r w:rsidRPr="00073658">
              <w:rPr>
                <w:rFonts w:ascii="Verdana" w:eastAsia="Calibri" w:hAnsi="Verdana" w:cs="Arial"/>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73658">
              <w:rPr>
                <w:rFonts w:ascii="Verdana" w:eastAsia="Calibri" w:hAnsi="Verdana" w:cs="Arial"/>
              </w:rPr>
              <w:t>PcD</w:t>
            </w:r>
            <w:proofErr w:type="spellEnd"/>
            <w:r w:rsidRPr="00206556">
              <w:rPr>
                <w:rFonts w:ascii="Verdana" w:eastAsia="Calibri" w:hAnsi="Verdana" w:cs="Arial"/>
              </w:rPr>
              <w:t xml:space="preserve">, </w:t>
            </w:r>
            <w:r w:rsidRPr="00073658">
              <w:rPr>
                <w:rFonts w:ascii="Verdana" w:eastAsia="Calibri" w:hAnsi="Verdana" w:cs="Arial"/>
              </w:rPr>
              <w:t xml:space="preserve">no a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w:t>
            </w:r>
            <w:r w:rsidRPr="00206556">
              <w:rPr>
                <w:rFonts w:ascii="Verdana" w:eastAsia="Calibri" w:hAnsi="Verdana" w:cs="Arial"/>
              </w:rPr>
              <w:t xml:space="preserve">dicha norma </w:t>
            </w:r>
            <w:r w:rsidRPr="00073658">
              <w:rPr>
                <w:rFonts w:ascii="Verdana" w:eastAsia="Calibri" w:hAnsi="Verdana" w:cs="Arial"/>
              </w:rPr>
              <w:t>exige que al menos el 10% de la nómina esté en condición de discapacidad y opera únicamente cuando hay empate entre dos o más ofertas. El Decreto 0287 de 2026 no modificó el criterio de desempate de la Ley 2069 de 2020, que por ser norma de rango legal no puede ser alterada por decreto reglamentario, y la diferencia en las exigencias de vinculación entre los dos instrumentos responde precisamente a que son mecanismos distintos que no deben interpretarse extensivamente el uno respecto del otro.</w:t>
            </w:r>
          </w:p>
          <w:p w14:paraId="3635F141" w14:textId="77777777" w:rsidR="005510BC" w:rsidRDefault="005510BC" w:rsidP="00AD17AD">
            <w:pPr>
              <w:spacing w:after="120" w:line="276" w:lineRule="auto"/>
              <w:ind w:firstLine="709"/>
              <w:jc w:val="both"/>
              <w:rPr>
                <w:rFonts w:ascii="Verdana" w:eastAsia="Calibri" w:hAnsi="Verdana" w:cs="Arial"/>
              </w:rPr>
            </w:pPr>
            <w:r w:rsidRPr="00E55CFA">
              <w:rPr>
                <w:rFonts w:ascii="Verdana" w:eastAsia="Calibri" w:hAnsi="Verdana" w:cs="Arial"/>
              </w:rPr>
              <w:t xml:space="preserve">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w:t>
            </w:r>
            <w:r w:rsidRPr="00E55CFA">
              <w:rPr>
                <w:rFonts w:ascii="Verdana" w:eastAsia="Calibri" w:hAnsi="Verdana" w:cs="Arial"/>
              </w:rPr>
              <w:lastRenderedPageBreak/>
              <w:t>incorporar las medidas del decreto, incluida la obligación de compras públicas accesibles, dado que los estudios previos, el pliego de condiciones y el contrato deben guardar coherencia entre sí.</w:t>
            </w:r>
            <w:r>
              <w:rPr>
                <w:rFonts w:ascii="Verdana" w:eastAsia="Calibri" w:hAnsi="Verdana" w:cs="Arial"/>
              </w:rPr>
              <w:t xml:space="preserve"> </w:t>
            </w:r>
          </w:p>
          <w:p w14:paraId="4E750FFF" w14:textId="77777777" w:rsidR="005510BC" w:rsidRPr="0077201E" w:rsidRDefault="005510BC" w:rsidP="00AD17AD">
            <w:pPr>
              <w:spacing w:after="120" w:line="276" w:lineRule="auto"/>
              <w:ind w:firstLine="709"/>
              <w:jc w:val="both"/>
              <w:rPr>
                <w:rFonts w:ascii="Verdana" w:eastAsia="Calibri" w:hAnsi="Verdana" w:cs="Arial"/>
              </w:rPr>
            </w:pPr>
            <w:r>
              <w:rPr>
                <w:rFonts w:ascii="Verdana" w:eastAsia="Calibri" w:hAnsi="Verdana" w:cs="Arial"/>
              </w:rPr>
              <w:t>Sobre l</w:t>
            </w:r>
            <w:r w:rsidRPr="0077201E">
              <w:rPr>
                <w:rFonts w:ascii="Verdana" w:eastAsia="Calibri" w:hAnsi="Verdana" w:cs="Arial"/>
              </w:rPr>
              <w:t>os criterios habilitantes diferenciales</w:t>
            </w:r>
            <w:r>
              <w:rPr>
                <w:rFonts w:ascii="Verdana" w:eastAsia="Calibri" w:hAnsi="Verdana" w:cs="Arial"/>
              </w:rPr>
              <w:t>, estos</w:t>
            </w:r>
            <w:r w:rsidRPr="0077201E">
              <w:rPr>
                <w:rFonts w:ascii="Verdana" w:eastAsia="Calibri" w:hAnsi="Verdana" w:cs="Arial"/>
              </w:rPr>
              <w:t xml:space="preserve"> constituyen una obligación para las entidades contratantes en los procesos de licitación pública, selección abreviada y concurso de méritos, tanto bajo el régimen</w:t>
            </w:r>
            <w:r>
              <w:rPr>
                <w:rFonts w:ascii="Verdana" w:eastAsia="Calibri" w:hAnsi="Verdana" w:cs="Arial"/>
              </w:rPr>
              <w:t xml:space="preserve"> del</w:t>
            </w:r>
            <w:r w:rsidRPr="0077201E">
              <w:rPr>
                <w:rFonts w:ascii="Verdana" w:eastAsia="Calibri" w:hAnsi="Verdana" w:cs="Arial"/>
              </w:rPr>
              <w:t xml:space="preserve"> </w:t>
            </w:r>
            <w:r>
              <w:rPr>
                <w:rFonts w:ascii="Verdana" w:hAnsi="Verdana"/>
              </w:rPr>
              <w:t>Estatuto General de Contratación Pública</w:t>
            </w:r>
            <w:r w:rsidRPr="0077201E">
              <w:rPr>
                <w:rFonts w:ascii="Verdana" w:eastAsia="Calibri" w:hAnsi="Verdana" w:cs="Arial"/>
              </w:rPr>
              <w:t xml:space="preserve"> como en los procesos competitivos de entidades con régimen especial. Esta obligación consiste en establecer requisitos habilitantes ajustados o reducidos</w:t>
            </w:r>
            <w:r>
              <w:rPr>
                <w:rFonts w:ascii="Verdana" w:eastAsia="Calibri" w:hAnsi="Verdana" w:cs="Arial"/>
              </w:rPr>
              <w:t>, palabras que se deben entender en el mismo significado de diferencial,</w:t>
            </w:r>
            <w:r w:rsidRPr="0077201E">
              <w:rPr>
                <w:rFonts w:ascii="Verdana" w:eastAsia="Calibri" w:hAnsi="Verdana" w:cs="Arial"/>
              </w:rPr>
              <w:t xml:space="preserve"> en materia de experiencia, capacidad financiera, capacidad organizacional o valor de la garantía de seriedad de la oferta, con el propósito de facilitar la participación de emprendimientos y empresas de </w:t>
            </w:r>
            <w:proofErr w:type="spellStart"/>
            <w:r w:rsidRPr="0077201E">
              <w:rPr>
                <w:rFonts w:ascii="Verdana" w:eastAsia="Calibri" w:hAnsi="Verdana" w:cs="Arial"/>
              </w:rPr>
              <w:t>PcD</w:t>
            </w:r>
            <w:proofErr w:type="spellEnd"/>
            <w:r w:rsidRPr="0077201E">
              <w:rPr>
                <w:rFonts w:ascii="Verdana" w:eastAsia="Calibri" w:hAnsi="Verdana" w:cs="Arial"/>
              </w:rPr>
              <w:t xml:space="preserve"> con domicilio en el territorio nacional. La entidad contratante debe </w:t>
            </w:r>
            <w:r w:rsidRPr="00206556">
              <w:rPr>
                <w:rFonts w:ascii="Verdana" w:eastAsia="Calibri" w:hAnsi="Verdana" w:cs="Arial"/>
              </w:rPr>
              <w:t xml:space="preserve">flexibilizar </w:t>
            </w:r>
            <w:r w:rsidRPr="0077201E">
              <w:rPr>
                <w:rFonts w:ascii="Verdana" w:eastAsia="Calibri" w:hAnsi="Verdana" w:cs="Arial"/>
              </w:rPr>
              <w:t>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7BF38B1D" w14:textId="77777777" w:rsidR="005510BC" w:rsidRPr="00206556" w:rsidRDefault="005510BC" w:rsidP="00AD17AD">
            <w:pPr>
              <w:spacing w:before="120" w:after="120" w:line="276" w:lineRule="auto"/>
              <w:ind w:firstLine="709"/>
              <w:jc w:val="both"/>
              <w:rPr>
                <w:rFonts w:ascii="Verdana" w:eastAsia="Calibri" w:hAnsi="Verdana" w:cs="Arial"/>
              </w:rPr>
            </w:pPr>
            <w:r w:rsidRPr="0077201E">
              <w:rPr>
                <w:rFonts w:ascii="Verdana" w:eastAsia="Calibri" w:hAnsi="Verdana" w:cs="Arial"/>
              </w:rPr>
              <w:t>Estos criterios aplican exclusivamente para el primer sujeto del sistema</w:t>
            </w:r>
            <w:r w:rsidRPr="00206556">
              <w:rPr>
                <w:rFonts w:ascii="Verdana" w:eastAsia="Calibri" w:hAnsi="Verdana" w:cs="Arial"/>
              </w:rPr>
              <w:t xml:space="preserve">, es decir, </w:t>
            </w:r>
            <w:r w:rsidRPr="0077201E">
              <w:rPr>
                <w:rFonts w:ascii="Verdana" w:eastAsia="Calibri" w:hAnsi="Verdana" w:cs="Arial"/>
              </w:rPr>
              <w:t xml:space="preserve">los emprendimientos y empresas de </w:t>
            </w:r>
            <w:proofErr w:type="spellStart"/>
            <w:r w:rsidRPr="0077201E">
              <w:rPr>
                <w:rFonts w:ascii="Verdana" w:eastAsia="Calibri" w:hAnsi="Verdana" w:cs="Arial"/>
              </w:rPr>
              <w:t>PcD</w:t>
            </w:r>
            <w:proofErr w:type="spellEnd"/>
            <w:r w:rsidRPr="00206556">
              <w:rPr>
                <w:rFonts w:ascii="Verdana" w:eastAsia="Calibri" w:hAnsi="Verdana" w:cs="Arial"/>
              </w:rPr>
              <w:t>,</w:t>
            </w:r>
            <w:r w:rsidRPr="0077201E">
              <w:rPr>
                <w:rFonts w:ascii="Verdana" w:eastAsia="Calibri" w:hAnsi="Verdana" w:cs="Arial"/>
              </w:rPr>
              <w:t xml:space="preserve"> y no para los empleadores de </w:t>
            </w:r>
            <w:proofErr w:type="spellStart"/>
            <w:r w:rsidRPr="0077201E">
              <w:rPr>
                <w:rFonts w:ascii="Verdana" w:eastAsia="Calibri" w:hAnsi="Verdana" w:cs="Arial"/>
              </w:rPr>
              <w:t>PcD</w:t>
            </w:r>
            <w:proofErr w:type="spellEnd"/>
            <w:r w:rsidRPr="0077201E">
              <w:rPr>
                <w:rFonts w:ascii="Verdana" w:eastAsia="Calibri" w:hAnsi="Verdana" w:cs="Arial"/>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w:t>
            </w:r>
            <w:r w:rsidRPr="00206556">
              <w:rPr>
                <w:rFonts w:ascii="Verdana" w:eastAsia="Calibri" w:hAnsi="Verdana" w:cs="Arial"/>
              </w:rPr>
              <w:t>,</w:t>
            </w:r>
            <w:r w:rsidRPr="0077201E">
              <w:rPr>
                <w:rFonts w:ascii="Verdana" w:eastAsia="Calibri" w:hAnsi="Verdana" w:cs="Arial"/>
              </w:rPr>
              <w:t xml:space="preserve"> si ese integrante participa con el 15%, debe aportar al menos el 15% de la experiencia exigida en el pliego.</w:t>
            </w:r>
          </w:p>
          <w:p w14:paraId="492CE3CD"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Referente a l</w:t>
            </w:r>
            <w:r w:rsidRPr="00073658">
              <w:rPr>
                <w:rFonts w:ascii="Verdana" w:eastAsia="Calibri" w:hAnsi="Verdana" w:cs="Arial"/>
              </w:rPr>
              <w:t>as condiciones especiales de ejecución</w:t>
            </w:r>
            <w:r w:rsidRPr="00206556">
              <w:rPr>
                <w:rFonts w:ascii="Verdana" w:eastAsia="Calibri" w:hAnsi="Verdana" w:cs="Arial"/>
              </w:rPr>
              <w:t xml:space="preserve">, </w:t>
            </w:r>
            <w:r w:rsidRPr="00073658">
              <w:rPr>
                <w:rFonts w:ascii="Verdana" w:eastAsia="Calibri" w:hAnsi="Verdana" w:cs="Arial"/>
              </w:rPr>
              <w:t>subcontratación inclusiva e integración del equipo de trabajo</w:t>
            </w:r>
            <w:r w:rsidRPr="00206556">
              <w:rPr>
                <w:rFonts w:ascii="Verdana" w:eastAsia="Calibri" w:hAnsi="Verdana" w:cs="Arial"/>
              </w:rPr>
              <w:t xml:space="preserve">, </w:t>
            </w:r>
            <w:r>
              <w:rPr>
                <w:rFonts w:ascii="Verdana" w:eastAsia="Calibri" w:hAnsi="Verdana" w:cs="Arial"/>
              </w:rPr>
              <w:t>es</w:t>
            </w:r>
            <w:r w:rsidRPr="00073658">
              <w:rPr>
                <w:rFonts w:ascii="Verdana" w:eastAsia="Calibri" w:hAnsi="Verdana" w:cs="Arial"/>
              </w:rPr>
              <w:t xml:space="preserve"> obligatori</w:t>
            </w:r>
            <w:r>
              <w:rPr>
                <w:rFonts w:ascii="Verdana" w:eastAsia="Calibri" w:hAnsi="Verdana" w:cs="Arial"/>
              </w:rPr>
              <w:t>o incluir al menos una,</w:t>
            </w:r>
            <w:r w:rsidRPr="00073658">
              <w:rPr>
                <w:rFonts w:ascii="Verdana" w:eastAsia="Calibri" w:hAnsi="Verdana" w:cs="Arial"/>
              </w:rPr>
              <w:t xml:space="preserve"> para las entidades regidas </w:t>
            </w:r>
            <w:r>
              <w:rPr>
                <w:rFonts w:ascii="Verdana" w:eastAsia="Calibri" w:hAnsi="Verdana" w:cs="Arial"/>
              </w:rPr>
              <w:t>por el Estatuto General de Contratación Pública</w:t>
            </w:r>
            <w:r w:rsidRPr="00073658">
              <w:rPr>
                <w:rFonts w:ascii="Verdana" w:eastAsia="Calibri" w:hAnsi="Verdana" w:cs="Arial"/>
              </w:rPr>
              <w:t xml:space="preserve"> en todas las modalidades de selección, incluida la contratación directa. Solo </w:t>
            </w:r>
            <w:r w:rsidRPr="00073658">
              <w:rPr>
                <w:rFonts w:ascii="Verdana" w:eastAsia="Calibri" w:hAnsi="Verdana" w:cs="Arial"/>
              </w:rPr>
              <w:lastRenderedPageBreak/>
              <w:t>puede omitirse su inclusión cuando la entidad lo justifique expresamente en los estudios previos mediante argumentos objetivos que expliquen por qué, dadas las características del contrato específico, ninguna de las dos condiciones resulta aplicable o conveniente. Esta justificación no es una formalidad, sino una verdadera carga argumentativa a cargo de la entidad.</w:t>
            </w:r>
          </w:p>
          <w:p w14:paraId="5A2C0A82"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Seguidamente, l</w:t>
            </w:r>
            <w:r w:rsidRPr="00073658">
              <w:rPr>
                <w:rFonts w:ascii="Verdana" w:eastAsia="Calibri" w:hAnsi="Verdana" w:cs="Arial"/>
              </w:rPr>
              <w:t xml:space="preserve">a contratación de </w:t>
            </w:r>
            <w:proofErr w:type="spellStart"/>
            <w:r w:rsidRPr="00073658">
              <w:rPr>
                <w:rFonts w:ascii="Verdana" w:eastAsia="Calibri" w:hAnsi="Verdana" w:cs="Arial"/>
              </w:rPr>
              <w:t>PcD</w:t>
            </w:r>
            <w:proofErr w:type="spellEnd"/>
            <w:r w:rsidRPr="00073658">
              <w:rPr>
                <w:rFonts w:ascii="Verdana" w:eastAsia="Calibri" w:hAnsi="Verdana" w:cs="Arial"/>
              </w:rPr>
              <w:t xml:space="preserve"> a través de contratos de prestación de servicios profesionales y/o de apoyo a la gestión es potestativa y no obligatoria. El artículo 2.2.1.2.4.2.7.6. del Decreto 0287 de 2026 utiliza el verbo "propenderán" para referirse a esta medida, lo que en técnica legislativa colombiana implica un mandato de medios y no de resultado, condicionado expresamente a la planeación institucional, la disponibilidad presupuestal y las necesidades del servicio. No obstante</w:t>
            </w:r>
            <w:r w:rsidRPr="00206556">
              <w:rPr>
                <w:rFonts w:ascii="Verdana" w:eastAsia="Calibri" w:hAnsi="Verdana" w:cs="Arial"/>
              </w:rPr>
              <w:t>,</w:t>
            </w:r>
            <w:r w:rsidRPr="00073658">
              <w:rPr>
                <w:rFonts w:ascii="Verdana" w:eastAsia="Calibri" w:hAnsi="Verdana" w:cs="Arial"/>
              </w:rPr>
              <w:t xml:space="preserve"> su carácter voluntario, esta medida tiene un sustento cuantitativo de enorme relevancia: en el año 2024 se celebraron 747.942 contratos de prestación de servicios por un valor de $16 billones de pesos, universo que representa una oportunidad concreta y progresiva de inclusión laboral de las </w:t>
            </w:r>
            <w:proofErr w:type="spellStart"/>
            <w:r w:rsidRPr="00073658">
              <w:rPr>
                <w:rFonts w:ascii="Verdana" w:eastAsia="Calibri" w:hAnsi="Verdana" w:cs="Arial"/>
              </w:rPr>
              <w:t>PcD</w:t>
            </w:r>
            <w:proofErr w:type="spellEnd"/>
            <w:r w:rsidRPr="00073658">
              <w:rPr>
                <w:rFonts w:ascii="Verdana" w:eastAsia="Calibri" w:hAnsi="Verdana" w:cs="Arial"/>
              </w:rPr>
              <w:t xml:space="preserve"> en el Estado.</w:t>
            </w:r>
          </w:p>
          <w:p w14:paraId="669C11AA"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Ahora, en cuanto a </w:t>
            </w:r>
            <w:r w:rsidRPr="00073658">
              <w:rPr>
                <w:rFonts w:ascii="Verdana" w:eastAsia="Calibri" w:hAnsi="Verdana" w:cs="Arial"/>
              </w:rPr>
              <w:t>la obligación de compras públicas accesibles</w:t>
            </w:r>
            <w:r>
              <w:rPr>
                <w:rFonts w:ascii="Verdana" w:eastAsia="Calibri" w:hAnsi="Verdana" w:cs="Arial"/>
              </w:rPr>
              <w:t>,</w:t>
            </w:r>
            <w:r w:rsidRPr="00073658">
              <w:rPr>
                <w:rFonts w:ascii="Verdana" w:eastAsia="Calibri" w:hAnsi="Verdana" w:cs="Arial"/>
              </w:rPr>
              <w:t xml:space="preserve"> </w:t>
            </w:r>
            <w:r>
              <w:rPr>
                <w:rFonts w:ascii="Verdana" w:eastAsia="Calibri" w:hAnsi="Verdana" w:cs="Arial"/>
              </w:rPr>
              <w:t>esta es</w:t>
            </w:r>
            <w:r w:rsidRPr="00073658">
              <w:rPr>
                <w:rFonts w:ascii="Verdana" w:eastAsia="Calibri" w:hAnsi="Verdana" w:cs="Arial"/>
              </w:rPr>
              <w:t xml:space="preserve"> transversal a todos los entes del Estado y aplica en todos los contratos en </w:t>
            </w:r>
            <w:r>
              <w:rPr>
                <w:rFonts w:ascii="Verdana" w:eastAsia="Calibri" w:hAnsi="Verdana" w:cs="Arial"/>
              </w:rPr>
              <w:t>los que se adquieran</w:t>
            </w:r>
            <w:r w:rsidRPr="00073658">
              <w:rPr>
                <w:rFonts w:ascii="Verdana" w:eastAsia="Calibri" w:hAnsi="Verdana" w:cs="Arial"/>
              </w:rPr>
              <w:t xml:space="preserve"> bien</w:t>
            </w:r>
            <w:r>
              <w:rPr>
                <w:rFonts w:ascii="Verdana" w:eastAsia="Calibri" w:hAnsi="Verdana" w:cs="Arial"/>
              </w:rPr>
              <w:t>es</w:t>
            </w:r>
            <w:r w:rsidRPr="00073658">
              <w:rPr>
                <w:rFonts w:ascii="Verdana" w:eastAsia="Calibri" w:hAnsi="Verdana" w:cs="Arial"/>
              </w:rPr>
              <w:t>, obra</w:t>
            </w:r>
            <w:r>
              <w:rPr>
                <w:rFonts w:ascii="Verdana" w:eastAsia="Calibri" w:hAnsi="Verdana" w:cs="Arial"/>
              </w:rPr>
              <w:t>s</w:t>
            </w:r>
            <w:r w:rsidRPr="00073658">
              <w:rPr>
                <w:rFonts w:ascii="Verdana" w:eastAsia="Calibri" w:hAnsi="Verdana" w:cs="Arial"/>
              </w:rPr>
              <w:t xml:space="preserve"> o servicio</w:t>
            </w:r>
            <w:r>
              <w:rPr>
                <w:rFonts w:ascii="Verdana" w:eastAsia="Calibri" w:hAnsi="Verdana" w:cs="Arial"/>
              </w:rPr>
              <w:t>s</w:t>
            </w:r>
            <w:r w:rsidRPr="00073658">
              <w:rPr>
                <w:rFonts w:ascii="Verdana" w:eastAsia="Calibri" w:hAnsi="Verdana" w:cs="Arial"/>
              </w:rPr>
              <w:t>.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w:t>
            </w:r>
            <w:r w:rsidRPr="00206556">
              <w:rPr>
                <w:rFonts w:ascii="Verdana" w:eastAsia="Calibri" w:hAnsi="Verdana" w:cs="Arial"/>
              </w:rPr>
              <w:t xml:space="preserve">, </w:t>
            </w:r>
            <w:r w:rsidRPr="00073658">
              <w:rPr>
                <w:rFonts w:ascii="Verdana" w:eastAsia="Calibri" w:hAnsi="Verdana" w:cs="Arial"/>
              </w:rPr>
              <w:t>visual, física, psicosocial (mental), auditiva, sordoceguera, intelectual y múltiple</w:t>
            </w:r>
            <w:r w:rsidRPr="00206556">
              <w:rPr>
                <w:rFonts w:ascii="Verdana" w:eastAsia="Calibri" w:hAnsi="Verdana" w:cs="Arial"/>
              </w:rPr>
              <w:t>,</w:t>
            </w:r>
            <w:r w:rsidRPr="00073658">
              <w:rPr>
                <w:rFonts w:ascii="Verdana" w:eastAsia="Calibri" w:hAnsi="Verdana" w:cs="Arial"/>
              </w:rPr>
              <w:t xml:space="preserve"> y los principios de accesibilidad universal, diseño universal y ajustes razonables consagrados en la Ley 1346 de 2009 y la Ley 1618 de 2013</w:t>
            </w:r>
            <w:r>
              <w:rPr>
                <w:rFonts w:ascii="Verdana" w:eastAsia="Calibri" w:hAnsi="Verdana" w:cs="Arial"/>
              </w:rPr>
              <w:t>.</w:t>
            </w:r>
          </w:p>
          <w:p w14:paraId="0C5E8AF1" w14:textId="77777777" w:rsidR="005510BC" w:rsidRDefault="005510BC" w:rsidP="00AD17AD">
            <w:pPr>
              <w:spacing w:before="120" w:after="120" w:line="276" w:lineRule="auto"/>
              <w:ind w:firstLine="709"/>
              <w:jc w:val="both"/>
              <w:rPr>
                <w:rFonts w:ascii="Verdana" w:eastAsia="Calibri" w:hAnsi="Verdana" w:cs="Arial"/>
              </w:rPr>
            </w:pPr>
            <w:r w:rsidRPr="00670CFB">
              <w:rPr>
                <w:rFonts w:ascii="Verdana" w:eastAsia="Calibri" w:hAnsi="Verdana" w:cs="Arial"/>
              </w:rPr>
              <w:t>Finalmente, en lo que concierne a las cinco medidas que componen el Sistema Integral de Preferencias y su forma de aplicación, estas operan de manera articulada a lo largo de todo el ciclo contractual: la primera, las herramientas de planeación, se activan antes de la apertura del proceso mediante ferias de negocios inclusivas, criterios sociales en los pliegos y división en lotes</w:t>
            </w:r>
            <w:r>
              <w:rPr>
                <w:rFonts w:ascii="Verdana" w:eastAsia="Calibri" w:hAnsi="Verdana" w:cs="Arial"/>
              </w:rPr>
              <w:t xml:space="preserve"> o segmentos</w:t>
            </w:r>
            <w:r w:rsidRPr="00670CFB">
              <w:rPr>
                <w:rFonts w:ascii="Verdana" w:eastAsia="Calibri" w:hAnsi="Verdana" w:cs="Arial"/>
              </w:rPr>
              <w:t xml:space="preserve">; la segunda, los criterios habilitantes diferenciales operan en la etapa de selección flexibilizando los requisitos de </w:t>
            </w:r>
            <w:r w:rsidRPr="00670CFB">
              <w:rPr>
                <w:rFonts w:ascii="Verdana" w:eastAsia="Calibri" w:hAnsi="Verdana" w:cs="Arial"/>
              </w:rPr>
              <w:lastRenderedPageBreak/>
              <w:t xml:space="preserve">experiencia, capacidad financiera, capacidad organizacional o garantía de seriedad para los emprendimientos y empresas de </w:t>
            </w:r>
            <w:proofErr w:type="spellStart"/>
            <w:r w:rsidRPr="00670CFB">
              <w:rPr>
                <w:rFonts w:ascii="Verdana" w:eastAsia="Calibri" w:hAnsi="Verdana" w:cs="Arial"/>
              </w:rPr>
              <w:t>PcD</w:t>
            </w:r>
            <w:proofErr w:type="spellEnd"/>
            <w:r w:rsidRPr="00670CFB">
              <w:rPr>
                <w:rFonts w:ascii="Verdana" w:eastAsia="Calibri" w:hAnsi="Verdana" w:cs="Arial"/>
              </w:rPr>
              <w:t xml:space="preserve">, con el límite del principio de proporcionalidad; la tercera, el puntaje adicional del 2% opera en la evaluación de propuestas en licitación pública y concurso de méritos otorgando una ventaja real en la calificación de la oferta; la cuarta, las condiciones especiales de ejecución obligan al contratista durante la ejecución a priorizar a las </w:t>
            </w:r>
            <w:proofErr w:type="spellStart"/>
            <w:r w:rsidRPr="00670CFB">
              <w:rPr>
                <w:rFonts w:ascii="Verdana" w:eastAsia="Calibri" w:hAnsi="Verdana" w:cs="Arial"/>
              </w:rPr>
              <w:t>PcD</w:t>
            </w:r>
            <w:proofErr w:type="spellEnd"/>
            <w:r w:rsidRPr="00670CFB">
              <w:rPr>
                <w:rFonts w:ascii="Verdana" w:eastAsia="Calibri" w:hAnsi="Verdana" w:cs="Arial"/>
              </w:rPr>
              <w:t xml:space="preserve"> y sus empresas en la subcontratación </w:t>
            </w:r>
            <w:r>
              <w:rPr>
                <w:rFonts w:ascii="Verdana" w:eastAsia="Calibri" w:hAnsi="Verdana" w:cs="Arial"/>
              </w:rPr>
              <w:t>y/o</w:t>
            </w:r>
            <w:r w:rsidRPr="00670CFB">
              <w:rPr>
                <w:rFonts w:ascii="Verdana" w:eastAsia="Calibri" w:hAnsi="Verdana" w:cs="Arial"/>
              </w:rPr>
              <w:t xml:space="preserve"> en la conformación del equipo de trabajo; y la quinta, la inclusión potestativa de </w:t>
            </w:r>
            <w:proofErr w:type="spellStart"/>
            <w:r w:rsidRPr="00670CFB">
              <w:rPr>
                <w:rFonts w:ascii="Verdana" w:eastAsia="Calibri" w:hAnsi="Verdana" w:cs="Arial"/>
              </w:rPr>
              <w:t>PcD</w:t>
            </w:r>
            <w:proofErr w:type="spellEnd"/>
            <w:r w:rsidRPr="00670CFB">
              <w:rPr>
                <w:rFonts w:ascii="Verdana" w:eastAsia="Calibri" w:hAnsi="Verdana" w:cs="Arial"/>
              </w:rPr>
              <w:t xml:space="preserve"> en contratos de prestación de servicios, permite a las entidades </w:t>
            </w:r>
            <w:r>
              <w:rPr>
                <w:rFonts w:ascii="Verdana" w:eastAsia="Calibri" w:hAnsi="Verdana" w:cs="Arial"/>
              </w:rPr>
              <w:t>sometidas al Estatuto General de Contratación Pública</w:t>
            </w:r>
            <w:r w:rsidRPr="00670CFB">
              <w:rPr>
                <w:rFonts w:ascii="Verdana" w:eastAsia="Calibri" w:hAnsi="Verdana" w:cs="Arial"/>
              </w:rPr>
              <w:t xml:space="preserve"> vincular directamente personas con discapacidad en la modalidad de contratación directa. El incumplimiento de cualquiera de estas medidas tiene consecuencias jurídicas concretas que van desde la invalidez de los documentos del proceso hasta la configuración de causales de incumplimiento contractual, según la fase en que se produzca la omisión</w:t>
            </w:r>
            <w:r>
              <w:rPr>
                <w:rFonts w:ascii="Verdana" w:eastAsia="Calibri" w:hAnsi="Verdana" w:cs="Arial"/>
              </w:rPr>
              <w:t>, así como sanciones por los entes de control por la celebración de contratos sin el cumplimiento de requisitos legales</w:t>
            </w:r>
            <w:r w:rsidRPr="00670CFB">
              <w:rPr>
                <w:rFonts w:ascii="Verdana" w:eastAsia="Calibri" w:hAnsi="Verdana" w:cs="Arial"/>
              </w:rPr>
              <w:t>.</w:t>
            </w:r>
          </w:p>
          <w:p w14:paraId="2204ED69" w14:textId="77777777" w:rsidR="005510BC" w:rsidRPr="00D851ED"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Por último, respecto del régimen de transición para la aplicación del Decreto 287 de 2026, se debe tener en cuenta que </w:t>
            </w:r>
            <w:r w:rsidRPr="00D851ED">
              <w:rPr>
                <w:rFonts w:ascii="Verdana" w:eastAsia="Calibri" w:hAnsi="Verdana" w:cs="Arial"/>
              </w:rPr>
              <w:t>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w:t>
            </w:r>
            <w:r>
              <w:rPr>
                <w:rFonts w:ascii="Verdana" w:eastAsia="Calibri" w:hAnsi="Verdana" w:cs="Arial"/>
              </w:rPr>
              <w:t>, pero lo señalado en este concepto debe entenderse de acuerdo con la nueva redacción de los artículos enlistados, y no recurrir a la antigua redacción</w:t>
            </w:r>
            <w:r w:rsidRPr="00D851ED">
              <w:rPr>
                <w:rFonts w:ascii="Verdana" w:eastAsia="Calibri" w:hAnsi="Verdana" w:cs="Arial"/>
              </w:rPr>
              <w:t>.</w:t>
            </w:r>
          </w:p>
          <w:p w14:paraId="32148EEA" w14:textId="77777777" w:rsidR="005510BC" w:rsidRPr="00D851ED" w:rsidRDefault="005510BC" w:rsidP="00AD17AD">
            <w:pPr>
              <w:spacing w:before="120" w:after="120" w:line="276" w:lineRule="auto"/>
              <w:ind w:firstLine="709"/>
              <w:jc w:val="both"/>
              <w:rPr>
                <w:rFonts w:ascii="Verdana" w:eastAsia="Calibri" w:hAnsi="Verdana" w:cs="Arial"/>
              </w:rPr>
            </w:pPr>
            <w:r w:rsidRPr="00D851ED">
              <w:rPr>
                <w:rFonts w:ascii="Verdana" w:eastAsia="Calibri" w:hAnsi="Verdana" w:cs="Arial"/>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D851ED">
              <w:rPr>
                <w:rFonts w:ascii="Verdana" w:eastAsia="Calibri" w:hAnsi="Verdana" w:cs="Arial"/>
              </w:rPr>
              <w:t>ii</w:t>
            </w:r>
            <w:proofErr w:type="spellEnd"/>
            <w:r w:rsidRPr="00D851ED">
              <w:rPr>
                <w:rFonts w:ascii="Verdana" w:eastAsia="Calibri" w:hAnsi="Verdana" w:cs="Arial"/>
              </w:rPr>
              <w:t xml:space="preserve">) La resolución de apertura no existe, o fue expedida el 20 de marzo de 2026 o en fecha posterior, por lo que se debe incorporar el Decreto 287 de 2026 al proceso contractual y la entidad debe ajustar sus estudios previos y pliegos </w:t>
            </w:r>
            <w:r w:rsidRPr="00D851ED">
              <w:rPr>
                <w:rFonts w:ascii="Verdana" w:eastAsia="Calibri" w:hAnsi="Verdana" w:cs="Arial"/>
              </w:rPr>
              <w:lastRenderedPageBreak/>
              <w:t>de condiciones, incluido el proyecto de pliego, para dar pleno cumplimiento al decreto antes de expedir el acto administrativo de apertura.</w:t>
            </w:r>
          </w:p>
          <w:p w14:paraId="59BB8292" w14:textId="77777777" w:rsidR="005510BC" w:rsidRPr="00670CFB" w:rsidRDefault="005510BC" w:rsidP="00AD17AD">
            <w:pPr>
              <w:spacing w:before="120" w:after="120" w:line="276" w:lineRule="auto"/>
              <w:ind w:firstLine="709"/>
              <w:jc w:val="both"/>
              <w:rPr>
                <w:rFonts w:ascii="Verdana" w:eastAsia="Calibri" w:hAnsi="Verdana" w:cs="Arial"/>
              </w:rPr>
            </w:pPr>
            <w:r w:rsidRPr="00D851ED">
              <w:rPr>
                <w:rFonts w:ascii="Verdana" w:eastAsia="Calibri" w:hAnsi="Verdana" w:cs="Arial"/>
              </w:rPr>
              <w:t xml:space="preserve">Para los procesos de contratación con proyecto de pliego </w:t>
            </w:r>
            <w:proofErr w:type="gramStart"/>
            <w:r w:rsidRPr="00D851ED">
              <w:rPr>
                <w:rFonts w:ascii="Verdana" w:eastAsia="Calibri" w:hAnsi="Verdana" w:cs="Arial"/>
              </w:rPr>
              <w:t>publicado</w:t>
            </w:r>
            <w:proofErr w:type="gramEnd"/>
            <w:r w:rsidRPr="00D851ED">
              <w:rPr>
                <w:rFonts w:ascii="Verdana" w:eastAsia="Calibri" w:hAnsi="Verdana" w:cs="Arial"/>
              </w:rPr>
              <w:t xml:space="preserve"> pero sin apertura al 19 de marzo de 2026, se recomienda que se incorporen las medidas del Decreto 287 de 2026 antes de publicar los pliegos definitivos. En esa etapa aún es posible realizar ajustes sin afectar derechos adquiridos de los proponentes</w:t>
            </w:r>
            <w:r>
              <w:rPr>
                <w:rFonts w:ascii="Verdana" w:eastAsia="Calibri" w:hAnsi="Verdana" w:cs="Arial"/>
              </w:rPr>
              <w:t>.</w:t>
            </w:r>
          </w:p>
        </w:tc>
      </w:tr>
    </w:tbl>
    <w:p w14:paraId="7F676FBC"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3E367C81"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4B53286B"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color w:val="ED7D31" w:themeColor="accent2"/>
          <w:lang w:val="es-ES"/>
        </w:rPr>
      </w:pPr>
    </w:p>
    <w:p w14:paraId="50427C9E" w14:textId="77777777" w:rsidR="005510BC" w:rsidRPr="00206556" w:rsidRDefault="005510BC" w:rsidP="005510BC">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21B39AE2" w14:textId="77777777" w:rsidR="005510BC" w:rsidRPr="00206556" w:rsidRDefault="005510BC" w:rsidP="005510BC">
      <w:pPr>
        <w:spacing w:after="0" w:line="276" w:lineRule="auto"/>
        <w:jc w:val="both"/>
        <w:rPr>
          <w:rFonts w:ascii="Verdana" w:eastAsia="Calibri" w:hAnsi="Verdana" w:cs="Arial"/>
          <w:lang w:val="es-ES"/>
        </w:rPr>
      </w:pPr>
    </w:p>
    <w:p w14:paraId="02498FA5" w14:textId="77777777" w:rsidR="005510BC" w:rsidRPr="00206556" w:rsidRDefault="005510BC" w:rsidP="005510BC">
      <w:pPr>
        <w:spacing w:after="120" w:line="276" w:lineRule="auto"/>
        <w:jc w:val="both"/>
        <w:rPr>
          <w:rFonts w:ascii="Verdana" w:hAnsi="Verdana"/>
        </w:rPr>
      </w:pPr>
      <w:r w:rsidRPr="00206556">
        <w:rPr>
          <w:rFonts w:ascii="Verdana" w:eastAsia="Calibri" w:hAnsi="Verdana" w:cs="Arial"/>
          <w:lang w:val="es-ES"/>
        </w:rPr>
        <w:t xml:space="preserve">(i) </w:t>
      </w:r>
      <w:r w:rsidRPr="00206556">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 xml:space="preserve">El fundamento del Sistema de Preferencias para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5B18619D" w14:textId="77777777" w:rsidR="005510BC" w:rsidRPr="00206556" w:rsidRDefault="005510BC" w:rsidP="005510BC">
      <w:pPr>
        <w:spacing w:after="120" w:line="276" w:lineRule="auto"/>
        <w:ind w:firstLine="708"/>
        <w:jc w:val="both"/>
        <w:rPr>
          <w:rFonts w:ascii="Verdana" w:hAnsi="Verdana"/>
        </w:rPr>
      </w:pPr>
      <w:r w:rsidRPr="00206556">
        <w:rPr>
          <w:rFonts w:ascii="Verdana" w:eastAsia="Times New Roman" w:hAnsi="Verdana" w:cs="Times New Roman"/>
        </w:rPr>
        <w:t xml:space="preserve">En el plano internacional, Colombia es Estado Parte de instrumentos que conforman el Bloque de Constitucionalidad en virtud del artículo 93 superior. La </w:t>
      </w:r>
      <w:r w:rsidRPr="00206556">
        <w:rPr>
          <w:rFonts w:ascii="Verdana" w:eastAsia="Times New Roman" w:hAnsi="Verdana" w:cs="Times New Roman"/>
        </w:rPr>
        <w:lastRenderedPageBreak/>
        <w:t>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materia de empleo.</w:t>
      </w:r>
    </w:p>
    <w:p w14:paraId="5165B87A" w14:textId="77777777" w:rsidR="005510BC" w:rsidRPr="00206556" w:rsidRDefault="005510BC" w:rsidP="005510BC">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361 de 1997 estableció los primeros mecanismos de integración social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Su artículo 24 introdujo una preferencia en igualdad de condiciones en licitaciones y adjudicaciones de contratos para los empleadores que tuvieran al menos el 10% de su nómina compuesta por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pero su alcance era limitado: una preferencia residual aplicable solo en caso de empate, que beneficiaba únicamente a los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sin considerar a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proponentes directos.</w:t>
      </w:r>
    </w:p>
    <w:p w14:paraId="4662F524" w14:textId="77777777" w:rsidR="005510BC" w:rsidRPr="00206556" w:rsidRDefault="005510BC" w:rsidP="005510BC">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al definir a estas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w:t>
      </w:r>
      <w:r w:rsidRPr="00206556">
        <w:rPr>
          <w:rFonts w:ascii="Verdana" w:eastAsia="Times New Roman" w:hAnsi="Verdana" w:cs="Times New Roman"/>
        </w:rPr>
        <w:lastRenderedPageBreak/>
        <w:t xml:space="preserve">al Gobierno Nacional reglamentar: una puntuación adicional en licitación pública, concurso de méritos y contratación directa para empresas que vinculen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y para empresas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un sistema de preferencias para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adjudicación; y un sistema de preferencias en favor de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xml:space="preserve">, que por definición no puede reducirse a una sola </w:t>
      </w:r>
      <w:proofErr w:type="gramStart"/>
      <w:r w:rsidRPr="00206556">
        <w:rPr>
          <w:rFonts w:ascii="Verdana" w:eastAsia="Times New Roman" w:hAnsi="Verdana" w:cs="Times New Roman"/>
        </w:rPr>
        <w:t>medida</w:t>
      </w:r>
      <w:proofErr w:type="gramEnd"/>
      <w:r w:rsidRPr="00206556">
        <w:rPr>
          <w:rFonts w:ascii="Verdana" w:eastAsia="Times New Roman" w:hAnsi="Verdana" w:cs="Times New Roman"/>
        </w:rPr>
        <w:t xml:space="preserve"> sino que implica un conjunto estructurado de instrumentos que actúen en las distintas fases del proceso contractual.</w:t>
      </w:r>
    </w:p>
    <w:p w14:paraId="485E28D1" w14:textId="796F3B94" w:rsidR="005510BC" w:rsidRPr="00A420A9" w:rsidRDefault="005510BC" w:rsidP="00960D60">
      <w:pPr>
        <w:spacing w:after="120" w:line="276" w:lineRule="auto"/>
        <w:ind w:firstLine="709"/>
        <w:jc w:val="both"/>
        <w:rPr>
          <w:rFonts w:ascii="Verdana" w:hAnsi="Verdana"/>
        </w:rPr>
      </w:pPr>
      <w:r w:rsidRPr="00E727F0">
        <w:rPr>
          <w:rFonts w:ascii="Verdana" w:hAnsi="Verdana"/>
        </w:rPr>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w:t>
      </w:r>
      <w:proofErr w:type="spellStart"/>
      <w:r w:rsidRPr="00E727F0">
        <w:rPr>
          <w:rFonts w:ascii="Verdana" w:hAnsi="Verdana"/>
        </w:rPr>
        <w:t>PcD</w:t>
      </w:r>
      <w:proofErr w:type="spellEnd"/>
      <w:r w:rsidRPr="00E727F0">
        <w:rPr>
          <w:rFonts w:ascii="Verdana" w:hAnsi="Verdana"/>
        </w:rPr>
        <w:t xml:space="preserve">, sin incluir a las empresas de </w:t>
      </w:r>
      <w:proofErr w:type="spellStart"/>
      <w:r w:rsidRPr="00E727F0">
        <w:rPr>
          <w:rFonts w:ascii="Verdana" w:hAnsi="Verdana"/>
        </w:rPr>
        <w:t>PcD</w:t>
      </w:r>
      <w:proofErr w:type="spellEnd"/>
      <w:r w:rsidRPr="00E727F0">
        <w:rPr>
          <w:rFonts w:ascii="Verdana" w:hAnsi="Verdana"/>
        </w:rPr>
        <w:t>;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 xml:space="preserve">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Pr="00A420A9">
        <w:rPr>
          <w:rFonts w:ascii="Verdana" w:hAnsi="Verdana"/>
        </w:rPr>
        <w:t>PcD</w:t>
      </w:r>
      <w:proofErr w:type="spellEnd"/>
      <w:r w:rsidRPr="00A420A9">
        <w:rPr>
          <w:rFonts w:ascii="Verdana" w:hAnsi="Verdana"/>
        </w:rPr>
        <w:t xml:space="preserve"> como contratistas.</w:t>
      </w:r>
    </w:p>
    <w:p w14:paraId="34CE263B" w14:textId="7EEB223E" w:rsidR="005510BC" w:rsidRDefault="005510BC" w:rsidP="00960D60">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639D7BE6" w14:textId="77777777" w:rsidR="005510BC" w:rsidRDefault="005510BC" w:rsidP="005510BC">
      <w:pPr>
        <w:spacing w:after="120" w:line="276" w:lineRule="auto"/>
        <w:ind w:firstLine="709"/>
        <w:jc w:val="both"/>
        <w:rPr>
          <w:rFonts w:ascii="Verdana" w:hAnsi="Verdana"/>
        </w:rPr>
      </w:pPr>
      <w:r w:rsidRPr="00E727F0">
        <w:rPr>
          <w:rFonts w:ascii="Verdana" w:hAnsi="Verdana"/>
        </w:rPr>
        <w:lastRenderedPageBreak/>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w:t>
      </w:r>
      <w:proofErr w:type="spellStart"/>
      <w:r w:rsidRPr="00E727F0">
        <w:rPr>
          <w:rFonts w:ascii="Verdana" w:hAnsi="Verdana"/>
        </w:rPr>
        <w:t>PcD</w:t>
      </w:r>
      <w:proofErr w:type="spellEnd"/>
      <w:r w:rsidRPr="00E727F0">
        <w:rPr>
          <w:rFonts w:ascii="Verdana" w:hAnsi="Verdana"/>
        </w:rPr>
        <w:t xml:space="preserve"> y los empleadores de </w:t>
      </w:r>
      <w:proofErr w:type="spellStart"/>
      <w:r w:rsidRPr="00E727F0">
        <w:rPr>
          <w:rFonts w:ascii="Verdana" w:hAnsi="Verdana"/>
        </w:rPr>
        <w:t>PcD</w:t>
      </w:r>
      <w:proofErr w:type="spellEnd"/>
      <w:r w:rsidRPr="00E727F0">
        <w:rPr>
          <w:rFonts w:ascii="Verdana" w:hAnsi="Verdana"/>
        </w:rPr>
        <w:t xml:space="preserve">. A continuación, se desarrolla el alcance de cada aspecto del sistema planteado en los problemas jurídicos. </w:t>
      </w:r>
    </w:p>
    <w:p w14:paraId="2BA717EC" w14:textId="77777777" w:rsidR="005510BC" w:rsidRPr="00E727F0" w:rsidRDefault="005510BC" w:rsidP="005510BC">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conforme a las categorías del artículo 2.2.1.2.4.2.6., o ser empleador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444D8BC1" w14:textId="77777777" w:rsidR="005510BC" w:rsidRPr="00E727F0" w:rsidRDefault="005510BC" w:rsidP="005510BC">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6DF74ED7" w14:textId="77777777" w:rsidR="005510BC" w:rsidRPr="00206556" w:rsidRDefault="005510BC" w:rsidP="005510BC">
      <w:pPr>
        <w:spacing w:after="120" w:line="276" w:lineRule="auto"/>
        <w:ind w:firstLine="709"/>
        <w:jc w:val="both"/>
        <w:rPr>
          <w:rFonts w:ascii="Verdana" w:hAnsi="Verdana"/>
        </w:rPr>
      </w:pPr>
      <w:r w:rsidRPr="00E727F0">
        <w:rPr>
          <w:rFonts w:ascii="Verdana" w:eastAsia="Times New Roman" w:hAnsi="Verdana" w:cs="Times New Roman"/>
        </w:rPr>
        <w:t xml:space="preserve">Esta decisión normativa responde a una razón de diseño del sistema: el 2% ya incorpora el estímulo suficiente para promover la inclusión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4D3C6E2B" w14:textId="1D8D9332" w:rsidR="005510BC" w:rsidRPr="00D22B7C" w:rsidRDefault="005510BC" w:rsidP="00960D60">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 xml:space="preserve">En cuanto a la exigencia del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el proponente debe acreditar dentro de su planta </w:t>
      </w:r>
      <w:r w:rsidRPr="00D22B7C">
        <w:rPr>
          <w:rFonts w:ascii="Verdana" w:eastAsia="Times New Roman" w:hAnsi="Verdana" w:cs="Times New Roman"/>
        </w:rPr>
        <w:lastRenderedPageBreak/>
        <w:t xml:space="preserve">de personal la vinculación de personas con discapacidad mediante contrato laboral con dedicación exclusiva, superando los mínimos que exige la Ley 2466 de 2025 (Reforma Laboral). 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requerido varía según el tamaño de la planta de personal del proponente, conforme a la siguiente tabla:</w:t>
      </w: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5510BC" w:rsidRPr="00960D60" w14:paraId="6F151AF3"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25B4EE0"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b/>
                <w:bCs/>
                <w:sz w:val="20"/>
                <w:szCs w:val="20"/>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3EDA66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b/>
                <w:bCs/>
                <w:sz w:val="20"/>
                <w:szCs w:val="20"/>
              </w:rPr>
              <w:t>Número mínimo de trabajadores con discapacidad requerido</w:t>
            </w:r>
          </w:p>
        </w:tc>
      </w:tr>
      <w:tr w:rsidR="005510BC" w:rsidRPr="00960D60" w14:paraId="43A1DF5F"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7B7C73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061D12A"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2</w:t>
            </w:r>
          </w:p>
        </w:tc>
      </w:tr>
      <w:tr w:rsidR="005510BC" w:rsidRPr="00960D60" w14:paraId="266DEBF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403124F"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E23DE8"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3</w:t>
            </w:r>
          </w:p>
        </w:tc>
      </w:tr>
      <w:tr w:rsidR="005510BC" w:rsidRPr="00960D60" w14:paraId="315FE4D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203026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7F294B"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4</w:t>
            </w:r>
          </w:p>
        </w:tc>
      </w:tr>
      <w:tr w:rsidR="005510BC" w:rsidRPr="00960D60" w14:paraId="19B7392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6DB91C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737E0A"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5</w:t>
            </w:r>
          </w:p>
        </w:tc>
      </w:tr>
      <w:tr w:rsidR="005510BC" w:rsidRPr="00960D60" w14:paraId="4BDEAA4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5192A6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17D381E"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7</w:t>
            </w:r>
          </w:p>
        </w:tc>
      </w:tr>
      <w:tr w:rsidR="005510BC" w:rsidRPr="00960D60" w14:paraId="37BE65D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37DF7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8447A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10</w:t>
            </w:r>
          </w:p>
        </w:tc>
      </w:tr>
      <w:tr w:rsidR="005510BC" w:rsidRPr="00960D60" w14:paraId="19644D6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564A4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6BE605"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12</w:t>
            </w:r>
          </w:p>
        </w:tc>
      </w:tr>
      <w:tr w:rsidR="005510BC" w:rsidRPr="00960D60" w14:paraId="101991F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7FAE899"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FBA108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14</w:t>
            </w:r>
          </w:p>
        </w:tc>
      </w:tr>
      <w:tr w:rsidR="005510BC" w:rsidRPr="00960D60" w14:paraId="1A5BF86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0019908"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8589BC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16</w:t>
            </w:r>
          </w:p>
        </w:tc>
      </w:tr>
      <w:tr w:rsidR="005510BC" w:rsidRPr="00960D60" w14:paraId="16E0E71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557796"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D98C1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Por cada 100 trabajadores adicionales, se suman 2 trabajadores con discapacidad</w:t>
            </w:r>
          </w:p>
        </w:tc>
      </w:tr>
    </w:tbl>
    <w:p w14:paraId="4D0F0E50" w14:textId="77777777" w:rsidR="005510BC" w:rsidRPr="00D22B7C" w:rsidRDefault="005510BC" w:rsidP="005510BC">
      <w:pPr>
        <w:spacing w:after="0" w:line="276" w:lineRule="auto"/>
        <w:rPr>
          <w:rFonts w:ascii="Verdana" w:hAnsi="Verdana"/>
        </w:rPr>
      </w:pPr>
    </w:p>
    <w:p w14:paraId="55A4F78A" w14:textId="77777777" w:rsidR="005510BC" w:rsidRPr="00D22B7C" w:rsidRDefault="005510BC" w:rsidP="005510BC">
      <w:pPr>
        <w:spacing w:after="120" w:line="276" w:lineRule="auto"/>
        <w:ind w:firstLine="709"/>
        <w:jc w:val="both"/>
        <w:rPr>
          <w:rFonts w:ascii="Verdana" w:hAnsi="Verdana"/>
        </w:rPr>
      </w:pPr>
      <w:r w:rsidRPr="00D22B7C">
        <w:rPr>
          <w:rFonts w:ascii="Verdana" w:eastAsia="Times New Roman" w:hAnsi="Verdana" w:cs="Times New Roman"/>
        </w:rPr>
        <w:t xml:space="preserve">El puntaje no se otorga por cumplir la ley sino por superarla: solo el proponente que acredite un número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34B9593A" w14:textId="77777777" w:rsidR="005510BC" w:rsidRPr="00D22B7C" w:rsidRDefault="005510BC" w:rsidP="005510BC">
      <w:pPr>
        <w:spacing w:after="120" w:line="276" w:lineRule="auto"/>
        <w:ind w:firstLine="709"/>
        <w:jc w:val="both"/>
        <w:rPr>
          <w:rFonts w:ascii="Verdana" w:hAnsi="Verdana"/>
        </w:rPr>
      </w:pPr>
      <w:r w:rsidRPr="00D22B7C">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el cómputo, sin </w:t>
      </w:r>
      <w:r w:rsidRPr="00D22B7C">
        <w:rPr>
          <w:rFonts w:ascii="Verdana" w:eastAsia="Times New Roman" w:hAnsi="Verdana" w:cs="Times New Roman"/>
        </w:rPr>
        <w:lastRenderedPageBreak/>
        <w:t>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45A0D5B8" w14:textId="77777777" w:rsidR="005510BC" w:rsidRPr="003C3B8B" w:rsidRDefault="005510BC" w:rsidP="005510BC">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 xml:space="preserve">"no se exige vinculación de las </w:t>
      </w:r>
      <w:proofErr w:type="spellStart"/>
      <w:r w:rsidRPr="003C3B8B">
        <w:rPr>
          <w:rFonts w:ascii="Verdana" w:eastAsia="Times New Roman" w:hAnsi="Verdana" w:cs="Times New Roman"/>
          <w:i/>
          <w:iCs/>
          <w:sz w:val="21"/>
          <w:szCs w:val="21"/>
        </w:rPr>
        <w:t>PcD</w:t>
      </w:r>
      <w:proofErr w:type="spellEnd"/>
      <w:r w:rsidRPr="003C3B8B">
        <w:rPr>
          <w:rFonts w:ascii="Verdana" w:eastAsia="Times New Roman" w:hAnsi="Verdana" w:cs="Times New Roman"/>
          <w:i/>
          <w:iCs/>
          <w:sz w:val="21"/>
          <w:szCs w:val="21"/>
        </w:rPr>
        <w:t xml:space="preserve">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4CE21EAF" w14:textId="118618DD" w:rsidR="005510BC" w:rsidRDefault="005510BC" w:rsidP="00960D60">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 xml:space="preserve">El período de tres meses es el umbral mínimo de estabilidad laboral que diferencia un compromiso genuino con la inclusión de una vinculación oportunista. La norma aplica este requisito para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y alguna de estas vinculaciones no alcanza el período requerido, el proponente puede participar en el proceso utilizando únicamente las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específicas, lo que es coherente con los principios de participación y pluralidad de oferentes.</w:t>
      </w:r>
    </w:p>
    <w:p w14:paraId="19C00794" w14:textId="77777777" w:rsidR="005510BC" w:rsidRDefault="005510BC" w:rsidP="005510BC">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los documentos requeridos son los establecidos en el artículo 2.2.1.2.4.2.6., que varían según la categoría que se acredite. En ningún caso los documentos del artículo 2.2.1.2.4.2.7.4. son exigibles a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por lo que no deben confundirse.</w:t>
      </w:r>
    </w:p>
    <w:p w14:paraId="76EF70BC" w14:textId="77777777" w:rsidR="005510BC" w:rsidRPr="00D22B7C" w:rsidRDefault="005510BC" w:rsidP="005510BC">
      <w:pPr>
        <w:spacing w:after="120" w:line="276" w:lineRule="auto"/>
        <w:ind w:firstLine="709"/>
        <w:jc w:val="both"/>
        <w:rPr>
          <w:rFonts w:ascii="Verdana" w:hAnsi="Verdana"/>
        </w:rPr>
      </w:pPr>
      <w:r w:rsidRPr="00206556">
        <w:rPr>
          <w:rFonts w:ascii="Verdana" w:hAnsi="Verdana"/>
        </w:rPr>
        <w:lastRenderedPageBreak/>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xml:space="preserve">; y la contratación directa tiene su propia medida afirmativa a través de los contratos de prestación de servicios con </w:t>
      </w:r>
      <w:proofErr w:type="spellStart"/>
      <w:r w:rsidRPr="00206556">
        <w:rPr>
          <w:rFonts w:ascii="Verdana" w:hAnsi="Verdana"/>
        </w:rPr>
        <w:t>PcD</w:t>
      </w:r>
      <w:proofErr w:type="spellEnd"/>
      <w:r w:rsidRPr="00206556">
        <w:rPr>
          <w:rFonts w:ascii="Verdana" w:hAnsi="Verdana"/>
        </w:rPr>
        <w:t>.</w:t>
      </w:r>
    </w:p>
    <w:p w14:paraId="5AC4D06F" w14:textId="77777777" w:rsidR="005510BC" w:rsidRPr="00206556" w:rsidRDefault="005510BC" w:rsidP="005510BC">
      <w:pPr>
        <w:spacing w:after="120" w:line="276" w:lineRule="auto"/>
        <w:ind w:firstLine="709"/>
        <w:jc w:val="both"/>
        <w:rPr>
          <w:rFonts w:ascii="Verdana" w:hAnsi="Verdana"/>
          <w:sz w:val="20"/>
          <w:szCs w:val="20"/>
        </w:rPr>
      </w:pPr>
      <w:r w:rsidRPr="00206556">
        <w:rPr>
          <w:rFonts w:ascii="Verdana" w:hAnsi="Verdana"/>
        </w:rPr>
        <w:t xml:space="preserve">(v) Sobre la aplicación del Decreto 0287 de 2026 en los documentos tipo, el artículo 2.2.1.2.4.2.7.8. del Decreto 0287 de 2026 establece que Colombia Compra Eficiente garantizará la incorporación permanente de las medidas del sistema en los documentos e instrumentos que genera. </w:t>
      </w:r>
    </w:p>
    <w:p w14:paraId="4B7D2125" w14:textId="77777777" w:rsidR="005510BC" w:rsidRDefault="005510BC" w:rsidP="005510BC">
      <w:pPr>
        <w:spacing w:after="120" w:line="276" w:lineRule="auto"/>
        <w:ind w:firstLine="708"/>
        <w:jc w:val="both"/>
        <w:rPr>
          <w:rFonts w:ascii="Verdana" w:hAnsi="Verdana"/>
        </w:rPr>
      </w:pPr>
      <w:r w:rsidRPr="007B01BA">
        <w:rPr>
          <w:rFonts w:ascii="Verdana" w:hAnsi="Verdana"/>
        </w:rPr>
        <w:t>El principio de inalterabilidad de los documentos tipo impide modificaciones unilaterales por parte de las entidades, pues ello afectaría la estandarización, la transparencia y la igualdad entre proponentes que dichos documentos buscan garantizar. Colombia Compra Eficiente realizará las actualizaciones necesarias a los documentos tipo en el menor tiempo posible para incorporar las medidas del sistema de preferencias. La aplicación del decreto queda diferenciada según la etapa del proceso: los procesos con resolución de apertura firmada el 19 de marzo de 2026 o antes continúan con las reglas del Decreto 392 de 2018; los procesos con proyecto de pliego publicado pero sin apertura a esa fecha pueden incorporar las nuevas medidas antes de publicar los pliegos definitivos; y los procesos nuevos sujetos a documentos tipo deben esperar las actualizaciones de Colombia Compra Eficiente,</w:t>
      </w:r>
      <w:r>
        <w:rPr>
          <w:rFonts w:ascii="Verdana" w:hAnsi="Verdana"/>
        </w:rPr>
        <w:t xml:space="preserve"> y continuar aplicando el documento tipo vigente sin alterarlo.</w:t>
      </w:r>
    </w:p>
    <w:p w14:paraId="1A6D54B9" w14:textId="77777777" w:rsidR="005510BC" w:rsidRDefault="005510BC" w:rsidP="005510BC">
      <w:pPr>
        <w:spacing w:after="120" w:line="276" w:lineRule="auto"/>
        <w:ind w:firstLine="708"/>
        <w:jc w:val="both"/>
        <w:rPr>
          <w:rFonts w:ascii="Verdana" w:hAnsi="Verdana"/>
        </w:rPr>
      </w:pPr>
    </w:p>
    <w:p w14:paraId="6F57ED3C" w14:textId="77777777" w:rsidR="005510BC" w:rsidRDefault="005510BC" w:rsidP="005510BC">
      <w:pPr>
        <w:spacing w:after="120" w:line="276" w:lineRule="auto"/>
        <w:ind w:firstLine="709"/>
        <w:jc w:val="both"/>
        <w:rPr>
          <w:rFonts w:ascii="Verdana" w:hAnsi="Verdana"/>
        </w:rPr>
      </w:pPr>
      <w:r w:rsidRPr="00206556">
        <w:rPr>
          <w:rFonts w:ascii="Verdana" w:hAnsi="Verdana"/>
        </w:rPr>
        <w:t>(v</w:t>
      </w:r>
      <w:r>
        <w:rPr>
          <w:rFonts w:ascii="Verdana" w:hAnsi="Verdana"/>
        </w:rPr>
        <w:t>i</w:t>
      </w:r>
      <w:r w:rsidRPr="00206556">
        <w:rPr>
          <w:rFonts w:ascii="Verdana" w:hAnsi="Verdana"/>
        </w:rPr>
        <w:t>) En cuanto a los criterios habilitantes diferenciales y los proponentes plurales</w:t>
      </w:r>
      <w:r>
        <w:rPr>
          <w:rFonts w:ascii="Verdana" w:hAnsi="Verdana"/>
        </w:rPr>
        <w:t>, e</w:t>
      </w:r>
      <w:r w:rsidRPr="00206556">
        <w:rPr>
          <w:rFonts w:ascii="Verdana" w:hAnsi="Verdana"/>
        </w:rPr>
        <w:t xml:space="preserve">l artículo 2.2.1.2.4.2.7.3. del Decreto 0287 de 2026 dispone que en los procesos de licitación pública, selección abreviada y concurso de méritos para los procesos regidos por el Estatuto General de Contratación de la Administración </w:t>
      </w:r>
      <w:r w:rsidRPr="00206556">
        <w:rPr>
          <w:rFonts w:ascii="Verdana" w:hAnsi="Verdana"/>
        </w:rPr>
        <w:lastRenderedPageBreak/>
        <w:t xml:space="preserve">Pública, como en régimen especial, las entidades deben establecer requisitos habilitantes diferenciados o ajustados en materia de experiencia, capacidad financiera, capacidad organizacional o garantía de seriedad de la oferta, con el fin de promover la participación de emprendimientos y empresas de </w:t>
      </w:r>
      <w:proofErr w:type="spellStart"/>
      <w:r w:rsidRPr="00206556">
        <w:rPr>
          <w:rFonts w:ascii="Verdana" w:hAnsi="Verdana"/>
        </w:rPr>
        <w:t>PcD</w:t>
      </w:r>
      <w:proofErr w:type="spellEnd"/>
      <w:r w:rsidRPr="00206556">
        <w:rPr>
          <w:rFonts w:ascii="Verdana" w:hAnsi="Verdana"/>
        </w:rPr>
        <w:t xml:space="preserve"> con domicilio en el territorio nacional. Esta medida no aplica en mínima cuantía ni en contratación directa, y está prevista exclusivamente para el Sujeto 1 del sistema, es decir, los emprendimientos y empresas de </w:t>
      </w:r>
      <w:proofErr w:type="spellStart"/>
      <w:r w:rsidRPr="00206556">
        <w:rPr>
          <w:rFonts w:ascii="Verdana" w:hAnsi="Verdana"/>
        </w:rPr>
        <w:t>PcD</w:t>
      </w:r>
      <w:proofErr w:type="spellEnd"/>
      <w:r w:rsidRPr="00206556">
        <w:rPr>
          <w:rFonts w:ascii="Verdana" w:hAnsi="Verdana"/>
        </w:rPr>
        <w:t xml:space="preserve">, y no para los empleadores de </w:t>
      </w:r>
      <w:proofErr w:type="spellStart"/>
      <w:r w:rsidRPr="00206556">
        <w:rPr>
          <w:rFonts w:ascii="Verdana" w:hAnsi="Verdana"/>
        </w:rPr>
        <w:t>PcD</w:t>
      </w:r>
      <w:proofErr w:type="spellEnd"/>
      <w:r w:rsidRPr="00206556">
        <w:rPr>
          <w:rFonts w:ascii="Verdana" w:hAnsi="Verdana"/>
        </w:rPr>
        <w:t xml:space="preserve">. Su establecimiento es obligatorio para la entidad contratante, pero </w:t>
      </w:r>
      <w:r>
        <w:rPr>
          <w:rFonts w:ascii="Verdana" w:hAnsi="Verdana"/>
        </w:rPr>
        <w:t>el</w:t>
      </w:r>
      <w:r w:rsidRPr="00206556">
        <w:rPr>
          <w:rFonts w:ascii="Verdana" w:hAnsi="Verdana"/>
        </w:rPr>
        <w:t xml:space="preserve"> rigor del ajuste es discrecional: la entidad determina, con base en sus estudios previos, qué requisitos ajusta y en qué medida, con el límite del principio de proporcionalidad, sobre el cual esta Agencia ha precisado que debe orientarse a garantizar la idoneidad de las propuestas y la correcta ejecución contractual, sin efectos excluyentes ni discriminatorios</w:t>
      </w:r>
      <w:r w:rsidRPr="00206556">
        <w:rPr>
          <w:rStyle w:val="Refdenotaalpie"/>
          <w:rFonts w:ascii="Verdana" w:hAnsi="Verdana"/>
        </w:rPr>
        <w:footnoteReference w:id="9"/>
      </w:r>
      <w:r>
        <w:rPr>
          <w:rFonts w:ascii="Verdana" w:hAnsi="Verdana"/>
        </w:rPr>
        <w:t>.</w:t>
      </w:r>
      <w:r w:rsidRPr="00206556">
        <w:rPr>
          <w:rFonts w:ascii="Verdana" w:hAnsi="Verdana"/>
        </w:rPr>
        <w:t xml:space="preserve"> </w:t>
      </w:r>
      <w:r w:rsidRPr="00975224">
        <w:rPr>
          <w:rFonts w:ascii="Verdana" w:hAnsi="Verdana"/>
        </w:rPr>
        <w:t>Los términos ajustados, reducidos y diferenciales deben entenderse como sinónimos. La entidad no está obligada a ajustar la totalidad de los requisitos habilitantes: debe flexibilizar la mayor cantidad posible de estos de acuerdo con lo que resulte justificado en sus estudios previos para el proceso específico de que se trate</w:t>
      </w:r>
      <w:r>
        <w:rPr>
          <w:rFonts w:ascii="Verdana" w:hAnsi="Verdana"/>
        </w:rPr>
        <w:t>, sin que se ponga en riesgo el cumplimiento contractual</w:t>
      </w:r>
      <w:r w:rsidRPr="00975224">
        <w:rPr>
          <w:rFonts w:ascii="Verdana" w:hAnsi="Verdana"/>
        </w:rPr>
        <w:t>.</w:t>
      </w:r>
      <w:r>
        <w:rPr>
          <w:rFonts w:ascii="Verdana" w:hAnsi="Verdana"/>
        </w:rPr>
        <w:t xml:space="preserve"> </w:t>
      </w:r>
      <w:r w:rsidRPr="00206556">
        <w:rPr>
          <w:rFonts w:ascii="Verdana" w:hAnsi="Verdana"/>
        </w:rPr>
        <w:t>En cuanto a los proponentes plurales, la medida aplica cuando al menos uno de sus integrantes cumple las condiciones del artículo 2.2.1.2.4.2.6. con una participación no inferior al 10% en el consorcio o unión temporal, debiendo aportar la experiencia requerida en proporción equivalente a su participación. Esta medida es compatible con los criterios diferenciales aplicables a MiPymes y a empresas y emprendimientos de mujeres.</w:t>
      </w:r>
    </w:p>
    <w:p w14:paraId="1B350133" w14:textId="77777777" w:rsidR="005510BC" w:rsidRPr="00206556" w:rsidRDefault="005510BC" w:rsidP="005510BC">
      <w:pPr>
        <w:spacing w:after="120" w:line="276" w:lineRule="auto"/>
        <w:ind w:firstLine="709"/>
        <w:jc w:val="both"/>
        <w:rPr>
          <w:rFonts w:ascii="Verdana" w:hAnsi="Verdana"/>
        </w:rPr>
      </w:pPr>
      <w:r w:rsidRPr="00975224">
        <w:rPr>
          <w:rFonts w:ascii="Verdana" w:hAnsi="Verdana"/>
        </w:rPr>
        <w:t>En cuanto a la aplicación de las medidas afirmativas en entidades con régimen especial de contratación</w:t>
      </w:r>
      <w:r>
        <w:rPr>
          <w:rFonts w:ascii="Verdana" w:hAnsi="Verdana"/>
        </w:rPr>
        <w:t>,</w:t>
      </w:r>
      <w:r w:rsidRPr="00975224">
        <w:rPr>
          <w:rFonts w:ascii="Verdana" w:hAnsi="Verdana"/>
        </w:rPr>
        <w:t xml:space="preserve"> </w:t>
      </w:r>
      <w:r>
        <w:rPr>
          <w:rFonts w:ascii="Verdana" w:hAnsi="Verdana"/>
        </w:rPr>
        <w:t>e</w:t>
      </w:r>
      <w:r w:rsidRPr="00975224">
        <w:rPr>
          <w:rFonts w:ascii="Verdana" w:hAnsi="Verdana"/>
        </w:rPr>
        <w:t xml:space="preserv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975224">
        <w:rPr>
          <w:rFonts w:ascii="Verdana" w:hAnsi="Verdana"/>
        </w:rPr>
        <w:t>PcD</w:t>
      </w:r>
      <w:proofErr w:type="spellEnd"/>
      <w:r w:rsidRPr="00975224">
        <w:rPr>
          <w:rFonts w:ascii="Verdana" w:hAnsi="Verdana"/>
        </w:rPr>
        <w:t xml:space="preserve">. En consecuencia, una entidad con régimen especial que </w:t>
      </w:r>
      <w:r w:rsidRPr="00975224">
        <w:rPr>
          <w:rFonts w:ascii="Verdana" w:hAnsi="Verdana"/>
        </w:rPr>
        <w:lastRenderedPageBreak/>
        <w:t>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33743DB1" w14:textId="5B54A394" w:rsidR="005510BC" w:rsidRPr="00206556" w:rsidRDefault="005510BC" w:rsidP="00960D60">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vi</w:t>
      </w:r>
      <w:r>
        <w:rPr>
          <w:rFonts w:ascii="Verdana" w:hAnsi="Verdana"/>
        </w:rPr>
        <w:t>i</w:t>
      </w:r>
      <w:proofErr w:type="spellEnd"/>
      <w:r w:rsidRPr="00206556">
        <w:rPr>
          <w:rFonts w:ascii="Verdana" w:hAnsi="Verdana"/>
        </w:rPr>
        <w:t>)</w:t>
      </w:r>
      <w:r w:rsidRPr="00975224">
        <w:t xml:space="preserve"> </w:t>
      </w:r>
      <w:r w:rsidRPr="00975224">
        <w:rPr>
          <w:rFonts w:ascii="Verdana" w:hAnsi="Verdana"/>
        </w:rPr>
        <w:t xml:space="preserve">En lo que respecta a las condiciones especiales de ejecución, el artículo 2.2.1.2.4.2.7.5. del Decreto 0287 de 2026 dispone que las entidades estatales "deberán incluir como obligación contractual, en los Documentos del Proceso, previo análisis de conveniencia y oportunidad, al menos una (1) de las siguientes condiciones especiales de ejecución": la subcontratación inclusiva, que exige priorizar a </w:t>
      </w:r>
      <w:proofErr w:type="spellStart"/>
      <w:r w:rsidRPr="00975224">
        <w:rPr>
          <w:rFonts w:ascii="Verdana" w:hAnsi="Verdana"/>
        </w:rPr>
        <w:t>PcD</w:t>
      </w:r>
      <w:proofErr w:type="spellEnd"/>
      <w:r w:rsidRPr="00975224">
        <w:rPr>
          <w:rFonts w:ascii="Verdana" w:hAnsi="Verdana"/>
        </w:rPr>
        <w:t xml:space="preserve"> o a emprendimientos y empresas de </w:t>
      </w:r>
      <w:proofErr w:type="spellStart"/>
      <w:r w:rsidRPr="00975224">
        <w:rPr>
          <w:rFonts w:ascii="Verdana" w:hAnsi="Verdana"/>
        </w:rPr>
        <w:t>PcD</w:t>
      </w:r>
      <w:proofErr w:type="spellEnd"/>
      <w:r w:rsidRPr="00975224">
        <w:rPr>
          <w:rFonts w:ascii="Verdana" w:hAnsi="Verdana"/>
        </w:rPr>
        <w:t xml:space="preserve"> cuando se requiera subcontratar; y la integración del equipo de trabajo, que exige priorizar personas naturales con discapacidad cuando se requiera conformar equipo para la ejecución. La obligación consiste en incluir al menos una de las dos condiciones, no necesariamente ambas. La palabra "deberán" hace de esta una medida imperativa en cuanto a la obligación de incluir al menos una condición, pero la entidad tiene discrecionalidad para escoger cuál de las dos incorpora o si incorpora ambas. Solo puede omitirse la inclusión de las dos cuando la entidad justifique esa omisión con argumentos objetivos en los estudios previos. La priorización no implica exclusividad; el contratista puede contratar otros proveedores, pero debe procurar que las </w:t>
      </w:r>
      <w:proofErr w:type="spellStart"/>
      <w:r w:rsidRPr="00975224">
        <w:rPr>
          <w:rFonts w:ascii="Verdana" w:hAnsi="Verdana"/>
        </w:rPr>
        <w:t>PcD</w:t>
      </w:r>
      <w:proofErr w:type="spellEnd"/>
      <w:r w:rsidRPr="00975224">
        <w:rPr>
          <w:rFonts w:ascii="Verdana" w:hAnsi="Verdana"/>
        </w:rPr>
        <w:t xml:space="preserve"> y sus empresas tengan preferencia cuando existan en el mercado. El incumplimiento injustificado puede constituir causal de incumplimiento contractual, verificable por el supervisor o interventor con cada solicitud de pago.</w:t>
      </w:r>
      <w:r w:rsidRPr="00206556">
        <w:rPr>
          <w:rFonts w:ascii="Verdana" w:hAnsi="Verdana"/>
        </w:rPr>
        <w:t xml:space="preserve"> </w:t>
      </w:r>
    </w:p>
    <w:p w14:paraId="0D6F8399"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vii</w:t>
      </w:r>
      <w:r>
        <w:rPr>
          <w:rFonts w:ascii="Verdana" w:hAnsi="Verdana"/>
        </w:rPr>
        <w:t>i</w:t>
      </w:r>
      <w:proofErr w:type="spellEnd"/>
      <w:r w:rsidRPr="00206556">
        <w:rPr>
          <w:rFonts w:ascii="Verdana" w:hAnsi="Verdana"/>
        </w:rPr>
        <w:t>) Sobre la compatibilidad con MiPymes y empresas de mujeres, y la distinción con el criterio de desempate. El parágrafo 2 del artículo 2.2.1.2.4.2.7.4. del Decreto 0287 de 2026 establece que el puntaje adicional "</w:t>
      </w:r>
      <w:r w:rsidRPr="00206556">
        <w:rPr>
          <w:rFonts w:ascii="Verdana" w:hAnsi="Verdana"/>
          <w:i/>
          <w:iCs/>
        </w:rPr>
        <w:t>no excluye la aplicación de incentivos contractuales ni de criterios diferenciales en favor de las MiPymes y/o los emprendimientos y empresas de mujeres".</w:t>
      </w:r>
      <w:r w:rsidRPr="00206556">
        <w:rPr>
          <w:rFonts w:ascii="Verdana" w:hAnsi="Verdana"/>
        </w:rPr>
        <w:t xml:space="preserve"> Del mismo modo, el parágrafo 2 del artículo 2.2.1.2.4.2.7.3</w:t>
      </w:r>
      <w:r>
        <w:rPr>
          <w:rFonts w:ascii="Verdana" w:hAnsi="Verdana"/>
        </w:rPr>
        <w:t>.</w:t>
      </w:r>
      <w:r w:rsidRPr="00206556">
        <w:rPr>
          <w:rFonts w:ascii="Verdana" w:hAnsi="Verdana"/>
        </w:rPr>
        <w:t xml:space="preserve"> establece la compatibilidad de los criterios habilitantes diferenciales con los aplicables a MiPymes y empresas de mujeres. En consecuencia, todos estos instrumentos pueden aplicarse simultáneamente en el mismo proceso de contratación sin exclusión recíproca. En cuanto a la distinción con el criterio de desempate, es indispensable no confundir los dos instrumentos: el puntaje adicional del 2% </w:t>
      </w:r>
      <w:r w:rsidRPr="00206556">
        <w:rPr>
          <w:rFonts w:ascii="Verdana" w:hAnsi="Verdana"/>
        </w:rPr>
        <w:lastRenderedPageBreak/>
        <w:t xml:space="preserve">beneficia a los dos sujetos del sistema y opera en la evaluación de propuestas antes de la adjudicación; el criterio de desempate, regulado por el artículo 35, numeral 3, de la Ley 2069 de 2020 beneficia exclusivamente a los empleadores de </w:t>
      </w:r>
      <w:proofErr w:type="spellStart"/>
      <w:r w:rsidRPr="00206556">
        <w:rPr>
          <w:rFonts w:ascii="Verdana" w:hAnsi="Verdana"/>
        </w:rPr>
        <w:t>PcD</w:t>
      </w:r>
      <w:proofErr w:type="spellEnd"/>
      <w:r w:rsidRPr="00206556">
        <w:rPr>
          <w:rFonts w:ascii="Verdana" w:hAnsi="Verdana"/>
        </w:rPr>
        <w:t xml:space="preserve">, no a los emprendimientos y empresas de </w:t>
      </w:r>
      <w:proofErr w:type="spellStart"/>
      <w:r w:rsidRPr="00206556">
        <w:rPr>
          <w:rFonts w:ascii="Verdana" w:hAnsi="Verdana"/>
        </w:rPr>
        <w:t>PcD</w:t>
      </w:r>
      <w:proofErr w:type="spellEnd"/>
      <w:r w:rsidRPr="00206556">
        <w:rPr>
          <w:rFonts w:ascii="Verdana" w:hAnsi="Verdana"/>
        </w:rPr>
        <w:t xml:space="preserve">, y exige que al menos el 10% de la nómina esté en condición de discapacidad, operando solo cuando hay empate entre dos o más ofertas. </w:t>
      </w:r>
      <w:r>
        <w:rPr>
          <w:rFonts w:ascii="Verdana" w:hAnsi="Verdana"/>
        </w:rPr>
        <w:t>La aplicación del criterio de desempate cuando es un</w:t>
      </w:r>
      <w:r w:rsidRPr="00206556">
        <w:rPr>
          <w:rFonts w:ascii="Verdana" w:hAnsi="Verdana"/>
        </w:rPr>
        <w:t xml:space="preserve"> proponente plural</w:t>
      </w:r>
      <w:r>
        <w:rPr>
          <w:rFonts w:ascii="Verdana" w:hAnsi="Verdana"/>
        </w:rPr>
        <w:t xml:space="preserve"> indica que</w:t>
      </w:r>
      <w:r w:rsidRPr="00206556">
        <w:rPr>
          <w:rFonts w:ascii="Verdana" w:hAnsi="Verdana"/>
        </w:rPr>
        <w:t xml:space="preserve"> el integrante con</w:t>
      </w:r>
      <w:r>
        <w:rPr>
          <w:rFonts w:ascii="Verdana" w:hAnsi="Verdana"/>
        </w:rPr>
        <w:t xml:space="preserve"> su nómina con</w:t>
      </w:r>
      <w:r w:rsidRPr="00206556">
        <w:rPr>
          <w:rFonts w:ascii="Verdana" w:hAnsi="Verdana"/>
        </w:rPr>
        <w:t xml:space="preserve"> </w:t>
      </w:r>
      <w:proofErr w:type="spellStart"/>
      <w:r w:rsidRPr="00206556">
        <w:rPr>
          <w:rFonts w:ascii="Verdana" w:hAnsi="Verdana"/>
        </w:rPr>
        <w:t>PcD</w:t>
      </w:r>
      <w:proofErr w:type="spellEnd"/>
      <w:r w:rsidRPr="00206556">
        <w:rPr>
          <w:rFonts w:ascii="Verdana" w:hAnsi="Verdana"/>
        </w:rPr>
        <w:t xml:space="preserve"> debe tener al menos el 25% de participación y aportar mínimo el 25% de la experiencia. El Decreto 0287 de 2026 no modificó el criterio de desempate de la Ley 2069 de 2020, que como norma de rango legal no puede ser alterada por decreto reglamentario, y la diferencia en las exigencias de vinculación entre las dos normas responde precisamente a que son instrumentos diferentes que no deben interpretarse extensivamente el uno respecto del otro. El Consejo de Estado ha precisado que las normas que establecen beneficios y preferencias deben interpretarse según sus propios términos, sin extensión analógica</w:t>
      </w:r>
      <w:r w:rsidRPr="00206556">
        <w:rPr>
          <w:rStyle w:val="Refdenotaalpie"/>
          <w:rFonts w:ascii="Verdana" w:hAnsi="Verdana"/>
        </w:rPr>
        <w:footnoteReference w:id="10"/>
      </w:r>
      <w:r>
        <w:rPr>
          <w:rFonts w:ascii="Verdana" w:hAnsi="Verdana"/>
        </w:rPr>
        <w:t>.</w:t>
      </w:r>
    </w:p>
    <w:p w14:paraId="0A184553"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ix</w:t>
      </w:r>
      <w:proofErr w:type="spellEnd"/>
      <w:r w:rsidRPr="00206556">
        <w:rPr>
          <w:rFonts w:ascii="Verdana" w:hAnsi="Verdana"/>
        </w:rPr>
        <w:t xml:space="preserve">) En lo que concierne a la inclusión de personas con discapacidad a través de contratos de prestación de servicios profesionales y/o de apoyo a la gestión, es necesario precisar su naturaleza jurídica, pues esta medida ha generado interpretaciones encontradas en cuanto a si constituye una obligación general para todas las entidades estatales o si, por el contrario, su aplicación queda sujeta a la voluntad de cada entidad. El artículo 2.2.1.2.4.2.7.6. del Decreto 0287 de 2026 despeja esta inquietud al utilizar el verbo "propenderán" para referirse a esta medida, lo que en técnica legislativa colombiana implica un mandato de medios, es decir, realizar todos los esfuerzos necesarios, y no un mandato de resultado, contrario a contratar obligatoriamente en todos los casos. La norma condiciona expresamente la medida a la planeación contractual, la disponibilidad presupuestal y las necesidades del servicio. Aplica exclusivamente en contratación directa mediante contratos de prestación de servicios profesionales y/o de apoyo a la gestión, para entidades sometidas al Estatuto General de la Contratación Pública, sin que aplique a contratos artísticos ni a entidades de régimen especial. La entidad que decida aplicarla debe verificar la idoneidad de la </w:t>
      </w:r>
      <w:proofErr w:type="spellStart"/>
      <w:r w:rsidRPr="00206556">
        <w:rPr>
          <w:rFonts w:ascii="Verdana" w:hAnsi="Verdana"/>
        </w:rPr>
        <w:t>PcD</w:t>
      </w:r>
      <w:proofErr w:type="spellEnd"/>
      <w:r w:rsidRPr="00206556">
        <w:rPr>
          <w:rFonts w:ascii="Verdana" w:hAnsi="Verdana"/>
        </w:rPr>
        <w:t xml:space="preserve"> para cumplir el objeto, acordar los ajustes razonables necesarios, evaluar la no exigencia de garantías, que no son obligatorias para </w:t>
      </w:r>
      <w:r w:rsidRPr="00206556">
        <w:rPr>
          <w:rFonts w:ascii="Verdana" w:hAnsi="Verdana"/>
        </w:rPr>
        <w:lastRenderedPageBreak/>
        <w:t xml:space="preserve">esta tipología, e indicar en el SECOP que el contrato corresponde a esta medida afirmativa. En ningún caso la medida autoriza funciones permanentes ni genera subordinación laboral. La Corte Constitucional ha reconocido que las </w:t>
      </w:r>
      <w:proofErr w:type="spellStart"/>
      <w:r w:rsidRPr="00206556">
        <w:rPr>
          <w:rFonts w:ascii="Verdana" w:hAnsi="Verdana"/>
        </w:rPr>
        <w:t>PcD</w:t>
      </w:r>
      <w:proofErr w:type="spellEnd"/>
      <w:r w:rsidRPr="00206556">
        <w:rPr>
          <w:rFonts w:ascii="Verdana" w:hAnsi="Verdana"/>
        </w:rPr>
        <w:t xml:space="preserve"> gozan de estabilidad ocupacional reforzada</w:t>
      </w:r>
      <w:r w:rsidRPr="00206556">
        <w:rPr>
          <w:rStyle w:val="Refdenotaalpie"/>
          <w:rFonts w:ascii="Verdana" w:hAnsi="Verdana"/>
        </w:rPr>
        <w:footnoteReference w:id="11"/>
      </w:r>
      <w:r>
        <w:rPr>
          <w:rFonts w:ascii="Verdana" w:hAnsi="Verdana"/>
        </w:rPr>
        <w:t>,</w:t>
      </w:r>
      <w:r w:rsidRPr="00206556">
        <w:rPr>
          <w:rFonts w:ascii="Verdana" w:hAnsi="Verdana"/>
        </w:rPr>
        <w:t xml:space="preserve"> que aplica en el marco de estos contratos sin que ello genere relación laboral. El fundamento cuantitativo de la medida es elocuente: según datos del SECOP en el año 2024 se celebraron 747.942 contratos de prestación de servicios por un valor de $16 billones de pesos, universo que representa una oportunidad concreta de inclusión laboral de las </w:t>
      </w:r>
      <w:proofErr w:type="spellStart"/>
      <w:r w:rsidRPr="00206556">
        <w:rPr>
          <w:rFonts w:ascii="Verdana" w:hAnsi="Verdana"/>
        </w:rPr>
        <w:t>PcD</w:t>
      </w:r>
      <w:proofErr w:type="spellEnd"/>
      <w:r w:rsidRPr="00206556">
        <w:rPr>
          <w:rFonts w:ascii="Verdana" w:hAnsi="Verdana"/>
        </w:rPr>
        <w:t xml:space="preserve"> de manera progresiva y sostenida.</w:t>
      </w:r>
    </w:p>
    <w:p w14:paraId="6028323B"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 xml:space="preserve">(x) </w:t>
      </w:r>
      <w:r>
        <w:rPr>
          <w:rFonts w:ascii="Verdana" w:hAnsi="Verdana"/>
        </w:rPr>
        <w:t>En cuanto a</w:t>
      </w:r>
      <w:r w:rsidRPr="00206556">
        <w:rPr>
          <w:rFonts w:ascii="Verdana" w:hAnsi="Verdana"/>
        </w:rPr>
        <w:t xml:space="preserve"> la obligación de compras públicas accesibles en ausencia de normas técnicas. El artículo 2.2.1.2.4.2.7.1. del Decreto 0287 de 2026 impone a las entidades, "independientemente de su régimen de contratación", la obligación de incorporar en los contratos criterios que garanticen la accesibilidad de las </w:t>
      </w:r>
      <w:proofErr w:type="spellStart"/>
      <w:r w:rsidRPr="00206556">
        <w:rPr>
          <w:rFonts w:ascii="Verdana" w:hAnsi="Verdana"/>
        </w:rPr>
        <w:t>PcD</w:t>
      </w:r>
      <w:proofErr w:type="spellEnd"/>
      <w:r w:rsidRPr="00206556">
        <w:rPr>
          <w:rFonts w:ascii="Verdana" w:hAnsi="Verdana"/>
        </w:rPr>
        <w:t>, teniendo en cuenta las siete categorías de discapacidad definidas por el Ministerio de Salud y Protección Social: visual, física, psicosocial (mental), auditiva, sordoceguera, intelectual y múltiple. El parágrafo 2 del mismo artículo establece que cuando no se identifiquen normas legales, reglamentarias o técnicas aplicables, la entidad debe fijar una ficha técnica con criterios de accesibilidad propios: la inexistencia de norma técnica no exonera a la entidad, sino que la convierte en autora de sus propios estándares de accesibilidad para ese contrato específico. Los principios guía son los de accesibilidad universal, diseño universal y ajustes razonables, conforme a la Ley 1346 de 2009 y la Ley 1618 de 2013</w:t>
      </w:r>
      <w:r>
        <w:rPr>
          <w:rFonts w:ascii="Verdana" w:hAnsi="Verdana"/>
        </w:rPr>
        <w:t>,</w:t>
      </w:r>
      <w:r w:rsidRPr="00206556">
        <w:rPr>
          <w:rFonts w:ascii="Verdana" w:hAnsi="Verdana"/>
        </w:rPr>
        <w:t xml:space="preserve"> la cual define los ajustes razonables como las modificaciones y adaptaciones necesarias que no impongan una carga desproporcionada, para garantizar a las </w:t>
      </w:r>
      <w:proofErr w:type="spellStart"/>
      <w:r w:rsidRPr="00206556">
        <w:rPr>
          <w:rFonts w:ascii="Verdana" w:hAnsi="Verdana"/>
        </w:rPr>
        <w:t>PcD</w:t>
      </w:r>
      <w:proofErr w:type="spellEnd"/>
      <w:r w:rsidRPr="00206556">
        <w:rPr>
          <w:rFonts w:ascii="Verdana" w:hAnsi="Verdana"/>
        </w:rPr>
        <w:t xml:space="preserve"> el goce de sus derechos en igualdad de condiciones. Los criterios se determinan en los estudios y documentos previos, procurando la mayor cobertura posible de las categorías de discapacidad.</w:t>
      </w:r>
    </w:p>
    <w:p w14:paraId="011BDA4D" w14:textId="77777777" w:rsidR="005510BC" w:rsidRDefault="005510BC" w:rsidP="005510BC">
      <w:pPr>
        <w:spacing w:after="120" w:line="276" w:lineRule="auto"/>
        <w:ind w:firstLine="709"/>
        <w:jc w:val="both"/>
        <w:rPr>
          <w:rFonts w:ascii="Verdana" w:hAnsi="Verdana"/>
        </w:rPr>
      </w:pPr>
      <w:r w:rsidRPr="00206556">
        <w:rPr>
          <w:rFonts w:ascii="Verdana" w:hAnsi="Verdana"/>
        </w:rPr>
        <w:t>(x</w:t>
      </w:r>
      <w:r>
        <w:rPr>
          <w:rFonts w:ascii="Verdana" w:hAnsi="Verdana"/>
        </w:rPr>
        <w:t>i</w:t>
      </w:r>
      <w:r w:rsidRPr="00206556">
        <w:rPr>
          <w:rFonts w:ascii="Verdana" w:hAnsi="Verdana"/>
        </w:rPr>
        <w:t xml:space="preserve">) </w:t>
      </w:r>
      <w:r>
        <w:rPr>
          <w:rFonts w:ascii="Verdana" w:hAnsi="Verdana"/>
        </w:rPr>
        <w:t>Sobre</w:t>
      </w:r>
      <w:r w:rsidRPr="00206556">
        <w:rPr>
          <w:rFonts w:ascii="Verdana" w:hAnsi="Verdana"/>
        </w:rPr>
        <w:t xml:space="preserve"> las consecuencias de la reducción de </w:t>
      </w:r>
      <w:proofErr w:type="spellStart"/>
      <w:r w:rsidRPr="00206556">
        <w:rPr>
          <w:rFonts w:ascii="Verdana" w:hAnsi="Verdana"/>
        </w:rPr>
        <w:t>PcD</w:t>
      </w:r>
      <w:proofErr w:type="spellEnd"/>
      <w:r w:rsidRPr="00206556">
        <w:rPr>
          <w:rFonts w:ascii="Verdana" w:hAnsi="Verdana"/>
        </w:rPr>
        <w:t xml:space="preserve"> durante la ejecución del contrato. El parágrafo 3 del artículo 2.2.1.2.4.2.7.4. del Decreto 0287 de 2026 establece que el contratista debe presentar con cada solicitud de pago la documentación que acredite la permanencia de las condiciones que dieron lugar al puntaje adicional, y que</w:t>
      </w:r>
      <w:r>
        <w:rPr>
          <w:rFonts w:ascii="Verdana" w:hAnsi="Verdana"/>
        </w:rPr>
        <w:t>:</w:t>
      </w:r>
    </w:p>
    <w:p w14:paraId="24927FC9" w14:textId="77777777" w:rsidR="005510BC" w:rsidRPr="00206556" w:rsidRDefault="005510BC" w:rsidP="005510BC">
      <w:pPr>
        <w:spacing w:after="0" w:line="276" w:lineRule="auto"/>
        <w:ind w:firstLine="708"/>
        <w:jc w:val="both"/>
        <w:rPr>
          <w:rFonts w:ascii="Verdana" w:hAnsi="Verdana"/>
        </w:rPr>
      </w:pPr>
      <w:r w:rsidRPr="00206556">
        <w:rPr>
          <w:rFonts w:ascii="Verdana" w:hAnsi="Verdana"/>
        </w:rPr>
        <w:lastRenderedPageBreak/>
        <w:t xml:space="preserve"> </w:t>
      </w:r>
    </w:p>
    <w:p w14:paraId="233D0442" w14:textId="77777777" w:rsidR="005510BC" w:rsidRPr="00206556" w:rsidRDefault="005510BC" w:rsidP="005510BC">
      <w:pPr>
        <w:spacing w:after="200"/>
        <w:ind w:left="851" w:right="1183"/>
        <w:jc w:val="both"/>
        <w:rPr>
          <w:rFonts w:ascii="Verdana" w:hAnsi="Verdana"/>
          <w:sz w:val="20"/>
          <w:szCs w:val="20"/>
        </w:rPr>
      </w:pPr>
      <w:r w:rsidRPr="00206556">
        <w:rPr>
          <w:rFonts w:ascii="Verdana" w:hAnsi="Verdana"/>
          <w:sz w:val="20"/>
          <w:szCs w:val="20"/>
        </w:rPr>
        <w:t>"la inobservancia de estas medidas y el incumplimiento injustificado en la reducción del número de trabajadores con discapacidad de la planta de personal acreditado para obtener el puntaje adicional podrá constituir causal de incumplimiento contractual y se tramitará conforme a la normatividad vigente"</w:t>
      </w:r>
      <w:r>
        <w:rPr>
          <w:rFonts w:ascii="Verdana" w:hAnsi="Verdana"/>
          <w:sz w:val="20"/>
          <w:szCs w:val="20"/>
        </w:rPr>
        <w:t>.</w:t>
      </w:r>
    </w:p>
    <w:p w14:paraId="75F34A8A" w14:textId="389EBFFE" w:rsidR="00A32143" w:rsidRDefault="005510BC" w:rsidP="00A32143">
      <w:pPr>
        <w:spacing w:after="200"/>
        <w:ind w:firstLine="708"/>
        <w:jc w:val="both"/>
        <w:rPr>
          <w:rFonts w:ascii="Verdana" w:hAnsi="Verdana"/>
        </w:rPr>
      </w:pPr>
      <w:r w:rsidRPr="00206556">
        <w:rPr>
          <w:rFonts w:ascii="Verdana" w:hAnsi="Verdana"/>
        </w:rPr>
        <w:t xml:space="preserve">El término "podrá" indica que la entidad tiene discrecionalidad para declarar o no el incumplimiento, valorando la justificación del contratista, el impacto real en el objeto del contrato y la posibilidad de subsanación. Solo queda exonerado quien demuestre fuerza mayor o caso fortuito. El parágrafo 4 del mismo artículo añade que las medidas deben observar las garantías constitucionales de la estabilidad laboral reforzada de las </w:t>
      </w:r>
      <w:proofErr w:type="spellStart"/>
      <w:r w:rsidRPr="00206556">
        <w:rPr>
          <w:rFonts w:ascii="Verdana" w:hAnsi="Verdana"/>
        </w:rPr>
        <w:t>PcD</w:t>
      </w:r>
      <w:proofErr w:type="spellEnd"/>
      <w:r w:rsidRPr="00206556">
        <w:rPr>
          <w:rFonts w:ascii="Verdana" w:hAnsi="Verdana"/>
        </w:rPr>
        <w:t xml:space="preserve">,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w:t>
      </w:r>
      <w:proofErr w:type="spellStart"/>
      <w:r w:rsidRPr="00206556">
        <w:rPr>
          <w:rFonts w:ascii="Verdana" w:hAnsi="Verdana"/>
        </w:rPr>
        <w:t>PcD</w:t>
      </w:r>
      <w:proofErr w:type="spellEnd"/>
      <w:r w:rsidRPr="00206556">
        <w:rPr>
          <w:rFonts w:ascii="Verdana" w:hAnsi="Verdana"/>
        </w:rPr>
        <w:t>: la norma busca estabilidad real y no meramente nominal, de modo que el contratista debe adoptar las medidas de permanencia compatibles con el ordenamiento laboral vigente.</w:t>
      </w:r>
    </w:p>
    <w:p w14:paraId="0499C934" w14:textId="50A70F9C" w:rsidR="005510BC" w:rsidRPr="00670CFB" w:rsidRDefault="005510BC" w:rsidP="005510BC">
      <w:pPr>
        <w:spacing w:after="120" w:line="276" w:lineRule="auto"/>
        <w:ind w:firstLine="709"/>
        <w:jc w:val="both"/>
        <w:rPr>
          <w:rFonts w:ascii="Verdana" w:hAnsi="Verdana"/>
        </w:rPr>
      </w:pPr>
      <w:r w:rsidRPr="00670CFB">
        <w:rPr>
          <w:rFonts w:ascii="Verdana" w:hAnsi="Verdana"/>
        </w:rPr>
        <w:t>(</w:t>
      </w:r>
      <w:proofErr w:type="spellStart"/>
      <w:r w:rsidRPr="00670CFB">
        <w:rPr>
          <w:rFonts w:ascii="Verdana" w:hAnsi="Verdana"/>
        </w:rPr>
        <w:t>xi</w:t>
      </w:r>
      <w:r>
        <w:rPr>
          <w:rFonts w:ascii="Verdana" w:hAnsi="Verdana"/>
        </w:rPr>
        <w:t>i</w:t>
      </w:r>
      <w:proofErr w:type="spellEnd"/>
      <w:r w:rsidRPr="00670CFB">
        <w:rPr>
          <w:rFonts w:ascii="Verdana" w:hAnsi="Verdana"/>
        </w:rPr>
        <w:t>)</w:t>
      </w:r>
      <w:r>
        <w:rPr>
          <w:rFonts w:ascii="Verdana" w:hAnsi="Verdana"/>
        </w:rPr>
        <w:t xml:space="preserve"> </w:t>
      </w:r>
      <w:r w:rsidRPr="00670CFB">
        <w:rPr>
          <w:rFonts w:ascii="Verdana" w:hAnsi="Verdana"/>
        </w:rPr>
        <w:t xml:space="preserve">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w:t>
      </w:r>
      <w:proofErr w:type="spellStart"/>
      <w:r w:rsidRPr="00670CFB">
        <w:rPr>
          <w:rFonts w:ascii="Verdana" w:hAnsi="Verdana"/>
        </w:rPr>
        <w:t>PcD</w:t>
      </w:r>
      <w:proofErr w:type="spellEnd"/>
      <w:r w:rsidRPr="00670CFB">
        <w:rPr>
          <w:rFonts w:ascii="Verdana" w:hAnsi="Verdana"/>
        </w:rPr>
        <w:t xml:space="preserve">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1AC87548"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w:t>
      </w:r>
      <w:proofErr w:type="spellStart"/>
      <w:r w:rsidRPr="00670CFB">
        <w:rPr>
          <w:rFonts w:ascii="Verdana" w:hAnsi="Verdana"/>
        </w:rPr>
        <w:t>PcD</w:t>
      </w:r>
      <w:proofErr w:type="spellEnd"/>
      <w:r w:rsidRPr="00670CFB">
        <w:rPr>
          <w:rFonts w:ascii="Verdana" w:hAnsi="Verdana"/>
        </w:rPr>
        <w:t xml:space="preserve"> que puedan ofrecer los bienes, obras o servicios requeridos, con el propósito de identificarlos en el mercado y recibir </w:t>
      </w:r>
      <w:r w:rsidRPr="00670CFB">
        <w:rPr>
          <w:rFonts w:ascii="Verdana" w:hAnsi="Verdana"/>
        </w:rPr>
        <w:lastRenderedPageBreak/>
        <w:t xml:space="preserve">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w:t>
      </w:r>
      <w:proofErr w:type="spellStart"/>
      <w:r w:rsidRPr="00670CFB">
        <w:rPr>
          <w:rFonts w:ascii="Verdana" w:hAnsi="Verdana"/>
        </w:rPr>
        <w:t>PcD</w:t>
      </w:r>
      <w:proofErr w:type="spellEnd"/>
      <w:r w:rsidRPr="00670CFB">
        <w:rPr>
          <w:rFonts w:ascii="Verdana" w:hAnsi="Verdana"/>
        </w:rPr>
        <w:t xml:space="preserve">,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17481723"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w:t>
      </w:r>
      <w:proofErr w:type="spellStart"/>
      <w:r w:rsidRPr="00670CFB">
        <w:rPr>
          <w:rFonts w:ascii="Verdana" w:hAnsi="Verdana"/>
        </w:rPr>
        <w:t>PcD</w:t>
      </w:r>
      <w:proofErr w:type="spellEnd"/>
      <w:r w:rsidRPr="00670CFB">
        <w:rPr>
          <w:rFonts w:ascii="Verdana" w:hAnsi="Verdana"/>
        </w:rPr>
        <w:t xml:space="preserve">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w:t>
      </w:r>
      <w:proofErr w:type="spellStart"/>
      <w:r w:rsidRPr="00670CFB">
        <w:rPr>
          <w:rFonts w:ascii="Verdana" w:hAnsi="Verdana"/>
        </w:rPr>
        <w:t>PcD</w:t>
      </w:r>
      <w:proofErr w:type="spellEnd"/>
      <w:r w:rsidRPr="00670CFB">
        <w:rPr>
          <w:rFonts w:ascii="Verdana" w:hAnsi="Verdana"/>
        </w:rPr>
        <w:t xml:space="preserve"> y no para los empleadores de </w:t>
      </w:r>
      <w:proofErr w:type="spellStart"/>
      <w:r w:rsidRPr="00670CFB">
        <w:rPr>
          <w:rFonts w:ascii="Verdana" w:hAnsi="Verdana"/>
        </w:rPr>
        <w:t>PcD</w:t>
      </w:r>
      <w:proofErr w:type="spellEnd"/>
      <w:r w:rsidRPr="00670CFB">
        <w:rPr>
          <w:rFonts w:ascii="Verdana" w:hAnsi="Verdana"/>
        </w:rPr>
        <w:t xml:space="preserve">.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w:t>
      </w:r>
      <w:r w:rsidRPr="00670CFB">
        <w:rPr>
          <w:rFonts w:ascii="Verdana" w:hAnsi="Verdana"/>
        </w:rPr>
        <w:lastRenderedPageBreak/>
        <w:t>condiciones puede constituir una barrera de acceso contraria a los mandatos del decreto y comprometer la validez del proceso de selección.</w:t>
      </w:r>
    </w:p>
    <w:p w14:paraId="43AC543C"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w:t>
      </w:r>
      <w:proofErr w:type="spellStart"/>
      <w:r w:rsidRPr="00670CFB">
        <w:rPr>
          <w:rFonts w:ascii="Verdana" w:hAnsi="Verdana"/>
        </w:rPr>
        <w:t>PcD</w:t>
      </w:r>
      <w:proofErr w:type="spellEnd"/>
      <w:r w:rsidRPr="00670CFB">
        <w:rPr>
          <w:rFonts w:ascii="Verdana" w:hAnsi="Verdana"/>
        </w:rPr>
        <w:t xml:space="preserve"> o ser empleadores de </w:t>
      </w:r>
      <w:proofErr w:type="spellStart"/>
      <w:r w:rsidRPr="00670CFB">
        <w:rPr>
          <w:rFonts w:ascii="Verdana" w:hAnsi="Verdana"/>
        </w:rPr>
        <w:t>PcD</w:t>
      </w:r>
      <w:proofErr w:type="spellEnd"/>
      <w:r w:rsidRPr="00670CFB">
        <w:rPr>
          <w:rFonts w:ascii="Verdana" w:hAnsi="Verdana"/>
        </w:rPr>
        <w:t xml:space="preserve">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xml:space="preserve">, en licitación pública y concurso de méritos. La acreditación exige, entre otros documentos, los certificados de aportes a seguridad social de los tres (3) meses anteriores a la presentación de la oferta para cada </w:t>
      </w:r>
      <w:proofErr w:type="spellStart"/>
      <w:r w:rsidRPr="00670CFB">
        <w:rPr>
          <w:rFonts w:ascii="Verdana" w:hAnsi="Verdana"/>
        </w:rPr>
        <w:t>PcD</w:t>
      </w:r>
      <w:proofErr w:type="spellEnd"/>
      <w:r w:rsidRPr="00670CFB">
        <w:rPr>
          <w:rFonts w:ascii="Verdana" w:hAnsi="Verdana"/>
        </w:rPr>
        <w:t xml:space="preserve">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w:t>
      </w:r>
      <w:proofErr w:type="spellStart"/>
      <w:r w:rsidRPr="00670CFB">
        <w:rPr>
          <w:rFonts w:ascii="Verdana" w:hAnsi="Verdana"/>
        </w:rPr>
        <w:t>PcD</w:t>
      </w:r>
      <w:proofErr w:type="spellEnd"/>
      <w:r w:rsidRPr="00670CFB">
        <w:rPr>
          <w:rFonts w:ascii="Verdana" w:hAnsi="Verdana"/>
        </w:rPr>
        <w:t xml:space="preserve"> vinculadas puede constituir causal de incumplimiento contractual, salvo que se demuestre fuerza mayor o caso fortuito, y en todo caso respetando el derecho a la estabilidad laboral reforzada de las </w:t>
      </w:r>
      <w:proofErr w:type="spellStart"/>
      <w:r w:rsidRPr="00670CFB">
        <w:rPr>
          <w:rFonts w:ascii="Verdana" w:hAnsi="Verdana"/>
        </w:rPr>
        <w:t>PcD</w:t>
      </w:r>
      <w:proofErr w:type="spellEnd"/>
      <w:r w:rsidRPr="00670CFB">
        <w:rPr>
          <w:rFonts w:ascii="Verdana" w:hAnsi="Verdana"/>
        </w:rPr>
        <w:t>.</w:t>
      </w:r>
    </w:p>
    <w:p w14:paraId="45285651"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670CFB">
        <w:rPr>
          <w:rFonts w:ascii="Verdana" w:hAnsi="Verdana"/>
        </w:rPr>
        <w:t>PcD</w:t>
      </w:r>
      <w:proofErr w:type="spellEnd"/>
      <w:r w:rsidRPr="00670CFB">
        <w:rPr>
          <w:rFonts w:ascii="Verdana" w:hAnsi="Verdana"/>
        </w:rPr>
        <w:t xml:space="preserve"> y a emprendimientos y empresas de </w:t>
      </w:r>
      <w:proofErr w:type="spellStart"/>
      <w:r w:rsidRPr="00670CFB">
        <w:rPr>
          <w:rFonts w:ascii="Verdana" w:hAnsi="Verdana"/>
        </w:rPr>
        <w:t>PcD</w:t>
      </w:r>
      <w:proofErr w:type="spellEnd"/>
      <w:r w:rsidRPr="00670CFB">
        <w:rPr>
          <w:rFonts w:ascii="Verdana" w:hAnsi="Verdana"/>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670CFB">
        <w:rPr>
          <w:rFonts w:ascii="Verdana" w:hAnsi="Verdana"/>
        </w:rPr>
        <w:t>PcD</w:t>
      </w:r>
      <w:proofErr w:type="spellEnd"/>
      <w:r w:rsidRPr="00670CFB">
        <w:rPr>
          <w:rFonts w:ascii="Verdana" w:hAnsi="Verdana"/>
        </w:rPr>
        <w:t xml:space="preserve">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 xml:space="preserve">Estatuto General </w:t>
      </w:r>
      <w:r>
        <w:rPr>
          <w:rFonts w:ascii="Verdana" w:hAnsi="Verdana"/>
        </w:rPr>
        <w:lastRenderedPageBreak/>
        <w:t>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37843712"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quinta medida es la inclusión de </w:t>
      </w:r>
      <w:proofErr w:type="spellStart"/>
      <w:r w:rsidRPr="00670CFB">
        <w:rPr>
          <w:rFonts w:ascii="Verdana" w:hAnsi="Verdana"/>
        </w:rPr>
        <w:t>PcD</w:t>
      </w:r>
      <w:proofErr w:type="spellEnd"/>
      <w:r w:rsidRPr="00670CFB">
        <w:rPr>
          <w:rFonts w:ascii="Verdana" w:hAnsi="Verdana"/>
        </w:rPr>
        <w:t xml:space="preserve">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670CFB">
        <w:rPr>
          <w:rFonts w:ascii="Verdana" w:hAnsi="Verdana"/>
        </w:rPr>
        <w:t>PcD</w:t>
      </w:r>
      <w:proofErr w:type="spellEnd"/>
      <w:r w:rsidRPr="00670CFB">
        <w:rPr>
          <w:rFonts w:ascii="Verdana" w:hAnsi="Verdana"/>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6641789D" w14:textId="77777777" w:rsidR="005510BC" w:rsidRDefault="005510BC" w:rsidP="005510BC">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xml:space="preserve">. Esta obligación consiste en incorporar en los estudios previos y en los documentos del proceso criterios que garanticen la accesibilidad de las </w:t>
      </w:r>
      <w:proofErr w:type="spellStart"/>
      <w:r w:rsidRPr="00670CFB">
        <w:rPr>
          <w:rFonts w:ascii="Verdana" w:hAnsi="Verdana"/>
        </w:rPr>
        <w:t>PcD</w:t>
      </w:r>
      <w:proofErr w:type="spellEnd"/>
      <w:r w:rsidRPr="00670CFB">
        <w:rPr>
          <w:rFonts w:ascii="Verdana" w:hAnsi="Verdana"/>
        </w:rPr>
        <w:t xml:space="preserve">, teniendo en cuenta las siete categorías de discapacidad definidas por el Ministerio de Salud y Protección Social —visual, física, psicosocial (mental), auditiva, sordoceguera, intelectual y </w:t>
      </w:r>
      <w:r w:rsidRPr="00670CFB">
        <w:rPr>
          <w:rFonts w:ascii="Verdana" w:hAnsi="Verdana"/>
        </w:rPr>
        <w:lastRenderedPageBreak/>
        <w:t xml:space="preserve">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w:t>
      </w:r>
      <w:proofErr w:type="gramStart"/>
      <w:r w:rsidRPr="00670CFB">
        <w:rPr>
          <w:rFonts w:ascii="Verdana" w:hAnsi="Verdana"/>
        </w:rPr>
        <w:t>obligación</w:t>
      </w:r>
      <w:proofErr w:type="gramEnd"/>
      <w:r w:rsidRPr="00670CFB">
        <w:rPr>
          <w:rFonts w:ascii="Verdana" w:hAnsi="Verdana"/>
        </w:rPr>
        <w:t xml:space="preserve"> sino que la convierte en autora de sus propios estándares de accesibilidad para ese contrato específico.</w:t>
      </w:r>
    </w:p>
    <w:p w14:paraId="12A1F08A" w14:textId="69E99750" w:rsidR="00A32143" w:rsidRPr="00670CFB" w:rsidRDefault="00A32143" w:rsidP="00A32143">
      <w:pPr>
        <w:spacing w:line="278" w:lineRule="auto"/>
        <w:ind w:firstLine="708"/>
        <w:jc w:val="both"/>
        <w:rPr>
          <w:rFonts w:ascii="Verdana" w:hAnsi="Verdana"/>
        </w:rPr>
      </w:pPr>
      <w:r>
        <w:rPr>
          <w:rFonts w:ascii="Verdana" w:hAnsi="Verdana"/>
        </w:rPr>
        <w:t>(</w:t>
      </w:r>
      <w:proofErr w:type="spellStart"/>
      <w:r>
        <w:rPr>
          <w:rFonts w:ascii="Verdana" w:hAnsi="Verdana"/>
        </w:rPr>
        <w:t>xiii</w:t>
      </w:r>
      <w:proofErr w:type="spellEnd"/>
      <w:r>
        <w:rPr>
          <w:rFonts w:ascii="Verdana" w:hAnsi="Verdana"/>
        </w:rPr>
        <w:t xml:space="preserve">) </w:t>
      </w:r>
      <w:r w:rsidRPr="00B00AE9">
        <w:rPr>
          <w:rFonts w:ascii="Verdana" w:hAnsi="Verdana"/>
        </w:rPr>
        <w:t>Por último, es pertinente señalar que esta Agencia expidió la Circular Externa No. 003 del 12 de mayo de 2026, mediante la cual se impartieron orientaciones para la correcta aplicación del Decreto 287 de 2026, dirigidas a las entidades estatales con independencia de su régimen de contratación, a los patrimonios autónomos constituidos por entidades estatales y a los particulares que ejecuten recursos públicos. En consecuencia, las consideraciones expuestas en el presente concepto deben entenderse en armonía con los lineamientos contenidos en la referida circular, la cual se encuentra disponible para consulta en el portal institucional de la Agencia Nacional de Contratación Pública – Colombia Compra Eficiente.</w:t>
      </w:r>
    </w:p>
    <w:p w14:paraId="78BD1F62"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0A69F894" w14:textId="77777777" w:rsidR="005510BC" w:rsidRPr="00206556" w:rsidRDefault="005510BC" w:rsidP="005510BC">
      <w:pPr>
        <w:spacing w:after="0" w:line="276" w:lineRule="auto"/>
        <w:jc w:val="both"/>
        <w:rPr>
          <w:rFonts w:ascii="Verdana" w:eastAsia="Calibri" w:hAnsi="Verdana" w:cs="Arial"/>
          <w:lang w:val="es-ES"/>
        </w:rPr>
      </w:pPr>
    </w:p>
    <w:p w14:paraId="1E71F08D" w14:textId="77777777" w:rsidR="005510BC" w:rsidRPr="00206556" w:rsidRDefault="005510BC" w:rsidP="005510BC">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10BC" w:rsidRPr="00206556" w14:paraId="592A0E63" w14:textId="77777777" w:rsidTr="00AD17AD">
        <w:trPr>
          <w:trHeight w:val="297"/>
        </w:trPr>
        <w:tc>
          <w:tcPr>
            <w:tcW w:w="8647" w:type="dxa"/>
          </w:tcPr>
          <w:p w14:paraId="14262033" w14:textId="77777777" w:rsidR="005510BC" w:rsidRPr="00670CFB"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15AE093D"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50A5324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6C87258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17B6EA4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Ley 762 de 2002. Por medio de la cual se aprueba la Convención Interamericana para la Eliminación de todas las Formas de Discriminación contra las Personas con Discapacidad.</w:t>
            </w:r>
          </w:p>
          <w:p w14:paraId="5F45AD8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0F1F262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390787A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70EBD134"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21C5B94B"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39624066"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094D4DD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75B00133"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7C2B0865"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19EE09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5BDFC80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330A1E2C"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26343F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3D657601"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86CC89F"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005967D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00F0475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1CEDB7F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Agencia Nacional de Contratación Pública – Colombia Compra Eficiente. Guía de Compras Públicas Sostenibles y Socialmente Responsables. Bogotá, 2025.</w:t>
            </w:r>
          </w:p>
          <w:p w14:paraId="66B73B0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1E609F3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7BC7C2E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398C5F20" w14:textId="77777777" w:rsidR="005510BC" w:rsidRPr="00206556" w:rsidRDefault="005510BC" w:rsidP="00AD17AD">
            <w:pPr>
              <w:widowControl w:val="0"/>
              <w:autoSpaceDE w:val="0"/>
              <w:autoSpaceDN w:val="0"/>
              <w:spacing w:line="276" w:lineRule="auto"/>
              <w:jc w:val="both"/>
              <w:rPr>
                <w:rFonts w:ascii="Verdana" w:eastAsia="Arial MT" w:hAnsi="Verdana" w:cs="Arial"/>
                <w:lang w:val="es-ES" w:eastAsia="es-ES" w:bidi="es-ES"/>
              </w:rPr>
            </w:pPr>
          </w:p>
        </w:tc>
      </w:tr>
    </w:tbl>
    <w:p w14:paraId="3D76DBE8"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3DF3B5C" w14:textId="77777777" w:rsidR="005510BC" w:rsidRDefault="005510BC" w:rsidP="005510B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75F4F75C" w14:textId="77777777" w:rsidR="005510BC" w:rsidRPr="00670CFB" w:rsidRDefault="005510BC" w:rsidP="005510BC">
      <w:pPr>
        <w:tabs>
          <w:tab w:val="left" w:pos="142"/>
          <w:tab w:val="left" w:pos="284"/>
        </w:tabs>
        <w:spacing w:after="0" w:line="276" w:lineRule="auto"/>
        <w:jc w:val="both"/>
        <w:rPr>
          <w:rFonts w:ascii="Verdana" w:eastAsia="Century Gothic" w:hAnsi="Verdana" w:cs="Century Gothic"/>
          <w:b/>
          <w:lang w:val="es-ES"/>
        </w:rPr>
      </w:pPr>
    </w:p>
    <w:p w14:paraId="51C27470" w14:textId="77777777" w:rsidR="005510BC" w:rsidRPr="00206556" w:rsidRDefault="005510BC" w:rsidP="005510BC">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sobre el alcance del Decreto 0287 de 2026 en este concepto</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2" w:history="1">
        <w:r w:rsidRPr="00206556">
          <w:rPr>
            <w:rStyle w:val="Hipervnculo"/>
            <w:rFonts w:ascii="Verdana" w:hAnsi="Verdana" w:cs="Arial"/>
            <w:shd w:val="clear" w:color="auto" w:fill="FFFFFF"/>
            <w:lang w:val="es-ES"/>
          </w:rPr>
          <w:t>https://relatoria.colombiacompra.gov.co/busqueda/conceptos</w:t>
        </w:r>
      </w:hyperlink>
    </w:p>
    <w:p w14:paraId="2BF9DBCF" w14:textId="77777777" w:rsidR="005510BC" w:rsidRPr="00206556" w:rsidRDefault="005510BC" w:rsidP="005510BC">
      <w:pPr>
        <w:spacing w:after="0" w:line="276" w:lineRule="auto"/>
        <w:jc w:val="both"/>
        <w:rPr>
          <w:rFonts w:ascii="Verdana" w:hAnsi="Verdana" w:cs="Arial"/>
          <w:color w:val="ED7D31" w:themeColor="accent2"/>
          <w:shd w:val="clear" w:color="auto" w:fill="FFFFFF"/>
          <w:lang w:val="es-ES"/>
        </w:rPr>
      </w:pPr>
    </w:p>
    <w:p w14:paraId="2B7255FD"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5C5990D1" w14:textId="77777777" w:rsidR="005510BC" w:rsidRPr="00206556" w:rsidRDefault="005510BC" w:rsidP="005510BC">
      <w:pPr>
        <w:spacing w:after="0" w:line="276" w:lineRule="auto"/>
        <w:jc w:val="both"/>
        <w:rPr>
          <w:rFonts w:ascii="Verdana" w:hAnsi="Verdana" w:cs="Arial"/>
          <w:shd w:val="clear" w:color="auto" w:fill="FFFFFF"/>
        </w:rPr>
      </w:pPr>
    </w:p>
    <w:p w14:paraId="73158DD2"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w:t>
      </w:r>
      <w:r w:rsidRPr="00206556">
        <w:rPr>
          <w:rFonts w:ascii="Verdana" w:hAnsi="Verdana" w:cs="Arial"/>
          <w:shd w:val="clear" w:color="auto" w:fill="FFFFFF"/>
        </w:rPr>
        <w:lastRenderedPageBreak/>
        <w:t xml:space="preserve">documentos aquí: </w:t>
      </w:r>
      <w:hyperlink r:id="rId14" w:history="1">
        <w:r w:rsidRPr="00206556">
          <w:rPr>
            <w:rStyle w:val="Hipervnculo"/>
            <w:rFonts w:ascii="Verdana" w:hAnsi="Verdana" w:cs="Arial"/>
            <w:shd w:val="clear" w:color="auto" w:fill="FFFFFF"/>
          </w:rPr>
          <w:t>https://www.colombiacompra.gov.co/normativa-y-relatoria/documentos-tipo</w:t>
        </w:r>
      </w:hyperlink>
    </w:p>
    <w:p w14:paraId="1CEEA0B6" w14:textId="77777777" w:rsidR="005510BC" w:rsidRPr="00206556" w:rsidRDefault="005510BC" w:rsidP="005510BC">
      <w:pPr>
        <w:spacing w:after="0" w:line="276" w:lineRule="auto"/>
        <w:jc w:val="both"/>
        <w:rPr>
          <w:rFonts w:ascii="Verdana" w:hAnsi="Verdana" w:cs="Arial"/>
          <w:shd w:val="clear" w:color="auto" w:fill="FFFFFF"/>
        </w:rPr>
      </w:pPr>
    </w:p>
    <w:p w14:paraId="09981D7E"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206556">
        <w:rPr>
          <w:rFonts w:ascii="Verdana" w:hAnsi="Verdana" w:cs="Arial"/>
          <w:shd w:val="clear" w:color="auto" w:fill="FFFFFF"/>
        </w:rPr>
        <w:t>Además</w:t>
      </w:r>
      <w:proofErr w:type="gramEnd"/>
      <w:r w:rsidRPr="00206556">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2BB0272B" w14:textId="77777777" w:rsidR="005510BC" w:rsidRPr="00206556" w:rsidRDefault="005510BC" w:rsidP="005510BC">
      <w:pPr>
        <w:spacing w:after="0" w:line="276" w:lineRule="auto"/>
        <w:jc w:val="both"/>
        <w:rPr>
          <w:rFonts w:ascii="Verdana" w:hAnsi="Verdana" w:cs="Arial"/>
          <w:color w:val="ED7D31" w:themeColor="accent2"/>
          <w:shd w:val="clear" w:color="auto" w:fill="FFFFFF"/>
        </w:rPr>
      </w:pPr>
    </w:p>
    <w:p w14:paraId="1FDB5F89"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3DECC61D" w14:textId="77777777" w:rsidR="005510BC" w:rsidRPr="00206556" w:rsidRDefault="005510BC" w:rsidP="005510BC">
      <w:pPr>
        <w:spacing w:after="0"/>
        <w:jc w:val="both"/>
        <w:rPr>
          <w:rFonts w:ascii="Verdana" w:hAnsi="Verdana" w:cs="Arial"/>
          <w:shd w:val="clear" w:color="auto" w:fill="FFFFFF"/>
        </w:rPr>
      </w:pPr>
    </w:p>
    <w:p w14:paraId="3F791AFB"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240CDDDC"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1CA81020"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767F4EDF"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D01CA82"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8C29CB2"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02065E"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p>
    <w:p w14:paraId="51BB3CB5" w14:textId="77777777" w:rsidR="005510BC" w:rsidRPr="00206556" w:rsidRDefault="005510BC" w:rsidP="005510BC">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13C0EB0F" w14:textId="4F271E20" w:rsidR="00A754B1" w:rsidRPr="00206556" w:rsidRDefault="00C37B44" w:rsidP="00A754B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2ABB865F" wp14:editId="3A85618C">
            <wp:extent cx="2388870" cy="881755"/>
            <wp:effectExtent l="0" t="0" r="0" b="0"/>
            <wp:docPr id="177313945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139452"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2390986" cy="882536"/>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lastRenderedPageBreak/>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77777777" w:rsidR="00670CFB" w:rsidRPr="00206556" w:rsidRDefault="00670CFB" w:rsidP="00670CFB">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eastAsia="es-CO"/>
              </w:rPr>
              <w:t>Gloria Elizabeth Arango Builes</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eastAsia="es-ES"/>
              </w:rPr>
              <w:t xml:space="preserve">Contratista </w:t>
            </w:r>
            <w:r w:rsidRPr="00206556">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F65E976" w14:textId="4CEF34B1" w:rsidR="00670CFB" w:rsidRPr="00206556" w:rsidRDefault="006B694D"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Lucía Saavedra Castañeda</w:t>
            </w:r>
          </w:p>
          <w:p w14:paraId="53BA1B20" w14:textId="425ECA9A" w:rsidR="00670CFB" w:rsidRPr="00206556" w:rsidRDefault="006B694D" w:rsidP="00670CFB">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 xml:space="preserve">Contratista </w:t>
            </w:r>
            <w:r w:rsidR="00670CFB" w:rsidRPr="00206556">
              <w:rPr>
                <w:rFonts w:ascii="Verdana" w:eastAsia="Times New Roman" w:hAnsi="Verdana" w:cs="Arial"/>
                <w:sz w:val="16"/>
                <w:szCs w:val="16"/>
                <w:lang w:eastAsia="es-ES"/>
              </w:rPr>
              <w:t>de la Subdirección de Gestión Contractual</w:t>
            </w:r>
          </w:p>
          <w:p w14:paraId="4F030FDF" w14:textId="6BB16468"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1"/>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bookmarkEnd w:id="0"/>
    <w:p w14:paraId="179A18B3" w14:textId="5C20A6F1" w:rsidR="00670CFB" w:rsidRPr="00206556" w:rsidRDefault="00670CFB" w:rsidP="00670CFB">
      <w:pPr>
        <w:autoSpaceDE w:val="0"/>
        <w:autoSpaceDN w:val="0"/>
        <w:adjustRightInd w:val="0"/>
        <w:spacing w:after="0" w:line="276" w:lineRule="auto"/>
        <w:jc w:val="center"/>
        <w:rPr>
          <w:rFonts w:ascii="Verdana" w:eastAsia="Calibri" w:hAnsi="Verdana" w:cs="Arial"/>
        </w:rPr>
      </w:pPr>
    </w:p>
    <w:sectPr w:rsidR="00670CFB" w:rsidRPr="002065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EBF2F" w14:textId="77777777" w:rsidR="00AC59F4" w:rsidRDefault="00AC59F4" w:rsidP="004A1847">
      <w:pPr>
        <w:spacing w:after="0" w:line="240" w:lineRule="auto"/>
      </w:pPr>
      <w:r>
        <w:separator/>
      </w:r>
    </w:p>
  </w:endnote>
  <w:endnote w:type="continuationSeparator" w:id="0">
    <w:p w14:paraId="70EEFE9A" w14:textId="77777777" w:rsidR="00AC59F4" w:rsidRDefault="00AC59F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EA24A" w14:textId="77777777" w:rsidR="00AC59F4" w:rsidRDefault="00AC59F4" w:rsidP="004A1847">
      <w:pPr>
        <w:spacing w:after="0" w:line="240" w:lineRule="auto"/>
      </w:pPr>
      <w:r>
        <w:separator/>
      </w:r>
    </w:p>
  </w:footnote>
  <w:footnote w:type="continuationSeparator" w:id="0">
    <w:p w14:paraId="6F2EE7A6" w14:textId="77777777" w:rsidR="00AC59F4" w:rsidRDefault="00AC59F4" w:rsidP="004A1847">
      <w:pPr>
        <w:spacing w:after="0" w:line="240" w:lineRule="auto"/>
      </w:pPr>
      <w:r>
        <w:continuationSeparator/>
      </w:r>
    </w:p>
  </w:footnote>
  <w:footnote w:id="1">
    <w:p w14:paraId="1714CFA3"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146E5890" w14:textId="77777777" w:rsidR="005510BC" w:rsidRPr="00206556" w:rsidRDefault="005510BC" w:rsidP="005510BC">
      <w:pPr>
        <w:spacing w:after="80" w:line="240" w:lineRule="auto"/>
        <w:ind w:firstLine="708"/>
        <w:jc w:val="both"/>
        <w:rPr>
          <w:rFonts w:ascii="Verdana" w:hAnsi="Verdana"/>
          <w:sz w:val="16"/>
          <w:szCs w:val="16"/>
        </w:rPr>
      </w:pPr>
    </w:p>
  </w:footnote>
  <w:footnote w:id="2">
    <w:p w14:paraId="68485690"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3A2DD2BE" w14:textId="77777777" w:rsidR="005510BC" w:rsidRPr="00206556" w:rsidRDefault="005510BC" w:rsidP="005510BC">
      <w:pPr>
        <w:pStyle w:val="Textonotapie"/>
        <w:ind w:firstLine="708"/>
        <w:jc w:val="both"/>
        <w:rPr>
          <w:rFonts w:ascii="Verdana" w:hAnsi="Verdana"/>
          <w:sz w:val="16"/>
          <w:szCs w:val="16"/>
          <w:lang w:val="es-ES"/>
        </w:rPr>
      </w:pPr>
    </w:p>
  </w:footnote>
  <w:footnote w:id="3">
    <w:p w14:paraId="0AFA833E"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7898830" w14:textId="77777777" w:rsidR="005510BC" w:rsidRPr="00206556" w:rsidRDefault="005510BC" w:rsidP="005510BC">
      <w:pPr>
        <w:spacing w:after="80" w:line="240" w:lineRule="auto"/>
        <w:ind w:firstLine="708"/>
        <w:jc w:val="both"/>
        <w:rPr>
          <w:rFonts w:ascii="Verdana" w:hAnsi="Verdana"/>
          <w:sz w:val="16"/>
          <w:szCs w:val="16"/>
        </w:rPr>
      </w:pPr>
    </w:p>
  </w:footnote>
  <w:footnote w:id="4">
    <w:p w14:paraId="023A68CA"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15D2CE93" w14:textId="77777777" w:rsidR="005510BC" w:rsidRPr="00206556" w:rsidRDefault="005510BC" w:rsidP="005510BC">
      <w:pPr>
        <w:pStyle w:val="Textonotapie"/>
        <w:ind w:firstLine="708"/>
        <w:jc w:val="both"/>
        <w:rPr>
          <w:rFonts w:ascii="Verdana" w:hAnsi="Verdana"/>
          <w:sz w:val="16"/>
          <w:szCs w:val="16"/>
          <w:lang w:val="es-ES"/>
        </w:rPr>
      </w:pPr>
    </w:p>
  </w:footnote>
  <w:footnote w:id="5">
    <w:p w14:paraId="534B91EE" w14:textId="77777777" w:rsidR="005510BC" w:rsidRPr="00206556" w:rsidRDefault="005510BC" w:rsidP="005510BC">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152A2E9B" w14:textId="77777777" w:rsidR="005510BC" w:rsidRPr="00206556" w:rsidRDefault="005510BC" w:rsidP="005510BC">
      <w:pPr>
        <w:pStyle w:val="Textonotapie"/>
        <w:ind w:firstLine="708"/>
        <w:jc w:val="both"/>
        <w:rPr>
          <w:rFonts w:ascii="Verdana" w:hAnsi="Verdana"/>
          <w:sz w:val="16"/>
          <w:szCs w:val="16"/>
          <w:lang w:val="es-ES"/>
        </w:rPr>
      </w:pPr>
    </w:p>
  </w:footnote>
  <w:footnote w:id="6">
    <w:p w14:paraId="0E4AAD4E"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61E73744" w14:textId="77777777" w:rsidR="005510BC" w:rsidRPr="00206556" w:rsidRDefault="005510BC" w:rsidP="005510BC">
      <w:pPr>
        <w:pStyle w:val="Textonotapie"/>
        <w:ind w:firstLine="708"/>
        <w:rPr>
          <w:rFonts w:ascii="Verdana" w:hAnsi="Verdana"/>
          <w:sz w:val="16"/>
          <w:szCs w:val="16"/>
          <w:lang w:val="es-ES"/>
        </w:rPr>
      </w:pPr>
    </w:p>
  </w:footnote>
  <w:footnote w:id="7">
    <w:p w14:paraId="7E4012CD"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B1E4046" w14:textId="77777777" w:rsidR="005510BC" w:rsidRPr="00206556" w:rsidRDefault="005510BC" w:rsidP="005510BC">
      <w:pPr>
        <w:pStyle w:val="Textonotapie"/>
        <w:ind w:firstLine="708"/>
        <w:rPr>
          <w:rFonts w:ascii="Verdana" w:hAnsi="Verdana"/>
          <w:sz w:val="16"/>
          <w:szCs w:val="16"/>
          <w:lang w:val="es-ES"/>
        </w:rPr>
      </w:pPr>
    </w:p>
  </w:footnote>
  <w:footnote w:id="8">
    <w:p w14:paraId="5294BCBB" w14:textId="77777777" w:rsidR="005510BC" w:rsidRPr="00206556" w:rsidRDefault="005510BC" w:rsidP="005510BC">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9">
    <w:p w14:paraId="2F194327"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Agencia Nacional de Contratación Pública – Colombia Compra Eficiente. (2022, diciembre 14). Concepto C-864 de 2022. Bogotá: ANCP-CCE. Disponible en:  https://relatoria.colombiacompra.gov.co/conceptos/c-864-de-2022/</w:t>
      </w:r>
    </w:p>
  </w:footnote>
  <w:footnote w:id="10">
    <w:p w14:paraId="7731F440"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Consejo de Estado de Colombia. Sala de Consulta y Servicio Civil. (2013, julio 24). Concepto radicación n.° 2166. Consejero Ponente: Álvaro Namén Vargas. Bogotá: Consejo de Estado.</w:t>
      </w:r>
    </w:p>
    <w:p w14:paraId="52742739" w14:textId="77777777" w:rsidR="005510BC" w:rsidRPr="00206556" w:rsidRDefault="005510BC" w:rsidP="005510BC">
      <w:pPr>
        <w:pStyle w:val="Textonotapie"/>
        <w:ind w:firstLine="708"/>
        <w:rPr>
          <w:rFonts w:ascii="Verdana" w:hAnsi="Verdana"/>
          <w:sz w:val="16"/>
          <w:szCs w:val="16"/>
          <w:lang w:val="es-ES"/>
        </w:rPr>
      </w:pPr>
    </w:p>
  </w:footnote>
  <w:footnote w:id="11">
    <w:p w14:paraId="4D1185CE" w14:textId="77777777" w:rsidR="005510BC" w:rsidRPr="003F21FF" w:rsidRDefault="005510BC" w:rsidP="005510BC">
      <w:pPr>
        <w:pStyle w:val="Textonotapie"/>
        <w:ind w:firstLine="708"/>
        <w:rPr>
          <w:lang w:val="es-ES"/>
        </w:rPr>
      </w:pPr>
      <w:r w:rsidRPr="00206556">
        <w:rPr>
          <w:rStyle w:val="Refdenotaalpie"/>
          <w:rFonts w:ascii="Verdana" w:hAnsi="Verdana"/>
          <w:sz w:val="16"/>
          <w:szCs w:val="16"/>
        </w:rPr>
        <w:footnoteRef/>
      </w:r>
      <w:r w:rsidRPr="00206556">
        <w:rPr>
          <w:rFonts w:ascii="Verdana" w:hAnsi="Verdana"/>
          <w:sz w:val="16"/>
          <w:szCs w:val="16"/>
        </w:rPr>
        <w:t xml:space="preserve"> Corte Constitucional de Colombia. (2017). Sentencia SU-049 de 2017. Magistrada Ponente: María Victoria Calle Correa. Bogotá: Corte Constitucional</w:t>
      </w:r>
      <w:r w:rsidRPr="003F21FF">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EDC0769"/>
    <w:multiLevelType w:val="multilevel"/>
    <w:tmpl w:val="05328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0"/>
  </w:num>
  <w:num w:numId="13" w16cid:durableId="1512908409">
    <w:abstractNumId w:val="4"/>
  </w:num>
  <w:num w:numId="14" w16cid:durableId="895897244">
    <w:abstractNumId w:val="15"/>
  </w:num>
  <w:num w:numId="15" w16cid:durableId="390349800">
    <w:abstractNumId w:val="11"/>
  </w:num>
  <w:num w:numId="16" w16cid:durableId="153255849">
    <w:abstractNumId w:val="10"/>
  </w:num>
  <w:num w:numId="17" w16cid:durableId="1245649885">
    <w:abstractNumId w:val="1"/>
  </w:num>
  <w:num w:numId="18" w16cid:durableId="15107562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70"/>
    <w:rsid w:val="00016C94"/>
    <w:rsid w:val="00016F78"/>
    <w:rsid w:val="0002168A"/>
    <w:rsid w:val="00021872"/>
    <w:rsid w:val="00022CC8"/>
    <w:rsid w:val="00042A91"/>
    <w:rsid w:val="00046945"/>
    <w:rsid w:val="00046C5F"/>
    <w:rsid w:val="00053563"/>
    <w:rsid w:val="000542B4"/>
    <w:rsid w:val="00055B9D"/>
    <w:rsid w:val="00060428"/>
    <w:rsid w:val="00061B2A"/>
    <w:rsid w:val="0006693F"/>
    <w:rsid w:val="00070BF4"/>
    <w:rsid w:val="00073658"/>
    <w:rsid w:val="00080209"/>
    <w:rsid w:val="00082362"/>
    <w:rsid w:val="000834DD"/>
    <w:rsid w:val="000916EA"/>
    <w:rsid w:val="00092965"/>
    <w:rsid w:val="00094252"/>
    <w:rsid w:val="000A5E13"/>
    <w:rsid w:val="000A683E"/>
    <w:rsid w:val="000A72A9"/>
    <w:rsid w:val="000A7D46"/>
    <w:rsid w:val="000B19B9"/>
    <w:rsid w:val="000B4D47"/>
    <w:rsid w:val="000B6F89"/>
    <w:rsid w:val="000C0C33"/>
    <w:rsid w:val="000C7411"/>
    <w:rsid w:val="000D0334"/>
    <w:rsid w:val="000D2F32"/>
    <w:rsid w:val="000D4B26"/>
    <w:rsid w:val="000D5C2D"/>
    <w:rsid w:val="000D5DA7"/>
    <w:rsid w:val="000E7C7B"/>
    <w:rsid w:val="000F1443"/>
    <w:rsid w:val="000F3D1E"/>
    <w:rsid w:val="000F6486"/>
    <w:rsid w:val="00103BFE"/>
    <w:rsid w:val="00105B83"/>
    <w:rsid w:val="001068E1"/>
    <w:rsid w:val="00112DCB"/>
    <w:rsid w:val="00115970"/>
    <w:rsid w:val="00116940"/>
    <w:rsid w:val="00117A5A"/>
    <w:rsid w:val="001228DC"/>
    <w:rsid w:val="00124C21"/>
    <w:rsid w:val="00125105"/>
    <w:rsid w:val="0012666F"/>
    <w:rsid w:val="00127233"/>
    <w:rsid w:val="00127F4E"/>
    <w:rsid w:val="00134886"/>
    <w:rsid w:val="001406B4"/>
    <w:rsid w:val="00142035"/>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B064E"/>
    <w:rsid w:val="001B0A1E"/>
    <w:rsid w:val="001B3AEB"/>
    <w:rsid w:val="001B6C7C"/>
    <w:rsid w:val="001C2502"/>
    <w:rsid w:val="001C73B4"/>
    <w:rsid w:val="001E4177"/>
    <w:rsid w:val="001F0B24"/>
    <w:rsid w:val="001F46EB"/>
    <w:rsid w:val="001F7294"/>
    <w:rsid w:val="001F7DC6"/>
    <w:rsid w:val="00203EC3"/>
    <w:rsid w:val="00206556"/>
    <w:rsid w:val="00206F7B"/>
    <w:rsid w:val="0022400B"/>
    <w:rsid w:val="00224979"/>
    <w:rsid w:val="00233946"/>
    <w:rsid w:val="002418DF"/>
    <w:rsid w:val="002421BB"/>
    <w:rsid w:val="0024618D"/>
    <w:rsid w:val="002506B7"/>
    <w:rsid w:val="00251EEA"/>
    <w:rsid w:val="0025796E"/>
    <w:rsid w:val="00261EC2"/>
    <w:rsid w:val="002630D9"/>
    <w:rsid w:val="002667E1"/>
    <w:rsid w:val="002676A6"/>
    <w:rsid w:val="002707A2"/>
    <w:rsid w:val="00277337"/>
    <w:rsid w:val="002809EE"/>
    <w:rsid w:val="002951A0"/>
    <w:rsid w:val="002962BC"/>
    <w:rsid w:val="002A00A1"/>
    <w:rsid w:val="002A093D"/>
    <w:rsid w:val="002A0DD0"/>
    <w:rsid w:val="002A49AC"/>
    <w:rsid w:val="002A64FD"/>
    <w:rsid w:val="002B0A25"/>
    <w:rsid w:val="002B3B70"/>
    <w:rsid w:val="002C7A84"/>
    <w:rsid w:val="002D3D4B"/>
    <w:rsid w:val="002D57DC"/>
    <w:rsid w:val="002E043C"/>
    <w:rsid w:val="002E1E54"/>
    <w:rsid w:val="002E2BF8"/>
    <w:rsid w:val="002E2C06"/>
    <w:rsid w:val="002E410E"/>
    <w:rsid w:val="002E46C5"/>
    <w:rsid w:val="002E4FD9"/>
    <w:rsid w:val="002F04E0"/>
    <w:rsid w:val="002F3F1B"/>
    <w:rsid w:val="002F6EDD"/>
    <w:rsid w:val="00302E7B"/>
    <w:rsid w:val="0030657A"/>
    <w:rsid w:val="003116AA"/>
    <w:rsid w:val="00316B4B"/>
    <w:rsid w:val="0031712D"/>
    <w:rsid w:val="0032249D"/>
    <w:rsid w:val="00322A85"/>
    <w:rsid w:val="00322AC7"/>
    <w:rsid w:val="00324168"/>
    <w:rsid w:val="00327386"/>
    <w:rsid w:val="00330834"/>
    <w:rsid w:val="003348C1"/>
    <w:rsid w:val="00336915"/>
    <w:rsid w:val="00337110"/>
    <w:rsid w:val="003404B1"/>
    <w:rsid w:val="00341D29"/>
    <w:rsid w:val="003448F4"/>
    <w:rsid w:val="00346FE0"/>
    <w:rsid w:val="00351706"/>
    <w:rsid w:val="0035753C"/>
    <w:rsid w:val="00357847"/>
    <w:rsid w:val="00363F8D"/>
    <w:rsid w:val="00366AAB"/>
    <w:rsid w:val="00373B36"/>
    <w:rsid w:val="00374F5E"/>
    <w:rsid w:val="00377CDF"/>
    <w:rsid w:val="00377E3E"/>
    <w:rsid w:val="00395FD0"/>
    <w:rsid w:val="003974B1"/>
    <w:rsid w:val="003A613F"/>
    <w:rsid w:val="003A779E"/>
    <w:rsid w:val="003B1810"/>
    <w:rsid w:val="003B4D9D"/>
    <w:rsid w:val="003C3B8B"/>
    <w:rsid w:val="003C64A5"/>
    <w:rsid w:val="003D0F4D"/>
    <w:rsid w:val="003D15AD"/>
    <w:rsid w:val="003D37EE"/>
    <w:rsid w:val="003D3EB2"/>
    <w:rsid w:val="003D45B0"/>
    <w:rsid w:val="003D5B0D"/>
    <w:rsid w:val="003E0499"/>
    <w:rsid w:val="003E4F80"/>
    <w:rsid w:val="003E6439"/>
    <w:rsid w:val="003E67A6"/>
    <w:rsid w:val="003E68FC"/>
    <w:rsid w:val="003F0D9A"/>
    <w:rsid w:val="003F0E92"/>
    <w:rsid w:val="003F21FF"/>
    <w:rsid w:val="003F3941"/>
    <w:rsid w:val="00406575"/>
    <w:rsid w:val="00414C74"/>
    <w:rsid w:val="00424469"/>
    <w:rsid w:val="0042722E"/>
    <w:rsid w:val="004317A8"/>
    <w:rsid w:val="0043275B"/>
    <w:rsid w:val="0043526E"/>
    <w:rsid w:val="0044528D"/>
    <w:rsid w:val="00445E6C"/>
    <w:rsid w:val="00451BB4"/>
    <w:rsid w:val="00451BBD"/>
    <w:rsid w:val="00454707"/>
    <w:rsid w:val="004566CD"/>
    <w:rsid w:val="004654BF"/>
    <w:rsid w:val="00466E39"/>
    <w:rsid w:val="0047233C"/>
    <w:rsid w:val="00486F02"/>
    <w:rsid w:val="00491868"/>
    <w:rsid w:val="00492EFE"/>
    <w:rsid w:val="004A1847"/>
    <w:rsid w:val="004A305D"/>
    <w:rsid w:val="004B1246"/>
    <w:rsid w:val="004B2ACC"/>
    <w:rsid w:val="004B305D"/>
    <w:rsid w:val="004B4114"/>
    <w:rsid w:val="004C046B"/>
    <w:rsid w:val="004D6D8D"/>
    <w:rsid w:val="004D7F56"/>
    <w:rsid w:val="004E19DC"/>
    <w:rsid w:val="004E7B1E"/>
    <w:rsid w:val="004F21C4"/>
    <w:rsid w:val="004F244F"/>
    <w:rsid w:val="004F2BF5"/>
    <w:rsid w:val="004F5ED9"/>
    <w:rsid w:val="004F685F"/>
    <w:rsid w:val="00502309"/>
    <w:rsid w:val="00516F85"/>
    <w:rsid w:val="005179DF"/>
    <w:rsid w:val="005259F2"/>
    <w:rsid w:val="0053070B"/>
    <w:rsid w:val="00534597"/>
    <w:rsid w:val="00536F7E"/>
    <w:rsid w:val="005510BC"/>
    <w:rsid w:val="005541CB"/>
    <w:rsid w:val="005562C3"/>
    <w:rsid w:val="005566E8"/>
    <w:rsid w:val="00556BFA"/>
    <w:rsid w:val="005608AE"/>
    <w:rsid w:val="00574867"/>
    <w:rsid w:val="00577188"/>
    <w:rsid w:val="00580FC8"/>
    <w:rsid w:val="00591460"/>
    <w:rsid w:val="00594718"/>
    <w:rsid w:val="005A65E0"/>
    <w:rsid w:val="005A7A1B"/>
    <w:rsid w:val="005C13BA"/>
    <w:rsid w:val="005C3777"/>
    <w:rsid w:val="005C56B5"/>
    <w:rsid w:val="005C5CDC"/>
    <w:rsid w:val="005C6779"/>
    <w:rsid w:val="005D3CF1"/>
    <w:rsid w:val="005D476C"/>
    <w:rsid w:val="005E2AFD"/>
    <w:rsid w:val="005E492A"/>
    <w:rsid w:val="005E76F5"/>
    <w:rsid w:val="005E7FBC"/>
    <w:rsid w:val="00603D11"/>
    <w:rsid w:val="00607E13"/>
    <w:rsid w:val="00620032"/>
    <w:rsid w:val="006200BF"/>
    <w:rsid w:val="00620BC7"/>
    <w:rsid w:val="00620E38"/>
    <w:rsid w:val="006219F8"/>
    <w:rsid w:val="00622F1C"/>
    <w:rsid w:val="00624038"/>
    <w:rsid w:val="006302F7"/>
    <w:rsid w:val="00630A93"/>
    <w:rsid w:val="00631EDC"/>
    <w:rsid w:val="00635683"/>
    <w:rsid w:val="006378E7"/>
    <w:rsid w:val="0064564D"/>
    <w:rsid w:val="00645740"/>
    <w:rsid w:val="00646B9F"/>
    <w:rsid w:val="006521AC"/>
    <w:rsid w:val="006552C5"/>
    <w:rsid w:val="00665D70"/>
    <w:rsid w:val="00670CFB"/>
    <w:rsid w:val="00671A77"/>
    <w:rsid w:val="006900D9"/>
    <w:rsid w:val="00690862"/>
    <w:rsid w:val="006A64D0"/>
    <w:rsid w:val="006A66C8"/>
    <w:rsid w:val="006A7374"/>
    <w:rsid w:val="006B694D"/>
    <w:rsid w:val="006C00A6"/>
    <w:rsid w:val="006C3CE7"/>
    <w:rsid w:val="006C4B2C"/>
    <w:rsid w:val="006C5EB1"/>
    <w:rsid w:val="006C678A"/>
    <w:rsid w:val="006D595B"/>
    <w:rsid w:val="006D6B3F"/>
    <w:rsid w:val="006E4EC5"/>
    <w:rsid w:val="006E6F85"/>
    <w:rsid w:val="006E7113"/>
    <w:rsid w:val="007009C8"/>
    <w:rsid w:val="0070142E"/>
    <w:rsid w:val="0070233A"/>
    <w:rsid w:val="00703453"/>
    <w:rsid w:val="00706C16"/>
    <w:rsid w:val="00713052"/>
    <w:rsid w:val="00715ED7"/>
    <w:rsid w:val="00723433"/>
    <w:rsid w:val="00731DFB"/>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833AC"/>
    <w:rsid w:val="0078375B"/>
    <w:rsid w:val="00792D67"/>
    <w:rsid w:val="00796E68"/>
    <w:rsid w:val="007A1BCB"/>
    <w:rsid w:val="007A2CE0"/>
    <w:rsid w:val="007B01BA"/>
    <w:rsid w:val="007B268C"/>
    <w:rsid w:val="007B3C5F"/>
    <w:rsid w:val="007B5AD4"/>
    <w:rsid w:val="007B7171"/>
    <w:rsid w:val="007C0C0F"/>
    <w:rsid w:val="007C3DC2"/>
    <w:rsid w:val="007C435B"/>
    <w:rsid w:val="007C6F9B"/>
    <w:rsid w:val="007D3227"/>
    <w:rsid w:val="007D3DBF"/>
    <w:rsid w:val="007D4373"/>
    <w:rsid w:val="007D4B07"/>
    <w:rsid w:val="007E5497"/>
    <w:rsid w:val="007F778E"/>
    <w:rsid w:val="00800B39"/>
    <w:rsid w:val="00806318"/>
    <w:rsid w:val="00806F5F"/>
    <w:rsid w:val="00812D27"/>
    <w:rsid w:val="00816452"/>
    <w:rsid w:val="00816FE1"/>
    <w:rsid w:val="00820278"/>
    <w:rsid w:val="008258C9"/>
    <w:rsid w:val="00831262"/>
    <w:rsid w:val="00835946"/>
    <w:rsid w:val="008403BF"/>
    <w:rsid w:val="00843BB2"/>
    <w:rsid w:val="0084403B"/>
    <w:rsid w:val="00844AE9"/>
    <w:rsid w:val="0084550E"/>
    <w:rsid w:val="00850360"/>
    <w:rsid w:val="00852A3D"/>
    <w:rsid w:val="00864642"/>
    <w:rsid w:val="00867F95"/>
    <w:rsid w:val="00870496"/>
    <w:rsid w:val="008843B6"/>
    <w:rsid w:val="00885772"/>
    <w:rsid w:val="00886133"/>
    <w:rsid w:val="00887E82"/>
    <w:rsid w:val="0089143B"/>
    <w:rsid w:val="008917C7"/>
    <w:rsid w:val="00891928"/>
    <w:rsid w:val="008A3A49"/>
    <w:rsid w:val="008A446D"/>
    <w:rsid w:val="008A5E24"/>
    <w:rsid w:val="008B25F1"/>
    <w:rsid w:val="008C1642"/>
    <w:rsid w:val="008C727F"/>
    <w:rsid w:val="008D10BF"/>
    <w:rsid w:val="008D180B"/>
    <w:rsid w:val="008D55CB"/>
    <w:rsid w:val="008D5774"/>
    <w:rsid w:val="008E1F8B"/>
    <w:rsid w:val="008E3F41"/>
    <w:rsid w:val="008E4A2D"/>
    <w:rsid w:val="008F0EA7"/>
    <w:rsid w:val="008F1293"/>
    <w:rsid w:val="00900AB5"/>
    <w:rsid w:val="00900DB0"/>
    <w:rsid w:val="009032C3"/>
    <w:rsid w:val="0090530F"/>
    <w:rsid w:val="0091370F"/>
    <w:rsid w:val="00917748"/>
    <w:rsid w:val="00920D56"/>
    <w:rsid w:val="00923EEF"/>
    <w:rsid w:val="009252BB"/>
    <w:rsid w:val="00925CA2"/>
    <w:rsid w:val="009363F6"/>
    <w:rsid w:val="009419F9"/>
    <w:rsid w:val="009502B2"/>
    <w:rsid w:val="0095685E"/>
    <w:rsid w:val="00960D60"/>
    <w:rsid w:val="00961B09"/>
    <w:rsid w:val="00965055"/>
    <w:rsid w:val="00965334"/>
    <w:rsid w:val="0097093E"/>
    <w:rsid w:val="00973F3B"/>
    <w:rsid w:val="00975224"/>
    <w:rsid w:val="0098182E"/>
    <w:rsid w:val="00982ACA"/>
    <w:rsid w:val="009948E7"/>
    <w:rsid w:val="00995967"/>
    <w:rsid w:val="00996F0C"/>
    <w:rsid w:val="009A0DFA"/>
    <w:rsid w:val="009A1A4B"/>
    <w:rsid w:val="009A1C6F"/>
    <w:rsid w:val="009A5ED3"/>
    <w:rsid w:val="009B0CF4"/>
    <w:rsid w:val="009B2D26"/>
    <w:rsid w:val="009B3626"/>
    <w:rsid w:val="009B7C82"/>
    <w:rsid w:val="009C44A9"/>
    <w:rsid w:val="009C4CA5"/>
    <w:rsid w:val="009C71FA"/>
    <w:rsid w:val="009C72E7"/>
    <w:rsid w:val="009C7F7E"/>
    <w:rsid w:val="009D1B97"/>
    <w:rsid w:val="009D3058"/>
    <w:rsid w:val="009D377E"/>
    <w:rsid w:val="009D40B6"/>
    <w:rsid w:val="009E1A2D"/>
    <w:rsid w:val="009E451E"/>
    <w:rsid w:val="009E593E"/>
    <w:rsid w:val="009E5E98"/>
    <w:rsid w:val="009E6BF4"/>
    <w:rsid w:val="009F05FF"/>
    <w:rsid w:val="009F3A13"/>
    <w:rsid w:val="00A012BA"/>
    <w:rsid w:val="00A0302B"/>
    <w:rsid w:val="00A122D3"/>
    <w:rsid w:val="00A14468"/>
    <w:rsid w:val="00A150CF"/>
    <w:rsid w:val="00A17F13"/>
    <w:rsid w:val="00A20739"/>
    <w:rsid w:val="00A21CA3"/>
    <w:rsid w:val="00A23AF9"/>
    <w:rsid w:val="00A300AA"/>
    <w:rsid w:val="00A31841"/>
    <w:rsid w:val="00A32143"/>
    <w:rsid w:val="00A33C78"/>
    <w:rsid w:val="00A420A9"/>
    <w:rsid w:val="00A42C60"/>
    <w:rsid w:val="00A500F1"/>
    <w:rsid w:val="00A51816"/>
    <w:rsid w:val="00A52C8E"/>
    <w:rsid w:val="00A54668"/>
    <w:rsid w:val="00A57140"/>
    <w:rsid w:val="00A709D2"/>
    <w:rsid w:val="00A754B1"/>
    <w:rsid w:val="00A8025C"/>
    <w:rsid w:val="00A87C26"/>
    <w:rsid w:val="00A925AD"/>
    <w:rsid w:val="00A93CF0"/>
    <w:rsid w:val="00A97194"/>
    <w:rsid w:val="00AA0274"/>
    <w:rsid w:val="00AA080B"/>
    <w:rsid w:val="00AB0ADB"/>
    <w:rsid w:val="00AB30D4"/>
    <w:rsid w:val="00AC466D"/>
    <w:rsid w:val="00AC59F4"/>
    <w:rsid w:val="00AD6F80"/>
    <w:rsid w:val="00AF1D25"/>
    <w:rsid w:val="00AF5B25"/>
    <w:rsid w:val="00AF7544"/>
    <w:rsid w:val="00B00C0E"/>
    <w:rsid w:val="00B01B1A"/>
    <w:rsid w:val="00B02418"/>
    <w:rsid w:val="00B024CD"/>
    <w:rsid w:val="00B0381D"/>
    <w:rsid w:val="00B0404B"/>
    <w:rsid w:val="00B04D3B"/>
    <w:rsid w:val="00B162DD"/>
    <w:rsid w:val="00B16B28"/>
    <w:rsid w:val="00B22BE8"/>
    <w:rsid w:val="00B443A2"/>
    <w:rsid w:val="00B44A47"/>
    <w:rsid w:val="00B4752F"/>
    <w:rsid w:val="00B53C1C"/>
    <w:rsid w:val="00B5706D"/>
    <w:rsid w:val="00B6113F"/>
    <w:rsid w:val="00B72CD3"/>
    <w:rsid w:val="00B72FFF"/>
    <w:rsid w:val="00B75E25"/>
    <w:rsid w:val="00B902B6"/>
    <w:rsid w:val="00B9043C"/>
    <w:rsid w:val="00B94F8F"/>
    <w:rsid w:val="00BA1EA8"/>
    <w:rsid w:val="00BA3D9C"/>
    <w:rsid w:val="00BB1DB6"/>
    <w:rsid w:val="00BC1B89"/>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330EB"/>
    <w:rsid w:val="00C34A82"/>
    <w:rsid w:val="00C37B44"/>
    <w:rsid w:val="00C44188"/>
    <w:rsid w:val="00C47291"/>
    <w:rsid w:val="00C50D69"/>
    <w:rsid w:val="00C5146A"/>
    <w:rsid w:val="00C5365C"/>
    <w:rsid w:val="00C53B15"/>
    <w:rsid w:val="00C622DE"/>
    <w:rsid w:val="00C62EF1"/>
    <w:rsid w:val="00C63846"/>
    <w:rsid w:val="00C654FA"/>
    <w:rsid w:val="00C71DE4"/>
    <w:rsid w:val="00C754BE"/>
    <w:rsid w:val="00C75BA3"/>
    <w:rsid w:val="00C76B1C"/>
    <w:rsid w:val="00C76B5F"/>
    <w:rsid w:val="00C820EF"/>
    <w:rsid w:val="00C824BD"/>
    <w:rsid w:val="00C831EC"/>
    <w:rsid w:val="00C91D70"/>
    <w:rsid w:val="00C925AC"/>
    <w:rsid w:val="00C93DAC"/>
    <w:rsid w:val="00C95F94"/>
    <w:rsid w:val="00CA0621"/>
    <w:rsid w:val="00CA2E8A"/>
    <w:rsid w:val="00CB0A50"/>
    <w:rsid w:val="00CB44F3"/>
    <w:rsid w:val="00CB6357"/>
    <w:rsid w:val="00CC1B26"/>
    <w:rsid w:val="00CC29BA"/>
    <w:rsid w:val="00CE2A60"/>
    <w:rsid w:val="00CF24C0"/>
    <w:rsid w:val="00D027C3"/>
    <w:rsid w:val="00D0376A"/>
    <w:rsid w:val="00D05F46"/>
    <w:rsid w:val="00D078C9"/>
    <w:rsid w:val="00D109FE"/>
    <w:rsid w:val="00D11C80"/>
    <w:rsid w:val="00D22B7C"/>
    <w:rsid w:val="00D24AA6"/>
    <w:rsid w:val="00D27B04"/>
    <w:rsid w:val="00D31DC0"/>
    <w:rsid w:val="00D33696"/>
    <w:rsid w:val="00D35983"/>
    <w:rsid w:val="00D361FD"/>
    <w:rsid w:val="00D37660"/>
    <w:rsid w:val="00D37910"/>
    <w:rsid w:val="00D423A2"/>
    <w:rsid w:val="00D44E26"/>
    <w:rsid w:val="00D520D8"/>
    <w:rsid w:val="00D63AC2"/>
    <w:rsid w:val="00D7383B"/>
    <w:rsid w:val="00D7788A"/>
    <w:rsid w:val="00D851ED"/>
    <w:rsid w:val="00D9033C"/>
    <w:rsid w:val="00D92301"/>
    <w:rsid w:val="00DA1940"/>
    <w:rsid w:val="00DA231B"/>
    <w:rsid w:val="00DA71B3"/>
    <w:rsid w:val="00DC051E"/>
    <w:rsid w:val="00DC39FC"/>
    <w:rsid w:val="00DC7D55"/>
    <w:rsid w:val="00DD24B2"/>
    <w:rsid w:val="00DE6C8E"/>
    <w:rsid w:val="00DF021B"/>
    <w:rsid w:val="00DF1C4B"/>
    <w:rsid w:val="00DF32B2"/>
    <w:rsid w:val="00DF3D9A"/>
    <w:rsid w:val="00DF5254"/>
    <w:rsid w:val="00E00882"/>
    <w:rsid w:val="00E02524"/>
    <w:rsid w:val="00E16408"/>
    <w:rsid w:val="00E20894"/>
    <w:rsid w:val="00E245AB"/>
    <w:rsid w:val="00E25712"/>
    <w:rsid w:val="00E26E9D"/>
    <w:rsid w:val="00E2764C"/>
    <w:rsid w:val="00E27F2E"/>
    <w:rsid w:val="00E36715"/>
    <w:rsid w:val="00E425E8"/>
    <w:rsid w:val="00E50AFE"/>
    <w:rsid w:val="00E53EA1"/>
    <w:rsid w:val="00E53FCC"/>
    <w:rsid w:val="00E54F30"/>
    <w:rsid w:val="00E55CFA"/>
    <w:rsid w:val="00E65677"/>
    <w:rsid w:val="00E727F0"/>
    <w:rsid w:val="00E75C92"/>
    <w:rsid w:val="00E771DC"/>
    <w:rsid w:val="00E84734"/>
    <w:rsid w:val="00E85CA7"/>
    <w:rsid w:val="00E8772A"/>
    <w:rsid w:val="00E90F6B"/>
    <w:rsid w:val="00E910FB"/>
    <w:rsid w:val="00E92C27"/>
    <w:rsid w:val="00E92DD0"/>
    <w:rsid w:val="00EA02F5"/>
    <w:rsid w:val="00EA06E6"/>
    <w:rsid w:val="00EA0E3D"/>
    <w:rsid w:val="00EA16FC"/>
    <w:rsid w:val="00EA31C7"/>
    <w:rsid w:val="00EA44A1"/>
    <w:rsid w:val="00EA5D59"/>
    <w:rsid w:val="00EB7308"/>
    <w:rsid w:val="00EC38A7"/>
    <w:rsid w:val="00EC7C37"/>
    <w:rsid w:val="00EE1AA8"/>
    <w:rsid w:val="00EE7A5D"/>
    <w:rsid w:val="00EF41C4"/>
    <w:rsid w:val="00F14CCF"/>
    <w:rsid w:val="00F23FEA"/>
    <w:rsid w:val="00F31EDC"/>
    <w:rsid w:val="00F32723"/>
    <w:rsid w:val="00F33387"/>
    <w:rsid w:val="00F33CF5"/>
    <w:rsid w:val="00F37985"/>
    <w:rsid w:val="00F41C3E"/>
    <w:rsid w:val="00F462B3"/>
    <w:rsid w:val="00F47458"/>
    <w:rsid w:val="00F5119A"/>
    <w:rsid w:val="00F51D39"/>
    <w:rsid w:val="00F52E27"/>
    <w:rsid w:val="00F5664F"/>
    <w:rsid w:val="00F579DF"/>
    <w:rsid w:val="00F666C4"/>
    <w:rsid w:val="00F76AC9"/>
    <w:rsid w:val="00F76AFC"/>
    <w:rsid w:val="00F805C5"/>
    <w:rsid w:val="00F82724"/>
    <w:rsid w:val="00F955C6"/>
    <w:rsid w:val="00FA47C0"/>
    <w:rsid w:val="00FA5003"/>
    <w:rsid w:val="00FB16EC"/>
    <w:rsid w:val="00FB3899"/>
    <w:rsid w:val="00FB5DD1"/>
    <w:rsid w:val="00FB7920"/>
    <w:rsid w:val="00FC2B5D"/>
    <w:rsid w:val="00FD1ACE"/>
    <w:rsid w:val="00FD4A4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10183662">
      <w:bodyDiv w:val="1"/>
      <w:marLeft w:val="0"/>
      <w:marRight w:val="0"/>
      <w:marTop w:val="0"/>
      <w:marBottom w:val="0"/>
      <w:divBdr>
        <w:top w:val="none" w:sz="0" w:space="0" w:color="auto"/>
        <w:left w:val="none" w:sz="0" w:space="0" w:color="auto"/>
        <w:bottom w:val="none" w:sz="0" w:space="0" w:color="auto"/>
        <w:right w:val="none" w:sz="0" w:space="0" w:color="auto"/>
      </w:divBdr>
      <w:divsChild>
        <w:div w:id="1115979248">
          <w:marLeft w:val="0"/>
          <w:marRight w:val="0"/>
          <w:marTop w:val="0"/>
          <w:marBottom w:val="0"/>
          <w:divBdr>
            <w:top w:val="none" w:sz="0" w:space="0" w:color="auto"/>
            <w:left w:val="none" w:sz="0" w:space="0" w:color="auto"/>
            <w:bottom w:val="none" w:sz="0" w:space="0" w:color="auto"/>
            <w:right w:val="none" w:sz="0" w:space="0" w:color="auto"/>
          </w:divBdr>
          <w:divsChild>
            <w:div w:id="534586462">
              <w:marLeft w:val="0"/>
              <w:marRight w:val="0"/>
              <w:marTop w:val="0"/>
              <w:marBottom w:val="0"/>
              <w:divBdr>
                <w:top w:val="none" w:sz="0" w:space="0" w:color="auto"/>
                <w:left w:val="none" w:sz="0" w:space="0" w:color="auto"/>
                <w:bottom w:val="none" w:sz="0" w:space="0" w:color="auto"/>
                <w:right w:val="none" w:sz="0" w:space="0" w:color="auto"/>
              </w:divBdr>
              <w:divsChild>
                <w:div w:id="1972711121">
                  <w:marLeft w:val="0"/>
                  <w:marRight w:val="0"/>
                  <w:marTop w:val="0"/>
                  <w:marBottom w:val="0"/>
                  <w:divBdr>
                    <w:top w:val="none" w:sz="0" w:space="0" w:color="auto"/>
                    <w:left w:val="none" w:sz="0" w:space="0" w:color="auto"/>
                    <w:bottom w:val="none" w:sz="0" w:space="0" w:color="auto"/>
                    <w:right w:val="none" w:sz="0" w:space="0" w:color="auto"/>
                  </w:divBdr>
                  <w:divsChild>
                    <w:div w:id="783618552">
                      <w:marLeft w:val="0"/>
                      <w:marRight w:val="0"/>
                      <w:marTop w:val="0"/>
                      <w:marBottom w:val="0"/>
                      <w:divBdr>
                        <w:top w:val="none" w:sz="0" w:space="0" w:color="auto"/>
                        <w:left w:val="none" w:sz="0" w:space="0" w:color="auto"/>
                        <w:bottom w:val="none" w:sz="0" w:space="0" w:color="auto"/>
                        <w:right w:val="none" w:sz="0" w:space="0" w:color="auto"/>
                      </w:divBdr>
                      <w:divsChild>
                        <w:div w:id="1644503414">
                          <w:marLeft w:val="0"/>
                          <w:marRight w:val="0"/>
                          <w:marTop w:val="0"/>
                          <w:marBottom w:val="0"/>
                          <w:divBdr>
                            <w:top w:val="none" w:sz="0" w:space="0" w:color="auto"/>
                            <w:left w:val="none" w:sz="0" w:space="0" w:color="auto"/>
                            <w:bottom w:val="none" w:sz="0" w:space="0" w:color="auto"/>
                            <w:right w:val="none" w:sz="0" w:space="0" w:color="auto"/>
                          </w:divBdr>
                          <w:divsChild>
                            <w:div w:id="1623419293">
                              <w:marLeft w:val="0"/>
                              <w:marRight w:val="0"/>
                              <w:marTop w:val="0"/>
                              <w:marBottom w:val="0"/>
                              <w:divBdr>
                                <w:top w:val="none" w:sz="0" w:space="0" w:color="auto"/>
                                <w:left w:val="none" w:sz="0" w:space="0" w:color="auto"/>
                                <w:bottom w:val="none" w:sz="0" w:space="0" w:color="auto"/>
                                <w:right w:val="none" w:sz="0" w:space="0" w:color="auto"/>
                              </w:divBdr>
                              <w:divsChild>
                                <w:div w:id="79764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94692339">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0974869">
      <w:bodyDiv w:val="1"/>
      <w:marLeft w:val="0"/>
      <w:marRight w:val="0"/>
      <w:marTop w:val="0"/>
      <w:marBottom w:val="0"/>
      <w:divBdr>
        <w:top w:val="none" w:sz="0" w:space="0" w:color="auto"/>
        <w:left w:val="none" w:sz="0" w:space="0" w:color="auto"/>
        <w:bottom w:val="none" w:sz="0" w:space="0" w:color="auto"/>
        <w:right w:val="none" w:sz="0" w:space="0" w:color="auto"/>
      </w:divBdr>
      <w:divsChild>
        <w:div w:id="1404647611">
          <w:marLeft w:val="0"/>
          <w:marRight w:val="0"/>
          <w:marTop w:val="240"/>
          <w:marBottom w:val="0"/>
          <w:divBdr>
            <w:top w:val="none" w:sz="0" w:space="0" w:color="auto"/>
            <w:left w:val="none" w:sz="0" w:space="0" w:color="auto"/>
            <w:bottom w:val="none" w:sz="0" w:space="0" w:color="auto"/>
            <w:right w:val="none" w:sz="0" w:space="0" w:color="auto"/>
          </w:divBdr>
        </w:div>
        <w:div w:id="70470492">
          <w:marLeft w:val="0"/>
          <w:marRight w:val="0"/>
          <w:marTop w:val="240"/>
          <w:marBottom w:val="0"/>
          <w:divBdr>
            <w:top w:val="none" w:sz="0" w:space="0" w:color="auto"/>
            <w:left w:val="none" w:sz="0" w:space="0" w:color="auto"/>
            <w:bottom w:val="none" w:sz="0" w:space="0" w:color="auto"/>
            <w:right w:val="none" w:sz="0" w:space="0" w:color="auto"/>
          </w:divBdr>
        </w:div>
      </w:divsChild>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08221846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37331548">
      <w:bodyDiv w:val="1"/>
      <w:marLeft w:val="0"/>
      <w:marRight w:val="0"/>
      <w:marTop w:val="0"/>
      <w:marBottom w:val="0"/>
      <w:divBdr>
        <w:top w:val="none" w:sz="0" w:space="0" w:color="auto"/>
        <w:left w:val="none" w:sz="0" w:space="0" w:color="auto"/>
        <w:bottom w:val="none" w:sz="0" w:space="0" w:color="auto"/>
        <w:right w:val="none" w:sz="0" w:space="0" w:color="auto"/>
      </w:divBdr>
      <w:divsChild>
        <w:div w:id="37899448">
          <w:marLeft w:val="0"/>
          <w:marRight w:val="0"/>
          <w:marTop w:val="240"/>
          <w:marBottom w:val="0"/>
          <w:divBdr>
            <w:top w:val="none" w:sz="0" w:space="0" w:color="auto"/>
            <w:left w:val="none" w:sz="0" w:space="0" w:color="auto"/>
            <w:bottom w:val="none" w:sz="0" w:space="0" w:color="auto"/>
            <w:right w:val="none" w:sz="0" w:space="0" w:color="auto"/>
          </w:divBdr>
        </w:div>
        <w:div w:id="1618021105">
          <w:marLeft w:val="0"/>
          <w:marRight w:val="0"/>
          <w:marTop w:val="240"/>
          <w:marBottom w:val="0"/>
          <w:divBdr>
            <w:top w:val="none" w:sz="0" w:space="0" w:color="auto"/>
            <w:left w:val="none" w:sz="0" w:space="0" w:color="auto"/>
            <w:bottom w:val="none" w:sz="0" w:space="0" w:color="auto"/>
            <w:right w:val="none" w:sz="0" w:space="0" w:color="auto"/>
          </w:divBdr>
        </w:div>
      </w:divsChild>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1876044635">
      <w:bodyDiv w:val="1"/>
      <w:marLeft w:val="0"/>
      <w:marRight w:val="0"/>
      <w:marTop w:val="0"/>
      <w:marBottom w:val="0"/>
      <w:divBdr>
        <w:top w:val="none" w:sz="0" w:space="0" w:color="auto"/>
        <w:left w:val="none" w:sz="0" w:space="0" w:color="auto"/>
        <w:bottom w:val="none" w:sz="0" w:space="0" w:color="auto"/>
        <w:right w:val="none" w:sz="0" w:space="0" w:color="auto"/>
      </w:divBdr>
      <w:divsChild>
        <w:div w:id="1581402430">
          <w:marLeft w:val="0"/>
          <w:marRight w:val="0"/>
          <w:marTop w:val="0"/>
          <w:marBottom w:val="0"/>
          <w:divBdr>
            <w:top w:val="none" w:sz="0" w:space="0" w:color="auto"/>
            <w:left w:val="none" w:sz="0" w:space="0" w:color="auto"/>
            <w:bottom w:val="none" w:sz="0" w:space="0" w:color="auto"/>
            <w:right w:val="none" w:sz="0" w:space="0" w:color="auto"/>
          </w:divBdr>
          <w:divsChild>
            <w:div w:id="1221668342">
              <w:marLeft w:val="0"/>
              <w:marRight w:val="0"/>
              <w:marTop w:val="0"/>
              <w:marBottom w:val="0"/>
              <w:divBdr>
                <w:top w:val="none" w:sz="0" w:space="0" w:color="auto"/>
                <w:left w:val="none" w:sz="0" w:space="0" w:color="auto"/>
                <w:bottom w:val="none" w:sz="0" w:space="0" w:color="auto"/>
                <w:right w:val="none" w:sz="0" w:space="0" w:color="auto"/>
              </w:divBdr>
              <w:divsChild>
                <w:div w:id="1930846667">
                  <w:marLeft w:val="0"/>
                  <w:marRight w:val="0"/>
                  <w:marTop w:val="0"/>
                  <w:marBottom w:val="0"/>
                  <w:divBdr>
                    <w:top w:val="none" w:sz="0" w:space="0" w:color="auto"/>
                    <w:left w:val="none" w:sz="0" w:space="0" w:color="auto"/>
                    <w:bottom w:val="none" w:sz="0" w:space="0" w:color="auto"/>
                    <w:right w:val="none" w:sz="0" w:space="0" w:color="auto"/>
                  </w:divBdr>
                  <w:divsChild>
                    <w:div w:id="1265455703">
                      <w:marLeft w:val="0"/>
                      <w:marRight w:val="0"/>
                      <w:marTop w:val="0"/>
                      <w:marBottom w:val="0"/>
                      <w:divBdr>
                        <w:top w:val="none" w:sz="0" w:space="0" w:color="auto"/>
                        <w:left w:val="none" w:sz="0" w:space="0" w:color="auto"/>
                        <w:bottom w:val="none" w:sz="0" w:space="0" w:color="auto"/>
                        <w:right w:val="none" w:sz="0" w:space="0" w:color="auto"/>
                      </w:divBdr>
                      <w:divsChild>
                        <w:div w:id="148984696">
                          <w:marLeft w:val="0"/>
                          <w:marRight w:val="0"/>
                          <w:marTop w:val="0"/>
                          <w:marBottom w:val="0"/>
                          <w:divBdr>
                            <w:top w:val="none" w:sz="0" w:space="0" w:color="auto"/>
                            <w:left w:val="none" w:sz="0" w:space="0" w:color="auto"/>
                            <w:bottom w:val="none" w:sz="0" w:space="0" w:color="auto"/>
                            <w:right w:val="none" w:sz="0" w:space="0" w:color="auto"/>
                          </w:divBdr>
                          <w:divsChild>
                            <w:div w:id="1688215885">
                              <w:marLeft w:val="0"/>
                              <w:marRight w:val="0"/>
                              <w:marTop w:val="0"/>
                              <w:marBottom w:val="0"/>
                              <w:divBdr>
                                <w:top w:val="none" w:sz="0" w:space="0" w:color="auto"/>
                                <w:left w:val="none" w:sz="0" w:space="0" w:color="auto"/>
                                <w:bottom w:val="none" w:sz="0" w:space="0" w:color="auto"/>
                                <w:right w:val="none" w:sz="0" w:space="0" w:color="auto"/>
                              </w:divBdr>
                              <w:divsChild>
                                <w:div w:id="33295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customXml/itemProps4.xml><?xml version="1.0" encoding="utf-8"?>
<ds:datastoreItem xmlns:ds="http://schemas.openxmlformats.org/officeDocument/2006/customXml" ds:itemID="{2824DCEE-6114-451E-84A8-EF6A0AC262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35</TotalTime>
  <Pages>37</Pages>
  <Words>13355</Words>
  <Characters>73455</Characters>
  <Application>Microsoft Office Word</Application>
  <DocSecurity>0</DocSecurity>
  <Lines>612</Lines>
  <Paragraphs>173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2026-05-26T19:23:00Z</dcterms:created>
  <dcterms:modified xsi:type="dcterms:W3CDTF">2026-05-29T13:56:00Z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