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706C6" w14:textId="77777777" w:rsidR="004F0036" w:rsidRDefault="004F0036" w:rsidP="004F0036">
      <w:pPr>
        <w:spacing w:after="0"/>
        <w:jc w:val="both"/>
        <w:rPr>
          <w:rFonts w:ascii="Verdana" w:eastAsia="Verdana" w:hAnsi="Verdana" w:cs="Verdana"/>
          <w:b/>
          <w:bCs/>
        </w:rPr>
      </w:pPr>
      <w:bookmarkStart w:id="0" w:name="_Hlk143780582"/>
      <w:r w:rsidRPr="004F0036">
        <w:rPr>
          <w:rFonts w:ascii="Verdana" w:eastAsia="Verdana" w:hAnsi="Verdana" w:cs="Verdana"/>
          <w:b/>
          <w:bCs/>
        </w:rPr>
        <w:t>LEY DE GARANTÍAS ELECTORALES – Propósito</w:t>
      </w:r>
    </w:p>
    <w:p w14:paraId="15DF22CD" w14:textId="77777777" w:rsidR="004F0036" w:rsidRPr="004F0036" w:rsidRDefault="004F0036" w:rsidP="004F0036">
      <w:pPr>
        <w:spacing w:after="0"/>
        <w:jc w:val="both"/>
        <w:rPr>
          <w:rFonts w:ascii="Verdana" w:eastAsia="Verdana" w:hAnsi="Verdana" w:cs="Verdana"/>
        </w:rPr>
      </w:pPr>
    </w:p>
    <w:p w14:paraId="269B97BF" w14:textId="634727E4" w:rsidR="004F0036" w:rsidRPr="004F0036" w:rsidRDefault="004F0036" w:rsidP="004F0036">
      <w:pPr>
        <w:spacing w:after="0"/>
        <w:jc w:val="both"/>
        <w:rPr>
          <w:rFonts w:ascii="Verdana" w:eastAsia="Verdana" w:hAnsi="Verdana" w:cs="Verdana"/>
          <w:sz w:val="20"/>
          <w:szCs w:val="20"/>
        </w:rPr>
      </w:pPr>
      <w:r w:rsidRPr="004F0036">
        <w:rPr>
          <w:rFonts w:ascii="Verdana" w:eastAsia="Verdana" w:hAnsi="Verdana" w:cs="Verdana"/>
          <w:sz w:val="20"/>
          <w:szCs w:val="20"/>
        </w:rPr>
        <w:t>[…] asegurar la neutralidad, transparencia e imparcialidad en los procesos electorales; busca impedir que quienes ejercen el poder público utilicen los recursos del Estado para incidir en la voluntad del electorado. Adicionalmente,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0F0784E9" w14:textId="77777777" w:rsidR="004F0036" w:rsidRPr="004F0036" w:rsidRDefault="004F0036" w:rsidP="004F0036">
      <w:pPr>
        <w:spacing w:after="0"/>
        <w:jc w:val="both"/>
        <w:rPr>
          <w:rFonts w:ascii="Verdana" w:eastAsia="Verdana" w:hAnsi="Verdana" w:cs="Verdana"/>
        </w:rPr>
      </w:pPr>
    </w:p>
    <w:p w14:paraId="3A194E9B" w14:textId="77777777" w:rsidR="004F0036" w:rsidRDefault="004F0036" w:rsidP="004F0036">
      <w:pPr>
        <w:spacing w:after="0"/>
        <w:jc w:val="both"/>
        <w:rPr>
          <w:rFonts w:ascii="Verdana" w:eastAsia="Verdana" w:hAnsi="Verdana" w:cs="Verdana"/>
          <w:b/>
          <w:bCs/>
        </w:rPr>
      </w:pPr>
      <w:r w:rsidRPr="004F0036">
        <w:rPr>
          <w:rFonts w:ascii="Verdana" w:eastAsia="Verdana" w:hAnsi="Verdana" w:cs="Verdana"/>
          <w:b/>
          <w:bCs/>
        </w:rPr>
        <w:t>LEY DE GARANTÍAS ELECTORALES – Tipos de restricciones – Artículo 33 – Artículo 38</w:t>
      </w:r>
    </w:p>
    <w:p w14:paraId="41CAB606" w14:textId="77777777" w:rsidR="004F0036" w:rsidRPr="004F0036" w:rsidRDefault="004F0036" w:rsidP="004F0036">
      <w:pPr>
        <w:spacing w:after="0"/>
        <w:jc w:val="both"/>
        <w:rPr>
          <w:rFonts w:ascii="Verdana" w:eastAsia="Verdana" w:hAnsi="Verdana" w:cs="Verdana"/>
        </w:rPr>
      </w:pPr>
    </w:p>
    <w:p w14:paraId="77E97070" w14:textId="77777777" w:rsidR="004F0036" w:rsidRPr="004F0036" w:rsidRDefault="004F0036" w:rsidP="004F0036">
      <w:pPr>
        <w:spacing w:after="0"/>
        <w:jc w:val="both"/>
        <w:rPr>
          <w:rFonts w:ascii="Verdana" w:eastAsia="Verdana" w:hAnsi="Verdana" w:cs="Verdana"/>
          <w:sz w:val="20"/>
          <w:szCs w:val="20"/>
        </w:rPr>
      </w:pPr>
      <w:r w:rsidRPr="004F0036">
        <w:rPr>
          <w:rFonts w:ascii="Verdana" w:eastAsia="Verdana" w:hAnsi="Verdana" w:cs="Verdana"/>
          <w:sz w:val="20"/>
          <w:szCs w:val="20"/>
        </w:rPr>
        <w:t>[…] las restricciones consagradas en la citada Ley se dirigen a dos (2) tipos de campañas electorales claramente diferenciadas: i) las presidenciales y ii) aquellas correspondientes a la elección de los demás cargos de elección popular, tanto a nivel nacional como territorial.</w:t>
      </w:r>
    </w:p>
    <w:p w14:paraId="518B7A9D" w14:textId="61B9861B" w:rsidR="004F0036" w:rsidRPr="004F0036" w:rsidRDefault="004F0036" w:rsidP="004F0036">
      <w:pPr>
        <w:spacing w:after="0"/>
        <w:jc w:val="both"/>
        <w:rPr>
          <w:rFonts w:ascii="Verdana" w:eastAsia="Verdana" w:hAnsi="Verdana" w:cs="Verdana"/>
          <w:sz w:val="20"/>
          <w:szCs w:val="20"/>
        </w:rPr>
      </w:pPr>
      <w:r w:rsidRPr="004F0036">
        <w:rPr>
          <w:rFonts w:ascii="Verdana" w:eastAsia="Verdana" w:hAnsi="Verdana" w:cs="Verdana"/>
          <w:sz w:val="20"/>
          <w:szCs w:val="20"/>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F0036">
        <w:rPr>
          <w:rFonts w:ascii="Verdana" w:eastAsia="Verdana" w:hAnsi="Verdana" w:cs="Verdana"/>
          <w:sz w:val="20"/>
          <w:szCs w:val="20"/>
        </w:rPr>
        <w:t xml:space="preserve"> </w:t>
      </w:r>
    </w:p>
    <w:p w14:paraId="2FA38B73" w14:textId="77777777" w:rsidR="004F0036" w:rsidRPr="004F0036" w:rsidRDefault="004F0036" w:rsidP="004F0036">
      <w:pPr>
        <w:spacing w:after="0"/>
        <w:jc w:val="both"/>
        <w:rPr>
          <w:rFonts w:ascii="Verdana" w:eastAsia="Verdana" w:hAnsi="Verdana" w:cs="Verdana"/>
          <w:sz w:val="20"/>
          <w:szCs w:val="20"/>
        </w:rPr>
      </w:pPr>
      <w:r w:rsidRPr="004F0036">
        <w:rPr>
          <w:rFonts w:ascii="Verdana" w:eastAsia="Verdana" w:hAnsi="Verdana" w:cs="Verdana"/>
          <w:sz w:val="20"/>
          <w:szCs w:val="20"/>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6EEBB1AC" w14:textId="53F66C3F" w:rsidR="004F0036" w:rsidRPr="004F0036" w:rsidRDefault="004F0036" w:rsidP="004F0036">
      <w:pPr>
        <w:spacing w:after="0"/>
        <w:jc w:val="both"/>
        <w:rPr>
          <w:rFonts w:ascii="Verdana" w:eastAsia="Verdana" w:hAnsi="Verdana" w:cs="Verdana"/>
        </w:rPr>
      </w:pPr>
      <w:r w:rsidRPr="004F0036">
        <w:rPr>
          <w:rFonts w:ascii="Verdana" w:eastAsia="Verdana" w:hAnsi="Verdana" w:cs="Verdana"/>
        </w:rPr>
        <w:t xml:space="preserve"> </w:t>
      </w:r>
    </w:p>
    <w:p w14:paraId="630C0F1D" w14:textId="77777777" w:rsidR="004F0036" w:rsidRDefault="004F0036" w:rsidP="004F0036">
      <w:pPr>
        <w:spacing w:after="0"/>
        <w:jc w:val="both"/>
        <w:rPr>
          <w:rFonts w:ascii="Verdana" w:eastAsia="Verdana" w:hAnsi="Verdana" w:cs="Verdana"/>
          <w:b/>
          <w:bCs/>
        </w:rPr>
      </w:pPr>
      <w:r w:rsidRPr="004F0036">
        <w:rPr>
          <w:rFonts w:ascii="Verdana" w:eastAsia="Verdana" w:hAnsi="Verdana" w:cs="Verdana"/>
          <w:b/>
          <w:bCs/>
        </w:rPr>
        <w:t>INSTITUCIONES EDUCATIVAS – Naturaleza jurídica – Capacidad para contratar - Régimen Contractual</w:t>
      </w:r>
    </w:p>
    <w:p w14:paraId="30FF9A24" w14:textId="77777777" w:rsidR="004F0036" w:rsidRPr="004F0036" w:rsidRDefault="004F0036" w:rsidP="004F0036">
      <w:pPr>
        <w:spacing w:after="0"/>
        <w:jc w:val="both"/>
        <w:rPr>
          <w:rFonts w:ascii="Verdana" w:eastAsia="Verdana" w:hAnsi="Verdana" w:cs="Verdana"/>
        </w:rPr>
      </w:pPr>
    </w:p>
    <w:p w14:paraId="60ACC0A5" w14:textId="77777777" w:rsidR="004F0036" w:rsidRDefault="004F0036" w:rsidP="004F0036">
      <w:pPr>
        <w:spacing w:after="0"/>
        <w:jc w:val="both"/>
        <w:rPr>
          <w:rFonts w:ascii="Verdana" w:eastAsia="Verdana" w:hAnsi="Verdana" w:cs="Verdana"/>
          <w:sz w:val="20"/>
          <w:szCs w:val="20"/>
        </w:rPr>
      </w:pPr>
      <w:r w:rsidRPr="004F0036">
        <w:rPr>
          <w:rFonts w:ascii="Verdana" w:eastAsia="Verdana" w:hAnsi="Verdana" w:cs="Verdana"/>
          <w:sz w:val="20"/>
          <w:szCs w:val="20"/>
        </w:rPr>
        <w:t xml:space="preserve">[…] 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w:t>
      </w:r>
      <w:r w:rsidRPr="004F0036">
        <w:rPr>
          <w:rFonts w:ascii="Verdana" w:eastAsia="Verdana" w:hAnsi="Verdana" w:cs="Verdana"/>
          <w:sz w:val="20"/>
          <w:szCs w:val="20"/>
        </w:rPr>
        <w:lastRenderedPageBreak/>
        <w:t>siendo cuentas contables que les permiten a las instituciones realizar la gestión y ejecución presupuestal de los recursos que reciben los establecimientos educativos. […] Respecto de la capacidad para contratar con la que cuentan las instituciones educativas por medio de los fondos de servicios educativos, hay que precisar que cuando se trata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p>
    <w:p w14:paraId="3915FCAA" w14:textId="77777777" w:rsidR="004F0036" w:rsidRPr="004F0036" w:rsidRDefault="004F0036" w:rsidP="004F0036">
      <w:pPr>
        <w:spacing w:after="0"/>
        <w:jc w:val="both"/>
        <w:rPr>
          <w:rFonts w:ascii="Verdana" w:eastAsia="Verdana" w:hAnsi="Verdana" w:cs="Verdana"/>
          <w:sz w:val="20"/>
          <w:szCs w:val="20"/>
        </w:rPr>
      </w:pPr>
    </w:p>
    <w:p w14:paraId="5E677678" w14:textId="77777777" w:rsidR="004F0036" w:rsidRDefault="004F0036" w:rsidP="004F0036">
      <w:pPr>
        <w:spacing w:after="0"/>
        <w:jc w:val="both"/>
        <w:rPr>
          <w:rFonts w:ascii="Verdana" w:eastAsia="Verdana" w:hAnsi="Verdana" w:cs="Verdana"/>
          <w:b/>
          <w:bCs/>
        </w:rPr>
      </w:pPr>
      <w:r w:rsidRPr="004F0036">
        <w:rPr>
          <w:rFonts w:ascii="Verdana" w:eastAsia="Verdana" w:hAnsi="Verdana" w:cs="Verdana"/>
          <w:b/>
          <w:bCs/>
        </w:rPr>
        <w:t>FONDOS DE SERVICIOS EDUCATIVOS – Noción – Artículo 2.3.1.6.3.4 - Decreto 1075 de 2015</w:t>
      </w:r>
    </w:p>
    <w:p w14:paraId="39AB0283" w14:textId="77777777" w:rsidR="004F0036" w:rsidRPr="004F0036" w:rsidRDefault="004F0036" w:rsidP="004F0036">
      <w:pPr>
        <w:spacing w:after="0"/>
        <w:jc w:val="both"/>
        <w:rPr>
          <w:rFonts w:ascii="Verdana" w:eastAsia="Verdana" w:hAnsi="Verdana" w:cs="Verdana"/>
        </w:rPr>
      </w:pPr>
    </w:p>
    <w:p w14:paraId="4238D573" w14:textId="77777777" w:rsidR="004F0036" w:rsidRPr="004F0036" w:rsidRDefault="004F0036" w:rsidP="004F0036">
      <w:pPr>
        <w:spacing w:after="0"/>
        <w:jc w:val="both"/>
        <w:rPr>
          <w:rFonts w:ascii="Verdana" w:eastAsia="Verdana" w:hAnsi="Verdana" w:cs="Verdana"/>
          <w:sz w:val="20"/>
          <w:szCs w:val="20"/>
        </w:rPr>
      </w:pPr>
      <w:r w:rsidRPr="004F0036">
        <w:rPr>
          <w:rFonts w:ascii="Verdana" w:eastAsia="Verdana" w:hAnsi="Verdana" w:cs="Verdana"/>
          <w:sz w:val="20"/>
          <w:szCs w:val="20"/>
        </w:rPr>
        <w:t>Los fondos de servicios educativos tampoco cuentan con personería jurídica según lo previsto en el artículo 2.3.1.6.3.4 del Decreto 1075 de 2015, Decreto Único Reglamentario del Sector Educación: “Artículo 2.3.1.6.3.4. Ordenación del gasto. Los fondos de servicios educativos carecen de personería jurídica. El rector o director rural es el ordenador del gasto del Fondo de Servicios Educativos y su ejercicio no implica representación legal”.</w:t>
      </w:r>
    </w:p>
    <w:p w14:paraId="4F15812F" w14:textId="77777777" w:rsidR="004F0036" w:rsidRPr="004F0036" w:rsidRDefault="004F0036" w:rsidP="004F0036">
      <w:pPr>
        <w:spacing w:after="0"/>
        <w:jc w:val="both"/>
        <w:rPr>
          <w:rFonts w:ascii="Verdana" w:eastAsia="Verdana" w:hAnsi="Verdana" w:cs="Verdana"/>
        </w:rPr>
      </w:pPr>
    </w:p>
    <w:p w14:paraId="19618049" w14:textId="77777777" w:rsidR="004F0036" w:rsidRPr="004F0036" w:rsidRDefault="004F0036" w:rsidP="004F0036">
      <w:pPr>
        <w:spacing w:after="0"/>
        <w:jc w:val="both"/>
        <w:rPr>
          <w:rFonts w:ascii="Verdana" w:eastAsia="Verdana" w:hAnsi="Verdana" w:cs="Verdana"/>
        </w:rPr>
      </w:pPr>
      <w:r w:rsidRPr="004F0036">
        <w:rPr>
          <w:rFonts w:ascii="Verdana" w:eastAsia="Verdana" w:hAnsi="Verdana" w:cs="Verdana"/>
          <w:b/>
          <w:bCs/>
        </w:rPr>
        <w:t>INSTITUCIONES PÚBLICAS EDUCATIVAS – Aplicación Ley de Garantías</w:t>
      </w:r>
    </w:p>
    <w:p w14:paraId="1B588B95" w14:textId="77777777" w:rsidR="004F0036" w:rsidRDefault="004F0036" w:rsidP="004F0036">
      <w:pPr>
        <w:spacing w:after="0"/>
        <w:jc w:val="both"/>
        <w:rPr>
          <w:rFonts w:ascii="Verdana" w:eastAsia="Verdana" w:hAnsi="Verdana" w:cs="Verdana"/>
        </w:rPr>
      </w:pPr>
    </w:p>
    <w:p w14:paraId="4C832C63" w14:textId="0709BB06" w:rsidR="004F0036" w:rsidRPr="004F0036" w:rsidRDefault="004F0036" w:rsidP="004F0036">
      <w:pPr>
        <w:spacing w:after="0"/>
        <w:jc w:val="both"/>
        <w:rPr>
          <w:rFonts w:ascii="Verdana" w:eastAsia="Verdana" w:hAnsi="Verdana" w:cs="Verdana"/>
          <w:sz w:val="20"/>
          <w:szCs w:val="20"/>
        </w:rPr>
      </w:pPr>
      <w:r w:rsidRPr="004F0036">
        <w:rPr>
          <w:rFonts w:ascii="Verdana" w:eastAsia="Verdana" w:hAnsi="Verdana" w:cs="Verdana"/>
          <w:sz w:val="20"/>
          <w:szCs w:val="20"/>
        </w:rPr>
        <w:t xml:space="preserve">[…] dado que las instituciones públicas de educación son entidades de carácter autónomo con régimen especial, les aplica la restricción establecida en el artículo 33 de la Ley 996 de 2005, que prohíbe la contratación directa por parte de todos los entes estatales durante los cuatro (4) meses anteriores a las elecciones presidenciales y dispone las excepciones a dicha prohibición. Por el contrario, a estas entidades no son susceptibles de la restricción contenida en el parágrafo del artículo 38 de la Ley 996 de 2005, dado que esta solo es aplicable a </w:t>
      </w:r>
      <w:proofErr w:type="gramStart"/>
      <w:r w:rsidRPr="004F0036">
        <w:rPr>
          <w:rFonts w:ascii="Verdana" w:eastAsia="Verdana" w:hAnsi="Verdana" w:cs="Verdana"/>
          <w:sz w:val="20"/>
          <w:szCs w:val="20"/>
        </w:rPr>
        <w:t>Alcaldes</w:t>
      </w:r>
      <w:proofErr w:type="gramEnd"/>
      <w:r w:rsidRPr="004F0036">
        <w:rPr>
          <w:rFonts w:ascii="Verdana" w:eastAsia="Verdana" w:hAnsi="Verdana" w:cs="Verdana"/>
          <w:sz w:val="20"/>
          <w:szCs w:val="20"/>
        </w:rPr>
        <w:t xml:space="preserve">, Gobernadores, </w:t>
      </w:r>
      <w:proofErr w:type="gramStart"/>
      <w:r w:rsidRPr="004F0036">
        <w:rPr>
          <w:rFonts w:ascii="Verdana" w:eastAsia="Verdana" w:hAnsi="Verdana" w:cs="Verdana"/>
          <w:sz w:val="20"/>
          <w:szCs w:val="20"/>
        </w:rPr>
        <w:t>Secretarios</w:t>
      </w:r>
      <w:proofErr w:type="gramEnd"/>
      <w:r w:rsidRPr="004F0036">
        <w:rPr>
          <w:rFonts w:ascii="Verdana" w:eastAsia="Verdana" w:hAnsi="Verdana" w:cs="Verdana"/>
          <w:sz w:val="20"/>
          <w:szCs w:val="20"/>
        </w:rPr>
        <w:t xml:space="preserve">, Gerentes y </w:t>
      </w:r>
      <w:proofErr w:type="gramStart"/>
      <w:r w:rsidRPr="004F0036">
        <w:rPr>
          <w:rFonts w:ascii="Verdana" w:eastAsia="Verdana" w:hAnsi="Verdana" w:cs="Verdana"/>
          <w:sz w:val="20"/>
          <w:szCs w:val="20"/>
        </w:rPr>
        <w:t>Directores</w:t>
      </w:r>
      <w:proofErr w:type="gramEnd"/>
      <w:r w:rsidRPr="004F0036">
        <w:rPr>
          <w:rFonts w:ascii="Verdana" w:eastAsia="Verdana" w:hAnsi="Verdana" w:cs="Verdana"/>
          <w:sz w:val="20"/>
          <w:szCs w:val="20"/>
        </w:rPr>
        <w:t xml:space="preserve"> de las entidades descentralizadas del orden municipal, departamental o distrital.</w:t>
      </w:r>
    </w:p>
    <w:p w14:paraId="165222F5" w14:textId="77777777" w:rsidR="00726FBA" w:rsidRDefault="00726FBA" w:rsidP="30821638">
      <w:pPr>
        <w:spacing w:after="0"/>
        <w:rPr>
          <w:rFonts w:ascii="Verdana" w:eastAsia="Verdana" w:hAnsi="Verdana" w:cs="Verdana"/>
        </w:rPr>
      </w:pPr>
    </w:p>
    <w:p w14:paraId="5A318B2C" w14:textId="77777777" w:rsidR="00726FBA" w:rsidRDefault="00726FBA">
      <w:pPr>
        <w:rPr>
          <w:rFonts w:ascii="Verdana" w:eastAsia="Verdana" w:hAnsi="Verdana" w:cs="Verdana"/>
        </w:rPr>
      </w:pPr>
      <w:r>
        <w:rPr>
          <w:rFonts w:ascii="Verdana" w:eastAsia="Verdana" w:hAnsi="Verdana" w:cs="Verdana"/>
        </w:rPr>
        <w:br w:type="page"/>
      </w:r>
    </w:p>
    <w:p w14:paraId="30199606" w14:textId="77777777" w:rsidR="00B2534E" w:rsidRDefault="00C15139" w:rsidP="00B2534E">
      <w:pPr>
        <w:spacing w:after="0"/>
        <w:rPr>
          <w:rFonts w:ascii="Verdana" w:eastAsia="Verdana" w:hAnsi="Verdana" w:cs="Verdana"/>
        </w:rPr>
      </w:pPr>
      <w:r w:rsidRPr="30821638">
        <w:rPr>
          <w:rFonts w:ascii="Verdana" w:eastAsia="Verdana" w:hAnsi="Verdana" w:cs="Verdana"/>
        </w:rPr>
        <w:lastRenderedPageBreak/>
        <w:t xml:space="preserve">Bogotá D.C., </w:t>
      </w:r>
      <w:r w:rsidR="00726FBA">
        <w:rPr>
          <w:rFonts w:ascii="Verdana" w:eastAsia="Verdana" w:hAnsi="Verdana" w:cs="Verdana"/>
        </w:rPr>
        <w:t xml:space="preserve">25 </w:t>
      </w:r>
      <w:proofErr w:type="gramStart"/>
      <w:r w:rsidR="00726FBA">
        <w:rPr>
          <w:rFonts w:ascii="Verdana" w:eastAsia="Verdana" w:hAnsi="Verdana" w:cs="Verdana"/>
        </w:rPr>
        <w:t>Mayo</w:t>
      </w:r>
      <w:proofErr w:type="gramEnd"/>
      <w:r w:rsidR="00726FBA">
        <w:rPr>
          <w:rFonts w:ascii="Verdana" w:eastAsia="Verdana" w:hAnsi="Verdana" w:cs="Verdana"/>
        </w:rPr>
        <w:t xml:space="preserve"> 2026</w:t>
      </w:r>
    </w:p>
    <w:p w14:paraId="1468C46D" w14:textId="609D237E" w:rsidR="00C15139" w:rsidRPr="0024624F" w:rsidRDefault="00C15139" w:rsidP="00B2534E">
      <w:pPr>
        <w:spacing w:after="0"/>
        <w:jc w:val="right"/>
        <w:rPr>
          <w:rFonts w:ascii="Verdana" w:eastAsia="Verdana" w:hAnsi="Verdana" w:cs="Verdana"/>
        </w:rPr>
      </w:pPr>
      <w:r>
        <w:tab/>
      </w:r>
      <w:r w:rsidR="00B2534E" w:rsidRPr="00B2534E">
        <w:drawing>
          <wp:inline distT="0" distB="0" distL="0" distR="0" wp14:anchorId="1693A4CC" wp14:editId="3925D697">
            <wp:extent cx="2410161" cy="600159"/>
            <wp:effectExtent l="0" t="0" r="0" b="9525"/>
            <wp:docPr id="5668238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823868" name=""/>
                    <pic:cNvPicPr/>
                  </pic:nvPicPr>
                  <pic:blipFill>
                    <a:blip r:embed="rId10"/>
                    <a:stretch>
                      <a:fillRect/>
                    </a:stretch>
                  </pic:blipFill>
                  <pic:spPr>
                    <a:xfrm>
                      <a:off x="0" y="0"/>
                      <a:ext cx="2410161" cy="600159"/>
                    </a:xfrm>
                    <a:prstGeom prst="rect">
                      <a:avLst/>
                    </a:prstGeom>
                  </pic:spPr>
                </pic:pic>
              </a:graphicData>
            </a:graphic>
          </wp:inline>
        </w:drawing>
      </w:r>
    </w:p>
    <w:p w14:paraId="5FE6DCDE" w14:textId="77777777" w:rsidR="001365BD" w:rsidRDefault="001365BD" w:rsidP="001365BD">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Doctor</w:t>
      </w:r>
    </w:p>
    <w:p w14:paraId="36B42D08" w14:textId="77777777" w:rsidR="001365BD" w:rsidRDefault="001365BD" w:rsidP="001365BD">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Julio César Núñez Romero</w:t>
      </w:r>
    </w:p>
    <w:p w14:paraId="39305377" w14:textId="77777777" w:rsidR="001365BD" w:rsidRDefault="001365BD" w:rsidP="001365BD">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Rector</w:t>
      </w:r>
    </w:p>
    <w:p w14:paraId="0DFEC19E" w14:textId="77777777" w:rsidR="001365BD" w:rsidRDefault="001365BD" w:rsidP="001365BD">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Institución Educativa Instituto Agrícola</w:t>
      </w:r>
    </w:p>
    <w:p w14:paraId="01568585" w14:textId="77777777" w:rsidR="001365BD" w:rsidRDefault="001365BD" w:rsidP="001365BD">
      <w:pPr>
        <w:spacing w:after="0" w:line="240" w:lineRule="auto"/>
        <w:jc w:val="both"/>
        <w:rPr>
          <w:rFonts w:ascii="Verdana" w:eastAsia="Calibri" w:hAnsi="Verdana" w:cs="Arial"/>
          <w:b/>
          <w:bCs/>
          <w:lang w:val="es-ES" w:eastAsia="es-ES"/>
        </w:rPr>
      </w:pPr>
      <w:hyperlink r:id="rId11" w:history="1">
        <w:r w:rsidRPr="00112B84">
          <w:rPr>
            <w:rStyle w:val="Hipervnculo"/>
            <w:rFonts w:ascii="Verdana" w:eastAsia="Calibri" w:hAnsi="Verdana" w:cs="Arial"/>
            <w:b/>
            <w:bCs/>
            <w:lang w:val="es-ES" w:eastAsia="es-ES"/>
          </w:rPr>
          <w:t>pagaduria.eeagricolacopey@educacioncesar.gov.co</w:t>
        </w:r>
      </w:hyperlink>
      <w:r>
        <w:rPr>
          <w:rFonts w:ascii="Verdana" w:eastAsia="Calibri" w:hAnsi="Verdana" w:cs="Arial"/>
          <w:b/>
          <w:bCs/>
          <w:lang w:val="es-ES" w:eastAsia="es-ES"/>
        </w:rPr>
        <w:t xml:space="preserve"> </w:t>
      </w:r>
    </w:p>
    <w:p w14:paraId="6F4CFEDA" w14:textId="77777777" w:rsidR="001365BD" w:rsidRPr="00DF7889" w:rsidRDefault="001365BD" w:rsidP="001365BD">
      <w:pPr>
        <w:spacing w:after="0" w:line="240" w:lineRule="auto"/>
        <w:jc w:val="both"/>
        <w:rPr>
          <w:rFonts w:ascii="Verdana" w:eastAsia="Calibri" w:hAnsi="Verdana" w:cs="Arial"/>
          <w:lang w:val="es-ES" w:eastAsia="es-ES"/>
        </w:rPr>
      </w:pPr>
      <w:r>
        <w:rPr>
          <w:rFonts w:ascii="Verdana" w:eastAsia="Calibri" w:hAnsi="Verdana" w:cs="Arial"/>
          <w:lang w:val="es-ES" w:eastAsia="es-ES"/>
        </w:rPr>
        <w:t xml:space="preserve">El Copey, Cesar. </w:t>
      </w:r>
    </w:p>
    <w:p w14:paraId="77D9F298" w14:textId="77777777" w:rsidR="001365BD" w:rsidRDefault="001365BD" w:rsidP="001365BD">
      <w:pPr>
        <w:spacing w:after="0" w:line="240" w:lineRule="auto"/>
        <w:jc w:val="both"/>
        <w:rPr>
          <w:rFonts w:ascii="Verdana" w:eastAsia="Calibri" w:hAnsi="Verdana" w:cs="Arial"/>
          <w:b/>
          <w:bCs/>
          <w:lang w:val="es-ES" w:eastAsia="es-ES"/>
        </w:rPr>
      </w:pPr>
    </w:p>
    <w:p w14:paraId="7F3CB145" w14:textId="77777777" w:rsidR="001365BD" w:rsidRPr="005C170B" w:rsidRDefault="001365BD" w:rsidP="001365B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365BD" w:rsidRPr="005C170B" w14:paraId="70ADBC10" w14:textId="77777777" w:rsidTr="00273061">
        <w:trPr>
          <w:trHeight w:val="160"/>
        </w:trPr>
        <w:tc>
          <w:tcPr>
            <w:tcW w:w="2689" w:type="dxa"/>
          </w:tcPr>
          <w:p w14:paraId="56698E3D" w14:textId="77777777" w:rsidR="001365BD" w:rsidRPr="005C170B" w:rsidRDefault="001365BD" w:rsidP="00F3137A">
            <w:pPr>
              <w:jc w:val="both"/>
              <w:rPr>
                <w:rFonts w:ascii="Verdana" w:eastAsia="Calibri" w:hAnsi="Verdana" w:cs="Arial"/>
                <w:b/>
                <w:bCs/>
                <w:color w:val="7030A0"/>
                <w:lang w:val="es-ES_tradnl" w:eastAsia="es-ES_tradnl"/>
              </w:rPr>
            </w:pPr>
          </w:p>
        </w:tc>
        <w:tc>
          <w:tcPr>
            <w:tcW w:w="6100" w:type="dxa"/>
          </w:tcPr>
          <w:p w14:paraId="7A92903D" w14:textId="77777777" w:rsidR="001365BD" w:rsidRDefault="001365BD" w:rsidP="00F3137A">
            <w:pPr>
              <w:jc w:val="both"/>
              <w:rPr>
                <w:rFonts w:ascii="Verdana" w:eastAsia="Calibri" w:hAnsi="Verdana" w:cs="Arial"/>
                <w:b/>
                <w:bCs/>
                <w:lang w:val="es-ES" w:eastAsia="es-ES"/>
              </w:rPr>
            </w:pPr>
            <w:r w:rsidRPr="00EF03AB">
              <w:rPr>
                <w:rFonts w:ascii="Verdana" w:eastAsia="Calibri" w:hAnsi="Verdana" w:cs="Arial"/>
                <w:b/>
                <w:bCs/>
                <w:lang w:val="es-ES" w:eastAsia="es-ES"/>
              </w:rPr>
              <w:t xml:space="preserve">Concepto </w:t>
            </w:r>
            <w:r w:rsidRPr="00EF03AB">
              <w:rPr>
                <w:rFonts w:ascii="Verdana" w:eastAsia="Calibri" w:hAnsi="Verdana" w:cs="Arial"/>
                <w:b/>
                <w:bCs/>
                <w:lang w:eastAsia="es-ES"/>
              </w:rPr>
              <w:t xml:space="preserve">C-721 </w:t>
            </w:r>
            <w:r w:rsidRPr="00EF03AB">
              <w:rPr>
                <w:rFonts w:ascii="Verdana" w:eastAsia="Calibri" w:hAnsi="Verdana" w:cs="Arial"/>
                <w:b/>
                <w:bCs/>
                <w:lang w:val="es-ES" w:eastAsia="es-ES"/>
              </w:rPr>
              <w:t>de 2026</w:t>
            </w:r>
          </w:p>
          <w:p w14:paraId="2A82A2D6" w14:textId="6FF3E484" w:rsidR="001365BD" w:rsidRPr="00EF03AB" w:rsidRDefault="001365BD" w:rsidP="00F3137A">
            <w:pPr>
              <w:jc w:val="both"/>
              <w:rPr>
                <w:rFonts w:ascii="Verdana" w:eastAsia="Calibri" w:hAnsi="Verdana" w:cs="Arial"/>
                <w:b/>
                <w:bCs/>
                <w:lang w:val="es-ES" w:eastAsia="es-ES"/>
              </w:rPr>
            </w:pPr>
          </w:p>
        </w:tc>
      </w:tr>
      <w:tr w:rsidR="001365BD" w:rsidRPr="005C170B" w14:paraId="224D225F" w14:textId="77777777" w:rsidTr="00F3137A">
        <w:trPr>
          <w:trHeight w:val="884"/>
        </w:trPr>
        <w:tc>
          <w:tcPr>
            <w:tcW w:w="2689" w:type="dxa"/>
          </w:tcPr>
          <w:p w14:paraId="5414A739" w14:textId="77777777" w:rsidR="001365BD" w:rsidRPr="0062047D" w:rsidRDefault="001365BD" w:rsidP="00F3137A">
            <w:pPr>
              <w:jc w:val="both"/>
              <w:rPr>
                <w:rFonts w:ascii="Verdana" w:eastAsia="Calibri" w:hAnsi="Verdana" w:cs="Arial"/>
                <w:color w:val="000000"/>
                <w:lang w:val="es-ES_tradnl" w:eastAsia="es-ES_tradnl"/>
              </w:rPr>
            </w:pPr>
            <w:r w:rsidRPr="0062047D">
              <w:rPr>
                <w:rFonts w:ascii="Verdana" w:eastAsia="Calibri" w:hAnsi="Verdana" w:cs="Arial"/>
                <w:b/>
                <w:color w:val="000000"/>
                <w:lang w:val="es-ES_tradnl" w:eastAsia="es-ES_tradnl"/>
              </w:rPr>
              <w:t>Temas:</w:t>
            </w:r>
            <w:r w:rsidRPr="0062047D">
              <w:rPr>
                <w:rFonts w:ascii="Verdana" w:eastAsia="Calibri" w:hAnsi="Verdana" w:cs="Arial"/>
                <w:color w:val="000000"/>
                <w:lang w:val="es-ES_tradnl" w:eastAsia="es-ES_tradnl"/>
              </w:rPr>
              <w:t xml:space="preserve">                   </w:t>
            </w:r>
          </w:p>
        </w:tc>
        <w:tc>
          <w:tcPr>
            <w:tcW w:w="6100" w:type="dxa"/>
          </w:tcPr>
          <w:p w14:paraId="376027D3" w14:textId="77777777" w:rsidR="001365BD" w:rsidRDefault="001365BD" w:rsidP="00F3137A">
            <w:pPr>
              <w:spacing w:line="276" w:lineRule="auto"/>
              <w:jc w:val="both"/>
              <w:rPr>
                <w:rFonts w:ascii="Verdana" w:eastAsia="Calibri" w:hAnsi="Verdana"/>
                <w:lang w:eastAsia="es-ES"/>
              </w:rPr>
            </w:pPr>
            <w:r w:rsidRPr="0062047D">
              <w:rPr>
                <w:rFonts w:ascii="Verdana" w:eastAsia="Calibri" w:hAnsi="Verdana" w:cs="Arial"/>
                <w:lang w:val="es-ES" w:eastAsia="es-ES"/>
              </w:rPr>
              <w:t>L</w:t>
            </w:r>
            <w:r w:rsidRPr="0062047D">
              <w:rPr>
                <w:rFonts w:ascii="Verdana" w:eastAsia="Calibri" w:hAnsi="Verdana"/>
                <w:lang w:eastAsia="es-ES"/>
              </w:rPr>
              <w:t xml:space="preserve">EY DE GARANTÍAS ELECTORALES – </w:t>
            </w:r>
            <w:r>
              <w:rPr>
                <w:rFonts w:ascii="Verdana" w:eastAsia="Calibri" w:hAnsi="Verdana"/>
                <w:lang w:eastAsia="es-ES"/>
              </w:rPr>
              <w:t xml:space="preserve">Propósito </w:t>
            </w:r>
            <w:r w:rsidRPr="0062047D">
              <w:rPr>
                <w:rFonts w:ascii="Verdana" w:eastAsia="Calibri" w:hAnsi="Verdana"/>
                <w:lang w:eastAsia="es-ES"/>
              </w:rPr>
              <w:t>/ LEY DE GARANTÍAS ELECTORALES – Tipos de restricciones – Artículo 33 – Artículo 38 / INSTITUCIONES EDUCATIVAS – Naturaleza jurídica – Capacidad para contratar - Régimen Contractual / FONDOS DE SERVICIOS EDUCATIVOS – Noción – Artículo 2.3.1.6.3.4 - Decreto 1075 de 2015</w:t>
            </w:r>
            <w:r>
              <w:rPr>
                <w:rFonts w:ascii="Verdana" w:eastAsia="Calibri" w:hAnsi="Verdana"/>
                <w:lang w:eastAsia="es-ES"/>
              </w:rPr>
              <w:t xml:space="preserve"> - </w:t>
            </w:r>
            <w:r w:rsidRPr="0062047D">
              <w:rPr>
                <w:rFonts w:ascii="Verdana" w:eastAsia="Calibri" w:hAnsi="Verdana"/>
                <w:lang w:eastAsia="es-ES"/>
              </w:rPr>
              <w:t xml:space="preserve">INSTITUCIONES </w:t>
            </w:r>
            <w:r>
              <w:rPr>
                <w:rFonts w:ascii="Verdana" w:eastAsia="Calibri" w:hAnsi="Verdana"/>
                <w:lang w:eastAsia="es-ES"/>
              </w:rPr>
              <w:t xml:space="preserve">PÚBLICAS </w:t>
            </w:r>
            <w:r w:rsidRPr="0062047D">
              <w:rPr>
                <w:rFonts w:ascii="Verdana" w:eastAsia="Calibri" w:hAnsi="Verdana"/>
                <w:lang w:eastAsia="es-ES"/>
              </w:rPr>
              <w:t>EDUCATIVAS</w:t>
            </w:r>
            <w:r>
              <w:rPr>
                <w:rFonts w:ascii="Verdana" w:eastAsia="Calibri" w:hAnsi="Verdana"/>
                <w:lang w:eastAsia="es-ES"/>
              </w:rPr>
              <w:t xml:space="preserve"> – Aplicación Ley de Garantías</w:t>
            </w:r>
          </w:p>
          <w:p w14:paraId="7EE495A0" w14:textId="77777777" w:rsidR="001365BD" w:rsidRPr="0062047D" w:rsidRDefault="001365BD" w:rsidP="00F3137A">
            <w:pPr>
              <w:spacing w:line="276" w:lineRule="auto"/>
              <w:jc w:val="both"/>
              <w:rPr>
                <w:rFonts w:ascii="Verdana" w:eastAsia="Calibri" w:hAnsi="Verdana" w:cs="Arial"/>
                <w:lang w:val="es-ES" w:eastAsia="es-ES"/>
              </w:rPr>
            </w:pPr>
          </w:p>
        </w:tc>
      </w:tr>
      <w:tr w:rsidR="001365BD" w:rsidRPr="005C170B" w14:paraId="59904131" w14:textId="77777777" w:rsidTr="00F3137A">
        <w:trPr>
          <w:trHeight w:val="242"/>
        </w:trPr>
        <w:tc>
          <w:tcPr>
            <w:tcW w:w="2689" w:type="dxa"/>
          </w:tcPr>
          <w:p w14:paraId="042C6B1C" w14:textId="77777777" w:rsidR="001365BD" w:rsidRPr="005C170B" w:rsidRDefault="001365BD" w:rsidP="00F3137A">
            <w:pPr>
              <w:jc w:val="both"/>
              <w:rPr>
                <w:rFonts w:ascii="Verdana" w:eastAsia="Calibri" w:hAnsi="Verdana" w:cs="Arial"/>
                <w:b/>
                <w:lang w:val="es-ES_tradnl" w:eastAsia="es-ES_tradnl"/>
              </w:rPr>
            </w:pPr>
            <w:r w:rsidRPr="005C170B">
              <w:rPr>
                <w:rFonts w:ascii="Verdana" w:eastAsia="Calibri" w:hAnsi="Verdana" w:cs="Arial"/>
                <w:b/>
                <w:lang w:val="es-ES_tradnl" w:eastAsia="es-ES_tradnl"/>
              </w:rPr>
              <w:t>Radicación:</w:t>
            </w:r>
            <w:r w:rsidRPr="005C170B">
              <w:rPr>
                <w:rFonts w:ascii="Verdana" w:eastAsia="Calibri" w:hAnsi="Verdana" w:cs="Arial"/>
                <w:lang w:val="es-ES_tradnl" w:eastAsia="es-ES_tradnl"/>
              </w:rPr>
              <w:t xml:space="preserve">               </w:t>
            </w:r>
          </w:p>
        </w:tc>
        <w:tc>
          <w:tcPr>
            <w:tcW w:w="6100" w:type="dxa"/>
          </w:tcPr>
          <w:p w14:paraId="3715C76C" w14:textId="77777777" w:rsidR="001365BD" w:rsidRPr="005C170B" w:rsidRDefault="001365BD" w:rsidP="00F3137A">
            <w:pPr>
              <w:jc w:val="both"/>
              <w:rPr>
                <w:rFonts w:ascii="Verdana" w:eastAsia="Calibri" w:hAnsi="Verdana" w:cs="Arial"/>
                <w:lang w:val="es-ES_tradnl" w:eastAsia="es-ES_tradnl"/>
              </w:rPr>
            </w:pPr>
            <w:r w:rsidRPr="005C170B">
              <w:rPr>
                <w:rFonts w:ascii="Verdana" w:eastAsia="Calibri" w:hAnsi="Verdana" w:cs="Arial"/>
                <w:lang w:val="es-ES_tradnl" w:eastAsia="es-ES_tradnl"/>
              </w:rPr>
              <w:t xml:space="preserve">Respuesta a consulta con radicado No. </w:t>
            </w:r>
            <w:r w:rsidRPr="007322C7">
              <w:rPr>
                <w:rFonts w:ascii="Verdana" w:eastAsia="Calibri" w:hAnsi="Verdana" w:cs="Arial"/>
                <w:lang w:eastAsia="es-ES_tradnl"/>
              </w:rPr>
              <w:t>1_2026_04_30_005911</w:t>
            </w:r>
            <w:r>
              <w:rPr>
                <w:rFonts w:ascii="Verdana" w:eastAsia="Calibri" w:hAnsi="Verdana" w:cs="Arial"/>
                <w:lang w:eastAsia="es-ES_tradnl"/>
              </w:rPr>
              <w:t xml:space="preserve">. </w:t>
            </w:r>
          </w:p>
        </w:tc>
      </w:tr>
    </w:tbl>
    <w:p w14:paraId="0E21CF2B" w14:textId="77777777" w:rsidR="001365BD" w:rsidRPr="005C170B" w:rsidRDefault="001365BD" w:rsidP="001365BD">
      <w:pPr>
        <w:spacing w:after="0" w:line="240" w:lineRule="auto"/>
        <w:jc w:val="both"/>
        <w:rPr>
          <w:rFonts w:ascii="Verdana" w:eastAsia="Calibri" w:hAnsi="Verdana" w:cs="Arial"/>
          <w:lang w:val="es-ES_tradnl" w:eastAsia="es-ES_tradnl"/>
        </w:rPr>
      </w:pPr>
    </w:p>
    <w:p w14:paraId="42155A58" w14:textId="77777777" w:rsidR="001365BD" w:rsidRPr="005C170B" w:rsidRDefault="001365BD" w:rsidP="001365BD">
      <w:pPr>
        <w:spacing w:after="0" w:line="240" w:lineRule="auto"/>
        <w:jc w:val="both"/>
        <w:rPr>
          <w:rFonts w:ascii="Verdana" w:eastAsia="Calibri" w:hAnsi="Verdana" w:cs="Arial"/>
          <w:color w:val="000000"/>
          <w:lang w:val="es-ES_tradnl" w:eastAsia="es-ES_tradnl"/>
        </w:rPr>
      </w:pPr>
    </w:p>
    <w:p w14:paraId="4837C4E0" w14:textId="77777777" w:rsidR="001365BD" w:rsidRPr="005C170B" w:rsidRDefault="001365BD" w:rsidP="001365BD">
      <w:pPr>
        <w:spacing w:after="0" w:line="276" w:lineRule="auto"/>
        <w:jc w:val="both"/>
        <w:rPr>
          <w:rFonts w:ascii="Verdana" w:eastAsia="Calibri" w:hAnsi="Verdana" w:cs="Arial"/>
          <w:color w:val="000000" w:themeColor="text1"/>
          <w:lang w:val="es-ES" w:eastAsia="es-ES"/>
        </w:rPr>
      </w:pPr>
      <w:r w:rsidRPr="005C170B">
        <w:rPr>
          <w:rFonts w:ascii="Verdana" w:eastAsia="Calibri" w:hAnsi="Verdana" w:cs="Arial"/>
          <w:color w:val="000000" w:themeColor="text1"/>
          <w:lang w:val="es-ES" w:eastAsia="es-ES"/>
        </w:rPr>
        <w:t xml:space="preserve">Estimado </w:t>
      </w:r>
      <w:r>
        <w:rPr>
          <w:rFonts w:ascii="Verdana" w:eastAsia="Calibri" w:hAnsi="Verdana" w:cs="Arial"/>
          <w:color w:val="000000" w:themeColor="text1"/>
          <w:lang w:val="es-ES" w:eastAsia="es-ES"/>
        </w:rPr>
        <w:t>Doctor Núñez Romero,</w:t>
      </w:r>
      <w:r w:rsidRPr="005C170B">
        <w:rPr>
          <w:rFonts w:ascii="Verdana" w:eastAsia="Calibri" w:hAnsi="Verdana" w:cs="Arial"/>
          <w:color w:val="000000" w:themeColor="text1"/>
          <w:lang w:val="es-ES" w:eastAsia="es-ES"/>
        </w:rPr>
        <w:t xml:space="preserve"> cordial saludo, </w:t>
      </w:r>
    </w:p>
    <w:p w14:paraId="1E88963A" w14:textId="77777777" w:rsidR="001365BD" w:rsidRPr="005C170B" w:rsidRDefault="001365BD" w:rsidP="001365BD">
      <w:pPr>
        <w:spacing w:after="0" w:line="276" w:lineRule="auto"/>
        <w:jc w:val="both"/>
        <w:rPr>
          <w:rFonts w:ascii="Verdana" w:eastAsia="Calibri" w:hAnsi="Verdana" w:cs="Arial"/>
          <w:color w:val="000000" w:themeColor="text1"/>
          <w:lang w:val="es-ES" w:eastAsia="es-ES"/>
        </w:rPr>
      </w:pPr>
    </w:p>
    <w:p w14:paraId="78F7E22B" w14:textId="77777777" w:rsidR="001365BD" w:rsidRPr="005C170B" w:rsidRDefault="001365BD" w:rsidP="001365BD">
      <w:pPr>
        <w:spacing w:after="0" w:line="276" w:lineRule="auto"/>
        <w:jc w:val="both"/>
        <w:rPr>
          <w:rFonts w:ascii="Verdana" w:eastAsia="Calibri" w:hAnsi="Verdana" w:cs="Arial"/>
          <w:color w:val="7030A0"/>
          <w:lang w:val="es-ES" w:eastAsia="es-ES"/>
        </w:rPr>
      </w:pPr>
      <w:r w:rsidRPr="005C170B">
        <w:rPr>
          <w:rFonts w:ascii="Verdana" w:eastAsia="Calibri" w:hAnsi="Verdana" w:cs="Arial"/>
          <w:color w:val="000000" w:themeColor="text1"/>
          <w:lang w:val="es-ES" w:eastAsia="es-ES"/>
        </w:rPr>
        <w:t>En ejercicio de la competencia otorgada por los artículos 3, numeral 5º, y 11, numeral 8º, del Decreto Ley 4170 de 2011,</w:t>
      </w:r>
      <w:r w:rsidRPr="005C170B">
        <w:rPr>
          <w:rFonts w:ascii="Verdana" w:eastAsia="Arial MT" w:hAnsi="Verdana" w:cs="Arial MT"/>
          <w:lang w:val="es-ES" w:eastAsia="es-ES"/>
        </w:rPr>
        <w:t xml:space="preserve"> </w:t>
      </w:r>
      <w:r w:rsidRPr="005C170B">
        <w:rPr>
          <w:rFonts w:ascii="Verdana" w:hAnsi="Verdana" w:cs="Arial"/>
        </w:rPr>
        <w:t xml:space="preserve">así como lo establecido la </w:t>
      </w:r>
      <w:r w:rsidRPr="005C170B">
        <w:rPr>
          <w:rFonts w:ascii="Verdana" w:eastAsia="Verdana" w:hAnsi="Verdana" w:cs="Verdana"/>
          <w:color w:val="000000" w:themeColor="text1"/>
        </w:rPr>
        <w:t>Resolución 469 de 2025</w:t>
      </w:r>
      <w:r w:rsidRPr="005C170B">
        <w:rPr>
          <w:rFonts w:ascii="Verdana" w:hAnsi="Verdana" w:cs="Arial"/>
        </w:rPr>
        <w:t xml:space="preserve"> expedida por esta Entidad, </w:t>
      </w:r>
      <w:r w:rsidRPr="005C170B">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Pr="005C170B">
        <w:rPr>
          <w:rFonts w:ascii="Verdana" w:eastAsia="Calibri" w:hAnsi="Verdana" w:cs="Arial"/>
          <w:lang w:val="es-ES" w:eastAsia="es-ES"/>
        </w:rPr>
        <w:t>2</w:t>
      </w:r>
      <w:r>
        <w:rPr>
          <w:rFonts w:ascii="Verdana" w:eastAsia="Calibri" w:hAnsi="Verdana" w:cs="Arial"/>
          <w:lang w:val="es-ES" w:eastAsia="es-ES"/>
        </w:rPr>
        <w:t>4</w:t>
      </w:r>
      <w:r w:rsidRPr="005C170B">
        <w:rPr>
          <w:rFonts w:ascii="Verdana" w:eastAsia="Calibri" w:hAnsi="Verdana" w:cs="Arial"/>
          <w:lang w:val="es-ES" w:eastAsia="es-ES"/>
        </w:rPr>
        <w:t xml:space="preserve"> de abril de 2026, en la cual manifiesta lo siguiente: </w:t>
      </w:r>
    </w:p>
    <w:p w14:paraId="58AC872D" w14:textId="77777777" w:rsidR="001365BD" w:rsidRPr="005C170B" w:rsidRDefault="001365BD" w:rsidP="001365BD">
      <w:pPr>
        <w:pStyle w:val="Prrafodelista"/>
        <w:tabs>
          <w:tab w:val="left" w:pos="142"/>
          <w:tab w:val="left" w:pos="284"/>
        </w:tabs>
        <w:spacing w:line="276" w:lineRule="auto"/>
        <w:ind w:left="0"/>
        <w:jc w:val="both"/>
        <w:rPr>
          <w:rFonts w:ascii="Verdana" w:eastAsia="Century Gothic" w:hAnsi="Verdana" w:cs="Century Gothic"/>
          <w:b/>
          <w:bCs/>
          <w:i/>
          <w:iCs/>
        </w:rPr>
      </w:pPr>
    </w:p>
    <w:p w14:paraId="6DCAB76A" w14:textId="77777777" w:rsidR="001365BD" w:rsidRDefault="001365BD" w:rsidP="001365BD">
      <w:pPr>
        <w:pStyle w:val="Prrafodelista"/>
        <w:spacing w:after="0" w:line="240" w:lineRule="auto"/>
        <w:ind w:left="1069" w:right="709"/>
        <w:jc w:val="both"/>
        <w:rPr>
          <w:rFonts w:ascii="Verdana" w:eastAsia="Century Gothic" w:hAnsi="Verdana" w:cs="Century Gothic"/>
          <w:i/>
          <w:iCs/>
          <w:sz w:val="20"/>
          <w:szCs w:val="20"/>
        </w:rPr>
      </w:pPr>
      <w:r w:rsidRPr="005C170B">
        <w:rPr>
          <w:rFonts w:ascii="Verdana" w:eastAsia="Century Gothic" w:hAnsi="Verdana" w:cs="Century Gothic"/>
          <w:i/>
          <w:iCs/>
          <w:sz w:val="20"/>
          <w:szCs w:val="20"/>
        </w:rPr>
        <w:t>“Cordial saludo,</w:t>
      </w:r>
    </w:p>
    <w:p w14:paraId="14EB5732" w14:textId="77777777" w:rsidR="001365BD" w:rsidRDefault="001365BD" w:rsidP="001365BD">
      <w:pPr>
        <w:pStyle w:val="Prrafodelista"/>
        <w:spacing w:after="0" w:line="240" w:lineRule="auto"/>
        <w:ind w:left="106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En concordancia con la normatividad vigente y las directrices impartidas referentes a la contratación de las instituciones educativas durante la vigencia de la Ley de garantías, hacemos la siguiente </w:t>
      </w:r>
      <w:r>
        <w:rPr>
          <w:rFonts w:ascii="Verdana" w:eastAsia="Century Gothic" w:hAnsi="Verdana" w:cs="Century Gothic"/>
          <w:i/>
          <w:iCs/>
          <w:sz w:val="20"/>
          <w:szCs w:val="20"/>
        </w:rPr>
        <w:lastRenderedPageBreak/>
        <w:t xml:space="preserve">consulta, con la finalidad de tener claridad en la contratación con recursos del Fondo de Servicios Educativos de esta institución, durante la actual vigencia fiscal 2026; para lo cual hacemos las siguientes precisiones: </w:t>
      </w:r>
    </w:p>
    <w:p w14:paraId="1C56EBBE" w14:textId="77777777" w:rsidR="00D902BD" w:rsidRDefault="00D902BD" w:rsidP="001365BD">
      <w:pPr>
        <w:pStyle w:val="Prrafodelista"/>
        <w:spacing w:after="0" w:line="240" w:lineRule="auto"/>
        <w:ind w:left="1069" w:right="709"/>
        <w:jc w:val="both"/>
        <w:rPr>
          <w:rFonts w:ascii="Verdana" w:eastAsia="Century Gothic" w:hAnsi="Verdana" w:cs="Century Gothic"/>
          <w:i/>
          <w:iCs/>
          <w:sz w:val="20"/>
          <w:szCs w:val="20"/>
        </w:rPr>
      </w:pPr>
    </w:p>
    <w:p w14:paraId="237CCC0B" w14:textId="63B470C4" w:rsidR="001365BD" w:rsidRDefault="001365BD" w:rsidP="001365BD">
      <w:pPr>
        <w:pStyle w:val="Prrafodelista"/>
        <w:spacing w:after="0" w:line="240" w:lineRule="auto"/>
        <w:ind w:left="1069" w:right="709"/>
        <w:jc w:val="both"/>
        <w:rPr>
          <w:rFonts w:ascii="Verdana" w:eastAsia="Century Gothic" w:hAnsi="Verdana" w:cs="Century Gothic"/>
          <w:i/>
          <w:iCs/>
          <w:sz w:val="20"/>
          <w:szCs w:val="20"/>
        </w:rPr>
      </w:pPr>
      <w:r>
        <w:rPr>
          <w:rFonts w:ascii="Verdana" w:eastAsia="Century Gothic" w:hAnsi="Verdana" w:cs="Century Gothic"/>
          <w:i/>
          <w:iCs/>
          <w:sz w:val="20"/>
          <w:szCs w:val="20"/>
        </w:rPr>
        <w:t>Históricamente en esta Institución Educativa, se celebran los siguientes tipos de contratos:</w:t>
      </w:r>
    </w:p>
    <w:p w14:paraId="583A8993" w14:textId="77777777" w:rsidR="00D902BD" w:rsidRDefault="00D902BD" w:rsidP="001365BD">
      <w:pPr>
        <w:pStyle w:val="Prrafodelista"/>
        <w:spacing w:after="0" w:line="240" w:lineRule="auto"/>
        <w:ind w:left="1416" w:right="709"/>
        <w:jc w:val="both"/>
        <w:rPr>
          <w:rFonts w:ascii="Verdana" w:eastAsia="Century Gothic" w:hAnsi="Verdana" w:cs="Century Gothic"/>
          <w:i/>
          <w:iCs/>
          <w:sz w:val="20"/>
          <w:szCs w:val="20"/>
        </w:rPr>
      </w:pPr>
    </w:p>
    <w:p w14:paraId="05AC824A" w14:textId="4D9E9803" w:rsidR="001365BD" w:rsidRDefault="001365BD" w:rsidP="001365BD">
      <w:pPr>
        <w:pStyle w:val="Prrafodelista"/>
        <w:spacing w:after="0" w:line="240" w:lineRule="auto"/>
        <w:ind w:left="1416"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Contratos de obra: Para el mantenimiento, reparación y adecuación de la infraestructura física. </w:t>
      </w:r>
    </w:p>
    <w:p w14:paraId="460EFE84" w14:textId="77777777" w:rsidR="001365BD" w:rsidRDefault="001365BD" w:rsidP="001365BD">
      <w:pPr>
        <w:pStyle w:val="Prrafodelista"/>
        <w:spacing w:after="0" w:line="240" w:lineRule="auto"/>
        <w:ind w:left="1416"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Contratos de compraventa: para la adquisición de distintos bienes y equipos. </w:t>
      </w:r>
    </w:p>
    <w:p w14:paraId="4846D92E" w14:textId="77777777" w:rsidR="001365BD" w:rsidRDefault="001365BD" w:rsidP="001365BD">
      <w:pPr>
        <w:pStyle w:val="Prrafodelista"/>
        <w:spacing w:after="0" w:line="240" w:lineRule="auto"/>
        <w:ind w:left="1416"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Contratos de suministro: para la adquisición de insumos y materiales de aseo, papelería, ferretería, productos agropecuarios, etc. </w:t>
      </w:r>
    </w:p>
    <w:p w14:paraId="6106A1A3" w14:textId="77777777" w:rsidR="001365BD" w:rsidRPr="00506910" w:rsidRDefault="001365BD" w:rsidP="001365BD">
      <w:pPr>
        <w:pStyle w:val="Prrafodelista"/>
        <w:spacing w:after="0" w:line="240" w:lineRule="auto"/>
        <w:ind w:left="1416"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Contratos de prestación de servicios: para la adquisición de servicios técnicos y profesionales como asesorías contables, procesamiento académico de notas, instructor de la banda musico marcial, hosting y soporte software presupuestal, mantenimiento de zonas verdes, etc. </w:t>
      </w:r>
    </w:p>
    <w:p w14:paraId="588A46F6" w14:textId="77777777" w:rsidR="00D902BD" w:rsidRDefault="00D902BD" w:rsidP="001365BD">
      <w:pPr>
        <w:pStyle w:val="Prrafodelista"/>
        <w:spacing w:after="0" w:line="240" w:lineRule="auto"/>
        <w:ind w:left="1069" w:right="709"/>
        <w:jc w:val="both"/>
        <w:rPr>
          <w:rFonts w:ascii="Verdana" w:eastAsia="Century Gothic" w:hAnsi="Verdana" w:cs="Century Gothic"/>
          <w:i/>
          <w:iCs/>
          <w:sz w:val="20"/>
          <w:szCs w:val="20"/>
        </w:rPr>
      </w:pPr>
    </w:p>
    <w:p w14:paraId="5673C195" w14:textId="58BCA81D" w:rsidR="001365BD" w:rsidRDefault="001365BD" w:rsidP="001365BD">
      <w:pPr>
        <w:pStyle w:val="Prrafodelista"/>
        <w:spacing w:after="0" w:line="240" w:lineRule="auto"/>
        <w:ind w:left="106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Cabe recordar que todos los contratos son de cuantía inferir a veinte (20) salarios mínimos mensuales vigentes, celebrados en la modalidad de Régimen Especial, sujeto al Manual de Contratación aprobado por el Consejo Directivo, siguiendo los principios de igualdad, moralidad, imparcialidad y publicidad; contemplado en el artículo 13 de la Ley 715 de 2001. En ese sentido, el procedimiento para escoger a todos los proveedores de bienes y servicios es igual para todos los contratos, desarrollándose de la siguiente manera: </w:t>
      </w:r>
    </w:p>
    <w:p w14:paraId="31D64307" w14:textId="77777777" w:rsidR="001365BD" w:rsidRDefault="001365BD" w:rsidP="001365BD">
      <w:pPr>
        <w:pStyle w:val="Prrafodelista"/>
        <w:numPr>
          <w:ilvl w:val="0"/>
          <w:numId w:val="18"/>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Luego de los estudios previos y demás documentos precontractuales incluyendo la respectiva información se sube al </w:t>
      </w:r>
      <w:proofErr w:type="spellStart"/>
      <w:r>
        <w:rPr>
          <w:rFonts w:ascii="Verdana" w:eastAsia="Century Gothic" w:hAnsi="Verdana" w:cs="Century Gothic"/>
          <w:i/>
          <w:iCs/>
          <w:sz w:val="20"/>
          <w:szCs w:val="20"/>
        </w:rPr>
        <w:t>secop</w:t>
      </w:r>
      <w:proofErr w:type="spellEnd"/>
      <w:r>
        <w:rPr>
          <w:rFonts w:ascii="Verdana" w:eastAsia="Century Gothic" w:hAnsi="Verdana" w:cs="Century Gothic"/>
          <w:i/>
          <w:iCs/>
          <w:sz w:val="20"/>
          <w:szCs w:val="20"/>
        </w:rPr>
        <w:t xml:space="preserve"> II y se publica en la cartelera de la institución. </w:t>
      </w:r>
    </w:p>
    <w:p w14:paraId="03D62B7A" w14:textId="77777777" w:rsidR="001365BD" w:rsidRDefault="001365BD" w:rsidP="001365BD">
      <w:pPr>
        <w:pStyle w:val="Prrafodelista"/>
        <w:numPr>
          <w:ilvl w:val="0"/>
          <w:numId w:val="18"/>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Se continua con el cronograma del proceso de invitación o pliego de condiciones. </w:t>
      </w:r>
    </w:p>
    <w:p w14:paraId="4A4EA92F" w14:textId="77777777" w:rsidR="001365BD" w:rsidRDefault="001365BD" w:rsidP="001365BD">
      <w:pPr>
        <w:pStyle w:val="Prrafodelista"/>
        <w:numPr>
          <w:ilvl w:val="0"/>
          <w:numId w:val="18"/>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Se analiza bien la documentación recolectada y se aplican los requisitos legales habilitantes. </w:t>
      </w:r>
    </w:p>
    <w:p w14:paraId="46BD3CF3" w14:textId="77777777" w:rsidR="001365BD" w:rsidRDefault="001365BD" w:rsidP="001365BD">
      <w:pPr>
        <w:pStyle w:val="Prrafodelista"/>
        <w:numPr>
          <w:ilvl w:val="0"/>
          <w:numId w:val="18"/>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Una vez superado los pasos anteriores, se procede a escoger el proveedor con la oferta de menor precio, garantizando la calidad del bien o servicio.</w:t>
      </w:r>
    </w:p>
    <w:p w14:paraId="64D81E0D" w14:textId="77777777" w:rsidR="001365BD" w:rsidRDefault="001365BD" w:rsidP="001365BD">
      <w:pPr>
        <w:spacing w:after="0" w:line="240" w:lineRule="auto"/>
        <w:ind w:left="1069" w:right="709"/>
        <w:jc w:val="both"/>
        <w:rPr>
          <w:rFonts w:ascii="Verdana" w:eastAsia="Century Gothic" w:hAnsi="Verdana" w:cs="Century Gothic"/>
          <w:i/>
          <w:iCs/>
          <w:sz w:val="20"/>
          <w:szCs w:val="20"/>
        </w:rPr>
      </w:pPr>
    </w:p>
    <w:p w14:paraId="5205C884" w14:textId="77777777" w:rsidR="001365BD" w:rsidRPr="006A751F" w:rsidRDefault="001365BD" w:rsidP="001365BD">
      <w:pPr>
        <w:spacing w:after="0" w:line="240" w:lineRule="auto"/>
        <w:ind w:left="1069" w:right="709"/>
        <w:jc w:val="both"/>
        <w:rPr>
          <w:rFonts w:ascii="Verdana" w:eastAsia="Century Gothic" w:hAnsi="Verdana" w:cs="Century Gothic"/>
          <w:i/>
          <w:iCs/>
          <w:sz w:val="20"/>
          <w:szCs w:val="20"/>
        </w:rPr>
      </w:pPr>
      <w:r>
        <w:rPr>
          <w:rFonts w:ascii="Verdana" w:eastAsia="Century Gothic" w:hAnsi="Verdana" w:cs="Century Gothic"/>
          <w:i/>
          <w:iCs/>
          <w:sz w:val="20"/>
          <w:szCs w:val="20"/>
        </w:rPr>
        <w:t>Consulta: de acuerdo con la información anterior, ¿cuáles contratos se pueden celebrar y cuales no, durante la vigencia de la Ley de Garantías?”</w:t>
      </w:r>
    </w:p>
    <w:p w14:paraId="42EA4A18" w14:textId="77777777" w:rsidR="001365BD" w:rsidRDefault="001365BD" w:rsidP="001365BD">
      <w:pPr>
        <w:spacing w:after="120" w:line="276" w:lineRule="auto"/>
        <w:ind w:firstLine="709"/>
        <w:jc w:val="both"/>
        <w:rPr>
          <w:rFonts w:ascii="Verdana" w:eastAsia="Calibri" w:hAnsi="Verdana" w:cs="Arial"/>
          <w:color w:val="000000"/>
          <w:lang w:val="es-ES" w:eastAsia="es-ES"/>
        </w:rPr>
      </w:pPr>
    </w:p>
    <w:p w14:paraId="312941E7" w14:textId="77777777" w:rsidR="001365BD" w:rsidRDefault="001365BD" w:rsidP="001365BD">
      <w:pPr>
        <w:spacing w:after="120" w:line="276" w:lineRule="auto"/>
        <w:ind w:firstLine="709"/>
        <w:jc w:val="both"/>
        <w:rPr>
          <w:rFonts w:ascii="Verdana" w:eastAsia="Calibri" w:hAnsi="Verdana" w:cs="Arial"/>
          <w:color w:val="000000"/>
          <w:lang w:val="es-ES" w:eastAsia="es-ES"/>
        </w:rPr>
      </w:pPr>
    </w:p>
    <w:p w14:paraId="16D203D3" w14:textId="77777777" w:rsidR="001365BD" w:rsidRDefault="001365BD" w:rsidP="001365BD">
      <w:pPr>
        <w:spacing w:after="120" w:line="276" w:lineRule="auto"/>
        <w:ind w:firstLine="709"/>
        <w:jc w:val="both"/>
        <w:rPr>
          <w:rFonts w:ascii="Verdana" w:eastAsia="Calibri" w:hAnsi="Verdana" w:cs="Arial"/>
          <w:color w:val="000000"/>
          <w:lang w:val="es-ES" w:eastAsia="es-ES"/>
        </w:rPr>
      </w:pPr>
    </w:p>
    <w:p w14:paraId="11E98561" w14:textId="77777777" w:rsidR="001365BD" w:rsidRDefault="001365BD" w:rsidP="001365BD">
      <w:pPr>
        <w:spacing w:after="120" w:line="276" w:lineRule="auto"/>
        <w:jc w:val="both"/>
        <w:rPr>
          <w:rFonts w:ascii="Verdana" w:eastAsia="Calibri" w:hAnsi="Verdana" w:cs="Arial"/>
          <w:color w:val="000000"/>
          <w:lang w:val="es-ES" w:eastAsia="es-ES"/>
        </w:rPr>
      </w:pPr>
    </w:p>
    <w:p w14:paraId="46AE97E7" w14:textId="77777777" w:rsidR="001365BD" w:rsidRPr="005C170B" w:rsidRDefault="001365BD" w:rsidP="001365BD">
      <w:pPr>
        <w:spacing w:after="120" w:line="276" w:lineRule="auto"/>
        <w:ind w:firstLine="709"/>
        <w:jc w:val="both"/>
        <w:rPr>
          <w:rFonts w:ascii="Verdana" w:eastAsia="Calibri" w:hAnsi="Verdana" w:cs="Arial"/>
          <w:color w:val="000000"/>
          <w:szCs w:val="24"/>
          <w:lang w:val="es-ES_tradnl" w:eastAsia="es-ES_tradnl"/>
        </w:rPr>
      </w:pPr>
      <w:r w:rsidRPr="005C170B">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C170B">
        <w:rPr>
          <w:rFonts w:ascii="Verdana" w:eastAsia="Calibri" w:hAnsi="Verdana" w:cs="Arial"/>
          <w:color w:val="000000"/>
          <w:szCs w:val="24"/>
          <w:lang w:val="es-ES_tradnl" w:eastAsia="es-ES_tradnl"/>
        </w:rPr>
        <w:tab/>
      </w:r>
    </w:p>
    <w:p w14:paraId="33066591" w14:textId="77777777" w:rsidR="001365BD" w:rsidRPr="005C170B" w:rsidRDefault="001365BD" w:rsidP="001365BD">
      <w:pPr>
        <w:spacing w:after="0" w:line="276" w:lineRule="auto"/>
        <w:ind w:firstLine="709"/>
        <w:jc w:val="both"/>
        <w:rPr>
          <w:rFonts w:ascii="Verdana" w:eastAsia="Calibri" w:hAnsi="Verdana" w:cs="Arial"/>
          <w:color w:val="000000"/>
          <w:lang w:val="es-ES" w:eastAsia="es-ES"/>
        </w:rPr>
      </w:pPr>
      <w:r w:rsidRPr="005C170B">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w:t>
      </w:r>
      <w:r w:rsidRPr="005C170B">
        <w:rPr>
          <w:rFonts w:ascii="Verdana" w:eastAsia="Calibri" w:hAnsi="Verdana" w:cs="Arial"/>
          <w:lang w:val="es-ES" w:eastAsia="es-ES"/>
        </w:rPr>
        <w:t xml:space="preserve">el problema </w:t>
      </w:r>
      <w:r w:rsidRPr="005C170B">
        <w:rPr>
          <w:rFonts w:ascii="Verdana" w:eastAsia="Calibri" w:hAnsi="Verdana" w:cs="Arial"/>
          <w:color w:val="000000"/>
          <w:lang w:val="es-ES" w:eastAsia="es-ES"/>
        </w:rPr>
        <w:t xml:space="preserve">jurídico de su consulta. </w:t>
      </w:r>
    </w:p>
    <w:p w14:paraId="17732DB1" w14:textId="77777777" w:rsidR="001365BD" w:rsidRPr="005C170B" w:rsidRDefault="001365BD" w:rsidP="001365BD">
      <w:pPr>
        <w:spacing w:after="0" w:line="276" w:lineRule="auto"/>
        <w:ind w:firstLine="709"/>
        <w:jc w:val="both"/>
        <w:rPr>
          <w:rFonts w:ascii="Verdana" w:eastAsia="Calibri" w:hAnsi="Verdana" w:cs="Arial"/>
          <w:color w:val="000000"/>
          <w:lang w:val="es-ES" w:eastAsia="es-ES"/>
        </w:rPr>
      </w:pPr>
    </w:p>
    <w:p w14:paraId="38AC93C0" w14:textId="77777777" w:rsidR="001365BD" w:rsidRPr="005C170B" w:rsidRDefault="001365BD" w:rsidP="006455D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C170B">
        <w:rPr>
          <w:rFonts w:ascii="Verdana" w:eastAsia="Century Gothic" w:hAnsi="Verdana" w:cs="Century Gothic"/>
          <w:b/>
          <w:bCs/>
        </w:rPr>
        <w:t>Problema planteado:</w:t>
      </w:r>
    </w:p>
    <w:p w14:paraId="4FAD0C48" w14:textId="77777777" w:rsidR="001365BD" w:rsidRPr="005C170B" w:rsidRDefault="001365BD" w:rsidP="001365BD">
      <w:pPr>
        <w:spacing w:after="0" w:line="276" w:lineRule="auto"/>
        <w:ind w:firstLine="709"/>
        <w:jc w:val="both"/>
        <w:rPr>
          <w:rFonts w:ascii="Verdana" w:eastAsia="Century Gothic" w:hAnsi="Verdana" w:cs="Century Gothic"/>
        </w:rPr>
      </w:pPr>
    </w:p>
    <w:p w14:paraId="3CBD16B3" w14:textId="476AF752" w:rsidR="001365BD" w:rsidRDefault="001365BD" w:rsidP="00273061">
      <w:pPr>
        <w:spacing w:after="0" w:line="276" w:lineRule="auto"/>
        <w:jc w:val="both"/>
        <w:rPr>
          <w:rFonts w:ascii="Verdana" w:eastAsia="Century Gothic" w:hAnsi="Verdana" w:cs="Century Gothic"/>
        </w:rPr>
      </w:pPr>
      <w:r w:rsidRPr="005C170B">
        <w:rPr>
          <w:rFonts w:ascii="Verdana" w:eastAsia="Century Gothic" w:hAnsi="Verdana" w:cs="Century Gothic"/>
        </w:rPr>
        <w:t>De acuerdo con el contenido de su solicitud, esta Agencia el siguiente problema jurídico:</w:t>
      </w:r>
      <w:r>
        <w:rPr>
          <w:rFonts w:ascii="Verdana" w:eastAsia="Century Gothic" w:hAnsi="Verdana" w:cs="Century Gothic"/>
        </w:rPr>
        <w:t xml:space="preserve"> </w:t>
      </w:r>
      <w:r w:rsidRPr="002A59AA">
        <w:rPr>
          <w:rFonts w:ascii="Verdana" w:eastAsia="Century Gothic" w:hAnsi="Verdana" w:cs="Century Gothic"/>
        </w:rPr>
        <w:t xml:space="preserve">¿Qué tipologías contractuales pueden celebrar las Instituciones Públicas Educativas </w:t>
      </w:r>
      <w:r w:rsidR="00D902BD">
        <w:rPr>
          <w:rFonts w:ascii="Verdana" w:eastAsia="Century Gothic" w:hAnsi="Verdana" w:cs="Century Gothic"/>
        </w:rPr>
        <w:t>durante la</w:t>
      </w:r>
      <w:r w:rsidRPr="002A59AA">
        <w:rPr>
          <w:rFonts w:ascii="Verdana" w:eastAsia="Century Gothic" w:hAnsi="Verdana" w:cs="Century Gothic"/>
        </w:rPr>
        <w:t xml:space="preserve"> vigencia de la Ley de Garantías Electorales?</w:t>
      </w:r>
      <w:r>
        <w:rPr>
          <w:rFonts w:ascii="Verdana" w:eastAsia="Century Gothic" w:hAnsi="Verdana" w:cs="Century Gothic"/>
        </w:rPr>
        <w:t xml:space="preserve"> </w:t>
      </w:r>
    </w:p>
    <w:p w14:paraId="3D1CA420" w14:textId="77777777" w:rsidR="001365BD" w:rsidRPr="005C170B" w:rsidRDefault="001365BD" w:rsidP="001365BD">
      <w:pPr>
        <w:spacing w:after="0" w:line="276" w:lineRule="auto"/>
        <w:jc w:val="both"/>
        <w:rPr>
          <w:rFonts w:ascii="Verdana" w:eastAsia="Century Gothic" w:hAnsi="Verdana" w:cs="Century Gothic"/>
        </w:rPr>
      </w:pPr>
    </w:p>
    <w:p w14:paraId="0ED123F7" w14:textId="77777777" w:rsidR="001365BD" w:rsidRPr="005C170B" w:rsidRDefault="001365BD" w:rsidP="006455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Respuesta:</w:t>
      </w:r>
    </w:p>
    <w:p w14:paraId="085D6106" w14:textId="77777777" w:rsidR="001365BD" w:rsidRPr="005C170B" w:rsidRDefault="001365BD" w:rsidP="001365B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365BD" w:rsidRPr="005C170B" w14:paraId="777986CB" w14:textId="77777777" w:rsidTr="00F3137A">
        <w:tc>
          <w:tcPr>
            <w:tcW w:w="8828" w:type="dxa"/>
          </w:tcPr>
          <w:p w14:paraId="015FCFB1" w14:textId="77777777" w:rsidR="001365BD" w:rsidRPr="005C170B" w:rsidRDefault="001365BD" w:rsidP="00273061">
            <w:pPr>
              <w:spacing w:after="120" w:line="276" w:lineRule="auto"/>
              <w:jc w:val="both"/>
              <w:rPr>
                <w:rFonts w:ascii="Verdana" w:hAnsi="Verdana"/>
              </w:rPr>
            </w:pPr>
            <w:r w:rsidRPr="005C170B">
              <w:rPr>
                <w:rFonts w:ascii="Verdana" w:hAnsi="Verdana"/>
              </w:rPr>
              <w:t xml:space="preserve">Conforme a la interpretación general de las normas del sistema de compras públicas, el artículo 33 de la Ley 996 de 2005 prohíbe “[…] la contratación directa por parte de todos los entes del Estado” durante los cuatro (4) meses anteriores a las elecciones presidenciales, salvo i) lo referente a la defensa y seguridad del Estado, ii) los contratos de crédito público, iii) los requeridos para cubrir las emergencias educativas, sanitarias y desastres, así como </w:t>
            </w:r>
            <w:r w:rsidRPr="005C170B">
              <w:rPr>
                <w:rFonts w:ascii="Verdana" w:hAnsi="Verdana"/>
              </w:rPr>
              <w:lastRenderedPageBreak/>
              <w:t>también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53AF68BB" w14:textId="77777777" w:rsidR="001365BD" w:rsidRDefault="001365BD" w:rsidP="00273061">
            <w:pPr>
              <w:spacing w:after="120" w:line="276" w:lineRule="auto"/>
              <w:ind w:firstLine="709"/>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Por su parte, el parágrafo del artículo 38 de la Ley 996 de 2005 prohíbe a los </w:t>
            </w:r>
            <w:proofErr w:type="gramStart"/>
            <w:r w:rsidRPr="005C170B">
              <w:rPr>
                <w:rFonts w:ascii="Verdana" w:eastAsia="Calibri" w:hAnsi="Verdana" w:cs="Arial"/>
                <w:bCs/>
                <w:color w:val="000000" w:themeColor="text1"/>
              </w:rPr>
              <w:t>Alcaldes</w:t>
            </w:r>
            <w:proofErr w:type="gramEnd"/>
            <w:r w:rsidRPr="005C170B">
              <w:rPr>
                <w:rFonts w:ascii="Verdana" w:eastAsia="Calibri" w:hAnsi="Verdana" w:cs="Arial"/>
                <w:bCs/>
                <w:color w:val="000000" w:themeColor="text1"/>
              </w:rPr>
              <w:t xml:space="preserve">, Gobernadores, </w:t>
            </w:r>
            <w:proofErr w:type="gramStart"/>
            <w:r w:rsidRPr="005C170B">
              <w:rPr>
                <w:rFonts w:ascii="Verdana" w:eastAsia="Calibri" w:hAnsi="Verdana" w:cs="Arial"/>
                <w:bCs/>
                <w:color w:val="000000" w:themeColor="text1"/>
              </w:rPr>
              <w:t>Secretarios</w:t>
            </w:r>
            <w:proofErr w:type="gramEnd"/>
            <w:r w:rsidRPr="005C170B">
              <w:rPr>
                <w:rFonts w:ascii="Verdana" w:eastAsia="Calibri" w:hAnsi="Verdana" w:cs="Arial"/>
                <w:bCs/>
                <w:color w:val="000000" w:themeColor="text1"/>
              </w:rPr>
              <w:t xml:space="preserve">, Gerentes y </w:t>
            </w:r>
            <w:proofErr w:type="gramStart"/>
            <w:r w:rsidRPr="005C170B">
              <w:rPr>
                <w:rFonts w:ascii="Verdana" w:eastAsia="Calibri" w:hAnsi="Verdana" w:cs="Arial"/>
                <w:bCs/>
                <w:color w:val="000000" w:themeColor="text1"/>
              </w:rPr>
              <w:t>Directores</w:t>
            </w:r>
            <w:proofErr w:type="gramEnd"/>
            <w:r w:rsidRPr="005C170B">
              <w:rPr>
                <w:rFonts w:ascii="Verdana" w:eastAsia="Calibri" w:hAnsi="Verdana" w:cs="Arial"/>
                <w:bCs/>
                <w:color w:val="000000" w:themeColor="text1"/>
              </w:rPr>
              <w:t xml:space="preserve"> de las entidades del orden municipal, departamental o distrital celebrar convenios interadministrativos para la ejecución de recursos públicos. En este sentido, si </w:t>
            </w:r>
            <w:r w:rsidRPr="00F027C0">
              <w:rPr>
                <w:rFonts w:ascii="Verdana" w:eastAsia="Calibri" w:hAnsi="Verdana" w:cs="Arial"/>
                <w:bCs/>
                <w:color w:val="000000" w:themeColor="text1"/>
              </w:rPr>
              <w:t>una o ambas partes de la relación negocial corresponden a entidades de aquellas descritas en el parágrafo ibidem,</w:t>
            </w:r>
            <w:r w:rsidRPr="005C170B">
              <w:rPr>
                <w:rFonts w:ascii="Verdana" w:eastAsia="Calibri" w:hAnsi="Verdana" w:cs="Arial"/>
                <w:bCs/>
                <w:color w:val="000000" w:themeColor="text1"/>
              </w:rPr>
              <w:t xml:space="preserve"> no podrán celebrarse tales convenios durante la aplicación de la Ley de Garantías Electorales, toda vez que la citada disposición se refiere de manera expresa y exclusiva a dicha tipología negocial, sin que el legislador haya previsto un efecto extensivo a otras formas contractuales. </w:t>
            </w:r>
          </w:p>
          <w:p w14:paraId="0B51A6F4" w14:textId="68AD70AC" w:rsidR="001365BD" w:rsidRDefault="001365BD" w:rsidP="00F3137A">
            <w:pPr>
              <w:spacing w:after="120" w:line="276" w:lineRule="auto"/>
              <w:ind w:firstLine="709"/>
              <w:jc w:val="both"/>
              <w:rPr>
                <w:rFonts w:ascii="Verdana" w:hAnsi="Verdana"/>
                <w:bCs/>
                <w:lang w:val="es-MX" w:eastAsia="es-CO"/>
              </w:rPr>
            </w:pPr>
            <w:r>
              <w:rPr>
                <w:rFonts w:ascii="Verdana" w:eastAsia="Calibri" w:hAnsi="Verdana" w:cs="Arial"/>
                <w:bCs/>
                <w:color w:val="000000" w:themeColor="text1"/>
              </w:rPr>
              <w:t xml:space="preserve">En relación con su consulta, debe señalarse que, </w:t>
            </w:r>
            <w:r w:rsidRPr="003D0447">
              <w:rPr>
                <w:rFonts w:ascii="Verdana" w:hAnsi="Verdana"/>
                <w:bCs/>
                <w:lang w:val="es-MX" w:eastAsia="es-CO"/>
              </w:rPr>
              <w:t xml:space="preserve">la restricción del artículo 33 aplica a todos los </w:t>
            </w:r>
            <w:r w:rsidRPr="00273061">
              <w:rPr>
                <w:rFonts w:ascii="Verdana" w:hAnsi="Verdana"/>
                <w:i/>
                <w:lang w:val="es-MX" w:eastAsia="es-CO"/>
              </w:rPr>
              <w:t>“entes del Estado”,</w:t>
            </w:r>
            <w:r w:rsidRPr="003D0447">
              <w:rPr>
                <w:rFonts w:ascii="Verdana" w:hAnsi="Verdana"/>
                <w:bCs/>
                <w:lang w:val="es-MX" w:eastAsia="es-CO"/>
              </w:rPr>
              <w:t xml:space="preserve"> independiente de su régimen, por lo que la misma aplica a los establecimientos públicos de educación, dada su calidad de entes estatales. En consecuencia, al margen que estas entidades estén sometidas al Estatuto General de Contratación de la Administración Públicas</w:t>
            </w:r>
            <w:r>
              <w:rPr>
                <w:rFonts w:ascii="Verdana" w:hAnsi="Verdana"/>
                <w:bCs/>
                <w:lang w:val="es-MX" w:eastAsia="es-CO"/>
              </w:rPr>
              <w:t xml:space="preserve"> o </w:t>
            </w:r>
            <w:r w:rsidRPr="003D0447">
              <w:rPr>
                <w:rFonts w:ascii="Verdana" w:hAnsi="Verdana"/>
                <w:bCs/>
                <w:lang w:val="es-MX" w:eastAsia="es-CO"/>
              </w:rPr>
              <w:t>tengan un régimen especial</w:t>
            </w:r>
            <w:r>
              <w:rPr>
                <w:rFonts w:ascii="Verdana" w:hAnsi="Verdana"/>
                <w:bCs/>
                <w:lang w:val="es-MX" w:eastAsia="es-CO"/>
              </w:rPr>
              <w:t xml:space="preserve"> como es el caso, el ejercicio de la autonomía contractual debe realizarse con sujeción plena a las normas constitucionales y legales que regulan los deberes, responsabilidades y limitantes. Es así como, todos los entes del estado </w:t>
            </w:r>
            <w:r w:rsidRPr="003D0447">
              <w:rPr>
                <w:rFonts w:ascii="Verdana" w:hAnsi="Verdana"/>
                <w:bCs/>
                <w:lang w:val="es-MX" w:eastAsia="es-CO"/>
              </w:rPr>
              <w:t xml:space="preserve">tienen restringida la contratación </w:t>
            </w:r>
            <w:r w:rsidR="001F0D0F">
              <w:rPr>
                <w:rFonts w:ascii="Verdana" w:hAnsi="Verdana"/>
                <w:bCs/>
                <w:lang w:val="es-MX" w:eastAsia="es-CO"/>
              </w:rPr>
              <w:t>directa</w:t>
            </w:r>
            <w:r w:rsidRPr="003D0447">
              <w:rPr>
                <w:rFonts w:ascii="Verdana" w:hAnsi="Verdana"/>
                <w:bCs/>
                <w:lang w:val="es-MX" w:eastAsia="es-CO"/>
              </w:rPr>
              <w:t xml:space="preserve"> durante el periodo prelectorales de</w:t>
            </w:r>
            <w:r>
              <w:rPr>
                <w:rFonts w:ascii="Verdana" w:hAnsi="Verdana"/>
                <w:bCs/>
                <w:lang w:val="es-MX" w:eastAsia="es-CO"/>
              </w:rPr>
              <w:t xml:space="preserve"> </w:t>
            </w:r>
            <w:r w:rsidRPr="003D0447">
              <w:rPr>
                <w:rFonts w:ascii="Verdana" w:hAnsi="Verdana"/>
                <w:bCs/>
                <w:lang w:val="es-MX" w:eastAsia="es-CO"/>
              </w:rPr>
              <w:t>los cuatro (4) meses previos a las elecciones presidenciales, salvo que se realice al amparo de las excepciones previstas en el inciso final del artículo 33 de la Ley 996 de 2005.</w:t>
            </w:r>
          </w:p>
          <w:p w14:paraId="74299B45" w14:textId="42B7318B" w:rsidR="001F0D0F" w:rsidRDefault="001365BD">
            <w:pPr>
              <w:spacing w:after="120" w:line="276" w:lineRule="auto"/>
              <w:ind w:firstLine="709"/>
              <w:jc w:val="both"/>
              <w:rPr>
                <w:rFonts w:ascii="Verdana" w:hAnsi="Verdana"/>
                <w:bCs/>
                <w:lang w:val="es-MX" w:eastAsia="es-CO"/>
              </w:rPr>
            </w:pPr>
            <w:r w:rsidRPr="000D2418">
              <w:rPr>
                <w:rFonts w:ascii="Verdana" w:hAnsi="Verdana"/>
                <w:bCs/>
                <w:lang w:val="es-MX" w:eastAsia="es-CO"/>
              </w:rPr>
              <w:t>De lo anterior se colige que, en virtud de la restricción establecida en el primer inciso artículo 33, los establecimientos públicos de educación tienen vedada la celebración de convenios o contratos de manera directa durante las elecciones presidenciales, ya sea con otras entidades de la misma naturaleza</w:t>
            </w:r>
            <w:r>
              <w:rPr>
                <w:rFonts w:ascii="Verdana" w:hAnsi="Verdana"/>
                <w:bCs/>
                <w:lang w:val="es-MX" w:eastAsia="es-CO"/>
              </w:rPr>
              <w:t>,</w:t>
            </w:r>
            <w:r w:rsidRPr="000D2418">
              <w:rPr>
                <w:rFonts w:ascii="Verdana" w:hAnsi="Verdana"/>
                <w:bCs/>
                <w:lang w:val="es-MX" w:eastAsia="es-CO"/>
              </w:rPr>
              <w:t xml:space="preserve"> de carácter privado</w:t>
            </w:r>
            <w:r>
              <w:rPr>
                <w:rFonts w:ascii="Verdana" w:hAnsi="Verdana"/>
                <w:bCs/>
                <w:lang w:val="es-MX" w:eastAsia="es-CO"/>
              </w:rPr>
              <w:t>, personas naturales o jurídicas.</w:t>
            </w:r>
            <w:r w:rsidRPr="000D2418">
              <w:rPr>
                <w:rFonts w:ascii="Verdana" w:hAnsi="Verdana"/>
                <w:bCs/>
                <w:lang w:val="es-MX" w:eastAsia="es-CO"/>
              </w:rPr>
              <w:t xml:space="preserve"> Esto sin perjuicio de la eventual aplicación de alguna de las excepciones previstas en el inciso final de la norma, con sustento en las cuales, </w:t>
            </w:r>
            <w:r>
              <w:rPr>
                <w:rFonts w:ascii="Verdana" w:hAnsi="Verdana"/>
                <w:bCs/>
                <w:lang w:val="es-MX" w:eastAsia="es-CO"/>
              </w:rPr>
              <w:t>las</w:t>
            </w:r>
            <w:r w:rsidRPr="000D2418">
              <w:rPr>
                <w:rFonts w:ascii="Verdana" w:hAnsi="Verdana"/>
                <w:bCs/>
                <w:lang w:val="es-MX" w:eastAsia="es-CO"/>
              </w:rPr>
              <w:t xml:space="preserve"> instituciones de educación públicas podrían suscribir contratos de manera directa durante el periodo prelectoral </w:t>
            </w:r>
            <w:r w:rsidRPr="000D2418">
              <w:rPr>
                <w:rFonts w:ascii="Verdana" w:hAnsi="Verdana"/>
                <w:bCs/>
                <w:lang w:val="es-MX" w:eastAsia="es-CO"/>
              </w:rPr>
              <w:lastRenderedPageBreak/>
              <w:t>señalado sin vulnerar la restricción, siempre que en efecto se configure alguno de los supuestos de hecho de las excepciones y no se contravengan otras normas jurídicas.</w:t>
            </w:r>
          </w:p>
          <w:p w14:paraId="42029693" w14:textId="77777777" w:rsidR="001F0D0F" w:rsidRDefault="002B5E29" w:rsidP="00273061">
            <w:pPr>
              <w:spacing w:after="120" w:line="276" w:lineRule="auto"/>
              <w:ind w:firstLine="709"/>
              <w:jc w:val="both"/>
              <w:rPr>
                <w:rFonts w:ascii="Verdana" w:eastAsia="Calibri" w:hAnsi="Verdana" w:cs="Arial"/>
                <w:bCs/>
                <w:color w:val="000000" w:themeColor="text1"/>
              </w:rPr>
            </w:pPr>
            <w:r>
              <w:rPr>
                <w:rFonts w:ascii="Verdana" w:hAnsi="Verdana"/>
                <w:bCs/>
                <w:lang w:val="es-MX" w:eastAsia="es-CO"/>
              </w:rPr>
              <w:t xml:space="preserve">Ahora bien, </w:t>
            </w:r>
            <w:r w:rsidR="001F0D0F" w:rsidRPr="005C170B">
              <w:rPr>
                <w:rFonts w:ascii="Verdana" w:eastAsia="Calibri" w:hAnsi="Verdana" w:cs="Arial"/>
                <w:bCs/>
                <w:color w:val="000000" w:themeColor="text1"/>
              </w:rPr>
              <w:t>la prohibición establecida en el artículo 33 de la Ley de Garantías Electorales se aplica a</w:t>
            </w:r>
            <w:r w:rsidR="001F0D0F" w:rsidRPr="00682C9A">
              <w:rPr>
                <w:rFonts w:ascii="Verdana" w:eastAsia="Calibri" w:hAnsi="Verdana" w:cs="Arial"/>
                <w:bCs/>
                <w:color w:val="000000" w:themeColor="text1"/>
              </w:rPr>
              <w:t xml:space="preserve"> “todo mecanismo que no contemple una convocatoria pública ni permita la participación de múltiples oferentes”. </w:t>
            </w:r>
            <w:r w:rsidR="001F0D0F" w:rsidRPr="005C170B">
              <w:rPr>
                <w:rFonts w:ascii="Verdana" w:eastAsia="Calibri" w:hAnsi="Verdana" w:cs="Arial"/>
                <w:bCs/>
                <w:color w:val="000000" w:themeColor="text1"/>
              </w:rPr>
              <w:t>En consecuencia, quedan excluidas las demás modalidades de contratación contempladas en la Ley 1150 de 2007, tales como la licitación pública, la selección abreviada y el concurso de méritos, así como aquellas modalidades abiertas y competitivas previstas en disposiciones especiales.</w:t>
            </w:r>
          </w:p>
          <w:p w14:paraId="39FDB4FE" w14:textId="62B83D0C" w:rsidR="002B5E29" w:rsidRPr="00A7363B" w:rsidRDefault="001F0D0F" w:rsidP="00F3137A">
            <w:pPr>
              <w:spacing w:after="120" w:line="276" w:lineRule="auto"/>
              <w:ind w:firstLine="709"/>
              <w:jc w:val="both"/>
              <w:rPr>
                <w:rFonts w:ascii="Verdana" w:hAnsi="Verdana"/>
                <w:bCs/>
                <w:lang w:val="es-MX" w:eastAsia="es-CO"/>
              </w:rPr>
            </w:pPr>
            <w:r w:rsidRPr="005C170B">
              <w:rPr>
                <w:rFonts w:ascii="Verdana" w:eastAsia="Calibri" w:hAnsi="Verdana" w:cs="Arial"/>
                <w:bCs/>
                <w:color w:val="000000" w:themeColor="text1"/>
              </w:rPr>
              <w:t>De tal manera, debe entenderse que, para los efectos de la Ley de Garantías Electorales y, en particular, para la prohibición o restricción temporal contenida en su artículo 33, la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Calibri" w:hAnsi="Verdana" w:cs="Arial"/>
                <w:bCs/>
                <w:color w:val="000000" w:themeColor="text1"/>
              </w:rPr>
              <w:t>.</w:t>
            </w:r>
          </w:p>
          <w:p w14:paraId="5139B4C0" w14:textId="77777777" w:rsidR="001365BD" w:rsidRPr="005C170B" w:rsidRDefault="001365BD" w:rsidP="00F3137A">
            <w:pPr>
              <w:spacing w:after="120" w:line="276" w:lineRule="auto"/>
              <w:ind w:firstLine="709"/>
              <w:jc w:val="both"/>
              <w:rPr>
                <w:rFonts w:ascii="Verdana" w:hAnsi="Verdana" w:cs="Arial"/>
                <w:shd w:val="clear" w:color="auto" w:fill="FFFFFF"/>
                <w:lang w:val="es-ES"/>
              </w:rPr>
            </w:pPr>
            <w:r w:rsidRPr="005C170B">
              <w:rPr>
                <w:rFonts w:ascii="Verdana" w:hAnsi="Verdana" w:cs="Arial"/>
                <w:shd w:val="clear" w:color="auto" w:fill="FFFFFF"/>
                <w:lang w:val="es-ES"/>
              </w:rPr>
              <w:t xml:space="preserve">En concordancia con lo expuesto, resulta necesario indicar que de acuerdo con la Resolución No. 2580 del 5 de marzo de 2025, la Registraduría Nacional del Estado Civil fijó el calendario electoral, informando que la restricción a la celebración de convenios interadministrativos aplicable a las entidades territoriales inició el pasado ocho (8) de noviembre de 2025, mientras que la restricción general a la contratación directa que cobija a todas las Entidades Estatales comenzó a regir a partir del treinta y uno (31) de enero de 2026. Ambas se mantendrán hasta el treinta y uno (31) de mayo o veinte y uno (21) de junio de 2026, en caso de requerirse segunda vuelta en las elecciones presidenciales. </w:t>
            </w:r>
          </w:p>
          <w:p w14:paraId="2DD80983" w14:textId="53D04AB6" w:rsidR="001365BD" w:rsidRDefault="001365BD" w:rsidP="00F3137A">
            <w:pPr>
              <w:spacing w:after="120" w:line="276" w:lineRule="auto"/>
              <w:ind w:firstLine="709"/>
              <w:jc w:val="both"/>
              <w:rPr>
                <w:rFonts w:ascii="Verdana" w:hAnsi="Verdana" w:cs="Arial"/>
                <w:lang w:eastAsia="es-CO"/>
              </w:rPr>
            </w:pPr>
            <w:r w:rsidRPr="005C170B">
              <w:rPr>
                <w:rFonts w:ascii="Verdana" w:eastAsia="Calibri" w:hAnsi="Verdana" w:cs="Arial"/>
              </w:rPr>
              <w:t xml:space="preserve">Teniendo en cuenta lo anterior, cada Entidad Estatal, en este caso, las </w:t>
            </w:r>
            <w:r>
              <w:rPr>
                <w:rFonts w:ascii="Verdana" w:eastAsia="Calibri" w:hAnsi="Verdana" w:cs="Arial"/>
              </w:rPr>
              <w:t xml:space="preserve">Instituciones </w:t>
            </w:r>
            <w:r w:rsidRPr="005C170B">
              <w:rPr>
                <w:rFonts w:ascii="Verdana" w:eastAsia="Calibri" w:hAnsi="Verdana" w:cs="Arial"/>
              </w:rPr>
              <w:t>Públicas, deberán realizar el correspondiente análisis para determinar si aplica o no una determinada excepción a la</w:t>
            </w:r>
            <w:r w:rsidR="002B5E29">
              <w:rPr>
                <w:rFonts w:ascii="Verdana" w:eastAsia="Calibri" w:hAnsi="Verdana" w:cs="Arial"/>
              </w:rPr>
              <w:t>s prohibiciones</w:t>
            </w:r>
            <w:r w:rsidRPr="005C170B">
              <w:rPr>
                <w:rFonts w:ascii="Verdana" w:eastAsia="Calibri" w:hAnsi="Verdana" w:cs="Arial"/>
              </w:rPr>
              <w:t xml:space="preserve">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5C170B">
              <w:rPr>
                <w:rFonts w:ascii="Verdana" w:hAnsi="Verdana" w:cs="Arial"/>
                <w:lang w:eastAsia="es-CO"/>
              </w:rPr>
              <w:t xml:space="preserve">. Por el contrario, si el estudio determina </w:t>
            </w:r>
            <w:r w:rsidRPr="005C170B">
              <w:rPr>
                <w:rFonts w:ascii="Verdana" w:hAnsi="Verdana" w:cs="Arial"/>
                <w:lang w:eastAsia="es-CO"/>
              </w:rPr>
              <w:lastRenderedPageBreak/>
              <w:t>que no aplica excepción alguna estará vedada la celebración de contratos de manera directa.</w:t>
            </w:r>
          </w:p>
          <w:p w14:paraId="53F19F4F" w14:textId="77777777" w:rsidR="001365BD" w:rsidRPr="005C170B" w:rsidRDefault="001365BD" w:rsidP="00F3137A">
            <w:pPr>
              <w:spacing w:after="120" w:line="276" w:lineRule="auto"/>
              <w:ind w:firstLine="709"/>
              <w:jc w:val="both"/>
              <w:rPr>
                <w:rFonts w:ascii="Verdana" w:eastAsia="Times New Roman" w:hAnsi="Verdana" w:cs="Arial"/>
                <w:bCs/>
                <w:lang w:val="es-ES_tradnl" w:eastAsia="es-MX"/>
              </w:rPr>
            </w:pPr>
            <w:r w:rsidRPr="005C170B">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02DB148" w14:textId="77777777" w:rsidR="001365BD" w:rsidRPr="005C170B" w:rsidRDefault="001365BD" w:rsidP="001365BD">
      <w:pPr>
        <w:tabs>
          <w:tab w:val="left" w:pos="142"/>
          <w:tab w:val="left" w:pos="284"/>
        </w:tabs>
        <w:spacing w:after="0" w:line="276" w:lineRule="auto"/>
        <w:jc w:val="both"/>
        <w:rPr>
          <w:rFonts w:ascii="Verdana" w:eastAsia="Century Gothic" w:hAnsi="Verdana" w:cs="Century Gothic"/>
          <w:b/>
          <w:bCs/>
          <w:lang w:val="es-ES"/>
        </w:rPr>
      </w:pPr>
    </w:p>
    <w:p w14:paraId="43F6C816" w14:textId="77777777" w:rsidR="001365BD" w:rsidRPr="005C170B" w:rsidRDefault="001365BD" w:rsidP="001365B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Razones de la respuesta:</w:t>
      </w:r>
    </w:p>
    <w:p w14:paraId="6D66BEEB" w14:textId="77777777" w:rsidR="001365BD" w:rsidRPr="005C170B" w:rsidRDefault="001365BD" w:rsidP="001365BD">
      <w:pPr>
        <w:spacing w:after="0" w:line="276" w:lineRule="auto"/>
        <w:jc w:val="both"/>
        <w:rPr>
          <w:rFonts w:ascii="Verdana" w:eastAsia="Calibri" w:hAnsi="Verdana" w:cs="Arial"/>
          <w:color w:val="7030A0"/>
          <w:lang w:val="es-ES"/>
        </w:rPr>
      </w:pPr>
    </w:p>
    <w:p w14:paraId="19B72FCA" w14:textId="77777777" w:rsidR="001365BD" w:rsidRPr="005C170B" w:rsidRDefault="001365BD" w:rsidP="001365BD">
      <w:pPr>
        <w:spacing w:after="0" w:line="276" w:lineRule="auto"/>
        <w:jc w:val="both"/>
        <w:rPr>
          <w:rFonts w:ascii="Verdana" w:eastAsia="Calibri" w:hAnsi="Verdana" w:cs="Arial"/>
          <w:lang w:val="es-ES"/>
        </w:rPr>
      </w:pPr>
      <w:r w:rsidRPr="005C170B">
        <w:rPr>
          <w:rFonts w:ascii="Verdana" w:eastAsia="Calibri" w:hAnsi="Verdana" w:cs="Arial"/>
          <w:lang w:val="es-ES"/>
        </w:rPr>
        <w:t xml:space="preserve">Lo anterior se sustenta en las siguientes consideraciones: </w:t>
      </w:r>
    </w:p>
    <w:p w14:paraId="23B119F2" w14:textId="77777777" w:rsidR="001365BD" w:rsidRPr="005C170B" w:rsidRDefault="001365BD" w:rsidP="001365BD">
      <w:pPr>
        <w:spacing w:after="0" w:line="276" w:lineRule="auto"/>
        <w:jc w:val="both"/>
        <w:rPr>
          <w:rFonts w:ascii="Verdana" w:eastAsia="Calibri" w:hAnsi="Verdana" w:cs="Arial"/>
          <w:lang w:val="es-ES"/>
        </w:rPr>
      </w:pPr>
    </w:p>
    <w:p w14:paraId="32720C0E" w14:textId="6C6F9812" w:rsidR="001365BD" w:rsidRPr="005C170B" w:rsidRDefault="001365BD" w:rsidP="00273061">
      <w:pPr>
        <w:spacing w:after="120" w:line="276" w:lineRule="auto"/>
        <w:jc w:val="both"/>
        <w:rPr>
          <w:rFonts w:ascii="Verdana" w:eastAsia="Calibri" w:hAnsi="Verdana" w:cs="Arial"/>
          <w:bCs/>
          <w:lang w:val="es-ES_tradnl" w:eastAsia="es-MX"/>
        </w:rPr>
      </w:pPr>
      <w:bookmarkStart w:id="1" w:name="_Hlk54011258"/>
      <w:r w:rsidRPr="005C170B">
        <w:rPr>
          <w:rFonts w:ascii="Verdana" w:eastAsia="Calibri" w:hAnsi="Verdana" w:cs="Arial"/>
          <w:b/>
          <w:lang w:val="es-ES_tradnl" w:eastAsia="es-MX"/>
        </w:rPr>
        <w:t>i.</w:t>
      </w:r>
      <w:r w:rsidRPr="005C170B">
        <w:rPr>
          <w:rFonts w:ascii="Verdana" w:eastAsia="Calibri" w:hAnsi="Verdana" w:cs="Arial"/>
          <w:bCs/>
          <w:lang w:val="es-ES_tradnl" w:eastAsia="es-MX"/>
        </w:rPr>
        <w:t xml:space="preserve"> </w:t>
      </w:r>
      <w:bookmarkEnd w:id="1"/>
      <w:r w:rsidRPr="005C170B">
        <w:rPr>
          <w:rFonts w:ascii="Verdana" w:eastAsia="Calibri" w:hAnsi="Verdana" w:cs="Arial"/>
          <w:bCs/>
          <w:lang w:val="es-ES_tradnl" w:eastAsia="es-MX"/>
        </w:rPr>
        <w:t xml:space="preserve"> </w:t>
      </w:r>
      <w:r w:rsidRPr="000A28E1">
        <w:rPr>
          <w:rFonts w:ascii="Verdana" w:eastAsia="Calibri" w:hAnsi="Verdana" w:cs="Arial"/>
          <w:bCs/>
          <w:lang w:eastAsia="es-MX"/>
        </w:rPr>
        <w:t>El ordenamiento jurídico colombiano contempla una serie de previsiones para evitar la obtención de beneficios personales en asuntos propios de la administración.</w:t>
      </w:r>
      <w:r>
        <w:rPr>
          <w:rFonts w:ascii="Verdana" w:eastAsia="Calibri" w:hAnsi="Verdana" w:cs="Arial"/>
          <w:bCs/>
          <w:color w:val="000000" w:themeColor="text1"/>
        </w:rPr>
        <w:t xml:space="preserve"> </w:t>
      </w:r>
      <w:r w:rsidRPr="005C170B">
        <w:rPr>
          <w:rFonts w:ascii="Verdana" w:eastAsia="Calibri" w:hAnsi="Verdana" w:cs="Arial"/>
          <w:bCs/>
          <w:color w:val="000000" w:themeColor="text1"/>
        </w:rPr>
        <w:t>Un destacado ejemplo de lo anterior es la Ley 996 de 2005, conocida como “Ley de Garantías Electorales”, cuyo propósito es asegurar la neutralidad, transparencia e imparcialidad en los procesos electorales</w:t>
      </w:r>
      <w:r>
        <w:rPr>
          <w:rFonts w:ascii="Verdana" w:eastAsia="Calibri" w:hAnsi="Verdana" w:cs="Arial"/>
          <w:bCs/>
          <w:color w:val="000000" w:themeColor="text1"/>
        </w:rPr>
        <w:t xml:space="preserve">; busca </w:t>
      </w:r>
      <w:r w:rsidRPr="005C170B">
        <w:rPr>
          <w:rFonts w:ascii="Verdana" w:eastAsia="Calibri" w:hAnsi="Verdana" w:cs="Arial"/>
          <w:bCs/>
          <w:color w:val="000000" w:themeColor="text1"/>
        </w:rPr>
        <w:t>impedir que quienes ejercen el poder público utilicen los recursos del Estado para incidir en la voluntad del electorado.</w:t>
      </w:r>
      <w:r>
        <w:rPr>
          <w:rFonts w:ascii="Verdana" w:eastAsia="Calibri" w:hAnsi="Verdana" w:cs="Arial"/>
          <w:bCs/>
          <w:color w:val="000000" w:themeColor="text1"/>
        </w:rPr>
        <w:t xml:space="preserve"> Adicionalmente,</w:t>
      </w:r>
      <w:r w:rsidRPr="005C170B">
        <w:rPr>
          <w:rFonts w:ascii="Verdana" w:eastAsia="Calibri" w:hAnsi="Verdana" w:cs="Arial"/>
          <w:bCs/>
          <w:color w:val="000000" w:themeColor="text1"/>
        </w:rPr>
        <w:t xml:space="preserve"> evitar cualquier tipo de arbitrariedad, de ventaja injustificada, de uso irregular de los recursos del Estado en las campañas o falta de garantías en la elección presidencial</w:t>
      </w:r>
      <w:r w:rsidRPr="005C170B">
        <w:rPr>
          <w:rStyle w:val="Refdenotaalpie"/>
          <w:rFonts w:ascii="Verdana" w:eastAsia="Calibri" w:hAnsi="Verdana" w:cs="Arial"/>
          <w:bCs/>
          <w:color w:val="000000" w:themeColor="text1"/>
        </w:rPr>
        <w:footnoteReference w:id="1"/>
      </w:r>
      <w:r w:rsidRPr="005C170B">
        <w:rPr>
          <w:rFonts w:ascii="Verdana" w:eastAsia="Calibri" w:hAnsi="Verdana" w:cs="Arial"/>
          <w:bCs/>
          <w:color w:val="000000" w:themeColor="text1"/>
        </w:rPr>
        <w:t xml:space="preserve">. En esta medida, introduce limitaciones para realizar nombramientos, postulaciones, contrataciones o cualquier otro tipo de actividad que implique destinación de recursos públicos bajo el devenir propio de las Entidades Estatales. </w:t>
      </w:r>
    </w:p>
    <w:p w14:paraId="5C453D04" w14:textId="77777777" w:rsidR="001365BD" w:rsidRPr="005C170B" w:rsidRDefault="001365BD" w:rsidP="001365BD">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En armonía con lo anterior, la Corte Constitucional ha abordado la definición de la Ley de Garantías Electorales. De esta manera, explica que tiene como propósito: </w:t>
      </w:r>
    </w:p>
    <w:p w14:paraId="6742AAAD" w14:textId="77777777" w:rsidR="001365BD" w:rsidRPr="005C170B" w:rsidRDefault="001365BD" w:rsidP="001365BD">
      <w:pPr>
        <w:spacing w:after="0" w:line="276" w:lineRule="auto"/>
        <w:ind w:firstLine="708"/>
        <w:jc w:val="both"/>
        <w:rPr>
          <w:rFonts w:ascii="Verdana" w:eastAsia="Calibri" w:hAnsi="Verdana" w:cs="Arial"/>
          <w:bCs/>
          <w:color w:val="000000" w:themeColor="text1"/>
        </w:rPr>
      </w:pPr>
    </w:p>
    <w:p w14:paraId="039AA217" w14:textId="77777777" w:rsidR="001365BD" w:rsidRPr="005C170B" w:rsidRDefault="001365BD" w:rsidP="00D70255">
      <w:pPr>
        <w:spacing w:after="0" w:line="276" w:lineRule="auto"/>
        <w:ind w:left="708"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lastRenderedPageBreak/>
        <w:t>“[…] la definición de reglas claras que permitan acceder a los canales de expresión democrática de manera efectiva e igualitaria. El objetivo de una ley de garantías es definir esas reglas. […] 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5C170B">
        <w:rPr>
          <w:rStyle w:val="Refdenotaalpie"/>
          <w:rFonts w:ascii="Verdana" w:eastAsia="Calibri" w:hAnsi="Verdana" w:cs="Arial"/>
          <w:bCs/>
          <w:color w:val="000000" w:themeColor="text1"/>
          <w:sz w:val="20"/>
          <w:szCs w:val="20"/>
        </w:rPr>
        <w:footnoteReference w:id="2"/>
      </w:r>
    </w:p>
    <w:p w14:paraId="5E490DC4" w14:textId="77777777" w:rsidR="001365BD" w:rsidRPr="005C170B" w:rsidRDefault="001365BD" w:rsidP="001365BD">
      <w:pPr>
        <w:spacing w:after="0" w:line="276" w:lineRule="auto"/>
        <w:ind w:firstLine="709"/>
        <w:jc w:val="both"/>
        <w:rPr>
          <w:rFonts w:ascii="Verdana" w:eastAsia="Calibri" w:hAnsi="Verdana" w:cs="Arial"/>
          <w:bCs/>
          <w:lang w:val="es-ES_tradnl" w:eastAsia="es-MX"/>
        </w:rPr>
      </w:pPr>
    </w:p>
    <w:p w14:paraId="6A199BC6" w14:textId="4F7FAE39" w:rsidR="001365BD" w:rsidRPr="005C170B" w:rsidRDefault="001365BD" w:rsidP="00D70255">
      <w:pPr>
        <w:spacing w:after="120" w:line="276" w:lineRule="auto"/>
        <w:ind w:firstLine="708"/>
        <w:jc w:val="both"/>
        <w:rPr>
          <w:rFonts w:ascii="Verdana" w:eastAsia="Calibri" w:hAnsi="Verdana" w:cs="Arial"/>
          <w:bCs/>
          <w:lang w:val="es-ES_tradnl" w:eastAsia="es-MX"/>
        </w:rPr>
      </w:pPr>
      <w:r w:rsidRPr="005C170B">
        <w:rPr>
          <w:rFonts w:ascii="Verdana" w:eastAsia="Calibri" w:hAnsi="Verdana" w:cs="Arial"/>
          <w:bCs/>
          <w:color w:val="000000" w:themeColor="text1"/>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w:t>
      </w:r>
      <w:r>
        <w:rPr>
          <w:rFonts w:ascii="Verdana" w:eastAsia="Calibri" w:hAnsi="Verdana" w:cs="Arial"/>
          <w:bCs/>
          <w:color w:val="000000" w:themeColor="text1"/>
        </w:rPr>
        <w:t xml:space="preserve">, tales como el Fondo de Servicios Educativos, </w:t>
      </w:r>
      <w:r w:rsidRPr="005C170B">
        <w:rPr>
          <w:rFonts w:ascii="Verdana" w:eastAsia="Calibri" w:hAnsi="Verdana" w:cs="Arial"/>
          <w:bCs/>
          <w:color w:val="000000" w:themeColor="text1"/>
        </w:rPr>
        <w:t>en aspiraciones electorales. Por ello, varias de las disposiciones de la Ley 996 de 2005, al contener normas prohibitivas, no admiten una interpretación amplia, sino que deben interpretarse restrictivamente.</w:t>
      </w:r>
    </w:p>
    <w:p w14:paraId="7379E879" w14:textId="55F2C2F8" w:rsidR="001365BD" w:rsidRPr="005C170B" w:rsidRDefault="001365BD" w:rsidP="001365BD">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En efecto, la Sala de Consulta y Servicio Civil del Consejo de Estado, precisó:</w:t>
      </w:r>
    </w:p>
    <w:p w14:paraId="5D2E94EF" w14:textId="77777777" w:rsidR="00141571" w:rsidRPr="005C170B" w:rsidRDefault="00141571" w:rsidP="001365BD">
      <w:pPr>
        <w:spacing w:after="0" w:line="276" w:lineRule="auto"/>
        <w:ind w:firstLine="708"/>
        <w:jc w:val="both"/>
        <w:rPr>
          <w:rFonts w:ascii="Verdana" w:eastAsia="Calibri" w:hAnsi="Verdana" w:cs="Arial"/>
          <w:bCs/>
          <w:color w:val="000000" w:themeColor="text1"/>
        </w:rPr>
      </w:pPr>
    </w:p>
    <w:p w14:paraId="26D8593A" w14:textId="77777777" w:rsidR="001365BD" w:rsidRPr="005C170B" w:rsidRDefault="001365BD" w:rsidP="00D70255">
      <w:pPr>
        <w:spacing w:after="0" w:line="276" w:lineRule="auto"/>
        <w:ind w:left="708"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5C170B">
        <w:rPr>
          <w:rFonts w:ascii="Verdana" w:eastAsia="Calibri" w:hAnsi="Verdana" w:cs="Arial"/>
          <w:bCs/>
          <w:color w:val="000000" w:themeColor="text1"/>
          <w:sz w:val="20"/>
          <w:szCs w:val="20"/>
        </w:rPr>
        <w:t>legis</w:t>
      </w:r>
      <w:proofErr w:type="spellEnd"/>
      <w:r w:rsidRPr="005C170B">
        <w:rPr>
          <w:rFonts w:ascii="Verdana" w:eastAsia="Calibri" w:hAnsi="Verdana" w:cs="Arial"/>
          <w:bCs/>
          <w:color w:val="000000" w:themeColor="text1"/>
          <w:sz w:val="20"/>
          <w:szCs w:val="20"/>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4E3D5DE" w14:textId="77777777" w:rsidR="001365BD" w:rsidRPr="005C170B" w:rsidRDefault="001365BD" w:rsidP="00D70255">
      <w:pPr>
        <w:spacing w:after="0" w:line="276" w:lineRule="auto"/>
        <w:ind w:left="708" w:right="709"/>
        <w:jc w:val="both"/>
        <w:rPr>
          <w:rFonts w:ascii="Verdana" w:eastAsia="Calibri" w:hAnsi="Verdana" w:cs="Arial"/>
          <w:bCs/>
          <w:color w:val="000000" w:themeColor="text1"/>
          <w:sz w:val="20"/>
          <w:szCs w:val="20"/>
        </w:rPr>
      </w:pPr>
    </w:p>
    <w:p w14:paraId="439090A5" w14:textId="77777777" w:rsidR="001365BD" w:rsidRPr="005C170B" w:rsidRDefault="001365BD" w:rsidP="00D70255">
      <w:pPr>
        <w:spacing w:after="0" w:line="276" w:lineRule="auto"/>
        <w:ind w:left="708"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lastRenderedPageBreak/>
        <w:t>La jurisprudencia de la Corte Constitucional</w:t>
      </w:r>
      <w:r w:rsidRPr="005C170B">
        <w:rPr>
          <w:rStyle w:val="Refdenotaalpie"/>
          <w:rFonts w:ascii="Verdana" w:eastAsia="Calibri" w:hAnsi="Verdana" w:cs="Arial"/>
          <w:bCs/>
          <w:color w:val="000000" w:themeColor="text1"/>
          <w:sz w:val="20"/>
          <w:szCs w:val="20"/>
        </w:rPr>
        <w:footnoteReference w:id="3"/>
      </w:r>
      <w:r w:rsidRPr="005C170B">
        <w:rPr>
          <w:rFonts w:ascii="Verdana" w:eastAsia="Calibri" w:hAnsi="Verdana" w:cs="Arial"/>
          <w:bCs/>
          <w:color w:val="000000" w:themeColor="text1"/>
          <w:sz w:val="20"/>
          <w:szCs w:val="20"/>
        </w:rPr>
        <w:t xml:space="preserve"> y del consejo de estado</w:t>
      </w:r>
      <w:r w:rsidRPr="005C170B">
        <w:rPr>
          <w:rStyle w:val="Refdenotaalpie"/>
          <w:rFonts w:ascii="Verdana" w:eastAsia="Calibri" w:hAnsi="Verdana" w:cs="Arial"/>
          <w:bCs/>
          <w:color w:val="000000" w:themeColor="text1"/>
          <w:sz w:val="20"/>
          <w:szCs w:val="20"/>
        </w:rPr>
        <w:footnoteReference w:id="4"/>
      </w:r>
      <w:r w:rsidRPr="005C170B">
        <w:rPr>
          <w:rFonts w:ascii="Verdana" w:eastAsia="Calibri" w:hAnsi="Verdana" w:cs="Arial"/>
          <w:bCs/>
          <w:color w:val="000000" w:themeColor="text1"/>
          <w:sz w:val="20"/>
          <w:szCs w:val="20"/>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5C170B">
        <w:rPr>
          <w:rStyle w:val="Refdenotaalpie"/>
          <w:rFonts w:ascii="Verdana" w:eastAsia="Calibri" w:hAnsi="Verdana" w:cs="Arial"/>
          <w:bCs/>
          <w:color w:val="000000" w:themeColor="text1"/>
          <w:sz w:val="20"/>
          <w:szCs w:val="20"/>
        </w:rPr>
        <w:footnoteReference w:id="5"/>
      </w:r>
    </w:p>
    <w:p w14:paraId="1C09F278" w14:textId="77777777" w:rsidR="001365BD" w:rsidRPr="005C170B" w:rsidRDefault="001365BD" w:rsidP="001365BD">
      <w:pPr>
        <w:spacing w:after="0" w:line="276" w:lineRule="auto"/>
        <w:jc w:val="both"/>
        <w:rPr>
          <w:rFonts w:ascii="Verdana" w:eastAsia="Calibri" w:hAnsi="Verdana" w:cs="Arial"/>
          <w:b/>
          <w:color w:val="000000" w:themeColor="text1"/>
        </w:rPr>
      </w:pPr>
    </w:p>
    <w:p w14:paraId="6EE41F79" w14:textId="09B3E156" w:rsidR="001365BD" w:rsidRPr="005C170B" w:rsidRDefault="001365BD" w:rsidP="00D70255">
      <w:pPr>
        <w:spacing w:after="120" w:line="276" w:lineRule="auto"/>
        <w:jc w:val="both"/>
        <w:rPr>
          <w:rFonts w:ascii="Verdana" w:eastAsia="Calibri" w:hAnsi="Verdana" w:cs="Arial"/>
          <w:bCs/>
          <w:color w:val="000000" w:themeColor="text1"/>
        </w:rPr>
      </w:pPr>
      <w:r w:rsidRPr="005C170B">
        <w:rPr>
          <w:rFonts w:ascii="Verdana" w:eastAsia="Calibri" w:hAnsi="Verdana" w:cs="Arial"/>
          <w:b/>
          <w:color w:val="000000" w:themeColor="text1"/>
        </w:rPr>
        <w:t>ii.</w:t>
      </w:r>
      <w:r w:rsidRPr="005C170B">
        <w:rPr>
          <w:rFonts w:ascii="Verdana" w:eastAsia="Calibri" w:hAnsi="Verdana" w:cs="Arial"/>
          <w:bCs/>
          <w:color w:val="000000" w:themeColor="text1"/>
        </w:rPr>
        <w:t xml:space="preserve"> Precisado el propósito de la Ley, es pertinente señalar que las restricciones consagradas en la citada Ley se dirigen a dos (2) tipos de campañas electorales claramente diferenciadas: i) las presidenciales y ii)</w:t>
      </w:r>
      <w:r>
        <w:rPr>
          <w:rFonts w:ascii="Verdana" w:eastAsia="Calibri" w:hAnsi="Verdana" w:cs="Arial"/>
          <w:bCs/>
          <w:color w:val="000000" w:themeColor="text1"/>
        </w:rPr>
        <w:t xml:space="preserve"> </w:t>
      </w:r>
      <w:r w:rsidRPr="00924606">
        <w:rPr>
          <w:rFonts w:ascii="Verdana" w:eastAsia="Calibri" w:hAnsi="Verdana" w:cs="Arial"/>
          <w:lang w:val="es-ES"/>
        </w:rPr>
        <w:t>aquellas correspondientes a la elección de los demás cargos de elección popular</w:t>
      </w:r>
      <w:r w:rsidRPr="005C170B">
        <w:rPr>
          <w:rFonts w:ascii="Verdana" w:eastAsia="Calibri" w:hAnsi="Verdana" w:cs="Arial"/>
          <w:bCs/>
          <w:color w:val="000000" w:themeColor="text1"/>
        </w:rPr>
        <w:t>, tanto a nivel nacional como territorial.</w:t>
      </w:r>
    </w:p>
    <w:p w14:paraId="2F31A14E" w14:textId="471B5DF6" w:rsidR="001365BD" w:rsidRPr="005C170B" w:rsidRDefault="001365BD" w:rsidP="00D70255">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Por un lado</w:t>
      </w:r>
      <w:r w:rsidRPr="005C170B">
        <w:rPr>
          <w:rFonts w:ascii="Verdana" w:eastAsia="Calibri" w:hAnsi="Verdana" w:cs="Arial"/>
          <w:bCs/>
          <w:color w:val="000000" w:themeColor="text1"/>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C170B">
        <w:rPr>
          <w:rStyle w:val="Refdenotaalpie"/>
          <w:rFonts w:ascii="Verdana" w:eastAsia="Calibri" w:hAnsi="Verdana" w:cs="Arial"/>
          <w:bCs/>
          <w:color w:val="000000" w:themeColor="text1"/>
        </w:rPr>
        <w:footnoteReference w:id="6"/>
      </w:r>
    </w:p>
    <w:p w14:paraId="64A7E50C" w14:textId="7740DEA2" w:rsidR="001365BD" w:rsidRPr="005C170B" w:rsidRDefault="001365BD" w:rsidP="00D70255">
      <w:pPr>
        <w:spacing w:after="120" w:line="276" w:lineRule="auto"/>
        <w:ind w:firstLine="708"/>
        <w:jc w:val="both"/>
        <w:rPr>
          <w:rFonts w:ascii="Verdana" w:eastAsia="Calibri" w:hAnsi="Verdana" w:cs="Arial"/>
          <w:bCs/>
          <w:lang w:val="es-ES_tradnl" w:eastAsia="es-MX"/>
        </w:rPr>
      </w:pPr>
      <w:r>
        <w:rPr>
          <w:rFonts w:ascii="Verdana" w:eastAsia="Calibri" w:hAnsi="Verdana" w:cs="Arial"/>
          <w:bCs/>
          <w:color w:val="000000" w:themeColor="text1"/>
        </w:rPr>
        <w:t>Por otro lado</w:t>
      </w:r>
      <w:r w:rsidRPr="005C170B">
        <w:rPr>
          <w:rFonts w:ascii="Verdana" w:eastAsia="Calibri" w:hAnsi="Verdana" w:cs="Arial"/>
          <w:bCs/>
          <w:color w:val="000000" w:themeColor="text1"/>
        </w:rPr>
        <w:t xml:space="preserve">, el parágrafo del artículo 38 de la Ley 996 de 2005 prevé una restricción, aplicable respecto de cualquier tipo de contienda electoral, que prohíbe a los gobernadores, alcaldes municipales o distritales, secretarios, </w:t>
      </w:r>
      <w:r w:rsidRPr="005C170B">
        <w:rPr>
          <w:rFonts w:ascii="Verdana" w:eastAsia="Calibri" w:hAnsi="Verdana" w:cs="Arial"/>
          <w:bCs/>
          <w:color w:val="000000" w:themeColor="text1"/>
        </w:rPr>
        <w:lastRenderedPageBreak/>
        <w:t>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C170B">
        <w:rPr>
          <w:rStyle w:val="Refdenotaalpie"/>
          <w:rFonts w:ascii="Verdana" w:eastAsia="Calibri" w:hAnsi="Verdana" w:cs="Arial"/>
          <w:bCs/>
          <w:color w:val="000000" w:themeColor="text1"/>
        </w:rPr>
        <w:footnoteReference w:id="7"/>
      </w:r>
    </w:p>
    <w:p w14:paraId="180AF9BE" w14:textId="77777777" w:rsidR="001365BD" w:rsidRPr="005C170B" w:rsidRDefault="001365BD" w:rsidP="001365BD">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La Sala de Consulta y Servicio Civil del Consejo de Estado ha aclarado la distinción en la aplicación de las prohibiciones de la Ley 996 de 2005, dependiendo del tipo de elección que se trate. Al respecto, considera:</w:t>
      </w:r>
    </w:p>
    <w:p w14:paraId="781BB594" w14:textId="77777777" w:rsidR="001365BD" w:rsidRPr="005C170B" w:rsidRDefault="001365BD" w:rsidP="001365BD">
      <w:pPr>
        <w:spacing w:after="0" w:line="276" w:lineRule="auto"/>
        <w:ind w:firstLine="708"/>
        <w:jc w:val="both"/>
        <w:rPr>
          <w:rFonts w:ascii="Verdana" w:eastAsia="Calibri" w:hAnsi="Verdana" w:cs="Arial"/>
          <w:bCs/>
          <w:color w:val="000000" w:themeColor="text1"/>
          <w:sz w:val="20"/>
          <w:szCs w:val="20"/>
        </w:rPr>
      </w:pPr>
    </w:p>
    <w:p w14:paraId="5A11DA83" w14:textId="77777777" w:rsidR="001365BD" w:rsidRPr="005C170B" w:rsidRDefault="001365BD" w:rsidP="00D70255">
      <w:pPr>
        <w:spacing w:after="0" w:line="276" w:lineRule="auto"/>
        <w:ind w:left="708"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5C170B">
        <w:rPr>
          <w:rFonts w:ascii="Verdana" w:eastAsia="Calibri" w:hAnsi="Verdana" w:cs="Arial"/>
          <w:bCs/>
          <w:color w:val="000000" w:themeColor="text1"/>
          <w:sz w:val="20"/>
          <w:szCs w:val="20"/>
        </w:rPr>
        <w:t>Presidente</w:t>
      </w:r>
      <w:proofErr w:type="gramEnd"/>
      <w:r w:rsidRPr="005C170B">
        <w:rPr>
          <w:rFonts w:ascii="Verdana" w:eastAsia="Calibri" w:hAnsi="Verdana" w:cs="Arial"/>
          <w:bCs/>
          <w:color w:val="000000" w:themeColor="text1"/>
          <w:sz w:val="20"/>
          <w:szCs w:val="20"/>
        </w:rPr>
        <w:t xml:space="preserve"> de la República, a las autoridades territoriales allí mencionadas sólo se aplican las restricciones contenidas en el parágrafo del artículo 38”</w:t>
      </w:r>
      <w:r w:rsidRPr="005C170B">
        <w:rPr>
          <w:rStyle w:val="Refdenotaalpie"/>
          <w:rFonts w:ascii="Verdana" w:eastAsia="Calibri" w:hAnsi="Verdana" w:cs="Arial"/>
          <w:bCs/>
          <w:color w:val="000000" w:themeColor="text1"/>
          <w:sz w:val="20"/>
          <w:szCs w:val="20"/>
        </w:rPr>
        <w:footnoteReference w:id="8"/>
      </w:r>
    </w:p>
    <w:p w14:paraId="79F8B538" w14:textId="77777777" w:rsidR="001365BD" w:rsidRPr="005C170B" w:rsidRDefault="001365BD" w:rsidP="001365BD">
      <w:pPr>
        <w:spacing w:after="0" w:line="276" w:lineRule="auto"/>
        <w:ind w:left="708"/>
        <w:jc w:val="both"/>
        <w:rPr>
          <w:rFonts w:ascii="Verdana" w:eastAsia="Calibri" w:hAnsi="Verdana" w:cs="Arial"/>
          <w:bCs/>
          <w:color w:val="000000" w:themeColor="text1"/>
          <w:sz w:val="20"/>
          <w:szCs w:val="20"/>
        </w:rPr>
      </w:pPr>
    </w:p>
    <w:p w14:paraId="554D192F" w14:textId="77777777" w:rsidR="001365BD" w:rsidRPr="005C170B" w:rsidRDefault="001365BD" w:rsidP="007B71BE">
      <w:pPr>
        <w:spacing w:after="0" w:line="276" w:lineRule="auto"/>
        <w:jc w:val="both"/>
        <w:rPr>
          <w:rFonts w:ascii="Verdana" w:eastAsia="Calibri" w:hAnsi="Verdana" w:cs="Arial"/>
          <w:bCs/>
          <w:color w:val="000000" w:themeColor="text1"/>
        </w:rPr>
      </w:pPr>
      <w:r w:rsidRPr="005C170B">
        <w:rPr>
          <w:rFonts w:ascii="Verdana" w:eastAsia="Calibri" w:hAnsi="Verdana" w:cs="Arial"/>
          <w:b/>
          <w:lang w:val="es-ES_tradnl" w:eastAsia="es-MX"/>
        </w:rPr>
        <w:t>iii.</w:t>
      </w:r>
      <w:r w:rsidRPr="005C170B">
        <w:rPr>
          <w:rFonts w:ascii="Verdana" w:eastAsia="Calibri" w:hAnsi="Verdana" w:cs="Arial"/>
          <w:bCs/>
          <w:lang w:val="es-ES_tradnl" w:eastAsia="es-MX"/>
        </w:rPr>
        <w:t xml:space="preserve"> </w:t>
      </w:r>
      <w:r w:rsidRPr="005C170B">
        <w:rPr>
          <w:rFonts w:ascii="Verdana" w:eastAsia="Calibri" w:hAnsi="Verdana" w:cs="Arial"/>
          <w:bCs/>
          <w:color w:val="000000" w:themeColor="text1"/>
        </w:rPr>
        <w:t>En primer lugar, el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09CBF306" w14:textId="77777777" w:rsidR="001365BD" w:rsidRPr="005C170B" w:rsidRDefault="001365BD" w:rsidP="001365BD">
      <w:pPr>
        <w:spacing w:after="0" w:line="276" w:lineRule="auto"/>
        <w:ind w:left="708"/>
        <w:jc w:val="both"/>
        <w:rPr>
          <w:rFonts w:ascii="Verdana" w:eastAsia="Calibri" w:hAnsi="Verdana" w:cs="Arial"/>
          <w:bCs/>
          <w:color w:val="000000" w:themeColor="text1"/>
          <w:sz w:val="20"/>
          <w:szCs w:val="20"/>
        </w:rPr>
      </w:pPr>
    </w:p>
    <w:p w14:paraId="7036E393" w14:textId="77777777" w:rsidR="001365BD" w:rsidRPr="005C170B" w:rsidRDefault="001365BD" w:rsidP="00242EBD">
      <w:pPr>
        <w:spacing w:after="0" w:line="276" w:lineRule="auto"/>
        <w:ind w:left="709"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lastRenderedPageBreak/>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C170B">
        <w:rPr>
          <w:rStyle w:val="Refdenotaalpie"/>
          <w:rFonts w:ascii="Verdana" w:eastAsia="Calibri" w:hAnsi="Verdana" w:cs="Arial"/>
          <w:bCs/>
          <w:color w:val="000000" w:themeColor="text1"/>
          <w:sz w:val="20"/>
          <w:szCs w:val="20"/>
        </w:rPr>
        <w:footnoteReference w:id="9"/>
      </w:r>
      <w:r w:rsidRPr="005C170B">
        <w:rPr>
          <w:rFonts w:ascii="Verdana" w:eastAsia="Calibri" w:hAnsi="Verdana" w:cs="Arial"/>
          <w:bCs/>
          <w:color w:val="000000" w:themeColor="text1"/>
          <w:sz w:val="20"/>
          <w:szCs w:val="20"/>
        </w:rPr>
        <w:t>.</w:t>
      </w:r>
    </w:p>
    <w:p w14:paraId="04C579AA" w14:textId="77777777" w:rsidR="001365BD" w:rsidRDefault="001365BD" w:rsidP="00242EBD">
      <w:pPr>
        <w:spacing w:after="0" w:line="276" w:lineRule="auto"/>
        <w:ind w:left="709" w:right="709"/>
        <w:jc w:val="both"/>
        <w:rPr>
          <w:rFonts w:ascii="Verdana" w:eastAsia="Calibri" w:hAnsi="Verdana" w:cs="Arial"/>
          <w:bCs/>
          <w:color w:val="000000" w:themeColor="text1"/>
          <w:sz w:val="20"/>
          <w:szCs w:val="20"/>
        </w:rPr>
      </w:pPr>
    </w:p>
    <w:p w14:paraId="26D91A98" w14:textId="77777777" w:rsidR="001365BD" w:rsidRPr="005C170B" w:rsidRDefault="001365BD" w:rsidP="00242EBD">
      <w:pPr>
        <w:spacing w:after="0" w:line="276" w:lineRule="auto"/>
        <w:ind w:left="709"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5C170B">
        <w:rPr>
          <w:rStyle w:val="Refdenotaalpie"/>
          <w:rFonts w:ascii="Verdana" w:eastAsia="Calibri" w:hAnsi="Verdana" w:cs="Arial"/>
          <w:bCs/>
          <w:color w:val="000000" w:themeColor="text1"/>
          <w:sz w:val="20"/>
          <w:szCs w:val="20"/>
        </w:rPr>
        <w:footnoteReference w:id="10"/>
      </w:r>
      <w:r w:rsidRPr="005C170B">
        <w:rPr>
          <w:rFonts w:ascii="Verdana" w:eastAsia="Calibri" w:hAnsi="Verdana" w:cs="Arial"/>
          <w:bCs/>
          <w:color w:val="000000" w:themeColor="text1"/>
          <w:sz w:val="20"/>
          <w:szCs w:val="20"/>
        </w:rPr>
        <w:t>.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5C170B">
        <w:rPr>
          <w:rStyle w:val="Refdenotaalpie"/>
          <w:rFonts w:ascii="Verdana" w:eastAsia="Calibri" w:hAnsi="Verdana" w:cs="Arial"/>
          <w:bCs/>
          <w:color w:val="000000" w:themeColor="text1"/>
          <w:sz w:val="20"/>
          <w:szCs w:val="20"/>
        </w:rPr>
        <w:footnoteReference w:id="11"/>
      </w:r>
    </w:p>
    <w:p w14:paraId="71DDF6A8" w14:textId="77777777" w:rsidR="001365BD" w:rsidRPr="005C170B" w:rsidRDefault="001365BD" w:rsidP="001365BD">
      <w:pPr>
        <w:spacing w:after="0" w:line="276" w:lineRule="auto"/>
        <w:jc w:val="both"/>
        <w:rPr>
          <w:rFonts w:ascii="Verdana" w:eastAsia="Calibri" w:hAnsi="Verdana" w:cs="Arial"/>
          <w:bCs/>
          <w:color w:val="000000" w:themeColor="text1"/>
          <w:sz w:val="20"/>
          <w:szCs w:val="20"/>
        </w:rPr>
      </w:pPr>
    </w:p>
    <w:p w14:paraId="3255F9C8" w14:textId="733D3834" w:rsidR="001365BD" w:rsidRPr="005C170B" w:rsidRDefault="001365BD" w:rsidP="00242EBD">
      <w:pPr>
        <w:spacing w:after="120" w:line="276" w:lineRule="auto"/>
        <w:ind w:firstLine="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rPr>
        <w:t>Según el concepto mencionado, la prohibición establecida en el artículo 33 de la Ley de Garantías Electorales se aplica a</w:t>
      </w:r>
      <w:r w:rsidRPr="00682C9A">
        <w:rPr>
          <w:rFonts w:ascii="Verdana" w:eastAsia="Calibri" w:hAnsi="Verdana" w:cs="Arial"/>
          <w:bCs/>
          <w:color w:val="000000" w:themeColor="text1"/>
        </w:rPr>
        <w:t xml:space="preserve"> “todo mecanismo que no contemple una convocatoria pública ni permita la participación de múltiples oferentes”. </w:t>
      </w:r>
      <w:r w:rsidRPr="005C170B">
        <w:rPr>
          <w:rFonts w:ascii="Verdana" w:eastAsia="Calibri" w:hAnsi="Verdana" w:cs="Arial"/>
          <w:bCs/>
          <w:color w:val="000000" w:themeColor="text1"/>
        </w:rPr>
        <w:t>En consecuencia, quedan excluidas las demás modalidades de contratación contempladas en la Ley 1150 de 2007, tales como la licitación pública, la selección abreviada y el concurso de méritos, así como aquellas modalidades abiertas y competitivas previstas en disposiciones especiales. Esta posición es congruente con la expedición de la Ley 1150 de 2007 que, entre otras reformas, introdujo la selección abreviada, rediseñó el concurso de méritos</w:t>
      </w:r>
      <w:r w:rsidRPr="005C170B">
        <w:rPr>
          <w:rStyle w:val="Refdenotaalpie"/>
          <w:rFonts w:ascii="Verdana" w:eastAsia="Calibri" w:hAnsi="Verdana" w:cs="Arial"/>
          <w:bCs/>
          <w:color w:val="000000" w:themeColor="text1"/>
        </w:rPr>
        <w:footnoteReference w:id="12"/>
      </w:r>
      <w:r w:rsidRPr="005C170B">
        <w:rPr>
          <w:rFonts w:ascii="Verdana" w:eastAsia="Calibri" w:hAnsi="Verdana" w:cs="Arial"/>
          <w:bCs/>
          <w:color w:val="000000" w:themeColor="text1"/>
        </w:rPr>
        <w:t xml:space="preserve"> y sistematizó las causales de contratación directa</w:t>
      </w:r>
      <w:r w:rsidRPr="005C170B">
        <w:rPr>
          <w:rStyle w:val="Refdenotaalpie"/>
          <w:rFonts w:ascii="Verdana" w:eastAsia="Calibri" w:hAnsi="Verdana" w:cs="Arial"/>
          <w:bCs/>
          <w:color w:val="000000" w:themeColor="text1"/>
          <w:sz w:val="20"/>
          <w:szCs w:val="20"/>
        </w:rPr>
        <w:footnoteReference w:id="13"/>
      </w:r>
      <w:r w:rsidRPr="005C170B">
        <w:rPr>
          <w:rFonts w:ascii="Verdana" w:eastAsia="Calibri" w:hAnsi="Verdana" w:cs="Arial"/>
          <w:bCs/>
          <w:color w:val="000000" w:themeColor="text1"/>
          <w:sz w:val="20"/>
          <w:szCs w:val="20"/>
        </w:rPr>
        <w:t xml:space="preserve">. </w:t>
      </w:r>
    </w:p>
    <w:p w14:paraId="5FD757EE" w14:textId="3A19B99D" w:rsidR="001365BD" w:rsidRPr="005C170B" w:rsidRDefault="001365BD" w:rsidP="00242EBD">
      <w:pPr>
        <w:spacing w:after="120" w:line="276" w:lineRule="auto"/>
        <w:ind w:firstLine="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rPr>
        <w:t xml:space="preserve">De tal manera, debe entenderse que, para los efectos de la Ley de Garantías Electorales y, en particular, para la prohibición o restricción temporal contenida en su artículo 33, la “contratación directa” es cualquier sistema de </w:t>
      </w:r>
      <w:r w:rsidRPr="005C170B">
        <w:rPr>
          <w:rFonts w:ascii="Verdana" w:eastAsia="Calibri" w:hAnsi="Verdana" w:cs="Arial"/>
          <w:bCs/>
          <w:color w:val="000000" w:themeColor="text1"/>
        </w:rPr>
        <w:lastRenderedPageBreak/>
        <w:t>selección o procedimiento de contratación utilizado por las Entidades Estatales que no incluya la convocatoria pública en alguna de sus etapas, ni permita la participación de una pluralidad de oferentes</w:t>
      </w:r>
      <w:r w:rsidRPr="005C170B">
        <w:rPr>
          <w:rStyle w:val="Refdenotaalpie"/>
          <w:rFonts w:ascii="Verdana" w:eastAsia="Calibri" w:hAnsi="Verdana" w:cs="Arial"/>
          <w:bCs/>
          <w:color w:val="000000" w:themeColor="text1"/>
        </w:rPr>
        <w:footnoteReference w:id="14"/>
      </w:r>
    </w:p>
    <w:p w14:paraId="63552A50" w14:textId="77777777" w:rsidR="001365BD" w:rsidRDefault="001365BD" w:rsidP="00242EBD">
      <w:pPr>
        <w:spacing w:after="120" w:line="276" w:lineRule="auto"/>
        <w:ind w:firstLine="709"/>
        <w:jc w:val="both"/>
        <w:rPr>
          <w:rFonts w:ascii="Verdana" w:eastAsia="Calibri" w:hAnsi="Verdana" w:cs="Arial"/>
          <w:bCs/>
          <w:color w:val="000000" w:themeColor="text1"/>
        </w:rPr>
      </w:pPr>
      <w:r w:rsidRPr="005C170B">
        <w:rPr>
          <w:rFonts w:ascii="Verdana" w:eastAsia="Calibri" w:hAnsi="Verdana" w:cs="Arial"/>
          <w:bCs/>
          <w:color w:val="000000" w:themeColor="text1"/>
        </w:rPr>
        <w:t>De lo anterior se desprende que la restricción aplica, sin perjuicio de las excepciones establecidas en la misma Ley, para celebrar cualquier contrato de forma directa, esto es, sin que exista un proceso abierto y competitivo. Por tanto, no están sujetas a la prohibición las demás modalidades de selección previstas en la Ley 1150 de 2007, es decir, la licitación pública, el concurso de méritos y la selección abreviada. De este modo, las Entidades Públicas, en el período preelectoral de que trata la disposición pueden seguir contratando bajo estos sistemas de selección.</w:t>
      </w:r>
    </w:p>
    <w:p w14:paraId="55452BA2" w14:textId="77777777" w:rsidR="001365BD" w:rsidRPr="00190CF0" w:rsidRDefault="001365BD" w:rsidP="00242EBD">
      <w:pPr>
        <w:spacing w:after="0" w:line="276" w:lineRule="auto"/>
        <w:ind w:firstLine="708"/>
        <w:jc w:val="both"/>
        <w:rPr>
          <w:rFonts w:ascii="Verdana" w:eastAsia="Times New Roman" w:hAnsi="Verdana" w:cs="Arial"/>
          <w:bCs/>
          <w:lang w:eastAsia="x-none"/>
        </w:rPr>
      </w:pPr>
      <w:bookmarkStart w:id="2" w:name="_Hlk77237094"/>
      <w:r w:rsidRPr="00F10E52">
        <w:rPr>
          <w:rFonts w:ascii="Verdana" w:eastAsia="Times New Roman" w:hAnsi="Verdana" w:cs="Arial"/>
          <w:bCs/>
          <w:lang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sin que ello haga nugatoria la restricción de la contratación directa y siempre que cumplan los principios de planeación, transparencia y responsabilidad.</w:t>
      </w:r>
      <w:bookmarkEnd w:id="2"/>
    </w:p>
    <w:p w14:paraId="038286DE" w14:textId="77777777" w:rsidR="00473512" w:rsidRDefault="00473512" w:rsidP="00473512">
      <w:pPr>
        <w:spacing w:after="0" w:line="276" w:lineRule="auto"/>
        <w:jc w:val="both"/>
        <w:rPr>
          <w:rFonts w:ascii="Verdana" w:eastAsia="Calibri" w:hAnsi="Verdana" w:cs="Arial"/>
          <w:b/>
          <w:color w:val="000000" w:themeColor="text1"/>
        </w:rPr>
      </w:pPr>
    </w:p>
    <w:p w14:paraId="14940DEA" w14:textId="3EAB6FDF" w:rsidR="001365BD" w:rsidRPr="005C170B" w:rsidRDefault="001365BD" w:rsidP="007A7E05">
      <w:pPr>
        <w:spacing w:after="120" w:line="276" w:lineRule="auto"/>
        <w:jc w:val="both"/>
        <w:rPr>
          <w:rFonts w:ascii="Verdana" w:eastAsia="Calibri" w:hAnsi="Verdana" w:cs="Arial"/>
          <w:bCs/>
          <w:color w:val="000000" w:themeColor="text1"/>
        </w:rPr>
      </w:pPr>
      <w:r w:rsidRPr="005C170B">
        <w:rPr>
          <w:rFonts w:ascii="Verdana" w:eastAsia="Calibri" w:hAnsi="Verdana" w:cs="Arial"/>
          <w:b/>
          <w:color w:val="000000" w:themeColor="text1"/>
        </w:rPr>
        <w:t>iv.</w:t>
      </w:r>
      <w:r w:rsidRPr="005C170B">
        <w:rPr>
          <w:rFonts w:ascii="Verdana" w:eastAsia="Calibri" w:hAnsi="Verdana" w:cs="Arial"/>
          <w:bCs/>
          <w:color w:val="000000" w:themeColor="text1"/>
        </w:rPr>
        <w:t xml:space="preserve"> Ahora bien, las excepciones a la restricción prevista en la Ley de Garantías Electorales, con fundamento en las cuales las entidades públicas podrán adelantar procedimientos de selección directa en períodos previos a la contienda electoral por la Presidencia, se encuentran consagradas de manera taxativa en el inciso final del citado artículo 33 de la Ley 996 de 2005. Dichas excepciones corresponden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0EE682CF" w14:textId="77777777" w:rsidR="001365BD" w:rsidRPr="005C170B" w:rsidRDefault="001365BD" w:rsidP="001365BD">
      <w:pPr>
        <w:spacing w:after="0" w:line="276" w:lineRule="auto"/>
        <w:ind w:firstLine="709"/>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Conforme a lo consagrado en esta disposición, es responsabilidad del respectivo ente del Estado, examinar en cada caso la naturaleza de las actividades que adelanta y determinar si las mismas se enmarcan en alguna de </w:t>
      </w:r>
      <w:r w:rsidRPr="005C170B">
        <w:rPr>
          <w:rFonts w:ascii="Verdana" w:eastAsia="Calibri" w:hAnsi="Verdana" w:cs="Arial"/>
          <w:bCs/>
          <w:color w:val="000000" w:themeColor="text1"/>
        </w:rPr>
        <w:lastRenderedPageBreak/>
        <w:t>las mencionadas excepciones, de manera que se le permita realizar la contratación que necesite en forma directa. 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5C170B">
        <w:rPr>
          <w:rStyle w:val="Refdenotaalpie"/>
          <w:rFonts w:ascii="Verdana" w:eastAsia="Calibri" w:hAnsi="Verdana" w:cs="Arial"/>
          <w:bCs/>
          <w:color w:val="000000" w:themeColor="text1"/>
        </w:rPr>
        <w:footnoteReference w:id="15"/>
      </w:r>
      <w:r w:rsidRPr="005C170B">
        <w:rPr>
          <w:rFonts w:ascii="Verdana" w:eastAsia="Calibri" w:hAnsi="Verdana" w:cs="Arial"/>
          <w:bCs/>
          <w:color w:val="000000" w:themeColor="text1"/>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persecución de la igualdad entre los candidatos como garantía electoral.</w:t>
      </w:r>
    </w:p>
    <w:p w14:paraId="3C34E68A" w14:textId="77777777" w:rsidR="001365BD" w:rsidRPr="005C170B" w:rsidRDefault="001365BD" w:rsidP="001365BD">
      <w:pPr>
        <w:spacing w:after="0" w:line="276" w:lineRule="auto"/>
        <w:ind w:firstLine="709"/>
        <w:jc w:val="both"/>
        <w:rPr>
          <w:rFonts w:ascii="Verdana" w:eastAsia="Calibri" w:hAnsi="Verdana" w:cs="Arial"/>
          <w:bCs/>
          <w:color w:val="000000" w:themeColor="text1"/>
        </w:rPr>
      </w:pPr>
    </w:p>
    <w:p w14:paraId="547CFD78" w14:textId="77777777" w:rsidR="001365BD" w:rsidRPr="009E6A2E" w:rsidRDefault="001365BD" w:rsidP="001365BD">
      <w:pPr>
        <w:spacing w:after="120" w:line="276" w:lineRule="auto"/>
        <w:jc w:val="both"/>
        <w:rPr>
          <w:rFonts w:ascii="Verdana" w:hAnsi="Verdana" w:cs="Arial"/>
          <w:lang w:val="es-MX"/>
          <w14:ligatures w14:val="standardContextual"/>
        </w:rPr>
      </w:pPr>
      <w:r w:rsidRPr="009E6A2E">
        <w:rPr>
          <w:rFonts w:ascii="Verdana" w:eastAsia="Arial" w:hAnsi="Verdana" w:cs="Arial"/>
          <w:b/>
          <w:bCs/>
          <w:color w:val="000000"/>
        </w:rPr>
        <w:t xml:space="preserve">v. </w:t>
      </w:r>
      <w:r w:rsidRPr="009E6A2E">
        <w:rPr>
          <w:rFonts w:ascii="Verdana" w:hAnsi="Verdana"/>
        </w:rPr>
        <w:t xml:space="preserve">En ese orden de ideas, en torno a la procedencia de la aplicación de la Ley de Garantías Electorales a las instituciones públicas educativas, es necesario analizar su naturaleza jurídica. </w:t>
      </w:r>
      <w:bookmarkStart w:id="3" w:name="_Hlk198934308"/>
      <w:r w:rsidRPr="009E6A2E">
        <w:rPr>
          <w:rFonts w:ascii="Verdana" w:hAnsi="Verdana" w:cs="Arial"/>
          <w:lang w:val="es-MX"/>
          <w14:ligatures w14:val="standardContextual"/>
        </w:rPr>
        <w:t>Las Leyes 60 de 1993 y 715 de 200</w:t>
      </w:r>
      <w:bookmarkEnd w:id="3"/>
      <w:r w:rsidRPr="009E6A2E">
        <w:rPr>
          <w:rFonts w:ascii="Verdana" w:hAnsi="Verdana" w:cs="Arial"/>
          <w:lang w:val="es-MX"/>
          <w14:ligatures w14:val="standardContextual"/>
        </w:rPr>
        <w:t xml:space="preserve">1 descentralizaron el sistema educativo en Colombia, asignándoles a los departamentos, distritos y municipios, las competencias y los recursos para dirigir las instituciones educativas. Es decir, el sistema educativo está descentralizado por las competencias propias que se les ha otorgado a las entidades territoriales para administrar las instituciones educativas, que pueden ser de los diferentes niveles, pero estas NO son entidades descentralizadas. </w:t>
      </w:r>
    </w:p>
    <w:p w14:paraId="5A14CD6B" w14:textId="77777777" w:rsidR="001365BD" w:rsidRPr="009E6A2E" w:rsidRDefault="001365BD" w:rsidP="001365BD">
      <w:pPr>
        <w:spacing w:after="120" w:line="276" w:lineRule="auto"/>
        <w:ind w:firstLine="709"/>
        <w:jc w:val="both"/>
        <w:rPr>
          <w:rFonts w:ascii="Verdana" w:hAnsi="Verdana" w:cs="Arial"/>
          <w:lang w:val="es-MX"/>
          <w14:ligatures w14:val="standardContextual"/>
        </w:rPr>
      </w:pPr>
      <w:r w:rsidRPr="009E6A2E">
        <w:rPr>
          <w:rFonts w:ascii="Verdana" w:hAnsi="Verdana" w:cs="Arial"/>
          <w:lang w:val="es-MX"/>
          <w14:ligatures w14:val="standardContextual"/>
        </w:rPr>
        <w:t>Conforme a lo anterior, 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siendo cuentas contables que les permiten a las instituciones realizar la gestión y ejecución presupuestal de los recursos que reciben los establecimientos educativos</w:t>
      </w:r>
      <w:r w:rsidRPr="009E6A2E">
        <w:rPr>
          <w:rFonts w:ascii="Verdana" w:hAnsi="Verdana" w:cs="Arial"/>
          <w:vertAlign w:val="superscript"/>
          <w:lang w:val="es-MX"/>
          <w14:ligatures w14:val="standardContextual"/>
        </w:rPr>
        <w:footnoteReference w:id="16"/>
      </w:r>
      <w:r w:rsidRPr="009E6A2E">
        <w:rPr>
          <w:rFonts w:ascii="Verdana" w:hAnsi="Verdana" w:cs="Arial"/>
          <w:lang w:val="es-MX"/>
          <w14:ligatures w14:val="standardContextual"/>
        </w:rPr>
        <w:t>.</w:t>
      </w:r>
    </w:p>
    <w:p w14:paraId="6B196021" w14:textId="77777777" w:rsidR="001365BD" w:rsidRPr="009E6A2E" w:rsidRDefault="001365BD" w:rsidP="001365BD">
      <w:pPr>
        <w:spacing w:after="120" w:line="276" w:lineRule="auto"/>
        <w:ind w:firstLine="709"/>
        <w:jc w:val="both"/>
        <w:rPr>
          <w:rFonts w:ascii="Verdana" w:hAnsi="Verdana" w:cs="Arial"/>
          <w:lang w:val="es-MX"/>
          <w14:ligatures w14:val="standardContextual"/>
        </w:rPr>
      </w:pPr>
      <w:r w:rsidRPr="009E6A2E">
        <w:rPr>
          <w:rFonts w:ascii="Verdana" w:hAnsi="Verdana" w:cs="Arial"/>
          <w:lang w:val="es-MX"/>
          <w14:ligatures w14:val="standardContextual"/>
        </w:rPr>
        <w:lastRenderedPageBreak/>
        <w:t xml:space="preserve">Los fondos de servicios educativos tampoco cuentan con personería jurídica según lo previsto en el artículo </w:t>
      </w:r>
      <w:bookmarkStart w:id="5" w:name="_Hlk198934350"/>
      <w:r w:rsidRPr="009E6A2E">
        <w:rPr>
          <w:rFonts w:ascii="Verdana" w:hAnsi="Verdana" w:cs="Arial"/>
          <w:lang w:val="es-MX"/>
          <w14:ligatures w14:val="standardContextual"/>
        </w:rPr>
        <w:t xml:space="preserve">2.3.1.6.3.4 </w:t>
      </w:r>
      <w:bookmarkEnd w:id="5"/>
      <w:r w:rsidRPr="009E6A2E">
        <w:rPr>
          <w:rFonts w:ascii="Verdana" w:hAnsi="Verdana" w:cs="Arial"/>
          <w:lang w:val="es-MX"/>
          <w14:ligatures w14:val="standardContextual"/>
        </w:rPr>
        <w:t xml:space="preserve">del </w:t>
      </w:r>
      <w:bookmarkStart w:id="6" w:name="_Hlk198934340"/>
      <w:r w:rsidRPr="009E6A2E">
        <w:rPr>
          <w:rFonts w:ascii="Verdana" w:hAnsi="Verdana" w:cs="Arial"/>
          <w:lang w:val="es-MX"/>
          <w14:ligatures w14:val="standardContextual"/>
        </w:rPr>
        <w:t>Decreto 1075 de 2015</w:t>
      </w:r>
      <w:bookmarkEnd w:id="6"/>
      <w:r w:rsidRPr="009E6A2E">
        <w:rPr>
          <w:rFonts w:ascii="Verdana" w:hAnsi="Verdana" w:cs="Arial"/>
          <w:lang w:val="es-MX"/>
          <w14:ligatures w14:val="standardContextual"/>
        </w:rPr>
        <w:t>, Decreto Único Reglamentario del Sector Educación: “Artículo 2.3.1.6.3.4. Ordenación del gasto. Los fondos de servicios educativos carecen de personería jurídica. El rector o director rural es el ordenador del gasto del Fondo de Servicios Educativos y su ejercicio no implica representación legal”</w:t>
      </w:r>
      <w:r w:rsidRPr="009E6A2E">
        <w:rPr>
          <w:rFonts w:ascii="Verdana" w:hAnsi="Verdana" w:cs="Arial"/>
          <w:vertAlign w:val="superscript"/>
          <w:lang w:val="es-MX"/>
          <w14:ligatures w14:val="standardContextual"/>
        </w:rPr>
        <w:footnoteReference w:id="17"/>
      </w:r>
      <w:r w:rsidRPr="009E6A2E">
        <w:rPr>
          <w:rFonts w:ascii="Verdana" w:hAnsi="Verdana" w:cs="Arial"/>
          <w:lang w:val="es-MX"/>
          <w14:ligatures w14:val="standardContextual"/>
        </w:rPr>
        <w:t>.</w:t>
      </w:r>
    </w:p>
    <w:p w14:paraId="4789BF29" w14:textId="77777777" w:rsidR="001365BD" w:rsidRPr="009E6A2E" w:rsidRDefault="001365BD" w:rsidP="001365BD">
      <w:pPr>
        <w:spacing w:after="120" w:line="276" w:lineRule="auto"/>
        <w:ind w:firstLine="709"/>
        <w:jc w:val="both"/>
        <w:rPr>
          <w:rFonts w:ascii="Verdana" w:hAnsi="Verdana" w:cs="Arial"/>
          <w:lang w:val="es-MX"/>
          <w14:ligatures w14:val="standardContextual"/>
        </w:rPr>
      </w:pPr>
      <w:r w:rsidRPr="009E6A2E">
        <w:rPr>
          <w:rFonts w:ascii="Verdana" w:hAnsi="Verdana" w:cs="Arial"/>
          <w:lang w:val="es-MX"/>
          <w14:ligatures w14:val="standardContextual"/>
        </w:rPr>
        <w:t>Respecto de la capacidad para contratar con la que cuentan las instituciones educativas por medio de los fondos de servicios educativos, hay que precisar que cuando se trata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9E6A2E">
        <w:rPr>
          <w:rFonts w:ascii="Verdana" w:hAnsi="Verdana" w:cs="Arial"/>
          <w:vertAlign w:val="superscript"/>
          <w:lang w:val="es-MX"/>
          <w14:ligatures w14:val="standardContextual"/>
        </w:rPr>
        <w:footnoteReference w:id="18"/>
      </w:r>
      <w:r w:rsidRPr="009E6A2E">
        <w:rPr>
          <w:rFonts w:ascii="Verdana" w:hAnsi="Verdana" w:cs="Arial"/>
          <w:lang w:val="es-MX"/>
          <w14:ligatures w14:val="standardContextual"/>
        </w:rPr>
        <w:t xml:space="preserve">. </w:t>
      </w:r>
    </w:p>
    <w:p w14:paraId="0A775466" w14:textId="77777777" w:rsidR="001365BD" w:rsidRPr="009E6A2E" w:rsidRDefault="001365BD" w:rsidP="001365BD">
      <w:pPr>
        <w:spacing w:after="120" w:line="276" w:lineRule="auto"/>
        <w:ind w:firstLine="709"/>
        <w:jc w:val="both"/>
        <w:rPr>
          <w:rFonts w:ascii="Verdana" w:hAnsi="Verdana" w:cs="Arial"/>
          <w:lang w:val="es-MX"/>
          <w14:ligatures w14:val="standardContextual"/>
        </w:rPr>
      </w:pPr>
      <w:r w:rsidRPr="009E6A2E">
        <w:rPr>
          <w:rFonts w:ascii="Verdana" w:hAnsi="Verdana" w:cs="Arial"/>
          <w:lang w:val="es-MX"/>
          <w14:ligatures w14:val="standardContextual"/>
        </w:rPr>
        <w:t xml:space="preserve">Esto significa que la contratación que realicen las instituciones educativas, siempre que se ubique por debajo del referido umbral, no aplicará las reglas del EGCAP, sino a las determinadas por el reglamento expedido por el Consejo Directivo de la institución educativa conforme al artículo 13 de la Ley 715 de 2001, que implica que tales reglamentos se expidan de conformidad con los principios de la </w:t>
      </w:r>
      <w:r w:rsidRPr="009E6A2E">
        <w:rPr>
          <w:rFonts w:ascii="Verdana" w:hAnsi="Verdana" w:cs="Arial"/>
          <w14:ligatures w14:val="standardContextual"/>
        </w:rPr>
        <w:t>función administrativa y de la gestión fiscal,</w:t>
      </w:r>
      <w:r w:rsidRPr="009E6A2E">
        <w:rPr>
          <w:rFonts w:ascii="Verdana" w:hAnsi="Verdana" w:cs="Arial"/>
          <w:lang w:val="es-MX"/>
          <w14:ligatures w14:val="standardContextual"/>
        </w:rPr>
        <w:t xml:space="preserve"> así como de acuerdo con la experiencia y el análisis concreto de las necesidades del establecimiento, determinando los trámites, garantías y constancias que deben cumplirse para </w:t>
      </w:r>
      <w:r w:rsidRPr="009E6A2E">
        <w:rPr>
          <w:rFonts w:ascii="Verdana" w:hAnsi="Verdana" w:cs="Arial"/>
          <w:lang w:val="es-MX"/>
          <w14:ligatures w14:val="standardContextual"/>
        </w:rPr>
        <w:lastRenderedPageBreak/>
        <w:t>que el rector o director celebre cualquier acto o contrato que cree, extinga o modifique obligaciones con cargo al respectivo fondo de servicios educativos.</w:t>
      </w:r>
    </w:p>
    <w:p w14:paraId="1EED91FE" w14:textId="77777777" w:rsidR="001365BD" w:rsidRPr="009E6A2E" w:rsidRDefault="001365BD" w:rsidP="001365BD">
      <w:pPr>
        <w:spacing w:after="120" w:line="276" w:lineRule="auto"/>
        <w:ind w:firstLine="709"/>
        <w:jc w:val="both"/>
        <w:rPr>
          <w:rFonts w:ascii="Verdana" w:eastAsia="Times New Roman" w:hAnsi="Verdana" w:cs="Arial"/>
          <w:lang w:eastAsia="es-MX"/>
          <w14:ligatures w14:val="standardContextual"/>
        </w:rPr>
      </w:pPr>
      <w:bookmarkStart w:id="7" w:name="_Hlk114554080"/>
      <w:r w:rsidRPr="009E6A2E">
        <w:rPr>
          <w:rFonts w:ascii="Verdana" w:eastAsia="Times New Roman" w:hAnsi="Verdana" w:cs="Arial"/>
          <w:lang w:eastAsia="es-MX"/>
          <w14:ligatures w14:val="standardContextual"/>
        </w:rPr>
        <w:t xml:space="preserve">En ese sentido, tratándose de la contratación realizada por dichas instituciones por debajo de la cuantía de veinte (20) salarios mínimos legales mensuales vigentes, es el consejo directivo quien tiene la competencia para establecer las reglas conforme a las cuales debe realizarse la adquisición de bienes, obras y servicios, incluidos los procedimientos, mecanismos, requisitos y formalidades que deben respetarse en estos procesos de contratación. </w:t>
      </w:r>
    </w:p>
    <w:p w14:paraId="1B0674F3" w14:textId="77777777" w:rsidR="001365BD" w:rsidRPr="009E6A2E" w:rsidRDefault="001365BD" w:rsidP="001365BD">
      <w:pPr>
        <w:spacing w:after="120" w:line="276" w:lineRule="auto"/>
        <w:ind w:firstLine="709"/>
        <w:jc w:val="both"/>
        <w:rPr>
          <w:rFonts w:ascii="Verdana" w:eastAsia="Times New Roman" w:hAnsi="Verdana" w:cs="Arial"/>
          <w:lang w:eastAsia="es-MX"/>
          <w14:ligatures w14:val="standardContextual"/>
        </w:rPr>
      </w:pPr>
      <w:r w:rsidRPr="009E6A2E">
        <w:rPr>
          <w:rFonts w:ascii="Verdana" w:eastAsia="Times New Roman" w:hAnsi="Verdana" w:cs="Arial"/>
          <w:lang w:eastAsia="es-MX"/>
          <w14:ligatures w14:val="standardContextual"/>
        </w:rPr>
        <w:t>Por el contrario, cuando la celebración de contratos a que haya lugar con recursos del fondo de servicios educativos supere la cuantía de los veinte (20) salarios mínimos legales mensuales vigentes, debe hacerse con estricta sujeción a lo dispuesto en la Ley 80 de 1993. Es decir, las reglas a las que deben sujetarse los procedimientos dentro de los que se enmarque esta contratación son las del EGCAP, procediendo la aplicación de las modalidades de selección definidas en la Ley 1150 de 2007, así como los requisitos y formalidades establecidos en el Decreto 1082 del 2015 y demás normas aplicables.</w:t>
      </w:r>
    </w:p>
    <w:bookmarkEnd w:id="7"/>
    <w:p w14:paraId="61C1402E" w14:textId="74A3DEB8" w:rsidR="001365BD" w:rsidRPr="009E6A2E" w:rsidRDefault="001365BD" w:rsidP="007A7E05">
      <w:pPr>
        <w:spacing w:after="120" w:line="276" w:lineRule="auto"/>
        <w:ind w:firstLine="708"/>
        <w:jc w:val="both"/>
        <w:rPr>
          <w:rFonts w:ascii="Verdana" w:eastAsia="Times New Roman" w:hAnsi="Verdana" w:cs="Arial"/>
          <w:lang w:eastAsia="es-MX"/>
          <w14:ligatures w14:val="standardContextual"/>
        </w:rPr>
      </w:pPr>
      <w:r w:rsidRPr="009E6A2E">
        <w:rPr>
          <w:rFonts w:ascii="Verdana" w:eastAsia="Times New Roman" w:hAnsi="Verdana" w:cs="Arial"/>
          <w:lang w:eastAsia="es-MX"/>
          <w14:ligatures w14:val="standardContextual"/>
        </w:rPr>
        <w:t xml:space="preserve">En consecuencia, cuando los contratos no superen los veinte (20) salarios mínimos legales mensuales vigentes, el régimen sustantivo de los contratos celebrados con recursos del fondo de servicios educativos también se rige por el derecho privado. Dado que el artículo 13 de la Ley 715 de 2001, en concordancia con el artículo </w:t>
      </w:r>
      <w:bookmarkStart w:id="8" w:name="_Hlk198934507"/>
      <w:r w:rsidRPr="009E6A2E">
        <w:rPr>
          <w:rFonts w:ascii="Verdana" w:eastAsia="Times New Roman" w:hAnsi="Verdana" w:cs="Arial"/>
          <w:lang w:eastAsia="es-MX"/>
          <w14:ligatures w14:val="standardContextual"/>
        </w:rPr>
        <w:t>2.3.1.6.3.17.</w:t>
      </w:r>
      <w:bookmarkEnd w:id="8"/>
      <w:r w:rsidRPr="009E6A2E">
        <w:rPr>
          <w:rFonts w:ascii="Verdana" w:eastAsia="Times New Roman" w:hAnsi="Verdana" w:cs="Arial"/>
          <w:lang w:eastAsia="es-MX"/>
          <w14:ligatures w14:val="standardContextual"/>
        </w:rPr>
        <w:t xml:space="preserve"> del Decreto 1075 de 2015, permite que el consejo directivo regule “[…] los trámites, garantías y constancias que deben cumplirse para que el rector o director celebre cualquier acto o contrato que cree, extinga o modifique obligaciones que deban registrarse en el Fondo […]”, el reglamento que defina los procedimientos aplicables complementa las normas civiles y comerciales, sin que este acto administrativo pueda modificar o derogar estas últimas por tratarse de aspectos regulados en la ley. </w:t>
      </w:r>
    </w:p>
    <w:p w14:paraId="4DC7FD80" w14:textId="77777777" w:rsidR="001365BD" w:rsidRPr="009E6A2E" w:rsidRDefault="001365BD" w:rsidP="001365BD">
      <w:pPr>
        <w:spacing w:after="120" w:line="276" w:lineRule="auto"/>
        <w:ind w:firstLine="709"/>
        <w:jc w:val="both"/>
        <w:rPr>
          <w:rFonts w:ascii="Verdana" w:eastAsia="Times New Roman" w:hAnsi="Verdana" w:cs="Arial"/>
          <w:lang w:eastAsia="es-MX"/>
          <w14:ligatures w14:val="standardContextual"/>
        </w:rPr>
      </w:pPr>
      <w:r w:rsidRPr="009E6A2E">
        <w:rPr>
          <w:rFonts w:ascii="Verdana" w:eastAsia="Times New Roman" w:hAnsi="Verdana" w:cs="Arial"/>
          <w:lang w:eastAsia="es-MX"/>
          <w14:ligatures w14:val="standardContextual"/>
        </w:rPr>
        <w:t xml:space="preserve">Naturalmente, los contratos mencionados en el párrafo precedente no se rigen exclusivamente por las normas civiles y comerciales, pues además del reglamento del consejo directivo, el artículo 13 de la Ley 1150 de 2007 dispone que la contratación exceptuada del EGCAP también se rige por los principios de </w:t>
      </w:r>
      <w:r w:rsidRPr="009E6A2E">
        <w:rPr>
          <w:rFonts w:ascii="Verdana" w:eastAsia="Times New Roman" w:hAnsi="Verdana" w:cs="Arial"/>
          <w:lang w:eastAsia="es-MX"/>
          <w14:ligatures w14:val="standardContextual"/>
        </w:rPr>
        <w:lastRenderedPageBreak/>
        <w:t>la función administrativa, los principios de la gestión fiscal y el régimen de inhabilidades e incompatibilidades previsto para la contratación estatal</w:t>
      </w:r>
      <w:r w:rsidRPr="009E6A2E">
        <w:rPr>
          <w:rFonts w:ascii="Verdana" w:eastAsia="Times New Roman" w:hAnsi="Verdana" w:cs="Arial"/>
          <w:vertAlign w:val="superscript"/>
          <w:lang w:eastAsia="es-MX"/>
          <w14:ligatures w14:val="standardContextual"/>
        </w:rPr>
        <w:footnoteReference w:id="19"/>
      </w:r>
      <w:r w:rsidRPr="009E6A2E">
        <w:rPr>
          <w:rFonts w:ascii="Verdana" w:eastAsia="Times New Roman" w:hAnsi="Verdana" w:cs="Arial"/>
          <w:lang w:eastAsia="es-MX"/>
          <w14:ligatures w14:val="standardContextual"/>
        </w:rPr>
        <w:t xml:space="preserve">. </w:t>
      </w:r>
    </w:p>
    <w:p w14:paraId="0C54FAB5" w14:textId="77777777" w:rsidR="001365BD" w:rsidRPr="009E6A2E" w:rsidRDefault="001365BD" w:rsidP="001365BD">
      <w:pPr>
        <w:tabs>
          <w:tab w:val="left" w:pos="0"/>
        </w:tabs>
        <w:spacing w:after="120" w:line="276" w:lineRule="auto"/>
        <w:ind w:firstLine="709"/>
        <w:jc w:val="both"/>
        <w:rPr>
          <w:rFonts w:ascii="Verdana" w:hAnsi="Verdana"/>
        </w:rPr>
      </w:pPr>
      <w:r w:rsidRPr="009E6A2E">
        <w:rPr>
          <w:rFonts w:ascii="Verdana" w:eastAsia="Arial" w:hAnsi="Verdana" w:cs="Arial"/>
          <w:lang w:eastAsia="es-MX"/>
        </w:rPr>
        <w:t xml:space="preserve">Teniendo en cuenta lo anterior, dado que las instituciones públicas de educación son entidades de carácter autónomo con régimen especial, les aplica la restricción establecida en el artículo 33 de la Ley 996 de 2005, que </w:t>
      </w:r>
      <w:r w:rsidRPr="009E6A2E">
        <w:rPr>
          <w:rFonts w:ascii="Verdana" w:eastAsia="Times New Roman" w:hAnsi="Verdana" w:cs="Open Sans"/>
          <w:lang w:eastAsia="es-CO"/>
        </w:rPr>
        <w:t xml:space="preserve">prohíbe la contratación directa por parte de todos los entes estatales durante los cuatro (4) meses anteriores a las elecciones presidenciales y dispone las excepciones a dicha prohibición. Por el contrario, a estas entidades no son susceptibles de la restricción contenida en el parágrafo del artículo 38 de la Ley 996 de 2005, dado que esta solo es aplicable a </w:t>
      </w:r>
      <w:proofErr w:type="gramStart"/>
      <w:r w:rsidRPr="009E6A2E">
        <w:rPr>
          <w:rFonts w:ascii="Verdana" w:eastAsia="Times New Roman" w:hAnsi="Verdana" w:cs="Arial"/>
          <w:lang w:val="es-MX" w:eastAsia="es-CO"/>
        </w:rPr>
        <w:t>Alcaldes</w:t>
      </w:r>
      <w:proofErr w:type="gramEnd"/>
      <w:r w:rsidRPr="009E6A2E">
        <w:rPr>
          <w:rFonts w:ascii="Verdana" w:eastAsia="Times New Roman" w:hAnsi="Verdana" w:cs="Arial"/>
          <w:lang w:val="es-MX" w:eastAsia="es-CO"/>
        </w:rPr>
        <w:t xml:space="preserve">, Gobernadores, </w:t>
      </w:r>
      <w:proofErr w:type="gramStart"/>
      <w:r w:rsidRPr="009E6A2E">
        <w:rPr>
          <w:rFonts w:ascii="Verdana" w:eastAsia="Times New Roman" w:hAnsi="Verdana" w:cs="Arial"/>
          <w:lang w:val="es-MX" w:eastAsia="es-CO"/>
        </w:rPr>
        <w:t>Secretarios</w:t>
      </w:r>
      <w:proofErr w:type="gramEnd"/>
      <w:r w:rsidRPr="009E6A2E">
        <w:rPr>
          <w:rFonts w:ascii="Verdana" w:eastAsia="Times New Roman" w:hAnsi="Verdana" w:cs="Arial"/>
          <w:lang w:val="es-MX" w:eastAsia="es-CO"/>
        </w:rPr>
        <w:t xml:space="preserve">, Gerentes y </w:t>
      </w:r>
      <w:proofErr w:type="gramStart"/>
      <w:r w:rsidRPr="009E6A2E">
        <w:rPr>
          <w:rFonts w:ascii="Verdana" w:eastAsia="Times New Roman" w:hAnsi="Verdana" w:cs="Arial"/>
          <w:lang w:val="es-MX" w:eastAsia="es-CO"/>
        </w:rPr>
        <w:t>Directores</w:t>
      </w:r>
      <w:proofErr w:type="gramEnd"/>
      <w:r w:rsidRPr="009E6A2E">
        <w:rPr>
          <w:rFonts w:ascii="Verdana" w:eastAsia="Times New Roman" w:hAnsi="Verdana" w:cs="Arial"/>
          <w:lang w:val="es-MX" w:eastAsia="es-CO"/>
        </w:rPr>
        <w:t xml:space="preserve"> de las entidades descentralizadas del orden municipal, departamental o distrital</w:t>
      </w:r>
      <w:r w:rsidRPr="009E6A2E">
        <w:rPr>
          <w:rFonts w:ascii="Verdana" w:eastAsia="Times New Roman" w:hAnsi="Verdana" w:cs="Open Sans"/>
          <w:lang w:eastAsia="es-CO"/>
        </w:rPr>
        <w:t>.</w:t>
      </w:r>
    </w:p>
    <w:p w14:paraId="3322B81D" w14:textId="77777777" w:rsidR="001365BD" w:rsidRPr="00C937A2" w:rsidRDefault="001365BD" w:rsidP="007A7E05">
      <w:pPr>
        <w:spacing w:before="120" w:after="0" w:line="276" w:lineRule="auto"/>
        <w:ind w:firstLine="708"/>
        <w:jc w:val="both"/>
        <w:rPr>
          <w:rFonts w:ascii="Verdana" w:hAnsi="Verdana" w:cs="BCDHEE+Verdana"/>
          <w:color w:val="000000"/>
        </w:rPr>
      </w:pPr>
      <w:r w:rsidRPr="009E6A2E">
        <w:rPr>
          <w:rFonts w:ascii="Verdana" w:eastAsia="Arial" w:hAnsi="Verdana" w:cs="Arial"/>
          <w:lang w:eastAsia="es-MX"/>
        </w:rPr>
        <w:t>En relación con lo anterior, p</w:t>
      </w:r>
      <w:r w:rsidRPr="009E6A2E">
        <w:rPr>
          <w:rFonts w:ascii="Verdana" w:hAnsi="Verdana" w:cs="BCDHEE+Verdana"/>
          <w:color w:val="000000"/>
        </w:rPr>
        <w:t>ara las elecciones presidenciales, la Registraduría Nacional del Estado Civil,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cuatro (4) meses anteriores a la elección presidencial, es decir desde el 31 de enero de 2026 y hasta el momento de la celebración de la segunda vuelta, si fuere el caso, queda prohibida la contratación directa por parte de todos los entes del Estado.</w:t>
      </w:r>
    </w:p>
    <w:p w14:paraId="0B5A13A6" w14:textId="77777777" w:rsidR="001365BD" w:rsidRPr="005C170B" w:rsidRDefault="001365BD" w:rsidP="001365BD">
      <w:pPr>
        <w:spacing w:after="0" w:line="276" w:lineRule="auto"/>
        <w:ind w:firstLine="709"/>
        <w:jc w:val="both"/>
        <w:rPr>
          <w:rFonts w:ascii="Verdana" w:eastAsia="Arial" w:hAnsi="Verdana" w:cs="Arial"/>
          <w:bCs/>
          <w:color w:val="000000" w:themeColor="text1"/>
        </w:rPr>
      </w:pPr>
    </w:p>
    <w:p w14:paraId="19B080DA" w14:textId="77777777" w:rsidR="001365BD" w:rsidRPr="005C170B" w:rsidRDefault="001365BD" w:rsidP="007A7E05">
      <w:pPr>
        <w:tabs>
          <w:tab w:val="left" w:pos="0"/>
        </w:tabs>
        <w:spacing w:after="120" w:line="276" w:lineRule="auto"/>
        <w:jc w:val="both"/>
        <w:rPr>
          <w:rFonts w:ascii="Verdana" w:eastAsia="Arial" w:hAnsi="Verdana" w:cs="Arial"/>
          <w:color w:val="000000"/>
        </w:rPr>
      </w:pPr>
      <w:r w:rsidRPr="005C170B">
        <w:rPr>
          <w:rFonts w:ascii="Verdana" w:eastAsia="Calibri" w:hAnsi="Verdana" w:cs="Arial"/>
          <w:b/>
          <w:color w:val="000000" w:themeColor="text1"/>
        </w:rPr>
        <w:t>vi.</w:t>
      </w:r>
      <w:r w:rsidRPr="005C170B">
        <w:rPr>
          <w:rFonts w:ascii="Verdana" w:eastAsia="Calibri" w:hAnsi="Verdana" w:cs="Arial"/>
          <w:bCs/>
          <w:color w:val="000000" w:themeColor="text1"/>
        </w:rPr>
        <w:t xml:space="preserve">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5C170B">
        <w:rPr>
          <w:rFonts w:ascii="Verdana" w:eastAsia="Calibri" w:hAnsi="Verdana" w:cs="Arial"/>
          <w:bCs/>
          <w:color w:val="000000" w:themeColor="text1"/>
        </w:rPr>
        <w:lastRenderedPageBreak/>
        <w:t>correspondiente y, en caso de conflicto, a las autoridades judiciales, fiscales y disciplinarias.</w:t>
      </w:r>
    </w:p>
    <w:p w14:paraId="234BF1DB" w14:textId="77777777" w:rsidR="001365BD" w:rsidRPr="005C170B" w:rsidRDefault="001365BD" w:rsidP="001365BD">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38A1D0D" w14:textId="77777777" w:rsidR="001365BD" w:rsidRPr="005C170B" w:rsidRDefault="001365BD" w:rsidP="001365BD">
      <w:pPr>
        <w:widowControl w:val="0"/>
        <w:autoSpaceDE w:val="0"/>
        <w:autoSpaceDN w:val="0"/>
        <w:spacing w:after="0" w:line="276" w:lineRule="auto"/>
        <w:jc w:val="both"/>
        <w:rPr>
          <w:rFonts w:ascii="Verdana" w:hAnsi="Verdana" w:cs="Arial"/>
        </w:rPr>
      </w:pPr>
    </w:p>
    <w:p w14:paraId="548941EE" w14:textId="77777777" w:rsidR="001365BD" w:rsidRPr="005C170B" w:rsidRDefault="001365BD" w:rsidP="006455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Referencias normativas, jurisprudenciales y otras fuentes:</w:t>
      </w:r>
    </w:p>
    <w:p w14:paraId="30B328DE" w14:textId="77777777" w:rsidR="001365BD" w:rsidRPr="005C170B" w:rsidRDefault="001365BD" w:rsidP="001365B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365BD" w:rsidRPr="005C170B" w14:paraId="31B7FFE1" w14:textId="77777777" w:rsidTr="00F3137A">
        <w:trPr>
          <w:trHeight w:val="870"/>
        </w:trPr>
        <w:tc>
          <w:tcPr>
            <w:tcW w:w="8647" w:type="dxa"/>
          </w:tcPr>
          <w:p w14:paraId="6433AB95"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Ley 996 de 2005, artículo 33 y 38.</w:t>
            </w:r>
          </w:p>
          <w:p w14:paraId="2D4A524A"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Gaceta del Congreso de la República No. 71 del 2005.</w:t>
            </w:r>
          </w:p>
          <w:p w14:paraId="1743AE96"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Corte Constitucional, Sentencia C- 1153 de 2005, M.P. Marco Gerardo Monroy Cabra.</w:t>
            </w:r>
          </w:p>
          <w:p w14:paraId="1A8D71D5"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Corte Constitucional. Sentencias: C-233 de 4 de abril de 2002, expediente: D-3704; C-551 de 9 de julio de 2003, expediente: CRF-001 de 9 de julio de 2003; C-652 de 5 de agosto de 2003, expediente: D 4330; C-353 de 20 de mayo de 2009, expediente: D-7518, C-541 de 30 de junio de 2010, expediente: DD7966; entre otras.</w:t>
            </w:r>
          </w:p>
          <w:p w14:paraId="3F54BAD7"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Consejo de Estado, Sala de lo Contencioso Administrativo, Sección Primera. Sentencia de 3 de marzo de 2005, expediente número 2004-00823-01(PI).</w:t>
            </w:r>
          </w:p>
          <w:p w14:paraId="3090A85E"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Consejo de Estado, Sala de lo Contencioso Administrativo, Sección Tercera. Sentencia de 22 de enero de 2002, expediente número 2001-0148-01.</w:t>
            </w:r>
          </w:p>
          <w:p w14:paraId="3897E4F5"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Consejo de Estado, Sala de lo Contencioso Administrativo, Sección Tercera. Sentencia de 20 de noviembre de 2001, expediente número 2001-0130-01(PI).</w:t>
            </w:r>
          </w:p>
          <w:p w14:paraId="3637576F"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Consejo de Estado, Sala de Consulta y Servicio Civil de fecha 24 de julio de 2013, radicado 2166, C. P. Álvaro Namén Vargas.</w:t>
            </w:r>
          </w:p>
          <w:p w14:paraId="0421FB4B"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lastRenderedPageBreak/>
              <w:t>Consejo de Estado. Sala de Consulta y Servicio Civil. Concepto del 17 de febrero de 2015. C.P. William Zambrano Cetina. Radicación No. 11001-03-06-000-2015-00164-00(2269).</w:t>
            </w:r>
          </w:p>
          <w:p w14:paraId="26B2280A"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Consejo de Estado. Sección Tercera. Sentencia de 3 de diciembre de 2007. Radicados: 24.715, 25.206, 25.409, 24.524, 27.834, 25.410, 26.105, 28.244, 31.447 -acumulados-”.</w:t>
            </w:r>
          </w:p>
          <w:p w14:paraId="1BB6DF87"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Consejo de Estado Sala de Consulta y Servicio Civil. Concepto 1712 del 02 de febrero de 2006.</w:t>
            </w:r>
          </w:p>
          <w:p w14:paraId="51A9F3FE"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Consejo de Estado. Sala de Consulta y Servicio Civil. Concepto del 2 de septiembre de 2013. Radicación número: 11001-03-06-000-2013-00412-00 (2168). Consejero Ponente: Álvaro Namén Vargas.</w:t>
            </w:r>
          </w:p>
          <w:p w14:paraId="000228BA"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Consejo de Estado. Sala de Consulta y Servicio Civil. Concepto del 08 de mayo de 2018.</w:t>
            </w:r>
          </w:p>
          <w:p w14:paraId="6DE105B0"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Corte Constitucional. Sentencia C-1153-05 de 11 de noviembre de 2005. Magistrado Ponente Marco Gerardo Monroy Cabra.</w:t>
            </w:r>
          </w:p>
          <w:p w14:paraId="6CA431E3"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Registraduría Nacional del Estado Civil. Resolución 2580 del 5 de marzo de 2025. “Por la cual se fija el calendario electoral para las elecciones de presidente y vicepresidente de la república (primera vuelta) para el período constitucional 2026-2030”.</w:t>
            </w:r>
          </w:p>
          <w:p w14:paraId="721AD051"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Ley 60 de 1193.</w:t>
            </w:r>
          </w:p>
          <w:p w14:paraId="09B6A133"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Ley 715 de 2001, artículo 13.</w:t>
            </w:r>
          </w:p>
          <w:p w14:paraId="3E52D90D"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Decreto 4791 de 2008, artículo 2.</w:t>
            </w:r>
          </w:p>
          <w:p w14:paraId="0B5D920E"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Decreto 1075 de 2015, artículo 2.3.1.6.3.4.</w:t>
            </w:r>
          </w:p>
          <w:p w14:paraId="1FB8DDC2"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Ley 1150, artículos 3 y 13.</w:t>
            </w:r>
          </w:p>
          <w:p w14:paraId="12201792" w14:textId="77777777" w:rsidR="001365BD" w:rsidRPr="00321B3A" w:rsidRDefault="001365BD" w:rsidP="00F3137A">
            <w:pPr>
              <w:numPr>
                <w:ilvl w:val="0"/>
                <w:numId w:val="17"/>
              </w:numPr>
              <w:spacing w:before="100" w:beforeAutospacing="1" w:after="100" w:afterAutospacing="1"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Ley 80 de 1993</w:t>
            </w:r>
            <w:r>
              <w:rPr>
                <w:rFonts w:ascii="Verdana" w:eastAsia="Times New Roman" w:hAnsi="Verdana" w:cs="Times New Roman"/>
                <w:lang w:eastAsia="es-CO"/>
              </w:rPr>
              <w:t>.</w:t>
            </w:r>
          </w:p>
          <w:p w14:paraId="74350970" w14:textId="77777777" w:rsidR="001365BD" w:rsidRPr="00321B3A" w:rsidRDefault="001365BD" w:rsidP="007A7E05">
            <w:pPr>
              <w:numPr>
                <w:ilvl w:val="0"/>
                <w:numId w:val="17"/>
              </w:numPr>
              <w:spacing w:line="276" w:lineRule="auto"/>
              <w:jc w:val="both"/>
              <w:rPr>
                <w:rFonts w:ascii="Verdana" w:eastAsia="Times New Roman" w:hAnsi="Verdana" w:cs="Times New Roman"/>
                <w:lang w:eastAsia="es-CO"/>
              </w:rPr>
            </w:pPr>
            <w:r w:rsidRPr="00321B3A">
              <w:rPr>
                <w:rFonts w:ascii="Verdana" w:eastAsia="Times New Roman" w:hAnsi="Verdana" w:cs="Times New Roman"/>
                <w:lang w:eastAsia="es-CO"/>
              </w:rPr>
              <w:t>Decreto 1082 del 2015</w:t>
            </w:r>
            <w:r>
              <w:rPr>
                <w:rFonts w:ascii="Verdana" w:eastAsia="Times New Roman" w:hAnsi="Verdana" w:cs="Times New Roman"/>
                <w:lang w:eastAsia="es-CO"/>
              </w:rPr>
              <w:t>.</w:t>
            </w:r>
          </w:p>
        </w:tc>
      </w:tr>
    </w:tbl>
    <w:p w14:paraId="7AE02DAE" w14:textId="77777777" w:rsidR="001365BD" w:rsidRPr="005C170B" w:rsidRDefault="001365BD" w:rsidP="001365BD">
      <w:pPr>
        <w:widowControl w:val="0"/>
        <w:autoSpaceDE w:val="0"/>
        <w:autoSpaceDN w:val="0"/>
        <w:spacing w:after="0" w:line="276" w:lineRule="auto"/>
        <w:jc w:val="both"/>
        <w:rPr>
          <w:rFonts w:ascii="Verdana" w:hAnsi="Verdana" w:cs="Arial"/>
        </w:rPr>
      </w:pPr>
    </w:p>
    <w:p w14:paraId="05456F57" w14:textId="77777777" w:rsidR="001365BD" w:rsidRPr="005C170B" w:rsidRDefault="001365BD" w:rsidP="006455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Doctrina de la Agencia Nacional de Contratación Pública:</w:t>
      </w:r>
    </w:p>
    <w:p w14:paraId="53CD0B49" w14:textId="77777777" w:rsidR="001365BD" w:rsidRPr="005C170B" w:rsidRDefault="001365BD" w:rsidP="001365BD">
      <w:pPr>
        <w:widowControl w:val="0"/>
        <w:autoSpaceDE w:val="0"/>
        <w:autoSpaceDN w:val="0"/>
        <w:spacing w:after="0" w:line="276" w:lineRule="auto"/>
        <w:jc w:val="both"/>
        <w:rPr>
          <w:rFonts w:ascii="Verdana" w:hAnsi="Verdana" w:cs="Arial"/>
        </w:rPr>
      </w:pPr>
    </w:p>
    <w:p w14:paraId="7C36CF93" w14:textId="77777777" w:rsidR="001365BD" w:rsidRPr="005C170B" w:rsidRDefault="001365BD" w:rsidP="001365BD">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5C170B">
        <w:rPr>
          <w:rFonts w:ascii="Verdana" w:hAnsi="Verdana" w:cs="Arial"/>
          <w:shd w:val="clear" w:color="auto" w:fill="FFFFFF"/>
        </w:rPr>
        <w:t xml:space="preserve">Esta Subdirección se ha pronunciado sobre 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w:t>
      </w:r>
      <w:r w:rsidRPr="005C170B">
        <w:rPr>
          <w:rFonts w:ascii="Verdana" w:hAnsi="Verdana" w:cs="Arial"/>
          <w:shd w:val="clear" w:color="auto" w:fill="FFFFFF"/>
        </w:rPr>
        <w:lastRenderedPageBreak/>
        <w:t xml:space="preserve">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C-1124 del 18 de septiembre de 2025, C-1491 del 20 de noviembre de 2025, C- 1492 del </w:t>
      </w:r>
      <w:r w:rsidRPr="005C170B">
        <w:rPr>
          <w:rFonts w:ascii="Verdana" w:hAnsi="Verdana"/>
        </w:rPr>
        <w:t>21 de noviembre del 2025, C-1629, C-1646 del 17 de diciembre de 2025, C-1662 del 22 de diciembre de 2025</w:t>
      </w:r>
      <w:r w:rsidRPr="005C170B">
        <w:rPr>
          <w:rStyle w:val="normaltextrun"/>
          <w:rFonts w:ascii="Verdana" w:hAnsi="Verdana" w:cs="Arial"/>
          <w:shd w:val="clear" w:color="auto" w:fill="FFFFFF"/>
          <w:lang w:val="es-ES"/>
        </w:rPr>
        <w:t>, C-160 del 24 de febrero de 2026, C-108 del 4 de marzo de 2026</w:t>
      </w:r>
      <w:r>
        <w:rPr>
          <w:rStyle w:val="normaltextrun"/>
          <w:rFonts w:ascii="Verdana" w:hAnsi="Verdana" w:cs="Arial"/>
          <w:shd w:val="clear" w:color="auto" w:fill="FFFFFF"/>
          <w:lang w:val="es-ES"/>
        </w:rPr>
        <w:t xml:space="preserve"> C-380 del 15 de abril de 2026</w:t>
      </w:r>
      <w:r w:rsidRPr="005C170B">
        <w:rPr>
          <w:rStyle w:val="normaltextrun"/>
          <w:rFonts w:ascii="Verdana" w:hAnsi="Verdana" w:cs="Arial"/>
          <w:shd w:val="clear" w:color="auto" w:fill="FFFFFF"/>
          <w:lang w:val="es-ES"/>
        </w:rPr>
        <w:t>, entre otros.</w:t>
      </w:r>
      <w:r w:rsidRPr="005C170B">
        <w:rPr>
          <w:rFonts w:ascii="Verdana" w:hAnsi="Verdana" w:cs="Arial"/>
          <w:shd w:val="clear" w:color="auto" w:fill="FFFFFF"/>
          <w:lang w:val="es-ES"/>
        </w:rPr>
        <w:t xml:space="preserve"> </w:t>
      </w:r>
      <w:r w:rsidRPr="005C170B">
        <w:rPr>
          <w:rFonts w:ascii="Verdana" w:hAnsi="Verdana" w:cs="Arial"/>
          <w:color w:val="000000" w:themeColor="text1"/>
          <w:shd w:val="clear" w:color="auto" w:fill="FFFFFF"/>
        </w:rPr>
        <w:t xml:space="preserve">Estos </w:t>
      </w:r>
      <w:r w:rsidRPr="005C170B">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2" w:history="1">
        <w:r w:rsidRPr="00952BB4">
          <w:rPr>
            <w:rStyle w:val="Hipervnculo"/>
            <w:rFonts w:ascii="Verdana" w:hAnsi="Verdana" w:cs="Arial"/>
            <w:shd w:val="clear" w:color="auto" w:fill="FFFFFF"/>
          </w:rPr>
          <w:t>https://relatoria.colombiacompra.gov.co/busqueda/conceptos</w:t>
        </w:r>
      </w:hyperlink>
      <w:r w:rsidRPr="00952BB4">
        <w:rPr>
          <w:rStyle w:val="Hipervnculo"/>
          <w:rFonts w:ascii="Verdana" w:hAnsi="Verdana"/>
        </w:rPr>
        <w:t>.</w:t>
      </w:r>
      <w:r w:rsidRPr="00952BB4">
        <w:rPr>
          <w:rStyle w:val="normaltextrun"/>
          <w:rFonts w:ascii="Verdana" w:hAnsi="Verdana" w:cs="Arial"/>
          <w:color w:val="000000" w:themeColor="text1"/>
          <w:shd w:val="clear" w:color="auto" w:fill="FFFFFF"/>
        </w:rPr>
        <w:t xml:space="preserve"> </w:t>
      </w:r>
      <w:r w:rsidRPr="00952BB4">
        <w:rPr>
          <w:rStyle w:val="normaltextrun"/>
          <w:rFonts w:ascii="Verdana" w:hAnsi="Verdana" w:cs="Arial"/>
          <w:color w:val="000000" w:themeColor="text1"/>
          <w:shd w:val="clear" w:color="auto" w:fill="FFFFFF"/>
          <w:lang w:val="es-ES"/>
        </w:rPr>
        <w:t xml:space="preserve"> </w:t>
      </w:r>
    </w:p>
    <w:p w14:paraId="17F9E71C" w14:textId="77777777" w:rsidR="001365BD" w:rsidRPr="005C170B" w:rsidRDefault="001365BD" w:rsidP="007A7E05">
      <w:pPr>
        <w:spacing w:after="0" w:line="276" w:lineRule="auto"/>
        <w:jc w:val="both"/>
        <w:rPr>
          <w:rFonts w:ascii="Verdana" w:hAnsi="Verdana"/>
        </w:rPr>
      </w:pPr>
    </w:p>
    <w:p w14:paraId="6923EB18" w14:textId="77777777" w:rsidR="001365BD" w:rsidRPr="005C170B" w:rsidRDefault="001365BD" w:rsidP="007A7E05">
      <w:pPr>
        <w:spacing w:after="0" w:line="276" w:lineRule="auto"/>
        <w:jc w:val="both"/>
        <w:rPr>
          <w:rFonts w:ascii="Verdana" w:hAnsi="Verdana"/>
        </w:rPr>
      </w:pPr>
      <w:r w:rsidRPr="005C170B">
        <w:rPr>
          <w:rFonts w:ascii="Verdana" w:hAnsi="Verdana"/>
        </w:rPr>
        <w:t xml:space="preserve">Por último, lo invitamos a seguirnos en las redes sociales en las cuales se difunde información institucional: </w:t>
      </w:r>
    </w:p>
    <w:p w14:paraId="21FEF454" w14:textId="77777777" w:rsidR="001365BD" w:rsidRPr="005C170B" w:rsidRDefault="001365BD" w:rsidP="007A7E05">
      <w:pPr>
        <w:spacing w:after="0" w:line="276" w:lineRule="auto"/>
        <w:jc w:val="both"/>
        <w:rPr>
          <w:rFonts w:ascii="Verdana" w:hAnsi="Verdana"/>
        </w:rPr>
      </w:pPr>
    </w:p>
    <w:p w14:paraId="4CEFF09D" w14:textId="77777777" w:rsidR="001365BD" w:rsidRPr="005C170B" w:rsidRDefault="001365BD" w:rsidP="007A7E05">
      <w:pPr>
        <w:spacing w:after="0" w:line="276" w:lineRule="auto"/>
        <w:jc w:val="both"/>
        <w:rPr>
          <w:rFonts w:ascii="Verdana" w:hAnsi="Verdana"/>
        </w:rPr>
      </w:pPr>
      <w:r w:rsidRPr="005C170B">
        <w:rPr>
          <w:rFonts w:ascii="Verdana" w:hAnsi="Verdana"/>
        </w:rPr>
        <w:t xml:space="preserve">Twitter: </w:t>
      </w:r>
      <w:r w:rsidRPr="005C170B">
        <w:rPr>
          <w:rStyle w:val="Hipervnculo"/>
          <w:rFonts w:ascii="Verdana" w:hAnsi="Verdana"/>
        </w:rPr>
        <w:t>@colombiacompra</w:t>
      </w:r>
      <w:r w:rsidRPr="005C170B">
        <w:rPr>
          <w:rFonts w:ascii="Verdana" w:hAnsi="Verdana"/>
          <w:color w:val="0000FF"/>
        </w:rPr>
        <w:t xml:space="preserve"> </w:t>
      </w:r>
    </w:p>
    <w:p w14:paraId="2BEE966C" w14:textId="77777777" w:rsidR="001365BD" w:rsidRPr="005C170B" w:rsidRDefault="001365BD" w:rsidP="007A7E05">
      <w:pPr>
        <w:spacing w:after="0" w:line="276" w:lineRule="auto"/>
        <w:jc w:val="both"/>
        <w:rPr>
          <w:rFonts w:ascii="Verdana" w:hAnsi="Verdana"/>
        </w:rPr>
      </w:pPr>
      <w:r w:rsidRPr="005C170B">
        <w:rPr>
          <w:rFonts w:ascii="Verdana" w:hAnsi="Verdana"/>
        </w:rPr>
        <w:t xml:space="preserve">Facebook: </w:t>
      </w:r>
      <w:proofErr w:type="spellStart"/>
      <w:r w:rsidRPr="005C170B">
        <w:rPr>
          <w:rStyle w:val="Hipervnculo"/>
          <w:rFonts w:ascii="Verdana" w:hAnsi="Verdana"/>
        </w:rPr>
        <w:t>ColombiaCompraEficiente</w:t>
      </w:r>
      <w:proofErr w:type="spellEnd"/>
    </w:p>
    <w:p w14:paraId="7B0D6979" w14:textId="77777777" w:rsidR="001365BD" w:rsidRPr="005C170B" w:rsidRDefault="001365BD" w:rsidP="007A7E05">
      <w:pPr>
        <w:spacing w:after="0" w:line="276" w:lineRule="auto"/>
        <w:jc w:val="both"/>
        <w:rPr>
          <w:rFonts w:ascii="Verdana" w:hAnsi="Verdana"/>
        </w:rPr>
      </w:pPr>
      <w:r w:rsidRPr="005C170B">
        <w:rPr>
          <w:rFonts w:ascii="Verdana" w:hAnsi="Verdana"/>
        </w:rPr>
        <w:t xml:space="preserve">LinkedIn: </w:t>
      </w:r>
      <w:r w:rsidRPr="005C170B">
        <w:rPr>
          <w:rStyle w:val="Hipervnculo"/>
          <w:rFonts w:ascii="Verdana" w:hAnsi="Verdana"/>
        </w:rPr>
        <w:t>Agencia Nacional de Contratación Pública - Colombia Compra Eficiente</w:t>
      </w:r>
      <w:r w:rsidRPr="005C170B">
        <w:rPr>
          <w:rFonts w:ascii="Verdana" w:hAnsi="Verdana"/>
          <w:color w:val="0000FF"/>
        </w:rPr>
        <w:t xml:space="preserve"> </w:t>
      </w:r>
      <w:r w:rsidRPr="005C170B">
        <w:rPr>
          <w:rFonts w:ascii="Verdana" w:hAnsi="Verdana"/>
        </w:rPr>
        <w:t xml:space="preserve">Instagram: </w:t>
      </w:r>
      <w:r w:rsidRPr="005C170B">
        <w:rPr>
          <w:rStyle w:val="Hipervnculo"/>
          <w:rFonts w:ascii="Verdana" w:hAnsi="Verdana"/>
        </w:rPr>
        <w:t>@colombiacompraeficiente_cce</w:t>
      </w:r>
    </w:p>
    <w:p w14:paraId="4C9448A8" w14:textId="77777777" w:rsidR="001365BD" w:rsidRPr="005C170B" w:rsidRDefault="001365BD" w:rsidP="001365BD">
      <w:pPr>
        <w:widowControl w:val="0"/>
        <w:autoSpaceDE w:val="0"/>
        <w:autoSpaceDN w:val="0"/>
        <w:spacing w:after="0" w:line="276" w:lineRule="auto"/>
        <w:jc w:val="both"/>
        <w:rPr>
          <w:rFonts w:ascii="Verdana" w:hAnsi="Verdana" w:cs="Arial"/>
        </w:rPr>
      </w:pPr>
    </w:p>
    <w:p w14:paraId="6FB43F0D" w14:textId="77777777" w:rsidR="001365BD" w:rsidRPr="005C170B" w:rsidRDefault="001365BD" w:rsidP="001365BD">
      <w:pPr>
        <w:widowControl w:val="0"/>
        <w:autoSpaceDE w:val="0"/>
        <w:autoSpaceDN w:val="0"/>
        <w:spacing w:after="0" w:line="276" w:lineRule="auto"/>
        <w:jc w:val="both"/>
        <w:rPr>
          <w:rFonts w:ascii="Verdana" w:hAnsi="Verdana" w:cs="Arial"/>
          <w:lang w:val="es-ES_tradnl"/>
        </w:rPr>
      </w:pPr>
      <w:r w:rsidRPr="005C170B">
        <w:rPr>
          <w:rFonts w:ascii="Verdana" w:hAnsi="Verdana" w:cs="Arial"/>
        </w:rPr>
        <w:t xml:space="preserve">Este concepto tiene el alcance previsto en el artículo 28 del Código de Procedimiento Administrativo y de lo Contencioso Administrativo </w:t>
      </w:r>
      <w:r w:rsidRPr="005C170B">
        <w:rPr>
          <w:rFonts w:ascii="Verdana" w:hAnsi="Verdana" w:cs="Arial"/>
          <w:lang w:val="es-ES_tradnl"/>
        </w:rPr>
        <w:t>y las expresiones aquí utilizadas con mayúscula inicial deben ser entendidas con el significado que les otorga el artículo 2.2.1.1.1.3.1. del Decreto 1082 de 2015.</w:t>
      </w:r>
    </w:p>
    <w:p w14:paraId="70E3D6BF" w14:textId="77777777" w:rsidR="001365BD" w:rsidRPr="005C170B" w:rsidRDefault="001365BD" w:rsidP="001365BD">
      <w:pPr>
        <w:widowControl w:val="0"/>
        <w:autoSpaceDE w:val="0"/>
        <w:autoSpaceDN w:val="0"/>
        <w:spacing w:after="0" w:line="276" w:lineRule="auto"/>
        <w:jc w:val="both"/>
        <w:rPr>
          <w:rFonts w:ascii="Verdana" w:hAnsi="Verdana" w:cs="Arial"/>
        </w:rPr>
      </w:pPr>
    </w:p>
    <w:p w14:paraId="6FB2557F" w14:textId="77777777" w:rsidR="001365BD" w:rsidRPr="005C170B" w:rsidRDefault="001365BD" w:rsidP="007A7E05">
      <w:pPr>
        <w:spacing w:after="0" w:line="276" w:lineRule="auto"/>
        <w:rPr>
          <w:rFonts w:ascii="Verdana" w:hAnsi="Verdana" w:cs="Arial"/>
          <w:lang w:eastAsia="es-CO"/>
        </w:rPr>
      </w:pPr>
      <w:r w:rsidRPr="005C170B">
        <w:rPr>
          <w:rFonts w:ascii="Verdana" w:eastAsia="Times New Roman" w:hAnsi="Verdana" w:cs="Arial"/>
          <w:lang w:eastAsia="es-CO"/>
        </w:rPr>
        <w:t>Atentamente,</w:t>
      </w:r>
      <w:r w:rsidRPr="005C170B">
        <w:rPr>
          <w:rFonts w:ascii="Verdana" w:hAnsi="Verdana" w:cs="Arial"/>
          <w:lang w:eastAsia="es-CO"/>
        </w:rPr>
        <w:t xml:space="preserve"> </w:t>
      </w:r>
    </w:p>
    <w:p w14:paraId="78EFB72F" w14:textId="4DC0B346" w:rsidR="001365BD" w:rsidRPr="005C170B" w:rsidRDefault="00BF6E2F" w:rsidP="00BF6E2F">
      <w:pPr>
        <w:spacing w:line="276" w:lineRule="auto"/>
        <w:jc w:val="center"/>
        <w:rPr>
          <w:rFonts w:ascii="Verdana" w:hAnsi="Verdana" w:cs="Arial"/>
          <w:color w:val="000000"/>
          <w:lang w:eastAsia="es-CO"/>
        </w:rPr>
      </w:pPr>
      <w:r w:rsidRPr="00BF6E2F">
        <w:rPr>
          <w:rFonts w:ascii="Verdana" w:hAnsi="Verdana" w:cs="Arial"/>
          <w:color w:val="000000"/>
          <w:lang w:eastAsia="es-CO"/>
        </w:rPr>
        <w:drawing>
          <wp:inline distT="0" distB="0" distL="0" distR="0" wp14:anchorId="7CC9D8E8" wp14:editId="70DCD65C">
            <wp:extent cx="2020911" cy="800100"/>
            <wp:effectExtent l="0" t="0" r="0" b="0"/>
            <wp:docPr id="104782010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32953" cy="804868"/>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365BD" w:rsidRPr="005C170B" w14:paraId="328EB95E" w14:textId="77777777" w:rsidTr="00F3137A">
        <w:trPr>
          <w:trHeight w:val="315"/>
        </w:trPr>
        <w:tc>
          <w:tcPr>
            <w:tcW w:w="893" w:type="dxa"/>
            <w:vAlign w:val="center"/>
            <w:hideMark/>
          </w:tcPr>
          <w:p w14:paraId="1F537B6A" w14:textId="77777777" w:rsidR="001365BD" w:rsidRPr="005C170B" w:rsidRDefault="001365BD" w:rsidP="00F3137A">
            <w:pPr>
              <w:contextualSpacing/>
              <w:rPr>
                <w:rFonts w:ascii="Verdana" w:hAnsi="Verdana" w:cs="Arial"/>
                <w:sz w:val="16"/>
                <w:szCs w:val="16"/>
                <w:lang w:val="es-ES" w:eastAsia="es-ES"/>
              </w:rPr>
            </w:pPr>
            <w:r w:rsidRPr="005C170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0B2565E" w14:textId="77777777" w:rsidR="001365BD" w:rsidRPr="005C170B" w:rsidRDefault="001365BD" w:rsidP="00F3137A">
            <w:pPr>
              <w:contextualSpacing/>
              <w:rPr>
                <w:rFonts w:ascii="Verdana" w:eastAsia="Arial" w:hAnsi="Verdana" w:cs="Arial"/>
                <w:sz w:val="16"/>
                <w:szCs w:val="16"/>
              </w:rPr>
            </w:pPr>
            <w:r w:rsidRPr="005C170B">
              <w:rPr>
                <w:rFonts w:ascii="Verdana" w:eastAsia="Arial" w:hAnsi="Verdana" w:cs="Arial"/>
                <w:sz w:val="16"/>
                <w:szCs w:val="16"/>
              </w:rPr>
              <w:t>Andrea Camila Polo Paz</w:t>
            </w:r>
          </w:p>
          <w:p w14:paraId="34A82B37" w14:textId="77777777" w:rsidR="001365BD" w:rsidRPr="005C170B" w:rsidRDefault="001365BD" w:rsidP="00F3137A">
            <w:pPr>
              <w:contextualSpacing/>
              <w:rPr>
                <w:rFonts w:ascii="Verdana" w:eastAsia="Arial" w:hAnsi="Verdana" w:cs="Arial"/>
                <w:sz w:val="16"/>
                <w:szCs w:val="16"/>
              </w:rPr>
            </w:pPr>
            <w:r w:rsidRPr="005C170B">
              <w:rPr>
                <w:rStyle w:val="normaltextrun"/>
                <w:rFonts w:ascii="Verdana" w:eastAsia="Arial" w:hAnsi="Verdana" w:cs="Arial"/>
                <w:sz w:val="16"/>
                <w:szCs w:val="16"/>
              </w:rPr>
              <w:t>Analista T02-1 de la Subdirección de Gestión Contractual</w:t>
            </w:r>
          </w:p>
        </w:tc>
      </w:tr>
      <w:tr w:rsidR="001365BD" w:rsidRPr="005C170B" w14:paraId="2702A8B1" w14:textId="77777777" w:rsidTr="00F3137A">
        <w:trPr>
          <w:trHeight w:val="330"/>
        </w:trPr>
        <w:tc>
          <w:tcPr>
            <w:tcW w:w="893" w:type="dxa"/>
            <w:vAlign w:val="center"/>
            <w:hideMark/>
          </w:tcPr>
          <w:p w14:paraId="286A2391" w14:textId="77777777" w:rsidR="001365BD" w:rsidRPr="005C170B" w:rsidRDefault="001365BD" w:rsidP="00F3137A">
            <w:pPr>
              <w:contextualSpacing/>
              <w:rPr>
                <w:rFonts w:ascii="Verdana" w:hAnsi="Verdana" w:cs="Arial"/>
                <w:sz w:val="16"/>
                <w:szCs w:val="16"/>
                <w:lang w:val="es-ES" w:eastAsia="es-ES"/>
              </w:rPr>
            </w:pPr>
            <w:r w:rsidRPr="005C170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AE3320B" w14:textId="77777777" w:rsidR="001365BD" w:rsidRPr="005C170B" w:rsidRDefault="001365BD" w:rsidP="00F3137A">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Diana Lucía Saavedra Castañeda</w:t>
            </w:r>
          </w:p>
          <w:p w14:paraId="49038498" w14:textId="77777777" w:rsidR="001365BD" w:rsidRPr="005C170B" w:rsidRDefault="001365BD" w:rsidP="00F3137A">
            <w:pPr>
              <w:pStyle w:val="paragraph"/>
              <w:spacing w:before="0" w:beforeAutospacing="0" w:after="0" w:afterAutospacing="0"/>
              <w:contextualSpacing/>
              <w:textAlignment w:val="baseline"/>
              <w:rPr>
                <w:rFonts w:ascii="Verdana" w:hAnsi="Verdana" w:cs="Arial"/>
                <w:sz w:val="16"/>
                <w:szCs w:val="16"/>
                <w:lang w:val="es-ES"/>
              </w:rPr>
            </w:pPr>
            <w:r w:rsidRPr="005C170B">
              <w:rPr>
                <w:rStyle w:val="normaltextrun"/>
                <w:rFonts w:ascii="Verdana" w:hAnsi="Verdana" w:cs="Arial"/>
                <w:sz w:val="16"/>
                <w:szCs w:val="16"/>
                <w:lang w:val="es-ES"/>
              </w:rPr>
              <w:t>Contratista de la Subdirección de Gestión Contractual</w:t>
            </w:r>
            <w:r w:rsidRPr="005C170B">
              <w:rPr>
                <w:rStyle w:val="eop"/>
                <w:rFonts w:ascii="Verdana" w:hAnsi="Verdana" w:cs="Arial"/>
                <w:sz w:val="16"/>
                <w:szCs w:val="16"/>
              </w:rPr>
              <w:t> </w:t>
            </w:r>
          </w:p>
        </w:tc>
      </w:tr>
      <w:tr w:rsidR="001365BD" w:rsidRPr="005C170B" w14:paraId="5D65739F" w14:textId="77777777" w:rsidTr="00F3137A">
        <w:trPr>
          <w:trHeight w:val="300"/>
        </w:trPr>
        <w:tc>
          <w:tcPr>
            <w:tcW w:w="893" w:type="dxa"/>
            <w:vAlign w:val="center"/>
          </w:tcPr>
          <w:p w14:paraId="2C0E503D" w14:textId="77777777" w:rsidR="001365BD" w:rsidRPr="005C170B" w:rsidRDefault="001365BD" w:rsidP="00F3137A">
            <w:pPr>
              <w:contextualSpacing/>
              <w:rPr>
                <w:rFonts w:ascii="Verdana" w:hAnsi="Verdana" w:cs="Arial"/>
                <w:sz w:val="16"/>
                <w:szCs w:val="16"/>
                <w:lang w:val="es-ES" w:eastAsia="es-ES"/>
              </w:rPr>
            </w:pPr>
            <w:r w:rsidRPr="005C170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C290801" w14:textId="77777777" w:rsidR="001365BD" w:rsidRPr="005C170B" w:rsidRDefault="001365BD" w:rsidP="00F3137A">
            <w:pPr>
              <w:contextualSpacing/>
              <w:rPr>
                <w:rFonts w:ascii="Verdana" w:eastAsia="Calibri" w:hAnsi="Verdana" w:cs="Arial"/>
                <w:sz w:val="16"/>
                <w:szCs w:val="16"/>
                <w:lang w:val="pt-BR" w:eastAsia="es-ES"/>
              </w:rPr>
            </w:pPr>
            <w:r w:rsidRPr="005C170B">
              <w:rPr>
                <w:rFonts w:ascii="Verdana" w:eastAsia="Calibri" w:hAnsi="Verdana" w:cs="Arial"/>
                <w:sz w:val="16"/>
                <w:szCs w:val="16"/>
                <w:lang w:val="pt-BR" w:eastAsia="es-ES"/>
              </w:rPr>
              <w:t>Carolina Quintero Gacharná</w:t>
            </w:r>
          </w:p>
          <w:p w14:paraId="0D24F205" w14:textId="77777777" w:rsidR="001365BD" w:rsidRPr="005C170B" w:rsidRDefault="001365BD" w:rsidP="00F3137A">
            <w:pPr>
              <w:contextualSpacing/>
              <w:rPr>
                <w:rFonts w:ascii="Verdana" w:eastAsia="Calibri" w:hAnsi="Verdana" w:cs="Arial"/>
                <w:sz w:val="16"/>
                <w:szCs w:val="16"/>
                <w:lang w:val="pt-BR" w:eastAsia="es-ES"/>
              </w:rPr>
            </w:pPr>
            <w:r w:rsidRPr="005C170B">
              <w:rPr>
                <w:rFonts w:ascii="Verdana" w:eastAsia="Calibri" w:hAnsi="Verdana" w:cs="Arial"/>
                <w:sz w:val="16"/>
                <w:szCs w:val="16"/>
                <w:lang w:eastAsia="es-ES"/>
              </w:rPr>
              <w:t>Subdirectora</w:t>
            </w:r>
            <w:r w:rsidRPr="005C170B">
              <w:rPr>
                <w:rFonts w:ascii="Verdana" w:eastAsia="Calibri" w:hAnsi="Verdana" w:cs="Arial"/>
                <w:sz w:val="16"/>
                <w:szCs w:val="16"/>
                <w:lang w:val="pt-BR" w:eastAsia="es-ES"/>
              </w:rPr>
              <w:t xml:space="preserve">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2AFF5BEA" w:rsidR="00672466" w:rsidRPr="30821638" w:rsidRDefault="00C15139" w:rsidP="00672466">
      <w:pPr>
        <w:spacing w:after="0" w:line="240" w:lineRule="auto"/>
        <w:textAlignment w:val="baseline"/>
        <w:rPr>
          <w:rFonts w:ascii="Verdana" w:eastAsia="Verdana" w:hAnsi="Verdana" w:cs="Verdana"/>
          <w:color w:val="4E4D4D"/>
          <w:lang w:val="es-ES" w:eastAsia="es-CO"/>
        </w:rPr>
      </w:pPr>
      <w:r>
        <w:rPr>
          <w:noProof/>
        </w:rPr>
        <w:lastRenderedPageBreak/>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bookmarkEnd w:id="0"/>
    </w:p>
    <w:p w14:paraId="0F293BF4" w14:textId="2175EA7D" w:rsidR="00127233" w:rsidRPr="0015699B" w:rsidRDefault="00127233" w:rsidP="00672466">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1936F" w14:textId="77777777" w:rsidR="0061026C" w:rsidRDefault="0061026C" w:rsidP="004A1847">
      <w:pPr>
        <w:spacing w:after="0" w:line="240" w:lineRule="auto"/>
      </w:pPr>
      <w:r>
        <w:separator/>
      </w:r>
    </w:p>
  </w:endnote>
  <w:endnote w:type="continuationSeparator" w:id="0">
    <w:p w14:paraId="12601FB8" w14:textId="77777777" w:rsidR="0061026C" w:rsidRDefault="0061026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BCDHEE+Verdana">
    <w:altName w:val="Verdana"/>
    <w:charset w:val="00"/>
    <w:family w:val="swiss"/>
    <w:pitch w:val="default"/>
    <w:sig w:usb0="00000003" w:usb1="00000000"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F8162" w14:textId="77777777" w:rsidR="0061026C" w:rsidRDefault="0061026C" w:rsidP="004A1847">
      <w:pPr>
        <w:spacing w:after="0" w:line="240" w:lineRule="auto"/>
      </w:pPr>
      <w:r>
        <w:separator/>
      </w:r>
    </w:p>
  </w:footnote>
  <w:footnote w:type="continuationSeparator" w:id="0">
    <w:p w14:paraId="613EC386" w14:textId="77777777" w:rsidR="0061026C" w:rsidRDefault="0061026C" w:rsidP="004A1847">
      <w:pPr>
        <w:spacing w:after="0" w:line="240" w:lineRule="auto"/>
      </w:pPr>
      <w:r>
        <w:continuationSeparator/>
      </w:r>
    </w:p>
  </w:footnote>
  <w:footnote w:id="1">
    <w:p w14:paraId="19B1027E" w14:textId="77777777" w:rsidR="001365BD" w:rsidRPr="00D70255" w:rsidRDefault="001365BD" w:rsidP="00D70255">
      <w:pPr>
        <w:pStyle w:val="Textonotapie"/>
        <w:ind w:firstLine="709"/>
        <w:rPr>
          <w:rFonts w:ascii="Verdana" w:hAnsi="Verdana"/>
          <w:sz w:val="14"/>
          <w:szCs w:val="14"/>
        </w:rPr>
      </w:pPr>
      <w:r w:rsidRPr="00D70255">
        <w:rPr>
          <w:rStyle w:val="Refdenotaalpie"/>
          <w:rFonts w:ascii="Verdana" w:hAnsi="Verdana"/>
          <w:sz w:val="14"/>
          <w:szCs w:val="14"/>
        </w:rPr>
        <w:footnoteRef/>
      </w:r>
      <w:r w:rsidRPr="00D70255">
        <w:rPr>
          <w:rFonts w:ascii="Verdana" w:hAnsi="Verdana"/>
          <w:sz w:val="14"/>
          <w:szCs w:val="14"/>
        </w:rPr>
        <w:t xml:space="preserve"> </w:t>
      </w:r>
      <w:r w:rsidRPr="00D70255">
        <w:rPr>
          <w:rFonts w:ascii="Verdana" w:hAnsi="Verdana"/>
          <w:sz w:val="14"/>
          <w:szCs w:val="14"/>
          <w:lang w:val="es-CO"/>
        </w:rPr>
        <w:t>Gaceta del Congreso de la República No. 71 del 2005.</w:t>
      </w:r>
    </w:p>
  </w:footnote>
  <w:footnote w:id="2">
    <w:p w14:paraId="36B95A0A" w14:textId="77777777" w:rsidR="001365BD" w:rsidRPr="00D70255" w:rsidRDefault="001365BD" w:rsidP="00D70255">
      <w:pPr>
        <w:pStyle w:val="Textonotapie"/>
        <w:ind w:firstLine="709"/>
        <w:jc w:val="both"/>
        <w:rPr>
          <w:rFonts w:ascii="Verdana" w:hAnsi="Verdana"/>
          <w:sz w:val="14"/>
          <w:szCs w:val="14"/>
        </w:rPr>
      </w:pPr>
      <w:r w:rsidRPr="00D70255">
        <w:rPr>
          <w:rStyle w:val="Refdenotaalpie"/>
          <w:rFonts w:ascii="Verdana" w:hAnsi="Verdana"/>
          <w:sz w:val="14"/>
          <w:szCs w:val="14"/>
        </w:rPr>
        <w:footnoteRef/>
      </w:r>
      <w:r w:rsidRPr="00D70255">
        <w:rPr>
          <w:rFonts w:ascii="Verdana" w:hAnsi="Verdana"/>
          <w:sz w:val="14"/>
          <w:szCs w:val="14"/>
        </w:rPr>
        <w:t xml:space="preserve"> Corte Constitucional, Sentencia C- 1153 de 2005, M.P. Marco Gerardo Monroy Cabra.</w:t>
      </w:r>
    </w:p>
  </w:footnote>
  <w:footnote w:id="3">
    <w:p w14:paraId="7FC0094C" w14:textId="77777777" w:rsidR="001365BD" w:rsidRPr="00D70255" w:rsidRDefault="001365BD" w:rsidP="00D70255">
      <w:pPr>
        <w:pStyle w:val="Textonotapie"/>
        <w:ind w:firstLine="709"/>
        <w:jc w:val="both"/>
        <w:rPr>
          <w:rFonts w:ascii="Verdana" w:hAnsi="Verdana"/>
          <w:sz w:val="14"/>
          <w:szCs w:val="14"/>
        </w:rPr>
      </w:pPr>
      <w:r w:rsidRPr="00D70255">
        <w:rPr>
          <w:rStyle w:val="Refdenotaalpie"/>
          <w:rFonts w:ascii="Verdana" w:hAnsi="Verdana"/>
          <w:sz w:val="14"/>
          <w:szCs w:val="14"/>
        </w:rPr>
        <w:footnoteRef/>
      </w:r>
      <w:r w:rsidRPr="00D70255">
        <w:rPr>
          <w:rFonts w:ascii="Verdana" w:hAnsi="Verdana"/>
          <w:sz w:val="14"/>
          <w:szCs w:val="14"/>
        </w:rPr>
        <w:t xml:space="preserve"> Corte Constitucional. Sentencias: C-233 de 4 de abril de 2002, expediente: D-3704; C-551 de 9 de julio de 2003, expediente: CRF-001 de 9 de julio de 2003; C-652 de 5 de agosto de 2003, expediente: D 4330; C-353 de 20 de mayo de 2009, expediente: D-7518, C-541 de 30 de junio de 2010, expediente:  </w:t>
      </w:r>
      <w:r w:rsidRPr="00D70255">
        <w:rPr>
          <w:rFonts w:ascii="Verdana" w:hAnsi="Verdana"/>
          <w:sz w:val="14"/>
          <w:szCs w:val="14"/>
          <w:lang w:val="es-CO"/>
        </w:rPr>
        <w:t>DD7966; entre otras.</w:t>
      </w:r>
    </w:p>
  </w:footnote>
  <w:footnote w:id="4">
    <w:p w14:paraId="05319662" w14:textId="77777777" w:rsidR="001365BD" w:rsidRPr="00D70255" w:rsidRDefault="001365BD" w:rsidP="00D70255">
      <w:pPr>
        <w:pStyle w:val="Textonotapie"/>
        <w:ind w:firstLine="709"/>
        <w:jc w:val="both"/>
        <w:rPr>
          <w:rFonts w:ascii="Verdana" w:hAnsi="Verdana"/>
          <w:sz w:val="14"/>
          <w:szCs w:val="14"/>
          <w:highlight w:val="magenta"/>
        </w:rPr>
      </w:pPr>
      <w:r w:rsidRPr="00D70255">
        <w:rPr>
          <w:rStyle w:val="Refdenotaalpie"/>
          <w:rFonts w:ascii="Verdana" w:hAnsi="Verdana"/>
          <w:sz w:val="14"/>
          <w:szCs w:val="14"/>
        </w:rPr>
        <w:footnoteRef/>
      </w:r>
      <w:r w:rsidRPr="00D70255">
        <w:rPr>
          <w:rFonts w:ascii="Verdana" w:hAnsi="Verdana"/>
          <w:sz w:val="14"/>
          <w:szCs w:val="14"/>
        </w:rPr>
        <w:t xml:space="preserve"> </w:t>
      </w:r>
      <w:r w:rsidRPr="00D70255">
        <w:rPr>
          <w:rFonts w:ascii="Verdana" w:hAnsi="Verdana"/>
          <w:sz w:val="14"/>
          <w:szCs w:val="14"/>
          <w:lang w:val="es-CO"/>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5">
    <w:p w14:paraId="5A62E51F" w14:textId="77777777" w:rsidR="001365BD" w:rsidRPr="00D70255" w:rsidRDefault="001365BD" w:rsidP="00D70255">
      <w:pPr>
        <w:pStyle w:val="Textonotapie"/>
        <w:ind w:firstLine="709"/>
        <w:jc w:val="both"/>
        <w:rPr>
          <w:rFonts w:ascii="Verdana" w:hAnsi="Verdana"/>
          <w:sz w:val="14"/>
          <w:szCs w:val="14"/>
        </w:rPr>
      </w:pPr>
      <w:r w:rsidRPr="00D70255">
        <w:rPr>
          <w:rStyle w:val="Refdenotaalpie"/>
          <w:rFonts w:ascii="Verdana" w:hAnsi="Verdana"/>
          <w:sz w:val="14"/>
          <w:szCs w:val="14"/>
        </w:rPr>
        <w:footnoteRef/>
      </w:r>
      <w:r w:rsidRPr="00D70255">
        <w:rPr>
          <w:rFonts w:ascii="Verdana" w:hAnsi="Verdana"/>
          <w:sz w:val="14"/>
          <w:szCs w:val="14"/>
        </w:rPr>
        <w:t xml:space="preserve"> </w:t>
      </w:r>
      <w:r w:rsidRPr="00D70255">
        <w:rPr>
          <w:rFonts w:ascii="Verdana" w:hAnsi="Verdana"/>
          <w:sz w:val="14"/>
          <w:szCs w:val="14"/>
          <w:lang w:val="es-CO"/>
        </w:rPr>
        <w:t>Consejo de Estado, Sala de Consulta y Servicio Civil de fecha 24 de julio de 2013, radicado 2166, C. P. Álvaro Namén Vargas.</w:t>
      </w:r>
    </w:p>
  </w:footnote>
  <w:footnote w:id="6">
    <w:p w14:paraId="1EFCC6F5" w14:textId="77777777" w:rsidR="001365BD" w:rsidRPr="00D70255" w:rsidRDefault="001365BD" w:rsidP="00D70255">
      <w:pPr>
        <w:pStyle w:val="Textonotapie"/>
        <w:ind w:firstLine="709"/>
        <w:jc w:val="both"/>
        <w:rPr>
          <w:rFonts w:ascii="Verdana" w:hAnsi="Verdana"/>
          <w:sz w:val="14"/>
          <w:szCs w:val="14"/>
        </w:rPr>
      </w:pPr>
      <w:r w:rsidRPr="00D70255">
        <w:rPr>
          <w:rStyle w:val="Refdenotaalpie"/>
          <w:rFonts w:ascii="Verdana" w:hAnsi="Verdana"/>
          <w:sz w:val="14"/>
          <w:szCs w:val="14"/>
        </w:rPr>
        <w:footnoteRef/>
      </w:r>
      <w:r w:rsidRPr="00D70255">
        <w:rPr>
          <w:rFonts w:ascii="Verdana" w:hAnsi="Verdana"/>
          <w:sz w:val="14"/>
          <w:szCs w:val="14"/>
        </w:rPr>
        <w:t xml:space="preserve"> </w:t>
      </w:r>
      <w:r w:rsidRPr="00D70255">
        <w:rPr>
          <w:rFonts w:ascii="Verdana" w:hAnsi="Verdana"/>
          <w:sz w:val="14"/>
          <w:szCs w:val="14"/>
          <w:lang w:val="es-CO"/>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footnote>
  <w:footnote w:id="7">
    <w:p w14:paraId="62695FAC" w14:textId="77777777" w:rsidR="001365BD" w:rsidRPr="00E3098F" w:rsidRDefault="001365BD" w:rsidP="00D70255">
      <w:pPr>
        <w:pStyle w:val="Textonotapie"/>
        <w:ind w:firstLine="709"/>
        <w:jc w:val="both"/>
        <w:rPr>
          <w:rFonts w:ascii="Verdana" w:hAnsi="Verdana"/>
          <w:sz w:val="14"/>
          <w:szCs w:val="14"/>
        </w:rPr>
      </w:pPr>
      <w:r w:rsidRPr="00D70255">
        <w:rPr>
          <w:rStyle w:val="Refdenotaalpie"/>
          <w:rFonts w:ascii="Verdana" w:hAnsi="Verdana"/>
          <w:sz w:val="14"/>
          <w:szCs w:val="14"/>
        </w:rPr>
        <w:footnoteRef/>
      </w:r>
      <w:r w:rsidRPr="00E3098F">
        <w:rPr>
          <w:rFonts w:ascii="Verdana" w:hAnsi="Verdana"/>
          <w:sz w:val="14"/>
          <w:szCs w:val="14"/>
        </w:rPr>
        <w:t xml:space="preserve"> </w:t>
      </w:r>
      <w:r w:rsidRPr="00E3098F">
        <w:rPr>
          <w:rFonts w:ascii="Verdana" w:hAnsi="Verdana"/>
          <w:sz w:val="14"/>
          <w:szCs w:val="14"/>
          <w:lang w:val="es-CO"/>
        </w:rPr>
        <w:t>“Artículo 38. Prohibiciones para los servidores públicos. A los empleados del Estado les está prohibido: […] Parágrafo.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footnote>
  <w:footnote w:id="8">
    <w:p w14:paraId="7F882BF0" w14:textId="77777777" w:rsidR="001365BD" w:rsidRPr="00E3098F" w:rsidRDefault="001365BD" w:rsidP="00D70255">
      <w:pPr>
        <w:pStyle w:val="Textonotapie"/>
        <w:ind w:firstLine="709"/>
        <w:jc w:val="both"/>
        <w:rPr>
          <w:rFonts w:ascii="Verdana" w:hAnsi="Verdana"/>
          <w:sz w:val="14"/>
          <w:szCs w:val="14"/>
        </w:rPr>
      </w:pPr>
      <w:r w:rsidRPr="00E3098F">
        <w:rPr>
          <w:rStyle w:val="Refdenotaalpie"/>
          <w:rFonts w:ascii="Verdana" w:hAnsi="Verdana"/>
          <w:sz w:val="14"/>
          <w:szCs w:val="14"/>
        </w:rPr>
        <w:footnoteRef/>
      </w:r>
      <w:r w:rsidRPr="00E3098F">
        <w:rPr>
          <w:rFonts w:ascii="Verdana" w:hAnsi="Verdana"/>
          <w:sz w:val="14"/>
          <w:szCs w:val="14"/>
        </w:rPr>
        <w:t xml:space="preserve"> </w:t>
      </w:r>
      <w:r w:rsidRPr="00E3098F">
        <w:rPr>
          <w:rFonts w:ascii="Verdana" w:hAnsi="Verdana"/>
          <w:sz w:val="14"/>
          <w:szCs w:val="14"/>
          <w:lang w:val="es-CO"/>
        </w:rPr>
        <w:t>Consejo de Estado. Sala de Consulta y Servicio Civil. Concepto del 17 de febrero de 2015. C.P. William Zambrano Cetina. Radicación No. 11001-03-06-000-2015-00164-00(2269).</w:t>
      </w:r>
    </w:p>
  </w:footnote>
  <w:footnote w:id="9">
    <w:p w14:paraId="260A89F4" w14:textId="77777777" w:rsidR="001365BD" w:rsidRPr="00242EBD" w:rsidRDefault="001365BD" w:rsidP="00D70255">
      <w:pPr>
        <w:pStyle w:val="Textonotapie"/>
        <w:ind w:firstLine="709"/>
        <w:jc w:val="both"/>
        <w:rPr>
          <w:rFonts w:ascii="Verdana" w:hAnsi="Verdana"/>
          <w:sz w:val="14"/>
          <w:szCs w:val="14"/>
        </w:rPr>
      </w:pPr>
      <w:r w:rsidRPr="00242EBD">
        <w:rPr>
          <w:rStyle w:val="Refdenotaalpie"/>
          <w:rFonts w:ascii="Verdana" w:hAnsi="Verdana"/>
          <w:sz w:val="14"/>
          <w:szCs w:val="14"/>
        </w:rPr>
        <w:footnoteRef/>
      </w:r>
      <w:r w:rsidRPr="00242EBD">
        <w:rPr>
          <w:rFonts w:ascii="Verdana" w:hAnsi="Verdana"/>
          <w:sz w:val="14"/>
          <w:szCs w:val="14"/>
        </w:rPr>
        <w:t xml:space="preserve"> </w:t>
      </w:r>
      <w:r w:rsidRPr="00242EBD">
        <w:rPr>
          <w:rFonts w:ascii="Verdana" w:hAnsi="Verdana"/>
          <w:sz w:val="14"/>
          <w:szCs w:val="14"/>
          <w:lang w:val="es-CO"/>
        </w:rPr>
        <w:t xml:space="preserve"> Consejo de Estado. Sección Tercera. Sentencia de 3 de diciembre de 2007. Radicados: 24.715, 25.206, 25.409, 24.524, 27.834, 25.410, 26.105, 28.244, 31.447 -acumulados-”.</w:t>
      </w:r>
    </w:p>
  </w:footnote>
  <w:footnote w:id="10">
    <w:p w14:paraId="7D5B218A" w14:textId="77777777" w:rsidR="001365BD" w:rsidRPr="00242EBD" w:rsidRDefault="001365BD" w:rsidP="00D70255">
      <w:pPr>
        <w:pStyle w:val="Textonotapie"/>
        <w:ind w:firstLine="709"/>
        <w:jc w:val="both"/>
        <w:rPr>
          <w:rFonts w:ascii="Verdana" w:hAnsi="Verdana"/>
          <w:sz w:val="14"/>
          <w:szCs w:val="14"/>
        </w:rPr>
      </w:pPr>
      <w:r w:rsidRPr="00242EBD">
        <w:rPr>
          <w:rStyle w:val="Refdenotaalpie"/>
          <w:rFonts w:ascii="Verdana" w:hAnsi="Verdana"/>
          <w:sz w:val="14"/>
          <w:szCs w:val="14"/>
        </w:rPr>
        <w:footnoteRef/>
      </w:r>
      <w:r w:rsidRPr="00242EBD">
        <w:rPr>
          <w:rFonts w:ascii="Verdana" w:hAnsi="Verdana"/>
          <w:sz w:val="14"/>
          <w:szCs w:val="14"/>
        </w:rPr>
        <w:t xml:space="preserve"> </w:t>
      </w:r>
      <w:r w:rsidRPr="00242EBD">
        <w:rPr>
          <w:rFonts w:ascii="Verdana" w:hAnsi="Verdana"/>
          <w:sz w:val="14"/>
          <w:szCs w:val="14"/>
          <w:lang w:val="es-CO"/>
        </w:rPr>
        <w:t>Al respecto ver el concepto 1712 de 2 de febrero de 2006. Consejo de Estado Sala de Consulta y Servicio Civil.</w:t>
      </w:r>
    </w:p>
  </w:footnote>
  <w:footnote w:id="11">
    <w:p w14:paraId="2C22AB69" w14:textId="77777777" w:rsidR="001365BD" w:rsidRPr="00242EBD" w:rsidRDefault="001365BD" w:rsidP="00D70255">
      <w:pPr>
        <w:pStyle w:val="Textonotapie"/>
        <w:ind w:firstLine="709"/>
        <w:jc w:val="both"/>
        <w:rPr>
          <w:rFonts w:ascii="Verdana" w:hAnsi="Verdana"/>
          <w:sz w:val="14"/>
          <w:szCs w:val="14"/>
        </w:rPr>
      </w:pPr>
      <w:r w:rsidRPr="00242EBD">
        <w:rPr>
          <w:rStyle w:val="Refdenotaalpie"/>
          <w:rFonts w:ascii="Verdana" w:hAnsi="Verdana"/>
          <w:sz w:val="14"/>
          <w:szCs w:val="14"/>
        </w:rPr>
        <w:footnoteRef/>
      </w:r>
      <w:r w:rsidRPr="00242EBD">
        <w:rPr>
          <w:rFonts w:ascii="Verdana" w:hAnsi="Verdana"/>
          <w:sz w:val="14"/>
          <w:szCs w:val="14"/>
        </w:rPr>
        <w:t xml:space="preserve"> </w:t>
      </w:r>
      <w:r w:rsidRPr="00242EBD">
        <w:rPr>
          <w:rFonts w:ascii="Verdana" w:hAnsi="Verdana"/>
          <w:sz w:val="14"/>
          <w:szCs w:val="14"/>
          <w:lang w:val="es-CO"/>
        </w:rPr>
        <w:t>Consejo de Estado. Sala de Consulta y Servicio Civil. Concepto del 2 de septiembre de 2013. Radicación número: 11001-03-06-000-2013-00412-00 (2168). Consejero Ponente: Álvaro Namén Vargas.</w:t>
      </w:r>
    </w:p>
  </w:footnote>
  <w:footnote w:id="12">
    <w:p w14:paraId="4916B3C9" w14:textId="77777777" w:rsidR="001365BD" w:rsidRPr="007A7E05" w:rsidRDefault="001365BD" w:rsidP="00D70255">
      <w:pPr>
        <w:pStyle w:val="Textonotapie"/>
        <w:ind w:firstLine="709"/>
        <w:jc w:val="both"/>
        <w:rPr>
          <w:rFonts w:ascii="Verdana" w:hAnsi="Verdana"/>
          <w:sz w:val="14"/>
          <w:szCs w:val="14"/>
        </w:rPr>
      </w:pPr>
      <w:r w:rsidRPr="007A7E05">
        <w:rPr>
          <w:rStyle w:val="Refdenotaalpie"/>
          <w:rFonts w:ascii="Verdana" w:hAnsi="Verdana"/>
          <w:sz w:val="14"/>
          <w:szCs w:val="14"/>
        </w:rPr>
        <w:footnoteRef/>
      </w:r>
      <w:r w:rsidRPr="007A7E05">
        <w:rPr>
          <w:rFonts w:ascii="Verdana" w:hAnsi="Verdana"/>
          <w:sz w:val="14"/>
          <w:szCs w:val="14"/>
        </w:rPr>
        <w:t xml:space="preserve"> Artículo 2.</w:t>
      </w:r>
    </w:p>
  </w:footnote>
  <w:footnote w:id="13">
    <w:p w14:paraId="06FBFB4B" w14:textId="77777777" w:rsidR="001365BD" w:rsidRPr="007A7E05" w:rsidRDefault="001365BD" w:rsidP="00D70255">
      <w:pPr>
        <w:pStyle w:val="Textonotapie"/>
        <w:ind w:firstLine="709"/>
        <w:jc w:val="both"/>
        <w:rPr>
          <w:rFonts w:ascii="Verdana" w:hAnsi="Verdana"/>
          <w:sz w:val="14"/>
          <w:szCs w:val="14"/>
        </w:rPr>
      </w:pPr>
      <w:r w:rsidRPr="007A7E05">
        <w:rPr>
          <w:rStyle w:val="Refdenotaalpie"/>
          <w:rFonts w:ascii="Verdana" w:hAnsi="Verdana"/>
          <w:sz w:val="14"/>
          <w:szCs w:val="14"/>
        </w:rPr>
        <w:footnoteRef/>
      </w:r>
      <w:r w:rsidRPr="007A7E05">
        <w:rPr>
          <w:rFonts w:ascii="Verdana" w:hAnsi="Verdana"/>
          <w:sz w:val="14"/>
          <w:szCs w:val="14"/>
        </w:rPr>
        <w:t xml:space="preserve"> Ibidem. </w:t>
      </w:r>
    </w:p>
  </w:footnote>
  <w:footnote w:id="14">
    <w:p w14:paraId="0BE4147C" w14:textId="77777777" w:rsidR="001365BD" w:rsidRPr="007A7E05" w:rsidRDefault="001365BD" w:rsidP="00D70255">
      <w:pPr>
        <w:pStyle w:val="Textonotapie"/>
        <w:ind w:firstLine="709"/>
        <w:jc w:val="both"/>
        <w:rPr>
          <w:rFonts w:ascii="Verdana" w:hAnsi="Verdana"/>
          <w:sz w:val="14"/>
          <w:szCs w:val="14"/>
        </w:rPr>
      </w:pPr>
      <w:r w:rsidRPr="007A7E05">
        <w:rPr>
          <w:rStyle w:val="Refdenotaalpie"/>
          <w:rFonts w:ascii="Verdana" w:hAnsi="Verdana"/>
          <w:sz w:val="14"/>
          <w:szCs w:val="14"/>
        </w:rPr>
        <w:footnoteRef/>
      </w:r>
      <w:r w:rsidRPr="007A7E05">
        <w:rPr>
          <w:rFonts w:ascii="Verdana" w:hAnsi="Verdana"/>
          <w:sz w:val="14"/>
          <w:szCs w:val="14"/>
        </w:rPr>
        <w:t xml:space="preserve"> </w:t>
      </w:r>
      <w:r w:rsidRPr="007A7E05">
        <w:rPr>
          <w:rFonts w:ascii="Verdana" w:hAnsi="Verdana"/>
          <w:sz w:val="14"/>
          <w:szCs w:val="14"/>
          <w:lang w:val="es-CO"/>
        </w:rPr>
        <w:t xml:space="preserve">Consejo de Estado. Sala de Consulta y Servicio Civil. Concepto del 08 de mayo de 2018. </w:t>
      </w:r>
      <w:proofErr w:type="spellStart"/>
      <w:r w:rsidRPr="007A7E05">
        <w:rPr>
          <w:rFonts w:ascii="Verdana" w:hAnsi="Verdana"/>
          <w:sz w:val="14"/>
          <w:szCs w:val="14"/>
          <w:lang w:val="es-CO"/>
        </w:rPr>
        <w:t>Exp</w:t>
      </w:r>
      <w:proofErr w:type="spellEnd"/>
      <w:r w:rsidRPr="007A7E05">
        <w:rPr>
          <w:rFonts w:ascii="Verdana" w:hAnsi="Verdana"/>
          <w:sz w:val="14"/>
          <w:szCs w:val="14"/>
          <w:lang w:val="es-CO"/>
        </w:rPr>
        <w:t xml:space="preserve">. 2.382. C.P. Álvaro Namén Vargas. </w:t>
      </w:r>
    </w:p>
  </w:footnote>
  <w:footnote w:id="15">
    <w:p w14:paraId="4221FE87" w14:textId="46CBE661" w:rsidR="001365BD" w:rsidRPr="00726FBA" w:rsidRDefault="001365BD" w:rsidP="007A7E05">
      <w:pPr>
        <w:pStyle w:val="Textonotapie"/>
        <w:ind w:firstLine="709"/>
        <w:jc w:val="both"/>
        <w:rPr>
          <w:rFonts w:ascii="Verdana" w:hAnsi="Verdana"/>
          <w:sz w:val="14"/>
          <w:szCs w:val="14"/>
        </w:rPr>
      </w:pPr>
      <w:r w:rsidRPr="007A7E05">
        <w:rPr>
          <w:rStyle w:val="Refdenotaalpie"/>
          <w:rFonts w:ascii="Verdana" w:hAnsi="Verdana"/>
          <w:sz w:val="14"/>
          <w:szCs w:val="14"/>
        </w:rPr>
        <w:footnoteRef/>
      </w:r>
      <w:r w:rsidRPr="007A7E05">
        <w:rPr>
          <w:rFonts w:ascii="Verdana" w:hAnsi="Verdana"/>
          <w:sz w:val="14"/>
          <w:szCs w:val="14"/>
        </w:rPr>
        <w:t xml:space="preserve"> La Corte Constitucional mediante Sentencia C-1153-05 de 11 de noviembre de 2005, Magistrado Ponente Marco Gerardo Monroy Cabra, efectuó el Control constitucional al Proyecto de Ley Estatutaria </w:t>
      </w:r>
      <w:proofErr w:type="spellStart"/>
      <w:r w:rsidRPr="007A7E05">
        <w:rPr>
          <w:rFonts w:ascii="Verdana" w:hAnsi="Verdana"/>
          <w:sz w:val="14"/>
          <w:szCs w:val="14"/>
        </w:rPr>
        <w:t>N°</w:t>
      </w:r>
      <w:proofErr w:type="spellEnd"/>
      <w:r w:rsidRPr="007A7E05">
        <w:rPr>
          <w:rFonts w:ascii="Verdana" w:hAnsi="Verdana"/>
          <w:sz w:val="14"/>
          <w:szCs w:val="14"/>
        </w:rPr>
        <w:t xml:space="preserve"> 216/05 Senado, </w:t>
      </w:r>
      <w:proofErr w:type="spellStart"/>
      <w:r w:rsidRPr="007A7E05">
        <w:rPr>
          <w:rFonts w:ascii="Verdana" w:hAnsi="Verdana"/>
          <w:sz w:val="14"/>
          <w:szCs w:val="14"/>
        </w:rPr>
        <w:t>N°</w:t>
      </w:r>
      <w:proofErr w:type="spellEnd"/>
      <w:r w:rsidRPr="007A7E05">
        <w:rPr>
          <w:rFonts w:ascii="Verdana" w:hAnsi="Verdana"/>
          <w:sz w:val="14"/>
          <w:szCs w:val="14"/>
        </w:rPr>
        <w:t xml:space="preserve"> 235-Cámara que dio lugar a la Ley de Garantías Electorales. </w:t>
      </w:r>
    </w:p>
  </w:footnote>
  <w:footnote w:id="16">
    <w:p w14:paraId="2D2E63CD" w14:textId="77777777" w:rsidR="001365BD" w:rsidRPr="007A7E05" w:rsidRDefault="001365BD" w:rsidP="007A7E05">
      <w:pPr>
        <w:pStyle w:val="Textonotapie"/>
        <w:ind w:firstLine="709"/>
        <w:contextualSpacing/>
        <w:jc w:val="both"/>
        <w:rPr>
          <w:rFonts w:ascii="Verdana" w:hAnsi="Verdana" w:cs="Arial"/>
          <w:color w:val="000000" w:themeColor="text1"/>
          <w:sz w:val="14"/>
          <w:szCs w:val="14"/>
          <w:lang w:val="es-CO"/>
        </w:rPr>
      </w:pPr>
      <w:r w:rsidRPr="007A7E05">
        <w:rPr>
          <w:rStyle w:val="Refdenotaalpie"/>
          <w:rFonts w:ascii="Verdana" w:hAnsi="Verdana" w:cs="Arial"/>
          <w:color w:val="000000" w:themeColor="text1"/>
          <w:sz w:val="14"/>
          <w:szCs w:val="14"/>
        </w:rPr>
        <w:footnoteRef/>
      </w:r>
      <w:r w:rsidRPr="007A7E05">
        <w:rPr>
          <w:rStyle w:val="Refdenotaalpie"/>
          <w:rFonts w:ascii="Verdana" w:hAnsi="Verdana" w:cs="Arial"/>
          <w:color w:val="000000" w:themeColor="text1"/>
          <w:sz w:val="14"/>
          <w:szCs w:val="14"/>
        </w:rPr>
        <w:t xml:space="preserve"> </w:t>
      </w:r>
      <w:bookmarkStart w:id="4" w:name="_Hlk198934365"/>
      <w:r w:rsidRPr="007A7E05">
        <w:rPr>
          <w:rFonts w:ascii="Verdana" w:hAnsi="Verdana" w:cs="Arial"/>
          <w:color w:val="000000" w:themeColor="text1"/>
          <w:sz w:val="14"/>
          <w:szCs w:val="14"/>
        </w:rPr>
        <w:t>Decreto 4791 de 2008 artículo 2</w:t>
      </w:r>
      <w:bookmarkEnd w:id="4"/>
      <w:r w:rsidRPr="007A7E05">
        <w:rPr>
          <w:rFonts w:ascii="Verdana" w:hAnsi="Verdana" w:cs="Arial"/>
          <w:color w:val="000000" w:themeColor="text1"/>
          <w:sz w:val="14"/>
          <w:szCs w:val="14"/>
        </w:rPr>
        <w:t xml:space="preserve">. </w:t>
      </w:r>
      <w:r w:rsidRPr="007A7E05">
        <w:rPr>
          <w:rFonts w:ascii="Verdana" w:hAnsi="Verdana" w:cs="Arial"/>
          <w:color w:val="000000" w:themeColor="text1"/>
          <w:sz w:val="14"/>
          <w:szCs w:val="14"/>
          <w:lang w:val="es-CO"/>
        </w:rPr>
        <w:t xml:space="preserve">Los fondos de servicios educativos son cuentas contables creadas por la ley como un mecanismo de gestión presupuestal y de ejecución de los recursos de los establecimientos educativos estatales para la adecuada administración de sus ingresos y para atender sus gastos de funcionamiento e inversión distintos a los de personal. Parágrafo. Con sujeción a lo establecido en la normatividad vigente, la administración y ejecución de estos recursos por parte de las autoridades del establecimiento educativo, es autónoma. Los ingresos del Fondo de Servicios Educativos son recursos propios de carácter público sometidos al control de las autoridades administrativas y fiscales de los órdenes nacional y territorial. Compilado mediante el Decreto único reglamentario del sector educación No. 1075 de 2025 artículo 2.3.1.6.3.2. </w:t>
      </w:r>
    </w:p>
    <w:p w14:paraId="67B77262" w14:textId="77777777" w:rsidR="001365BD" w:rsidRPr="007A7E05" w:rsidRDefault="001365BD" w:rsidP="007A7E05">
      <w:pPr>
        <w:pStyle w:val="Textonotapie"/>
        <w:ind w:firstLine="709"/>
        <w:contextualSpacing/>
        <w:jc w:val="both"/>
        <w:rPr>
          <w:rFonts w:ascii="Verdana" w:hAnsi="Verdana" w:cs="Arial"/>
          <w:color w:val="000000" w:themeColor="text1"/>
          <w:sz w:val="14"/>
          <w:szCs w:val="14"/>
        </w:rPr>
      </w:pPr>
    </w:p>
  </w:footnote>
  <w:footnote w:id="17">
    <w:p w14:paraId="77D4DA24" w14:textId="2C7C7D97" w:rsidR="001365BD" w:rsidRPr="007A7E05" w:rsidRDefault="001365BD" w:rsidP="007A7E05">
      <w:pPr>
        <w:pStyle w:val="Textonotapie"/>
        <w:ind w:firstLine="709"/>
        <w:contextualSpacing/>
        <w:jc w:val="both"/>
        <w:rPr>
          <w:rFonts w:ascii="Verdana" w:hAnsi="Verdana" w:cs="Arial"/>
          <w:color w:val="000000" w:themeColor="text1"/>
          <w:sz w:val="14"/>
          <w:szCs w:val="14"/>
        </w:rPr>
      </w:pPr>
      <w:r w:rsidRPr="007A7E05">
        <w:rPr>
          <w:rStyle w:val="Refdenotaalpie"/>
          <w:rFonts w:ascii="Verdana" w:hAnsi="Verdana" w:cs="Arial"/>
          <w:color w:val="000000" w:themeColor="text1"/>
          <w:sz w:val="14"/>
          <w:szCs w:val="14"/>
        </w:rPr>
        <w:footnoteRef/>
      </w:r>
      <w:r w:rsidRPr="007A7E05">
        <w:rPr>
          <w:rFonts w:ascii="Verdana" w:hAnsi="Verdana" w:cs="Arial"/>
          <w:color w:val="000000" w:themeColor="text1"/>
          <w:sz w:val="14"/>
          <w:szCs w:val="14"/>
        </w:rPr>
        <w:t xml:space="preserve"> “Artículo 2.3.1.6.3.4. Ordenación del gasto. Los fondos de servicios educativos carecen de personería jurídica”.</w:t>
      </w:r>
    </w:p>
  </w:footnote>
  <w:footnote w:id="18">
    <w:p w14:paraId="3BC18C1E" w14:textId="77777777" w:rsidR="001365BD" w:rsidRPr="007A7E05" w:rsidRDefault="001365BD" w:rsidP="007A7E05">
      <w:pPr>
        <w:pStyle w:val="NormalWeb"/>
        <w:spacing w:before="0" w:beforeAutospacing="0" w:after="0" w:afterAutospacing="0"/>
        <w:ind w:firstLine="709"/>
        <w:contextualSpacing/>
        <w:jc w:val="both"/>
        <w:rPr>
          <w:rFonts w:ascii="Verdana" w:hAnsi="Verdana" w:cs="Arial"/>
          <w:sz w:val="14"/>
          <w:szCs w:val="14"/>
        </w:rPr>
      </w:pPr>
      <w:r w:rsidRPr="007A7E05">
        <w:rPr>
          <w:rStyle w:val="Refdenotaalpie"/>
          <w:rFonts w:ascii="Verdana" w:hAnsi="Verdana" w:cs="Arial"/>
          <w:sz w:val="14"/>
          <w:szCs w:val="14"/>
        </w:rPr>
        <w:footnoteRef/>
      </w:r>
      <w:r w:rsidRPr="007A7E05">
        <w:rPr>
          <w:rStyle w:val="Refdenotaalpie"/>
          <w:rFonts w:ascii="Verdana" w:hAnsi="Verdana" w:cs="Arial"/>
          <w:sz w:val="14"/>
          <w:szCs w:val="14"/>
        </w:rPr>
        <w:t xml:space="preserve"> </w:t>
      </w:r>
      <w:r w:rsidRPr="007A7E05">
        <w:rPr>
          <w:rFonts w:ascii="Verdana" w:hAnsi="Verdana" w:cs="Arial"/>
          <w:sz w:val="14"/>
          <w:szCs w:val="14"/>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0B292A40" w14:textId="77777777" w:rsidR="001365BD" w:rsidRPr="007A7E05" w:rsidRDefault="001365BD" w:rsidP="007A7E05">
      <w:pPr>
        <w:spacing w:after="0" w:line="240" w:lineRule="auto"/>
        <w:ind w:firstLine="709"/>
        <w:contextualSpacing/>
        <w:jc w:val="both"/>
        <w:rPr>
          <w:rFonts w:ascii="Verdana" w:eastAsia="Times New Roman" w:hAnsi="Verdana" w:cs="Arial"/>
          <w:sz w:val="14"/>
          <w:szCs w:val="14"/>
          <w:lang w:eastAsia="es-CO"/>
        </w:rPr>
      </w:pPr>
      <w:r w:rsidRPr="007A7E05">
        <w:rPr>
          <w:rFonts w:ascii="Verdana" w:eastAsia="Times New Roman" w:hAnsi="Verdana" w:cs="Arial"/>
          <w:i/>
          <w:sz w:val="14"/>
          <w:szCs w:val="14"/>
          <w:lang w:eastAsia="es-CO"/>
        </w:rPr>
        <w:t>Los actos y contratos de cuantía superior a veinte (20) salarios mínimos mensuales se regirán por las reglas de la contratación estatal</w:t>
      </w:r>
      <w:r w:rsidRPr="007A7E05">
        <w:rPr>
          <w:rFonts w:ascii="Verdana" w:eastAsia="Times New Roman" w:hAnsi="Verdana" w:cs="Arial"/>
          <w:sz w:val="14"/>
          <w:szCs w:val="14"/>
          <w:lang w:eastAsia="es-CO"/>
        </w:rPr>
        <w:t xml:space="preserve">, teniendo en cuenta su valor y naturaleza, y las circunstancias en las que se celebren. El Gobierno Nacional podrá indicar los casos en los cuales la cuantía señalada en el presente inciso será menor. </w:t>
      </w:r>
    </w:p>
    <w:p w14:paraId="45469A70" w14:textId="77777777" w:rsidR="001365BD" w:rsidRPr="007A7E05" w:rsidRDefault="001365BD" w:rsidP="007A7E05">
      <w:pPr>
        <w:spacing w:after="0" w:line="240" w:lineRule="auto"/>
        <w:ind w:firstLine="709"/>
        <w:contextualSpacing/>
        <w:jc w:val="both"/>
        <w:rPr>
          <w:rFonts w:ascii="Verdana" w:eastAsia="Times New Roman" w:hAnsi="Verdana" w:cs="Arial"/>
          <w:sz w:val="14"/>
          <w:szCs w:val="14"/>
          <w:lang w:eastAsia="es-CO"/>
        </w:rPr>
      </w:pPr>
      <w:r w:rsidRPr="007A7E05">
        <w:rPr>
          <w:rFonts w:ascii="Verdana" w:eastAsia="Times New Roman" w:hAnsi="Verdana" w:cs="Arial"/>
          <w:sz w:val="14"/>
          <w:szCs w:val="14"/>
          <w:lang w:eastAsia="es-CO"/>
        </w:rPr>
        <w:t>El rector o director celebrará los contratos que hayan de pagarse con cargo a los recursos vinculados a los Fondos, en las condiciones y dentro de los límites que fijen los reglamentos.</w:t>
      </w:r>
    </w:p>
    <w:p w14:paraId="409F9593" w14:textId="77777777" w:rsidR="001365BD" w:rsidRPr="007A7E05" w:rsidRDefault="001365BD" w:rsidP="007A7E05">
      <w:pPr>
        <w:spacing w:after="0" w:line="240" w:lineRule="auto"/>
        <w:ind w:firstLine="709"/>
        <w:contextualSpacing/>
        <w:jc w:val="both"/>
        <w:rPr>
          <w:rFonts w:ascii="Verdana" w:eastAsia="Times New Roman" w:hAnsi="Verdana" w:cs="Arial"/>
          <w:sz w:val="14"/>
          <w:szCs w:val="14"/>
          <w:lang w:eastAsia="es-CO"/>
        </w:rPr>
      </w:pPr>
      <w:r w:rsidRPr="007A7E05">
        <w:rPr>
          <w:rFonts w:ascii="Verdana" w:eastAsia="Times New Roman" w:hAnsi="Verdana" w:cs="Arial"/>
          <w:i/>
          <w:sz w:val="14"/>
          <w:szCs w:val="14"/>
          <w:lang w:eastAsia="es-CO"/>
        </w:rPr>
        <w:t>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los trámites, garantías y constancias que deben cumplirse para que el rector o director celebre cualquier acto o contrato que cree, extinga o modifique obligaciones que deban registrarse en el Fondo, y cuya cuantía sea inferior a veinte (20) salarios mínimos mensuales. El Consejo puede exigir, además, que ciertos actos o contratos requieran una autorización suya específica</w:t>
      </w:r>
      <w:r w:rsidRPr="007A7E05">
        <w:rPr>
          <w:rFonts w:ascii="Verdana" w:eastAsia="Times New Roman" w:hAnsi="Verdana" w:cs="Arial"/>
          <w:sz w:val="14"/>
          <w:szCs w:val="14"/>
          <w:lang w:eastAsia="es-CO"/>
        </w:rPr>
        <w:t>”.</w:t>
      </w:r>
    </w:p>
    <w:p w14:paraId="453A0EE7" w14:textId="77777777" w:rsidR="001365BD" w:rsidRPr="00CB0272" w:rsidRDefault="001365BD" w:rsidP="007A7E05">
      <w:pPr>
        <w:pStyle w:val="Textonotapie"/>
        <w:ind w:firstLine="709"/>
        <w:contextualSpacing/>
        <w:jc w:val="both"/>
        <w:rPr>
          <w:rFonts w:ascii="Verdana" w:hAnsi="Verdana" w:cs="Arial"/>
          <w:color w:val="000000" w:themeColor="text1"/>
          <w:sz w:val="14"/>
          <w:szCs w:val="14"/>
        </w:rPr>
      </w:pPr>
      <w:r w:rsidRPr="007A7E05">
        <w:rPr>
          <w:rFonts w:ascii="Verdana" w:hAnsi="Verdana" w:cs="Arial"/>
          <w:color w:val="000000" w:themeColor="text1"/>
          <w:sz w:val="14"/>
          <w:szCs w:val="14"/>
        </w:rPr>
        <w:t>Decreto 1075 de 2015: “Artículo 2.3.1.6.3.5. Funciones del Consejo Directivo. (…) 6. Reglamentar mediante acuerdo los procedimientos, formalidades y garantías para toda contratación que no supere los veinte (20) salarios mínimos legales mensuales vigentes (SMLMV)”.</w:t>
      </w:r>
    </w:p>
  </w:footnote>
  <w:footnote w:id="19">
    <w:p w14:paraId="5F5AA056" w14:textId="77777777" w:rsidR="001365BD" w:rsidRPr="00CB0272" w:rsidRDefault="001365BD" w:rsidP="007A7E05">
      <w:pPr>
        <w:pStyle w:val="Textonotapie"/>
        <w:ind w:firstLine="709"/>
        <w:contextualSpacing/>
        <w:jc w:val="both"/>
        <w:rPr>
          <w:rFonts w:ascii="Verdana" w:hAnsi="Verdana" w:cs="Arial"/>
          <w:sz w:val="14"/>
          <w:szCs w:val="14"/>
        </w:rPr>
      </w:pPr>
      <w:r w:rsidRPr="007A7E05">
        <w:rPr>
          <w:rStyle w:val="Refdenotaalpie"/>
          <w:rFonts w:ascii="Verdana" w:hAnsi="Verdana" w:cs="Arial"/>
          <w:sz w:val="14"/>
          <w:szCs w:val="14"/>
        </w:rPr>
        <w:footnoteRef/>
      </w:r>
      <w:r w:rsidRPr="007A7E05">
        <w:rPr>
          <w:rFonts w:ascii="Verdana" w:hAnsi="Verdana" w:cs="Arial"/>
          <w:sz w:val="14"/>
          <w:szCs w:val="14"/>
        </w:rPr>
        <w:t xml:space="preserve"> La norma citada dispone que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A25A92"/>
    <w:multiLevelType w:val="hybridMultilevel"/>
    <w:tmpl w:val="7A12A086"/>
    <w:lvl w:ilvl="0" w:tplc="91225656">
      <w:start w:val="1"/>
      <w:numFmt w:val="decimal"/>
      <w:lvlText w:val="%1."/>
      <w:lvlJc w:val="left"/>
      <w:pPr>
        <w:ind w:left="1429" w:hanging="360"/>
      </w:pPr>
      <w:rPr>
        <w:rFonts w:hint="default"/>
      </w:r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227110730">
    <w:abstractNumId w:val="0"/>
  </w:num>
  <w:num w:numId="17" w16cid:durableId="531266698">
    <w:abstractNumId w:val="10"/>
  </w:num>
  <w:num w:numId="18" w16cid:durableId="11233817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D31"/>
    <w:rsid w:val="00016F78"/>
    <w:rsid w:val="00046945"/>
    <w:rsid w:val="00061B2A"/>
    <w:rsid w:val="00082362"/>
    <w:rsid w:val="000A683E"/>
    <w:rsid w:val="000B19B9"/>
    <w:rsid w:val="000D0334"/>
    <w:rsid w:val="000D5DA7"/>
    <w:rsid w:val="000F6486"/>
    <w:rsid w:val="00116940"/>
    <w:rsid w:val="00125105"/>
    <w:rsid w:val="00127233"/>
    <w:rsid w:val="001365BD"/>
    <w:rsid w:val="00141571"/>
    <w:rsid w:val="0015699B"/>
    <w:rsid w:val="001A33BF"/>
    <w:rsid w:val="001E4177"/>
    <w:rsid w:val="001F0B24"/>
    <w:rsid w:val="001F0D0F"/>
    <w:rsid w:val="001F7DC6"/>
    <w:rsid w:val="0022400B"/>
    <w:rsid w:val="002421BB"/>
    <w:rsid w:val="00242EBD"/>
    <w:rsid w:val="0025796E"/>
    <w:rsid w:val="002707A2"/>
    <w:rsid w:val="00273061"/>
    <w:rsid w:val="002951A0"/>
    <w:rsid w:val="002962BC"/>
    <w:rsid w:val="002A093D"/>
    <w:rsid w:val="002A0DD0"/>
    <w:rsid w:val="002A49AC"/>
    <w:rsid w:val="002A64FD"/>
    <w:rsid w:val="002B5E29"/>
    <w:rsid w:val="002B78B5"/>
    <w:rsid w:val="002C7A84"/>
    <w:rsid w:val="002E2BF8"/>
    <w:rsid w:val="002E4FD9"/>
    <w:rsid w:val="002F5361"/>
    <w:rsid w:val="0030657A"/>
    <w:rsid w:val="00322A85"/>
    <w:rsid w:val="00324168"/>
    <w:rsid w:val="00330834"/>
    <w:rsid w:val="003448F4"/>
    <w:rsid w:val="00374F5E"/>
    <w:rsid w:val="00377E3E"/>
    <w:rsid w:val="003A779E"/>
    <w:rsid w:val="003D0F4D"/>
    <w:rsid w:val="003D5ADA"/>
    <w:rsid w:val="003D5B0D"/>
    <w:rsid w:val="003E0499"/>
    <w:rsid w:val="003E365C"/>
    <w:rsid w:val="003E4F80"/>
    <w:rsid w:val="003E6439"/>
    <w:rsid w:val="003F3941"/>
    <w:rsid w:val="00406575"/>
    <w:rsid w:val="00414C74"/>
    <w:rsid w:val="0042722E"/>
    <w:rsid w:val="0044528D"/>
    <w:rsid w:val="00466E39"/>
    <w:rsid w:val="00473512"/>
    <w:rsid w:val="00476A34"/>
    <w:rsid w:val="004A1847"/>
    <w:rsid w:val="004A305D"/>
    <w:rsid w:val="004F0036"/>
    <w:rsid w:val="004F21C4"/>
    <w:rsid w:val="004F685F"/>
    <w:rsid w:val="005566E8"/>
    <w:rsid w:val="00574867"/>
    <w:rsid w:val="00591460"/>
    <w:rsid w:val="005A65E0"/>
    <w:rsid w:val="005C3777"/>
    <w:rsid w:val="005C5CDC"/>
    <w:rsid w:val="005D476C"/>
    <w:rsid w:val="0061026C"/>
    <w:rsid w:val="006200BF"/>
    <w:rsid w:val="006219F8"/>
    <w:rsid w:val="006302F7"/>
    <w:rsid w:val="006455DA"/>
    <w:rsid w:val="00646B9F"/>
    <w:rsid w:val="00665D70"/>
    <w:rsid w:val="00672466"/>
    <w:rsid w:val="006900D9"/>
    <w:rsid w:val="00706C16"/>
    <w:rsid w:val="00726FBA"/>
    <w:rsid w:val="007340C3"/>
    <w:rsid w:val="0075235A"/>
    <w:rsid w:val="00756841"/>
    <w:rsid w:val="007649AB"/>
    <w:rsid w:val="00771D0C"/>
    <w:rsid w:val="007833AC"/>
    <w:rsid w:val="007A7E05"/>
    <w:rsid w:val="007B268C"/>
    <w:rsid w:val="007B7171"/>
    <w:rsid w:val="007B71BE"/>
    <w:rsid w:val="007C0C0F"/>
    <w:rsid w:val="007C3DC2"/>
    <w:rsid w:val="007E5497"/>
    <w:rsid w:val="00806F5F"/>
    <w:rsid w:val="00820278"/>
    <w:rsid w:val="008258C9"/>
    <w:rsid w:val="00844AE9"/>
    <w:rsid w:val="00867F95"/>
    <w:rsid w:val="008843B6"/>
    <w:rsid w:val="00891717"/>
    <w:rsid w:val="00891928"/>
    <w:rsid w:val="008A446D"/>
    <w:rsid w:val="008B25F1"/>
    <w:rsid w:val="008D180B"/>
    <w:rsid w:val="008F0EA7"/>
    <w:rsid w:val="00923EEF"/>
    <w:rsid w:val="009419F9"/>
    <w:rsid w:val="00952BB4"/>
    <w:rsid w:val="0095685E"/>
    <w:rsid w:val="00961B09"/>
    <w:rsid w:val="00965334"/>
    <w:rsid w:val="0097093E"/>
    <w:rsid w:val="009A0DFA"/>
    <w:rsid w:val="009A1C6F"/>
    <w:rsid w:val="009B2D26"/>
    <w:rsid w:val="009C71FA"/>
    <w:rsid w:val="009C72E7"/>
    <w:rsid w:val="009C7F7E"/>
    <w:rsid w:val="009D3058"/>
    <w:rsid w:val="009D6C71"/>
    <w:rsid w:val="009F3A13"/>
    <w:rsid w:val="00A07EB5"/>
    <w:rsid w:val="00A122D3"/>
    <w:rsid w:val="00A14468"/>
    <w:rsid w:val="00A17F13"/>
    <w:rsid w:val="00A20739"/>
    <w:rsid w:val="00A23AF9"/>
    <w:rsid w:val="00A33C78"/>
    <w:rsid w:val="00AB0ADB"/>
    <w:rsid w:val="00B00C0E"/>
    <w:rsid w:val="00B01B1A"/>
    <w:rsid w:val="00B0381D"/>
    <w:rsid w:val="00B2534E"/>
    <w:rsid w:val="00B44A47"/>
    <w:rsid w:val="00B72CD3"/>
    <w:rsid w:val="00B72FFF"/>
    <w:rsid w:val="00B84FA2"/>
    <w:rsid w:val="00BC3D36"/>
    <w:rsid w:val="00BD54A6"/>
    <w:rsid w:val="00BD7F72"/>
    <w:rsid w:val="00BF4F2C"/>
    <w:rsid w:val="00BF6E2F"/>
    <w:rsid w:val="00BF7425"/>
    <w:rsid w:val="00C04FB3"/>
    <w:rsid w:val="00C11D8B"/>
    <w:rsid w:val="00C15139"/>
    <w:rsid w:val="00C26ABB"/>
    <w:rsid w:val="00C330EB"/>
    <w:rsid w:val="00C50D69"/>
    <w:rsid w:val="00C5365C"/>
    <w:rsid w:val="00C754BE"/>
    <w:rsid w:val="00C76B1C"/>
    <w:rsid w:val="00C925AC"/>
    <w:rsid w:val="00CB6357"/>
    <w:rsid w:val="00CC1B26"/>
    <w:rsid w:val="00D361FD"/>
    <w:rsid w:val="00D423A2"/>
    <w:rsid w:val="00D44E26"/>
    <w:rsid w:val="00D520D8"/>
    <w:rsid w:val="00D63AC2"/>
    <w:rsid w:val="00D70255"/>
    <w:rsid w:val="00D7383B"/>
    <w:rsid w:val="00D7788A"/>
    <w:rsid w:val="00D902BD"/>
    <w:rsid w:val="00DA231B"/>
    <w:rsid w:val="00DC0CC2"/>
    <w:rsid w:val="00DC39FC"/>
    <w:rsid w:val="00DF5254"/>
    <w:rsid w:val="00E02524"/>
    <w:rsid w:val="00E16408"/>
    <w:rsid w:val="00E20894"/>
    <w:rsid w:val="00E245AB"/>
    <w:rsid w:val="00E2764C"/>
    <w:rsid w:val="00E27F2E"/>
    <w:rsid w:val="00E3098F"/>
    <w:rsid w:val="00E346EB"/>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365B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365BD"/>
    <w:rPr>
      <w:rFonts w:ascii="Geomanist Light" w:hAnsi="Geomanist Light"/>
      <w:lang w:val="es-ES"/>
    </w:rPr>
  </w:style>
  <w:style w:type="character" w:customStyle="1" w:styleId="NormalWebCar">
    <w:name w:val="Normal (Web) Car"/>
    <w:link w:val="NormalWeb"/>
    <w:uiPriority w:val="99"/>
    <w:locked/>
    <w:rsid w:val="001365BD"/>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agaduria.eeagricolacopey@educacioncesar.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D6CFCDD-CBDE-448D-9034-A83803E9F34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21</Pages>
  <Words>6445</Words>
  <Characters>35450</Characters>
  <Application>Microsoft Office Word</Application>
  <DocSecurity>0</DocSecurity>
  <Lines>295</Lines>
  <Paragraphs>83</Paragraphs>
  <ScaleCrop>false</ScaleCrop>
  <Company/>
  <LinksUpToDate>false</LinksUpToDate>
  <CharactersWithSpaces>41812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Camila Polo Paz</cp:lastModifiedBy>
  <cp:revision>6</cp:revision>
  <cp:lastPrinted>2023-01-10T21:18:00Z</cp:lastPrinted>
  <dcterms:created xsi:type="dcterms:W3CDTF">2026-05-25T13:32:00Z</dcterms:created>
  <dcterms:modified xsi:type="dcterms:W3CDTF">2026-05-25T14:53:00Z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