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D4CF7" w14:textId="77777777" w:rsidR="00D3215D" w:rsidRPr="000C7D33" w:rsidRDefault="00D3215D" w:rsidP="00D3215D">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55DE7692" w14:textId="77777777" w:rsidR="00D3215D" w:rsidRPr="000C7D33" w:rsidRDefault="00D3215D" w:rsidP="00D3215D">
      <w:pPr>
        <w:spacing w:after="0" w:line="240" w:lineRule="auto"/>
        <w:jc w:val="both"/>
        <w:rPr>
          <w:rFonts w:ascii="Verdana" w:eastAsia="Verdana" w:hAnsi="Verdana" w:cs="Verdana"/>
          <w:b/>
          <w:lang w:val="es-ES"/>
        </w:rPr>
      </w:pPr>
    </w:p>
    <w:p w14:paraId="5277ACE2" w14:textId="3F061B7C" w:rsidR="00D3215D" w:rsidRPr="000C7D33" w:rsidRDefault="00D3215D" w:rsidP="00D3215D">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eastAsia="Verdana" w:hAnsi="Verdana" w:cs="Verdana"/>
          <w:bCs/>
          <w:sz w:val="20"/>
          <w:lang w:val="es-MX"/>
        </w:rPr>
        <w:t>.</w:t>
      </w:r>
    </w:p>
    <w:p w14:paraId="54303EE1" w14:textId="77777777" w:rsidR="00D3215D" w:rsidRPr="000C7D33" w:rsidRDefault="00D3215D" w:rsidP="00D3215D">
      <w:pPr>
        <w:spacing w:after="0" w:line="240" w:lineRule="auto"/>
        <w:jc w:val="both"/>
        <w:rPr>
          <w:rFonts w:ascii="Verdana" w:eastAsia="Verdana" w:hAnsi="Verdana" w:cs="Verdana"/>
          <w:b/>
          <w:lang w:val="es-ES"/>
        </w:rPr>
      </w:pPr>
    </w:p>
    <w:p w14:paraId="59E92357" w14:textId="77777777" w:rsidR="00D3215D" w:rsidRPr="000C7D33" w:rsidRDefault="00D3215D" w:rsidP="00D3215D">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5FFDA622" w14:textId="77777777" w:rsidR="00D3215D" w:rsidRPr="000C7D33" w:rsidRDefault="00D3215D" w:rsidP="00D3215D">
      <w:pPr>
        <w:spacing w:after="0" w:line="240" w:lineRule="auto"/>
        <w:jc w:val="both"/>
        <w:rPr>
          <w:rFonts w:ascii="Verdana" w:eastAsia="Verdana" w:hAnsi="Verdana" w:cs="Verdana"/>
          <w:b/>
          <w:lang w:val="es-ES"/>
        </w:rPr>
      </w:pPr>
    </w:p>
    <w:p w14:paraId="20DB44EA" w14:textId="77777777" w:rsidR="00D3215D" w:rsidRPr="000C7D33" w:rsidRDefault="00D3215D" w:rsidP="00D3215D">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16EF8154" w14:textId="77777777" w:rsidR="00D3215D" w:rsidRPr="000C7D33" w:rsidRDefault="00D3215D" w:rsidP="00D3215D">
      <w:pPr>
        <w:spacing w:after="0" w:line="240" w:lineRule="auto"/>
        <w:jc w:val="both"/>
        <w:rPr>
          <w:rFonts w:ascii="Verdana" w:eastAsia="Verdana" w:hAnsi="Verdana" w:cs="Verdana"/>
          <w:b/>
          <w:lang w:val="es-ES"/>
        </w:rPr>
      </w:pPr>
    </w:p>
    <w:p w14:paraId="7D412F74" w14:textId="77777777" w:rsidR="00D3215D" w:rsidRPr="000C7D33" w:rsidRDefault="00D3215D" w:rsidP="00D3215D">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48C68155" w14:textId="77777777" w:rsidR="00D3215D" w:rsidRPr="000C7D33" w:rsidRDefault="00D3215D" w:rsidP="00D3215D">
      <w:pPr>
        <w:spacing w:after="0" w:line="240" w:lineRule="auto"/>
        <w:jc w:val="both"/>
        <w:rPr>
          <w:rFonts w:ascii="Verdana" w:eastAsia="Verdana" w:hAnsi="Verdana" w:cs="Verdana"/>
          <w:b/>
          <w:lang w:val="es-ES"/>
        </w:rPr>
      </w:pPr>
    </w:p>
    <w:p w14:paraId="025C6E07" w14:textId="77777777" w:rsidR="00D3215D" w:rsidRDefault="00D3215D" w:rsidP="00D3215D">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2EF5B559" w14:textId="77777777" w:rsidR="00D3215D" w:rsidRPr="000C7D33" w:rsidRDefault="00D3215D" w:rsidP="00D3215D">
      <w:pPr>
        <w:spacing w:after="0" w:line="240" w:lineRule="auto"/>
        <w:jc w:val="both"/>
        <w:rPr>
          <w:rFonts w:ascii="Verdana" w:eastAsia="Verdana" w:hAnsi="Verdana" w:cs="Verdana"/>
          <w:bCs/>
          <w:sz w:val="20"/>
          <w:lang w:val="es-ES_tradnl"/>
        </w:rPr>
      </w:pPr>
    </w:p>
    <w:p w14:paraId="233AD0A8" w14:textId="77777777" w:rsidR="00D3215D" w:rsidRPr="000C7D33" w:rsidRDefault="00D3215D" w:rsidP="00D3215D">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226385CA" w14:textId="77777777" w:rsidR="00D3215D" w:rsidRPr="000C7D33" w:rsidRDefault="00D3215D" w:rsidP="00D3215D">
      <w:pPr>
        <w:spacing w:after="0" w:line="240" w:lineRule="auto"/>
        <w:jc w:val="both"/>
        <w:rPr>
          <w:rFonts w:ascii="Verdana" w:eastAsia="Verdana" w:hAnsi="Verdana" w:cs="Verdana"/>
          <w:b/>
          <w:lang w:val="es-ES"/>
        </w:rPr>
      </w:pPr>
    </w:p>
    <w:p w14:paraId="5F10582B" w14:textId="77777777" w:rsidR="00D3215D" w:rsidRPr="000C7D33" w:rsidRDefault="00D3215D" w:rsidP="00D3215D">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111355E5" w14:textId="77777777" w:rsidR="00D3215D" w:rsidRPr="000C7D33" w:rsidRDefault="00D3215D" w:rsidP="00D3215D">
      <w:pPr>
        <w:spacing w:after="0" w:line="240" w:lineRule="auto"/>
        <w:jc w:val="both"/>
        <w:rPr>
          <w:rFonts w:ascii="Verdana" w:eastAsia="Verdana" w:hAnsi="Verdana" w:cs="Verdana"/>
          <w:b/>
          <w:lang w:val="es-ES"/>
        </w:rPr>
      </w:pPr>
    </w:p>
    <w:p w14:paraId="2DD2F7BA" w14:textId="77777777" w:rsidR="00D3215D" w:rsidRPr="00ED0AD9" w:rsidRDefault="00D3215D" w:rsidP="00D3215D">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117663A1" w14:textId="77777777" w:rsidR="00D3215D" w:rsidRPr="00ED0AD9" w:rsidRDefault="00D3215D" w:rsidP="00D3215D">
      <w:pPr>
        <w:spacing w:after="0" w:line="240" w:lineRule="auto"/>
        <w:jc w:val="both"/>
        <w:rPr>
          <w:rFonts w:ascii="Verdana" w:eastAsia="Verdana" w:hAnsi="Verdana" w:cs="Verdana"/>
          <w:sz w:val="20"/>
          <w:lang w:val="es-ES"/>
        </w:rPr>
      </w:pPr>
    </w:p>
    <w:p w14:paraId="05D8CECA" w14:textId="77777777" w:rsidR="00D3215D" w:rsidRPr="00ED0AD9" w:rsidRDefault="00D3215D" w:rsidP="00D3215D">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6981D0CE" w14:textId="77777777" w:rsidR="00D3215D" w:rsidRPr="00ED0AD9" w:rsidRDefault="00D3215D" w:rsidP="00D3215D">
      <w:pPr>
        <w:spacing w:after="0" w:line="240" w:lineRule="auto"/>
        <w:jc w:val="both"/>
        <w:rPr>
          <w:rFonts w:ascii="Verdana" w:eastAsia="Verdana" w:hAnsi="Verdana" w:cs="Verdana"/>
          <w:sz w:val="20"/>
        </w:rPr>
      </w:pPr>
    </w:p>
    <w:p w14:paraId="34345C3B" w14:textId="77777777" w:rsidR="00D3215D" w:rsidRPr="00ED0AD9" w:rsidRDefault="00D3215D" w:rsidP="00D3215D">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57C324C4" w14:textId="77777777" w:rsidR="00D3215D" w:rsidRPr="00ED0AD9" w:rsidRDefault="00D3215D" w:rsidP="00D3215D">
      <w:pPr>
        <w:spacing w:after="0" w:line="240" w:lineRule="auto"/>
        <w:jc w:val="both"/>
        <w:rPr>
          <w:rFonts w:ascii="Verdana" w:eastAsia="Verdana" w:hAnsi="Verdana" w:cs="Verdana"/>
          <w:sz w:val="20"/>
        </w:rPr>
      </w:pPr>
    </w:p>
    <w:p w14:paraId="74664B2B" w14:textId="77777777" w:rsidR="00D3215D" w:rsidRPr="00ED0AD9" w:rsidRDefault="00D3215D" w:rsidP="00D3215D">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135E93E7" w14:textId="77777777" w:rsidR="00D3215D" w:rsidRPr="00ED0AD9" w:rsidRDefault="00D3215D" w:rsidP="00D3215D">
      <w:pPr>
        <w:spacing w:after="0" w:line="240" w:lineRule="auto"/>
        <w:jc w:val="both"/>
        <w:rPr>
          <w:rFonts w:ascii="Verdana" w:eastAsia="Verdana" w:hAnsi="Verdana" w:cs="Verdana"/>
          <w:sz w:val="20"/>
          <w:lang w:val="es-ES"/>
        </w:rPr>
      </w:pPr>
    </w:p>
    <w:p w14:paraId="2E5CD252"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CONTRATOS Y CONVENIOS INTERADMINISTRATIVOS – Noción – Diferencias </w:t>
      </w:r>
    </w:p>
    <w:p w14:paraId="39FD5F9E" w14:textId="77777777" w:rsidR="00D3215D" w:rsidRDefault="00D3215D" w:rsidP="00D3215D">
      <w:pPr>
        <w:spacing w:after="0" w:line="240" w:lineRule="auto"/>
        <w:jc w:val="both"/>
        <w:rPr>
          <w:rFonts w:ascii="Verdana" w:eastAsia="Verdana" w:hAnsi="Verdana" w:cs="Verdana"/>
          <w:bCs/>
          <w:sz w:val="20"/>
          <w:lang w:val="es-ES"/>
        </w:rPr>
      </w:pPr>
    </w:p>
    <w:p w14:paraId="484A0358"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w:t>
      </w:r>
    </w:p>
    <w:p w14:paraId="0BCFDED8" w14:textId="77777777" w:rsidR="00D3215D" w:rsidRDefault="00D3215D" w:rsidP="00D3215D">
      <w:pPr>
        <w:spacing w:after="0" w:line="240" w:lineRule="auto"/>
        <w:jc w:val="both"/>
        <w:rPr>
          <w:rFonts w:ascii="Verdana" w:eastAsia="Verdana" w:hAnsi="Verdana" w:cs="Verdana"/>
          <w:bCs/>
          <w:sz w:val="20"/>
          <w:lang w:val="es-ES"/>
        </w:rPr>
      </w:pPr>
    </w:p>
    <w:p w14:paraId="5A6F23BB" w14:textId="2103047C" w:rsidR="00D3215D" w:rsidRDefault="00D3215D" w:rsidP="00D3215D">
      <w:pPr>
        <w:spacing w:after="0" w:line="240" w:lineRule="auto"/>
        <w:jc w:val="both"/>
        <w:rPr>
          <w:rFonts w:ascii="Verdana" w:eastAsia="Verdana" w:hAnsi="Verdana" w:cs="Verdana"/>
          <w:bCs/>
          <w:sz w:val="20"/>
          <w:lang w:val="es-ES"/>
        </w:rPr>
      </w:pPr>
      <w:r>
        <w:rPr>
          <w:rFonts w:ascii="Verdana" w:eastAsia="Verdana" w:hAnsi="Verdana" w:cs="Verdana"/>
          <w:bCs/>
          <w:sz w:val="20"/>
          <w:lang w:val="es-ES"/>
        </w:rPr>
        <w:t>[…]</w:t>
      </w:r>
    </w:p>
    <w:p w14:paraId="3F6F0441" w14:textId="77777777" w:rsidR="00D3215D" w:rsidRDefault="00D3215D" w:rsidP="00D3215D">
      <w:pPr>
        <w:spacing w:after="0" w:line="240" w:lineRule="auto"/>
        <w:jc w:val="both"/>
        <w:rPr>
          <w:rFonts w:ascii="Verdana" w:eastAsia="Verdana" w:hAnsi="Verdana" w:cs="Verdana"/>
          <w:bCs/>
          <w:sz w:val="20"/>
        </w:rPr>
      </w:pPr>
    </w:p>
    <w:p w14:paraId="74BA91D3" w14:textId="68592861" w:rsidR="00D3215D" w:rsidRPr="00ED0AD9" w:rsidRDefault="00D3215D" w:rsidP="00D3215D">
      <w:pPr>
        <w:spacing w:after="0" w:line="240" w:lineRule="auto"/>
        <w:jc w:val="both"/>
        <w:rPr>
          <w:rFonts w:ascii="Verdana" w:eastAsia="Verdana" w:hAnsi="Verdana" w:cs="Verdana"/>
          <w:bCs/>
          <w:sz w:val="20"/>
          <w:lang w:val="es-ES"/>
        </w:rPr>
      </w:pPr>
      <w:r w:rsidRPr="00BE429B">
        <w:rPr>
          <w:rFonts w:ascii="Verdana" w:eastAsia="Verdana" w:hAnsi="Verdana" w:cs="Verdana"/>
          <w:bCs/>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34794423" w14:textId="77777777" w:rsidR="00D3215D" w:rsidRPr="000C7D33" w:rsidRDefault="00D3215D" w:rsidP="00D3215D">
      <w:pPr>
        <w:spacing w:after="0" w:line="240" w:lineRule="auto"/>
        <w:jc w:val="both"/>
        <w:rPr>
          <w:rFonts w:ascii="Verdana" w:eastAsia="Verdana" w:hAnsi="Verdana" w:cs="Verdana"/>
          <w:b/>
          <w:bCs/>
          <w:lang w:val="es-ES"/>
        </w:rPr>
      </w:pPr>
    </w:p>
    <w:p w14:paraId="2B37CF8D"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CONVENIO INTERADMINISTRATIVO – Naturaleza – Inaplicabilidad – Ley 80 de 1993</w:t>
      </w:r>
    </w:p>
    <w:p w14:paraId="17223016" w14:textId="77777777" w:rsidR="00D3215D" w:rsidRPr="000C7D33" w:rsidRDefault="00D3215D" w:rsidP="00D3215D">
      <w:pPr>
        <w:spacing w:after="0" w:line="240" w:lineRule="auto"/>
        <w:jc w:val="both"/>
        <w:rPr>
          <w:rFonts w:ascii="Verdana" w:eastAsia="Verdana" w:hAnsi="Verdana" w:cs="Verdana"/>
          <w:b/>
          <w:bCs/>
          <w:lang w:val="es-ES"/>
        </w:rPr>
      </w:pPr>
    </w:p>
    <w:p w14:paraId="159B89FF"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0B09B27D" w14:textId="77777777" w:rsidR="00D3215D" w:rsidRPr="00BE429B" w:rsidRDefault="00D3215D" w:rsidP="00D3215D">
      <w:pPr>
        <w:spacing w:after="0" w:line="240" w:lineRule="auto"/>
        <w:jc w:val="both"/>
        <w:rPr>
          <w:rFonts w:ascii="Verdana" w:eastAsia="Verdana" w:hAnsi="Verdana" w:cs="Verdana"/>
          <w:b/>
          <w:bCs/>
        </w:rPr>
      </w:pPr>
    </w:p>
    <w:p w14:paraId="0E111764"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SERVICIOS PÚBLICOS DOMICILIARIOS – Subsidios – Estado Social de Derecho </w:t>
      </w:r>
    </w:p>
    <w:p w14:paraId="40BB10B9" w14:textId="77777777" w:rsidR="00D3215D" w:rsidRPr="00BE429B" w:rsidRDefault="00D3215D" w:rsidP="00D3215D">
      <w:pPr>
        <w:spacing w:after="0" w:line="240" w:lineRule="auto"/>
        <w:jc w:val="both"/>
        <w:rPr>
          <w:rFonts w:ascii="Verdana" w:eastAsia="Verdana" w:hAnsi="Verdana" w:cs="Verdana"/>
          <w:bCs/>
          <w:sz w:val="20"/>
          <w:lang w:val="es-ES"/>
        </w:rPr>
      </w:pPr>
    </w:p>
    <w:p w14:paraId="637D684A" w14:textId="77777777" w:rsidR="00D3215D" w:rsidRPr="00BE429B" w:rsidRDefault="00D3215D" w:rsidP="00D3215D">
      <w:pPr>
        <w:spacing w:after="0" w:line="240" w:lineRule="auto"/>
        <w:jc w:val="both"/>
        <w:rPr>
          <w:rFonts w:ascii="Verdana" w:eastAsia="Verdana" w:hAnsi="Verdana" w:cs="Verdana"/>
          <w:bCs/>
          <w:iCs/>
          <w:sz w:val="20"/>
        </w:rPr>
      </w:pPr>
      <w:r w:rsidRPr="00BE429B">
        <w:rPr>
          <w:rFonts w:ascii="Verdana" w:eastAsia="Verdana" w:hAnsi="Verdana" w:cs="Verdana"/>
          <w:bCs/>
          <w:iCs/>
          <w:sz w:val="20"/>
        </w:rPr>
        <w:t xml:space="preserve">Como manifestación del deber de otorgar subsidios en el marco del Estado Social de Derecho, se encuentra el artículo 368 constitucional prescribe: “[…] La Nación, los departamentos, los distritos, los municipios y las entidades descentralizadas podrán conceder subsidios, en sus respectivos presupuestos, para que las personas de menores ingresos puedan pagar las tarifas de los servicios públicos domiciliarios que cubran sus necesidades básicas”. En tal sentido, dicho tratamiento constitucional se desarrolló en la Leyes 142 y 143 de 1994. </w:t>
      </w:r>
    </w:p>
    <w:p w14:paraId="5D16CBFA" w14:textId="77777777" w:rsidR="00D3215D" w:rsidRDefault="00D3215D" w:rsidP="00D3215D">
      <w:pPr>
        <w:spacing w:after="0" w:line="240" w:lineRule="auto"/>
        <w:jc w:val="both"/>
        <w:rPr>
          <w:rFonts w:ascii="Verdana" w:eastAsia="Verdana" w:hAnsi="Verdana" w:cs="Verdana"/>
          <w:bCs/>
          <w:iCs/>
          <w:sz w:val="20"/>
        </w:rPr>
      </w:pPr>
    </w:p>
    <w:p w14:paraId="4E9C21A4" w14:textId="77777777" w:rsidR="00D3215D" w:rsidRPr="00BE429B" w:rsidRDefault="00D3215D" w:rsidP="00D3215D">
      <w:pPr>
        <w:spacing w:after="0" w:line="240" w:lineRule="auto"/>
        <w:jc w:val="both"/>
        <w:rPr>
          <w:rFonts w:ascii="Verdana" w:eastAsia="Verdana" w:hAnsi="Verdana" w:cs="Verdana"/>
          <w:bCs/>
          <w:iCs/>
          <w:sz w:val="20"/>
          <w:lang w:val="es-ES"/>
        </w:rPr>
      </w:pPr>
      <w:r w:rsidRPr="00BE429B">
        <w:rPr>
          <w:rFonts w:ascii="Verdana" w:eastAsia="Verdana" w:hAnsi="Verdana" w:cs="Verdana"/>
          <w:bCs/>
          <w:iCs/>
          <w:sz w:val="20"/>
        </w:rPr>
        <w:t>Para ello, se hace una referencia especial a la Ley 142 de 1994, “por la cual se establece el régimen de los servicios públicos domiciliarios y se dictan otras disposiciones”. Dicha Ley en su artículo 3° establece que la intervención 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56C37907" w14:textId="77777777" w:rsidR="00D3215D" w:rsidRPr="00BE429B" w:rsidRDefault="00D3215D" w:rsidP="00D3215D">
      <w:pPr>
        <w:spacing w:after="0" w:line="240" w:lineRule="auto"/>
        <w:jc w:val="both"/>
        <w:rPr>
          <w:rFonts w:ascii="Verdana" w:eastAsia="Verdana" w:hAnsi="Verdana" w:cs="Verdana"/>
          <w:bCs/>
          <w:sz w:val="20"/>
          <w:lang w:val="es-ES"/>
        </w:rPr>
      </w:pPr>
    </w:p>
    <w:p w14:paraId="2406E354"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SUBSIDIOS – Ley 142 de 2994 – Contratos y Convenios – Financiación de Subsidios </w:t>
      </w:r>
    </w:p>
    <w:p w14:paraId="374BC291" w14:textId="77777777" w:rsidR="00D3215D" w:rsidRPr="000C7D33" w:rsidRDefault="00D3215D" w:rsidP="00D3215D">
      <w:pPr>
        <w:spacing w:after="0" w:line="240" w:lineRule="auto"/>
        <w:jc w:val="both"/>
        <w:rPr>
          <w:rFonts w:ascii="Verdana" w:eastAsia="Verdana" w:hAnsi="Verdana" w:cs="Verdana"/>
          <w:b/>
          <w:bCs/>
          <w:lang w:val="es-ES"/>
        </w:rPr>
      </w:pPr>
    </w:p>
    <w:p w14:paraId="7073FF3A"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ser una empresa de servicios públicos domiciliarios de naturaleza pública, mixta o privada -con o sin participación estatal-. Para la ejecución de dichas transferencias, se emplean instrumentos jurídicos como los convenios de transferencia de recursos.</w:t>
      </w:r>
    </w:p>
    <w:p w14:paraId="2D134A02"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 </w:t>
      </w:r>
    </w:p>
    <w:p w14:paraId="580B04F8"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este escenario, la naturaleza de los convenios de transferencia de recursos depende de la naturaleza jurídica de las partes que los suscriben. Cuando una entidad territorial celebra estos acuerdos con empresas de servicios públicos de carácter público, mixto o privado con participación estatal, se configura un contrato o convenio interadministrativo. Ello se sustenta en que dichas empresas son catalogadas como entidades descentralizadas por servicios, conforme a lo establecido en el numeral 2 del artículo 38 de la Ley 489 de 1998 y a lo reiterado por la Corte Constitucional en la Sentencia C-736 de 2008, lo que les otorga un carácter especial dentro de la estructura administrativa del Estado. </w:t>
      </w:r>
    </w:p>
    <w:p w14:paraId="39CA7A8E" w14:textId="77777777" w:rsidR="00D3215D" w:rsidRPr="00BE429B" w:rsidRDefault="00D3215D" w:rsidP="00D3215D">
      <w:pPr>
        <w:spacing w:after="0" w:line="240" w:lineRule="auto"/>
        <w:jc w:val="both"/>
        <w:rPr>
          <w:rFonts w:ascii="Verdana" w:eastAsia="Verdana" w:hAnsi="Verdana" w:cs="Verdana"/>
          <w:bCs/>
          <w:sz w:val="20"/>
        </w:rPr>
      </w:pPr>
    </w:p>
    <w:p w14:paraId="27CC78F9"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sidRPr="00BE429B">
        <w:rPr>
          <w:rFonts w:ascii="Verdana" w:eastAsia="Verdana" w:hAnsi="Verdana" w:cs="Verdana"/>
          <w:bCs/>
          <w:sz w:val="20"/>
        </w:rPr>
        <w:t>y</w:t>
      </w:r>
      <w:proofErr w:type="gramEnd"/>
      <w:r w:rsidRPr="00BE429B">
        <w:rPr>
          <w:rFonts w:ascii="Verdana" w:eastAsia="Verdana" w:hAnsi="Verdana" w:cs="Verdana"/>
          <w:bCs/>
          <w:sz w:val="20"/>
        </w:rPr>
        <w:t xml:space="preserve"> por ende, sus condiciones se encuentran sujetas a la autonomía de la voluntad de las partes que lo suscriben, lo cual debe plasmarse en el texto contractual”. </w:t>
      </w:r>
    </w:p>
    <w:p w14:paraId="6A49A4B2" w14:textId="77777777" w:rsidR="00D3215D" w:rsidRPr="00BE429B" w:rsidRDefault="00D3215D" w:rsidP="00D3215D">
      <w:pPr>
        <w:spacing w:after="0" w:line="240" w:lineRule="auto"/>
        <w:jc w:val="both"/>
        <w:rPr>
          <w:rFonts w:ascii="Verdana" w:eastAsia="Verdana" w:hAnsi="Verdana" w:cs="Verdana"/>
          <w:b/>
          <w:bCs/>
        </w:rPr>
      </w:pPr>
    </w:p>
    <w:p w14:paraId="2640425E"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 Artículo 38 – Artículo 33 </w:t>
      </w:r>
    </w:p>
    <w:p w14:paraId="0A3ED3BD" w14:textId="77777777" w:rsidR="00D3215D" w:rsidRPr="000C7D33" w:rsidRDefault="00D3215D" w:rsidP="00D3215D">
      <w:pPr>
        <w:spacing w:after="0" w:line="240" w:lineRule="auto"/>
        <w:jc w:val="both"/>
        <w:rPr>
          <w:rFonts w:ascii="Verdana" w:eastAsia="Verdana" w:hAnsi="Verdana" w:cs="Verdana"/>
          <w:b/>
          <w:bCs/>
          <w:lang w:val="es-ES"/>
        </w:rPr>
      </w:pPr>
    </w:p>
    <w:p w14:paraId="274DA6FE" w14:textId="77777777" w:rsidR="00D3215D"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un lado, el </w:t>
      </w:r>
      <w:r w:rsidRPr="00BE429B">
        <w:rPr>
          <w:rFonts w:ascii="Verdana" w:eastAsia="Verdana" w:hAnsi="Verdana" w:cs="Verdana"/>
          <w:bCs/>
          <w:i/>
          <w:iCs/>
          <w:sz w:val="20"/>
        </w:rPr>
        <w:t>artículo 33 de la Ley 996 de 2005</w:t>
      </w:r>
      <w:r w:rsidRPr="00BE429B">
        <w:rPr>
          <w:rFonts w:ascii="Verdana" w:eastAsia="Verdana" w:hAnsi="Verdana" w:cs="Verdana"/>
          <w:bCs/>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90C33FD" w14:textId="77777777" w:rsidR="00D3215D" w:rsidRPr="00BE429B" w:rsidRDefault="00D3215D" w:rsidP="00D3215D">
      <w:pPr>
        <w:spacing w:after="0" w:line="240" w:lineRule="auto"/>
        <w:jc w:val="both"/>
        <w:rPr>
          <w:rFonts w:ascii="Verdana" w:eastAsia="Verdana" w:hAnsi="Verdana" w:cs="Verdana"/>
          <w:bCs/>
          <w:sz w:val="20"/>
        </w:rPr>
      </w:pPr>
    </w:p>
    <w:p w14:paraId="14336953" w14:textId="77777777" w:rsidR="00D3215D" w:rsidRPr="00BE429B" w:rsidRDefault="00D3215D" w:rsidP="00D3215D">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otro lado, </w:t>
      </w:r>
      <w:r w:rsidRPr="00BE429B">
        <w:rPr>
          <w:rFonts w:ascii="Verdana" w:eastAsia="Verdana" w:hAnsi="Verdana" w:cs="Verdana"/>
          <w:bCs/>
          <w:i/>
          <w:iCs/>
          <w:sz w:val="20"/>
        </w:rPr>
        <w:t>el parágrafo del artículo 38 de la Ley 996 de 2005</w:t>
      </w:r>
      <w:r w:rsidRPr="00BE429B">
        <w:rPr>
          <w:rFonts w:ascii="Verdana" w:eastAsia="Verdana" w:hAnsi="Verdana" w:cs="Verdana"/>
          <w:bCs/>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E429B">
        <w:rPr>
          <w:rFonts w:ascii="Verdana" w:eastAsia="Verdana" w:hAnsi="Verdana" w:cs="Verdana"/>
          <w:bCs/>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429B">
        <w:rPr>
          <w:rFonts w:ascii="Verdana" w:eastAsia="Verdana" w:hAnsi="Verdana" w:cs="Verdana"/>
          <w:bCs/>
          <w:sz w:val="20"/>
        </w:rPr>
        <w:t>”.</w:t>
      </w:r>
    </w:p>
    <w:p w14:paraId="135C44A9" w14:textId="77777777" w:rsidR="00D3215D" w:rsidRPr="000C7D33" w:rsidRDefault="00D3215D" w:rsidP="00D3215D">
      <w:pPr>
        <w:spacing w:after="0" w:line="240" w:lineRule="auto"/>
        <w:jc w:val="both"/>
        <w:rPr>
          <w:rFonts w:ascii="Verdana" w:eastAsia="Verdana" w:hAnsi="Verdana" w:cs="Verdana"/>
          <w:b/>
          <w:bCs/>
          <w:lang w:val="es-ES"/>
        </w:rPr>
      </w:pPr>
    </w:p>
    <w:p w14:paraId="55C2C103" w14:textId="77777777"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–Superintendencia de Servicios Públicos Domiciliarios </w:t>
      </w:r>
    </w:p>
    <w:p w14:paraId="2B738415" w14:textId="77777777" w:rsidR="00D3215D" w:rsidRPr="000C7D33" w:rsidRDefault="00D3215D" w:rsidP="00D3215D">
      <w:pPr>
        <w:spacing w:after="0" w:line="240" w:lineRule="auto"/>
        <w:jc w:val="both"/>
        <w:rPr>
          <w:rFonts w:ascii="Verdana" w:eastAsia="Verdana" w:hAnsi="Verdana" w:cs="Verdana"/>
          <w:b/>
          <w:bCs/>
          <w:lang w:val="es-ES"/>
        </w:rPr>
      </w:pPr>
    </w:p>
    <w:p w14:paraId="099ED400" w14:textId="77777777" w:rsidR="00D3215D" w:rsidRDefault="00D3215D" w:rsidP="00D3215D">
      <w:pPr>
        <w:spacing w:after="0" w:line="240" w:lineRule="auto"/>
        <w:jc w:val="both"/>
        <w:rPr>
          <w:rFonts w:ascii="Verdana" w:eastAsia="Verdana" w:hAnsi="Verdana" w:cs="Verdana"/>
          <w:bCs/>
          <w:iCs/>
          <w:sz w:val="20"/>
        </w:rPr>
      </w:pPr>
      <w:r w:rsidRPr="00D01973">
        <w:rPr>
          <w:rFonts w:ascii="Verdana" w:eastAsia="Verdana" w:hAnsi="Verdana" w:cs="Verdana"/>
          <w:bCs/>
          <w:sz w:val="20"/>
        </w:rPr>
        <w:t>Teniendo en cuenta lo expuesto, la Superintendencia de Servicios Públicos ha expresado que l</w:t>
      </w:r>
      <w:r w:rsidRPr="00D01973">
        <w:rPr>
          <w:rFonts w:ascii="Verdana" w:eastAsia="Verdana" w:hAnsi="Verdana" w:cs="Verdana"/>
          <w:bCs/>
          <w:iCs/>
          <w:sz w:val="20"/>
        </w:rPr>
        <w:t>a celebración de contratos o convenios para la transferencia de recursos destinados a subsidios entre los entes territoriales y los prestadores de servicios públicos constituye una obligación legal esencial, exceptuando de la aplicación de la Ley de Garantías. Este organismo considera que estos convenios o contratos 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p>
    <w:p w14:paraId="2D37CA95" w14:textId="77777777" w:rsidR="00D3215D" w:rsidRPr="00D01973" w:rsidRDefault="00D3215D" w:rsidP="00D3215D">
      <w:pPr>
        <w:spacing w:after="0" w:line="240" w:lineRule="auto"/>
        <w:jc w:val="both"/>
        <w:rPr>
          <w:rFonts w:ascii="Verdana" w:eastAsia="Verdana" w:hAnsi="Verdana" w:cs="Verdana"/>
          <w:bCs/>
          <w:sz w:val="20"/>
          <w:lang w:val="es-ES"/>
        </w:rPr>
      </w:pPr>
    </w:p>
    <w:p w14:paraId="50639403" w14:textId="77777777" w:rsidR="00D3215D"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w:t>
      </w:r>
      <w:r>
        <w:rPr>
          <w:rFonts w:ascii="Verdana" w:eastAsia="Verdana" w:hAnsi="Verdana" w:cs="Verdana"/>
          <w:b/>
          <w:bCs/>
          <w:lang w:val="es-ES"/>
        </w:rPr>
        <w:t>Posturas del Consejo de Estado</w:t>
      </w:r>
    </w:p>
    <w:p w14:paraId="173227C9" w14:textId="77777777" w:rsidR="00D3215D" w:rsidRDefault="00D3215D" w:rsidP="00D3215D">
      <w:pPr>
        <w:spacing w:after="0" w:line="240" w:lineRule="auto"/>
        <w:jc w:val="both"/>
        <w:rPr>
          <w:rFonts w:ascii="Verdana" w:eastAsia="Verdana" w:hAnsi="Verdana" w:cs="Verdana"/>
          <w:b/>
          <w:bCs/>
          <w:lang w:val="es-ES"/>
        </w:rPr>
      </w:pPr>
    </w:p>
    <w:p w14:paraId="7A2D04AF" w14:textId="77777777" w:rsidR="00D3215D" w:rsidRPr="00D01973" w:rsidRDefault="00D3215D" w:rsidP="00D3215D">
      <w:pPr>
        <w:spacing w:after="0" w:line="240" w:lineRule="auto"/>
        <w:jc w:val="both"/>
        <w:rPr>
          <w:rFonts w:ascii="Verdana" w:eastAsia="Verdana" w:hAnsi="Verdana" w:cs="Verdana"/>
          <w:bCs/>
          <w:sz w:val="20"/>
          <w:lang w:val="es-ES"/>
        </w:rPr>
      </w:pPr>
      <w:r w:rsidRPr="00D01973">
        <w:rPr>
          <w:rFonts w:ascii="Verdana" w:eastAsia="Verdana" w:hAnsi="Verdana" w:cs="Verdana"/>
          <w:bCs/>
          <w:sz w:val="20"/>
        </w:rPr>
        <w:t xml:space="preserve">Bajo ese escenario, </w:t>
      </w:r>
      <w:r w:rsidRPr="00D01973">
        <w:rPr>
          <w:rFonts w:ascii="Verdana" w:eastAsia="Verdana" w:hAnsi="Verdana" w:cs="Verdana"/>
          <w:bCs/>
          <w:sz w:val="20"/>
          <w:lang w:val="es-ES" w:bidi="es-ES"/>
        </w:rPr>
        <w:t>el alcance de esta obligación frente a las restricciones de la Ley de Garantías Electorales, resulta pertinente traer a colación el pronunciamiento de la Sala de Consulta y Servicio Civil del Consejo de Estado,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D01973">
        <w:rPr>
          <w:rFonts w:ascii="Verdana" w:eastAsia="Verdana" w:hAnsi="Verdana" w:cs="Verdana"/>
          <w:bCs/>
          <w:sz w:val="20"/>
          <w:lang w:val="es-ES"/>
        </w:rPr>
        <w:t xml:space="preserve"> En este contexto, 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p>
    <w:p w14:paraId="2C19B665" w14:textId="77777777" w:rsidR="00D3215D" w:rsidRPr="00D01973" w:rsidRDefault="00D3215D" w:rsidP="00D3215D">
      <w:pPr>
        <w:spacing w:after="0" w:line="240" w:lineRule="auto"/>
        <w:jc w:val="both"/>
        <w:rPr>
          <w:rFonts w:ascii="Verdana" w:eastAsia="Verdana" w:hAnsi="Verdana" w:cs="Verdana"/>
          <w:b/>
          <w:bCs/>
          <w:lang w:val="es-ES"/>
        </w:rPr>
      </w:pPr>
    </w:p>
    <w:p w14:paraId="71770E3D" w14:textId="0A11F203" w:rsidR="00D3215D" w:rsidRPr="000C7D33" w:rsidRDefault="00D3215D" w:rsidP="00D3215D">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LEY DE GARANTIAS – Restricciones</w:t>
      </w:r>
      <w:r>
        <w:rPr>
          <w:rFonts w:ascii="Verdana" w:eastAsia="Verdana" w:hAnsi="Verdana" w:cs="Verdana"/>
          <w:b/>
          <w:bCs/>
          <w:lang w:val="es-ES"/>
        </w:rPr>
        <w:t xml:space="preserve"> </w:t>
      </w:r>
      <w:r w:rsidRPr="000C7D33">
        <w:rPr>
          <w:rFonts w:ascii="Verdana" w:eastAsia="Verdana" w:hAnsi="Verdana" w:cs="Verdana"/>
          <w:b/>
          <w:bCs/>
          <w:lang w:val="es-ES"/>
        </w:rPr>
        <w:t>-</w:t>
      </w:r>
      <w:r>
        <w:rPr>
          <w:rFonts w:ascii="Verdana" w:eastAsia="Verdana" w:hAnsi="Verdana" w:cs="Verdana"/>
          <w:b/>
          <w:bCs/>
          <w:lang w:val="es-ES"/>
        </w:rPr>
        <w:t xml:space="preserve"> </w:t>
      </w:r>
      <w:r w:rsidRPr="000C7D33">
        <w:rPr>
          <w:rFonts w:ascii="Verdana" w:eastAsia="Verdana" w:hAnsi="Verdana" w:cs="Verdana"/>
          <w:b/>
          <w:bCs/>
          <w:lang w:val="es-ES"/>
        </w:rPr>
        <w:t xml:space="preserve">Celebración de Contratos y Convenios – Transferencia de recursos </w:t>
      </w:r>
    </w:p>
    <w:p w14:paraId="7F6A3A49" w14:textId="77777777" w:rsidR="00D3215D" w:rsidRPr="00D01973" w:rsidRDefault="00D3215D" w:rsidP="00D3215D">
      <w:pPr>
        <w:spacing w:after="0" w:line="240" w:lineRule="auto"/>
        <w:jc w:val="both"/>
        <w:rPr>
          <w:rFonts w:ascii="Verdana" w:eastAsia="Verdana" w:hAnsi="Verdana" w:cs="Verdana"/>
          <w:bCs/>
          <w:sz w:val="20"/>
          <w:lang w:val="es-ES"/>
        </w:rPr>
      </w:pPr>
    </w:p>
    <w:p w14:paraId="294AF3BD" w14:textId="77777777" w:rsidR="00D3215D" w:rsidRPr="00D01973" w:rsidRDefault="00D3215D" w:rsidP="00D3215D">
      <w:pPr>
        <w:spacing w:after="0" w:line="240" w:lineRule="auto"/>
        <w:jc w:val="both"/>
        <w:rPr>
          <w:rFonts w:ascii="Verdana" w:eastAsia="Verdana" w:hAnsi="Verdana" w:cs="Verdana"/>
          <w:bCs/>
          <w:sz w:val="20"/>
          <w:lang w:val="es-ES"/>
        </w:rPr>
      </w:pPr>
      <w:r w:rsidRPr="00D01973">
        <w:rPr>
          <w:rFonts w:ascii="Verdana" w:eastAsia="Verdana" w:hAnsi="Verdana" w:cs="Verdana"/>
          <w:bCs/>
          <w:sz w:val="20"/>
          <w:lang w:val="es-ES"/>
        </w:rPr>
        <w:t xml:space="preserve">A partir de lo expuesto en las consideraciones previas, la Agencia considera esta Agencia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3B755ED2" w14:textId="77777777" w:rsidR="00D3215D" w:rsidRPr="000C7D33" w:rsidRDefault="00D3215D" w:rsidP="00D3215D">
      <w:pPr>
        <w:spacing w:after="0" w:line="240" w:lineRule="auto"/>
        <w:jc w:val="both"/>
        <w:rPr>
          <w:rFonts w:ascii="Verdana" w:eastAsia="Verdana" w:hAnsi="Verdana" w:cs="Verdana"/>
          <w:b/>
          <w:bCs/>
          <w:lang w:val="es-ES"/>
        </w:rPr>
      </w:pPr>
    </w:p>
    <w:p w14:paraId="764EBE09" w14:textId="77777777" w:rsidR="00D3215D" w:rsidRDefault="00D3215D" w:rsidP="00813702">
      <w:pPr>
        <w:spacing w:after="0"/>
        <w:rPr>
          <w:rFonts w:ascii="Verdana" w:eastAsia="Verdana" w:hAnsi="Verdana" w:cs="Verdana"/>
          <w:lang w:val="es-ES"/>
        </w:rPr>
      </w:pPr>
    </w:p>
    <w:p w14:paraId="19487119" w14:textId="77777777" w:rsidR="00D3215D" w:rsidRDefault="00D3215D" w:rsidP="00813702">
      <w:pPr>
        <w:spacing w:after="0"/>
        <w:rPr>
          <w:rFonts w:ascii="Verdana" w:eastAsia="Verdana" w:hAnsi="Verdana" w:cs="Verdana"/>
          <w:lang w:val="es-ES"/>
        </w:rPr>
      </w:pPr>
    </w:p>
    <w:p w14:paraId="0909F7F2" w14:textId="77777777" w:rsidR="00D3215D" w:rsidRDefault="00D3215D" w:rsidP="00813702">
      <w:pPr>
        <w:spacing w:after="0"/>
        <w:rPr>
          <w:rFonts w:ascii="Verdana" w:eastAsia="Verdana" w:hAnsi="Verdana" w:cs="Verdana"/>
          <w:lang w:val="es-ES"/>
        </w:rPr>
      </w:pPr>
    </w:p>
    <w:p w14:paraId="00D6D44F" w14:textId="77777777" w:rsidR="00D3215D" w:rsidRDefault="00D3215D" w:rsidP="00813702">
      <w:pPr>
        <w:spacing w:after="0"/>
        <w:rPr>
          <w:rFonts w:ascii="Verdana" w:eastAsia="Verdana" w:hAnsi="Verdana" w:cs="Verdana"/>
          <w:lang w:val="es-ES"/>
        </w:rPr>
      </w:pPr>
    </w:p>
    <w:p w14:paraId="089E4F86" w14:textId="77777777" w:rsidR="00D3215D" w:rsidRDefault="00D3215D" w:rsidP="00813702">
      <w:pPr>
        <w:spacing w:after="0"/>
        <w:rPr>
          <w:rFonts w:ascii="Verdana" w:eastAsia="Verdana" w:hAnsi="Verdana" w:cs="Verdana"/>
          <w:lang w:val="es-ES"/>
        </w:rPr>
      </w:pPr>
    </w:p>
    <w:p w14:paraId="66F779F9" w14:textId="77777777" w:rsidR="00D3215D" w:rsidRDefault="00D3215D" w:rsidP="00813702">
      <w:pPr>
        <w:spacing w:after="0"/>
        <w:rPr>
          <w:rFonts w:ascii="Verdana" w:eastAsia="Verdana" w:hAnsi="Verdana" w:cs="Verdana"/>
          <w:lang w:val="es-ES"/>
        </w:rPr>
      </w:pPr>
    </w:p>
    <w:p w14:paraId="437B0969" w14:textId="77777777" w:rsidR="00D3215D" w:rsidRDefault="00D3215D" w:rsidP="00813702">
      <w:pPr>
        <w:spacing w:after="0"/>
        <w:rPr>
          <w:rFonts w:ascii="Verdana" w:eastAsia="Verdana" w:hAnsi="Verdana" w:cs="Verdana"/>
          <w:lang w:val="es-ES"/>
        </w:rPr>
      </w:pPr>
    </w:p>
    <w:p w14:paraId="38D83F67" w14:textId="77777777" w:rsidR="00D3215D" w:rsidRDefault="00D3215D" w:rsidP="00813702">
      <w:pPr>
        <w:spacing w:after="0"/>
        <w:rPr>
          <w:rFonts w:ascii="Verdana" w:eastAsia="Verdana" w:hAnsi="Verdana" w:cs="Verdana"/>
          <w:lang w:val="es-ES"/>
        </w:rPr>
      </w:pPr>
    </w:p>
    <w:p w14:paraId="70EFCC9A" w14:textId="77777777" w:rsidR="00D3215D" w:rsidRDefault="00D3215D" w:rsidP="00813702">
      <w:pPr>
        <w:spacing w:after="0"/>
        <w:rPr>
          <w:rFonts w:ascii="Verdana" w:eastAsia="Verdana" w:hAnsi="Verdana" w:cs="Verdana"/>
          <w:lang w:val="es-ES"/>
        </w:rPr>
      </w:pPr>
    </w:p>
    <w:p w14:paraId="3AE0E0CC" w14:textId="77777777" w:rsidR="00D3215D" w:rsidRDefault="00D3215D" w:rsidP="00813702">
      <w:pPr>
        <w:spacing w:after="0"/>
        <w:rPr>
          <w:rFonts w:ascii="Verdana" w:eastAsia="Verdana" w:hAnsi="Verdana" w:cs="Verdana"/>
          <w:lang w:val="es-ES"/>
        </w:rPr>
      </w:pPr>
    </w:p>
    <w:p w14:paraId="4C169775" w14:textId="77777777" w:rsidR="00D3215D" w:rsidRDefault="00D3215D" w:rsidP="00813702">
      <w:pPr>
        <w:spacing w:after="0"/>
        <w:rPr>
          <w:rFonts w:ascii="Verdana" w:eastAsia="Verdana" w:hAnsi="Verdana" w:cs="Verdana"/>
          <w:lang w:val="es-ES"/>
        </w:rPr>
      </w:pPr>
    </w:p>
    <w:p w14:paraId="0C6884D3" w14:textId="77777777" w:rsidR="00D3215D" w:rsidRDefault="00D3215D" w:rsidP="00813702">
      <w:pPr>
        <w:spacing w:after="0"/>
        <w:rPr>
          <w:rFonts w:ascii="Verdana" w:eastAsia="Verdana" w:hAnsi="Verdana" w:cs="Verdana"/>
          <w:lang w:val="es-ES"/>
        </w:rPr>
      </w:pPr>
    </w:p>
    <w:p w14:paraId="72BE4771" w14:textId="77777777" w:rsidR="00D3215D" w:rsidRDefault="00D3215D" w:rsidP="00813702">
      <w:pPr>
        <w:spacing w:after="0"/>
        <w:rPr>
          <w:rFonts w:ascii="Verdana" w:eastAsia="Verdana" w:hAnsi="Verdana" w:cs="Verdana"/>
          <w:lang w:val="es-ES"/>
        </w:rPr>
      </w:pPr>
    </w:p>
    <w:p w14:paraId="6E642243" w14:textId="77777777" w:rsidR="00D3215D" w:rsidRDefault="00D3215D" w:rsidP="00813702">
      <w:pPr>
        <w:spacing w:after="0"/>
        <w:rPr>
          <w:rFonts w:ascii="Verdana" w:eastAsia="Verdana" w:hAnsi="Verdana" w:cs="Verdana"/>
          <w:lang w:val="es-ES"/>
        </w:rPr>
      </w:pPr>
    </w:p>
    <w:p w14:paraId="5225C350" w14:textId="77777777" w:rsidR="00D3215D" w:rsidRDefault="00D3215D" w:rsidP="00813702">
      <w:pPr>
        <w:spacing w:after="0"/>
        <w:rPr>
          <w:rFonts w:ascii="Verdana" w:eastAsia="Verdana" w:hAnsi="Verdana" w:cs="Verdana"/>
          <w:lang w:val="es-ES"/>
        </w:rPr>
      </w:pPr>
    </w:p>
    <w:p w14:paraId="02E94DD3" w14:textId="77777777" w:rsidR="00D3215D" w:rsidRDefault="00D3215D" w:rsidP="00813702">
      <w:pPr>
        <w:spacing w:after="0"/>
        <w:rPr>
          <w:rFonts w:ascii="Verdana" w:eastAsia="Verdana" w:hAnsi="Verdana" w:cs="Verdana"/>
          <w:lang w:val="es-ES"/>
        </w:rPr>
      </w:pPr>
    </w:p>
    <w:p w14:paraId="06F0F317" w14:textId="77777777" w:rsidR="00D3215D" w:rsidRDefault="00D3215D" w:rsidP="00813702">
      <w:pPr>
        <w:spacing w:after="0"/>
        <w:rPr>
          <w:rFonts w:ascii="Verdana" w:eastAsia="Verdana" w:hAnsi="Verdana" w:cs="Verdana"/>
          <w:lang w:val="es-ES"/>
        </w:rPr>
      </w:pPr>
    </w:p>
    <w:p w14:paraId="7A7129C9" w14:textId="77777777" w:rsidR="00D3215D" w:rsidRDefault="00D3215D" w:rsidP="00813702">
      <w:pPr>
        <w:spacing w:after="0"/>
        <w:rPr>
          <w:rFonts w:ascii="Verdana" w:eastAsia="Verdana" w:hAnsi="Verdana" w:cs="Verdana"/>
          <w:lang w:val="es-ES"/>
        </w:rPr>
      </w:pPr>
    </w:p>
    <w:p w14:paraId="2743BBC3" w14:textId="77777777" w:rsidR="00D3215D" w:rsidRDefault="00D3215D" w:rsidP="00813702">
      <w:pPr>
        <w:spacing w:after="0"/>
        <w:rPr>
          <w:rFonts w:ascii="Verdana" w:eastAsia="Verdana" w:hAnsi="Verdana" w:cs="Verdana"/>
          <w:lang w:val="es-ES"/>
        </w:rPr>
      </w:pPr>
    </w:p>
    <w:p w14:paraId="123E630D" w14:textId="77777777" w:rsidR="00D3215D" w:rsidRDefault="00D3215D" w:rsidP="00813702">
      <w:pPr>
        <w:spacing w:after="0"/>
        <w:rPr>
          <w:rFonts w:ascii="Verdana" w:eastAsia="Verdana" w:hAnsi="Verdana" w:cs="Verdana"/>
          <w:lang w:val="es-ES"/>
        </w:rPr>
      </w:pPr>
    </w:p>
    <w:p w14:paraId="5ADE420B" w14:textId="77777777" w:rsidR="00D3215D" w:rsidRPr="00D3215D" w:rsidRDefault="00D3215D" w:rsidP="00813702">
      <w:pPr>
        <w:spacing w:after="0"/>
        <w:rPr>
          <w:rFonts w:ascii="Verdana" w:eastAsia="Verdana" w:hAnsi="Verdana" w:cs="Verdana"/>
          <w:lang w:val="es-ES"/>
        </w:rPr>
      </w:pPr>
    </w:p>
    <w:p w14:paraId="3BCD3808" w14:textId="5D468AFC" w:rsidR="00D3215D" w:rsidRDefault="00C15139" w:rsidP="00813702">
      <w:pPr>
        <w:spacing w:after="0"/>
        <w:rPr>
          <w:rFonts w:ascii="Verdana" w:eastAsia="Verdana" w:hAnsi="Verdana" w:cs="Verdana"/>
        </w:rPr>
      </w:pPr>
      <w:r w:rsidRPr="30821638">
        <w:rPr>
          <w:rFonts w:ascii="Verdana" w:eastAsia="Verdana" w:hAnsi="Verdana" w:cs="Verdana"/>
        </w:rPr>
        <w:t xml:space="preserve">Bogotá D.C., </w:t>
      </w:r>
      <w:r w:rsidR="00D3215D">
        <w:rPr>
          <w:rFonts w:ascii="Verdana" w:eastAsia="Verdana" w:hAnsi="Verdana" w:cs="Verdana"/>
        </w:rPr>
        <w:t xml:space="preserve">26 </w:t>
      </w:r>
      <w:proofErr w:type="gramStart"/>
      <w:r w:rsidR="00D3215D">
        <w:rPr>
          <w:rFonts w:ascii="Verdana" w:eastAsia="Verdana" w:hAnsi="Verdana" w:cs="Verdana"/>
        </w:rPr>
        <w:t>Mayo</w:t>
      </w:r>
      <w:proofErr w:type="gramEnd"/>
      <w:r w:rsidR="00D3215D">
        <w:rPr>
          <w:rFonts w:ascii="Verdana" w:eastAsia="Verdana" w:hAnsi="Verdana" w:cs="Verdana"/>
        </w:rPr>
        <w:t xml:space="preserve"> 2026</w:t>
      </w:r>
    </w:p>
    <w:p w14:paraId="165A8951" w14:textId="7F35B27A" w:rsidR="00813702" w:rsidRDefault="00D3215D" w:rsidP="00D3215D">
      <w:pPr>
        <w:spacing w:after="0"/>
        <w:jc w:val="right"/>
      </w:pPr>
      <w:r w:rsidRPr="00D3215D">
        <w:drawing>
          <wp:inline distT="0" distB="0" distL="0" distR="0" wp14:anchorId="4A0CFB84" wp14:editId="2310CC32">
            <wp:extent cx="1596336" cy="353419"/>
            <wp:effectExtent l="0" t="0" r="4445" b="8890"/>
            <wp:docPr id="2063806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80661" name=""/>
                    <pic:cNvPicPr/>
                  </pic:nvPicPr>
                  <pic:blipFill>
                    <a:blip r:embed="rId10"/>
                    <a:stretch>
                      <a:fillRect/>
                    </a:stretch>
                  </pic:blipFill>
                  <pic:spPr>
                    <a:xfrm>
                      <a:off x="0" y="0"/>
                      <a:ext cx="1629044" cy="360660"/>
                    </a:xfrm>
                    <a:prstGeom prst="rect">
                      <a:avLst/>
                    </a:prstGeom>
                  </pic:spPr>
                </pic:pic>
              </a:graphicData>
            </a:graphic>
          </wp:inline>
        </w:drawing>
      </w:r>
      <w:r w:rsidR="00C15139">
        <w:tab/>
      </w:r>
    </w:p>
    <w:p w14:paraId="636CAB2C" w14:textId="0348AE7C" w:rsidR="00813702" w:rsidRPr="0024624F" w:rsidRDefault="00813702" w:rsidP="00813702">
      <w:pPr>
        <w:spacing w:after="0"/>
        <w:rPr>
          <w:rFonts w:ascii="Verdana" w:eastAsia="Verdana" w:hAnsi="Verdana" w:cs="Verdana"/>
        </w:rPr>
      </w:pPr>
      <w:r>
        <w:tab/>
      </w:r>
    </w:p>
    <w:p w14:paraId="5AEFAE7E" w14:textId="77777777" w:rsidR="00813702" w:rsidRDefault="00813702" w:rsidP="00813702">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w:t>
      </w:r>
    </w:p>
    <w:p w14:paraId="38060D1D" w14:textId="77777777" w:rsidR="00813702" w:rsidRDefault="00813702" w:rsidP="00813702">
      <w:pPr>
        <w:spacing w:after="0" w:line="240" w:lineRule="auto"/>
        <w:jc w:val="both"/>
        <w:rPr>
          <w:rFonts w:ascii="Verdana" w:eastAsia="Calibri" w:hAnsi="Verdana" w:cs="Arial"/>
          <w:b/>
          <w:bCs/>
          <w:lang w:eastAsia="es-ES"/>
        </w:rPr>
      </w:pPr>
      <w:r w:rsidRPr="00690072">
        <w:rPr>
          <w:rFonts w:ascii="Verdana" w:eastAsia="Calibri" w:hAnsi="Verdana" w:cs="Arial"/>
          <w:b/>
          <w:bCs/>
          <w:lang w:eastAsia="es-ES"/>
        </w:rPr>
        <w:t>Julio Roberto Machado Cepeda</w:t>
      </w:r>
    </w:p>
    <w:p w14:paraId="5B31D63E" w14:textId="77777777" w:rsidR="00813702" w:rsidRPr="00690072" w:rsidRDefault="00813702" w:rsidP="00813702">
      <w:pPr>
        <w:spacing w:after="0" w:line="240" w:lineRule="auto"/>
        <w:jc w:val="both"/>
        <w:rPr>
          <w:rFonts w:ascii="Verdana" w:eastAsia="Calibri" w:hAnsi="Verdana" w:cs="Arial"/>
          <w:lang w:eastAsia="es-ES"/>
        </w:rPr>
      </w:pPr>
      <w:r w:rsidRPr="00690072">
        <w:rPr>
          <w:rFonts w:ascii="Verdana" w:eastAsia="Calibri" w:hAnsi="Verdana" w:cs="Arial"/>
          <w:lang w:eastAsia="es-ES"/>
        </w:rPr>
        <w:t>Alcalde encargado</w:t>
      </w:r>
      <w:r>
        <w:rPr>
          <w:rFonts w:ascii="Verdana" w:eastAsia="Calibri" w:hAnsi="Verdana" w:cs="Arial"/>
          <w:lang w:eastAsia="es-ES"/>
        </w:rPr>
        <w:t xml:space="preserve"> </w:t>
      </w:r>
      <w:r w:rsidRPr="00690072">
        <w:rPr>
          <w:rFonts w:ascii="Verdana" w:eastAsia="Calibri" w:hAnsi="Verdana" w:cs="Arial"/>
          <w:lang w:eastAsia="es-ES"/>
        </w:rPr>
        <w:t>del Municipio de Tena - Cundinamarca</w:t>
      </w:r>
    </w:p>
    <w:p w14:paraId="21F4F805" w14:textId="77777777" w:rsidR="00813702" w:rsidRPr="00690072" w:rsidRDefault="00813702" w:rsidP="00813702">
      <w:pPr>
        <w:spacing w:after="0" w:line="240" w:lineRule="auto"/>
        <w:jc w:val="both"/>
        <w:rPr>
          <w:rFonts w:ascii="Verdana" w:hAnsi="Verdana"/>
          <w:b/>
          <w:bCs/>
        </w:rPr>
      </w:pPr>
      <w:hyperlink r:id="rId11" w:history="1">
        <w:r w:rsidRPr="00690072">
          <w:rPr>
            <w:rStyle w:val="Hipervnculo"/>
            <w:rFonts w:ascii="Verdana" w:hAnsi="Verdana"/>
            <w:b/>
            <w:bCs/>
          </w:rPr>
          <w:t>alcaldia@tena-cundinamarca.gov.co</w:t>
        </w:r>
      </w:hyperlink>
    </w:p>
    <w:p w14:paraId="4DDB9615" w14:textId="77777777" w:rsidR="00813702" w:rsidRPr="00690072" w:rsidRDefault="00813702" w:rsidP="00813702">
      <w:pPr>
        <w:spacing w:after="0" w:line="240" w:lineRule="auto"/>
        <w:jc w:val="both"/>
        <w:rPr>
          <w:rFonts w:ascii="Verdana" w:eastAsia="Calibri" w:hAnsi="Verdana" w:cs="Arial"/>
          <w:lang w:eastAsia="es-ES"/>
        </w:rPr>
      </w:pPr>
      <w:r w:rsidRPr="00690072">
        <w:rPr>
          <w:rFonts w:ascii="Verdana" w:eastAsia="Calibri" w:hAnsi="Verdana" w:cs="Arial"/>
          <w:lang w:eastAsia="es-ES"/>
        </w:rPr>
        <w:t>Tena – Cundinamarca</w:t>
      </w:r>
    </w:p>
    <w:p w14:paraId="7C197B4B" w14:textId="77777777" w:rsidR="00813702" w:rsidRPr="007F2AEC" w:rsidRDefault="00813702" w:rsidP="00813702">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5103"/>
      </w:tblGrid>
      <w:tr w:rsidR="00813702" w:rsidRPr="005644FE" w14:paraId="0BAFE9BB" w14:textId="77777777" w:rsidTr="00CD385A">
        <w:trPr>
          <w:trHeight w:val="162"/>
        </w:trPr>
        <w:tc>
          <w:tcPr>
            <w:tcW w:w="3686" w:type="dxa"/>
          </w:tcPr>
          <w:p w14:paraId="789BDA03" w14:textId="77777777" w:rsidR="00813702" w:rsidRPr="007F2AEC" w:rsidRDefault="00813702" w:rsidP="00F0268C">
            <w:pPr>
              <w:jc w:val="both"/>
              <w:rPr>
                <w:rFonts w:ascii="Verdana" w:eastAsia="Calibri" w:hAnsi="Verdana" w:cs="Arial"/>
                <w:b/>
                <w:bCs/>
                <w:color w:val="7030A0"/>
                <w:lang w:eastAsia="es-ES_tradnl"/>
              </w:rPr>
            </w:pPr>
          </w:p>
        </w:tc>
        <w:tc>
          <w:tcPr>
            <w:tcW w:w="5103" w:type="dxa"/>
          </w:tcPr>
          <w:p w14:paraId="0E07A957" w14:textId="77777777" w:rsidR="00813702" w:rsidRPr="005644FE" w:rsidRDefault="00813702" w:rsidP="00F0268C">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722 de 2026</w:t>
            </w:r>
          </w:p>
          <w:p w14:paraId="56F83902" w14:textId="77777777" w:rsidR="00813702" w:rsidRPr="005644FE" w:rsidRDefault="00813702" w:rsidP="00F0268C">
            <w:pPr>
              <w:jc w:val="both"/>
              <w:rPr>
                <w:rFonts w:ascii="Verdana" w:eastAsia="Calibri" w:hAnsi="Verdana" w:cs="Arial"/>
                <w:b/>
                <w:bCs/>
                <w:color w:val="7030A0"/>
                <w:lang w:eastAsia="es-ES"/>
              </w:rPr>
            </w:pPr>
          </w:p>
        </w:tc>
      </w:tr>
      <w:tr w:rsidR="00813702" w:rsidRPr="005644FE" w14:paraId="23A2A78F" w14:textId="77777777" w:rsidTr="00CD385A">
        <w:trPr>
          <w:trHeight w:val="884"/>
        </w:trPr>
        <w:tc>
          <w:tcPr>
            <w:tcW w:w="3686" w:type="dxa"/>
          </w:tcPr>
          <w:p w14:paraId="76A662E7" w14:textId="77777777" w:rsidR="00813702" w:rsidRPr="005644FE" w:rsidRDefault="00813702" w:rsidP="00F0268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103" w:type="dxa"/>
          </w:tcPr>
          <w:p w14:paraId="13A29FDC" w14:textId="77777777" w:rsidR="00813702" w:rsidRDefault="00813702" w:rsidP="00813702">
            <w:pPr>
              <w:spacing w:line="276" w:lineRule="auto"/>
              <w:jc w:val="both"/>
              <w:rPr>
                <w:rFonts w:ascii="Verdana" w:hAnsi="Verdana" w:cs="Arial"/>
                <w:bCs/>
                <w:lang w:val="es-ES" w:eastAsia="es-ES"/>
              </w:rPr>
            </w:pPr>
            <w:r w:rsidRPr="00482020">
              <w:rPr>
                <w:rFonts w:ascii="Verdana" w:hAnsi="Verdana" w:cs="Arial"/>
                <w:lang w:val="es-ES" w:eastAsia="es-ES"/>
              </w:rPr>
              <w:t>RÉGIMEN EXCEPCIONAL – Justificación – Criterios de clasificación / EMPRESAS DE SERVICIOS PÚBLICOS – Naturaleza – régimen especial / EMPRESAS DE SERVICIOS PÚBLICOS – Mixtas – Privadas con participación estatal – Entidades descentralizadas por servicios – Sentencia C-</w:t>
            </w:r>
            <w:r>
              <w:rPr>
                <w:rFonts w:ascii="Verdana" w:hAnsi="Verdana" w:cs="Arial"/>
                <w:lang w:val="es-ES" w:eastAsia="es-ES"/>
              </w:rPr>
              <w:t>736</w:t>
            </w:r>
            <w:r w:rsidRPr="00482020">
              <w:rPr>
                <w:rFonts w:ascii="Verdana" w:hAnsi="Verdana" w:cs="Arial"/>
                <w:lang w:val="es-ES" w:eastAsia="es-ES"/>
              </w:rPr>
              <w:t xml:space="preserve"> de 2007 / EMPRESAS PRIVADAS DE SERVICIOS PÚBLICOS – Capital – 100% privadas – Naturaleza </w:t>
            </w:r>
            <w:r w:rsidRPr="00AC39B6">
              <w:rPr>
                <w:rFonts w:ascii="Verdana" w:hAnsi="Verdana" w:cs="Arial"/>
                <w:lang w:val="es-ES" w:eastAsia="es-ES"/>
              </w:rPr>
              <w:t xml:space="preserve">/ </w:t>
            </w: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SERVICIOS PÚBLICOS DOMICILIARIOS – Subsidios – Estado Social de Derecho / SUBSIDIOS – Ley 142 de 2994 – Contratos y Convenios – Financiación de Subsidios / LEY DE GARANTÍAS ELECTORALES – Restricciones – Artículo 38 – Artículo 33 / LEY DE GARANTÍAS ELECTORALES – Restricciones –Superintendencia de Servicios Públicos Domiciliarios / LEY DE GARANTÍAS ELECTORALES – Posturas del Consejo de Estado / LEY DE GARANTIAS – Restricciones-Celebración de Contratos y Convenios – Transferencia de recursos </w:t>
            </w:r>
          </w:p>
          <w:p w14:paraId="280003E8" w14:textId="65C7A5AA" w:rsidR="00813702" w:rsidRPr="00813702" w:rsidRDefault="00813702" w:rsidP="00813702">
            <w:pPr>
              <w:spacing w:line="276" w:lineRule="auto"/>
              <w:jc w:val="both"/>
              <w:rPr>
                <w:rFonts w:ascii="Verdana" w:hAnsi="Verdana" w:cs="Arial"/>
                <w:bCs/>
                <w:lang w:val="es-ES" w:eastAsia="es-ES"/>
              </w:rPr>
            </w:pPr>
          </w:p>
        </w:tc>
      </w:tr>
      <w:tr w:rsidR="00813702" w:rsidRPr="005644FE" w14:paraId="0D734882" w14:textId="77777777" w:rsidTr="00CD385A">
        <w:tc>
          <w:tcPr>
            <w:tcW w:w="3686" w:type="dxa"/>
          </w:tcPr>
          <w:p w14:paraId="3202EF58" w14:textId="77777777" w:rsidR="00813702" w:rsidRPr="005644FE" w:rsidRDefault="00813702" w:rsidP="00F0268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103" w:type="dxa"/>
          </w:tcPr>
          <w:p w14:paraId="35A4C701" w14:textId="77777777" w:rsidR="00813702" w:rsidRPr="00F04657" w:rsidRDefault="00813702" w:rsidP="00F0268C">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690072">
              <w:rPr>
                <w:rFonts w:ascii="Verdana" w:eastAsia="Calibri" w:hAnsi="Verdana" w:cs="Arial"/>
                <w:lang w:eastAsia="es-ES"/>
              </w:rPr>
              <w:t>1_2026_04_30_005912</w:t>
            </w:r>
          </w:p>
        </w:tc>
      </w:tr>
    </w:tbl>
    <w:p w14:paraId="1AB16039" w14:textId="77777777" w:rsidR="00813702" w:rsidRPr="005644FE" w:rsidRDefault="00813702" w:rsidP="00813702">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21C518A4" w14:textId="77777777" w:rsidR="00813702" w:rsidRDefault="00813702" w:rsidP="00813702">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Machado: </w:t>
      </w:r>
    </w:p>
    <w:p w14:paraId="4FB87E66" w14:textId="77777777" w:rsidR="00CD385A" w:rsidRPr="005644FE" w:rsidRDefault="00CD385A" w:rsidP="00813702">
      <w:pPr>
        <w:spacing w:after="0" w:line="276" w:lineRule="auto"/>
        <w:jc w:val="both"/>
        <w:rPr>
          <w:rFonts w:ascii="Verdana" w:eastAsia="Calibri" w:hAnsi="Verdana" w:cs="Arial"/>
          <w:lang w:eastAsia="es-ES"/>
        </w:rPr>
      </w:pPr>
    </w:p>
    <w:p w14:paraId="709856DD" w14:textId="77777777" w:rsidR="00813702" w:rsidRPr="0084712D" w:rsidRDefault="00813702" w:rsidP="00813702">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la solicitud de consulta</w:t>
      </w:r>
      <w:r>
        <w:rPr>
          <w:rFonts w:ascii="Verdana" w:hAnsi="Verdana"/>
        </w:rPr>
        <w:t xml:space="preserve"> previamente trasladada por parte del Departamento Administrativo de Función Pública mediante radicado </w:t>
      </w:r>
      <w:r w:rsidRPr="00690072">
        <w:rPr>
          <w:rFonts w:ascii="Verdana" w:hAnsi="Verdana"/>
        </w:rPr>
        <w:t xml:space="preserve">20266000146941 </w:t>
      </w:r>
      <w:r w:rsidRPr="0084712D">
        <w:rPr>
          <w:rFonts w:ascii="Verdana" w:hAnsi="Verdana"/>
        </w:rPr>
        <w:t xml:space="preserve">de fecha </w:t>
      </w:r>
      <w:r>
        <w:rPr>
          <w:rFonts w:ascii="Verdana" w:hAnsi="Verdana"/>
        </w:rPr>
        <w:t>20</w:t>
      </w:r>
      <w:r w:rsidRPr="0084712D">
        <w:rPr>
          <w:rFonts w:ascii="Verdana" w:hAnsi="Verdana"/>
        </w:rPr>
        <w:t xml:space="preserve"> de abril de 2026,</w:t>
      </w:r>
      <w:r>
        <w:rPr>
          <w:rFonts w:ascii="Verdana" w:hAnsi="Verdana"/>
        </w:rPr>
        <w:t xml:space="preserve"> y allegada a esta entidad el 30 de abril de 2026,</w:t>
      </w:r>
      <w:r w:rsidRPr="0084712D">
        <w:rPr>
          <w:rFonts w:ascii="Verdana" w:hAnsi="Verdana"/>
        </w:rPr>
        <w:t xml:space="preserve"> en la cual</w:t>
      </w:r>
      <w:r>
        <w:rPr>
          <w:rFonts w:ascii="Verdana" w:hAnsi="Verdana"/>
        </w:rPr>
        <w:t xml:space="preserve"> </w:t>
      </w:r>
      <w:r w:rsidRPr="0084712D">
        <w:rPr>
          <w:rFonts w:ascii="Verdana" w:hAnsi="Verdana"/>
        </w:rPr>
        <w:t>manifiesta lo siguiente:</w:t>
      </w:r>
    </w:p>
    <w:p w14:paraId="1F495B84" w14:textId="77777777" w:rsidR="00813702" w:rsidRDefault="00813702" w:rsidP="00813702">
      <w:pPr>
        <w:spacing w:after="0" w:line="240" w:lineRule="auto"/>
        <w:jc w:val="both"/>
        <w:rPr>
          <w:rFonts w:ascii="Verdana" w:hAnsi="Verdana"/>
        </w:rPr>
      </w:pPr>
    </w:p>
    <w:p w14:paraId="5C489AE9" w14:textId="77777777" w:rsidR="00813702" w:rsidRPr="002D339E" w:rsidRDefault="00813702" w:rsidP="00813702">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686BD32E" w14:textId="77777777" w:rsidR="00813702" w:rsidRDefault="00813702" w:rsidP="00813702">
      <w:pPr>
        <w:spacing w:after="0" w:line="240" w:lineRule="auto"/>
        <w:ind w:left="709" w:right="709"/>
        <w:jc w:val="both"/>
        <w:rPr>
          <w:rFonts w:ascii="Verdana" w:hAnsi="Verdana"/>
          <w:sz w:val="20"/>
          <w:szCs w:val="20"/>
        </w:rPr>
      </w:pPr>
      <w:r>
        <w:rPr>
          <w:rFonts w:ascii="Verdana" w:hAnsi="Verdana"/>
          <w:sz w:val="20"/>
          <w:szCs w:val="20"/>
        </w:rPr>
        <w:t xml:space="preserve">“(…) En el marco de la ejecución del presupuesto de subsidios para los servicios públicos domiciliarios de acueductos y alcantarillado, financiados a través del Fondo de Solidaridad y Redistribución de Ingresos (FSRI) establecido en el artículo 89 de la Ley 142 de 1994, surge la necesidad de establecer si se puede llevar a cabo contratos de transferencias de recursos, convenios o contrato interadministrativo de transferencia de dichos recursos, que se suscriben entre las entidad territorial “Municipio” y la Empresa de Servicios Públicos o acueductos veredales, los cuales, se encuentran restringidas o prohibida durante los periodos de aplicación de la ley 996 de 2005 – Ley de Garantías Electorales. </w:t>
      </w:r>
    </w:p>
    <w:p w14:paraId="0B917331" w14:textId="77777777" w:rsidR="00813702" w:rsidRDefault="00813702" w:rsidP="00813702">
      <w:pPr>
        <w:spacing w:after="0" w:line="240" w:lineRule="auto"/>
        <w:ind w:left="709" w:right="709"/>
        <w:jc w:val="both"/>
        <w:rPr>
          <w:rFonts w:ascii="Verdana" w:hAnsi="Verdana"/>
          <w:sz w:val="20"/>
          <w:szCs w:val="20"/>
        </w:rPr>
      </w:pPr>
    </w:p>
    <w:p w14:paraId="65FCCC5B" w14:textId="77777777" w:rsidR="00813702" w:rsidRDefault="00813702" w:rsidP="00813702">
      <w:pPr>
        <w:spacing w:after="0" w:line="240" w:lineRule="auto"/>
        <w:ind w:left="709" w:right="709"/>
        <w:jc w:val="both"/>
        <w:rPr>
          <w:rFonts w:ascii="Verdana" w:hAnsi="Verdana"/>
          <w:sz w:val="20"/>
          <w:szCs w:val="20"/>
        </w:rPr>
      </w:pPr>
      <w:r w:rsidRPr="00690072">
        <w:rPr>
          <w:rFonts w:ascii="Verdana" w:hAnsi="Verdana"/>
          <w:sz w:val="20"/>
          <w:szCs w:val="20"/>
        </w:rPr>
        <w:t>En consecuencia, respetuosamente solicito concepto sobre los siguientes puntos:</w:t>
      </w:r>
    </w:p>
    <w:p w14:paraId="2E38A9AF" w14:textId="77777777" w:rsidR="00813702" w:rsidRPr="00690072" w:rsidRDefault="00813702" w:rsidP="00813702">
      <w:pPr>
        <w:spacing w:after="0" w:line="240" w:lineRule="auto"/>
        <w:ind w:left="709" w:right="709"/>
        <w:jc w:val="both"/>
        <w:rPr>
          <w:rFonts w:ascii="Verdana" w:hAnsi="Verdana"/>
          <w:sz w:val="20"/>
          <w:szCs w:val="20"/>
        </w:rPr>
      </w:pPr>
    </w:p>
    <w:p w14:paraId="4ED26442" w14:textId="77777777" w:rsidR="00813702" w:rsidRDefault="00813702" w:rsidP="00813702">
      <w:pPr>
        <w:spacing w:after="0" w:line="240" w:lineRule="auto"/>
        <w:ind w:left="709" w:right="709"/>
        <w:jc w:val="both"/>
        <w:rPr>
          <w:rFonts w:ascii="Verdana" w:hAnsi="Verdana"/>
          <w:sz w:val="20"/>
          <w:szCs w:val="20"/>
        </w:rPr>
      </w:pPr>
      <w:r w:rsidRPr="00690072">
        <w:rPr>
          <w:rFonts w:ascii="Verdana" w:hAnsi="Verdana"/>
          <w:sz w:val="20"/>
          <w:szCs w:val="20"/>
        </w:rPr>
        <w:t xml:space="preserve">1. Solicito se precise si los contratos de transferencia de recursos, convenios o contrato interadministrativos de transferencia de recursos, que se suscriben entre la entidad territorial "Municipio" y la Empresa de Servicios Públicos o acueductos veredales para la financiación de subsidios pueden considerarse restringidos o prohibidos dentro del marco de las limitaciones impuestas por la Ley de Garantías Electorales. </w:t>
      </w:r>
    </w:p>
    <w:p w14:paraId="785D0EF7" w14:textId="77777777" w:rsidR="00813702" w:rsidRPr="00690072" w:rsidRDefault="00813702" w:rsidP="00813702">
      <w:pPr>
        <w:spacing w:after="0" w:line="240" w:lineRule="auto"/>
        <w:ind w:left="709" w:right="709"/>
        <w:jc w:val="both"/>
        <w:rPr>
          <w:rFonts w:ascii="Verdana" w:hAnsi="Verdana"/>
          <w:sz w:val="20"/>
          <w:szCs w:val="20"/>
        </w:rPr>
      </w:pPr>
      <w:r w:rsidRPr="00690072">
        <w:rPr>
          <w:rFonts w:ascii="Verdana" w:hAnsi="Verdana"/>
          <w:sz w:val="20"/>
          <w:szCs w:val="20"/>
        </w:rPr>
        <w:t>2. En caso afirmativo, ¿existen excepciones aplicables que permitan la suscripción o continuidad de contratos o convenios de transferencia de recursos durante los períodos de restricción establecidos por la Ley 996 de 2005, especialmente tratándose de un servicio esencial y de prestación continua.?</w:t>
      </w:r>
    </w:p>
    <w:p w14:paraId="25141584" w14:textId="77777777" w:rsidR="00813702" w:rsidRDefault="00813702" w:rsidP="00813702">
      <w:pPr>
        <w:spacing w:after="0" w:line="240" w:lineRule="auto"/>
        <w:ind w:left="709" w:right="709"/>
        <w:jc w:val="both"/>
        <w:rPr>
          <w:rFonts w:ascii="Verdana" w:hAnsi="Verdana"/>
          <w:sz w:val="20"/>
          <w:szCs w:val="20"/>
        </w:rPr>
      </w:pPr>
      <w:r w:rsidRPr="00690072">
        <w:rPr>
          <w:rFonts w:ascii="Verdana" w:hAnsi="Verdana"/>
          <w:sz w:val="20"/>
          <w:szCs w:val="20"/>
        </w:rPr>
        <w:t xml:space="preserve">3. ¿Es viable llevar a cabo dicha transferencia bajo una modalidad o forma jurídica diferente que no quede comprendida dentro de las prohibiciones de la Ley de Garantías? De ser así, ¿cuál sería el procedimiento? </w:t>
      </w:r>
      <w:r>
        <w:rPr>
          <w:rFonts w:ascii="Verdana" w:hAnsi="Verdana"/>
          <w:sz w:val="20"/>
          <w:szCs w:val="20"/>
        </w:rPr>
        <w:t>(…)”.</w:t>
      </w:r>
    </w:p>
    <w:p w14:paraId="0E8A1F21" w14:textId="77777777" w:rsidR="00813702" w:rsidRPr="00647D77" w:rsidRDefault="00813702" w:rsidP="00813702">
      <w:pPr>
        <w:spacing w:after="0" w:line="240" w:lineRule="auto"/>
        <w:ind w:right="709"/>
        <w:jc w:val="both"/>
        <w:rPr>
          <w:rFonts w:ascii="Verdana" w:hAnsi="Verdana"/>
        </w:rPr>
      </w:pPr>
    </w:p>
    <w:p w14:paraId="63D8F4FA" w14:textId="77777777" w:rsidR="00813702" w:rsidRPr="00F64722" w:rsidRDefault="00813702" w:rsidP="00813702">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53AF94F" w14:textId="77777777" w:rsidR="00813702" w:rsidRPr="00BC65C7" w:rsidRDefault="00813702" w:rsidP="00813702">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BC65C7">
        <w:rPr>
          <w:rFonts w:ascii="Verdana" w:eastAsia="Calibri" w:hAnsi="Verdana" w:cs="Arial"/>
          <w:color w:val="000000"/>
          <w:lang w:eastAsia="es-ES"/>
        </w:rPr>
        <w:t>señalando algunas consideraciones sobre las normas generales relacionadas a</w:t>
      </w:r>
      <w:r>
        <w:rPr>
          <w:rFonts w:ascii="Verdana" w:eastAsia="Calibri" w:hAnsi="Verdana" w:cs="Arial"/>
          <w:color w:val="000000"/>
          <w:lang w:eastAsia="es-ES"/>
        </w:rPr>
        <w:t xml:space="preserve"> </w:t>
      </w:r>
      <w:r w:rsidRPr="00BC65C7">
        <w:rPr>
          <w:rFonts w:ascii="Verdana" w:eastAsia="Calibri" w:hAnsi="Verdana" w:cs="Arial"/>
          <w:color w:val="000000"/>
          <w:lang w:eastAsia="es-ES"/>
        </w:rPr>
        <w:t>l</w:t>
      </w:r>
      <w:r>
        <w:rPr>
          <w:rFonts w:ascii="Verdana" w:eastAsia="Calibri" w:hAnsi="Verdana" w:cs="Arial"/>
          <w:color w:val="000000"/>
          <w:lang w:eastAsia="es-ES"/>
        </w:rPr>
        <w:t>os</w:t>
      </w:r>
      <w:r w:rsidRPr="00BC65C7">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C65C7">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BC65C7">
        <w:rPr>
          <w:rFonts w:ascii="Verdana" w:eastAsia="Calibri" w:hAnsi="Verdana" w:cs="Arial"/>
          <w:color w:val="000000"/>
          <w:lang w:eastAsia="es-ES"/>
        </w:rPr>
        <w:t xml:space="preserve"> de su consulta.</w:t>
      </w:r>
      <w:r w:rsidRPr="00BC65C7">
        <w:rPr>
          <w:rFonts w:ascii="Verdana" w:eastAsia="Calibri" w:hAnsi="Verdana" w:cs="Arial"/>
          <w:lang w:eastAsia="es-ES"/>
        </w:rPr>
        <w:t xml:space="preserve">  </w:t>
      </w:r>
    </w:p>
    <w:p w14:paraId="127B010D" w14:textId="77777777" w:rsidR="00813702" w:rsidRPr="00BC65C7" w:rsidRDefault="00813702" w:rsidP="0081370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C65C7">
        <w:rPr>
          <w:rFonts w:ascii="Verdana" w:eastAsia="Century Gothic" w:hAnsi="Verdana" w:cs="Century Gothic"/>
          <w:b/>
          <w:bCs/>
        </w:rPr>
        <w:t>Problema planteado:</w:t>
      </w:r>
    </w:p>
    <w:p w14:paraId="13E40FCA" w14:textId="77777777" w:rsidR="00813702" w:rsidRPr="00DB6A18" w:rsidRDefault="00813702" w:rsidP="00813702">
      <w:pPr>
        <w:spacing w:after="0" w:line="240" w:lineRule="auto"/>
        <w:jc w:val="both"/>
        <w:rPr>
          <w:rFonts w:ascii="Verdana" w:eastAsia="Calibri" w:hAnsi="Verdana" w:cs="Arial"/>
          <w:color w:val="000000"/>
          <w:lang w:eastAsia="es-ES"/>
        </w:rPr>
      </w:pPr>
    </w:p>
    <w:p w14:paraId="2F3E7779" w14:textId="77777777" w:rsidR="00813702" w:rsidRDefault="00813702" w:rsidP="00813702">
      <w:pPr>
        <w:spacing w:after="0" w:line="276" w:lineRule="auto"/>
        <w:jc w:val="both"/>
      </w:pPr>
      <w:r w:rsidRPr="00BC65C7">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w:t>
      </w:r>
      <w:r w:rsidRPr="00BC65C7">
        <w:rPr>
          <w:rFonts w:ascii="Verdana" w:eastAsia="Calibri" w:hAnsi="Verdana" w:cs="Arial"/>
          <w:color w:val="000000"/>
          <w:lang w:eastAsia="es-ES"/>
        </w:rPr>
        <w:t xml:space="preserve"> siguiente</w:t>
      </w:r>
      <w:r>
        <w:rPr>
          <w:rFonts w:ascii="Verdana" w:eastAsia="Calibri" w:hAnsi="Verdana" w:cs="Arial"/>
          <w:color w:val="000000"/>
          <w:lang w:eastAsia="es-ES"/>
        </w:rPr>
        <w:t>s</w:t>
      </w:r>
      <w:r w:rsidRPr="00BC65C7">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C65C7">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BC65C7">
        <w:rPr>
          <w:rFonts w:ascii="Verdana" w:eastAsia="Calibri" w:hAnsi="Verdana" w:cs="Arial"/>
          <w:color w:val="000000"/>
          <w:lang w:eastAsia="es-ES"/>
        </w:rPr>
        <w:t>:</w:t>
      </w:r>
      <w:r>
        <w:rPr>
          <w:rFonts w:ascii="Verdana" w:eastAsia="Calibri" w:hAnsi="Verdana" w:cs="Arial"/>
          <w:color w:val="000000"/>
          <w:lang w:eastAsia="es-ES"/>
        </w:rPr>
        <w:t xml:space="preserve"> i) </w:t>
      </w:r>
      <w:r w:rsidRPr="00890DF7">
        <w:rPr>
          <w:rFonts w:ascii="Verdana" w:eastAsia="Calibri" w:hAnsi="Verdana" w:cs="Times New Roman"/>
          <w:iCs/>
          <w:lang w:val="es-ES"/>
        </w:rPr>
        <w:t>¿</w:t>
      </w:r>
      <w:r w:rsidRPr="005F1A8F">
        <w:rPr>
          <w:rFonts w:ascii="Verdana" w:eastAsia="Calibri" w:hAnsi="Verdana" w:cs="Times New Roman"/>
          <w:iCs/>
          <w:lang w:val="es-ES"/>
        </w:rPr>
        <w:t>Cuáles son los criterios jurídicos relevantes para definir si el instrumento de transfere</w:t>
      </w:r>
      <w:r>
        <w:rPr>
          <w:rFonts w:ascii="Verdana" w:eastAsia="Calibri" w:hAnsi="Verdana" w:cs="Times New Roman"/>
          <w:iCs/>
          <w:lang w:val="es-ES"/>
        </w:rPr>
        <w:t xml:space="preserve">ncia de recursos para subsidios o </w:t>
      </w:r>
      <w:r w:rsidRPr="005F1A8F">
        <w:rPr>
          <w:rFonts w:ascii="Verdana" w:eastAsia="Calibri" w:hAnsi="Verdana" w:cs="Times New Roman"/>
          <w:iCs/>
          <w:lang w:val="es-ES"/>
        </w:rPr>
        <w:t xml:space="preserve">aportes en servicios públicos domiciliarios </w:t>
      </w:r>
      <w:r>
        <w:rPr>
          <w:rFonts w:ascii="Verdana" w:eastAsia="Calibri" w:hAnsi="Verdana" w:cs="Times New Roman"/>
          <w:iCs/>
          <w:lang w:val="es-ES"/>
        </w:rPr>
        <w:t>debe clasificarse como convenio o contrato interadministrativo</w:t>
      </w:r>
      <w:r w:rsidRPr="005F1A8F">
        <w:rPr>
          <w:rFonts w:ascii="Verdana" w:eastAsia="Calibri" w:hAnsi="Verdana" w:cs="Times New Roman"/>
          <w:iCs/>
          <w:lang w:val="es-ES"/>
        </w:rPr>
        <w:t>?</w:t>
      </w:r>
      <w:r>
        <w:rPr>
          <w:rFonts w:ascii="Verdana" w:eastAsia="Calibri" w:hAnsi="Verdana" w:cs="Times New Roman"/>
          <w:iCs/>
          <w:lang w:val="es-ES"/>
        </w:rPr>
        <w:t xml:space="preserve"> </w:t>
      </w:r>
      <w:proofErr w:type="spellStart"/>
      <w:r>
        <w:rPr>
          <w:rFonts w:ascii="Verdana" w:eastAsia="Calibri" w:hAnsi="Verdana" w:cs="Times New Roman"/>
          <w:iCs/>
          <w:lang w:val="es-ES"/>
        </w:rPr>
        <w:t>ii</w:t>
      </w:r>
      <w:proofErr w:type="spellEnd"/>
      <w:r>
        <w:rPr>
          <w:rFonts w:ascii="Verdana" w:eastAsia="Calibri" w:hAnsi="Verdana" w:cs="Times New Roman"/>
          <w:iCs/>
          <w:lang w:val="es-ES"/>
        </w:rPr>
        <w:t xml:space="preserve">) </w:t>
      </w:r>
      <w:r>
        <w:rPr>
          <w:rFonts w:ascii="Verdana" w:hAnsi="Verdana"/>
        </w:rPr>
        <w:t>D</w:t>
      </w:r>
      <w:r w:rsidRPr="005D29E2">
        <w:rPr>
          <w:rFonts w:ascii="Verdana" w:hAnsi="Verdana"/>
        </w:rPr>
        <w:t xml:space="preserve">urante la vigencia de la Ley de Garantías </w:t>
      </w:r>
      <w:r>
        <w:rPr>
          <w:rFonts w:ascii="Verdana" w:hAnsi="Verdana"/>
        </w:rPr>
        <w:t xml:space="preserve">Electorales ¿es procedente celebrar por parte de una entidad territorial un convenio o contrato </w:t>
      </w:r>
      <w:r w:rsidRPr="005D29E2">
        <w:rPr>
          <w:rFonts w:ascii="Verdana" w:hAnsi="Verdana"/>
        </w:rPr>
        <w:t xml:space="preserve">interadministrativo para la transferencia de recursos </w:t>
      </w:r>
      <w:r>
        <w:rPr>
          <w:rFonts w:ascii="Verdana" w:hAnsi="Verdana"/>
        </w:rPr>
        <w:t>de subsidios con una empresa de servicios públicos domiciliarios?</w:t>
      </w:r>
    </w:p>
    <w:p w14:paraId="0A7A348D" w14:textId="77777777" w:rsidR="00813702" w:rsidRPr="00C94BB8" w:rsidRDefault="00813702" w:rsidP="00813702">
      <w:pPr>
        <w:spacing w:after="0" w:line="276" w:lineRule="auto"/>
        <w:jc w:val="both"/>
      </w:pPr>
    </w:p>
    <w:p w14:paraId="0D3EC5AA" w14:textId="77777777" w:rsidR="00813702" w:rsidRPr="00C97CA6" w:rsidRDefault="00813702" w:rsidP="00813702">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3C31C654" w14:textId="77777777" w:rsidR="00813702" w:rsidRPr="005644FE" w:rsidRDefault="00813702" w:rsidP="00813702">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13702" w:rsidRPr="005644FE" w14:paraId="0E000BF0" w14:textId="77777777" w:rsidTr="00F0268C">
        <w:tc>
          <w:tcPr>
            <w:tcW w:w="8828" w:type="dxa"/>
          </w:tcPr>
          <w:p w14:paraId="5C924780" w14:textId="77777777" w:rsidR="00813702" w:rsidRDefault="00813702" w:rsidP="00F0268C">
            <w:pPr>
              <w:spacing w:after="120" w:line="276" w:lineRule="auto"/>
              <w:jc w:val="both"/>
              <w:rPr>
                <w:rFonts w:ascii="Verdana" w:hAnsi="Verdana"/>
              </w:rPr>
            </w:pPr>
            <w:r>
              <w:rPr>
                <w:rFonts w:ascii="Verdana" w:hAnsi="Verdana" w:cs="Arial"/>
                <w:lang w:val="es-ES" w:eastAsia="es-ES"/>
              </w:rPr>
              <w:t>i)</w:t>
            </w:r>
            <w:r w:rsidRPr="003C5FD9">
              <w:rPr>
                <w:rFonts w:ascii="Verdana" w:hAnsi="Verdana"/>
              </w:rPr>
              <w:t xml:space="preserve"> </w:t>
            </w:r>
            <w:r>
              <w:rPr>
                <w:rFonts w:ascii="Verdana" w:hAnsi="Verdana"/>
              </w:rPr>
              <w:t xml:space="preserve">De acuerdo con el primer problema jurídico, se destaca que </w:t>
            </w:r>
            <w:r w:rsidRPr="003C5FD9">
              <w:rPr>
                <w:rFonts w:ascii="Verdana" w:hAnsi="Verdana"/>
              </w:rPr>
              <w:t xml:space="preserve">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72CDE22C" w14:textId="77777777" w:rsidR="00813702" w:rsidRDefault="00813702" w:rsidP="00F0268C">
            <w:pPr>
              <w:spacing w:after="120" w:line="276" w:lineRule="auto"/>
              <w:ind w:firstLine="709"/>
              <w:jc w:val="both"/>
              <w:rPr>
                <w:rFonts w:ascii="Verdana" w:hAnsi="Verdana"/>
              </w:rPr>
            </w:pPr>
            <w:r>
              <w:rPr>
                <w:rFonts w:ascii="Verdana" w:hAnsi="Verdana"/>
              </w:rPr>
              <w:t>En este escenario, l</w:t>
            </w:r>
            <w:r w:rsidRPr="00055945">
              <w:rPr>
                <w:rFonts w:ascii="Verdana" w:hAnsi="Verdana"/>
              </w:rPr>
              <w:t xml:space="preserve">a </w:t>
            </w:r>
            <w:r>
              <w:rPr>
                <w:rFonts w:ascii="Verdana" w:hAnsi="Verdana"/>
              </w:rPr>
              <w:t>denominación de</w:t>
            </w:r>
            <w:r w:rsidRPr="00055945">
              <w:rPr>
                <w:rFonts w:ascii="Verdana" w:hAnsi="Verdana"/>
              </w:rPr>
              <w:t xml:space="preserve">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xml:space="preserve">, conforme a lo </w:t>
            </w:r>
            <w:r>
              <w:rPr>
                <w:rFonts w:ascii="Verdana" w:hAnsi="Verdana"/>
              </w:rPr>
              <w:t xml:space="preserve">expresado </w:t>
            </w:r>
            <w:r w:rsidRPr="00055945">
              <w:rPr>
                <w:rFonts w:ascii="Verdana" w:hAnsi="Verdana"/>
              </w:rPr>
              <w:t>por la Corte Constitucional en la Sentencia C-736 de 200</w:t>
            </w:r>
            <w:r>
              <w:rPr>
                <w:rFonts w:ascii="Verdana" w:hAnsi="Verdana"/>
              </w:rPr>
              <w:t>7</w:t>
            </w:r>
            <w:r w:rsidRPr="00055945">
              <w:rPr>
                <w:rFonts w:ascii="Verdana" w:hAnsi="Verdana"/>
              </w:rPr>
              <w:t>, lo que les otorga un carácter especial dentro de la estructura administrativa del Estad</w:t>
            </w:r>
            <w:r>
              <w:rPr>
                <w:rFonts w:ascii="Verdana" w:hAnsi="Verdana"/>
              </w:rPr>
              <w:t xml:space="preserve">o. </w:t>
            </w:r>
          </w:p>
          <w:p w14:paraId="5F6AA8AB" w14:textId="77777777" w:rsidR="00813702" w:rsidRDefault="00813702" w:rsidP="00F0268C">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Pr>
                <w:rFonts w:ascii="Verdana" w:hAnsi="Verdana"/>
              </w:rPr>
              <w:t>y</w:t>
            </w:r>
            <w:proofErr w:type="gramEnd"/>
            <w:r>
              <w:rPr>
                <w:rFonts w:ascii="Verdana" w:hAnsi="Verdana"/>
              </w:rPr>
              <w:t xml:space="preserve"> por ende, sus condiciones se encuentran sujetas a la autonomía de la voluntad de las partes que lo suscriben, lo cual debe plasmarse en el texto contractual”. </w:t>
            </w:r>
          </w:p>
          <w:p w14:paraId="19D59D89" w14:textId="77777777" w:rsidR="00813702" w:rsidRDefault="00813702" w:rsidP="00F0268C">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33095C73" w14:textId="77777777" w:rsidR="00813702" w:rsidRDefault="00813702" w:rsidP="00F0268C">
            <w:pPr>
              <w:spacing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idénticas o similares</w:t>
            </w:r>
            <w:r w:rsidRPr="00055945">
              <w:rPr>
                <w:rFonts w:ascii="Verdana" w:hAnsi="Verdana"/>
              </w:rPr>
              <w:t>.</w:t>
            </w:r>
            <w:r>
              <w:rPr>
                <w:rFonts w:ascii="Verdana" w:hAnsi="Verdana"/>
              </w:rPr>
              <w:t xml:space="preserve"> </w:t>
            </w:r>
          </w:p>
          <w:p w14:paraId="092C6CCA" w14:textId="77777777" w:rsidR="00813702" w:rsidRPr="00897CAB" w:rsidRDefault="00813702" w:rsidP="00F0268C">
            <w:pPr>
              <w:ind w:firstLine="709"/>
              <w:jc w:val="both"/>
              <w:rPr>
                <w:rFonts w:ascii="Verdana" w:hAnsi="Verdana"/>
              </w:rPr>
            </w:pPr>
          </w:p>
          <w:p w14:paraId="08564007" w14:textId="77777777" w:rsidR="00813702" w:rsidRPr="00E2397D" w:rsidRDefault="00813702" w:rsidP="00813702">
            <w:pPr>
              <w:spacing w:after="120" w:line="276" w:lineRule="auto"/>
              <w:jc w:val="both"/>
              <w:rPr>
                <w:rFonts w:ascii="Verdana" w:eastAsia="Arial" w:hAnsi="Verdana" w:cs="Arial"/>
                <w:lang w:val="es-ES" w:eastAsia="es-ES" w:bidi="es-ES"/>
              </w:rPr>
            </w:pPr>
            <w:proofErr w:type="spellStart"/>
            <w:r>
              <w:rPr>
                <w:rFonts w:ascii="Verdana" w:hAnsi="Verdana" w:cs="Arial"/>
                <w:lang w:val="es-ES" w:eastAsia="es-ES"/>
              </w:rPr>
              <w:t>ii</w:t>
            </w:r>
            <w:proofErr w:type="spellEnd"/>
            <w:r>
              <w:rPr>
                <w:rFonts w:ascii="Verdana" w:hAnsi="Verdana" w:cs="Arial"/>
                <w:lang w:val="es-ES" w:eastAsia="es-ES"/>
              </w:rPr>
              <w:t xml:space="preserve">. De acuerdo con el segundo problema jurídico, objeto de consulta, se señala que </w:t>
            </w:r>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w:t>
            </w: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FE2FA52" w14:textId="77777777" w:rsidR="00813702" w:rsidRDefault="00813702" w:rsidP="00F0268C">
            <w:pPr>
              <w:spacing w:after="120" w:line="276" w:lineRule="auto"/>
              <w:ind w:firstLine="708"/>
              <w:jc w:val="both"/>
              <w:rPr>
                <w:rFonts w:ascii="Verdana" w:eastAsia="Times New Roman" w:hAnsi="Verdana" w:cs="Times New Roman"/>
                <w:iCs/>
                <w:lang w:val="es-ES" w:eastAsia="es-ES"/>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 xml:space="preserve">aplica, sin perjuicio de las excepciones establecidas </w:t>
            </w:r>
            <w:r w:rsidRPr="00B2403B">
              <w:rPr>
                <w:rFonts w:ascii="Verdana" w:eastAsia="Times New Roman" w:hAnsi="Verdana" w:cs="Arial"/>
                <w:bCs/>
                <w:lang w:val="es-MX" w:eastAsia="x-none"/>
              </w:rPr>
              <w:t>en el inciso final del</w:t>
            </w:r>
            <w:r>
              <w:rPr>
                <w:rFonts w:ascii="Verdana" w:eastAsia="Times New Roman" w:hAnsi="Verdana" w:cs="Arial"/>
                <w:bCs/>
                <w:lang w:val="es-MX" w:eastAsia="x-none"/>
              </w:rPr>
              <w:t xml:space="preserve"> precitado artículo:</w:t>
            </w:r>
            <w:r w:rsidRPr="00B2403B">
              <w:rPr>
                <w:rFonts w:ascii="Verdana" w:eastAsia="Times New Roman" w:hAnsi="Verdana" w:cs="Arial"/>
                <w:bCs/>
                <w:lang w:val="es-MX" w:eastAsia="x-none"/>
              </w:rPr>
              <w:t xml:space="preserv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71AA1B50" w14:textId="77777777" w:rsidR="00813702" w:rsidRPr="000D3291" w:rsidRDefault="00813702" w:rsidP="00F0268C">
            <w:pPr>
              <w:spacing w:after="120" w:line="276" w:lineRule="auto"/>
              <w:ind w:firstLine="709"/>
              <w:jc w:val="both"/>
              <w:rPr>
                <w:rFonts w:ascii="Verdana" w:hAnsi="Verdana"/>
                <w:sz w:val="20"/>
                <w:szCs w:val="20"/>
              </w:rPr>
            </w:pPr>
            <w:r>
              <w:rPr>
                <w:rFonts w:ascii="Verdana" w:eastAsia="Times New Roman" w:hAnsi="Verdana" w:cs="Arial"/>
                <w:bCs/>
                <w:lang w:val="es-MX" w:eastAsia="es-CO"/>
              </w:rPr>
              <w:t xml:space="preserve">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interadministrativo no es aplicable a los contratos interadministrativos, pues son instituciones totalmente diferentes. </w:t>
            </w:r>
          </w:p>
          <w:p w14:paraId="25E6D243" w14:textId="77777777" w:rsidR="00813702" w:rsidRDefault="00813702" w:rsidP="00F0268C">
            <w:pPr>
              <w:spacing w:after="120" w:line="276" w:lineRule="auto"/>
              <w:ind w:firstLine="709"/>
              <w:jc w:val="both"/>
              <w:rPr>
                <w:rFonts w:ascii="Verdana" w:hAnsi="Verdana"/>
                <w:sz w:val="20"/>
                <w:szCs w:val="20"/>
              </w:rPr>
            </w:pPr>
            <w:r>
              <w:rPr>
                <w:rFonts w:ascii="Verdana" w:hAnsi="Verdana"/>
              </w:rPr>
              <w:t xml:space="preserve">Sin perjuicio de lo anterior, Superintendencia de Servicios Públicos en varios conceptos - </w:t>
            </w:r>
            <w:r w:rsidRPr="005D4BFC">
              <w:rPr>
                <w:rFonts w:ascii="Verdana" w:hAnsi="Verdana"/>
              </w:rPr>
              <w:t>C-086 de 2022 y C-194 de 2022</w:t>
            </w:r>
            <w:r>
              <w:rPr>
                <w:rFonts w:ascii="Verdana" w:hAnsi="Verdana"/>
              </w:rPr>
              <w:t>-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Dicho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hAnsi="Verdana"/>
                <w:sz w:val="20"/>
                <w:szCs w:val="20"/>
              </w:rPr>
              <w:t xml:space="preserve">. </w:t>
            </w:r>
            <w:r>
              <w:rPr>
                <w:rFonts w:ascii="Verdana" w:eastAsia="Calibri" w:hAnsi="Verdana" w:cs="Times New Roman"/>
                <w:iCs/>
              </w:rPr>
              <w:t xml:space="preserve">Dicha </w:t>
            </w:r>
            <w:r w:rsidRPr="00B2403B">
              <w:rPr>
                <w:rFonts w:ascii="Verdana" w:eastAsia="Calibri" w:hAnsi="Verdana" w:cs="Times New Roman"/>
                <w:iCs/>
              </w:rPr>
              <w:t xml:space="preserve">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231D141B" w14:textId="77777777" w:rsidR="00813702" w:rsidRDefault="00813702" w:rsidP="00F0268C">
            <w:pPr>
              <w:spacing w:after="120" w:line="276" w:lineRule="auto"/>
              <w:ind w:firstLine="709"/>
              <w:jc w:val="both"/>
              <w:rPr>
                <w:rFonts w:ascii="Verdana" w:eastAsia="Times New Roman" w:hAnsi="Verdana" w:cs="Arial"/>
                <w:bCs/>
                <w:lang w:val="es-ES" w:eastAsia="es-CO"/>
              </w:rPr>
            </w:pPr>
            <w:r w:rsidRPr="0046286C">
              <w:rPr>
                <w:rFonts w:ascii="Verdana" w:eastAsiaTheme="minorEastAsia" w:hAnsi="Verdana" w:cs="Arial"/>
                <w:lang w:eastAsia="es-CO"/>
              </w:rPr>
              <w:t xml:space="preserve">Bajo ese escenario, </w:t>
            </w:r>
            <w:r w:rsidRPr="0046286C">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46286C">
              <w:rPr>
                <w:rStyle w:val="Refdenotaalpie"/>
                <w:rFonts w:ascii="Verdana" w:eastAsia="Arial" w:hAnsi="Verdana" w:cs="Arial"/>
                <w:lang w:val="es-ES" w:eastAsia="es-ES" w:bidi="es-ES"/>
              </w:rPr>
              <w:t xml:space="preserve"> </w:t>
            </w:r>
            <w:r w:rsidRPr="0046286C">
              <w:rPr>
                <w:rFonts w:ascii="Verdana" w:hAnsi="Verdana"/>
              </w:rPr>
              <w:t>en Concepto con Radicado 1736</w:t>
            </w:r>
            <w:r w:rsidRPr="0046286C">
              <w:rPr>
                <w:rFonts w:ascii="Verdana" w:eastAsia="Arial" w:hAnsi="Verdana" w:cs="Arial"/>
                <w:lang w:val="es-ES" w:eastAsia="es-ES" w:bidi="es-ES"/>
              </w:rPr>
              <w:t>,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46286C">
              <w:rPr>
                <w:rFonts w:ascii="Verdana" w:eastAsia="Times New Roman" w:hAnsi="Verdana" w:cs="Arial"/>
                <w:bCs/>
                <w:lang w:val="es-ES" w:eastAsia="es-CO"/>
              </w:rPr>
              <w:t xml:space="preserve"> </w:t>
            </w:r>
          </w:p>
          <w:p w14:paraId="2D991964" w14:textId="77777777" w:rsidR="00813702" w:rsidRPr="0046286C" w:rsidRDefault="00813702" w:rsidP="00F0268C">
            <w:pPr>
              <w:spacing w:after="120" w:line="276" w:lineRule="auto"/>
              <w:ind w:firstLine="709"/>
              <w:jc w:val="both"/>
              <w:rPr>
                <w:rFonts w:ascii="Verdana" w:eastAsia="Calibri" w:hAnsi="Verdana" w:cs="Arial"/>
                <w:sz w:val="20"/>
                <w:szCs w:val="20"/>
              </w:rPr>
            </w:pPr>
            <w:r>
              <w:rPr>
                <w:rFonts w:ascii="Verdana" w:eastAsia="Times New Roman" w:hAnsi="Verdana" w:cs="Arial"/>
                <w:bCs/>
                <w:lang w:val="es-ES" w:eastAsia="es-CO"/>
              </w:rPr>
              <w:t>En este contexto, 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que están vinculados a la garantía de derechos fundamentales.</w:t>
            </w:r>
          </w:p>
          <w:p w14:paraId="656FD30A" w14:textId="77777777" w:rsidR="00813702" w:rsidRPr="00897CAB" w:rsidRDefault="00813702" w:rsidP="00F0268C">
            <w:pPr>
              <w:spacing w:after="120" w:line="276" w:lineRule="auto"/>
              <w:ind w:firstLine="708"/>
              <w:jc w:val="both"/>
              <w:rPr>
                <w:rFonts w:ascii="Verdana" w:eastAsia="Times New Roman" w:hAnsi="Verdana" w:cs="Arial"/>
                <w:bCs/>
                <w:lang w:val="es-ES" w:eastAsia="es-CO"/>
              </w:rPr>
            </w:pPr>
            <w:r>
              <w:rPr>
                <w:rFonts w:ascii="Verdana" w:hAnsi="Verdana" w:cs="Arial"/>
                <w:lang w:val="es-ES"/>
              </w:rPr>
              <w:t xml:space="preserve">En todo caso, la Agencia considera que, la posibilidad de suscribir contratos o convenios entre entidades territoriales y empresas de servicios públicos para la transferencia de recursos en el marco de subsidios a los servicios públicos </w:t>
            </w:r>
            <w:proofErr w:type="gramStart"/>
            <w:r>
              <w:rPr>
                <w:rFonts w:ascii="Verdana" w:hAnsi="Verdana" w:cs="Arial"/>
                <w:lang w:val="es-ES"/>
              </w:rPr>
              <w:t>domiciliarios,</w:t>
            </w:r>
            <w:proofErr w:type="gramEnd"/>
            <w:r>
              <w:rPr>
                <w:rFonts w:ascii="Verdana" w:hAnsi="Verdana" w:cs="Arial"/>
                <w:lang w:val="es-ES"/>
              </w:rPr>
              <w:t xml:space="preserve"> depende de si </w:t>
            </w:r>
            <w:proofErr w:type="gramStart"/>
            <w:r>
              <w:rPr>
                <w:rFonts w:ascii="Verdana" w:hAnsi="Verdana" w:cs="Arial"/>
                <w:lang w:val="es-ES"/>
              </w:rPr>
              <w:t>se enmarca dentro de</w:t>
            </w:r>
            <w:proofErr w:type="gramEnd"/>
            <w:r>
              <w:rPr>
                <w:rFonts w:ascii="Verdana" w:hAnsi="Verdana" w:cs="Arial"/>
                <w:lang w:val="es-ES"/>
              </w:rPr>
              <w:t xml:space="preserv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tc>
      </w:tr>
    </w:tbl>
    <w:p w14:paraId="32D6BFD8" w14:textId="77777777" w:rsidR="00813702" w:rsidRDefault="00813702" w:rsidP="00813702">
      <w:pPr>
        <w:tabs>
          <w:tab w:val="left" w:pos="142"/>
          <w:tab w:val="left" w:pos="284"/>
        </w:tabs>
        <w:spacing w:after="0" w:line="276" w:lineRule="auto"/>
        <w:jc w:val="both"/>
        <w:rPr>
          <w:rFonts w:ascii="Verdana" w:eastAsia="Century Gothic" w:hAnsi="Verdana" w:cs="Century Gothic"/>
          <w:b/>
          <w:bCs/>
        </w:rPr>
      </w:pPr>
    </w:p>
    <w:p w14:paraId="738A8A25" w14:textId="77777777" w:rsidR="00813702" w:rsidRPr="005644FE" w:rsidRDefault="00813702" w:rsidP="00813702">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24E2B4FD" w14:textId="77777777" w:rsidR="00813702" w:rsidRPr="005644FE" w:rsidRDefault="00813702" w:rsidP="00813702">
      <w:pPr>
        <w:pStyle w:val="Prrafodelista"/>
        <w:tabs>
          <w:tab w:val="left" w:pos="142"/>
          <w:tab w:val="left" w:pos="284"/>
        </w:tabs>
        <w:spacing w:after="0" w:line="240" w:lineRule="auto"/>
        <w:ind w:left="0"/>
        <w:contextualSpacing w:val="0"/>
        <w:jc w:val="both"/>
        <w:rPr>
          <w:rFonts w:ascii="Verdana" w:eastAsia="Calibri" w:hAnsi="Verdana" w:cs="Arial"/>
        </w:rPr>
      </w:pPr>
    </w:p>
    <w:p w14:paraId="28461804" w14:textId="77777777" w:rsidR="00813702" w:rsidRDefault="00813702" w:rsidP="00813702">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4141D95" w14:textId="77777777" w:rsidR="00813702" w:rsidRPr="00E81D08" w:rsidRDefault="00813702" w:rsidP="00813702">
      <w:pPr>
        <w:tabs>
          <w:tab w:val="left" w:pos="142"/>
          <w:tab w:val="left" w:pos="284"/>
          <w:tab w:val="left" w:pos="6975"/>
        </w:tabs>
        <w:spacing w:after="0" w:line="276" w:lineRule="auto"/>
        <w:jc w:val="both"/>
        <w:rPr>
          <w:rFonts w:ascii="Verdana" w:eastAsia="Calibri" w:hAnsi="Verdana" w:cs="Arial"/>
        </w:rPr>
      </w:pPr>
    </w:p>
    <w:p w14:paraId="32BFA596" w14:textId="77777777" w:rsidR="00813702" w:rsidRDefault="00813702" w:rsidP="00813702">
      <w:pPr>
        <w:spacing w:after="120" w:line="276" w:lineRule="auto"/>
        <w:jc w:val="both"/>
        <w:rPr>
          <w:rFonts w:ascii="Verdana" w:hAnsi="Verdana" w:cs="Arial"/>
          <w:bCs/>
          <w:lang w:val="es-MX"/>
        </w:rPr>
      </w:pPr>
      <w:r>
        <w:rPr>
          <w:rFonts w:ascii="Verdana" w:hAnsi="Verdana" w:cs="Arial"/>
          <w:bCs/>
        </w:rPr>
        <w:t xml:space="preserve">i) </w:t>
      </w:r>
      <w:r>
        <w:rPr>
          <w:rFonts w:ascii="Verdana" w:hAnsi="Verdana" w:cs="Arial"/>
          <w:bCs/>
          <w:lang w:val="es-MX"/>
        </w:rPr>
        <w:t>El inciso segundo del artículo 365 de la Constitución Política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p>
    <w:p w14:paraId="7D4037C4" w14:textId="77777777" w:rsidR="00813702" w:rsidRPr="00E0284C" w:rsidRDefault="00813702" w:rsidP="00813702">
      <w:pPr>
        <w:spacing w:after="120" w:line="276" w:lineRule="auto"/>
        <w:ind w:firstLine="708"/>
        <w:jc w:val="both"/>
        <w:rPr>
          <w:rFonts w:ascii="Verdana" w:hAnsi="Verdana" w:cs="Arial"/>
        </w:rPr>
      </w:pP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23A856F6" w14:textId="77777777" w:rsidR="00813702" w:rsidRPr="00033F5A" w:rsidRDefault="00813702" w:rsidP="00813702">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0C1CDF7B" w14:textId="77777777" w:rsidR="00813702" w:rsidRPr="00033F5A" w:rsidRDefault="00813702" w:rsidP="00813702">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AB6296E" w14:textId="77777777" w:rsidR="00813702" w:rsidRPr="00033F5A" w:rsidRDefault="00813702" w:rsidP="00813702">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1"/>
      </w:r>
      <w:r w:rsidRPr="00033F5A">
        <w:rPr>
          <w:rFonts w:ascii="Verdana" w:eastAsia="Calibri" w:hAnsi="Verdana" w:cs="Arial"/>
          <w:color w:val="000000" w:themeColor="text1"/>
          <w:sz w:val="20"/>
          <w:szCs w:val="20"/>
          <w:lang w:val="es-ES"/>
        </w:rPr>
        <w:t>.</w:t>
      </w:r>
    </w:p>
    <w:p w14:paraId="49604032" w14:textId="77777777" w:rsidR="00813702" w:rsidRDefault="00813702" w:rsidP="00813702">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2"/>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0C8B92D6" w14:textId="77777777" w:rsidR="00813702" w:rsidRDefault="00813702" w:rsidP="00813702">
      <w:pPr>
        <w:tabs>
          <w:tab w:val="left" w:pos="0"/>
        </w:tabs>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w:t>
      </w:r>
      <w:r>
        <w:rPr>
          <w:rFonts w:ascii="Verdana" w:eastAsia="Calibri" w:hAnsi="Verdana" w:cs="Arial"/>
          <w:bCs/>
          <w:color w:val="000000" w:themeColor="text1"/>
          <w:lang w:val="es-ES_tradnl"/>
        </w:rPr>
        <w:t>s</w:t>
      </w:r>
      <w:r w:rsidRPr="008638A5">
        <w:rPr>
          <w:rFonts w:ascii="Verdana" w:eastAsia="Calibri" w:hAnsi="Verdana" w:cs="Arial"/>
          <w:bCs/>
          <w:color w:val="000000" w:themeColor="text1"/>
          <w:lang w:val="es-ES_tradnl"/>
        </w:rPr>
        <w:t xml:space="preserve">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618CD8F5" w14:textId="77777777" w:rsidR="00813702" w:rsidRDefault="00813702" w:rsidP="00813702">
      <w:pPr>
        <w:tabs>
          <w:tab w:val="left" w:pos="0"/>
        </w:tabs>
        <w:spacing w:after="0" w:line="276" w:lineRule="auto"/>
        <w:ind w:firstLine="709"/>
        <w:jc w:val="both"/>
        <w:rPr>
          <w:rFonts w:ascii="Verdana" w:eastAsia="Calibri" w:hAnsi="Verdana" w:cs="Arial"/>
          <w:bCs/>
          <w:color w:val="000000" w:themeColor="text1"/>
          <w:lang w:val="es-ES_tradnl"/>
        </w:rPr>
      </w:pPr>
    </w:p>
    <w:p w14:paraId="736C1833" w14:textId="77777777" w:rsidR="00813702" w:rsidRDefault="00813702" w:rsidP="00813702">
      <w:pPr>
        <w:tabs>
          <w:tab w:val="left" w:pos="0"/>
        </w:tabs>
        <w:spacing w:after="0" w:line="240"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3"/>
      </w:r>
    </w:p>
    <w:p w14:paraId="72F7EC78" w14:textId="77777777" w:rsidR="00CD385A" w:rsidRDefault="00CD385A" w:rsidP="00CD385A">
      <w:pPr>
        <w:tabs>
          <w:tab w:val="left" w:pos="0"/>
        </w:tabs>
        <w:spacing w:after="0" w:line="240" w:lineRule="auto"/>
        <w:jc w:val="both"/>
        <w:rPr>
          <w:rFonts w:ascii="Verdana" w:eastAsia="Times New Roman" w:hAnsi="Verdana" w:cs="Arial"/>
          <w:lang w:val="es-ES" w:eastAsia="es-ES"/>
        </w:rPr>
      </w:pPr>
    </w:p>
    <w:p w14:paraId="14E95DA2" w14:textId="73D5FA80" w:rsidR="00813702" w:rsidRDefault="00813702" w:rsidP="00813702">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 xml:space="preserve">considerarse parte del Estado. </w:t>
      </w:r>
    </w:p>
    <w:p w14:paraId="57B9C221" w14:textId="77777777" w:rsidR="00813702" w:rsidRPr="00270257" w:rsidRDefault="00813702" w:rsidP="00813702">
      <w:pPr>
        <w:tabs>
          <w:tab w:val="left" w:pos="0"/>
        </w:tabs>
        <w:spacing w:before="120" w:after="0" w:line="276" w:lineRule="auto"/>
        <w:jc w:val="both"/>
        <w:rPr>
          <w:rFonts w:ascii="Verdana" w:eastAsia="Times New Roman" w:hAnsi="Verdana" w:cs="Arial"/>
          <w:sz w:val="20"/>
          <w:szCs w:val="20"/>
          <w:lang w:val="es-ES" w:eastAsia="es-ES"/>
        </w:rPr>
      </w:pPr>
      <w:r>
        <w:rPr>
          <w:rFonts w:ascii="Verdana" w:eastAsia="Times New Roman" w:hAnsi="Verdana" w:cs="Times New Roman"/>
          <w:lang w:val="es-ES" w:eastAsia="es-ES"/>
        </w:rPr>
        <w:t xml:space="preserve">         Posteriormente, en la sentencia precitada haciendo un análisis de los artículos 38 y 68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0C594143" w14:textId="77777777" w:rsidR="00813702" w:rsidRDefault="00813702" w:rsidP="00813702">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57294F93" w14:textId="77777777" w:rsidR="00813702" w:rsidRPr="00585A53" w:rsidRDefault="00813702" w:rsidP="00813702">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66DEA8FF" w14:textId="77777777" w:rsidR="00813702" w:rsidRPr="00585A53" w:rsidRDefault="00813702" w:rsidP="00813702">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07061C60" w14:textId="77777777" w:rsidR="00813702" w:rsidRPr="00585A53" w:rsidRDefault="00813702" w:rsidP="00813702">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107B4B45" w14:textId="77777777" w:rsidR="00813702" w:rsidRPr="00585A53" w:rsidRDefault="00813702" w:rsidP="00813702">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650358FA" w14:textId="77777777" w:rsidR="00813702" w:rsidRDefault="00813702" w:rsidP="00813702">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w:t>
      </w:r>
      <w:r>
        <w:rPr>
          <w:rFonts w:ascii="Verdana" w:eastAsia="Times New Roman" w:hAnsi="Verdana" w:cs="Times New Roman"/>
          <w:lang w:val="es-ES" w:eastAsia="es-ES"/>
        </w:rPr>
        <w:t>s</w:t>
      </w:r>
      <w:r w:rsidRPr="00DE3ED2">
        <w:rPr>
          <w:rFonts w:ascii="Verdana" w:eastAsia="Times New Roman" w:hAnsi="Verdana" w:cs="Times New Roman"/>
          <w:lang w:val="es-ES" w:eastAsia="es-ES"/>
        </w:rPr>
        <w:t xml:space="preserve">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4C795087" w14:textId="77777777" w:rsidR="00813702" w:rsidRPr="00FF6C85" w:rsidRDefault="00813702" w:rsidP="00813702">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La Corte Constitucional luego</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 xml:space="preserve">la </w:t>
      </w:r>
      <w:proofErr w:type="spellStart"/>
      <w:r w:rsidRPr="008B3502">
        <w:rPr>
          <w:rFonts w:ascii="Verdana" w:eastAsia="Calibri" w:hAnsi="Verdana" w:cs="Arial"/>
          <w:bCs/>
          <w:color w:val="000000" w:themeColor="text1"/>
          <w:lang w:val="es-ES"/>
        </w:rPr>
        <w:t>exequibilidad</w:t>
      </w:r>
      <w:proofErr w:type="spellEnd"/>
      <w:r w:rsidRPr="008B3502">
        <w:rPr>
          <w:rFonts w:ascii="Verdana" w:eastAsia="Calibri" w:hAnsi="Verdana" w:cs="Arial"/>
          <w:bCs/>
          <w:color w:val="000000" w:themeColor="text1"/>
          <w:lang w:val="es-ES"/>
        </w:rPr>
        <w:t xml:space="preserve"> de la norma demandada.</w:t>
      </w:r>
    </w:p>
    <w:p w14:paraId="65131F7C" w14:textId="77777777" w:rsidR="00813702" w:rsidRDefault="00813702" w:rsidP="00813702">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Con respecto a este tema, hay doctrina que tiene sus observaciones frente a dicha sentencia de constitucionalidad, expresando: </w:t>
      </w:r>
    </w:p>
    <w:p w14:paraId="29ABCD16" w14:textId="77777777" w:rsidR="00813702" w:rsidRPr="00435AFF" w:rsidRDefault="00813702" w:rsidP="00813702">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3EE79431" w14:textId="77777777" w:rsidR="00813702" w:rsidRPr="00435AFF" w:rsidRDefault="00813702" w:rsidP="00813702">
      <w:pPr>
        <w:tabs>
          <w:tab w:val="left" w:pos="0"/>
        </w:tabs>
        <w:spacing w:after="0" w:line="240" w:lineRule="auto"/>
        <w:ind w:left="709" w:right="709"/>
        <w:jc w:val="both"/>
        <w:rPr>
          <w:rFonts w:ascii="Verdana" w:eastAsia="Calibri" w:hAnsi="Verdana" w:cs="Arial"/>
          <w:bCs/>
          <w:color w:val="000000" w:themeColor="text1"/>
          <w:sz w:val="20"/>
        </w:rPr>
      </w:pPr>
    </w:p>
    <w:p w14:paraId="552CF56A" w14:textId="77777777" w:rsidR="00813702" w:rsidRPr="00435AFF" w:rsidRDefault="00813702" w:rsidP="00813702">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38CFC6A4" w14:textId="77777777" w:rsidR="00813702" w:rsidRPr="00435AFF" w:rsidRDefault="00813702" w:rsidP="00813702">
      <w:pPr>
        <w:tabs>
          <w:tab w:val="left" w:pos="0"/>
        </w:tabs>
        <w:spacing w:after="0" w:line="240" w:lineRule="auto"/>
        <w:ind w:left="709" w:right="709"/>
        <w:jc w:val="both"/>
        <w:rPr>
          <w:rFonts w:ascii="Verdana" w:eastAsia="Calibri" w:hAnsi="Verdana" w:cs="Arial"/>
          <w:bCs/>
          <w:color w:val="000000" w:themeColor="text1"/>
          <w:sz w:val="20"/>
        </w:rPr>
      </w:pPr>
    </w:p>
    <w:p w14:paraId="3C3D3732" w14:textId="336AEC5F" w:rsidR="00813702" w:rsidRDefault="00813702" w:rsidP="00AA463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4"/>
      </w:r>
      <w:r w:rsidRPr="00435AFF">
        <w:rPr>
          <w:rFonts w:ascii="Verdana" w:eastAsia="Calibri" w:hAnsi="Verdana" w:cs="Arial"/>
          <w:bCs/>
          <w:color w:val="000000" w:themeColor="text1"/>
          <w:sz w:val="20"/>
        </w:rPr>
        <w:t>.</w:t>
      </w:r>
    </w:p>
    <w:p w14:paraId="3BAF7C2D" w14:textId="77777777" w:rsidR="00D0672D" w:rsidRPr="00435AFF" w:rsidRDefault="00D0672D" w:rsidP="00AA4630">
      <w:pPr>
        <w:tabs>
          <w:tab w:val="left" w:pos="0"/>
        </w:tabs>
        <w:spacing w:after="0" w:line="240" w:lineRule="auto"/>
        <w:ind w:left="709" w:right="709"/>
        <w:jc w:val="both"/>
        <w:rPr>
          <w:rFonts w:ascii="Verdana" w:eastAsia="Calibri" w:hAnsi="Verdana" w:cs="Arial"/>
          <w:bCs/>
          <w:color w:val="000000" w:themeColor="text1"/>
          <w:sz w:val="20"/>
        </w:rPr>
      </w:pPr>
    </w:p>
    <w:p w14:paraId="137B4F7C" w14:textId="77777777" w:rsidR="00813702" w:rsidRDefault="00813702" w:rsidP="00813702">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7CA5051C" w14:textId="77777777" w:rsidR="00813702" w:rsidRDefault="00813702" w:rsidP="00813702">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5"/>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4A86868E" w14:textId="77777777" w:rsidR="00D0672D" w:rsidRDefault="00D0672D" w:rsidP="00813702">
      <w:pPr>
        <w:spacing w:after="0" w:line="276" w:lineRule="auto"/>
        <w:ind w:firstLine="709"/>
        <w:jc w:val="both"/>
        <w:rPr>
          <w:rFonts w:ascii="Verdana" w:eastAsia="Calibri" w:hAnsi="Verdana" w:cs="Arial"/>
          <w:color w:val="000000" w:themeColor="text1"/>
        </w:rPr>
      </w:pPr>
    </w:p>
    <w:p w14:paraId="61C204CC" w14:textId="77777777" w:rsidR="00813702" w:rsidRDefault="00813702" w:rsidP="00813702">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6"/>
      </w:r>
      <w:r w:rsidRPr="008719EC">
        <w:rPr>
          <w:rFonts w:ascii="Verdana" w:eastAsia="Calibri" w:hAnsi="Verdana" w:cs="Arial"/>
          <w:color w:val="000000" w:themeColor="text1"/>
          <w:sz w:val="20"/>
          <w:szCs w:val="20"/>
        </w:rPr>
        <w:t>.</w:t>
      </w:r>
    </w:p>
    <w:p w14:paraId="6B3EE93D" w14:textId="77777777" w:rsidR="00813702" w:rsidRPr="008719EC" w:rsidRDefault="00813702" w:rsidP="00813702">
      <w:pPr>
        <w:spacing w:after="0" w:line="240" w:lineRule="auto"/>
        <w:jc w:val="both"/>
        <w:rPr>
          <w:rFonts w:ascii="Verdana" w:eastAsia="Calibri" w:hAnsi="Verdana" w:cs="Arial"/>
          <w:color w:val="000000" w:themeColor="text1"/>
          <w:sz w:val="20"/>
          <w:szCs w:val="20"/>
        </w:rPr>
      </w:pPr>
    </w:p>
    <w:p w14:paraId="6786AEE9" w14:textId="77777777" w:rsidR="00813702" w:rsidRPr="00D50C4E" w:rsidRDefault="00813702" w:rsidP="00813702">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34F11443" w14:textId="77777777" w:rsidR="00813702" w:rsidRDefault="00813702" w:rsidP="00813702">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1FA30C3C" w14:textId="77777777" w:rsidR="00813702" w:rsidRDefault="00813702" w:rsidP="00813702">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públicos cumplen una función pública,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4D190E9F" w14:textId="77777777" w:rsidR="00813702" w:rsidRDefault="00813702" w:rsidP="00813702">
      <w:pPr>
        <w:spacing w:after="12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5552C5C6" w14:textId="77777777" w:rsidR="00813702" w:rsidRPr="00AE3A77" w:rsidRDefault="00813702" w:rsidP="00813702">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w:t>
      </w:r>
      <w:proofErr w:type="spellEnd"/>
      <w:r>
        <w:rPr>
          <w:rFonts w:ascii="Verdana" w:eastAsia="Calibri" w:hAnsi="Verdana" w:cs="Arial"/>
          <w:color w:val="000000" w:themeColor="text1"/>
          <w:lang w:val="es-ES"/>
        </w:rPr>
        <w:t>) Por su parte l</w:t>
      </w:r>
      <w:r w:rsidRPr="00B57A1B">
        <w:rPr>
          <w:rFonts w:ascii="Verdana" w:eastAsiaTheme="minorEastAsia" w:hAnsi="Verdana" w:cs="Arial"/>
          <w:lang w:eastAsia="es-CO"/>
        </w:rPr>
        <w:t>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7"/>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637A18DD" w14:textId="77777777" w:rsidR="00813702" w:rsidRPr="00B57A1B" w:rsidRDefault="00813702" w:rsidP="0081370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E18D19E" w14:textId="77777777" w:rsidR="00813702" w:rsidRPr="00B57A1B" w:rsidRDefault="00813702" w:rsidP="00813702">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8"/>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792E737C" w14:textId="77777777" w:rsidR="00813702" w:rsidRDefault="00813702" w:rsidP="0081370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9"/>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w:t>
      </w:r>
    </w:p>
    <w:p w14:paraId="06115B21" w14:textId="77777777" w:rsidR="00813702" w:rsidRPr="00B57A1B" w:rsidRDefault="00813702" w:rsidP="0081370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62E1B6DC" w14:textId="77777777" w:rsidR="00813702" w:rsidRPr="000E225C" w:rsidRDefault="00813702" w:rsidP="0081370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083106C5" w14:textId="77777777" w:rsidR="00813702" w:rsidRPr="000E225C" w:rsidRDefault="00813702" w:rsidP="00813702">
      <w:pPr>
        <w:numPr>
          <w:ilvl w:val="0"/>
          <w:numId w:val="18"/>
        </w:numPr>
        <w:spacing w:after="0" w:line="240" w:lineRule="auto"/>
        <w:ind w:left="709" w:right="709" w:firstLine="0"/>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5BDD55CF" w14:textId="77777777" w:rsidR="00813702" w:rsidRPr="000E225C" w:rsidRDefault="00813702" w:rsidP="00813702">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70AF70A8" w14:textId="27E5DD1B" w:rsidR="00813702" w:rsidRPr="00D0672D" w:rsidRDefault="00813702" w:rsidP="00D0672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10"/>
      </w:r>
      <w:r w:rsidR="00D0672D">
        <w:rPr>
          <w:rFonts w:ascii="Verdana" w:eastAsiaTheme="minorEastAsia" w:hAnsi="Verdana" w:cs="Arial"/>
          <w:sz w:val="20"/>
          <w:szCs w:val="20"/>
          <w:lang w:eastAsia="es-CO"/>
        </w:rPr>
        <w:t>.</w:t>
      </w:r>
    </w:p>
    <w:p w14:paraId="1581C82E" w14:textId="77777777" w:rsidR="00813702" w:rsidRDefault="00813702" w:rsidP="0081370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2EE95CF6" w14:textId="77777777" w:rsidR="00813702" w:rsidRPr="00B57A1B" w:rsidRDefault="00813702" w:rsidP="00813702">
      <w:pPr>
        <w:spacing w:after="0" w:line="276" w:lineRule="auto"/>
        <w:ind w:firstLine="709"/>
        <w:jc w:val="both"/>
        <w:rPr>
          <w:rFonts w:ascii="Verdana" w:eastAsiaTheme="minorEastAsia" w:hAnsi="Verdana" w:cs="Arial"/>
          <w:lang w:eastAsia="es-CO"/>
        </w:rPr>
      </w:pPr>
    </w:p>
    <w:p w14:paraId="49A01173" w14:textId="77777777" w:rsidR="00813702" w:rsidRPr="000E225C" w:rsidRDefault="00813702" w:rsidP="0081370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1CCA3894" w14:textId="77777777" w:rsidR="00813702" w:rsidRPr="000E225C" w:rsidRDefault="00813702" w:rsidP="0081370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14E94A67" w14:textId="77777777" w:rsidR="00813702" w:rsidRDefault="00813702" w:rsidP="00813702">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1"/>
      </w:r>
      <w:r w:rsidRPr="000E225C">
        <w:rPr>
          <w:rFonts w:ascii="Verdana" w:hAnsi="Verdana" w:cs="Weiss"/>
          <w:sz w:val="20"/>
          <w:szCs w:val="19"/>
        </w:rPr>
        <w:t>.</w:t>
      </w:r>
    </w:p>
    <w:p w14:paraId="54D81394" w14:textId="77777777" w:rsidR="00813702" w:rsidRPr="004A769B" w:rsidRDefault="00813702" w:rsidP="00813702">
      <w:pPr>
        <w:autoSpaceDE w:val="0"/>
        <w:autoSpaceDN w:val="0"/>
        <w:adjustRightInd w:val="0"/>
        <w:spacing w:after="0" w:line="240" w:lineRule="auto"/>
        <w:ind w:left="709" w:right="709"/>
        <w:jc w:val="both"/>
        <w:rPr>
          <w:rFonts w:ascii="Verdana" w:hAnsi="Verdana" w:cs="Weiss"/>
          <w:sz w:val="20"/>
          <w:szCs w:val="19"/>
        </w:rPr>
      </w:pPr>
    </w:p>
    <w:p w14:paraId="0073FD85" w14:textId="77777777" w:rsidR="00813702" w:rsidRPr="004A769B" w:rsidRDefault="00813702" w:rsidP="0081370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Ahora bien, esta distinción conceptual entre contratos y convenios interadministrativos resulta relevante para precisar </w:t>
      </w:r>
      <w:r>
        <w:rPr>
          <w:rFonts w:ascii="Verdana" w:eastAsiaTheme="minorEastAsia" w:hAnsi="Verdana" w:cs="Arial"/>
          <w:lang w:eastAsia="es-CO"/>
        </w:rPr>
        <w:t xml:space="preserve">el </w:t>
      </w:r>
      <w:r w:rsidRPr="00B57A1B">
        <w:rPr>
          <w:rFonts w:ascii="Verdana" w:eastAsiaTheme="minorEastAsia" w:hAnsi="Verdana" w:cs="Arial"/>
          <w:lang w:eastAsia="es-CO"/>
        </w:rPr>
        <w:t xml:space="preserve">ámbito de aplicación de las instituciones del EGCAP. Al respecto, el Consejo </w:t>
      </w:r>
      <w:r>
        <w:rPr>
          <w:rFonts w:ascii="Verdana" w:eastAsiaTheme="minorEastAsia" w:hAnsi="Verdana" w:cs="Arial"/>
          <w:lang w:eastAsia="es-CO"/>
        </w:rPr>
        <w:t xml:space="preserve">de Estado </w:t>
      </w:r>
      <w:r w:rsidRPr="00B57A1B">
        <w:rPr>
          <w:rFonts w:ascii="Verdana" w:eastAsiaTheme="minorEastAsia" w:hAnsi="Verdana" w:cs="Arial"/>
          <w:lang w:eastAsia="es-CO"/>
        </w:rPr>
        <w:t>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2"/>
      </w:r>
      <w:r w:rsidRPr="00B57A1B">
        <w:rPr>
          <w:rFonts w:ascii="Verdana" w:eastAsiaTheme="minorEastAsia" w:hAnsi="Verdana" w:cs="Arial"/>
          <w:lang w:eastAsia="es-CO"/>
        </w:rPr>
        <w:t xml:space="preserve">. De esta manera, el Consejo de Estado expresa:  </w:t>
      </w:r>
    </w:p>
    <w:p w14:paraId="7CD1883E" w14:textId="77777777" w:rsidR="00813702" w:rsidRPr="000E225C" w:rsidRDefault="00813702" w:rsidP="00813702">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0D64A3D2" w14:textId="77777777" w:rsidR="00813702" w:rsidRPr="000E225C" w:rsidRDefault="00813702" w:rsidP="00813702">
      <w:pPr>
        <w:widowControl w:val="0"/>
        <w:autoSpaceDE w:val="0"/>
        <w:autoSpaceDN w:val="0"/>
        <w:spacing w:after="0" w:line="240" w:lineRule="auto"/>
        <w:ind w:left="709" w:right="709"/>
        <w:jc w:val="both"/>
        <w:rPr>
          <w:rFonts w:ascii="Verdana" w:eastAsia="Arial MT" w:hAnsi="Verdana" w:cs="Arial MT"/>
          <w:sz w:val="20"/>
          <w:szCs w:val="19"/>
        </w:rPr>
      </w:pPr>
    </w:p>
    <w:p w14:paraId="68ED6084" w14:textId="77777777" w:rsidR="00813702" w:rsidRPr="000E225C" w:rsidRDefault="00813702" w:rsidP="00813702">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759C8EC0" w14:textId="77777777" w:rsidR="00813702" w:rsidRPr="000E225C" w:rsidRDefault="00813702" w:rsidP="00813702">
      <w:pPr>
        <w:widowControl w:val="0"/>
        <w:autoSpaceDE w:val="0"/>
        <w:autoSpaceDN w:val="0"/>
        <w:spacing w:after="0" w:line="240" w:lineRule="auto"/>
        <w:ind w:left="709" w:right="709"/>
        <w:jc w:val="both"/>
        <w:rPr>
          <w:rFonts w:ascii="Verdana" w:eastAsia="Arial MT" w:hAnsi="Verdana" w:cs="Arial MT"/>
          <w:sz w:val="20"/>
          <w:szCs w:val="19"/>
        </w:rPr>
      </w:pPr>
    </w:p>
    <w:p w14:paraId="121D640C" w14:textId="77777777" w:rsidR="00813702" w:rsidRDefault="00813702" w:rsidP="00813702">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13"/>
      </w:r>
      <w:r w:rsidRPr="000E225C">
        <w:rPr>
          <w:rFonts w:ascii="Verdana" w:eastAsia="Arial MT" w:hAnsi="Verdana" w:cs="Arial MT"/>
          <w:i/>
          <w:iCs/>
          <w:sz w:val="20"/>
          <w:szCs w:val="19"/>
        </w:rPr>
        <w:t>.</w:t>
      </w:r>
    </w:p>
    <w:p w14:paraId="0C93E36C" w14:textId="77777777" w:rsidR="00813702" w:rsidRPr="004A769B" w:rsidRDefault="00813702" w:rsidP="00813702">
      <w:pPr>
        <w:widowControl w:val="0"/>
        <w:autoSpaceDE w:val="0"/>
        <w:autoSpaceDN w:val="0"/>
        <w:spacing w:after="0" w:line="240" w:lineRule="auto"/>
        <w:ind w:left="709" w:right="709"/>
        <w:jc w:val="both"/>
        <w:rPr>
          <w:rFonts w:ascii="Verdana" w:eastAsia="Arial MT" w:hAnsi="Verdana" w:cs="Arial MT"/>
          <w:sz w:val="20"/>
          <w:szCs w:val="19"/>
          <w:lang w:val="es-ES"/>
        </w:rPr>
      </w:pPr>
    </w:p>
    <w:p w14:paraId="20886F84" w14:textId="77777777" w:rsidR="00813702" w:rsidRDefault="00813702" w:rsidP="00813702">
      <w:pPr>
        <w:spacing w:after="12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Teniendo en cuenta, este entendimiento sobre los convenios</w:t>
      </w:r>
      <w:r>
        <w:rPr>
          <w:rFonts w:ascii="Verdana" w:eastAsiaTheme="minorEastAsia" w:hAnsi="Verdana" w:cs="Arial"/>
          <w:lang w:eastAsia="es-CO"/>
        </w:rPr>
        <w:t xml:space="preserve"> </w:t>
      </w:r>
      <w:r w:rsidRPr="00B57A1B">
        <w:rPr>
          <w:rFonts w:ascii="Verdana" w:eastAsiaTheme="minorEastAsia" w:hAnsi="Verdana" w:cs="Arial"/>
          <w:lang w:eastAsia="es-CO"/>
        </w:rPr>
        <w:t>y contratos interadministrativos</w:t>
      </w:r>
      <w:r>
        <w:rPr>
          <w:rFonts w:ascii="Verdana" w:eastAsia="Calibri" w:hAnsi="Verdana" w:cs="Times New Roman"/>
          <w:iCs/>
          <w:lang w:val="es-ES"/>
        </w:rPr>
        <w:t xml:space="preserve"> se infiere que su denominación parte de que ambos actores son entidades públicas. Ahora bien, será necesario analizar la posibilidad de celebración de convenios o contratos interadministrativos para el otorgamiento de subsidios en el marco de los servicios públicos domiciliarios. </w:t>
      </w:r>
    </w:p>
    <w:p w14:paraId="2D2AE728" w14:textId="77777777" w:rsidR="00813702" w:rsidRDefault="00813702" w:rsidP="00813702">
      <w:pPr>
        <w:spacing w:after="120" w:line="276" w:lineRule="auto"/>
        <w:ind w:firstLine="709"/>
        <w:jc w:val="both"/>
        <w:rPr>
          <w:rFonts w:ascii="Verdana" w:eastAsia="Calibri" w:hAnsi="Verdana" w:cs="Times New Roman"/>
          <w:iCs/>
          <w:lang w:val="es-ES"/>
        </w:rPr>
      </w:pPr>
      <w:r>
        <w:rPr>
          <w:rFonts w:ascii="Verdana" w:eastAsia="Calibri" w:hAnsi="Verdana" w:cs="Times New Roman"/>
          <w:iCs/>
          <w:lang w:val="es-ES"/>
        </w:rPr>
        <w:t xml:space="preserve">Ahora bien, </w:t>
      </w:r>
      <w:proofErr w:type="gramStart"/>
      <w:r>
        <w:rPr>
          <w:rFonts w:ascii="Verdana" w:eastAsia="Calibri" w:hAnsi="Verdana" w:cs="Times New Roman"/>
          <w:iCs/>
          <w:lang w:val="es-ES"/>
        </w:rPr>
        <w:t>en relación a</w:t>
      </w:r>
      <w:proofErr w:type="gramEnd"/>
      <w:r>
        <w:rPr>
          <w:rFonts w:ascii="Verdana" w:eastAsia="Calibri" w:hAnsi="Verdana" w:cs="Times New Roman"/>
          <w:iCs/>
          <w:lang w:val="es-ES"/>
        </w:rPr>
        <w:t xml:space="preserve"> los subsidios en materia de servicios públicos domiciliarios, un aspecto que poco se explora en el Sistema de Compras Públicas, en especial, sobre la forma o el instrumento jurídico en que se otorgan. Para ello, se señala que el subsidio es una forma de auxilio, que en el marco del Estado Social de Derecho pregonado en la Constitución busca garantizar el bienestar general, y en especial, la igualdad material y el principio de solidaridad</w:t>
      </w:r>
      <w:r>
        <w:rPr>
          <w:rStyle w:val="Refdenotaalpie"/>
          <w:rFonts w:ascii="Verdana" w:eastAsia="Calibri" w:hAnsi="Verdana" w:cs="Times New Roman"/>
          <w:iCs/>
          <w:lang w:val="es-ES"/>
        </w:rPr>
        <w:footnoteReference w:id="14"/>
      </w:r>
      <w:r>
        <w:rPr>
          <w:rFonts w:ascii="Verdana" w:eastAsia="Calibri" w:hAnsi="Verdana" w:cs="Times New Roman"/>
          <w:iCs/>
          <w:lang w:val="es-ES"/>
        </w:rPr>
        <w:t>. Al respecto, la Doctrina expresa:</w:t>
      </w:r>
    </w:p>
    <w:p w14:paraId="61F2B8F4" w14:textId="77777777" w:rsidR="00813702" w:rsidRDefault="00813702" w:rsidP="00813702">
      <w:pPr>
        <w:spacing w:after="0" w:line="240" w:lineRule="auto"/>
        <w:ind w:left="709" w:right="709"/>
        <w:jc w:val="both"/>
        <w:rPr>
          <w:rFonts w:ascii="Verdana" w:eastAsia="Calibri" w:hAnsi="Verdana" w:cs="Times New Roman"/>
          <w:iCs/>
          <w:sz w:val="20"/>
        </w:rPr>
      </w:pPr>
      <w:r w:rsidRPr="006571B8">
        <w:rPr>
          <w:rFonts w:ascii="Verdana" w:eastAsia="Calibri" w:hAnsi="Verdana" w:cs="Times New Roman"/>
          <w:iCs/>
          <w:sz w:val="20"/>
        </w:rPr>
        <w:t xml:space="preserve">Siendo este el comportamiento de los subsidios, su naturaleza se parece bastante a la de un auxilio, lo que hace pensar que puede violarse el artículo 355 de la Constitución Política, según el cual está prohibido, con recursos del erario, conceder auxilios o donaciones a favor de particulares. En realidad, si bien </w:t>
      </w:r>
      <w:r>
        <w:rPr>
          <w:rFonts w:ascii="Verdana" w:eastAsia="Calibri" w:hAnsi="Verdana" w:cs="Times New Roman"/>
          <w:iCs/>
          <w:sz w:val="20"/>
        </w:rPr>
        <w:t>los subsidios se comportan com</w:t>
      </w:r>
      <w:r w:rsidRPr="006571B8">
        <w:rPr>
          <w:rFonts w:ascii="Verdana" w:eastAsia="Calibri" w:hAnsi="Verdana" w:cs="Times New Roman"/>
          <w:iCs/>
          <w:sz w:val="20"/>
        </w:rPr>
        <w:t>o un auxilio, debe quedar claro que hay liberalidades, como esta, que el Estado hace en favor de los particulares por mandato de la propia Constitución, pues debemos recordar que el artículo 368 dispone que con cargo a los recursos de las entidades estatales se pueden otorgar subsidios para los usuarios de menores ingresos; luego, si la Constitución lo autoriza, entonces no se viola la norma fundamental; al contrario: existe armonía con lo que mandan sus disposiciones</w:t>
      </w:r>
      <w:r>
        <w:rPr>
          <w:rStyle w:val="Refdenotaalpie"/>
          <w:rFonts w:ascii="Verdana" w:eastAsia="Calibri" w:hAnsi="Verdana" w:cs="Times New Roman"/>
          <w:iCs/>
          <w:sz w:val="20"/>
        </w:rPr>
        <w:footnoteReference w:id="15"/>
      </w:r>
      <w:r w:rsidRPr="006571B8">
        <w:rPr>
          <w:rFonts w:ascii="Verdana" w:eastAsia="Calibri" w:hAnsi="Verdana" w:cs="Times New Roman"/>
          <w:iCs/>
          <w:sz w:val="20"/>
        </w:rPr>
        <w:t xml:space="preserve">. </w:t>
      </w:r>
    </w:p>
    <w:p w14:paraId="37AE5729" w14:textId="77777777" w:rsidR="00813702" w:rsidRPr="00286BBA" w:rsidRDefault="00813702" w:rsidP="00813702">
      <w:pPr>
        <w:spacing w:after="0" w:line="240" w:lineRule="auto"/>
        <w:ind w:left="709" w:right="709"/>
        <w:jc w:val="both"/>
        <w:rPr>
          <w:rFonts w:ascii="Verdana" w:eastAsia="Calibri" w:hAnsi="Verdana" w:cs="Times New Roman"/>
          <w:iCs/>
          <w:sz w:val="20"/>
        </w:rPr>
      </w:pPr>
    </w:p>
    <w:p w14:paraId="365296AA" w14:textId="77777777" w:rsidR="00813702" w:rsidRPr="003004D2" w:rsidRDefault="00813702" w:rsidP="00813702">
      <w:pPr>
        <w:spacing w:after="120" w:line="276" w:lineRule="auto"/>
        <w:jc w:val="both"/>
        <w:rPr>
          <w:rFonts w:ascii="Verdana" w:eastAsia="Calibri" w:hAnsi="Verdana" w:cs="Times New Roman"/>
          <w:iCs/>
        </w:rPr>
      </w:pPr>
      <w:r>
        <w:rPr>
          <w:rFonts w:ascii="Verdana" w:eastAsia="Calibri" w:hAnsi="Verdana" w:cs="Times New Roman"/>
          <w:iCs/>
        </w:rPr>
        <w:tab/>
        <w:t>Como manifestación del deber de otorgar subsidios en el marco del Estado Social de Derecho, se encuentra el artículo 368 constitucional prescribe: “</w:t>
      </w:r>
      <w:r w:rsidRPr="006571B8">
        <w:rPr>
          <w:rFonts w:ascii="Verdana" w:eastAsia="Calibri" w:hAnsi="Verdana" w:cs="Times New Roman"/>
          <w:bCs/>
          <w:iCs/>
        </w:rPr>
        <w:t>[…]</w:t>
      </w:r>
      <w:r>
        <w:rPr>
          <w:rFonts w:ascii="Verdana" w:eastAsia="Calibri" w:hAnsi="Verdana" w:cs="Times New Roman"/>
          <w:b/>
          <w:bCs/>
          <w:iCs/>
        </w:rPr>
        <w:t xml:space="preserve"> </w:t>
      </w:r>
      <w:r w:rsidRPr="006571B8">
        <w:rPr>
          <w:rFonts w:ascii="Verdana" w:eastAsia="Calibri" w:hAnsi="Verdana" w:cs="Times New Roman"/>
          <w:iCs/>
        </w:rPr>
        <w:t xml:space="preserve">La Nación, los departamentos, los distritos, los municipios y las entidades descentralizadas podrán conceder subsidios, en sus respectivos presupuestos, para que las personas de menores ingresos puedan pagar las tarifas de los servicios públicos domiciliarios que </w:t>
      </w:r>
      <w:r>
        <w:rPr>
          <w:rFonts w:ascii="Verdana" w:eastAsia="Calibri" w:hAnsi="Verdana" w:cs="Times New Roman"/>
          <w:iCs/>
        </w:rPr>
        <w:t>cubran sus necesidades básicas”. En tal sentido, dicho tratamiento constitucional se desarrolló en la Leyes 142 y 143 de 19</w:t>
      </w:r>
      <w:r w:rsidRPr="003004D2">
        <w:rPr>
          <w:rFonts w:ascii="Verdana" w:eastAsia="Calibri" w:hAnsi="Verdana" w:cs="Times New Roman"/>
          <w:iCs/>
        </w:rPr>
        <w:t xml:space="preserve">94. </w:t>
      </w:r>
    </w:p>
    <w:p w14:paraId="196AB846" w14:textId="77777777" w:rsidR="00813702" w:rsidRPr="003004D2" w:rsidRDefault="00813702" w:rsidP="00813702">
      <w:pPr>
        <w:spacing w:after="120" w:line="276" w:lineRule="auto"/>
        <w:jc w:val="both"/>
        <w:rPr>
          <w:rFonts w:ascii="Verdana" w:eastAsia="Calibri" w:hAnsi="Verdana" w:cs="Times New Roman"/>
          <w:iCs/>
          <w:lang w:val="es-ES"/>
        </w:rPr>
      </w:pPr>
      <w:r w:rsidRPr="003004D2">
        <w:rPr>
          <w:rFonts w:ascii="Verdana" w:eastAsia="Calibri" w:hAnsi="Verdana" w:cs="Times New Roman"/>
          <w:iCs/>
        </w:rPr>
        <w:tab/>
        <w:t>Para ello, se hace una referencia especial a la Ley 142 de 1994, “</w:t>
      </w:r>
      <w:r w:rsidRPr="003004D2">
        <w:rPr>
          <w:rFonts w:ascii="Verdana" w:eastAsia="Calibri" w:hAnsi="Verdana" w:cs="Times New Roman"/>
          <w:bCs/>
          <w:iCs/>
        </w:rPr>
        <w:t>por la cual se establece el régimen de los servicios públicos domiciliarios y se dictan otras disposiciones”. Dicha Ley en su artículo 3°</w:t>
      </w:r>
      <w:r w:rsidRPr="003004D2">
        <w:rPr>
          <w:rStyle w:val="Refdenotaalpie"/>
          <w:rFonts w:ascii="Verdana" w:eastAsia="Calibri" w:hAnsi="Verdana" w:cs="Times New Roman"/>
          <w:bCs/>
          <w:iCs/>
        </w:rPr>
        <w:footnoteReference w:id="16"/>
      </w:r>
      <w:r w:rsidRPr="003004D2">
        <w:rPr>
          <w:rFonts w:ascii="Verdana" w:eastAsia="Calibri" w:hAnsi="Verdana" w:cs="Times New Roman"/>
          <w:bCs/>
          <w:iCs/>
        </w:rPr>
        <w:t xml:space="preserve"> establece que la intervención 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2E2C17F8" w14:textId="77777777" w:rsidR="00813702" w:rsidRPr="00442203" w:rsidRDefault="00813702" w:rsidP="00813702">
      <w:pPr>
        <w:pStyle w:val="Default"/>
        <w:spacing w:line="276" w:lineRule="auto"/>
        <w:jc w:val="both"/>
        <w:rPr>
          <w:rFonts w:ascii="Verdana" w:hAnsi="Verdana"/>
          <w:sz w:val="22"/>
          <w:szCs w:val="22"/>
        </w:rPr>
      </w:pPr>
      <w:r w:rsidRPr="003004D2">
        <w:rPr>
          <w:rFonts w:ascii="Verdana" w:hAnsi="Verdana"/>
          <w:sz w:val="22"/>
          <w:szCs w:val="22"/>
        </w:rPr>
        <w:tab/>
      </w:r>
      <w:r w:rsidRPr="00442203">
        <w:rPr>
          <w:rFonts w:ascii="Verdana" w:hAnsi="Verdana"/>
          <w:sz w:val="22"/>
          <w:szCs w:val="22"/>
        </w:rPr>
        <w:t xml:space="preserve">Una de las formas de intervención estatal es la entrega de subsidios a las personas con menores ingresos. En este </w:t>
      </w:r>
      <w:r>
        <w:rPr>
          <w:rFonts w:ascii="Verdana" w:hAnsi="Verdana"/>
          <w:sz w:val="22"/>
          <w:szCs w:val="22"/>
        </w:rPr>
        <w:t>contexto</w:t>
      </w:r>
      <w:r w:rsidRPr="00442203">
        <w:rPr>
          <w:rFonts w:ascii="Verdana" w:hAnsi="Verdana"/>
          <w:sz w:val="22"/>
          <w:szCs w:val="22"/>
        </w:rPr>
        <w:t xml:space="preserve">, </w:t>
      </w:r>
      <w:r>
        <w:rPr>
          <w:rFonts w:ascii="Verdana" w:hAnsi="Verdana"/>
          <w:sz w:val="22"/>
          <w:szCs w:val="22"/>
        </w:rPr>
        <w:t>como se señaló previamente, en el</w:t>
      </w:r>
      <w:r w:rsidRPr="00442203">
        <w:rPr>
          <w:rFonts w:ascii="Verdana" w:hAnsi="Verdana"/>
          <w:sz w:val="22"/>
          <w:szCs w:val="22"/>
        </w:rPr>
        <w:t xml:space="preserve"> artículo 368, autorizó de manera potestativa —no obligatoria— a la Nación, los departamentos, los municipios y demás entidades descentralizadas para otorgar subsidios, con cargo a sus presupuestos, a lo</w:t>
      </w:r>
      <w:r>
        <w:rPr>
          <w:rFonts w:ascii="Verdana" w:hAnsi="Verdana"/>
          <w:sz w:val="22"/>
          <w:szCs w:val="22"/>
        </w:rPr>
        <w:t>s usuarios de menores ingresos. Al respecto, l</w:t>
      </w:r>
      <w:r w:rsidRPr="00442203">
        <w:rPr>
          <w:rFonts w:ascii="Verdana" w:hAnsi="Verdana"/>
          <w:sz w:val="22"/>
          <w:szCs w:val="22"/>
        </w:rPr>
        <w:t>a Ley 142 abordó el tema en su artículo</w:t>
      </w:r>
      <w:r>
        <w:rPr>
          <w:rFonts w:ascii="Verdana" w:hAnsi="Verdana"/>
          <w:sz w:val="22"/>
          <w:szCs w:val="22"/>
        </w:rPr>
        <w:t xml:space="preserve"> 99</w:t>
      </w:r>
      <w:r w:rsidRPr="00442203">
        <w:rPr>
          <w:rFonts w:ascii="Verdana" w:hAnsi="Verdana"/>
          <w:sz w:val="22"/>
          <w:szCs w:val="22"/>
        </w:rPr>
        <w:t>, imponiendo, la obligación a la Nación y a las entidades territoriales de subsidiar los servicios públicos domiciliarios.</w:t>
      </w:r>
      <w:r>
        <w:rPr>
          <w:rFonts w:ascii="Verdana" w:hAnsi="Verdana"/>
          <w:sz w:val="22"/>
          <w:szCs w:val="22"/>
        </w:rPr>
        <w:t xml:space="preserve"> Dicha norma prescribe</w:t>
      </w:r>
      <w:r w:rsidRPr="00442203">
        <w:rPr>
          <w:rFonts w:ascii="Verdana" w:hAnsi="Verdana"/>
          <w:sz w:val="22"/>
          <w:szCs w:val="22"/>
        </w:rPr>
        <w:t>:</w:t>
      </w:r>
    </w:p>
    <w:p w14:paraId="6CA043F5" w14:textId="77777777" w:rsidR="00813702" w:rsidRDefault="00813702" w:rsidP="00813702">
      <w:pPr>
        <w:pStyle w:val="Default"/>
        <w:jc w:val="both"/>
        <w:rPr>
          <w:rFonts w:ascii="Verdana" w:hAnsi="Verdana"/>
          <w:sz w:val="22"/>
          <w:szCs w:val="22"/>
        </w:rPr>
      </w:pPr>
    </w:p>
    <w:p w14:paraId="5B5BF70D"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bCs/>
          <w:sz w:val="20"/>
          <w:szCs w:val="20"/>
        </w:rPr>
        <w:t>Artículo 99. Forma de subsidiar.</w:t>
      </w:r>
      <w:r w:rsidRPr="009C2F3C">
        <w:rPr>
          <w:rFonts w:ascii="Verdana" w:hAnsi="Verdana"/>
          <w:sz w:val="20"/>
          <w:szCs w:val="20"/>
        </w:rPr>
        <w:t xml:space="preserve"> Las entidades señaladas en el artículo 368 de la Constitución Política podrán conceder subsidios en sus respectivos presupuestos </w:t>
      </w:r>
      <w:proofErr w:type="gramStart"/>
      <w:r w:rsidRPr="009C2F3C">
        <w:rPr>
          <w:rFonts w:ascii="Verdana" w:hAnsi="Verdana"/>
          <w:sz w:val="20"/>
          <w:szCs w:val="20"/>
        </w:rPr>
        <w:t>de acuerdo a</w:t>
      </w:r>
      <w:proofErr w:type="gramEnd"/>
      <w:r w:rsidRPr="009C2F3C">
        <w:rPr>
          <w:rFonts w:ascii="Verdana" w:hAnsi="Verdana"/>
          <w:sz w:val="20"/>
          <w:szCs w:val="20"/>
        </w:rPr>
        <w:t xml:space="preserve"> las siguientes reglas: </w:t>
      </w:r>
    </w:p>
    <w:p w14:paraId="7221A109"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99.1. Deben indicar específicamente el tipo de servicio subsidiado. </w:t>
      </w:r>
    </w:p>
    <w:p w14:paraId="0F2BC504"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99.2. Se señalará la entidad prestadora que repartirá el subsidio. </w:t>
      </w:r>
    </w:p>
    <w:p w14:paraId="1D31EFEA"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99.3. El reparto debe hacerse entre los usuarios como un descuento en el valor de la factura que éste debe cancelar, conforme a lo dispuesto en esta Ley y en las Ordenanzas y Acuerdos según el caso. </w:t>
      </w:r>
    </w:p>
    <w:p w14:paraId="1FCDA619"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 xml:space="preserve">93.4. El </w:t>
      </w:r>
      <w:proofErr w:type="gramStart"/>
      <w:r w:rsidRPr="009C2F3C">
        <w:rPr>
          <w:rFonts w:ascii="Verdana" w:hAnsi="Verdana"/>
          <w:sz w:val="20"/>
          <w:szCs w:val="20"/>
        </w:rPr>
        <w:t>Presidente</w:t>
      </w:r>
      <w:proofErr w:type="gramEnd"/>
      <w:r w:rsidRPr="009C2F3C">
        <w:rPr>
          <w:rFonts w:ascii="Verdana" w:hAnsi="Verdana"/>
          <w:sz w:val="20"/>
          <w:szCs w:val="20"/>
        </w:rPr>
        <w:t xml:space="preserve"> y los gobernadores podrán suspender a los alcaldes cuando sean negligentes en la aplicación de las normas relativas al pago de los subsidios; o cuando las infrinjan de cualquier otra manera. </w:t>
      </w:r>
    </w:p>
    <w:p w14:paraId="2F69C880"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99.5. Los subsidios no excederán, en ningún caso, del valor de los consumos básicos o de subsistencia. Los alcaldes y los concejales tomarán las medidas que a cada uno correspondan para crear en el presupuesto municipal, y ejecutar, apropiaciones para subsidiar los consumos básicos de acueducto de los usuarios de menores recursos y extender la cobertura y mejorar la calidad de los servicios de agua potable y saneamiento básico, dando prioridad a esas apropiaciones, dentro de las posibilidades del municipio, sobre otros gastos que no sean indispensables para el funcionamiento de éste. La infracción de este deber dará lugar a sanción disciplinaria. </w:t>
      </w:r>
    </w:p>
    <w:p w14:paraId="083DB1EB"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 xml:space="preserve">99.6. La parte de la tarifa que refleje los costos de administración, operación y mantenimiento a que dé lugar el suministro será </w:t>
      </w:r>
      <w:proofErr w:type="gramStart"/>
      <w:r w:rsidRPr="009C2F3C">
        <w:rPr>
          <w:rFonts w:ascii="Verdana" w:hAnsi="Verdana"/>
          <w:sz w:val="20"/>
          <w:szCs w:val="20"/>
        </w:rPr>
        <w:t>cubierta</w:t>
      </w:r>
      <w:proofErr w:type="gramEnd"/>
      <w:r w:rsidRPr="009C2F3C">
        <w:rPr>
          <w:rFonts w:ascii="Verdana" w:hAnsi="Verdana"/>
          <w:sz w:val="20"/>
          <w:szCs w:val="20"/>
        </w:rPr>
        <w:t xml:space="preserve"> siempre por el usuario; la que tenga el propósito de recuperar el valor de las inversiones hechas para prestar el servicio podrá ser cubierta por los subsidios, y siempre que no lo sean, la empresa de servicios públicos podrá tomar todas las medidas necesarias para que los usuarios las cubran. En ningún caso el subsidio será superior al 15% del costo medio del suministro para el estrato 3, al 40% del costo medio del suministro para el estrato 2, ni superior al 50% de éste para el estrato 1. </w:t>
      </w:r>
    </w:p>
    <w:p w14:paraId="41DF2890"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99.7. Los subsidios sólo se otorgarán a los usuarios de inmuebles residenciales y a las zonas rurales de los estratos 1 y 2; las comisiones de regulación definirán las condiciones para otorgarlos al estrato 3. </w:t>
      </w:r>
    </w:p>
    <w:p w14:paraId="2923EBE3"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 xml:space="preserve">99.8. Cuando los Concejos creen los fondos de solidaridad para subsidios y redistribución de ingresos y autoricen el pago de subsidios a través de las </w:t>
      </w:r>
      <w:proofErr w:type="gramStart"/>
      <w:r w:rsidRPr="009C2F3C">
        <w:rPr>
          <w:rFonts w:ascii="Verdana" w:hAnsi="Verdana"/>
          <w:sz w:val="20"/>
          <w:szCs w:val="20"/>
        </w:rPr>
        <w:t>empresas</w:t>
      </w:r>
      <w:proofErr w:type="gramEnd"/>
      <w:r w:rsidRPr="009C2F3C">
        <w:rPr>
          <w:rFonts w:ascii="Verdana" w:hAnsi="Verdana"/>
          <w:sz w:val="20"/>
          <w:szCs w:val="20"/>
        </w:rPr>
        <w:t xml:space="preserve"> pero con desembolsos de los recursos que manejen las tesorerías municipales, la transferencia de recursos se hará en un plazo de 30 días, contados desde la misma fecha en que se expida la factura a cargo del municipio. Para asegurar la transferencia, las empresas firmarán contratos con el municipio. </w:t>
      </w:r>
    </w:p>
    <w:p w14:paraId="621D398E"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sz w:val="20"/>
          <w:szCs w:val="20"/>
        </w:rPr>
        <w:t>99.9. Los subsidios que otorguen la Nación y los departamentos se asignarán, preferentemente, a los usuarios que residan en aquellos municipios que tengan menor capacidad para otorgar subsidios con sus propios ingresos. En consecuencia y con el fin de cumplir cabalmente con los principios de solidaridad y redistribución no existirá exoneración en el pago de los servicios de que trata esta Ley para ninguna persona natural o jurídica. </w:t>
      </w:r>
    </w:p>
    <w:p w14:paraId="1635F17A" w14:textId="77777777" w:rsidR="00813702" w:rsidRPr="009C2F3C" w:rsidRDefault="00813702" w:rsidP="00813702">
      <w:pPr>
        <w:pStyle w:val="Default"/>
        <w:ind w:left="709" w:right="709"/>
        <w:jc w:val="both"/>
        <w:rPr>
          <w:rFonts w:ascii="Verdana" w:hAnsi="Verdana"/>
          <w:sz w:val="20"/>
          <w:szCs w:val="20"/>
        </w:rPr>
      </w:pPr>
      <w:r w:rsidRPr="009C2F3C">
        <w:rPr>
          <w:rFonts w:ascii="Verdana" w:hAnsi="Verdana"/>
          <w:bCs/>
          <w:sz w:val="20"/>
          <w:szCs w:val="20"/>
        </w:rPr>
        <w:t>Parágrafo 1º.</w:t>
      </w:r>
      <w:r w:rsidRPr="009C2F3C">
        <w:rPr>
          <w:rFonts w:ascii="Verdana" w:hAnsi="Verdana"/>
          <w:sz w:val="20"/>
          <w:szCs w:val="20"/>
        </w:rPr>
        <w:t xml:space="preserve"> La tarifa del servicio público de electricidad para los distritos de riego construidos o administrados por el </w:t>
      </w:r>
      <w:proofErr w:type="spellStart"/>
      <w:r w:rsidRPr="009C2F3C">
        <w:rPr>
          <w:rFonts w:ascii="Verdana" w:hAnsi="Verdana"/>
          <w:sz w:val="20"/>
          <w:szCs w:val="20"/>
        </w:rPr>
        <w:t>Incora</w:t>
      </w:r>
      <w:proofErr w:type="spellEnd"/>
      <w:r w:rsidRPr="009C2F3C">
        <w:rPr>
          <w:rFonts w:ascii="Verdana" w:hAnsi="Verdana"/>
          <w:sz w:val="20"/>
          <w:szCs w:val="20"/>
        </w:rPr>
        <w:t xml:space="preserve"> y que sean menores a 50 hectáreas, se considerarán incorporados al estrato 1 para efecto de los subsidios a que haya lugar. </w:t>
      </w:r>
    </w:p>
    <w:p w14:paraId="2E7D9696" w14:textId="77777777" w:rsidR="00813702" w:rsidRDefault="00813702" w:rsidP="00813702">
      <w:pPr>
        <w:pStyle w:val="Default"/>
        <w:jc w:val="both"/>
        <w:rPr>
          <w:rFonts w:ascii="Verdana" w:hAnsi="Verdana"/>
          <w:sz w:val="22"/>
          <w:szCs w:val="22"/>
        </w:rPr>
      </w:pPr>
    </w:p>
    <w:p w14:paraId="2306B3FD" w14:textId="77777777" w:rsidR="00813702" w:rsidRDefault="00813702" w:rsidP="00813702">
      <w:pPr>
        <w:pStyle w:val="Default"/>
        <w:spacing w:line="276" w:lineRule="auto"/>
        <w:jc w:val="both"/>
        <w:rPr>
          <w:rFonts w:ascii="Verdana" w:hAnsi="Verdana"/>
          <w:sz w:val="22"/>
          <w:szCs w:val="22"/>
        </w:rPr>
      </w:pPr>
      <w:r>
        <w:rPr>
          <w:rFonts w:ascii="Verdana" w:hAnsi="Verdana"/>
          <w:sz w:val="22"/>
          <w:szCs w:val="22"/>
        </w:rPr>
        <w:tab/>
        <w:t>El numeral</w:t>
      </w:r>
      <w:r w:rsidRPr="00E94B76">
        <w:rPr>
          <w:rFonts w:ascii="Verdana" w:hAnsi="Verdana"/>
          <w:sz w:val="22"/>
          <w:szCs w:val="22"/>
        </w:rPr>
        <w:t xml:space="preserve"> 99.8 establece que, cuando los concejos municipales creen fondos de solidaridad para subsidios y redistribución de ingresos y autoricen que las empresas paguen dichos subsidios con recursos administrados por las tesorerías municipales, la transferencia de esos recursos debe realizarse en un plazo máximo de 30 días contados desde la fecha de expedición de la factura correspondiente al municipio. Para garantizar el cumplimiento de esta obligación, las empresas deben suscribir contratos con el municipio, lo que asegura un marco jurídico y administrativo que respalde la transferencia oportuna de los fondos destinados a los subsidios.</w:t>
      </w:r>
      <w:r>
        <w:rPr>
          <w:rFonts w:ascii="Verdana" w:hAnsi="Verdana"/>
          <w:sz w:val="22"/>
          <w:szCs w:val="22"/>
        </w:rPr>
        <w:t xml:space="preserve"> De otro lado, el artículo 11 de la Ley 1176 de 2007 dispone:</w:t>
      </w:r>
    </w:p>
    <w:p w14:paraId="5333ACED" w14:textId="77777777" w:rsidR="00813702" w:rsidRDefault="00813702" w:rsidP="00813702">
      <w:pPr>
        <w:pStyle w:val="Default"/>
        <w:spacing w:line="276" w:lineRule="auto"/>
        <w:jc w:val="both"/>
        <w:rPr>
          <w:rFonts w:ascii="Verdana" w:hAnsi="Verdana"/>
          <w:sz w:val="22"/>
          <w:szCs w:val="22"/>
        </w:rPr>
      </w:pPr>
    </w:p>
    <w:p w14:paraId="007DECE6" w14:textId="77777777" w:rsidR="00813702" w:rsidRPr="00AA5DB3" w:rsidRDefault="00813702" w:rsidP="00813702">
      <w:pPr>
        <w:pStyle w:val="Default"/>
        <w:ind w:left="709" w:right="709"/>
        <w:jc w:val="both"/>
        <w:rPr>
          <w:rFonts w:ascii="Verdana" w:hAnsi="Verdana"/>
          <w:sz w:val="20"/>
          <w:szCs w:val="20"/>
        </w:rPr>
      </w:pPr>
      <w:bookmarkStart w:id="2" w:name="11"/>
      <w:r w:rsidRPr="00AA5DB3">
        <w:rPr>
          <w:rFonts w:ascii="Verdana" w:hAnsi="Verdana"/>
          <w:sz w:val="20"/>
          <w:szCs w:val="20"/>
        </w:rPr>
        <w:t>ARTÍCULO 11. DESTINACIÓN DE LOS RECURSOS DE LA PARTICIPACIÓN DE AGUA POTABLE Y SANEAMIENTO BÁSICO EN LOS DISTRITOS Y MUNICIPIOS.</w:t>
      </w:r>
      <w:bookmarkEnd w:id="2"/>
      <w:r w:rsidRPr="00AA5DB3">
        <w:rPr>
          <w:rFonts w:ascii="Verdana" w:hAnsi="Verdana"/>
          <w:sz w:val="20"/>
          <w:szCs w:val="20"/>
        </w:rPr>
        <w:t xml:space="preserve"> Los recursos del Sistema General de Participaciones para agua potable y saneamiento básico que se asignen a los distritos y </w:t>
      </w:r>
      <w:proofErr w:type="gramStart"/>
      <w:r w:rsidRPr="00AA5DB3">
        <w:rPr>
          <w:rFonts w:ascii="Verdana" w:hAnsi="Verdana"/>
          <w:sz w:val="20"/>
          <w:szCs w:val="20"/>
        </w:rPr>
        <w:t>municipios,</w:t>
      </w:r>
      <w:proofErr w:type="gramEnd"/>
      <w:r w:rsidRPr="00AA5DB3">
        <w:rPr>
          <w:rFonts w:ascii="Verdana" w:hAnsi="Verdana"/>
          <w:sz w:val="20"/>
          <w:szCs w:val="20"/>
        </w:rPr>
        <w:t xml:space="preserve"> se destinarán a financiar la prestación de los servicios públicos domiciliarios de agua potable y saneamiento básico, en las siguientes actividades:</w:t>
      </w:r>
    </w:p>
    <w:p w14:paraId="79F5DD23"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a) Los subsidios que se otorguen a los estratos subsidiables de acuerdo con lo dispuesto en la normatividad vigente;</w:t>
      </w:r>
    </w:p>
    <w:p w14:paraId="683180A6"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b) Pago del servicio de la deuda originado en el financiamiento de proyectos del sector de agua potable y saneamiento básico, mediante la pignoración de los recursos asignados y demás operaciones financieras autorizadas por la ley;</w:t>
      </w:r>
    </w:p>
    <w:p w14:paraId="4E214C20"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 xml:space="preserve">c) </w:t>
      </w:r>
      <w:proofErr w:type="spellStart"/>
      <w:r w:rsidRPr="00AA5DB3">
        <w:rPr>
          <w:rFonts w:ascii="Verdana" w:hAnsi="Verdana"/>
          <w:sz w:val="20"/>
          <w:szCs w:val="20"/>
        </w:rPr>
        <w:t>Preinversión</w:t>
      </w:r>
      <w:proofErr w:type="spellEnd"/>
      <w:r w:rsidRPr="00AA5DB3">
        <w:rPr>
          <w:rFonts w:ascii="Verdana" w:hAnsi="Verdana"/>
          <w:sz w:val="20"/>
          <w:szCs w:val="20"/>
        </w:rPr>
        <w:t xml:space="preserve"> en diseños, estudios e interventorías para proyectos del sector de agua potable y saneamiento básico;</w:t>
      </w:r>
    </w:p>
    <w:p w14:paraId="6E725013"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d) Formulación, implantación y acciones de fortalecimiento de esquemas organizacionales para la administración y operación de los servicios de acueducto, alcantarillado y aseo, en las zonas urbana y rural;</w:t>
      </w:r>
    </w:p>
    <w:p w14:paraId="3276CAAF"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e) Construcción, ampliación, optimización y mejoramiento de los sistemas de acueducto y alcantarillado, e inversión para la prestación del servicio público de aseo;</w:t>
      </w:r>
    </w:p>
    <w:p w14:paraId="124A7711"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 xml:space="preserve">f) Programas de macro y </w:t>
      </w:r>
      <w:proofErr w:type="spellStart"/>
      <w:r w:rsidRPr="00AA5DB3">
        <w:rPr>
          <w:rFonts w:ascii="Verdana" w:hAnsi="Verdana"/>
          <w:sz w:val="20"/>
          <w:szCs w:val="20"/>
        </w:rPr>
        <w:t>micromedición</w:t>
      </w:r>
      <w:proofErr w:type="spellEnd"/>
      <w:r w:rsidRPr="00AA5DB3">
        <w:rPr>
          <w:rFonts w:ascii="Verdana" w:hAnsi="Verdana"/>
          <w:sz w:val="20"/>
          <w:szCs w:val="20"/>
        </w:rPr>
        <w:t>;</w:t>
      </w:r>
    </w:p>
    <w:p w14:paraId="4DC67255" w14:textId="77777777" w:rsidR="00813702" w:rsidRPr="00AA5DB3" w:rsidRDefault="00813702" w:rsidP="00813702">
      <w:pPr>
        <w:pStyle w:val="Default"/>
        <w:ind w:left="709" w:right="709"/>
        <w:jc w:val="both"/>
        <w:rPr>
          <w:rFonts w:ascii="Verdana" w:hAnsi="Verdana"/>
          <w:sz w:val="20"/>
          <w:szCs w:val="20"/>
        </w:rPr>
      </w:pPr>
      <w:r w:rsidRPr="00AA5DB3">
        <w:rPr>
          <w:rFonts w:ascii="Verdana" w:hAnsi="Verdana"/>
          <w:sz w:val="20"/>
          <w:szCs w:val="20"/>
        </w:rPr>
        <w:t>g) Programas de reducción de agua no contabilizada;</w:t>
      </w:r>
    </w:p>
    <w:p w14:paraId="511D18B2" w14:textId="77777777" w:rsidR="00813702" w:rsidRDefault="00813702" w:rsidP="00813702">
      <w:pPr>
        <w:pStyle w:val="Default"/>
        <w:spacing w:line="276" w:lineRule="auto"/>
        <w:jc w:val="both"/>
        <w:rPr>
          <w:rFonts w:ascii="Verdana" w:hAnsi="Verdana"/>
          <w:sz w:val="22"/>
          <w:szCs w:val="22"/>
        </w:rPr>
      </w:pPr>
    </w:p>
    <w:p w14:paraId="64493B21" w14:textId="77777777" w:rsidR="00813702" w:rsidRPr="005A7504" w:rsidRDefault="00813702" w:rsidP="00813702">
      <w:pPr>
        <w:pStyle w:val="Default"/>
        <w:spacing w:after="120" w:line="276" w:lineRule="auto"/>
        <w:jc w:val="both"/>
        <w:rPr>
          <w:rFonts w:ascii="Verdana" w:hAnsi="Verdana"/>
          <w:sz w:val="22"/>
          <w:szCs w:val="22"/>
        </w:rPr>
      </w:pPr>
      <w:r>
        <w:rPr>
          <w:rFonts w:ascii="Verdana" w:hAnsi="Verdana"/>
          <w:sz w:val="22"/>
          <w:szCs w:val="22"/>
        </w:rPr>
        <w:t xml:space="preserve"> </w:t>
      </w:r>
      <w:r>
        <w:rPr>
          <w:rFonts w:ascii="Verdana" w:hAnsi="Verdana"/>
          <w:sz w:val="22"/>
          <w:szCs w:val="22"/>
        </w:rPr>
        <w:tab/>
        <w:t xml:space="preserve">Siguiendo esta línea, el artículo 2.3.4.1.2.11 del Decreto 1077 de 2015 prescribe: </w:t>
      </w:r>
    </w:p>
    <w:p w14:paraId="686E525A" w14:textId="77777777" w:rsidR="00813702" w:rsidRPr="004D5C33" w:rsidRDefault="00813702" w:rsidP="00813702">
      <w:pPr>
        <w:pStyle w:val="Default"/>
        <w:ind w:left="709" w:right="709"/>
        <w:jc w:val="both"/>
        <w:rPr>
          <w:rFonts w:ascii="Verdana" w:hAnsi="Verdana"/>
          <w:sz w:val="20"/>
          <w:szCs w:val="20"/>
        </w:rPr>
      </w:pPr>
      <w:r w:rsidRPr="004D5C33">
        <w:rPr>
          <w:rFonts w:ascii="Verdana" w:hAnsi="Verdana"/>
          <w:bCs/>
          <w:sz w:val="20"/>
          <w:szCs w:val="20"/>
        </w:rPr>
        <w:t>Artículo 2.3.4.1.2.11. </w:t>
      </w:r>
      <w:r w:rsidRPr="004D5C33">
        <w:rPr>
          <w:rFonts w:ascii="Verdana" w:hAnsi="Verdana"/>
          <w:bCs/>
          <w:i/>
          <w:iCs/>
          <w:sz w:val="20"/>
          <w:szCs w:val="20"/>
        </w:rPr>
        <w:t>Transferencias de dinero de las entidades territoriales</w:t>
      </w:r>
      <w:r w:rsidRPr="004D5C33">
        <w:rPr>
          <w:rFonts w:ascii="Verdana" w:hAnsi="Verdana"/>
          <w:i/>
          <w:iCs/>
          <w:sz w:val="20"/>
          <w:szCs w:val="20"/>
        </w:rPr>
        <w:t>. </w:t>
      </w:r>
      <w:r w:rsidRPr="004D5C33">
        <w:rPr>
          <w:rFonts w:ascii="Verdana" w:hAnsi="Verdana"/>
          <w:sz w:val="20"/>
          <w:szCs w:val="20"/>
        </w:rPr>
        <w:t xml:space="preserve">Las transferencias de dinero de las entidades territoriales a los Fondos de Solidaridad y Redistribución de Ingresos por concepto de </w:t>
      </w:r>
      <w:proofErr w:type="gramStart"/>
      <w:r w:rsidRPr="004D5C33">
        <w:rPr>
          <w:rFonts w:ascii="Verdana" w:hAnsi="Verdana"/>
          <w:sz w:val="20"/>
          <w:szCs w:val="20"/>
        </w:rPr>
        <w:t>subsidios,</w:t>
      </w:r>
      <w:proofErr w:type="gramEnd"/>
      <w:r w:rsidRPr="004D5C33">
        <w:rPr>
          <w:rFonts w:ascii="Verdana" w:hAnsi="Verdana"/>
          <w:sz w:val="20"/>
          <w:szCs w:val="20"/>
        </w:rPr>
        <w:t xml:space="preserve"> deberán ser giradas a la entidad prestadora del servicio público para la aplicación de los subsidios, en un plazo de treinta días, contados desde la misma fecha en que la entidad prestadora expida la factura a cargo del municipio (artículo 99.8 de la Ley 142 de 1994). </w:t>
      </w:r>
    </w:p>
    <w:p w14:paraId="6B5A4014" w14:textId="77777777" w:rsidR="00813702" w:rsidRPr="004D5C33" w:rsidRDefault="00813702" w:rsidP="00813702">
      <w:pPr>
        <w:pStyle w:val="Default"/>
        <w:ind w:left="709" w:right="709"/>
        <w:jc w:val="both"/>
        <w:rPr>
          <w:rFonts w:ascii="Verdana" w:hAnsi="Verdana"/>
          <w:sz w:val="20"/>
          <w:szCs w:val="20"/>
        </w:rPr>
      </w:pPr>
    </w:p>
    <w:p w14:paraId="00592300" w14:textId="77777777" w:rsidR="00813702" w:rsidRPr="004D5C33" w:rsidRDefault="00813702" w:rsidP="00813702">
      <w:pPr>
        <w:pStyle w:val="Default"/>
        <w:ind w:left="709" w:right="709"/>
        <w:jc w:val="both"/>
        <w:rPr>
          <w:rFonts w:ascii="Verdana" w:hAnsi="Verdana"/>
          <w:sz w:val="20"/>
          <w:szCs w:val="20"/>
        </w:rPr>
      </w:pPr>
      <w:r w:rsidRPr="004D5C33">
        <w:rPr>
          <w:rFonts w:ascii="Verdana" w:hAnsi="Verdana"/>
          <w:sz w:val="20"/>
          <w:szCs w:val="20"/>
        </w:rPr>
        <w:t>Para asegurar esta transferencia, los recursos destinados a otorgar subsidios, y que provengan de las tesorerías de las entidades territoriales, deberán ceñirse en su manejo a lo que se estipule en el contrato que para el efecto debe suscribirse entre el municipio, distrito, o departamento y las entidades encargadas de la prestación de los servicios públicos, en el que, entre otros, se establecerán los intereses de mora. </w:t>
      </w:r>
    </w:p>
    <w:p w14:paraId="76A0617B" w14:textId="77777777" w:rsidR="00813702" w:rsidRPr="004D5C33" w:rsidRDefault="00813702" w:rsidP="00813702">
      <w:pPr>
        <w:pStyle w:val="Default"/>
        <w:ind w:left="709" w:right="709"/>
        <w:jc w:val="both"/>
        <w:rPr>
          <w:rFonts w:ascii="Verdana" w:hAnsi="Verdana"/>
          <w:sz w:val="20"/>
          <w:szCs w:val="20"/>
        </w:rPr>
      </w:pPr>
    </w:p>
    <w:p w14:paraId="01C8AB84" w14:textId="77777777" w:rsidR="00813702" w:rsidRDefault="00813702" w:rsidP="00813702">
      <w:pPr>
        <w:pStyle w:val="Default"/>
        <w:ind w:left="709" w:right="709"/>
        <w:jc w:val="both"/>
        <w:rPr>
          <w:rFonts w:ascii="Verdana" w:hAnsi="Verdana"/>
          <w:sz w:val="20"/>
          <w:szCs w:val="20"/>
        </w:rPr>
      </w:pPr>
      <w:r w:rsidRPr="004D5C33">
        <w:rPr>
          <w:rFonts w:ascii="Verdana" w:hAnsi="Verdana"/>
          <w:sz w:val="20"/>
          <w:szCs w:val="20"/>
        </w:rPr>
        <w:t>Los alcaldes y concejales deberán dar prioridad a las apropiaciones para los servicios de acueducto y alcantarillado, sobre otros gastos que no sean indispensables para el funcionamiento del ente territorial respectivo (artículo 99.5 de la Ley 142 de 1994). </w:t>
      </w:r>
    </w:p>
    <w:p w14:paraId="0A68A42C" w14:textId="77777777" w:rsidR="00813702" w:rsidRPr="004D5C33" w:rsidRDefault="00813702" w:rsidP="00813702">
      <w:pPr>
        <w:pStyle w:val="Default"/>
        <w:ind w:left="709" w:right="709"/>
        <w:jc w:val="both"/>
        <w:rPr>
          <w:rFonts w:ascii="Verdana" w:hAnsi="Verdana"/>
          <w:sz w:val="20"/>
          <w:szCs w:val="20"/>
        </w:rPr>
      </w:pPr>
    </w:p>
    <w:p w14:paraId="6B6EEED2" w14:textId="77777777" w:rsidR="00813702" w:rsidRPr="003C5FD9" w:rsidRDefault="00813702" w:rsidP="00813702">
      <w:pPr>
        <w:pStyle w:val="Default"/>
        <w:spacing w:after="120" w:line="276" w:lineRule="auto"/>
        <w:ind w:firstLine="709"/>
        <w:jc w:val="both"/>
        <w:rPr>
          <w:rFonts w:ascii="Verdana" w:hAnsi="Verdana"/>
          <w:color w:val="auto"/>
          <w:sz w:val="22"/>
          <w:szCs w:val="22"/>
        </w:rPr>
      </w:pPr>
      <w:r w:rsidRPr="003C5FD9">
        <w:rPr>
          <w:rFonts w:ascii="Verdana" w:hAnsi="Verdana"/>
          <w:color w:val="auto"/>
          <w:sz w:val="22"/>
          <w:szCs w:val="22"/>
        </w:rPr>
        <w:t xml:space="preserve">En este aspecto, se precisa que para el caso de los municipios y distritos certificados esta obligación corresponde a estas entidades territoriales, pero para los municipios o distritos descertificados, este deber está bajo la competencia de los departamentos, </w:t>
      </w:r>
      <w:r>
        <w:rPr>
          <w:rFonts w:ascii="Verdana" w:hAnsi="Verdana"/>
          <w:color w:val="auto"/>
          <w:sz w:val="22"/>
          <w:szCs w:val="22"/>
        </w:rPr>
        <w:t>con la condición de que</w:t>
      </w:r>
      <w:r w:rsidRPr="003C5FD9">
        <w:rPr>
          <w:rFonts w:ascii="Verdana" w:hAnsi="Verdana"/>
          <w:color w:val="auto"/>
          <w:sz w:val="22"/>
          <w:szCs w:val="22"/>
        </w:rPr>
        <w:t xml:space="preserve"> los recursos que garanticen la transferencia de subsidios correspondan a la fuente del SGP-APSB, conforme a lo prescrito en el artículo 2.3.5.1.2.2.14 del Decreto 1077 de 2015</w:t>
      </w:r>
      <w:r w:rsidRPr="003C5FD9">
        <w:rPr>
          <w:rStyle w:val="Refdenotaalpie"/>
          <w:rFonts w:ascii="Verdana" w:hAnsi="Verdana"/>
          <w:color w:val="auto"/>
          <w:sz w:val="22"/>
          <w:szCs w:val="22"/>
        </w:rPr>
        <w:footnoteReference w:id="17"/>
      </w:r>
      <w:r>
        <w:rPr>
          <w:rFonts w:ascii="Verdana" w:hAnsi="Verdana"/>
          <w:color w:val="auto"/>
          <w:sz w:val="22"/>
          <w:szCs w:val="22"/>
        </w:rPr>
        <w:t>.</w:t>
      </w:r>
    </w:p>
    <w:p w14:paraId="19CCE006" w14:textId="77777777" w:rsidR="00813702" w:rsidRDefault="00813702" w:rsidP="00813702">
      <w:pPr>
        <w:spacing w:after="120" w:line="276" w:lineRule="auto"/>
        <w:ind w:firstLine="709"/>
        <w:jc w:val="both"/>
        <w:rPr>
          <w:rFonts w:ascii="Verdana" w:hAnsi="Verdana"/>
        </w:rPr>
      </w:pPr>
      <w:r w:rsidRPr="003C5FD9">
        <w:rPr>
          <w:rFonts w:ascii="Verdana" w:hAnsi="Verdana"/>
        </w:rPr>
        <w:t xml:space="preserve">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63BB068B" w14:textId="77777777" w:rsidR="00813702" w:rsidRDefault="00813702" w:rsidP="00813702">
      <w:pPr>
        <w:spacing w:after="120" w:line="276" w:lineRule="auto"/>
        <w:ind w:firstLine="709"/>
        <w:jc w:val="both"/>
        <w:rPr>
          <w:rFonts w:ascii="Verdana" w:hAnsi="Verdana"/>
        </w:rPr>
      </w:pPr>
      <w:r>
        <w:rPr>
          <w:rFonts w:ascii="Verdana" w:hAnsi="Verdana"/>
        </w:rPr>
        <w:t>En este escenario, l</w:t>
      </w:r>
      <w:r w:rsidRPr="00055945">
        <w:rPr>
          <w:rFonts w:ascii="Verdana" w:hAnsi="Verdana"/>
        </w:rPr>
        <w:t>a naturaleza de los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conforme a lo establecido en el numeral 2 del artículo 38 de la Ley 489 de 1998 y a lo reiterado por la Corte Constitucional en la Sentencia C-736 de 2008, lo que les otorga un carácter especial dentro de la estructura administrativa del Estad</w:t>
      </w:r>
      <w:r>
        <w:rPr>
          <w:rFonts w:ascii="Verdana" w:hAnsi="Verdana"/>
        </w:rPr>
        <w:t xml:space="preserve">o. </w:t>
      </w:r>
    </w:p>
    <w:p w14:paraId="18F6DD76" w14:textId="77777777" w:rsidR="00813702" w:rsidRDefault="00813702" w:rsidP="00813702">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Pr>
          <w:rFonts w:ascii="Verdana" w:hAnsi="Verdana"/>
        </w:rPr>
        <w:t>y</w:t>
      </w:r>
      <w:proofErr w:type="gramEnd"/>
      <w:r>
        <w:rPr>
          <w:rFonts w:ascii="Verdana" w:hAnsi="Verdana"/>
        </w:rPr>
        <w:t xml:space="preserve"> por ende, sus condiciones se encuentran sujetas a la autonomía de la voluntad de las partes que lo suscriben, lo cual debe plasmarse en el texto contractual”. </w:t>
      </w:r>
    </w:p>
    <w:p w14:paraId="519ABEF9" w14:textId="77777777" w:rsidR="00813702" w:rsidRDefault="00813702" w:rsidP="00813702">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389D3EC2" w14:textId="77777777" w:rsidR="00813702" w:rsidRDefault="00813702" w:rsidP="00813702">
      <w:pPr>
        <w:spacing w:after="120"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similares</w:t>
      </w:r>
      <w:r w:rsidRPr="00055945">
        <w:rPr>
          <w:rFonts w:ascii="Verdana" w:hAnsi="Verdana"/>
        </w:rPr>
        <w:t>.</w:t>
      </w:r>
      <w:r>
        <w:rPr>
          <w:rFonts w:ascii="Verdana" w:hAnsi="Verdana"/>
        </w:rPr>
        <w:t xml:space="preserve"> </w:t>
      </w:r>
    </w:p>
    <w:p w14:paraId="037D6C53" w14:textId="77777777" w:rsidR="00813702" w:rsidRPr="00286BBA" w:rsidRDefault="00813702" w:rsidP="00813702">
      <w:pPr>
        <w:spacing w:after="120" w:line="276" w:lineRule="auto"/>
        <w:ind w:firstLine="709"/>
        <w:jc w:val="both"/>
        <w:rPr>
          <w:rFonts w:ascii="Verdana" w:hAnsi="Verdana"/>
        </w:rPr>
      </w:pPr>
      <w:r>
        <w:rPr>
          <w:rFonts w:ascii="Verdana" w:hAnsi="Verdana"/>
        </w:rPr>
        <w:t xml:space="preserve">Ahora bien, en relación con las </w:t>
      </w:r>
      <w:r w:rsidRPr="00E2397D">
        <w:rPr>
          <w:rFonts w:ascii="Verdana" w:eastAsia="Arial" w:hAnsi="Verdana" w:cs="Arial"/>
          <w:lang w:val="es-ES" w:eastAsia="es-ES" w:bidi="es-ES"/>
        </w:rPr>
        <w:t xml:space="preserve">restricciones consagradas en la Ley </w:t>
      </w:r>
      <w:r>
        <w:rPr>
          <w:rFonts w:ascii="Verdana" w:eastAsia="Arial" w:hAnsi="Verdana" w:cs="Arial"/>
          <w:lang w:val="es-ES" w:eastAsia="es-ES" w:bidi="es-ES"/>
        </w:rPr>
        <w:t xml:space="preserve">de garantías es de precisar que estas se </w:t>
      </w:r>
      <w:r w:rsidRPr="00E2397D">
        <w:rPr>
          <w:rFonts w:ascii="Verdana" w:eastAsia="Arial" w:hAnsi="Verdana" w:cs="Arial"/>
          <w:lang w:val="es-ES" w:eastAsia="es-ES" w:bidi="es-ES"/>
        </w:rPr>
        <w:t>dirigen a dos (2) tipos de campañas electorales claramente diferenciadas: las presidenciales y las demás que se adelanten para la elección de los demás cargos de elección popular, tanto a nivel nacional como territorial.</w:t>
      </w:r>
    </w:p>
    <w:p w14:paraId="7DB16971" w14:textId="77777777" w:rsidR="00813702" w:rsidRPr="00E2397D" w:rsidRDefault="00813702" w:rsidP="00813702">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18"/>
      </w:r>
      <w:r w:rsidRPr="00E2397D">
        <w:rPr>
          <w:rFonts w:ascii="Verdana" w:eastAsia="Calibri" w:hAnsi="Verdana" w:cs="Arial"/>
        </w:rPr>
        <w:t>.</w:t>
      </w:r>
    </w:p>
    <w:p w14:paraId="1A270439" w14:textId="77777777" w:rsidR="00813702" w:rsidRDefault="00813702" w:rsidP="00813702">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1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5D9AF09" w14:textId="77777777" w:rsidR="00813702" w:rsidRDefault="00813702" w:rsidP="00813702">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B1CCC2D" w14:textId="77777777" w:rsidR="00813702" w:rsidRDefault="00813702" w:rsidP="00813702">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AD1C75E" w14:textId="77777777" w:rsidR="00813702" w:rsidRDefault="00813702" w:rsidP="00813702">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CDA4613" w14:textId="77777777" w:rsidR="00813702" w:rsidRPr="00286BBA" w:rsidRDefault="00813702" w:rsidP="00813702">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vigor de las prohibiciones anotadas, así como la cesión de estos,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2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0CBF3A72" w14:textId="77777777" w:rsidR="00813702" w:rsidRPr="00E2397D" w:rsidRDefault="00813702" w:rsidP="0081370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5" w:name="_Hlk76109421"/>
      <w:r w:rsidRPr="00E2397D">
        <w:rPr>
          <w:rFonts w:ascii="Verdana" w:eastAsia="Arial" w:hAnsi="Verdana" w:cs="Arial"/>
          <w:sz w:val="20"/>
          <w:szCs w:val="20"/>
          <w:lang w:eastAsia="es-ES" w:bidi="es-ES"/>
        </w:rPr>
        <w:t>se integran parcialmente</w:t>
      </w:r>
      <w:bookmarkEnd w:id="5"/>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21"/>
      </w:r>
    </w:p>
    <w:p w14:paraId="1F31DE7D" w14:textId="77777777" w:rsidR="00813702" w:rsidRPr="00E2397D" w:rsidRDefault="00813702" w:rsidP="00813702">
      <w:pPr>
        <w:widowControl w:val="0"/>
        <w:autoSpaceDE w:val="0"/>
        <w:autoSpaceDN w:val="0"/>
        <w:spacing w:after="0" w:line="276" w:lineRule="auto"/>
        <w:contextualSpacing/>
        <w:rPr>
          <w:rFonts w:ascii="Verdana" w:eastAsia="Arial" w:hAnsi="Verdana" w:cs="Arial"/>
          <w:lang w:val="es-ES" w:eastAsia="es-ES" w:bidi="es-ES"/>
        </w:rPr>
      </w:pPr>
    </w:p>
    <w:p w14:paraId="5731284B" w14:textId="77777777" w:rsidR="00813702" w:rsidRPr="00E2397D" w:rsidRDefault="00813702" w:rsidP="0081370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6" w:name="_Hlk77236420"/>
      <w:bookmarkStart w:id="7" w:name="_Hlk78818435"/>
      <w:bookmarkStart w:id="8"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6"/>
    </w:p>
    <w:bookmarkEnd w:id="7"/>
    <w:p w14:paraId="13E398A5" w14:textId="77777777" w:rsidR="00813702" w:rsidRPr="00E2397D" w:rsidRDefault="00813702" w:rsidP="0081370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8"/>
    <w:p w14:paraId="1D63ABCA" w14:textId="77777777" w:rsidR="00813702" w:rsidRDefault="00813702" w:rsidP="0081370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13C2208E" w14:textId="77777777" w:rsidR="00813702" w:rsidRDefault="00813702" w:rsidP="00813702">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2"/>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aplica, sin perjuicio de las excepciones establecidas en la misma ley, para celebrar cualquier contrato de forma directa, esto es, sin que exista un proceso abierto y competitivo.</w:t>
      </w:r>
    </w:p>
    <w:p w14:paraId="19679598" w14:textId="77777777" w:rsidR="00813702" w:rsidRDefault="00813702" w:rsidP="00813702">
      <w:pPr>
        <w:spacing w:after="120" w:line="276" w:lineRule="auto"/>
        <w:ind w:firstLine="708"/>
        <w:jc w:val="both"/>
        <w:rPr>
          <w:rFonts w:ascii="Verdana" w:eastAsia="Times New Roman" w:hAnsi="Verdana" w:cs="Arial"/>
          <w:bCs/>
          <w:lang w:val="es-MX" w:eastAsia="es-CO"/>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w:t>
      </w:r>
    </w:p>
    <w:p w14:paraId="35E2AFED" w14:textId="77777777" w:rsidR="00813702" w:rsidRDefault="00813702" w:rsidP="00813702">
      <w:pPr>
        <w:spacing w:after="120" w:line="276" w:lineRule="auto"/>
        <w:ind w:firstLine="709"/>
        <w:jc w:val="both"/>
        <w:rPr>
          <w:rFonts w:ascii="Verdana" w:eastAsia="Times New Roman" w:hAnsi="Verdana" w:cs="Times New Roman"/>
          <w:iCs/>
          <w:lang w:val="es-ES" w:eastAsia="es-ES"/>
        </w:rPr>
      </w:pPr>
      <w:r w:rsidRPr="00B2403B">
        <w:rPr>
          <w:rFonts w:ascii="Verdana" w:eastAsia="Times New Roman" w:hAnsi="Verdana" w:cs="Arial"/>
          <w:bCs/>
          <w:lang w:val="es-MX" w:eastAsia="es-CO"/>
        </w:rPr>
        <w:t xml:space="preserve">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5483EA6B" w14:textId="77777777" w:rsidR="00813702" w:rsidRPr="00FD66D5" w:rsidRDefault="00813702" w:rsidP="00813702">
      <w:pPr>
        <w:spacing w:after="120" w:line="276" w:lineRule="auto"/>
        <w:ind w:firstLine="709"/>
        <w:jc w:val="both"/>
        <w:rPr>
          <w:rFonts w:ascii="Verdana" w:eastAsia="Times New Roman" w:hAnsi="Verdana" w:cs="Times New Roman"/>
          <w:i/>
          <w:iCs/>
          <w:lang w:val="es-ES" w:eastAsia="es-ES"/>
        </w:rPr>
      </w:pPr>
      <w:r>
        <w:rPr>
          <w:rFonts w:ascii="Verdana" w:eastAsia="Times New Roman" w:hAnsi="Verdana" w:cs="Arial"/>
          <w:bCs/>
          <w:lang w:val="es-MX" w:eastAsia="es-CO"/>
        </w:rPr>
        <w:t>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interadministrativo no es aplicable a los contratos interadministrativos, pues son instituciones totalmente diferentes</w:t>
      </w:r>
      <w:r>
        <w:rPr>
          <w:rStyle w:val="Refdenotaalpie"/>
          <w:rFonts w:ascii="Verdana" w:eastAsia="Times New Roman" w:hAnsi="Verdana" w:cs="Arial"/>
          <w:bCs/>
          <w:lang w:val="es-MX" w:eastAsia="es-CO"/>
        </w:rPr>
        <w:footnoteReference w:id="23"/>
      </w:r>
      <w:r>
        <w:rPr>
          <w:rFonts w:ascii="Verdana" w:eastAsia="Times New Roman" w:hAnsi="Verdana" w:cs="Arial"/>
          <w:bCs/>
          <w:lang w:val="es-MX" w:eastAsia="es-CO"/>
        </w:rPr>
        <w:t xml:space="preserve">. </w:t>
      </w:r>
    </w:p>
    <w:p w14:paraId="63C4E41C" w14:textId="77777777" w:rsidR="00813702" w:rsidRDefault="00813702" w:rsidP="00813702">
      <w:pPr>
        <w:spacing w:after="0" w:line="276" w:lineRule="auto"/>
        <w:ind w:firstLine="709"/>
        <w:jc w:val="both"/>
        <w:rPr>
          <w:rFonts w:ascii="Verdana" w:eastAsia="Calibri" w:hAnsi="Verdana" w:cs="Times New Roman"/>
          <w:iCs/>
        </w:rPr>
      </w:pPr>
      <w:r>
        <w:rPr>
          <w:rFonts w:ascii="Verdana" w:hAnsi="Verdana"/>
        </w:rPr>
        <w:t>Teniendo en cuenta lo expuesto, la Superintendencia de Servicios Públicos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Este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eastAsia="Calibri" w:hAnsi="Verdana" w:cs="Times New Roman"/>
          <w:iCs/>
        </w:rPr>
        <w:t xml:space="preserve"> En tal sentido, la Superintendencia en varios de sus conceptos expresa: </w:t>
      </w:r>
    </w:p>
    <w:p w14:paraId="136FECD4" w14:textId="77777777" w:rsidR="00813702" w:rsidRDefault="00813702" w:rsidP="00813702">
      <w:pPr>
        <w:spacing w:after="0" w:line="240" w:lineRule="auto"/>
        <w:ind w:left="709" w:right="709"/>
        <w:jc w:val="both"/>
        <w:rPr>
          <w:rFonts w:ascii="Verdana" w:hAnsi="Verdana"/>
          <w:sz w:val="20"/>
          <w:szCs w:val="20"/>
        </w:rPr>
      </w:pPr>
    </w:p>
    <w:p w14:paraId="47DD2EA6" w14:textId="77777777" w:rsidR="00813702" w:rsidRPr="00B30F07" w:rsidRDefault="00813702" w:rsidP="00813702">
      <w:pPr>
        <w:spacing w:after="0" w:line="240" w:lineRule="auto"/>
        <w:ind w:left="709" w:right="709"/>
        <w:jc w:val="both"/>
        <w:rPr>
          <w:rFonts w:ascii="Verdana" w:hAnsi="Verdana"/>
          <w:sz w:val="20"/>
          <w:szCs w:val="20"/>
        </w:rPr>
      </w:pPr>
      <w:r w:rsidRPr="00B30F07">
        <w:rPr>
          <w:rFonts w:ascii="Verdana" w:hAnsi="Verdana"/>
          <w:sz w:val="20"/>
          <w:szCs w:val="20"/>
        </w:rPr>
        <w:t xml:space="preserve">Esta Oficina considera que aquellos acuerdos, convenios e instrumentos necesarios para garantizar la prestación de los servicios públicos, así como los contratos que se suscriben entre la empresa y el usuario con el fin de asegurar dicha prestación, deben ser interpretados a la luz de principios y fines que son superiores a los que persigue la propia Ley 996 de 2005, tales como la esencialidad de los servicios públicos domiciliarios, que precisamente busca evitar que la interrupción de esos servicios afecte o vulnere derechos fundamentales de las personas y que se cumplan los cometidos constitucionales y legales'. </w:t>
      </w:r>
    </w:p>
    <w:p w14:paraId="0B536189" w14:textId="77777777" w:rsidR="00813702" w:rsidRPr="00B30F07" w:rsidRDefault="00813702" w:rsidP="00813702">
      <w:pPr>
        <w:spacing w:after="0" w:line="240" w:lineRule="auto"/>
        <w:ind w:left="709" w:right="709"/>
        <w:jc w:val="both"/>
        <w:rPr>
          <w:rFonts w:ascii="Verdana" w:hAnsi="Verdana"/>
          <w:sz w:val="20"/>
          <w:szCs w:val="20"/>
        </w:rPr>
      </w:pPr>
    </w:p>
    <w:p w14:paraId="18D18656" w14:textId="77777777" w:rsidR="00813702" w:rsidRPr="00B30F07" w:rsidRDefault="00813702" w:rsidP="00813702">
      <w:pPr>
        <w:spacing w:after="0" w:line="240" w:lineRule="auto"/>
        <w:ind w:left="709" w:right="709"/>
        <w:jc w:val="both"/>
        <w:rPr>
          <w:rFonts w:ascii="Verdana" w:hAnsi="Verdana"/>
          <w:sz w:val="20"/>
          <w:szCs w:val="20"/>
        </w:rPr>
      </w:pPr>
      <w:r w:rsidRPr="00B30F07">
        <w:rPr>
          <w:rFonts w:ascii="Verdana" w:hAnsi="Verdana"/>
          <w:sz w:val="20"/>
          <w:szCs w:val="20"/>
        </w:rPr>
        <w:t xml:space="preserve">(…) Conforme con lo señalado, la celebración de los contratos o convenios de transferencia entre los entes territoriales y los prestadores de servicios públicos constituye una obligación legal de la cual no pueden apartarse, acuerdos cuya naturaleza no se encuentra tipificada ni en el derecho público ni en el derecho privado, por lo que constituyen una modalidad especial de contratación. </w:t>
      </w:r>
    </w:p>
    <w:p w14:paraId="391B423F" w14:textId="77777777" w:rsidR="00813702" w:rsidRDefault="00813702" w:rsidP="00813702">
      <w:pPr>
        <w:spacing w:after="0" w:line="240" w:lineRule="auto"/>
        <w:ind w:left="709" w:right="709"/>
        <w:jc w:val="both"/>
        <w:rPr>
          <w:rFonts w:ascii="Verdana" w:hAnsi="Verdana"/>
          <w:sz w:val="20"/>
          <w:szCs w:val="20"/>
        </w:rPr>
      </w:pPr>
      <w:r w:rsidRPr="00B30F07">
        <w:rPr>
          <w:rFonts w:ascii="Verdana" w:hAnsi="Verdana"/>
          <w:sz w:val="20"/>
          <w:szCs w:val="20"/>
        </w:rPr>
        <w:t>En este sentido, y teniendo en cuenta que la exigencia de la celebración de estos contratos, convenios o acuerdos de transferencia, fue consagrada por el legislador con el propósito de realizar la transferencia de los recursos presupuestales aludidos, para subsidiar a los usuarios de menores recursos, es dable concluir, que ni los contratos de transferencia de recursos para subsidios, ni los contratos de servicios públicos domiciliarios, pueden dejar de ser celebrados, teniendo en cuenta que la esencialidad de dichos servicios tiene su sustento en normas de orden constitucional, prevalentes sobre normas de inferior jerarquía</w:t>
      </w:r>
      <w:r>
        <w:rPr>
          <w:rStyle w:val="Refdenotaalpie"/>
          <w:rFonts w:ascii="Verdana" w:hAnsi="Verdana"/>
          <w:sz w:val="20"/>
          <w:szCs w:val="20"/>
        </w:rPr>
        <w:footnoteReference w:id="24"/>
      </w:r>
      <w:r w:rsidRPr="00B30F07">
        <w:rPr>
          <w:rFonts w:ascii="Verdana" w:hAnsi="Verdana"/>
          <w:sz w:val="20"/>
          <w:szCs w:val="20"/>
        </w:rPr>
        <w:t>.</w:t>
      </w:r>
    </w:p>
    <w:p w14:paraId="65C93CC8" w14:textId="77777777" w:rsidR="00813702" w:rsidRPr="00B30F07" w:rsidRDefault="00813702" w:rsidP="00813702">
      <w:pPr>
        <w:spacing w:after="0" w:line="240" w:lineRule="auto"/>
        <w:ind w:left="709" w:right="709"/>
        <w:jc w:val="both"/>
        <w:rPr>
          <w:rFonts w:ascii="Verdana" w:hAnsi="Verdana"/>
          <w:sz w:val="20"/>
          <w:szCs w:val="20"/>
        </w:rPr>
      </w:pPr>
    </w:p>
    <w:p w14:paraId="742DB2F3" w14:textId="77777777" w:rsidR="00813702" w:rsidRPr="00E662F1" w:rsidRDefault="00813702" w:rsidP="00813702">
      <w:pPr>
        <w:spacing w:after="120" w:line="276" w:lineRule="auto"/>
        <w:ind w:firstLine="709"/>
        <w:jc w:val="both"/>
        <w:rPr>
          <w:rFonts w:ascii="Verdana" w:eastAsia="Calibri" w:hAnsi="Verdana" w:cs="Times New Roman"/>
        </w:rPr>
      </w:pPr>
      <w:r>
        <w:rPr>
          <w:rFonts w:ascii="Verdana" w:eastAsia="Calibri" w:hAnsi="Verdana" w:cs="Times New Roman"/>
          <w:iCs/>
        </w:rPr>
        <w:t>Bajo este escenario, la Superintendencia de Servicios Públicos Domiciliarios expresa que l</w:t>
      </w:r>
      <w:r w:rsidRPr="00916FC1">
        <w:rPr>
          <w:rFonts w:ascii="Verdana" w:eastAsia="Calibri" w:hAnsi="Verdana" w:cs="Times New Roman"/>
          <w:iCs/>
        </w:rPr>
        <w:t>a regulación no contempla causales que permitan a los entes territoriales abstenerse de transferir los subsidios. Por el contrario, su incumplimiento puede constituir una violación 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w:t>
      </w:r>
      <w:r>
        <w:rPr>
          <w:rFonts w:ascii="Verdana" w:eastAsia="Calibri" w:hAnsi="Verdana" w:cs="Times New Roman"/>
          <w:iCs/>
        </w:rPr>
        <w:t xml:space="preserve">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1836FC81" w14:textId="77777777" w:rsidR="00813702" w:rsidRPr="00286BBA" w:rsidRDefault="00813702" w:rsidP="00813702">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Ante estas posturas, es necesario señalar que el argumento de la Superintendencia de Servicios Públicos Domiciliarios se funda en el deber de transferir subsidios, que están contemplados en el artículo 368 constitucional, en la Ley 142 de 1994 y demás normas legales y reglamentarias. 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25"/>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1081ADD1" w14:textId="77777777" w:rsidR="00813702" w:rsidRDefault="00813702" w:rsidP="00813702">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etc.</w:t>
      </w:r>
      <w:r>
        <w:rPr>
          <w:rFonts w:ascii="Verdana" w:eastAsia="Calibri" w:hAnsi="Verdana" w:cs="Arial"/>
          <w:lang w:val="es-MX"/>
        </w:rPr>
        <w:t>”</w:t>
      </w:r>
      <w:r w:rsidRPr="0057193B">
        <w:rPr>
          <w:rFonts w:ascii="Verdana" w:eastAsia="Calibri" w:hAnsi="Verdana" w:cs="Arial"/>
          <w:vertAlign w:val="superscript"/>
          <w:lang w:val="es-MX"/>
        </w:rPr>
        <w:footnoteReference w:id="26"/>
      </w:r>
    </w:p>
    <w:p w14:paraId="59F5F34E" w14:textId="77777777" w:rsidR="00813702" w:rsidRDefault="00813702" w:rsidP="00813702">
      <w:pPr>
        <w:spacing w:after="0" w:line="276" w:lineRule="auto"/>
        <w:ind w:left="709" w:right="709"/>
        <w:jc w:val="both"/>
        <w:rPr>
          <w:rFonts w:ascii="Verdana" w:eastAsia="Calibri" w:hAnsi="Verdana" w:cs="Arial"/>
          <w:sz w:val="20"/>
          <w:szCs w:val="20"/>
        </w:rPr>
      </w:pPr>
    </w:p>
    <w:p w14:paraId="4B83E302" w14:textId="77777777" w:rsidR="00813702" w:rsidRPr="00C15525" w:rsidRDefault="00813702" w:rsidP="00813702">
      <w:pPr>
        <w:spacing w:after="12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1DA89E3E" w14:textId="77777777" w:rsidR="00813702" w:rsidRPr="00C15525" w:rsidRDefault="00813702" w:rsidP="00813702">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68CB742E" w14:textId="77777777" w:rsidR="00813702" w:rsidRPr="00C15525" w:rsidRDefault="00813702" w:rsidP="00813702">
      <w:pPr>
        <w:widowControl w:val="0"/>
        <w:autoSpaceDE w:val="0"/>
        <w:autoSpaceDN w:val="0"/>
        <w:spacing w:after="0" w:line="240" w:lineRule="auto"/>
        <w:ind w:left="709" w:right="709"/>
        <w:jc w:val="both"/>
        <w:rPr>
          <w:rFonts w:ascii="Verdana" w:hAnsi="Verdana" w:cs="Arial"/>
          <w:sz w:val="20"/>
          <w:szCs w:val="20"/>
        </w:rPr>
      </w:pPr>
    </w:p>
    <w:p w14:paraId="603509BC" w14:textId="77777777" w:rsidR="00813702" w:rsidRPr="00C15525" w:rsidRDefault="00813702" w:rsidP="00813702">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6DC36941" w14:textId="77777777" w:rsidR="00813702" w:rsidRPr="00C15525" w:rsidRDefault="00813702" w:rsidP="00813702">
      <w:pPr>
        <w:widowControl w:val="0"/>
        <w:autoSpaceDE w:val="0"/>
        <w:autoSpaceDN w:val="0"/>
        <w:spacing w:after="0" w:line="240" w:lineRule="auto"/>
        <w:ind w:left="709" w:right="709"/>
        <w:jc w:val="both"/>
        <w:rPr>
          <w:rFonts w:ascii="Verdana" w:hAnsi="Verdana" w:cs="Arial"/>
          <w:sz w:val="20"/>
          <w:szCs w:val="20"/>
        </w:rPr>
      </w:pPr>
    </w:p>
    <w:p w14:paraId="7CA9DB65" w14:textId="77777777" w:rsidR="00813702" w:rsidRPr="00C15525" w:rsidRDefault="00813702" w:rsidP="00813702">
      <w:pPr>
        <w:widowControl w:val="0"/>
        <w:autoSpaceDE w:val="0"/>
        <w:autoSpaceDN w:val="0"/>
        <w:spacing w:after="0" w:line="240" w:lineRule="auto"/>
        <w:ind w:left="709" w:right="709"/>
        <w:jc w:val="both"/>
        <w:rPr>
          <w:rFonts w:ascii="Verdana" w:hAnsi="Verdana" w:cs="Arial"/>
        </w:rPr>
      </w:pPr>
      <w:bookmarkStart w:id="9"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9"/>
      <w:r w:rsidRPr="00C15525">
        <w:rPr>
          <w:rFonts w:ascii="Verdana" w:hAnsi="Verdana" w:cs="Arial"/>
          <w:sz w:val="20"/>
          <w:szCs w:val="20"/>
          <w:vertAlign w:val="superscript"/>
        </w:rPr>
        <w:footnoteReference w:id="27"/>
      </w:r>
      <w:r w:rsidRPr="00C15525">
        <w:rPr>
          <w:rFonts w:ascii="Verdana" w:hAnsi="Verdana" w:cs="Arial"/>
          <w:sz w:val="20"/>
          <w:szCs w:val="20"/>
        </w:rPr>
        <w:t xml:space="preserve">. </w:t>
      </w:r>
    </w:p>
    <w:p w14:paraId="1B52AA67" w14:textId="77777777" w:rsidR="00813702" w:rsidRPr="00C15525" w:rsidRDefault="00813702" w:rsidP="00813702">
      <w:pPr>
        <w:widowControl w:val="0"/>
        <w:autoSpaceDE w:val="0"/>
        <w:autoSpaceDN w:val="0"/>
        <w:spacing w:after="0" w:line="276" w:lineRule="auto"/>
        <w:jc w:val="both"/>
        <w:rPr>
          <w:rFonts w:ascii="Verdana" w:eastAsia="Arial" w:hAnsi="Verdana" w:cs="Arial"/>
          <w:lang w:val="es-ES" w:eastAsia="es-ES" w:bidi="es-ES"/>
        </w:rPr>
      </w:pPr>
    </w:p>
    <w:p w14:paraId="4D5FFCDF" w14:textId="77777777" w:rsidR="00813702" w:rsidRPr="000E03E2" w:rsidRDefault="00813702" w:rsidP="00813702">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7674CD7A" w14:textId="77777777" w:rsidR="00813702" w:rsidRPr="006177F8" w:rsidRDefault="00813702" w:rsidP="00813702">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79FBB2AF" w14:textId="77777777" w:rsidR="00813702" w:rsidRPr="006177F8" w:rsidRDefault="00813702" w:rsidP="00813702">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10"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0"/>
      <w:r w:rsidRPr="006177F8">
        <w:rPr>
          <w:rFonts w:ascii="Verdana" w:eastAsia="Arial" w:hAnsi="Verdana" w:cs="Arial"/>
          <w:vertAlign w:val="superscript"/>
          <w:lang w:val="es-ES" w:eastAsia="es-ES" w:bidi="es-ES"/>
        </w:rPr>
        <w:footnoteReference w:id="28"/>
      </w:r>
      <w:r w:rsidRPr="006177F8">
        <w:rPr>
          <w:rFonts w:ascii="Verdana" w:eastAsia="Arial" w:hAnsi="Verdana" w:cs="Arial"/>
          <w:lang w:val="es-ES" w:eastAsia="es-ES" w:bidi="es-ES"/>
        </w:rPr>
        <w:t>. Al respecto, dicho Concepto expresa:</w:t>
      </w:r>
    </w:p>
    <w:p w14:paraId="4802DD08" w14:textId="77777777" w:rsidR="00813702" w:rsidRPr="006177F8" w:rsidRDefault="00813702" w:rsidP="00813702">
      <w:pPr>
        <w:spacing w:after="0" w:line="276" w:lineRule="auto"/>
        <w:ind w:firstLine="709"/>
        <w:jc w:val="both"/>
        <w:rPr>
          <w:rFonts w:ascii="Verdana" w:eastAsia="Arial" w:hAnsi="Verdana" w:cs="Arial"/>
          <w:lang w:val="es-ES" w:eastAsia="es-ES" w:bidi="es-ES"/>
        </w:rPr>
      </w:pPr>
    </w:p>
    <w:p w14:paraId="30E666AE" w14:textId="77777777" w:rsidR="00813702" w:rsidRPr="006177F8" w:rsidRDefault="00813702" w:rsidP="00813702">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11FDF4D6" w14:textId="77777777" w:rsidR="00813702" w:rsidRPr="006177F8" w:rsidRDefault="00813702" w:rsidP="00813702">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56A65E21" w14:textId="77777777" w:rsidR="00813702" w:rsidRPr="006177F8" w:rsidRDefault="00813702" w:rsidP="00813702">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2"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123E4A07" w14:textId="0738F701" w:rsidR="00813702" w:rsidRDefault="00813702" w:rsidP="00CD385A">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3"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4"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5"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6D2BDF54" w14:textId="77777777" w:rsidR="00D0672D" w:rsidRPr="00CD385A" w:rsidRDefault="00D0672D" w:rsidP="00CD385A">
      <w:pPr>
        <w:spacing w:after="0" w:line="240" w:lineRule="auto"/>
        <w:ind w:left="709" w:right="709"/>
        <w:jc w:val="both"/>
        <w:rPr>
          <w:rFonts w:ascii="Verdana" w:eastAsia="Arial" w:hAnsi="Verdana" w:cs="Arial"/>
          <w:sz w:val="20"/>
          <w:lang w:eastAsia="es-ES" w:bidi="es-ES"/>
        </w:rPr>
      </w:pPr>
    </w:p>
    <w:p w14:paraId="7AAAABAE" w14:textId="77777777" w:rsidR="00813702" w:rsidRDefault="00813702" w:rsidP="00813702">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00893ACF" w14:textId="77777777" w:rsidR="00813702" w:rsidRPr="006D07A8" w:rsidRDefault="00813702" w:rsidP="00813702">
      <w:pPr>
        <w:spacing w:after="120" w:line="276" w:lineRule="auto"/>
        <w:ind w:firstLine="708"/>
        <w:jc w:val="both"/>
        <w:rPr>
          <w:rFonts w:ascii="Verdana" w:hAnsi="Verdana" w:cs="Arial"/>
          <w:lang w:val="es-ES"/>
        </w:rPr>
      </w:pPr>
      <w:r>
        <w:rPr>
          <w:rFonts w:ascii="Verdana" w:hAnsi="Verdana" w:cs="Arial"/>
          <w:lang w:val="es-ES"/>
        </w:rPr>
        <w:t>A partir de lo expuesto en las consideraciones previas, la Agencia considera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previamente. De otra parte, posturas como la expuesta por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2BA1CFC6" w14:textId="77777777" w:rsidR="00813702" w:rsidRDefault="00813702" w:rsidP="00813702">
      <w:pPr>
        <w:spacing w:after="120" w:line="276" w:lineRule="auto"/>
        <w:ind w:firstLine="709"/>
        <w:jc w:val="both"/>
        <w:rPr>
          <w:rFonts w:ascii="Verdana" w:eastAsia="Times New Roman" w:hAnsi="Verdana" w:cs="Arial"/>
          <w:bCs/>
          <w:lang w:val="es-ES" w:eastAsia="es-CO"/>
        </w:rPr>
      </w:pPr>
      <w:r>
        <w:rPr>
          <w:rFonts w:ascii="Verdana" w:eastAsiaTheme="minorEastAsia" w:hAnsi="Verdana" w:cs="Arial"/>
          <w:lang w:eastAsia="es-CO"/>
        </w:rPr>
        <w:t xml:space="preserve">Por último, es importante exponer la postura de la Agencia en el Concepto C-998 del 28 de agosto de 2025, en la que expresó que </w:t>
      </w:r>
      <w:r>
        <w:rPr>
          <w:rFonts w:ascii="Verdana" w:eastAsia="Times New Roman" w:hAnsi="Verdana" w:cs="Arial"/>
          <w:bCs/>
          <w:lang w:val="es-ES" w:eastAsia="es-CO"/>
        </w:rPr>
        <w:t xml:space="preserve">es procedente que se celebren contratos y/ o convenios interadministrativos para la transferencia de recursos para el subsidio de servicios públicos, previos al límite temporal fijado por la Ley de Garantías Electorales y ejecutarse en meses posteriores. Dicha postura de la Agencia </w:t>
      </w:r>
      <w:r w:rsidRPr="00FC70BE">
        <w:rPr>
          <w:rFonts w:ascii="Verdana" w:eastAsia="Times New Roman" w:hAnsi="Verdana" w:cs="Arial"/>
          <w:bCs/>
          <w:lang w:val="es-ES" w:eastAsia="es-CO"/>
        </w:rPr>
        <w:t xml:space="preserve">reconoce la validez de comprometer recursos con anterioridad al período de restricción, </w:t>
      </w:r>
      <w:r>
        <w:rPr>
          <w:rFonts w:ascii="Verdana" w:eastAsia="Times New Roman" w:hAnsi="Verdana" w:cs="Arial"/>
          <w:bCs/>
          <w:lang w:val="es-ES" w:eastAsia="es-CO"/>
        </w:rPr>
        <w:t xml:space="preserve">partiendo de la posibilidad de celebrar los convenios interadministrativos antes de la restricción del artículo 38 y su inicio de ejecución de forma posterior, lo que implica que la transferencia de recursos para el otorgamiento de subsidios podría ser posterior al período preelectoral. </w:t>
      </w:r>
      <w:r w:rsidRPr="00FC70BE">
        <w:rPr>
          <w:rFonts w:ascii="Verdana" w:eastAsia="Times New Roman" w:hAnsi="Verdana" w:cs="Arial"/>
          <w:bCs/>
          <w:lang w:val="es-ES" w:eastAsia="es-CO"/>
        </w:rPr>
        <w:t>Asimismo, la Agencia enfatizó que en estos casos debe observarse rigurosamente el marco normativo aplicable, incluyendo las reglas de planeación, ejecución presupuestal, directrices y lineamientos vigentes. De esta manera, la posibilidad de ejecutar convenios interadministrativos con posterioridad al inicio de las restricciones del artículo 38 se encuentra condicionada al cumplimiento estricto de los principios de legalidad y transparencia en la gestión de los recursos públicos.</w:t>
      </w:r>
      <w:r>
        <w:rPr>
          <w:rFonts w:ascii="Verdana" w:eastAsia="Times New Roman" w:hAnsi="Verdana" w:cs="Arial"/>
          <w:bCs/>
          <w:lang w:val="es-ES" w:eastAsia="es-CO"/>
        </w:rPr>
        <w:t xml:space="preserve"> </w:t>
      </w:r>
    </w:p>
    <w:p w14:paraId="79AC97B9" w14:textId="77777777" w:rsidR="00813702" w:rsidRPr="00C3378E" w:rsidRDefault="00813702" w:rsidP="00813702">
      <w:pPr>
        <w:spacing w:after="120" w:line="276" w:lineRule="auto"/>
        <w:jc w:val="both"/>
        <w:rPr>
          <w:rFonts w:ascii="Verdana" w:eastAsia="Times New Roman" w:hAnsi="Verdana" w:cs="Arial"/>
          <w:bCs/>
          <w:lang w:val="es-MX" w:eastAsia="es-CO"/>
        </w:rPr>
      </w:pPr>
      <w:r>
        <w:rPr>
          <w:rFonts w:ascii="Verdana" w:eastAsia="Times New Roman" w:hAnsi="Verdana" w:cs="Arial"/>
          <w:bCs/>
          <w:lang w:val="es-ES" w:eastAsia="es-CO"/>
        </w:rPr>
        <w:tab/>
        <w:t xml:space="preserve">Se reitera </w:t>
      </w:r>
      <w:r w:rsidRPr="00C3378E">
        <w:rPr>
          <w:rFonts w:ascii="Verdana" w:eastAsia="Times New Roman" w:hAnsi="Verdana" w:cs="Arial"/>
          <w:bCs/>
          <w:lang w:val="es-MX" w:eastAsia="es-CO"/>
        </w:rPr>
        <w:t xml:space="preserve">que las prórrogas, modificaciones o adiciones de los contratos suscritos antes de la entrada en vigor de las prohibiciones anotadas, así como la cesión de </w:t>
      </w:r>
      <w:proofErr w:type="gramStart"/>
      <w:r w:rsidRPr="00C3378E">
        <w:rPr>
          <w:rFonts w:ascii="Verdana" w:eastAsia="Times New Roman" w:hAnsi="Verdana" w:cs="Arial"/>
          <w:bCs/>
          <w:lang w:val="es-MX" w:eastAsia="es-CO"/>
        </w:rPr>
        <w:t>los mismos</w:t>
      </w:r>
      <w:proofErr w:type="gramEnd"/>
      <w:r w:rsidRPr="00C3378E">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C3378E">
        <w:rPr>
          <w:rFonts w:ascii="Verdana" w:eastAsia="Times New Roman" w:hAnsi="Verdana" w:cs="Arial"/>
          <w:bCs/>
          <w:vertAlign w:val="superscript"/>
          <w:lang w:val="es-MX" w:eastAsia="es-CO"/>
        </w:rPr>
        <w:footnoteReference w:id="29"/>
      </w:r>
      <w:r w:rsidRPr="00C3378E">
        <w:rPr>
          <w:rFonts w:ascii="Verdana" w:eastAsia="Times New Roman" w:hAnsi="Verdana" w:cs="Arial"/>
          <w:bCs/>
          <w:lang w:val="es-MX" w:eastAsia="es-CO"/>
        </w:rPr>
        <w:t>. Además, también es posible que contratos celebrados previamente se continúen ejecutando con normalidad.</w:t>
      </w:r>
    </w:p>
    <w:p w14:paraId="6D4593C5" w14:textId="77777777" w:rsidR="00813702" w:rsidRDefault="00813702" w:rsidP="00813702">
      <w:pPr>
        <w:spacing w:after="120" w:line="276" w:lineRule="auto"/>
        <w:ind w:firstLine="709"/>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w:t>
      </w:r>
      <w:proofErr w:type="gramStart"/>
      <w:r w:rsidRPr="006B17A7">
        <w:rPr>
          <w:rFonts w:ascii="Verdana" w:eastAsia="Calibri" w:hAnsi="Verdana" w:cs="Arial"/>
        </w:rPr>
        <w:t>estatales,</w:t>
      </w:r>
      <w:proofErr w:type="gramEnd"/>
      <w:r w:rsidRPr="006B17A7">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142E308" w14:textId="77777777" w:rsidR="00813702" w:rsidRPr="000F5703" w:rsidRDefault="00813702" w:rsidP="00813702">
      <w:pPr>
        <w:spacing w:after="120" w:line="276" w:lineRule="auto"/>
        <w:ind w:firstLine="709"/>
        <w:jc w:val="both"/>
        <w:rPr>
          <w:rFonts w:ascii="Verdana" w:eastAsia="Calibri" w:hAnsi="Verdana" w:cs="Arial"/>
        </w:rPr>
      </w:pPr>
      <w:r w:rsidRPr="006B17A7">
        <w:rPr>
          <w:rFonts w:ascii="Verdana" w:eastAsia="Calibri" w:hAnsi="Verdana" w:cs="Arial"/>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bookmarkStart w:id="12" w:name="_Hlk204854194"/>
    </w:p>
    <w:p w14:paraId="1E0C6421" w14:textId="77777777" w:rsidR="00813702" w:rsidRDefault="00813702" w:rsidP="00813702">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644FE">
        <w:rPr>
          <w:rFonts w:ascii="Verdana" w:eastAsia="Century Gothic" w:hAnsi="Verdana" w:cs="Century Gothic"/>
          <w:b/>
          <w:bCs/>
        </w:rPr>
        <w:t>:</w:t>
      </w:r>
      <w:bookmarkEnd w:id="12"/>
    </w:p>
    <w:p w14:paraId="5C69FEA2" w14:textId="77777777" w:rsidR="00813702" w:rsidRPr="00E5656D" w:rsidRDefault="00813702" w:rsidP="00813702">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13702" w:rsidRPr="002D2C18" w14:paraId="0F94FF35" w14:textId="77777777" w:rsidTr="00F0268C">
        <w:trPr>
          <w:trHeight w:val="56"/>
          <w:jc w:val="center"/>
        </w:trPr>
        <w:tc>
          <w:tcPr>
            <w:tcW w:w="8647" w:type="dxa"/>
          </w:tcPr>
          <w:p w14:paraId="695A72FA"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Constitución Política. Artículos 150 numeral 7, 365.</w:t>
            </w:r>
          </w:p>
          <w:p w14:paraId="4DF9D0C3"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sidRPr="002A30BA">
              <w:rPr>
                <w:rFonts w:ascii="Verdana" w:hAnsi="Verdana" w:cs="Arial"/>
                <w:bCs/>
                <w:lang w:val="es-MX"/>
              </w:rPr>
              <w:t>Ley 142 de 1994</w:t>
            </w:r>
            <w:r>
              <w:rPr>
                <w:rFonts w:ascii="Verdana" w:hAnsi="Verdana" w:cs="Arial"/>
                <w:bCs/>
                <w:lang w:val="es-MX"/>
              </w:rPr>
              <w:t xml:space="preserve">. Artículos 14, 31, 32, 99. </w:t>
            </w:r>
          </w:p>
          <w:p w14:paraId="03CAB0EB"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bCs/>
                <w:lang w:val="es-MX"/>
              </w:rPr>
              <w:t>Ley 489 de 1998. Artículos 38, 68.</w:t>
            </w:r>
          </w:p>
          <w:p w14:paraId="11F1E650" w14:textId="77777777" w:rsidR="00813702" w:rsidRPr="00257BE6"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bCs/>
                <w:lang w:val="es-MX"/>
              </w:rPr>
              <w:t>Ley 80 de 1993. Artículos 39 y 41.</w:t>
            </w:r>
          </w:p>
          <w:p w14:paraId="081D54B9"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bCs/>
                <w:lang w:val="es-MX"/>
              </w:rPr>
              <w:t>Ley 996 de 2005. Artículo 33 y parágrafo del artículo 38.</w:t>
            </w:r>
          </w:p>
          <w:p w14:paraId="6847DF86" w14:textId="77777777" w:rsidR="00813702" w:rsidRPr="00257BE6"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bCs/>
                <w:lang w:val="es-MX"/>
              </w:rPr>
              <w:t xml:space="preserve">Ley 1150 de 2007. Artículo 2 numeral 4 literal c). </w:t>
            </w:r>
          </w:p>
          <w:p w14:paraId="2856F8DD"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rPr>
              <w:t>Ley 1176 de 2007. Artículo 11.</w:t>
            </w:r>
          </w:p>
          <w:p w14:paraId="2B960051" w14:textId="77777777" w:rsidR="00813702" w:rsidRPr="00257BE6"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bCs/>
                <w:lang w:val="es-MX"/>
              </w:rPr>
              <w:t xml:space="preserve">Decreto 1082 de 2015. Artículo </w:t>
            </w:r>
            <w:r w:rsidRPr="00A85F7B">
              <w:rPr>
                <w:rFonts w:ascii="Verdana" w:hAnsi="Verdana" w:cs="Arial"/>
                <w:bCs/>
                <w:lang w:val="es-MX"/>
              </w:rPr>
              <w:t>2.2.1.2.1.4.4</w:t>
            </w:r>
            <w:r>
              <w:rPr>
                <w:rFonts w:ascii="Verdana" w:hAnsi="Verdana" w:cs="Arial"/>
                <w:bCs/>
                <w:lang w:val="es-MX"/>
              </w:rPr>
              <w:t>.</w:t>
            </w:r>
          </w:p>
          <w:p w14:paraId="3496E896"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rPr>
              <w:t xml:space="preserve">Decreto 1077 de 2015. Artículo 2.3.4.1.2.11., </w:t>
            </w:r>
            <w:r w:rsidRPr="003C5FD9">
              <w:rPr>
                <w:rFonts w:ascii="Verdana" w:hAnsi="Verdana"/>
              </w:rPr>
              <w:t>2.3.5.1.2.2.14</w:t>
            </w:r>
            <w:r>
              <w:rPr>
                <w:rFonts w:ascii="Verdana" w:hAnsi="Verdana"/>
              </w:rPr>
              <w:t>.</w:t>
            </w:r>
          </w:p>
          <w:p w14:paraId="1C658F12"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Subsección C. Sentencia del 13 de abril de 2011. </w:t>
            </w:r>
            <w:proofErr w:type="spellStart"/>
            <w:r w:rsidRPr="00A85F7B">
              <w:rPr>
                <w:rFonts w:ascii="Verdana" w:hAnsi="Verdana" w:cs="Arial"/>
                <w:lang w:eastAsia="es-ES"/>
              </w:rPr>
              <w:t>Exp</w:t>
            </w:r>
            <w:proofErr w:type="spellEnd"/>
            <w:r w:rsidRPr="00A85F7B">
              <w:rPr>
                <w:rFonts w:ascii="Verdana" w:hAnsi="Verdana" w:cs="Arial"/>
                <w:lang w:eastAsia="es-ES"/>
              </w:rPr>
              <w:t xml:space="preserve">. 37423. C.P: Jaime Orlando Santofimio Gamboa. </w:t>
            </w:r>
          </w:p>
          <w:p w14:paraId="7F2E7170"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Subsección B. Sentencia del 15 de noviembre de 2011. </w:t>
            </w:r>
            <w:proofErr w:type="spellStart"/>
            <w:r w:rsidRPr="00A85F7B">
              <w:rPr>
                <w:rFonts w:ascii="Verdana" w:hAnsi="Verdana" w:cs="Arial"/>
                <w:lang w:eastAsia="es-ES"/>
              </w:rPr>
              <w:t>Exp</w:t>
            </w:r>
            <w:proofErr w:type="spellEnd"/>
            <w:r w:rsidRPr="00A85F7B">
              <w:rPr>
                <w:rFonts w:ascii="Verdana" w:hAnsi="Verdana" w:cs="Arial"/>
                <w:lang w:eastAsia="es-ES"/>
              </w:rPr>
              <w:t>. 21178. C.P: Ruth Stella Correa Palacio.</w:t>
            </w:r>
          </w:p>
          <w:p w14:paraId="33C2D5F7"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Consulta y Servicio Civil. Concepto no. 2257 del 26 de julio de 2016, C.P: Álvaro Namén Vargas. </w:t>
            </w:r>
          </w:p>
          <w:p w14:paraId="54973D5F"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Subsección A. Sentencia del 23 de junio de 2010. </w:t>
            </w:r>
            <w:proofErr w:type="spellStart"/>
            <w:r w:rsidRPr="00A85F7B">
              <w:rPr>
                <w:rFonts w:ascii="Verdana" w:hAnsi="Verdana" w:cs="Arial"/>
                <w:lang w:eastAsia="es-ES"/>
              </w:rPr>
              <w:t>Exp</w:t>
            </w:r>
            <w:proofErr w:type="spellEnd"/>
            <w:r w:rsidRPr="00A85F7B">
              <w:rPr>
                <w:rFonts w:ascii="Verdana" w:hAnsi="Verdana" w:cs="Arial"/>
                <w:lang w:eastAsia="es-ES"/>
              </w:rPr>
              <w:t xml:space="preserve"> 17860. C.P: Mauricio Fajardo Gómez. </w:t>
            </w:r>
          </w:p>
          <w:p w14:paraId="491A3AC8"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Auto del 4 de octubre de 2024. </w:t>
            </w:r>
            <w:proofErr w:type="spellStart"/>
            <w:r w:rsidRPr="00A85F7B">
              <w:rPr>
                <w:rFonts w:ascii="Verdana" w:hAnsi="Verdana" w:cs="Arial"/>
                <w:lang w:eastAsia="es-ES"/>
              </w:rPr>
              <w:t>Exp</w:t>
            </w:r>
            <w:proofErr w:type="spellEnd"/>
            <w:r w:rsidRPr="00A85F7B">
              <w:rPr>
                <w:rFonts w:ascii="Verdana" w:hAnsi="Verdana" w:cs="Arial"/>
                <w:lang w:eastAsia="es-ES"/>
              </w:rPr>
              <w:t xml:space="preserve"> 70313. C.P: Fredy Ibarra Martínez.</w:t>
            </w:r>
          </w:p>
          <w:p w14:paraId="0E4DD942"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Subsección A. Sentencia del 25 de mayo de 2025. </w:t>
            </w:r>
            <w:proofErr w:type="spellStart"/>
            <w:r w:rsidRPr="00A85F7B">
              <w:rPr>
                <w:rFonts w:ascii="Verdana" w:hAnsi="Verdana" w:cs="Arial"/>
                <w:lang w:eastAsia="es-ES"/>
              </w:rPr>
              <w:t>Exp</w:t>
            </w:r>
            <w:proofErr w:type="spellEnd"/>
            <w:r w:rsidRPr="00A85F7B">
              <w:rPr>
                <w:rFonts w:ascii="Verdana" w:hAnsi="Verdana" w:cs="Arial"/>
                <w:lang w:eastAsia="es-ES"/>
              </w:rPr>
              <w:t xml:space="preserve">. 70.504. C.P: María Adriana Marín. </w:t>
            </w:r>
          </w:p>
          <w:p w14:paraId="5B948135"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 xml:space="preserve">Consejo de Estado. Sala de lo Contencioso Administrativo. Sección Tercera, Subsección A. Sentencia del 16 de agosto de 2022. </w:t>
            </w:r>
            <w:proofErr w:type="spellStart"/>
            <w:r w:rsidRPr="00A85F7B">
              <w:rPr>
                <w:rFonts w:ascii="Verdana" w:hAnsi="Verdana" w:cs="Arial"/>
                <w:lang w:eastAsia="es-ES"/>
              </w:rPr>
              <w:t>Exp</w:t>
            </w:r>
            <w:proofErr w:type="spellEnd"/>
            <w:r w:rsidRPr="00A85F7B">
              <w:rPr>
                <w:rFonts w:ascii="Verdana" w:hAnsi="Verdana" w:cs="Arial"/>
                <w:lang w:eastAsia="es-ES"/>
              </w:rPr>
              <w:t>. 60434. C.P.: María Adriana Marín.</w:t>
            </w:r>
          </w:p>
          <w:p w14:paraId="6B2DABFD"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del 17 de febrero de 2015. Rad. 2269. C.P: William Zambrano Cetina.</w:t>
            </w:r>
          </w:p>
          <w:p w14:paraId="522BEBAA"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del 08 de mayo de 2018. Rad. 2.382. C.P: Álvaro Namén Vargas.</w:t>
            </w:r>
          </w:p>
          <w:p w14:paraId="79FCC22E"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Consejo de Estado. Sala de lo Contencioso Administrativo. Sección Tercera. Subsección B. Sentencia del 17 de octubre de 2025. E</w:t>
            </w:r>
            <w:r w:rsidRPr="00257BE6">
              <w:rPr>
                <w:rFonts w:ascii="Verdana" w:hAnsi="Verdana" w:cs="Arial"/>
                <w:lang w:eastAsia="es-ES"/>
              </w:rPr>
              <w:t>xpediente 11001-03-26-000-2023-00139-00</w:t>
            </w:r>
            <w:r>
              <w:rPr>
                <w:rFonts w:ascii="Verdana" w:hAnsi="Verdana" w:cs="Arial"/>
                <w:lang w:eastAsia="es-ES"/>
              </w:rPr>
              <w:t xml:space="preserve">. C.P: Fredy Ibarra. </w:t>
            </w:r>
          </w:p>
          <w:p w14:paraId="70B24E5A"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del 6 de abril de 2006, Rad. 1736. C.P: Luis Fernando Álvarez Jaramillo.</w:t>
            </w:r>
          </w:p>
          <w:p w14:paraId="0374C56A"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del 20 de febrero de 2006. Rad. 1727. C.P: Enrique José Arboleda Perdomo.</w:t>
            </w:r>
          </w:p>
          <w:p w14:paraId="31C62A95"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 6 de abril de 2006. Rad. 1738. C.P: Enrique José Arboleda Perdomo.</w:t>
            </w:r>
          </w:p>
          <w:p w14:paraId="1A5C5D04" w14:textId="77777777" w:rsidR="00813702" w:rsidRPr="00A85F7B"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Consejo de Estado. Sala de Consulta y Servicio Civil. Concepto del 15 de noviembre de 2007. Rad. 1863. C.P: Luis Fernando Álvarez Jaramillo.</w:t>
            </w:r>
          </w:p>
          <w:p w14:paraId="64690F7C"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Corte Constitucional. Sentencia C-736 de 2007. M.P. Marco Gerardo Monroy Cabra.</w:t>
            </w:r>
          </w:p>
          <w:p w14:paraId="2D83E842"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Corte Constitucional. Sentencia C-671 de 2005. M.P. Álvaro Tafur Galvis.</w:t>
            </w:r>
          </w:p>
          <w:p w14:paraId="3871E825"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MARÍN CORTES, Fabián Gonzalo. Los servicios semipúblicos domiciliarios. Bogotá: Temis, 2010</w:t>
            </w:r>
            <w:r>
              <w:rPr>
                <w:rFonts w:ascii="Verdana" w:hAnsi="Verdana" w:cs="Arial"/>
                <w:lang w:eastAsia="es-ES"/>
              </w:rPr>
              <w:t>.</w:t>
            </w:r>
          </w:p>
          <w:p w14:paraId="04E3A7D1"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LUQUE, Guillermo Sánchez. ¿Las empresas prestadoras de servicios públicos privadas son entidades estatales? A propósito de la Sentencia C 736 de 2007. Con-texto Revista de Derecho y Economía, 2008. Vol 25.</w:t>
            </w:r>
          </w:p>
          <w:p w14:paraId="2CA99E45" w14:textId="77777777" w:rsidR="00813702" w:rsidRDefault="00813702" w:rsidP="00F0268C">
            <w:pPr>
              <w:pStyle w:val="Prrafodelista"/>
              <w:numPr>
                <w:ilvl w:val="0"/>
                <w:numId w:val="17"/>
              </w:numPr>
              <w:spacing w:before="120" w:line="276" w:lineRule="auto"/>
              <w:jc w:val="both"/>
              <w:rPr>
                <w:rFonts w:ascii="Verdana" w:hAnsi="Verdana" w:cs="Arial"/>
                <w:lang w:eastAsia="es-ES"/>
              </w:rPr>
            </w:pPr>
            <w:r w:rsidRPr="00A85F7B">
              <w:rPr>
                <w:rFonts w:ascii="Verdana" w:hAnsi="Verdana" w:cs="Arial"/>
                <w:lang w:eastAsia="es-ES"/>
              </w:rPr>
              <w:t>SANTOS RODRÍGUEZ, Jorge Enrique. Consideraciones sobre los contratos y convenios interadministrativos. En: Revista Digital de Derecho Administrativo, 2008.</w:t>
            </w:r>
          </w:p>
          <w:p w14:paraId="02299064" w14:textId="77777777" w:rsidR="00813702" w:rsidRPr="002104D7" w:rsidRDefault="00813702" w:rsidP="00F0268C">
            <w:pPr>
              <w:pStyle w:val="Prrafodelista"/>
              <w:numPr>
                <w:ilvl w:val="0"/>
                <w:numId w:val="17"/>
              </w:numPr>
              <w:spacing w:before="120" w:line="276" w:lineRule="auto"/>
              <w:jc w:val="both"/>
              <w:rPr>
                <w:rFonts w:ascii="Verdana" w:hAnsi="Verdana" w:cs="Arial"/>
                <w:lang w:eastAsia="es-ES"/>
              </w:rPr>
            </w:pPr>
            <w:r w:rsidRPr="00257BE6">
              <w:rPr>
                <w:rFonts w:ascii="Verdana" w:hAnsi="Verdana" w:cs="Arial"/>
                <w:lang w:eastAsia="es-ES"/>
              </w:rPr>
              <w:t>Superintendencia de Servicios Públicos Domiciliarios. Conceptos C-086 de 2022 y C-194 de 2022.</w:t>
            </w:r>
          </w:p>
        </w:tc>
      </w:tr>
    </w:tbl>
    <w:p w14:paraId="620F548B" w14:textId="77777777" w:rsidR="00813702" w:rsidRDefault="00813702" w:rsidP="00813702">
      <w:pPr>
        <w:tabs>
          <w:tab w:val="left" w:pos="142"/>
          <w:tab w:val="left" w:pos="284"/>
          <w:tab w:val="left" w:pos="3828"/>
        </w:tabs>
        <w:spacing w:after="0" w:line="276" w:lineRule="auto"/>
        <w:jc w:val="both"/>
        <w:rPr>
          <w:rFonts w:ascii="Verdana" w:eastAsia="Century Gothic" w:hAnsi="Verdana" w:cs="Century Gothic"/>
          <w:b/>
          <w:bCs/>
        </w:rPr>
      </w:pPr>
    </w:p>
    <w:p w14:paraId="012B437F" w14:textId="77777777" w:rsidR="00813702" w:rsidRPr="0091091D" w:rsidRDefault="00813702" w:rsidP="00813702">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3C9214C" w14:textId="77777777" w:rsidR="00813702" w:rsidRPr="007A3DD4" w:rsidRDefault="00813702" w:rsidP="00813702">
      <w:pPr>
        <w:widowControl w:val="0"/>
        <w:autoSpaceDE w:val="0"/>
        <w:autoSpaceDN w:val="0"/>
        <w:spacing w:after="0" w:line="240" w:lineRule="auto"/>
        <w:jc w:val="both"/>
        <w:rPr>
          <w:rStyle w:val="normaltextrun"/>
          <w:rFonts w:ascii="Verdana" w:hAnsi="Verdana" w:cs="Arial"/>
          <w:shd w:val="clear" w:color="auto" w:fill="FFFFFF"/>
        </w:rPr>
      </w:pPr>
    </w:p>
    <w:p w14:paraId="5AE3651C" w14:textId="77777777" w:rsidR="00CD385A" w:rsidRDefault="00813702" w:rsidP="00813702">
      <w:pPr>
        <w:widowControl w:val="0"/>
        <w:autoSpaceDE w:val="0"/>
        <w:autoSpaceDN w:val="0"/>
        <w:spacing w:after="120" w:line="276" w:lineRule="auto"/>
        <w:jc w:val="both"/>
        <w:rPr>
          <w:rFonts w:ascii="Verdana" w:hAnsi="Verdana" w:cs="Arial"/>
          <w:shd w:val="clear" w:color="auto" w:fill="FFFFFF"/>
          <w:lang w:val="es-ES"/>
        </w:rPr>
      </w:pPr>
      <w:r w:rsidRPr="00CB4E1A">
        <w:rPr>
          <w:rFonts w:ascii="Verdana" w:eastAsia="Calibri" w:hAnsi="Verdana" w:cs="Arial"/>
          <w:lang w:eastAsia="es-ES"/>
        </w:rPr>
        <w:t xml:space="preserve">La Agencia Nacional de Contratación Pública – Colombia Compra Eficiente se ha pronunciado sobre la posibilidad de celebrar contratos o convenios interadministrativos para la transferencia de recursos </w:t>
      </w:r>
      <w:r w:rsidRPr="00CB4E1A">
        <w:rPr>
          <w:rFonts w:ascii="Verdana" w:eastAsia="Calibri" w:hAnsi="Verdana" w:cs="Times New Roman"/>
          <w:iCs/>
          <w:lang w:val="es-ES"/>
        </w:rPr>
        <w:t xml:space="preserve">para subsidios o aportes en servicios públicos domiciliarios en los conceptos C-095 del 4 de marzo de 2026, C-438 del 30 de abril de 2026, C-480 del 8 de mayo de 2026, </w:t>
      </w:r>
      <w:r w:rsidRPr="00CB4E1A">
        <w:rPr>
          <w:rFonts w:ascii="Verdana" w:hAnsi="Verdana" w:cs="Arial"/>
          <w:shd w:val="clear" w:color="auto" w:fill="FFFFFF"/>
          <w:lang w:val="es-ES"/>
        </w:rPr>
        <w:t xml:space="preserve">entre otros. </w:t>
      </w:r>
    </w:p>
    <w:p w14:paraId="060F495D" w14:textId="2F6899DC" w:rsidR="00813702" w:rsidRPr="00CB4E1A" w:rsidRDefault="00813702" w:rsidP="00813702">
      <w:pPr>
        <w:widowControl w:val="0"/>
        <w:autoSpaceDE w:val="0"/>
        <w:autoSpaceDN w:val="0"/>
        <w:spacing w:after="120" w:line="276" w:lineRule="auto"/>
        <w:jc w:val="both"/>
        <w:rPr>
          <w:rFonts w:ascii="Verdana" w:hAnsi="Verdana" w:cs="Arial"/>
          <w:shd w:val="clear" w:color="auto" w:fill="FFFFFF"/>
          <w:lang w:val="es-ES"/>
        </w:rPr>
      </w:pPr>
      <w:r w:rsidRPr="00CB4E1A">
        <w:rPr>
          <w:rFonts w:ascii="Verdana" w:hAnsi="Verdana" w:cs="Arial"/>
          <w:shd w:val="clear" w:color="auto" w:fill="FFFFFF"/>
          <w:lang w:val="es-ES"/>
        </w:rPr>
        <w:t>Así mismo, la</w:t>
      </w:r>
      <w:r>
        <w:rPr>
          <w:rFonts w:ascii="Verdana" w:hAnsi="Verdana" w:cs="Arial"/>
          <w:shd w:val="clear" w:color="auto" w:fill="FFFFFF"/>
          <w:lang w:val="es-ES"/>
        </w:rPr>
        <w:t xml:space="preserve"> Agencia Nacional de Contratación Pública se ha pronunciado sobre </w:t>
      </w:r>
      <w:r>
        <w:rPr>
          <w:rFonts w:ascii="Verdana" w:hAnsi="Verdana" w:cs="Arial"/>
          <w:shd w:val="clear" w:color="auto" w:fill="FFFFFF"/>
        </w:rPr>
        <w:t>las empresas de servicios públicos en los Conceptos C- 792 del 28 de noviembre de 2024, C- 429 del 13 de mayo de 2025, C-477 del 20 de mayo de 2025, C-1004 del 29 de agosto de 2025, C- 1012 del 4 de septiembre de 2025, C-1368 del 5 de noviembre de 2025, entre otros.</w:t>
      </w:r>
      <w:r>
        <w:rPr>
          <w:rFonts w:ascii="Verdana" w:hAnsi="Verdana" w:cs="Arial"/>
          <w:shd w:val="clear" w:color="auto" w:fill="FFFFFF"/>
          <w:lang w:val="es-ES"/>
        </w:rPr>
        <w:t xml:space="preserve"> </w:t>
      </w:r>
      <w:r w:rsidRPr="00622C01">
        <w:rPr>
          <w:rFonts w:ascii="Verdana" w:hAnsi="Verdana" w:cs="Arial"/>
        </w:rPr>
        <w:t xml:space="preserve">Estos y otros </w:t>
      </w:r>
      <w:r w:rsidRPr="00622C01">
        <w:rPr>
          <w:rFonts w:ascii="Verdana" w:hAnsi="Verdana"/>
        </w:rPr>
        <w:t>conceptos se encuentran disponibles para consulta en el Sistema de relatoría de la Agencia, al cual se puede acceder a través del siguiente enlace:</w:t>
      </w:r>
      <w:r w:rsidRPr="00622C01">
        <w:rPr>
          <w:rFonts w:ascii="Verdana" w:hAnsi="Verdana" w:cs="Arial"/>
          <w:shd w:val="clear" w:color="auto" w:fill="FFFFFF"/>
        </w:rPr>
        <w:t xml:space="preserve"> </w:t>
      </w:r>
      <w:hyperlink r:id="rId16"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137E3141" w14:textId="77777777" w:rsidR="00813702" w:rsidRPr="00AB4B99" w:rsidRDefault="00813702" w:rsidP="00813702">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7" w:tgtFrame="_new" w:history="1">
        <w:r w:rsidRPr="008746BD">
          <w:rPr>
            <w:rStyle w:val="Hipervnculo"/>
            <w:rFonts w:ascii="Verdana" w:hAnsi="Verdana"/>
          </w:rPr>
          <w:t>https://formacionvirtual.colombiacompra.gov.co/mod/page/view.php?id=3718</w:t>
        </w:r>
      </w:hyperlink>
    </w:p>
    <w:p w14:paraId="6B34547E" w14:textId="77777777" w:rsidR="00813702" w:rsidRDefault="00813702" w:rsidP="00813702">
      <w:pPr>
        <w:widowControl w:val="0"/>
        <w:autoSpaceDE w:val="0"/>
        <w:autoSpaceDN w:val="0"/>
        <w:spacing w:after="0" w:line="240" w:lineRule="auto"/>
        <w:jc w:val="both"/>
        <w:rPr>
          <w:rFonts w:ascii="Verdana" w:hAnsi="Verdana"/>
        </w:rPr>
      </w:pPr>
    </w:p>
    <w:p w14:paraId="519A435C" w14:textId="77777777" w:rsidR="00813702" w:rsidRDefault="00813702" w:rsidP="00813702">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0E1EA7">
          <w:rPr>
            <w:rStyle w:val="Hipervnculo"/>
            <w:rFonts w:ascii="Verdana" w:hAnsi="Verdana"/>
          </w:rPr>
          <w:t>https://www.colombiacompra.gov.co/normativa-y-relatoria/documentos-tipo</w:t>
        </w:r>
      </w:hyperlink>
    </w:p>
    <w:p w14:paraId="2616F551" w14:textId="77777777" w:rsidR="00813702" w:rsidRDefault="00813702" w:rsidP="00813702">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9"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9CDF68C" w14:textId="77777777" w:rsidR="00813702" w:rsidRPr="007A3DD4" w:rsidRDefault="00813702" w:rsidP="00813702">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4D7835B2" w14:textId="77777777" w:rsidR="00813702" w:rsidRPr="00116940" w:rsidRDefault="00813702" w:rsidP="00813702">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7B0C987" w14:textId="77777777" w:rsidR="00813702" w:rsidRPr="00116940" w:rsidRDefault="00813702" w:rsidP="00813702">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4300E0A" w14:textId="77777777" w:rsidR="00813702" w:rsidRPr="00116940" w:rsidRDefault="00813702" w:rsidP="00813702">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0">
        <w:r w:rsidRPr="00116940">
          <w:rPr>
            <w:rStyle w:val="Hipervnculo"/>
            <w:rFonts w:ascii="Verdana" w:eastAsia="Verdana" w:hAnsi="Verdana" w:cs="Verdana"/>
            <w:lang w:val="es-MX"/>
          </w:rPr>
          <w:t>ventanilladeradicacion@colombiacompra.gov.co</w:t>
        </w:r>
      </w:hyperlink>
    </w:p>
    <w:p w14:paraId="72979934" w14:textId="77777777" w:rsidR="00813702" w:rsidRPr="00116940" w:rsidRDefault="00813702" w:rsidP="00813702">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1">
        <w:r w:rsidRPr="00116940">
          <w:rPr>
            <w:rStyle w:val="Hipervnculo"/>
            <w:rFonts w:ascii="Verdana" w:eastAsia="Verdana" w:hAnsi="Verdana" w:cs="Verdana"/>
            <w:lang w:val="es-MX"/>
          </w:rPr>
          <w:t>https://www.colombiacompra.gov.co/pqrsd/informacion-importante-antes-de-formular-una-pqrsd</w:t>
        </w:r>
      </w:hyperlink>
    </w:p>
    <w:p w14:paraId="3CDD5E98" w14:textId="77777777" w:rsidR="00813702" w:rsidRDefault="00813702" w:rsidP="00813702">
      <w:pPr>
        <w:spacing w:after="0" w:line="240" w:lineRule="auto"/>
        <w:jc w:val="both"/>
        <w:rPr>
          <w:rFonts w:ascii="Verdana" w:hAnsi="Verdana"/>
        </w:rPr>
      </w:pPr>
    </w:p>
    <w:p w14:paraId="1382CD0E" w14:textId="77777777" w:rsidR="00813702" w:rsidRDefault="00813702" w:rsidP="00813702">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2"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1C0151C7" w14:textId="77777777" w:rsidR="00813702" w:rsidRDefault="00813702" w:rsidP="00813702">
      <w:pPr>
        <w:spacing w:after="0" w:line="240" w:lineRule="auto"/>
        <w:jc w:val="both"/>
        <w:rPr>
          <w:rFonts w:ascii="Verdana" w:hAnsi="Verdana"/>
        </w:rPr>
      </w:pPr>
    </w:p>
    <w:p w14:paraId="79AB01E7" w14:textId="77777777" w:rsidR="00813702" w:rsidRPr="00116940" w:rsidRDefault="00813702" w:rsidP="00813702">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074E71E" w14:textId="77777777" w:rsidR="00813702" w:rsidRPr="008746BD" w:rsidRDefault="00813702" w:rsidP="00813702">
      <w:pPr>
        <w:spacing w:after="0" w:line="240" w:lineRule="auto"/>
        <w:jc w:val="both"/>
        <w:rPr>
          <w:rFonts w:ascii="Verdana" w:hAnsi="Verdana"/>
        </w:rPr>
      </w:pPr>
    </w:p>
    <w:p w14:paraId="0FD32878" w14:textId="77777777" w:rsidR="00813702" w:rsidRPr="00116940" w:rsidRDefault="00813702" w:rsidP="00813702">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2C42A68" w14:textId="77777777" w:rsidR="00813702" w:rsidRPr="00116940" w:rsidRDefault="00813702" w:rsidP="00813702">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A9BB512" w14:textId="77777777" w:rsidR="00813702" w:rsidRPr="00116940" w:rsidRDefault="00813702" w:rsidP="00813702">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27E2C7C" w14:textId="77777777" w:rsidR="00813702" w:rsidRDefault="00813702" w:rsidP="00813702">
      <w:pPr>
        <w:spacing w:after="0" w:line="276" w:lineRule="auto"/>
        <w:jc w:val="both"/>
        <w:rPr>
          <w:rFonts w:ascii="Century Gothic" w:eastAsia="Century Gothic" w:hAnsi="Century Gothic" w:cs="Century Gothic"/>
          <w:lang w:val="es-ES" w:eastAsia="es-ES_tradnl"/>
        </w:rPr>
      </w:pPr>
    </w:p>
    <w:p w14:paraId="2D7D6CB0" w14:textId="77777777" w:rsidR="00813702" w:rsidRPr="00842775" w:rsidRDefault="00813702" w:rsidP="00813702">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3FBF5509" w14:textId="77777777" w:rsidR="00813702" w:rsidRDefault="00813702" w:rsidP="00813702">
      <w:pPr>
        <w:spacing w:after="0" w:line="276" w:lineRule="auto"/>
        <w:jc w:val="both"/>
        <w:rPr>
          <w:rFonts w:ascii="Verdana" w:hAnsi="Verdana"/>
          <w:lang w:val="es-MX"/>
        </w:rPr>
      </w:pPr>
    </w:p>
    <w:p w14:paraId="2A2DFD7B" w14:textId="77777777" w:rsidR="00813702" w:rsidRPr="00330029" w:rsidRDefault="00813702" w:rsidP="00813702">
      <w:pPr>
        <w:spacing w:after="0" w:line="276" w:lineRule="auto"/>
        <w:jc w:val="both"/>
        <w:rPr>
          <w:rFonts w:ascii="Verdana" w:hAnsi="Verdana"/>
          <w:lang w:val="es-MX"/>
        </w:rPr>
      </w:pPr>
      <w:r w:rsidRPr="00E02524">
        <w:rPr>
          <w:rFonts w:ascii="Verdana" w:hAnsi="Verdana"/>
          <w:lang w:val="es-MX"/>
        </w:rPr>
        <w:t>Cordialmente,</w:t>
      </w:r>
    </w:p>
    <w:p w14:paraId="41622EE6" w14:textId="1ED423B2" w:rsidR="00813702" w:rsidRDefault="00D3215D" w:rsidP="00813702">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B6A19E9" wp14:editId="1130D4D6">
            <wp:extent cx="2401002" cy="1131242"/>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3"/>
                    <a:stretch>
                      <a:fillRect/>
                    </a:stretch>
                  </pic:blipFill>
                  <pic:spPr>
                    <a:xfrm>
                      <a:off x="0" y="0"/>
                      <a:ext cx="2413097" cy="1136941"/>
                    </a:xfrm>
                    <a:prstGeom prst="rect">
                      <a:avLst/>
                    </a:prstGeom>
                  </pic:spPr>
                </pic:pic>
              </a:graphicData>
            </a:graphic>
          </wp:inline>
        </w:drawing>
      </w:r>
    </w:p>
    <w:p w14:paraId="6EAE17E0" w14:textId="03AB8B4D" w:rsidR="00813702" w:rsidRDefault="00813702" w:rsidP="00813702">
      <w:pPr>
        <w:spacing w:after="0" w:line="256" w:lineRule="auto"/>
        <w:jc w:val="center"/>
        <w:rPr>
          <w:rFonts w:ascii="Verdana" w:eastAsia="Calibri" w:hAnsi="Verdana" w:cs="Times New Roman"/>
        </w:rPr>
      </w:pPr>
    </w:p>
    <w:p w14:paraId="27D6E2EA" w14:textId="77777777" w:rsidR="00813702" w:rsidRDefault="00813702" w:rsidP="00813702">
      <w:pPr>
        <w:spacing w:after="0" w:line="256" w:lineRule="auto"/>
        <w:jc w:val="center"/>
        <w:rPr>
          <w:rFonts w:ascii="Verdana" w:eastAsia="Calibri" w:hAnsi="Verdana" w:cs="Times New Roman"/>
        </w:rPr>
      </w:pPr>
    </w:p>
    <w:tbl>
      <w:tblPr>
        <w:tblStyle w:val="Tablaconcuadrcula"/>
        <w:tblW w:w="6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86"/>
      </w:tblGrid>
      <w:tr w:rsidR="00813702" w:rsidRPr="005644FE" w14:paraId="0C0CD913" w14:textId="77777777" w:rsidTr="00F0268C">
        <w:trPr>
          <w:trHeight w:val="288"/>
        </w:trPr>
        <w:tc>
          <w:tcPr>
            <w:tcW w:w="893" w:type="dxa"/>
            <w:vAlign w:val="center"/>
            <w:hideMark/>
          </w:tcPr>
          <w:p w14:paraId="79CBEC44" w14:textId="77777777" w:rsidR="00813702" w:rsidRPr="005644FE" w:rsidRDefault="00813702" w:rsidP="00F0268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486" w:type="dxa"/>
            <w:tcBorders>
              <w:top w:val="nil"/>
              <w:left w:val="nil"/>
              <w:bottom w:val="dotted" w:sz="4" w:space="0" w:color="7F7F7F" w:themeColor="text1" w:themeTint="80"/>
              <w:right w:val="nil"/>
            </w:tcBorders>
            <w:vAlign w:val="center"/>
            <w:hideMark/>
          </w:tcPr>
          <w:p w14:paraId="1F33F4ED" w14:textId="77777777" w:rsidR="00813702" w:rsidRPr="005644FE" w:rsidRDefault="00813702" w:rsidP="00F0268C">
            <w:pPr>
              <w:contextualSpacing/>
              <w:jc w:val="both"/>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747E444" w14:textId="77777777" w:rsidR="00813702" w:rsidRPr="005644FE" w:rsidRDefault="00813702" w:rsidP="00F0268C">
            <w:pPr>
              <w:contextualSpacing/>
              <w:jc w:val="both"/>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13702" w:rsidRPr="005644FE" w14:paraId="5F62813D" w14:textId="77777777" w:rsidTr="00F0268C">
        <w:trPr>
          <w:trHeight w:val="330"/>
        </w:trPr>
        <w:tc>
          <w:tcPr>
            <w:tcW w:w="893" w:type="dxa"/>
            <w:vAlign w:val="center"/>
            <w:hideMark/>
          </w:tcPr>
          <w:p w14:paraId="63F0759B" w14:textId="77777777" w:rsidR="00813702" w:rsidRPr="005644FE" w:rsidRDefault="00813702" w:rsidP="00F0268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486" w:type="dxa"/>
            <w:tcBorders>
              <w:top w:val="dotted" w:sz="4" w:space="0" w:color="7F7F7F" w:themeColor="text1" w:themeTint="80"/>
              <w:left w:val="nil"/>
              <w:bottom w:val="dotted" w:sz="4" w:space="0" w:color="7F7F7F" w:themeColor="text1" w:themeTint="80"/>
              <w:right w:val="nil"/>
            </w:tcBorders>
            <w:vAlign w:val="center"/>
            <w:hideMark/>
          </w:tcPr>
          <w:p w14:paraId="1ADCB4FF" w14:textId="77777777" w:rsidR="00813702" w:rsidRPr="00147D6A" w:rsidRDefault="00813702" w:rsidP="00F0268C">
            <w:pPr>
              <w:pStyle w:val="paragraph"/>
              <w:spacing w:before="0" w:beforeAutospacing="0" w:after="0" w:afterAutospacing="0"/>
              <w:contextualSpacing/>
              <w:jc w:val="both"/>
              <w:textAlignment w:val="baseline"/>
              <w:rPr>
                <w:rStyle w:val="normaltextrun"/>
                <w:rFonts w:ascii="Verdana" w:hAnsi="Verdana"/>
                <w:sz w:val="16"/>
                <w:szCs w:val="16"/>
              </w:rPr>
            </w:pPr>
            <w:r>
              <w:rPr>
                <w:rStyle w:val="normaltextrun"/>
                <w:rFonts w:ascii="Verdana" w:hAnsi="Verdana"/>
                <w:sz w:val="16"/>
                <w:szCs w:val="16"/>
              </w:rPr>
              <w:t xml:space="preserve">Alejandro Sarmiento Cantillo </w:t>
            </w:r>
          </w:p>
          <w:p w14:paraId="20184D84" w14:textId="77777777" w:rsidR="00813702" w:rsidRPr="00147D6A" w:rsidRDefault="00813702" w:rsidP="00F0268C">
            <w:pPr>
              <w:pStyle w:val="paragraph"/>
              <w:spacing w:before="0" w:beforeAutospacing="0" w:after="0" w:afterAutospacing="0"/>
              <w:contextualSpacing/>
              <w:jc w:val="both"/>
              <w:textAlignment w:val="baseline"/>
              <w:rPr>
                <w:rFonts w:ascii="Verdana" w:hAnsi="Verdana" w:cs="Segoe UI"/>
                <w:sz w:val="16"/>
                <w:szCs w:val="16"/>
              </w:rPr>
            </w:pPr>
            <w:r>
              <w:rPr>
                <w:rStyle w:val="normaltextrun"/>
                <w:rFonts w:ascii="Verdana" w:hAnsi="Verdana"/>
                <w:sz w:val="16"/>
                <w:szCs w:val="16"/>
              </w:rPr>
              <w:t xml:space="preserve">Gestor T1 grado 15 de la Subdirección de Gestión Contractual  </w:t>
            </w:r>
            <w:r w:rsidRPr="00147D6A">
              <w:rPr>
                <w:rStyle w:val="normaltextrun"/>
                <w:rFonts w:ascii="Verdana" w:hAnsi="Verdana"/>
                <w:sz w:val="16"/>
                <w:szCs w:val="16"/>
              </w:rPr>
              <w:t xml:space="preserve">  </w:t>
            </w:r>
          </w:p>
        </w:tc>
      </w:tr>
      <w:tr w:rsidR="00813702" w:rsidRPr="005644FE" w14:paraId="1EBD7A9A" w14:textId="77777777" w:rsidTr="00F0268C">
        <w:trPr>
          <w:trHeight w:val="300"/>
        </w:trPr>
        <w:tc>
          <w:tcPr>
            <w:tcW w:w="893" w:type="dxa"/>
            <w:vAlign w:val="center"/>
          </w:tcPr>
          <w:p w14:paraId="6104FB84" w14:textId="77777777" w:rsidR="00813702" w:rsidRPr="005644FE" w:rsidRDefault="00813702" w:rsidP="00F0268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486" w:type="dxa"/>
            <w:tcBorders>
              <w:top w:val="dotted" w:sz="4" w:space="0" w:color="7F7F7F" w:themeColor="text1" w:themeTint="80"/>
              <w:left w:val="nil"/>
              <w:bottom w:val="dotted" w:sz="4" w:space="0" w:color="7F7F7F" w:themeColor="text1" w:themeTint="80"/>
              <w:right w:val="nil"/>
            </w:tcBorders>
            <w:vAlign w:val="center"/>
          </w:tcPr>
          <w:p w14:paraId="1731E88C" w14:textId="77777777" w:rsidR="00813702" w:rsidRPr="00147D6A" w:rsidRDefault="00813702" w:rsidP="00F0268C">
            <w:pPr>
              <w:contextualSpacing/>
              <w:jc w:val="both"/>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70B3046B" w14:textId="77777777" w:rsidR="00813702" w:rsidRPr="00147D6A" w:rsidRDefault="00813702" w:rsidP="00F0268C">
            <w:pPr>
              <w:contextualSpacing/>
              <w:jc w:val="both"/>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661537FD" w14:textId="77777777" w:rsidR="00813702" w:rsidRPr="0024624F" w:rsidRDefault="00813702" w:rsidP="00813702">
      <w:pPr>
        <w:spacing w:after="0"/>
        <w:rPr>
          <w:rFonts w:ascii="Verdana" w:eastAsia="Verdana" w:hAnsi="Verdana" w:cs="Verdana"/>
        </w:rPr>
      </w:pPr>
    </w:p>
    <w:p w14:paraId="5711E124" w14:textId="77777777" w:rsidR="00813702" w:rsidRPr="00A374FD" w:rsidRDefault="00813702" w:rsidP="00813702"/>
    <w:bookmarkEnd w:id="0"/>
    <w:p w14:paraId="1468C46D" w14:textId="089FC26C" w:rsidR="00C15139" w:rsidRPr="0024624F" w:rsidRDefault="00C15139" w:rsidP="30821638">
      <w:pPr>
        <w:spacing w:after="0"/>
        <w:rPr>
          <w:rFonts w:ascii="Verdana" w:eastAsia="Verdana" w:hAnsi="Verdana" w:cs="Verdana"/>
        </w:rPr>
      </w:pPr>
    </w:p>
    <w:sectPr w:rsidR="00C15139" w:rsidRPr="0024624F"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5B349" w14:textId="77777777" w:rsidR="007E20EB" w:rsidRDefault="007E20EB" w:rsidP="004A1847">
      <w:pPr>
        <w:spacing w:after="0" w:line="240" w:lineRule="auto"/>
      </w:pPr>
      <w:r>
        <w:separator/>
      </w:r>
    </w:p>
  </w:endnote>
  <w:endnote w:type="continuationSeparator" w:id="0">
    <w:p w14:paraId="6B09AB62" w14:textId="77777777" w:rsidR="007E20EB" w:rsidRDefault="007E20E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96F04" w14:textId="77777777" w:rsidR="007E20EB" w:rsidRDefault="007E20EB" w:rsidP="004A1847">
      <w:pPr>
        <w:spacing w:after="0" w:line="240" w:lineRule="auto"/>
      </w:pPr>
      <w:r>
        <w:separator/>
      </w:r>
    </w:p>
  </w:footnote>
  <w:footnote w:type="continuationSeparator" w:id="0">
    <w:p w14:paraId="7E50D897" w14:textId="77777777" w:rsidR="007E20EB" w:rsidRDefault="007E20EB" w:rsidP="004A1847">
      <w:pPr>
        <w:spacing w:after="0" w:line="240" w:lineRule="auto"/>
      </w:pPr>
      <w:r>
        <w:continuationSeparator/>
      </w:r>
    </w:p>
  </w:footnote>
  <w:footnote w:id="1">
    <w:p w14:paraId="56BC2A44" w14:textId="77777777" w:rsidR="00813702" w:rsidRDefault="00813702" w:rsidP="00813702">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w:t>
      </w:r>
      <w:r>
        <w:rPr>
          <w:rFonts w:ascii="Verdana" w:hAnsi="Verdana" w:cs="Arial"/>
          <w:color w:val="000000" w:themeColor="text1"/>
          <w:sz w:val="16"/>
          <w:szCs w:val="16"/>
        </w:rPr>
        <w:t xml:space="preserve">Sala de lo Contencioso Administrativo. </w:t>
      </w:r>
      <w:r w:rsidRPr="00A30929">
        <w:rPr>
          <w:rFonts w:ascii="Verdana" w:hAnsi="Verdana" w:cs="Arial"/>
          <w:color w:val="000000" w:themeColor="text1"/>
          <w:sz w:val="16"/>
          <w:szCs w:val="16"/>
        </w:rPr>
        <w:t>Sección Tercera. Subsección C. Sentencia del 13 de abril de 2011. Exp. 37423. C.P</w:t>
      </w:r>
      <w:r>
        <w:rPr>
          <w:rFonts w:ascii="Verdana" w:hAnsi="Verdana" w:cs="Arial"/>
          <w:color w:val="000000" w:themeColor="text1"/>
          <w:sz w:val="16"/>
          <w:szCs w:val="16"/>
        </w:rPr>
        <w:t>:</w:t>
      </w:r>
      <w:r w:rsidRPr="00A30929">
        <w:rPr>
          <w:rFonts w:ascii="Verdana" w:hAnsi="Verdana" w:cs="Arial"/>
          <w:color w:val="000000" w:themeColor="text1"/>
          <w:sz w:val="16"/>
          <w:szCs w:val="16"/>
        </w:rPr>
        <w:t xml:space="preserve">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w:t>
      </w:r>
      <w:r>
        <w:rPr>
          <w:rFonts w:ascii="Verdana" w:hAnsi="Verdana" w:cs="Arial"/>
          <w:color w:val="000000" w:themeColor="text1"/>
          <w:sz w:val="16"/>
          <w:szCs w:val="16"/>
        </w:rPr>
        <w:t>Sala de lo Contencioso Administrativo.</w:t>
      </w:r>
      <w:r w:rsidRPr="00A30929">
        <w:rPr>
          <w:rFonts w:ascii="Verdana" w:hAnsi="Verdana" w:cs="Arial"/>
          <w:color w:val="000000" w:themeColor="text1"/>
          <w:sz w:val="16"/>
          <w:szCs w:val="16"/>
        </w:rPr>
        <w:t xml:space="preserve"> Sección Tercera. Subsección B. Sentencia del 15 de noviembre de 2011. Exp. 21178. C.P</w:t>
      </w:r>
      <w:r>
        <w:rPr>
          <w:rFonts w:ascii="Verdana" w:hAnsi="Verdana" w:cs="Arial"/>
          <w:color w:val="000000" w:themeColor="text1"/>
          <w:sz w:val="16"/>
          <w:szCs w:val="16"/>
        </w:rPr>
        <w:t>:</w:t>
      </w:r>
      <w:r w:rsidRPr="00A30929">
        <w:rPr>
          <w:rFonts w:ascii="Verdana" w:hAnsi="Verdana" w:cs="Arial"/>
          <w:color w:val="000000" w:themeColor="text1"/>
          <w:sz w:val="16"/>
          <w:szCs w:val="16"/>
        </w:rPr>
        <w:t xml:space="preserve"> Ruth Stella Correa Palacio.</w:t>
      </w:r>
    </w:p>
    <w:p w14:paraId="0BAE66D8" w14:textId="77777777" w:rsidR="00813702" w:rsidRPr="00A30929" w:rsidRDefault="00813702" w:rsidP="00813702">
      <w:pPr>
        <w:pStyle w:val="Textonotapie"/>
        <w:ind w:firstLine="709"/>
        <w:jc w:val="both"/>
        <w:rPr>
          <w:rFonts w:ascii="Verdana" w:hAnsi="Verdana" w:cs="Arial"/>
          <w:color w:val="000000" w:themeColor="text1"/>
          <w:sz w:val="16"/>
          <w:szCs w:val="16"/>
        </w:rPr>
      </w:pPr>
    </w:p>
  </w:footnote>
  <w:footnote w:id="2">
    <w:p w14:paraId="3CAC34C6" w14:textId="77777777" w:rsidR="00813702" w:rsidRPr="00A30929" w:rsidRDefault="00813702" w:rsidP="00813702">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3">
    <w:p w14:paraId="357174A2" w14:textId="77777777" w:rsidR="00813702" w:rsidRPr="00C45436" w:rsidRDefault="00813702" w:rsidP="00813702">
      <w:pPr>
        <w:pStyle w:val="Textonotapie"/>
        <w:ind w:firstLine="708"/>
        <w:rPr>
          <w:rFonts w:ascii="Verdana" w:hAnsi="Verdana"/>
          <w:sz w:val="16"/>
          <w:szCs w:val="16"/>
          <w:lang w:val="es-ES"/>
        </w:rPr>
      </w:pPr>
      <w:r w:rsidRPr="00C45436">
        <w:rPr>
          <w:rStyle w:val="Refdenotaalpie"/>
          <w:rFonts w:ascii="Verdana" w:hAnsi="Verdana"/>
          <w:sz w:val="16"/>
          <w:szCs w:val="16"/>
        </w:rPr>
        <w:footnoteRef/>
      </w:r>
      <w:r w:rsidRPr="00C45436">
        <w:rPr>
          <w:rFonts w:ascii="Verdana" w:hAnsi="Verdana"/>
          <w:sz w:val="16"/>
          <w:szCs w:val="16"/>
        </w:rPr>
        <w:t xml:space="preserve"> Ibídem. </w:t>
      </w:r>
    </w:p>
  </w:footnote>
  <w:footnote w:id="4">
    <w:p w14:paraId="5C94497C" w14:textId="77777777" w:rsidR="00813702" w:rsidRPr="007B7B6A" w:rsidRDefault="00813702" w:rsidP="00813702">
      <w:pPr>
        <w:pStyle w:val="Textonotapie"/>
        <w:ind w:firstLine="708"/>
        <w:jc w:val="both"/>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3FD403B2" w14:textId="77777777" w:rsidR="00813702" w:rsidRPr="007B7B6A" w:rsidRDefault="00813702" w:rsidP="00813702">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439EA1D9" w14:textId="77777777" w:rsidR="00813702" w:rsidRPr="007B7B6A" w:rsidRDefault="00813702" w:rsidP="00813702">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37B3E809" w14:textId="77777777" w:rsidR="00813702" w:rsidRDefault="00813702" w:rsidP="00813702">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p w14:paraId="0BD971D2" w14:textId="77777777" w:rsidR="00813702" w:rsidRPr="007B7B6A" w:rsidRDefault="00813702" w:rsidP="00813702">
      <w:pPr>
        <w:pStyle w:val="Textonotapie"/>
        <w:ind w:firstLine="708"/>
        <w:jc w:val="both"/>
        <w:rPr>
          <w:rFonts w:ascii="Verdana" w:hAnsi="Verdana"/>
          <w:sz w:val="16"/>
          <w:szCs w:val="16"/>
          <w:lang w:val="es-CO"/>
        </w:rPr>
      </w:pPr>
    </w:p>
  </w:footnote>
  <w:footnote w:id="5">
    <w:p w14:paraId="2FF042E2" w14:textId="77777777" w:rsidR="00813702" w:rsidRDefault="00813702" w:rsidP="00813702">
      <w:pPr>
        <w:pStyle w:val="Textonotapie"/>
        <w:ind w:firstLine="708"/>
        <w:jc w:val="both"/>
        <w:rPr>
          <w:rFonts w:ascii="Verdana" w:hAnsi="Verdana"/>
          <w:sz w:val="16"/>
          <w:szCs w:val="16"/>
          <w:lang w:val="es-CO"/>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p w14:paraId="57550A7E" w14:textId="77777777" w:rsidR="00D0672D" w:rsidRPr="008719EC" w:rsidRDefault="00D0672D" w:rsidP="00813702">
      <w:pPr>
        <w:pStyle w:val="Textonotapie"/>
        <w:ind w:firstLine="708"/>
        <w:jc w:val="both"/>
        <w:rPr>
          <w:rFonts w:ascii="Verdana" w:hAnsi="Verdana"/>
          <w:sz w:val="16"/>
          <w:szCs w:val="16"/>
          <w:lang w:val="es-ES"/>
        </w:rPr>
      </w:pPr>
    </w:p>
  </w:footnote>
  <w:footnote w:id="6">
    <w:p w14:paraId="2F42976B" w14:textId="77777777" w:rsidR="00813702" w:rsidRPr="00485C44" w:rsidRDefault="00813702" w:rsidP="00813702">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7">
    <w:p w14:paraId="28B7AA01" w14:textId="77777777" w:rsidR="00813702" w:rsidRPr="005D42C1" w:rsidRDefault="00813702" w:rsidP="00813702">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2901C2CE" w14:textId="77777777" w:rsidR="00813702" w:rsidRPr="005D42C1" w:rsidRDefault="00813702" w:rsidP="00813702">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8">
    <w:p w14:paraId="439B1587" w14:textId="77777777" w:rsidR="00813702" w:rsidRDefault="00813702" w:rsidP="00813702">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p w14:paraId="2F95BAD4" w14:textId="77777777" w:rsidR="00813702" w:rsidRPr="006366CF" w:rsidRDefault="00813702" w:rsidP="00813702">
      <w:pPr>
        <w:spacing w:after="0" w:line="240" w:lineRule="auto"/>
        <w:ind w:firstLine="709"/>
        <w:jc w:val="both"/>
        <w:rPr>
          <w:rFonts w:ascii="Verdana" w:hAnsi="Verdana" w:cs="Arial"/>
          <w:sz w:val="16"/>
          <w:szCs w:val="16"/>
        </w:rPr>
      </w:pPr>
    </w:p>
  </w:footnote>
  <w:footnote w:id="9">
    <w:p w14:paraId="1E2D283E" w14:textId="77777777" w:rsidR="00813702" w:rsidRPr="006366CF" w:rsidRDefault="00813702" w:rsidP="00813702">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10">
    <w:p w14:paraId="456D821A" w14:textId="77777777" w:rsidR="00813702" w:rsidRPr="006366CF" w:rsidRDefault="00813702" w:rsidP="00813702">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e Estado, Sala de Consulta y Servicio Civil. Concepto no. 2257 del 26 de julio de 2016, C.P</w:t>
      </w:r>
      <w:r>
        <w:rPr>
          <w:rFonts w:ascii="Verdana" w:hAnsi="Verdana"/>
          <w:sz w:val="16"/>
          <w:szCs w:val="16"/>
          <w:lang w:val="es-CO"/>
        </w:rPr>
        <w:t>:</w:t>
      </w:r>
      <w:r w:rsidRPr="006366CF">
        <w:rPr>
          <w:rFonts w:ascii="Verdana" w:hAnsi="Verdana"/>
          <w:sz w:val="16"/>
          <w:szCs w:val="16"/>
          <w:lang w:val="es-CO"/>
        </w:rPr>
        <w:t xml:space="preserve"> Álvaro Namén Vargas</w:t>
      </w:r>
      <w:r>
        <w:rPr>
          <w:rFonts w:ascii="Verdana" w:hAnsi="Verdana"/>
          <w:sz w:val="16"/>
          <w:szCs w:val="16"/>
          <w:lang w:val="es-CO"/>
        </w:rPr>
        <w:t>. Consejo de Estado. Sala de lo Contencioso Administrativo.</w:t>
      </w:r>
      <w:r w:rsidRPr="006366CF">
        <w:rPr>
          <w:rFonts w:ascii="Verdana" w:hAnsi="Verdana"/>
          <w:sz w:val="16"/>
          <w:szCs w:val="16"/>
          <w:lang w:val="es-CO"/>
        </w:rPr>
        <w:t xml:space="preserve"> Sección Tercera, Subsección A. Sentencia del 23 de junio de 2010. Exp 17860</w:t>
      </w:r>
      <w:r>
        <w:rPr>
          <w:rFonts w:ascii="Verdana" w:hAnsi="Verdana"/>
          <w:sz w:val="16"/>
          <w:szCs w:val="16"/>
          <w:lang w:val="es-CO"/>
        </w:rPr>
        <w:t xml:space="preserve">. </w:t>
      </w:r>
      <w:r w:rsidRPr="006366CF">
        <w:rPr>
          <w:rFonts w:ascii="Verdana" w:hAnsi="Verdana"/>
          <w:sz w:val="16"/>
          <w:szCs w:val="16"/>
          <w:lang w:val="es-CO"/>
        </w:rPr>
        <w:t>C.P</w:t>
      </w:r>
      <w:r>
        <w:rPr>
          <w:rFonts w:ascii="Verdana" w:hAnsi="Verdana"/>
          <w:sz w:val="16"/>
          <w:szCs w:val="16"/>
          <w:lang w:val="es-CO"/>
        </w:rPr>
        <w:t>:</w:t>
      </w:r>
      <w:r w:rsidRPr="006366CF">
        <w:rPr>
          <w:rFonts w:ascii="Verdana" w:hAnsi="Verdana"/>
          <w:sz w:val="16"/>
          <w:szCs w:val="16"/>
          <w:lang w:val="es-CO"/>
        </w:rPr>
        <w:t xml:space="preserve"> Mauricio Fajardo Gómez.</w:t>
      </w:r>
      <w:r>
        <w:rPr>
          <w:rFonts w:ascii="Verdana" w:hAnsi="Verdana"/>
          <w:sz w:val="16"/>
          <w:szCs w:val="16"/>
          <w:lang w:val="es-CO"/>
        </w:rPr>
        <w:t xml:space="preserve"> Consejo de Estado. Sala de lo Contencioso Administrativo.</w:t>
      </w:r>
      <w:r w:rsidRPr="006366CF">
        <w:rPr>
          <w:rFonts w:ascii="Verdana" w:hAnsi="Verdana"/>
          <w:sz w:val="16"/>
          <w:szCs w:val="16"/>
          <w:lang w:val="es-CO"/>
        </w:rPr>
        <w:t xml:space="preserve"> Sección Tercera. Auto del 4 de octubre de 2024.</w:t>
      </w:r>
      <w:r>
        <w:rPr>
          <w:rFonts w:ascii="Verdana" w:hAnsi="Verdana"/>
          <w:sz w:val="16"/>
          <w:szCs w:val="16"/>
          <w:lang w:val="es-CO"/>
        </w:rPr>
        <w:t xml:space="preserve"> </w:t>
      </w:r>
      <w:r w:rsidRPr="006366CF">
        <w:rPr>
          <w:rFonts w:ascii="Verdana" w:hAnsi="Verdana"/>
          <w:sz w:val="16"/>
          <w:szCs w:val="16"/>
          <w:lang w:val="es-CO"/>
        </w:rPr>
        <w:t xml:space="preserve">Exp </w:t>
      </w:r>
      <w:r w:rsidRPr="006366CF">
        <w:rPr>
          <w:rFonts w:ascii="Verdana" w:hAnsi="Verdana"/>
          <w:bCs/>
          <w:sz w:val="16"/>
          <w:szCs w:val="16"/>
        </w:rPr>
        <w:t>70313.</w:t>
      </w:r>
      <w:r w:rsidRPr="006366CF">
        <w:rPr>
          <w:rFonts w:ascii="Verdana" w:hAnsi="Verdana"/>
          <w:sz w:val="16"/>
          <w:szCs w:val="16"/>
          <w:lang w:val="es-CO"/>
        </w:rPr>
        <w:t xml:space="preserve"> C.P</w:t>
      </w:r>
      <w:r>
        <w:rPr>
          <w:rFonts w:ascii="Verdana" w:hAnsi="Verdana"/>
          <w:sz w:val="16"/>
          <w:szCs w:val="16"/>
          <w:lang w:val="es-CO"/>
        </w:rPr>
        <w:t>:</w:t>
      </w:r>
      <w:r w:rsidRPr="006366CF">
        <w:rPr>
          <w:rFonts w:ascii="Verdana" w:hAnsi="Verdana"/>
          <w:sz w:val="16"/>
          <w:szCs w:val="16"/>
          <w:lang w:val="es-CO"/>
        </w:rPr>
        <w:t xml:space="preserve"> Fredy Ibarra Martínez. </w:t>
      </w:r>
    </w:p>
  </w:footnote>
  <w:footnote w:id="11">
    <w:p w14:paraId="15250666" w14:textId="77777777" w:rsidR="00813702" w:rsidRDefault="00813702" w:rsidP="00813702">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4873408F" w14:textId="77777777" w:rsidR="00813702" w:rsidRPr="006366CF" w:rsidRDefault="00813702" w:rsidP="00813702">
      <w:pPr>
        <w:pStyle w:val="Textonotapie"/>
        <w:ind w:firstLine="708"/>
        <w:jc w:val="both"/>
        <w:rPr>
          <w:rFonts w:ascii="Verdana" w:hAnsi="Verdana"/>
          <w:sz w:val="16"/>
          <w:szCs w:val="16"/>
          <w:lang w:val="es-CO"/>
        </w:rPr>
      </w:pPr>
    </w:p>
  </w:footnote>
  <w:footnote w:id="12">
    <w:p w14:paraId="08808F0F" w14:textId="77777777" w:rsidR="00813702" w:rsidRDefault="00813702" w:rsidP="00813702">
      <w:pPr>
        <w:pStyle w:val="Textonotapie"/>
        <w:ind w:firstLine="708"/>
        <w:jc w:val="both"/>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 xml:space="preserve">e Estado. </w:t>
      </w:r>
      <w:r>
        <w:rPr>
          <w:rFonts w:ascii="Verdana" w:hAnsi="Verdana"/>
          <w:sz w:val="16"/>
          <w:szCs w:val="16"/>
        </w:rPr>
        <w:t xml:space="preserve">Sala de lo Contencioso Administrativo. </w:t>
      </w:r>
      <w:r w:rsidRPr="006366CF">
        <w:rPr>
          <w:rFonts w:ascii="Verdana" w:hAnsi="Verdana"/>
          <w:sz w:val="16"/>
          <w:szCs w:val="16"/>
        </w:rPr>
        <w:t>Sección Tercera, Subsección A. Sentencia del 25 de mayo de 2025. Exp. 70.504</w:t>
      </w:r>
      <w:r>
        <w:rPr>
          <w:rFonts w:ascii="Verdana" w:hAnsi="Verdana"/>
          <w:sz w:val="16"/>
          <w:szCs w:val="16"/>
        </w:rPr>
        <w:t xml:space="preserve">. </w:t>
      </w:r>
      <w:r w:rsidRPr="006366CF">
        <w:rPr>
          <w:rFonts w:ascii="Verdana" w:hAnsi="Verdana"/>
          <w:sz w:val="16"/>
          <w:szCs w:val="16"/>
        </w:rPr>
        <w:t>C.P</w:t>
      </w:r>
      <w:r>
        <w:rPr>
          <w:rFonts w:ascii="Verdana" w:hAnsi="Verdana"/>
          <w:sz w:val="16"/>
          <w:szCs w:val="16"/>
        </w:rPr>
        <w:t>:</w:t>
      </w:r>
      <w:r w:rsidRPr="006366CF">
        <w:rPr>
          <w:rFonts w:ascii="Verdana" w:hAnsi="Verdana"/>
          <w:sz w:val="16"/>
          <w:szCs w:val="16"/>
        </w:rPr>
        <w:t xml:space="preserve"> María Adriana Marín. Consejo </w:t>
      </w:r>
      <w:r>
        <w:rPr>
          <w:rFonts w:ascii="Verdana" w:hAnsi="Verdana"/>
          <w:sz w:val="16"/>
          <w:szCs w:val="16"/>
        </w:rPr>
        <w:t>d</w:t>
      </w:r>
      <w:r w:rsidRPr="006366CF">
        <w:rPr>
          <w:rFonts w:ascii="Verdana" w:hAnsi="Verdana"/>
          <w:sz w:val="16"/>
          <w:szCs w:val="16"/>
        </w:rPr>
        <w:t xml:space="preserve">e Estado. </w:t>
      </w:r>
      <w:r>
        <w:rPr>
          <w:rFonts w:ascii="Verdana" w:hAnsi="Verdana"/>
          <w:sz w:val="16"/>
          <w:szCs w:val="16"/>
        </w:rPr>
        <w:t xml:space="preserve">Sala de lo Contencioso Administrativo. </w:t>
      </w:r>
      <w:r w:rsidRPr="006366CF">
        <w:rPr>
          <w:rFonts w:ascii="Verdana" w:hAnsi="Verdana"/>
          <w:sz w:val="16"/>
          <w:szCs w:val="16"/>
        </w:rPr>
        <w:t>Sección Tercera, Subsección A. Sentencia del 16 de agosto de 2022</w:t>
      </w:r>
      <w:r>
        <w:rPr>
          <w:rFonts w:ascii="Verdana" w:hAnsi="Verdana"/>
          <w:sz w:val="16"/>
          <w:szCs w:val="16"/>
        </w:rPr>
        <w:t xml:space="preserve">. </w:t>
      </w:r>
      <w:r w:rsidRPr="006366CF">
        <w:rPr>
          <w:rFonts w:ascii="Verdana" w:hAnsi="Verdana"/>
          <w:sz w:val="16"/>
          <w:szCs w:val="16"/>
        </w:rPr>
        <w:t>Exp. 60434</w:t>
      </w:r>
      <w:r>
        <w:rPr>
          <w:rFonts w:ascii="Verdana" w:hAnsi="Verdana"/>
          <w:sz w:val="16"/>
          <w:szCs w:val="16"/>
        </w:rPr>
        <w:t>.</w:t>
      </w:r>
      <w:r w:rsidRPr="006366CF">
        <w:rPr>
          <w:rFonts w:ascii="Verdana" w:hAnsi="Verdana"/>
          <w:sz w:val="16"/>
          <w:szCs w:val="16"/>
        </w:rPr>
        <w:t xml:space="preserve"> C.P.: María Adriana Marín.</w:t>
      </w:r>
    </w:p>
    <w:p w14:paraId="5AD69FE7" w14:textId="77777777" w:rsidR="00D0672D" w:rsidRPr="006366CF" w:rsidRDefault="00D0672D" w:rsidP="00813702">
      <w:pPr>
        <w:pStyle w:val="Textonotapie"/>
        <w:ind w:firstLine="708"/>
        <w:jc w:val="both"/>
        <w:rPr>
          <w:rFonts w:ascii="Verdana" w:hAnsi="Verdana"/>
          <w:sz w:val="16"/>
          <w:szCs w:val="16"/>
          <w:lang w:val="es-ES"/>
        </w:rPr>
      </w:pPr>
    </w:p>
  </w:footnote>
  <w:footnote w:id="13">
    <w:p w14:paraId="46FCF583" w14:textId="77777777" w:rsidR="00813702" w:rsidRDefault="00813702" w:rsidP="00813702">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w:t>
      </w:r>
      <w:r>
        <w:rPr>
          <w:rFonts w:ascii="Verdana" w:hAnsi="Verdana"/>
          <w:sz w:val="16"/>
          <w:szCs w:val="16"/>
          <w:lang w:val="es-CO"/>
        </w:rPr>
        <w:t xml:space="preserve">Sala de lo Contencioso Administrativo. </w:t>
      </w:r>
      <w:r w:rsidRPr="00AD7D5F">
        <w:rPr>
          <w:rFonts w:ascii="Verdana" w:hAnsi="Verdana"/>
          <w:sz w:val="16"/>
          <w:szCs w:val="16"/>
          <w:lang w:val="es-CO"/>
        </w:rPr>
        <w:t>Sección Tercera, Subsección A. Sentencia del 14 de junio de 2019</w:t>
      </w:r>
      <w:r>
        <w:rPr>
          <w:rFonts w:ascii="Verdana" w:hAnsi="Verdana"/>
          <w:sz w:val="16"/>
          <w:szCs w:val="16"/>
          <w:lang w:val="es-CO"/>
        </w:rPr>
        <w:t xml:space="preserve">. </w:t>
      </w:r>
      <w:r w:rsidRPr="00AD7D5F">
        <w:rPr>
          <w:rFonts w:ascii="Verdana" w:hAnsi="Verdana"/>
          <w:sz w:val="16"/>
          <w:szCs w:val="16"/>
          <w:lang w:val="es-CO"/>
        </w:rPr>
        <w:t>Rad.: 25000-23-37-000-2010-02552-01 (AP)</w:t>
      </w:r>
      <w:r>
        <w:rPr>
          <w:rFonts w:ascii="Verdana" w:hAnsi="Verdana"/>
          <w:sz w:val="16"/>
          <w:szCs w:val="16"/>
          <w:lang w:val="es-CO"/>
        </w:rPr>
        <w:t xml:space="preserve">. </w:t>
      </w:r>
      <w:r w:rsidRPr="00AD7D5F">
        <w:rPr>
          <w:rFonts w:ascii="Verdana" w:hAnsi="Verdana"/>
          <w:sz w:val="16"/>
          <w:szCs w:val="16"/>
          <w:lang w:val="es-CO"/>
        </w:rPr>
        <w:t xml:space="preserve">C.P: Marta Nubia Velásquez Rico. Consejo </w:t>
      </w:r>
      <w:r>
        <w:rPr>
          <w:rFonts w:ascii="Verdana" w:hAnsi="Verdana"/>
          <w:sz w:val="16"/>
          <w:szCs w:val="16"/>
          <w:lang w:val="es-CO"/>
        </w:rPr>
        <w:t>d</w:t>
      </w:r>
      <w:r w:rsidRPr="00AD7D5F">
        <w:rPr>
          <w:rFonts w:ascii="Verdana" w:hAnsi="Verdana"/>
          <w:sz w:val="16"/>
          <w:szCs w:val="16"/>
          <w:lang w:val="es-CO"/>
        </w:rPr>
        <w:t xml:space="preserve">e Estado. </w:t>
      </w:r>
      <w:r>
        <w:rPr>
          <w:rFonts w:ascii="Verdana" w:hAnsi="Verdana"/>
          <w:sz w:val="16"/>
          <w:szCs w:val="16"/>
          <w:lang w:val="es-CO"/>
        </w:rPr>
        <w:t xml:space="preserve">Sala de lo Contencioso Administrativo. </w:t>
      </w:r>
      <w:r w:rsidRPr="00AD7D5F">
        <w:rPr>
          <w:rFonts w:ascii="Verdana" w:hAnsi="Verdana"/>
          <w:sz w:val="16"/>
          <w:szCs w:val="16"/>
          <w:lang w:val="es-CO"/>
        </w:rPr>
        <w:t>Sección Tercera</w:t>
      </w:r>
      <w:r>
        <w:rPr>
          <w:rFonts w:ascii="Verdana" w:hAnsi="Verdana"/>
          <w:sz w:val="16"/>
          <w:szCs w:val="16"/>
          <w:lang w:val="es-CO"/>
        </w:rPr>
        <w:t>.</w:t>
      </w:r>
      <w:r w:rsidRPr="00AD7D5F">
        <w:rPr>
          <w:rFonts w:ascii="Verdana" w:hAnsi="Verdana"/>
          <w:sz w:val="16"/>
          <w:szCs w:val="16"/>
          <w:lang w:val="es-CO"/>
        </w:rPr>
        <w:t xml:space="preserve"> Subsección A. Sentencia del 25 de mayo de 2025. Exp. 70.504</w:t>
      </w:r>
      <w:r>
        <w:rPr>
          <w:rFonts w:ascii="Verdana" w:hAnsi="Verdana"/>
          <w:sz w:val="16"/>
          <w:szCs w:val="16"/>
          <w:lang w:val="es-CO"/>
        </w:rPr>
        <w:t xml:space="preserve">. </w:t>
      </w:r>
      <w:r w:rsidRPr="00AD7D5F">
        <w:rPr>
          <w:rFonts w:ascii="Verdana" w:hAnsi="Verdana"/>
          <w:sz w:val="16"/>
          <w:szCs w:val="16"/>
          <w:lang w:val="es-CO"/>
        </w:rPr>
        <w:t>C.P. María Adriana Marín..</w:t>
      </w:r>
    </w:p>
    <w:p w14:paraId="71636BDE" w14:textId="77777777" w:rsidR="00813702" w:rsidRPr="00AD7D5F" w:rsidRDefault="00813702" w:rsidP="00813702">
      <w:pPr>
        <w:pStyle w:val="Textonotapie"/>
        <w:ind w:firstLine="708"/>
        <w:jc w:val="both"/>
        <w:rPr>
          <w:rFonts w:ascii="Verdana" w:hAnsi="Verdana"/>
          <w:sz w:val="16"/>
          <w:szCs w:val="16"/>
          <w:lang w:val="es-CO"/>
        </w:rPr>
      </w:pPr>
    </w:p>
  </w:footnote>
  <w:footnote w:id="14">
    <w:p w14:paraId="0E2E1638" w14:textId="77777777" w:rsidR="00813702" w:rsidRDefault="00813702" w:rsidP="00813702">
      <w:pPr>
        <w:pStyle w:val="Textonotapie"/>
        <w:ind w:firstLine="708"/>
        <w:jc w:val="both"/>
        <w:rPr>
          <w:rFonts w:ascii="Verdana" w:hAnsi="Verdana"/>
          <w:sz w:val="16"/>
          <w:szCs w:val="16"/>
        </w:rPr>
      </w:pPr>
      <w:r w:rsidRPr="003B2822">
        <w:rPr>
          <w:rStyle w:val="Refdenotaalpie"/>
          <w:rFonts w:ascii="Verdana" w:hAnsi="Verdana"/>
          <w:sz w:val="16"/>
          <w:szCs w:val="16"/>
        </w:rPr>
        <w:footnoteRef/>
      </w:r>
      <w:r w:rsidRPr="003B2822">
        <w:rPr>
          <w:rFonts w:ascii="Verdana" w:hAnsi="Verdana"/>
          <w:sz w:val="16"/>
          <w:szCs w:val="16"/>
        </w:rPr>
        <w:t xml:space="preserve"> La Corte Constitucional, al analizar el concepto, alcance y finalidad del principio de solidaridad</w:t>
      </w:r>
      <w:r>
        <w:rPr>
          <w:rFonts w:ascii="Verdana" w:hAnsi="Verdana"/>
          <w:sz w:val="16"/>
          <w:szCs w:val="16"/>
        </w:rPr>
        <w:t xml:space="preserve"> en la Constitución Política,</w:t>
      </w:r>
      <w:r w:rsidRPr="003B2822">
        <w:rPr>
          <w:rFonts w:ascii="Verdana" w:hAnsi="Verdana"/>
          <w:sz w:val="16"/>
          <w:szCs w:val="16"/>
        </w:rPr>
        <w:t xml:space="preserve"> señaló en la sentencia C-580 de 1.992: “(…) Al considerar la norma, que los servicios públicos se prestarán "en beneficio de la comunidad", entendida como un todo, se consagra allí un principio de solidaridad que, elimina la posibilidad que se establezca la prestación de los mismos, en condiciones favorables a sólo una parte del conglomerado social.  Más aún, se impone en ella, tomar en cuenta los distintos estratos sociales que participan como usuarios de los servicios públicos, según su capacidad económica, para establecer un régimen tarifario diferencial, que consulta una función redistributiva del costo de los servicios, de acuerdo con la capacidad económica del usuario del servicio, para evitar que sea igual la tarifa para los sectores más ricos de la comunidad que para los más pobres, con lo que se impide que una mayor proporción de la riqueza se concentre en pequeños segmentos de la población, mientras que las grandes mayorías asumen el mayor costo de los servicios.(…)”</w:t>
      </w:r>
      <w:r>
        <w:rPr>
          <w:rFonts w:ascii="Verdana" w:hAnsi="Verdana"/>
          <w:sz w:val="16"/>
          <w:szCs w:val="16"/>
        </w:rPr>
        <w:t>.</w:t>
      </w:r>
    </w:p>
    <w:p w14:paraId="19170B7B" w14:textId="77777777" w:rsidR="00813702" w:rsidRPr="003B2822" w:rsidRDefault="00813702" w:rsidP="00813702">
      <w:pPr>
        <w:pStyle w:val="Textonotapie"/>
        <w:ind w:firstLine="708"/>
        <w:jc w:val="both"/>
        <w:rPr>
          <w:rFonts w:ascii="Verdana" w:hAnsi="Verdana"/>
          <w:sz w:val="16"/>
          <w:szCs w:val="16"/>
          <w:lang w:val="es-CO"/>
        </w:rPr>
      </w:pPr>
    </w:p>
  </w:footnote>
  <w:footnote w:id="15">
    <w:p w14:paraId="24203CCF" w14:textId="77777777" w:rsidR="00813702" w:rsidRDefault="00813702" w:rsidP="00813702">
      <w:pPr>
        <w:pStyle w:val="Textonotapie"/>
        <w:ind w:firstLine="708"/>
        <w:jc w:val="both"/>
        <w:rPr>
          <w:rFonts w:ascii="Verdana" w:hAnsi="Verdana"/>
          <w:sz w:val="16"/>
          <w:szCs w:val="16"/>
          <w:lang w:val="es-ES"/>
        </w:rPr>
      </w:pPr>
      <w:r w:rsidRPr="00BC61F4">
        <w:rPr>
          <w:rStyle w:val="Refdenotaalpie"/>
          <w:rFonts w:ascii="Verdana" w:hAnsi="Verdana"/>
          <w:sz w:val="16"/>
          <w:szCs w:val="16"/>
        </w:rPr>
        <w:footnoteRef/>
      </w:r>
      <w:r w:rsidRPr="00BC61F4">
        <w:rPr>
          <w:rFonts w:ascii="Verdana" w:hAnsi="Verdana"/>
          <w:sz w:val="16"/>
          <w:szCs w:val="16"/>
        </w:rPr>
        <w:t xml:space="preserve"> MARÍN CORTÉS, Fabián Gonzalo. Los servicios semipúblicos domiciliarios. Bogotá: Temis, 2010</w:t>
      </w:r>
      <w:r>
        <w:rPr>
          <w:rFonts w:ascii="Verdana" w:hAnsi="Verdana"/>
          <w:sz w:val="16"/>
          <w:szCs w:val="16"/>
        </w:rPr>
        <w:t>.</w:t>
      </w:r>
      <w:r w:rsidRPr="00BC61F4">
        <w:rPr>
          <w:rFonts w:ascii="Verdana" w:hAnsi="Verdana"/>
          <w:sz w:val="16"/>
          <w:szCs w:val="16"/>
        </w:rPr>
        <w:t xml:space="preserve"> p. </w:t>
      </w:r>
      <w:r w:rsidRPr="00BC61F4">
        <w:rPr>
          <w:rFonts w:ascii="Verdana" w:hAnsi="Verdana"/>
          <w:sz w:val="16"/>
          <w:szCs w:val="16"/>
          <w:lang w:val="es-ES"/>
        </w:rPr>
        <w:t xml:space="preserve">483. </w:t>
      </w:r>
    </w:p>
    <w:p w14:paraId="03C9A3D9" w14:textId="77777777" w:rsidR="00813702" w:rsidRPr="00BC61F4" w:rsidRDefault="00813702" w:rsidP="00813702">
      <w:pPr>
        <w:pStyle w:val="Textonotapie"/>
        <w:ind w:firstLine="708"/>
        <w:jc w:val="both"/>
        <w:rPr>
          <w:rFonts w:ascii="Verdana" w:hAnsi="Verdana"/>
          <w:sz w:val="16"/>
          <w:szCs w:val="16"/>
          <w:lang w:val="es-ES"/>
        </w:rPr>
      </w:pPr>
    </w:p>
  </w:footnote>
  <w:footnote w:id="16">
    <w:p w14:paraId="699F7CB8" w14:textId="77777777" w:rsidR="00813702" w:rsidRPr="00BC61F4" w:rsidRDefault="00813702" w:rsidP="00813702">
      <w:pPr>
        <w:pStyle w:val="Textonotapie"/>
        <w:ind w:firstLine="708"/>
        <w:jc w:val="both"/>
        <w:rPr>
          <w:rFonts w:ascii="Verdana" w:hAnsi="Verdana"/>
          <w:sz w:val="16"/>
          <w:szCs w:val="16"/>
          <w:lang w:val="es-CO"/>
        </w:rPr>
      </w:pPr>
      <w:r w:rsidRPr="00BC61F4">
        <w:rPr>
          <w:rStyle w:val="Refdenotaalpie"/>
          <w:rFonts w:ascii="Verdana" w:hAnsi="Verdana"/>
          <w:sz w:val="16"/>
          <w:szCs w:val="16"/>
        </w:rPr>
        <w:footnoteRef/>
      </w:r>
      <w:r w:rsidRPr="00BC61F4">
        <w:rPr>
          <w:rFonts w:ascii="Verdana" w:hAnsi="Verdana"/>
          <w:sz w:val="16"/>
          <w:szCs w:val="16"/>
        </w:rPr>
        <w:t xml:space="preserve"> </w:t>
      </w:r>
      <w:r w:rsidRPr="00BC61F4">
        <w:rPr>
          <w:rFonts w:ascii="Verdana" w:hAnsi="Verdana"/>
          <w:bCs/>
          <w:sz w:val="16"/>
          <w:szCs w:val="16"/>
          <w:lang w:val="es-CO"/>
        </w:rPr>
        <w:t>Artículo 3°. Instrumentos de la intervención estatal.</w:t>
      </w:r>
      <w:r w:rsidRPr="00BC61F4">
        <w:rPr>
          <w:rFonts w:ascii="Verdana" w:hAnsi="Verdana"/>
          <w:sz w:val="16"/>
          <w:szCs w:val="16"/>
          <w:lang w:val="es-CO"/>
        </w:rPr>
        <w:t> Constituyen instrumentos para la intervención estatal en los servicios públicos todas las atribuciones y funciones asignadas a las entidades, autoridades y organismos de que trata esta Ley, especialmente las relativas a las siguientes materias: </w:t>
      </w:r>
    </w:p>
    <w:p w14:paraId="26808439"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3.1. Promoción y apoyo a personas que presten los servicios públicos. </w:t>
      </w:r>
    </w:p>
    <w:p w14:paraId="2B5D4F55"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3.2. Gestión y obtención de recursos para la prestación de servicios. </w:t>
      </w:r>
    </w:p>
    <w:p w14:paraId="35B93470"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3.3. Regulación de la prestación de los servicios públicos teniendo en cuenta las características de cada región; fijación de metas de eficiencia, cobertura y calidad, evaluación de las mismas, y definición del régimen tarifario. </w:t>
      </w:r>
    </w:p>
    <w:p w14:paraId="1D1D8E3F" w14:textId="77777777" w:rsidR="00813702" w:rsidRPr="00BC61F4" w:rsidRDefault="00813702" w:rsidP="00813702">
      <w:pPr>
        <w:pStyle w:val="Textonotapie"/>
        <w:jc w:val="both"/>
        <w:rPr>
          <w:rFonts w:ascii="Verdana" w:hAnsi="Verdana"/>
          <w:sz w:val="16"/>
          <w:szCs w:val="16"/>
          <w:lang w:val="es-CO"/>
        </w:rPr>
      </w:pPr>
      <w:r w:rsidRPr="00BC61F4">
        <w:rPr>
          <w:rFonts w:ascii="Verdana" w:hAnsi="Verdana"/>
          <w:sz w:val="16"/>
          <w:szCs w:val="16"/>
          <w:lang w:val="es-CO"/>
        </w:rPr>
        <w:t> </w:t>
      </w:r>
      <w:r w:rsidRPr="00BC61F4">
        <w:rPr>
          <w:rFonts w:ascii="Verdana" w:hAnsi="Verdana"/>
          <w:sz w:val="16"/>
          <w:szCs w:val="16"/>
          <w:lang w:val="es-CO"/>
        </w:rPr>
        <w:tab/>
        <w:t>3.4. Control y vigilancia de la observancia de las normas y de los planes y programas sobre la materia. </w:t>
      </w:r>
    </w:p>
    <w:p w14:paraId="11E6CD66"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3.5. Organización de sistemas de información, capacitación y asistencia técnica. </w:t>
      </w:r>
    </w:p>
    <w:p w14:paraId="5E62729B"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3.6. Protección de los recursos naturales. </w:t>
      </w:r>
    </w:p>
    <w:p w14:paraId="01D39920"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3.7. Otorgamiento de subsidios a las personas de menores ingresos. </w:t>
      </w:r>
    </w:p>
    <w:p w14:paraId="2DA61AEC"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3.8. Estímulo a la inversión de los particulares en los servicios públicos. </w:t>
      </w:r>
    </w:p>
    <w:p w14:paraId="58638F5A"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3.9. Respeto del principio de neutralidad, a fin de asegurar que no exista ninguna práctica discriminatoria en la prestación de los servicios. </w:t>
      </w:r>
    </w:p>
    <w:p w14:paraId="7E7F4256" w14:textId="77777777" w:rsidR="00813702" w:rsidRPr="00BC61F4"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Todas las decisiones de las autoridades en materia de servicios públicos deben fundarse en los motivos que determina esta Ley; y los motivos que invoquen deben ser comprobables. </w:t>
      </w:r>
    </w:p>
    <w:p w14:paraId="7320EADB" w14:textId="77777777" w:rsidR="00813702" w:rsidRPr="008A3E33" w:rsidRDefault="00813702" w:rsidP="00813702">
      <w:pPr>
        <w:pStyle w:val="Textonotapie"/>
        <w:ind w:firstLine="708"/>
        <w:jc w:val="both"/>
        <w:rPr>
          <w:rFonts w:ascii="Verdana" w:hAnsi="Verdana"/>
          <w:sz w:val="16"/>
          <w:szCs w:val="16"/>
          <w:lang w:val="es-CO"/>
        </w:rPr>
      </w:pPr>
      <w:r w:rsidRPr="00BC61F4">
        <w:rPr>
          <w:rFonts w:ascii="Verdana" w:hAnsi="Verdana"/>
          <w:sz w:val="16"/>
          <w:szCs w:val="16"/>
          <w:lang w:val="es-CO"/>
        </w:rPr>
        <w:t>Todos los prestadores quedarán sujetos, en lo que no sea incompatible con la Constitución o con la ley, a todo lo que esta Ley dispone para las empresas y sus administradores y, en especial, a las regulaciones</w:t>
      </w:r>
      <w:r w:rsidRPr="008A3E33">
        <w:rPr>
          <w:rFonts w:ascii="Verdana" w:hAnsi="Verdana"/>
          <w:sz w:val="16"/>
          <w:szCs w:val="16"/>
          <w:lang w:val="es-CO"/>
        </w:rPr>
        <w:t xml:space="preserve"> de las Comisiones, al control, inspección y vigilancia de la Superintendencia de Servicios Públicos, y a las contribuciones para aquéllas y ésta. </w:t>
      </w:r>
    </w:p>
    <w:p w14:paraId="50DEB916" w14:textId="77777777" w:rsidR="00813702" w:rsidRPr="00C45436" w:rsidRDefault="00813702" w:rsidP="00813702">
      <w:pPr>
        <w:pStyle w:val="Textonotapie"/>
        <w:rPr>
          <w:rFonts w:ascii="Verdana" w:hAnsi="Verdana"/>
          <w:sz w:val="16"/>
          <w:szCs w:val="16"/>
          <w:lang w:val="es-ES"/>
        </w:rPr>
      </w:pPr>
    </w:p>
  </w:footnote>
  <w:footnote w:id="17">
    <w:p w14:paraId="0B6F5FA1" w14:textId="77777777" w:rsidR="00813702" w:rsidRPr="00474655" w:rsidRDefault="00813702" w:rsidP="00813702">
      <w:pPr>
        <w:pStyle w:val="Textonotapie"/>
        <w:ind w:firstLine="708"/>
        <w:jc w:val="both"/>
        <w:rPr>
          <w:rFonts w:ascii="Verdana" w:hAnsi="Verdana"/>
          <w:sz w:val="16"/>
          <w:szCs w:val="16"/>
          <w:lang w:val="es-CO"/>
        </w:rPr>
      </w:pPr>
      <w:r w:rsidRPr="00474655">
        <w:rPr>
          <w:rStyle w:val="Refdenotaalpie"/>
          <w:rFonts w:ascii="Verdana" w:hAnsi="Verdana"/>
          <w:sz w:val="16"/>
          <w:szCs w:val="16"/>
        </w:rPr>
        <w:footnoteRef/>
      </w:r>
      <w:r w:rsidRPr="00474655">
        <w:rPr>
          <w:rFonts w:ascii="Verdana" w:hAnsi="Verdana"/>
          <w:sz w:val="16"/>
          <w:szCs w:val="16"/>
        </w:rPr>
        <w:t xml:space="preserve"> </w:t>
      </w:r>
      <w:r w:rsidRPr="00474655">
        <w:rPr>
          <w:rFonts w:ascii="Verdana" w:hAnsi="Verdana"/>
          <w:bCs/>
          <w:sz w:val="16"/>
          <w:szCs w:val="16"/>
          <w:lang w:val="es-CO"/>
        </w:rPr>
        <w:t>Artículo 2.3.5.1.2.2.14. </w:t>
      </w:r>
      <w:r w:rsidRPr="00474655">
        <w:rPr>
          <w:rFonts w:ascii="Verdana" w:hAnsi="Verdana"/>
          <w:bCs/>
          <w:i/>
          <w:iCs/>
          <w:sz w:val="16"/>
          <w:szCs w:val="16"/>
          <w:lang w:val="es-CO"/>
        </w:rPr>
        <w:t>Administración de los recursos del Sistema General de Participaciones para Agua Potable y Saneamiento Básico. </w:t>
      </w:r>
      <w:r w:rsidRPr="00474655">
        <w:rPr>
          <w:rFonts w:ascii="Verdana" w:hAnsi="Verdana"/>
          <w:sz w:val="16"/>
          <w:szCs w:val="16"/>
          <w:lang w:val="es-CO"/>
        </w:rPr>
        <w:t>El departamento, en ejercicio de la competencia asignada por el artículo 5° de la Ley 1176 de 2007, administrará los recursos del Sistema General de Participaciones para Agua Potable y Saneamiento Básico asignados al municipio o distrito descertificado, a partir de la fecha en que quede ejecutoriado el acto administrativo expedido por la Superintendencia de Servicios Públicos Domiciliarios, y en tal virtud le corresponde: </w:t>
      </w:r>
    </w:p>
    <w:p w14:paraId="4AB466C6"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1. Realizar reunión de empalme con el fin de oficializar la recepción del cierre operativo del municipio o distrito descertificado donde el departamento reciba el balance detallado de la ejecución de ingresos: apropiación y recaudo efectivo; y de la ejecución de los gastos: apropiación, compromisos, obligaciones y pagos, de los recursos correspondientes al Sistema General de Participaciones – APSB ejecutados por el municipio o distrito. El Gobernador realizará dicha reunión, dentro de los 15 días siguientes a la fecha de ejecutoria del acto de descertificación del municipio o distrito de su jurisdicción. Si por razones de fuerza mayor el gobernador no puede asistir, solo podrá delegar esta función en el Secretario de Hacienda del departamento o quien haga sus veces. </w:t>
      </w:r>
    </w:p>
    <w:p w14:paraId="05D7981E"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Las cifras del cierre operativo tendrán como fecha de corte la ejecutoria del acto administrativo de la descertificación y como soporte la ejecución presupuestal de ingresos y gastos a esa fecha y las certificaciones bancarias de los saldos correspondientes. Los saldos sin ejecutar, las cuentas por pagar y las reservas presupuestales serán incorporados como rentas administradas en el presupuesto del departamento en la cuenta del municipio correspondiente. </w:t>
      </w:r>
    </w:p>
    <w:p w14:paraId="3AF376BD"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2. Administrar, apropiar, incorporar, comprometer, ordenar el gasto y ejecutar los recursos asignados, los recursos de créditos y los recursos del balance del Sistema General de Participaciones para agua potable y saneamiento de los municipios y distritos descertificados, en el presupuesto del departamento y llevar contabilidad en forma independiente disponiendo de una cuenta bancaria para cada municipio o distrito, de conformidad con el plan de desarrollo del municipio o distrito descertificado. </w:t>
      </w:r>
    </w:p>
    <w:p w14:paraId="291F0136"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3. Presupuestar y contabilizar sin situación de fondos los recursos girados directamente a los prestadores de los servicios de acueducto, alcantarillado y aseo, a los patrimonios autónomos o a los esquemas fiduciarios constituidos para el manejo de los recursos del Sistema General de Participaciones para Agua Potable y Saneamiento Básico. </w:t>
      </w:r>
    </w:p>
    <w:p w14:paraId="257E3236"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4. Suscribir los contratos que sean requeridos para asegurar la adecuada destinación de los recursos del Sistema General de Participaciones para Agua Potable y Saneamiento Básico. </w:t>
      </w:r>
    </w:p>
    <w:p w14:paraId="755900EE"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5. Suscribir con las personas prestadoras de los servicios públicos los contratos o convenios de que trata el artículo 2.3.4.1.2.11 del capítulo I del título IV del presente Libro o la norma que lo modifique, complemente o sustituya, para el otorgamiento de subsidios con cargo al SGP. Los contratos o convenios para la financiación de subsidios con cargo a otras fuentes diferentes al Sistema General de Participaciones serán suscritos y ejecutados por el municipio o distrito descertificado. </w:t>
      </w:r>
    </w:p>
    <w:p w14:paraId="728596F4" w14:textId="77777777" w:rsidR="00813702" w:rsidRPr="00474655" w:rsidRDefault="00813702" w:rsidP="00813702">
      <w:pPr>
        <w:pStyle w:val="Textonotapie"/>
        <w:ind w:firstLine="708"/>
        <w:jc w:val="both"/>
        <w:rPr>
          <w:rFonts w:ascii="Verdana" w:hAnsi="Verdana"/>
          <w:sz w:val="16"/>
          <w:szCs w:val="16"/>
          <w:lang w:val="es-CO"/>
        </w:rPr>
      </w:pPr>
      <w:r w:rsidRPr="00474655">
        <w:rPr>
          <w:rFonts w:ascii="Verdana" w:hAnsi="Verdana"/>
          <w:sz w:val="16"/>
          <w:szCs w:val="16"/>
          <w:lang w:val="es-CO"/>
        </w:rPr>
        <w:t>6. Cumplir con los compromisos adquiridos por el municipio o distrito descertificado con anterioridad a la fecha de ejecutoria del acto administrativo expedido por la Superintendencia de Servicios Públicos Domiciliarios que impone la descertificación, que hayan sido financiados con los recursos del Sistema General de Participaciones para Agua Potable y Saneamiento Básico y cuyo objeto sea cualquiera de las actividades establecidas en el artículo 11 de la Ley 1176 de 2007. </w:t>
      </w:r>
    </w:p>
    <w:p w14:paraId="09FD0F72" w14:textId="77777777" w:rsidR="00813702" w:rsidRPr="00C45436" w:rsidRDefault="00813702" w:rsidP="00813702">
      <w:pPr>
        <w:pStyle w:val="Textonotapie"/>
        <w:rPr>
          <w:rFonts w:ascii="Verdana" w:hAnsi="Verdana"/>
          <w:sz w:val="16"/>
          <w:szCs w:val="16"/>
          <w:lang w:val="es-CO"/>
        </w:rPr>
      </w:pPr>
      <w:r w:rsidRPr="00C45436">
        <w:rPr>
          <w:rFonts w:ascii="Verdana" w:hAnsi="Verdana"/>
          <w:sz w:val="16"/>
          <w:szCs w:val="16"/>
          <w:lang w:val="es-CO"/>
        </w:rPr>
        <w:t>[…]</w:t>
      </w:r>
    </w:p>
  </w:footnote>
  <w:footnote w:id="18">
    <w:p w14:paraId="4C46452E" w14:textId="77777777" w:rsidR="00813702" w:rsidRPr="00C45436" w:rsidRDefault="00813702" w:rsidP="00813702">
      <w:pPr>
        <w:spacing w:after="0" w:line="240" w:lineRule="auto"/>
        <w:ind w:firstLine="709"/>
        <w:jc w:val="both"/>
        <w:rPr>
          <w:rFonts w:ascii="Verdana" w:eastAsia="Times New Roman"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3" w:name="33"/>
      <w:r w:rsidRPr="00C45436">
        <w:rPr>
          <w:rFonts w:ascii="Verdana" w:eastAsia="Calibri" w:hAnsi="Verdana" w:cs="Arial"/>
          <w:color w:val="000000"/>
          <w:sz w:val="16"/>
          <w:szCs w:val="16"/>
        </w:rPr>
        <w:t>“</w:t>
      </w:r>
      <w:r w:rsidRPr="00C45436">
        <w:rPr>
          <w:rFonts w:ascii="Verdana" w:eastAsia="Times New Roman" w:hAnsi="Verdana" w:cs="Arial"/>
          <w:sz w:val="16"/>
          <w:szCs w:val="16"/>
        </w:rPr>
        <w:t>Artículo 33. Restricciones a la contratación pública.</w:t>
      </w:r>
      <w:bookmarkEnd w:id="3"/>
      <w:r w:rsidRPr="00C4543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ED8DB77" w14:textId="77777777" w:rsidR="00813702" w:rsidRDefault="00813702" w:rsidP="00813702">
      <w:pPr>
        <w:spacing w:after="0" w:line="240" w:lineRule="auto"/>
        <w:ind w:firstLine="709"/>
        <w:jc w:val="both"/>
        <w:rPr>
          <w:rFonts w:ascii="Verdana" w:eastAsia="Times New Roman" w:hAnsi="Verdana" w:cs="Arial"/>
          <w:sz w:val="16"/>
          <w:szCs w:val="16"/>
        </w:rPr>
      </w:pPr>
      <w:r w:rsidRPr="00C4543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45436">
        <w:rPr>
          <w:rFonts w:ascii="Verdana" w:eastAsia="Calibri" w:hAnsi="Verdana" w:cs="Arial"/>
          <w:color w:val="000000"/>
          <w:sz w:val="16"/>
          <w:szCs w:val="16"/>
        </w:rPr>
        <w:t>”</w:t>
      </w:r>
      <w:r w:rsidRPr="00C45436">
        <w:rPr>
          <w:rFonts w:ascii="Verdana" w:eastAsia="Times New Roman" w:hAnsi="Verdana" w:cs="Arial"/>
          <w:sz w:val="16"/>
          <w:szCs w:val="16"/>
        </w:rPr>
        <w:t>.</w:t>
      </w:r>
    </w:p>
    <w:p w14:paraId="20683155" w14:textId="77777777" w:rsidR="00813702" w:rsidRPr="00C45436" w:rsidRDefault="00813702" w:rsidP="00813702">
      <w:pPr>
        <w:spacing w:after="0" w:line="240" w:lineRule="auto"/>
        <w:ind w:firstLine="709"/>
        <w:jc w:val="both"/>
        <w:rPr>
          <w:rFonts w:ascii="Verdana" w:eastAsia="Times New Roman" w:hAnsi="Verdana" w:cs="Arial"/>
          <w:sz w:val="16"/>
          <w:szCs w:val="16"/>
        </w:rPr>
      </w:pPr>
    </w:p>
  </w:footnote>
  <w:footnote w:id="19">
    <w:p w14:paraId="58396032" w14:textId="77777777" w:rsidR="00813702" w:rsidRPr="00C45436" w:rsidRDefault="00813702" w:rsidP="00813702">
      <w:pPr>
        <w:pStyle w:val="NormalWeb"/>
        <w:spacing w:before="0" w:beforeAutospacing="0" w:after="0" w:afterAutospacing="0"/>
        <w:ind w:firstLine="709"/>
        <w:jc w:val="both"/>
        <w:rPr>
          <w:rFonts w:ascii="Verdana" w:hAnsi="Verdana" w:cs="Arial"/>
          <w:sz w:val="16"/>
          <w:szCs w:val="16"/>
          <w:lang w:val="es-MX"/>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4" w:name="38"/>
      <w:r w:rsidRPr="00C45436">
        <w:rPr>
          <w:rFonts w:ascii="Verdana" w:eastAsia="Calibri" w:hAnsi="Verdana" w:cs="Arial"/>
          <w:color w:val="000000"/>
          <w:sz w:val="16"/>
          <w:szCs w:val="16"/>
        </w:rPr>
        <w:t>“</w:t>
      </w:r>
      <w:r w:rsidRPr="00C45436">
        <w:rPr>
          <w:rFonts w:ascii="Verdana" w:hAnsi="Verdana" w:cs="Arial"/>
          <w:sz w:val="16"/>
          <w:szCs w:val="16"/>
          <w:lang w:val="es-MX"/>
        </w:rPr>
        <w:t>Artículo 38. Prohibiciones para los servidores públicos. A los empleados del Estado les está prohibido:</w:t>
      </w:r>
      <w:bookmarkEnd w:id="4"/>
      <w:r w:rsidRPr="00C45436">
        <w:rPr>
          <w:rFonts w:ascii="Verdana" w:hAnsi="Verdana" w:cs="Arial"/>
          <w:sz w:val="16"/>
          <w:szCs w:val="16"/>
          <w:lang w:val="es-MX"/>
        </w:rPr>
        <w:t xml:space="preserve"> […] </w:t>
      </w:r>
      <w:r w:rsidRPr="00C45436">
        <w:rPr>
          <w:rStyle w:val="baj"/>
          <w:rFonts w:ascii="Verdana" w:hAnsi="Verdana" w:cs="Arial"/>
          <w:sz w:val="16"/>
          <w:szCs w:val="16"/>
          <w:lang w:val="es-MX"/>
        </w:rPr>
        <w:t>Parágrafo.</w:t>
      </w:r>
      <w:r w:rsidRPr="00C4543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5436">
        <w:rPr>
          <w:rFonts w:ascii="Verdana" w:eastAsia="Calibri" w:hAnsi="Verdana" w:cs="Arial"/>
          <w:color w:val="000000"/>
          <w:sz w:val="16"/>
          <w:szCs w:val="16"/>
        </w:rPr>
        <w:t>”</w:t>
      </w:r>
      <w:r w:rsidRPr="00C45436">
        <w:rPr>
          <w:rFonts w:ascii="Verdana" w:hAnsi="Verdana" w:cs="Arial"/>
          <w:sz w:val="16"/>
          <w:szCs w:val="16"/>
          <w:lang w:val="es-MX"/>
        </w:rPr>
        <w:t>.</w:t>
      </w:r>
    </w:p>
  </w:footnote>
  <w:footnote w:id="20">
    <w:p w14:paraId="2C2C4198" w14:textId="77777777" w:rsidR="00813702" w:rsidRDefault="00813702" w:rsidP="00813702">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16.5. </w:t>
      </w:r>
    </w:p>
    <w:p w14:paraId="38DD3F7B" w14:textId="77777777" w:rsidR="00813702" w:rsidRPr="00C45436" w:rsidRDefault="00813702" w:rsidP="00813702">
      <w:pPr>
        <w:pStyle w:val="Textonotapie"/>
        <w:ind w:firstLine="708"/>
        <w:jc w:val="both"/>
        <w:rPr>
          <w:rFonts w:ascii="Verdana" w:hAnsi="Verdana" w:cs="Arial"/>
          <w:sz w:val="16"/>
          <w:szCs w:val="16"/>
        </w:rPr>
      </w:pPr>
    </w:p>
  </w:footnote>
  <w:footnote w:id="21">
    <w:p w14:paraId="1AD934AB" w14:textId="77777777" w:rsidR="00813702" w:rsidRPr="00C45436" w:rsidRDefault="00813702" w:rsidP="00813702">
      <w:pPr>
        <w:spacing w:after="0" w:line="240" w:lineRule="auto"/>
        <w:ind w:left="100" w:right="244" w:firstLine="608"/>
        <w:jc w:val="both"/>
        <w:rPr>
          <w:rFonts w:ascii="Verdana" w:hAnsi="Verdana" w:cs="Arial"/>
          <w:sz w:val="16"/>
          <w:szCs w:val="16"/>
          <w:lang w:val="es-ES"/>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17 de febrero de 2015. Rad. 2269.</w:t>
      </w:r>
      <w:r>
        <w:rPr>
          <w:rFonts w:ascii="Verdana" w:hAnsi="Verdana" w:cs="Arial"/>
          <w:sz w:val="16"/>
          <w:szCs w:val="16"/>
        </w:rPr>
        <w:t xml:space="preserve"> </w:t>
      </w:r>
      <w:r w:rsidRPr="00C45436">
        <w:rPr>
          <w:rFonts w:ascii="Verdana" w:hAnsi="Verdana" w:cs="Arial"/>
          <w:sz w:val="16"/>
          <w:szCs w:val="16"/>
        </w:rPr>
        <w:t>C.P</w:t>
      </w:r>
      <w:r>
        <w:rPr>
          <w:rFonts w:ascii="Verdana" w:hAnsi="Verdana" w:cs="Arial"/>
          <w:sz w:val="16"/>
          <w:szCs w:val="16"/>
        </w:rPr>
        <w:t>:</w:t>
      </w:r>
      <w:r w:rsidRPr="00C45436">
        <w:rPr>
          <w:rFonts w:ascii="Verdana" w:hAnsi="Verdana" w:cs="Arial"/>
          <w:sz w:val="16"/>
          <w:szCs w:val="16"/>
        </w:rPr>
        <w:t xml:space="preserve"> William Zambrano Cetina. </w:t>
      </w:r>
    </w:p>
  </w:footnote>
  <w:footnote w:id="22">
    <w:p w14:paraId="19C63594" w14:textId="77777777" w:rsidR="00813702" w:rsidRPr="00C45436" w:rsidRDefault="00813702" w:rsidP="00813702">
      <w:pPr>
        <w:pStyle w:val="Textonotapie"/>
        <w:ind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08 de mayo de 2018.</w:t>
      </w:r>
      <w:r>
        <w:rPr>
          <w:rFonts w:ascii="Verdana" w:hAnsi="Verdana" w:cs="Arial"/>
          <w:sz w:val="16"/>
          <w:szCs w:val="16"/>
        </w:rPr>
        <w:t xml:space="preserve"> </w:t>
      </w:r>
      <w:r w:rsidRPr="00C45436">
        <w:rPr>
          <w:rFonts w:ascii="Verdana" w:hAnsi="Verdana" w:cs="Arial"/>
          <w:sz w:val="16"/>
          <w:szCs w:val="16"/>
        </w:rPr>
        <w:t>Rad. 2.382</w:t>
      </w:r>
      <w:r>
        <w:rPr>
          <w:rFonts w:ascii="Verdana" w:hAnsi="Verdana" w:cs="Arial"/>
          <w:sz w:val="16"/>
          <w:szCs w:val="16"/>
        </w:rPr>
        <w:t>.</w:t>
      </w:r>
      <w:r w:rsidRPr="00C45436">
        <w:rPr>
          <w:rFonts w:ascii="Verdana" w:hAnsi="Verdana" w:cs="Arial"/>
          <w:sz w:val="16"/>
          <w:szCs w:val="16"/>
          <w:lang w:val="es-CO"/>
        </w:rPr>
        <w:t xml:space="preserve"> C.P</w:t>
      </w:r>
      <w:r>
        <w:rPr>
          <w:rFonts w:ascii="Verdana" w:hAnsi="Verdana" w:cs="Arial"/>
          <w:sz w:val="16"/>
          <w:szCs w:val="16"/>
          <w:lang w:val="es-CO"/>
        </w:rPr>
        <w:t>:</w:t>
      </w:r>
      <w:r w:rsidRPr="00C45436">
        <w:rPr>
          <w:rFonts w:ascii="Verdana" w:hAnsi="Verdana" w:cs="Arial"/>
          <w:sz w:val="16"/>
          <w:szCs w:val="16"/>
          <w:lang w:val="es-CO"/>
        </w:rPr>
        <w:t xml:space="preserve"> Álvaro Namén Vargas.</w:t>
      </w:r>
    </w:p>
  </w:footnote>
  <w:footnote w:id="23">
    <w:p w14:paraId="64021DBE" w14:textId="77777777" w:rsidR="00813702" w:rsidRPr="00C45436" w:rsidRDefault="00813702" w:rsidP="00813702">
      <w:pPr>
        <w:pStyle w:val="Textonotapie"/>
        <w:ind w:firstLine="708"/>
        <w:jc w:val="both"/>
        <w:rPr>
          <w:rFonts w:ascii="Verdana" w:hAnsi="Verdana"/>
          <w:sz w:val="16"/>
          <w:szCs w:val="16"/>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eastAsia="Arial" w:hAnsi="Verdana" w:cs="Arial"/>
          <w:sz w:val="16"/>
          <w:szCs w:val="16"/>
          <w:lang w:eastAsia="es-ES" w:bidi="es-ES"/>
        </w:rPr>
        <w:t xml:space="preserve">Mediante sentencia del 17 de octubre de 2025, emitida por la Sección Tercera del Consejo de Estado, dentro del expediente </w:t>
      </w:r>
      <w:r w:rsidRPr="00C45436">
        <w:rPr>
          <w:rFonts w:ascii="Verdana" w:eastAsia="Times New Roman" w:hAnsi="Verdana" w:cs="Times New Roman"/>
          <w:sz w:val="16"/>
          <w:szCs w:val="16"/>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footnote>
  <w:footnote w:id="24">
    <w:p w14:paraId="403BFDF5" w14:textId="77777777" w:rsidR="00813702" w:rsidRDefault="00813702" w:rsidP="00813702">
      <w:pPr>
        <w:pStyle w:val="Textonotapie"/>
        <w:ind w:firstLine="708"/>
        <w:rPr>
          <w:rFonts w:ascii="Verdana" w:hAnsi="Verdana"/>
          <w:sz w:val="16"/>
          <w:szCs w:val="16"/>
        </w:rPr>
      </w:pPr>
      <w:r w:rsidRPr="004F6BEA">
        <w:rPr>
          <w:rStyle w:val="Refdenotaalpie"/>
          <w:rFonts w:ascii="Verdana" w:hAnsi="Verdana"/>
          <w:sz w:val="16"/>
          <w:szCs w:val="16"/>
        </w:rPr>
        <w:footnoteRef/>
      </w:r>
      <w:r w:rsidRPr="004F6BEA">
        <w:rPr>
          <w:rFonts w:ascii="Verdana" w:hAnsi="Verdana"/>
          <w:sz w:val="16"/>
          <w:szCs w:val="16"/>
        </w:rPr>
        <w:t xml:space="preserve"> </w:t>
      </w:r>
      <w:r>
        <w:rPr>
          <w:rFonts w:ascii="Verdana" w:hAnsi="Verdana"/>
          <w:sz w:val="16"/>
          <w:szCs w:val="16"/>
        </w:rPr>
        <w:t xml:space="preserve">Superintendencia de Servicios Públicos Domiciliarios. Conceptos C-086 de 2022 y C-194 de 2022. </w:t>
      </w:r>
    </w:p>
    <w:p w14:paraId="588A641D" w14:textId="77777777" w:rsidR="00813702" w:rsidRPr="004F6BEA" w:rsidRDefault="00813702" w:rsidP="00813702">
      <w:pPr>
        <w:pStyle w:val="Textonotapie"/>
        <w:ind w:firstLine="708"/>
        <w:rPr>
          <w:rFonts w:ascii="Verdana" w:hAnsi="Verdana"/>
          <w:sz w:val="16"/>
          <w:szCs w:val="16"/>
          <w:lang w:val="es-CO"/>
        </w:rPr>
      </w:pPr>
    </w:p>
  </w:footnote>
  <w:footnote w:id="25">
    <w:p w14:paraId="502F8AA5" w14:textId="77777777" w:rsidR="00813702" w:rsidRPr="00F5052E" w:rsidRDefault="00813702" w:rsidP="00813702">
      <w:pPr>
        <w:pStyle w:val="Textonotapie"/>
        <w:ind w:firstLine="708"/>
        <w:jc w:val="both"/>
        <w:rPr>
          <w:rFonts w:ascii="Verdana" w:hAnsi="Verdana"/>
          <w:sz w:val="16"/>
          <w:szCs w:val="16"/>
          <w:lang w:val="es-CO"/>
        </w:rPr>
      </w:pPr>
      <w:r w:rsidRPr="00F5052E">
        <w:rPr>
          <w:rStyle w:val="Refdenotaalpie"/>
          <w:rFonts w:ascii="Verdana" w:hAnsi="Verdana"/>
          <w:sz w:val="16"/>
          <w:szCs w:val="16"/>
        </w:rPr>
        <w:footnoteRef/>
      </w:r>
      <w:r w:rsidRPr="00F5052E">
        <w:rPr>
          <w:rFonts w:ascii="Verdana" w:hAnsi="Verdana"/>
          <w:sz w:val="16"/>
          <w:szCs w:val="16"/>
        </w:rPr>
        <w:t xml:space="preserve"> </w:t>
      </w:r>
      <w:r w:rsidRPr="00F5052E">
        <w:rPr>
          <w:rFonts w:ascii="Verdana" w:hAnsi="Verdana"/>
          <w:sz w:val="16"/>
          <w:szCs w:val="16"/>
          <w:lang w:val="es-CO"/>
        </w:rPr>
        <w:t>Consejo de Estado, Sala de Consulta y Servicio Civil. Concepto del 6 de abril de 2006, Rad. 1736. C.P</w:t>
      </w:r>
      <w:r>
        <w:rPr>
          <w:rFonts w:ascii="Verdana" w:hAnsi="Verdana"/>
          <w:sz w:val="16"/>
          <w:szCs w:val="16"/>
          <w:lang w:val="es-CO"/>
        </w:rPr>
        <w:t>:</w:t>
      </w:r>
      <w:r w:rsidRPr="00F5052E">
        <w:rPr>
          <w:rFonts w:ascii="Verdana" w:hAnsi="Verdana"/>
          <w:sz w:val="16"/>
          <w:szCs w:val="16"/>
          <w:lang w:val="es-CO"/>
        </w:rPr>
        <w:t xml:space="preserve"> Luis Fernando Álvarez Jaramillo. </w:t>
      </w:r>
    </w:p>
  </w:footnote>
  <w:footnote w:id="26">
    <w:p w14:paraId="4AE6BB2D" w14:textId="77777777" w:rsidR="00813702" w:rsidRDefault="00813702" w:rsidP="00813702">
      <w:pPr>
        <w:pStyle w:val="Textonotapie"/>
        <w:ind w:right="51"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20 de febrero de 2006. Rad. 1727. C.P</w:t>
      </w:r>
      <w:r>
        <w:rPr>
          <w:rFonts w:ascii="Verdana" w:hAnsi="Verdana" w:cs="Arial"/>
          <w:sz w:val="16"/>
          <w:szCs w:val="16"/>
        </w:rPr>
        <w:t>:</w:t>
      </w:r>
      <w:r w:rsidRPr="00C45436">
        <w:rPr>
          <w:rFonts w:ascii="Verdana" w:hAnsi="Verdana" w:cs="Arial"/>
          <w:sz w:val="16"/>
          <w:szCs w:val="16"/>
        </w:rPr>
        <w:t xml:space="preserve"> Enrique José Arboleda Perdomo. </w:t>
      </w:r>
    </w:p>
    <w:p w14:paraId="10A78205" w14:textId="77777777" w:rsidR="00813702" w:rsidRPr="00C45436" w:rsidRDefault="00813702" w:rsidP="00813702">
      <w:pPr>
        <w:pStyle w:val="Textonotapie"/>
        <w:ind w:right="51" w:firstLine="709"/>
        <w:jc w:val="both"/>
        <w:rPr>
          <w:rFonts w:ascii="Verdana" w:hAnsi="Verdana" w:cs="Arial"/>
          <w:sz w:val="16"/>
          <w:szCs w:val="16"/>
        </w:rPr>
      </w:pPr>
    </w:p>
  </w:footnote>
  <w:footnote w:id="27">
    <w:p w14:paraId="0533B709" w14:textId="77777777" w:rsidR="00813702" w:rsidRPr="00C45436" w:rsidRDefault="00813702" w:rsidP="00813702">
      <w:pPr>
        <w:pStyle w:val="Textonotapie"/>
        <w:ind w:firstLine="709"/>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hAnsi="Verdana" w:cs="Arial"/>
          <w:sz w:val="16"/>
          <w:szCs w:val="16"/>
        </w:rPr>
        <w:t>Consejo de Estado. Sala de Consulta y Servicio Civil. Concepto de 6 de abril de 2006. Rad. 1738. C.P</w:t>
      </w:r>
      <w:r>
        <w:rPr>
          <w:rFonts w:ascii="Verdana" w:hAnsi="Verdana" w:cs="Arial"/>
          <w:sz w:val="16"/>
          <w:szCs w:val="16"/>
        </w:rPr>
        <w:t>:</w:t>
      </w:r>
      <w:r w:rsidRPr="00C45436">
        <w:rPr>
          <w:rFonts w:ascii="Verdana" w:hAnsi="Verdana" w:cs="Arial"/>
          <w:sz w:val="16"/>
          <w:szCs w:val="16"/>
        </w:rPr>
        <w:t xml:space="preserve"> Enrique José Arboleda Perdomo.</w:t>
      </w:r>
    </w:p>
  </w:footnote>
  <w:footnote w:id="28">
    <w:p w14:paraId="2C01971B" w14:textId="77777777" w:rsidR="00813702" w:rsidRPr="00C45436" w:rsidRDefault="00813702" w:rsidP="00813702">
      <w:pPr>
        <w:pStyle w:val="Textonotapie"/>
        <w:ind w:firstLine="709"/>
        <w:contextualSpacing/>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11" w:name="_Hlk192533196"/>
      <w:r w:rsidRPr="00C45436">
        <w:rPr>
          <w:rFonts w:ascii="Verdana" w:hAnsi="Verdana" w:cs="Arial"/>
          <w:sz w:val="16"/>
          <w:szCs w:val="16"/>
        </w:rPr>
        <w:t>Consejo de Estado. Sala de Consulta y Servicio Civil. Concepto del 15 de noviembre de 2007. Rad. 1863. C.P: Luis Fernando Álvarez Jaramillo.</w:t>
      </w:r>
      <w:bookmarkEnd w:id="11"/>
    </w:p>
  </w:footnote>
  <w:footnote w:id="29">
    <w:p w14:paraId="540EC18C" w14:textId="77777777" w:rsidR="00813702" w:rsidRPr="00C45436" w:rsidRDefault="00813702" w:rsidP="00813702">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FB7985"/>
    <w:multiLevelType w:val="hybridMultilevel"/>
    <w:tmpl w:val="6D723D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691346076">
    <w:abstractNumId w:val="3"/>
  </w:num>
  <w:num w:numId="18" w16cid:durableId="16466197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09F4"/>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34767"/>
    <w:rsid w:val="002421BB"/>
    <w:rsid w:val="00244192"/>
    <w:rsid w:val="0025796E"/>
    <w:rsid w:val="0026381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20EB"/>
    <w:rsid w:val="007E5497"/>
    <w:rsid w:val="00806F5F"/>
    <w:rsid w:val="00813702"/>
    <w:rsid w:val="00820278"/>
    <w:rsid w:val="008258C9"/>
    <w:rsid w:val="00844AE9"/>
    <w:rsid w:val="00867F95"/>
    <w:rsid w:val="008843B6"/>
    <w:rsid w:val="00891928"/>
    <w:rsid w:val="008A446D"/>
    <w:rsid w:val="008B25F1"/>
    <w:rsid w:val="008D180B"/>
    <w:rsid w:val="008F0EA7"/>
    <w:rsid w:val="00922EC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4630"/>
    <w:rsid w:val="00AB0ADB"/>
    <w:rsid w:val="00B00C0E"/>
    <w:rsid w:val="00B01B1A"/>
    <w:rsid w:val="00B0381D"/>
    <w:rsid w:val="00B44A47"/>
    <w:rsid w:val="00B72CD3"/>
    <w:rsid w:val="00B72FFF"/>
    <w:rsid w:val="00B75F22"/>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385A"/>
    <w:rsid w:val="00D0672D"/>
    <w:rsid w:val="00D3215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0E13"/>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13702"/>
    <w:rPr>
      <w:rFonts w:ascii="Geomanist Light" w:hAnsi="Geomanist Light"/>
      <w:lang w:val="es-ES"/>
    </w:rPr>
  </w:style>
  <w:style w:type="paragraph" w:customStyle="1" w:styleId="Appelnotedebasde">
    <w:name w:val="Appel note de bas de..."/>
    <w:basedOn w:val="Normal"/>
    <w:link w:val="Refdenotaalpie"/>
    <w:uiPriority w:val="99"/>
    <w:rsid w:val="00813702"/>
    <w:pPr>
      <w:spacing w:line="240" w:lineRule="exact"/>
    </w:pPr>
    <w:rPr>
      <w:vertAlign w:val="superscript"/>
    </w:rPr>
  </w:style>
  <w:style w:type="character" w:customStyle="1" w:styleId="baj">
    <w:name w:val="b_aj"/>
    <w:basedOn w:val="Fuentedeprrafopredeter"/>
    <w:rsid w:val="00813702"/>
  </w:style>
  <w:style w:type="character" w:customStyle="1" w:styleId="NormalWebCar">
    <w:name w:val="Normal (Web) Car"/>
    <w:link w:val="NormalWeb"/>
    <w:uiPriority w:val="99"/>
    <w:locked/>
    <w:rsid w:val="0081370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18232" TargetMode="External"/><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caldia@tena-cundinamarca.gov.co"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funcionpublica.gov.co/eva/gestornormativo/norma.php?i=18232" TargetMode="External"/><Relationship Id="rId23"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0FB4A7-BA95-455C-BEE0-4DA809BBB06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47</Pages>
  <Words>16504</Words>
  <Characters>90776</Characters>
  <Application>Microsoft Office Word</Application>
  <DocSecurity>0</DocSecurity>
  <Lines>756</Lines>
  <Paragraphs>214</Paragraphs>
  <ScaleCrop>false</ScaleCrop>
  <Company/>
  <LinksUpToDate>false</LinksUpToDate>
  <CharactersWithSpaces>107066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2026-05-26T03:18:00Z</dcterms:created>
  <dcterms:modified xsi:type="dcterms:W3CDTF">2026-05-26T18:29:00Z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