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7DECD" w14:textId="77777777" w:rsidR="0011067D" w:rsidRPr="003A6D48" w:rsidRDefault="0011067D" w:rsidP="0011067D">
      <w:pPr>
        <w:spacing w:after="0" w:line="240" w:lineRule="auto"/>
        <w:contextualSpacing/>
        <w:jc w:val="both"/>
        <w:rPr>
          <w:rFonts w:ascii="Verdana" w:eastAsia="Calibri" w:hAnsi="Verdana" w:cs="Arial"/>
          <w:b/>
          <w:bCs/>
          <w:lang w:val="es-ES_tradnl" w:eastAsia="es-ES"/>
        </w:rPr>
      </w:pPr>
      <w:bookmarkStart w:id="0" w:name="_Hlk143780582"/>
      <w:r w:rsidRPr="003A6D48">
        <w:rPr>
          <w:rFonts w:ascii="Verdana" w:eastAsia="Calibri" w:hAnsi="Verdana" w:cs="Arial"/>
          <w:b/>
          <w:bCs/>
          <w:lang w:val="es-ES_tradnl" w:eastAsia="es-ES"/>
        </w:rPr>
        <w:t xml:space="preserve">CONTRATOS Y CONVENIOS INTERADMINISTRATIVOS – Definición – Sujetos – Entidades Estatales </w:t>
      </w:r>
    </w:p>
    <w:p w14:paraId="3E7B5888" w14:textId="77777777" w:rsidR="0011067D" w:rsidRPr="003A6D48" w:rsidRDefault="0011067D" w:rsidP="0011067D">
      <w:pPr>
        <w:spacing w:after="0" w:line="240" w:lineRule="auto"/>
        <w:contextualSpacing/>
        <w:jc w:val="both"/>
        <w:rPr>
          <w:rFonts w:ascii="Verdana" w:eastAsia="Times New Roman" w:hAnsi="Verdana" w:cs="Arial"/>
          <w:color w:val="000000" w:themeColor="text1"/>
          <w:sz w:val="21"/>
          <w:szCs w:val="21"/>
          <w:lang w:val="es-ES" w:eastAsia="es-CO"/>
        </w:rPr>
      </w:pPr>
    </w:p>
    <w:p w14:paraId="1D002F34" w14:textId="77777777" w:rsidR="0011067D" w:rsidRPr="003A6D48" w:rsidRDefault="0011067D" w:rsidP="0011067D">
      <w:pPr>
        <w:spacing w:after="0" w:line="240" w:lineRule="auto"/>
        <w:contextualSpacing/>
        <w:jc w:val="both"/>
        <w:rPr>
          <w:rFonts w:ascii="Verdana" w:eastAsia="Calibri" w:hAnsi="Verdana" w:cs="Arial"/>
          <w:sz w:val="20"/>
          <w:szCs w:val="20"/>
          <w:lang w:eastAsia="es-ES"/>
        </w:rPr>
      </w:pPr>
      <w:r w:rsidRPr="003A6D48">
        <w:rPr>
          <w:rFonts w:ascii="Verdana" w:eastAsia="Times New Roman" w:hAnsi="Verdana" w:cs="Arial"/>
          <w:color w:val="000000" w:themeColor="text1"/>
          <w:sz w:val="20"/>
          <w:szCs w:val="20"/>
          <w:lang w:val="es-ES" w:eastAsia="es-CO"/>
        </w:rPr>
        <w:t xml:space="preserve">[…]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 estatales, </w:t>
      </w:r>
      <w:r w:rsidRPr="003A6D48">
        <w:rPr>
          <w:rFonts w:ascii="Verdana" w:eastAsia="Calibri" w:hAnsi="Verdana" w:cs="Arial"/>
          <w:sz w:val="20"/>
          <w:szCs w:val="20"/>
          <w:lang w:eastAsia="es-ES"/>
        </w:rPr>
        <w:t xml:space="preserve">sin que importen las normas que regulan la relación contractual. </w:t>
      </w:r>
    </w:p>
    <w:p w14:paraId="2B1F908B" w14:textId="77777777" w:rsidR="0011067D" w:rsidRPr="003A6D48" w:rsidRDefault="0011067D" w:rsidP="0011067D">
      <w:pPr>
        <w:spacing w:after="0" w:line="240" w:lineRule="auto"/>
        <w:contextualSpacing/>
        <w:jc w:val="both"/>
        <w:rPr>
          <w:rFonts w:ascii="Verdana" w:eastAsia="Calibri" w:hAnsi="Verdana" w:cs="Arial"/>
          <w:sz w:val="20"/>
          <w:szCs w:val="20"/>
          <w:lang w:eastAsia="es-ES"/>
        </w:rPr>
      </w:pPr>
    </w:p>
    <w:p w14:paraId="74F8F63D" w14:textId="77777777" w:rsidR="0011067D" w:rsidRPr="003A6D48" w:rsidRDefault="0011067D" w:rsidP="0011067D">
      <w:pPr>
        <w:spacing w:after="0" w:line="240" w:lineRule="auto"/>
        <w:contextualSpacing/>
        <w:jc w:val="both"/>
        <w:rPr>
          <w:rFonts w:ascii="Verdana" w:eastAsia="Calibri" w:hAnsi="Verdana" w:cs="Arial"/>
          <w:sz w:val="20"/>
          <w:szCs w:val="20"/>
          <w:lang w:eastAsia="es-ES"/>
        </w:rPr>
      </w:pPr>
      <w:r w:rsidRPr="003A6D48">
        <w:rPr>
          <w:rFonts w:ascii="Verdana" w:eastAsia="Calibri" w:hAnsi="Verdana" w:cs="Arial"/>
          <w:bCs/>
          <w:color w:val="000000" w:themeColor="text1"/>
          <w:sz w:val="20"/>
          <w:szCs w:val="20"/>
          <w:lang w:eastAsia="es-ES_tradnl" w:bidi="es-ES"/>
        </w:rPr>
        <w:t xml:space="preserve">[…] En esa línea, una interpretación sistemática de las Leyes 80 de 1993, 1150 de 2007 y 1474 de 2011 permite considerar el </w:t>
      </w:r>
      <w:r w:rsidRPr="003A6D48">
        <w:rPr>
          <w:rFonts w:ascii="Verdana" w:eastAsia="Calibri" w:hAnsi="Verdana" w:cs="Arial"/>
          <w:bCs/>
          <w:i/>
          <w:iCs/>
          <w:color w:val="000000" w:themeColor="text1"/>
          <w:sz w:val="20"/>
          <w:szCs w:val="20"/>
          <w:lang w:eastAsia="es-ES_tradnl" w:bidi="es-ES"/>
        </w:rPr>
        <w:t>contrato interadministrativo</w:t>
      </w:r>
      <w:r w:rsidRPr="003A6D48">
        <w:rPr>
          <w:rFonts w:ascii="Verdana" w:eastAsia="Calibri" w:hAnsi="Verdana" w:cs="Arial"/>
          <w:bCs/>
          <w:color w:val="000000" w:themeColor="text1"/>
          <w:sz w:val="20"/>
          <w:szCs w:val="20"/>
          <w:lang w:eastAsia="es-ES_tradnl" w:bidi="es-ES"/>
        </w:rPr>
        <w:t xml:space="preserve"> como una relación jurídica patrimonial, onerosa y conmutativa, cuya naturaleza y esencia es distinta a la de los convenios interadministrativos. De esta forma, el </w:t>
      </w:r>
      <w:r w:rsidRPr="003A6D48">
        <w:rPr>
          <w:rFonts w:ascii="Verdana" w:eastAsia="Calibri" w:hAnsi="Verdana" w:cs="Arial"/>
          <w:bCs/>
          <w:i/>
          <w:iCs/>
          <w:color w:val="000000" w:themeColor="text1"/>
          <w:sz w:val="20"/>
          <w:szCs w:val="20"/>
          <w:lang w:eastAsia="es-ES_tradnl" w:bidi="es-ES"/>
        </w:rPr>
        <w:t>convenio interadministrativo</w:t>
      </w:r>
      <w:r w:rsidRPr="003A6D48">
        <w:rPr>
          <w:rFonts w:ascii="Verdana" w:eastAsia="Calibri" w:hAnsi="Verdana" w:cs="Arial"/>
          <w:bCs/>
          <w:color w:val="000000" w:themeColor="text1"/>
          <w:sz w:val="20"/>
          <w:szCs w:val="20"/>
          <w:lang w:eastAsia="es-ES_tradnl" w:bidi="es-ES"/>
        </w:rPr>
        <w:t xml:space="preserve"> es un negocio jurídico entre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Por su parte, el </w:t>
      </w:r>
      <w:r w:rsidRPr="003A6D48">
        <w:rPr>
          <w:rFonts w:ascii="Verdana" w:eastAsia="Calibri" w:hAnsi="Verdana" w:cs="Arial"/>
          <w:bCs/>
          <w:i/>
          <w:iCs/>
          <w:color w:val="000000" w:themeColor="text1"/>
          <w:sz w:val="20"/>
          <w:szCs w:val="20"/>
          <w:lang w:eastAsia="es-ES_tradnl" w:bidi="es-ES"/>
        </w:rPr>
        <w:t>contrato interadministrativo</w:t>
      </w:r>
      <w:r w:rsidRPr="003A6D48">
        <w:rPr>
          <w:rFonts w:ascii="Verdana" w:eastAsia="Calibri" w:hAnsi="Verdana" w:cs="Arial"/>
          <w:bCs/>
          <w:color w:val="000000" w:themeColor="text1"/>
          <w:sz w:val="20"/>
          <w:szCs w:val="20"/>
          <w:lang w:eastAsia="es-ES_tradnl" w:bidi="es-ES"/>
        </w:rPr>
        <w:t>, aunque también es celebrado entre entidades públicas, es un negocio jurídico generador de obligaciones al cual las partes acuden con intereses divergentes, y en el que existe una contraprestación directa a favor de la entidad contratista que ha entregado el bien, prestado el servicio o realizado la obra a favor de la entidad contratante.</w:t>
      </w:r>
    </w:p>
    <w:p w14:paraId="0E0B88E2" w14:textId="77777777" w:rsidR="0011067D" w:rsidRPr="003A6D48" w:rsidRDefault="0011067D" w:rsidP="0011067D">
      <w:pPr>
        <w:contextualSpacing/>
        <w:jc w:val="both"/>
        <w:rPr>
          <w:rFonts w:ascii="Verdana" w:eastAsia="Calibri" w:hAnsi="Verdana" w:cs="Arial"/>
          <w:b/>
          <w:bCs/>
          <w:lang w:val="es-ES_tradnl" w:eastAsia="es-ES"/>
        </w:rPr>
      </w:pPr>
    </w:p>
    <w:p w14:paraId="6B8F105A" w14:textId="77777777" w:rsidR="0011067D" w:rsidRPr="003A6D48" w:rsidRDefault="0011067D" w:rsidP="0011067D">
      <w:pPr>
        <w:spacing w:after="0" w:line="240" w:lineRule="auto"/>
        <w:contextualSpacing/>
        <w:jc w:val="both"/>
        <w:rPr>
          <w:rFonts w:ascii="Verdana" w:eastAsia="Calibri" w:hAnsi="Verdana" w:cs="Arial"/>
          <w:b/>
          <w:bCs/>
          <w:lang w:val="es-ES_tradnl" w:eastAsia="es-ES"/>
        </w:rPr>
      </w:pPr>
      <w:r w:rsidRPr="003A6D48">
        <w:rPr>
          <w:rFonts w:ascii="Verdana" w:eastAsia="Calibri" w:hAnsi="Verdana" w:cs="Arial"/>
          <w:b/>
          <w:bCs/>
          <w:lang w:val="es-ES_tradnl" w:eastAsia="es-ES"/>
        </w:rPr>
        <w:t>EMPRESAS INDUSTRIALES Y COMERCIALES DEL ESTADO – Contratos interadministrativos</w:t>
      </w:r>
    </w:p>
    <w:p w14:paraId="6A734D1F" w14:textId="77777777" w:rsidR="0011067D" w:rsidRPr="003A6D48" w:rsidRDefault="0011067D" w:rsidP="0011067D">
      <w:pPr>
        <w:contextualSpacing/>
        <w:jc w:val="both"/>
        <w:rPr>
          <w:rFonts w:ascii="Verdana" w:eastAsia="Calibri" w:hAnsi="Verdana" w:cs="Arial"/>
          <w:color w:val="000000"/>
          <w:lang w:val="es-ES_tradnl"/>
        </w:rPr>
      </w:pPr>
    </w:p>
    <w:p w14:paraId="646284FD" w14:textId="77777777" w:rsidR="0011067D" w:rsidRPr="003A6D48" w:rsidRDefault="0011067D" w:rsidP="0011067D">
      <w:pPr>
        <w:spacing w:after="0" w:line="240" w:lineRule="auto"/>
        <w:contextualSpacing/>
        <w:jc w:val="both"/>
        <w:rPr>
          <w:rFonts w:ascii="Verdana" w:eastAsia="Calibri" w:hAnsi="Verdana" w:cs="Arial"/>
          <w:color w:val="000000" w:themeColor="text1"/>
          <w:sz w:val="20"/>
          <w:szCs w:val="20"/>
          <w:lang w:val="es-ES_tradnl"/>
        </w:rPr>
      </w:pPr>
      <w:r w:rsidRPr="003A6D48">
        <w:rPr>
          <w:rFonts w:ascii="Verdana" w:eastAsia="Calibri" w:hAnsi="Verdana" w:cs="Arial"/>
          <w:color w:val="000000"/>
          <w:sz w:val="20"/>
          <w:szCs w:val="20"/>
          <w:lang w:val="es-ES_tradnl"/>
        </w:rPr>
        <w:t xml:space="preserve">[…] la celebración de contratos interadministrativos con EICE es jurídicamente viable por el criterio orgánico según el cual el contratista ejecutor es una entidad estatal o </w:t>
      </w:r>
      <w:r w:rsidRPr="003A6D48">
        <w:rPr>
          <w:rFonts w:ascii="Verdana" w:eastAsia="Arial" w:hAnsi="Verdana" w:cs="Arial"/>
          <w:color w:val="000000" w:themeColor="text1"/>
          <w:sz w:val="20"/>
          <w:szCs w:val="20"/>
          <w:lang w:val="es-ES"/>
        </w:rPr>
        <w:t xml:space="preserve">persona jurídica de derecho público, independientemente de los casos en que cuente con un régimen especial de contratación. Adicionalmente, la ley no incluyó a las EICE dentro de las excepciones a la contratación directa de contratos interadministrativos, por lo que se encuentran facultadas para suscribir este tipo de acuerdos con independencia de su objeto. De cualquier modo, para la suscripción del contrato será indispensable que </w:t>
      </w:r>
      <w:r w:rsidRPr="003A6D48">
        <w:rPr>
          <w:rFonts w:ascii="Verdana" w:eastAsia="Arial" w:hAnsi="Verdana" w:cs="Arial"/>
          <w:sz w:val="20"/>
          <w:szCs w:val="20"/>
        </w:rPr>
        <w:t>el objeto de la entidad ejecutora tenga relación directa con las obligaciones a ejecutar, de lo contrario, no se cumpliría con el requisito establecido en la ley, aun cuando las EICE cumplan con el criterio orgánico de ser entidades estatales.</w:t>
      </w:r>
    </w:p>
    <w:p w14:paraId="3294B8E0" w14:textId="77777777" w:rsidR="0011067D" w:rsidRPr="003A6D48" w:rsidRDefault="0011067D" w:rsidP="0011067D">
      <w:pPr>
        <w:spacing w:after="0" w:line="240" w:lineRule="auto"/>
        <w:rPr>
          <w:rFonts w:ascii="Verdana" w:hAnsi="Verdana"/>
        </w:rPr>
      </w:pPr>
    </w:p>
    <w:p w14:paraId="0E85307C" w14:textId="77777777" w:rsidR="0011067D" w:rsidRPr="003A6D48" w:rsidRDefault="0011067D" w:rsidP="0011067D">
      <w:pPr>
        <w:spacing w:after="0" w:line="240" w:lineRule="auto"/>
        <w:rPr>
          <w:rFonts w:ascii="Verdana" w:hAnsi="Verdana"/>
        </w:rPr>
      </w:pPr>
    </w:p>
    <w:p w14:paraId="26A1C6FC" w14:textId="77777777" w:rsidR="0011067D" w:rsidRPr="003A6D48" w:rsidRDefault="0011067D" w:rsidP="0011067D">
      <w:pPr>
        <w:spacing w:after="0" w:line="240" w:lineRule="auto"/>
        <w:rPr>
          <w:rFonts w:ascii="Verdana" w:hAnsi="Verdana"/>
        </w:rPr>
      </w:pPr>
    </w:p>
    <w:p w14:paraId="275B8565" w14:textId="77777777" w:rsidR="0011067D" w:rsidRPr="003A6D48" w:rsidRDefault="0011067D" w:rsidP="0011067D">
      <w:pPr>
        <w:spacing w:after="0" w:line="240" w:lineRule="auto"/>
        <w:rPr>
          <w:rFonts w:ascii="Verdana" w:hAnsi="Verdana"/>
        </w:rPr>
      </w:pPr>
    </w:p>
    <w:p w14:paraId="7D1930FB" w14:textId="77777777" w:rsidR="0011067D" w:rsidRPr="003A6D48" w:rsidRDefault="0011067D" w:rsidP="0011067D">
      <w:pPr>
        <w:spacing w:after="0" w:line="240" w:lineRule="auto"/>
        <w:rPr>
          <w:rFonts w:ascii="Verdana" w:hAnsi="Verdana"/>
        </w:rPr>
      </w:pPr>
    </w:p>
    <w:p w14:paraId="4A78FD5A" w14:textId="77777777" w:rsidR="0011067D" w:rsidRPr="003A6D48" w:rsidRDefault="0011067D" w:rsidP="0011067D">
      <w:pPr>
        <w:spacing w:after="0" w:line="240" w:lineRule="auto"/>
        <w:rPr>
          <w:rFonts w:ascii="Verdana" w:hAnsi="Verdana"/>
        </w:rPr>
      </w:pPr>
    </w:p>
    <w:p w14:paraId="411C5353" w14:textId="749C1C26" w:rsidR="008217C4" w:rsidRDefault="0011067D" w:rsidP="0011067D">
      <w:pPr>
        <w:spacing w:after="0" w:line="240" w:lineRule="auto"/>
        <w:rPr>
          <w:rFonts w:ascii="Verdana" w:hAnsi="Verdana"/>
        </w:rPr>
      </w:pPr>
      <w:r w:rsidRPr="003A6D48">
        <w:rPr>
          <w:rFonts w:ascii="Verdana" w:hAnsi="Verdana"/>
        </w:rPr>
        <w:lastRenderedPageBreak/>
        <w:t xml:space="preserve">Bogotá D.C., </w:t>
      </w:r>
      <w:r w:rsidR="008217C4">
        <w:rPr>
          <w:rFonts w:ascii="Verdana" w:hAnsi="Verdana"/>
        </w:rPr>
        <w:t>8 de mayo de 2025</w:t>
      </w:r>
    </w:p>
    <w:p w14:paraId="2BEA38DC" w14:textId="14D3846E" w:rsidR="008217C4" w:rsidRDefault="008217C4" w:rsidP="0011067D">
      <w:pPr>
        <w:spacing w:after="0" w:line="240" w:lineRule="auto"/>
        <w:rPr>
          <w:rFonts w:ascii="Verdana" w:hAnsi="Verdana"/>
        </w:rPr>
      </w:pPr>
      <w:r w:rsidRPr="008217C4">
        <w:rPr>
          <w:rFonts w:ascii="Verdana" w:hAnsi="Verdana"/>
          <w:noProof/>
        </w:rPr>
        <w:drawing>
          <wp:anchor distT="0" distB="0" distL="114300" distR="114300" simplePos="0" relativeHeight="251658240" behindDoc="0" locked="0" layoutInCell="1" allowOverlap="1" wp14:anchorId="2F3D24A3" wp14:editId="0E0D0995">
            <wp:simplePos x="0" y="0"/>
            <wp:positionH relativeFrom="margin">
              <wp:align>right</wp:align>
            </wp:positionH>
            <wp:positionV relativeFrom="paragraph">
              <wp:posOffset>5080</wp:posOffset>
            </wp:positionV>
            <wp:extent cx="1943100" cy="754380"/>
            <wp:effectExtent l="0" t="0" r="0" b="7620"/>
            <wp:wrapSquare wrapText="bothSides"/>
            <wp:docPr id="9634165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43100" cy="754380"/>
                    </a:xfrm>
                    <a:prstGeom prst="rect">
                      <a:avLst/>
                    </a:prstGeom>
                    <a:noFill/>
                    <a:ln>
                      <a:noFill/>
                    </a:ln>
                  </pic:spPr>
                </pic:pic>
              </a:graphicData>
            </a:graphic>
            <wp14:sizeRelV relativeFrom="margin">
              <wp14:pctHeight>0</wp14:pctHeight>
            </wp14:sizeRelV>
          </wp:anchor>
        </w:drawing>
      </w:r>
    </w:p>
    <w:p w14:paraId="1E9C3C64" w14:textId="2758CD95" w:rsidR="0011067D" w:rsidRPr="003A6D48" w:rsidRDefault="0011067D" w:rsidP="008217C4">
      <w:pPr>
        <w:spacing w:after="0" w:line="240" w:lineRule="auto"/>
        <w:jc w:val="right"/>
        <w:rPr>
          <w:rFonts w:ascii="Verdana" w:eastAsia="Geomanist Light" w:hAnsi="Verdana" w:cs="Arial"/>
          <w:color w:val="201F1E"/>
        </w:rPr>
      </w:pPr>
    </w:p>
    <w:p w14:paraId="36143509" w14:textId="77777777" w:rsidR="0011067D" w:rsidRPr="003A6D48" w:rsidRDefault="0011067D" w:rsidP="0011067D">
      <w:pPr>
        <w:spacing w:after="0" w:line="240" w:lineRule="auto"/>
        <w:jc w:val="both"/>
        <w:rPr>
          <w:rFonts w:ascii="Verdana" w:eastAsia="Calibri" w:hAnsi="Verdana" w:cs="Arial"/>
          <w:lang w:val="es-ES" w:eastAsia="es-ES"/>
        </w:rPr>
      </w:pPr>
    </w:p>
    <w:p w14:paraId="404358D6" w14:textId="77777777" w:rsidR="0011067D" w:rsidRPr="003A6D48" w:rsidRDefault="0011067D" w:rsidP="0011067D">
      <w:pPr>
        <w:spacing w:after="0" w:line="240" w:lineRule="auto"/>
        <w:jc w:val="both"/>
        <w:rPr>
          <w:rFonts w:ascii="Verdana" w:eastAsia="Calibri" w:hAnsi="Verdana" w:cs="Arial"/>
          <w:lang w:val="es-ES" w:eastAsia="es-ES"/>
        </w:rPr>
      </w:pPr>
      <w:r w:rsidRPr="003A6D48">
        <w:rPr>
          <w:rFonts w:ascii="Verdana" w:eastAsia="Calibri" w:hAnsi="Verdana" w:cs="Arial"/>
          <w:lang w:val="es-ES" w:eastAsia="es-ES"/>
        </w:rPr>
        <w:t>Señora</w:t>
      </w:r>
    </w:p>
    <w:p w14:paraId="72B3D6EA" w14:textId="77777777" w:rsidR="0011067D" w:rsidRPr="003A6D48" w:rsidRDefault="0011067D" w:rsidP="0011067D">
      <w:pPr>
        <w:spacing w:after="0" w:line="240" w:lineRule="auto"/>
        <w:jc w:val="both"/>
        <w:rPr>
          <w:rFonts w:ascii="Verdana" w:eastAsia="Calibri" w:hAnsi="Verdana" w:cs="Arial"/>
          <w:b/>
          <w:bCs/>
          <w:lang w:val="es-ES" w:eastAsia="es-ES"/>
        </w:rPr>
      </w:pPr>
      <w:r w:rsidRPr="003A6D48">
        <w:rPr>
          <w:rFonts w:ascii="Verdana" w:eastAsia="Calibri" w:hAnsi="Verdana" w:cs="Arial"/>
          <w:b/>
          <w:bCs/>
          <w:lang w:val="es-ES" w:eastAsia="es-ES"/>
        </w:rPr>
        <w:t>Briggitte Camila Pardo Rosero</w:t>
      </w:r>
    </w:p>
    <w:p w14:paraId="7848D2A7" w14:textId="77777777" w:rsidR="0011067D" w:rsidRPr="003A6D48" w:rsidRDefault="0011067D" w:rsidP="0011067D">
      <w:pPr>
        <w:spacing w:after="0" w:line="240" w:lineRule="auto"/>
        <w:jc w:val="both"/>
        <w:rPr>
          <w:rFonts w:ascii="Verdana" w:eastAsia="Calibri" w:hAnsi="Verdana" w:cs="Arial"/>
          <w:lang w:val="es-ES" w:eastAsia="es-ES"/>
        </w:rPr>
      </w:pPr>
      <w:r w:rsidRPr="003A6D48">
        <w:rPr>
          <w:rFonts w:ascii="Verdana" w:eastAsia="Calibri" w:hAnsi="Verdana" w:cs="Arial"/>
          <w:lang w:val="es-ES" w:eastAsia="es-ES"/>
        </w:rPr>
        <w:t xml:space="preserve">Abogada Comisionada </w:t>
      </w:r>
    </w:p>
    <w:p w14:paraId="1CC6566B" w14:textId="77777777" w:rsidR="0011067D" w:rsidRPr="003A6D48" w:rsidRDefault="0011067D" w:rsidP="0011067D">
      <w:pPr>
        <w:spacing w:after="0" w:line="240" w:lineRule="auto"/>
        <w:jc w:val="both"/>
        <w:rPr>
          <w:rFonts w:ascii="Verdana" w:eastAsia="Calibri" w:hAnsi="Verdana" w:cs="Arial"/>
          <w:lang w:val="es-ES" w:eastAsia="es-ES"/>
        </w:rPr>
      </w:pPr>
      <w:r w:rsidRPr="003A6D48">
        <w:rPr>
          <w:rFonts w:ascii="Verdana" w:eastAsia="Calibri" w:hAnsi="Verdana" w:cs="Arial"/>
          <w:lang w:val="es-ES" w:eastAsia="es-ES"/>
        </w:rPr>
        <w:t xml:space="preserve">Procuraduría </w:t>
      </w:r>
      <w:proofErr w:type="gramStart"/>
      <w:r w:rsidRPr="003A6D48">
        <w:rPr>
          <w:rFonts w:ascii="Verdana" w:eastAsia="Calibri" w:hAnsi="Verdana" w:cs="Arial"/>
          <w:lang w:val="es-ES" w:eastAsia="es-ES"/>
        </w:rPr>
        <w:t>Delegada</w:t>
      </w:r>
      <w:proofErr w:type="gramEnd"/>
      <w:r w:rsidRPr="003A6D48">
        <w:rPr>
          <w:rFonts w:ascii="Verdana" w:eastAsia="Calibri" w:hAnsi="Verdana" w:cs="Arial"/>
          <w:lang w:val="es-ES" w:eastAsia="es-ES"/>
        </w:rPr>
        <w:t xml:space="preserve"> Disciplinaria de Instrucción 7; Segunda para la Contratación Estatal</w:t>
      </w:r>
    </w:p>
    <w:p w14:paraId="7FEE032F" w14:textId="77777777" w:rsidR="0011067D" w:rsidRPr="003A6D48" w:rsidRDefault="0011067D" w:rsidP="0011067D">
      <w:pPr>
        <w:spacing w:after="0" w:line="240" w:lineRule="auto"/>
        <w:rPr>
          <w:rFonts w:ascii="Verdana" w:eastAsia="Calibri" w:hAnsi="Verdana" w:cs="Arial"/>
          <w:lang w:val="es-ES" w:eastAsia="es-ES"/>
        </w:rPr>
      </w:pPr>
      <w:hyperlink r:id="rId12" w:history="1">
        <w:r w:rsidRPr="003A6D48">
          <w:rPr>
            <w:rFonts w:ascii="Verdana" w:eastAsia="Calibri" w:hAnsi="Verdana" w:cs="Arial"/>
            <w:color w:val="0563C1" w:themeColor="hyperlink"/>
            <w:u w:val="single"/>
            <w:lang w:val="es-ES" w:eastAsia="es-ES"/>
          </w:rPr>
          <w:t>contratacionestatal2@procuraduria.gov.co</w:t>
        </w:r>
      </w:hyperlink>
    </w:p>
    <w:p w14:paraId="68FD2ABE" w14:textId="77777777" w:rsidR="0011067D" w:rsidRPr="003A6D48" w:rsidRDefault="0011067D" w:rsidP="0011067D">
      <w:pPr>
        <w:spacing w:after="0" w:line="240" w:lineRule="auto"/>
        <w:rPr>
          <w:rFonts w:ascii="Verdana" w:eastAsia="Calibri" w:hAnsi="Verdana" w:cs="Arial"/>
          <w:lang w:val="es-ES" w:eastAsia="es-ES"/>
        </w:rPr>
      </w:pPr>
      <w:r w:rsidRPr="003A6D48">
        <w:rPr>
          <w:rFonts w:ascii="Verdana" w:eastAsia="Calibri" w:hAnsi="Verdana" w:cs="Arial"/>
          <w:lang w:val="es-ES" w:eastAsia="es-ES"/>
        </w:rPr>
        <w:t xml:space="preserve">Bogotá D.C </w:t>
      </w:r>
    </w:p>
    <w:p w14:paraId="535DA0DA" w14:textId="77777777" w:rsidR="0011067D" w:rsidRPr="003A6D48" w:rsidRDefault="0011067D" w:rsidP="0011067D">
      <w:pPr>
        <w:spacing w:after="0" w:line="240" w:lineRule="auto"/>
        <w:rPr>
          <w:rFonts w:ascii="Verdana" w:eastAsia="Calibri" w:hAnsi="Verdana" w:cs="Arial"/>
          <w:lang w:val="es-ES" w:eastAsia="es-ES"/>
        </w:rPr>
      </w:pPr>
    </w:p>
    <w:p w14:paraId="49F09F44" w14:textId="77777777" w:rsidR="0011067D" w:rsidRPr="003A6D48" w:rsidRDefault="0011067D" w:rsidP="0011067D">
      <w:pPr>
        <w:spacing w:after="0" w:line="240" w:lineRule="auto"/>
        <w:rPr>
          <w:rFonts w:ascii="Verdana" w:eastAsia="Calibri" w:hAnsi="Verdana" w:cs="Arial"/>
          <w:b/>
          <w:bCs/>
          <w:color w:val="000000"/>
          <w:lang w:val="es-ES_tradnl" w:eastAsia="es-ES_tradnl"/>
        </w:rPr>
      </w:pPr>
    </w:p>
    <w:p w14:paraId="2F1AC5E7" w14:textId="77777777" w:rsidR="0011067D" w:rsidRPr="003A6D48" w:rsidRDefault="0011067D" w:rsidP="0011067D">
      <w:pPr>
        <w:spacing w:after="0" w:line="240" w:lineRule="auto"/>
        <w:ind w:firstLine="2694"/>
        <w:rPr>
          <w:rFonts w:ascii="Verdana" w:eastAsia="Calibri" w:hAnsi="Verdana" w:cs="Arial"/>
          <w:b/>
          <w:bCs/>
          <w:color w:val="000000" w:themeColor="text1"/>
          <w:lang w:val="es-ES" w:eastAsia="es-ES"/>
        </w:rPr>
      </w:pPr>
      <w:r w:rsidRPr="003A6D48">
        <w:rPr>
          <w:rFonts w:ascii="Verdana" w:eastAsia="Calibri" w:hAnsi="Verdana" w:cs="Arial"/>
          <w:b/>
          <w:bCs/>
          <w:color w:val="000000" w:themeColor="text1"/>
          <w:lang w:val="es-ES" w:eastAsia="es-ES"/>
        </w:rPr>
        <w:t>Concepto C-725 de 2026</w:t>
      </w:r>
    </w:p>
    <w:p w14:paraId="3126EC5C" w14:textId="77777777" w:rsidR="0011067D" w:rsidRPr="003A6D48" w:rsidRDefault="0011067D" w:rsidP="0011067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1067D" w:rsidRPr="003A6D48" w14:paraId="4ED9AA3B" w14:textId="77777777" w:rsidTr="00C3486D">
        <w:trPr>
          <w:trHeight w:val="884"/>
        </w:trPr>
        <w:tc>
          <w:tcPr>
            <w:tcW w:w="2689" w:type="dxa"/>
          </w:tcPr>
          <w:p w14:paraId="3D465D2A" w14:textId="77777777" w:rsidR="0011067D" w:rsidRPr="003A6D48" w:rsidRDefault="0011067D" w:rsidP="00C3486D">
            <w:pPr>
              <w:jc w:val="both"/>
              <w:rPr>
                <w:rFonts w:ascii="Verdana" w:eastAsia="Calibri" w:hAnsi="Verdana" w:cs="Arial"/>
                <w:color w:val="000000"/>
                <w:lang w:val="es-ES_tradnl" w:eastAsia="es-ES_tradnl"/>
              </w:rPr>
            </w:pPr>
            <w:r w:rsidRPr="003A6D48">
              <w:rPr>
                <w:rFonts w:ascii="Verdana" w:eastAsia="Calibri" w:hAnsi="Verdana" w:cs="Arial"/>
                <w:b/>
                <w:color w:val="000000"/>
                <w:lang w:val="es-ES_tradnl" w:eastAsia="es-ES_tradnl"/>
              </w:rPr>
              <w:t>Temas:</w:t>
            </w:r>
            <w:r w:rsidRPr="003A6D48">
              <w:rPr>
                <w:rFonts w:ascii="Verdana" w:eastAsia="Calibri" w:hAnsi="Verdana" w:cs="Arial"/>
                <w:color w:val="000000"/>
                <w:lang w:val="es-ES_tradnl" w:eastAsia="es-ES_tradnl"/>
              </w:rPr>
              <w:t xml:space="preserve">                   </w:t>
            </w:r>
          </w:p>
        </w:tc>
        <w:tc>
          <w:tcPr>
            <w:tcW w:w="6100" w:type="dxa"/>
          </w:tcPr>
          <w:p w14:paraId="4F70E2A2" w14:textId="77777777" w:rsidR="0011067D" w:rsidRPr="003A6D48" w:rsidRDefault="0011067D" w:rsidP="00C3486D">
            <w:pPr>
              <w:spacing w:line="276" w:lineRule="auto"/>
              <w:jc w:val="both"/>
              <w:rPr>
                <w:rFonts w:ascii="Verdana" w:eastAsia="Calibri" w:hAnsi="Verdana" w:cs="Arial"/>
                <w:lang w:val="es-ES_tradnl" w:eastAsia="es-ES"/>
              </w:rPr>
            </w:pPr>
            <w:r w:rsidRPr="003A6D48">
              <w:rPr>
                <w:rFonts w:ascii="Verdana" w:eastAsia="Calibri" w:hAnsi="Verdana" w:cs="Arial"/>
                <w:lang w:val="es-ES_tradnl" w:eastAsia="es-ES"/>
              </w:rPr>
              <w:t xml:space="preserve">CONTRATOS Y CONVENIOS INTERADMINISTRATIVOS – Definición – Sujetos – Entidades Estatales / EMPRESAS INDUSTRIALES Y COMERCIALES DEL ESTADO – Contratos interadministrativos </w:t>
            </w:r>
          </w:p>
          <w:p w14:paraId="38B33A8B" w14:textId="77777777" w:rsidR="0011067D" w:rsidRPr="003A6D48" w:rsidRDefault="0011067D" w:rsidP="00C3486D">
            <w:pPr>
              <w:jc w:val="both"/>
              <w:rPr>
                <w:rFonts w:ascii="Verdana" w:eastAsia="Calibri" w:hAnsi="Verdana" w:cs="Arial"/>
                <w:lang w:val="es-ES" w:eastAsia="es-ES"/>
              </w:rPr>
            </w:pPr>
          </w:p>
        </w:tc>
      </w:tr>
      <w:tr w:rsidR="0011067D" w:rsidRPr="003A6D48" w14:paraId="40A2C177" w14:textId="77777777" w:rsidTr="00C3486D">
        <w:tc>
          <w:tcPr>
            <w:tcW w:w="2689" w:type="dxa"/>
          </w:tcPr>
          <w:p w14:paraId="0F647B12" w14:textId="77777777" w:rsidR="0011067D" w:rsidRPr="003A6D48" w:rsidRDefault="0011067D" w:rsidP="00C3486D">
            <w:pPr>
              <w:jc w:val="both"/>
              <w:rPr>
                <w:rFonts w:ascii="Verdana" w:eastAsia="Calibri" w:hAnsi="Verdana" w:cs="Arial"/>
                <w:b/>
                <w:lang w:val="es-ES_tradnl" w:eastAsia="es-ES_tradnl"/>
              </w:rPr>
            </w:pPr>
            <w:r w:rsidRPr="003A6D48">
              <w:rPr>
                <w:rFonts w:ascii="Verdana" w:eastAsia="Calibri" w:hAnsi="Verdana" w:cs="Arial"/>
                <w:b/>
                <w:lang w:val="es-ES_tradnl" w:eastAsia="es-ES_tradnl"/>
              </w:rPr>
              <w:t>Radicación:</w:t>
            </w:r>
            <w:r w:rsidRPr="003A6D48">
              <w:rPr>
                <w:rFonts w:ascii="Verdana" w:eastAsia="Calibri" w:hAnsi="Verdana" w:cs="Arial"/>
                <w:lang w:val="es-ES_tradnl" w:eastAsia="es-ES_tradnl"/>
              </w:rPr>
              <w:t xml:space="preserve">               </w:t>
            </w:r>
          </w:p>
        </w:tc>
        <w:tc>
          <w:tcPr>
            <w:tcW w:w="6100" w:type="dxa"/>
          </w:tcPr>
          <w:p w14:paraId="1CD208A7" w14:textId="77777777" w:rsidR="0011067D" w:rsidRPr="003A6D48" w:rsidRDefault="0011067D" w:rsidP="00C3486D">
            <w:pPr>
              <w:jc w:val="both"/>
              <w:rPr>
                <w:rFonts w:ascii="Verdana" w:eastAsia="Calibri" w:hAnsi="Verdana" w:cs="Arial"/>
                <w:lang w:eastAsia="es-ES_tradnl"/>
              </w:rPr>
            </w:pPr>
            <w:r w:rsidRPr="003A6D48">
              <w:rPr>
                <w:rFonts w:ascii="Verdana" w:eastAsia="Calibri" w:hAnsi="Verdana" w:cs="Arial"/>
                <w:lang w:val="es-ES_tradnl" w:eastAsia="es-ES_tradnl"/>
              </w:rPr>
              <w:t xml:space="preserve">Respuesta a la consulta con radicado No. 1_2026_04_30_005951                                  </w:t>
            </w:r>
          </w:p>
        </w:tc>
      </w:tr>
    </w:tbl>
    <w:p w14:paraId="3EE4C10E" w14:textId="77777777" w:rsidR="0011067D" w:rsidRPr="003A6D48" w:rsidRDefault="0011067D" w:rsidP="0011067D">
      <w:pPr>
        <w:spacing w:after="0" w:line="240" w:lineRule="auto"/>
        <w:jc w:val="both"/>
        <w:rPr>
          <w:rFonts w:ascii="Verdana" w:eastAsia="Calibri" w:hAnsi="Verdana" w:cs="Arial"/>
          <w:color w:val="000000"/>
          <w:lang w:val="es-ES_tradnl" w:eastAsia="es-ES_tradnl"/>
        </w:rPr>
      </w:pPr>
    </w:p>
    <w:p w14:paraId="68CF1338" w14:textId="77777777" w:rsidR="0011067D" w:rsidRPr="003A6D48" w:rsidRDefault="0011067D" w:rsidP="0011067D">
      <w:pPr>
        <w:spacing w:after="0" w:line="240" w:lineRule="auto"/>
        <w:jc w:val="both"/>
        <w:rPr>
          <w:rFonts w:ascii="Verdana" w:eastAsia="Calibri" w:hAnsi="Verdana" w:cs="Arial"/>
          <w:color w:val="000000"/>
          <w:lang w:val="es-ES_tradnl" w:eastAsia="es-ES_tradnl"/>
        </w:rPr>
      </w:pPr>
    </w:p>
    <w:p w14:paraId="6B214314" w14:textId="77777777" w:rsidR="0011067D" w:rsidRPr="003A6D48" w:rsidRDefault="0011067D" w:rsidP="0011067D">
      <w:pPr>
        <w:spacing w:after="0" w:line="276" w:lineRule="auto"/>
        <w:jc w:val="both"/>
        <w:rPr>
          <w:rFonts w:ascii="Verdana" w:eastAsia="Calibri" w:hAnsi="Verdana" w:cs="Arial"/>
          <w:lang w:val="es-ES" w:eastAsia="es-ES"/>
        </w:rPr>
      </w:pPr>
      <w:r w:rsidRPr="003A6D48">
        <w:rPr>
          <w:rFonts w:ascii="Verdana" w:eastAsia="Calibri" w:hAnsi="Verdana" w:cs="Arial"/>
          <w:lang w:val="es-ES" w:eastAsia="es-ES"/>
        </w:rPr>
        <w:t xml:space="preserve">Estimada señora Pardo: </w:t>
      </w:r>
    </w:p>
    <w:p w14:paraId="76173A24" w14:textId="77777777" w:rsidR="0011067D" w:rsidRPr="003A6D48" w:rsidRDefault="0011067D" w:rsidP="0011067D">
      <w:pPr>
        <w:tabs>
          <w:tab w:val="left" w:pos="3768"/>
        </w:tabs>
        <w:spacing w:after="0" w:line="276" w:lineRule="auto"/>
        <w:jc w:val="both"/>
        <w:rPr>
          <w:rFonts w:ascii="Verdana" w:eastAsia="Calibri" w:hAnsi="Verdana" w:cs="Arial"/>
          <w:color w:val="000000" w:themeColor="text1"/>
          <w:lang w:val="es-ES" w:eastAsia="es-ES"/>
        </w:rPr>
      </w:pPr>
      <w:r w:rsidRPr="003A6D48">
        <w:rPr>
          <w:rFonts w:ascii="Verdana" w:eastAsia="Calibri" w:hAnsi="Verdana" w:cs="Arial"/>
          <w:color w:val="000000" w:themeColor="text1"/>
          <w:lang w:val="es-ES" w:eastAsia="es-ES"/>
        </w:rPr>
        <w:tab/>
      </w:r>
    </w:p>
    <w:p w14:paraId="741E7C39" w14:textId="77777777" w:rsidR="0011067D" w:rsidRPr="003A6D48" w:rsidRDefault="0011067D" w:rsidP="0011067D">
      <w:pPr>
        <w:spacing w:after="0" w:line="276" w:lineRule="auto"/>
        <w:jc w:val="both"/>
        <w:rPr>
          <w:rFonts w:ascii="Verdana" w:eastAsia="Calibri" w:hAnsi="Verdana" w:cs="Arial"/>
          <w:color w:val="7030A0"/>
          <w:lang w:val="es-ES" w:eastAsia="es-ES"/>
        </w:rPr>
      </w:pPr>
      <w:r w:rsidRPr="003A6D48">
        <w:rPr>
          <w:rFonts w:ascii="Verdana" w:eastAsia="Calibri" w:hAnsi="Verdana" w:cs="Arial"/>
          <w:color w:val="000000" w:themeColor="text1"/>
          <w:lang w:val="es-ES" w:eastAsia="es-ES"/>
        </w:rPr>
        <w:t>En ejercicio de la competencia otorgada por los artículos 3, numeral 5º, y 11, numeral 8º, del Decreto Ley 4170 de 2011,</w:t>
      </w:r>
      <w:r w:rsidRPr="003A6D48">
        <w:rPr>
          <w:rFonts w:ascii="Verdana" w:eastAsia="Arial MT" w:hAnsi="Verdana" w:cs="Arial MT"/>
          <w:lang w:val="es-ES" w:eastAsia="es-ES"/>
        </w:rPr>
        <w:t xml:space="preserve"> </w:t>
      </w:r>
      <w:r w:rsidRPr="003A6D48">
        <w:rPr>
          <w:rFonts w:ascii="Verdana" w:hAnsi="Verdana" w:cs="Arial"/>
          <w:lang w:val="es-ES_tradnl"/>
        </w:rPr>
        <w:t>así como lo establecido en</w:t>
      </w:r>
      <w:r w:rsidRPr="003A6D48">
        <w:rPr>
          <w:rFonts w:ascii="Verdana" w:hAnsi="Verdana" w:cs="Arial"/>
        </w:rPr>
        <w:t xml:space="preserve"> la Resolución 469 de 2025 expedida por esta Entidad, </w:t>
      </w:r>
      <w:r w:rsidRPr="003A6D48">
        <w:rPr>
          <w:rFonts w:ascii="Verdana" w:eastAsia="Calibri" w:hAnsi="Verdana" w:cs="Arial"/>
          <w:color w:val="000000" w:themeColor="text1"/>
          <w:lang w:val="es-ES" w:eastAsia="es-ES"/>
        </w:rPr>
        <w:t xml:space="preserve">la Agencia Nacional de Contratación Pública – Colombia Compra Eficiente responde su solicitud de consulta de fecha de </w:t>
      </w:r>
      <w:r w:rsidRPr="003A6D48">
        <w:rPr>
          <w:rFonts w:ascii="Verdana" w:eastAsia="Calibri" w:hAnsi="Verdana" w:cs="Arial"/>
          <w:lang w:val="es-ES" w:eastAsia="es-ES"/>
        </w:rPr>
        <w:t xml:space="preserve">30 de abril de 2026, en la cual –respecto a la indagación disciplinaria- pregunta sobre lo siguiente: </w:t>
      </w:r>
    </w:p>
    <w:p w14:paraId="50908E5E" w14:textId="77777777" w:rsidR="0011067D" w:rsidRPr="003A6D48" w:rsidRDefault="0011067D" w:rsidP="0011067D">
      <w:pPr>
        <w:tabs>
          <w:tab w:val="left" w:pos="142"/>
          <w:tab w:val="left" w:pos="284"/>
        </w:tabs>
        <w:spacing w:after="0" w:line="276" w:lineRule="auto"/>
        <w:contextualSpacing/>
        <w:jc w:val="both"/>
        <w:rPr>
          <w:rFonts w:ascii="Verdana" w:eastAsia="Century Gothic" w:hAnsi="Verdana" w:cs="Century Gothic"/>
          <w:b/>
          <w:bCs/>
          <w:lang w:val="es-ES"/>
        </w:rPr>
      </w:pPr>
    </w:p>
    <w:p w14:paraId="54B28922" w14:textId="77777777" w:rsidR="0011067D" w:rsidRPr="003A6D48" w:rsidRDefault="0011067D" w:rsidP="0011067D">
      <w:pPr>
        <w:spacing w:after="0" w:line="240" w:lineRule="auto"/>
        <w:ind w:left="709" w:right="709"/>
        <w:jc w:val="both"/>
        <w:rPr>
          <w:rFonts w:ascii="Verdana" w:eastAsia="Century Gothic" w:hAnsi="Verdana" w:cs="Century Gothic"/>
          <w:sz w:val="20"/>
          <w:szCs w:val="20"/>
          <w:lang w:val="es-ES"/>
        </w:rPr>
      </w:pPr>
      <w:bookmarkStart w:id="1" w:name="_Hlk95313578"/>
      <w:r w:rsidRPr="003A6D48">
        <w:rPr>
          <w:rFonts w:ascii="Verdana" w:eastAsia="Century Gothic" w:hAnsi="Verdana" w:cs="Century Gothic"/>
          <w:sz w:val="20"/>
          <w:szCs w:val="20"/>
          <w:lang w:val="es-ES"/>
        </w:rPr>
        <w:t>“</w:t>
      </w:r>
      <w:bookmarkEnd w:id="1"/>
      <w:r w:rsidRPr="003A6D48">
        <w:rPr>
          <w:rFonts w:ascii="Verdana" w:eastAsia="Century Gothic" w:hAnsi="Verdana" w:cs="Century Gothic"/>
          <w:sz w:val="20"/>
          <w:szCs w:val="20"/>
          <w:lang w:val="es-ES"/>
        </w:rPr>
        <w:t xml:space="preserve">Dando cumplimiento al auto del 27 de abril de 2026, proferido por la Procuraduría </w:t>
      </w:r>
      <w:proofErr w:type="gramStart"/>
      <w:r w:rsidRPr="003A6D48">
        <w:rPr>
          <w:rFonts w:ascii="Verdana" w:eastAsia="Century Gothic" w:hAnsi="Verdana" w:cs="Century Gothic"/>
          <w:sz w:val="20"/>
          <w:szCs w:val="20"/>
          <w:lang w:val="es-ES"/>
        </w:rPr>
        <w:t>Delegada</w:t>
      </w:r>
      <w:proofErr w:type="gramEnd"/>
      <w:r w:rsidRPr="003A6D48">
        <w:rPr>
          <w:rFonts w:ascii="Verdana" w:eastAsia="Century Gothic" w:hAnsi="Verdana" w:cs="Century Gothic"/>
          <w:sz w:val="20"/>
          <w:szCs w:val="20"/>
          <w:lang w:val="es-ES"/>
        </w:rPr>
        <w:t xml:space="preserve"> Disciplinaria de Instrucción 7, Segunda para la Contratación Estatal, dentro de las diligencias del asunto, comedidamente</w:t>
      </w:r>
    </w:p>
    <w:p w14:paraId="6043C726" w14:textId="77777777" w:rsidR="0011067D" w:rsidRPr="003A6D48" w:rsidRDefault="0011067D" w:rsidP="0011067D">
      <w:pPr>
        <w:spacing w:after="0" w:line="240" w:lineRule="auto"/>
        <w:ind w:left="709" w:right="709"/>
        <w:jc w:val="both"/>
        <w:rPr>
          <w:rFonts w:ascii="Verdana" w:eastAsia="Century Gothic" w:hAnsi="Verdana" w:cs="Century Gothic"/>
          <w:sz w:val="20"/>
          <w:szCs w:val="20"/>
          <w:lang w:val="es-ES"/>
        </w:rPr>
      </w:pPr>
      <w:r w:rsidRPr="003A6D48">
        <w:rPr>
          <w:rFonts w:ascii="Verdana" w:eastAsia="Century Gothic" w:hAnsi="Verdana" w:cs="Century Gothic"/>
          <w:sz w:val="20"/>
          <w:szCs w:val="20"/>
          <w:lang w:val="es-ES"/>
        </w:rPr>
        <w:t>se solicita emitir lo siguiente:</w:t>
      </w:r>
    </w:p>
    <w:p w14:paraId="233BE8EE" w14:textId="77777777" w:rsidR="0011067D" w:rsidRPr="003A6D48" w:rsidRDefault="0011067D" w:rsidP="0011067D">
      <w:pPr>
        <w:spacing w:after="0" w:line="240" w:lineRule="auto"/>
        <w:ind w:left="709" w:right="709"/>
        <w:jc w:val="both"/>
        <w:rPr>
          <w:rFonts w:ascii="Verdana" w:eastAsia="Century Gothic" w:hAnsi="Verdana" w:cs="Century Gothic"/>
          <w:sz w:val="20"/>
          <w:szCs w:val="20"/>
          <w:lang w:val="es-ES"/>
        </w:rPr>
      </w:pPr>
    </w:p>
    <w:p w14:paraId="4C63AA0F" w14:textId="77777777" w:rsidR="0011067D" w:rsidRPr="003A6D48" w:rsidRDefault="0011067D" w:rsidP="0011067D">
      <w:pPr>
        <w:spacing w:after="0" w:line="240" w:lineRule="auto"/>
        <w:ind w:left="709" w:right="709"/>
        <w:jc w:val="both"/>
        <w:rPr>
          <w:rFonts w:ascii="Verdana" w:eastAsia="Century Gothic" w:hAnsi="Verdana" w:cs="Century Gothic"/>
          <w:sz w:val="20"/>
          <w:szCs w:val="20"/>
          <w:lang w:val="es-ES"/>
        </w:rPr>
      </w:pPr>
      <w:r w:rsidRPr="003A6D48">
        <w:rPr>
          <w:rFonts w:ascii="Verdana" w:eastAsia="Century Gothic" w:hAnsi="Verdana" w:cs="Century Gothic"/>
          <w:sz w:val="20"/>
          <w:szCs w:val="20"/>
          <w:lang w:val="es-ES"/>
        </w:rPr>
        <w:t xml:space="preserve">1. Concepto referente a la procedencia de la celebración de contratos interadministrativos por objeto: "MANTENIMIENTO Y REMODELACIÓN AL </w:t>
      </w:r>
      <w:r w:rsidRPr="003A6D48">
        <w:rPr>
          <w:rFonts w:ascii="Verdana" w:eastAsia="Century Gothic" w:hAnsi="Verdana" w:cs="Century Gothic"/>
          <w:sz w:val="20"/>
          <w:szCs w:val="20"/>
          <w:lang w:val="es-ES"/>
        </w:rPr>
        <w:lastRenderedPageBreak/>
        <w:t>INTERIOR DE LAS INSTALACIONES", como parte contrate un Establecimiento Público de Orden Nacional (INTENALCO) y ejecutor una Empresa Industrial y Comercial de orden Departamental (IMPRECTICS EICE).</w:t>
      </w:r>
      <w:r w:rsidRPr="003A6D48">
        <w:rPr>
          <w:rFonts w:ascii="Verdana" w:eastAsia="Century Gothic" w:hAnsi="Verdana" w:cs="Century Gothic"/>
          <w:sz w:val="20"/>
          <w:szCs w:val="20"/>
        </w:rPr>
        <w:t>”</w:t>
      </w:r>
      <w:r w:rsidRPr="003A6D48">
        <w:rPr>
          <w:rFonts w:ascii="Verdana" w:eastAsia="Century Gothic" w:hAnsi="Verdana" w:cs="Century Gothic"/>
          <w:sz w:val="20"/>
          <w:szCs w:val="20"/>
          <w:lang w:val="es-ES"/>
        </w:rPr>
        <w:t xml:space="preserve"> </w:t>
      </w:r>
    </w:p>
    <w:p w14:paraId="267FD2C0" w14:textId="77777777" w:rsidR="0011067D" w:rsidRPr="003A6D48" w:rsidRDefault="0011067D" w:rsidP="0011067D">
      <w:pPr>
        <w:tabs>
          <w:tab w:val="left" w:pos="142"/>
          <w:tab w:val="left" w:pos="284"/>
        </w:tabs>
        <w:spacing w:after="0" w:line="276" w:lineRule="auto"/>
        <w:contextualSpacing/>
        <w:jc w:val="both"/>
        <w:rPr>
          <w:rFonts w:ascii="Verdana" w:eastAsia="Century Gothic" w:hAnsi="Verdana" w:cs="Century Gothic"/>
          <w:b/>
          <w:bCs/>
          <w:lang w:val="es-ES"/>
        </w:rPr>
      </w:pPr>
    </w:p>
    <w:p w14:paraId="10C4C64D" w14:textId="77777777" w:rsidR="0011067D" w:rsidRPr="003A6D48" w:rsidRDefault="0011067D" w:rsidP="0011067D">
      <w:pPr>
        <w:spacing w:after="120" w:line="276" w:lineRule="auto"/>
        <w:ind w:firstLine="709"/>
        <w:jc w:val="both"/>
        <w:rPr>
          <w:rFonts w:ascii="Verdana" w:eastAsia="Calibri" w:hAnsi="Verdana" w:cs="Arial"/>
          <w:color w:val="000000"/>
          <w:lang w:val="es-ES" w:eastAsia="es-ES"/>
        </w:rPr>
      </w:pPr>
      <w:r w:rsidRPr="003A6D4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A6D48">
        <w:rPr>
          <w:rFonts w:ascii="Verdana" w:eastAsia="Calibri" w:hAnsi="Verdana" w:cs="Arial"/>
          <w:color w:val="000000"/>
          <w:szCs w:val="24"/>
          <w:lang w:val="es-ES_tradnl" w:eastAsia="es-ES_tradnl"/>
        </w:rPr>
        <w:tab/>
      </w:r>
    </w:p>
    <w:p w14:paraId="67F83470" w14:textId="77777777" w:rsidR="0011067D" w:rsidRPr="003A6D48" w:rsidRDefault="0011067D" w:rsidP="0011067D">
      <w:pPr>
        <w:spacing w:after="120" w:line="276" w:lineRule="auto"/>
        <w:ind w:firstLine="709"/>
        <w:jc w:val="both"/>
        <w:rPr>
          <w:rFonts w:ascii="Verdana" w:eastAsia="Calibri" w:hAnsi="Verdana" w:cs="Arial"/>
          <w:color w:val="000000"/>
          <w:lang w:val="es-ES" w:eastAsia="es-ES"/>
        </w:rPr>
      </w:pPr>
      <w:r w:rsidRPr="003A6D48">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3A6D48">
        <w:rPr>
          <w:rFonts w:ascii="Verdana" w:eastAsia="Calibri" w:hAnsi="Verdana" w:cs="Arial"/>
          <w:color w:val="7030A0"/>
          <w:lang w:val="es-ES" w:eastAsia="es-ES"/>
        </w:rPr>
        <w:t xml:space="preserve"> </w:t>
      </w:r>
      <w:r w:rsidRPr="003A6D48">
        <w:rPr>
          <w:rFonts w:ascii="Verdana" w:eastAsia="Calibri" w:hAnsi="Verdana" w:cs="Arial"/>
          <w:color w:val="000000"/>
          <w:lang w:val="es-ES" w:eastAsia="es-ES"/>
        </w:rPr>
        <w:t>problema</w:t>
      </w:r>
      <w:r w:rsidRPr="003A6D48">
        <w:rPr>
          <w:rFonts w:ascii="Verdana" w:eastAsia="Calibri" w:hAnsi="Verdana" w:cs="Arial"/>
          <w:color w:val="7030A0"/>
          <w:lang w:val="es-ES" w:eastAsia="es-ES"/>
        </w:rPr>
        <w:t xml:space="preserve"> </w:t>
      </w:r>
      <w:r w:rsidRPr="003A6D48">
        <w:rPr>
          <w:rFonts w:ascii="Verdana" w:eastAsia="Calibri" w:hAnsi="Verdana" w:cs="Arial"/>
          <w:color w:val="000000"/>
          <w:lang w:val="es-ES" w:eastAsia="es-ES"/>
        </w:rPr>
        <w:t>jurídico</w:t>
      </w:r>
      <w:r w:rsidRPr="003A6D48">
        <w:rPr>
          <w:rFonts w:ascii="Verdana" w:eastAsia="Calibri" w:hAnsi="Verdana" w:cs="Arial"/>
          <w:color w:val="7030A0"/>
          <w:lang w:val="es-ES" w:eastAsia="es-ES"/>
        </w:rPr>
        <w:t xml:space="preserve"> </w:t>
      </w:r>
      <w:r w:rsidRPr="003A6D48">
        <w:rPr>
          <w:rFonts w:ascii="Verdana" w:eastAsia="Calibri" w:hAnsi="Verdana" w:cs="Arial"/>
          <w:color w:val="000000"/>
          <w:lang w:val="es-ES" w:eastAsia="es-ES"/>
        </w:rPr>
        <w:t xml:space="preserve">de su consulta. </w:t>
      </w:r>
    </w:p>
    <w:p w14:paraId="38009CEE" w14:textId="77777777" w:rsidR="0011067D" w:rsidRPr="003A6D48" w:rsidRDefault="0011067D" w:rsidP="0011067D">
      <w:pPr>
        <w:spacing w:after="120" w:line="276" w:lineRule="auto"/>
        <w:ind w:firstLine="709"/>
        <w:jc w:val="both"/>
        <w:rPr>
          <w:rFonts w:ascii="Verdana" w:eastAsia="Calibri" w:hAnsi="Verdana" w:cs="Arial"/>
          <w:color w:val="000000"/>
          <w:lang w:val="es-ES" w:eastAsia="es-ES"/>
        </w:rPr>
      </w:pPr>
      <w:r w:rsidRPr="003A6D48">
        <w:rPr>
          <w:rFonts w:ascii="Verdana" w:hAnsi="Verdana" w:cs="Arial"/>
          <w:bCs/>
          <w:color w:val="1A1A1A" w:themeColor="background1" w:themeShade="1A"/>
        </w:rPr>
        <w:t xml:space="preserve">Para efectos disciplinarios, el inciso 3 del artículo 226 del Código General del Proceso, normativa a la que remite el artículo 241 de la Ley 1952 de 2019 en materia probatoria, establece expresamente que “No serán admisibles los dictámenes periciales que versen sobre puntos de derecho”. </w:t>
      </w:r>
      <w:r w:rsidRPr="003A6D48">
        <w:rPr>
          <w:rFonts w:ascii="Verdana" w:eastAsia="Calibri" w:hAnsi="Verdana" w:cs="Arial"/>
          <w:lang w:val="es-ES"/>
        </w:rPr>
        <w:t xml:space="preserve">En este contexto, </w:t>
      </w:r>
      <w:r w:rsidRPr="003A6D48">
        <w:rPr>
          <w:rFonts w:ascii="Verdana" w:hAnsi="Verdana" w:cs="Arial"/>
          <w:bCs/>
          <w:color w:val="1A1A1A" w:themeColor="background1" w:themeShade="1A"/>
        </w:rPr>
        <w:t xml:space="preserve">lo decidido en torno </w:t>
      </w:r>
      <w:r w:rsidRPr="003A6D48">
        <w:rPr>
          <w:rFonts w:ascii="Verdana" w:eastAsia="Calibri" w:hAnsi="Verdana" w:cs="Arial"/>
          <w:lang w:val="es-ES" w:eastAsia="es-ES"/>
        </w:rPr>
        <w:t>al proceso disciplinario referido en la consulta es</w:t>
      </w:r>
      <w:r w:rsidRPr="003A6D48">
        <w:rPr>
          <w:rFonts w:ascii="Verdana" w:hAnsi="Verdana" w:cs="Arial"/>
          <w:color w:val="000000" w:themeColor="text1"/>
          <w:lang w:val="es-ES_tradnl"/>
        </w:rPr>
        <w:t xml:space="preserve"> responsabilidad única y exclusiva de la Procuraduría</w:t>
      </w:r>
      <w:r w:rsidRPr="003A6D48">
        <w:rPr>
          <w:rFonts w:ascii="Verdana" w:eastAsia="Calibri" w:hAnsi="Verdana" w:cs="Arial"/>
          <w:lang w:val="es-ES" w:eastAsia="es-ES"/>
        </w:rPr>
        <w:t xml:space="preserve"> </w:t>
      </w:r>
      <w:proofErr w:type="gramStart"/>
      <w:r w:rsidRPr="003A6D48">
        <w:rPr>
          <w:rFonts w:ascii="Verdana" w:eastAsia="Calibri" w:hAnsi="Verdana" w:cs="Arial"/>
          <w:lang w:val="es-ES" w:eastAsia="es-ES"/>
        </w:rPr>
        <w:t>Delegada</w:t>
      </w:r>
      <w:proofErr w:type="gramEnd"/>
      <w:r w:rsidRPr="003A6D48">
        <w:rPr>
          <w:rFonts w:ascii="Verdana" w:eastAsia="Calibri" w:hAnsi="Verdana" w:cs="Arial"/>
          <w:lang w:val="es-ES" w:eastAsia="es-ES"/>
        </w:rPr>
        <w:t xml:space="preserve"> Disciplinaria de Instrucción 7</w:t>
      </w:r>
      <w:r w:rsidRPr="003A6D48">
        <w:rPr>
          <w:rFonts w:ascii="Verdana" w:eastAsia="Calibri" w:hAnsi="Verdana" w:cs="Arial"/>
          <w:bCs/>
          <w:lang w:eastAsia="es-ES_tradnl"/>
        </w:rPr>
        <w:t xml:space="preserve">. </w:t>
      </w:r>
      <w:r w:rsidRPr="003A6D48">
        <w:rPr>
          <w:rFonts w:ascii="Verdana" w:eastAsia="Calibri" w:hAnsi="Verdana" w:cs="Arial"/>
        </w:rPr>
        <w:t xml:space="preserve">Sin perjuicio de lo anterior, </w:t>
      </w:r>
      <w:r w:rsidRPr="003A6D48">
        <w:rPr>
          <w:rFonts w:ascii="Verdana" w:eastAsia="Calibri" w:hAnsi="Verdana" w:cs="Arial"/>
          <w:lang w:val="es-ES"/>
        </w:rPr>
        <w:t>la Agencia –dentro de los límites de sus atribuciones, esto es, al margen de las conductas investigadas en el expediente anteriormente citado– resolverá la consulta conforme a las normas generales del sistema de compras públicas.</w:t>
      </w:r>
    </w:p>
    <w:p w14:paraId="0A91340D" w14:textId="77777777" w:rsidR="0011067D" w:rsidRPr="003A6D48" w:rsidRDefault="0011067D" w:rsidP="0011067D">
      <w:pPr>
        <w:spacing w:after="0" w:line="276" w:lineRule="auto"/>
        <w:ind w:firstLine="709"/>
        <w:jc w:val="both"/>
        <w:rPr>
          <w:rFonts w:ascii="Verdana" w:eastAsia="Calibri" w:hAnsi="Verdana" w:cs="Arial"/>
          <w:color w:val="000000"/>
          <w:lang w:val="es-ES" w:eastAsia="es-ES"/>
        </w:rPr>
      </w:pPr>
    </w:p>
    <w:p w14:paraId="7F86852D" w14:textId="77777777" w:rsidR="0011067D" w:rsidRPr="003A6D48" w:rsidRDefault="0011067D" w:rsidP="0011067D">
      <w:pPr>
        <w:numPr>
          <w:ilvl w:val="0"/>
          <w:numId w:val="1"/>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3A6D48">
        <w:rPr>
          <w:rFonts w:ascii="Verdana" w:eastAsia="Century Gothic" w:hAnsi="Verdana" w:cs="Century Gothic"/>
          <w:b/>
          <w:bCs/>
          <w:lang w:val="es-ES"/>
        </w:rPr>
        <w:t>Problemas planteados:</w:t>
      </w:r>
    </w:p>
    <w:p w14:paraId="66B000DD" w14:textId="77777777" w:rsidR="0011067D" w:rsidRPr="003A6D48" w:rsidRDefault="0011067D" w:rsidP="0011067D">
      <w:pPr>
        <w:tabs>
          <w:tab w:val="left" w:pos="426"/>
        </w:tabs>
        <w:spacing w:after="0" w:line="276" w:lineRule="auto"/>
        <w:jc w:val="both"/>
        <w:rPr>
          <w:rFonts w:ascii="Verdana" w:eastAsia="Century Gothic" w:hAnsi="Verdana" w:cs="Century Gothic"/>
          <w:lang w:val="es-ES"/>
        </w:rPr>
      </w:pPr>
    </w:p>
    <w:p w14:paraId="091DFF52" w14:textId="77777777" w:rsidR="0011067D" w:rsidRPr="003A6D48" w:rsidRDefault="0011067D" w:rsidP="0011067D">
      <w:pPr>
        <w:spacing w:after="0" w:line="276" w:lineRule="auto"/>
        <w:jc w:val="both"/>
        <w:rPr>
          <w:rFonts w:ascii="Verdana" w:eastAsia="Century Gothic" w:hAnsi="Verdana" w:cs="Century Gothic"/>
        </w:rPr>
      </w:pPr>
      <w:r w:rsidRPr="003A6D48">
        <w:rPr>
          <w:rFonts w:ascii="Verdana" w:eastAsia="Century Gothic" w:hAnsi="Verdana" w:cs="Century Gothic"/>
        </w:rPr>
        <w:lastRenderedPageBreak/>
        <w:t xml:space="preserve">De acuerdo con el contenido de su solicitud, esta Agencia resolverá los siguientes problemas jurídicos: </w:t>
      </w:r>
      <w:r w:rsidRPr="003A6D48">
        <w:rPr>
          <w:rFonts w:ascii="Verdana" w:eastAsia="Century Gothic" w:hAnsi="Verdana" w:cs="Century Gothic"/>
          <w:color w:val="000000" w:themeColor="text1"/>
        </w:rPr>
        <w:t xml:space="preserve">¿pueden las Empresas Industriales y Comerciales del Estado celebrar contratos interadministrativos con otra entidad pública para el mantenimiento </w:t>
      </w:r>
      <w:r w:rsidRPr="003A6D48">
        <w:rPr>
          <w:rFonts w:ascii="Verdana" w:eastAsia="Century Gothic" w:hAnsi="Verdana" w:cs="Century Gothic"/>
          <w:color w:val="000000" w:themeColor="text1"/>
          <w:lang w:val="es-ES"/>
        </w:rPr>
        <w:t>y remodelación al interior de instalaciones</w:t>
      </w:r>
      <w:r w:rsidRPr="003A6D48">
        <w:rPr>
          <w:rFonts w:ascii="Verdana" w:eastAsia="Century Gothic" w:hAnsi="Verdana" w:cs="Century Gothic"/>
          <w:color w:val="000000" w:themeColor="text1"/>
        </w:rPr>
        <w:t>?</w:t>
      </w:r>
    </w:p>
    <w:p w14:paraId="5ED8A8E1" w14:textId="77777777" w:rsidR="0011067D" w:rsidRPr="003A6D48" w:rsidRDefault="0011067D" w:rsidP="0011067D">
      <w:pPr>
        <w:spacing w:after="0" w:line="276" w:lineRule="auto"/>
        <w:jc w:val="both"/>
        <w:rPr>
          <w:rFonts w:ascii="Verdana" w:eastAsia="Calibri" w:hAnsi="Verdana" w:cs="Arial"/>
          <w:color w:val="7030A0"/>
        </w:rPr>
      </w:pPr>
    </w:p>
    <w:p w14:paraId="38D3B381" w14:textId="77777777" w:rsidR="0011067D" w:rsidRPr="003A6D48" w:rsidRDefault="0011067D" w:rsidP="0011067D">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3A6D48">
        <w:rPr>
          <w:rFonts w:ascii="Verdana" w:eastAsia="Century Gothic" w:hAnsi="Verdana" w:cs="Century Gothic"/>
          <w:b/>
          <w:bCs/>
          <w:lang w:val="es-ES"/>
        </w:rPr>
        <w:t>Respuestas:</w:t>
      </w:r>
    </w:p>
    <w:p w14:paraId="2C9A27B1" w14:textId="77777777" w:rsidR="0011067D" w:rsidRPr="003A6D48" w:rsidRDefault="0011067D" w:rsidP="0011067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1067D" w:rsidRPr="003A6D48" w14:paraId="40E029F1" w14:textId="77777777" w:rsidTr="00C3486D">
        <w:trPr>
          <w:jc w:val="center"/>
        </w:trPr>
        <w:tc>
          <w:tcPr>
            <w:tcW w:w="8828" w:type="dxa"/>
          </w:tcPr>
          <w:p w14:paraId="30F1843F" w14:textId="77777777" w:rsidR="0011067D" w:rsidRPr="003A6D48" w:rsidRDefault="0011067D" w:rsidP="00C3486D">
            <w:pPr>
              <w:spacing w:after="120" w:line="276" w:lineRule="auto"/>
              <w:jc w:val="both"/>
              <w:rPr>
                <w:rFonts w:ascii="Verdana" w:eastAsia="Arial" w:hAnsi="Verdana" w:cs="Arial"/>
                <w:color w:val="000000" w:themeColor="text1"/>
                <w:lang w:val="es-ES"/>
              </w:rPr>
            </w:pPr>
            <w:bookmarkStart w:id="2" w:name="_Hlk171694685"/>
            <w:r w:rsidRPr="003A6D48">
              <w:rPr>
                <w:rFonts w:ascii="Verdana" w:eastAsia="Calibri" w:hAnsi="Verdana" w:cs="Arial"/>
                <w:lang w:val="es-ES" w:eastAsia="es-ES"/>
              </w:rPr>
              <w:t>En primer lugar, es preciso señalar que es jurídicamente viable que las Empresas Industriales y Comerciales del Estado -en adelante EICE- celebren contratos interadministrativos con otras entidades estatales. L</w:t>
            </w:r>
            <w:r w:rsidRPr="003A6D48">
              <w:rPr>
                <w:rFonts w:ascii="Verdana" w:eastAsia="Calibri" w:hAnsi="Verdana" w:cs="Arial"/>
                <w:color w:val="000000"/>
                <w:lang w:val="es-ES_tradnl"/>
              </w:rPr>
              <w:t xml:space="preserve">a celebración de estos contratos es procedente por el criterio orgánico según el cual el contratista ejecutor es una entidad estatal o </w:t>
            </w:r>
            <w:r w:rsidRPr="003A6D48">
              <w:rPr>
                <w:rFonts w:ascii="Verdana" w:eastAsia="Arial" w:hAnsi="Verdana" w:cs="Arial"/>
                <w:color w:val="000000" w:themeColor="text1"/>
                <w:lang w:val="es-ES"/>
              </w:rPr>
              <w:t xml:space="preserve">persona jurídica de derecho público, independientemente de los casos en que cuente con un régimen especial de contratación. </w:t>
            </w:r>
          </w:p>
          <w:p w14:paraId="3C6B41A6" w14:textId="77777777" w:rsidR="0011067D" w:rsidRPr="003A6D48" w:rsidRDefault="0011067D" w:rsidP="00C3486D">
            <w:pPr>
              <w:spacing w:after="120" w:line="276" w:lineRule="auto"/>
              <w:ind w:firstLine="743"/>
              <w:jc w:val="both"/>
              <w:rPr>
                <w:rFonts w:ascii="Verdana" w:eastAsia="Calibri" w:hAnsi="Verdana" w:cs="Arial"/>
                <w:color w:val="000000"/>
                <w:lang w:val="es-ES_tradnl"/>
              </w:rPr>
            </w:pPr>
            <w:r w:rsidRPr="003A6D48">
              <w:rPr>
                <w:rFonts w:ascii="Verdana" w:eastAsia="Calibri" w:hAnsi="Verdana" w:cs="Arial"/>
                <w:color w:val="000000" w:themeColor="text1"/>
              </w:rPr>
              <w:t>El literal c) del numeral 4 del artículo 2 de la Ley 1150 de 2007, modificado por el artículo 92 de la Ley 1474 de 2011, estableció que se podrá celebrar directamente los c</w:t>
            </w:r>
            <w:r w:rsidRPr="003A6D48">
              <w:rPr>
                <w:rFonts w:ascii="Verdana" w:hAnsi="Verdana" w:cs="Arial"/>
              </w:rPr>
              <w:t xml:space="preserve">ontratos interadministrativos, siempre que las obligaciones derivadas del mismo tengan relación directa con el objeto de la entidad ejecutora señalado en la ley o en sus reglamentos. Asi mismo, señala que “Se exceptúan los contratos de obra, suministro, prestación de servicios de </w:t>
            </w:r>
            <w:r w:rsidRPr="003A6D48">
              <w:rPr>
                <w:rFonts w:ascii="Verdana" w:eastAsia="Calibri" w:hAnsi="Verdana" w:cs="Arial"/>
                <w:color w:val="000000"/>
                <w:lang w:val="es-ES_tradnl"/>
              </w:rPr>
              <w:t>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79C25232" w14:textId="77777777" w:rsidR="0011067D" w:rsidRPr="003A6D48" w:rsidRDefault="0011067D" w:rsidP="00C3486D">
            <w:pPr>
              <w:spacing w:after="120" w:line="276" w:lineRule="auto"/>
              <w:ind w:firstLine="743"/>
              <w:jc w:val="both"/>
              <w:rPr>
                <w:rFonts w:ascii="Verdana" w:eastAsia="Calibri" w:hAnsi="Verdana" w:cs="Arial"/>
                <w:color w:val="000000"/>
                <w:lang w:val="es-ES_tradnl"/>
              </w:rPr>
            </w:pPr>
            <w:r w:rsidRPr="003A6D48">
              <w:rPr>
                <w:rFonts w:ascii="Verdana" w:eastAsia="Calibri" w:hAnsi="Verdana" w:cs="Arial"/>
                <w:color w:val="000000"/>
                <w:lang w:val="es-ES_tradnl"/>
              </w:rPr>
              <w:t xml:space="preserve">Así, la suscripción de contratos interadministrativos mediante contratación directa tiene como requisito que las obligaciones del negocio jurídico tengan relación directa con el objeto de la entidad ejecutora, según lo establecido en la ley o en sus reglamentos. La condición impuesta por el legislador para la suscripción de estos contratos se establece a efectos de constatar que el ejecutor cuente con la capacidad jurídica para contraer las </w:t>
            </w:r>
            <w:r w:rsidRPr="003A6D48">
              <w:rPr>
                <w:rFonts w:ascii="Verdana" w:eastAsia="Calibri" w:hAnsi="Verdana" w:cs="Arial"/>
                <w:color w:val="000000"/>
                <w:lang w:val="es-ES_tradnl"/>
              </w:rPr>
              <w:lastRenderedPageBreak/>
              <w:t>obligaciones establecidas en el contrato. Frente a las EICE, a las cuales se refiere en su consulta, esto implica que cuenten con la capacidad jurídica para ejecutar lo pactado en el contrato interadministrativo, de manera que su objeto social les permita la ejecución de las actividades acordadas</w:t>
            </w:r>
          </w:p>
          <w:p w14:paraId="2ED840A6" w14:textId="77777777" w:rsidR="0011067D" w:rsidRPr="003A6D48" w:rsidRDefault="0011067D" w:rsidP="00C3486D">
            <w:pPr>
              <w:spacing w:after="120" w:line="276" w:lineRule="auto"/>
              <w:ind w:firstLine="743"/>
              <w:jc w:val="both"/>
              <w:rPr>
                <w:rFonts w:ascii="Verdana" w:eastAsia="Calibri" w:hAnsi="Verdana" w:cs="Arial"/>
                <w:i/>
                <w:iCs/>
                <w:color w:val="000000"/>
                <w:lang w:val="es-ES_tradnl"/>
              </w:rPr>
            </w:pPr>
            <w:r w:rsidRPr="003A6D48">
              <w:rPr>
                <w:rFonts w:ascii="Verdana" w:eastAsia="Calibri" w:hAnsi="Verdana" w:cs="Arial"/>
                <w:color w:val="000000"/>
                <w:lang w:val="es-ES_tradnl"/>
              </w:rPr>
              <w:t xml:space="preserve">En este sentido, la norma señaló de manera explícita los sujetos y los objetos de los contratos interadministrativos que no pueden celebrarse mediante contratación directa. En dicha descripción, la ley no estableció que la excepción sea aplicable a las EICE, por lo que no prohibió que estos sujetos celebren de manera directa contratos interadministrativos con las entidades estatales. En consecuencia, es posible afirmar que frente a las EICE aplica la regla general, y pueden celebrar contratos interadministrativos </w:t>
            </w:r>
            <w:r w:rsidRPr="003A6D48">
              <w:rPr>
                <w:rFonts w:ascii="Verdana" w:eastAsia="Calibri" w:hAnsi="Verdana" w:cs="Arial"/>
                <w:i/>
                <w:iCs/>
                <w:color w:val="000000"/>
                <w:lang w:val="es-ES_tradnl"/>
              </w:rPr>
              <w:t xml:space="preserve">sin distinción de objeto. </w:t>
            </w:r>
          </w:p>
          <w:p w14:paraId="3934FD24" w14:textId="77777777" w:rsidR="0011067D" w:rsidRPr="003A6D48" w:rsidRDefault="0011067D" w:rsidP="00C3486D">
            <w:pPr>
              <w:spacing w:after="120" w:line="276" w:lineRule="auto"/>
              <w:ind w:firstLine="743"/>
              <w:jc w:val="both"/>
              <w:rPr>
                <w:rFonts w:ascii="Verdana" w:eastAsia="Calibri" w:hAnsi="Verdana" w:cs="Arial"/>
                <w:color w:val="000000" w:themeColor="text1"/>
                <w:lang w:val="es-ES"/>
              </w:rPr>
            </w:pPr>
            <w:r w:rsidRPr="003A6D48">
              <w:rPr>
                <w:rFonts w:ascii="Verdana" w:eastAsia="Calibri" w:hAnsi="Verdana" w:cs="Arial"/>
                <w:color w:val="000000"/>
                <w:lang w:val="es-ES_tradnl"/>
              </w:rPr>
              <w:t xml:space="preserve">En todo caso, la celebración de contratos interadministrativos por las EIC será posible siempre que del análisis jurídico, técnico y financiero se concluya que es viable su suscripción. Aunado a lo anterior, el objeto de la entidad ejecutora del contrato, señalado en la ley o en sus reglamentos, debe permitir que cumpla las obligaciones y realice las actividades que se derivan del acuerdo de voluntades. Cuando las EICE actúen como ejecutoras, dicha capacidad deberá ser confirmada de acuerdo con lo establecido en el objeto social de la empresa. </w:t>
            </w:r>
          </w:p>
        </w:tc>
      </w:tr>
    </w:tbl>
    <w:p w14:paraId="72B5D08C" w14:textId="77777777" w:rsidR="0011067D" w:rsidRPr="003A6D48" w:rsidRDefault="0011067D" w:rsidP="0011067D">
      <w:pPr>
        <w:tabs>
          <w:tab w:val="left" w:pos="142"/>
          <w:tab w:val="left" w:pos="284"/>
        </w:tabs>
        <w:spacing w:after="0" w:line="276" w:lineRule="auto"/>
        <w:jc w:val="both"/>
        <w:rPr>
          <w:rFonts w:ascii="Verdana" w:eastAsia="Century Gothic" w:hAnsi="Verdana" w:cs="Century Gothic"/>
          <w:b/>
          <w:bCs/>
          <w:lang w:val="es-ES"/>
        </w:rPr>
      </w:pPr>
    </w:p>
    <w:bookmarkEnd w:id="2"/>
    <w:p w14:paraId="440E8E6F" w14:textId="77777777" w:rsidR="0011067D" w:rsidRPr="003A6D48" w:rsidRDefault="0011067D" w:rsidP="0011067D">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3A6D48">
        <w:rPr>
          <w:rFonts w:ascii="Verdana" w:eastAsia="Century Gothic" w:hAnsi="Verdana" w:cs="Century Gothic"/>
          <w:b/>
          <w:bCs/>
          <w:lang w:val="es-ES"/>
        </w:rPr>
        <w:t>Razones de las respuestas:</w:t>
      </w:r>
    </w:p>
    <w:p w14:paraId="7D7B10A9" w14:textId="77777777" w:rsidR="0011067D" w:rsidRPr="003A6D48" w:rsidRDefault="0011067D" w:rsidP="0011067D">
      <w:pPr>
        <w:spacing w:after="0" w:line="276" w:lineRule="auto"/>
        <w:jc w:val="both"/>
        <w:rPr>
          <w:rFonts w:ascii="Verdana" w:eastAsia="Calibri" w:hAnsi="Verdana" w:cs="Arial"/>
          <w:color w:val="7030A0"/>
          <w:lang w:val="es-ES"/>
        </w:rPr>
      </w:pPr>
    </w:p>
    <w:p w14:paraId="753B2983" w14:textId="77777777" w:rsidR="0011067D" w:rsidRPr="003A6D48" w:rsidRDefault="0011067D" w:rsidP="0011067D">
      <w:pPr>
        <w:spacing w:after="0" w:line="276" w:lineRule="auto"/>
        <w:jc w:val="both"/>
        <w:rPr>
          <w:rFonts w:ascii="Verdana" w:eastAsia="Calibri" w:hAnsi="Verdana" w:cs="Arial"/>
          <w:lang w:val="es-ES"/>
        </w:rPr>
      </w:pPr>
      <w:r w:rsidRPr="003A6D48">
        <w:rPr>
          <w:rFonts w:ascii="Verdana" w:eastAsia="Calibri" w:hAnsi="Verdana" w:cs="Arial"/>
          <w:lang w:val="es-ES"/>
        </w:rPr>
        <w:t>Lo anterior se sustenta en las siguientes consideraciones:</w:t>
      </w:r>
    </w:p>
    <w:p w14:paraId="79B48C2F" w14:textId="77777777" w:rsidR="0011067D" w:rsidRPr="003A6D48" w:rsidRDefault="0011067D" w:rsidP="0011067D">
      <w:pPr>
        <w:spacing w:after="0" w:line="276" w:lineRule="auto"/>
        <w:jc w:val="both"/>
        <w:rPr>
          <w:rFonts w:ascii="Verdana" w:eastAsia="Calibri" w:hAnsi="Verdana" w:cs="Arial"/>
          <w:color w:val="000000" w:themeColor="text1"/>
        </w:rPr>
      </w:pPr>
    </w:p>
    <w:p w14:paraId="1E72E22F" w14:textId="77777777" w:rsidR="0011067D" w:rsidRPr="003A6D48" w:rsidRDefault="0011067D" w:rsidP="0011067D">
      <w:pPr>
        <w:spacing w:before="120" w:after="120" w:line="276" w:lineRule="auto"/>
        <w:jc w:val="both"/>
        <w:rPr>
          <w:rFonts w:ascii="Verdana" w:eastAsia="Times New Roman" w:hAnsi="Verdana" w:cs="Arial"/>
          <w:color w:val="000000" w:themeColor="text1"/>
          <w:lang w:eastAsia="es-CO"/>
        </w:rPr>
      </w:pPr>
      <w:r w:rsidRPr="003A6D48">
        <w:rPr>
          <w:rFonts w:ascii="Verdana" w:hAnsi="Verdana" w:cs="Arial"/>
          <w:bCs/>
          <w:lang w:val="es-ES_tradnl" w:eastAsia="es-ES" w:bidi="es-ES"/>
        </w:rPr>
        <w:t xml:space="preserve">i. </w:t>
      </w:r>
      <w:r w:rsidRPr="003A6D48">
        <w:rPr>
          <w:rFonts w:ascii="Verdana" w:eastAsia="Times New Roman" w:hAnsi="Verdana" w:cs="Arial"/>
          <w:color w:val="000000" w:themeColor="text1"/>
          <w:lang w:eastAsia="es-CO"/>
        </w:rPr>
        <w:t>La doctrina ha señalado que “se denominan contratos interadministrativos los contratos bilaterales celebrados entre dos entidades estatales”</w:t>
      </w:r>
      <w:r w:rsidRPr="003A6D48">
        <w:rPr>
          <w:rFonts w:ascii="Verdana" w:eastAsia="Times New Roman" w:hAnsi="Verdana" w:cs="Arial"/>
          <w:color w:val="000000" w:themeColor="text1"/>
          <w:vertAlign w:val="superscript"/>
          <w:lang w:eastAsia="es-CO"/>
        </w:rPr>
        <w:footnoteReference w:id="2"/>
      </w:r>
      <w:r w:rsidRPr="003A6D48">
        <w:rPr>
          <w:rFonts w:ascii="Verdana" w:eastAsia="Times New Roman" w:hAnsi="Verdana" w:cs="Arial"/>
          <w:color w:val="000000" w:themeColor="text1"/>
          <w:lang w:eastAsia="es-CO"/>
        </w:rPr>
        <w:t xml:space="preserve">. </w:t>
      </w:r>
      <w:r w:rsidRPr="003A6D48">
        <w:rPr>
          <w:rFonts w:ascii="Verdana" w:eastAsia="Times New Roman" w:hAnsi="Verdana" w:cs="Arial"/>
          <w:color w:val="000000" w:themeColor="text1"/>
          <w:lang w:val="es-ES" w:eastAsia="es-CO"/>
        </w:rPr>
        <w:t>Aunque la Ley 80 de 1993 no definió ni desarrolló esta tipología contractual, el Decreto 1082 de 2015 califica a los convenios o contratos interadministrativos como aquella contratación entre Entidades Estatales</w:t>
      </w:r>
      <w:r w:rsidRPr="003A6D48">
        <w:rPr>
          <w:rFonts w:ascii="Verdana" w:eastAsia="Times New Roman" w:hAnsi="Verdana" w:cs="Arial"/>
          <w:color w:val="000000" w:themeColor="text1"/>
          <w:vertAlign w:val="superscript"/>
          <w:lang w:val="es-ES" w:eastAsia="es-CO"/>
        </w:rPr>
        <w:footnoteReference w:id="3"/>
      </w:r>
      <w:r w:rsidRPr="003A6D48">
        <w:rPr>
          <w:rFonts w:ascii="Verdana" w:eastAsia="Times New Roman" w:hAnsi="Verdana" w:cs="Arial"/>
          <w:color w:val="000000" w:themeColor="text1"/>
          <w:lang w:val="es-ES" w:eastAsia="es-CO"/>
        </w:rPr>
        <w:t xml:space="preserve">. De acuerdo con lo anterior, el contrato </w:t>
      </w:r>
      <w:r w:rsidRPr="003A6D48">
        <w:rPr>
          <w:rFonts w:ascii="Verdana" w:eastAsia="Times New Roman" w:hAnsi="Verdana" w:cs="Arial"/>
          <w:color w:val="000000" w:themeColor="text1"/>
          <w:lang w:val="es-ES" w:eastAsia="es-CO"/>
        </w:rPr>
        <w:lastRenderedPageBreak/>
        <w:t xml:space="preserve">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 estatales, </w:t>
      </w:r>
      <w:r w:rsidRPr="003A6D48">
        <w:rPr>
          <w:rFonts w:ascii="Verdana" w:eastAsia="Calibri" w:hAnsi="Verdana" w:cs="Arial"/>
          <w:lang w:eastAsia="es-ES"/>
        </w:rPr>
        <w:t xml:space="preserve">sin que importen las normas que regulan la relación contractual. </w:t>
      </w:r>
    </w:p>
    <w:p w14:paraId="385BE956" w14:textId="77777777" w:rsidR="0011067D" w:rsidRPr="003A6D48" w:rsidRDefault="0011067D" w:rsidP="0011067D">
      <w:pPr>
        <w:spacing w:line="276" w:lineRule="auto"/>
        <w:ind w:firstLine="708"/>
        <w:contextualSpacing/>
        <w:jc w:val="both"/>
        <w:rPr>
          <w:rFonts w:ascii="Verdana" w:eastAsia="Calibri" w:hAnsi="Verdana" w:cs="Arial"/>
          <w:lang w:val="es-ES"/>
        </w:rPr>
      </w:pPr>
      <w:r w:rsidRPr="003A6D48">
        <w:rPr>
          <w:rFonts w:ascii="Verdana" w:eastAsia="Calibri" w:hAnsi="Verdana" w:cs="Arial"/>
          <w:lang w:eastAsia="es-ES"/>
        </w:rPr>
        <w:t xml:space="preserve">Bajo el criterio orgánico descrito, las entidades municipales pueden contratar bajo la figura de un contrato interadministrativo con </w:t>
      </w:r>
      <w:r w:rsidRPr="003A6D48">
        <w:rPr>
          <w:rFonts w:ascii="Verdana" w:eastAsia="Calibri" w:hAnsi="Verdana" w:cs="Arial"/>
          <w:lang w:val="es-MX" w:eastAsia="es-ES"/>
        </w:rPr>
        <w:t>EICE</w:t>
      </w:r>
      <w:r w:rsidRPr="003A6D48">
        <w:rPr>
          <w:rFonts w:ascii="Verdana" w:eastAsia="Calibri" w:hAnsi="Verdana" w:cs="Arial"/>
          <w:lang w:eastAsia="es-ES"/>
        </w:rPr>
        <w:t xml:space="preserve">, pues se trata de un acuerdo entre entidades estatales, según la definición que al respecto estableció el artículo 2 de la </w:t>
      </w:r>
      <w:r w:rsidRPr="003A6D48">
        <w:rPr>
          <w:rFonts w:ascii="Verdana" w:eastAsia="Calibri" w:hAnsi="Verdana" w:cs="Arial"/>
          <w:lang w:val="es-ES"/>
        </w:rPr>
        <w:t>Ley 80 de 1993, según el cual:</w:t>
      </w:r>
    </w:p>
    <w:p w14:paraId="39134DED" w14:textId="77777777" w:rsidR="0011067D" w:rsidRPr="003A6D48" w:rsidRDefault="0011067D" w:rsidP="0011067D">
      <w:pPr>
        <w:spacing w:line="276" w:lineRule="auto"/>
        <w:ind w:firstLine="708"/>
        <w:contextualSpacing/>
        <w:jc w:val="both"/>
        <w:rPr>
          <w:rFonts w:ascii="Verdana" w:eastAsia="Calibri" w:hAnsi="Verdana" w:cs="Arial"/>
          <w:lang w:eastAsia="es-ES"/>
        </w:rPr>
      </w:pPr>
    </w:p>
    <w:p w14:paraId="34A15417" w14:textId="77777777" w:rsidR="0011067D" w:rsidRPr="003A6D48" w:rsidRDefault="0011067D" w:rsidP="0011067D">
      <w:pPr>
        <w:spacing w:line="240" w:lineRule="auto"/>
        <w:ind w:firstLine="708"/>
        <w:contextualSpacing/>
        <w:jc w:val="both"/>
        <w:rPr>
          <w:rFonts w:ascii="Verdana" w:eastAsia="Calibri" w:hAnsi="Verdana" w:cs="Arial"/>
          <w:sz w:val="20"/>
          <w:szCs w:val="20"/>
          <w:lang w:val="es-ES"/>
        </w:rPr>
      </w:pPr>
      <w:r w:rsidRPr="003A6D48">
        <w:rPr>
          <w:rFonts w:ascii="Verdana" w:eastAsia="Calibri" w:hAnsi="Verdana" w:cs="Arial"/>
          <w:sz w:val="20"/>
          <w:szCs w:val="20"/>
          <w:lang w:eastAsia="es-ES"/>
        </w:rPr>
        <w:t>“1o. Se denominan entidades estatales: </w:t>
      </w:r>
    </w:p>
    <w:p w14:paraId="2C23CBC6" w14:textId="77777777" w:rsidR="0011067D" w:rsidRPr="003A6D48" w:rsidRDefault="0011067D" w:rsidP="0011067D">
      <w:pPr>
        <w:spacing w:after="0" w:line="240" w:lineRule="auto"/>
        <w:ind w:left="709" w:right="709"/>
        <w:contextualSpacing/>
        <w:jc w:val="both"/>
        <w:rPr>
          <w:rFonts w:ascii="Verdana" w:eastAsia="Calibri" w:hAnsi="Verdana" w:cs="Arial"/>
          <w:sz w:val="20"/>
          <w:szCs w:val="20"/>
          <w:lang w:eastAsia="es-ES"/>
        </w:rPr>
      </w:pPr>
      <w:r w:rsidRPr="003A6D48">
        <w:rPr>
          <w:rFonts w:ascii="Verdana" w:eastAsia="Calibri" w:hAnsi="Verdana" w:cs="Arial"/>
          <w:sz w:val="20"/>
          <w:szCs w:val="20"/>
          <w:lang w:eastAsia="es-ES"/>
        </w:rPr>
        <w:t xml:space="preserve">a) La Nación, las regiones, los departamentos, las provincias, el distrito capital y los distritos especiales, las áreas metropolitanas, las asociaciones de municipios, los territorios indígenas y los municipios; los establecimientos públicos, </w:t>
      </w:r>
      <w:r w:rsidRPr="003A6D48">
        <w:rPr>
          <w:rFonts w:ascii="Verdana" w:eastAsia="Calibri" w:hAnsi="Verdana" w:cs="Arial"/>
          <w:i/>
          <w:sz w:val="20"/>
          <w:szCs w:val="20"/>
          <w:u w:val="single"/>
          <w:lang w:eastAsia="es-ES"/>
        </w:rPr>
        <w:t>las empresas industriales y comerciales del Estado</w:t>
      </w:r>
      <w:r w:rsidRPr="003A6D48">
        <w:rPr>
          <w:rFonts w:ascii="Verdana" w:eastAsia="Calibri" w:hAnsi="Verdana" w:cs="Arial"/>
          <w:sz w:val="20"/>
          <w:szCs w:val="20"/>
          <w:lang w:eastAsia="es-ES"/>
        </w:rPr>
        <w:t>,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[Énfasis fuera del texto original]</w:t>
      </w:r>
    </w:p>
    <w:p w14:paraId="744D4777" w14:textId="77777777" w:rsidR="0011067D" w:rsidRPr="003A6D48" w:rsidRDefault="0011067D" w:rsidP="0011067D">
      <w:pPr>
        <w:spacing w:line="276" w:lineRule="auto"/>
        <w:ind w:firstLine="709"/>
        <w:contextualSpacing/>
        <w:jc w:val="both"/>
        <w:rPr>
          <w:rFonts w:ascii="Verdana" w:eastAsia="Calibri" w:hAnsi="Verdana" w:cs="Arial"/>
          <w:bCs/>
          <w:color w:val="000000" w:themeColor="text1"/>
          <w:lang w:eastAsia="es-ES_tradnl" w:bidi="es-ES"/>
        </w:rPr>
      </w:pPr>
    </w:p>
    <w:p w14:paraId="53BB8695" w14:textId="77777777" w:rsidR="0011067D" w:rsidRPr="003A6D48" w:rsidRDefault="0011067D" w:rsidP="0011067D">
      <w:pPr>
        <w:spacing w:line="276" w:lineRule="auto"/>
        <w:ind w:firstLine="709"/>
        <w:contextualSpacing/>
        <w:jc w:val="both"/>
        <w:rPr>
          <w:rFonts w:ascii="Verdana" w:eastAsia="Calibri" w:hAnsi="Verdana" w:cs="Arial"/>
          <w:bCs/>
          <w:color w:val="000000" w:themeColor="text1"/>
          <w:lang w:eastAsia="es-ES_tradnl" w:bidi="es-ES"/>
        </w:rPr>
      </w:pPr>
      <w:r w:rsidRPr="003A6D48">
        <w:rPr>
          <w:rFonts w:ascii="Verdana" w:eastAsia="Calibri" w:hAnsi="Verdana" w:cs="Arial"/>
          <w:bCs/>
          <w:color w:val="000000" w:themeColor="text1"/>
          <w:lang w:eastAsia="es-ES_tradnl" w:bidi="es-ES"/>
        </w:rPr>
        <w:t xml:space="preserve">Ahora bien, es importante aclarar que la doctrina y la jurisprudencia han resaltado las diferencias entre los </w:t>
      </w:r>
      <w:proofErr w:type="gramStart"/>
      <w:r w:rsidRPr="003A6D48">
        <w:rPr>
          <w:rFonts w:ascii="Verdana" w:eastAsia="Calibri" w:hAnsi="Verdana" w:cs="Arial"/>
          <w:bCs/>
          <w:color w:val="000000" w:themeColor="text1"/>
          <w:lang w:eastAsia="es-ES_tradnl" w:bidi="es-ES"/>
        </w:rPr>
        <w:t>contratos interadministrativos y los convenios interadministrativos</w:t>
      </w:r>
      <w:proofErr w:type="gramEnd"/>
      <w:r w:rsidRPr="003A6D48">
        <w:rPr>
          <w:rFonts w:ascii="Verdana" w:eastAsia="Calibri" w:hAnsi="Verdana" w:cs="Arial"/>
          <w:bCs/>
          <w:color w:val="000000" w:themeColor="text1"/>
          <w:lang w:eastAsia="es-ES_tradnl" w:bidi="es-ES"/>
        </w:rPr>
        <w:t xml:space="preserve"> de que trata el artículo 95 de la Ley 489 de 1998.  Al respecto, la Sala de Consulta y Servicio Civil del Consejo de Estado expresó lo siguiente: </w:t>
      </w:r>
    </w:p>
    <w:p w14:paraId="5C26E0C3" w14:textId="77777777" w:rsidR="0011067D" w:rsidRPr="003A6D48" w:rsidRDefault="0011067D" w:rsidP="0011067D">
      <w:pPr>
        <w:spacing w:line="276" w:lineRule="auto"/>
        <w:ind w:firstLine="708"/>
        <w:contextualSpacing/>
        <w:jc w:val="both"/>
        <w:rPr>
          <w:rFonts w:ascii="Verdana" w:eastAsia="Calibri" w:hAnsi="Verdana" w:cs="Arial"/>
          <w:bCs/>
          <w:color w:val="000000" w:themeColor="text1"/>
          <w:lang w:eastAsia="es-ES_tradnl" w:bidi="es-ES"/>
        </w:rPr>
      </w:pPr>
    </w:p>
    <w:p w14:paraId="5A89827D" w14:textId="77777777" w:rsidR="0011067D" w:rsidRPr="003A6D48" w:rsidRDefault="0011067D" w:rsidP="0011067D">
      <w:pPr>
        <w:spacing w:after="0" w:line="240" w:lineRule="auto"/>
        <w:ind w:left="709" w:right="709"/>
        <w:contextualSpacing/>
        <w:jc w:val="both"/>
        <w:rPr>
          <w:rFonts w:ascii="Verdana" w:eastAsia="Calibri" w:hAnsi="Verdana" w:cs="Arial"/>
          <w:bCs/>
          <w:color w:val="000000" w:themeColor="text1"/>
          <w:sz w:val="21"/>
          <w:szCs w:val="21"/>
          <w:lang w:eastAsia="es-ES_tradnl" w:bidi="es-ES"/>
        </w:rPr>
      </w:pPr>
      <w:r w:rsidRPr="003A6D48">
        <w:rPr>
          <w:rFonts w:ascii="Verdana" w:eastAsia="Calibri" w:hAnsi="Verdana" w:cs="Arial"/>
          <w:bCs/>
          <w:color w:val="000000" w:themeColor="text1"/>
          <w:sz w:val="21"/>
          <w:szCs w:val="21"/>
          <w:lang w:eastAsia="es-ES_tradnl" w:bidi="es-ES"/>
        </w:rPr>
        <w:t>“</w:t>
      </w:r>
      <w:r w:rsidRPr="003A6D48">
        <w:rPr>
          <w:rFonts w:ascii="Verdana" w:eastAsia="Calibri" w:hAnsi="Verdana" w:cs="Arial"/>
          <w:color w:val="000000" w:themeColor="text1"/>
          <w:sz w:val="20"/>
          <w:szCs w:val="20"/>
          <w:lang w:eastAsia="es-ES_tradnl" w:bidi="es-ES"/>
        </w:rPr>
        <w:t xml:space="preserve">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w:t>
      </w:r>
      <w:r w:rsidRPr="003A6D48">
        <w:rPr>
          <w:rFonts w:ascii="Verdana" w:eastAsia="Calibri" w:hAnsi="Verdana" w:cs="Arial"/>
          <w:color w:val="000000" w:themeColor="text1"/>
          <w:sz w:val="20"/>
          <w:szCs w:val="20"/>
          <w:lang w:eastAsia="es-ES_tradnl" w:bidi="es-ES"/>
        </w:rPr>
        <w:lastRenderedPageBreak/>
        <w:t>comunes para lograr una finalidad estatal impuesta por la Constitución o la ley a las mismas, sin que tengan un interés puramente económico (es decir, destinados a obtener una ganancia)”.</w:t>
      </w:r>
      <w:r w:rsidRPr="003A6D48">
        <w:rPr>
          <w:rFonts w:ascii="Verdana" w:eastAsia="Calibri" w:hAnsi="Verdana" w:cs="Arial"/>
          <w:bCs/>
          <w:color w:val="000000" w:themeColor="text1"/>
          <w:sz w:val="21"/>
          <w:szCs w:val="21"/>
          <w:vertAlign w:val="superscript"/>
          <w:lang w:val="es-ES_tradnl" w:eastAsia="es-ES_tradnl" w:bidi="es-ES"/>
        </w:rPr>
        <w:t xml:space="preserve"> </w:t>
      </w:r>
      <w:r w:rsidRPr="003A6D48">
        <w:rPr>
          <w:rFonts w:ascii="Verdana" w:eastAsia="Calibri" w:hAnsi="Verdana" w:cs="Arial"/>
          <w:bCs/>
          <w:color w:val="000000" w:themeColor="text1"/>
          <w:sz w:val="21"/>
          <w:szCs w:val="21"/>
          <w:vertAlign w:val="superscript"/>
          <w:lang w:val="es-ES_tradnl" w:eastAsia="es-ES_tradnl" w:bidi="es-ES"/>
        </w:rPr>
        <w:footnoteReference w:id="4"/>
      </w:r>
    </w:p>
    <w:p w14:paraId="685FD398" w14:textId="77777777" w:rsidR="0011067D" w:rsidRPr="003A6D48" w:rsidRDefault="0011067D" w:rsidP="0011067D">
      <w:pPr>
        <w:spacing w:line="276" w:lineRule="auto"/>
        <w:ind w:firstLine="708"/>
        <w:contextualSpacing/>
        <w:jc w:val="both"/>
        <w:rPr>
          <w:rFonts w:ascii="Verdana" w:eastAsia="Calibri" w:hAnsi="Verdana" w:cs="Arial"/>
          <w:bCs/>
          <w:color w:val="000000" w:themeColor="text1"/>
          <w:lang w:eastAsia="es-ES_tradnl" w:bidi="es-ES"/>
        </w:rPr>
      </w:pPr>
    </w:p>
    <w:p w14:paraId="3F45546C" w14:textId="77777777" w:rsidR="0011067D" w:rsidRPr="003A6D48" w:rsidRDefault="0011067D" w:rsidP="0011067D">
      <w:pPr>
        <w:spacing w:line="276" w:lineRule="auto"/>
        <w:ind w:firstLine="709"/>
        <w:contextualSpacing/>
        <w:jc w:val="both"/>
        <w:rPr>
          <w:rFonts w:ascii="Verdana" w:eastAsia="Calibri" w:hAnsi="Verdana" w:cs="Arial"/>
          <w:bCs/>
          <w:color w:val="000000" w:themeColor="text1"/>
          <w:lang w:eastAsia="es-ES_tradnl" w:bidi="es-ES"/>
        </w:rPr>
      </w:pPr>
      <w:r w:rsidRPr="003A6D48">
        <w:rPr>
          <w:rFonts w:ascii="Verdana" w:eastAsia="Calibri" w:hAnsi="Verdana" w:cs="Arial"/>
          <w:bCs/>
          <w:color w:val="000000" w:themeColor="text1"/>
          <w:lang w:eastAsia="es-ES_tradnl" w:bidi="es-ES"/>
        </w:rPr>
        <w:t>En línea con lo anterior, la Sala Contenciosa Administrativa del Consejo de Estado en sentencia del 14 de junio de 2019 también señaló:</w:t>
      </w:r>
    </w:p>
    <w:p w14:paraId="61C483C8" w14:textId="77777777" w:rsidR="0011067D" w:rsidRPr="003A6D48" w:rsidRDefault="0011067D" w:rsidP="0011067D">
      <w:pPr>
        <w:spacing w:line="276" w:lineRule="auto"/>
        <w:contextualSpacing/>
        <w:rPr>
          <w:rFonts w:ascii="Verdana" w:eastAsia="Calibri" w:hAnsi="Verdana" w:cs="Arial"/>
          <w:bCs/>
          <w:color w:val="000000" w:themeColor="text1"/>
          <w:lang w:eastAsia="es-ES_tradnl" w:bidi="es-ES"/>
        </w:rPr>
      </w:pPr>
    </w:p>
    <w:p w14:paraId="4B00739C" w14:textId="77777777" w:rsidR="0011067D" w:rsidRPr="003A6D48" w:rsidRDefault="0011067D" w:rsidP="0011067D">
      <w:pPr>
        <w:spacing w:after="0" w:line="240" w:lineRule="auto"/>
        <w:ind w:left="709" w:right="709"/>
        <w:contextualSpacing/>
        <w:jc w:val="both"/>
        <w:rPr>
          <w:rFonts w:ascii="Verdana" w:eastAsia="Calibri" w:hAnsi="Verdana" w:cs="Arial"/>
          <w:color w:val="000000" w:themeColor="text1"/>
          <w:sz w:val="20"/>
          <w:szCs w:val="20"/>
          <w:lang w:val="es-ES_tradnl" w:eastAsia="es-ES_tradnl" w:bidi="es-ES"/>
        </w:rPr>
      </w:pPr>
      <w:r w:rsidRPr="003A6D48">
        <w:rPr>
          <w:rFonts w:ascii="Verdana" w:eastAsia="Calibri" w:hAnsi="Verdana" w:cs="Arial"/>
          <w:color w:val="000000" w:themeColor="text1"/>
          <w:sz w:val="20"/>
          <w:szCs w:val="20"/>
          <w:lang w:val="es-ES_tradnl" w:eastAsia="es-ES_tradnl" w:bidi="es-ES"/>
        </w:rPr>
        <w:t>“La Sala de Consulta y Servicio Civil</w:t>
      </w:r>
      <w:r w:rsidRPr="003A6D48">
        <w:rPr>
          <w:rFonts w:ascii="Verdana" w:eastAsia="Calibri" w:hAnsi="Verdana" w:cs="Arial"/>
          <w:color w:val="000000" w:themeColor="text1"/>
          <w:sz w:val="20"/>
          <w:szCs w:val="20"/>
          <w:vertAlign w:val="superscript"/>
          <w:lang w:val="es-ES_tradnl" w:eastAsia="es-ES_tradnl" w:bidi="es-ES"/>
        </w:rPr>
        <w:footnoteReference w:id="5"/>
      </w:r>
      <w:r w:rsidRPr="003A6D48">
        <w:rPr>
          <w:rFonts w:ascii="Verdana" w:eastAsia="Calibri" w:hAnsi="Verdana" w:cs="Arial"/>
          <w:color w:val="000000" w:themeColor="text1"/>
          <w:sz w:val="20"/>
          <w:szCs w:val="20"/>
          <w:lang w:val="es-ES_tradnl" w:eastAsia="es-ES_tradnl" w:bidi="es-ES"/>
        </w:rPr>
        <w:t xml:space="preserve"> de esta Corporación se ha referido a los </w:t>
      </w:r>
      <w:r w:rsidRPr="003A6D48">
        <w:rPr>
          <w:rFonts w:ascii="Verdana" w:eastAsia="Calibri" w:hAnsi="Verdana" w:cs="Arial"/>
          <w:i/>
          <w:color w:val="000000" w:themeColor="text1"/>
          <w:sz w:val="20"/>
          <w:szCs w:val="20"/>
          <w:lang w:val="es-ES_tradnl" w:eastAsia="es-ES_tradnl" w:bidi="es-ES"/>
        </w:rPr>
        <w:t>“convenios interadministrativos”</w:t>
      </w:r>
      <w:r w:rsidRPr="003A6D48">
        <w:rPr>
          <w:rFonts w:ascii="Verdana" w:eastAsia="Calibri" w:hAnsi="Verdana" w:cs="Arial"/>
          <w:color w:val="000000" w:themeColor="text1"/>
          <w:sz w:val="20"/>
          <w:szCs w:val="20"/>
          <w:lang w:val="es-ES_tradnl" w:eastAsia="es-ES_tradnl" w:bidi="es-ES"/>
        </w:rPr>
        <w:t xml:space="preserve"> a los cuales alude el artículo 95 de la Ley 489 de 1998, calificándolos de </w:t>
      </w:r>
      <w:r w:rsidRPr="003A6D48">
        <w:rPr>
          <w:rFonts w:ascii="Verdana" w:eastAsia="Calibri" w:hAnsi="Verdana" w:cs="Arial"/>
          <w:i/>
          <w:color w:val="000000" w:themeColor="text1"/>
          <w:sz w:val="20"/>
          <w:szCs w:val="20"/>
          <w:lang w:val="es-ES_tradnl" w:eastAsia="es-ES_tradnl" w:bidi="es-ES"/>
        </w:rPr>
        <w:t xml:space="preserve">“puros” </w:t>
      </w:r>
      <w:r w:rsidRPr="003A6D48">
        <w:rPr>
          <w:rFonts w:ascii="Verdana" w:eastAsia="Calibri" w:hAnsi="Verdana" w:cs="Arial"/>
          <w:color w:val="000000" w:themeColor="text1"/>
          <w:sz w:val="20"/>
          <w:szCs w:val="20"/>
          <w:lang w:val="es-ES_tradnl" w:eastAsia="es-ES_tradnl" w:bidi="es-ES"/>
        </w:rPr>
        <w:t xml:space="preserve">y entendiendo que estos, además de perseguir la finalidad de cooperación antes indicada, no implican intereses contrapuestos ni tampoco se circunscriben a un </w:t>
      </w:r>
      <w:r w:rsidRPr="003A6D48">
        <w:rPr>
          <w:rFonts w:ascii="Verdana" w:eastAsia="Calibri" w:hAnsi="Verdana" w:cs="Arial"/>
          <w:i/>
          <w:color w:val="000000" w:themeColor="text1"/>
          <w:sz w:val="20"/>
          <w:szCs w:val="20"/>
          <w:lang w:val="es-ES_tradnl" w:eastAsia="es-ES_tradnl" w:bidi="es-ES"/>
        </w:rPr>
        <w:t>“intercambio patrimonial”</w:t>
      </w:r>
      <w:r w:rsidRPr="003A6D48">
        <w:rPr>
          <w:rFonts w:ascii="Verdana" w:eastAsia="Calibri" w:hAnsi="Verdana" w:cs="Arial"/>
          <w:color w:val="000000" w:themeColor="text1"/>
          <w:sz w:val="20"/>
          <w:szCs w:val="20"/>
          <w:lang w:val="es-ES_tradnl" w:eastAsia="es-ES_tradnl" w:bidi="es-ES"/>
        </w:rPr>
        <w:t>. Sin perjuicio de lo anterior, en otra oportunidad, la misma Sala</w:t>
      </w:r>
      <w:r w:rsidRPr="003A6D48">
        <w:rPr>
          <w:rFonts w:ascii="Verdana" w:eastAsia="Calibri" w:hAnsi="Verdana" w:cs="Arial"/>
          <w:color w:val="000000" w:themeColor="text1"/>
          <w:sz w:val="20"/>
          <w:szCs w:val="20"/>
          <w:vertAlign w:val="superscript"/>
          <w:lang w:val="es-ES_tradnl" w:eastAsia="es-ES_tradnl" w:bidi="es-ES"/>
        </w:rPr>
        <w:footnoteReference w:id="6"/>
      </w:r>
      <w:r w:rsidRPr="003A6D48">
        <w:rPr>
          <w:rFonts w:ascii="Verdana" w:eastAsia="Calibri" w:hAnsi="Verdana" w:cs="Arial"/>
          <w:color w:val="000000" w:themeColor="text1"/>
          <w:sz w:val="20"/>
          <w:szCs w:val="20"/>
          <w:lang w:val="es-ES_tradnl" w:eastAsia="es-ES_tradnl" w:bidi="es-ES"/>
        </w:rPr>
        <w:t xml:space="preserve"> había indicado que, si bien en dichos convenios no se daba un </w:t>
      </w:r>
      <w:r w:rsidRPr="003A6D48">
        <w:rPr>
          <w:rFonts w:ascii="Verdana" w:eastAsia="Calibri" w:hAnsi="Verdana" w:cs="Arial"/>
          <w:i/>
          <w:color w:val="000000" w:themeColor="text1"/>
          <w:sz w:val="20"/>
          <w:szCs w:val="20"/>
          <w:lang w:val="es-ES_tradnl" w:eastAsia="es-ES_tradnl" w:bidi="es-ES"/>
        </w:rPr>
        <w:t>“verdadero intercambio de bienes o servicios (contrato conmutativo)”</w:t>
      </w:r>
      <w:r w:rsidRPr="003A6D48">
        <w:rPr>
          <w:rFonts w:ascii="Verdana" w:eastAsia="Calibri" w:hAnsi="Verdana" w:cs="Arial"/>
          <w:color w:val="000000" w:themeColor="text1"/>
          <w:sz w:val="20"/>
          <w:szCs w:val="20"/>
          <w:lang w:val="es-ES_tradnl" w:eastAsia="es-ES_tradnl" w:bidi="es-ES"/>
        </w:rPr>
        <w:t>, ello no impedía que se conviniera una remuneración a cargo de alguna(s) entidad(es).</w:t>
      </w:r>
    </w:p>
    <w:p w14:paraId="6B600D59" w14:textId="77777777" w:rsidR="0011067D" w:rsidRPr="003A6D48" w:rsidRDefault="0011067D" w:rsidP="0011067D">
      <w:pPr>
        <w:spacing w:after="0" w:line="240" w:lineRule="auto"/>
        <w:ind w:left="709" w:right="709"/>
        <w:contextualSpacing/>
        <w:jc w:val="both"/>
        <w:rPr>
          <w:rFonts w:ascii="Verdana" w:eastAsia="Calibri" w:hAnsi="Verdana" w:cs="Arial"/>
          <w:bCs/>
          <w:color w:val="000000" w:themeColor="text1"/>
          <w:sz w:val="20"/>
          <w:szCs w:val="20"/>
          <w:lang w:val="es-ES_tradnl" w:eastAsia="es-ES_tradnl" w:bidi="es-ES"/>
        </w:rPr>
      </w:pPr>
    </w:p>
    <w:p w14:paraId="5EECFBD4" w14:textId="77777777" w:rsidR="0011067D" w:rsidRPr="003A6D48" w:rsidRDefault="0011067D" w:rsidP="0011067D">
      <w:pPr>
        <w:spacing w:after="0" w:line="240" w:lineRule="auto"/>
        <w:ind w:left="709" w:right="709"/>
        <w:contextualSpacing/>
        <w:jc w:val="both"/>
        <w:rPr>
          <w:rFonts w:ascii="Verdana" w:eastAsia="Calibri" w:hAnsi="Verdana" w:cs="Arial"/>
          <w:color w:val="000000" w:themeColor="text1"/>
          <w:sz w:val="20"/>
          <w:szCs w:val="20"/>
          <w:lang w:val="es-ES_tradnl" w:eastAsia="es-ES_tradnl" w:bidi="es-ES"/>
        </w:rPr>
      </w:pPr>
      <w:r w:rsidRPr="003A6D48">
        <w:rPr>
          <w:rFonts w:ascii="Verdana" w:eastAsia="Calibri" w:hAnsi="Verdana" w:cs="Arial"/>
          <w:color w:val="000000" w:themeColor="text1"/>
          <w:sz w:val="20"/>
          <w:szCs w:val="20"/>
          <w:lang w:val="es-ES_tradnl" w:eastAsia="es-ES_tradnl" w:bidi="es-ES"/>
        </w:rPr>
        <w:t xml:space="preserve">Lo expuesto evidencia que, en general, las interpretaciones en torno a los </w:t>
      </w:r>
      <w:r w:rsidRPr="003A6D48">
        <w:rPr>
          <w:rFonts w:ascii="Verdana" w:eastAsia="Calibri" w:hAnsi="Verdana" w:cs="Arial"/>
          <w:i/>
          <w:color w:val="000000" w:themeColor="text1"/>
          <w:sz w:val="20"/>
          <w:szCs w:val="20"/>
          <w:lang w:val="es-ES_tradnl" w:eastAsia="es-ES_tradnl" w:bidi="es-ES"/>
        </w:rPr>
        <w:t>“convenios interadministrativos”</w:t>
      </w:r>
      <w:r w:rsidRPr="003A6D48">
        <w:rPr>
          <w:rFonts w:ascii="Verdana" w:eastAsia="Calibri" w:hAnsi="Verdana" w:cs="Arial"/>
          <w:color w:val="000000" w:themeColor="text1"/>
          <w:sz w:val="20"/>
          <w:szCs w:val="20"/>
          <w:lang w:val="es-ES_tradnl" w:eastAsia="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3A6D48">
        <w:rPr>
          <w:rFonts w:ascii="Verdana" w:eastAsia="Calibri" w:hAnsi="Verdana" w:cs="Arial"/>
          <w:color w:val="000000" w:themeColor="text1"/>
          <w:sz w:val="20"/>
          <w:szCs w:val="20"/>
          <w:vertAlign w:val="superscript"/>
          <w:lang w:val="es-ES_tradnl" w:eastAsia="es-ES_tradnl" w:bidi="es-ES"/>
        </w:rPr>
        <w:footnoteReference w:id="7"/>
      </w:r>
      <w:r w:rsidRPr="003A6D48">
        <w:rPr>
          <w:rFonts w:ascii="Verdana" w:eastAsia="Calibri" w:hAnsi="Verdana" w:cs="Arial"/>
          <w:color w:val="000000" w:themeColor="text1"/>
          <w:sz w:val="20"/>
          <w:szCs w:val="20"/>
          <w:lang w:val="es-ES_tradnl" w:eastAsia="es-ES_tradnl" w:bidi="es-ES"/>
        </w:rPr>
        <w:t>.</w:t>
      </w:r>
      <w:r w:rsidRPr="003A6D48">
        <w:rPr>
          <w:rFonts w:ascii="Verdana" w:eastAsia="Calibri" w:hAnsi="Verdana" w:cs="Arial"/>
          <w:color w:val="000000" w:themeColor="text1"/>
          <w:sz w:val="20"/>
          <w:szCs w:val="20"/>
          <w:vertAlign w:val="superscript"/>
          <w:lang w:eastAsia="es-ES_tradnl" w:bidi="es-ES"/>
        </w:rPr>
        <w:footnoteReference w:id="8"/>
      </w:r>
      <w:r w:rsidRPr="003A6D48">
        <w:rPr>
          <w:rFonts w:ascii="Verdana" w:eastAsia="Calibri" w:hAnsi="Verdana" w:cs="Arial"/>
          <w:color w:val="000000" w:themeColor="text1"/>
          <w:sz w:val="20"/>
          <w:szCs w:val="20"/>
          <w:lang w:val="es-ES_tradnl" w:eastAsia="es-ES_tradnl" w:bidi="es-ES"/>
        </w:rPr>
        <w:t xml:space="preserve"> </w:t>
      </w:r>
    </w:p>
    <w:p w14:paraId="4485CE74" w14:textId="77777777" w:rsidR="0011067D" w:rsidRPr="003A6D48" w:rsidRDefault="0011067D" w:rsidP="0011067D">
      <w:pPr>
        <w:spacing w:after="0" w:line="240" w:lineRule="auto"/>
        <w:ind w:left="709" w:right="709"/>
        <w:contextualSpacing/>
        <w:jc w:val="both"/>
        <w:rPr>
          <w:rFonts w:ascii="Verdana" w:eastAsia="Calibri" w:hAnsi="Verdana" w:cs="Arial"/>
          <w:bCs/>
          <w:color w:val="000000" w:themeColor="text1"/>
          <w:sz w:val="20"/>
          <w:szCs w:val="20"/>
          <w:lang w:val="es-ES_tradnl" w:eastAsia="es-ES_tradnl" w:bidi="es-ES"/>
        </w:rPr>
      </w:pPr>
    </w:p>
    <w:p w14:paraId="5C4E1B32" w14:textId="77777777" w:rsidR="0011067D" w:rsidRPr="003A6D48" w:rsidRDefault="0011067D" w:rsidP="0011067D">
      <w:pPr>
        <w:spacing w:before="120" w:after="0" w:line="276" w:lineRule="auto"/>
        <w:ind w:firstLine="709"/>
        <w:jc w:val="both"/>
        <w:rPr>
          <w:rFonts w:ascii="Verdana" w:eastAsia="Calibri" w:hAnsi="Verdana" w:cs="Arial"/>
          <w:bCs/>
          <w:color w:val="000000" w:themeColor="text1"/>
          <w:lang w:eastAsia="es-ES_tradnl" w:bidi="es-ES"/>
        </w:rPr>
      </w:pPr>
      <w:r w:rsidRPr="003A6D48">
        <w:rPr>
          <w:rFonts w:ascii="Verdana" w:eastAsia="Calibri" w:hAnsi="Verdana" w:cs="Arial"/>
          <w:bCs/>
          <w:color w:val="000000" w:themeColor="text1"/>
          <w:lang w:eastAsia="es-ES_tradnl" w:bidi="es-ES"/>
        </w:rPr>
        <w:t xml:space="preserve">La referida corporación judicial resaltó la finalidad del acuerdo de voluntades como un factor de diferenciación entre las dos figuras. Si bien estas tienen un tronco común, se diferencian en la medida en que los </w:t>
      </w:r>
      <w:r w:rsidRPr="003A6D48">
        <w:rPr>
          <w:rFonts w:ascii="Verdana" w:eastAsia="Calibri" w:hAnsi="Verdana" w:cs="Arial"/>
          <w:bCs/>
          <w:i/>
          <w:iCs/>
          <w:color w:val="000000" w:themeColor="text1"/>
          <w:lang w:eastAsia="es-ES_tradnl" w:bidi="es-ES"/>
        </w:rPr>
        <w:t>contratos interadministrativos</w:t>
      </w:r>
      <w:r w:rsidRPr="003A6D48">
        <w:rPr>
          <w:rFonts w:ascii="Verdana" w:eastAsia="Calibri" w:hAnsi="Verdana" w:cs="Arial"/>
          <w:bCs/>
          <w:color w:val="000000" w:themeColor="text1"/>
          <w:lang w:eastAsia="es-ES_tradnl" w:bidi="es-ES"/>
        </w:rPr>
        <w:t xml:space="preserve"> comportan obligaciones de contenido patrimonial que se traducen en intereses contrapuestos entre las partes, pues implican un gravamen a cambio de un beneficio en una relación de carácter conmutativo. En contraste, los </w:t>
      </w:r>
      <w:r w:rsidRPr="003A6D48">
        <w:rPr>
          <w:rFonts w:ascii="Verdana" w:eastAsia="Calibri" w:hAnsi="Verdana" w:cs="Arial"/>
          <w:bCs/>
          <w:i/>
          <w:iCs/>
          <w:color w:val="000000" w:themeColor="text1"/>
          <w:lang w:eastAsia="es-ES_tradnl" w:bidi="es-ES"/>
        </w:rPr>
        <w:t>convenios interadministrativos</w:t>
      </w:r>
      <w:r w:rsidRPr="003A6D48">
        <w:rPr>
          <w:rFonts w:ascii="Verdana" w:eastAsia="Calibri" w:hAnsi="Verdana" w:cs="Arial"/>
          <w:bCs/>
          <w:color w:val="000000" w:themeColor="text1"/>
          <w:lang w:eastAsia="es-ES_tradnl" w:bidi="es-ES"/>
        </w:rPr>
        <w:t xml:space="preserve"> involucran la ejecución de actividades en función de un interés común para las partes; si bien es posible pactar remuneración</w:t>
      </w:r>
      <w:r w:rsidRPr="003A6D48">
        <w:rPr>
          <w:rFonts w:ascii="Verdana" w:eastAsia="Calibri" w:hAnsi="Verdana" w:cs="Arial"/>
          <w:bCs/>
          <w:color w:val="000000" w:themeColor="text1"/>
          <w:vertAlign w:val="superscript"/>
          <w:lang w:eastAsia="es-ES_tradnl" w:bidi="es-ES"/>
        </w:rPr>
        <w:footnoteReference w:id="9"/>
      </w:r>
      <w:r w:rsidRPr="003A6D48">
        <w:rPr>
          <w:rFonts w:ascii="Verdana" w:eastAsia="Calibri" w:hAnsi="Verdana" w:cs="Arial"/>
          <w:bCs/>
          <w:color w:val="000000" w:themeColor="text1"/>
          <w:lang w:eastAsia="es-ES_tradnl" w:bidi="es-ES"/>
        </w:rPr>
        <w:t xml:space="preserve">, con esta se pretende el cumplimiento de fines comunes entre quienes lo ejecutan. </w:t>
      </w:r>
    </w:p>
    <w:p w14:paraId="3B762BF3" w14:textId="77777777" w:rsidR="0011067D" w:rsidRPr="003A6D48" w:rsidRDefault="0011067D" w:rsidP="0011067D">
      <w:pPr>
        <w:spacing w:before="120" w:after="120" w:line="276" w:lineRule="auto"/>
        <w:ind w:firstLine="709"/>
        <w:jc w:val="both"/>
        <w:rPr>
          <w:rFonts w:ascii="Verdana" w:eastAsia="Calibri" w:hAnsi="Verdana" w:cs="Arial"/>
          <w:bCs/>
          <w:color w:val="000000" w:themeColor="text1"/>
          <w:lang w:eastAsia="es-ES_tradnl" w:bidi="es-ES"/>
        </w:rPr>
      </w:pPr>
      <w:r w:rsidRPr="003A6D48">
        <w:rPr>
          <w:rFonts w:ascii="Verdana" w:eastAsia="Calibri" w:hAnsi="Verdana" w:cs="Arial"/>
          <w:bCs/>
          <w:color w:val="000000" w:themeColor="text1"/>
          <w:lang w:eastAsia="es-ES_tradnl" w:bidi="es-ES"/>
        </w:rPr>
        <w:t xml:space="preserve">En esa línea, una interpretación sistemática de las Leyes 80 de 1993, 1150 de 2007 y 1474 de 2011 permite considerar el </w:t>
      </w:r>
      <w:r w:rsidRPr="003A6D48">
        <w:rPr>
          <w:rFonts w:ascii="Verdana" w:eastAsia="Calibri" w:hAnsi="Verdana" w:cs="Arial"/>
          <w:bCs/>
          <w:i/>
          <w:iCs/>
          <w:color w:val="000000" w:themeColor="text1"/>
          <w:lang w:eastAsia="es-ES_tradnl" w:bidi="es-ES"/>
        </w:rPr>
        <w:t>contrato interadministrativo</w:t>
      </w:r>
      <w:r w:rsidRPr="003A6D48">
        <w:rPr>
          <w:rFonts w:ascii="Verdana" w:eastAsia="Calibri" w:hAnsi="Verdana" w:cs="Arial"/>
          <w:bCs/>
          <w:color w:val="000000" w:themeColor="text1"/>
          <w:lang w:eastAsia="es-ES_tradnl" w:bidi="es-ES"/>
        </w:rPr>
        <w:t xml:space="preserve"> como una relación jurídica patrimonial, onerosa y conmutativa, cuya naturaleza y esencia es distinta a la de los convenios interadministrativos. De esta forma, el </w:t>
      </w:r>
      <w:r w:rsidRPr="003A6D48">
        <w:rPr>
          <w:rFonts w:ascii="Verdana" w:eastAsia="Calibri" w:hAnsi="Verdana" w:cs="Arial"/>
          <w:bCs/>
          <w:i/>
          <w:iCs/>
          <w:color w:val="000000" w:themeColor="text1"/>
          <w:lang w:eastAsia="es-ES_tradnl" w:bidi="es-ES"/>
        </w:rPr>
        <w:t>convenio interadministrativo</w:t>
      </w:r>
      <w:r w:rsidRPr="003A6D48">
        <w:rPr>
          <w:rFonts w:ascii="Verdana" w:eastAsia="Calibri" w:hAnsi="Verdana" w:cs="Arial"/>
          <w:bCs/>
          <w:color w:val="000000" w:themeColor="text1"/>
          <w:lang w:eastAsia="es-ES_tradnl" w:bidi="es-ES"/>
        </w:rPr>
        <w:t xml:space="preserve"> es un negocio jurídico entre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Por su parte, el </w:t>
      </w:r>
      <w:r w:rsidRPr="003A6D48">
        <w:rPr>
          <w:rFonts w:ascii="Verdana" w:eastAsia="Calibri" w:hAnsi="Verdana" w:cs="Arial"/>
          <w:bCs/>
          <w:i/>
          <w:iCs/>
          <w:color w:val="000000" w:themeColor="text1"/>
          <w:lang w:eastAsia="es-ES_tradnl" w:bidi="es-ES"/>
        </w:rPr>
        <w:t>contrato interadministrativo</w:t>
      </w:r>
      <w:r w:rsidRPr="003A6D48">
        <w:rPr>
          <w:rFonts w:ascii="Verdana" w:eastAsia="Calibri" w:hAnsi="Verdana" w:cs="Arial"/>
          <w:bCs/>
          <w:color w:val="000000" w:themeColor="text1"/>
          <w:lang w:eastAsia="es-ES_tradnl" w:bidi="es-ES"/>
        </w:rPr>
        <w:t xml:space="preserve">, aunque también es celebrado entre entidades públicas, es un negocio jurídico generador de obligaciones al cual las partes acuden con intereses divergentes, y en el que existe una contraprestación directa a favor de la entidad contratista que ha entregado el bien, prestado el servicio o realizado la obra a favor de la entidad contratante. </w:t>
      </w:r>
    </w:p>
    <w:p w14:paraId="3F80DA80" w14:textId="77777777" w:rsidR="0011067D" w:rsidRPr="003A6D48" w:rsidRDefault="0011067D" w:rsidP="0011067D">
      <w:pPr>
        <w:spacing w:line="276" w:lineRule="auto"/>
        <w:ind w:firstLine="709"/>
        <w:contextualSpacing/>
        <w:jc w:val="both"/>
        <w:rPr>
          <w:rFonts w:ascii="Verdana" w:eastAsia="Calibri" w:hAnsi="Verdana" w:cs="Arial"/>
          <w:color w:val="000000" w:themeColor="text1"/>
        </w:rPr>
      </w:pPr>
      <w:r w:rsidRPr="003A6D48">
        <w:rPr>
          <w:rFonts w:ascii="Verdana" w:eastAsia="Calibri" w:hAnsi="Verdana" w:cs="Arial"/>
          <w:bCs/>
          <w:color w:val="000000" w:themeColor="text1"/>
          <w:lang w:eastAsia="es-ES_tradnl" w:bidi="es-ES"/>
        </w:rPr>
        <w:t xml:space="preserve">Aclarado lo anterior, en </w:t>
      </w:r>
      <w:r w:rsidRPr="003A6D48">
        <w:rPr>
          <w:rFonts w:ascii="Verdana" w:eastAsia="Calibri" w:hAnsi="Verdana" w:cs="Arial"/>
          <w:color w:val="000000" w:themeColor="text1"/>
        </w:rPr>
        <w:t xml:space="preserve">relación con la modalidad de selección, la Ley 1150 de 2007 establece que las entidades estatales pueden suscribir contratos interadministrativos de manera directa, siempre que las obligaciones derivadas de los mismos tengan relación con el objeto de la entidad ejecutora. Al respecto, </w:t>
      </w:r>
      <w:r w:rsidRPr="003A6D48">
        <w:rPr>
          <w:rFonts w:ascii="Verdana" w:eastAsia="Calibri" w:hAnsi="Verdana" w:cs="Arial"/>
          <w:color w:val="000000" w:themeColor="text1"/>
        </w:rPr>
        <w:lastRenderedPageBreak/>
        <w:t>el literal c) del numeral 4 del artículo 2 de la mencionada ley, modificado por el artículo 92 de la Ley 1474 de 2011, estableció lo siguiente:</w:t>
      </w:r>
    </w:p>
    <w:p w14:paraId="4D4B3671" w14:textId="77777777" w:rsidR="0011067D" w:rsidRPr="003A6D48" w:rsidRDefault="0011067D" w:rsidP="0011067D">
      <w:pPr>
        <w:spacing w:line="276" w:lineRule="auto"/>
        <w:ind w:firstLine="709"/>
        <w:contextualSpacing/>
        <w:jc w:val="both"/>
        <w:rPr>
          <w:rFonts w:ascii="Verdana" w:eastAsia="Calibri" w:hAnsi="Verdana" w:cs="Arial"/>
          <w:color w:val="000000" w:themeColor="text1"/>
        </w:rPr>
      </w:pPr>
    </w:p>
    <w:p w14:paraId="59747400" w14:textId="77777777" w:rsidR="0011067D" w:rsidRPr="003A6D48" w:rsidRDefault="0011067D" w:rsidP="0011067D">
      <w:pPr>
        <w:spacing w:after="0"/>
        <w:ind w:left="709" w:right="709"/>
        <w:contextualSpacing/>
        <w:jc w:val="both"/>
        <w:rPr>
          <w:rFonts w:ascii="Verdana" w:eastAsia="Times New Roman" w:hAnsi="Verdana" w:cs="Arial"/>
          <w:sz w:val="20"/>
          <w:szCs w:val="20"/>
        </w:rPr>
      </w:pPr>
      <w:r w:rsidRPr="003A6D48">
        <w:rPr>
          <w:rFonts w:ascii="Verdana" w:hAnsi="Verdana" w:cs="Arial"/>
          <w:sz w:val="20"/>
          <w:szCs w:val="20"/>
        </w:rPr>
        <w:t xml:space="preserve">“Artículo 92. Contratos interadministrativos. Modificase el inciso primero del literal c) del numeral 4 del artículo </w:t>
      </w:r>
      <w:hyperlink r:id="rId13" w:anchor="2" w:history="1">
        <w:r w:rsidRPr="003A6D48">
          <w:rPr>
            <w:rFonts w:ascii="Verdana" w:eastAsiaTheme="majorEastAsia" w:hAnsi="Verdana" w:cs="Arial"/>
            <w:color w:val="0563C1" w:themeColor="hyperlink"/>
            <w:sz w:val="24"/>
            <w:szCs w:val="24"/>
            <w:u w:val="single"/>
          </w:rPr>
          <w:t>2</w:t>
        </w:r>
      </w:hyperlink>
      <w:r w:rsidRPr="003A6D48">
        <w:rPr>
          <w:rFonts w:ascii="Verdana" w:hAnsi="Verdana" w:cs="Arial"/>
          <w:sz w:val="20"/>
          <w:szCs w:val="20"/>
        </w:rPr>
        <w:t>o de la Ley 1150 de 2007, el cual quedará así:</w:t>
      </w:r>
    </w:p>
    <w:p w14:paraId="639313DE" w14:textId="77777777" w:rsidR="0011067D" w:rsidRPr="003A6D48" w:rsidRDefault="0011067D" w:rsidP="0011067D">
      <w:pPr>
        <w:spacing w:after="0"/>
        <w:ind w:left="709" w:right="709"/>
        <w:contextualSpacing/>
        <w:jc w:val="both"/>
        <w:rPr>
          <w:rFonts w:ascii="Verdana" w:hAnsi="Verdana" w:cs="Arial"/>
          <w:sz w:val="20"/>
          <w:szCs w:val="20"/>
        </w:rPr>
      </w:pPr>
    </w:p>
    <w:p w14:paraId="1C6E0CC2" w14:textId="77777777" w:rsidR="0011067D" w:rsidRPr="003A6D48" w:rsidRDefault="0011067D" w:rsidP="0011067D">
      <w:pPr>
        <w:spacing w:after="0"/>
        <w:ind w:left="709" w:right="709"/>
        <w:contextualSpacing/>
        <w:jc w:val="both"/>
        <w:rPr>
          <w:rFonts w:ascii="Verdana" w:hAnsi="Verdana" w:cs="Arial"/>
          <w:sz w:val="20"/>
          <w:szCs w:val="20"/>
        </w:rPr>
      </w:pPr>
      <w:r w:rsidRPr="003A6D48">
        <w:rPr>
          <w:rFonts w:ascii="Verdana" w:hAnsi="Verdana" w:cs="Arial"/>
          <w:sz w:val="20"/>
          <w:szCs w:val="20"/>
        </w:rPr>
        <w:t>c) Contratos interadministrativos, siempre que las obligaciones derivadas del mismo tengan relación directa con el objeto de la entidad ejecutora señalado en la ley o en sus reglamentos.</w:t>
      </w:r>
    </w:p>
    <w:p w14:paraId="44EC318A" w14:textId="77777777" w:rsidR="0011067D" w:rsidRPr="003A6D48" w:rsidRDefault="0011067D" w:rsidP="0011067D">
      <w:pPr>
        <w:spacing w:after="0"/>
        <w:ind w:left="709" w:right="709"/>
        <w:contextualSpacing/>
        <w:jc w:val="both"/>
        <w:rPr>
          <w:rFonts w:ascii="Verdana" w:hAnsi="Verdana" w:cs="Arial"/>
          <w:sz w:val="20"/>
          <w:szCs w:val="20"/>
        </w:rPr>
      </w:pPr>
    </w:p>
    <w:p w14:paraId="3435446A" w14:textId="77777777" w:rsidR="0011067D" w:rsidRPr="003A6D48" w:rsidRDefault="0011067D" w:rsidP="0011067D">
      <w:pPr>
        <w:spacing w:after="0"/>
        <w:ind w:left="709" w:right="709"/>
        <w:contextualSpacing/>
        <w:jc w:val="both"/>
        <w:rPr>
          <w:rFonts w:ascii="Verdana" w:hAnsi="Verdana" w:cs="Arial"/>
          <w:sz w:val="20"/>
          <w:szCs w:val="20"/>
        </w:rPr>
      </w:pPr>
      <w:r w:rsidRPr="003A6D48">
        <w:rPr>
          <w:rFonts w:ascii="Verdana" w:hAnsi="Verdana" w:cs="Arial"/>
          <w:sz w:val="20"/>
          <w:szCs w:val="20"/>
        </w:rPr>
        <w:t>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7A8E62B5" w14:textId="77777777" w:rsidR="0011067D" w:rsidRPr="003A6D48" w:rsidRDefault="0011067D" w:rsidP="0011067D">
      <w:pPr>
        <w:spacing w:after="0" w:line="276" w:lineRule="auto"/>
        <w:ind w:left="709" w:right="709"/>
        <w:contextualSpacing/>
        <w:jc w:val="both"/>
        <w:rPr>
          <w:rFonts w:ascii="Verdana" w:hAnsi="Verdana" w:cs="Arial"/>
        </w:rPr>
      </w:pPr>
    </w:p>
    <w:p w14:paraId="436DAF8B" w14:textId="77777777" w:rsidR="0011067D" w:rsidRPr="003A6D48" w:rsidRDefault="0011067D" w:rsidP="0011067D">
      <w:pPr>
        <w:spacing w:before="120" w:after="120" w:line="276" w:lineRule="auto"/>
        <w:ind w:firstLine="709"/>
        <w:jc w:val="both"/>
        <w:rPr>
          <w:rFonts w:ascii="Verdana" w:eastAsia="Calibri" w:hAnsi="Verdana" w:cs="Arial"/>
          <w:bCs/>
          <w:color w:val="000000" w:themeColor="text1"/>
          <w:lang w:eastAsia="es-ES_tradnl" w:bidi="es-ES"/>
        </w:rPr>
      </w:pPr>
      <w:r w:rsidRPr="003A6D48">
        <w:rPr>
          <w:rFonts w:ascii="Verdana" w:eastAsia="Calibri" w:hAnsi="Verdana" w:cs="Arial"/>
          <w:color w:val="000000" w:themeColor="text1"/>
          <w:lang w:val="es-ES_tradnl"/>
        </w:rPr>
        <w:t xml:space="preserve">Así, la suscripción de contratos interadministrativos mediante contratación directa tiene como requisito que las obligaciones del negocio jurídico tengan relación directa con el objeto de la entidad ejecutora, según lo establecido en la ley o en sus reglamentos. La condición impuesta por el legislador para la suscripción de estos contratos se establece a efectos de constatar que el ejecutor cuente con la capacidad jurídica para contraer las obligaciones establecidas en el contrato. Frente a las EICE, a las cuales se refiere en su consulta, esto implica que cuenten con la capacidad jurídica para ejecutar lo pactado en el </w:t>
      </w:r>
      <w:r w:rsidRPr="003A6D48">
        <w:rPr>
          <w:rFonts w:ascii="Verdana" w:eastAsia="Calibri" w:hAnsi="Verdana" w:cs="Arial"/>
          <w:bCs/>
          <w:color w:val="000000" w:themeColor="text1"/>
          <w:lang w:eastAsia="es-ES_tradnl" w:bidi="es-ES"/>
        </w:rPr>
        <w:t xml:space="preserve">contrato interadministrativo, de manera que su objeto social les permita la ejecución de las actividades acordadas. </w:t>
      </w:r>
    </w:p>
    <w:p w14:paraId="61F42FA6" w14:textId="77777777" w:rsidR="0011067D" w:rsidRPr="003A6D48" w:rsidRDefault="0011067D" w:rsidP="0011067D">
      <w:pPr>
        <w:spacing w:before="120" w:after="120" w:line="276" w:lineRule="auto"/>
        <w:ind w:firstLine="709"/>
        <w:jc w:val="both"/>
        <w:rPr>
          <w:rFonts w:ascii="Verdana" w:eastAsia="Calibri" w:hAnsi="Verdana" w:cs="Arial"/>
          <w:color w:val="000000" w:themeColor="text1"/>
          <w:lang w:val="es-ES_tradnl"/>
        </w:rPr>
      </w:pPr>
      <w:r w:rsidRPr="003A6D48">
        <w:rPr>
          <w:rFonts w:ascii="Verdana" w:eastAsia="Calibri" w:hAnsi="Verdana" w:cs="Arial"/>
          <w:bCs/>
          <w:color w:val="000000" w:themeColor="text1"/>
          <w:lang w:eastAsia="es-ES_tradnl" w:bidi="es-ES"/>
        </w:rPr>
        <w:t>Al respecto, en pronunciamiento de la Sala de Consulta y Servicio Civil del Consejo de Estado se señaló</w:t>
      </w:r>
      <w:r w:rsidRPr="003A6D48">
        <w:rPr>
          <w:rFonts w:ascii="Verdana" w:eastAsia="Arial" w:hAnsi="Verdana" w:cs="Arial"/>
        </w:rPr>
        <w:t xml:space="preserve"> que:</w:t>
      </w:r>
    </w:p>
    <w:p w14:paraId="6FD4F06F" w14:textId="77777777" w:rsidR="0011067D" w:rsidRPr="003A6D48" w:rsidRDefault="0011067D" w:rsidP="0011067D">
      <w:pPr>
        <w:spacing w:line="240" w:lineRule="auto"/>
        <w:ind w:firstLine="720"/>
        <w:contextualSpacing/>
        <w:jc w:val="both"/>
        <w:rPr>
          <w:rFonts w:ascii="Verdana" w:eastAsia="Arial" w:hAnsi="Verdana" w:cs="Arial"/>
        </w:rPr>
      </w:pPr>
    </w:p>
    <w:p w14:paraId="5718B933" w14:textId="77777777" w:rsidR="0011067D" w:rsidRPr="003A6D48" w:rsidRDefault="0011067D" w:rsidP="0011067D">
      <w:pPr>
        <w:spacing w:after="0" w:line="240" w:lineRule="auto"/>
        <w:ind w:left="709" w:right="709"/>
        <w:contextualSpacing/>
        <w:jc w:val="both"/>
        <w:rPr>
          <w:rFonts w:ascii="Verdana" w:eastAsia="Calibri" w:hAnsi="Verdana" w:cs="Arial"/>
          <w:sz w:val="20"/>
          <w:szCs w:val="20"/>
          <w:lang w:val="es-ES_tradnl"/>
        </w:rPr>
      </w:pPr>
      <w:r w:rsidRPr="003A6D48">
        <w:rPr>
          <w:rFonts w:ascii="Verdana" w:eastAsia="Calibri" w:hAnsi="Verdana" w:cs="Arial"/>
          <w:color w:val="000000"/>
          <w:sz w:val="20"/>
          <w:szCs w:val="20"/>
        </w:rPr>
        <w:t>“</w:t>
      </w:r>
      <w:r w:rsidRPr="003A6D48">
        <w:rPr>
          <w:rFonts w:ascii="Verdana" w:eastAsia="Arial" w:hAnsi="Verdana" w:cs="Arial"/>
          <w:sz w:val="20"/>
          <w:szCs w:val="20"/>
        </w:rPr>
        <w:t xml:space="preserve">Esta exigencia significa que la entidad estatal ejecutora (contratista) posee la capacidad jurídica y financiera, el soporte técnico y operativo y la experiencia acreditada para ejecutar ella misma el objeto contractual, </w:t>
      </w:r>
      <w:r w:rsidRPr="003A6D48">
        <w:rPr>
          <w:rFonts w:ascii="Verdana" w:eastAsia="Arial" w:hAnsi="Verdana" w:cs="Arial"/>
          <w:sz w:val="20"/>
          <w:szCs w:val="20"/>
        </w:rPr>
        <w:lastRenderedPageBreak/>
        <w:t>por lo que todo tipo de “intermediación” en la materia se encuentra proscrito por la ley; además, se trata de un requisito general para poderse obligar válidamente (artículo 1502 C.C)</w:t>
      </w:r>
      <w:r w:rsidRPr="003A6D48">
        <w:rPr>
          <w:rFonts w:ascii="Verdana" w:eastAsia="Calibri" w:hAnsi="Verdana" w:cs="Arial"/>
          <w:sz w:val="20"/>
          <w:szCs w:val="20"/>
          <w:lang w:val="es-ES_tradnl"/>
        </w:rPr>
        <w:t>”</w:t>
      </w:r>
      <w:r w:rsidRPr="003A6D48">
        <w:rPr>
          <w:rFonts w:ascii="Verdana" w:eastAsia="Calibri" w:hAnsi="Verdana" w:cs="Arial"/>
          <w:sz w:val="20"/>
          <w:szCs w:val="20"/>
          <w:vertAlign w:val="superscript"/>
          <w:lang w:val="es-ES_tradnl"/>
        </w:rPr>
        <w:footnoteReference w:id="10"/>
      </w:r>
      <w:r w:rsidRPr="003A6D48">
        <w:rPr>
          <w:rFonts w:ascii="Verdana" w:eastAsia="Calibri" w:hAnsi="Verdana" w:cs="Arial"/>
          <w:sz w:val="20"/>
          <w:szCs w:val="20"/>
          <w:lang w:val="es-ES_tradnl"/>
        </w:rPr>
        <w:t>.</w:t>
      </w:r>
    </w:p>
    <w:p w14:paraId="6A85C280" w14:textId="77777777" w:rsidR="0011067D" w:rsidRPr="003A6D48" w:rsidRDefault="0011067D" w:rsidP="0011067D">
      <w:pPr>
        <w:spacing w:after="0" w:line="276" w:lineRule="auto"/>
        <w:ind w:left="709" w:right="709"/>
        <w:contextualSpacing/>
        <w:jc w:val="both"/>
        <w:rPr>
          <w:rFonts w:ascii="Verdana" w:eastAsia="Arial" w:hAnsi="Verdana" w:cs="Arial"/>
        </w:rPr>
      </w:pPr>
    </w:p>
    <w:p w14:paraId="288394B3" w14:textId="77777777" w:rsidR="0011067D" w:rsidRPr="003A6D48" w:rsidRDefault="0011067D" w:rsidP="0011067D">
      <w:pPr>
        <w:spacing w:before="120" w:after="120" w:line="276" w:lineRule="auto"/>
        <w:ind w:firstLine="709"/>
        <w:jc w:val="both"/>
        <w:rPr>
          <w:rFonts w:ascii="Verdana" w:eastAsia="Calibri" w:hAnsi="Verdana" w:cs="Arial"/>
          <w:bCs/>
          <w:color w:val="000000" w:themeColor="text1"/>
          <w:lang w:eastAsia="es-ES_tradnl" w:bidi="es-ES"/>
        </w:rPr>
      </w:pPr>
      <w:r w:rsidRPr="003A6D48">
        <w:rPr>
          <w:rFonts w:ascii="Verdana" w:eastAsia="Calibri" w:hAnsi="Verdana" w:cs="Arial"/>
          <w:color w:val="000000" w:themeColor="text1"/>
        </w:rPr>
        <w:t>De otro lado, la ley también establece excepciones a la facultad de celebrar de forma directa contratos interadministrativos cuando ciertas tipologías sean ejecutadas por algunas entidades estatales.</w:t>
      </w:r>
      <w:r w:rsidRPr="003A6D48">
        <w:rPr>
          <w:rFonts w:ascii="Verdana" w:eastAsia="Calibri" w:hAnsi="Verdana" w:cs="Arial"/>
          <w:color w:val="000000" w:themeColor="text1"/>
          <w:lang w:val="es-ES_tradnl"/>
        </w:rPr>
        <w:t xml:space="preserve"> El inciso segundo de la norma transcrita establece que se exceptúan de la causal los contratos de obra, suministro, prestación de servicios de evaluación de conformidad respecto de las normas o reglamentos técnicos, encargos </w:t>
      </w:r>
      <w:r w:rsidRPr="003A6D48">
        <w:rPr>
          <w:rFonts w:ascii="Verdana" w:eastAsia="Calibri" w:hAnsi="Verdana" w:cs="Arial"/>
          <w:bCs/>
          <w:color w:val="000000" w:themeColor="text1"/>
          <w:lang w:eastAsia="es-ES_tradnl" w:bidi="es-ES"/>
        </w:rPr>
        <w:t>fiduciarios y fiducia pública en los que los ejecutores sean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En estos casos, las entidades no podrán celebrar los contratos interadministrativos de manera directa, sino que deberán adelantar procesos competitivos, de acuerdo con las demás modalidades de selección establecidas en el EGCAP, como la licitación pública o la selección abreviada.</w:t>
      </w:r>
    </w:p>
    <w:p w14:paraId="5AEC5597" w14:textId="77777777" w:rsidR="0011067D" w:rsidRPr="003A6D48" w:rsidRDefault="0011067D" w:rsidP="0011067D">
      <w:pPr>
        <w:spacing w:before="120" w:after="120" w:line="276" w:lineRule="auto"/>
        <w:ind w:firstLine="709"/>
        <w:jc w:val="both"/>
        <w:rPr>
          <w:rFonts w:ascii="Verdana" w:eastAsia="Calibri" w:hAnsi="Verdana" w:cs="Arial"/>
          <w:bCs/>
          <w:color w:val="000000" w:themeColor="text1"/>
          <w:lang w:eastAsia="es-ES_tradnl" w:bidi="es-ES"/>
        </w:rPr>
      </w:pPr>
      <w:r w:rsidRPr="003A6D48">
        <w:rPr>
          <w:rFonts w:ascii="Verdana" w:eastAsia="Calibri" w:hAnsi="Verdana" w:cs="Arial"/>
          <w:bCs/>
          <w:color w:val="000000" w:themeColor="text1"/>
          <w:lang w:eastAsia="es-ES_tradnl" w:bidi="es-ES"/>
        </w:rPr>
        <w:t xml:space="preserve">En este sentido, la norma señaló de manera explícita los sujetos y los objetos de los contratos interadministrativos que no pueden celebrarse mediante contratación directa. En dicha descripción, la ley no estableció que la excepción sea aplicable a las EICE, por lo que no prohibió que estos sujetos celebren de manera directa contratos interadministrativos con las entidades estatales. En consecuencia, es posible afirmar que frente a las EICE aplica la regla general, y pueden celebrar contratos interadministrativos sin distinción de objeto. </w:t>
      </w:r>
    </w:p>
    <w:p w14:paraId="379C7565" w14:textId="77777777" w:rsidR="0011067D" w:rsidRPr="003A6D48" w:rsidRDefault="0011067D" w:rsidP="0011067D">
      <w:pPr>
        <w:spacing w:before="120" w:after="120" w:line="276" w:lineRule="auto"/>
        <w:ind w:firstLine="709"/>
        <w:jc w:val="both"/>
        <w:rPr>
          <w:rFonts w:ascii="Verdana" w:eastAsia="Calibri" w:hAnsi="Verdana" w:cs="Arial"/>
          <w:bCs/>
          <w:color w:val="000000" w:themeColor="text1"/>
          <w:lang w:eastAsia="es-ES_tradnl" w:bidi="es-ES"/>
        </w:rPr>
      </w:pPr>
      <w:r w:rsidRPr="003A6D48">
        <w:rPr>
          <w:rFonts w:ascii="Verdana" w:eastAsia="Calibri" w:hAnsi="Verdana" w:cs="Arial"/>
          <w:bCs/>
          <w:color w:val="000000" w:themeColor="text1"/>
          <w:lang w:eastAsia="es-ES_tradnl" w:bidi="es-ES"/>
        </w:rPr>
        <w:t xml:space="preserve">Entonces, la celebración de contratos interadministrativos por las EIC será posible siempre que del análisis jurídico, técnico y financiero se concluya que es viable su suscripción. Aunado a lo anterior, el objeto de la entidad ejecutora del contrato, señalado en la ley o en sus reglamentos, debe permitir que cumpla las obligaciones y realice las actividades que se derivan del acuerdo de voluntades. Cuando las EICE actúen como ejecutoras, dicha capacidad deberá ser confirmada de acuerdo con lo establecido en el objeto social de la empresa. </w:t>
      </w:r>
    </w:p>
    <w:p w14:paraId="085080FB" w14:textId="77777777" w:rsidR="0011067D" w:rsidRPr="003A6D48" w:rsidRDefault="0011067D" w:rsidP="0011067D">
      <w:pPr>
        <w:spacing w:before="120" w:after="120" w:line="276" w:lineRule="auto"/>
        <w:ind w:firstLine="709"/>
        <w:jc w:val="both"/>
        <w:rPr>
          <w:rFonts w:ascii="Verdana" w:eastAsia="Calibri" w:hAnsi="Verdana" w:cs="Arial"/>
          <w:bCs/>
          <w:color w:val="000000" w:themeColor="text1"/>
          <w:lang w:eastAsia="es-ES_tradnl" w:bidi="es-ES"/>
        </w:rPr>
      </w:pPr>
      <w:r w:rsidRPr="003A6D48">
        <w:rPr>
          <w:rFonts w:ascii="Verdana" w:eastAsia="Calibri" w:hAnsi="Verdana" w:cs="Arial"/>
          <w:bCs/>
          <w:color w:val="000000" w:themeColor="text1"/>
          <w:lang w:eastAsia="es-ES_tradnl" w:bidi="es-ES"/>
        </w:rPr>
        <w:lastRenderedPageBreak/>
        <w:t>Finalmente, sobre el régimen aplicable a los contratos interadministrativos celebrados con EICE, se resalta que su ejecución está sometida por regla general al EGCAP, salvo los casos en que (i) la entidad ejecutora desarrolle actividades comerciales en competencia con el sector privado y/o público, nacional o internacional</w:t>
      </w:r>
      <w:r w:rsidRPr="003A6D48">
        <w:rPr>
          <w:rFonts w:eastAsia="Calibri"/>
          <w:bCs/>
          <w:color w:val="000000" w:themeColor="text1"/>
          <w:lang w:eastAsia="es-ES_tradnl" w:bidi="es-ES"/>
        </w:rPr>
        <w:t xml:space="preserve"> </w:t>
      </w:r>
      <w:r w:rsidRPr="003A6D48">
        <w:rPr>
          <w:rFonts w:eastAsia="Calibri"/>
          <w:bCs/>
          <w:color w:val="000000" w:themeColor="text1"/>
          <w:vertAlign w:val="superscript"/>
          <w:lang w:eastAsia="es-ES_tradnl" w:bidi="es-ES"/>
        </w:rPr>
        <w:footnoteReference w:id="11"/>
      </w:r>
      <w:r w:rsidRPr="003A6D48">
        <w:rPr>
          <w:rFonts w:ascii="Verdana" w:eastAsia="Calibri" w:hAnsi="Verdana" w:cs="Arial"/>
          <w:bCs/>
          <w:color w:val="000000" w:themeColor="text1"/>
          <w:lang w:eastAsia="es-ES_tradnl" w:bidi="es-ES"/>
        </w:rPr>
        <w:t>, (</w:t>
      </w:r>
      <w:proofErr w:type="spellStart"/>
      <w:r w:rsidRPr="003A6D48">
        <w:rPr>
          <w:rFonts w:ascii="Verdana" w:eastAsia="Calibri" w:hAnsi="Verdana" w:cs="Arial"/>
          <w:bCs/>
          <w:color w:val="000000" w:themeColor="text1"/>
          <w:lang w:eastAsia="es-ES_tradnl" w:bidi="es-ES"/>
        </w:rPr>
        <w:t>ii</w:t>
      </w:r>
      <w:proofErr w:type="spellEnd"/>
      <w:r w:rsidRPr="003A6D48">
        <w:rPr>
          <w:rFonts w:ascii="Verdana" w:eastAsia="Calibri" w:hAnsi="Verdana" w:cs="Arial"/>
          <w:bCs/>
          <w:color w:val="000000" w:themeColor="text1"/>
          <w:lang w:eastAsia="es-ES_tradnl" w:bidi="es-ES"/>
        </w:rPr>
        <w:t>) desarrollen actividades en mercados regulados, así como (</w:t>
      </w:r>
      <w:proofErr w:type="spellStart"/>
      <w:r w:rsidRPr="003A6D48">
        <w:rPr>
          <w:rFonts w:ascii="Verdana" w:eastAsia="Calibri" w:hAnsi="Verdana" w:cs="Arial"/>
          <w:bCs/>
          <w:color w:val="000000" w:themeColor="text1"/>
          <w:lang w:eastAsia="es-ES_tradnl" w:bidi="es-ES"/>
        </w:rPr>
        <w:t>iii</w:t>
      </w:r>
      <w:proofErr w:type="spellEnd"/>
      <w:r w:rsidRPr="003A6D48">
        <w:rPr>
          <w:rFonts w:ascii="Verdana" w:eastAsia="Calibri" w:hAnsi="Verdana" w:cs="Arial"/>
          <w:bCs/>
          <w:color w:val="000000" w:themeColor="text1"/>
          <w:lang w:eastAsia="es-ES_tradnl" w:bidi="es-ES"/>
        </w:rPr>
        <w:t>) cuando el contrato tenga por objeto directo la ejecución de las actividades comerciales e industriales propias de dichas empresas</w:t>
      </w:r>
      <w:r w:rsidRPr="003A6D48">
        <w:rPr>
          <w:rFonts w:eastAsia="Calibri"/>
          <w:bCs/>
          <w:color w:val="000000" w:themeColor="text1"/>
          <w:vertAlign w:val="superscript"/>
          <w:lang w:eastAsia="es-ES_tradnl" w:bidi="es-ES"/>
        </w:rPr>
        <w:footnoteReference w:id="12"/>
      </w:r>
      <w:r w:rsidRPr="003A6D48">
        <w:rPr>
          <w:rFonts w:ascii="Verdana" w:eastAsia="Calibri" w:hAnsi="Verdana" w:cs="Arial"/>
          <w:bCs/>
          <w:color w:val="000000" w:themeColor="text1"/>
          <w:lang w:eastAsia="es-ES_tradnl" w:bidi="es-ES"/>
        </w:rPr>
        <w:t>. En otras palabras, el respectivo contrato interadministrativo podrá ejecutarse bajo normas distintas a las dispuestas en el EGCAP si la EICE actúa en competencia, o cuando exista una relación inmediata entre el objeto del contrato y la su actividad propia.</w:t>
      </w:r>
    </w:p>
    <w:p w14:paraId="1370D622" w14:textId="77777777" w:rsidR="0011067D" w:rsidRPr="003A6D48" w:rsidRDefault="0011067D" w:rsidP="0011067D">
      <w:pPr>
        <w:spacing w:before="120" w:after="120" w:line="276" w:lineRule="auto"/>
        <w:ind w:firstLine="709"/>
        <w:jc w:val="both"/>
        <w:rPr>
          <w:rFonts w:ascii="Verdana" w:eastAsia="Calibri" w:hAnsi="Verdana" w:cs="Arial"/>
          <w:bCs/>
          <w:color w:val="000000" w:themeColor="text1"/>
          <w:lang w:eastAsia="es-ES_tradnl" w:bidi="es-ES"/>
        </w:rPr>
      </w:pPr>
      <w:r w:rsidRPr="003A6D48">
        <w:rPr>
          <w:rFonts w:ascii="Verdana" w:eastAsia="Calibri" w:hAnsi="Verdana" w:cs="Arial"/>
          <w:bCs/>
          <w:color w:val="000000" w:themeColor="text1"/>
          <w:lang w:eastAsia="es-ES_tradnl" w:bidi="es-ES"/>
        </w:rPr>
        <w:t xml:space="preserve">De conformidad con lo anterior, en torno a los fundamentos jurídicos que regulan el régimen contractual aplicable a las EICE, a cada entidad estatal le corresponde analizar si se encuentra en alguno de los supuestos establecidos en el artículo 14 de la Ley 1150 de 2007, para definir si su régimen contractual es el Estatuto General de Contratación de la Administración Pública o si están exceptuadas de él y, por tanto, se someten por un régimen especial, como sería el derecho privado. </w:t>
      </w:r>
    </w:p>
    <w:p w14:paraId="6AD38BA0" w14:textId="77777777" w:rsidR="0011067D" w:rsidRPr="003A6D48" w:rsidRDefault="0011067D" w:rsidP="0011067D">
      <w:pPr>
        <w:spacing w:before="120" w:after="120" w:line="276" w:lineRule="auto"/>
        <w:ind w:firstLine="709"/>
        <w:jc w:val="both"/>
        <w:rPr>
          <w:rFonts w:ascii="Verdana" w:eastAsia="Calibri" w:hAnsi="Verdana" w:cs="Arial"/>
          <w:bCs/>
          <w:color w:val="000000" w:themeColor="text1"/>
          <w:lang w:eastAsia="es-ES_tradnl" w:bidi="es-ES"/>
        </w:rPr>
      </w:pPr>
      <w:r w:rsidRPr="003A6D48">
        <w:rPr>
          <w:rFonts w:ascii="Verdana" w:eastAsia="Calibri" w:hAnsi="Verdana" w:cs="Arial"/>
          <w:bCs/>
          <w:color w:val="000000" w:themeColor="text1"/>
          <w:lang w:eastAsia="es-ES_tradnl" w:bidi="es-ES"/>
        </w:rPr>
        <w:lastRenderedPageBreak/>
        <w:t xml:space="preserve">En conclusión, la celebración de contratos interadministrativos con EICE es jurídicamente viable por el criterio orgánico según el cual el contratista ejecutor es una entidad estatal o persona jurídica de derecho público, independientemente de los casos en que cuente con un régimen especial de contratación. Adicionalmente, la ley no incluyó a las EICE dentro de las excepciones a la contratación directa de contratos interadministrativos, por lo que se encuentran facultadas para suscribir este tipo de acuerdos con independencia de su objeto. De cualquier modo, para la suscripción del contrato será indispensable que el objeto de la entidad ejecutora tenga relación directa con las obligaciones a ejecutar, de lo contrario, no se cumpliría con el requisito establecido en la ley, aun cuando las EICE cumplan con el criterio orgánico de ser entidades estatales. </w:t>
      </w:r>
    </w:p>
    <w:p w14:paraId="50A05895" w14:textId="77777777" w:rsidR="0011067D" w:rsidRPr="003A6D48" w:rsidRDefault="0011067D" w:rsidP="0011067D">
      <w:pPr>
        <w:spacing w:before="120" w:after="120" w:line="276" w:lineRule="auto"/>
        <w:jc w:val="both"/>
        <w:rPr>
          <w:rFonts w:ascii="Verdana" w:eastAsia="Calibri" w:hAnsi="Verdana" w:cs="Arial"/>
          <w:bCs/>
          <w:color w:val="000000" w:themeColor="text1"/>
          <w:lang w:eastAsia="es-ES_tradnl" w:bidi="es-ES"/>
        </w:rPr>
      </w:pPr>
      <w:proofErr w:type="spellStart"/>
      <w:r w:rsidRPr="003A6D48">
        <w:rPr>
          <w:rFonts w:ascii="Verdana" w:eastAsia="Calibri" w:hAnsi="Verdana" w:cs="Arial"/>
          <w:bCs/>
          <w:color w:val="000000" w:themeColor="text1"/>
          <w:lang w:eastAsia="es-ES_tradnl" w:bidi="es-ES"/>
        </w:rPr>
        <w:t>ii</w:t>
      </w:r>
      <w:proofErr w:type="spellEnd"/>
      <w:r w:rsidRPr="003A6D48">
        <w:rPr>
          <w:rFonts w:ascii="Verdana" w:eastAsia="Calibri" w:hAnsi="Verdana" w:cs="Arial"/>
          <w:bCs/>
          <w:color w:val="000000" w:themeColor="text1"/>
          <w:lang w:eastAsia="es-ES_tradnl" w:bidi="es-ES"/>
        </w:rPr>
        <w:t>. Al margen de la explicación precedente debe advertirse que el análisis requerido para calificar conductas con presunta incidencia disciplinaria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del expediente disciplinario que motivan la consulta. Por lo anterior, previo concepto de sus asesores, la solución de situaciones particulares corresponde a los interesados adoptar la decisión correspondiente y, en caso de conflicto, a las autoridades judiciales.</w:t>
      </w:r>
    </w:p>
    <w:p w14:paraId="327335DB" w14:textId="77777777" w:rsidR="0011067D" w:rsidRPr="003A6D48" w:rsidRDefault="0011067D" w:rsidP="0011067D">
      <w:pPr>
        <w:spacing w:before="120" w:after="120" w:line="276" w:lineRule="auto"/>
        <w:ind w:firstLine="709"/>
        <w:jc w:val="both"/>
        <w:rPr>
          <w:rFonts w:ascii="Verdana" w:eastAsia="Calibri" w:hAnsi="Verdana" w:cs="Arial"/>
          <w:color w:val="000000"/>
        </w:rPr>
      </w:pPr>
      <w:r w:rsidRPr="003A6D48">
        <w:rPr>
          <w:rFonts w:ascii="Verdana" w:eastAsia="Calibri" w:hAnsi="Verdana" w:cs="Arial"/>
          <w:bCs/>
          <w:color w:val="000000" w:themeColor="text1"/>
          <w:lang w:eastAsia="es-ES_tradnl" w:bidi="es-ES"/>
        </w:rPr>
        <w:t xml:space="preserve">Dentro de este marco, el órgano disciplinario definirá en cada caso concreto lo relacionado con la tipicidad de las conductas investigadas en el proceso disciplinario referido en la consulta. Dado que sólo tiene a cargo la interpretación abstracta de las normas del sistema de compras y contratación pública, la Agencia no puede definir un criterio </w:t>
      </w:r>
      <w:r w:rsidRPr="003A6D48">
        <w:rPr>
          <w:rFonts w:ascii="Verdana" w:eastAsia="Calibri" w:hAnsi="Verdana" w:cs="Arial"/>
          <w:color w:val="000000"/>
        </w:rPr>
        <w:t>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frente a las autoridades que cumplen funciones de control y vigilancia.</w:t>
      </w:r>
    </w:p>
    <w:p w14:paraId="08E5D15A" w14:textId="77777777" w:rsidR="0011067D" w:rsidRPr="003A6D48" w:rsidRDefault="0011067D" w:rsidP="0011067D">
      <w:pPr>
        <w:spacing w:before="120" w:after="0" w:line="276" w:lineRule="auto"/>
        <w:ind w:firstLine="708"/>
        <w:jc w:val="both"/>
        <w:rPr>
          <w:rFonts w:ascii="Verdana" w:eastAsia="Calibri" w:hAnsi="Verdana" w:cs="Arial"/>
          <w:color w:val="000000" w:themeColor="text1"/>
        </w:rPr>
      </w:pPr>
    </w:p>
    <w:p w14:paraId="739D2569" w14:textId="77777777" w:rsidR="0011067D" w:rsidRPr="003A6D48" w:rsidRDefault="0011067D" w:rsidP="0011067D">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3A6D48">
        <w:rPr>
          <w:rFonts w:ascii="Verdana" w:eastAsia="Century Gothic" w:hAnsi="Verdana" w:cs="Century Gothic"/>
          <w:b/>
          <w:bCs/>
          <w:lang w:val="es-ES"/>
        </w:rPr>
        <w:t>Referencias normativas y jurisprudenciales:</w:t>
      </w:r>
    </w:p>
    <w:p w14:paraId="6EB1246E" w14:textId="77777777" w:rsidR="0011067D" w:rsidRPr="003A6D48" w:rsidRDefault="0011067D" w:rsidP="0011067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1067D" w:rsidRPr="003A6D48" w14:paraId="3B342ACC" w14:textId="77777777" w:rsidTr="00C3486D">
        <w:trPr>
          <w:trHeight w:val="870"/>
          <w:jc w:val="center"/>
        </w:trPr>
        <w:tc>
          <w:tcPr>
            <w:tcW w:w="8647" w:type="dxa"/>
          </w:tcPr>
          <w:p w14:paraId="1CCF7065" w14:textId="77777777" w:rsidR="0011067D" w:rsidRPr="003A6D48" w:rsidRDefault="0011067D" w:rsidP="0011067D">
            <w:pPr>
              <w:numPr>
                <w:ilvl w:val="0"/>
                <w:numId w:val="3"/>
              </w:numPr>
              <w:spacing w:before="120" w:after="120" w:line="276" w:lineRule="auto"/>
              <w:contextualSpacing/>
              <w:jc w:val="both"/>
              <w:rPr>
                <w:rFonts w:ascii="Verdana" w:eastAsia="Calibri" w:hAnsi="Verdana" w:cs="Arial"/>
                <w:lang w:val="es-MX" w:eastAsia="es-MX"/>
              </w:rPr>
            </w:pPr>
            <w:r w:rsidRPr="003A6D48">
              <w:rPr>
                <w:rFonts w:ascii="Verdana" w:eastAsia="Times New Roman" w:hAnsi="Verdana" w:cs="Arial"/>
                <w:color w:val="000000" w:themeColor="text1"/>
                <w:lang w:val="es-MX" w:eastAsia="es-CO"/>
              </w:rPr>
              <w:lastRenderedPageBreak/>
              <w:t xml:space="preserve">Ley 80 de 1993: Artículo 2 </w:t>
            </w:r>
          </w:p>
          <w:p w14:paraId="5D17A3D6" w14:textId="77777777" w:rsidR="0011067D" w:rsidRPr="003A6D48" w:rsidRDefault="0011067D" w:rsidP="0011067D">
            <w:pPr>
              <w:numPr>
                <w:ilvl w:val="0"/>
                <w:numId w:val="3"/>
              </w:numPr>
              <w:spacing w:before="120" w:after="120" w:line="276" w:lineRule="auto"/>
              <w:contextualSpacing/>
              <w:jc w:val="both"/>
              <w:rPr>
                <w:rFonts w:ascii="Verdana" w:eastAsia="Calibri" w:hAnsi="Verdana" w:cs="Arial"/>
                <w:lang w:val="es-MX" w:eastAsia="es-MX"/>
              </w:rPr>
            </w:pPr>
            <w:r w:rsidRPr="003A6D48">
              <w:rPr>
                <w:rFonts w:ascii="Verdana" w:eastAsia="Calibri" w:hAnsi="Verdana" w:cs="Arial"/>
                <w:bCs/>
                <w:color w:val="000000" w:themeColor="text1"/>
                <w:lang w:val="es-MX" w:eastAsia="es-ES_tradnl" w:bidi="es-ES"/>
              </w:rPr>
              <w:t>Ley 489 de 1998: Artículo 95.</w:t>
            </w:r>
          </w:p>
          <w:p w14:paraId="6EF53E14" w14:textId="77777777" w:rsidR="0011067D" w:rsidRPr="003A6D48" w:rsidRDefault="0011067D" w:rsidP="0011067D">
            <w:pPr>
              <w:numPr>
                <w:ilvl w:val="0"/>
                <w:numId w:val="3"/>
              </w:numPr>
              <w:spacing w:before="120" w:after="120" w:line="276" w:lineRule="auto"/>
              <w:contextualSpacing/>
              <w:jc w:val="both"/>
              <w:rPr>
                <w:rFonts w:ascii="Verdana" w:eastAsia="Calibri" w:hAnsi="Verdana" w:cs="Arial"/>
                <w:bCs/>
                <w:color w:val="000000" w:themeColor="text1"/>
                <w:lang w:val="es-MX" w:eastAsia="es-ES_tradnl" w:bidi="es-ES"/>
              </w:rPr>
            </w:pPr>
            <w:r w:rsidRPr="003A6D48">
              <w:rPr>
                <w:rFonts w:ascii="Verdana" w:eastAsia="Times New Roman" w:hAnsi="Verdana" w:cs="Arial"/>
                <w:color w:val="000000" w:themeColor="text1"/>
                <w:lang w:val="es-MX" w:eastAsia="es-CO"/>
              </w:rPr>
              <w:t xml:space="preserve">Decreto 1082 de 2015: </w:t>
            </w:r>
            <w:r w:rsidRPr="003A6D48">
              <w:rPr>
                <w:rFonts w:ascii="Verdana" w:eastAsia="Calibri" w:hAnsi="Verdana" w:cs="Arial"/>
                <w:bCs/>
                <w:color w:val="000000" w:themeColor="text1"/>
                <w:lang w:val="es-MX" w:eastAsia="es-ES_tradnl" w:bidi="es-ES"/>
              </w:rPr>
              <w:t>Artículo 2.2.1.2.1.4.4.</w:t>
            </w:r>
          </w:p>
          <w:p w14:paraId="515B7056" w14:textId="77777777" w:rsidR="0011067D" w:rsidRPr="003A6D48" w:rsidRDefault="0011067D" w:rsidP="0011067D">
            <w:pPr>
              <w:numPr>
                <w:ilvl w:val="0"/>
                <w:numId w:val="3"/>
              </w:numPr>
              <w:spacing w:before="120" w:after="120" w:line="276" w:lineRule="auto"/>
              <w:contextualSpacing/>
              <w:jc w:val="both"/>
              <w:rPr>
                <w:rFonts w:ascii="Verdana" w:eastAsia="Calibri" w:hAnsi="Verdana" w:cs="Arial"/>
                <w:bCs/>
                <w:color w:val="000000" w:themeColor="text1"/>
                <w:lang w:val="es-MX" w:eastAsia="es-ES_tradnl" w:bidi="es-ES"/>
              </w:rPr>
            </w:pPr>
            <w:r w:rsidRPr="003A6D48">
              <w:rPr>
                <w:rFonts w:ascii="Verdana" w:eastAsia="Calibri" w:hAnsi="Verdana" w:cs="Arial"/>
                <w:bCs/>
                <w:color w:val="000000" w:themeColor="text1"/>
                <w:lang w:val="es-MX" w:eastAsia="es-ES_tradnl" w:bidi="es-ES"/>
              </w:rPr>
              <w:t>Ley 1150 de 2007: Artículos 2 y 14.</w:t>
            </w:r>
          </w:p>
          <w:p w14:paraId="3BF182D0" w14:textId="77777777" w:rsidR="0011067D" w:rsidRPr="003A6D48" w:rsidRDefault="0011067D" w:rsidP="0011067D">
            <w:pPr>
              <w:numPr>
                <w:ilvl w:val="0"/>
                <w:numId w:val="3"/>
              </w:numPr>
              <w:spacing w:before="120" w:after="120" w:line="276" w:lineRule="auto"/>
              <w:contextualSpacing/>
              <w:jc w:val="both"/>
              <w:rPr>
                <w:rFonts w:ascii="Verdana" w:eastAsia="Calibri" w:hAnsi="Verdana" w:cs="Arial"/>
                <w:lang w:val="es-MX" w:eastAsia="es-MX"/>
              </w:rPr>
            </w:pPr>
            <w:r w:rsidRPr="003A6D48">
              <w:rPr>
                <w:rFonts w:ascii="Verdana" w:eastAsia="Calibri" w:hAnsi="Verdana" w:cs="Arial"/>
                <w:color w:val="000000" w:themeColor="text1"/>
                <w:lang w:val="es-MX"/>
              </w:rPr>
              <w:t>Ley 1474 de 2011: Artículo 93.</w:t>
            </w:r>
          </w:p>
        </w:tc>
      </w:tr>
    </w:tbl>
    <w:p w14:paraId="5B5AA7A7" w14:textId="77777777" w:rsidR="0011067D" w:rsidRPr="003A6D48" w:rsidRDefault="0011067D" w:rsidP="0011067D">
      <w:pPr>
        <w:widowControl w:val="0"/>
        <w:autoSpaceDE w:val="0"/>
        <w:autoSpaceDN w:val="0"/>
        <w:spacing w:after="0" w:line="276" w:lineRule="auto"/>
        <w:jc w:val="both"/>
        <w:rPr>
          <w:rFonts w:ascii="Verdana" w:hAnsi="Verdana" w:cs="Arial"/>
        </w:rPr>
      </w:pPr>
    </w:p>
    <w:p w14:paraId="3FDE9FD0" w14:textId="77777777" w:rsidR="0011067D" w:rsidRPr="003A6D48" w:rsidRDefault="0011067D" w:rsidP="0011067D">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3A6D48">
        <w:rPr>
          <w:rFonts w:ascii="Verdana" w:eastAsia="Century Gothic" w:hAnsi="Verdana" w:cs="Century Gothic"/>
          <w:b/>
          <w:bCs/>
          <w:lang w:val="es-ES"/>
        </w:rPr>
        <w:t>Doctrina de la Agencia Nacional de Contratación Pública:</w:t>
      </w:r>
    </w:p>
    <w:p w14:paraId="5AA5C8DA" w14:textId="77777777" w:rsidR="0011067D" w:rsidRPr="003A6D48" w:rsidRDefault="0011067D" w:rsidP="0011067D">
      <w:pPr>
        <w:widowControl w:val="0"/>
        <w:autoSpaceDE w:val="0"/>
        <w:autoSpaceDN w:val="0"/>
        <w:spacing w:after="0" w:line="276" w:lineRule="auto"/>
        <w:jc w:val="both"/>
        <w:rPr>
          <w:rFonts w:ascii="Verdana" w:hAnsi="Verdana" w:cs="Arial"/>
        </w:rPr>
      </w:pPr>
    </w:p>
    <w:p w14:paraId="25172851" w14:textId="77777777" w:rsidR="0011067D" w:rsidRPr="003A6D48" w:rsidRDefault="0011067D" w:rsidP="0011067D">
      <w:pPr>
        <w:widowControl w:val="0"/>
        <w:autoSpaceDE w:val="0"/>
        <w:autoSpaceDN w:val="0"/>
        <w:spacing w:after="0" w:line="276" w:lineRule="auto"/>
        <w:jc w:val="both"/>
        <w:rPr>
          <w:rFonts w:ascii="Verdana" w:hAnsi="Verdana" w:cs="Arial"/>
          <w:color w:val="000000" w:themeColor="text1"/>
          <w:shd w:val="clear" w:color="auto" w:fill="FFFFFF"/>
        </w:rPr>
      </w:pPr>
      <w:r w:rsidRPr="003A6D48">
        <w:rPr>
          <w:rFonts w:ascii="Verdana" w:hAnsi="Verdana" w:cs="Arial"/>
          <w:shd w:val="clear" w:color="auto" w:fill="FFFFFF"/>
          <w:lang w:val="es-ES"/>
        </w:rPr>
        <w:t xml:space="preserve">Sobre el </w:t>
      </w:r>
      <w:r w:rsidRPr="003A6D48">
        <w:rPr>
          <w:rFonts w:ascii="Verdana" w:eastAsia="Calibri" w:hAnsi="Verdana" w:cs="Times New Roman"/>
          <w:lang w:eastAsia="es-ES"/>
        </w:rPr>
        <w:t xml:space="preserve">régimen de contratación de las empresas industriales y comerciales del Estado esta Subdirección se ha pronunciado en los </w:t>
      </w:r>
      <w:r w:rsidRPr="003A6D48">
        <w:rPr>
          <w:rFonts w:ascii="Verdana" w:eastAsia="Calibri" w:hAnsi="Verdana" w:cs="Arial"/>
        </w:rPr>
        <w:t>conceptos C-251 del 27 de mayo de 2020, C–253 de 2 de junio de 2021, C-280 del 6 de julio de 2020, C-616 de 3 de noviembre de 2021</w:t>
      </w:r>
      <w:r w:rsidRPr="003A6D48">
        <w:rPr>
          <w:rFonts w:ascii="Verdana" w:eastAsia="Times New Roman" w:hAnsi="Verdana" w:cs="Times New Roman"/>
          <w:lang w:eastAsia="es-CO"/>
        </w:rPr>
        <w:t xml:space="preserve">, C-176 del 6 de abril de 2022, C-857 de 13 diciembre de 2022, C-501 de 30 de septiembre de 2024, C-155 del 7 de marzo de 2025 y C-259 del 7 de abril de 2025. </w:t>
      </w:r>
      <w:r w:rsidRPr="003A6D48">
        <w:rPr>
          <w:rFonts w:ascii="Verdana" w:hAnsi="Verdana" w:cs="Arial"/>
          <w:shd w:val="clear" w:color="auto" w:fill="FFFFFF"/>
          <w:lang w:val="es-ES"/>
        </w:rPr>
        <w:t>Estos se encuentran disponibles para consulta en el Sistema de relatoría de la Agencia, al cual puede accederse a través del siguiente enlace:</w:t>
      </w:r>
      <w:r w:rsidRPr="003A6D48">
        <w:rPr>
          <w:rFonts w:ascii="Verdana" w:hAnsi="Verdana"/>
          <w:lang w:val="es-ES"/>
        </w:rPr>
        <w:t xml:space="preserve"> </w:t>
      </w:r>
      <w:hyperlink r:id="rId14" w:history="1">
        <w:r w:rsidRPr="003A6D48">
          <w:rPr>
            <w:rFonts w:ascii="Verdana" w:hAnsi="Verdana" w:cs="Arial"/>
            <w:color w:val="0563C1" w:themeColor="hyperlink"/>
            <w:u w:val="single"/>
            <w:shd w:val="clear" w:color="auto" w:fill="FFFFFF"/>
          </w:rPr>
          <w:t>https://relatoria.colombiacompra.gov.co/busqueda/conceptos</w:t>
        </w:r>
      </w:hyperlink>
      <w:r w:rsidRPr="003A6D48">
        <w:rPr>
          <w:rFonts w:ascii="Verdana" w:hAnsi="Verdana"/>
          <w:color w:val="0563C1" w:themeColor="hyperlink"/>
          <w:u w:val="single"/>
        </w:rPr>
        <w:t>.</w:t>
      </w:r>
      <w:r w:rsidRPr="003A6D48">
        <w:rPr>
          <w:rFonts w:ascii="Verdana" w:hAnsi="Verdana" w:cs="Arial"/>
          <w:color w:val="000000" w:themeColor="text1"/>
          <w:shd w:val="clear" w:color="auto" w:fill="FFFFFF"/>
        </w:rPr>
        <w:t xml:space="preserve"> </w:t>
      </w:r>
      <w:r w:rsidRPr="003A6D48">
        <w:rPr>
          <w:rFonts w:ascii="Verdana" w:hAnsi="Verdana" w:cs="Arial"/>
          <w:color w:val="000000" w:themeColor="text1"/>
          <w:shd w:val="clear" w:color="auto" w:fill="FFFFFF"/>
          <w:lang w:val="es-ES"/>
        </w:rPr>
        <w:t xml:space="preserve"> </w:t>
      </w:r>
    </w:p>
    <w:p w14:paraId="04726C18" w14:textId="77777777" w:rsidR="0011067D" w:rsidRPr="003A6D48" w:rsidRDefault="0011067D" w:rsidP="0011067D">
      <w:pPr>
        <w:spacing w:after="0"/>
        <w:jc w:val="both"/>
        <w:rPr>
          <w:rFonts w:ascii="Verdana" w:hAnsi="Verdana"/>
        </w:rPr>
      </w:pPr>
    </w:p>
    <w:p w14:paraId="34A97ED4" w14:textId="77777777" w:rsidR="0011067D" w:rsidRPr="003A6D48" w:rsidRDefault="0011067D" w:rsidP="0011067D">
      <w:pPr>
        <w:jc w:val="both"/>
        <w:rPr>
          <w:rFonts w:ascii="Verdana" w:hAnsi="Verdana"/>
        </w:rPr>
      </w:pPr>
      <w:r w:rsidRPr="003A6D48">
        <w:rPr>
          <w:rFonts w:ascii="Verdana" w:hAnsi="Verdana"/>
        </w:rPr>
        <w:t xml:space="preserve">La sostenibilidad no es una opción, es una obligación. Por ello, la Agencia Nacional de Contratación Pública –Colombia Compra Eficiente– te invita a realizar el </w:t>
      </w:r>
      <w:r w:rsidRPr="003A6D48">
        <w:rPr>
          <w:rFonts w:ascii="Verdana" w:hAnsi="Verdana"/>
          <w:b/>
          <w:bCs/>
        </w:rPr>
        <w:t>Curso de Contratación Pública Sostenible y Socialmente Responsable</w:t>
      </w:r>
      <w:r w:rsidRPr="003A6D48">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A6D48">
        <w:rPr>
          <w:rFonts w:ascii="Verdana" w:hAnsi="Verdana"/>
        </w:rPr>
        <w:br/>
      </w:r>
      <w:hyperlink r:id="rId15" w:tgtFrame="_new" w:history="1">
        <w:r w:rsidRPr="003A6D48">
          <w:rPr>
            <w:rFonts w:ascii="Verdana" w:hAnsi="Verdana"/>
            <w:color w:val="0000FF"/>
            <w:u w:val="single"/>
          </w:rPr>
          <w:t>https://formacionvirtual.colombiacompra.gov.co/mod/page/view.php?id=3718</w:t>
        </w:r>
      </w:hyperlink>
    </w:p>
    <w:p w14:paraId="65736800" w14:textId="77777777" w:rsidR="0011067D" w:rsidRPr="003A6D48" w:rsidRDefault="0011067D" w:rsidP="0011067D">
      <w:pPr>
        <w:jc w:val="both"/>
        <w:rPr>
          <w:rFonts w:ascii="Verdana" w:hAnsi="Verdana"/>
        </w:rPr>
      </w:pPr>
      <w:r w:rsidRPr="003A6D48">
        <w:rPr>
          <w:rFonts w:ascii="Verdana" w:hAnsi="Verdana"/>
        </w:rPr>
        <w:t xml:space="preserve">De otro lado, te contamos que esta Agencia ha da un paso decisivo en la estandarización y modernización del </w:t>
      </w:r>
      <w:r w:rsidRPr="003A6D48">
        <w:rPr>
          <w:rFonts w:ascii="Verdana" w:hAnsi="Verdana"/>
          <w:b/>
          <w:bCs/>
        </w:rPr>
        <w:t>sector  social</w:t>
      </w:r>
      <w:r w:rsidRPr="003A6D48">
        <w:rPr>
          <w:rFonts w:ascii="Verdana" w:hAnsi="Verdana"/>
        </w:rPr>
        <w:t xml:space="preserve"> con la expedición de las </w:t>
      </w:r>
      <w:r w:rsidRPr="003A6D48">
        <w:rPr>
          <w:rFonts w:ascii="Verdana" w:hAnsi="Verdana"/>
          <w:b/>
          <w:bCs/>
        </w:rPr>
        <w:t>Resoluciones 539, 540, 541, 952 y 953 de 2025</w:t>
      </w:r>
      <w:r w:rsidRPr="003A6D48">
        <w:rPr>
          <w:rFonts w:ascii="Verdana" w:hAnsi="Verdana"/>
        </w:rPr>
        <w:t xml:space="preserve">, </w:t>
      </w:r>
      <w:r w:rsidRPr="003A6D48">
        <w:rPr>
          <w:rFonts w:ascii="Verdana" w:hAnsi="Verdana"/>
          <w:b/>
          <w:bCs/>
        </w:rPr>
        <w:t>mediante las cuales adoptó Documentos Tipo</w:t>
      </w:r>
      <w:r w:rsidRPr="003A6D48">
        <w:rPr>
          <w:rFonts w:ascii="Verdana" w:hAnsi="Verdana"/>
        </w:rPr>
        <w:t xml:space="preserve"> para las modalidades de selección de</w:t>
      </w:r>
      <w:r w:rsidRPr="003A6D48">
        <w:rPr>
          <w:rFonts w:ascii="Verdana" w:hAnsi="Verdana"/>
          <w:b/>
          <w:bCs/>
        </w:rPr>
        <w:t xml:space="preserve"> licitación pública (versión 2), selección abreviada de menor cuantía, mínima cuantía, consultoría e interventoría</w:t>
      </w:r>
      <w:r w:rsidRPr="003A6D48">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3A6D48">
          <w:rPr>
            <w:rFonts w:ascii="Verdana" w:hAnsi="Verdana"/>
            <w:color w:val="0000FF"/>
            <w:u w:val="single"/>
          </w:rPr>
          <w:t>https://www.colombiacompra.gov.co/normativa-y-relatoria/documentos-tipo</w:t>
        </w:r>
      </w:hyperlink>
    </w:p>
    <w:p w14:paraId="1769B1CD" w14:textId="77777777" w:rsidR="0011067D" w:rsidRPr="003A6D48" w:rsidRDefault="0011067D" w:rsidP="0011067D">
      <w:pPr>
        <w:jc w:val="both"/>
        <w:rPr>
          <w:rFonts w:ascii="Verdana" w:hAnsi="Verdana"/>
          <w:color w:val="000000"/>
          <w:lang w:val="es-ES_tradnl"/>
        </w:rPr>
      </w:pPr>
      <w:r w:rsidRPr="003A6D48">
        <w:rPr>
          <w:rFonts w:ascii="Verdana" w:hAnsi="Verdana"/>
        </w:rPr>
        <w:lastRenderedPageBreak/>
        <w:t xml:space="preserve">Si quieres conocer más sobre la aplicación de Documentos Tipo puedes consultar la última versión de la </w:t>
      </w:r>
      <w:r w:rsidRPr="003A6D48">
        <w:rPr>
          <w:rFonts w:ascii="Verdana" w:hAnsi="Verdana"/>
          <w:b/>
          <w:bCs/>
        </w:rPr>
        <w:t>Guía para la comprensión e implementación de los Documentos Tipo de obra pública de infraestructura de transporte</w:t>
      </w:r>
      <w:r w:rsidRPr="003A6D48">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A6D48">
        <w:rPr>
          <w:rFonts w:ascii="Verdana" w:hAnsi="Verdana"/>
        </w:rPr>
        <w:br/>
      </w:r>
      <w:hyperlink r:id="rId17" w:tgtFrame="_new" w:history="1">
        <w:r w:rsidRPr="003A6D48">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4CD6CB3B" w14:textId="77777777" w:rsidR="0011067D" w:rsidRPr="003A6D48" w:rsidRDefault="0011067D" w:rsidP="0011067D">
      <w:pPr>
        <w:spacing w:after="0"/>
        <w:jc w:val="both"/>
        <w:rPr>
          <w:rFonts w:ascii="Verdana" w:hAnsi="Verdana"/>
        </w:rPr>
      </w:pPr>
      <w:r w:rsidRPr="003A6D48">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73F7464" w14:textId="77777777" w:rsidR="0011067D" w:rsidRPr="003A6D48" w:rsidRDefault="0011067D" w:rsidP="0011067D">
      <w:pPr>
        <w:spacing w:after="0"/>
        <w:jc w:val="both"/>
        <w:rPr>
          <w:rFonts w:ascii="Verdana" w:hAnsi="Verdana"/>
        </w:rPr>
      </w:pPr>
    </w:p>
    <w:p w14:paraId="086117FE" w14:textId="77777777" w:rsidR="0011067D" w:rsidRPr="003A6D48" w:rsidRDefault="0011067D" w:rsidP="0011067D">
      <w:pPr>
        <w:numPr>
          <w:ilvl w:val="0"/>
          <w:numId w:val="12"/>
        </w:numPr>
        <w:spacing w:after="0" w:line="240" w:lineRule="auto"/>
        <w:contextualSpacing/>
        <w:jc w:val="both"/>
        <w:rPr>
          <w:rFonts w:ascii="Verdana" w:eastAsia="Verdana" w:hAnsi="Verdana" w:cs="Verdana"/>
          <w:color w:val="4472C4" w:themeColor="accent1"/>
          <w:u w:val="single"/>
          <w:lang w:val="es-MX"/>
        </w:rPr>
      </w:pPr>
      <w:r w:rsidRPr="003A6D48">
        <w:rPr>
          <w:rFonts w:ascii="Verdana" w:eastAsia="Verdana" w:hAnsi="Verdana" w:cs="Verdana"/>
          <w:lang w:val="es-MX"/>
        </w:rPr>
        <w:t xml:space="preserve">Línea nacional gratuita o servicio a la ciudadanía (Mesa de servicio): </w:t>
      </w:r>
      <w:r w:rsidRPr="003A6D48">
        <w:rPr>
          <w:rFonts w:ascii="Verdana" w:hAnsi="Verdana"/>
          <w:color w:val="0000FF"/>
          <w:u w:val="single"/>
          <w:lang w:val="es-ES"/>
        </w:rPr>
        <w:t>01800 0520808</w:t>
      </w:r>
    </w:p>
    <w:p w14:paraId="0FE221D3" w14:textId="77777777" w:rsidR="0011067D" w:rsidRPr="003A6D48" w:rsidRDefault="0011067D" w:rsidP="0011067D">
      <w:pPr>
        <w:numPr>
          <w:ilvl w:val="0"/>
          <w:numId w:val="12"/>
        </w:numPr>
        <w:spacing w:after="0" w:line="256" w:lineRule="auto"/>
        <w:contextualSpacing/>
        <w:rPr>
          <w:rFonts w:ascii="Verdana" w:eastAsia="Verdana" w:hAnsi="Verdana" w:cs="Verdana"/>
          <w:color w:val="4472C4" w:themeColor="accent1"/>
          <w:u w:val="single"/>
          <w:lang w:val="es-MX"/>
        </w:rPr>
      </w:pPr>
      <w:r w:rsidRPr="003A6D48">
        <w:rPr>
          <w:rFonts w:ascii="Verdana" w:eastAsia="Verdana" w:hAnsi="Verdana" w:cs="Verdana"/>
          <w:lang w:val="es-MX"/>
        </w:rPr>
        <w:t>Línea en Bogotá (Mesa de servicio</w:t>
      </w:r>
      <w:proofErr w:type="gramStart"/>
      <w:r w:rsidRPr="003A6D48">
        <w:rPr>
          <w:rFonts w:ascii="Verdana" w:eastAsia="Verdana" w:hAnsi="Verdana" w:cs="Verdana"/>
          <w:lang w:val="es-MX"/>
        </w:rPr>
        <w:t>):</w:t>
      </w:r>
      <w:r w:rsidRPr="003A6D48">
        <w:rPr>
          <w:rFonts w:ascii="Verdana" w:hAnsi="Verdana"/>
          <w:color w:val="0000FF"/>
          <w:u w:val="single"/>
          <w:lang w:val="es-ES"/>
        </w:rPr>
        <w:t>+</w:t>
      </w:r>
      <w:proofErr w:type="gramEnd"/>
      <w:r w:rsidRPr="003A6D48">
        <w:rPr>
          <w:rFonts w:ascii="Verdana" w:hAnsi="Verdana"/>
          <w:color w:val="0000FF"/>
          <w:u w:val="single"/>
          <w:lang w:val="es-ES"/>
        </w:rPr>
        <w:t>57 601 7456788</w:t>
      </w:r>
    </w:p>
    <w:p w14:paraId="7138581E" w14:textId="77777777" w:rsidR="0011067D" w:rsidRPr="003A6D48" w:rsidRDefault="0011067D" w:rsidP="0011067D">
      <w:pPr>
        <w:numPr>
          <w:ilvl w:val="0"/>
          <w:numId w:val="12"/>
        </w:numPr>
        <w:spacing w:after="0" w:line="256" w:lineRule="auto"/>
        <w:contextualSpacing/>
        <w:rPr>
          <w:rFonts w:ascii="Verdana" w:eastAsia="Verdana" w:hAnsi="Verdana" w:cs="Verdana"/>
          <w:color w:val="0000FF"/>
          <w:u w:val="single"/>
          <w:lang w:val="es-MX"/>
        </w:rPr>
      </w:pPr>
      <w:r w:rsidRPr="003A6D48">
        <w:rPr>
          <w:rFonts w:ascii="Verdana" w:eastAsia="Verdana" w:hAnsi="Verdana" w:cs="Verdana"/>
          <w:lang w:val="es-MX"/>
        </w:rPr>
        <w:t xml:space="preserve">Correo de radicación de correspondencia: </w:t>
      </w:r>
      <w:hyperlink r:id="rId18" w:history="1">
        <w:r w:rsidRPr="003A6D48">
          <w:rPr>
            <w:rFonts w:ascii="Verdana" w:eastAsia="Verdana" w:hAnsi="Verdana" w:cs="Verdana"/>
            <w:color w:val="0000FF"/>
            <w:u w:val="single"/>
            <w:lang w:val="es-MX"/>
          </w:rPr>
          <w:t>ventanilladeradicacion@colombiacompra.gov.co</w:t>
        </w:r>
      </w:hyperlink>
    </w:p>
    <w:p w14:paraId="19996725" w14:textId="77777777" w:rsidR="0011067D" w:rsidRPr="003A6D48" w:rsidRDefault="0011067D" w:rsidP="0011067D">
      <w:pPr>
        <w:numPr>
          <w:ilvl w:val="0"/>
          <w:numId w:val="12"/>
        </w:numPr>
        <w:spacing w:after="0" w:line="256" w:lineRule="auto"/>
        <w:contextualSpacing/>
        <w:rPr>
          <w:rFonts w:ascii="Verdana" w:eastAsia="Verdana" w:hAnsi="Verdana" w:cs="Verdana"/>
          <w:color w:val="0000FF"/>
          <w:u w:val="single"/>
          <w:lang w:val="es-MX"/>
        </w:rPr>
      </w:pPr>
      <w:r w:rsidRPr="003A6D48">
        <w:rPr>
          <w:rFonts w:ascii="Verdana" w:eastAsia="Verdana" w:hAnsi="Verdana" w:cs="Verdana"/>
          <w:lang w:val="es-ES"/>
        </w:rPr>
        <w:t xml:space="preserve">Formulario web para PQRSD: </w:t>
      </w:r>
      <w:hyperlink r:id="rId19" w:history="1">
        <w:r w:rsidRPr="003A6D48">
          <w:rPr>
            <w:rFonts w:ascii="Verdana" w:eastAsia="Verdana" w:hAnsi="Verdana" w:cs="Verdana"/>
            <w:color w:val="0000FF"/>
            <w:u w:val="single"/>
            <w:lang w:val="es-MX"/>
          </w:rPr>
          <w:t>https://www.colombiacompra.gov.co/pqrsd/informacion-importante-antes-de-formular-una-pqrsd</w:t>
        </w:r>
      </w:hyperlink>
    </w:p>
    <w:p w14:paraId="2D16ADD1" w14:textId="77777777" w:rsidR="0011067D" w:rsidRPr="003A6D48" w:rsidRDefault="0011067D" w:rsidP="0011067D">
      <w:pPr>
        <w:spacing w:after="0" w:line="240" w:lineRule="auto"/>
        <w:ind w:left="720"/>
        <w:jc w:val="both"/>
        <w:rPr>
          <w:rFonts w:ascii="Verdana" w:hAnsi="Verdana"/>
        </w:rPr>
      </w:pPr>
    </w:p>
    <w:p w14:paraId="5A16E751" w14:textId="77777777" w:rsidR="0011067D" w:rsidRPr="003A6D48" w:rsidRDefault="0011067D" w:rsidP="0011067D">
      <w:pPr>
        <w:spacing w:after="0" w:line="240" w:lineRule="auto"/>
        <w:rPr>
          <w:rFonts w:ascii="Verdana" w:hAnsi="Verdana"/>
        </w:rPr>
      </w:pPr>
      <w:r w:rsidRPr="003A6D48">
        <w:rPr>
          <w:rFonts w:ascii="Verdana" w:hAnsi="Verdana"/>
        </w:rPr>
        <w:t xml:space="preserve">Evalúa el servicio que ofrece la Agencia por el canal de atención de PQRSD en el siguiente </w:t>
      </w:r>
      <w:proofErr w:type="gramStart"/>
      <w:r w:rsidRPr="003A6D48">
        <w:rPr>
          <w:rFonts w:ascii="Verdana" w:hAnsi="Verdana"/>
        </w:rPr>
        <w:t>enlace :</w:t>
      </w:r>
      <w:proofErr w:type="gramEnd"/>
      <w:hyperlink r:id="rId20" w:tgtFrame="_blank" w:tooltip="https://forms.office.com/r/pphywvs2sz" w:history="1">
        <w:r w:rsidRPr="003A6D48">
          <w:rPr>
            <w:rFonts w:ascii="Verdana" w:hAnsi="Verdana"/>
            <w:color w:val="0000FF"/>
            <w:u w:val="single"/>
          </w:rPr>
          <w:t>https://forms.office.com/r/pPHyWVs2SZ</w:t>
        </w:r>
      </w:hyperlink>
      <w:r w:rsidRPr="003A6D48">
        <w:rPr>
          <w:rFonts w:ascii="Verdana" w:hAnsi="Verdana"/>
        </w:rPr>
        <w:t xml:space="preserve"> .¡Ayúdanos a mejorar porque el compromiso es de todos!</w:t>
      </w:r>
    </w:p>
    <w:p w14:paraId="3BB4F7B3" w14:textId="77777777" w:rsidR="0011067D" w:rsidRPr="003A6D48" w:rsidRDefault="0011067D" w:rsidP="0011067D">
      <w:pPr>
        <w:spacing w:after="0" w:line="240" w:lineRule="auto"/>
        <w:rPr>
          <w:rFonts w:ascii="Verdana" w:hAnsi="Verdana"/>
        </w:rPr>
      </w:pPr>
    </w:p>
    <w:p w14:paraId="288F6FBC" w14:textId="77777777" w:rsidR="0011067D" w:rsidRPr="003A6D48" w:rsidRDefault="0011067D" w:rsidP="0011067D">
      <w:pPr>
        <w:spacing w:after="0" w:line="240" w:lineRule="auto"/>
        <w:jc w:val="both"/>
        <w:rPr>
          <w:rFonts w:ascii="Verdana" w:hAnsi="Verdana"/>
        </w:rPr>
      </w:pPr>
      <w:r w:rsidRPr="003A6D48">
        <w:rPr>
          <w:rFonts w:ascii="Verdana" w:hAnsi="Verdana"/>
        </w:rPr>
        <w:t xml:space="preserve">Por último, lo invitamos a seguirnos en las redes sociales en las cuales se difunde información institucional: </w:t>
      </w:r>
    </w:p>
    <w:p w14:paraId="21BE53BE" w14:textId="77777777" w:rsidR="0011067D" w:rsidRPr="003A6D48" w:rsidRDefault="0011067D" w:rsidP="0011067D">
      <w:pPr>
        <w:spacing w:after="0" w:line="240" w:lineRule="auto"/>
        <w:jc w:val="both"/>
        <w:rPr>
          <w:rFonts w:ascii="Verdana" w:hAnsi="Verdana"/>
        </w:rPr>
      </w:pPr>
    </w:p>
    <w:p w14:paraId="1D9F6EB3" w14:textId="77777777" w:rsidR="0011067D" w:rsidRPr="003A6D48" w:rsidRDefault="0011067D" w:rsidP="0011067D">
      <w:pPr>
        <w:spacing w:after="0" w:line="240" w:lineRule="auto"/>
        <w:jc w:val="both"/>
        <w:rPr>
          <w:rFonts w:ascii="Verdana" w:hAnsi="Verdana"/>
        </w:rPr>
      </w:pPr>
      <w:r w:rsidRPr="003A6D48">
        <w:rPr>
          <w:rFonts w:ascii="Verdana" w:hAnsi="Verdana"/>
        </w:rPr>
        <w:t xml:space="preserve">Twitter: </w:t>
      </w:r>
      <w:r w:rsidRPr="003A6D48">
        <w:rPr>
          <w:rFonts w:ascii="Verdana" w:hAnsi="Verdana"/>
          <w:color w:val="0000FF"/>
          <w:u w:val="single"/>
        </w:rPr>
        <w:t>@colombiacompra</w:t>
      </w:r>
      <w:r w:rsidRPr="003A6D48">
        <w:rPr>
          <w:rFonts w:ascii="Verdana" w:hAnsi="Verdana"/>
        </w:rPr>
        <w:t xml:space="preserve"> </w:t>
      </w:r>
    </w:p>
    <w:p w14:paraId="0866983B" w14:textId="77777777" w:rsidR="0011067D" w:rsidRPr="003A6D48" w:rsidRDefault="0011067D" w:rsidP="0011067D">
      <w:pPr>
        <w:spacing w:after="0" w:line="240" w:lineRule="auto"/>
        <w:jc w:val="both"/>
        <w:rPr>
          <w:rFonts w:ascii="Verdana" w:hAnsi="Verdana"/>
        </w:rPr>
      </w:pPr>
      <w:r w:rsidRPr="003A6D48">
        <w:rPr>
          <w:rFonts w:ascii="Verdana" w:hAnsi="Verdana"/>
        </w:rPr>
        <w:t xml:space="preserve">Facebook: </w:t>
      </w:r>
      <w:proofErr w:type="spellStart"/>
      <w:r w:rsidRPr="003A6D48">
        <w:rPr>
          <w:rFonts w:ascii="Verdana" w:hAnsi="Verdana"/>
          <w:color w:val="0000FF"/>
          <w:u w:val="single"/>
        </w:rPr>
        <w:t>ColombiaCompraEficiente</w:t>
      </w:r>
      <w:proofErr w:type="spellEnd"/>
    </w:p>
    <w:p w14:paraId="62EAC2AF" w14:textId="77777777" w:rsidR="0011067D" w:rsidRPr="003A6D48" w:rsidRDefault="0011067D" w:rsidP="0011067D">
      <w:pPr>
        <w:spacing w:after="0" w:line="240" w:lineRule="auto"/>
        <w:jc w:val="both"/>
        <w:rPr>
          <w:rFonts w:ascii="Verdana" w:hAnsi="Verdana"/>
        </w:rPr>
      </w:pPr>
      <w:r w:rsidRPr="003A6D48">
        <w:rPr>
          <w:rFonts w:ascii="Verdana" w:hAnsi="Verdana"/>
        </w:rPr>
        <w:t xml:space="preserve">LinkedIn: </w:t>
      </w:r>
      <w:r w:rsidRPr="003A6D48">
        <w:rPr>
          <w:rFonts w:ascii="Verdana" w:hAnsi="Verdana"/>
          <w:color w:val="0000FF"/>
          <w:u w:val="single"/>
        </w:rPr>
        <w:t>Agencia Nacional de Contratación Pública - Colombia Compra Eficiente</w:t>
      </w:r>
      <w:r w:rsidRPr="003A6D48">
        <w:rPr>
          <w:rFonts w:ascii="Verdana" w:hAnsi="Verdana"/>
        </w:rPr>
        <w:t xml:space="preserve"> Instagram: </w:t>
      </w:r>
      <w:r w:rsidRPr="003A6D48">
        <w:rPr>
          <w:rFonts w:ascii="Verdana" w:hAnsi="Verdana"/>
          <w:color w:val="0000FF"/>
          <w:u w:val="single"/>
        </w:rPr>
        <w:t>@colombiacompraeficiente_cce</w:t>
      </w:r>
    </w:p>
    <w:p w14:paraId="633B96B4" w14:textId="77777777" w:rsidR="0011067D" w:rsidRPr="003A6D48" w:rsidRDefault="0011067D" w:rsidP="0011067D">
      <w:pPr>
        <w:widowControl w:val="0"/>
        <w:autoSpaceDE w:val="0"/>
        <w:autoSpaceDN w:val="0"/>
        <w:spacing w:after="120" w:line="276" w:lineRule="auto"/>
        <w:jc w:val="both"/>
        <w:rPr>
          <w:rFonts w:ascii="Verdana" w:hAnsi="Verdana" w:cs="Arial"/>
          <w:color w:val="FF0000"/>
          <w:shd w:val="clear" w:color="auto" w:fill="FFFFFF"/>
          <w:lang w:val="es-ES_tradnl"/>
        </w:rPr>
      </w:pPr>
      <w:r w:rsidRPr="003A6D48">
        <w:rPr>
          <w:rFonts w:ascii="Verdana" w:hAnsi="Verdana" w:cs="Arial"/>
          <w:color w:val="FF0000"/>
          <w:shd w:val="clear" w:color="auto" w:fill="FFFFFF"/>
          <w:lang w:val="es-ES_tradnl"/>
        </w:rPr>
        <w:lastRenderedPageBreak/>
        <w:t xml:space="preserve">              </w:t>
      </w:r>
    </w:p>
    <w:p w14:paraId="00115D26" w14:textId="77777777" w:rsidR="0011067D" w:rsidRPr="003A6D48" w:rsidRDefault="0011067D" w:rsidP="0011067D">
      <w:pPr>
        <w:widowControl w:val="0"/>
        <w:autoSpaceDE w:val="0"/>
        <w:autoSpaceDN w:val="0"/>
        <w:spacing w:after="0" w:line="276" w:lineRule="auto"/>
        <w:jc w:val="both"/>
        <w:rPr>
          <w:rFonts w:ascii="Verdana" w:hAnsi="Verdana" w:cs="Arial"/>
          <w:lang w:val="es-ES_tradnl"/>
        </w:rPr>
      </w:pPr>
      <w:r w:rsidRPr="003A6D48">
        <w:rPr>
          <w:rFonts w:ascii="Verdana" w:hAnsi="Verdana" w:cs="Arial"/>
        </w:rPr>
        <w:t xml:space="preserve">Este concepto tiene el alcance previsto en el artículo 28 del Código de Procedimiento Administrativo y de lo Contencioso Administrativo </w:t>
      </w:r>
      <w:r w:rsidRPr="003A6D48">
        <w:rPr>
          <w:rFonts w:ascii="Verdana" w:hAnsi="Verdana" w:cs="Arial"/>
          <w:lang w:val="es-ES_tradnl"/>
        </w:rPr>
        <w:t>y las expresiones aquí utilizadas con mayúscula inicial deben ser entendidas con el significado que les otorga el artículo 2.2.1.1.1.3.1. del Decreto 1082 de 2015.</w:t>
      </w:r>
    </w:p>
    <w:p w14:paraId="352F218B" w14:textId="77777777" w:rsidR="0011067D" w:rsidRPr="003A6D48" w:rsidRDefault="0011067D" w:rsidP="0011067D">
      <w:pPr>
        <w:widowControl w:val="0"/>
        <w:autoSpaceDE w:val="0"/>
        <w:autoSpaceDN w:val="0"/>
        <w:spacing w:after="0" w:line="276" w:lineRule="auto"/>
        <w:jc w:val="both"/>
        <w:rPr>
          <w:rFonts w:ascii="Verdana" w:hAnsi="Verdana" w:cs="Arial"/>
        </w:rPr>
      </w:pPr>
    </w:p>
    <w:p w14:paraId="6C26A7D0" w14:textId="77777777" w:rsidR="0011067D" w:rsidRPr="003A6D48" w:rsidRDefault="0011067D" w:rsidP="0011067D">
      <w:pPr>
        <w:spacing w:after="0" w:line="240" w:lineRule="auto"/>
        <w:rPr>
          <w:rFonts w:ascii="Verdana" w:hAnsi="Verdana" w:cs="Arial"/>
          <w:lang w:eastAsia="es-CO"/>
        </w:rPr>
      </w:pPr>
      <w:r w:rsidRPr="003A6D48">
        <w:rPr>
          <w:rFonts w:ascii="Verdana" w:eastAsia="Times New Roman" w:hAnsi="Verdana" w:cs="Arial"/>
          <w:lang w:eastAsia="es-CO"/>
        </w:rPr>
        <w:t>Atentamente,</w:t>
      </w:r>
      <w:r w:rsidRPr="003A6D48">
        <w:rPr>
          <w:rFonts w:ascii="Verdana" w:hAnsi="Verdana" w:cs="Arial"/>
          <w:lang w:eastAsia="es-CO"/>
        </w:rPr>
        <w:t xml:space="preserve"> </w:t>
      </w:r>
    </w:p>
    <w:p w14:paraId="2200C7A2" w14:textId="36B8145C" w:rsidR="0011067D" w:rsidRPr="003A6D48" w:rsidRDefault="00913422" w:rsidP="0011067D">
      <w:pPr>
        <w:spacing w:line="276" w:lineRule="auto"/>
        <w:jc w:val="center"/>
        <w:rPr>
          <w:rFonts w:ascii="Verdana" w:hAnsi="Verdana" w:cs="Arial"/>
          <w:color w:val="000000"/>
          <w:lang w:val="es-ES_tradnl" w:eastAsia="es-CO"/>
        </w:rPr>
      </w:pPr>
      <w:r>
        <w:rPr>
          <w:noProof/>
        </w:rPr>
        <w:drawing>
          <wp:inline distT="0" distB="0" distL="0" distR="0" wp14:anchorId="4EF1EBD5" wp14:editId="31F11F20">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1067D" w:rsidRPr="003A6D48" w14:paraId="1C4EE062" w14:textId="77777777" w:rsidTr="00C3486D">
        <w:trPr>
          <w:trHeight w:val="315"/>
        </w:trPr>
        <w:tc>
          <w:tcPr>
            <w:tcW w:w="893" w:type="dxa"/>
            <w:vAlign w:val="center"/>
            <w:hideMark/>
          </w:tcPr>
          <w:p w14:paraId="12F74914" w14:textId="77777777" w:rsidR="0011067D" w:rsidRPr="003A6D48" w:rsidRDefault="0011067D" w:rsidP="00C3486D">
            <w:pPr>
              <w:contextualSpacing/>
              <w:rPr>
                <w:rFonts w:ascii="Verdana" w:hAnsi="Verdana" w:cs="Arial"/>
                <w:sz w:val="16"/>
                <w:szCs w:val="16"/>
                <w:lang w:val="es-ES" w:eastAsia="es-ES"/>
              </w:rPr>
            </w:pPr>
            <w:r w:rsidRPr="003A6D4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3BB32B9" w14:textId="77777777" w:rsidR="0011067D" w:rsidRPr="003A6D48" w:rsidRDefault="0011067D" w:rsidP="00C3486D">
            <w:pPr>
              <w:contextualSpacing/>
              <w:rPr>
                <w:rFonts w:ascii="Verdana" w:hAnsi="Verdana"/>
                <w:sz w:val="16"/>
                <w:szCs w:val="16"/>
              </w:rPr>
            </w:pPr>
            <w:r w:rsidRPr="003A6D48">
              <w:rPr>
                <w:rFonts w:ascii="Verdana" w:hAnsi="Verdana"/>
                <w:sz w:val="16"/>
                <w:szCs w:val="16"/>
              </w:rPr>
              <w:t>Tatiana Baquero Iguarán</w:t>
            </w:r>
          </w:p>
          <w:p w14:paraId="2F95AE5D" w14:textId="77777777" w:rsidR="0011067D" w:rsidRPr="003A6D48" w:rsidRDefault="0011067D" w:rsidP="00C3486D">
            <w:pPr>
              <w:contextualSpacing/>
              <w:rPr>
                <w:rFonts w:ascii="Verdana" w:eastAsia="Arial" w:hAnsi="Verdana" w:cs="Arial"/>
                <w:sz w:val="16"/>
                <w:szCs w:val="16"/>
              </w:rPr>
            </w:pPr>
            <w:r w:rsidRPr="003A6D48">
              <w:rPr>
                <w:rFonts w:ascii="Verdana" w:hAnsi="Verdana"/>
                <w:sz w:val="16"/>
                <w:szCs w:val="16"/>
              </w:rPr>
              <w:t>Contratista de la Subdirección de Gestión Contractual</w:t>
            </w:r>
          </w:p>
        </w:tc>
      </w:tr>
      <w:tr w:rsidR="0011067D" w:rsidRPr="003A6D48" w14:paraId="7DAD8F73" w14:textId="77777777" w:rsidTr="00C3486D">
        <w:trPr>
          <w:trHeight w:val="330"/>
        </w:trPr>
        <w:tc>
          <w:tcPr>
            <w:tcW w:w="893" w:type="dxa"/>
            <w:vAlign w:val="center"/>
            <w:hideMark/>
          </w:tcPr>
          <w:p w14:paraId="1902C4BA" w14:textId="77777777" w:rsidR="0011067D" w:rsidRPr="003A6D48" w:rsidRDefault="0011067D" w:rsidP="00C3486D">
            <w:pPr>
              <w:contextualSpacing/>
              <w:rPr>
                <w:rFonts w:ascii="Verdana" w:hAnsi="Verdana" w:cs="Arial"/>
                <w:sz w:val="16"/>
                <w:szCs w:val="16"/>
                <w:lang w:val="es-ES" w:eastAsia="es-ES"/>
              </w:rPr>
            </w:pPr>
            <w:r w:rsidRPr="003A6D48">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A41E518" w14:textId="77777777" w:rsidR="0011067D" w:rsidRPr="003A6D48" w:rsidRDefault="0011067D" w:rsidP="00C3486D">
            <w:pPr>
              <w:spacing w:before="100" w:beforeAutospacing="1" w:afterAutospacing="1"/>
              <w:contextualSpacing/>
              <w:textAlignment w:val="baseline"/>
              <w:rPr>
                <w:rFonts w:ascii="Verdana" w:eastAsia="Times New Roman" w:hAnsi="Verdana" w:cs="Arial"/>
                <w:sz w:val="16"/>
                <w:szCs w:val="16"/>
                <w:lang w:val="es-ES" w:eastAsia="es-ES_tradnl"/>
              </w:rPr>
            </w:pPr>
            <w:r w:rsidRPr="003A6D48">
              <w:rPr>
                <w:rFonts w:ascii="Verdana" w:eastAsia="Times New Roman" w:hAnsi="Verdana" w:cs="Arial"/>
                <w:sz w:val="16"/>
                <w:szCs w:val="16"/>
                <w:lang w:val="es-ES" w:eastAsia="es-ES_tradnl"/>
              </w:rPr>
              <w:t>Alejandro Sarmiento Cantillo</w:t>
            </w:r>
          </w:p>
          <w:p w14:paraId="6CFE952B" w14:textId="77777777" w:rsidR="0011067D" w:rsidRPr="003A6D48" w:rsidRDefault="0011067D" w:rsidP="00C3486D">
            <w:pPr>
              <w:contextualSpacing/>
              <w:textAlignment w:val="baseline"/>
              <w:rPr>
                <w:rFonts w:ascii="Verdana" w:eastAsia="Times New Roman" w:hAnsi="Verdana" w:cs="Segoe UI"/>
                <w:sz w:val="16"/>
                <w:szCs w:val="16"/>
                <w:lang w:eastAsia="es-ES_tradnl"/>
              </w:rPr>
            </w:pPr>
            <w:r w:rsidRPr="003A6D48">
              <w:rPr>
                <w:rFonts w:ascii="Verdana" w:eastAsia="Times New Roman" w:hAnsi="Verdana" w:cs="Arial"/>
                <w:sz w:val="16"/>
                <w:szCs w:val="16"/>
                <w:lang w:val="es-ES" w:eastAsia="es-ES_tradnl"/>
              </w:rPr>
              <w:t>Gestor T1 ‒ 15 de la Subdirección de Gestión Contractual</w:t>
            </w:r>
            <w:r w:rsidRPr="003A6D48">
              <w:rPr>
                <w:rFonts w:ascii="Verdana" w:eastAsia="Times New Roman" w:hAnsi="Verdana" w:cs="Arial"/>
                <w:sz w:val="16"/>
                <w:szCs w:val="16"/>
                <w:lang w:eastAsia="es-ES_tradnl"/>
              </w:rPr>
              <w:t> </w:t>
            </w:r>
          </w:p>
        </w:tc>
      </w:tr>
      <w:tr w:rsidR="0011067D" w:rsidRPr="003A6D48" w14:paraId="679540CC" w14:textId="77777777" w:rsidTr="00C3486D">
        <w:trPr>
          <w:trHeight w:val="300"/>
        </w:trPr>
        <w:tc>
          <w:tcPr>
            <w:tcW w:w="893" w:type="dxa"/>
            <w:vAlign w:val="center"/>
          </w:tcPr>
          <w:p w14:paraId="0665204C" w14:textId="77777777" w:rsidR="0011067D" w:rsidRPr="003A6D48" w:rsidRDefault="0011067D" w:rsidP="00C3486D">
            <w:pPr>
              <w:contextualSpacing/>
              <w:rPr>
                <w:rFonts w:ascii="Verdana" w:hAnsi="Verdana" w:cs="Arial"/>
                <w:sz w:val="16"/>
                <w:szCs w:val="16"/>
                <w:lang w:val="es-ES" w:eastAsia="es-ES"/>
              </w:rPr>
            </w:pPr>
            <w:r w:rsidRPr="003A6D4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094BE47" w14:textId="77777777" w:rsidR="0011067D" w:rsidRPr="003A6D48" w:rsidRDefault="0011067D" w:rsidP="00C3486D">
            <w:pPr>
              <w:contextualSpacing/>
              <w:rPr>
                <w:rFonts w:ascii="Verdana" w:eastAsia="Calibri" w:hAnsi="Verdana" w:cs="Arial"/>
                <w:sz w:val="16"/>
                <w:szCs w:val="16"/>
                <w:lang w:val="pt-BR" w:eastAsia="es-ES"/>
              </w:rPr>
            </w:pPr>
            <w:r w:rsidRPr="003A6D48">
              <w:rPr>
                <w:rFonts w:ascii="Verdana" w:eastAsia="Calibri" w:hAnsi="Verdana" w:cs="Arial"/>
                <w:sz w:val="16"/>
                <w:szCs w:val="16"/>
                <w:lang w:val="pt-BR" w:eastAsia="es-ES"/>
              </w:rPr>
              <w:t xml:space="preserve">Carolina Quintero </w:t>
            </w:r>
            <w:proofErr w:type="spellStart"/>
            <w:r w:rsidRPr="003A6D48">
              <w:rPr>
                <w:rFonts w:ascii="Verdana" w:eastAsia="Calibri" w:hAnsi="Verdana" w:cs="Arial"/>
                <w:sz w:val="16"/>
                <w:szCs w:val="16"/>
                <w:lang w:val="pt-BR" w:eastAsia="es-ES"/>
              </w:rPr>
              <w:t>Gacharná</w:t>
            </w:r>
            <w:proofErr w:type="spellEnd"/>
          </w:p>
          <w:p w14:paraId="15548C40" w14:textId="77777777" w:rsidR="0011067D" w:rsidRPr="003A6D48" w:rsidRDefault="0011067D" w:rsidP="00C3486D">
            <w:pPr>
              <w:contextualSpacing/>
              <w:rPr>
                <w:rFonts w:ascii="Verdana" w:eastAsia="Calibri" w:hAnsi="Verdana" w:cs="Arial"/>
                <w:sz w:val="16"/>
                <w:szCs w:val="16"/>
                <w:lang w:val="pt-BR" w:eastAsia="es-ES"/>
              </w:rPr>
            </w:pPr>
            <w:r w:rsidRPr="003A6D48">
              <w:rPr>
                <w:rFonts w:ascii="Verdana" w:eastAsia="Calibri" w:hAnsi="Verdana" w:cs="Arial"/>
                <w:sz w:val="16"/>
                <w:szCs w:val="16"/>
                <w:lang w:eastAsia="es-ES"/>
              </w:rPr>
              <w:t>Subdirectora</w:t>
            </w:r>
            <w:r w:rsidRPr="003A6D48">
              <w:rPr>
                <w:rFonts w:ascii="Verdana" w:eastAsia="Calibri" w:hAnsi="Verdana" w:cs="Arial"/>
                <w:sz w:val="16"/>
                <w:szCs w:val="16"/>
                <w:lang w:val="pt-BR" w:eastAsia="es-ES"/>
              </w:rPr>
              <w:t xml:space="preserve"> de Gestión Contratual ANCP – CCE</w:t>
            </w:r>
          </w:p>
        </w:tc>
      </w:tr>
    </w:tbl>
    <w:p w14:paraId="63E3D23C" w14:textId="77777777" w:rsidR="0011067D" w:rsidRPr="003A6D48" w:rsidRDefault="0011067D" w:rsidP="0011067D">
      <w:r w:rsidRPr="003A6D48">
        <w:t xml:space="preserve"> </w:t>
      </w:r>
    </w:p>
    <w:p w14:paraId="360538DD" w14:textId="77777777" w:rsidR="0011067D" w:rsidRPr="000E2B93" w:rsidRDefault="0011067D" w:rsidP="0011067D">
      <w:pPr>
        <w:spacing w:after="0" w:line="240" w:lineRule="auto"/>
        <w:jc w:val="both"/>
        <w:textAlignment w:val="baseline"/>
        <w:rPr>
          <w:rFonts w:ascii="Verdana" w:eastAsia="Verdana" w:hAnsi="Verdana" w:cs="Verdana"/>
          <w:lang w:eastAsia="es-CO"/>
        </w:rPr>
      </w:pPr>
    </w:p>
    <w:p w14:paraId="016353CD" w14:textId="3713269F" w:rsidR="0011067D" w:rsidRPr="000E2B93" w:rsidRDefault="0011067D" w:rsidP="0011067D">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5A9286F5" w14:textId="77777777" w:rsidR="0011067D" w:rsidRDefault="0011067D" w:rsidP="0011067D">
      <w:pPr>
        <w:spacing w:after="0" w:line="240" w:lineRule="auto"/>
        <w:jc w:val="both"/>
        <w:textAlignment w:val="baseline"/>
        <w:rPr>
          <w:rFonts w:ascii="Verdana" w:eastAsia="Verdana" w:hAnsi="Verdana" w:cs="Verdana"/>
          <w:lang w:eastAsia="es-CO"/>
        </w:rPr>
      </w:pPr>
    </w:p>
    <w:bookmarkEnd w:id="0"/>
    <w:p w14:paraId="42505AA5" w14:textId="77777777" w:rsidR="0011067D" w:rsidRDefault="0011067D" w:rsidP="0011067D">
      <w:pPr>
        <w:spacing w:after="0" w:line="240" w:lineRule="auto"/>
        <w:textAlignment w:val="baseline"/>
        <w:rPr>
          <w:rFonts w:ascii="Verdana" w:eastAsia="Verdana" w:hAnsi="Verdana" w:cs="Verdana"/>
          <w:b/>
          <w:bCs/>
          <w:lang w:val="es-MX" w:eastAsia="es-CO"/>
        </w:rPr>
      </w:pPr>
    </w:p>
    <w:p w14:paraId="0D51F93B" w14:textId="77777777" w:rsidR="005E184B" w:rsidRPr="0011067D" w:rsidRDefault="005E184B" w:rsidP="0011067D"/>
    <w:sectPr w:rsidR="005E184B" w:rsidRPr="0011067D" w:rsidSect="00C44B4C">
      <w:headerReference w:type="default" r:id="rId22"/>
      <w:footerReference w:type="default" r:id="rId23"/>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EC9C8" w14:textId="77777777" w:rsidR="00E74DFD" w:rsidRDefault="00E74DFD" w:rsidP="00B30448">
      <w:pPr>
        <w:spacing w:after="0" w:line="240" w:lineRule="auto"/>
      </w:pPr>
      <w:r>
        <w:separator/>
      </w:r>
    </w:p>
  </w:endnote>
  <w:endnote w:type="continuationSeparator" w:id="0">
    <w:p w14:paraId="0BB8213E" w14:textId="77777777" w:rsidR="00E74DFD" w:rsidRDefault="00E74DFD" w:rsidP="00B30448">
      <w:pPr>
        <w:spacing w:after="0" w:line="240" w:lineRule="auto"/>
      </w:pPr>
      <w:r>
        <w:continuationSeparator/>
      </w:r>
    </w:p>
  </w:endnote>
  <w:endnote w:type="continuationNotice" w:id="1">
    <w:p w14:paraId="7B67813E" w14:textId="77777777" w:rsidR="00E74DFD" w:rsidRDefault="00E74D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Arial"/>
    <w:panose1 w:val="00000000000000000000"/>
    <w:charset w:val="00"/>
    <w:family w:val="modern"/>
    <w:notTrueType/>
    <w:pitch w:val="variable"/>
    <w:sig w:usb0="A000002F" w:usb1="1000004A" w:usb2="00000000" w:usb3="00000000" w:csb0="00000193"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174B77" w:rsidRDefault="00A81E50" w:rsidP="00A81E50">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FC9CAA9" w14:textId="77777777" w:rsidR="00A81E50" w:rsidRDefault="00A81E50" w:rsidP="00A81E50">
    <w:pPr>
      <w:spacing w:after="0"/>
      <w:jc w:val="both"/>
      <w:rPr>
        <w:rFonts w:ascii="Verdana" w:hAnsi="Verdana"/>
        <w:sz w:val="18"/>
        <w:szCs w:val="18"/>
      </w:rPr>
    </w:pPr>
    <w:r w:rsidRPr="00E41027">
      <w:rPr>
        <w:rFonts w:ascii="Verdana" w:hAnsi="Verdana"/>
        <w:sz w:val="18"/>
        <w:szCs w:val="18"/>
      </w:rPr>
      <w:t>Dirección: Carrera 7 # 26 – 20 - Bogotá, Colombia</w:t>
    </w:r>
  </w:p>
  <w:p w14:paraId="0B709B73" w14:textId="77777777" w:rsidR="00A81E50" w:rsidRPr="00E41027" w:rsidRDefault="00A81E50" w:rsidP="00A81E50">
    <w:pPr>
      <w:spacing w:after="0"/>
      <w:jc w:val="both"/>
      <w:rPr>
        <w:rFonts w:ascii="Verdana" w:hAnsi="Verdana"/>
        <w:sz w:val="18"/>
        <w:szCs w:val="18"/>
      </w:rPr>
    </w:pPr>
    <w:r w:rsidRPr="00E41027">
      <w:rPr>
        <w:rFonts w:ascii="Verdana" w:hAnsi="Verdana"/>
        <w:sz w:val="18"/>
        <w:szCs w:val="18"/>
      </w:rPr>
      <w:t>Mesa de servicio: (+57) 601 7456788</w:t>
    </w:r>
  </w:p>
  <w:p w14:paraId="224AB27F" w14:textId="77777777" w:rsidR="00DD7A2C"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p>
  <w:p w14:paraId="2B8DBB2A" w14:textId="26AE77D2" w:rsidR="00A81E50" w:rsidRDefault="00A81E50" w:rsidP="00DD7A2C">
    <w:pPr>
      <w:pBdr>
        <w:top w:val="nil"/>
        <w:left w:val="nil"/>
        <w:bottom w:val="nil"/>
        <w:right w:val="nil"/>
        <w:between w:val="nil"/>
      </w:pBdr>
      <w:tabs>
        <w:tab w:val="center" w:pos="4419"/>
        <w:tab w:val="right" w:pos="8838"/>
        <w:tab w:val="center" w:pos="5400"/>
      </w:tabs>
      <w:spacing w:after="0"/>
      <w:jc w:val="right"/>
    </w:pP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8ACC98" w14:textId="77777777" w:rsidR="00E74DFD" w:rsidRDefault="00E74DFD" w:rsidP="00B30448">
      <w:pPr>
        <w:spacing w:after="0" w:line="240" w:lineRule="auto"/>
      </w:pPr>
      <w:r>
        <w:separator/>
      </w:r>
    </w:p>
  </w:footnote>
  <w:footnote w:type="continuationSeparator" w:id="0">
    <w:p w14:paraId="2A9492A3" w14:textId="77777777" w:rsidR="00E74DFD" w:rsidRDefault="00E74DFD" w:rsidP="00B30448">
      <w:pPr>
        <w:spacing w:after="0" w:line="240" w:lineRule="auto"/>
      </w:pPr>
      <w:r>
        <w:continuationSeparator/>
      </w:r>
    </w:p>
  </w:footnote>
  <w:footnote w:type="continuationNotice" w:id="1">
    <w:p w14:paraId="0C2FBC4A" w14:textId="77777777" w:rsidR="00E74DFD" w:rsidRDefault="00E74DFD">
      <w:pPr>
        <w:spacing w:after="0" w:line="240" w:lineRule="auto"/>
      </w:pPr>
    </w:p>
  </w:footnote>
  <w:footnote w:id="2">
    <w:p w14:paraId="20F070CC" w14:textId="77777777" w:rsidR="0011067D" w:rsidRDefault="0011067D" w:rsidP="0011067D">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vertAlign w:val="superscript"/>
        </w:rPr>
        <w:t xml:space="preserve"> </w:t>
      </w:r>
      <w:r>
        <w:rPr>
          <w:rFonts w:ascii="Verdana" w:hAnsi="Verdana" w:cs="Arial"/>
          <w:sz w:val="16"/>
          <w:szCs w:val="16"/>
        </w:rPr>
        <w:t>DÁVILA VINUEZA. Luis Guillermo. Régimen jurídico de la contratación estatal. 3ª ed. Bogotá: Temis, 2016. p. 494.</w:t>
      </w:r>
    </w:p>
  </w:footnote>
  <w:footnote w:id="3">
    <w:p w14:paraId="43240133" w14:textId="77777777" w:rsidR="0011067D" w:rsidRDefault="0011067D" w:rsidP="0011067D">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vertAlign w:val="superscript"/>
        </w:rPr>
        <w:t xml:space="preserve"> </w:t>
      </w:r>
      <w:r>
        <w:rPr>
          <w:rFonts w:ascii="Verdana" w:hAnsi="Verdana" w:cs="Arial"/>
          <w:sz w:val="16"/>
          <w:szCs w:val="16"/>
        </w:rPr>
        <w:t>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574ED91E" w14:textId="77777777" w:rsidR="0011067D" w:rsidRDefault="0011067D" w:rsidP="0011067D">
      <w:pPr>
        <w:pStyle w:val="Textonotapie"/>
        <w:ind w:firstLine="708"/>
        <w:jc w:val="both"/>
        <w:rPr>
          <w:rFonts w:ascii="Verdana" w:hAnsi="Verdana" w:cs="Arial"/>
          <w:sz w:val="16"/>
          <w:szCs w:val="16"/>
        </w:rPr>
      </w:pPr>
      <w:r>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footnote>
  <w:footnote w:id="4">
    <w:p w14:paraId="06EC3AB4" w14:textId="77777777" w:rsidR="0011067D" w:rsidRDefault="0011067D" w:rsidP="0011067D">
      <w:pPr>
        <w:spacing w:line="240" w:lineRule="auto"/>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26 de julio de 2016. Exp. 2.257. C.P. Álvaro Namén Vargas.</w:t>
      </w:r>
    </w:p>
  </w:footnote>
  <w:footnote w:id="5">
    <w:p w14:paraId="2F94C6F6" w14:textId="77777777" w:rsidR="0011067D" w:rsidRDefault="0011067D" w:rsidP="0011067D">
      <w:pPr>
        <w:spacing w:line="240" w:lineRule="auto"/>
        <w:ind w:firstLine="708"/>
        <w:contextualSpacing/>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[Referencia propia de la cita] «CE. SCSC. Concepto de 1 de noviembre de 2016 [Rad. 11001-03-06-000-2016-00125-00(2305)]. MP. Germán Alberto Bula Escobar».</w:t>
      </w:r>
    </w:p>
  </w:footnote>
  <w:footnote w:id="6">
    <w:p w14:paraId="79A18E5A" w14:textId="77777777" w:rsidR="0011067D" w:rsidRDefault="0011067D" w:rsidP="0011067D">
      <w:pPr>
        <w:spacing w:line="240" w:lineRule="auto"/>
        <w:ind w:firstLine="708"/>
        <w:contextualSpacing/>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[Referencia propia de la cita] «CE. SCSC. Concepto de 30 de abril de 2008 [Rad. 11001-03-06-000-2008-00013-00(1881)]. MP. Enrique José Arboleda Perdomo. En esta oportunidad, la Sala indicó que el contenido </w:t>
      </w:r>
      <w:r>
        <w:rPr>
          <w:rFonts w:ascii="Verdana" w:hAnsi="Verdana" w:cs="Arial"/>
          <w:i/>
          <w:sz w:val="16"/>
          <w:szCs w:val="16"/>
        </w:rPr>
        <w:t>“obligacional”</w:t>
      </w:r>
      <w:r>
        <w:rPr>
          <w:rFonts w:ascii="Verdana" w:hAnsi="Verdana" w:cs="Arial"/>
          <w:sz w:val="16"/>
          <w:szCs w:val="16"/>
        </w:rPr>
        <w:t xml:space="preserve"> de los convenios se estructura definiendo el resultado querido por las partes y los medios que cada entidad despliega para la obtención del respectivo objeto”.</w:t>
      </w:r>
    </w:p>
  </w:footnote>
  <w:footnote w:id="7">
    <w:p w14:paraId="45DEFB5F" w14:textId="77777777" w:rsidR="0011067D" w:rsidRDefault="0011067D" w:rsidP="0011067D">
      <w:pPr>
        <w:spacing w:line="240" w:lineRule="auto"/>
        <w:ind w:firstLine="709"/>
        <w:contextualSpacing/>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[Referencia propia de la cita] “La normativa vigente del EGCAP </w:t>
      </w:r>
      <w:r>
        <w:rPr>
          <w:rFonts w:ascii="Verdana" w:hAnsi="Verdana" w:cs="Arial"/>
          <w:i/>
          <w:sz w:val="16"/>
          <w:szCs w:val="16"/>
        </w:rPr>
        <w:t>[literal c) del numeral 4. del artículo 2 de la Ley 1150/07]</w:t>
      </w:r>
      <w:r>
        <w:rPr>
          <w:rFonts w:ascii="Verdana" w:hAnsi="Verdana" w:cs="Arial"/>
          <w:sz w:val="16"/>
          <w:szCs w:val="16"/>
        </w:rPr>
        <w:t xml:space="preserve"> se refiere a </w:t>
      </w:r>
      <w:r>
        <w:rPr>
          <w:rFonts w:ascii="Verdana" w:hAnsi="Verdana" w:cs="Arial"/>
          <w:i/>
          <w:sz w:val="16"/>
          <w:szCs w:val="16"/>
        </w:rPr>
        <w:t>“contratos interadministrativos”</w:t>
      </w:r>
      <w:r>
        <w:rPr>
          <w:rFonts w:ascii="Verdana" w:hAnsi="Verdana" w:cs="Arial"/>
          <w:sz w:val="16"/>
          <w:szCs w:val="16"/>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8">
    <w:p w14:paraId="165E3BEA" w14:textId="77777777" w:rsidR="0011067D" w:rsidRDefault="0011067D" w:rsidP="0011067D">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En sentido similar </w:t>
      </w:r>
      <w:r>
        <w:rPr>
          <w:rFonts w:ascii="Verdana" w:hAnsi="Verdana" w:cs="Arial"/>
          <w:sz w:val="16"/>
          <w:szCs w:val="16"/>
          <w:lang w:val="es-ES"/>
        </w:rPr>
        <w:t xml:space="preserve">ver, entre otras, al Consejo de Estado, Sala de lo Contencioso Administrativo, Sección Tercera, sentencia del 22 de octubre de 2021, Rad. 65978, M.P. Martha Nubia Velásquez; Consejo de Estado, Sala de lo Contencioso Administrativo, Sección Tercera, Subsección A, Sentencia del 23 de abril de 2021, Rad. 49148, M.P. María Adriana Marín; Consejo de Estado, Sala de lo Contencioso Administrativo, Sección Tercera, Subsección A, Sentencia del 21 de mayo de 2021, Rad. 66756, M.P. José Roberto Sáchica Méndez; Consejo de Estado, Sala de lo Contencioso Administrativo, Sección Tercera, Subsección C, Auto del 30 de septiembre de 2020, Rad. 65358, M.P. Guillermo Sánchez Luque. </w:t>
      </w:r>
    </w:p>
  </w:footnote>
  <w:footnote w:id="9">
    <w:p w14:paraId="382D2FAA" w14:textId="77777777" w:rsidR="0011067D" w:rsidRDefault="0011067D" w:rsidP="0011067D">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Sobre el particular, en ocasiones el Consejo de Estado ha establecido que en aquellos casos en que se pacte remuneración en el marco de un convenio interadministrativo, independientemente de la denominación que se adopte, el negocio jurídico podría no corresponder a su naturaleza y en consecuencia a sus efectos jurídicos. A juicio de esta corporación “en realidad, los convenios en los cuales las partes se obligan patrimonialmente constituyen contratos en toda la extensión del concepto y con todos los efectos de esa particular institución jurídica”, de manera que indudablemente les será aplicable el EGCAP. (Consejo de Estado. Sala de lo Contencioso Administrativo, Sección Tercera. Sentencia de 23 de junio de 2010, Exp. 1998-00261. C.P. Mauricio Fajardo Gómez). Cfr. Consejo de Estado. Sala de Consulta y Servicio Civil. Concepto de 30 de abril de 2008. Rad. 1881.</w:t>
      </w:r>
    </w:p>
  </w:footnote>
  <w:footnote w:id="10">
    <w:p w14:paraId="388A5451" w14:textId="77777777" w:rsidR="0011067D" w:rsidRDefault="0011067D" w:rsidP="0011067D">
      <w:pPr>
        <w:pStyle w:val="Textonotapie"/>
        <w:ind w:firstLine="709"/>
        <w:jc w:val="both"/>
        <w:rPr>
          <w:rFonts w:ascii="Verdana" w:hAnsi="Verdana" w:cs="Arial"/>
          <w:color w:val="000000"/>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color w:val="000000"/>
          <w:sz w:val="16"/>
          <w:szCs w:val="16"/>
        </w:rPr>
        <w:t>Consejo de Estado. Sala de Consulta y Servicio Civil. Subsección A. Concepto del 26 de julio de 2016. Rad. 2257. consejero Ponente: Álvaro Namén Vargas.</w:t>
      </w:r>
    </w:p>
  </w:footnote>
  <w:footnote w:id="11">
    <w:p w14:paraId="2DD16CD0" w14:textId="77777777" w:rsidR="0011067D" w:rsidRDefault="0011067D" w:rsidP="0011067D">
      <w:pPr>
        <w:pStyle w:val="Textonotapie"/>
        <w:ind w:firstLine="708"/>
        <w:jc w:val="both"/>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w:t>
      </w:r>
      <w:r>
        <w:rPr>
          <w:rFonts w:ascii="Verdana" w:eastAsia="Calibri" w:hAnsi="Verdana" w:cs="Arial"/>
          <w:sz w:val="16"/>
          <w:szCs w:val="16"/>
          <w:lang w:val="es-ES"/>
        </w:rPr>
        <w:t xml:space="preserve">el artículo 14 de la Ley 1150 de 2007 –modificado por el artículo 93 de la Ley 1474 de 2011– dispuso un régimen exceptivo de aplicación del derecho privado para la actividad contractual de las </w:t>
      </w:r>
      <w:bookmarkStart w:id="3" w:name="_Hlk75850758"/>
      <w:r>
        <w:rPr>
          <w:rFonts w:ascii="Verdana" w:eastAsia="Calibri" w:hAnsi="Verdana" w:cs="Arial"/>
          <w:sz w:val="16"/>
          <w:szCs w:val="16"/>
          <w:lang w:val="es-ES"/>
        </w:rPr>
        <w:t>EICE</w:t>
      </w:r>
      <w:bookmarkEnd w:id="3"/>
      <w:r>
        <w:rPr>
          <w:rFonts w:ascii="Verdana" w:eastAsia="Calibri" w:hAnsi="Verdana" w:cs="Arial"/>
          <w:sz w:val="16"/>
          <w:szCs w:val="16"/>
          <w:lang w:val="es-ES"/>
        </w:rPr>
        <w:t xml:space="preserve"> que ejercen su actividad en competencia con el sector público o privado, o en mercados regulados, quedando las otras EICE dentro del ámbito de aplicación del Estatuto General de Contratación de la Administración Pública. El artículo referido establece: “</w:t>
      </w:r>
      <w:r>
        <w:rPr>
          <w:rFonts w:ascii="Verdana" w:eastAsia="Arial" w:hAnsi="Verdana" w:cs="Arial"/>
          <w:sz w:val="16"/>
          <w:szCs w:val="16"/>
          <w:lang w:val="es-ES" w:eastAsia="es-ES" w:bidi="es-ES"/>
        </w:rPr>
        <w:t xml:space="preserve">Artículo 14. Del régimen contractual de las empresas industriales y comerciales del estado, las sociedades de economía mixta, sus filiales y empresas con participación mayoritaria del estado.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w:t>
      </w:r>
      <w:r>
        <w:rPr>
          <w:rFonts w:ascii="Verdana" w:eastAsia="Arial" w:hAnsi="Verdana" w:cs="Arial"/>
          <w:i/>
          <w:iCs/>
          <w:sz w:val="16"/>
          <w:szCs w:val="16"/>
          <w:lang w:val="es-ES" w:eastAsia="es-ES" w:bidi="es-ES"/>
        </w:rPr>
        <w:t>estarán sometidas al Estatuto General de Contratación de la Administración Pública, con excepción de aquellas que desarrollen actividades comerciales en competencia con el sector privado y/o público, nacional o internacional o en mercados regulados</w:t>
      </w:r>
      <w:r>
        <w:rPr>
          <w:rFonts w:ascii="Verdana" w:eastAsia="Arial" w:hAnsi="Verdana" w:cs="Arial"/>
          <w:sz w:val="16"/>
          <w:szCs w:val="16"/>
          <w:lang w:val="es-ES" w:eastAsia="es-ES" w:bidi="es-ES"/>
        </w:rPr>
        <w:t xml:space="preserve">, </w:t>
      </w:r>
      <w:bookmarkStart w:id="4" w:name="_Hlk75720889"/>
      <w:r>
        <w:rPr>
          <w:rFonts w:ascii="Verdana" w:eastAsia="Arial" w:hAnsi="Verdana" w:cs="Arial"/>
          <w:sz w:val="16"/>
          <w:szCs w:val="16"/>
          <w:lang w:val="es-ES" w:eastAsia="es-ES" w:bidi="es-ES"/>
        </w:rPr>
        <w:t xml:space="preserve">caso en el cual se regirán por las disposiciones legales y reglamentarias aplicables a sus actividades económicas y comerciales, sin perjuicio de lo previsto en el artículo 13 de la presente ley. </w:t>
      </w:r>
      <w:bookmarkEnd w:id="4"/>
      <w:r>
        <w:rPr>
          <w:rFonts w:ascii="Verdana" w:eastAsia="Arial" w:hAnsi="Verdana" w:cs="Arial"/>
          <w:sz w:val="16"/>
          <w:szCs w:val="16"/>
          <w:lang w:val="es-ES" w:eastAsia="es-ES" w:bidi="es-ES"/>
        </w:rPr>
        <w:t>Se exceptúan los contratos de ciencia y tecnología, que se regirán por la Ley 29 de 1990 y las disposiciones normativas existentes” [Énfasis fuera del texto original]</w:t>
      </w:r>
    </w:p>
  </w:footnote>
  <w:footnote w:id="12">
    <w:p w14:paraId="564822AE" w14:textId="77777777" w:rsidR="0011067D" w:rsidRDefault="0011067D" w:rsidP="0011067D">
      <w:pPr>
        <w:pStyle w:val="Textonotapie"/>
        <w:ind w:firstLine="708"/>
        <w:jc w:val="both"/>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esta ley”, o sea, los de obra, consultoría, prestación de servicios, concesión, encargos fiduciarios y fiducia pública, que se regirían por la regla general, salvo los casos de menor cuantía –previstos en el ordinal a), numeral 1 del artículo 24, original, de la Ley 80 de 1993–. Además, en el parágrafo del artículo 14 de la Ley 80 de 1993, se señaló que “en los contratos que tengan por objeto actividades comerciales o industriales de las entidades estatales que no correspondan a las señaladas en el numeral 2º de este artículo (…) se prescindirá de la utilización de las cláusulas o estipulaciones excepcionales”.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Default="00006F59" w:rsidP="00006F59">
    <w:pPr>
      <w:pStyle w:val="Encabezado"/>
    </w:pPr>
    <w:r>
      <w:rPr>
        <w:rFonts w:ascii="Geomanist Bold" w:hAnsi="Geomanist Bold"/>
        <w:b/>
        <w:bCs/>
        <w:noProof/>
        <w:color w:val="002060"/>
        <w:sz w:val="24"/>
        <w:szCs w:val="24"/>
      </w:rPr>
      <w:drawing>
        <wp:anchor distT="0" distB="0" distL="114300" distR="114300" simplePos="0" relativeHeight="251659776"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203754402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4656"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583774450" name="Imagen 1583774450"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Default="00006F59" w:rsidP="00006F59">
    <w:pPr>
      <w:pStyle w:val="Encabezado"/>
      <w:jc w:val="center"/>
    </w:pPr>
  </w:p>
  <w:p w14:paraId="1665FD71" w14:textId="77777777" w:rsidR="00006F59" w:rsidRDefault="00006F59" w:rsidP="00006F59">
    <w:pPr>
      <w:pStyle w:val="Encabezado"/>
    </w:pPr>
  </w:p>
  <w:p w14:paraId="61B882FC" w14:textId="77777777" w:rsidR="00006F59" w:rsidRDefault="00006F59" w:rsidP="00006F59">
    <w:pPr>
      <w:spacing w:after="0"/>
      <w:rPr>
        <w:rFonts w:ascii="Verdana" w:hAnsi="Verdana"/>
        <w:b/>
        <w:bCs/>
        <w:sz w:val="24"/>
        <w:szCs w:val="24"/>
      </w:rPr>
    </w:pPr>
  </w:p>
  <w:p w14:paraId="701A9D55" w14:textId="29EB49FC" w:rsidR="00006F59" w:rsidRPr="00A211EE" w:rsidRDefault="00006F59" w:rsidP="001918F1">
    <w:pPr>
      <w:tabs>
        <w:tab w:val="left" w:pos="6217"/>
      </w:tabs>
      <w:spacing w:after="0"/>
      <w:rPr>
        <w:rFonts w:ascii="Verdana" w:hAnsi="Verdana"/>
        <w:b/>
        <w:bCs/>
        <w:sz w:val="24"/>
        <w:szCs w:val="24"/>
      </w:rPr>
    </w:pPr>
    <w:r w:rsidRPr="00A211EE">
      <w:rPr>
        <w:rFonts w:ascii="Verdana" w:hAnsi="Verdana"/>
        <w:b/>
        <w:bCs/>
        <w:sz w:val="24"/>
        <w:szCs w:val="24"/>
      </w:rPr>
      <w:t>FORMATO PQRSD</w:t>
    </w:r>
  </w:p>
  <w:p w14:paraId="68E0C024" w14:textId="62811F13" w:rsidR="00B30448" w:rsidRPr="00006F59"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EE21C57"/>
    <w:multiLevelType w:val="hybridMultilevel"/>
    <w:tmpl w:val="C2B668A0"/>
    <w:lvl w:ilvl="0" w:tplc="47EA4482">
      <w:start w:val="1"/>
      <w:numFmt w:val="lowerRoman"/>
      <w:lvlText w:val="%1)"/>
      <w:lvlJc w:val="left"/>
      <w:pPr>
        <w:ind w:left="1080" w:hanging="720"/>
      </w:pPr>
      <w:rPr>
        <w:color w:val="000000" w:themeColor="text1"/>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C70657F"/>
    <w:multiLevelType w:val="hybridMultilevel"/>
    <w:tmpl w:val="EF089260"/>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7" w15:restartNumberingAfterBreak="0">
    <w:nsid w:val="57B57427"/>
    <w:multiLevelType w:val="hybridMultilevel"/>
    <w:tmpl w:val="A88A5E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9" w15:restartNumberingAfterBreak="0">
    <w:nsid w:val="71CC6F5F"/>
    <w:multiLevelType w:val="hybridMultilevel"/>
    <w:tmpl w:val="EC1A41B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16cid:durableId="1822191344">
    <w:abstractNumId w:val="0"/>
  </w:num>
  <w:num w:numId="2" w16cid:durableId="503322225">
    <w:abstractNumId w:val="3"/>
  </w:num>
  <w:num w:numId="3" w16cid:durableId="89088677">
    <w:abstractNumId w:val="4"/>
  </w:num>
  <w:num w:numId="4" w16cid:durableId="263002292">
    <w:abstractNumId w:val="4"/>
  </w:num>
  <w:num w:numId="5" w16cid:durableId="2113670362">
    <w:abstractNumId w:val="6"/>
  </w:num>
  <w:num w:numId="6" w16cid:durableId="137850898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80935261">
    <w:abstractNumId w:val="7"/>
  </w:num>
  <w:num w:numId="8" w16cid:durableId="809439455">
    <w:abstractNumId w:val="9"/>
  </w:num>
  <w:num w:numId="9" w16cid:durableId="20089700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9418375">
    <w:abstractNumId w:val="1"/>
  </w:num>
  <w:num w:numId="11" w16cid:durableId="1530217525">
    <w:abstractNumId w:val="1"/>
  </w:num>
  <w:num w:numId="12" w16cid:durableId="90715647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757"/>
    <w:rsid w:val="00002D55"/>
    <w:rsid w:val="00005237"/>
    <w:rsid w:val="000059AE"/>
    <w:rsid w:val="00005BB0"/>
    <w:rsid w:val="00006E3E"/>
    <w:rsid w:val="00006F59"/>
    <w:rsid w:val="0001025F"/>
    <w:rsid w:val="0001222D"/>
    <w:rsid w:val="000126CC"/>
    <w:rsid w:val="00012929"/>
    <w:rsid w:val="00015FE7"/>
    <w:rsid w:val="00016280"/>
    <w:rsid w:val="00016F04"/>
    <w:rsid w:val="000215C0"/>
    <w:rsid w:val="0002464B"/>
    <w:rsid w:val="0003082D"/>
    <w:rsid w:val="00030F7C"/>
    <w:rsid w:val="00031EAF"/>
    <w:rsid w:val="00033390"/>
    <w:rsid w:val="000369C0"/>
    <w:rsid w:val="000408AD"/>
    <w:rsid w:val="00042DD7"/>
    <w:rsid w:val="000442CC"/>
    <w:rsid w:val="00044B24"/>
    <w:rsid w:val="00047152"/>
    <w:rsid w:val="00050C95"/>
    <w:rsid w:val="000528BE"/>
    <w:rsid w:val="00053F8D"/>
    <w:rsid w:val="000561E8"/>
    <w:rsid w:val="0005620B"/>
    <w:rsid w:val="000577D3"/>
    <w:rsid w:val="00057963"/>
    <w:rsid w:val="000622B9"/>
    <w:rsid w:val="000631C9"/>
    <w:rsid w:val="00065C6D"/>
    <w:rsid w:val="000716AB"/>
    <w:rsid w:val="00071AB8"/>
    <w:rsid w:val="00076F81"/>
    <w:rsid w:val="00077CB3"/>
    <w:rsid w:val="0008462E"/>
    <w:rsid w:val="000867B4"/>
    <w:rsid w:val="00087073"/>
    <w:rsid w:val="00087C01"/>
    <w:rsid w:val="00090483"/>
    <w:rsid w:val="00093593"/>
    <w:rsid w:val="00094663"/>
    <w:rsid w:val="00095410"/>
    <w:rsid w:val="000A3BEE"/>
    <w:rsid w:val="000B1FF7"/>
    <w:rsid w:val="000B4024"/>
    <w:rsid w:val="000B42C3"/>
    <w:rsid w:val="000C01CF"/>
    <w:rsid w:val="000C060A"/>
    <w:rsid w:val="000C09DF"/>
    <w:rsid w:val="000C2B25"/>
    <w:rsid w:val="000C42A9"/>
    <w:rsid w:val="000D01D1"/>
    <w:rsid w:val="000D5A0F"/>
    <w:rsid w:val="000E0A59"/>
    <w:rsid w:val="000E3744"/>
    <w:rsid w:val="000F0144"/>
    <w:rsid w:val="000F1AD8"/>
    <w:rsid w:val="000F1B45"/>
    <w:rsid w:val="000F38D9"/>
    <w:rsid w:val="000F414C"/>
    <w:rsid w:val="000F49F9"/>
    <w:rsid w:val="000F54C2"/>
    <w:rsid w:val="000F718E"/>
    <w:rsid w:val="000F7450"/>
    <w:rsid w:val="001010D3"/>
    <w:rsid w:val="0010274B"/>
    <w:rsid w:val="0010313F"/>
    <w:rsid w:val="00107FEA"/>
    <w:rsid w:val="0011037E"/>
    <w:rsid w:val="0011067D"/>
    <w:rsid w:val="00110F73"/>
    <w:rsid w:val="00111E35"/>
    <w:rsid w:val="0011249C"/>
    <w:rsid w:val="00112EBD"/>
    <w:rsid w:val="001132C2"/>
    <w:rsid w:val="00125872"/>
    <w:rsid w:val="00125D81"/>
    <w:rsid w:val="0012661F"/>
    <w:rsid w:val="00127026"/>
    <w:rsid w:val="00131A66"/>
    <w:rsid w:val="0013343F"/>
    <w:rsid w:val="001344F9"/>
    <w:rsid w:val="00135A2E"/>
    <w:rsid w:val="00135BC6"/>
    <w:rsid w:val="001363C7"/>
    <w:rsid w:val="00136E87"/>
    <w:rsid w:val="001417B5"/>
    <w:rsid w:val="001426E3"/>
    <w:rsid w:val="00143F21"/>
    <w:rsid w:val="0014420C"/>
    <w:rsid w:val="0014663F"/>
    <w:rsid w:val="00151465"/>
    <w:rsid w:val="00151AD8"/>
    <w:rsid w:val="00152BAB"/>
    <w:rsid w:val="00153287"/>
    <w:rsid w:val="00153C33"/>
    <w:rsid w:val="00161E13"/>
    <w:rsid w:val="00162242"/>
    <w:rsid w:val="00164196"/>
    <w:rsid w:val="00164803"/>
    <w:rsid w:val="00164AE0"/>
    <w:rsid w:val="0016646A"/>
    <w:rsid w:val="00166AEF"/>
    <w:rsid w:val="0017120C"/>
    <w:rsid w:val="00171F1A"/>
    <w:rsid w:val="00172DDC"/>
    <w:rsid w:val="00172F3A"/>
    <w:rsid w:val="00173477"/>
    <w:rsid w:val="00175BE0"/>
    <w:rsid w:val="001811FC"/>
    <w:rsid w:val="001859B2"/>
    <w:rsid w:val="001918F1"/>
    <w:rsid w:val="0019196E"/>
    <w:rsid w:val="00193601"/>
    <w:rsid w:val="00194A14"/>
    <w:rsid w:val="00197205"/>
    <w:rsid w:val="001A3D89"/>
    <w:rsid w:val="001B143B"/>
    <w:rsid w:val="001B1500"/>
    <w:rsid w:val="001B21CA"/>
    <w:rsid w:val="001B599F"/>
    <w:rsid w:val="001B5A00"/>
    <w:rsid w:val="001C1745"/>
    <w:rsid w:val="001D0715"/>
    <w:rsid w:val="001D0D32"/>
    <w:rsid w:val="001D0F23"/>
    <w:rsid w:val="001D1AB9"/>
    <w:rsid w:val="001D4853"/>
    <w:rsid w:val="001D733B"/>
    <w:rsid w:val="001E0902"/>
    <w:rsid w:val="001E3A17"/>
    <w:rsid w:val="001E3FCB"/>
    <w:rsid w:val="001E7FBC"/>
    <w:rsid w:val="001F15F6"/>
    <w:rsid w:val="001F179C"/>
    <w:rsid w:val="001F2BC7"/>
    <w:rsid w:val="001F3496"/>
    <w:rsid w:val="001F3F70"/>
    <w:rsid w:val="001F4355"/>
    <w:rsid w:val="002000AA"/>
    <w:rsid w:val="00201E12"/>
    <w:rsid w:val="00202B6D"/>
    <w:rsid w:val="00202B97"/>
    <w:rsid w:val="00204109"/>
    <w:rsid w:val="00204ED9"/>
    <w:rsid w:val="00212897"/>
    <w:rsid w:val="002150CE"/>
    <w:rsid w:val="00215516"/>
    <w:rsid w:val="00216EFA"/>
    <w:rsid w:val="00221841"/>
    <w:rsid w:val="002267D2"/>
    <w:rsid w:val="00227307"/>
    <w:rsid w:val="0023200E"/>
    <w:rsid w:val="00232657"/>
    <w:rsid w:val="0023310E"/>
    <w:rsid w:val="002335EF"/>
    <w:rsid w:val="00235F30"/>
    <w:rsid w:val="0023601D"/>
    <w:rsid w:val="002407CE"/>
    <w:rsid w:val="002450F2"/>
    <w:rsid w:val="00245B4F"/>
    <w:rsid w:val="00247BDE"/>
    <w:rsid w:val="00251CED"/>
    <w:rsid w:val="0025292E"/>
    <w:rsid w:val="00252ED7"/>
    <w:rsid w:val="00253366"/>
    <w:rsid w:val="00254A7A"/>
    <w:rsid w:val="00254EA4"/>
    <w:rsid w:val="0025575F"/>
    <w:rsid w:val="0025651C"/>
    <w:rsid w:val="00257F80"/>
    <w:rsid w:val="002625AE"/>
    <w:rsid w:val="00263304"/>
    <w:rsid w:val="00264C7C"/>
    <w:rsid w:val="0026731D"/>
    <w:rsid w:val="00270443"/>
    <w:rsid w:val="00270EE2"/>
    <w:rsid w:val="00272A7B"/>
    <w:rsid w:val="00273527"/>
    <w:rsid w:val="00274209"/>
    <w:rsid w:val="00274B06"/>
    <w:rsid w:val="00275D7F"/>
    <w:rsid w:val="00277139"/>
    <w:rsid w:val="00281EA5"/>
    <w:rsid w:val="002824D3"/>
    <w:rsid w:val="00285B5D"/>
    <w:rsid w:val="002860FD"/>
    <w:rsid w:val="00286BFE"/>
    <w:rsid w:val="0028709F"/>
    <w:rsid w:val="00297785"/>
    <w:rsid w:val="002977EE"/>
    <w:rsid w:val="002A0E68"/>
    <w:rsid w:val="002A0F8D"/>
    <w:rsid w:val="002A5311"/>
    <w:rsid w:val="002A6AC5"/>
    <w:rsid w:val="002B30D4"/>
    <w:rsid w:val="002B3A46"/>
    <w:rsid w:val="002B3F1C"/>
    <w:rsid w:val="002B6E44"/>
    <w:rsid w:val="002C08C9"/>
    <w:rsid w:val="002C11CB"/>
    <w:rsid w:val="002C7E5B"/>
    <w:rsid w:val="002D0E9E"/>
    <w:rsid w:val="002D10F2"/>
    <w:rsid w:val="002D38D9"/>
    <w:rsid w:val="002D3CDE"/>
    <w:rsid w:val="002E26E8"/>
    <w:rsid w:val="002E43B8"/>
    <w:rsid w:val="002E7A61"/>
    <w:rsid w:val="002F15D4"/>
    <w:rsid w:val="002F188D"/>
    <w:rsid w:val="002F18A5"/>
    <w:rsid w:val="002F2EDF"/>
    <w:rsid w:val="002F317F"/>
    <w:rsid w:val="002F4AEB"/>
    <w:rsid w:val="002F52D9"/>
    <w:rsid w:val="002F6BF8"/>
    <w:rsid w:val="002F7AA9"/>
    <w:rsid w:val="0030207A"/>
    <w:rsid w:val="00311358"/>
    <w:rsid w:val="00311739"/>
    <w:rsid w:val="00314E28"/>
    <w:rsid w:val="00314F5B"/>
    <w:rsid w:val="00314FAF"/>
    <w:rsid w:val="003162A5"/>
    <w:rsid w:val="00320C6D"/>
    <w:rsid w:val="00325A3D"/>
    <w:rsid w:val="0032673A"/>
    <w:rsid w:val="00327D10"/>
    <w:rsid w:val="0033601B"/>
    <w:rsid w:val="00340039"/>
    <w:rsid w:val="00340DFB"/>
    <w:rsid w:val="0034249E"/>
    <w:rsid w:val="00343B47"/>
    <w:rsid w:val="00343CB4"/>
    <w:rsid w:val="0034404F"/>
    <w:rsid w:val="0034450E"/>
    <w:rsid w:val="00345F01"/>
    <w:rsid w:val="00351E21"/>
    <w:rsid w:val="00352327"/>
    <w:rsid w:val="0035635F"/>
    <w:rsid w:val="00356613"/>
    <w:rsid w:val="00357058"/>
    <w:rsid w:val="003605E1"/>
    <w:rsid w:val="003617AE"/>
    <w:rsid w:val="003651AC"/>
    <w:rsid w:val="00366120"/>
    <w:rsid w:val="00366A0C"/>
    <w:rsid w:val="00367462"/>
    <w:rsid w:val="00370507"/>
    <w:rsid w:val="003728FB"/>
    <w:rsid w:val="00372A01"/>
    <w:rsid w:val="003751C7"/>
    <w:rsid w:val="00375C84"/>
    <w:rsid w:val="003819F5"/>
    <w:rsid w:val="003822C5"/>
    <w:rsid w:val="0038279C"/>
    <w:rsid w:val="003839AF"/>
    <w:rsid w:val="00383D46"/>
    <w:rsid w:val="0039082A"/>
    <w:rsid w:val="0039101F"/>
    <w:rsid w:val="003968DF"/>
    <w:rsid w:val="003A6E29"/>
    <w:rsid w:val="003B1844"/>
    <w:rsid w:val="003B4AB7"/>
    <w:rsid w:val="003C0F87"/>
    <w:rsid w:val="003C3503"/>
    <w:rsid w:val="003C3829"/>
    <w:rsid w:val="003C4C96"/>
    <w:rsid w:val="003C55E0"/>
    <w:rsid w:val="003D0079"/>
    <w:rsid w:val="003D01DD"/>
    <w:rsid w:val="003D3B5B"/>
    <w:rsid w:val="003E0E25"/>
    <w:rsid w:val="003E2C42"/>
    <w:rsid w:val="003F5B9F"/>
    <w:rsid w:val="00401A85"/>
    <w:rsid w:val="00403634"/>
    <w:rsid w:val="00404592"/>
    <w:rsid w:val="0040544F"/>
    <w:rsid w:val="004064CA"/>
    <w:rsid w:val="0040675E"/>
    <w:rsid w:val="0041160A"/>
    <w:rsid w:val="00411B17"/>
    <w:rsid w:val="0041222D"/>
    <w:rsid w:val="00415FC1"/>
    <w:rsid w:val="0042057C"/>
    <w:rsid w:val="00421608"/>
    <w:rsid w:val="00422749"/>
    <w:rsid w:val="0042468F"/>
    <w:rsid w:val="00426BEA"/>
    <w:rsid w:val="004305BB"/>
    <w:rsid w:val="00437CCA"/>
    <w:rsid w:val="004410D3"/>
    <w:rsid w:val="00442D5B"/>
    <w:rsid w:val="00443A7A"/>
    <w:rsid w:val="004463C3"/>
    <w:rsid w:val="00446E9F"/>
    <w:rsid w:val="00447FB4"/>
    <w:rsid w:val="00450744"/>
    <w:rsid w:val="00450BE7"/>
    <w:rsid w:val="00451459"/>
    <w:rsid w:val="0045230E"/>
    <w:rsid w:val="00454200"/>
    <w:rsid w:val="00454524"/>
    <w:rsid w:val="00455B00"/>
    <w:rsid w:val="00455B18"/>
    <w:rsid w:val="00455F99"/>
    <w:rsid w:val="00456BFD"/>
    <w:rsid w:val="004614AD"/>
    <w:rsid w:val="00464BD4"/>
    <w:rsid w:val="004676E4"/>
    <w:rsid w:val="00470C48"/>
    <w:rsid w:val="00470D28"/>
    <w:rsid w:val="00471429"/>
    <w:rsid w:val="00477459"/>
    <w:rsid w:val="0048026E"/>
    <w:rsid w:val="00480738"/>
    <w:rsid w:val="004807A9"/>
    <w:rsid w:val="00480917"/>
    <w:rsid w:val="00481318"/>
    <w:rsid w:val="004813EE"/>
    <w:rsid w:val="00481995"/>
    <w:rsid w:val="00485702"/>
    <w:rsid w:val="00486CC4"/>
    <w:rsid w:val="00486F92"/>
    <w:rsid w:val="00487662"/>
    <w:rsid w:val="004876C6"/>
    <w:rsid w:val="00487AC8"/>
    <w:rsid w:val="00490F7A"/>
    <w:rsid w:val="00490FD5"/>
    <w:rsid w:val="00491241"/>
    <w:rsid w:val="004914F8"/>
    <w:rsid w:val="00493278"/>
    <w:rsid w:val="00497575"/>
    <w:rsid w:val="004A12C0"/>
    <w:rsid w:val="004A419E"/>
    <w:rsid w:val="004B06C3"/>
    <w:rsid w:val="004B0B09"/>
    <w:rsid w:val="004B0E72"/>
    <w:rsid w:val="004B140F"/>
    <w:rsid w:val="004B2D06"/>
    <w:rsid w:val="004B4107"/>
    <w:rsid w:val="004B5D6E"/>
    <w:rsid w:val="004B60BA"/>
    <w:rsid w:val="004B72DA"/>
    <w:rsid w:val="004C0FF6"/>
    <w:rsid w:val="004C1619"/>
    <w:rsid w:val="004C1B59"/>
    <w:rsid w:val="004C4EA2"/>
    <w:rsid w:val="004C60E7"/>
    <w:rsid w:val="004D11AF"/>
    <w:rsid w:val="004D3CF3"/>
    <w:rsid w:val="004D5A76"/>
    <w:rsid w:val="004D5E56"/>
    <w:rsid w:val="004D60A3"/>
    <w:rsid w:val="004E016A"/>
    <w:rsid w:val="004E1E0D"/>
    <w:rsid w:val="004E2358"/>
    <w:rsid w:val="004E29B1"/>
    <w:rsid w:val="004E3AD3"/>
    <w:rsid w:val="004E461B"/>
    <w:rsid w:val="004F0D19"/>
    <w:rsid w:val="004F467A"/>
    <w:rsid w:val="004F4C75"/>
    <w:rsid w:val="004F5B68"/>
    <w:rsid w:val="004F62E8"/>
    <w:rsid w:val="004F78F8"/>
    <w:rsid w:val="0050166F"/>
    <w:rsid w:val="005019AA"/>
    <w:rsid w:val="00502621"/>
    <w:rsid w:val="00503CE7"/>
    <w:rsid w:val="005042DB"/>
    <w:rsid w:val="0050519A"/>
    <w:rsid w:val="0051022D"/>
    <w:rsid w:val="005147DA"/>
    <w:rsid w:val="00515745"/>
    <w:rsid w:val="00515862"/>
    <w:rsid w:val="00516942"/>
    <w:rsid w:val="00516E20"/>
    <w:rsid w:val="005233F3"/>
    <w:rsid w:val="0052365C"/>
    <w:rsid w:val="005245D2"/>
    <w:rsid w:val="00525831"/>
    <w:rsid w:val="00525B59"/>
    <w:rsid w:val="0052670F"/>
    <w:rsid w:val="005269C4"/>
    <w:rsid w:val="00533DBF"/>
    <w:rsid w:val="00536442"/>
    <w:rsid w:val="005426DB"/>
    <w:rsid w:val="005451F5"/>
    <w:rsid w:val="00546A25"/>
    <w:rsid w:val="00550113"/>
    <w:rsid w:val="0055082B"/>
    <w:rsid w:val="0055211C"/>
    <w:rsid w:val="0055263A"/>
    <w:rsid w:val="00552B57"/>
    <w:rsid w:val="00560CD0"/>
    <w:rsid w:val="00561979"/>
    <w:rsid w:val="00563ADE"/>
    <w:rsid w:val="00566680"/>
    <w:rsid w:val="00572A79"/>
    <w:rsid w:val="0057372E"/>
    <w:rsid w:val="00574614"/>
    <w:rsid w:val="00580A63"/>
    <w:rsid w:val="00582F33"/>
    <w:rsid w:val="00583431"/>
    <w:rsid w:val="005872DD"/>
    <w:rsid w:val="00587BD9"/>
    <w:rsid w:val="00590E93"/>
    <w:rsid w:val="005915E1"/>
    <w:rsid w:val="00591C75"/>
    <w:rsid w:val="00592D10"/>
    <w:rsid w:val="00593918"/>
    <w:rsid w:val="00593A5F"/>
    <w:rsid w:val="00596EF7"/>
    <w:rsid w:val="005974E5"/>
    <w:rsid w:val="005A09BA"/>
    <w:rsid w:val="005A0ECB"/>
    <w:rsid w:val="005A2079"/>
    <w:rsid w:val="005A3D22"/>
    <w:rsid w:val="005A4DB0"/>
    <w:rsid w:val="005A6AC2"/>
    <w:rsid w:val="005A6B46"/>
    <w:rsid w:val="005A6CB2"/>
    <w:rsid w:val="005A7B26"/>
    <w:rsid w:val="005A7B8E"/>
    <w:rsid w:val="005B012B"/>
    <w:rsid w:val="005B0C87"/>
    <w:rsid w:val="005B2195"/>
    <w:rsid w:val="005B2655"/>
    <w:rsid w:val="005B2A9A"/>
    <w:rsid w:val="005B33F5"/>
    <w:rsid w:val="005B6551"/>
    <w:rsid w:val="005B71A8"/>
    <w:rsid w:val="005C3E9E"/>
    <w:rsid w:val="005C5BED"/>
    <w:rsid w:val="005C5D86"/>
    <w:rsid w:val="005D0BC5"/>
    <w:rsid w:val="005D5B5E"/>
    <w:rsid w:val="005D71E0"/>
    <w:rsid w:val="005D72FC"/>
    <w:rsid w:val="005E1218"/>
    <w:rsid w:val="005E184B"/>
    <w:rsid w:val="005E1B6B"/>
    <w:rsid w:val="005E2281"/>
    <w:rsid w:val="005E41BC"/>
    <w:rsid w:val="005E4CE5"/>
    <w:rsid w:val="005E5455"/>
    <w:rsid w:val="005E667C"/>
    <w:rsid w:val="005E6A1D"/>
    <w:rsid w:val="005E6F12"/>
    <w:rsid w:val="005F077C"/>
    <w:rsid w:val="005F3CE8"/>
    <w:rsid w:val="005F4F41"/>
    <w:rsid w:val="005F74CB"/>
    <w:rsid w:val="00601B63"/>
    <w:rsid w:val="006021B1"/>
    <w:rsid w:val="006040CE"/>
    <w:rsid w:val="0060467D"/>
    <w:rsid w:val="00607390"/>
    <w:rsid w:val="00612A8E"/>
    <w:rsid w:val="006155E2"/>
    <w:rsid w:val="0061569F"/>
    <w:rsid w:val="00615F26"/>
    <w:rsid w:val="00623BC7"/>
    <w:rsid w:val="006241D0"/>
    <w:rsid w:val="00626032"/>
    <w:rsid w:val="00627788"/>
    <w:rsid w:val="006300CD"/>
    <w:rsid w:val="0063017E"/>
    <w:rsid w:val="00631361"/>
    <w:rsid w:val="006318D8"/>
    <w:rsid w:val="00631D4F"/>
    <w:rsid w:val="00633EBE"/>
    <w:rsid w:val="006350E2"/>
    <w:rsid w:val="006350F7"/>
    <w:rsid w:val="00636F7B"/>
    <w:rsid w:val="0064019C"/>
    <w:rsid w:val="00640288"/>
    <w:rsid w:val="006413D8"/>
    <w:rsid w:val="00641C55"/>
    <w:rsid w:val="0064265B"/>
    <w:rsid w:val="00644188"/>
    <w:rsid w:val="00644E4E"/>
    <w:rsid w:val="00652037"/>
    <w:rsid w:val="0065520A"/>
    <w:rsid w:val="00656385"/>
    <w:rsid w:val="0066351C"/>
    <w:rsid w:val="00664693"/>
    <w:rsid w:val="006651CC"/>
    <w:rsid w:val="00665CA1"/>
    <w:rsid w:val="00670702"/>
    <w:rsid w:val="006759B0"/>
    <w:rsid w:val="00675D25"/>
    <w:rsid w:val="00677012"/>
    <w:rsid w:val="006820EC"/>
    <w:rsid w:val="006825B4"/>
    <w:rsid w:val="006829BA"/>
    <w:rsid w:val="00682AF2"/>
    <w:rsid w:val="00687628"/>
    <w:rsid w:val="00690EB8"/>
    <w:rsid w:val="00692297"/>
    <w:rsid w:val="00694A4B"/>
    <w:rsid w:val="006A0B6C"/>
    <w:rsid w:val="006A3C8A"/>
    <w:rsid w:val="006A3E61"/>
    <w:rsid w:val="006A498A"/>
    <w:rsid w:val="006A6737"/>
    <w:rsid w:val="006B2635"/>
    <w:rsid w:val="006B26B1"/>
    <w:rsid w:val="006B3C73"/>
    <w:rsid w:val="006B5D32"/>
    <w:rsid w:val="006B62A6"/>
    <w:rsid w:val="006B7BF8"/>
    <w:rsid w:val="006C262B"/>
    <w:rsid w:val="006C49BF"/>
    <w:rsid w:val="006C5723"/>
    <w:rsid w:val="006C7535"/>
    <w:rsid w:val="006D09FE"/>
    <w:rsid w:val="006D2E57"/>
    <w:rsid w:val="006E0443"/>
    <w:rsid w:val="006E0DCF"/>
    <w:rsid w:val="006E15B7"/>
    <w:rsid w:val="006E200B"/>
    <w:rsid w:val="006E429F"/>
    <w:rsid w:val="006E6F30"/>
    <w:rsid w:val="006F193C"/>
    <w:rsid w:val="006F2A6A"/>
    <w:rsid w:val="006F2B89"/>
    <w:rsid w:val="006F3B81"/>
    <w:rsid w:val="006F44BB"/>
    <w:rsid w:val="006F4F79"/>
    <w:rsid w:val="00702BC3"/>
    <w:rsid w:val="007036FE"/>
    <w:rsid w:val="00705B37"/>
    <w:rsid w:val="00706B65"/>
    <w:rsid w:val="00707530"/>
    <w:rsid w:val="00707C1A"/>
    <w:rsid w:val="0071023D"/>
    <w:rsid w:val="007116CD"/>
    <w:rsid w:val="007155DD"/>
    <w:rsid w:val="007168A0"/>
    <w:rsid w:val="00716C95"/>
    <w:rsid w:val="00717762"/>
    <w:rsid w:val="00721BBD"/>
    <w:rsid w:val="00721FF9"/>
    <w:rsid w:val="00722BBB"/>
    <w:rsid w:val="007273E0"/>
    <w:rsid w:val="00730084"/>
    <w:rsid w:val="00730914"/>
    <w:rsid w:val="00732CFE"/>
    <w:rsid w:val="00732DF0"/>
    <w:rsid w:val="007344AB"/>
    <w:rsid w:val="00741175"/>
    <w:rsid w:val="00742606"/>
    <w:rsid w:val="007441FF"/>
    <w:rsid w:val="00744509"/>
    <w:rsid w:val="007467E4"/>
    <w:rsid w:val="00747569"/>
    <w:rsid w:val="00760EED"/>
    <w:rsid w:val="00761F4F"/>
    <w:rsid w:val="007625F6"/>
    <w:rsid w:val="00762B8B"/>
    <w:rsid w:val="00764AF9"/>
    <w:rsid w:val="00766A57"/>
    <w:rsid w:val="00767B56"/>
    <w:rsid w:val="00772B41"/>
    <w:rsid w:val="00775F64"/>
    <w:rsid w:val="00782E10"/>
    <w:rsid w:val="007830F7"/>
    <w:rsid w:val="007834E9"/>
    <w:rsid w:val="00785819"/>
    <w:rsid w:val="0079134E"/>
    <w:rsid w:val="007930C1"/>
    <w:rsid w:val="00794673"/>
    <w:rsid w:val="00796F7C"/>
    <w:rsid w:val="007970B2"/>
    <w:rsid w:val="00797131"/>
    <w:rsid w:val="007A3F40"/>
    <w:rsid w:val="007A5ACE"/>
    <w:rsid w:val="007A64D6"/>
    <w:rsid w:val="007A6528"/>
    <w:rsid w:val="007B3F87"/>
    <w:rsid w:val="007B73B6"/>
    <w:rsid w:val="007C2F60"/>
    <w:rsid w:val="007C6BC6"/>
    <w:rsid w:val="007D0435"/>
    <w:rsid w:val="007D169B"/>
    <w:rsid w:val="007D26AC"/>
    <w:rsid w:val="007D4B0E"/>
    <w:rsid w:val="007D58E9"/>
    <w:rsid w:val="007D7739"/>
    <w:rsid w:val="007E0428"/>
    <w:rsid w:val="007E2419"/>
    <w:rsid w:val="007E3FF5"/>
    <w:rsid w:val="007E4816"/>
    <w:rsid w:val="007E6C0C"/>
    <w:rsid w:val="007E7AB5"/>
    <w:rsid w:val="007F038C"/>
    <w:rsid w:val="007F222B"/>
    <w:rsid w:val="007F28D3"/>
    <w:rsid w:val="007F3092"/>
    <w:rsid w:val="007F4D9A"/>
    <w:rsid w:val="007F7A38"/>
    <w:rsid w:val="00800F69"/>
    <w:rsid w:val="00801A0E"/>
    <w:rsid w:val="0080662C"/>
    <w:rsid w:val="00807959"/>
    <w:rsid w:val="00807D79"/>
    <w:rsid w:val="00811279"/>
    <w:rsid w:val="008149D8"/>
    <w:rsid w:val="00820148"/>
    <w:rsid w:val="008217C4"/>
    <w:rsid w:val="00821D81"/>
    <w:rsid w:val="00822239"/>
    <w:rsid w:val="0082757E"/>
    <w:rsid w:val="00827B7E"/>
    <w:rsid w:val="00827D77"/>
    <w:rsid w:val="00830561"/>
    <w:rsid w:val="008322C9"/>
    <w:rsid w:val="008342A5"/>
    <w:rsid w:val="00834EA4"/>
    <w:rsid w:val="0083633E"/>
    <w:rsid w:val="0084139B"/>
    <w:rsid w:val="0084143B"/>
    <w:rsid w:val="008427D3"/>
    <w:rsid w:val="008457D2"/>
    <w:rsid w:val="00846212"/>
    <w:rsid w:val="008463C8"/>
    <w:rsid w:val="008468E0"/>
    <w:rsid w:val="00846F07"/>
    <w:rsid w:val="0084738D"/>
    <w:rsid w:val="00850EAB"/>
    <w:rsid w:val="0085281F"/>
    <w:rsid w:val="00852ADD"/>
    <w:rsid w:val="0085388C"/>
    <w:rsid w:val="00860089"/>
    <w:rsid w:val="00861C6C"/>
    <w:rsid w:val="008633B6"/>
    <w:rsid w:val="00864004"/>
    <w:rsid w:val="008755E7"/>
    <w:rsid w:val="00877D03"/>
    <w:rsid w:val="00877E96"/>
    <w:rsid w:val="0088722D"/>
    <w:rsid w:val="00887B37"/>
    <w:rsid w:val="00890598"/>
    <w:rsid w:val="0089065A"/>
    <w:rsid w:val="00890B2A"/>
    <w:rsid w:val="00891D7A"/>
    <w:rsid w:val="00891DEB"/>
    <w:rsid w:val="00891DFC"/>
    <w:rsid w:val="008A0B8D"/>
    <w:rsid w:val="008A4AEC"/>
    <w:rsid w:val="008A5609"/>
    <w:rsid w:val="008A61DD"/>
    <w:rsid w:val="008B1C0E"/>
    <w:rsid w:val="008B2B19"/>
    <w:rsid w:val="008B2E57"/>
    <w:rsid w:val="008B3627"/>
    <w:rsid w:val="008B4356"/>
    <w:rsid w:val="008B486E"/>
    <w:rsid w:val="008B7914"/>
    <w:rsid w:val="008C2C7F"/>
    <w:rsid w:val="008C5D2A"/>
    <w:rsid w:val="008C74FB"/>
    <w:rsid w:val="008C7AF4"/>
    <w:rsid w:val="008C7DA4"/>
    <w:rsid w:val="008D0DEF"/>
    <w:rsid w:val="008D1074"/>
    <w:rsid w:val="008D1079"/>
    <w:rsid w:val="008D3994"/>
    <w:rsid w:val="008D5CE9"/>
    <w:rsid w:val="008D6E81"/>
    <w:rsid w:val="008D7739"/>
    <w:rsid w:val="008E22F8"/>
    <w:rsid w:val="008E2E7F"/>
    <w:rsid w:val="008E4BF3"/>
    <w:rsid w:val="008E6AD9"/>
    <w:rsid w:val="008F27E3"/>
    <w:rsid w:val="008F3AC3"/>
    <w:rsid w:val="009026CB"/>
    <w:rsid w:val="00904038"/>
    <w:rsid w:val="00904857"/>
    <w:rsid w:val="009049AB"/>
    <w:rsid w:val="00904E38"/>
    <w:rsid w:val="009050B7"/>
    <w:rsid w:val="009061B8"/>
    <w:rsid w:val="009070DF"/>
    <w:rsid w:val="009102E6"/>
    <w:rsid w:val="00913422"/>
    <w:rsid w:val="00913DC7"/>
    <w:rsid w:val="00914302"/>
    <w:rsid w:val="00915828"/>
    <w:rsid w:val="00915CD5"/>
    <w:rsid w:val="00916093"/>
    <w:rsid w:val="0091639C"/>
    <w:rsid w:val="00917114"/>
    <w:rsid w:val="009175EE"/>
    <w:rsid w:val="00924172"/>
    <w:rsid w:val="009255FA"/>
    <w:rsid w:val="009262E4"/>
    <w:rsid w:val="00930D2A"/>
    <w:rsid w:val="00932E7E"/>
    <w:rsid w:val="00933C5B"/>
    <w:rsid w:val="0093446A"/>
    <w:rsid w:val="00934CD2"/>
    <w:rsid w:val="009375E5"/>
    <w:rsid w:val="00943E10"/>
    <w:rsid w:val="009442E8"/>
    <w:rsid w:val="00946907"/>
    <w:rsid w:val="00952524"/>
    <w:rsid w:val="0095426C"/>
    <w:rsid w:val="00957CC8"/>
    <w:rsid w:val="00964166"/>
    <w:rsid w:val="009647EE"/>
    <w:rsid w:val="0096562A"/>
    <w:rsid w:val="00965865"/>
    <w:rsid w:val="00967730"/>
    <w:rsid w:val="00971074"/>
    <w:rsid w:val="009747AA"/>
    <w:rsid w:val="00974BCB"/>
    <w:rsid w:val="00984522"/>
    <w:rsid w:val="00985B04"/>
    <w:rsid w:val="00992986"/>
    <w:rsid w:val="00993C09"/>
    <w:rsid w:val="00994B55"/>
    <w:rsid w:val="00995D86"/>
    <w:rsid w:val="009A1F6B"/>
    <w:rsid w:val="009A29B5"/>
    <w:rsid w:val="009A2DD8"/>
    <w:rsid w:val="009A5453"/>
    <w:rsid w:val="009A7883"/>
    <w:rsid w:val="009B5446"/>
    <w:rsid w:val="009B7489"/>
    <w:rsid w:val="009C07C9"/>
    <w:rsid w:val="009C08D7"/>
    <w:rsid w:val="009C4E0D"/>
    <w:rsid w:val="009C5487"/>
    <w:rsid w:val="009C6B03"/>
    <w:rsid w:val="009D04FF"/>
    <w:rsid w:val="009D3954"/>
    <w:rsid w:val="009D3E06"/>
    <w:rsid w:val="009D4AB0"/>
    <w:rsid w:val="009D4EA0"/>
    <w:rsid w:val="009D638D"/>
    <w:rsid w:val="009D7B90"/>
    <w:rsid w:val="009E17AD"/>
    <w:rsid w:val="009E2771"/>
    <w:rsid w:val="009E4885"/>
    <w:rsid w:val="009E508B"/>
    <w:rsid w:val="009E702A"/>
    <w:rsid w:val="009F0A85"/>
    <w:rsid w:val="009F0E4D"/>
    <w:rsid w:val="009F1B71"/>
    <w:rsid w:val="00A0102D"/>
    <w:rsid w:val="00A04847"/>
    <w:rsid w:val="00A05A46"/>
    <w:rsid w:val="00A05E88"/>
    <w:rsid w:val="00A07C91"/>
    <w:rsid w:val="00A07DB6"/>
    <w:rsid w:val="00A11406"/>
    <w:rsid w:val="00A13298"/>
    <w:rsid w:val="00A13ED0"/>
    <w:rsid w:val="00A1554D"/>
    <w:rsid w:val="00A172E0"/>
    <w:rsid w:val="00A212A8"/>
    <w:rsid w:val="00A21B73"/>
    <w:rsid w:val="00A221A3"/>
    <w:rsid w:val="00A223D5"/>
    <w:rsid w:val="00A23F41"/>
    <w:rsid w:val="00A3035C"/>
    <w:rsid w:val="00A31157"/>
    <w:rsid w:val="00A31E14"/>
    <w:rsid w:val="00A37715"/>
    <w:rsid w:val="00A37B0C"/>
    <w:rsid w:val="00A37D1C"/>
    <w:rsid w:val="00A37FFE"/>
    <w:rsid w:val="00A4179A"/>
    <w:rsid w:val="00A41FEF"/>
    <w:rsid w:val="00A42D26"/>
    <w:rsid w:val="00A46921"/>
    <w:rsid w:val="00A46C32"/>
    <w:rsid w:val="00A47249"/>
    <w:rsid w:val="00A513FD"/>
    <w:rsid w:val="00A539AD"/>
    <w:rsid w:val="00A540B2"/>
    <w:rsid w:val="00A55813"/>
    <w:rsid w:val="00A60CA0"/>
    <w:rsid w:val="00A62983"/>
    <w:rsid w:val="00A6444F"/>
    <w:rsid w:val="00A652FF"/>
    <w:rsid w:val="00A6559B"/>
    <w:rsid w:val="00A676E9"/>
    <w:rsid w:val="00A714A3"/>
    <w:rsid w:val="00A75EDC"/>
    <w:rsid w:val="00A769DD"/>
    <w:rsid w:val="00A817A8"/>
    <w:rsid w:val="00A81D0E"/>
    <w:rsid w:val="00A81E50"/>
    <w:rsid w:val="00A82DA0"/>
    <w:rsid w:val="00A83247"/>
    <w:rsid w:val="00A83E49"/>
    <w:rsid w:val="00A841A6"/>
    <w:rsid w:val="00A84221"/>
    <w:rsid w:val="00A84B7A"/>
    <w:rsid w:val="00A9099E"/>
    <w:rsid w:val="00A910D4"/>
    <w:rsid w:val="00A91FB7"/>
    <w:rsid w:val="00A9298F"/>
    <w:rsid w:val="00A9301E"/>
    <w:rsid w:val="00AA180B"/>
    <w:rsid w:val="00AA6B93"/>
    <w:rsid w:val="00AB1984"/>
    <w:rsid w:val="00AB1CBB"/>
    <w:rsid w:val="00AB333E"/>
    <w:rsid w:val="00AC084E"/>
    <w:rsid w:val="00AC2998"/>
    <w:rsid w:val="00AC4CB3"/>
    <w:rsid w:val="00AC71A6"/>
    <w:rsid w:val="00AC742F"/>
    <w:rsid w:val="00AC774F"/>
    <w:rsid w:val="00AC780D"/>
    <w:rsid w:val="00AC787B"/>
    <w:rsid w:val="00AE00F8"/>
    <w:rsid w:val="00AE78ED"/>
    <w:rsid w:val="00AF09AF"/>
    <w:rsid w:val="00AF1117"/>
    <w:rsid w:val="00AF1555"/>
    <w:rsid w:val="00AF3B55"/>
    <w:rsid w:val="00AF3D62"/>
    <w:rsid w:val="00AF504D"/>
    <w:rsid w:val="00AF76DE"/>
    <w:rsid w:val="00B0104B"/>
    <w:rsid w:val="00B018E1"/>
    <w:rsid w:val="00B021E0"/>
    <w:rsid w:val="00B02725"/>
    <w:rsid w:val="00B03A35"/>
    <w:rsid w:val="00B057B6"/>
    <w:rsid w:val="00B05853"/>
    <w:rsid w:val="00B11C80"/>
    <w:rsid w:val="00B12DCA"/>
    <w:rsid w:val="00B2160E"/>
    <w:rsid w:val="00B22870"/>
    <w:rsid w:val="00B24BA7"/>
    <w:rsid w:val="00B268D0"/>
    <w:rsid w:val="00B30448"/>
    <w:rsid w:val="00B31315"/>
    <w:rsid w:val="00B31EEB"/>
    <w:rsid w:val="00B34D6A"/>
    <w:rsid w:val="00B40162"/>
    <w:rsid w:val="00B40B59"/>
    <w:rsid w:val="00B430F6"/>
    <w:rsid w:val="00B45528"/>
    <w:rsid w:val="00B478FA"/>
    <w:rsid w:val="00B50156"/>
    <w:rsid w:val="00B518AD"/>
    <w:rsid w:val="00B555F2"/>
    <w:rsid w:val="00B60A96"/>
    <w:rsid w:val="00B60EB6"/>
    <w:rsid w:val="00B65FBF"/>
    <w:rsid w:val="00B677AB"/>
    <w:rsid w:val="00B71607"/>
    <w:rsid w:val="00B740CC"/>
    <w:rsid w:val="00B74B61"/>
    <w:rsid w:val="00B76327"/>
    <w:rsid w:val="00B76C94"/>
    <w:rsid w:val="00B772D0"/>
    <w:rsid w:val="00B81B5E"/>
    <w:rsid w:val="00B83117"/>
    <w:rsid w:val="00B90766"/>
    <w:rsid w:val="00B91988"/>
    <w:rsid w:val="00B91B81"/>
    <w:rsid w:val="00B920CB"/>
    <w:rsid w:val="00B95C30"/>
    <w:rsid w:val="00B96799"/>
    <w:rsid w:val="00BA0584"/>
    <w:rsid w:val="00BA249D"/>
    <w:rsid w:val="00BA65BD"/>
    <w:rsid w:val="00BA67FD"/>
    <w:rsid w:val="00BB3BE4"/>
    <w:rsid w:val="00BB57D3"/>
    <w:rsid w:val="00BC06E1"/>
    <w:rsid w:val="00BC077E"/>
    <w:rsid w:val="00BC654E"/>
    <w:rsid w:val="00BC7632"/>
    <w:rsid w:val="00BD13C2"/>
    <w:rsid w:val="00BD1BE7"/>
    <w:rsid w:val="00BD2E25"/>
    <w:rsid w:val="00BD45FD"/>
    <w:rsid w:val="00BD48A9"/>
    <w:rsid w:val="00BD658C"/>
    <w:rsid w:val="00BD7EC6"/>
    <w:rsid w:val="00BE086C"/>
    <w:rsid w:val="00BE0FF2"/>
    <w:rsid w:val="00BE2147"/>
    <w:rsid w:val="00BE3B08"/>
    <w:rsid w:val="00BE3C67"/>
    <w:rsid w:val="00BE73FA"/>
    <w:rsid w:val="00BF0353"/>
    <w:rsid w:val="00BF092E"/>
    <w:rsid w:val="00BF2575"/>
    <w:rsid w:val="00BF3F0A"/>
    <w:rsid w:val="00BF6200"/>
    <w:rsid w:val="00BF74E1"/>
    <w:rsid w:val="00C00976"/>
    <w:rsid w:val="00C067F4"/>
    <w:rsid w:val="00C072F0"/>
    <w:rsid w:val="00C07344"/>
    <w:rsid w:val="00C10F09"/>
    <w:rsid w:val="00C13607"/>
    <w:rsid w:val="00C21BBB"/>
    <w:rsid w:val="00C22307"/>
    <w:rsid w:val="00C235A2"/>
    <w:rsid w:val="00C24908"/>
    <w:rsid w:val="00C2515F"/>
    <w:rsid w:val="00C26AEA"/>
    <w:rsid w:val="00C3130D"/>
    <w:rsid w:val="00C31AD4"/>
    <w:rsid w:val="00C31C63"/>
    <w:rsid w:val="00C32481"/>
    <w:rsid w:val="00C33621"/>
    <w:rsid w:val="00C3394C"/>
    <w:rsid w:val="00C3516D"/>
    <w:rsid w:val="00C361A6"/>
    <w:rsid w:val="00C371DF"/>
    <w:rsid w:val="00C37EFC"/>
    <w:rsid w:val="00C37FF9"/>
    <w:rsid w:val="00C41B4A"/>
    <w:rsid w:val="00C41B72"/>
    <w:rsid w:val="00C42C11"/>
    <w:rsid w:val="00C43ADB"/>
    <w:rsid w:val="00C44B4C"/>
    <w:rsid w:val="00C450AB"/>
    <w:rsid w:val="00C45424"/>
    <w:rsid w:val="00C45CCD"/>
    <w:rsid w:val="00C46734"/>
    <w:rsid w:val="00C5105D"/>
    <w:rsid w:val="00C511F0"/>
    <w:rsid w:val="00C51639"/>
    <w:rsid w:val="00C53220"/>
    <w:rsid w:val="00C539E6"/>
    <w:rsid w:val="00C53E9D"/>
    <w:rsid w:val="00C608E9"/>
    <w:rsid w:val="00C621A7"/>
    <w:rsid w:val="00C62D1B"/>
    <w:rsid w:val="00C638A6"/>
    <w:rsid w:val="00C6397E"/>
    <w:rsid w:val="00C64568"/>
    <w:rsid w:val="00C64776"/>
    <w:rsid w:val="00C647DF"/>
    <w:rsid w:val="00C65E56"/>
    <w:rsid w:val="00C71252"/>
    <w:rsid w:val="00C7277F"/>
    <w:rsid w:val="00C74930"/>
    <w:rsid w:val="00C754BD"/>
    <w:rsid w:val="00C774A2"/>
    <w:rsid w:val="00C77648"/>
    <w:rsid w:val="00C8288D"/>
    <w:rsid w:val="00C84C4A"/>
    <w:rsid w:val="00C87C53"/>
    <w:rsid w:val="00C92E34"/>
    <w:rsid w:val="00C94A14"/>
    <w:rsid w:val="00CA3347"/>
    <w:rsid w:val="00CA52E6"/>
    <w:rsid w:val="00CA6FDA"/>
    <w:rsid w:val="00CA77CF"/>
    <w:rsid w:val="00CA78DD"/>
    <w:rsid w:val="00CA7A3D"/>
    <w:rsid w:val="00CB3920"/>
    <w:rsid w:val="00CB3AB7"/>
    <w:rsid w:val="00CB696F"/>
    <w:rsid w:val="00CB781C"/>
    <w:rsid w:val="00CC0FAA"/>
    <w:rsid w:val="00CC299A"/>
    <w:rsid w:val="00CD1270"/>
    <w:rsid w:val="00CD1E9C"/>
    <w:rsid w:val="00CD2E70"/>
    <w:rsid w:val="00CD3D06"/>
    <w:rsid w:val="00CD4A09"/>
    <w:rsid w:val="00CD4C7B"/>
    <w:rsid w:val="00CD5E93"/>
    <w:rsid w:val="00CD7404"/>
    <w:rsid w:val="00CE37A3"/>
    <w:rsid w:val="00CE6B6F"/>
    <w:rsid w:val="00CE7033"/>
    <w:rsid w:val="00CF06CF"/>
    <w:rsid w:val="00CF14A7"/>
    <w:rsid w:val="00CF2DC1"/>
    <w:rsid w:val="00CF2EE2"/>
    <w:rsid w:val="00CF38D9"/>
    <w:rsid w:val="00CF441D"/>
    <w:rsid w:val="00CF4FCF"/>
    <w:rsid w:val="00CF4FDC"/>
    <w:rsid w:val="00CF61CB"/>
    <w:rsid w:val="00D01F5D"/>
    <w:rsid w:val="00D03815"/>
    <w:rsid w:val="00D03DBE"/>
    <w:rsid w:val="00D1060E"/>
    <w:rsid w:val="00D11A69"/>
    <w:rsid w:val="00D1484F"/>
    <w:rsid w:val="00D15D84"/>
    <w:rsid w:val="00D1707A"/>
    <w:rsid w:val="00D21435"/>
    <w:rsid w:val="00D2242C"/>
    <w:rsid w:val="00D23EA9"/>
    <w:rsid w:val="00D258EB"/>
    <w:rsid w:val="00D31730"/>
    <w:rsid w:val="00D327A3"/>
    <w:rsid w:val="00D34C82"/>
    <w:rsid w:val="00D35461"/>
    <w:rsid w:val="00D3617A"/>
    <w:rsid w:val="00D379EC"/>
    <w:rsid w:val="00D4348D"/>
    <w:rsid w:val="00D4383A"/>
    <w:rsid w:val="00D44E42"/>
    <w:rsid w:val="00D44F04"/>
    <w:rsid w:val="00D44FC3"/>
    <w:rsid w:val="00D46A95"/>
    <w:rsid w:val="00D50961"/>
    <w:rsid w:val="00D50A02"/>
    <w:rsid w:val="00D512A1"/>
    <w:rsid w:val="00D538D5"/>
    <w:rsid w:val="00D559B5"/>
    <w:rsid w:val="00D56420"/>
    <w:rsid w:val="00D56BA1"/>
    <w:rsid w:val="00D56C0C"/>
    <w:rsid w:val="00D5798B"/>
    <w:rsid w:val="00D57F51"/>
    <w:rsid w:val="00D622E0"/>
    <w:rsid w:val="00D63967"/>
    <w:rsid w:val="00D6457C"/>
    <w:rsid w:val="00D658EC"/>
    <w:rsid w:val="00D71733"/>
    <w:rsid w:val="00D76759"/>
    <w:rsid w:val="00D769C5"/>
    <w:rsid w:val="00D76E76"/>
    <w:rsid w:val="00D8054E"/>
    <w:rsid w:val="00D80D4B"/>
    <w:rsid w:val="00D81A20"/>
    <w:rsid w:val="00D81F55"/>
    <w:rsid w:val="00D8321A"/>
    <w:rsid w:val="00D86D55"/>
    <w:rsid w:val="00D934BA"/>
    <w:rsid w:val="00D94085"/>
    <w:rsid w:val="00DA1806"/>
    <w:rsid w:val="00DA3986"/>
    <w:rsid w:val="00DA6844"/>
    <w:rsid w:val="00DA73C1"/>
    <w:rsid w:val="00DB2B1B"/>
    <w:rsid w:val="00DB2E1B"/>
    <w:rsid w:val="00DC2C48"/>
    <w:rsid w:val="00DC46B5"/>
    <w:rsid w:val="00DC525E"/>
    <w:rsid w:val="00DC535C"/>
    <w:rsid w:val="00DC5DCB"/>
    <w:rsid w:val="00DC6B53"/>
    <w:rsid w:val="00DD0810"/>
    <w:rsid w:val="00DD512F"/>
    <w:rsid w:val="00DD7631"/>
    <w:rsid w:val="00DD781E"/>
    <w:rsid w:val="00DD7A2C"/>
    <w:rsid w:val="00DD7C0E"/>
    <w:rsid w:val="00DE32E7"/>
    <w:rsid w:val="00DE3BB8"/>
    <w:rsid w:val="00DE5117"/>
    <w:rsid w:val="00DE5648"/>
    <w:rsid w:val="00DE595E"/>
    <w:rsid w:val="00DE62C1"/>
    <w:rsid w:val="00DE70B5"/>
    <w:rsid w:val="00DE7113"/>
    <w:rsid w:val="00DF310B"/>
    <w:rsid w:val="00DF3A8E"/>
    <w:rsid w:val="00DF4617"/>
    <w:rsid w:val="00DF5D6A"/>
    <w:rsid w:val="00DF5FEB"/>
    <w:rsid w:val="00DF764C"/>
    <w:rsid w:val="00E047B4"/>
    <w:rsid w:val="00E127E3"/>
    <w:rsid w:val="00E12ABE"/>
    <w:rsid w:val="00E14818"/>
    <w:rsid w:val="00E1610C"/>
    <w:rsid w:val="00E16660"/>
    <w:rsid w:val="00E16C78"/>
    <w:rsid w:val="00E16D73"/>
    <w:rsid w:val="00E2352B"/>
    <w:rsid w:val="00E26557"/>
    <w:rsid w:val="00E26649"/>
    <w:rsid w:val="00E2672C"/>
    <w:rsid w:val="00E26AFC"/>
    <w:rsid w:val="00E27F0A"/>
    <w:rsid w:val="00E352C3"/>
    <w:rsid w:val="00E37A29"/>
    <w:rsid w:val="00E37DC0"/>
    <w:rsid w:val="00E40432"/>
    <w:rsid w:val="00E40D52"/>
    <w:rsid w:val="00E4194C"/>
    <w:rsid w:val="00E4231E"/>
    <w:rsid w:val="00E43BC0"/>
    <w:rsid w:val="00E44AC7"/>
    <w:rsid w:val="00E45F26"/>
    <w:rsid w:val="00E47411"/>
    <w:rsid w:val="00E5084C"/>
    <w:rsid w:val="00E53F2E"/>
    <w:rsid w:val="00E54221"/>
    <w:rsid w:val="00E5436D"/>
    <w:rsid w:val="00E54BB9"/>
    <w:rsid w:val="00E5735C"/>
    <w:rsid w:val="00E60423"/>
    <w:rsid w:val="00E60A16"/>
    <w:rsid w:val="00E707D0"/>
    <w:rsid w:val="00E74DFD"/>
    <w:rsid w:val="00E76E34"/>
    <w:rsid w:val="00E7747D"/>
    <w:rsid w:val="00E8113E"/>
    <w:rsid w:val="00E81611"/>
    <w:rsid w:val="00E81C5C"/>
    <w:rsid w:val="00E81D6E"/>
    <w:rsid w:val="00E82B6E"/>
    <w:rsid w:val="00E835C5"/>
    <w:rsid w:val="00E83966"/>
    <w:rsid w:val="00E84D1C"/>
    <w:rsid w:val="00E93FDE"/>
    <w:rsid w:val="00E942B8"/>
    <w:rsid w:val="00E945AF"/>
    <w:rsid w:val="00E95799"/>
    <w:rsid w:val="00E9683D"/>
    <w:rsid w:val="00E96F7D"/>
    <w:rsid w:val="00EA010D"/>
    <w:rsid w:val="00EA256E"/>
    <w:rsid w:val="00EA25EB"/>
    <w:rsid w:val="00EA2775"/>
    <w:rsid w:val="00EA41A9"/>
    <w:rsid w:val="00EA612E"/>
    <w:rsid w:val="00EA761C"/>
    <w:rsid w:val="00EA7D7F"/>
    <w:rsid w:val="00EB001D"/>
    <w:rsid w:val="00EB0B5F"/>
    <w:rsid w:val="00EB2FA2"/>
    <w:rsid w:val="00EB769A"/>
    <w:rsid w:val="00EC0165"/>
    <w:rsid w:val="00EC0DD2"/>
    <w:rsid w:val="00EC11E4"/>
    <w:rsid w:val="00EC14E1"/>
    <w:rsid w:val="00EC1947"/>
    <w:rsid w:val="00EC3A35"/>
    <w:rsid w:val="00EC3E69"/>
    <w:rsid w:val="00EC6220"/>
    <w:rsid w:val="00EC6A95"/>
    <w:rsid w:val="00ED171F"/>
    <w:rsid w:val="00ED353D"/>
    <w:rsid w:val="00ED588C"/>
    <w:rsid w:val="00EE0998"/>
    <w:rsid w:val="00EE17F2"/>
    <w:rsid w:val="00EE188A"/>
    <w:rsid w:val="00EE1B01"/>
    <w:rsid w:val="00EE32D0"/>
    <w:rsid w:val="00EE460A"/>
    <w:rsid w:val="00EE6755"/>
    <w:rsid w:val="00EF1A5A"/>
    <w:rsid w:val="00EF2AC7"/>
    <w:rsid w:val="00EF3558"/>
    <w:rsid w:val="00EF493F"/>
    <w:rsid w:val="00EF7ACB"/>
    <w:rsid w:val="00F0303E"/>
    <w:rsid w:val="00F0448C"/>
    <w:rsid w:val="00F05159"/>
    <w:rsid w:val="00F05B0E"/>
    <w:rsid w:val="00F134FD"/>
    <w:rsid w:val="00F17428"/>
    <w:rsid w:val="00F26F7D"/>
    <w:rsid w:val="00F27F06"/>
    <w:rsid w:val="00F314E8"/>
    <w:rsid w:val="00F316A2"/>
    <w:rsid w:val="00F323A2"/>
    <w:rsid w:val="00F33188"/>
    <w:rsid w:val="00F33B57"/>
    <w:rsid w:val="00F33D5C"/>
    <w:rsid w:val="00F35080"/>
    <w:rsid w:val="00F356D6"/>
    <w:rsid w:val="00F35B7A"/>
    <w:rsid w:val="00F37D37"/>
    <w:rsid w:val="00F41139"/>
    <w:rsid w:val="00F454A2"/>
    <w:rsid w:val="00F45E89"/>
    <w:rsid w:val="00F47845"/>
    <w:rsid w:val="00F50B55"/>
    <w:rsid w:val="00F51520"/>
    <w:rsid w:val="00F535A9"/>
    <w:rsid w:val="00F54717"/>
    <w:rsid w:val="00F567A4"/>
    <w:rsid w:val="00F63771"/>
    <w:rsid w:val="00F64D5A"/>
    <w:rsid w:val="00F65D91"/>
    <w:rsid w:val="00F65EA5"/>
    <w:rsid w:val="00F66CB1"/>
    <w:rsid w:val="00F710A9"/>
    <w:rsid w:val="00F72FB0"/>
    <w:rsid w:val="00F737A4"/>
    <w:rsid w:val="00F76A4C"/>
    <w:rsid w:val="00F8389A"/>
    <w:rsid w:val="00F8516E"/>
    <w:rsid w:val="00F87231"/>
    <w:rsid w:val="00F906F4"/>
    <w:rsid w:val="00F915F3"/>
    <w:rsid w:val="00F91800"/>
    <w:rsid w:val="00F91853"/>
    <w:rsid w:val="00F9208E"/>
    <w:rsid w:val="00F92CB5"/>
    <w:rsid w:val="00F95CCE"/>
    <w:rsid w:val="00F9692D"/>
    <w:rsid w:val="00F96BB3"/>
    <w:rsid w:val="00FA0F71"/>
    <w:rsid w:val="00FA2105"/>
    <w:rsid w:val="00FA3A97"/>
    <w:rsid w:val="00FA3AEA"/>
    <w:rsid w:val="00FA4219"/>
    <w:rsid w:val="00FA48C7"/>
    <w:rsid w:val="00FA54FF"/>
    <w:rsid w:val="00FA6536"/>
    <w:rsid w:val="00FA70F5"/>
    <w:rsid w:val="00FB005D"/>
    <w:rsid w:val="00FB2AF2"/>
    <w:rsid w:val="00FB3FEA"/>
    <w:rsid w:val="00FB4629"/>
    <w:rsid w:val="00FB5FC4"/>
    <w:rsid w:val="00FB6A07"/>
    <w:rsid w:val="00FB6FB1"/>
    <w:rsid w:val="00FB76E5"/>
    <w:rsid w:val="00FC21BE"/>
    <w:rsid w:val="00FC325B"/>
    <w:rsid w:val="00FC6D4E"/>
    <w:rsid w:val="00FC736F"/>
    <w:rsid w:val="00FD2B2D"/>
    <w:rsid w:val="00FD39CF"/>
    <w:rsid w:val="00FE2121"/>
    <w:rsid w:val="00FE4B6F"/>
    <w:rsid w:val="00FF1712"/>
    <w:rsid w:val="00FF354B"/>
    <w:rsid w:val="00FF6D3D"/>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448"/>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link w:val="NormalWebCar"/>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Fuerte">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semiHidden/>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semiHidden/>
    <w:rsid w:val="00002D55"/>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B40B5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169395">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512306555">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73388392">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1150_2007.html"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mailto:contratacionestatal2@procuraduria.gov.c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pqrsd/informacion-importante-antes-de-formular-una-pqrs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149D6B-B74B-457B-80DD-FF37596A2B2D}">
  <ds:schemaRefs>
    <ds:schemaRef ds:uri="http://schemas.openxmlformats.org/officeDocument/2006/bibliography"/>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5AF2438-01F6-4029-AA7E-9482DF6F1723}"/>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4677</Words>
  <Characters>25729</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30346</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ANCP</cp:lastModifiedBy>
  <cp:revision>5</cp:revision>
  <dcterms:created xsi:type="dcterms:W3CDTF">2026-05-11T04:06:00Z</dcterms:created>
  <dcterms:modified xsi:type="dcterms:W3CDTF">2026-05-11T04:09:00Z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