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5EE843" w14:textId="77777777" w:rsidR="00D71430" w:rsidRPr="007F073F" w:rsidRDefault="00D71430" w:rsidP="00D71430">
      <w:pPr>
        <w:spacing w:after="0" w:line="240" w:lineRule="auto"/>
        <w:jc w:val="both"/>
        <w:rPr>
          <w:rFonts w:ascii="Verdana" w:hAnsi="Verdana"/>
          <w:b/>
        </w:rPr>
      </w:pPr>
      <w:bookmarkStart w:id="0" w:name="_Hlk143780582"/>
      <w:r w:rsidRPr="007F073F">
        <w:rPr>
          <w:rFonts w:ascii="Verdana" w:eastAsia="Arial" w:hAnsi="Verdana" w:cs="Arial"/>
          <w:b/>
          <w:lang w:val="es-MX"/>
        </w:rPr>
        <w:t>CLASIFICADOR DE BIENES Y SERVICIOS DE NACIONES UNIDAS – Función</w:t>
      </w:r>
    </w:p>
    <w:p w14:paraId="11014043" w14:textId="77777777" w:rsidR="00D71430" w:rsidRDefault="00D71430" w:rsidP="00D71430">
      <w:pPr>
        <w:spacing w:after="0" w:line="240" w:lineRule="auto"/>
        <w:jc w:val="both"/>
        <w:rPr>
          <w:rFonts w:ascii="Verdana" w:hAnsi="Verdana"/>
          <w:b/>
        </w:rPr>
      </w:pPr>
    </w:p>
    <w:p w14:paraId="780B0FB8" w14:textId="77777777" w:rsidR="00D71430" w:rsidRPr="00833441" w:rsidRDefault="00D71430" w:rsidP="00D71430">
      <w:pPr>
        <w:widowControl w:val="0"/>
        <w:autoSpaceDE w:val="0"/>
        <w:autoSpaceDN w:val="0"/>
        <w:spacing w:after="0" w:line="240" w:lineRule="auto"/>
        <w:ind w:right="104"/>
        <w:jc w:val="both"/>
        <w:rPr>
          <w:rFonts w:ascii="Verdana" w:eastAsia="Arial MT" w:hAnsi="Verdana" w:cs="Arial"/>
          <w:sz w:val="20"/>
          <w:szCs w:val="20"/>
          <w:lang w:val="es-ES"/>
        </w:rPr>
      </w:pPr>
      <w:r w:rsidRPr="00833441">
        <w:rPr>
          <w:rFonts w:ascii="Verdana" w:eastAsia="Arial MT" w:hAnsi="Verdana" w:cs="Arial"/>
          <w:sz w:val="20"/>
          <w:szCs w:val="20"/>
          <w:lang w:val="es-ES"/>
        </w:rPr>
        <w:t>Las normas de contratación estatal establecen que las personas naturales o jurídicas nacionales o extranjeras que deseen celebrar contratos estatales deberán estar inscritos en el Registro Único de Proponente –</w:t>
      </w:r>
      <w:r w:rsidRPr="00833441">
        <w:rPr>
          <w:rFonts w:ascii="Verdana" w:eastAsia="Arial MT" w:hAnsi="Verdana" w:cs="Arial"/>
          <w:spacing w:val="-6"/>
          <w:sz w:val="20"/>
          <w:szCs w:val="20"/>
          <w:lang w:val="es-ES"/>
        </w:rPr>
        <w:t xml:space="preserve"> </w:t>
      </w:r>
      <w:r w:rsidRPr="00833441">
        <w:rPr>
          <w:rFonts w:ascii="Verdana" w:eastAsia="Arial MT" w:hAnsi="Verdana" w:cs="Arial"/>
          <w:sz w:val="20"/>
          <w:szCs w:val="20"/>
          <w:lang w:val="es-ES"/>
        </w:rPr>
        <w:t>RUP. De acuerdo con esto, el artículo 6 de la Ley 1150 de 2007, al determinar la información contenida en el RUP, dispone que en el registro constará la información relacionada con la experiencia, capacidad jurídica, financiera y de organización del proponente, así como su clasificación.</w:t>
      </w:r>
    </w:p>
    <w:p w14:paraId="5B670DB0" w14:textId="77777777" w:rsidR="00D71430" w:rsidRDefault="00D71430" w:rsidP="00D71430">
      <w:pPr>
        <w:spacing w:after="0" w:line="240" w:lineRule="auto"/>
        <w:jc w:val="both"/>
        <w:rPr>
          <w:rFonts w:ascii="Verdana" w:eastAsia="Arial MT" w:hAnsi="Verdana" w:cs="Arial"/>
          <w:sz w:val="20"/>
          <w:szCs w:val="20"/>
          <w:lang w:val="es-ES"/>
        </w:rPr>
      </w:pPr>
    </w:p>
    <w:p w14:paraId="1B84FEEB" w14:textId="77777777" w:rsidR="00D71430" w:rsidRPr="00833441" w:rsidRDefault="00D71430" w:rsidP="00D71430">
      <w:pPr>
        <w:spacing w:after="0" w:line="240" w:lineRule="auto"/>
        <w:jc w:val="both"/>
        <w:rPr>
          <w:rFonts w:ascii="Verdana" w:hAnsi="Verdana"/>
          <w:b/>
          <w:sz w:val="20"/>
          <w:szCs w:val="20"/>
        </w:rPr>
      </w:pPr>
      <w:r w:rsidRPr="00833441">
        <w:rPr>
          <w:rFonts w:ascii="Verdana" w:eastAsia="Arial MT" w:hAnsi="Verdana" w:cs="Arial"/>
          <w:sz w:val="20"/>
          <w:szCs w:val="20"/>
          <w:lang w:val="es-ES"/>
        </w:rPr>
        <w:t>La clasificación tiene que ver con los bienes y servicios con los que se relaciona la experiencia del proponente. Este asunto es relevante para el registro, en la medida en que, existiendo una gran variedad de bienes y servicios, así como un gran número de proponentes con experiencia para suministrarlos, el legislador estimó necesario que el RUP incorporara una clasificación a efectos de racionalizar la información. De esta manera, el Decreto 1082 de 2015, al reglamentar la contratación pública, el RUP y la clasificación de la experiencia, implementó el Clasificador de Bienes y Servicios de las Naciones Unidas –UNSPSC–, lo cual se refleja en diferentes partes de su articulado.</w:t>
      </w:r>
    </w:p>
    <w:p w14:paraId="58343903" w14:textId="77777777" w:rsidR="00D71430" w:rsidRPr="007F073F" w:rsidRDefault="00D71430" w:rsidP="00D71430">
      <w:pPr>
        <w:spacing w:after="0" w:line="240" w:lineRule="auto"/>
        <w:jc w:val="both"/>
        <w:rPr>
          <w:rFonts w:ascii="Verdana" w:hAnsi="Verdana"/>
          <w:b/>
        </w:rPr>
      </w:pPr>
    </w:p>
    <w:p w14:paraId="667C1868" w14:textId="77777777" w:rsidR="00D71430" w:rsidRPr="007F073F" w:rsidRDefault="00D71430" w:rsidP="00D71430">
      <w:pPr>
        <w:spacing w:after="0" w:line="240" w:lineRule="auto"/>
        <w:jc w:val="both"/>
        <w:rPr>
          <w:rFonts w:ascii="Verdana" w:hAnsi="Verdana"/>
          <w:b/>
        </w:rPr>
      </w:pPr>
      <w:r w:rsidRPr="007F073F">
        <w:rPr>
          <w:rFonts w:ascii="Verdana" w:eastAsia="Arial" w:hAnsi="Verdana" w:cs="Arial"/>
          <w:b/>
          <w:lang w:val="es-MX"/>
        </w:rPr>
        <w:t>CLASIFICADOR DE BIENES Y SERVICIOS DE NACIONES UNIDAS – Noción</w:t>
      </w:r>
    </w:p>
    <w:p w14:paraId="41C13256" w14:textId="77777777" w:rsidR="00D71430" w:rsidRDefault="00D71430" w:rsidP="00D71430">
      <w:pPr>
        <w:spacing w:after="0" w:line="240" w:lineRule="auto"/>
        <w:jc w:val="both"/>
        <w:rPr>
          <w:rFonts w:ascii="Verdana" w:hAnsi="Verdana"/>
          <w:b/>
        </w:rPr>
      </w:pPr>
    </w:p>
    <w:p w14:paraId="2BB4DDF1" w14:textId="77777777" w:rsidR="00D71430" w:rsidRPr="00833441" w:rsidRDefault="00D71430" w:rsidP="00D71430">
      <w:pPr>
        <w:shd w:val="clear" w:color="auto" w:fill="FFFFFF"/>
        <w:spacing w:after="0" w:line="240" w:lineRule="auto"/>
        <w:jc w:val="both"/>
        <w:textAlignment w:val="baseline"/>
        <w:rPr>
          <w:rFonts w:ascii="Verdana" w:eastAsia="Times New Roman" w:hAnsi="Verdana" w:cs="Arial"/>
          <w:sz w:val="20"/>
          <w:szCs w:val="20"/>
          <w:bdr w:val="none" w:sz="0" w:space="0" w:color="auto" w:frame="1"/>
          <w:lang w:val="es-MX" w:eastAsia="es-CO"/>
        </w:rPr>
      </w:pPr>
      <w:r w:rsidRPr="00833441">
        <w:rPr>
          <w:rFonts w:ascii="Verdana" w:eastAsia="Times New Roman" w:hAnsi="Verdana" w:cs="Arial"/>
          <w:sz w:val="20"/>
          <w:szCs w:val="20"/>
          <w:bdr w:val="none" w:sz="0" w:space="0" w:color="auto" w:frame="1"/>
          <w:lang w:val="es-MX" w:eastAsia="es-CO"/>
        </w:rPr>
        <w:t>El artículo 2.2.1.1.1.3.1 del Decreto 1082 de 2015 define el Clasificador de Bienes y Servicios como el “Sistema de codificación de las Naciones Unidas para estandarizar productos y servicios, conocido por las siglas UNSPSC”. A su vez, la “Guía para la codificación de bienes y servicios de acuerdo con el código estándar de productos y servicios de Naciones Unidas, V.14.080”, establece que “The United Nations Standard Products and Services Code® - UNSPSC - Código Estándar de Productos y Servicios de Naciones Unidas, es una metodología uniforme de codificación utilizada para clasificar productos y servicios fundamentada en un arreglo jerárquico y en una estructura lógica”. La principal utilidad de este sistema de clasificación es codificar productos y servicios de forma clara ya que “se basa en estándares acordados por la industria los cuales facilitan el comercio entre empresas y gobierno”.</w:t>
      </w:r>
    </w:p>
    <w:p w14:paraId="54B33214" w14:textId="77777777" w:rsidR="00D71430" w:rsidRPr="007F073F" w:rsidRDefault="00D71430" w:rsidP="00D71430">
      <w:pPr>
        <w:spacing w:after="0" w:line="240" w:lineRule="auto"/>
        <w:jc w:val="both"/>
        <w:rPr>
          <w:rFonts w:ascii="Verdana" w:hAnsi="Verdana"/>
          <w:b/>
        </w:rPr>
      </w:pPr>
    </w:p>
    <w:p w14:paraId="799506B3" w14:textId="77777777" w:rsidR="00D71430" w:rsidRPr="007F073F" w:rsidRDefault="00D71430" w:rsidP="00D71430">
      <w:pPr>
        <w:spacing w:after="0" w:line="240" w:lineRule="auto"/>
        <w:jc w:val="both"/>
        <w:rPr>
          <w:rFonts w:ascii="Verdana" w:eastAsia="Arial" w:hAnsi="Verdana" w:cs="Arial"/>
          <w:b/>
          <w:lang w:val="es-MX"/>
        </w:rPr>
      </w:pPr>
      <w:r w:rsidRPr="007F073F">
        <w:rPr>
          <w:rFonts w:ascii="Verdana" w:eastAsia="Arial" w:hAnsi="Verdana" w:cs="Arial"/>
          <w:b/>
          <w:lang w:val="es-MX"/>
        </w:rPr>
        <w:t>CLASIFICADOR DE BIENES Y SERVICIOS DE NACIONES UNIDAS – Normativa</w:t>
      </w:r>
    </w:p>
    <w:p w14:paraId="652EEE45" w14:textId="77777777" w:rsidR="00D71430" w:rsidRPr="007F073F" w:rsidRDefault="00D71430" w:rsidP="00D71430">
      <w:pPr>
        <w:spacing w:after="0" w:line="240" w:lineRule="auto"/>
        <w:jc w:val="both"/>
        <w:rPr>
          <w:rFonts w:ascii="Verdana" w:eastAsia="Arial" w:hAnsi="Verdana" w:cs="Arial"/>
          <w:b/>
          <w:lang w:val="es-MX"/>
        </w:rPr>
      </w:pPr>
    </w:p>
    <w:p w14:paraId="5477C6F9" w14:textId="77777777" w:rsidR="00D71430" w:rsidRPr="00833441" w:rsidRDefault="00D71430" w:rsidP="00D71430">
      <w:pPr>
        <w:widowControl w:val="0"/>
        <w:autoSpaceDE w:val="0"/>
        <w:autoSpaceDN w:val="0"/>
        <w:spacing w:after="0" w:line="240" w:lineRule="auto"/>
        <w:ind w:right="102"/>
        <w:jc w:val="both"/>
        <w:rPr>
          <w:rFonts w:ascii="Verdana" w:eastAsia="Times New Roman" w:hAnsi="Verdana" w:cs="Arial"/>
          <w:sz w:val="20"/>
          <w:szCs w:val="20"/>
          <w:bdr w:val="none" w:sz="0" w:space="0" w:color="auto" w:frame="1"/>
          <w:lang w:val="es-MX"/>
        </w:rPr>
      </w:pPr>
      <w:r w:rsidRPr="00833441">
        <w:rPr>
          <w:rFonts w:ascii="Verdana" w:eastAsia="Times New Roman" w:hAnsi="Verdana" w:cs="Arial"/>
          <w:sz w:val="20"/>
          <w:szCs w:val="20"/>
          <w:bdr w:val="none" w:sz="0" w:space="0" w:color="auto" w:frame="1"/>
          <w:lang w:val="es-ES"/>
        </w:rPr>
        <w:t>Por otro lado, el artículo 2.2.1.1.1.4.1 del Decreto 1082 de 2015, referente al deber de elaborar el Plan Anual de Adquisiciones, establece que en la expedición de dicho documento las entidades deben “señalar la necesidad y cuando conoce el bien, obra o servicio que satisface esa necesidad debe identificarlo utilizando el Clasiﬁcador de Bienes y Servicios”.</w:t>
      </w:r>
      <w:r w:rsidRPr="00833441">
        <w:rPr>
          <w:rFonts w:ascii="Verdana" w:eastAsia="Times New Roman" w:hAnsi="Verdana" w:cs="Arial"/>
          <w:sz w:val="20"/>
          <w:szCs w:val="20"/>
          <w:bdr w:val="none" w:sz="0" w:space="0" w:color="auto" w:frame="1"/>
          <w:lang w:val="es-MX"/>
        </w:rPr>
        <w:t>  </w:t>
      </w:r>
    </w:p>
    <w:p w14:paraId="12192C9B" w14:textId="77777777" w:rsidR="00D71430" w:rsidRDefault="00D71430" w:rsidP="00D71430">
      <w:pPr>
        <w:widowControl w:val="0"/>
        <w:autoSpaceDE w:val="0"/>
        <w:autoSpaceDN w:val="0"/>
        <w:spacing w:after="0" w:line="240" w:lineRule="auto"/>
        <w:jc w:val="both"/>
        <w:rPr>
          <w:rFonts w:ascii="Verdana" w:eastAsia="Arial MT" w:hAnsi="Verdana" w:cs="Arial"/>
          <w:sz w:val="20"/>
          <w:szCs w:val="20"/>
          <w:lang w:val="es-ES"/>
        </w:rPr>
      </w:pPr>
    </w:p>
    <w:p w14:paraId="6AD0EA3B" w14:textId="77777777" w:rsidR="00D71430" w:rsidRPr="00833441" w:rsidRDefault="00D71430" w:rsidP="00D71430">
      <w:pPr>
        <w:widowControl w:val="0"/>
        <w:autoSpaceDE w:val="0"/>
        <w:autoSpaceDN w:val="0"/>
        <w:spacing w:after="0" w:line="240" w:lineRule="auto"/>
        <w:jc w:val="both"/>
        <w:rPr>
          <w:rFonts w:ascii="Verdana" w:eastAsia="Arial MT" w:hAnsi="Verdana" w:cs="Arial"/>
          <w:sz w:val="20"/>
          <w:szCs w:val="20"/>
          <w:lang w:val="es-ES"/>
        </w:rPr>
      </w:pPr>
      <w:r w:rsidRPr="00833441">
        <w:rPr>
          <w:rFonts w:ascii="Verdana" w:eastAsia="Arial MT" w:hAnsi="Verdana" w:cs="Arial"/>
          <w:sz w:val="20"/>
          <w:szCs w:val="20"/>
          <w:lang w:val="es-ES"/>
        </w:rPr>
        <w:t xml:space="preserve">Por su parte, el artículo 2.2.1.1.1.5.2 del Decreto 1082 de 2015, al desarrollar la </w:t>
      </w:r>
      <w:r w:rsidRPr="00833441">
        <w:rPr>
          <w:rFonts w:ascii="Verdana" w:eastAsia="Arial MT" w:hAnsi="Verdana" w:cs="Arial"/>
          <w:sz w:val="20"/>
          <w:szCs w:val="20"/>
          <w:lang w:val="es-ES"/>
        </w:rPr>
        <w:lastRenderedPageBreak/>
        <w:t xml:space="preserve">información requerida para la inscripción, actualización y renovación del RUP, establece que los proponentes deben establecer los bienes y servicios que ofrecerán identificados Clasificador de Bienes y Servicios en el tercer nivel. Así mismo el numeral 2.5 de este artículo establece que en los certificados de experiencia presentados para inscripción o actualización del RUP, los proponentes deben indicar en “cada certificado o en cada copia de los contratos, los bienes, obras y servicios a los cuales corresponde la experiencia que pretende acreditar, identificándolos con el Clasificador de Bienes y Servicios en el tercer nivel”. </w:t>
      </w:r>
    </w:p>
    <w:p w14:paraId="6BB6D4EA" w14:textId="77777777" w:rsidR="00D71430" w:rsidRDefault="00D71430" w:rsidP="00D71430">
      <w:pPr>
        <w:widowControl w:val="0"/>
        <w:autoSpaceDE w:val="0"/>
        <w:autoSpaceDN w:val="0"/>
        <w:spacing w:after="0" w:line="240" w:lineRule="auto"/>
        <w:jc w:val="both"/>
        <w:rPr>
          <w:rFonts w:ascii="Verdana" w:eastAsia="Arial MT" w:hAnsi="Verdana" w:cs="Arial"/>
          <w:sz w:val="20"/>
          <w:szCs w:val="20"/>
          <w:lang w:val="es-ES"/>
        </w:rPr>
      </w:pPr>
    </w:p>
    <w:p w14:paraId="005AF6E2" w14:textId="2CFF26AF" w:rsidR="00D71430" w:rsidRPr="00833441" w:rsidRDefault="00D71430" w:rsidP="00D71430">
      <w:pPr>
        <w:widowControl w:val="0"/>
        <w:autoSpaceDE w:val="0"/>
        <w:autoSpaceDN w:val="0"/>
        <w:spacing w:after="0" w:line="240" w:lineRule="auto"/>
        <w:jc w:val="both"/>
        <w:rPr>
          <w:rFonts w:ascii="Verdana" w:eastAsia="Arial MT" w:hAnsi="Verdana" w:cs="Arial"/>
          <w:sz w:val="20"/>
          <w:szCs w:val="20"/>
          <w:lang w:val="es-ES"/>
        </w:rPr>
      </w:pPr>
      <w:r w:rsidRPr="00833441">
        <w:rPr>
          <w:rFonts w:ascii="Verdana" w:eastAsia="Arial MT" w:hAnsi="Verdana" w:cs="Arial"/>
          <w:sz w:val="20"/>
          <w:szCs w:val="20"/>
          <w:lang w:val="es-ES"/>
        </w:rPr>
        <w:t xml:space="preserve">En concordancia con lo anterior, el artículo 2.2.1.1.1.5.3. del Decreto 1082 de 2015, en su numeral 1, establece que las Cámaras de Comercio deberán certificar la experiencia inscrita en el RUP verificando los “contratos celebrados por el interesado para cada uno de los bienes, obras y servicios que ofrecerá a las Entidades Estatales, identificados con el Clasiﬁcador de Bienes y Servicios en el tercer nivel </w:t>
      </w:r>
      <w:r w:rsidRPr="00833441">
        <w:rPr>
          <w:rFonts w:ascii="Verdana" w:eastAsia="Arial MT" w:hAnsi="Verdana" w:cs="Arial"/>
          <w:sz w:val="20"/>
          <w:szCs w:val="20"/>
        </w:rPr>
        <w:t>y su valor expresado en smmlv</w:t>
      </w:r>
      <w:r w:rsidRPr="00833441">
        <w:rPr>
          <w:rFonts w:ascii="Verdana" w:eastAsia="Arial MT" w:hAnsi="Verdana" w:cs="Arial"/>
          <w:sz w:val="20"/>
          <w:szCs w:val="20"/>
          <w:lang w:val="es-ES"/>
        </w:rPr>
        <w:t xml:space="preserve">”. Esto es coherente con lo dispuesto en el artículo 2.2.1.1.1.5.6, que indica que uno de los componentes de información del RUP son “los bienes, obras y servicios para los cuales está inscrito el proponente de acuerdo con el Clasiﬁcador de Bienes y Servicios”. El </w:t>
      </w:r>
      <w:r w:rsidRPr="00833441">
        <w:rPr>
          <w:rFonts w:ascii="Verdana" w:eastAsia="Times New Roman" w:hAnsi="Verdana" w:cs="Arial"/>
          <w:sz w:val="20"/>
          <w:szCs w:val="20"/>
          <w:bdr w:val="none" w:sz="0" w:space="0" w:color="auto" w:frame="1"/>
          <w:lang w:val="es-ES"/>
        </w:rPr>
        <w:t>artículo 2.2.1.1.2.1.3. del Decreto 1082 de 2015, el cual regula de manera general el contenido de los pliegos de condiciones, establece como deber de las entidades estales el de realizar en dichos documentos una “descripción técnica, detallada y completa del bien o servicio objeto del contrato, identificado con el cuarto nivel del Clasiﬁcador de Bienes y Servicios, de ser posible o de lo contrario con el tercer nivel del mismo”. </w:t>
      </w:r>
    </w:p>
    <w:p w14:paraId="3CBDFB6B" w14:textId="77777777" w:rsidR="00D71430" w:rsidRPr="00833441" w:rsidRDefault="00D71430" w:rsidP="00D71430">
      <w:pPr>
        <w:spacing w:after="0" w:line="240" w:lineRule="auto"/>
        <w:jc w:val="both"/>
        <w:rPr>
          <w:rFonts w:ascii="Verdana" w:eastAsia="Arial" w:hAnsi="Verdana" w:cs="Arial"/>
          <w:b/>
          <w:lang w:val="es-ES"/>
        </w:rPr>
      </w:pPr>
    </w:p>
    <w:p w14:paraId="5F62FE01" w14:textId="77777777" w:rsidR="00D71430" w:rsidRDefault="00D71430" w:rsidP="00D71430">
      <w:pPr>
        <w:spacing w:after="0" w:line="240" w:lineRule="auto"/>
        <w:jc w:val="both"/>
        <w:rPr>
          <w:rFonts w:ascii="Verdana" w:eastAsia="Arial" w:hAnsi="Verdana" w:cs="Arial"/>
          <w:b/>
          <w:lang w:val="es-MX"/>
        </w:rPr>
      </w:pPr>
      <w:r w:rsidRPr="007F073F">
        <w:rPr>
          <w:rFonts w:ascii="Verdana" w:eastAsia="Arial" w:hAnsi="Verdana" w:cs="Arial"/>
          <w:b/>
          <w:lang w:val="es-MX"/>
        </w:rPr>
        <w:t>CLASIFICADOR DE BIENES Y SERVICIOS DE NACIONES UNIDAS – N</w:t>
      </w:r>
      <w:r>
        <w:rPr>
          <w:rFonts w:ascii="Verdana" w:eastAsia="Arial" w:hAnsi="Verdana" w:cs="Arial"/>
          <w:b/>
          <w:lang w:val="es-MX"/>
        </w:rPr>
        <w:t>iveles – Uso</w:t>
      </w:r>
    </w:p>
    <w:p w14:paraId="73B7552F" w14:textId="77777777" w:rsidR="00D71430" w:rsidRDefault="00D71430" w:rsidP="00D71430">
      <w:pPr>
        <w:spacing w:after="0" w:line="240" w:lineRule="auto"/>
        <w:jc w:val="both"/>
        <w:rPr>
          <w:rFonts w:ascii="Verdana" w:eastAsia="Arial" w:hAnsi="Verdana" w:cs="Arial"/>
          <w:b/>
          <w:lang w:val="es-MX"/>
        </w:rPr>
      </w:pPr>
    </w:p>
    <w:p w14:paraId="5B4BF0B2" w14:textId="77777777" w:rsidR="00D71430" w:rsidRPr="00833441" w:rsidRDefault="00D71430" w:rsidP="00D71430">
      <w:pPr>
        <w:shd w:val="clear" w:color="auto" w:fill="FFFFFF"/>
        <w:spacing w:after="0" w:line="240" w:lineRule="auto"/>
        <w:jc w:val="both"/>
        <w:textAlignment w:val="baseline"/>
        <w:rPr>
          <w:rFonts w:ascii="Verdana" w:eastAsia="Times New Roman" w:hAnsi="Verdana" w:cs="Arial"/>
          <w:sz w:val="20"/>
          <w:szCs w:val="20"/>
          <w:lang w:val="es-MX" w:eastAsia="es-CO"/>
        </w:rPr>
      </w:pPr>
      <w:r w:rsidRPr="00833441">
        <w:rPr>
          <w:rFonts w:ascii="Verdana" w:eastAsia="Times New Roman" w:hAnsi="Verdana" w:cs="Arial"/>
          <w:sz w:val="20"/>
          <w:szCs w:val="20"/>
          <w:bdr w:val="none" w:sz="0" w:space="0" w:color="auto" w:frame="1"/>
          <w:lang w:val="es-MX" w:eastAsia="es-CO"/>
        </w:rPr>
        <w:t>El Clasificador de Bienes y Servicios consta de cinco niveles; no obstante, el último nivel, denominado Función de Negocio, no es muy utilizado. Los niveles jerárquicos a utilizar, en su orden, son: i) segmento, agregación lógica de familias para propósitos analíticos; ii) familia, un grupo de categorías de productos interrelacionadas; iii) clase: un grupo de productos que comparten características comunes; y iv) producto: un grupo de productos o servicios.  </w:t>
      </w:r>
    </w:p>
    <w:p w14:paraId="0B5DC9FD" w14:textId="77777777" w:rsidR="00D71430" w:rsidRDefault="00D71430" w:rsidP="00D71430">
      <w:pPr>
        <w:shd w:val="clear" w:color="auto" w:fill="FFFFFF"/>
        <w:spacing w:after="0" w:line="240" w:lineRule="auto"/>
        <w:jc w:val="both"/>
        <w:textAlignment w:val="baseline"/>
        <w:rPr>
          <w:rFonts w:ascii="Verdana" w:eastAsia="Times New Roman" w:hAnsi="Verdana" w:cs="Arial"/>
          <w:sz w:val="20"/>
          <w:szCs w:val="20"/>
          <w:bdr w:val="none" w:sz="0" w:space="0" w:color="auto" w:frame="1"/>
          <w:lang w:val="es-MX" w:eastAsia="es-CO"/>
        </w:rPr>
      </w:pPr>
    </w:p>
    <w:p w14:paraId="176B08D7" w14:textId="237FDB55" w:rsidR="00D71430" w:rsidRPr="00833441" w:rsidRDefault="00D71430" w:rsidP="00D71430">
      <w:pPr>
        <w:shd w:val="clear" w:color="auto" w:fill="FFFFFF"/>
        <w:spacing w:after="0" w:line="240" w:lineRule="auto"/>
        <w:jc w:val="both"/>
        <w:textAlignment w:val="baseline"/>
        <w:rPr>
          <w:rFonts w:ascii="Verdana" w:eastAsia="Times New Roman" w:hAnsi="Verdana" w:cs="Arial"/>
          <w:sz w:val="20"/>
          <w:szCs w:val="20"/>
          <w:bdr w:val="none" w:sz="0" w:space="0" w:color="auto" w:frame="1"/>
          <w:lang w:val="es-MX" w:eastAsia="es-CO"/>
        </w:rPr>
      </w:pPr>
      <w:r w:rsidRPr="00833441">
        <w:rPr>
          <w:rFonts w:ascii="Verdana" w:eastAsia="Times New Roman" w:hAnsi="Verdana" w:cs="Arial"/>
          <w:sz w:val="20"/>
          <w:szCs w:val="20"/>
          <w:bdr w:val="none" w:sz="0" w:space="0" w:color="auto" w:frame="1"/>
          <w:lang w:val="es-MX" w:eastAsia="es-CO"/>
        </w:rPr>
        <w:t>Cada uno de estos niveles jerárquicos tiene distintos dígitos, asociados a los componentes que cada uno cobija y que se combinan con los dígitos de los otros niveles, de donde surge un código de 8 dígitos asociado a un bien o servicio en particular. De esta manera, el segmento determina los dos primeros dígitos, la familia el tercer y cuarto, la clase el quinto y sexto, mientras que el producto los dígitos séptimo y octavo. Conforme a esto, los niveles jerárquicos van de lo general a lo particular, por lo que para determinar el código que corresponde a un bien o servicio, debe subsumirse este en cada uno de estos niveles partiendo del primero en adelante.</w:t>
      </w:r>
      <w:r>
        <w:rPr>
          <w:rFonts w:ascii="Verdana" w:eastAsia="Times New Roman" w:hAnsi="Verdana" w:cs="Arial"/>
          <w:sz w:val="20"/>
          <w:szCs w:val="20"/>
          <w:bdr w:val="none" w:sz="0" w:space="0" w:color="auto" w:frame="1"/>
          <w:lang w:val="es-MX" w:eastAsia="es-CO"/>
        </w:rPr>
        <w:t xml:space="preserve"> </w:t>
      </w:r>
      <w:r w:rsidRPr="00833441">
        <w:rPr>
          <w:rFonts w:ascii="Verdana" w:eastAsia="Times New Roman" w:hAnsi="Verdana" w:cs="Arial"/>
          <w:sz w:val="20"/>
          <w:szCs w:val="20"/>
          <w:bdr w:val="none" w:sz="0" w:space="0" w:color="auto" w:frame="1"/>
          <w:lang w:val="es-MX" w:eastAsia="es-CO"/>
        </w:rPr>
        <w:t xml:space="preserve">De acuerdo con esto, cada bien o servicio está asociado a un código que surge de la subsunción de sus características y condiciones en los diferentes niveles del clasificador. Estos códigos son los que deben incluirse en el RUP para efectos de la experiencia. </w:t>
      </w:r>
    </w:p>
    <w:p w14:paraId="54538B2E" w14:textId="77777777" w:rsidR="00D71430" w:rsidRDefault="00D71430" w:rsidP="00D71430">
      <w:pPr>
        <w:spacing w:after="0" w:line="240" w:lineRule="auto"/>
        <w:rPr>
          <w:rFonts w:ascii="Verdana" w:eastAsia="Verdana" w:hAnsi="Verdana" w:cs="Verdana"/>
          <w:lang w:val="es-MX"/>
        </w:rPr>
      </w:pPr>
    </w:p>
    <w:p w14:paraId="02CB6DBA" w14:textId="56C5EB2D" w:rsidR="007C0AA4" w:rsidRDefault="00D71430" w:rsidP="007C0AA4">
      <w:pPr>
        <w:spacing w:after="0" w:line="240" w:lineRule="auto"/>
        <w:rPr>
          <w:rFonts w:ascii="Verdana" w:hAnsi="Verdana" w:cs="Arial"/>
          <w:bCs/>
          <w:lang w:val="es-ES" w:eastAsia="es-ES" w:bidi="es-ES"/>
        </w:rPr>
      </w:pPr>
      <w:bookmarkStart w:id="1" w:name="_GoBack"/>
      <w:bookmarkEnd w:id="1"/>
      <w:r w:rsidRPr="00D71430">
        <w:rPr>
          <w:noProof/>
          <w:lang w:val="en-US"/>
        </w:rPr>
        <w:lastRenderedPageBreak/>
        <w:drawing>
          <wp:anchor distT="0" distB="0" distL="114300" distR="114300" simplePos="0" relativeHeight="251658240" behindDoc="0" locked="0" layoutInCell="1" allowOverlap="1" wp14:anchorId="3EC12FDE" wp14:editId="7EB8DFBC">
            <wp:simplePos x="0" y="0"/>
            <wp:positionH relativeFrom="margin">
              <wp:posOffset>3079115</wp:posOffset>
            </wp:positionH>
            <wp:positionV relativeFrom="paragraph">
              <wp:posOffset>121920</wp:posOffset>
            </wp:positionV>
            <wp:extent cx="2521585" cy="695960"/>
            <wp:effectExtent l="0" t="0" r="0" b="889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21585" cy="6959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Verdana" w:eastAsia="Verdana" w:hAnsi="Verdana" w:cs="Verdana"/>
        </w:rPr>
        <w:t>Bogotá D.C., 7 de mayo de 2026</w:t>
      </w:r>
      <w:r w:rsidR="007C0AA4">
        <w:tab/>
      </w:r>
      <w:r w:rsidR="007C0AA4">
        <w:br/>
      </w:r>
    </w:p>
    <w:p w14:paraId="513D28D3" w14:textId="16EA1469" w:rsidR="007C0AA4" w:rsidRPr="00047DB9" w:rsidRDefault="007C0AA4" w:rsidP="007C0AA4">
      <w:pPr>
        <w:spacing w:after="0" w:line="240" w:lineRule="auto"/>
        <w:rPr>
          <w:rFonts w:ascii="Verdana" w:hAnsi="Verdana" w:cs="Arial"/>
          <w:bCs/>
          <w:lang w:val="es-ES" w:eastAsia="es-ES" w:bidi="es-ES"/>
        </w:rPr>
      </w:pPr>
    </w:p>
    <w:p w14:paraId="3253FF99" w14:textId="294F0029" w:rsidR="007C0AA4" w:rsidRPr="00047DB9" w:rsidRDefault="007C0AA4" w:rsidP="007C0AA4">
      <w:pPr>
        <w:spacing w:after="0" w:line="240" w:lineRule="auto"/>
        <w:jc w:val="both"/>
        <w:rPr>
          <w:rFonts w:ascii="Verdana" w:hAnsi="Verdana" w:cs="Arial"/>
          <w:bCs/>
          <w:lang w:eastAsia="es-ES" w:bidi="es-ES"/>
        </w:rPr>
      </w:pPr>
      <w:r>
        <w:rPr>
          <w:rFonts w:ascii="Verdana" w:hAnsi="Verdana" w:cs="Arial"/>
          <w:bCs/>
          <w:lang w:eastAsia="es-ES" w:bidi="es-ES"/>
        </w:rPr>
        <w:t>Doctor</w:t>
      </w:r>
    </w:p>
    <w:p w14:paraId="5B814C00" w14:textId="77777777" w:rsidR="007C0AA4" w:rsidRDefault="007C0AA4" w:rsidP="007C0AA4">
      <w:pPr>
        <w:spacing w:after="0" w:line="240" w:lineRule="auto"/>
        <w:jc w:val="both"/>
        <w:rPr>
          <w:rFonts w:ascii="Verdana" w:hAnsi="Verdana" w:cs="Arial"/>
          <w:b/>
          <w:bCs/>
          <w:lang w:eastAsia="es-ES" w:bidi="es-ES"/>
        </w:rPr>
      </w:pPr>
      <w:r w:rsidRPr="00047DB9">
        <w:rPr>
          <w:rFonts w:ascii="Verdana" w:hAnsi="Verdana" w:cs="Arial"/>
          <w:b/>
          <w:bCs/>
          <w:lang w:eastAsia="es-ES" w:bidi="es-ES"/>
        </w:rPr>
        <w:t xml:space="preserve">José Luis Ocampo Guerrero </w:t>
      </w:r>
    </w:p>
    <w:p w14:paraId="0A4D776B" w14:textId="77777777" w:rsidR="007C0AA4" w:rsidRPr="00047DB9" w:rsidRDefault="007C0AA4" w:rsidP="007C0AA4">
      <w:pPr>
        <w:spacing w:after="0" w:line="240" w:lineRule="auto"/>
        <w:jc w:val="both"/>
        <w:rPr>
          <w:rFonts w:ascii="Verdana" w:hAnsi="Verdana" w:cs="Arial"/>
          <w:bCs/>
          <w:lang w:eastAsia="es-ES" w:bidi="es-ES"/>
        </w:rPr>
      </w:pPr>
      <w:r w:rsidRPr="00047DB9">
        <w:rPr>
          <w:rFonts w:ascii="Verdana" w:hAnsi="Verdana" w:cs="Arial"/>
          <w:bCs/>
          <w:lang w:eastAsia="es-ES" w:bidi="es-ES"/>
        </w:rPr>
        <w:t>Jefe de Oficina Jurídica IDSN</w:t>
      </w:r>
    </w:p>
    <w:p w14:paraId="58EAE80F" w14:textId="77777777" w:rsidR="007C0AA4" w:rsidRPr="00047DB9" w:rsidRDefault="00C320DB" w:rsidP="007C0AA4">
      <w:pPr>
        <w:spacing w:after="0" w:line="240" w:lineRule="auto"/>
        <w:jc w:val="both"/>
        <w:rPr>
          <w:rFonts w:ascii="Verdana" w:hAnsi="Verdana"/>
        </w:rPr>
      </w:pPr>
      <w:hyperlink r:id="rId12" w:history="1">
        <w:r w:rsidR="007C0AA4" w:rsidRPr="00047DB9">
          <w:rPr>
            <w:rStyle w:val="Hipervnculo"/>
            <w:rFonts w:ascii="Verdana" w:hAnsi="Verdana"/>
          </w:rPr>
          <w:t>notificacionesjudiciales@idsn.gov.co</w:t>
        </w:r>
      </w:hyperlink>
      <w:r w:rsidR="007C0AA4" w:rsidRPr="00047DB9">
        <w:rPr>
          <w:rFonts w:ascii="Verdana" w:hAnsi="Verdana"/>
        </w:rPr>
        <w:t xml:space="preserve"> </w:t>
      </w:r>
    </w:p>
    <w:p w14:paraId="46D57D63" w14:textId="77777777" w:rsidR="007C0AA4" w:rsidRPr="00047DB9" w:rsidRDefault="007C0AA4" w:rsidP="007C0AA4">
      <w:pPr>
        <w:spacing w:after="0" w:line="240" w:lineRule="auto"/>
        <w:jc w:val="both"/>
        <w:rPr>
          <w:rFonts w:ascii="Verdana" w:hAnsi="Verdana" w:cs="Arial"/>
          <w:bCs/>
          <w:lang w:val="es-MX" w:eastAsia="es-ES" w:bidi="es-ES"/>
        </w:rPr>
      </w:pPr>
      <w:r>
        <w:rPr>
          <w:rFonts w:ascii="Verdana" w:hAnsi="Verdana" w:cs="Arial"/>
          <w:bCs/>
          <w:lang w:val="es-MX" w:eastAsia="es-ES" w:bidi="es-ES"/>
        </w:rPr>
        <w:t>Pasto, Nariño</w:t>
      </w:r>
      <w:r w:rsidRPr="00047DB9">
        <w:rPr>
          <w:rFonts w:ascii="Verdana" w:hAnsi="Verdana" w:cs="Arial"/>
          <w:bCs/>
          <w:lang w:val="es-MX" w:eastAsia="es-ES" w:bidi="es-ES"/>
        </w:rPr>
        <w:t xml:space="preserve"> </w:t>
      </w:r>
    </w:p>
    <w:p w14:paraId="07381510" w14:textId="77777777" w:rsidR="007C0AA4" w:rsidRPr="000B0175" w:rsidRDefault="007C0AA4" w:rsidP="007C0AA4">
      <w:pPr>
        <w:spacing w:after="0" w:line="240" w:lineRule="auto"/>
        <w:rPr>
          <w:rFonts w:ascii="Verdana" w:eastAsia="Calibri" w:hAnsi="Verdana" w:cs="Times New Roman"/>
        </w:rPr>
      </w:pPr>
    </w:p>
    <w:p w14:paraId="0D8CAEFA" w14:textId="77777777" w:rsidR="007C0AA4" w:rsidRPr="000B0175" w:rsidRDefault="007C0AA4" w:rsidP="007C0AA4">
      <w:pPr>
        <w:spacing w:after="0" w:line="240" w:lineRule="auto"/>
        <w:rPr>
          <w:rFonts w:ascii="Verdana" w:eastAsia="Calibri" w:hAnsi="Verdana" w:cs="Times New Roman"/>
        </w:rPr>
      </w:pPr>
    </w:p>
    <w:p w14:paraId="69216E15" w14:textId="77777777" w:rsidR="007C0AA4" w:rsidRPr="000B0175" w:rsidRDefault="007C0AA4" w:rsidP="007C0AA4">
      <w:pPr>
        <w:spacing w:after="0" w:line="240" w:lineRule="auto"/>
        <w:rPr>
          <w:rFonts w:ascii="Verdana" w:eastAsia="Calibri" w:hAnsi="Verdana" w:cs="Times New Roman"/>
          <w:b/>
          <w:bCs/>
          <w:lang w:val="es-ES"/>
        </w:rPr>
      </w:pPr>
      <w:r w:rsidRPr="000B0175">
        <w:rPr>
          <w:rFonts w:ascii="Verdana" w:eastAsia="Calibri" w:hAnsi="Verdana" w:cs="Times New Roman"/>
          <w:b/>
          <w:bCs/>
        </w:rPr>
        <w:t xml:space="preserve">                                    </w:t>
      </w:r>
      <w:r>
        <w:rPr>
          <w:rFonts w:ascii="Verdana" w:eastAsia="Calibri" w:hAnsi="Verdana" w:cs="Times New Roman"/>
          <w:b/>
          <w:bCs/>
          <w:lang w:val="es-ES"/>
        </w:rPr>
        <w:t>Concepto C– 728</w:t>
      </w:r>
      <w:r w:rsidRPr="000B0175">
        <w:rPr>
          <w:rFonts w:ascii="Verdana" w:eastAsia="Calibri" w:hAnsi="Verdana" w:cs="Times New Roman"/>
          <w:b/>
          <w:bCs/>
          <w:lang w:val="es-ES"/>
        </w:rPr>
        <w:t xml:space="preserve"> de 2026</w:t>
      </w:r>
    </w:p>
    <w:p w14:paraId="4288FD7C" w14:textId="77777777" w:rsidR="007C0AA4" w:rsidRPr="000F1385" w:rsidRDefault="007C0AA4" w:rsidP="007C0AA4">
      <w:pPr>
        <w:tabs>
          <w:tab w:val="left" w:pos="7184"/>
        </w:tabs>
        <w:spacing w:after="0" w:line="240" w:lineRule="auto"/>
        <w:jc w:val="both"/>
        <w:rPr>
          <w:rFonts w:ascii="Verdana" w:hAnsi="Verdana" w:cs="Arial"/>
          <w:b/>
          <w:bCs/>
          <w:lang w:val="es-ES_tradnl" w:eastAsia="es-ES" w:bidi="es-ES"/>
        </w:rPr>
      </w:pPr>
      <w:r>
        <w:rPr>
          <w:rFonts w:ascii="Verdana" w:hAnsi="Verdana" w:cs="Arial"/>
          <w:b/>
          <w:bCs/>
          <w:lang w:val="es-ES_tradnl" w:eastAsia="es-ES" w:bidi="es-ES"/>
        </w:rPr>
        <w:tab/>
      </w:r>
    </w:p>
    <w:tbl>
      <w:tblPr>
        <w:tblStyle w:val="Tablaconcuadrcula11"/>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7C0AA4" w:rsidRPr="000F1385" w14:paraId="1CB94C3D" w14:textId="77777777" w:rsidTr="003D4710">
        <w:trPr>
          <w:trHeight w:val="884"/>
        </w:trPr>
        <w:tc>
          <w:tcPr>
            <w:tcW w:w="2689" w:type="dxa"/>
          </w:tcPr>
          <w:p w14:paraId="1C71606E" w14:textId="77777777" w:rsidR="007C0AA4" w:rsidRPr="00C64252" w:rsidRDefault="007C0AA4" w:rsidP="003D4710">
            <w:pPr>
              <w:jc w:val="both"/>
              <w:rPr>
                <w:rFonts w:ascii="Verdana" w:hAnsi="Verdana" w:cs="Arial"/>
                <w:b/>
                <w:bCs/>
                <w:lang w:val="es-MX" w:eastAsia="es-ES" w:bidi="es-ES"/>
              </w:rPr>
            </w:pPr>
            <w:r w:rsidRPr="00C64252">
              <w:rPr>
                <w:rFonts w:ascii="Verdana" w:hAnsi="Verdana" w:cs="Arial"/>
                <w:b/>
                <w:bCs/>
                <w:lang w:val="es-MX" w:eastAsia="es-ES" w:bidi="es-ES"/>
              </w:rPr>
              <w:t xml:space="preserve">Temas:                   </w:t>
            </w:r>
          </w:p>
        </w:tc>
        <w:tc>
          <w:tcPr>
            <w:tcW w:w="6242" w:type="dxa"/>
          </w:tcPr>
          <w:p w14:paraId="448D2265" w14:textId="77777777" w:rsidR="007C0AA4" w:rsidRPr="000F1385" w:rsidRDefault="007C0AA4" w:rsidP="003D4710">
            <w:pPr>
              <w:spacing w:line="276" w:lineRule="auto"/>
              <w:jc w:val="both"/>
              <w:rPr>
                <w:rFonts w:ascii="Verdana" w:hAnsi="Verdana" w:cs="Arial"/>
                <w:bCs/>
                <w:lang w:val="es-MX" w:eastAsia="es-ES" w:bidi="es-ES"/>
              </w:rPr>
            </w:pPr>
            <w:r w:rsidRPr="000F1385">
              <w:rPr>
                <w:rFonts w:ascii="Verdana" w:eastAsia="Arial" w:hAnsi="Verdana" w:cs="Arial"/>
                <w:lang w:val="es-MX"/>
              </w:rPr>
              <w:t xml:space="preserve">CLASIFICADOR DE BIENES Y SERVICIOS DE NACIONES UNIDAS – Función / CLASIFICADOR DE BIENES Y SERVICIOS DE NACIONES UNIDAS – Noción / CLASIFICADOR DE BIENES Y SERVICIOS DE NACIONES UNIDAS – Normativa / CLASIFICADOR DE BIENES Y SERVICIOS DE NACIONES UNIDAS – Niveles – Uso.  </w:t>
            </w:r>
          </w:p>
          <w:p w14:paraId="756D4CA3" w14:textId="77777777" w:rsidR="007C0AA4" w:rsidRPr="000F1385" w:rsidRDefault="007C0AA4" w:rsidP="003D4710">
            <w:pPr>
              <w:jc w:val="both"/>
              <w:rPr>
                <w:rFonts w:ascii="Verdana" w:hAnsi="Verdana" w:cs="Arial"/>
                <w:bCs/>
                <w:lang w:val="es-MX" w:eastAsia="es-ES" w:bidi="es-ES"/>
              </w:rPr>
            </w:pPr>
          </w:p>
          <w:p w14:paraId="7D220225" w14:textId="77777777" w:rsidR="007C0AA4" w:rsidRPr="000F1385" w:rsidRDefault="007C0AA4" w:rsidP="003D4710">
            <w:pPr>
              <w:jc w:val="both"/>
              <w:rPr>
                <w:rFonts w:ascii="Verdana" w:hAnsi="Verdana" w:cs="Arial"/>
                <w:bCs/>
                <w:lang w:val="es-MX" w:eastAsia="es-ES" w:bidi="es-ES"/>
              </w:rPr>
            </w:pPr>
          </w:p>
        </w:tc>
      </w:tr>
      <w:tr w:rsidR="007C0AA4" w:rsidRPr="000F1385" w14:paraId="6851E614" w14:textId="77777777" w:rsidTr="003D4710">
        <w:tc>
          <w:tcPr>
            <w:tcW w:w="2689" w:type="dxa"/>
          </w:tcPr>
          <w:p w14:paraId="0BAE9150" w14:textId="77777777" w:rsidR="007C0AA4" w:rsidRPr="00C64252" w:rsidRDefault="007C0AA4" w:rsidP="003D4710">
            <w:pPr>
              <w:jc w:val="both"/>
              <w:rPr>
                <w:rFonts w:ascii="Verdana" w:hAnsi="Verdana" w:cs="Arial"/>
                <w:b/>
                <w:bCs/>
                <w:lang w:val="es-MX" w:eastAsia="es-ES" w:bidi="es-ES"/>
              </w:rPr>
            </w:pPr>
            <w:r w:rsidRPr="00C64252">
              <w:rPr>
                <w:rFonts w:ascii="Verdana" w:hAnsi="Verdana" w:cs="Arial"/>
                <w:b/>
                <w:bCs/>
                <w:lang w:val="es-MX" w:eastAsia="es-ES" w:bidi="es-ES"/>
              </w:rPr>
              <w:t xml:space="preserve">Radicación:               </w:t>
            </w:r>
          </w:p>
        </w:tc>
        <w:tc>
          <w:tcPr>
            <w:tcW w:w="6242" w:type="dxa"/>
          </w:tcPr>
          <w:p w14:paraId="430952AC" w14:textId="77777777" w:rsidR="007C0AA4" w:rsidRPr="00C64252" w:rsidRDefault="007C0AA4" w:rsidP="003D4710">
            <w:pPr>
              <w:jc w:val="both"/>
              <w:rPr>
                <w:rFonts w:ascii="Verdana" w:hAnsi="Verdana" w:cs="Arial"/>
                <w:bCs/>
                <w:lang w:val="es-MX" w:eastAsia="es-ES" w:bidi="es-ES"/>
              </w:rPr>
            </w:pPr>
            <w:r w:rsidRPr="000F1385">
              <w:rPr>
                <w:rFonts w:ascii="Verdana" w:hAnsi="Verdana" w:cs="Arial"/>
                <w:bCs/>
                <w:lang w:val="es-MX" w:eastAsia="es-ES" w:bidi="es-ES"/>
              </w:rPr>
              <w:t>Respue</w:t>
            </w:r>
            <w:r>
              <w:rPr>
                <w:rFonts w:ascii="Verdana" w:hAnsi="Verdana" w:cs="Arial"/>
                <w:bCs/>
                <w:lang w:val="es-MX" w:eastAsia="es-ES" w:bidi="es-ES"/>
              </w:rPr>
              <w:t xml:space="preserve">sta a consulta con radicado No. </w:t>
            </w:r>
            <w:r w:rsidRPr="00047DB9">
              <w:rPr>
                <w:rFonts w:ascii="Verdana" w:hAnsi="Verdana" w:cs="Arial"/>
                <w:bCs/>
                <w:lang w:eastAsia="es-ES" w:bidi="es-ES"/>
              </w:rPr>
              <w:t>1_2026_04_24_005607</w:t>
            </w:r>
          </w:p>
          <w:p w14:paraId="57B57B8E" w14:textId="77777777" w:rsidR="007C0AA4" w:rsidRPr="000F1385" w:rsidRDefault="007C0AA4" w:rsidP="003D4710">
            <w:pPr>
              <w:jc w:val="both"/>
              <w:rPr>
                <w:rFonts w:ascii="Verdana" w:hAnsi="Verdana" w:cs="Arial"/>
                <w:bCs/>
                <w:lang w:val="es-MX" w:eastAsia="es-ES" w:bidi="es-ES"/>
              </w:rPr>
            </w:pPr>
          </w:p>
        </w:tc>
      </w:tr>
    </w:tbl>
    <w:p w14:paraId="28F471E5" w14:textId="77777777" w:rsidR="007C0AA4" w:rsidRPr="000F1385" w:rsidRDefault="007C0AA4" w:rsidP="007C0AA4">
      <w:pPr>
        <w:spacing w:after="0" w:line="240" w:lineRule="auto"/>
        <w:jc w:val="both"/>
        <w:rPr>
          <w:rFonts w:ascii="Verdana" w:hAnsi="Verdana" w:cs="Arial"/>
          <w:bCs/>
          <w:lang w:val="es-ES_tradnl" w:eastAsia="es-ES" w:bidi="es-ES"/>
        </w:rPr>
      </w:pPr>
    </w:p>
    <w:p w14:paraId="44C235DC" w14:textId="77777777" w:rsidR="007C0AA4" w:rsidRPr="000F1385" w:rsidRDefault="007C0AA4" w:rsidP="007C0AA4">
      <w:pPr>
        <w:spacing w:after="0" w:line="240" w:lineRule="auto"/>
        <w:jc w:val="both"/>
        <w:rPr>
          <w:rFonts w:ascii="Verdana" w:hAnsi="Verdana" w:cs="Arial"/>
          <w:bCs/>
          <w:lang w:val="es-MX" w:eastAsia="es-ES" w:bidi="es-ES"/>
        </w:rPr>
      </w:pPr>
      <w:r>
        <w:rPr>
          <w:rFonts w:ascii="Verdana" w:hAnsi="Verdana" w:cs="Arial"/>
          <w:bCs/>
          <w:lang w:val="es-MX" w:eastAsia="es-ES" w:bidi="es-ES"/>
        </w:rPr>
        <w:t>Estimado Doctor Ocampo</w:t>
      </w:r>
      <w:r w:rsidRPr="000F1385">
        <w:rPr>
          <w:rFonts w:ascii="Verdana" w:hAnsi="Verdana" w:cs="Arial"/>
          <w:bCs/>
          <w:lang w:val="es-MX" w:eastAsia="es-ES" w:bidi="es-ES"/>
        </w:rPr>
        <w:t>:</w:t>
      </w:r>
    </w:p>
    <w:p w14:paraId="69990054" w14:textId="77777777" w:rsidR="007C0AA4" w:rsidRPr="000F1385" w:rsidRDefault="007C0AA4" w:rsidP="007C0AA4">
      <w:pPr>
        <w:spacing w:after="0" w:line="240" w:lineRule="auto"/>
        <w:jc w:val="both"/>
        <w:rPr>
          <w:rFonts w:ascii="Verdana" w:hAnsi="Verdana" w:cs="Arial"/>
          <w:bCs/>
          <w:lang w:val="es-ES" w:eastAsia="es-ES" w:bidi="es-ES"/>
        </w:rPr>
      </w:pPr>
      <w:r w:rsidRPr="000F1385">
        <w:rPr>
          <w:rFonts w:ascii="Verdana" w:hAnsi="Verdana" w:cs="Arial"/>
          <w:bCs/>
          <w:lang w:val="es-ES" w:eastAsia="es-ES" w:bidi="es-ES"/>
        </w:rPr>
        <w:tab/>
      </w:r>
    </w:p>
    <w:p w14:paraId="2DAE7454" w14:textId="77777777" w:rsidR="007C0AA4" w:rsidRPr="00414811" w:rsidRDefault="007C0AA4" w:rsidP="007C0AA4">
      <w:pPr>
        <w:spacing w:after="120" w:line="276" w:lineRule="auto"/>
        <w:jc w:val="both"/>
        <w:rPr>
          <w:rFonts w:ascii="Verdana" w:eastAsia="Calibri" w:hAnsi="Verdana" w:cs="Times New Roman"/>
          <w:bCs/>
          <w:lang w:val="es-ES" w:bidi="es-ES"/>
        </w:rPr>
      </w:pPr>
      <w:r w:rsidRPr="00B57A1B">
        <w:rPr>
          <w:rFonts w:ascii="Verdana" w:eastAsia="Calibri" w:hAnsi="Verdana" w:cs="Times New Roman"/>
          <w:bCs/>
          <w:lang w:val="es-ES" w:bidi="es-ES"/>
        </w:rPr>
        <w:t xml:space="preserve">En ejercicio de la competencia otorgada por los artículos 3, numeral 5º, y 11, numeral 8º, del Decreto Ley 4170 de 2011, </w:t>
      </w:r>
      <w:r w:rsidRPr="00B57A1B">
        <w:rPr>
          <w:rFonts w:ascii="Verdana" w:eastAsia="Calibri" w:hAnsi="Verdana" w:cs="Times New Roman"/>
          <w:bCs/>
        </w:rPr>
        <w:t xml:space="preserve">así como lo establecido por la Resolución 469 de 2025 expedida por esta Entidad, </w:t>
      </w:r>
      <w:r w:rsidRPr="00B57A1B">
        <w:rPr>
          <w:rFonts w:ascii="Verdana" w:eastAsia="Calibri" w:hAnsi="Verdana" w:cs="Times New Roman"/>
          <w:bCs/>
          <w:lang w:val="es-ES" w:bidi="es-ES"/>
        </w:rPr>
        <w:t>la Agencia Nacional de Contratación Pública – Colombia Compra Eficien</w:t>
      </w:r>
      <w:r>
        <w:rPr>
          <w:rFonts w:ascii="Verdana" w:eastAsia="Calibri" w:hAnsi="Verdana" w:cs="Times New Roman"/>
          <w:bCs/>
          <w:lang w:val="es-ES" w:bidi="es-ES"/>
        </w:rPr>
        <w:t>te– responde la solicitud consulta del 24 de abril de 2026 que se funda en un proceso disciplinario que pretende adelantarse en un caso particular</w:t>
      </w:r>
      <w:r w:rsidRPr="00B57A1B">
        <w:rPr>
          <w:rFonts w:ascii="Verdana" w:eastAsia="Calibri" w:hAnsi="Verdana" w:cs="Times New Roman"/>
          <w:bCs/>
          <w:lang w:val="es-ES" w:bidi="es-ES"/>
        </w:rPr>
        <w:t xml:space="preserve">, en la cual manifiesta: </w:t>
      </w:r>
      <w:r>
        <w:rPr>
          <w:rFonts w:ascii="Verdana" w:eastAsia="Calibri" w:hAnsi="Verdana" w:cs="Times New Roman"/>
          <w:bCs/>
          <w:lang w:val="es-ES" w:bidi="es-ES"/>
        </w:rPr>
        <w:t>“En vista de lo anterior, sírvanse emitir concepto referente a la pertinencia de los códigos utilizados y la proporcionalidad del requisito de experiencia”</w:t>
      </w:r>
    </w:p>
    <w:p w14:paraId="18B17DE1" w14:textId="77777777" w:rsidR="007C0AA4" w:rsidRPr="006C0CAF" w:rsidRDefault="007C0AA4" w:rsidP="007C0AA4">
      <w:pPr>
        <w:spacing w:after="120" w:line="276" w:lineRule="auto"/>
        <w:ind w:firstLine="708"/>
        <w:jc w:val="both"/>
        <w:rPr>
          <w:rFonts w:ascii="Verdana" w:hAnsi="Verdana" w:cs="Arial"/>
          <w:lang w:val="es-ES"/>
        </w:rPr>
      </w:pPr>
      <w:bookmarkStart w:id="2" w:name="_Hlk135067441"/>
      <w:r w:rsidRPr="006C0CAF">
        <w:rPr>
          <w:rFonts w:ascii="Verdana" w:hAnsi="Verdana" w:cs="Arial"/>
          <w:bCs/>
        </w:rPr>
        <w:t xml:space="preserve">En ejercicio de las competencias de los artículos 3.5 y 11.8 del Decreto Ley 4170 de 2011, la Agencia Nacional de Contratación Pública – Colombia Compra Eficiente resuelve consultas sobre </w:t>
      </w:r>
      <w:r w:rsidRPr="006C0CAF">
        <w:rPr>
          <w:rFonts w:ascii="Verdana" w:hAnsi="Verdana" w:cs="Arial"/>
          <w:lang w:val="es-ES"/>
        </w:rPr>
        <w:t xml:space="preserve">la aplicación de normas de carácter general en materia de compras y contratación pública. En ese sentido, resolver </w:t>
      </w:r>
      <w:r w:rsidRPr="006C0CAF">
        <w:rPr>
          <w:rFonts w:ascii="Verdana" w:hAnsi="Verdana" w:cs="Arial"/>
          <w:lang w:val="es-ES"/>
        </w:rPr>
        <w:lastRenderedPageBreak/>
        <w:t>casos particulares desborda las atribuciones asignadas por el legislador extraordinario, que no concibió a Colombia Compra Eficiente como una autoridad para solucionar problemas jurídicos concretos</w:t>
      </w:r>
      <w:r w:rsidRPr="006C0CAF">
        <w:rPr>
          <w:rFonts w:ascii="Verdana" w:hAnsi="Verdana" w:cs="Arial"/>
          <w:bCs/>
        </w:rPr>
        <w:t xml:space="preserve"> de todos los partícipes de la contratación estatal.</w:t>
      </w:r>
    </w:p>
    <w:p w14:paraId="6C36DF87" w14:textId="77777777" w:rsidR="007C0AA4" w:rsidRPr="006C0CAF" w:rsidRDefault="007C0AA4" w:rsidP="007C0AA4">
      <w:pPr>
        <w:spacing w:after="120" w:line="276" w:lineRule="auto"/>
        <w:ind w:firstLine="708"/>
        <w:jc w:val="both"/>
        <w:rPr>
          <w:rFonts w:ascii="Verdana" w:hAnsi="Verdana" w:cs="Arial"/>
          <w:lang w:val="es-ES"/>
        </w:rPr>
      </w:pPr>
      <w:r w:rsidRPr="006C0CAF">
        <w:rPr>
          <w:rFonts w:ascii="Verdana" w:hAnsi="Verdana" w:cs="Arial"/>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6C0CAF">
        <w:rPr>
          <w:rFonts w:ascii="Verdana" w:hAnsi="Verdana" w:cs="Arial"/>
          <w:vertAlign w:val="superscript"/>
          <w:lang w:val="es-ES"/>
        </w:rPr>
        <w:footnoteReference w:id="1"/>
      </w:r>
      <w:r w:rsidRPr="006C0CAF">
        <w:rPr>
          <w:rFonts w:ascii="Verdana" w:hAnsi="Verdana" w:cs="Arial"/>
          <w:lang w:val="es-ES"/>
        </w:rPr>
        <w:t>. Esta competencia de interpretación de normas generales, por definición, no puede extenderse a la resolución de controversias, enjuiciar la validez de la actuación de las entidades públicas o de los particulares ni, mucho menos, calificar conductas con presunta incidencia penal, fiscal o disciplinaria, especialmente, cuando existen órganos especializados para estas materias.</w:t>
      </w:r>
    </w:p>
    <w:p w14:paraId="102A2021" w14:textId="77777777" w:rsidR="007C0AA4" w:rsidRPr="006C0CAF" w:rsidRDefault="007C0AA4" w:rsidP="007C0AA4">
      <w:pPr>
        <w:spacing w:after="0" w:line="276" w:lineRule="auto"/>
        <w:ind w:firstLine="709"/>
        <w:jc w:val="both"/>
        <w:rPr>
          <w:rFonts w:ascii="Verdana" w:eastAsia="Calibri" w:hAnsi="Verdana" w:cs="Arial"/>
          <w:lang w:val="es-ES" w:eastAsia="es-ES"/>
        </w:rPr>
      </w:pPr>
      <w:r w:rsidRPr="006C0CAF">
        <w:rPr>
          <w:rFonts w:ascii="Verdana" w:hAnsi="Verdana" w:cs="Arial"/>
          <w:bCs/>
        </w:rPr>
        <w:t xml:space="preserve">Para efectos disciplinarios, el inciso 3 del artículo 226 del Código General del Proceso, normativa a la que remite el artículo 241 de la Ley 1952 de 2019 en materia probatoria, establece expresamente que “No serán admisibles los dictámenes periciales que versen sobre puntos de derecho”. </w:t>
      </w:r>
      <w:r w:rsidRPr="006C0CAF">
        <w:rPr>
          <w:rFonts w:ascii="Verdana" w:eastAsia="Calibri" w:hAnsi="Verdana" w:cs="Arial"/>
          <w:lang w:val="es-ES"/>
        </w:rPr>
        <w:t xml:space="preserve">En este contexto, </w:t>
      </w:r>
      <w:r w:rsidRPr="006C0CAF">
        <w:rPr>
          <w:rFonts w:ascii="Verdana" w:hAnsi="Verdana" w:cs="Arial"/>
          <w:bCs/>
        </w:rPr>
        <w:t xml:space="preserve">lo decidido en torno a los procesos que se estén tramitando, </w:t>
      </w:r>
      <w:r w:rsidRPr="006C0CAF">
        <w:rPr>
          <w:rFonts w:ascii="Verdana" w:hAnsi="Verdana" w:cs="Arial"/>
          <w:lang w:val="es-ES_tradnl"/>
        </w:rPr>
        <w:t>es responsabilidad única y exclusiva de la entidad consultante</w:t>
      </w:r>
      <w:r w:rsidRPr="006C0CAF">
        <w:rPr>
          <w:rFonts w:ascii="Verdana" w:eastAsia="Calibri" w:hAnsi="Verdana" w:cs="Arial"/>
          <w:bCs/>
          <w:lang w:eastAsia="es-ES_tradnl"/>
        </w:rPr>
        <w:t xml:space="preserve">. </w:t>
      </w:r>
      <w:r w:rsidRPr="006C0CAF">
        <w:rPr>
          <w:rFonts w:ascii="Verdana" w:eastAsia="Calibri" w:hAnsi="Verdana" w:cs="Arial"/>
        </w:rPr>
        <w:t xml:space="preserve">Sin perjuicio de lo anterior, </w:t>
      </w:r>
      <w:r w:rsidRPr="006C0CAF">
        <w:rPr>
          <w:rFonts w:ascii="Verdana" w:eastAsia="Calibri" w:hAnsi="Verdana" w:cs="Arial"/>
          <w:lang w:val="es-ES"/>
        </w:rPr>
        <w:t>la Agencia –dentro de los límites de sus atribuciones, esto es, al margen de las conductas investigadas en el expediente anteriormente citado– resolverá la consulta conforme a las normas generales del sistema de compras públicas.</w:t>
      </w:r>
      <w:r w:rsidRPr="006C0CAF">
        <w:rPr>
          <w:rFonts w:ascii="Verdana" w:eastAsia="Calibri" w:hAnsi="Verdana" w:cs="Arial"/>
          <w:lang w:val="es-ES" w:eastAsia="es-ES"/>
        </w:rPr>
        <w:t xml:space="preserve"> </w:t>
      </w:r>
    </w:p>
    <w:bookmarkEnd w:id="2"/>
    <w:p w14:paraId="3B1F3CA0" w14:textId="77777777" w:rsidR="007C0AA4" w:rsidRPr="000F1385" w:rsidRDefault="007C0AA4" w:rsidP="007C0AA4">
      <w:pPr>
        <w:spacing w:after="0" w:line="256" w:lineRule="auto"/>
        <w:rPr>
          <w:rFonts w:ascii="Verdana" w:eastAsia="Calibri" w:hAnsi="Verdana" w:cs="Times New Roman"/>
          <w:lang w:val="es-ES"/>
        </w:rPr>
      </w:pPr>
    </w:p>
    <w:p w14:paraId="3865872A" w14:textId="77777777" w:rsidR="007C0AA4" w:rsidRPr="000F1385" w:rsidRDefault="007C0AA4" w:rsidP="007C0AA4">
      <w:pPr>
        <w:numPr>
          <w:ilvl w:val="0"/>
          <w:numId w:val="16"/>
        </w:numPr>
        <w:spacing w:after="0" w:line="256" w:lineRule="auto"/>
        <w:contextualSpacing/>
        <w:rPr>
          <w:rFonts w:ascii="Verdana" w:eastAsia="Calibri" w:hAnsi="Verdana" w:cs="Times New Roman"/>
          <w:b/>
          <w:bCs/>
          <w:lang w:val="es-ES"/>
        </w:rPr>
      </w:pPr>
      <w:r w:rsidRPr="000F1385">
        <w:rPr>
          <w:rFonts w:ascii="Verdana" w:eastAsia="Calibri" w:hAnsi="Verdana" w:cs="Times New Roman"/>
          <w:b/>
          <w:bCs/>
          <w:lang w:val="es-ES"/>
        </w:rPr>
        <w:t>Problema planteado:</w:t>
      </w:r>
    </w:p>
    <w:p w14:paraId="29FF2336" w14:textId="77777777" w:rsidR="007C0AA4" w:rsidRPr="000F1385" w:rsidRDefault="007C0AA4" w:rsidP="007C0AA4">
      <w:pPr>
        <w:spacing w:after="0" w:line="256" w:lineRule="auto"/>
        <w:rPr>
          <w:rFonts w:ascii="Verdana" w:eastAsia="Calibri" w:hAnsi="Verdana" w:cs="Times New Roman"/>
        </w:rPr>
      </w:pPr>
    </w:p>
    <w:p w14:paraId="3BF69700" w14:textId="77777777" w:rsidR="007C0AA4" w:rsidRPr="000F1385" w:rsidRDefault="007C0AA4" w:rsidP="007C0AA4">
      <w:pPr>
        <w:spacing w:after="0" w:line="276" w:lineRule="auto"/>
        <w:jc w:val="both"/>
        <w:rPr>
          <w:rFonts w:ascii="Verdana" w:eastAsia="Calibri" w:hAnsi="Verdana" w:cs="Times New Roman"/>
        </w:rPr>
      </w:pPr>
      <w:r w:rsidRPr="000F1385">
        <w:rPr>
          <w:rFonts w:ascii="Verdana" w:eastAsia="Calibri" w:hAnsi="Verdana" w:cs="Times New Roman"/>
        </w:rPr>
        <w:t>De acuerdo con el contenido de su solicitud, esta Agencia procede a resolver el problema jurídico: ¿</w:t>
      </w:r>
      <w:r w:rsidRPr="000F1385">
        <w:rPr>
          <w:rFonts w:ascii="Arial" w:eastAsia="Calibri" w:hAnsi="Arial" w:cs="Arial"/>
        </w:rPr>
        <w:t>Cómo</w:t>
      </w:r>
      <w:r w:rsidRPr="000F1385">
        <w:rPr>
          <w:rFonts w:ascii="Verdana" w:eastAsia="Calibri" w:hAnsi="Verdana" w:cs="Times New Roman"/>
        </w:rPr>
        <w:t xml:space="preserve"> debe usarse el Clasificador de Bienes y Servicios de Naciones Unidas en los procesos de selección de las entidades públicas para determinar la experiencia de los proveedores?</w:t>
      </w:r>
    </w:p>
    <w:p w14:paraId="7E0BA04E" w14:textId="77777777" w:rsidR="007C0AA4" w:rsidRPr="000F1385" w:rsidRDefault="007C0AA4" w:rsidP="007C0AA4">
      <w:pPr>
        <w:spacing w:after="0" w:line="240" w:lineRule="auto"/>
        <w:jc w:val="both"/>
        <w:rPr>
          <w:rFonts w:ascii="Verdana" w:eastAsia="Calibri" w:hAnsi="Verdana" w:cs="Times New Roman"/>
        </w:rPr>
      </w:pPr>
    </w:p>
    <w:p w14:paraId="1F11D137" w14:textId="77777777" w:rsidR="007C0AA4" w:rsidRPr="000F1385" w:rsidRDefault="007C0AA4" w:rsidP="007C0AA4">
      <w:pPr>
        <w:numPr>
          <w:ilvl w:val="0"/>
          <w:numId w:val="16"/>
        </w:numPr>
        <w:spacing w:after="0" w:line="256" w:lineRule="auto"/>
        <w:contextualSpacing/>
        <w:rPr>
          <w:rFonts w:ascii="Verdana" w:eastAsia="Calibri" w:hAnsi="Verdana" w:cs="Times New Roman"/>
          <w:b/>
          <w:bCs/>
          <w:lang w:val="es-ES"/>
        </w:rPr>
      </w:pPr>
      <w:r w:rsidRPr="000F1385">
        <w:rPr>
          <w:rFonts w:ascii="Verdana" w:eastAsia="Calibri" w:hAnsi="Verdana" w:cs="Times New Roman"/>
          <w:b/>
          <w:bCs/>
          <w:lang w:val="es-ES"/>
        </w:rPr>
        <w:lastRenderedPageBreak/>
        <w:t>Respuesta:</w:t>
      </w:r>
    </w:p>
    <w:p w14:paraId="0993EEA5" w14:textId="77777777" w:rsidR="007C0AA4" w:rsidRPr="000F1385" w:rsidRDefault="007C0AA4" w:rsidP="007C0AA4">
      <w:pPr>
        <w:spacing w:after="0" w:line="240" w:lineRule="auto"/>
        <w:jc w:val="both"/>
        <w:rPr>
          <w:rFonts w:ascii="Verdana" w:hAnsi="Verdana" w:cs="Arial"/>
          <w:bCs/>
          <w:lang w:val="es-ES" w:eastAsia="es-ES" w:bidi="es-ES"/>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C0AA4" w:rsidRPr="000F1385" w14:paraId="684DF308" w14:textId="77777777" w:rsidTr="003D4710">
        <w:trPr>
          <w:trHeight w:val="870"/>
          <w:jc w:val="center"/>
        </w:trPr>
        <w:tc>
          <w:tcPr>
            <w:tcW w:w="8647" w:type="dxa"/>
          </w:tcPr>
          <w:p w14:paraId="0B36E43F" w14:textId="77777777" w:rsidR="007C0AA4" w:rsidRPr="000F1385" w:rsidRDefault="007C0AA4" w:rsidP="003D4710">
            <w:pPr>
              <w:spacing w:after="120" w:line="276" w:lineRule="auto"/>
              <w:jc w:val="both"/>
              <w:rPr>
                <w:rFonts w:ascii="Verdana" w:eastAsia="Times New Roman" w:hAnsi="Verdana" w:cs="Arial"/>
                <w:lang w:val="es-ES"/>
              </w:rPr>
            </w:pPr>
            <w:r w:rsidRPr="000F1385">
              <w:rPr>
                <w:rFonts w:ascii="Verdana" w:hAnsi="Verdana" w:cs="Arial"/>
                <w:lang w:val="es-ES" w:eastAsia="es-ES_tradnl"/>
              </w:rPr>
              <w:t xml:space="preserve">Respecto al problema jurídico, objeto de consulta, </w:t>
            </w:r>
            <w:r>
              <w:rPr>
                <w:rFonts w:ascii="Verdana" w:hAnsi="Verdana" w:cs="Arial"/>
                <w:lang w:val="es-ES" w:eastAsia="es-ES_tradnl"/>
              </w:rPr>
              <w:t>e</w:t>
            </w:r>
            <w:r w:rsidRPr="000F1385">
              <w:rPr>
                <w:rFonts w:ascii="Verdana" w:eastAsia="Arial MT" w:hAnsi="Verdana" w:cs="Arial"/>
                <w:lang w:val="es-ES"/>
              </w:rPr>
              <w:t xml:space="preserve">l </w:t>
            </w:r>
            <w:r w:rsidRPr="000F1385">
              <w:rPr>
                <w:rFonts w:ascii="Verdana" w:eastAsia="Times New Roman" w:hAnsi="Verdana" w:cs="Arial"/>
                <w:bdr w:val="none" w:sz="0" w:space="0" w:color="auto" w:frame="1"/>
                <w:lang w:val="es-ES"/>
              </w:rPr>
              <w:t xml:space="preserve">artículo 2.2.1.1.2.1.3 del Decreto 1082 de 2015, regula de manera general el contenido de los pliegos de condiciones, </w:t>
            </w:r>
            <w:r>
              <w:rPr>
                <w:rFonts w:ascii="Verdana" w:eastAsia="Times New Roman" w:hAnsi="Verdana" w:cs="Arial"/>
                <w:bdr w:val="none" w:sz="0" w:space="0" w:color="auto" w:frame="1"/>
                <w:lang w:val="es-ES"/>
              </w:rPr>
              <w:t xml:space="preserve">el cual </w:t>
            </w:r>
            <w:r w:rsidRPr="000F1385">
              <w:rPr>
                <w:rFonts w:ascii="Verdana" w:eastAsia="Times New Roman" w:hAnsi="Verdana" w:cs="Arial"/>
                <w:bdr w:val="none" w:sz="0" w:space="0" w:color="auto" w:frame="1"/>
                <w:lang w:val="es-ES"/>
              </w:rPr>
              <w:t xml:space="preserve">establece como deber de las entidades estales el de realizar en dichos documentos una “descripción técnica, detallada y completa del bien o servicio objeto del contrato, identificado con el cuarto nivel del Clasiﬁcador de Bienes y Servicios, de ser posible o de lo contrario con el tercer nivel del mismo”. En tal sentido, se precisa </w:t>
            </w:r>
            <w:r w:rsidRPr="000F1385">
              <w:rPr>
                <w:rFonts w:ascii="Verdana" w:eastAsia="Times New Roman" w:hAnsi="Verdana" w:cs="Arial"/>
                <w:lang w:val="es-ES"/>
              </w:rPr>
              <w:t xml:space="preserve">que las entidades al momento de establecer las condiciones para la verificación de experiencia, debe ser adecuada y proporcional a la naturaleza del contrato respecto al valor, complejidad y riesgo, pues no sería del caso establecer condiciones de verificación que no apuntaran a un objeto igual o similar al del proceso de contratación dentro del pliego de condiciones, o se establecieran elementos o requisitos de valor que no fueran proporcionales al presupuesto establecido para el futuro contrato. </w:t>
            </w:r>
          </w:p>
          <w:p w14:paraId="53DEF01F" w14:textId="77777777" w:rsidR="007C0AA4" w:rsidRPr="000F1385" w:rsidRDefault="007C0AA4" w:rsidP="003D4710">
            <w:pPr>
              <w:widowControl w:val="0"/>
              <w:autoSpaceDE w:val="0"/>
              <w:autoSpaceDN w:val="0"/>
              <w:spacing w:after="120" w:line="276" w:lineRule="auto"/>
              <w:ind w:right="104" w:firstLine="708"/>
              <w:jc w:val="both"/>
              <w:rPr>
                <w:rFonts w:ascii="Verdana" w:eastAsia="Times New Roman" w:hAnsi="Verdana" w:cs="Arial"/>
                <w:lang w:val="es-ES_tradnl"/>
              </w:rPr>
            </w:pPr>
            <w:r w:rsidRPr="000F1385">
              <w:rPr>
                <w:rFonts w:ascii="Verdana" w:eastAsia="Times New Roman" w:hAnsi="Verdana" w:cs="Arial"/>
                <w:lang w:val="es-ES"/>
              </w:rPr>
              <w:t xml:space="preserve">Se </w:t>
            </w:r>
            <w:r>
              <w:rPr>
                <w:rFonts w:ascii="Verdana" w:eastAsia="Times New Roman" w:hAnsi="Verdana" w:cs="Arial"/>
                <w:lang w:val="es-ES"/>
              </w:rPr>
              <w:t xml:space="preserve">tiene </w:t>
            </w:r>
            <w:r w:rsidRPr="000F1385">
              <w:rPr>
                <w:rFonts w:ascii="Verdana" w:eastAsia="Times New Roman" w:hAnsi="Verdana" w:cs="Arial"/>
                <w:lang w:val="es-ES_tradnl"/>
              </w:rPr>
              <w:t xml:space="preserve">en cuenta que, de acuerdo con la postura adoptada en la Circular Externa Única de la Agencia, la “clasificación del proponente”, </w:t>
            </w:r>
            <w:r>
              <w:rPr>
                <w:rFonts w:ascii="Verdana" w:eastAsia="Times New Roman" w:hAnsi="Verdana" w:cs="Arial"/>
                <w:lang w:val="es-ES_tradnl"/>
              </w:rPr>
              <w:t xml:space="preserve">correspondiente </w:t>
            </w:r>
            <w:r w:rsidRPr="000F1385">
              <w:rPr>
                <w:rFonts w:ascii="Verdana" w:eastAsia="Times New Roman" w:hAnsi="Verdana" w:cs="Arial"/>
                <w:lang w:val="es-ES_tradnl"/>
              </w:rPr>
              <w:t>a los listados señalados en los numerales 1.1. y 2.1. del artículo 2.2.1.1.1.5.2. del Decreto 1082 de 2015, no condiciona la capacidad ―jurídica, ni tampoco otra― de los proponentes, por lo que, si un proponente cumple los demás requisitos exigidos en el pliego de condiciones, su oferta no puede ser rechazada o desestimada bajo el argumento de que no cuenta con la inscripción del código de los bienes, obras o servicios del objeto del proceso de contratación.</w:t>
            </w:r>
          </w:p>
          <w:p w14:paraId="2AAEA7AF" w14:textId="77777777" w:rsidR="007C0AA4" w:rsidRPr="000F1385" w:rsidRDefault="007C0AA4" w:rsidP="003D4710">
            <w:pPr>
              <w:widowControl w:val="0"/>
              <w:autoSpaceDE w:val="0"/>
              <w:autoSpaceDN w:val="0"/>
              <w:spacing w:after="120" w:line="276" w:lineRule="auto"/>
              <w:ind w:right="104" w:firstLine="708"/>
              <w:jc w:val="both"/>
              <w:rPr>
                <w:rFonts w:ascii="Verdana" w:eastAsia="Times New Roman" w:hAnsi="Verdana" w:cs="Arial"/>
                <w:lang w:val="es-ES_tradnl"/>
              </w:rPr>
            </w:pPr>
            <w:r w:rsidRPr="000F1385">
              <w:rPr>
                <w:rFonts w:ascii="Verdana" w:eastAsia="Times New Roman" w:hAnsi="Verdana" w:cs="Arial"/>
                <w:lang w:val="es-ES"/>
              </w:rPr>
              <w:t xml:space="preserve">Lo anterior se desarrolla sin perjuicio de la forma como se exija la experiencia en los pliegos de condiciones, pues este es un requisito habilitante diferente de la capacidad jurídica; y, para efectos de evaluar la experiencia en los pliegos de condiciones, sí se podrá acudir al Clasificador de Bienes y Servicios de las Naciones Unidas para exigir, por ejemplo, que solo se tendrá por válida la experiencia inscrita por el proponente en el RUP, que sea de contratos ejecutados que coincidan con algún Código del Clasificador del Bienes y Servicios, en particular, en el tercer nivel del clasificador expresada en SMMLV. En esta misma orientación, </w:t>
            </w:r>
            <w:r w:rsidRPr="000F1385">
              <w:rPr>
                <w:rFonts w:ascii="Verdana" w:eastAsia="Times New Roman" w:hAnsi="Verdana" w:cs="Arial"/>
                <w:lang w:val="es-ES_tradnl"/>
              </w:rPr>
              <w:t xml:space="preserve">la Circular Externa Única a que se hizo referencia, en relación con el uso del </w:t>
            </w:r>
            <w:r w:rsidRPr="000F1385">
              <w:rPr>
                <w:rFonts w:ascii="Verdana" w:eastAsia="Times New Roman" w:hAnsi="Verdana" w:cs="Arial"/>
                <w:lang w:val="es-ES_tradnl"/>
              </w:rPr>
              <w:lastRenderedPageBreak/>
              <w:t>Clasificador de Bienes y Servicios para efectos de acreditar la experiencia en los procedimientos de selección, expresó que los proponentes deben inscribir en el RUP su experiencia usando los códigos del Clasificador de Bienes y Servicios. Por su parte, las Entidades Estatales al establecer el requisito habilitante de experiencia deben incluir los códigos específicos del objeto a contratar o el de bienes, obras o servicios afines o que se relacionen con el Proceso de Contratación respecto de los cuales los proponentes deben acreditar su experiencia.</w:t>
            </w:r>
          </w:p>
          <w:p w14:paraId="0963B6ED" w14:textId="77777777" w:rsidR="007C0AA4" w:rsidRPr="0042033B" w:rsidRDefault="007C0AA4" w:rsidP="003D4710">
            <w:pPr>
              <w:spacing w:after="120" w:line="276" w:lineRule="auto"/>
              <w:ind w:firstLine="708"/>
              <w:jc w:val="both"/>
              <w:rPr>
                <w:rFonts w:ascii="Verdana" w:hAnsi="Verdana" w:cs="Arial"/>
                <w:bCs/>
                <w:color w:val="000000" w:themeColor="text1"/>
              </w:rPr>
            </w:pPr>
            <w:r>
              <w:rPr>
                <w:rFonts w:ascii="Verdana" w:hAnsi="Verdana" w:cs="Arial"/>
                <w:bCs/>
                <w:color w:val="000000" w:themeColor="text1"/>
              </w:rPr>
              <w:t>Por último, es necesario precisar</w:t>
            </w:r>
            <w:r w:rsidRPr="000F1385">
              <w:rPr>
                <w:rFonts w:ascii="Verdana" w:hAnsi="Verdana" w:cs="Arial"/>
                <w:bCs/>
                <w:color w:val="000000" w:themeColor="text1"/>
              </w:rPr>
              <w:t xml:space="preserve"> que, las entidades estatales son autónomas en la estructuración de sus procedimientos contractuales, por lo cual en sus pliegos de condiciones pueden establecer las reglas de acreditación de la experiencia de los proponentes, el número de código de naciones unidas hasta el tercer nivel y demás consideraciones siempre que sean proporcionales y conducentes para el respectivo proceso de selección, para así garantizar la pluralidad de oferentes y la participación en el respectivo proceso. </w:t>
            </w:r>
            <w:r>
              <w:rPr>
                <w:rFonts w:ascii="Verdana" w:hAnsi="Verdana" w:cs="Arial"/>
                <w:bCs/>
                <w:color w:val="000000" w:themeColor="text1"/>
              </w:rPr>
              <w:t>En este sentido</w:t>
            </w:r>
            <w:r>
              <w:rPr>
                <w:rFonts w:ascii="Verdana" w:eastAsia="Calibri" w:hAnsi="Verdana" w:cs="Arial"/>
                <w:bCs/>
              </w:rPr>
              <w:t xml:space="preserve">, las entidades públicas se le impone </w:t>
            </w:r>
            <w:r w:rsidRPr="006A5798">
              <w:rPr>
                <w:rFonts w:ascii="Verdana" w:eastAsia="Calibri" w:hAnsi="Verdana" w:cs="Arial"/>
                <w:bCs/>
              </w:rPr>
              <w:t>una carga de motivación en el ejercicio de este tipo de facultades, pues –teniendo en cuenta la remisión del artículo 77 de la Ley 80 de 1993 a las normas que rigen los procedimientos y actuaciones en la función administrativa– el artículo 44 de la Ley 1437 de 2011 dispone: “En la medida en que el contenido de una decisión de carácter general o particular sea discrecional, debe ser adecuada a los fines de la norma que la autoriza, y proporcional a los hechos que le sirven de causa”.</w:t>
            </w:r>
            <w:r>
              <w:rPr>
                <w:rFonts w:ascii="Verdana" w:eastAsia="Calibri" w:hAnsi="Verdana" w:cs="Arial"/>
                <w:bCs/>
              </w:rPr>
              <w:t xml:space="preserve"> De tal manera</w:t>
            </w:r>
            <w:r w:rsidRPr="006A5798">
              <w:rPr>
                <w:rFonts w:ascii="Verdana" w:eastAsia="Calibri" w:hAnsi="Verdana" w:cs="Arial"/>
                <w:bCs/>
              </w:rPr>
              <w:t xml:space="preserve">, el cumplimiento de las exigencias derivadas del principio de proporcionalidad es una condición ineludible para la admisibilidad de cualquier criterio de adjudicación del contrato, así como para su acreditación dentro de un proceso de acreditación. </w:t>
            </w:r>
          </w:p>
          <w:p w14:paraId="516D471D" w14:textId="77777777" w:rsidR="007C0AA4" w:rsidRPr="00CB3C56" w:rsidRDefault="007C0AA4" w:rsidP="003D4710">
            <w:pPr>
              <w:spacing w:after="120" w:line="276" w:lineRule="auto"/>
              <w:ind w:firstLine="708"/>
              <w:jc w:val="both"/>
              <w:rPr>
                <w:rFonts w:ascii="Verdana" w:eastAsia="Calibri" w:hAnsi="Verdana" w:cs="Arial"/>
                <w:lang w:val="es-ES" w:eastAsia="es-ES"/>
              </w:rPr>
            </w:pPr>
            <w:r>
              <w:rPr>
                <w:rFonts w:ascii="Verdana" w:hAnsi="Verdana" w:cs="Arial"/>
                <w:bCs/>
              </w:rPr>
              <w:t>En todo caso, se recuerda que, p</w:t>
            </w:r>
            <w:r w:rsidRPr="006C0CAF">
              <w:rPr>
                <w:rFonts w:ascii="Verdana" w:hAnsi="Verdana" w:cs="Arial"/>
                <w:bCs/>
              </w:rPr>
              <w:t xml:space="preserve">ara efectos disciplinarios, el inciso 3 del artículo 226 del Código General del Proceso, normativa a la que remite el artículo 241 de la Ley 1952 de 2019 en materia probatoria, establece expresamente que “No serán admisibles los dictámenes periciales que versen sobre puntos de derecho”. </w:t>
            </w:r>
            <w:r w:rsidRPr="006C0CAF">
              <w:rPr>
                <w:rFonts w:ascii="Verdana" w:eastAsia="Calibri" w:hAnsi="Verdana" w:cs="Arial"/>
                <w:lang w:val="es-ES"/>
              </w:rPr>
              <w:t xml:space="preserve">En este contexto, </w:t>
            </w:r>
            <w:r w:rsidRPr="006C0CAF">
              <w:rPr>
                <w:rFonts w:ascii="Verdana" w:hAnsi="Verdana" w:cs="Arial"/>
                <w:bCs/>
              </w:rPr>
              <w:t xml:space="preserve">lo decidido en torno a los procesos que se estén tramitando, </w:t>
            </w:r>
            <w:r w:rsidRPr="006C0CAF">
              <w:rPr>
                <w:rFonts w:ascii="Verdana" w:hAnsi="Verdana" w:cs="Arial"/>
                <w:lang w:val="es-ES_tradnl"/>
              </w:rPr>
              <w:t>es responsabilidad única y exclusiva de la entidad consultante</w:t>
            </w:r>
            <w:r w:rsidRPr="006C0CAF">
              <w:rPr>
                <w:rFonts w:ascii="Verdana" w:eastAsia="Calibri" w:hAnsi="Verdana" w:cs="Arial"/>
                <w:bCs/>
                <w:lang w:eastAsia="es-ES_tradnl"/>
              </w:rPr>
              <w:t xml:space="preserve">. </w:t>
            </w:r>
            <w:r w:rsidRPr="006C0CAF">
              <w:rPr>
                <w:rFonts w:ascii="Verdana" w:eastAsia="Calibri" w:hAnsi="Verdana" w:cs="Arial"/>
              </w:rPr>
              <w:t xml:space="preserve">Sin perjuicio de lo anterior, </w:t>
            </w:r>
            <w:r w:rsidRPr="006C0CAF">
              <w:rPr>
                <w:rFonts w:ascii="Verdana" w:eastAsia="Calibri" w:hAnsi="Verdana" w:cs="Arial"/>
                <w:lang w:val="es-ES"/>
              </w:rPr>
              <w:t xml:space="preserve">la Agencia –dentro de los límites de sus atribuciones, esto es, al margen de las conductas investigadas </w:t>
            </w:r>
            <w:r w:rsidRPr="006C0CAF">
              <w:rPr>
                <w:rFonts w:ascii="Verdana" w:eastAsia="Calibri" w:hAnsi="Verdana" w:cs="Arial"/>
                <w:lang w:val="es-ES"/>
              </w:rPr>
              <w:lastRenderedPageBreak/>
              <w:t>en el expediente anteriormente citado– resolverá la consulta conforme a las normas generales del sistema de compras públicas.</w:t>
            </w:r>
            <w:r w:rsidRPr="006C0CAF">
              <w:rPr>
                <w:rFonts w:ascii="Verdana" w:eastAsia="Calibri" w:hAnsi="Verdana" w:cs="Arial"/>
                <w:lang w:val="es-ES" w:eastAsia="es-ES"/>
              </w:rPr>
              <w:t xml:space="preserve"> </w:t>
            </w:r>
          </w:p>
        </w:tc>
      </w:tr>
    </w:tbl>
    <w:p w14:paraId="11716F66" w14:textId="77777777" w:rsidR="007C0AA4" w:rsidRPr="000F1385" w:rsidRDefault="007C0AA4" w:rsidP="007C0AA4">
      <w:pPr>
        <w:spacing w:after="0" w:line="240" w:lineRule="auto"/>
        <w:jc w:val="both"/>
        <w:rPr>
          <w:rFonts w:ascii="Verdana" w:eastAsia="Calibri" w:hAnsi="Verdana" w:cs="Arial"/>
          <w:bCs/>
          <w:color w:val="000000" w:themeColor="text1"/>
        </w:rPr>
      </w:pPr>
    </w:p>
    <w:p w14:paraId="47CB4856" w14:textId="77777777" w:rsidR="007C0AA4" w:rsidRPr="000F1385" w:rsidRDefault="007C0AA4" w:rsidP="007C0AA4">
      <w:pPr>
        <w:numPr>
          <w:ilvl w:val="0"/>
          <w:numId w:val="16"/>
        </w:numPr>
        <w:spacing w:after="0" w:line="240" w:lineRule="auto"/>
        <w:rPr>
          <w:rFonts w:ascii="Verdana" w:eastAsia="Calibri" w:hAnsi="Verdana" w:cs="Times New Roman"/>
          <w:b/>
          <w:bCs/>
          <w:lang w:val="es-ES"/>
        </w:rPr>
      </w:pPr>
      <w:r w:rsidRPr="000F1385">
        <w:rPr>
          <w:rFonts w:ascii="Verdana" w:eastAsia="Calibri" w:hAnsi="Verdana" w:cs="Times New Roman"/>
          <w:b/>
          <w:bCs/>
          <w:lang w:val="es-ES"/>
        </w:rPr>
        <w:t>Razones de la respuesta:</w:t>
      </w:r>
    </w:p>
    <w:p w14:paraId="5CA2F27E" w14:textId="77777777" w:rsidR="007C0AA4" w:rsidRPr="000F1385" w:rsidRDefault="007C0AA4" w:rsidP="007C0AA4">
      <w:pPr>
        <w:spacing w:after="0" w:line="240" w:lineRule="auto"/>
        <w:rPr>
          <w:rFonts w:ascii="Verdana" w:eastAsia="Calibri" w:hAnsi="Verdana" w:cs="Times New Roman"/>
          <w:b/>
          <w:bCs/>
          <w:lang w:val="es-ES"/>
        </w:rPr>
      </w:pPr>
    </w:p>
    <w:p w14:paraId="723DB126" w14:textId="77777777" w:rsidR="007C0AA4" w:rsidRPr="000F1385" w:rsidRDefault="007C0AA4" w:rsidP="007C0AA4">
      <w:pPr>
        <w:spacing w:after="0" w:line="240" w:lineRule="auto"/>
        <w:jc w:val="both"/>
        <w:rPr>
          <w:rFonts w:ascii="Verdana" w:eastAsia="Calibri" w:hAnsi="Verdana" w:cs="Arial"/>
          <w:lang w:val="es-ES"/>
        </w:rPr>
      </w:pPr>
      <w:r w:rsidRPr="000F1385">
        <w:rPr>
          <w:rFonts w:ascii="Verdana" w:eastAsia="Calibri" w:hAnsi="Verdana" w:cs="Arial"/>
          <w:lang w:val="es-ES"/>
        </w:rPr>
        <w:t xml:space="preserve">Lo anterior se sustenta en las siguientes consideraciones: </w:t>
      </w:r>
    </w:p>
    <w:p w14:paraId="43C1F5CA" w14:textId="77777777" w:rsidR="007C0AA4" w:rsidRPr="000F1385" w:rsidRDefault="007C0AA4" w:rsidP="007C0AA4">
      <w:pPr>
        <w:spacing w:after="0" w:line="240" w:lineRule="auto"/>
        <w:jc w:val="both"/>
        <w:rPr>
          <w:rFonts w:ascii="Verdana" w:hAnsi="Verdana" w:cs="Arial"/>
          <w:bCs/>
          <w:lang w:val="es-ES" w:eastAsia="es-ES" w:bidi="es-ES"/>
        </w:rPr>
      </w:pPr>
    </w:p>
    <w:p w14:paraId="02FF314F" w14:textId="77777777" w:rsidR="007C0AA4" w:rsidRPr="000F1385" w:rsidRDefault="007C0AA4" w:rsidP="007C0AA4">
      <w:pPr>
        <w:widowControl w:val="0"/>
        <w:autoSpaceDE w:val="0"/>
        <w:autoSpaceDN w:val="0"/>
        <w:spacing w:after="120" w:line="276" w:lineRule="auto"/>
        <w:ind w:right="104"/>
        <w:jc w:val="both"/>
        <w:rPr>
          <w:rFonts w:ascii="Verdana" w:eastAsia="Arial MT" w:hAnsi="Verdana" w:cs="Arial"/>
          <w:lang w:val="es-ES"/>
        </w:rPr>
      </w:pPr>
      <w:r w:rsidRPr="000F1385">
        <w:rPr>
          <w:rFonts w:ascii="Verdana" w:eastAsia="Times New Roman" w:hAnsi="Verdana" w:cs="Arial"/>
          <w:lang w:val="es-ES" w:eastAsia="es-ES"/>
          <w14:ligatures w14:val="standardContextual"/>
        </w:rPr>
        <w:t xml:space="preserve">i. </w:t>
      </w:r>
      <w:r w:rsidRPr="000F1385">
        <w:rPr>
          <w:rFonts w:ascii="Verdana" w:eastAsia="Arial MT" w:hAnsi="Verdana" w:cs="Arial"/>
          <w:lang w:val="es-ES"/>
        </w:rPr>
        <w:t>Las normas de contratación estatal establecen que las personas naturales o jurídicas nacionales o extranjeras que deseen celebrar contratos estatales deberán estar inscritos en el Registro Único de Proponente –</w:t>
      </w:r>
      <w:r w:rsidRPr="000F1385">
        <w:rPr>
          <w:rFonts w:ascii="Verdana" w:eastAsia="Arial MT" w:hAnsi="Verdana" w:cs="Arial"/>
          <w:spacing w:val="-6"/>
          <w:lang w:val="es-ES"/>
        </w:rPr>
        <w:t xml:space="preserve"> </w:t>
      </w:r>
      <w:r w:rsidRPr="000F1385">
        <w:rPr>
          <w:rFonts w:ascii="Verdana" w:eastAsia="Arial MT" w:hAnsi="Verdana" w:cs="Arial"/>
          <w:lang w:val="es-ES"/>
        </w:rPr>
        <w:t>RUP</w:t>
      </w:r>
      <w:r w:rsidRPr="000F1385">
        <w:rPr>
          <w:rFonts w:ascii="Verdana" w:eastAsia="Arial MT" w:hAnsi="Verdana" w:cs="Arial"/>
          <w:vertAlign w:val="superscript"/>
          <w:lang w:val="es-ES"/>
        </w:rPr>
        <w:footnoteReference w:id="2"/>
      </w:r>
      <w:r w:rsidRPr="000F1385">
        <w:rPr>
          <w:rFonts w:ascii="Verdana" w:eastAsia="Arial MT" w:hAnsi="Verdana" w:cs="Arial"/>
          <w:lang w:val="es-ES"/>
        </w:rPr>
        <w:t>. De acuerdo con esto, el artículo 6 de la Ley 1150 de 2007, al determinar la información contenida en el RUP, dispone que en el registro constará la información relacionada con la experiencia, capacidad jurídica, financiera y de organización del proponente, así como su clasificación</w:t>
      </w:r>
      <w:r w:rsidRPr="000F1385">
        <w:rPr>
          <w:rFonts w:ascii="Verdana" w:eastAsia="Arial MT" w:hAnsi="Verdana" w:cs="Arial"/>
          <w:vertAlign w:val="superscript"/>
          <w:lang w:val="es-ES"/>
        </w:rPr>
        <w:footnoteReference w:id="3"/>
      </w:r>
      <w:r w:rsidRPr="000F1385">
        <w:rPr>
          <w:rFonts w:ascii="Verdana" w:eastAsia="Arial MT" w:hAnsi="Verdana" w:cs="Arial"/>
          <w:lang w:val="es-ES"/>
        </w:rPr>
        <w:t>.</w:t>
      </w:r>
    </w:p>
    <w:p w14:paraId="13135EE5" w14:textId="77777777" w:rsidR="007C0AA4" w:rsidRPr="000F1385" w:rsidRDefault="007C0AA4" w:rsidP="007C0AA4">
      <w:pPr>
        <w:widowControl w:val="0"/>
        <w:autoSpaceDE w:val="0"/>
        <w:autoSpaceDN w:val="0"/>
        <w:spacing w:after="120" w:line="276" w:lineRule="auto"/>
        <w:ind w:right="102"/>
        <w:jc w:val="both"/>
        <w:rPr>
          <w:rFonts w:ascii="Verdana" w:eastAsia="Arial MT" w:hAnsi="Verdana" w:cs="Arial"/>
          <w:lang w:val="es-ES"/>
        </w:rPr>
      </w:pPr>
      <w:r w:rsidRPr="000F1385">
        <w:rPr>
          <w:rFonts w:ascii="Verdana" w:eastAsia="Arial MT" w:hAnsi="Verdana" w:cs="Arial"/>
          <w:lang w:val="es-ES"/>
        </w:rPr>
        <w:tab/>
        <w:t xml:space="preserve">La clasificación tiene que ver con los bienes y servicios con los que se relaciona la experiencia del proponente. Este asunto es relevante para el registro, en la medida en que, existiendo una gran variedad de bienes y servicios, así como un gran número de proponentes con experiencia para suministrarlos, el legislador estimó necesario que el RUP incorporara una clasificación a efectos de racionalizar la información. De esta manera, el Decreto </w:t>
      </w:r>
      <w:r w:rsidRPr="000F1385">
        <w:rPr>
          <w:rFonts w:ascii="Verdana" w:eastAsia="Arial MT" w:hAnsi="Verdana" w:cs="Arial"/>
          <w:lang w:val="es-ES"/>
        </w:rPr>
        <w:lastRenderedPageBreak/>
        <w:t xml:space="preserve">1082 de 2015, al reglamentar la contratación pública, el RUP y la clasificación de la experiencia, implementó el Clasificador de Bienes y Servicios de las Naciones Unidas –UNSPSC–, lo cual se refleja en diferentes partes de su articulado. </w:t>
      </w:r>
    </w:p>
    <w:p w14:paraId="692C3DB3" w14:textId="77777777" w:rsidR="007C0AA4" w:rsidRPr="000F1385" w:rsidRDefault="007C0AA4" w:rsidP="007C0AA4">
      <w:pPr>
        <w:shd w:val="clear" w:color="auto" w:fill="FFFFFF"/>
        <w:spacing w:after="120" w:line="276" w:lineRule="auto"/>
        <w:ind w:firstLine="709"/>
        <w:jc w:val="both"/>
        <w:textAlignment w:val="baseline"/>
        <w:rPr>
          <w:rFonts w:ascii="Verdana" w:eastAsia="Times New Roman" w:hAnsi="Verdana" w:cs="Arial"/>
          <w:bdr w:val="none" w:sz="0" w:space="0" w:color="auto" w:frame="1"/>
          <w:lang w:val="es-MX" w:eastAsia="es-CO"/>
        </w:rPr>
      </w:pPr>
      <w:r w:rsidRPr="000F1385">
        <w:rPr>
          <w:rFonts w:ascii="Verdana" w:eastAsia="Times New Roman" w:hAnsi="Verdana" w:cs="Arial"/>
          <w:bdr w:val="none" w:sz="0" w:space="0" w:color="auto" w:frame="1"/>
          <w:lang w:val="es-MX" w:eastAsia="es-CO"/>
        </w:rPr>
        <w:t>El artículo 2.2.1.1.1.3.1 del Decreto 1082 de 2015 define el Clasificador de Bienes y Servicios como el “Sistema de codificación de las Naciones Unidas para estandarizar productos y servicios, conocido por las siglas UNSPSC”. A su vez, la “Guía para la codificación de bienes y servicios de acuerdo con el código estándar de productos y servicios de Naciones Unidas, V.14.080”, establece que “The United Nations Standard Products and Services Code® - UNSPSC - Código Estándar de Productos y Servicios de Naciones Unidas, es una metodología uniforme de codificación utilizada para clasificar productos y servicios fundamentada en un arreglo jerárquico y en una estructura lógica”. La principal utilidad de este sistema de clasificación es codificar productos y servicios de forma clara ya que “se basa en estándares acordados por la industria los cuales facilitan el comercio entre empresas y gobierno”</w:t>
      </w:r>
      <w:r w:rsidRPr="000F1385">
        <w:rPr>
          <w:rFonts w:ascii="Verdana" w:eastAsia="Times New Roman" w:hAnsi="Verdana" w:cs="Arial"/>
          <w:bdr w:val="none" w:sz="0" w:space="0" w:color="auto" w:frame="1"/>
          <w:vertAlign w:val="superscript"/>
          <w:lang w:val="es-MX" w:eastAsia="es-CO"/>
        </w:rPr>
        <w:footnoteReference w:id="4"/>
      </w:r>
      <w:r w:rsidRPr="000F1385">
        <w:rPr>
          <w:rFonts w:ascii="Verdana" w:eastAsia="Times New Roman" w:hAnsi="Verdana" w:cs="Arial"/>
          <w:bdr w:val="none" w:sz="0" w:space="0" w:color="auto" w:frame="1"/>
          <w:lang w:val="es-MX" w:eastAsia="es-CO"/>
        </w:rPr>
        <w:t>.</w:t>
      </w:r>
    </w:p>
    <w:p w14:paraId="6147E9F2" w14:textId="77777777" w:rsidR="007C0AA4" w:rsidRPr="000F1385" w:rsidRDefault="007C0AA4" w:rsidP="007C0AA4">
      <w:pPr>
        <w:widowControl w:val="0"/>
        <w:autoSpaceDE w:val="0"/>
        <w:autoSpaceDN w:val="0"/>
        <w:spacing w:after="120" w:line="276" w:lineRule="auto"/>
        <w:ind w:right="102" w:firstLine="607"/>
        <w:jc w:val="both"/>
        <w:rPr>
          <w:rFonts w:ascii="Verdana" w:eastAsia="Times New Roman" w:hAnsi="Verdana" w:cs="Arial"/>
          <w:bdr w:val="none" w:sz="0" w:space="0" w:color="auto" w:frame="1"/>
          <w:lang w:val="es-MX"/>
        </w:rPr>
      </w:pPr>
      <w:r w:rsidRPr="000F1385">
        <w:rPr>
          <w:rFonts w:ascii="Verdana" w:eastAsia="Times New Roman" w:hAnsi="Verdana" w:cs="Arial"/>
          <w:bdr w:val="none" w:sz="0" w:space="0" w:color="auto" w:frame="1"/>
          <w:lang w:val="es-ES"/>
        </w:rPr>
        <w:t>Por otro lado, el artículo 2.2.1.1.1.4.1 del Decreto 1082 de 2015, referente al deber de elaborar el Plan Anual de Adquisiciones, establece que en la expedición de dicho documento las entidades deben “señalar la necesidad y cuando conoce el bien, obra o servicio que satisface esa necesidad debe identificarlo utilizando el Clasiﬁcador de Bienes y Servicios”</w:t>
      </w:r>
      <w:r w:rsidRPr="000F1385">
        <w:rPr>
          <w:rFonts w:ascii="Verdana" w:eastAsia="Times New Roman" w:hAnsi="Verdana" w:cs="Arial"/>
          <w:bdr w:val="none" w:sz="0" w:space="0" w:color="auto" w:frame="1"/>
          <w:vertAlign w:val="superscript"/>
          <w:lang w:val="es-ES"/>
        </w:rPr>
        <w:footnoteReference w:id="5"/>
      </w:r>
      <w:r w:rsidRPr="000F1385">
        <w:rPr>
          <w:rFonts w:ascii="Verdana" w:eastAsia="Times New Roman" w:hAnsi="Verdana" w:cs="Arial"/>
          <w:bdr w:val="none" w:sz="0" w:space="0" w:color="auto" w:frame="1"/>
          <w:lang w:val="es-ES"/>
        </w:rPr>
        <w:t>.</w:t>
      </w:r>
      <w:r w:rsidRPr="000F1385">
        <w:rPr>
          <w:rFonts w:ascii="Verdana" w:eastAsia="Times New Roman" w:hAnsi="Verdana" w:cs="Arial"/>
          <w:bdr w:val="none" w:sz="0" w:space="0" w:color="auto" w:frame="1"/>
          <w:lang w:val="es-MX"/>
        </w:rPr>
        <w:t>  </w:t>
      </w:r>
    </w:p>
    <w:p w14:paraId="1EE6D4AA" w14:textId="77777777" w:rsidR="007C0AA4" w:rsidRPr="000F1385" w:rsidRDefault="007C0AA4" w:rsidP="007C0AA4">
      <w:pPr>
        <w:widowControl w:val="0"/>
        <w:autoSpaceDE w:val="0"/>
        <w:autoSpaceDN w:val="0"/>
        <w:spacing w:after="120" w:line="276" w:lineRule="auto"/>
        <w:ind w:firstLine="708"/>
        <w:jc w:val="both"/>
        <w:rPr>
          <w:rFonts w:ascii="Verdana" w:eastAsia="Arial MT" w:hAnsi="Verdana" w:cs="Arial"/>
          <w:lang w:val="es-ES"/>
        </w:rPr>
      </w:pPr>
      <w:r w:rsidRPr="000F1385">
        <w:rPr>
          <w:rFonts w:ascii="Verdana" w:eastAsia="Arial MT" w:hAnsi="Verdana" w:cs="Arial"/>
          <w:lang w:val="es-ES"/>
        </w:rPr>
        <w:t xml:space="preserve">Por su parte, el artículo 2.2.1.1.1.5.2 del Decreto 1082 de 2015, al desarrollar la información requerida para la inscripción, actualización y renovación del RUP, establece que los proponentes deben establecer los bienes y servicios que ofrecerán identificados Clasificador de Bienes y Servicios en el tercer nivel. Así mismo el numeral 2.5 de este artículo establece que en los certificados de experiencia presentados para inscripción o actualización del RUP, </w:t>
      </w:r>
      <w:r w:rsidRPr="000F1385">
        <w:rPr>
          <w:rFonts w:ascii="Verdana" w:eastAsia="Arial MT" w:hAnsi="Verdana" w:cs="Arial"/>
          <w:lang w:val="es-ES"/>
        </w:rPr>
        <w:lastRenderedPageBreak/>
        <w:t>los proponentes deben indicar en “cada certificado o en cada copia de los contratos, los bienes, obras y servicios a los cuales corresponde la experiencia que pretende acreditar, identificándolos con el Clasificador de Bienes y Servicios en el tercer nivel”</w:t>
      </w:r>
      <w:r w:rsidRPr="000F1385">
        <w:rPr>
          <w:rFonts w:ascii="Verdana" w:eastAsia="Arial MT" w:hAnsi="Verdana" w:cs="Arial"/>
          <w:vertAlign w:val="superscript"/>
          <w:lang w:val="es-ES"/>
        </w:rPr>
        <w:footnoteReference w:id="6"/>
      </w:r>
      <w:r w:rsidRPr="000F1385">
        <w:rPr>
          <w:rFonts w:ascii="Verdana" w:eastAsia="Arial MT" w:hAnsi="Verdana" w:cs="Arial"/>
          <w:lang w:val="es-ES"/>
        </w:rPr>
        <w:t xml:space="preserve">. </w:t>
      </w:r>
    </w:p>
    <w:p w14:paraId="187938E1" w14:textId="77777777" w:rsidR="007C0AA4" w:rsidRPr="000F1385" w:rsidRDefault="007C0AA4" w:rsidP="007C0AA4">
      <w:pPr>
        <w:widowControl w:val="0"/>
        <w:autoSpaceDE w:val="0"/>
        <w:autoSpaceDN w:val="0"/>
        <w:spacing w:after="120" w:line="276" w:lineRule="auto"/>
        <w:ind w:firstLine="708"/>
        <w:jc w:val="both"/>
        <w:rPr>
          <w:rFonts w:ascii="Verdana" w:eastAsia="Arial MT" w:hAnsi="Verdana" w:cs="Arial"/>
          <w:lang w:val="es-ES"/>
        </w:rPr>
      </w:pPr>
      <w:r w:rsidRPr="000F1385">
        <w:rPr>
          <w:rFonts w:ascii="Verdana" w:eastAsia="Arial MT" w:hAnsi="Verdana" w:cs="Arial"/>
          <w:lang w:val="es-ES"/>
        </w:rPr>
        <w:t xml:space="preserve">En concordancia con lo anterior, el artículo 2.2.1.1.1.5.3. del Decreto 1082 de 2015, en su numeral 1, establece que las Cámaras de Comercio deberán certificar la experiencia inscrita en el RUP verificando los “contratos celebrados por el interesado para cada uno de los bienes, obras y servicios que ofrecerá a las Entidades Estatales, identificados con el Clasiﬁcador de Bienes y Servicios en el tercer nivel </w:t>
      </w:r>
      <w:r w:rsidRPr="000F1385">
        <w:rPr>
          <w:rFonts w:ascii="Verdana" w:eastAsia="Arial MT" w:hAnsi="Verdana" w:cs="Arial"/>
        </w:rPr>
        <w:t>y su valor expresado en smmlv</w:t>
      </w:r>
      <w:r w:rsidRPr="000F1385">
        <w:rPr>
          <w:rFonts w:ascii="Verdana" w:eastAsia="Arial MT" w:hAnsi="Verdana" w:cs="Arial"/>
          <w:lang w:val="es-ES"/>
        </w:rPr>
        <w:t>”</w:t>
      </w:r>
      <w:r w:rsidRPr="000F1385">
        <w:rPr>
          <w:rFonts w:ascii="Verdana" w:eastAsia="Arial MT" w:hAnsi="Verdana" w:cs="Arial"/>
          <w:vertAlign w:val="superscript"/>
          <w:lang w:val="es-ES"/>
        </w:rPr>
        <w:footnoteReference w:id="7"/>
      </w:r>
      <w:r w:rsidRPr="000F1385">
        <w:rPr>
          <w:rFonts w:ascii="Verdana" w:eastAsia="Arial MT" w:hAnsi="Verdana" w:cs="Arial"/>
          <w:lang w:val="es-ES"/>
        </w:rPr>
        <w:t>. Esto es coherente con lo dispuesto en el artículo 2.2.1.1.1.5.6, que indica que uno de los componentes de información del RUP son “los bienes, obras y servicios para los cuales está inscrito el proponente de acuerdo con el Clasiﬁcador de Bienes y Servicios”</w:t>
      </w:r>
      <w:r w:rsidRPr="000F1385">
        <w:rPr>
          <w:rFonts w:ascii="Verdana" w:eastAsia="Arial MT" w:hAnsi="Verdana" w:cs="Arial"/>
          <w:vertAlign w:val="superscript"/>
          <w:lang w:val="es-ES"/>
        </w:rPr>
        <w:footnoteReference w:id="8"/>
      </w:r>
      <w:r w:rsidRPr="000F1385">
        <w:rPr>
          <w:rFonts w:ascii="Verdana" w:eastAsia="Arial MT" w:hAnsi="Verdana" w:cs="Arial"/>
          <w:lang w:val="es-ES"/>
        </w:rPr>
        <w:t xml:space="preserve">. </w:t>
      </w:r>
    </w:p>
    <w:p w14:paraId="7D87CF46" w14:textId="77777777" w:rsidR="007C0AA4" w:rsidRPr="000F1385" w:rsidRDefault="007C0AA4" w:rsidP="007C0AA4">
      <w:pPr>
        <w:widowControl w:val="0"/>
        <w:autoSpaceDE w:val="0"/>
        <w:autoSpaceDN w:val="0"/>
        <w:spacing w:after="120" w:line="276" w:lineRule="auto"/>
        <w:ind w:firstLine="708"/>
        <w:jc w:val="both"/>
        <w:rPr>
          <w:rFonts w:ascii="Verdana" w:eastAsia="Arial MT" w:hAnsi="Verdana" w:cs="Arial"/>
          <w:lang w:val="es-ES"/>
        </w:rPr>
      </w:pPr>
      <w:r w:rsidRPr="000F1385">
        <w:rPr>
          <w:rFonts w:ascii="Verdana" w:eastAsia="Arial MT" w:hAnsi="Verdana" w:cs="Arial"/>
          <w:lang w:val="es-ES"/>
        </w:rPr>
        <w:lastRenderedPageBreak/>
        <w:t xml:space="preserve">El </w:t>
      </w:r>
      <w:r w:rsidRPr="000F1385">
        <w:rPr>
          <w:rFonts w:ascii="Verdana" w:eastAsia="Times New Roman" w:hAnsi="Verdana" w:cs="Arial"/>
          <w:bdr w:val="none" w:sz="0" w:space="0" w:color="auto" w:frame="1"/>
          <w:lang w:val="es-ES"/>
        </w:rPr>
        <w:t>artículo 2.2.1.1.2.1.3. del Decreto 1082 de 2015, el cual regula de manera general el contenido de los pliegos de condiciones, establece como deber de las entidades estales el de realizar en dichos documentos una “descripción técnica, detallada y completa del bien o servicio objeto del contrato, identificado con el cuarto nivel del Clasiﬁcador de Bienes y Servicios, de ser posible o de lo contrario con el tercer nivel del mismo”</w:t>
      </w:r>
      <w:r w:rsidRPr="000F1385">
        <w:rPr>
          <w:rFonts w:ascii="Verdana" w:eastAsia="Times New Roman" w:hAnsi="Verdana" w:cs="Arial"/>
          <w:bdr w:val="none" w:sz="0" w:space="0" w:color="auto" w:frame="1"/>
          <w:vertAlign w:val="superscript"/>
          <w:lang w:val="es-ES"/>
        </w:rPr>
        <w:footnoteReference w:id="9"/>
      </w:r>
      <w:r w:rsidRPr="000F1385">
        <w:rPr>
          <w:rFonts w:ascii="Verdana" w:eastAsia="Times New Roman" w:hAnsi="Verdana" w:cs="Arial"/>
          <w:bdr w:val="none" w:sz="0" w:space="0" w:color="auto" w:frame="1"/>
          <w:lang w:val="es-ES"/>
        </w:rPr>
        <w:t>. </w:t>
      </w:r>
    </w:p>
    <w:p w14:paraId="5E27B1D4" w14:textId="77777777" w:rsidR="007C0AA4" w:rsidRPr="000F1385" w:rsidRDefault="007C0AA4" w:rsidP="007C0AA4">
      <w:pPr>
        <w:widowControl w:val="0"/>
        <w:autoSpaceDE w:val="0"/>
        <w:autoSpaceDN w:val="0"/>
        <w:spacing w:after="120" w:line="276" w:lineRule="auto"/>
        <w:ind w:right="104" w:firstLine="608"/>
        <w:jc w:val="both"/>
        <w:rPr>
          <w:rFonts w:ascii="Verdana" w:eastAsia="Times New Roman" w:hAnsi="Verdana" w:cs="Arial"/>
          <w:lang w:val="es-ES"/>
        </w:rPr>
      </w:pPr>
      <w:r w:rsidRPr="000F1385">
        <w:rPr>
          <w:rFonts w:ascii="Verdana" w:eastAsia="Times New Roman" w:hAnsi="Verdana" w:cs="Arial"/>
          <w:bdr w:val="none" w:sz="0" w:space="0" w:color="auto" w:frame="1"/>
          <w:lang w:val="es-ES"/>
        </w:rPr>
        <w:t>Conforme a lo anterior, la planeación de las adquisiciones de las entidades estatales, la inscripción en el RUP, la valoración de la experiencia de los proponentes y el desarrollo de los procesos de contratación son ámbitos de la contratación estatal en los que se incorpora el uso del Clasificador de Bienes y Servicios para la contratación estatal. Es una medida que incrementa la eficiencia y la efectividad en procedimientos de selección y reduce los costos de crear y mantener un sistema de codificación individual, al estandarizar una codificación de amplia difusión y de generalizada aceptación, que permite a proveedores y compradores “hablar el mismo lenguaje” al integrar en un solo número el flujo total del proceso de adquisición</w:t>
      </w:r>
      <w:r w:rsidRPr="000F1385">
        <w:rPr>
          <w:rFonts w:ascii="Verdana" w:eastAsia="Times New Roman" w:hAnsi="Verdana" w:cs="Arial"/>
          <w:bdr w:val="none" w:sz="0" w:space="0" w:color="auto" w:frame="1"/>
          <w:vertAlign w:val="superscript"/>
          <w:lang w:val="es-ES"/>
        </w:rPr>
        <w:footnoteReference w:id="10"/>
      </w:r>
      <w:r w:rsidRPr="000F1385">
        <w:rPr>
          <w:rFonts w:ascii="Verdana" w:eastAsia="Times New Roman" w:hAnsi="Verdana" w:cs="Arial"/>
          <w:bdr w:val="none" w:sz="0" w:space="0" w:color="auto" w:frame="1"/>
          <w:lang w:val="es-ES"/>
        </w:rPr>
        <w:t>. </w:t>
      </w:r>
    </w:p>
    <w:p w14:paraId="33DE0688" w14:textId="77777777" w:rsidR="007C0AA4" w:rsidRPr="000F1385" w:rsidRDefault="007C0AA4" w:rsidP="007C0AA4">
      <w:pPr>
        <w:widowControl w:val="0"/>
        <w:autoSpaceDE w:val="0"/>
        <w:autoSpaceDN w:val="0"/>
        <w:spacing w:after="0" w:line="276" w:lineRule="auto"/>
        <w:ind w:right="102" w:firstLine="607"/>
        <w:jc w:val="both"/>
        <w:rPr>
          <w:rFonts w:ascii="Verdana" w:eastAsia="Times New Roman" w:hAnsi="Verdana" w:cs="Arial"/>
        </w:rPr>
      </w:pPr>
      <w:r w:rsidRPr="000F1385">
        <w:rPr>
          <w:rFonts w:ascii="Verdana" w:eastAsia="Times New Roman" w:hAnsi="Verdana" w:cs="Arial"/>
          <w:lang w:val="es-ES"/>
        </w:rPr>
        <w:t xml:space="preserve">Al respecto, </w:t>
      </w:r>
      <w:r w:rsidRPr="000F1385">
        <w:rPr>
          <w:rFonts w:ascii="Verdana" w:eastAsia="Times New Roman" w:hAnsi="Verdana" w:cs="Arial"/>
        </w:rPr>
        <w:t>la Agencia Nacional de Contratación Pública - Colombia Compra Eficiente puso a disposición de los interesados del sistema de compra pública el “Manual para determinar y verificar requisitos habilitantes en los procesos de contratación”</w:t>
      </w:r>
      <w:r w:rsidRPr="000F1385">
        <w:rPr>
          <w:rFonts w:ascii="Verdana" w:eastAsia="Times New Roman" w:hAnsi="Verdana" w:cs="Arial"/>
          <w:vertAlign w:val="superscript"/>
        </w:rPr>
        <w:footnoteReference w:id="11"/>
      </w:r>
      <w:r w:rsidRPr="000F1385">
        <w:rPr>
          <w:rFonts w:ascii="Verdana" w:eastAsia="Times New Roman" w:hAnsi="Verdana" w:cs="Arial"/>
        </w:rPr>
        <w:t xml:space="preserve">, y en este de forma particular, se establecen una serie de características que deben ser observadas por parte de las entidades al establecer en sus invitaciones o pliego de condiciones los requerimientos o condiciones necesarias para poder llevar a cabo su verificación, como se detalla a continuación: </w:t>
      </w:r>
    </w:p>
    <w:p w14:paraId="67AD5430" w14:textId="77777777" w:rsidR="007C0AA4" w:rsidRPr="000F1385" w:rsidRDefault="007C0AA4" w:rsidP="007C0AA4">
      <w:pPr>
        <w:widowControl w:val="0"/>
        <w:autoSpaceDE w:val="0"/>
        <w:autoSpaceDN w:val="0"/>
        <w:spacing w:after="0" w:line="276" w:lineRule="auto"/>
        <w:ind w:right="102" w:firstLine="607"/>
        <w:jc w:val="both"/>
        <w:rPr>
          <w:rFonts w:ascii="Verdana" w:eastAsia="Times New Roman" w:hAnsi="Verdana" w:cs="Arial"/>
        </w:rPr>
      </w:pPr>
    </w:p>
    <w:p w14:paraId="7F83ABE5" w14:textId="77777777" w:rsidR="007C0AA4" w:rsidRPr="00E772EE" w:rsidRDefault="007C0AA4" w:rsidP="007C0AA4">
      <w:pPr>
        <w:widowControl w:val="0"/>
        <w:autoSpaceDE w:val="0"/>
        <w:autoSpaceDN w:val="0"/>
        <w:spacing w:after="0" w:line="240" w:lineRule="auto"/>
        <w:ind w:left="709" w:right="709"/>
        <w:jc w:val="both"/>
        <w:rPr>
          <w:rFonts w:ascii="Verdana" w:eastAsia="Times New Roman" w:hAnsi="Verdana" w:cs="Arial"/>
          <w:sz w:val="20"/>
          <w:szCs w:val="20"/>
        </w:rPr>
      </w:pPr>
      <w:r w:rsidRPr="00E772EE">
        <w:rPr>
          <w:rFonts w:ascii="Verdana" w:eastAsia="Times New Roman" w:hAnsi="Verdana" w:cs="Arial"/>
          <w:sz w:val="20"/>
          <w:szCs w:val="20"/>
        </w:rPr>
        <w:t xml:space="preserve">Dentro de los principales requisitos habilitantes que se utilizan en los Procesos de Contratación se destaca la experiencia, la cual debe ser </w:t>
      </w:r>
      <w:r w:rsidRPr="00E772EE">
        <w:rPr>
          <w:rFonts w:ascii="Verdana" w:eastAsia="Times New Roman" w:hAnsi="Verdana" w:cs="Arial"/>
          <w:sz w:val="20"/>
          <w:szCs w:val="20"/>
        </w:rPr>
        <w:lastRenderedPageBreak/>
        <w:t>entendida como el conocimiento del proponente derivado de su participación previa en actividades iguales o similares a las previstas en el objeto del contrato con contratantes públicos, privados, nacionales o extranjeros. La experiencia puede ser adquirida directamente de manera singularizada o en asocio con otras personas, como es el caso de los proponentes plurales, cuya experiencia no deja de ser personal, sino que, por tratarse de esquemas asociativos, se evalúa de forma proporcional a la participación de los miembros en los respectivos consorcios y/o uniones temporales</w:t>
      </w:r>
      <w:r w:rsidRPr="00E772EE">
        <w:rPr>
          <w:rFonts w:ascii="Verdana" w:eastAsia="Times New Roman" w:hAnsi="Verdana" w:cs="Arial"/>
          <w:sz w:val="20"/>
          <w:szCs w:val="20"/>
          <w:vertAlign w:val="superscript"/>
        </w:rPr>
        <w:footnoteReference w:id="12"/>
      </w:r>
      <w:r w:rsidRPr="00E772EE">
        <w:rPr>
          <w:rFonts w:ascii="Verdana" w:eastAsia="Times New Roman" w:hAnsi="Verdana" w:cs="Arial"/>
          <w:sz w:val="20"/>
          <w:szCs w:val="20"/>
        </w:rPr>
        <w:t xml:space="preserve">.  </w:t>
      </w:r>
    </w:p>
    <w:p w14:paraId="7966770F" w14:textId="77777777" w:rsidR="007C0AA4" w:rsidRPr="000F1385" w:rsidRDefault="007C0AA4" w:rsidP="007C0AA4">
      <w:pPr>
        <w:widowControl w:val="0"/>
        <w:autoSpaceDE w:val="0"/>
        <w:autoSpaceDN w:val="0"/>
        <w:spacing w:after="0" w:line="240" w:lineRule="auto"/>
        <w:ind w:left="709" w:right="709"/>
        <w:jc w:val="both"/>
        <w:rPr>
          <w:rFonts w:ascii="Verdana" w:eastAsia="Times New Roman" w:hAnsi="Verdana" w:cs="Arial"/>
          <w:sz w:val="21"/>
          <w:szCs w:val="21"/>
        </w:rPr>
      </w:pPr>
    </w:p>
    <w:p w14:paraId="6AF278DA" w14:textId="77777777" w:rsidR="007C0AA4" w:rsidRPr="000F1385" w:rsidRDefault="007C0AA4" w:rsidP="007C0AA4">
      <w:pPr>
        <w:widowControl w:val="0"/>
        <w:autoSpaceDE w:val="0"/>
        <w:autoSpaceDN w:val="0"/>
        <w:spacing w:after="0" w:line="276" w:lineRule="auto"/>
        <w:ind w:right="102" w:firstLine="607"/>
        <w:jc w:val="both"/>
        <w:rPr>
          <w:rFonts w:ascii="Verdana" w:eastAsia="Times New Roman" w:hAnsi="Verdana" w:cs="Arial"/>
          <w:lang w:val="es-ES"/>
        </w:rPr>
      </w:pPr>
      <w:r w:rsidRPr="000F1385">
        <w:rPr>
          <w:rFonts w:ascii="Verdana" w:eastAsia="Times New Roman" w:hAnsi="Verdana" w:cs="Arial"/>
          <w:lang w:val="es-ES"/>
        </w:rPr>
        <w:t>De lo anterior se precisa que las entidades al momento de establecer las condiciones para la verificación de experiencia, debe ser adecuada y proporcional a la naturaleza del contrato respecto al valor, complejidad y riesgo, pues no sería del caso establecer condiciones de verificación que no apuntaran a un objeto igual o similar al del proceso de contratación, o se establecieran condiciones de valor que no fueran proporcionales al presupuesto establecido para el futuro contrato. En tal sentido, e</w:t>
      </w:r>
      <w:r w:rsidRPr="000F1385">
        <w:rPr>
          <w:rFonts w:ascii="Verdana" w:eastAsia="Times New Roman" w:hAnsi="Verdana" w:cs="Arial"/>
          <w:lang w:val="es-ES_tradnl"/>
        </w:rPr>
        <w:t xml:space="preserve">s preciso tener en cuenta que la Circular Externa Única proferida por la Agencia Nacional de Contratación Pública – Colombia Compra Eficiente, donde se incorporaron directrices relacionadas con el RUP y particularmente sobre el “uso del Clasificador de Bienes y Servicios en el Registro Único de Proponentes”, donde se precisó lo siguiente: </w:t>
      </w:r>
    </w:p>
    <w:p w14:paraId="73132D84" w14:textId="77777777" w:rsidR="007C0AA4" w:rsidRPr="00E772EE" w:rsidRDefault="007C0AA4" w:rsidP="007C0AA4">
      <w:pPr>
        <w:widowControl w:val="0"/>
        <w:autoSpaceDE w:val="0"/>
        <w:autoSpaceDN w:val="0"/>
        <w:spacing w:after="120" w:line="240" w:lineRule="auto"/>
        <w:ind w:left="709" w:right="709" w:firstLine="608"/>
        <w:jc w:val="both"/>
        <w:rPr>
          <w:rFonts w:ascii="Verdana" w:eastAsia="Times New Roman" w:hAnsi="Verdana" w:cs="Arial"/>
          <w:sz w:val="20"/>
          <w:szCs w:val="20"/>
          <w:lang w:val="es-ES_tradnl"/>
        </w:rPr>
      </w:pPr>
    </w:p>
    <w:p w14:paraId="41C61791" w14:textId="77777777" w:rsidR="007C0AA4" w:rsidRPr="00E772EE" w:rsidRDefault="007C0AA4" w:rsidP="007C0AA4">
      <w:pPr>
        <w:widowControl w:val="0"/>
        <w:numPr>
          <w:ilvl w:val="0"/>
          <w:numId w:val="26"/>
        </w:numPr>
        <w:autoSpaceDE w:val="0"/>
        <w:autoSpaceDN w:val="0"/>
        <w:spacing w:after="120" w:line="240" w:lineRule="auto"/>
        <w:ind w:left="709" w:right="709"/>
        <w:contextualSpacing/>
        <w:jc w:val="both"/>
        <w:rPr>
          <w:rFonts w:ascii="Verdana" w:eastAsia="Times New Roman" w:hAnsi="Verdana" w:cs="Arial"/>
          <w:sz w:val="20"/>
          <w:szCs w:val="20"/>
          <w:lang w:val="es-ES"/>
        </w:rPr>
      </w:pPr>
      <w:r w:rsidRPr="00E772EE">
        <w:rPr>
          <w:rFonts w:ascii="Verdana" w:eastAsia="Times New Roman" w:hAnsi="Verdana" w:cs="Arial"/>
          <w:sz w:val="20"/>
          <w:szCs w:val="20"/>
          <w:lang w:val="es-ES"/>
        </w:rPr>
        <w:t xml:space="preserve">No existe un límite en el número de bienes, obras o servicios que los proponentes pueden inscribir en el RUP. Las Cámaras de Comercio no pueden limitar la inscripción de los proponentes por no contar con experiencia certificada en el respectivo bien, obra o servicio. </w:t>
      </w:r>
    </w:p>
    <w:p w14:paraId="6782DDD4" w14:textId="77777777" w:rsidR="007C0AA4" w:rsidRPr="00E772EE" w:rsidRDefault="007C0AA4" w:rsidP="007C0AA4">
      <w:pPr>
        <w:widowControl w:val="0"/>
        <w:numPr>
          <w:ilvl w:val="0"/>
          <w:numId w:val="26"/>
        </w:numPr>
        <w:autoSpaceDE w:val="0"/>
        <w:autoSpaceDN w:val="0"/>
        <w:spacing w:after="120" w:line="240" w:lineRule="auto"/>
        <w:ind w:left="709" w:right="709"/>
        <w:contextualSpacing/>
        <w:jc w:val="both"/>
        <w:rPr>
          <w:rFonts w:ascii="Verdana" w:eastAsia="Times New Roman" w:hAnsi="Verdana" w:cs="Arial"/>
          <w:sz w:val="20"/>
          <w:szCs w:val="20"/>
          <w:lang w:val="es-ES"/>
        </w:rPr>
      </w:pPr>
      <w:r w:rsidRPr="00E772EE">
        <w:rPr>
          <w:rFonts w:ascii="Verdana" w:eastAsia="Times New Roman" w:hAnsi="Verdana" w:cs="Arial"/>
          <w:sz w:val="20"/>
          <w:szCs w:val="20"/>
          <w:lang w:val="es-ES"/>
        </w:rPr>
        <w:t>La clasificación del proponente en determinado código no puede constituirse como un requisito habilitante, sino que debe entenderse como un mecanismo para establecer un lenguaje común entre los partícipes del Sistema de Compra Pública. En consecuencia, las Entidades Estatales no pueden excluir a un proponente que ha acreditado los requisitos habilitantes exigidos en un Proceso de Contratación por no estar inscrito en el RUP con el código de los bienes, obras o servicios del objeto de tal Proceso de Contratación.</w:t>
      </w:r>
    </w:p>
    <w:p w14:paraId="22850B26" w14:textId="77777777" w:rsidR="007C0AA4" w:rsidRPr="00E772EE" w:rsidRDefault="007C0AA4" w:rsidP="007C0AA4">
      <w:pPr>
        <w:widowControl w:val="0"/>
        <w:numPr>
          <w:ilvl w:val="0"/>
          <w:numId w:val="26"/>
        </w:numPr>
        <w:autoSpaceDE w:val="0"/>
        <w:autoSpaceDN w:val="0"/>
        <w:spacing w:after="0" w:line="240" w:lineRule="auto"/>
        <w:ind w:left="709" w:right="709" w:hanging="357"/>
        <w:contextualSpacing/>
        <w:jc w:val="both"/>
        <w:rPr>
          <w:rFonts w:ascii="Verdana" w:eastAsia="Times New Roman" w:hAnsi="Verdana" w:cs="Arial"/>
          <w:sz w:val="20"/>
          <w:szCs w:val="20"/>
          <w:lang w:val="es-ES"/>
        </w:rPr>
      </w:pPr>
      <w:r w:rsidRPr="00E772EE">
        <w:rPr>
          <w:rFonts w:ascii="Verdana" w:eastAsia="Times New Roman" w:hAnsi="Verdana" w:cs="Arial"/>
          <w:sz w:val="20"/>
          <w:szCs w:val="20"/>
          <w:lang w:val="es-ES"/>
        </w:rPr>
        <w:t xml:space="preserve">La experiencia es un requisito habilitante. Los proponentes deben inscribir en el RUP su experiencia usando los códigos del Clasificador de Bienes y Servicios. Por su parte las Entidades Estatales al establecer el requisito habilitante de experiencia pueden incluir los códigos específicos del objeto a contratar o el de los bienes, obras o servicios afines al Proceso de Contratación respecto de los cuales los proponentes deben acreditar su </w:t>
      </w:r>
      <w:r w:rsidRPr="00E772EE">
        <w:rPr>
          <w:rFonts w:ascii="Verdana" w:eastAsia="Times New Roman" w:hAnsi="Verdana" w:cs="Arial"/>
          <w:sz w:val="20"/>
          <w:szCs w:val="20"/>
          <w:lang w:val="es-ES"/>
        </w:rPr>
        <w:lastRenderedPageBreak/>
        <w:t>experiencia.</w:t>
      </w:r>
    </w:p>
    <w:p w14:paraId="65097151" w14:textId="77777777" w:rsidR="007C0AA4" w:rsidRPr="000F1385" w:rsidRDefault="007C0AA4" w:rsidP="007C0AA4">
      <w:pPr>
        <w:widowControl w:val="0"/>
        <w:autoSpaceDE w:val="0"/>
        <w:autoSpaceDN w:val="0"/>
        <w:spacing w:after="0" w:line="276" w:lineRule="auto"/>
        <w:ind w:left="714" w:right="102"/>
        <w:contextualSpacing/>
        <w:jc w:val="both"/>
        <w:rPr>
          <w:rFonts w:ascii="Verdana" w:eastAsia="Times New Roman" w:hAnsi="Verdana" w:cs="Arial"/>
          <w:lang w:val="es-ES"/>
        </w:rPr>
      </w:pPr>
      <w:r w:rsidRPr="000F1385">
        <w:rPr>
          <w:rFonts w:ascii="Verdana" w:eastAsia="Times New Roman" w:hAnsi="Verdana" w:cs="Arial"/>
          <w:lang w:val="es-ES"/>
        </w:rPr>
        <w:t xml:space="preserve"> </w:t>
      </w:r>
    </w:p>
    <w:p w14:paraId="364D1954" w14:textId="77777777" w:rsidR="007C0AA4" w:rsidRPr="000F1385" w:rsidRDefault="007C0AA4" w:rsidP="007C0AA4">
      <w:pPr>
        <w:widowControl w:val="0"/>
        <w:autoSpaceDE w:val="0"/>
        <w:autoSpaceDN w:val="0"/>
        <w:spacing w:after="120" w:line="276" w:lineRule="auto"/>
        <w:ind w:right="104" w:firstLine="708"/>
        <w:jc w:val="both"/>
        <w:rPr>
          <w:rFonts w:ascii="Verdana" w:eastAsia="Times New Roman" w:hAnsi="Verdana" w:cs="Arial"/>
          <w:lang w:val="es-ES_tradnl"/>
        </w:rPr>
      </w:pPr>
      <w:r w:rsidRPr="000F1385">
        <w:rPr>
          <w:rFonts w:ascii="Verdana" w:eastAsia="Times New Roman" w:hAnsi="Verdana" w:cs="Arial"/>
          <w:lang w:val="es-ES_tradnl"/>
        </w:rPr>
        <w:t>De acuerdo con la postura adoptada en la Circular, la “clasificación del proponente”, que corresponde a los listados señalados en los numerales 1.1. y 2.1. del artículo 2.2.1.1.1.5.2. del Decreto 1082 de 2015, no condiciona la capacidad ―jurídica, ni tampoco otra― de los proponentes, por lo que, si un proponente cumple los demás requisitos exigidos en el pliego de condiciones, su oferta no puede ser rechazada o desestimada bajo el argumento de que no cuenta con la inscripción del código de los bienes, obras o servicios del objeto del proceso de contratación.</w:t>
      </w:r>
    </w:p>
    <w:p w14:paraId="46D16A61" w14:textId="77777777" w:rsidR="007C0AA4" w:rsidRPr="000F1385" w:rsidRDefault="007C0AA4" w:rsidP="007C0AA4">
      <w:pPr>
        <w:widowControl w:val="0"/>
        <w:autoSpaceDE w:val="0"/>
        <w:autoSpaceDN w:val="0"/>
        <w:spacing w:after="0" w:line="276" w:lineRule="auto"/>
        <w:ind w:right="102" w:firstLine="708"/>
        <w:jc w:val="both"/>
        <w:rPr>
          <w:rFonts w:ascii="Verdana" w:eastAsia="Times New Roman" w:hAnsi="Verdana" w:cs="Arial"/>
          <w:lang w:val="es-ES_tradnl"/>
        </w:rPr>
      </w:pPr>
      <w:r w:rsidRPr="000F1385">
        <w:rPr>
          <w:rFonts w:ascii="Verdana" w:eastAsia="Times New Roman" w:hAnsi="Verdana" w:cs="Arial"/>
          <w:lang w:val="es-ES"/>
        </w:rPr>
        <w:t xml:space="preserve">Lo anterior se desarrolla sin perjuicio de la forma como se exija la experiencia en los pliegos de condiciones, pues este es un requisito habilitante diferente de la capacidad jurídica; y, para efectos de evaluar la experiencia en los pliegos de condiciones, sí se podrá acudir al Clasificador de Bienes y Servicios de las Naciones Unidas para exigir, por ejemplo, que solo se tendrá por válida la experiencia inscrita por el proponente en el RUP, que sea de contratos ejecutados que coincidan con algún código del Clasificador del Bienes y Servicios, en particular, en el tercer nivel del clasificador expresada en SMMLV. En esta misma orientación, </w:t>
      </w:r>
      <w:r w:rsidRPr="000F1385">
        <w:rPr>
          <w:rFonts w:ascii="Verdana" w:eastAsia="Times New Roman" w:hAnsi="Verdana" w:cs="Arial"/>
          <w:lang w:val="es-ES_tradnl"/>
        </w:rPr>
        <w:t>la Circular Externa Única a que se hizo referencia previamente, en relación con el uso del Clasificador de Bienes y Servicios para efectos de acreditar la experiencia en los procedimientos de selección, expresó que los proponentes deben inscribir en el RUP su experiencia usando los códigos del Clasificador de Bienes y Servicios. Por su parte, las Entidades Estatales al establecer el requisito habilitante de experiencia deben incluir los códigos específicos del objeto a contratar o el de bienes, obras o servicios afines o que se relacionen con el Proceso de Contratación respecto de los cuales los proponentes deben acreditar su experiencia.</w:t>
      </w:r>
    </w:p>
    <w:p w14:paraId="6AEAF449" w14:textId="77777777" w:rsidR="007C0AA4" w:rsidRPr="000F1385" w:rsidRDefault="007C0AA4" w:rsidP="007C0AA4">
      <w:pPr>
        <w:widowControl w:val="0"/>
        <w:autoSpaceDE w:val="0"/>
        <w:autoSpaceDN w:val="0"/>
        <w:spacing w:after="0" w:line="240" w:lineRule="auto"/>
        <w:ind w:right="102" w:firstLine="608"/>
        <w:jc w:val="both"/>
        <w:rPr>
          <w:rFonts w:ascii="Verdana" w:eastAsia="Times New Roman" w:hAnsi="Verdana" w:cs="Arial"/>
          <w:lang w:val="es-ES_tradnl"/>
        </w:rPr>
      </w:pPr>
    </w:p>
    <w:p w14:paraId="52AA87AF" w14:textId="77777777" w:rsidR="007C0AA4" w:rsidRPr="000F1385" w:rsidRDefault="007C0AA4" w:rsidP="007C0AA4">
      <w:pPr>
        <w:shd w:val="clear" w:color="auto" w:fill="FFFFFF"/>
        <w:spacing w:after="120" w:line="276" w:lineRule="auto"/>
        <w:jc w:val="both"/>
        <w:textAlignment w:val="baseline"/>
        <w:rPr>
          <w:rFonts w:ascii="Verdana" w:eastAsia="Times New Roman" w:hAnsi="Verdana" w:cs="Arial"/>
          <w:lang w:val="es-MX" w:eastAsia="es-CO"/>
        </w:rPr>
      </w:pPr>
      <w:r w:rsidRPr="000F1385">
        <w:rPr>
          <w:rFonts w:ascii="Verdana" w:eastAsia="Times New Roman" w:hAnsi="Verdana" w:cs="Arial"/>
          <w:bdr w:val="none" w:sz="0" w:space="0" w:color="auto" w:frame="1"/>
          <w:lang w:val="es-MX" w:eastAsia="es-CO"/>
        </w:rPr>
        <w:t>ii. El Clasificador de Bienes y Servicios consta de cinco niveles; no obstante, el último nivel, denominado Función de Negocio, no es muy utilizado. Los niveles jerárquicos a utilizar, en su orden, son: i) segmento, agregación lógica de familias para propósitos analíticos; ii) familia, un grupo de categorías de productos interrelacionadas; iii) clase: un grupo de productos que comparten características comunes; y iv) producto: un grupo de productos o servicios</w:t>
      </w:r>
      <w:r w:rsidRPr="000F1385">
        <w:rPr>
          <w:rFonts w:ascii="Verdana" w:eastAsia="Times New Roman" w:hAnsi="Verdana" w:cs="Arial"/>
          <w:bdr w:val="none" w:sz="0" w:space="0" w:color="auto" w:frame="1"/>
          <w:vertAlign w:val="superscript"/>
          <w:lang w:val="es-MX" w:eastAsia="es-CO"/>
        </w:rPr>
        <w:footnoteReference w:id="13"/>
      </w:r>
      <w:r w:rsidRPr="000F1385">
        <w:rPr>
          <w:rFonts w:ascii="Verdana" w:eastAsia="Times New Roman" w:hAnsi="Verdana" w:cs="Arial"/>
          <w:bdr w:val="none" w:sz="0" w:space="0" w:color="auto" w:frame="1"/>
          <w:lang w:val="es-MX" w:eastAsia="es-CO"/>
        </w:rPr>
        <w:t>.  </w:t>
      </w:r>
    </w:p>
    <w:p w14:paraId="73242574" w14:textId="77777777" w:rsidR="007C0AA4" w:rsidRPr="000F1385" w:rsidRDefault="007C0AA4" w:rsidP="007C0AA4">
      <w:pPr>
        <w:shd w:val="clear" w:color="auto" w:fill="FFFFFF"/>
        <w:spacing w:after="120" w:line="276" w:lineRule="auto"/>
        <w:ind w:firstLine="709"/>
        <w:jc w:val="both"/>
        <w:textAlignment w:val="baseline"/>
        <w:rPr>
          <w:rFonts w:ascii="Verdana" w:eastAsia="Times New Roman" w:hAnsi="Verdana" w:cs="Arial"/>
          <w:bdr w:val="none" w:sz="0" w:space="0" w:color="auto" w:frame="1"/>
          <w:lang w:val="es-MX" w:eastAsia="es-CO"/>
        </w:rPr>
      </w:pPr>
      <w:r w:rsidRPr="000F1385">
        <w:rPr>
          <w:rFonts w:ascii="Verdana" w:eastAsia="Times New Roman" w:hAnsi="Verdana" w:cs="Arial"/>
          <w:bdr w:val="none" w:sz="0" w:space="0" w:color="auto" w:frame="1"/>
          <w:lang w:val="es-MX" w:eastAsia="es-CO"/>
        </w:rPr>
        <w:lastRenderedPageBreak/>
        <w:t>Cada uno de estos niveles jerárquicos tiene distintos dígitos, asociados a los componentes que cada uno cobija y que se combinan con los dígitos de los otros niveles, de donde surge un código de 8 dígitos asociado a un bien o servicio en particular. De esta manera, el segmento determina los dos primeros dígitos, la familia el tercer y cuarto, la clase el quinto y sexto, mientras que el producto los dígitos séptimo y octavo. Conforme a esto, los niveles jerárquicos van de lo general a lo particular, por lo que para determinar el código que corresponde a un bien o servicio, debe subsumirse este en cada uno de estos niveles partiendo del primero en adelante.</w:t>
      </w:r>
    </w:p>
    <w:p w14:paraId="4CBDCE06" w14:textId="77777777" w:rsidR="007C0AA4" w:rsidRPr="000F1385" w:rsidRDefault="007C0AA4" w:rsidP="007C0AA4">
      <w:pPr>
        <w:shd w:val="clear" w:color="auto" w:fill="FFFFFF"/>
        <w:spacing w:after="120" w:line="276" w:lineRule="auto"/>
        <w:ind w:firstLine="709"/>
        <w:jc w:val="both"/>
        <w:textAlignment w:val="baseline"/>
        <w:rPr>
          <w:rFonts w:ascii="Verdana" w:eastAsia="Times New Roman" w:hAnsi="Verdana" w:cs="Arial"/>
          <w:bdr w:val="none" w:sz="0" w:space="0" w:color="auto" w:frame="1"/>
          <w:lang w:val="es-MX" w:eastAsia="es-CO"/>
        </w:rPr>
      </w:pPr>
      <w:r w:rsidRPr="000F1385">
        <w:rPr>
          <w:rFonts w:ascii="Verdana" w:eastAsia="Times New Roman" w:hAnsi="Verdana" w:cs="Arial"/>
          <w:bdr w:val="none" w:sz="0" w:space="0" w:color="auto" w:frame="1"/>
          <w:lang w:val="es-MX" w:eastAsia="es-CO"/>
        </w:rPr>
        <w:t xml:space="preserve">De acuerdo con esto, cada bien o servicio está asociado a un código que surge de la subsunción de sus características y condiciones en los diferentes niveles del clasificador. Estos códigos son los que deben incluirse en el RUP para efectos de la experiencia. Estos mismos códigos son los que debe incluir las entidades estatales en los pliegos de condiciones al realizar la descripción del objeto contractual. </w:t>
      </w:r>
    </w:p>
    <w:p w14:paraId="289591D3" w14:textId="77777777" w:rsidR="007C0AA4" w:rsidRDefault="007C0AA4" w:rsidP="007C0AA4">
      <w:pPr>
        <w:shd w:val="clear" w:color="auto" w:fill="FFFFFF"/>
        <w:spacing w:after="120" w:line="276" w:lineRule="auto"/>
        <w:ind w:firstLine="709"/>
        <w:jc w:val="both"/>
        <w:textAlignment w:val="baseline"/>
        <w:rPr>
          <w:rFonts w:ascii="Verdana" w:eastAsia="Times New Roman" w:hAnsi="Verdana" w:cs="Arial"/>
          <w:u w:val="single"/>
          <w:bdr w:val="none" w:sz="0" w:space="0" w:color="auto" w:frame="1"/>
          <w:lang w:val="es-MX" w:eastAsia="es-CO"/>
        </w:rPr>
      </w:pPr>
      <w:r w:rsidRPr="000F1385">
        <w:rPr>
          <w:rFonts w:ascii="Verdana" w:eastAsia="Times New Roman" w:hAnsi="Verdana" w:cs="Arial"/>
          <w:bdr w:val="none" w:sz="0" w:space="0" w:color="auto" w:frame="1"/>
          <w:lang w:val="es-MX" w:eastAsia="es-CO"/>
        </w:rPr>
        <w:t xml:space="preserve">De otra parte, debe mencionarse que en virtud de los dispuesto en el artículo 2.2.1.2.5.2 del Decreto 1082 de 2015, esta Agencia expidió la “Guía para la codificación de bienes y servicios de acuerdo con el código estándar de productos y servicios de Naciones Unidas, V.14.080”. Este documento contiene una serie de instrucciones y nociones básicas para al uso del Clasificador de Bienes y Servicios por parte de las entidades estatales sus procesos de contratación. Esta se encuentra disponible para consulta en: </w:t>
      </w:r>
      <w:hyperlink r:id="rId13" w:history="1">
        <w:r w:rsidRPr="000F1385">
          <w:rPr>
            <w:rFonts w:ascii="Verdana" w:eastAsia="Times New Roman" w:hAnsi="Verdana" w:cs="Arial"/>
            <w:color w:val="0000FF"/>
            <w:u w:val="single"/>
            <w:bdr w:val="none" w:sz="0" w:space="0" w:color="auto" w:frame="1"/>
            <w:lang w:val="es-MX" w:eastAsia="es-CO"/>
          </w:rPr>
          <w:t>https://www.colombiacompra.gov.co/archivos/manual/guia-para-la-codificacion-de-bienes-y-servicios</w:t>
        </w:r>
      </w:hyperlink>
      <w:r w:rsidRPr="000F1385">
        <w:rPr>
          <w:rFonts w:ascii="Verdana" w:eastAsia="Times New Roman" w:hAnsi="Verdana" w:cs="Arial"/>
          <w:bdr w:val="none" w:sz="0" w:space="0" w:color="auto" w:frame="1"/>
          <w:lang w:val="es-MX" w:eastAsia="es-CO"/>
        </w:rPr>
        <w:t xml:space="preserve">. Así mismo la Agencia Nacional de Contratación Pública – Colombia Compra Eficiente ha puesto a disposición de las entidades y la ciudadanía una herramienta web en la que se encuentran cada uno de los componentes de los distintos niveles de los que consta el clasificador, traducidos al español. Esta facilita la conformación de los correspondientes códigos, y puede consultarse en la página web: </w:t>
      </w:r>
      <w:hyperlink r:id="rId14" w:history="1">
        <w:r w:rsidRPr="000F1385">
          <w:rPr>
            <w:rFonts w:ascii="Verdana" w:eastAsia="Times New Roman" w:hAnsi="Verdana" w:cs="Arial"/>
            <w:color w:val="0000FF"/>
            <w:u w:val="single"/>
            <w:bdr w:val="none" w:sz="0" w:space="0" w:color="auto" w:frame="1"/>
            <w:lang w:val="es-MX" w:eastAsia="es-CO"/>
          </w:rPr>
          <w:t>https://www.colombiacompra.gov.co/clasificador-de-bienes-y-Servicios</w:t>
        </w:r>
      </w:hyperlink>
      <w:r>
        <w:rPr>
          <w:rFonts w:ascii="Verdana" w:eastAsia="Times New Roman" w:hAnsi="Verdana" w:cs="Arial"/>
          <w:u w:val="single"/>
          <w:bdr w:val="none" w:sz="0" w:space="0" w:color="auto" w:frame="1"/>
          <w:lang w:val="es-MX" w:eastAsia="es-CO"/>
        </w:rPr>
        <w:t>.</w:t>
      </w:r>
    </w:p>
    <w:p w14:paraId="0D0816BC" w14:textId="77777777" w:rsidR="007C0AA4" w:rsidRDefault="007C0AA4" w:rsidP="007C0AA4">
      <w:pPr>
        <w:spacing w:after="0" w:line="276" w:lineRule="auto"/>
        <w:ind w:firstLine="709"/>
        <w:jc w:val="both"/>
        <w:rPr>
          <w:rFonts w:ascii="Verdana" w:eastAsia="Calibri" w:hAnsi="Verdana" w:cs="Arial"/>
          <w:bCs/>
        </w:rPr>
      </w:pPr>
      <w:r>
        <w:rPr>
          <w:rFonts w:ascii="Verdana" w:eastAsia="Calibri" w:hAnsi="Verdana" w:cs="Arial"/>
          <w:bCs/>
        </w:rPr>
        <w:t>En todo caso, se recuerda a las entidades públicas que</w:t>
      </w:r>
      <w:r w:rsidRPr="006A5798">
        <w:rPr>
          <w:rFonts w:ascii="Verdana" w:eastAsia="Calibri" w:hAnsi="Verdana" w:cs="Arial"/>
          <w:bCs/>
        </w:rPr>
        <w:t xml:space="preserve"> el ordenamiento impone una carga de motivación en el ejercicio de este tipo de facultades, pues –teniendo en cuenta la remisión del artículo 77 de la Ley 80 de 1993 a las normas que rigen los procedimientos y actuaciones en la función administrativa– el </w:t>
      </w:r>
      <w:r w:rsidRPr="006A5798">
        <w:rPr>
          <w:rFonts w:ascii="Verdana" w:eastAsia="Calibri" w:hAnsi="Verdana" w:cs="Arial"/>
          <w:bCs/>
        </w:rPr>
        <w:lastRenderedPageBreak/>
        <w:t xml:space="preserve">artículo 44 de la Ley 1437 de 2011 dispone: “En la medida en que el contenido de una decisión de carácter general o particular sea discrecional, debe ser adecuada a los fines de la norma que la autoriza, y proporcional a los hechos que le sirven de causa”. Así las cosas, el cumplimiento de las exigencias derivadas del principio de proporcionalidad es una condición ineludible para la admisibilidad de cualquier criterio de adjudicación del contrato, así como para su acreditación dentro de un proceso de acreditación. </w:t>
      </w:r>
    </w:p>
    <w:p w14:paraId="0A5CDDED" w14:textId="77777777" w:rsidR="007C0AA4" w:rsidRDefault="007C0AA4" w:rsidP="007C0AA4">
      <w:pPr>
        <w:spacing w:after="0" w:line="276" w:lineRule="auto"/>
        <w:jc w:val="both"/>
        <w:rPr>
          <w:rFonts w:ascii="Verdana" w:eastAsia="Calibri" w:hAnsi="Verdana" w:cs="Arial"/>
          <w:lang w:eastAsia="es-ES_tradnl"/>
        </w:rPr>
      </w:pPr>
    </w:p>
    <w:p w14:paraId="27BA8658" w14:textId="77777777" w:rsidR="007C0AA4" w:rsidRPr="00C35305" w:rsidRDefault="007C0AA4" w:rsidP="007C0AA4">
      <w:pPr>
        <w:spacing w:line="276" w:lineRule="auto"/>
        <w:jc w:val="both"/>
        <w:rPr>
          <w:rFonts w:ascii="Verdana" w:hAnsi="Verdana" w:cs="Arial"/>
          <w:color w:val="000000" w:themeColor="text1"/>
        </w:rPr>
      </w:pPr>
      <w:r>
        <w:rPr>
          <w:rFonts w:ascii="Verdana" w:hAnsi="Verdana"/>
        </w:rPr>
        <w:t>iii.</w:t>
      </w:r>
      <w:r>
        <w:rPr>
          <w:rFonts w:ascii="Verdana" w:hAnsi="Verdana" w:cs="Arial"/>
          <w:color w:val="000000" w:themeColor="text1"/>
        </w:rPr>
        <w:t xml:space="preserve"> </w:t>
      </w:r>
      <w:r w:rsidRPr="00C35305">
        <w:rPr>
          <w:rFonts w:ascii="Verdana" w:hAnsi="Verdana" w:cs="Arial"/>
          <w:color w:val="000000" w:themeColor="text1"/>
        </w:rPr>
        <w:t>Al margen de la explicación precedente debe advertirse que el análisis requerido</w:t>
      </w:r>
      <w:r>
        <w:rPr>
          <w:rFonts w:ascii="Verdana" w:hAnsi="Verdana" w:cs="Arial"/>
          <w:color w:val="000000" w:themeColor="text1"/>
        </w:rPr>
        <w:t xml:space="preserve"> </w:t>
      </w:r>
      <w:r w:rsidRPr="00C35305">
        <w:rPr>
          <w:rFonts w:ascii="Verdana" w:hAnsi="Verdana" w:cs="Arial"/>
          <w:color w:val="000000" w:themeColor="text1"/>
        </w:rPr>
        <w:t>para</w:t>
      </w:r>
      <w:r>
        <w:rPr>
          <w:rFonts w:ascii="Verdana" w:hAnsi="Verdana" w:cs="Arial"/>
          <w:color w:val="000000" w:themeColor="text1"/>
        </w:rPr>
        <w:t xml:space="preserve"> calificar conductas con presunta incidencia fiscal </w:t>
      </w:r>
      <w:r w:rsidRPr="00C35305">
        <w:rPr>
          <w:rFonts w:ascii="Verdana" w:hAnsi="Verdana" w:cs="Arial"/>
          <w:color w:val="000000" w:themeColor="text1"/>
        </w:rPr>
        <w:t>debe ser realizado por</w:t>
      </w:r>
      <w:r>
        <w:rPr>
          <w:rFonts w:ascii="Verdana" w:hAnsi="Verdana" w:cs="Arial"/>
          <w:color w:val="000000" w:themeColor="text1"/>
        </w:rPr>
        <w:t xml:space="preserve"> </w:t>
      </w:r>
      <w:r w:rsidRPr="00C35305">
        <w:rPr>
          <w:rFonts w:ascii="Verdana" w:hAnsi="Verdana" w:cs="Arial"/>
          <w:color w:val="000000" w:themeColor="text1"/>
        </w:rPr>
        <w:t>quienes tengan interés en ello, de acuerdo con lo explicado la aclaración preliminar del presente oficio. De esta manera, las afirmaciones aquí realizadas</w:t>
      </w:r>
      <w:r>
        <w:rPr>
          <w:rFonts w:ascii="Verdana" w:hAnsi="Verdana" w:cs="Arial"/>
          <w:color w:val="000000" w:themeColor="text1"/>
        </w:rPr>
        <w:t xml:space="preserve"> </w:t>
      </w:r>
      <w:r w:rsidRPr="00C35305">
        <w:rPr>
          <w:rFonts w:ascii="Verdana" w:hAnsi="Verdana" w:cs="Arial"/>
          <w:color w:val="000000" w:themeColor="text1"/>
        </w:rPr>
        <w:t>no</w:t>
      </w:r>
      <w:r>
        <w:rPr>
          <w:rFonts w:ascii="Verdana" w:hAnsi="Verdana" w:cs="Arial"/>
          <w:color w:val="000000" w:themeColor="text1"/>
        </w:rPr>
        <w:t xml:space="preserve"> </w:t>
      </w:r>
      <w:r w:rsidRPr="00C35305">
        <w:rPr>
          <w:rFonts w:ascii="Verdana" w:hAnsi="Verdana" w:cs="Arial"/>
          <w:color w:val="000000" w:themeColor="text1"/>
        </w:rPr>
        <w:t>pueden ser interpretadas como juicios de valor sobre circunstancias</w:t>
      </w:r>
      <w:r>
        <w:rPr>
          <w:rFonts w:ascii="Verdana" w:hAnsi="Verdana" w:cs="Arial"/>
          <w:color w:val="000000" w:themeColor="text1"/>
        </w:rPr>
        <w:t xml:space="preserve"> </w:t>
      </w:r>
      <w:r w:rsidRPr="00C35305">
        <w:rPr>
          <w:rFonts w:ascii="Verdana" w:hAnsi="Verdana" w:cs="Arial"/>
          <w:color w:val="000000" w:themeColor="text1"/>
        </w:rPr>
        <w:t>concretas</w:t>
      </w:r>
      <w:r>
        <w:rPr>
          <w:rFonts w:ascii="Verdana" w:hAnsi="Verdana" w:cs="Arial"/>
          <w:color w:val="000000" w:themeColor="text1"/>
        </w:rPr>
        <w:t xml:space="preserve"> </w:t>
      </w:r>
      <w:r w:rsidRPr="00C35305">
        <w:rPr>
          <w:rFonts w:ascii="Verdana" w:hAnsi="Verdana" w:cs="Arial"/>
          <w:color w:val="000000" w:themeColor="text1"/>
        </w:rPr>
        <w:t xml:space="preserve">relacionadas con los hechos </w:t>
      </w:r>
      <w:r>
        <w:rPr>
          <w:rFonts w:ascii="Verdana" w:hAnsi="Verdana" w:cs="Arial"/>
          <w:color w:val="000000" w:themeColor="text1"/>
        </w:rPr>
        <w:t>del expediente disciplinario que</w:t>
      </w:r>
      <w:r w:rsidRPr="00C35305">
        <w:rPr>
          <w:rFonts w:ascii="Verdana" w:hAnsi="Verdana" w:cs="Arial"/>
          <w:color w:val="000000" w:themeColor="text1"/>
        </w:rPr>
        <w:t xml:space="preserve"> motivan la</w:t>
      </w:r>
      <w:r>
        <w:rPr>
          <w:rFonts w:ascii="Verdana" w:hAnsi="Verdana" w:cs="Arial"/>
          <w:color w:val="000000" w:themeColor="text1"/>
        </w:rPr>
        <w:t xml:space="preserve"> </w:t>
      </w:r>
      <w:r w:rsidRPr="00C35305">
        <w:rPr>
          <w:rFonts w:ascii="Verdana" w:hAnsi="Verdana" w:cs="Arial"/>
          <w:color w:val="000000" w:themeColor="text1"/>
        </w:rPr>
        <w:t>consulta.</w:t>
      </w:r>
      <w:r>
        <w:rPr>
          <w:rFonts w:ascii="Verdana" w:hAnsi="Verdana" w:cs="Arial"/>
          <w:color w:val="000000" w:themeColor="text1"/>
        </w:rPr>
        <w:t xml:space="preserve"> </w:t>
      </w:r>
      <w:r w:rsidRPr="00C35305">
        <w:rPr>
          <w:rFonts w:ascii="Verdana" w:hAnsi="Verdana" w:cs="Arial"/>
          <w:color w:val="000000" w:themeColor="text1"/>
        </w:rPr>
        <w:t>Por lo anterior, previo concepto de sus asesores, la solución de situaciones particulares corresponde a los interesados</w:t>
      </w:r>
      <w:r>
        <w:rPr>
          <w:rFonts w:ascii="Verdana" w:hAnsi="Verdana" w:cs="Arial"/>
          <w:color w:val="000000" w:themeColor="text1"/>
        </w:rPr>
        <w:t xml:space="preserve"> </w:t>
      </w:r>
      <w:r w:rsidRPr="00C35305">
        <w:rPr>
          <w:rFonts w:ascii="Verdana" w:hAnsi="Verdana" w:cs="Arial"/>
          <w:color w:val="000000" w:themeColor="text1"/>
        </w:rPr>
        <w:t>adoptar la decisión correspondiente y, en caso de conflicto, a las autoridades judiciales.</w:t>
      </w:r>
    </w:p>
    <w:p w14:paraId="39C0AF1E" w14:textId="77777777" w:rsidR="007C0AA4" w:rsidRDefault="007C0AA4" w:rsidP="007C0AA4">
      <w:pPr>
        <w:spacing w:after="0" w:line="276" w:lineRule="auto"/>
        <w:ind w:firstLine="708"/>
        <w:jc w:val="both"/>
        <w:rPr>
          <w:rFonts w:ascii="Verdana" w:eastAsia="Calibri" w:hAnsi="Verdana" w:cs="Arial"/>
          <w:color w:val="000000" w:themeColor="text1"/>
          <w:lang w:eastAsia="es-ES"/>
        </w:rPr>
      </w:pPr>
      <w:r w:rsidRPr="00C35305">
        <w:rPr>
          <w:rFonts w:ascii="Verdana" w:hAnsi="Verdana" w:cs="Arial"/>
          <w:color w:val="000000" w:themeColor="text1"/>
        </w:rPr>
        <w:t xml:space="preserve">Dentro de este marco, </w:t>
      </w:r>
      <w:r>
        <w:rPr>
          <w:rFonts w:ascii="Verdana" w:hAnsi="Verdana" w:cs="Arial"/>
          <w:color w:val="000000" w:themeColor="text1"/>
        </w:rPr>
        <w:t xml:space="preserve">el órgano disciplinario </w:t>
      </w:r>
      <w:r w:rsidRPr="00C35305">
        <w:rPr>
          <w:rFonts w:ascii="Verdana" w:hAnsi="Verdana" w:cs="Arial"/>
          <w:color w:val="000000" w:themeColor="text1"/>
        </w:rPr>
        <w:t>definirá en cada caso concreto lo</w:t>
      </w:r>
      <w:r>
        <w:rPr>
          <w:rFonts w:ascii="Verdana" w:hAnsi="Verdana" w:cs="Arial"/>
          <w:color w:val="000000" w:themeColor="text1"/>
        </w:rPr>
        <w:t xml:space="preserve"> </w:t>
      </w:r>
      <w:r w:rsidRPr="00C35305">
        <w:rPr>
          <w:rFonts w:ascii="Verdana" w:hAnsi="Verdana" w:cs="Arial"/>
          <w:color w:val="000000" w:themeColor="text1"/>
        </w:rPr>
        <w:t>relacionado con</w:t>
      </w:r>
      <w:r>
        <w:rPr>
          <w:rFonts w:ascii="Verdana" w:hAnsi="Verdana" w:cs="Arial"/>
          <w:color w:val="000000" w:themeColor="text1"/>
        </w:rPr>
        <w:t xml:space="preserve"> el tema, objeto de consulta</w:t>
      </w:r>
      <w:r w:rsidRPr="00C35305">
        <w:rPr>
          <w:rFonts w:ascii="Verdana" w:hAnsi="Verdana" w:cs="Arial"/>
          <w:color w:val="000000" w:themeColor="text1"/>
        </w:rPr>
        <w:t xml:space="preserve">. </w:t>
      </w:r>
      <w:r>
        <w:rPr>
          <w:rFonts w:ascii="Verdana" w:hAnsi="Verdana" w:cs="Arial"/>
          <w:color w:val="000000" w:themeColor="text1"/>
        </w:rPr>
        <w:t>Dado que sólo tiene a cargo la interpretación abstracta de las normas del sistema de compras y contratación pública, l</w:t>
      </w:r>
      <w:r w:rsidRPr="00C35305">
        <w:rPr>
          <w:rFonts w:ascii="Verdana" w:hAnsi="Verdana" w:cs="Arial"/>
          <w:color w:val="000000" w:themeColor="text1"/>
        </w:rPr>
        <w:t>a Agencia no puede definir un criterio universal y absoluto, sino que brinda elementos de carácter general para que los partícipes del sistema de compras y contratación pública adopten la decisión que corresponda, lo cual es acorde con el principio de juridicidad.</w:t>
      </w:r>
      <w:r>
        <w:rPr>
          <w:rFonts w:ascii="Verdana" w:hAnsi="Verdana" w:cs="Arial"/>
          <w:color w:val="000000" w:themeColor="text1"/>
        </w:rPr>
        <w:t xml:space="preserve"> </w:t>
      </w:r>
      <w:r w:rsidRPr="00C35305">
        <w:rPr>
          <w:rFonts w:ascii="Verdana" w:hAnsi="Verdana" w:cs="Arial"/>
          <w:color w:val="000000" w:themeColor="text1"/>
        </w:rPr>
        <w:t>Así, cada entidad definirá la forma de adelantar su gestión contractual, sin que sea atribución de Colombia Compra Eficiente validar sus actuaciones</w:t>
      </w:r>
      <w:r>
        <w:rPr>
          <w:rFonts w:ascii="Verdana" w:hAnsi="Verdana" w:cs="Arial"/>
          <w:color w:val="000000" w:themeColor="text1"/>
        </w:rPr>
        <w:t xml:space="preserve"> frente a las autoridades que cumplen funciones de control y vigilancia</w:t>
      </w:r>
      <w:r w:rsidRPr="00C35305">
        <w:rPr>
          <w:rFonts w:ascii="Verdana" w:hAnsi="Verdana" w:cs="Arial"/>
          <w:color w:val="000000" w:themeColor="text1"/>
        </w:rPr>
        <w:t>.</w:t>
      </w:r>
    </w:p>
    <w:p w14:paraId="300AE0E0" w14:textId="77777777" w:rsidR="007C0AA4" w:rsidRPr="000F1385" w:rsidRDefault="007C0AA4" w:rsidP="007C0AA4">
      <w:pPr>
        <w:spacing w:after="0" w:line="240" w:lineRule="auto"/>
        <w:jc w:val="both"/>
        <w:rPr>
          <w:rFonts w:ascii="Verdana" w:eastAsia="Calibri" w:hAnsi="Verdana" w:cs="Arial"/>
          <w:lang w:eastAsia="es-ES_tradnl"/>
        </w:rPr>
      </w:pPr>
    </w:p>
    <w:p w14:paraId="2C61B616" w14:textId="77777777" w:rsidR="007C0AA4" w:rsidRPr="000F1385" w:rsidRDefault="007C0AA4" w:rsidP="007C0AA4">
      <w:pPr>
        <w:numPr>
          <w:ilvl w:val="0"/>
          <w:numId w:val="16"/>
        </w:numPr>
        <w:spacing w:after="0" w:line="256" w:lineRule="auto"/>
        <w:rPr>
          <w:rFonts w:ascii="Verdana" w:eastAsia="Calibri" w:hAnsi="Verdana" w:cs="Times New Roman"/>
          <w:b/>
          <w:bCs/>
          <w:lang w:val="es-ES"/>
        </w:rPr>
      </w:pPr>
      <w:r w:rsidRPr="000F1385">
        <w:rPr>
          <w:rFonts w:ascii="Verdana" w:eastAsia="Calibri" w:hAnsi="Verdana" w:cs="Times New Roman"/>
          <w:b/>
          <w:bCs/>
          <w:lang w:val="es-ES"/>
        </w:rPr>
        <w:t>Referencias normativas, jurisprudenciales y otras fuentes:</w:t>
      </w:r>
    </w:p>
    <w:p w14:paraId="3B93331F" w14:textId="77777777" w:rsidR="007C0AA4" w:rsidRPr="000F1385" w:rsidRDefault="007C0AA4" w:rsidP="007C0AA4">
      <w:pPr>
        <w:widowControl w:val="0"/>
        <w:autoSpaceDE w:val="0"/>
        <w:autoSpaceDN w:val="0"/>
        <w:spacing w:after="0" w:line="240"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C0AA4" w:rsidRPr="000F1385" w14:paraId="2FBCCDAA" w14:textId="77777777" w:rsidTr="003D4710">
        <w:trPr>
          <w:trHeight w:val="870"/>
          <w:jc w:val="center"/>
        </w:trPr>
        <w:tc>
          <w:tcPr>
            <w:tcW w:w="8647" w:type="dxa"/>
          </w:tcPr>
          <w:p w14:paraId="191D10E5" w14:textId="77777777" w:rsidR="007C0AA4" w:rsidRPr="000F1385" w:rsidRDefault="007C0AA4" w:rsidP="003D4710">
            <w:pPr>
              <w:ind w:left="720"/>
              <w:contextualSpacing/>
              <w:rPr>
                <w:rFonts w:ascii="Verdana" w:hAnsi="Verdana" w:cs="Arial"/>
                <w:lang w:val="es-ES"/>
              </w:rPr>
            </w:pPr>
          </w:p>
          <w:p w14:paraId="0B1DD27F" w14:textId="77777777" w:rsidR="007C0AA4" w:rsidRDefault="007C0AA4" w:rsidP="007C0AA4">
            <w:pPr>
              <w:widowControl w:val="0"/>
              <w:numPr>
                <w:ilvl w:val="0"/>
                <w:numId w:val="25"/>
              </w:numPr>
              <w:autoSpaceDE w:val="0"/>
              <w:autoSpaceDN w:val="0"/>
              <w:spacing w:after="120" w:line="276" w:lineRule="auto"/>
              <w:jc w:val="both"/>
              <w:rPr>
                <w:rFonts w:ascii="Verdana" w:hAnsi="Verdana" w:cs="Arial"/>
                <w:lang w:val="es-ES"/>
              </w:rPr>
            </w:pPr>
            <w:r>
              <w:rPr>
                <w:rFonts w:ascii="Verdana" w:hAnsi="Verdana" w:cs="Arial"/>
                <w:lang w:val="es-ES"/>
              </w:rPr>
              <w:t>Ley 80 de 1993, artículo 77.</w:t>
            </w:r>
          </w:p>
          <w:p w14:paraId="1221198C" w14:textId="77777777" w:rsidR="007C0AA4" w:rsidRDefault="007C0AA4" w:rsidP="007C0AA4">
            <w:pPr>
              <w:widowControl w:val="0"/>
              <w:numPr>
                <w:ilvl w:val="0"/>
                <w:numId w:val="25"/>
              </w:numPr>
              <w:autoSpaceDE w:val="0"/>
              <w:autoSpaceDN w:val="0"/>
              <w:spacing w:after="120" w:line="276" w:lineRule="auto"/>
              <w:jc w:val="both"/>
              <w:rPr>
                <w:rFonts w:ascii="Verdana" w:hAnsi="Verdana" w:cs="Arial"/>
                <w:lang w:val="es-ES"/>
              </w:rPr>
            </w:pPr>
            <w:r w:rsidRPr="000F1385">
              <w:rPr>
                <w:rFonts w:ascii="Verdana" w:hAnsi="Verdana" w:cs="Arial"/>
                <w:lang w:val="es-ES"/>
              </w:rPr>
              <w:t xml:space="preserve">Ley 1150 de 2007, artículo 6. </w:t>
            </w:r>
          </w:p>
          <w:p w14:paraId="1ADDC74F" w14:textId="77777777" w:rsidR="007C0AA4" w:rsidRPr="000F1385" w:rsidRDefault="007C0AA4" w:rsidP="007C0AA4">
            <w:pPr>
              <w:widowControl w:val="0"/>
              <w:numPr>
                <w:ilvl w:val="0"/>
                <w:numId w:val="25"/>
              </w:numPr>
              <w:autoSpaceDE w:val="0"/>
              <w:autoSpaceDN w:val="0"/>
              <w:spacing w:after="120" w:line="276" w:lineRule="auto"/>
              <w:jc w:val="both"/>
              <w:rPr>
                <w:rFonts w:ascii="Verdana" w:hAnsi="Verdana" w:cs="Arial"/>
                <w:lang w:val="es-ES"/>
              </w:rPr>
            </w:pPr>
            <w:r>
              <w:rPr>
                <w:rFonts w:ascii="Verdana" w:hAnsi="Verdana" w:cs="Arial"/>
                <w:lang w:val="es-ES"/>
              </w:rPr>
              <w:t xml:space="preserve">Ley 1437 de 2011, artículo 44. </w:t>
            </w:r>
          </w:p>
          <w:p w14:paraId="4933E50F" w14:textId="77777777" w:rsidR="007C0AA4" w:rsidRPr="000F1385" w:rsidRDefault="007C0AA4" w:rsidP="007C0AA4">
            <w:pPr>
              <w:widowControl w:val="0"/>
              <w:numPr>
                <w:ilvl w:val="0"/>
                <w:numId w:val="25"/>
              </w:numPr>
              <w:autoSpaceDE w:val="0"/>
              <w:autoSpaceDN w:val="0"/>
              <w:spacing w:after="120" w:line="276" w:lineRule="auto"/>
              <w:jc w:val="both"/>
              <w:rPr>
                <w:rFonts w:ascii="Verdana" w:hAnsi="Verdana" w:cs="Arial"/>
                <w:lang w:val="es-ES"/>
              </w:rPr>
            </w:pPr>
            <w:r w:rsidRPr="000F1385">
              <w:rPr>
                <w:rFonts w:ascii="Verdana" w:hAnsi="Verdana" w:cs="Arial"/>
                <w:lang w:val="es-ES"/>
              </w:rPr>
              <w:lastRenderedPageBreak/>
              <w:t xml:space="preserve">Decreto 1082 de 2015, artículos </w:t>
            </w:r>
            <w:r w:rsidRPr="000F1385">
              <w:rPr>
                <w:rFonts w:ascii="Verdana" w:hAnsi="Verdana"/>
                <w:lang w:val="es-ES"/>
              </w:rPr>
              <w:t xml:space="preserve">2.2.1.1.1.3.1, artículo </w:t>
            </w:r>
            <w:r w:rsidRPr="000F1385">
              <w:rPr>
                <w:rFonts w:ascii="Verdana" w:eastAsia="Times New Roman" w:hAnsi="Verdana" w:cs="Arial"/>
                <w:color w:val="000000" w:themeColor="text1"/>
                <w:lang w:val="es-ES_tradnl" w:eastAsia="es-MX"/>
              </w:rPr>
              <w:t xml:space="preserve">2.2.1.1.1.5.2, </w:t>
            </w:r>
            <w:r w:rsidRPr="000F1385">
              <w:rPr>
                <w:rFonts w:ascii="Verdana" w:eastAsia="Times New Roman" w:hAnsi="Verdana" w:cs="Arial"/>
                <w:color w:val="000000" w:themeColor="text1"/>
                <w:lang w:val="es-ES" w:eastAsia="es-MX"/>
              </w:rPr>
              <w:t xml:space="preserve">artículo 2.2.1.1.1.5.3., </w:t>
            </w:r>
            <w:r w:rsidRPr="000F1385">
              <w:rPr>
                <w:rFonts w:ascii="Verdana" w:eastAsia="Arial MT" w:hAnsi="Verdana" w:cs="Arial"/>
                <w:lang w:val="es-ES"/>
              </w:rPr>
              <w:t xml:space="preserve">2.2.1.1.1.5.6., </w:t>
            </w:r>
            <w:r w:rsidRPr="000F1385">
              <w:rPr>
                <w:rFonts w:ascii="Verdana" w:eastAsia="Times New Roman" w:hAnsi="Verdana" w:cs="Arial"/>
                <w:bdr w:val="none" w:sz="0" w:space="0" w:color="auto" w:frame="1"/>
                <w:lang w:val="es-ES"/>
              </w:rPr>
              <w:t>2.2.1.1.2.1.3., 2.2.1.1.1.4.1.</w:t>
            </w:r>
          </w:p>
          <w:p w14:paraId="66E7559A" w14:textId="77777777" w:rsidR="007C0AA4" w:rsidRPr="000F1385" w:rsidRDefault="007C0AA4" w:rsidP="007C0AA4">
            <w:pPr>
              <w:widowControl w:val="0"/>
              <w:numPr>
                <w:ilvl w:val="0"/>
                <w:numId w:val="25"/>
              </w:numPr>
              <w:autoSpaceDE w:val="0"/>
              <w:autoSpaceDN w:val="0"/>
              <w:spacing w:after="120" w:line="276" w:lineRule="auto"/>
              <w:jc w:val="both"/>
              <w:rPr>
                <w:rFonts w:ascii="Verdana" w:hAnsi="Verdana" w:cs="Arial"/>
                <w:lang w:val="es-ES"/>
              </w:rPr>
            </w:pPr>
            <w:r w:rsidRPr="000F1385">
              <w:rPr>
                <w:rFonts w:ascii="Verdana" w:eastAsia="Times New Roman" w:hAnsi="Verdana" w:cs="Arial"/>
                <w:bdr w:val="none" w:sz="0" w:space="0" w:color="auto" w:frame="1"/>
                <w:lang w:val="es-MX" w:eastAsia="es-CO"/>
              </w:rPr>
              <w:t xml:space="preserve">Guía para la codificación de bienes y servicios de acuerdo con el código estándar de productos y servicios de Naciones Unidas, V.14.080. Disponible en línea: </w:t>
            </w:r>
            <w:hyperlink r:id="rId15" w:history="1">
              <w:r w:rsidRPr="000F1385">
                <w:rPr>
                  <w:rFonts w:ascii="Verdana" w:eastAsia="Times New Roman" w:hAnsi="Verdana" w:cs="Arial"/>
                  <w:color w:val="0000FF"/>
                  <w:u w:val="single"/>
                  <w:bdr w:val="none" w:sz="0" w:space="0" w:color="auto" w:frame="1"/>
                  <w:lang w:val="es-MX" w:eastAsia="es-CO"/>
                </w:rPr>
                <w:t>https://www.colombiacompra.gov.co/archivos/manual/guia-para-la-codificacion-de-bienes-y-servicios</w:t>
              </w:r>
            </w:hyperlink>
            <w:r w:rsidRPr="000F1385">
              <w:rPr>
                <w:rFonts w:ascii="Verdana" w:eastAsia="Times New Roman" w:hAnsi="Verdana" w:cs="Arial"/>
                <w:bdr w:val="none" w:sz="0" w:space="0" w:color="auto" w:frame="1"/>
                <w:lang w:val="es-MX" w:eastAsia="es-CO"/>
              </w:rPr>
              <w:t>.</w:t>
            </w:r>
          </w:p>
          <w:p w14:paraId="53CBD707" w14:textId="77777777" w:rsidR="007C0AA4" w:rsidRPr="000F1385" w:rsidRDefault="007C0AA4" w:rsidP="007C0AA4">
            <w:pPr>
              <w:widowControl w:val="0"/>
              <w:numPr>
                <w:ilvl w:val="0"/>
                <w:numId w:val="25"/>
              </w:numPr>
              <w:autoSpaceDE w:val="0"/>
              <w:autoSpaceDN w:val="0"/>
              <w:spacing w:after="120" w:line="276" w:lineRule="auto"/>
              <w:jc w:val="both"/>
              <w:rPr>
                <w:rFonts w:ascii="Verdana" w:hAnsi="Verdana" w:cs="Arial"/>
                <w:lang w:val="es-ES"/>
              </w:rPr>
            </w:pPr>
            <w:r w:rsidRPr="000F1385">
              <w:rPr>
                <w:rFonts w:ascii="Verdana" w:hAnsi="Verdana" w:cs="Arial"/>
                <w:color w:val="000000" w:themeColor="text1"/>
                <w:lang w:val="es-ES"/>
              </w:rPr>
              <w:t>Manual para determinar y verificar requisitos habilitantes en los procesos de contratación, disponible en el siguiente link:</w:t>
            </w:r>
            <w:r w:rsidRPr="000F1385">
              <w:rPr>
                <w:rFonts w:ascii="Verdana" w:hAnsi="Verdana" w:cs="Arial"/>
                <w:color w:val="000000" w:themeColor="text1"/>
                <w:lang w:val="es-ES"/>
              </w:rPr>
              <w:tab/>
            </w:r>
            <w:r w:rsidRPr="000F1385">
              <w:rPr>
                <w:rFonts w:ascii="Verdana" w:hAnsi="Verdana"/>
                <w:lang w:val="es-ES"/>
              </w:rPr>
              <w:t xml:space="preserve"> </w:t>
            </w:r>
            <w:hyperlink r:id="rId16" w:history="1">
              <w:r w:rsidRPr="000F1385">
                <w:rPr>
                  <w:rFonts w:ascii="Verdana" w:hAnsi="Verdana"/>
                  <w:color w:val="0000FF"/>
                  <w:u w:val="single"/>
                  <w:lang w:val="es-ES"/>
                </w:rPr>
                <w:t>https://www.colombiacompra.gov.co/sites/cce_public/files/cce_documents/cce-eicp-ma-04._manual_requisitos_habilitantes_v3_29-09-2023.pdf</w:t>
              </w:r>
            </w:hyperlink>
          </w:p>
          <w:p w14:paraId="4E04F877" w14:textId="77777777" w:rsidR="007C0AA4" w:rsidRPr="000F1385" w:rsidRDefault="007C0AA4" w:rsidP="007C0AA4">
            <w:pPr>
              <w:widowControl w:val="0"/>
              <w:numPr>
                <w:ilvl w:val="0"/>
                <w:numId w:val="25"/>
              </w:numPr>
              <w:autoSpaceDE w:val="0"/>
              <w:autoSpaceDN w:val="0"/>
              <w:spacing w:after="120" w:line="276" w:lineRule="auto"/>
              <w:jc w:val="both"/>
              <w:rPr>
                <w:rFonts w:ascii="Verdana" w:hAnsi="Verdana" w:cs="Arial"/>
                <w:lang w:val="es-ES"/>
              </w:rPr>
            </w:pPr>
            <w:r w:rsidRPr="000F1385">
              <w:rPr>
                <w:rFonts w:ascii="Verdana" w:hAnsi="Verdana" w:cstheme="minorHAnsi"/>
                <w:lang w:val="es-ES"/>
              </w:rPr>
              <w:t>Circular Externa Única.</w:t>
            </w:r>
            <w:r w:rsidRPr="000F1385">
              <w:rPr>
                <w:rFonts w:ascii="Geomanist Light" w:hAnsi="Geomanist Light"/>
                <w:lang w:val="es-ES"/>
              </w:rPr>
              <w:t xml:space="preserve"> </w:t>
            </w:r>
            <w:hyperlink r:id="rId17" w:history="1">
              <w:r w:rsidRPr="000F1385">
                <w:rPr>
                  <w:rFonts w:ascii="Verdana" w:hAnsi="Verdana" w:cstheme="minorHAnsi"/>
                  <w:color w:val="0000FF"/>
                  <w:u w:val="single"/>
                  <w:lang w:val="es-ES"/>
                </w:rPr>
                <w:t>https://www.colombiacompra.gov.co/normativa-y-relatoria/circular-unica-externa</w:t>
              </w:r>
            </w:hyperlink>
            <w:r w:rsidRPr="000F1385">
              <w:rPr>
                <w:rFonts w:ascii="Verdana" w:hAnsi="Verdana" w:cstheme="minorHAnsi"/>
                <w:lang w:val="es-ES"/>
              </w:rPr>
              <w:t xml:space="preserve">  </w:t>
            </w:r>
          </w:p>
        </w:tc>
      </w:tr>
    </w:tbl>
    <w:p w14:paraId="792AC3D4" w14:textId="77777777" w:rsidR="007C0AA4" w:rsidRPr="000F1385" w:rsidRDefault="007C0AA4" w:rsidP="007C0AA4">
      <w:pPr>
        <w:spacing w:after="0" w:line="276" w:lineRule="auto"/>
        <w:ind w:right="709"/>
        <w:jc w:val="both"/>
        <w:rPr>
          <w:rFonts w:ascii="Verdana" w:hAnsi="Verdana" w:cs="Arial"/>
          <w:color w:val="000000" w:themeColor="text1"/>
          <w:lang w:val="es-ES_tradnl"/>
        </w:rPr>
      </w:pPr>
    </w:p>
    <w:p w14:paraId="78A78A62" w14:textId="77777777" w:rsidR="007C0AA4" w:rsidRPr="000F1385" w:rsidRDefault="007C0AA4" w:rsidP="007C0AA4">
      <w:pPr>
        <w:numPr>
          <w:ilvl w:val="0"/>
          <w:numId w:val="16"/>
        </w:numPr>
        <w:spacing w:after="0" w:line="256" w:lineRule="auto"/>
        <w:rPr>
          <w:rFonts w:ascii="Verdana" w:eastAsia="Calibri" w:hAnsi="Verdana" w:cs="Times New Roman"/>
          <w:b/>
          <w:bCs/>
          <w:lang w:val="es-ES"/>
        </w:rPr>
      </w:pPr>
      <w:r w:rsidRPr="000F1385">
        <w:rPr>
          <w:rFonts w:ascii="Verdana" w:eastAsia="Calibri" w:hAnsi="Verdana" w:cs="Times New Roman"/>
          <w:b/>
          <w:bCs/>
          <w:lang w:val="es-ES"/>
        </w:rPr>
        <w:t>Doctrina de la Agencia Nacional de Contratación Pública:</w:t>
      </w:r>
    </w:p>
    <w:p w14:paraId="4E74C0DF" w14:textId="77777777" w:rsidR="007C0AA4" w:rsidRPr="000F1385" w:rsidRDefault="007C0AA4" w:rsidP="007C0AA4">
      <w:pPr>
        <w:widowControl w:val="0"/>
        <w:autoSpaceDE w:val="0"/>
        <w:autoSpaceDN w:val="0"/>
        <w:spacing w:after="0" w:line="276" w:lineRule="auto"/>
        <w:jc w:val="both"/>
        <w:rPr>
          <w:rFonts w:ascii="Verdana" w:hAnsi="Verdana" w:cs="Arial"/>
          <w:bCs/>
          <w:shd w:val="clear" w:color="auto" w:fill="FFFFFF"/>
        </w:rPr>
      </w:pPr>
    </w:p>
    <w:p w14:paraId="7017FACF" w14:textId="77777777" w:rsidR="007C0AA4" w:rsidRPr="000F1385" w:rsidRDefault="007C0AA4" w:rsidP="007C0AA4">
      <w:pPr>
        <w:widowControl w:val="0"/>
        <w:autoSpaceDE w:val="0"/>
        <w:autoSpaceDN w:val="0"/>
        <w:spacing w:after="0" w:line="276" w:lineRule="auto"/>
        <w:jc w:val="both"/>
        <w:rPr>
          <w:rFonts w:ascii="Verdana" w:eastAsia="Calibri" w:hAnsi="Verdana" w:cs="Times New Roman"/>
        </w:rPr>
      </w:pPr>
      <w:r w:rsidRPr="000F1385">
        <w:rPr>
          <w:rFonts w:ascii="Verdana" w:hAnsi="Verdana" w:cs="Arial"/>
          <w:bCs/>
          <w:shd w:val="clear" w:color="auto" w:fill="FFFFFF"/>
        </w:rPr>
        <w:t xml:space="preserve">La Agencia Nacional de Contratación Pública – Colombia Compra Eficiente, se ha pronunciado en diferentes conceptos sobre uso del Clasificador de Bienes y Servicios de Naciones Unidas en los conceptos 2201913000006036 del 20 de agosto de 2019, 2201913000007322 del 2 de octubre de 2019, 2201913000007496 del 7 de octubre de 2020, 2201913000008870 del 2 de diciembre de 2019, 2201913000009643 del 26 de diciembre de 2019, C-017 del 22 de febrero de 2021, C-052 del 18 de marzo de 2020, C-760 del 8 de febrero de 2022, </w:t>
      </w:r>
      <w:r w:rsidRPr="000F1385">
        <w:rPr>
          <w:rFonts w:ascii="Verdana" w:hAnsi="Verdana" w:cs="Arial"/>
          <w:bCs/>
          <w:shd w:val="clear" w:color="auto" w:fill="FFFFFF"/>
          <w:lang w:val="es-ES"/>
        </w:rPr>
        <w:t>C-223 del 25 de abril de 2022 y C-547 del 15 de octubre de 2024, C-907 del 30 de diciembre de 2024, C-036 del 25 de febrero de 2025,</w:t>
      </w:r>
      <w:r w:rsidRPr="000F1385">
        <w:rPr>
          <w:rFonts w:ascii="Verdana" w:hAnsi="Verdana" w:cs="Arial"/>
          <w:bCs/>
          <w:shd w:val="clear" w:color="auto" w:fill="FFFFFF"/>
        </w:rPr>
        <w:t xml:space="preserve"> </w:t>
      </w:r>
      <w:r>
        <w:rPr>
          <w:rFonts w:ascii="Verdana" w:hAnsi="Verdana" w:cs="Arial"/>
          <w:bCs/>
          <w:shd w:val="clear" w:color="auto" w:fill="FFFFFF"/>
        </w:rPr>
        <w:t xml:space="preserve">C- 320 DEL 24 de abril de 2025, </w:t>
      </w:r>
      <w:r w:rsidRPr="000F1385">
        <w:rPr>
          <w:rFonts w:ascii="Verdana" w:hAnsi="Verdana" w:cs="Arial"/>
          <w:bCs/>
          <w:shd w:val="clear" w:color="auto" w:fill="FFFFFF"/>
        </w:rPr>
        <w:t xml:space="preserve">entre otros, así como nuevas consideraciones dispuestas en este concepto. </w:t>
      </w:r>
      <w:r w:rsidRPr="000F1385">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2FDC232" w14:textId="77777777" w:rsidR="007C0AA4" w:rsidRPr="000F1385" w:rsidRDefault="00C320DB" w:rsidP="007C0AA4">
      <w:pPr>
        <w:spacing w:after="0" w:line="256" w:lineRule="auto"/>
        <w:jc w:val="both"/>
        <w:rPr>
          <w:rFonts w:ascii="Verdana" w:eastAsia="Calibri" w:hAnsi="Verdana" w:cs="Times New Roman"/>
        </w:rPr>
      </w:pPr>
      <w:hyperlink r:id="rId18" w:history="1">
        <w:r w:rsidR="007C0AA4" w:rsidRPr="000F1385">
          <w:rPr>
            <w:rFonts w:ascii="Verdana" w:eastAsia="Calibri" w:hAnsi="Verdana" w:cs="Times New Roman"/>
            <w:color w:val="0000FF"/>
            <w:u w:val="single"/>
            <w:lang w:val="es-ES"/>
          </w:rPr>
          <w:t>https://relatoria.colombiacompra.gov.co/busqueda/conceptos</w:t>
        </w:r>
      </w:hyperlink>
      <w:r w:rsidR="007C0AA4" w:rsidRPr="000F1385">
        <w:rPr>
          <w:rFonts w:ascii="Verdana" w:eastAsia="Calibri" w:hAnsi="Verdana" w:cs="Times New Roman"/>
        </w:rPr>
        <w:t xml:space="preserve">. </w:t>
      </w:r>
    </w:p>
    <w:p w14:paraId="3C0FE0B1" w14:textId="77777777" w:rsidR="007C0AA4" w:rsidRPr="00231A97" w:rsidRDefault="007C0AA4" w:rsidP="007C0AA4">
      <w:pPr>
        <w:spacing w:after="0" w:line="256" w:lineRule="auto"/>
        <w:jc w:val="both"/>
        <w:rPr>
          <w:rFonts w:ascii="Verdana" w:eastAsia="Calibri" w:hAnsi="Verdana" w:cs="Times New Roman"/>
        </w:rPr>
      </w:pPr>
      <w:r w:rsidRPr="000F1385">
        <w:rPr>
          <w:rFonts w:ascii="Verdana" w:eastAsia="Calibri" w:hAnsi="Verdana" w:cs="Times New Roman"/>
        </w:rPr>
        <w:lastRenderedPageBreak/>
        <w:br/>
      </w:r>
      <w:r w:rsidRPr="00231A97">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231A97">
        <w:rPr>
          <w:rFonts w:ascii="Verdana" w:eastAsia="Calibri" w:hAnsi="Verdana" w:cs="Times New Roman"/>
          <w:b/>
          <w:bCs/>
        </w:rPr>
        <w:t>Curso de Contratación Pública Sostenible y Socialmente Responsable</w:t>
      </w:r>
      <w:r w:rsidRPr="00231A97">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31A97">
        <w:rPr>
          <w:rFonts w:ascii="Verdana" w:eastAsia="Calibri" w:hAnsi="Verdana" w:cs="Times New Roman"/>
        </w:rPr>
        <w:br/>
      </w:r>
      <w:hyperlink r:id="rId19" w:tgtFrame="_new" w:history="1">
        <w:r w:rsidRPr="00231A97">
          <w:rPr>
            <w:rStyle w:val="Hipervnculo"/>
            <w:rFonts w:ascii="Verdana" w:eastAsia="Calibri" w:hAnsi="Verdana" w:cs="Times New Roman"/>
          </w:rPr>
          <w:t>https://formacionvirtual.colombiacompra.gov.co/mod/page/view.php?id=3718</w:t>
        </w:r>
      </w:hyperlink>
    </w:p>
    <w:p w14:paraId="482BA8B0" w14:textId="77777777" w:rsidR="007C0AA4" w:rsidRDefault="007C0AA4" w:rsidP="007C0AA4">
      <w:pPr>
        <w:spacing w:after="0" w:line="256" w:lineRule="auto"/>
        <w:jc w:val="both"/>
        <w:rPr>
          <w:rFonts w:ascii="Verdana" w:eastAsia="Calibri" w:hAnsi="Verdana" w:cs="Times New Roman"/>
        </w:rPr>
      </w:pPr>
    </w:p>
    <w:p w14:paraId="4DF33F3A" w14:textId="77777777" w:rsidR="007C0AA4" w:rsidRPr="00231A97" w:rsidRDefault="007C0AA4" w:rsidP="007C0AA4">
      <w:pPr>
        <w:spacing w:after="0" w:line="256" w:lineRule="auto"/>
        <w:jc w:val="both"/>
        <w:rPr>
          <w:rFonts w:ascii="Verdana" w:eastAsia="Calibri" w:hAnsi="Verdana" w:cs="Times New Roman"/>
        </w:rPr>
      </w:pPr>
      <w:r w:rsidRPr="00231A97">
        <w:rPr>
          <w:rFonts w:ascii="Verdana" w:eastAsia="Calibri" w:hAnsi="Verdana" w:cs="Times New Roman"/>
        </w:rPr>
        <w:t xml:space="preserve">De otro lado, te contamos que esta Agencia ha da un paso decisivo en la estandarización y modernización del </w:t>
      </w:r>
      <w:r w:rsidRPr="00231A97">
        <w:rPr>
          <w:rFonts w:ascii="Verdana" w:eastAsia="Calibri" w:hAnsi="Verdana" w:cs="Times New Roman"/>
          <w:b/>
          <w:bCs/>
        </w:rPr>
        <w:t>sector  social</w:t>
      </w:r>
      <w:r w:rsidRPr="00231A97">
        <w:rPr>
          <w:rFonts w:ascii="Verdana" w:eastAsia="Calibri" w:hAnsi="Verdana" w:cs="Times New Roman"/>
        </w:rPr>
        <w:t xml:space="preserve"> con la expedición de las </w:t>
      </w:r>
      <w:r w:rsidRPr="00231A97">
        <w:rPr>
          <w:rFonts w:ascii="Verdana" w:eastAsia="Calibri" w:hAnsi="Verdana" w:cs="Times New Roman"/>
          <w:b/>
          <w:bCs/>
        </w:rPr>
        <w:t>Resoluciones 539, 540, 541, 952 y 953 de 2025</w:t>
      </w:r>
      <w:r w:rsidRPr="00231A97">
        <w:rPr>
          <w:rFonts w:ascii="Verdana" w:eastAsia="Calibri" w:hAnsi="Verdana" w:cs="Times New Roman"/>
        </w:rPr>
        <w:t xml:space="preserve">, </w:t>
      </w:r>
      <w:r w:rsidRPr="00231A97">
        <w:rPr>
          <w:rFonts w:ascii="Verdana" w:eastAsia="Calibri" w:hAnsi="Verdana" w:cs="Times New Roman"/>
          <w:b/>
          <w:bCs/>
        </w:rPr>
        <w:t>mediante las cuales adoptó Documentos Tipo</w:t>
      </w:r>
      <w:r w:rsidRPr="00231A97">
        <w:rPr>
          <w:rFonts w:ascii="Verdana" w:eastAsia="Calibri" w:hAnsi="Verdana" w:cs="Times New Roman"/>
        </w:rPr>
        <w:t xml:space="preserve"> para las modalidades de selección de</w:t>
      </w:r>
      <w:r w:rsidRPr="00231A97">
        <w:rPr>
          <w:rFonts w:ascii="Verdana" w:eastAsia="Calibri" w:hAnsi="Verdana" w:cs="Times New Roman"/>
          <w:b/>
          <w:bCs/>
        </w:rPr>
        <w:t xml:space="preserve"> licitación pública (versión 2), selección abreviada de menor cuantía, mínima cuantía, consultoría e interventoría</w:t>
      </w:r>
      <w:r w:rsidRPr="00231A97">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20" w:tgtFrame="_new" w:history="1">
        <w:r w:rsidRPr="00231A97">
          <w:rPr>
            <w:rStyle w:val="Hipervnculo"/>
            <w:rFonts w:ascii="Verdana" w:eastAsia="Calibri" w:hAnsi="Verdana" w:cs="Times New Roman"/>
          </w:rPr>
          <w:t>https://www.colombiacompra.gov.co/normativa-y-relatoria/documentos-tipo</w:t>
        </w:r>
      </w:hyperlink>
    </w:p>
    <w:p w14:paraId="07CD855E" w14:textId="77777777" w:rsidR="007C0AA4" w:rsidRDefault="007C0AA4" w:rsidP="007C0AA4">
      <w:pPr>
        <w:spacing w:after="0" w:line="256" w:lineRule="auto"/>
        <w:jc w:val="both"/>
        <w:rPr>
          <w:rFonts w:ascii="Verdana" w:eastAsia="Calibri" w:hAnsi="Verdana" w:cs="Times New Roman"/>
        </w:rPr>
      </w:pPr>
    </w:p>
    <w:p w14:paraId="72820CD6" w14:textId="77777777" w:rsidR="007C0AA4" w:rsidRPr="00231A97" w:rsidRDefault="007C0AA4" w:rsidP="007C0AA4">
      <w:pPr>
        <w:spacing w:after="0" w:line="256" w:lineRule="auto"/>
        <w:jc w:val="both"/>
        <w:rPr>
          <w:rFonts w:ascii="Verdana" w:eastAsia="Calibri" w:hAnsi="Verdana" w:cs="Times New Roman"/>
        </w:rPr>
      </w:pPr>
      <w:r w:rsidRPr="00231A97">
        <w:rPr>
          <w:rFonts w:ascii="Verdana" w:eastAsia="Calibri" w:hAnsi="Verdana" w:cs="Times New Roman"/>
        </w:rPr>
        <w:t xml:space="preserve">Si quieres conocer más sobre la aplicación de Documentos Tipo puedes consultar la última versión de la </w:t>
      </w:r>
      <w:r w:rsidRPr="00231A97">
        <w:rPr>
          <w:rFonts w:ascii="Verdana" w:eastAsia="Calibri" w:hAnsi="Verdana" w:cs="Times New Roman"/>
          <w:b/>
          <w:bCs/>
        </w:rPr>
        <w:t>Guía para la comprensión e implementación de los Documentos Tipo de obra pública de infraestructura de transporte</w:t>
      </w:r>
      <w:r w:rsidRPr="00231A97">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31A97">
        <w:rPr>
          <w:rFonts w:ascii="Verdana" w:eastAsia="Calibri" w:hAnsi="Verdana" w:cs="Times New Roman"/>
        </w:rPr>
        <w:br/>
      </w:r>
      <w:hyperlink r:id="rId21" w:tgtFrame="_new" w:history="1">
        <w:r w:rsidRPr="00231A97">
          <w:rPr>
            <w:rStyle w:val="Hipervnculo"/>
            <w:rFonts w:ascii="Verdana" w:eastAsia="Calibri" w:hAnsi="Verdana" w:cs="Times New Roman"/>
          </w:rPr>
          <w:t>https://www.colombiacompra.gov.co/archivos/manual/guia-para-la-comprension-e-implementacion-de-los-documentos-tipo-de-obra-publica-de-infraestructura-de-transporte-bajo-las-diferentes-modalidades-de-contratacion-vigentes</w:t>
        </w:r>
      </w:hyperlink>
    </w:p>
    <w:p w14:paraId="02335599" w14:textId="77777777" w:rsidR="007C0AA4" w:rsidRPr="009037F6" w:rsidRDefault="007C0AA4" w:rsidP="007C0AA4">
      <w:pPr>
        <w:spacing w:after="0" w:line="240" w:lineRule="auto"/>
        <w:jc w:val="both"/>
        <w:rPr>
          <w:rFonts w:ascii="Verdana" w:hAnsi="Verdana"/>
        </w:rPr>
      </w:pPr>
    </w:p>
    <w:p w14:paraId="066778C5" w14:textId="77777777" w:rsidR="007C0AA4" w:rsidRPr="00116940" w:rsidRDefault="007C0AA4" w:rsidP="007C0AA4">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w:t>
      </w:r>
      <w:r w:rsidRPr="00116940">
        <w:rPr>
          <w:rFonts w:ascii="Verdana" w:hAnsi="Verdana"/>
        </w:rPr>
        <w:lastRenderedPageBreak/>
        <w:t xml:space="preserve">requiera en el marco de nuestras funciones a través de nuestros diferentes canales de atención: </w:t>
      </w:r>
    </w:p>
    <w:p w14:paraId="4A90DB29" w14:textId="77777777" w:rsidR="007C0AA4" w:rsidRPr="00116940" w:rsidRDefault="007C0AA4" w:rsidP="007C0AA4">
      <w:pPr>
        <w:spacing w:after="0"/>
        <w:jc w:val="both"/>
        <w:rPr>
          <w:rFonts w:ascii="Verdana" w:hAnsi="Verdana"/>
        </w:rPr>
      </w:pPr>
    </w:p>
    <w:p w14:paraId="32348A34" w14:textId="77777777" w:rsidR="007C0AA4" w:rsidRPr="00116940" w:rsidRDefault="007C0AA4" w:rsidP="007C0AA4">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24A6C109" w14:textId="77777777" w:rsidR="007C0AA4" w:rsidRPr="00116940" w:rsidRDefault="007C0AA4" w:rsidP="007C0AA4">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2C484F70" w14:textId="77777777" w:rsidR="007C0AA4" w:rsidRPr="00116940" w:rsidRDefault="007C0AA4" w:rsidP="007C0AA4">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22">
        <w:r w:rsidRPr="00116940">
          <w:rPr>
            <w:rStyle w:val="Hipervnculo"/>
            <w:rFonts w:ascii="Verdana" w:eastAsia="Verdana" w:hAnsi="Verdana" w:cs="Verdana"/>
            <w:lang w:val="es-MX"/>
          </w:rPr>
          <w:t>ventanilladeradicacion@colombiacompra.gov.co</w:t>
        </w:r>
      </w:hyperlink>
    </w:p>
    <w:p w14:paraId="6D1C3501" w14:textId="77777777" w:rsidR="007C0AA4" w:rsidRPr="00116940" w:rsidRDefault="007C0AA4" w:rsidP="007C0AA4">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23">
        <w:r w:rsidRPr="00116940">
          <w:rPr>
            <w:rStyle w:val="Hipervnculo"/>
            <w:rFonts w:ascii="Verdana" w:eastAsia="Verdana" w:hAnsi="Verdana" w:cs="Verdana"/>
            <w:lang w:val="es-MX"/>
          </w:rPr>
          <w:t>https://www.colombiacompra.gov.co/pqrsd/informacion-importante-antes-de-formular-una-pqrsd</w:t>
        </w:r>
      </w:hyperlink>
    </w:p>
    <w:p w14:paraId="6E2A65D7" w14:textId="77777777" w:rsidR="007C0AA4" w:rsidRPr="00116940" w:rsidRDefault="007C0AA4" w:rsidP="007C0AA4">
      <w:pPr>
        <w:spacing w:after="0" w:line="240" w:lineRule="auto"/>
        <w:ind w:left="720"/>
        <w:jc w:val="both"/>
        <w:rPr>
          <w:rFonts w:ascii="Verdana" w:hAnsi="Verdana"/>
        </w:rPr>
      </w:pPr>
    </w:p>
    <w:p w14:paraId="6B91DA52" w14:textId="77777777" w:rsidR="007C0AA4" w:rsidRPr="00116940" w:rsidRDefault="007C0AA4" w:rsidP="007C0AA4">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24"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5571674F" w14:textId="77777777" w:rsidR="007C0AA4" w:rsidRPr="00116940" w:rsidRDefault="007C0AA4" w:rsidP="007C0AA4">
      <w:pPr>
        <w:spacing w:after="0" w:line="240" w:lineRule="auto"/>
        <w:rPr>
          <w:rFonts w:ascii="Verdana" w:hAnsi="Verdana"/>
        </w:rPr>
      </w:pPr>
    </w:p>
    <w:p w14:paraId="7A9534B6" w14:textId="77777777" w:rsidR="007C0AA4" w:rsidRPr="00116940" w:rsidRDefault="007C0AA4" w:rsidP="007C0AA4">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4914235A" w14:textId="77777777" w:rsidR="007C0AA4" w:rsidRPr="00116940" w:rsidRDefault="007C0AA4" w:rsidP="007C0AA4">
      <w:pPr>
        <w:spacing w:after="0" w:line="240" w:lineRule="auto"/>
        <w:jc w:val="both"/>
        <w:rPr>
          <w:rFonts w:ascii="Verdana" w:hAnsi="Verdana"/>
        </w:rPr>
      </w:pPr>
    </w:p>
    <w:p w14:paraId="249D09A4" w14:textId="77777777" w:rsidR="007C0AA4" w:rsidRPr="00116940" w:rsidRDefault="007C0AA4" w:rsidP="007C0AA4">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787992B" w14:textId="77777777" w:rsidR="007C0AA4" w:rsidRPr="00116940" w:rsidRDefault="007C0AA4" w:rsidP="007C0AA4">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680BD020" w14:textId="77777777" w:rsidR="007C0AA4" w:rsidRPr="00116940" w:rsidRDefault="007C0AA4" w:rsidP="007C0AA4">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283C3CBC" w14:textId="77777777" w:rsidR="007C0AA4" w:rsidRPr="00116940" w:rsidRDefault="007C0AA4" w:rsidP="007C0AA4">
      <w:pPr>
        <w:spacing w:after="0" w:line="240" w:lineRule="auto"/>
        <w:jc w:val="both"/>
        <w:rPr>
          <w:rFonts w:ascii="Verdana" w:hAnsi="Verdana"/>
        </w:rPr>
      </w:pPr>
    </w:p>
    <w:p w14:paraId="29F2BB5C" w14:textId="77777777" w:rsidR="007C0AA4" w:rsidRPr="009037F6" w:rsidRDefault="007C0AA4" w:rsidP="007C0AA4">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00A81B3" w14:textId="77777777" w:rsidR="007C0AA4" w:rsidRPr="000F1385" w:rsidRDefault="007C0AA4" w:rsidP="007C0AA4">
      <w:pPr>
        <w:spacing w:after="0" w:line="256" w:lineRule="auto"/>
        <w:jc w:val="both"/>
        <w:rPr>
          <w:rFonts w:ascii="Verdana" w:eastAsia="Calibri" w:hAnsi="Verdana" w:cs="Times New Roman"/>
        </w:rPr>
      </w:pPr>
    </w:p>
    <w:p w14:paraId="0E1EA299" w14:textId="77777777" w:rsidR="007C0AA4" w:rsidRPr="000F1385" w:rsidRDefault="007C0AA4" w:rsidP="007C0AA4">
      <w:pPr>
        <w:spacing w:after="0" w:line="256" w:lineRule="auto"/>
        <w:jc w:val="both"/>
        <w:rPr>
          <w:rFonts w:ascii="Verdana" w:eastAsia="Calibri" w:hAnsi="Verdana" w:cs="Times New Roman"/>
        </w:rPr>
      </w:pPr>
      <w:r w:rsidRPr="000F1385">
        <w:rPr>
          <w:rFonts w:ascii="Verdana" w:eastAsia="Calibri" w:hAnsi="Verdana" w:cs="Times New Roman"/>
        </w:rPr>
        <w:t>Atentamente,</w:t>
      </w:r>
    </w:p>
    <w:p w14:paraId="485070A4" w14:textId="77777777" w:rsidR="007C0AA4" w:rsidRDefault="007C0AA4" w:rsidP="007C0AA4">
      <w:pPr>
        <w:spacing w:after="0" w:line="256" w:lineRule="auto"/>
        <w:jc w:val="center"/>
        <w:rPr>
          <w:rFonts w:ascii="Century Gothic" w:hAnsi="Century Gothic"/>
          <w:noProof/>
          <w:lang w:val="en-US"/>
        </w:rPr>
      </w:pPr>
    </w:p>
    <w:p w14:paraId="50FE3219" w14:textId="5987C000" w:rsidR="007C0AA4" w:rsidRPr="00286830" w:rsidRDefault="00D71430" w:rsidP="007C0AA4">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47DD9BB6" wp14:editId="1BAB7B8C">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5"/>
                    <a:stretch>
                      <a:fillRect/>
                    </a:stretch>
                  </pic:blipFill>
                  <pic:spPr>
                    <a:xfrm>
                      <a:off x="0" y="0"/>
                      <a:ext cx="3312722" cy="1229722"/>
                    </a:xfrm>
                    <a:prstGeom prst="rect">
                      <a:avLst/>
                    </a:prstGeom>
                  </pic:spPr>
                </pic:pic>
              </a:graphicData>
            </a:graphic>
          </wp:inline>
        </w:drawing>
      </w:r>
    </w:p>
    <w:p w14:paraId="42D4BFD9" w14:textId="77777777" w:rsidR="007C0AA4" w:rsidRPr="00EC20A4" w:rsidRDefault="007C0AA4" w:rsidP="007C0AA4">
      <w:pPr>
        <w:spacing w:after="0" w:line="256" w:lineRule="auto"/>
        <w:jc w:val="center"/>
        <w:rPr>
          <w:rFonts w:ascii="Century Gothic" w:hAnsi="Century Gothic"/>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7C0AA4" w:rsidRPr="00286830" w14:paraId="2E31E73E" w14:textId="77777777" w:rsidTr="003D4710">
        <w:trPr>
          <w:trHeight w:val="409"/>
        </w:trPr>
        <w:tc>
          <w:tcPr>
            <w:tcW w:w="817" w:type="dxa"/>
            <w:tcBorders>
              <w:top w:val="nil"/>
              <w:left w:val="nil"/>
              <w:bottom w:val="nil"/>
              <w:right w:val="nil"/>
            </w:tcBorders>
            <w:vAlign w:val="center"/>
            <w:hideMark/>
          </w:tcPr>
          <w:p w14:paraId="76D0CEB5" w14:textId="77777777" w:rsidR="007C0AA4" w:rsidRPr="00286830" w:rsidRDefault="007C0AA4" w:rsidP="003D4710">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lastRenderedPageBreak/>
              <w:t>Elaboró: </w:t>
            </w:r>
          </w:p>
        </w:tc>
        <w:tc>
          <w:tcPr>
            <w:tcW w:w="4937" w:type="dxa"/>
            <w:tcBorders>
              <w:top w:val="nil"/>
              <w:left w:val="nil"/>
              <w:bottom w:val="dotted" w:sz="6" w:space="0" w:color="7F7F7F" w:themeColor="text1" w:themeTint="80"/>
              <w:right w:val="nil"/>
            </w:tcBorders>
            <w:vAlign w:val="center"/>
            <w:hideMark/>
          </w:tcPr>
          <w:p w14:paraId="4396DEA7" w14:textId="77777777" w:rsidR="007C0AA4" w:rsidRPr="00286830" w:rsidRDefault="007C0AA4" w:rsidP="003D4710">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José Luis Sánchez Cardona</w:t>
            </w:r>
          </w:p>
          <w:p w14:paraId="0DE891E6" w14:textId="77777777" w:rsidR="007C0AA4" w:rsidRPr="00286830" w:rsidRDefault="007C0AA4" w:rsidP="003D4710">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Contratista de la Subdirección de Gestión Contractual</w:t>
            </w:r>
          </w:p>
        </w:tc>
      </w:tr>
      <w:tr w:rsidR="007C0AA4" w:rsidRPr="00286830" w14:paraId="6B7BAD22" w14:textId="77777777" w:rsidTr="003D4710">
        <w:trPr>
          <w:trHeight w:val="409"/>
        </w:trPr>
        <w:tc>
          <w:tcPr>
            <w:tcW w:w="817" w:type="dxa"/>
            <w:tcBorders>
              <w:top w:val="nil"/>
              <w:left w:val="nil"/>
              <w:bottom w:val="nil"/>
              <w:right w:val="nil"/>
            </w:tcBorders>
            <w:vAlign w:val="center"/>
            <w:hideMark/>
          </w:tcPr>
          <w:p w14:paraId="4B810253" w14:textId="77777777" w:rsidR="007C0AA4" w:rsidRPr="00286830" w:rsidRDefault="007C0AA4" w:rsidP="003D4710">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F430AF6" w14:textId="77777777" w:rsidR="007C0AA4" w:rsidRPr="00286830" w:rsidRDefault="007C0AA4" w:rsidP="003D4710">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Alejandro Sarmiento Cantillo</w:t>
            </w:r>
          </w:p>
          <w:p w14:paraId="3A084CEB" w14:textId="77777777" w:rsidR="007C0AA4" w:rsidRPr="00286830" w:rsidRDefault="007C0AA4" w:rsidP="003D4710">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Gestor T1-15 de la Subdirección de Gestión Contractual </w:t>
            </w:r>
          </w:p>
        </w:tc>
      </w:tr>
      <w:tr w:rsidR="007C0AA4" w:rsidRPr="00286830" w14:paraId="5C631B4F" w14:textId="77777777" w:rsidTr="003D4710">
        <w:trPr>
          <w:trHeight w:val="389"/>
        </w:trPr>
        <w:tc>
          <w:tcPr>
            <w:tcW w:w="817" w:type="dxa"/>
            <w:tcBorders>
              <w:top w:val="nil"/>
              <w:left w:val="nil"/>
              <w:bottom w:val="nil"/>
              <w:right w:val="nil"/>
            </w:tcBorders>
            <w:vAlign w:val="center"/>
            <w:hideMark/>
          </w:tcPr>
          <w:p w14:paraId="02ADE26C" w14:textId="77777777" w:rsidR="007C0AA4" w:rsidRPr="00286830" w:rsidRDefault="007C0AA4" w:rsidP="003D4710">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3D40074" w14:textId="77777777" w:rsidR="007C0AA4" w:rsidRPr="00286830" w:rsidRDefault="007C0AA4" w:rsidP="003D4710">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Carolina Quintero Gacharná</w:t>
            </w:r>
          </w:p>
          <w:p w14:paraId="57225D53" w14:textId="77777777" w:rsidR="007C0AA4" w:rsidRPr="00286830" w:rsidRDefault="007C0AA4" w:rsidP="003D4710">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Subdirectora de Gestión Contractual ANCP – CCE</w:t>
            </w:r>
          </w:p>
        </w:tc>
      </w:tr>
    </w:tbl>
    <w:p w14:paraId="611B7D97" w14:textId="77777777" w:rsidR="007C0AA4" w:rsidRPr="000E2B93" w:rsidRDefault="007C0AA4" w:rsidP="007C0AA4">
      <w:pPr>
        <w:spacing w:after="0" w:line="240" w:lineRule="auto"/>
        <w:jc w:val="both"/>
        <w:textAlignment w:val="baseline"/>
        <w:rPr>
          <w:rFonts w:ascii="Verdana" w:eastAsia="Verdana" w:hAnsi="Verdana" w:cs="Verdana"/>
          <w:lang w:eastAsia="es-CO"/>
        </w:rPr>
      </w:pPr>
    </w:p>
    <w:p w14:paraId="76ADE62A" w14:textId="77777777" w:rsidR="007C0AA4" w:rsidRPr="000E2B93" w:rsidRDefault="007C0AA4" w:rsidP="007C0AA4">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13DF8ACF" w14:textId="03E79A4A" w:rsidR="00047DB9" w:rsidRPr="007C0AA4" w:rsidRDefault="00047DB9" w:rsidP="007C0AA4"/>
    <w:sectPr w:rsidR="00047DB9" w:rsidRPr="007C0AA4" w:rsidSect="007C0C0F">
      <w:headerReference w:type="default" r:id="rId26"/>
      <w:footerReference w:type="default" r:id="rId2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26E820" w14:textId="77777777" w:rsidR="00C320DB" w:rsidRDefault="00C320DB" w:rsidP="004A1847">
      <w:pPr>
        <w:spacing w:after="0" w:line="240" w:lineRule="auto"/>
      </w:pPr>
      <w:r>
        <w:separator/>
      </w:r>
    </w:p>
  </w:endnote>
  <w:endnote w:type="continuationSeparator" w:id="0">
    <w:p w14:paraId="1CD7E518" w14:textId="77777777" w:rsidR="00C320DB" w:rsidRDefault="00C320D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AC78D9" w:rsidRDefault="00AC78D9">
    <w:pPr>
      <w:pStyle w:val="Piedepgina"/>
    </w:pPr>
  </w:p>
  <w:p w14:paraId="594D6D9F" w14:textId="12D6F594" w:rsidR="00AC78D9" w:rsidRPr="00174B77" w:rsidRDefault="00AC78D9"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D71430" w:rsidRPr="00D71430">
      <w:rPr>
        <w:rFonts w:ascii="Verdana" w:eastAsiaTheme="minorEastAsia" w:hAnsi="Verdana"/>
        <w:b/>
        <w:bCs/>
        <w:noProof/>
        <w:sz w:val="16"/>
        <w:szCs w:val="16"/>
      </w:rPr>
      <w:t>3</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AC78D9" w:rsidRDefault="00AC78D9"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AC78D9" w:rsidRPr="00E41027" w:rsidRDefault="00AC78D9"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91145F" w:rsidRDefault="0091145F">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82757A" w14:textId="77777777" w:rsidR="00C320DB" w:rsidRDefault="00C320DB" w:rsidP="004A1847">
      <w:pPr>
        <w:spacing w:after="0" w:line="240" w:lineRule="auto"/>
      </w:pPr>
      <w:r>
        <w:separator/>
      </w:r>
    </w:p>
  </w:footnote>
  <w:footnote w:type="continuationSeparator" w:id="0">
    <w:p w14:paraId="7E9C34CE" w14:textId="77777777" w:rsidR="00C320DB" w:rsidRDefault="00C320DB" w:rsidP="004A1847">
      <w:pPr>
        <w:spacing w:after="0" w:line="240" w:lineRule="auto"/>
      </w:pPr>
      <w:r>
        <w:continuationSeparator/>
      </w:r>
    </w:p>
  </w:footnote>
  <w:footnote w:id="1">
    <w:p w14:paraId="7204F4A3" w14:textId="77777777" w:rsidR="007C0AA4" w:rsidRPr="00762884" w:rsidRDefault="007C0AA4" w:rsidP="007C0AA4">
      <w:pPr>
        <w:pStyle w:val="Textonotapie"/>
        <w:ind w:firstLine="708"/>
        <w:jc w:val="both"/>
        <w:rPr>
          <w:rFonts w:ascii="Verdana" w:hAnsi="Verdana" w:cs="Arial"/>
          <w:sz w:val="15"/>
          <w:szCs w:val="15"/>
        </w:rPr>
      </w:pPr>
      <w:r w:rsidRPr="00762884">
        <w:rPr>
          <w:rStyle w:val="Refdenotaalpie"/>
          <w:rFonts w:ascii="Verdana" w:hAnsi="Verdana" w:cs="Arial"/>
          <w:sz w:val="15"/>
          <w:szCs w:val="15"/>
        </w:rPr>
        <w:footnoteRef/>
      </w:r>
      <w:r w:rsidRPr="00762884">
        <w:rPr>
          <w:rFonts w:ascii="Verdana" w:hAnsi="Verdana" w:cs="Arial"/>
          <w:sz w:val="15"/>
          <w:szCs w:val="15"/>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762884">
        <w:rPr>
          <w:rFonts w:ascii="Verdana" w:hAnsi="Verdana" w:cs="Arial"/>
          <w:i/>
          <w:iCs/>
          <w:sz w:val="15"/>
          <w:szCs w:val="15"/>
        </w:rPr>
        <w:t xml:space="preserve">ibidem </w:t>
      </w:r>
      <w:r w:rsidRPr="00762884">
        <w:rPr>
          <w:rFonts w:ascii="Verdana" w:hAnsi="Verdana" w:cs="Arial"/>
          <w:sz w:val="15"/>
          <w:szCs w:val="15"/>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2">
    <w:p w14:paraId="4329FE3C" w14:textId="77777777" w:rsidR="007C0AA4" w:rsidRPr="00762884" w:rsidRDefault="007C0AA4" w:rsidP="007C0AA4">
      <w:pPr>
        <w:pStyle w:val="NormalWeb"/>
        <w:spacing w:before="0" w:beforeAutospacing="0" w:after="0" w:afterAutospacing="0"/>
        <w:ind w:firstLine="708"/>
        <w:jc w:val="both"/>
        <w:rPr>
          <w:rFonts w:ascii="Verdana" w:hAnsi="Verdana" w:cs="Arial"/>
          <w:sz w:val="15"/>
          <w:szCs w:val="15"/>
        </w:rPr>
      </w:pPr>
      <w:r w:rsidRPr="00762884">
        <w:rPr>
          <w:rStyle w:val="Refdenotaalpie"/>
          <w:rFonts w:ascii="Verdana" w:hAnsi="Verdana" w:cs="Arial"/>
          <w:sz w:val="15"/>
          <w:szCs w:val="15"/>
        </w:rPr>
        <w:footnoteRef/>
      </w:r>
      <w:r w:rsidRPr="00762884">
        <w:rPr>
          <w:rFonts w:ascii="Verdana" w:hAnsi="Verdana" w:cs="Arial"/>
          <w:sz w:val="15"/>
          <w:szCs w:val="15"/>
        </w:rPr>
        <w:t xml:space="preserve"> 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Unico de Proponentes del Registro Único Empresarial de la Cámara de Comercio con jurisdicción en su domicilio principal.  </w:t>
      </w:r>
    </w:p>
    <w:p w14:paraId="3D0B28BA" w14:textId="77777777" w:rsidR="007C0AA4" w:rsidRPr="00762884" w:rsidRDefault="007C0AA4" w:rsidP="007C0AA4">
      <w:pPr>
        <w:spacing w:after="0"/>
        <w:jc w:val="both"/>
        <w:rPr>
          <w:rFonts w:ascii="Verdana" w:eastAsia="Times New Roman" w:hAnsi="Verdana" w:cs="Arial"/>
          <w:sz w:val="15"/>
          <w:szCs w:val="15"/>
          <w:lang w:eastAsia="es-CO"/>
        </w:rPr>
      </w:pPr>
      <w:r w:rsidRPr="00762884">
        <w:rPr>
          <w:rFonts w:ascii="Verdana" w:eastAsia="Times New Roman" w:hAnsi="Verdana" w:cs="Arial"/>
          <w:sz w:val="15"/>
          <w:szCs w:val="15"/>
          <w:lang w:eastAsia="es-CO"/>
        </w:rPr>
        <w:t> </w:t>
      </w:r>
      <w:r w:rsidRPr="00762884">
        <w:rPr>
          <w:rFonts w:ascii="Verdana" w:eastAsia="Times New Roman" w:hAnsi="Verdana" w:cs="Arial"/>
          <w:sz w:val="15"/>
          <w:szCs w:val="15"/>
          <w:lang w:eastAsia="es-CO"/>
        </w:rPr>
        <w:tab/>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702634BE" w14:textId="77777777" w:rsidR="007C0AA4" w:rsidRPr="00762884" w:rsidRDefault="007C0AA4" w:rsidP="007C0AA4">
      <w:pPr>
        <w:spacing w:after="0"/>
        <w:ind w:firstLine="708"/>
        <w:jc w:val="both"/>
        <w:rPr>
          <w:rFonts w:ascii="Verdana" w:eastAsia="Times New Roman" w:hAnsi="Verdana" w:cs="Arial"/>
          <w:sz w:val="15"/>
          <w:szCs w:val="15"/>
          <w:lang w:eastAsia="es-CO"/>
        </w:rPr>
      </w:pPr>
      <w:r w:rsidRPr="00762884">
        <w:rPr>
          <w:rFonts w:ascii="Verdana" w:eastAsia="Times New Roman" w:hAnsi="Verdana" w:cs="Arial"/>
          <w:sz w:val="15"/>
          <w:szCs w:val="15"/>
          <w:u w:val="single"/>
          <w:lang w:eastAsia="es-CO"/>
        </w:rPr>
        <w:t xml:space="preserve">En dicho registro constará la información relacionada con la experiencia, capacidad jurídica, financiera y de organización del proponente y su clasificación </w:t>
      </w:r>
      <w:r w:rsidRPr="00762884">
        <w:rPr>
          <w:rFonts w:ascii="Verdana" w:eastAsia="Times New Roman" w:hAnsi="Verdana" w:cs="Arial"/>
          <w:sz w:val="15"/>
          <w:szCs w:val="15"/>
          <w:lang w:eastAsia="es-CO"/>
        </w:rPr>
        <w:t>[…]”. (Subrayas fuera del texto).</w:t>
      </w:r>
    </w:p>
  </w:footnote>
  <w:footnote w:id="3">
    <w:p w14:paraId="04C260AD" w14:textId="77777777" w:rsidR="007C0AA4" w:rsidRPr="00762884" w:rsidRDefault="007C0AA4" w:rsidP="007C0AA4">
      <w:pPr>
        <w:pStyle w:val="Textonotapie"/>
        <w:ind w:firstLine="708"/>
        <w:jc w:val="both"/>
        <w:rPr>
          <w:rFonts w:ascii="Verdana" w:hAnsi="Verdana" w:cs="Arial"/>
          <w:sz w:val="15"/>
          <w:szCs w:val="15"/>
        </w:rPr>
      </w:pPr>
      <w:r w:rsidRPr="00762884">
        <w:rPr>
          <w:rStyle w:val="Refdenotaalpie"/>
          <w:rFonts w:ascii="Verdana" w:hAnsi="Verdana" w:cs="Arial"/>
          <w:sz w:val="15"/>
          <w:szCs w:val="15"/>
        </w:rPr>
        <w:footnoteRef/>
      </w:r>
      <w:r w:rsidRPr="00762884">
        <w:rPr>
          <w:rFonts w:ascii="Verdana" w:hAnsi="Verdana" w:cs="Arial"/>
          <w:sz w:val="15"/>
          <w:szCs w:val="15"/>
        </w:rPr>
        <w:t xml:space="preserve"> Debe precisarse que, a pesar de que el RUP es la regla general, de conformidad con el segundo inciso del artículo 6 de la Ley 1150 de 2007, este no es exigible en todos los procesos de contratación. Al respecto ha manifestado esta Subdirección: “No obstante lo anterior, el RUP no es exigible en algunos procedimientos de selección,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 razón por la cual las entidades estatales deben verificar directamente el cumplimiento de los requisitos habilitantes”. Agencia Nacional de Contratación Pública – Colombia Compra Eficiente. Concepto C-052 del 18 de marzo de 2020. Radicado de entrada No. 4202012000000208. Radicado de salida No. 2202013000002051.</w:t>
      </w:r>
    </w:p>
  </w:footnote>
  <w:footnote w:id="4">
    <w:p w14:paraId="300385DF" w14:textId="77777777" w:rsidR="007C0AA4" w:rsidRPr="00762884" w:rsidRDefault="007C0AA4" w:rsidP="007C0AA4">
      <w:pPr>
        <w:pStyle w:val="Textonotapie"/>
        <w:ind w:firstLine="708"/>
        <w:jc w:val="both"/>
        <w:rPr>
          <w:rFonts w:ascii="Verdana" w:hAnsi="Verdana" w:cs="Arial"/>
          <w:color w:val="0000FF"/>
          <w:sz w:val="15"/>
          <w:szCs w:val="15"/>
          <w:u w:val="single"/>
        </w:rPr>
      </w:pPr>
      <w:r w:rsidRPr="00762884">
        <w:rPr>
          <w:rStyle w:val="Refdenotaalpie"/>
          <w:rFonts w:ascii="Verdana" w:hAnsi="Verdana" w:cs="Arial"/>
          <w:sz w:val="15"/>
          <w:szCs w:val="15"/>
        </w:rPr>
        <w:footnoteRef/>
      </w:r>
      <w:r w:rsidRPr="00762884">
        <w:rPr>
          <w:rFonts w:ascii="Verdana" w:hAnsi="Verdana" w:cs="Arial"/>
          <w:sz w:val="15"/>
          <w:szCs w:val="15"/>
        </w:rPr>
        <w:t xml:space="preserve"> Agencia Nacional de Contratación Pública – Colombia Compra Eficiente. Guía para la codificación de bienes y servicios de acuerdo con el código estándar de productos y servicios de Naciones Unidas, V.14.080. Disponible en: </w:t>
      </w:r>
      <w:hyperlink r:id="rId1" w:history="1">
        <w:r w:rsidRPr="00762884">
          <w:rPr>
            <w:rStyle w:val="Hipervnculo"/>
            <w:rFonts w:ascii="Verdana" w:eastAsia="Times New Roman" w:hAnsi="Verdana" w:cs="Arial"/>
            <w:sz w:val="15"/>
            <w:szCs w:val="15"/>
            <w:bdr w:val="none" w:sz="0" w:space="0" w:color="auto" w:frame="1"/>
            <w:lang w:eastAsia="es-CO"/>
          </w:rPr>
          <w:t>https://www.colombiacompra.gov.co/archivos/manual/guia-para-la-codificacion-de-bienes-y-servicios</w:t>
        </w:r>
      </w:hyperlink>
      <w:r w:rsidRPr="00762884">
        <w:rPr>
          <w:rFonts w:ascii="Verdana" w:eastAsia="Times New Roman" w:hAnsi="Verdana" w:cs="Arial"/>
          <w:sz w:val="15"/>
          <w:szCs w:val="15"/>
          <w:bdr w:val="none" w:sz="0" w:space="0" w:color="auto" w:frame="1"/>
          <w:lang w:eastAsia="es-CO"/>
        </w:rPr>
        <w:t>.</w:t>
      </w:r>
      <w:hyperlink r:id="rId2" w:history="1"/>
    </w:p>
  </w:footnote>
  <w:footnote w:id="5">
    <w:p w14:paraId="12337842" w14:textId="77777777" w:rsidR="007C0AA4" w:rsidRPr="00762884" w:rsidRDefault="007C0AA4" w:rsidP="007C0AA4">
      <w:pPr>
        <w:pStyle w:val="Textonotapie"/>
        <w:ind w:firstLine="708"/>
        <w:jc w:val="both"/>
        <w:rPr>
          <w:rFonts w:ascii="Verdana" w:hAnsi="Verdana" w:cs="Arial"/>
          <w:sz w:val="15"/>
          <w:szCs w:val="15"/>
        </w:rPr>
      </w:pPr>
      <w:r w:rsidRPr="00762884">
        <w:rPr>
          <w:rStyle w:val="Refdenotaalpie"/>
          <w:rFonts w:ascii="Verdana" w:hAnsi="Verdana" w:cs="Arial"/>
          <w:sz w:val="15"/>
          <w:szCs w:val="15"/>
        </w:rPr>
        <w:footnoteRef/>
      </w:r>
      <w:r w:rsidRPr="00762884">
        <w:rPr>
          <w:rFonts w:ascii="Verdana" w:hAnsi="Verdana" w:cs="Arial"/>
          <w:sz w:val="15"/>
          <w:szCs w:val="15"/>
        </w:rPr>
        <w:t xml:space="preserve"> Decreto 1082 de 2015: “Artículo 2.2.1.1.1.4.1. Plan Anual de Adquisiciones. Las Entidades Estatales deben elaborar un Plan Anual de Adquisiciones, el cual debe contener la lista de bienes, obras y servicios que pretenden adquirir durante el año. En el Plan Anual de Adquisiciones, la Entidad Estatal debe señalar la necesidad y cuando conoce el bien, obra o servicio que satisface esa necesidad debe identificarlo utilizando el 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 Colombia Compra Eficiente establecerá los lineamientos y el formato que debe ser utilizado para elaborar el Plan Anual de Adquisiciones”.</w:t>
      </w:r>
    </w:p>
  </w:footnote>
  <w:footnote w:id="6">
    <w:p w14:paraId="5B9930F3" w14:textId="77777777" w:rsidR="007C0AA4" w:rsidRPr="00762884" w:rsidRDefault="007C0AA4" w:rsidP="007C0AA4">
      <w:pPr>
        <w:pStyle w:val="NormalWeb"/>
        <w:spacing w:before="0" w:beforeAutospacing="0" w:after="0" w:afterAutospacing="0"/>
        <w:ind w:firstLine="708"/>
        <w:jc w:val="both"/>
        <w:rPr>
          <w:rFonts w:ascii="Verdana" w:hAnsi="Verdana" w:cs="Arial"/>
          <w:color w:val="000000"/>
          <w:sz w:val="15"/>
          <w:szCs w:val="15"/>
        </w:rPr>
      </w:pPr>
      <w:r w:rsidRPr="00762884">
        <w:rPr>
          <w:rStyle w:val="Refdenotaalpie"/>
          <w:rFonts w:ascii="Verdana" w:hAnsi="Verdana" w:cs="Arial"/>
          <w:sz w:val="15"/>
          <w:szCs w:val="15"/>
        </w:rPr>
        <w:footnoteRef/>
      </w:r>
      <w:r w:rsidRPr="00762884">
        <w:rPr>
          <w:rFonts w:ascii="Verdana" w:hAnsi="Verdana" w:cs="Arial"/>
          <w:sz w:val="15"/>
          <w:szCs w:val="15"/>
        </w:rPr>
        <w:t xml:space="preserve"> Decreto 1082 de 2015: “</w:t>
      </w:r>
      <w:r w:rsidRPr="00762884">
        <w:rPr>
          <w:rFonts w:ascii="Verdana" w:hAnsi="Verdana" w:cs="Arial"/>
          <w:color w:val="000000"/>
          <w:sz w:val="15"/>
          <w:szCs w:val="15"/>
        </w:rPr>
        <w:t>Artículo 2.2.1.1.1.5.2. Información para inscripción, renovación o actualización</w:t>
      </w:r>
      <w:r w:rsidRPr="00762884">
        <w:rPr>
          <w:rFonts w:ascii="Verdana" w:hAnsi="Verdana" w:cs="Arial"/>
          <w:bCs/>
          <w:color w:val="000000"/>
          <w:sz w:val="15"/>
          <w:szCs w:val="15"/>
        </w:rPr>
        <w:t>.</w:t>
      </w:r>
      <w:r w:rsidRPr="00762884">
        <w:rPr>
          <w:rFonts w:ascii="Verdana" w:hAnsi="Verdana" w:cs="Arial"/>
          <w:bCs/>
          <w:i/>
          <w:iCs/>
          <w:color w:val="000000"/>
          <w:sz w:val="15"/>
          <w:szCs w:val="15"/>
        </w:rPr>
        <w:t> </w:t>
      </w:r>
      <w:r w:rsidRPr="00762884">
        <w:rPr>
          <w:rFonts w:ascii="Verdana" w:hAnsi="Verdana" w:cs="Arial"/>
          <w:color w:val="000000"/>
          <w:sz w:val="15"/>
          <w:szCs w:val="15"/>
        </w:rPr>
        <w:t>El interesado debe presentar a cualquier cámara de comercio del país una solicitud de registro, acompañada de la siguiente información. La cámara de comercio del domicilio del solicitante es la responsable de la inscripción, renovación o actualización correspondiente: </w:t>
      </w:r>
    </w:p>
    <w:p w14:paraId="1EF7C43A" w14:textId="77777777" w:rsidR="007C0AA4" w:rsidRPr="00762884" w:rsidRDefault="007C0AA4" w:rsidP="007C0AA4">
      <w:pPr>
        <w:spacing w:after="0" w:line="240" w:lineRule="auto"/>
        <w:jc w:val="both"/>
        <w:rPr>
          <w:rFonts w:ascii="Verdana" w:eastAsia="Times New Roman" w:hAnsi="Verdana" w:cs="Arial"/>
          <w:color w:val="000000"/>
          <w:sz w:val="15"/>
          <w:szCs w:val="15"/>
          <w:lang w:eastAsia="es-CO"/>
        </w:rPr>
      </w:pPr>
      <w:r w:rsidRPr="00762884">
        <w:rPr>
          <w:rFonts w:ascii="Verdana" w:eastAsia="Times New Roman" w:hAnsi="Verdana" w:cs="Arial"/>
          <w:color w:val="000000"/>
          <w:sz w:val="15"/>
          <w:szCs w:val="15"/>
          <w:lang w:eastAsia="es-CO"/>
        </w:rPr>
        <w:t>  </w:t>
      </w:r>
      <w:r w:rsidRPr="00762884">
        <w:rPr>
          <w:rFonts w:ascii="Verdana" w:eastAsia="Times New Roman" w:hAnsi="Verdana" w:cs="Arial"/>
          <w:color w:val="000000"/>
          <w:sz w:val="15"/>
          <w:szCs w:val="15"/>
          <w:lang w:eastAsia="es-CO"/>
        </w:rPr>
        <w:tab/>
        <w:t>1. Si es una persona natural: </w:t>
      </w:r>
    </w:p>
    <w:p w14:paraId="222FB8C4" w14:textId="77777777" w:rsidR="007C0AA4" w:rsidRPr="00762884" w:rsidRDefault="007C0AA4" w:rsidP="007C0AA4">
      <w:pPr>
        <w:spacing w:after="0" w:line="240" w:lineRule="auto"/>
        <w:jc w:val="both"/>
        <w:rPr>
          <w:rFonts w:ascii="Verdana" w:eastAsia="Times New Roman" w:hAnsi="Verdana" w:cs="Arial"/>
          <w:color w:val="000000"/>
          <w:sz w:val="15"/>
          <w:szCs w:val="15"/>
          <w:lang w:eastAsia="es-CO"/>
        </w:rPr>
      </w:pPr>
      <w:r w:rsidRPr="00762884">
        <w:rPr>
          <w:rFonts w:ascii="Verdana" w:eastAsia="Times New Roman" w:hAnsi="Verdana" w:cs="Arial"/>
          <w:color w:val="000000"/>
          <w:sz w:val="15"/>
          <w:szCs w:val="15"/>
          <w:lang w:eastAsia="es-CO"/>
        </w:rPr>
        <w:t>  </w:t>
      </w:r>
      <w:r w:rsidRPr="00762884">
        <w:rPr>
          <w:rFonts w:ascii="Verdana" w:eastAsia="Times New Roman" w:hAnsi="Verdana" w:cs="Arial"/>
          <w:color w:val="000000"/>
          <w:sz w:val="15"/>
          <w:szCs w:val="15"/>
          <w:lang w:eastAsia="es-CO"/>
        </w:rPr>
        <w:tab/>
        <w:t>1.1. Bienes, obras y servicios que ofrecerá a las Entidades Estatales, identificados con el Clasificador de Bienes y Servicios en el tercer nivel. </w:t>
      </w:r>
    </w:p>
    <w:p w14:paraId="1BD00CEC" w14:textId="77777777" w:rsidR="007C0AA4" w:rsidRPr="00762884" w:rsidRDefault="007C0AA4" w:rsidP="007C0AA4">
      <w:pPr>
        <w:spacing w:after="0" w:line="240" w:lineRule="auto"/>
        <w:jc w:val="both"/>
        <w:rPr>
          <w:rFonts w:ascii="Verdana" w:eastAsia="Times New Roman" w:hAnsi="Verdana" w:cs="Arial"/>
          <w:color w:val="000000"/>
          <w:sz w:val="15"/>
          <w:szCs w:val="15"/>
          <w:lang w:eastAsia="es-CO"/>
        </w:rPr>
      </w:pPr>
      <w:r w:rsidRPr="00762884">
        <w:rPr>
          <w:rFonts w:ascii="Verdana" w:eastAsia="Times New Roman" w:hAnsi="Verdana" w:cs="Arial"/>
          <w:color w:val="000000"/>
          <w:sz w:val="15"/>
          <w:szCs w:val="15"/>
          <w:lang w:eastAsia="es-CO"/>
        </w:rPr>
        <w:t>  </w:t>
      </w:r>
      <w:r w:rsidRPr="00762884">
        <w:rPr>
          <w:rFonts w:ascii="Verdana" w:eastAsia="Times New Roman" w:hAnsi="Verdana" w:cs="Arial"/>
          <w:color w:val="000000"/>
          <w:sz w:val="15"/>
          <w:szCs w:val="15"/>
          <w:lang w:eastAsia="es-CO"/>
        </w:rPr>
        <w:tab/>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w:t>
      </w:r>
    </w:p>
    <w:p w14:paraId="178C8BC9" w14:textId="77777777" w:rsidR="007C0AA4" w:rsidRPr="00762884" w:rsidRDefault="007C0AA4" w:rsidP="007C0AA4">
      <w:pPr>
        <w:pStyle w:val="Textonotapie"/>
        <w:ind w:firstLine="708"/>
        <w:jc w:val="both"/>
        <w:rPr>
          <w:rFonts w:ascii="Verdana" w:hAnsi="Verdana" w:cs="Arial"/>
          <w:sz w:val="15"/>
          <w:szCs w:val="15"/>
        </w:rPr>
      </w:pPr>
      <w:r w:rsidRPr="00762884">
        <w:rPr>
          <w:rFonts w:ascii="Verdana" w:hAnsi="Verdana" w:cs="Arial"/>
          <w:sz w:val="15"/>
          <w:szCs w:val="15"/>
        </w:rPr>
        <w:t xml:space="preserve"> […]</w:t>
      </w:r>
    </w:p>
    <w:p w14:paraId="05DB4D87" w14:textId="77777777" w:rsidR="007C0AA4" w:rsidRPr="00762884" w:rsidRDefault="007C0AA4" w:rsidP="007C0AA4">
      <w:pPr>
        <w:pStyle w:val="Textonotapie"/>
        <w:ind w:firstLine="708"/>
        <w:jc w:val="both"/>
        <w:rPr>
          <w:rFonts w:ascii="Verdana" w:hAnsi="Verdana" w:cs="Arial"/>
          <w:sz w:val="15"/>
          <w:szCs w:val="15"/>
        </w:rPr>
      </w:pPr>
      <w:r w:rsidRPr="00762884">
        <w:rPr>
          <w:rFonts w:ascii="Verdana" w:hAnsi="Verdana" w:cs="Arial"/>
          <w:color w:val="000000"/>
          <w:sz w:val="15"/>
          <w:szCs w:val="15"/>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Clasificador de Bienes y Servicios en el tercer nivel. Si la constitución del interesado es menor a tres (3) años, puede acreditar la experiencia de sus accionistas, socios o constituyente […]”.</w:t>
      </w:r>
    </w:p>
  </w:footnote>
  <w:footnote w:id="7">
    <w:p w14:paraId="4939EDAA" w14:textId="77777777" w:rsidR="007C0AA4" w:rsidRPr="00762884" w:rsidRDefault="007C0AA4" w:rsidP="007C0AA4">
      <w:pPr>
        <w:pStyle w:val="NormalWeb"/>
        <w:spacing w:before="0" w:beforeAutospacing="0" w:after="0" w:afterAutospacing="0"/>
        <w:ind w:firstLine="708"/>
        <w:jc w:val="both"/>
        <w:rPr>
          <w:rFonts w:ascii="Verdana" w:hAnsi="Verdana" w:cs="Arial"/>
          <w:color w:val="000000"/>
          <w:sz w:val="15"/>
          <w:szCs w:val="15"/>
        </w:rPr>
      </w:pPr>
      <w:r w:rsidRPr="00762884">
        <w:rPr>
          <w:rStyle w:val="Refdenotaalpie"/>
          <w:rFonts w:ascii="Verdana" w:hAnsi="Verdana" w:cs="Arial"/>
          <w:sz w:val="15"/>
          <w:szCs w:val="15"/>
        </w:rPr>
        <w:footnoteRef/>
      </w:r>
      <w:r w:rsidRPr="00762884">
        <w:rPr>
          <w:rFonts w:ascii="Verdana" w:hAnsi="Verdana" w:cs="Arial"/>
          <w:sz w:val="15"/>
          <w:szCs w:val="15"/>
        </w:rPr>
        <w:t xml:space="preserve"> Decreto 1082 de 2015: “</w:t>
      </w:r>
      <w:r w:rsidRPr="00762884">
        <w:rPr>
          <w:rFonts w:ascii="Verdana" w:hAnsi="Verdana" w:cs="Arial"/>
          <w:color w:val="000000"/>
          <w:sz w:val="15"/>
          <w:szCs w:val="15"/>
        </w:rPr>
        <w:t>Artículo 2.2.1.1.1.5.3. Requisitos habilitantes contenidos en el RUP</w:t>
      </w:r>
      <w:r w:rsidRPr="00762884">
        <w:rPr>
          <w:rFonts w:ascii="Verdana" w:hAnsi="Verdana" w:cs="Arial"/>
          <w:bCs/>
          <w:i/>
          <w:iCs/>
          <w:color w:val="000000"/>
          <w:sz w:val="15"/>
          <w:szCs w:val="15"/>
        </w:rPr>
        <w:t>. </w:t>
      </w:r>
      <w:r w:rsidRPr="00762884">
        <w:rPr>
          <w:rFonts w:ascii="Verdana" w:hAnsi="Verdana" w:cs="Arial"/>
          <w:color w:val="000000"/>
          <w:sz w:val="15"/>
          <w:szCs w:val="15"/>
        </w:rPr>
        <w:t>Las cámaras de comercio, con base en la información a la que hace referencia el artículo anterior, deben verificar y certificar los siguientes requisitos habilitantes: </w:t>
      </w:r>
    </w:p>
    <w:p w14:paraId="4E5F6062" w14:textId="77777777" w:rsidR="007C0AA4" w:rsidRPr="00762884" w:rsidRDefault="007C0AA4" w:rsidP="007C0AA4">
      <w:pPr>
        <w:spacing w:after="0"/>
        <w:jc w:val="both"/>
        <w:rPr>
          <w:rFonts w:ascii="Verdana" w:eastAsia="Times New Roman" w:hAnsi="Verdana" w:cs="Arial"/>
          <w:color w:val="000000"/>
          <w:sz w:val="15"/>
          <w:szCs w:val="15"/>
          <w:lang w:eastAsia="es-CO"/>
        </w:rPr>
      </w:pPr>
      <w:r w:rsidRPr="00762884">
        <w:rPr>
          <w:rFonts w:ascii="Verdana" w:eastAsia="Times New Roman" w:hAnsi="Verdana" w:cs="Arial"/>
          <w:color w:val="000000"/>
          <w:sz w:val="15"/>
          <w:szCs w:val="15"/>
          <w:lang w:eastAsia="es-CO"/>
        </w:rPr>
        <w:t>  </w:t>
      </w:r>
      <w:r w:rsidRPr="00762884">
        <w:rPr>
          <w:rFonts w:ascii="Verdana" w:eastAsia="Times New Roman" w:hAnsi="Verdana" w:cs="Arial"/>
          <w:color w:val="000000"/>
          <w:sz w:val="15"/>
          <w:szCs w:val="15"/>
          <w:lang w:eastAsia="es-CO"/>
        </w:rPr>
        <w:tab/>
        <w:t>1. Experiencia – Los contratos celebrados por el interesado para cada uno de los bienes, obras y servicios que ofrecerá a las Entidades Estatales, identificados con el Clasificador de Bienes y Servicios en el tercer nivel y su valor expresado en smmlv. </w:t>
      </w:r>
    </w:p>
    <w:p w14:paraId="3C017056" w14:textId="77777777" w:rsidR="007C0AA4" w:rsidRPr="00762884" w:rsidRDefault="007C0AA4" w:rsidP="007C0AA4">
      <w:pPr>
        <w:spacing w:after="0"/>
        <w:jc w:val="both"/>
        <w:rPr>
          <w:rFonts w:ascii="Verdana" w:eastAsia="Times New Roman" w:hAnsi="Verdana" w:cs="Arial"/>
          <w:color w:val="000000"/>
          <w:sz w:val="15"/>
          <w:szCs w:val="15"/>
          <w:lang w:eastAsia="es-CO"/>
        </w:rPr>
      </w:pPr>
      <w:r w:rsidRPr="00762884">
        <w:rPr>
          <w:rFonts w:ascii="Verdana" w:eastAsia="Times New Roman" w:hAnsi="Verdana" w:cs="Arial"/>
          <w:color w:val="000000"/>
          <w:sz w:val="15"/>
          <w:szCs w:val="15"/>
          <w:lang w:eastAsia="es-CO"/>
        </w:rPr>
        <w:t>  </w:t>
      </w:r>
      <w:r w:rsidRPr="00762884">
        <w:rPr>
          <w:rFonts w:ascii="Verdana" w:eastAsia="Times New Roman" w:hAnsi="Verdana" w:cs="Arial"/>
          <w:color w:val="000000"/>
          <w:sz w:val="15"/>
          <w:szCs w:val="15"/>
          <w:lang w:eastAsia="es-CO"/>
        </w:rPr>
        <w:tab/>
        <w:t>Los contratos celebrados por consorcios, uniones temporales y sociedades en las cuales el interesado tenga o haya tenido participación, para cada uno de los bienes, obras y servicios que ofrecerá a las Entidades Estatales, identificados con el Clasificador de Bienes y Servicios en el tercer nivel y su valor expresado en smmlv […]”.</w:t>
      </w:r>
    </w:p>
  </w:footnote>
  <w:footnote w:id="8">
    <w:p w14:paraId="1E3F59D4" w14:textId="77777777" w:rsidR="007C0AA4" w:rsidRPr="00762884" w:rsidRDefault="007C0AA4" w:rsidP="007C0AA4">
      <w:pPr>
        <w:pStyle w:val="Textonotapie"/>
        <w:ind w:firstLine="708"/>
        <w:jc w:val="both"/>
        <w:rPr>
          <w:rFonts w:ascii="Verdana" w:hAnsi="Verdana" w:cs="Arial"/>
          <w:color w:val="000000"/>
          <w:sz w:val="15"/>
          <w:szCs w:val="15"/>
        </w:rPr>
      </w:pPr>
      <w:r w:rsidRPr="00762884">
        <w:rPr>
          <w:rStyle w:val="Refdenotaalpie"/>
          <w:rFonts w:ascii="Verdana" w:hAnsi="Verdana" w:cs="Arial"/>
          <w:sz w:val="15"/>
          <w:szCs w:val="15"/>
        </w:rPr>
        <w:footnoteRef/>
      </w:r>
      <w:r w:rsidRPr="00762884">
        <w:rPr>
          <w:rFonts w:ascii="Verdana" w:hAnsi="Verdana" w:cs="Arial"/>
          <w:sz w:val="15"/>
          <w:szCs w:val="15"/>
        </w:rPr>
        <w:t xml:space="preserve"> Decreto 1082 de 2015: “</w:t>
      </w:r>
      <w:r w:rsidRPr="00762884">
        <w:rPr>
          <w:rStyle w:val="Textoennegrita"/>
          <w:rFonts w:ascii="Verdana" w:hAnsi="Verdana" w:cs="Arial"/>
          <w:color w:val="000000"/>
          <w:sz w:val="15"/>
          <w:szCs w:val="15"/>
        </w:rPr>
        <w:t>Artículo 2.2.1.1.1.5.6. </w:t>
      </w:r>
      <w:r w:rsidRPr="00762884">
        <w:rPr>
          <w:rStyle w:val="nfasis"/>
          <w:rFonts w:ascii="Verdana" w:hAnsi="Verdana" w:cs="Arial"/>
          <w:color w:val="000000"/>
          <w:sz w:val="15"/>
          <w:szCs w:val="15"/>
        </w:rPr>
        <w:t>Certificado del RUP. </w:t>
      </w:r>
      <w:r w:rsidRPr="00762884">
        <w:rPr>
          <w:rFonts w:ascii="Verdana" w:hAnsi="Verdana" w:cs="Arial"/>
          <w:color w:val="000000"/>
          <w:sz w:val="15"/>
          <w:szCs w:val="15"/>
        </w:rPr>
        <w:t>El certificado del RUP debe contener: (a) los bienes, obras y servicios para los cuales está inscrito el proponente de acuerdo con el Clasificador de Bienes y Servicios; (b) los requisitos e indicadores a los que se refiere el artículo 2.2.1.1.1.5.3 del presente decreto; (c) la información relativa a contratos, multas, sanciones e inhabilidades; y (d) la información histórica de experiencia que el proponente ha inscrito en el RUP. Las cámaras de comercio expedirán el certificado del RUP por solicitud de cualquier interesado. Las Entidades Estatales podrán acceder en línea y de forma gratuita a la información inscrita en el RUP”.</w:t>
      </w:r>
    </w:p>
  </w:footnote>
  <w:footnote w:id="9">
    <w:p w14:paraId="7F65D189" w14:textId="77777777" w:rsidR="007C0AA4" w:rsidRPr="00762884" w:rsidRDefault="007C0AA4" w:rsidP="007C0AA4">
      <w:pPr>
        <w:pStyle w:val="Textonotapie"/>
        <w:ind w:firstLine="708"/>
        <w:jc w:val="both"/>
        <w:rPr>
          <w:rFonts w:ascii="Verdana" w:hAnsi="Verdana" w:cs="Arial"/>
          <w:sz w:val="15"/>
          <w:szCs w:val="15"/>
        </w:rPr>
      </w:pPr>
      <w:r w:rsidRPr="00762884">
        <w:rPr>
          <w:rStyle w:val="Refdenotaalpie"/>
          <w:rFonts w:ascii="Verdana" w:hAnsi="Verdana" w:cs="Arial"/>
          <w:sz w:val="15"/>
          <w:szCs w:val="15"/>
        </w:rPr>
        <w:footnoteRef/>
      </w:r>
      <w:r w:rsidRPr="00762884">
        <w:rPr>
          <w:rFonts w:ascii="Verdana" w:hAnsi="Verdana" w:cs="Arial"/>
          <w:sz w:val="15"/>
          <w:szCs w:val="15"/>
        </w:rPr>
        <w:t xml:space="preserve"> Decreto 1082 de 2015: “Artículo 2.2.1.1.2.1.3. Pliegos de condiciones. Los pliegos de condiciones deben contener por lo menos la siguiente información:  </w:t>
      </w:r>
    </w:p>
    <w:p w14:paraId="00246577" w14:textId="77777777" w:rsidR="007C0AA4" w:rsidRPr="00762884" w:rsidRDefault="007C0AA4" w:rsidP="007C0AA4">
      <w:pPr>
        <w:pStyle w:val="Textonotapie"/>
        <w:ind w:firstLine="708"/>
        <w:jc w:val="both"/>
        <w:rPr>
          <w:rFonts w:ascii="Verdana" w:hAnsi="Verdana" w:cs="Arial"/>
          <w:sz w:val="15"/>
          <w:szCs w:val="15"/>
        </w:rPr>
      </w:pPr>
      <w:r w:rsidRPr="00762884">
        <w:rPr>
          <w:rFonts w:ascii="Verdana" w:hAnsi="Verdana" w:cs="Arial"/>
          <w:sz w:val="15"/>
          <w:szCs w:val="15"/>
        </w:rPr>
        <w:t>1. La descripción técnica, detallada y completa del bien o servicio objeto del contrato, identificado con el cuarto nivel del Clasificador de Bienes y Servicios, de ser posible o de lo contrario con el tercer nivel del mismo […]”.</w:t>
      </w:r>
    </w:p>
  </w:footnote>
  <w:footnote w:id="10">
    <w:p w14:paraId="0F5540E7" w14:textId="77777777" w:rsidR="007C0AA4" w:rsidRPr="00762884" w:rsidRDefault="007C0AA4" w:rsidP="007C0AA4">
      <w:pPr>
        <w:pStyle w:val="Textonotapie"/>
        <w:ind w:firstLine="708"/>
        <w:jc w:val="both"/>
        <w:rPr>
          <w:rFonts w:ascii="Verdana" w:hAnsi="Verdana"/>
          <w:sz w:val="15"/>
          <w:szCs w:val="15"/>
        </w:rPr>
      </w:pPr>
      <w:r w:rsidRPr="00762884">
        <w:rPr>
          <w:rStyle w:val="Refdenotaalpie"/>
          <w:rFonts w:ascii="Verdana" w:hAnsi="Verdana"/>
          <w:sz w:val="15"/>
          <w:szCs w:val="15"/>
        </w:rPr>
        <w:footnoteRef/>
      </w:r>
      <w:r w:rsidRPr="00762884">
        <w:rPr>
          <w:rFonts w:ascii="Verdana" w:hAnsi="Verdana"/>
          <w:sz w:val="15"/>
          <w:szCs w:val="15"/>
        </w:rPr>
        <w:t xml:space="preserve"> </w:t>
      </w:r>
      <w:r w:rsidRPr="00762884">
        <w:rPr>
          <w:rFonts w:ascii="Verdana" w:hAnsi="Verdana" w:cs="Arial"/>
          <w:sz w:val="15"/>
          <w:szCs w:val="15"/>
        </w:rPr>
        <w:t xml:space="preserve">Agencia Nacional de Contratación Pública – Colombia Compra Eficiente. Guía para la codificación de bienes y servicios de acuerdo con el código estándar de productos y servicios de Naciones Unidas, V.14.080. Disponible en: </w:t>
      </w:r>
      <w:hyperlink r:id="rId3" w:history="1">
        <w:r w:rsidRPr="00762884">
          <w:rPr>
            <w:rStyle w:val="Hipervnculo"/>
            <w:rFonts w:ascii="Verdana" w:hAnsi="Verdana" w:cs="Arial"/>
            <w:sz w:val="15"/>
            <w:szCs w:val="15"/>
          </w:rPr>
          <w:t>https://www.colombiacompra.gov.co/sites/cce_public/files/cce_documents/cce_guia_codificacion_bienes.pdf</w:t>
        </w:r>
      </w:hyperlink>
    </w:p>
  </w:footnote>
  <w:footnote w:id="11">
    <w:p w14:paraId="54A79A03" w14:textId="77777777" w:rsidR="007C0AA4" w:rsidRPr="00762884" w:rsidRDefault="007C0AA4" w:rsidP="007C0AA4">
      <w:pPr>
        <w:pStyle w:val="Textonotapie"/>
        <w:ind w:firstLine="708"/>
        <w:rPr>
          <w:rFonts w:ascii="Verdana" w:hAnsi="Verdana"/>
          <w:sz w:val="15"/>
          <w:szCs w:val="15"/>
        </w:rPr>
      </w:pPr>
      <w:r w:rsidRPr="00762884">
        <w:rPr>
          <w:rStyle w:val="Refdenotaalpie"/>
          <w:rFonts w:ascii="Verdana" w:hAnsi="Verdana"/>
          <w:sz w:val="15"/>
          <w:szCs w:val="15"/>
        </w:rPr>
        <w:footnoteRef/>
      </w:r>
      <w:r w:rsidRPr="00762884">
        <w:rPr>
          <w:rFonts w:ascii="Verdana" w:hAnsi="Verdana"/>
          <w:sz w:val="15"/>
          <w:szCs w:val="15"/>
        </w:rPr>
        <w:t xml:space="preserve"> Agencia Nacional de Contratación Pública. Manual para determinar los requisitos habilitantes en los procesos de contratación. Disponible en línea: </w:t>
      </w:r>
      <w:hyperlink r:id="rId4" w:history="1">
        <w:r w:rsidRPr="00762884">
          <w:rPr>
            <w:rStyle w:val="Hipervnculo"/>
            <w:rFonts w:ascii="Verdana" w:hAnsi="Verdana"/>
            <w:sz w:val="15"/>
            <w:szCs w:val="15"/>
          </w:rPr>
          <w:t>https://www.colombiacompra.gov.co/sites/cce_public/files/cce_documents/cce-eicp-ma-04._manual_requisitos_habilitantes_v3_29-09-2023.pdf</w:t>
        </w:r>
      </w:hyperlink>
    </w:p>
  </w:footnote>
  <w:footnote w:id="12">
    <w:p w14:paraId="3CCC40DC" w14:textId="77777777" w:rsidR="007C0AA4" w:rsidRPr="00762884" w:rsidRDefault="007C0AA4" w:rsidP="007C0AA4">
      <w:pPr>
        <w:pStyle w:val="Textonotapie"/>
        <w:ind w:firstLine="708"/>
        <w:rPr>
          <w:rFonts w:ascii="Verdana" w:hAnsi="Verdana"/>
          <w:sz w:val="15"/>
          <w:szCs w:val="15"/>
          <w:lang w:val="es-ES"/>
        </w:rPr>
      </w:pPr>
      <w:r w:rsidRPr="00762884">
        <w:rPr>
          <w:rStyle w:val="Refdenotaalpie"/>
          <w:rFonts w:ascii="Verdana" w:hAnsi="Verdana"/>
          <w:sz w:val="15"/>
          <w:szCs w:val="15"/>
        </w:rPr>
        <w:footnoteRef/>
      </w:r>
      <w:r w:rsidRPr="00762884">
        <w:rPr>
          <w:rFonts w:ascii="Verdana" w:hAnsi="Verdana"/>
          <w:sz w:val="15"/>
          <w:szCs w:val="15"/>
        </w:rPr>
        <w:t xml:space="preserve"> Ibídem., p. 14. </w:t>
      </w:r>
    </w:p>
  </w:footnote>
  <w:footnote w:id="13">
    <w:p w14:paraId="02E106D3" w14:textId="77777777" w:rsidR="007C0AA4" w:rsidRPr="00762884" w:rsidRDefault="007C0AA4" w:rsidP="007C0AA4">
      <w:pPr>
        <w:pStyle w:val="Textonotapie"/>
        <w:ind w:firstLine="708"/>
        <w:rPr>
          <w:rFonts w:ascii="Verdana" w:hAnsi="Verdana"/>
          <w:sz w:val="15"/>
          <w:szCs w:val="15"/>
        </w:rPr>
      </w:pPr>
      <w:r w:rsidRPr="00762884">
        <w:rPr>
          <w:rStyle w:val="Refdenotaalpie"/>
          <w:rFonts w:ascii="Verdana" w:hAnsi="Verdana"/>
          <w:sz w:val="15"/>
          <w:szCs w:val="15"/>
        </w:rPr>
        <w:footnoteRef/>
      </w:r>
      <w:r w:rsidRPr="00762884">
        <w:rPr>
          <w:rFonts w:ascii="Verdana" w:hAnsi="Verdana"/>
          <w:sz w:val="15"/>
          <w:szCs w:val="15"/>
        </w:rPr>
        <w:t xml:space="preserve"> </w:t>
      </w:r>
      <w:r w:rsidRPr="00762884">
        <w:rPr>
          <w:rFonts w:ascii="Verdana" w:hAnsi="Verdana"/>
          <w:i/>
          <w:iCs/>
          <w:sz w:val="15"/>
          <w:szCs w:val="15"/>
        </w:rPr>
        <w:t>Ibíd.</w:t>
      </w:r>
      <w:r w:rsidRPr="00762884">
        <w:rPr>
          <w:rFonts w:ascii="Verdana" w:hAnsi="Verdana"/>
          <w:sz w:val="15"/>
          <w:szCs w:val="15"/>
        </w:rPr>
        <w:t xml:space="preserve">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AC78D9" w:rsidRDefault="00AC78D9"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AC78D9" w:rsidRDefault="00AC78D9">
    <w:pPr>
      <w:pStyle w:val="Encabezado"/>
    </w:pPr>
  </w:p>
  <w:p w14:paraId="5E18350A" w14:textId="705F7B76" w:rsidR="00AC78D9" w:rsidRPr="004A305D" w:rsidRDefault="00AC78D9" w:rsidP="00B01B1A">
    <w:pPr>
      <w:spacing w:after="0" w:line="120" w:lineRule="auto"/>
      <w:rPr>
        <w:rFonts w:ascii="Century Gothic" w:eastAsia="Geo" w:hAnsi="Century Gothic" w:cs="Geo"/>
        <w:sz w:val="16"/>
        <w:szCs w:val="16"/>
        <w:lang w:eastAsia="es-CO"/>
      </w:rPr>
    </w:pPr>
  </w:p>
  <w:p w14:paraId="211B7F5D" w14:textId="77777777" w:rsidR="00AC78D9" w:rsidRDefault="00AC78D9" w:rsidP="00844AE9">
    <w:pPr>
      <w:spacing w:after="0" w:line="240" w:lineRule="auto"/>
      <w:rPr>
        <w:rFonts w:ascii="Verdana" w:hAnsi="Verdana"/>
        <w:sz w:val="24"/>
        <w:szCs w:val="24"/>
      </w:rPr>
    </w:pPr>
  </w:p>
  <w:p w14:paraId="5A0054B1" w14:textId="77777777" w:rsidR="00AC78D9" w:rsidRPr="00C925AC" w:rsidRDefault="00AC78D9" w:rsidP="00844AE9">
    <w:pPr>
      <w:spacing w:after="0" w:line="240" w:lineRule="auto"/>
      <w:rPr>
        <w:rFonts w:ascii="Verdana" w:hAnsi="Verdana"/>
        <w:sz w:val="24"/>
        <w:szCs w:val="24"/>
      </w:rPr>
    </w:pPr>
  </w:p>
  <w:p w14:paraId="1FD1C243" w14:textId="37C5500A" w:rsidR="00AC78D9" w:rsidRPr="00C925AC" w:rsidRDefault="00AC78D9"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45pt;height:11.45pt" o:bullet="t">
        <v:imagedata r:id="rId1" o:title="mso1B13"/>
      </v:shape>
    </w:pict>
  </w:numPicBullet>
  <w:abstractNum w:abstractNumId="0" w15:restartNumberingAfterBreak="0">
    <w:nsid w:val="02D421CD"/>
    <w:multiLevelType w:val="hybridMultilevel"/>
    <w:tmpl w:val="C0565088"/>
    <w:lvl w:ilvl="0" w:tplc="776CDEFE">
      <w:start w:val="1"/>
      <w:numFmt w:val="lowerRoman"/>
      <w:lvlText w:val="%1."/>
      <w:lvlJc w:val="left"/>
      <w:pPr>
        <w:ind w:left="9083" w:hanging="720"/>
      </w:pPr>
      <w:rPr>
        <w:rFonts w:hint="default"/>
      </w:rPr>
    </w:lvl>
    <w:lvl w:ilvl="1" w:tplc="040A0019" w:tentative="1">
      <w:start w:val="1"/>
      <w:numFmt w:val="lowerLetter"/>
      <w:lvlText w:val="%2."/>
      <w:lvlJc w:val="left"/>
      <w:pPr>
        <w:ind w:left="9443" w:hanging="360"/>
      </w:pPr>
    </w:lvl>
    <w:lvl w:ilvl="2" w:tplc="040A001B" w:tentative="1">
      <w:start w:val="1"/>
      <w:numFmt w:val="lowerRoman"/>
      <w:lvlText w:val="%3."/>
      <w:lvlJc w:val="right"/>
      <w:pPr>
        <w:ind w:left="10163" w:hanging="180"/>
      </w:pPr>
    </w:lvl>
    <w:lvl w:ilvl="3" w:tplc="040A000F" w:tentative="1">
      <w:start w:val="1"/>
      <w:numFmt w:val="decimal"/>
      <w:lvlText w:val="%4."/>
      <w:lvlJc w:val="left"/>
      <w:pPr>
        <w:ind w:left="10883" w:hanging="360"/>
      </w:pPr>
    </w:lvl>
    <w:lvl w:ilvl="4" w:tplc="040A0019" w:tentative="1">
      <w:start w:val="1"/>
      <w:numFmt w:val="lowerLetter"/>
      <w:lvlText w:val="%5."/>
      <w:lvlJc w:val="left"/>
      <w:pPr>
        <w:ind w:left="11603" w:hanging="360"/>
      </w:pPr>
    </w:lvl>
    <w:lvl w:ilvl="5" w:tplc="040A001B" w:tentative="1">
      <w:start w:val="1"/>
      <w:numFmt w:val="lowerRoman"/>
      <w:lvlText w:val="%6."/>
      <w:lvlJc w:val="right"/>
      <w:pPr>
        <w:ind w:left="12323" w:hanging="180"/>
      </w:pPr>
    </w:lvl>
    <w:lvl w:ilvl="6" w:tplc="040A000F" w:tentative="1">
      <w:start w:val="1"/>
      <w:numFmt w:val="decimal"/>
      <w:lvlText w:val="%7."/>
      <w:lvlJc w:val="left"/>
      <w:pPr>
        <w:ind w:left="13043" w:hanging="360"/>
      </w:pPr>
    </w:lvl>
    <w:lvl w:ilvl="7" w:tplc="040A0019" w:tentative="1">
      <w:start w:val="1"/>
      <w:numFmt w:val="lowerLetter"/>
      <w:lvlText w:val="%8."/>
      <w:lvlJc w:val="left"/>
      <w:pPr>
        <w:ind w:left="13763" w:hanging="360"/>
      </w:pPr>
    </w:lvl>
    <w:lvl w:ilvl="8" w:tplc="040A001B" w:tentative="1">
      <w:start w:val="1"/>
      <w:numFmt w:val="lowerRoman"/>
      <w:lvlText w:val="%9."/>
      <w:lvlJc w:val="right"/>
      <w:pPr>
        <w:ind w:left="14483" w:hanging="18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DED3DAE"/>
    <w:multiLevelType w:val="hybridMultilevel"/>
    <w:tmpl w:val="C44ABD24"/>
    <w:lvl w:ilvl="0" w:tplc="6E008430">
      <w:start w:val="1"/>
      <w:numFmt w:val="lowerLetter"/>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2" w15:restartNumberingAfterBreak="0">
    <w:nsid w:val="4FB630AB"/>
    <w:multiLevelType w:val="hybridMultilevel"/>
    <w:tmpl w:val="5FE8C2EA"/>
    <w:lvl w:ilvl="0" w:tplc="776CDEFE">
      <w:start w:val="1"/>
      <w:numFmt w:val="lowerRoman"/>
      <w:lvlText w:val="%1."/>
      <w:lvlJc w:val="left"/>
      <w:pPr>
        <w:ind w:left="1080" w:hanging="720"/>
      </w:pPr>
      <w:rPr>
        <w:rFonts w:hint="default"/>
        <w:sz w:val="2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15:restartNumberingAfterBreak="0">
    <w:nsid w:val="501D280A"/>
    <w:multiLevelType w:val="hybridMultilevel"/>
    <w:tmpl w:val="5E72985A"/>
    <w:lvl w:ilvl="0" w:tplc="776CDEFE">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4" w15:restartNumberingAfterBreak="0">
    <w:nsid w:val="57B57427"/>
    <w:multiLevelType w:val="hybridMultilevel"/>
    <w:tmpl w:val="A88A5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36E4256"/>
    <w:multiLevelType w:val="hybridMultilevel"/>
    <w:tmpl w:val="D8FA71D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11866AC"/>
    <w:multiLevelType w:val="hybridMultilevel"/>
    <w:tmpl w:val="3E5CC99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71CC6F5F"/>
    <w:multiLevelType w:val="hybridMultilevel"/>
    <w:tmpl w:val="EC1A41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56A231F"/>
    <w:multiLevelType w:val="hybridMultilevel"/>
    <w:tmpl w:val="42E84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5"/>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9"/>
  </w:num>
  <w:num w:numId="7">
    <w:abstractNumId w:val="6"/>
  </w:num>
  <w:num w:numId="8">
    <w:abstractNumId w:val="18"/>
  </w:num>
  <w:num w:numId="9">
    <w:abstractNumId w:val="8"/>
  </w:num>
  <w:num w:numId="10">
    <w:abstractNumId w:val="17"/>
  </w:num>
  <w:num w:numId="11">
    <w:abstractNumId w:val="9"/>
  </w:num>
  <w:num w:numId="12">
    <w:abstractNumId w:val="1"/>
  </w:num>
  <w:num w:numId="13">
    <w:abstractNumId w:val="3"/>
  </w:num>
  <w:num w:numId="14">
    <w:abstractNumId w:val="20"/>
  </w:num>
  <w:num w:numId="15">
    <w:abstractNumId w:val="15"/>
  </w:num>
  <w:num w:numId="16">
    <w:abstractNumId w:val="4"/>
  </w:num>
  <w:num w:numId="17">
    <w:abstractNumId w:val="10"/>
  </w:num>
  <w:num w:numId="18">
    <w:abstractNumId w:val="21"/>
  </w:num>
  <w:num w:numId="19">
    <w:abstractNumId w:val="23"/>
  </w:num>
  <w:num w:numId="20">
    <w:abstractNumId w:val="12"/>
  </w:num>
  <w:num w:numId="21">
    <w:abstractNumId w:val="16"/>
  </w:num>
  <w:num w:numId="22">
    <w:abstractNumId w:val="13"/>
  </w:num>
  <w:num w:numId="23">
    <w:abstractNumId w:val="0"/>
  </w:num>
  <w:num w:numId="24">
    <w:abstractNumId w:val="11"/>
  </w:num>
  <w:num w:numId="25">
    <w:abstractNumId w:val="22"/>
  </w:num>
  <w:num w:numId="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027C8"/>
    <w:rsid w:val="00003830"/>
    <w:rsid w:val="00016F78"/>
    <w:rsid w:val="000216D4"/>
    <w:rsid w:val="000301B5"/>
    <w:rsid w:val="00033D05"/>
    <w:rsid w:val="000355F2"/>
    <w:rsid w:val="00035DF5"/>
    <w:rsid w:val="00046945"/>
    <w:rsid w:val="00047DB9"/>
    <w:rsid w:val="00047EC5"/>
    <w:rsid w:val="00061B2A"/>
    <w:rsid w:val="00082362"/>
    <w:rsid w:val="000973A6"/>
    <w:rsid w:val="00097627"/>
    <w:rsid w:val="000A683E"/>
    <w:rsid w:val="000B05EB"/>
    <w:rsid w:val="000B19B9"/>
    <w:rsid w:val="000B2F1D"/>
    <w:rsid w:val="000C456F"/>
    <w:rsid w:val="000C5802"/>
    <w:rsid w:val="000D0334"/>
    <w:rsid w:val="000D5DA7"/>
    <w:rsid w:val="000E3113"/>
    <w:rsid w:val="000F6486"/>
    <w:rsid w:val="00100483"/>
    <w:rsid w:val="00102972"/>
    <w:rsid w:val="00112643"/>
    <w:rsid w:val="00114140"/>
    <w:rsid w:val="00115906"/>
    <w:rsid w:val="00115F94"/>
    <w:rsid w:val="00116940"/>
    <w:rsid w:val="00116E98"/>
    <w:rsid w:val="00125105"/>
    <w:rsid w:val="00126B92"/>
    <w:rsid w:val="00127233"/>
    <w:rsid w:val="001338C4"/>
    <w:rsid w:val="001357B2"/>
    <w:rsid w:val="00136941"/>
    <w:rsid w:val="00137DD9"/>
    <w:rsid w:val="001475E6"/>
    <w:rsid w:val="00152993"/>
    <w:rsid w:val="0015699B"/>
    <w:rsid w:val="00171BB3"/>
    <w:rsid w:val="0018069F"/>
    <w:rsid w:val="0018165A"/>
    <w:rsid w:val="00190A9B"/>
    <w:rsid w:val="0019789F"/>
    <w:rsid w:val="001A33BF"/>
    <w:rsid w:val="001A45EA"/>
    <w:rsid w:val="001A61AD"/>
    <w:rsid w:val="001B2BEA"/>
    <w:rsid w:val="001B3403"/>
    <w:rsid w:val="001D1BF1"/>
    <w:rsid w:val="001E4177"/>
    <w:rsid w:val="001F0B24"/>
    <w:rsid w:val="001F6E0A"/>
    <w:rsid w:val="001F7DC6"/>
    <w:rsid w:val="0022400B"/>
    <w:rsid w:val="00233013"/>
    <w:rsid w:val="00233488"/>
    <w:rsid w:val="002359C5"/>
    <w:rsid w:val="002421BB"/>
    <w:rsid w:val="00251C8C"/>
    <w:rsid w:val="0025796E"/>
    <w:rsid w:val="002609ED"/>
    <w:rsid w:val="002628B6"/>
    <w:rsid w:val="00263F35"/>
    <w:rsid w:val="002707A2"/>
    <w:rsid w:val="00270C01"/>
    <w:rsid w:val="002802FA"/>
    <w:rsid w:val="002827E8"/>
    <w:rsid w:val="002951A0"/>
    <w:rsid w:val="002962BC"/>
    <w:rsid w:val="002A05CA"/>
    <w:rsid w:val="002A093D"/>
    <w:rsid w:val="002A0DD0"/>
    <w:rsid w:val="002A49AC"/>
    <w:rsid w:val="002A64FD"/>
    <w:rsid w:val="002B115C"/>
    <w:rsid w:val="002B1EF4"/>
    <w:rsid w:val="002B3A5B"/>
    <w:rsid w:val="002B72B5"/>
    <w:rsid w:val="002B730F"/>
    <w:rsid w:val="002C7A84"/>
    <w:rsid w:val="002D1400"/>
    <w:rsid w:val="002E0411"/>
    <w:rsid w:val="002E2BF8"/>
    <w:rsid w:val="002E4FD9"/>
    <w:rsid w:val="002E57B3"/>
    <w:rsid w:val="002E6104"/>
    <w:rsid w:val="002F3413"/>
    <w:rsid w:val="002F36BE"/>
    <w:rsid w:val="002F4390"/>
    <w:rsid w:val="002F4750"/>
    <w:rsid w:val="0030657A"/>
    <w:rsid w:val="0030670D"/>
    <w:rsid w:val="00317852"/>
    <w:rsid w:val="00320BA7"/>
    <w:rsid w:val="00322A85"/>
    <w:rsid w:val="00324168"/>
    <w:rsid w:val="00330834"/>
    <w:rsid w:val="00331E14"/>
    <w:rsid w:val="00334489"/>
    <w:rsid w:val="003448F4"/>
    <w:rsid w:val="003504CF"/>
    <w:rsid w:val="0035718D"/>
    <w:rsid w:val="00360F5A"/>
    <w:rsid w:val="003673A9"/>
    <w:rsid w:val="0037015E"/>
    <w:rsid w:val="003701AD"/>
    <w:rsid w:val="003717DB"/>
    <w:rsid w:val="00374F5E"/>
    <w:rsid w:val="00377E3E"/>
    <w:rsid w:val="003925C3"/>
    <w:rsid w:val="00393230"/>
    <w:rsid w:val="00395D18"/>
    <w:rsid w:val="00397E8F"/>
    <w:rsid w:val="003A18B5"/>
    <w:rsid w:val="003A779E"/>
    <w:rsid w:val="003B62C3"/>
    <w:rsid w:val="003C0808"/>
    <w:rsid w:val="003C0EF9"/>
    <w:rsid w:val="003C3C40"/>
    <w:rsid w:val="003C5A95"/>
    <w:rsid w:val="003C7A05"/>
    <w:rsid w:val="003D0F4D"/>
    <w:rsid w:val="003D5B0D"/>
    <w:rsid w:val="003E0499"/>
    <w:rsid w:val="003E1A7F"/>
    <w:rsid w:val="003E1AFE"/>
    <w:rsid w:val="003E348A"/>
    <w:rsid w:val="003E4F80"/>
    <w:rsid w:val="003E6439"/>
    <w:rsid w:val="003F3941"/>
    <w:rsid w:val="00402C7D"/>
    <w:rsid w:val="00406575"/>
    <w:rsid w:val="00407D09"/>
    <w:rsid w:val="00414811"/>
    <w:rsid w:val="00414C74"/>
    <w:rsid w:val="004165E6"/>
    <w:rsid w:val="0042033B"/>
    <w:rsid w:val="0042722E"/>
    <w:rsid w:val="00437DB4"/>
    <w:rsid w:val="00441434"/>
    <w:rsid w:val="004427A2"/>
    <w:rsid w:val="00443CC7"/>
    <w:rsid w:val="0044528D"/>
    <w:rsid w:val="00466E39"/>
    <w:rsid w:val="00482B83"/>
    <w:rsid w:val="004874D3"/>
    <w:rsid w:val="004878FE"/>
    <w:rsid w:val="004937F5"/>
    <w:rsid w:val="004951EB"/>
    <w:rsid w:val="004A1847"/>
    <w:rsid w:val="004A305D"/>
    <w:rsid w:val="004B28D6"/>
    <w:rsid w:val="004B3578"/>
    <w:rsid w:val="004B4E88"/>
    <w:rsid w:val="004C33E4"/>
    <w:rsid w:val="004D0312"/>
    <w:rsid w:val="004D62C6"/>
    <w:rsid w:val="004D62D9"/>
    <w:rsid w:val="004F21C4"/>
    <w:rsid w:val="004F685F"/>
    <w:rsid w:val="004F7990"/>
    <w:rsid w:val="00500525"/>
    <w:rsid w:val="0050094B"/>
    <w:rsid w:val="00503011"/>
    <w:rsid w:val="00503FCD"/>
    <w:rsid w:val="00504CB4"/>
    <w:rsid w:val="0050660C"/>
    <w:rsid w:val="005172FB"/>
    <w:rsid w:val="00525E40"/>
    <w:rsid w:val="00530A1F"/>
    <w:rsid w:val="005310D4"/>
    <w:rsid w:val="005357E7"/>
    <w:rsid w:val="00543BBC"/>
    <w:rsid w:val="005566E8"/>
    <w:rsid w:val="00557551"/>
    <w:rsid w:val="00562E83"/>
    <w:rsid w:val="00574867"/>
    <w:rsid w:val="00587119"/>
    <w:rsid w:val="00591194"/>
    <w:rsid w:val="00591460"/>
    <w:rsid w:val="0059295C"/>
    <w:rsid w:val="0059685C"/>
    <w:rsid w:val="005A1493"/>
    <w:rsid w:val="005A5C62"/>
    <w:rsid w:val="005A65E0"/>
    <w:rsid w:val="005B7638"/>
    <w:rsid w:val="005C3777"/>
    <w:rsid w:val="005C3D2C"/>
    <w:rsid w:val="005C5CDC"/>
    <w:rsid w:val="005D0D42"/>
    <w:rsid w:val="005D1020"/>
    <w:rsid w:val="005D476C"/>
    <w:rsid w:val="005E20C7"/>
    <w:rsid w:val="005E780F"/>
    <w:rsid w:val="005F41DD"/>
    <w:rsid w:val="006144EB"/>
    <w:rsid w:val="006169F7"/>
    <w:rsid w:val="006200BF"/>
    <w:rsid w:val="006219F8"/>
    <w:rsid w:val="006302F7"/>
    <w:rsid w:val="00630756"/>
    <w:rsid w:val="0063475B"/>
    <w:rsid w:val="006420BD"/>
    <w:rsid w:val="00644E06"/>
    <w:rsid w:val="00646B9F"/>
    <w:rsid w:val="00650C87"/>
    <w:rsid w:val="006538F1"/>
    <w:rsid w:val="006550CA"/>
    <w:rsid w:val="00661DBA"/>
    <w:rsid w:val="0066356F"/>
    <w:rsid w:val="00665523"/>
    <w:rsid w:val="00665D70"/>
    <w:rsid w:val="00672D5E"/>
    <w:rsid w:val="00673A88"/>
    <w:rsid w:val="006745D3"/>
    <w:rsid w:val="006827DE"/>
    <w:rsid w:val="00682D59"/>
    <w:rsid w:val="0068320C"/>
    <w:rsid w:val="006900D9"/>
    <w:rsid w:val="0069331C"/>
    <w:rsid w:val="006936B5"/>
    <w:rsid w:val="00694B36"/>
    <w:rsid w:val="006A0CAF"/>
    <w:rsid w:val="006A222E"/>
    <w:rsid w:val="006A6D10"/>
    <w:rsid w:val="006B1A2B"/>
    <w:rsid w:val="006B49FD"/>
    <w:rsid w:val="006B60B6"/>
    <w:rsid w:val="006B69A7"/>
    <w:rsid w:val="006B6BEA"/>
    <w:rsid w:val="006C4E14"/>
    <w:rsid w:val="006C65EC"/>
    <w:rsid w:val="006D3280"/>
    <w:rsid w:val="006D6AC8"/>
    <w:rsid w:val="006E4637"/>
    <w:rsid w:val="006E6868"/>
    <w:rsid w:val="006F7D11"/>
    <w:rsid w:val="00703A2C"/>
    <w:rsid w:val="007069C6"/>
    <w:rsid w:val="00706C16"/>
    <w:rsid w:val="00722B73"/>
    <w:rsid w:val="007313A1"/>
    <w:rsid w:val="007340C3"/>
    <w:rsid w:val="0075235A"/>
    <w:rsid w:val="0075262A"/>
    <w:rsid w:val="00756841"/>
    <w:rsid w:val="007574EF"/>
    <w:rsid w:val="0076175D"/>
    <w:rsid w:val="0076348A"/>
    <w:rsid w:val="007649AB"/>
    <w:rsid w:val="00771D0C"/>
    <w:rsid w:val="00776115"/>
    <w:rsid w:val="00776300"/>
    <w:rsid w:val="007833AC"/>
    <w:rsid w:val="00790D18"/>
    <w:rsid w:val="007A1830"/>
    <w:rsid w:val="007A4BFA"/>
    <w:rsid w:val="007B268C"/>
    <w:rsid w:val="007B675D"/>
    <w:rsid w:val="007B7077"/>
    <w:rsid w:val="007B7171"/>
    <w:rsid w:val="007C0AA4"/>
    <w:rsid w:val="007C0C0F"/>
    <w:rsid w:val="007C3DC2"/>
    <w:rsid w:val="007D20AC"/>
    <w:rsid w:val="007D2D31"/>
    <w:rsid w:val="007D5B3F"/>
    <w:rsid w:val="007E5497"/>
    <w:rsid w:val="007F2B3F"/>
    <w:rsid w:val="007F7BF3"/>
    <w:rsid w:val="008048CC"/>
    <w:rsid w:val="00806F5F"/>
    <w:rsid w:val="00820278"/>
    <w:rsid w:val="008258C9"/>
    <w:rsid w:val="00833124"/>
    <w:rsid w:val="0083378B"/>
    <w:rsid w:val="0084224E"/>
    <w:rsid w:val="00844AE9"/>
    <w:rsid w:val="00860356"/>
    <w:rsid w:val="00865B43"/>
    <w:rsid w:val="008677C3"/>
    <w:rsid w:val="00867F95"/>
    <w:rsid w:val="00873A47"/>
    <w:rsid w:val="00873C24"/>
    <w:rsid w:val="008843B6"/>
    <w:rsid w:val="00891928"/>
    <w:rsid w:val="008A446D"/>
    <w:rsid w:val="008A49B9"/>
    <w:rsid w:val="008B1BD7"/>
    <w:rsid w:val="008B25F1"/>
    <w:rsid w:val="008B2CAE"/>
    <w:rsid w:val="008B76C7"/>
    <w:rsid w:val="008C087B"/>
    <w:rsid w:val="008C733F"/>
    <w:rsid w:val="008D180B"/>
    <w:rsid w:val="008E276A"/>
    <w:rsid w:val="008E41B6"/>
    <w:rsid w:val="008F0EA7"/>
    <w:rsid w:val="008F3DCB"/>
    <w:rsid w:val="008F71CD"/>
    <w:rsid w:val="009067E4"/>
    <w:rsid w:val="0091145F"/>
    <w:rsid w:val="00922031"/>
    <w:rsid w:val="00923EEF"/>
    <w:rsid w:val="00927F50"/>
    <w:rsid w:val="009410D1"/>
    <w:rsid w:val="009419F9"/>
    <w:rsid w:val="00942687"/>
    <w:rsid w:val="0094604B"/>
    <w:rsid w:val="00951442"/>
    <w:rsid w:val="0095685E"/>
    <w:rsid w:val="00956B82"/>
    <w:rsid w:val="00957C34"/>
    <w:rsid w:val="00960933"/>
    <w:rsid w:val="009619B6"/>
    <w:rsid w:val="00961B09"/>
    <w:rsid w:val="00963B71"/>
    <w:rsid w:val="00964513"/>
    <w:rsid w:val="00965334"/>
    <w:rsid w:val="0097093E"/>
    <w:rsid w:val="00971194"/>
    <w:rsid w:val="00971B47"/>
    <w:rsid w:val="009721AA"/>
    <w:rsid w:val="0098174A"/>
    <w:rsid w:val="00983BA4"/>
    <w:rsid w:val="0098611F"/>
    <w:rsid w:val="009877B5"/>
    <w:rsid w:val="00991171"/>
    <w:rsid w:val="00995CC5"/>
    <w:rsid w:val="009A0DFA"/>
    <w:rsid w:val="009A3571"/>
    <w:rsid w:val="009A74B4"/>
    <w:rsid w:val="009B2D26"/>
    <w:rsid w:val="009B4089"/>
    <w:rsid w:val="009B6D92"/>
    <w:rsid w:val="009B7392"/>
    <w:rsid w:val="009B7A17"/>
    <w:rsid w:val="009C60F2"/>
    <w:rsid w:val="009C6D18"/>
    <w:rsid w:val="009C71FA"/>
    <w:rsid w:val="009C72E7"/>
    <w:rsid w:val="009C7F7E"/>
    <w:rsid w:val="009D1E98"/>
    <w:rsid w:val="009D1F0F"/>
    <w:rsid w:val="009D3058"/>
    <w:rsid w:val="009D4721"/>
    <w:rsid w:val="009D7B3B"/>
    <w:rsid w:val="009D7F72"/>
    <w:rsid w:val="009F3A13"/>
    <w:rsid w:val="009F7A77"/>
    <w:rsid w:val="00A00F65"/>
    <w:rsid w:val="00A10CD5"/>
    <w:rsid w:val="00A120D1"/>
    <w:rsid w:val="00A122D3"/>
    <w:rsid w:val="00A14468"/>
    <w:rsid w:val="00A17F13"/>
    <w:rsid w:val="00A20739"/>
    <w:rsid w:val="00A22A29"/>
    <w:rsid w:val="00A23AF9"/>
    <w:rsid w:val="00A27CBF"/>
    <w:rsid w:val="00A33C78"/>
    <w:rsid w:val="00A421E1"/>
    <w:rsid w:val="00A45678"/>
    <w:rsid w:val="00A52377"/>
    <w:rsid w:val="00A554EA"/>
    <w:rsid w:val="00A632D3"/>
    <w:rsid w:val="00A700E0"/>
    <w:rsid w:val="00A7409A"/>
    <w:rsid w:val="00A75FDA"/>
    <w:rsid w:val="00A77865"/>
    <w:rsid w:val="00A8535D"/>
    <w:rsid w:val="00A90131"/>
    <w:rsid w:val="00AA138E"/>
    <w:rsid w:val="00AB0ADB"/>
    <w:rsid w:val="00AB30AA"/>
    <w:rsid w:val="00AB5920"/>
    <w:rsid w:val="00AC78D9"/>
    <w:rsid w:val="00AD2462"/>
    <w:rsid w:val="00AE6C7E"/>
    <w:rsid w:val="00AF0096"/>
    <w:rsid w:val="00AF77DE"/>
    <w:rsid w:val="00B00AE5"/>
    <w:rsid w:val="00B00C0E"/>
    <w:rsid w:val="00B01B1A"/>
    <w:rsid w:val="00B057E4"/>
    <w:rsid w:val="00B06FEE"/>
    <w:rsid w:val="00B16B6B"/>
    <w:rsid w:val="00B3286D"/>
    <w:rsid w:val="00B417F6"/>
    <w:rsid w:val="00B42891"/>
    <w:rsid w:val="00B44A47"/>
    <w:rsid w:val="00B52F3E"/>
    <w:rsid w:val="00B63408"/>
    <w:rsid w:val="00B66EBC"/>
    <w:rsid w:val="00B72CD3"/>
    <w:rsid w:val="00B72FFF"/>
    <w:rsid w:val="00B758FB"/>
    <w:rsid w:val="00B83213"/>
    <w:rsid w:val="00B93606"/>
    <w:rsid w:val="00B94459"/>
    <w:rsid w:val="00B9502D"/>
    <w:rsid w:val="00B9667F"/>
    <w:rsid w:val="00BB5EF7"/>
    <w:rsid w:val="00BC3D36"/>
    <w:rsid w:val="00BD3031"/>
    <w:rsid w:val="00BD54A6"/>
    <w:rsid w:val="00BD7F72"/>
    <w:rsid w:val="00BF7425"/>
    <w:rsid w:val="00C01F9A"/>
    <w:rsid w:val="00C02064"/>
    <w:rsid w:val="00C04FB3"/>
    <w:rsid w:val="00C11D8B"/>
    <w:rsid w:val="00C25485"/>
    <w:rsid w:val="00C320DB"/>
    <w:rsid w:val="00C330EB"/>
    <w:rsid w:val="00C3663A"/>
    <w:rsid w:val="00C36904"/>
    <w:rsid w:val="00C43987"/>
    <w:rsid w:val="00C50D69"/>
    <w:rsid w:val="00C5365C"/>
    <w:rsid w:val="00C61860"/>
    <w:rsid w:val="00C64252"/>
    <w:rsid w:val="00C754BE"/>
    <w:rsid w:val="00C76B1C"/>
    <w:rsid w:val="00C77E53"/>
    <w:rsid w:val="00C824BC"/>
    <w:rsid w:val="00C82BE0"/>
    <w:rsid w:val="00C925AC"/>
    <w:rsid w:val="00CA3F0F"/>
    <w:rsid w:val="00CA75F1"/>
    <w:rsid w:val="00CB3C56"/>
    <w:rsid w:val="00CB6357"/>
    <w:rsid w:val="00CB79EE"/>
    <w:rsid w:val="00CC166C"/>
    <w:rsid w:val="00CC1B26"/>
    <w:rsid w:val="00CE32B0"/>
    <w:rsid w:val="00CE63E3"/>
    <w:rsid w:val="00CE6A89"/>
    <w:rsid w:val="00CF7773"/>
    <w:rsid w:val="00CF7FB7"/>
    <w:rsid w:val="00D04B7B"/>
    <w:rsid w:val="00D328BA"/>
    <w:rsid w:val="00D332D5"/>
    <w:rsid w:val="00D34CFA"/>
    <w:rsid w:val="00D361FD"/>
    <w:rsid w:val="00D423A2"/>
    <w:rsid w:val="00D44E26"/>
    <w:rsid w:val="00D473AE"/>
    <w:rsid w:val="00D520D8"/>
    <w:rsid w:val="00D532F2"/>
    <w:rsid w:val="00D542CC"/>
    <w:rsid w:val="00D60543"/>
    <w:rsid w:val="00D62B39"/>
    <w:rsid w:val="00D63AC2"/>
    <w:rsid w:val="00D71430"/>
    <w:rsid w:val="00D72BFC"/>
    <w:rsid w:val="00D7383B"/>
    <w:rsid w:val="00D7788A"/>
    <w:rsid w:val="00D77ED5"/>
    <w:rsid w:val="00D85536"/>
    <w:rsid w:val="00DA231B"/>
    <w:rsid w:val="00DA7147"/>
    <w:rsid w:val="00DA7BB0"/>
    <w:rsid w:val="00DB442D"/>
    <w:rsid w:val="00DC39FC"/>
    <w:rsid w:val="00DC50A7"/>
    <w:rsid w:val="00DD4B96"/>
    <w:rsid w:val="00DD4F1C"/>
    <w:rsid w:val="00DD6DAC"/>
    <w:rsid w:val="00DD784B"/>
    <w:rsid w:val="00DE4B29"/>
    <w:rsid w:val="00DF20B6"/>
    <w:rsid w:val="00DF2A39"/>
    <w:rsid w:val="00DF5254"/>
    <w:rsid w:val="00E02524"/>
    <w:rsid w:val="00E071EE"/>
    <w:rsid w:val="00E159DA"/>
    <w:rsid w:val="00E16408"/>
    <w:rsid w:val="00E17753"/>
    <w:rsid w:val="00E20894"/>
    <w:rsid w:val="00E210C7"/>
    <w:rsid w:val="00E222B2"/>
    <w:rsid w:val="00E245AB"/>
    <w:rsid w:val="00E2764C"/>
    <w:rsid w:val="00E27CAF"/>
    <w:rsid w:val="00E27ECE"/>
    <w:rsid w:val="00E27F2E"/>
    <w:rsid w:val="00E305F7"/>
    <w:rsid w:val="00E36EB2"/>
    <w:rsid w:val="00E40137"/>
    <w:rsid w:val="00E43A0A"/>
    <w:rsid w:val="00E50AFE"/>
    <w:rsid w:val="00E60352"/>
    <w:rsid w:val="00E60AE3"/>
    <w:rsid w:val="00E66676"/>
    <w:rsid w:val="00E71A46"/>
    <w:rsid w:val="00E75C92"/>
    <w:rsid w:val="00E771DC"/>
    <w:rsid w:val="00E772EE"/>
    <w:rsid w:val="00E80BF1"/>
    <w:rsid w:val="00E83E6C"/>
    <w:rsid w:val="00E8505A"/>
    <w:rsid w:val="00E8772A"/>
    <w:rsid w:val="00E90F6B"/>
    <w:rsid w:val="00E910B2"/>
    <w:rsid w:val="00E92C27"/>
    <w:rsid w:val="00E973EA"/>
    <w:rsid w:val="00EA0E3D"/>
    <w:rsid w:val="00EA2550"/>
    <w:rsid w:val="00EC195D"/>
    <w:rsid w:val="00EC38A7"/>
    <w:rsid w:val="00EC7BB9"/>
    <w:rsid w:val="00ED1555"/>
    <w:rsid w:val="00ED219E"/>
    <w:rsid w:val="00EE1AA8"/>
    <w:rsid w:val="00EE2604"/>
    <w:rsid w:val="00EE2699"/>
    <w:rsid w:val="00EE7B18"/>
    <w:rsid w:val="00F017E3"/>
    <w:rsid w:val="00F06F9D"/>
    <w:rsid w:val="00F07A5C"/>
    <w:rsid w:val="00F11799"/>
    <w:rsid w:val="00F12E40"/>
    <w:rsid w:val="00F14A40"/>
    <w:rsid w:val="00F20C9C"/>
    <w:rsid w:val="00F21FE5"/>
    <w:rsid w:val="00F23FEA"/>
    <w:rsid w:val="00F27984"/>
    <w:rsid w:val="00F27B7B"/>
    <w:rsid w:val="00F31EDC"/>
    <w:rsid w:val="00F362E7"/>
    <w:rsid w:val="00F43E6F"/>
    <w:rsid w:val="00F462B3"/>
    <w:rsid w:val="00F47AD5"/>
    <w:rsid w:val="00F54E0C"/>
    <w:rsid w:val="00F5664F"/>
    <w:rsid w:val="00F633B7"/>
    <w:rsid w:val="00F666C4"/>
    <w:rsid w:val="00F67B7C"/>
    <w:rsid w:val="00F76AFC"/>
    <w:rsid w:val="00F772BC"/>
    <w:rsid w:val="00F777FA"/>
    <w:rsid w:val="00F82506"/>
    <w:rsid w:val="00F8569A"/>
    <w:rsid w:val="00F93BFD"/>
    <w:rsid w:val="00FA47C0"/>
    <w:rsid w:val="00FB4C21"/>
    <w:rsid w:val="00FB5DD1"/>
    <w:rsid w:val="00FC2B5D"/>
    <w:rsid w:val="00FD0452"/>
    <w:rsid w:val="00FD06DE"/>
    <w:rsid w:val="00FD140F"/>
    <w:rsid w:val="00FD47CA"/>
    <w:rsid w:val="00FE2BE2"/>
    <w:rsid w:val="00FE6537"/>
    <w:rsid w:val="00FF1449"/>
    <w:rsid w:val="00FF3CA5"/>
    <w:rsid w:val="00FF4D3A"/>
    <w:rsid w:val="00FF710A"/>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09CAF4C1-F9DF-46DB-9D1B-D4A7DC959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0AA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504CF"/>
    <w:rPr>
      <w:rFonts w:ascii="Geomanist Light" w:hAnsi="Geomanist Light"/>
      <w:lang w:val="es-ES"/>
    </w:rPr>
  </w:style>
  <w:style w:type="character" w:styleId="Textoennegrita">
    <w:name w:val="Strong"/>
    <w:basedOn w:val="Fuentedeprrafopredeter"/>
    <w:uiPriority w:val="22"/>
    <w:qFormat/>
    <w:rsid w:val="003E348A"/>
    <w:rPr>
      <w:b/>
      <w:bCs/>
    </w:rPr>
  </w:style>
  <w:style w:type="character" w:customStyle="1" w:styleId="NormalWebCar">
    <w:name w:val="Normal (Web) Car"/>
    <w:link w:val="NormalWeb"/>
    <w:uiPriority w:val="99"/>
    <w:locked/>
    <w:rsid w:val="003E348A"/>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99"/>
    <w:semiHidden/>
    <w:unhideWhenUsed/>
    <w:rsid w:val="0083378B"/>
    <w:pPr>
      <w:spacing w:after="120"/>
    </w:pPr>
  </w:style>
  <w:style w:type="character" w:customStyle="1" w:styleId="TextoindependienteCar">
    <w:name w:val="Texto independiente Car"/>
    <w:basedOn w:val="Fuentedeprrafopredeter"/>
    <w:link w:val="Textoindependiente"/>
    <w:uiPriority w:val="99"/>
    <w:semiHidden/>
    <w:rsid w:val="0083378B"/>
  </w:style>
  <w:style w:type="table" w:customStyle="1" w:styleId="Tablaconcuadrcula2">
    <w:name w:val="Tabla con cuadrícula2"/>
    <w:basedOn w:val="Tablanormal"/>
    <w:next w:val="Tablaconcuadrcula"/>
    <w:uiPriority w:val="39"/>
    <w:rsid w:val="00722B73"/>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is">
    <w:name w:val="Emphasis"/>
    <w:basedOn w:val="Fuentedeprrafopredeter"/>
    <w:uiPriority w:val="20"/>
    <w:qFormat/>
    <w:rsid w:val="00C64252"/>
    <w:rPr>
      <w:i/>
      <w:iCs/>
    </w:rPr>
  </w:style>
  <w:style w:type="table" w:customStyle="1" w:styleId="Tablaconcuadrcula11">
    <w:name w:val="Tabla con cuadrícula11"/>
    <w:basedOn w:val="Tablanormal"/>
    <w:next w:val="Tablaconcuadrcula"/>
    <w:uiPriority w:val="39"/>
    <w:qFormat/>
    <w:rsid w:val="00C6425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guia-para-la-codificacion-de-bienes-y-servicios" TargetMode="External"/><Relationship Id="rId18" Type="http://schemas.openxmlformats.org/officeDocument/2006/relationships/hyperlink" Target="https://relatoria.colombiacompra.gov.co/busqueda/conceptos"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7" Type="http://schemas.openxmlformats.org/officeDocument/2006/relationships/settings" Target="settings.xml"/><Relationship Id="rId12" Type="http://schemas.openxmlformats.org/officeDocument/2006/relationships/hyperlink" Target="mailto:notificacionesjudiciales@idsn.gov.co" TargetMode="External"/><Relationship Id="rId17" Type="http://schemas.openxmlformats.org/officeDocument/2006/relationships/hyperlink" Target="https://www.colombiacompra.gov.co/normativa-y-relatoria/circular-unica-externa" TargetMode="External"/><Relationship Id="rId25"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sites/cce_public/files/cce_documents/cce-eicp-ma-04._manual_requisitos_habilitantes_v3_29-09-2023.pdf" TargetMode="External"/><Relationship Id="rId20" Type="http://schemas.openxmlformats.org/officeDocument/2006/relationships/hyperlink" Target="https://www.colombiacompra.gov.co/normativa-y-relatoria/documentos-tipo"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hyperlink" Target="https://forms.office.com/r/pPHyWVs2SZ" TargetMode="External"/><Relationship Id="rId5" Type="http://schemas.openxmlformats.org/officeDocument/2006/relationships/numbering" Target="numbering.xml"/><Relationship Id="rId15" Type="http://schemas.openxmlformats.org/officeDocument/2006/relationships/hyperlink" Target="https://www.colombiacompra.gov.co/archivos/manual/guia-para-la-codificacion-de-bienes-y-servicios" TargetMode="External"/><Relationship Id="rId23" Type="http://schemas.openxmlformats.org/officeDocument/2006/relationships/hyperlink" Target="https://www.colombiacompra.gov.co/pqrsd/informacion-importante-antes-de-formular-una-pqrsd"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acionvirtual.colombiacompra.gov.co/mod/page/view.php?id=3718"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clasificador-de-bienes-y-Servicios" TargetMode="External"/><Relationship Id="rId22" Type="http://schemas.openxmlformats.org/officeDocument/2006/relationships/hyperlink" Target="mailto:ventanilladeradicacion@colombiacompra.gov.co" TargetMode="External"/><Relationship Id="rId27"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sites/cce_public/files/cce_documents/cce_guia_codificacion_bienes.pdf" TargetMode="External"/><Relationship Id="rId2" Type="http://schemas.openxmlformats.org/officeDocument/2006/relationships/hyperlink" Target="https://www.colombiacompra.gov.co/sites/cce_public/files/cce_documents/cce_guia_codificacion_bienes.pdf" TargetMode="External"/><Relationship Id="rId1" Type="http://schemas.openxmlformats.org/officeDocument/2006/relationships/hyperlink" Target="https://www.colombiacompra.gov.co/archivos/manual/guia-para-la-codificacion-de-bienes-y-servicios" TargetMode="External"/><Relationship Id="rId4" Type="http://schemas.openxmlformats.org/officeDocument/2006/relationships/hyperlink" Target="https://www.colombiacompra.gov.co/sites/cce_public/files/cce_documents/cce-eicp-ma-04._manual_requisitos_habilitantes_v3_29-09-2023.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C62873-924E-4E46-A49E-256BEA8724DB}"/>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66E6693F-46D0-454E-A341-CAC6010BB6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18</Pages>
  <Words>5536</Words>
  <Characters>31561</Characters>
  <Application>Microsoft Office Word</Application>
  <DocSecurity>0</DocSecurity>
  <Lines>263</Lines>
  <Paragraphs>74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ANCP -CCE</cp:lastModifiedBy>
  <cp:revision>3</cp:revision>
  <cp:lastPrinted>2023-01-10T21:18:00Z</cp:lastPrinted>
  <dcterms:created xsi:type="dcterms:W3CDTF">2026-05-07T15:06:00Z</dcterms:created>
  <dcterms:modified xsi:type="dcterms:W3CDTF">2026-05-08T11:25:00Z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