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03620" w14:textId="77777777" w:rsidR="00383144" w:rsidRPr="00462654" w:rsidRDefault="00383144" w:rsidP="00383144">
      <w:pPr>
        <w:tabs>
          <w:tab w:val="left" w:pos="709"/>
        </w:tabs>
        <w:spacing w:after="0" w:line="240" w:lineRule="auto"/>
        <w:jc w:val="both"/>
        <w:rPr>
          <w:rFonts w:ascii="Verdana" w:eastAsia="Calibri" w:hAnsi="Verdana" w:cs="Arial"/>
          <w:bCs/>
          <w:sz w:val="20"/>
          <w:szCs w:val="20"/>
          <w:lang w:val="es-ES_tradnl" w:eastAsia="es-ES_tradnl"/>
        </w:rPr>
      </w:pPr>
    </w:p>
    <w:p w14:paraId="3149298A" w14:textId="77777777" w:rsidR="00383144" w:rsidRPr="00462654" w:rsidRDefault="00383144" w:rsidP="00383144">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URGENCIA MANIFIESTA</w:t>
      </w:r>
      <w:r w:rsidRPr="00462654">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Situación de calamidad o desastre</w:t>
      </w:r>
      <w:r w:rsidRPr="00462654">
        <w:rPr>
          <w:rFonts w:ascii="Verdana" w:eastAsia="Calibri" w:hAnsi="Verdana" w:cs="Arial"/>
          <w:b/>
          <w:color w:val="000000" w:themeColor="text1"/>
          <w:lang w:val="es-ES_tradnl"/>
        </w:rPr>
        <w:t xml:space="preserve"> </w:t>
      </w:r>
    </w:p>
    <w:p w14:paraId="5ECB6AA6" w14:textId="77777777" w:rsidR="00383144" w:rsidRPr="00462654" w:rsidRDefault="00383144" w:rsidP="00383144">
      <w:pPr>
        <w:spacing w:after="0" w:line="240" w:lineRule="auto"/>
        <w:jc w:val="both"/>
        <w:rPr>
          <w:rFonts w:ascii="Verdana" w:eastAsia="Calibri" w:hAnsi="Verdana" w:cs="Arial"/>
          <w:bCs/>
          <w:color w:val="000000" w:themeColor="text1"/>
          <w:sz w:val="20"/>
          <w:szCs w:val="20"/>
          <w:lang w:val="es-ES_tradnl"/>
        </w:rPr>
      </w:pPr>
    </w:p>
    <w:p w14:paraId="3CC74223" w14:textId="77777777" w:rsidR="00383144" w:rsidRDefault="00383144" w:rsidP="00383144">
      <w:pPr>
        <w:spacing w:after="0" w:line="240" w:lineRule="auto"/>
        <w:jc w:val="both"/>
        <w:rPr>
          <w:rFonts w:ascii="Verdana" w:eastAsia="Calibri" w:hAnsi="Verdana" w:cs="Arial"/>
          <w:bCs/>
          <w:color w:val="000000" w:themeColor="text1"/>
          <w:sz w:val="20"/>
          <w:szCs w:val="20"/>
          <w:lang w:val="es-ES_tradnl" w:eastAsia="es-ES_tradnl"/>
        </w:rPr>
      </w:pPr>
      <w:r>
        <w:rPr>
          <w:rFonts w:ascii="Verdana" w:eastAsia="Calibri" w:hAnsi="Verdana" w:cs="Arial"/>
          <w:bCs/>
          <w:color w:val="000000" w:themeColor="text1"/>
          <w:sz w:val="20"/>
          <w:szCs w:val="20"/>
          <w:lang w:val="es-ES_tradnl" w:eastAsia="es-ES_tradnl"/>
        </w:rPr>
        <w:t>D</w:t>
      </w:r>
      <w:r w:rsidRPr="009E2388">
        <w:rPr>
          <w:rFonts w:ascii="Verdana" w:eastAsia="Calibri" w:hAnsi="Verdana" w:cs="Arial"/>
          <w:bCs/>
          <w:color w:val="000000" w:themeColor="text1"/>
          <w:sz w:val="20"/>
          <w:szCs w:val="20"/>
          <w:lang w:val="es-ES_tradnl" w:eastAsia="es-ES_tradnl"/>
        </w:rPr>
        <w:t>eclara</w:t>
      </w:r>
      <w:r>
        <w:rPr>
          <w:rFonts w:ascii="Verdana" w:eastAsia="Calibri" w:hAnsi="Verdana" w:cs="Arial"/>
          <w:bCs/>
          <w:color w:val="000000" w:themeColor="text1"/>
          <w:sz w:val="20"/>
          <w:szCs w:val="20"/>
          <w:lang w:val="es-ES_tradnl" w:eastAsia="es-ES_tradnl"/>
        </w:rPr>
        <w:t>da</w:t>
      </w:r>
      <w:r w:rsidRPr="009E2388">
        <w:rPr>
          <w:rFonts w:ascii="Verdana" w:eastAsia="Calibri" w:hAnsi="Verdana" w:cs="Arial"/>
          <w:bCs/>
          <w:color w:val="000000" w:themeColor="text1"/>
          <w:sz w:val="20"/>
          <w:szCs w:val="20"/>
          <w:lang w:val="es-ES_tradnl" w:eastAsia="es-ES_tradnl"/>
        </w:rPr>
        <w:t xml:space="preserve"> la situación de calamidad o la situación de desastre bajo los criterios señalados en el artículo 59 de la Ley 1523 de 2012, por parte de la autoridad competente, las demás entidades estatales –de conformidad con el artículo 42 de la Ley 80 de 1993– quedan facultadas para declarar, a continuación, la causal de contratación directa denominada “urgencia manifiesta”, mediante un acto administrativo propio, autónomo, que tiene como fundamento fáctico y jurídico la declaración de situación de calamidad o la situación de desastre. </w:t>
      </w:r>
    </w:p>
    <w:p w14:paraId="43411EC4" w14:textId="77777777" w:rsidR="00383144" w:rsidRPr="009E2388" w:rsidRDefault="00383144" w:rsidP="00383144">
      <w:pPr>
        <w:spacing w:after="0" w:line="240" w:lineRule="auto"/>
        <w:jc w:val="both"/>
        <w:rPr>
          <w:rFonts w:ascii="Verdana" w:eastAsia="Calibri" w:hAnsi="Verdana" w:cs="Arial"/>
          <w:bCs/>
          <w:color w:val="000000" w:themeColor="text1"/>
          <w:sz w:val="20"/>
          <w:szCs w:val="20"/>
          <w:lang w:val="es-ES_tradnl" w:eastAsia="es-ES_tradnl"/>
        </w:rPr>
      </w:pPr>
    </w:p>
    <w:p w14:paraId="34462E2E" w14:textId="77777777" w:rsidR="00383144" w:rsidRPr="009E2388" w:rsidRDefault="00383144" w:rsidP="00383144">
      <w:pPr>
        <w:spacing w:after="0" w:line="240" w:lineRule="auto"/>
        <w:jc w:val="both"/>
        <w:rPr>
          <w:rFonts w:ascii="Verdana" w:eastAsia="Calibri" w:hAnsi="Verdana" w:cs="Arial"/>
          <w:bCs/>
          <w:color w:val="000000" w:themeColor="text1"/>
          <w:sz w:val="20"/>
          <w:szCs w:val="20"/>
          <w:lang w:val="es-ES_tradnl" w:eastAsia="es-ES_tradnl"/>
        </w:rPr>
      </w:pPr>
      <w:r w:rsidRPr="009E2388">
        <w:rPr>
          <w:rFonts w:ascii="Verdana" w:eastAsia="Calibri" w:hAnsi="Verdana" w:cs="Arial"/>
          <w:bCs/>
          <w:color w:val="000000" w:themeColor="text1"/>
          <w:sz w:val="20"/>
          <w:szCs w:val="20"/>
          <w:lang w:val="es-ES_tradnl" w:eastAsia="es-ES_tradnl"/>
        </w:rPr>
        <w:t xml:space="preserve">Lo anterior significa que para contratar 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w:t>
      </w:r>
      <w:proofErr w:type="spellStart"/>
      <w:r w:rsidRPr="009E2388">
        <w:rPr>
          <w:rFonts w:ascii="Verdana" w:eastAsia="Calibri" w:hAnsi="Verdana" w:cs="Arial"/>
          <w:bCs/>
          <w:color w:val="000000" w:themeColor="text1"/>
          <w:sz w:val="20"/>
          <w:szCs w:val="20"/>
          <w:lang w:val="es-ES_tradnl" w:eastAsia="es-ES_tradnl"/>
        </w:rPr>
        <w:t>ii</w:t>
      </w:r>
      <w:proofErr w:type="spellEnd"/>
      <w:r w:rsidRPr="009E2388">
        <w:rPr>
          <w:rFonts w:ascii="Verdana" w:eastAsia="Calibri" w:hAnsi="Verdana" w:cs="Arial"/>
          <w:bCs/>
          <w:color w:val="000000" w:themeColor="text1"/>
          <w:sz w:val="20"/>
          <w:szCs w:val="20"/>
          <w:lang w:val="es-ES_tradnl" w:eastAsia="es-ES_tradnl"/>
        </w:rPr>
        <w:t>) el segundo, la declaración propiamente dicha de “urgencia manifiesta” de que trata el artículo 42 del Estatuto General de Contratación, amparado o fundamentado en la declaración previa del desastre o calamidad</w:t>
      </w:r>
      <w:r w:rsidRPr="00462654">
        <w:rPr>
          <w:rFonts w:ascii="Verdana" w:eastAsia="Calibri" w:hAnsi="Verdana" w:cs="Arial"/>
          <w:bCs/>
          <w:color w:val="000000" w:themeColor="text1"/>
          <w:sz w:val="20"/>
          <w:szCs w:val="20"/>
          <w:lang w:val="es-ES_tradnl" w:eastAsia="es-ES_tradnl"/>
        </w:rPr>
        <w:t xml:space="preserve">. </w:t>
      </w:r>
    </w:p>
    <w:p w14:paraId="0366608C" w14:textId="77777777" w:rsidR="00383144" w:rsidRPr="00462654" w:rsidRDefault="00383144" w:rsidP="00383144">
      <w:pPr>
        <w:spacing w:after="0" w:line="240" w:lineRule="auto"/>
        <w:rPr>
          <w:rFonts w:ascii="Verdana" w:eastAsia="Geomanist Light" w:hAnsi="Verdana" w:cs="Arial"/>
          <w:color w:val="000000" w:themeColor="text1"/>
          <w:sz w:val="20"/>
          <w:szCs w:val="20"/>
          <w:lang w:val="es-ES_tradnl"/>
        </w:rPr>
      </w:pPr>
    </w:p>
    <w:p w14:paraId="0992996E" w14:textId="77777777" w:rsidR="00383144" w:rsidRPr="00462654" w:rsidRDefault="00383144" w:rsidP="00383144">
      <w:pPr>
        <w:spacing w:after="0" w:line="240" w:lineRule="auto"/>
        <w:jc w:val="both"/>
        <w:rPr>
          <w:rFonts w:ascii="Verdana" w:eastAsia="Calibri" w:hAnsi="Verdana" w:cs="Arial"/>
          <w:b/>
          <w:lang w:val="es-ES_tradnl"/>
        </w:rPr>
      </w:pPr>
      <w:r>
        <w:rPr>
          <w:rFonts w:ascii="Verdana" w:eastAsia="Calibri" w:hAnsi="Verdana" w:cs="Arial"/>
          <w:b/>
          <w:lang w:val="es-ES_tradnl"/>
        </w:rPr>
        <w:t>CALAMIDAD Y DESASTRE</w:t>
      </w:r>
      <w:r w:rsidRPr="00462654">
        <w:rPr>
          <w:rFonts w:ascii="Verdana" w:eastAsia="Calibri" w:hAnsi="Verdana" w:cs="Arial"/>
          <w:b/>
          <w:lang w:val="es-ES_tradnl"/>
        </w:rPr>
        <w:t xml:space="preserve"> – </w:t>
      </w:r>
      <w:r w:rsidRPr="009E2388">
        <w:rPr>
          <w:rFonts w:ascii="Verdana" w:eastAsia="Calibri" w:hAnsi="Verdana" w:cs="Arial"/>
          <w:b/>
          <w:lang w:val="es-ES_tradnl"/>
        </w:rPr>
        <w:t>Fondo Nacional de Gestión de Riesgo</w:t>
      </w:r>
    </w:p>
    <w:p w14:paraId="5814B7C6" w14:textId="77777777" w:rsidR="00383144" w:rsidRPr="00462654" w:rsidRDefault="00383144" w:rsidP="00383144">
      <w:pPr>
        <w:spacing w:after="0" w:line="240" w:lineRule="auto"/>
        <w:jc w:val="both"/>
        <w:rPr>
          <w:rFonts w:ascii="Verdana" w:eastAsia="Calibri" w:hAnsi="Verdana" w:cs="Arial"/>
          <w:b/>
          <w:sz w:val="20"/>
          <w:szCs w:val="20"/>
          <w:lang w:val="es-ES_tradnl"/>
        </w:rPr>
      </w:pPr>
    </w:p>
    <w:p w14:paraId="2DDB0438" w14:textId="77777777" w:rsidR="00383144" w:rsidRDefault="00383144" w:rsidP="00383144">
      <w:pPr>
        <w:spacing w:after="0" w:line="240" w:lineRule="auto"/>
        <w:jc w:val="both"/>
        <w:rPr>
          <w:rFonts w:ascii="Verdana" w:eastAsia="Calibri" w:hAnsi="Verdana" w:cs="Arial"/>
          <w:bCs/>
          <w:sz w:val="20"/>
          <w:szCs w:val="20"/>
          <w:lang w:val="es-ES_tradnl"/>
        </w:rPr>
      </w:pPr>
      <w:r w:rsidRPr="009E2388">
        <w:rPr>
          <w:rFonts w:ascii="Verdana" w:eastAsia="Calibri" w:hAnsi="Verdana" w:cs="Arial"/>
          <w:bCs/>
          <w:sz w:val="20"/>
          <w:szCs w:val="20"/>
          <w:lang w:val="es-ES_tradnl"/>
        </w:rPr>
        <w:t xml:space="preserve">Si bien la necesidad de contar con los dos actos administrativos anteriormente mencionados es un principio general, para el común de las entidades estatales, es necesario considerar el matiz introducido por el artículo 66 de la Ley 1523 de 2012, hipótesis en la cual basta declarar la situación de desastre o la situación de calamidad pública para contratar con el derecho privado, y los principios de la función administrativa y de la gestión fiscal. </w:t>
      </w:r>
    </w:p>
    <w:p w14:paraId="463D914A" w14:textId="77777777" w:rsidR="00383144" w:rsidRPr="009E2388" w:rsidRDefault="00383144" w:rsidP="00383144">
      <w:pPr>
        <w:spacing w:after="0" w:line="240" w:lineRule="auto"/>
        <w:jc w:val="both"/>
        <w:rPr>
          <w:rFonts w:ascii="Verdana" w:eastAsia="Calibri" w:hAnsi="Verdana" w:cs="Arial"/>
          <w:bCs/>
          <w:sz w:val="20"/>
          <w:szCs w:val="20"/>
          <w:lang w:val="es-ES_tradnl"/>
        </w:rPr>
      </w:pPr>
    </w:p>
    <w:p w14:paraId="42FB9F85" w14:textId="77777777" w:rsidR="00383144" w:rsidRPr="009E2388" w:rsidRDefault="00383144" w:rsidP="00383144">
      <w:pPr>
        <w:spacing w:after="0" w:line="240" w:lineRule="auto"/>
        <w:jc w:val="both"/>
        <w:rPr>
          <w:rFonts w:ascii="Verdana" w:eastAsia="Calibri" w:hAnsi="Verdana" w:cs="Arial"/>
          <w:bCs/>
          <w:sz w:val="20"/>
          <w:szCs w:val="20"/>
          <w:lang w:val="es-ES_tradnl"/>
        </w:rPr>
      </w:pPr>
      <w:r w:rsidRPr="009E2388">
        <w:rPr>
          <w:rFonts w:ascii="Verdana" w:eastAsia="Calibri" w:hAnsi="Verdana" w:cs="Arial"/>
          <w:bCs/>
          <w:sz w:val="20"/>
          <w:szCs w:val="20"/>
          <w:lang w:val="es-ES_tradnl"/>
        </w:rPr>
        <w:t xml:space="preserve">La interpretación de esta norma supone tener en cuenta que, de conformidad con el artículo 47, se constituyó el Fondo Nacional de Gestión de Riesgo de Desastres como un patrimonio autónomo –artículo 49–, administrado y representado en los términos del artículo 3° del Decreto 1547 de 1984 –modificado por el artículo 70 de Decreto-ley 919 de 1989 (artículo 48)–, destinado a adoptar medidas de conocimiento y reducción del riesgo de desastres, preparación, respuesta, rehabilitación y reconstrucción, a través de mecanismos de financiación dirigidos a las entidades involucradas en los procesos y a la población afectada por la ocurrencia de desastres, cuyo régimen contractual es el de las empresas industriales y comerciales, sin perjuicio de las facultades especiales para atender situaciones de desastres y evitar la extensión de los efectos –parágrafo 3 del artículo 50–. </w:t>
      </w:r>
    </w:p>
    <w:p w14:paraId="4A2390C6" w14:textId="77777777" w:rsidR="00383144" w:rsidRPr="00AF1555" w:rsidRDefault="00383144" w:rsidP="00383144">
      <w:pPr>
        <w:spacing w:after="0" w:line="240" w:lineRule="auto"/>
        <w:rPr>
          <w:rFonts w:ascii="Verdana" w:eastAsia="Geomanist Light" w:hAnsi="Verdana" w:cs="Arial"/>
          <w:color w:val="000000" w:themeColor="text1"/>
          <w:sz w:val="20"/>
          <w:szCs w:val="20"/>
          <w:lang w:val="es-ES_tradnl"/>
        </w:rPr>
      </w:pPr>
    </w:p>
    <w:p w14:paraId="5175E581" w14:textId="77777777" w:rsidR="00383144" w:rsidRPr="00AF1555" w:rsidRDefault="00383144" w:rsidP="00383144">
      <w:pPr>
        <w:spacing w:after="0" w:line="240" w:lineRule="auto"/>
        <w:jc w:val="both"/>
        <w:rPr>
          <w:rFonts w:ascii="Verdana" w:eastAsia="Calibri" w:hAnsi="Verdana" w:cs="Arial"/>
          <w:b/>
          <w:lang w:val="es-ES"/>
        </w:rPr>
      </w:pPr>
      <w:r>
        <w:rPr>
          <w:rFonts w:ascii="Verdana" w:eastAsia="Calibri" w:hAnsi="Verdana" w:cs="Arial"/>
          <w:b/>
          <w:lang w:val="es-ES"/>
        </w:rPr>
        <w:t>ENTIDADES EXCEPTUADAS</w:t>
      </w:r>
      <w:r w:rsidRPr="00E95799">
        <w:rPr>
          <w:rFonts w:ascii="Verdana" w:eastAsia="Calibri" w:hAnsi="Verdana" w:cs="Arial"/>
          <w:b/>
          <w:lang w:val="es-ES"/>
        </w:rPr>
        <w:t xml:space="preserve"> – </w:t>
      </w:r>
      <w:r>
        <w:rPr>
          <w:rFonts w:ascii="Verdana" w:eastAsia="Calibri" w:hAnsi="Verdana" w:cs="Arial"/>
          <w:b/>
          <w:lang w:val="es-ES"/>
        </w:rPr>
        <w:t>Aplicación de normas de derecho público</w:t>
      </w:r>
    </w:p>
    <w:p w14:paraId="32F25D15" w14:textId="77777777" w:rsidR="00383144" w:rsidRPr="00AF1555" w:rsidRDefault="00383144" w:rsidP="00383144">
      <w:pPr>
        <w:spacing w:after="0" w:line="240" w:lineRule="auto"/>
        <w:jc w:val="both"/>
        <w:rPr>
          <w:rFonts w:ascii="Verdana" w:eastAsia="Calibri" w:hAnsi="Verdana" w:cs="Arial"/>
          <w:b/>
          <w:sz w:val="20"/>
          <w:szCs w:val="20"/>
          <w:lang w:val="es-ES"/>
        </w:rPr>
      </w:pPr>
    </w:p>
    <w:p w14:paraId="16E9B297" w14:textId="77777777" w:rsidR="00383144" w:rsidRDefault="00383144" w:rsidP="00383144">
      <w:pPr>
        <w:spacing w:after="0" w:line="240" w:lineRule="auto"/>
        <w:jc w:val="both"/>
        <w:rPr>
          <w:rFonts w:ascii="Verdana" w:eastAsia="Calibri" w:hAnsi="Verdana" w:cs="Arial"/>
          <w:color w:val="000000"/>
          <w:sz w:val="20"/>
          <w:szCs w:val="20"/>
          <w:lang w:val="es-ES_tradnl"/>
        </w:rPr>
      </w:pPr>
      <w:r>
        <w:rPr>
          <w:rFonts w:ascii="Verdana" w:eastAsia="Calibri" w:hAnsi="Verdana" w:cs="Arial"/>
          <w:bCs/>
          <w:sz w:val="20"/>
          <w:szCs w:val="20"/>
        </w:rPr>
        <w:t xml:space="preserve">[…] </w:t>
      </w:r>
      <w:r w:rsidRPr="00FB2E1F">
        <w:rPr>
          <w:rFonts w:ascii="Verdana" w:eastAsia="Calibri" w:hAnsi="Verdana" w:cs="Arial"/>
          <w:bCs/>
          <w:sz w:val="20"/>
          <w:szCs w:val="20"/>
        </w:rPr>
        <w:t xml:space="preserve">aunque tenga una influencia limitada, las </w:t>
      </w:r>
      <w:r w:rsidRPr="00FB2E1F">
        <w:rPr>
          <w:rFonts w:ascii="Verdana" w:eastAsia="Calibri" w:hAnsi="Verdana" w:cs="Arial"/>
          <w:bCs/>
          <w:i/>
          <w:iCs/>
          <w:sz w:val="20"/>
          <w:szCs w:val="20"/>
        </w:rPr>
        <w:t>entidades del régimen exceptuado</w:t>
      </w:r>
      <w:r w:rsidRPr="00FB2E1F">
        <w:rPr>
          <w:rFonts w:ascii="Verdana" w:eastAsia="Calibri" w:hAnsi="Verdana" w:cs="Arial"/>
          <w:bCs/>
          <w:sz w:val="20"/>
          <w:szCs w:val="20"/>
        </w:rPr>
        <w:t xml:space="preserve"> no se deslingan por completo de las normas de derecho público. Esto en la medida que el inciso primero del artículo 13 de la Ley 1150 de 2007 prescribe lo siguiente: “Las </w:t>
      </w:r>
      <w:r w:rsidRPr="00FB2E1F">
        <w:rPr>
          <w:rFonts w:ascii="Verdana" w:eastAsia="Calibri" w:hAnsi="Verdana" w:cs="Arial"/>
          <w:bCs/>
          <w:sz w:val="20"/>
          <w:szCs w:val="20"/>
        </w:rPr>
        <w:lastRenderedPageBreak/>
        <w:t>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AF1555">
        <w:rPr>
          <w:rFonts w:ascii="Verdana" w:eastAsia="Calibri" w:hAnsi="Verdana" w:cs="Arial"/>
          <w:color w:val="000000"/>
          <w:sz w:val="20"/>
          <w:szCs w:val="20"/>
          <w:lang w:val="es-ES_tradnl"/>
        </w:rPr>
        <w:t>.</w:t>
      </w:r>
    </w:p>
    <w:p w14:paraId="1E751B08" w14:textId="77777777" w:rsidR="00383144" w:rsidRPr="00396DBB" w:rsidRDefault="00383144" w:rsidP="00383144">
      <w:pPr>
        <w:spacing w:after="0" w:line="240" w:lineRule="auto"/>
        <w:jc w:val="both"/>
        <w:rPr>
          <w:rFonts w:ascii="Verdana" w:hAnsi="Verdana" w:cs="Arial"/>
          <w:color w:val="000000" w:themeColor="text1"/>
          <w:sz w:val="21"/>
          <w:szCs w:val="21"/>
          <w:lang w:val="es-ES_tradnl"/>
        </w:rPr>
      </w:pPr>
    </w:p>
    <w:p w14:paraId="0D9AC306" w14:textId="77777777" w:rsidR="00383144" w:rsidRPr="002C0402" w:rsidRDefault="00383144" w:rsidP="00383144">
      <w:pPr>
        <w:spacing w:after="0" w:line="240" w:lineRule="auto"/>
        <w:jc w:val="both"/>
        <w:textAlignment w:val="baseline"/>
        <w:rPr>
          <w:rFonts w:ascii="Verdana" w:hAnsi="Verdana" w:cs="Arial"/>
          <w:bCs/>
          <w:sz w:val="20"/>
          <w:szCs w:val="20"/>
          <w:lang w:val="es-ES_tradnl" w:eastAsia="es-CO"/>
        </w:rPr>
      </w:pPr>
      <w:r w:rsidRPr="002C0402">
        <w:rPr>
          <w:rFonts w:ascii="Verdana" w:hAnsi="Verdana" w:cs="Arial"/>
          <w:bCs/>
          <w:sz w:val="20"/>
          <w:szCs w:val="20"/>
          <w:lang w:val="es-ES_tradnl" w:eastAsia="es-CO"/>
        </w:rPr>
        <w:t xml:space="preserve">  </w:t>
      </w:r>
    </w:p>
    <w:p w14:paraId="05386ABD" w14:textId="77777777" w:rsidR="00383144" w:rsidRDefault="00383144" w:rsidP="00383144">
      <w:pPr>
        <w:spacing w:after="0" w:line="240" w:lineRule="auto"/>
        <w:rPr>
          <w:rFonts w:ascii="Verdana" w:eastAsia="Calibri" w:hAnsi="Verdana" w:cs="Arial"/>
          <w:b/>
          <w:color w:val="000000" w:themeColor="text1"/>
          <w:lang w:val="es-ES"/>
        </w:rPr>
      </w:pPr>
    </w:p>
    <w:p w14:paraId="606398EB" w14:textId="77777777" w:rsidR="00383144" w:rsidRDefault="00383144" w:rsidP="00383144">
      <w:pPr>
        <w:spacing w:after="0" w:line="240" w:lineRule="auto"/>
        <w:rPr>
          <w:rFonts w:ascii="Verdana" w:eastAsia="Calibri" w:hAnsi="Verdana" w:cs="Arial"/>
          <w:b/>
          <w:color w:val="000000" w:themeColor="text1"/>
          <w:lang w:val="es-ES"/>
        </w:rPr>
      </w:pPr>
    </w:p>
    <w:p w14:paraId="67EE5B6A" w14:textId="77777777" w:rsidR="00383144" w:rsidRDefault="00383144" w:rsidP="00383144">
      <w:pPr>
        <w:spacing w:after="0" w:line="240" w:lineRule="auto"/>
        <w:rPr>
          <w:rFonts w:ascii="Verdana" w:eastAsia="Calibri" w:hAnsi="Verdana" w:cs="Arial"/>
          <w:b/>
          <w:color w:val="000000" w:themeColor="text1"/>
          <w:lang w:val="es-ES"/>
        </w:rPr>
      </w:pPr>
    </w:p>
    <w:p w14:paraId="3E35EEDD" w14:textId="77777777" w:rsidR="00383144" w:rsidRDefault="00383144" w:rsidP="00383144">
      <w:pPr>
        <w:spacing w:after="0" w:line="240" w:lineRule="auto"/>
        <w:rPr>
          <w:rFonts w:ascii="Verdana" w:eastAsia="Calibri" w:hAnsi="Verdana" w:cs="Arial"/>
          <w:b/>
          <w:color w:val="000000" w:themeColor="text1"/>
          <w:lang w:val="es-ES"/>
        </w:rPr>
      </w:pPr>
    </w:p>
    <w:p w14:paraId="361969B4" w14:textId="77777777" w:rsidR="00383144" w:rsidRDefault="00383144" w:rsidP="00383144">
      <w:pPr>
        <w:spacing w:after="0" w:line="240" w:lineRule="auto"/>
        <w:rPr>
          <w:rFonts w:ascii="Verdana" w:eastAsia="Calibri" w:hAnsi="Verdana" w:cs="Arial"/>
          <w:b/>
          <w:color w:val="000000" w:themeColor="text1"/>
          <w:lang w:val="es-ES"/>
        </w:rPr>
      </w:pPr>
    </w:p>
    <w:p w14:paraId="07F8FAEE" w14:textId="77777777" w:rsidR="00383144" w:rsidRDefault="00383144" w:rsidP="00383144">
      <w:pPr>
        <w:spacing w:after="0" w:line="240" w:lineRule="auto"/>
        <w:rPr>
          <w:rFonts w:ascii="Verdana" w:eastAsia="Calibri" w:hAnsi="Verdana" w:cs="Arial"/>
          <w:b/>
          <w:color w:val="000000" w:themeColor="text1"/>
          <w:lang w:val="es-ES"/>
        </w:rPr>
      </w:pPr>
    </w:p>
    <w:p w14:paraId="75BF3C72" w14:textId="77777777" w:rsidR="00383144" w:rsidRDefault="00383144" w:rsidP="00383144">
      <w:pPr>
        <w:spacing w:after="0" w:line="240" w:lineRule="auto"/>
        <w:rPr>
          <w:rFonts w:ascii="Verdana" w:eastAsia="Calibri" w:hAnsi="Verdana" w:cs="Arial"/>
          <w:b/>
          <w:color w:val="000000" w:themeColor="text1"/>
          <w:lang w:val="es-ES"/>
        </w:rPr>
      </w:pPr>
    </w:p>
    <w:p w14:paraId="447EE643" w14:textId="77777777" w:rsidR="00383144" w:rsidRDefault="00383144" w:rsidP="00383144">
      <w:pPr>
        <w:spacing w:after="0" w:line="240" w:lineRule="auto"/>
        <w:rPr>
          <w:rFonts w:ascii="Verdana" w:eastAsia="Calibri" w:hAnsi="Verdana" w:cs="Arial"/>
          <w:b/>
          <w:color w:val="000000" w:themeColor="text1"/>
          <w:lang w:val="es-ES"/>
        </w:rPr>
      </w:pPr>
    </w:p>
    <w:p w14:paraId="53547420" w14:textId="77777777" w:rsidR="00383144" w:rsidRDefault="00383144" w:rsidP="00383144">
      <w:pPr>
        <w:spacing w:after="0" w:line="240" w:lineRule="auto"/>
        <w:rPr>
          <w:rFonts w:ascii="Verdana" w:eastAsia="Calibri" w:hAnsi="Verdana" w:cs="Arial"/>
          <w:b/>
          <w:color w:val="000000" w:themeColor="text1"/>
          <w:lang w:val="es-ES"/>
        </w:rPr>
      </w:pPr>
    </w:p>
    <w:p w14:paraId="69F7DD05" w14:textId="77777777" w:rsidR="00383144" w:rsidRDefault="00383144" w:rsidP="00383144">
      <w:pPr>
        <w:spacing w:after="0" w:line="240" w:lineRule="auto"/>
        <w:rPr>
          <w:rFonts w:ascii="Verdana" w:eastAsia="Calibri" w:hAnsi="Verdana" w:cs="Arial"/>
          <w:b/>
          <w:color w:val="000000" w:themeColor="text1"/>
          <w:lang w:val="es-ES"/>
        </w:rPr>
      </w:pPr>
    </w:p>
    <w:p w14:paraId="64E6EA25" w14:textId="77777777" w:rsidR="00383144" w:rsidRDefault="00383144" w:rsidP="00383144">
      <w:pPr>
        <w:spacing w:after="0" w:line="240" w:lineRule="auto"/>
        <w:rPr>
          <w:rFonts w:ascii="Verdana" w:eastAsia="Calibri" w:hAnsi="Verdana" w:cs="Arial"/>
          <w:b/>
          <w:color w:val="000000" w:themeColor="text1"/>
          <w:lang w:val="es-ES"/>
        </w:rPr>
      </w:pPr>
    </w:p>
    <w:p w14:paraId="09B18BC6" w14:textId="77777777" w:rsidR="00383144" w:rsidRDefault="00383144" w:rsidP="00383144">
      <w:pPr>
        <w:spacing w:after="0" w:line="240" w:lineRule="auto"/>
        <w:rPr>
          <w:rFonts w:ascii="Verdana" w:eastAsia="Calibri" w:hAnsi="Verdana" w:cs="Arial"/>
          <w:b/>
          <w:color w:val="000000" w:themeColor="text1"/>
          <w:lang w:val="es-ES"/>
        </w:rPr>
      </w:pPr>
    </w:p>
    <w:p w14:paraId="7B4BE7D8" w14:textId="77777777" w:rsidR="00383144" w:rsidRDefault="00383144" w:rsidP="00383144">
      <w:pPr>
        <w:spacing w:after="0" w:line="240" w:lineRule="auto"/>
        <w:rPr>
          <w:rFonts w:ascii="Verdana" w:eastAsia="Calibri" w:hAnsi="Verdana" w:cs="Arial"/>
          <w:b/>
          <w:color w:val="000000" w:themeColor="text1"/>
          <w:lang w:val="es-ES"/>
        </w:rPr>
      </w:pPr>
    </w:p>
    <w:p w14:paraId="2A0A3D29" w14:textId="77777777" w:rsidR="00383144" w:rsidRDefault="00383144" w:rsidP="00383144">
      <w:pPr>
        <w:spacing w:after="0" w:line="240" w:lineRule="auto"/>
        <w:rPr>
          <w:rFonts w:ascii="Verdana" w:eastAsia="Calibri" w:hAnsi="Verdana" w:cs="Arial"/>
          <w:b/>
          <w:color w:val="000000" w:themeColor="text1"/>
          <w:lang w:val="es-ES"/>
        </w:rPr>
      </w:pPr>
    </w:p>
    <w:p w14:paraId="65D912C0" w14:textId="77777777" w:rsidR="00383144" w:rsidRDefault="00383144" w:rsidP="00383144">
      <w:pPr>
        <w:spacing w:after="0" w:line="240" w:lineRule="auto"/>
        <w:rPr>
          <w:rFonts w:ascii="Verdana" w:eastAsia="Calibri" w:hAnsi="Verdana" w:cs="Arial"/>
          <w:b/>
          <w:color w:val="000000" w:themeColor="text1"/>
          <w:lang w:val="es-ES"/>
        </w:rPr>
      </w:pPr>
    </w:p>
    <w:p w14:paraId="170CB5DB" w14:textId="77777777" w:rsidR="00383144" w:rsidRDefault="00383144" w:rsidP="00D52CE9">
      <w:pPr>
        <w:spacing w:after="0" w:line="240" w:lineRule="auto"/>
        <w:rPr>
          <w:rFonts w:ascii="Verdana" w:eastAsia="Geomanist Light" w:hAnsi="Verdana" w:cs="Arial"/>
          <w:color w:val="000000" w:themeColor="text1"/>
          <w:lang w:val="es-ES"/>
        </w:rPr>
      </w:pPr>
    </w:p>
    <w:p w14:paraId="206B9E54" w14:textId="77777777" w:rsidR="00383144" w:rsidRDefault="00383144" w:rsidP="00D52CE9">
      <w:pPr>
        <w:spacing w:after="0" w:line="240" w:lineRule="auto"/>
        <w:rPr>
          <w:rFonts w:ascii="Verdana" w:eastAsia="Geomanist Light" w:hAnsi="Verdana" w:cs="Arial"/>
          <w:color w:val="000000" w:themeColor="text1"/>
          <w:lang w:val="es-ES"/>
        </w:rPr>
      </w:pPr>
    </w:p>
    <w:p w14:paraId="03093F26" w14:textId="77777777" w:rsidR="00383144" w:rsidRDefault="00383144" w:rsidP="00D52CE9">
      <w:pPr>
        <w:spacing w:after="0" w:line="240" w:lineRule="auto"/>
        <w:rPr>
          <w:rFonts w:ascii="Verdana" w:eastAsia="Geomanist Light" w:hAnsi="Verdana" w:cs="Arial"/>
          <w:color w:val="000000" w:themeColor="text1"/>
          <w:lang w:val="es-ES"/>
        </w:rPr>
      </w:pPr>
    </w:p>
    <w:p w14:paraId="64446FEA" w14:textId="77777777" w:rsidR="00383144" w:rsidRDefault="00383144" w:rsidP="00D52CE9">
      <w:pPr>
        <w:spacing w:after="0" w:line="240" w:lineRule="auto"/>
        <w:rPr>
          <w:rFonts w:ascii="Verdana" w:eastAsia="Geomanist Light" w:hAnsi="Verdana" w:cs="Arial"/>
          <w:color w:val="000000" w:themeColor="text1"/>
          <w:lang w:val="es-ES"/>
        </w:rPr>
      </w:pPr>
    </w:p>
    <w:p w14:paraId="29419C88" w14:textId="77777777" w:rsidR="00383144" w:rsidRDefault="00383144" w:rsidP="00D52CE9">
      <w:pPr>
        <w:spacing w:after="0" w:line="240" w:lineRule="auto"/>
        <w:rPr>
          <w:rFonts w:ascii="Verdana" w:eastAsia="Geomanist Light" w:hAnsi="Verdana" w:cs="Arial"/>
          <w:color w:val="000000" w:themeColor="text1"/>
          <w:lang w:val="es-ES"/>
        </w:rPr>
      </w:pPr>
    </w:p>
    <w:p w14:paraId="1AD42D81" w14:textId="77777777" w:rsidR="00383144" w:rsidRDefault="00383144" w:rsidP="00D52CE9">
      <w:pPr>
        <w:spacing w:after="0" w:line="240" w:lineRule="auto"/>
        <w:rPr>
          <w:rFonts w:ascii="Verdana" w:eastAsia="Geomanist Light" w:hAnsi="Verdana" w:cs="Arial"/>
          <w:color w:val="000000" w:themeColor="text1"/>
          <w:lang w:val="es-ES"/>
        </w:rPr>
      </w:pPr>
    </w:p>
    <w:p w14:paraId="02BC95C0" w14:textId="77777777" w:rsidR="00383144" w:rsidRDefault="00383144" w:rsidP="00D52CE9">
      <w:pPr>
        <w:spacing w:after="0" w:line="240" w:lineRule="auto"/>
        <w:rPr>
          <w:rFonts w:ascii="Verdana" w:eastAsia="Geomanist Light" w:hAnsi="Verdana" w:cs="Arial"/>
          <w:color w:val="000000" w:themeColor="text1"/>
          <w:lang w:val="es-ES"/>
        </w:rPr>
      </w:pPr>
    </w:p>
    <w:p w14:paraId="2DF1C071" w14:textId="77777777" w:rsidR="00383144" w:rsidRDefault="00383144" w:rsidP="00D52CE9">
      <w:pPr>
        <w:spacing w:after="0" w:line="240" w:lineRule="auto"/>
        <w:rPr>
          <w:rFonts w:ascii="Verdana" w:eastAsia="Geomanist Light" w:hAnsi="Verdana" w:cs="Arial"/>
          <w:color w:val="000000" w:themeColor="text1"/>
          <w:lang w:val="es-ES"/>
        </w:rPr>
      </w:pPr>
    </w:p>
    <w:p w14:paraId="2CA836DE" w14:textId="77777777" w:rsidR="00383144" w:rsidRDefault="00383144" w:rsidP="00D52CE9">
      <w:pPr>
        <w:spacing w:after="0" w:line="240" w:lineRule="auto"/>
        <w:rPr>
          <w:rFonts w:ascii="Verdana" w:eastAsia="Geomanist Light" w:hAnsi="Verdana" w:cs="Arial"/>
          <w:color w:val="000000" w:themeColor="text1"/>
          <w:lang w:val="es-ES"/>
        </w:rPr>
      </w:pPr>
    </w:p>
    <w:p w14:paraId="58E98B42" w14:textId="77777777" w:rsidR="00383144" w:rsidRDefault="00383144" w:rsidP="00D52CE9">
      <w:pPr>
        <w:spacing w:after="0" w:line="240" w:lineRule="auto"/>
        <w:rPr>
          <w:rFonts w:ascii="Verdana" w:eastAsia="Geomanist Light" w:hAnsi="Verdana" w:cs="Arial"/>
          <w:color w:val="000000" w:themeColor="text1"/>
          <w:lang w:val="es-ES"/>
        </w:rPr>
      </w:pPr>
    </w:p>
    <w:p w14:paraId="4651035E" w14:textId="77777777" w:rsidR="00383144" w:rsidRDefault="00383144" w:rsidP="00D52CE9">
      <w:pPr>
        <w:spacing w:after="0" w:line="240" w:lineRule="auto"/>
        <w:rPr>
          <w:rFonts w:ascii="Verdana" w:eastAsia="Geomanist Light" w:hAnsi="Verdana" w:cs="Arial"/>
          <w:color w:val="000000" w:themeColor="text1"/>
          <w:lang w:val="es-ES"/>
        </w:rPr>
      </w:pPr>
    </w:p>
    <w:p w14:paraId="36B7D907" w14:textId="77777777" w:rsidR="00383144" w:rsidRDefault="00383144" w:rsidP="00D52CE9">
      <w:pPr>
        <w:spacing w:after="0" w:line="240" w:lineRule="auto"/>
        <w:rPr>
          <w:rFonts w:ascii="Verdana" w:eastAsia="Geomanist Light" w:hAnsi="Verdana" w:cs="Arial"/>
          <w:color w:val="000000" w:themeColor="text1"/>
          <w:lang w:val="es-ES"/>
        </w:rPr>
      </w:pPr>
    </w:p>
    <w:p w14:paraId="19392080" w14:textId="77777777" w:rsidR="00383144" w:rsidRDefault="00383144" w:rsidP="00D52CE9">
      <w:pPr>
        <w:spacing w:after="0" w:line="240" w:lineRule="auto"/>
        <w:rPr>
          <w:rFonts w:ascii="Verdana" w:eastAsia="Geomanist Light" w:hAnsi="Verdana" w:cs="Arial"/>
          <w:color w:val="000000" w:themeColor="text1"/>
          <w:lang w:val="es-ES"/>
        </w:rPr>
      </w:pPr>
    </w:p>
    <w:p w14:paraId="0AFAAD41" w14:textId="77777777" w:rsidR="00383144" w:rsidRDefault="00383144" w:rsidP="00D52CE9">
      <w:pPr>
        <w:spacing w:after="0" w:line="240" w:lineRule="auto"/>
        <w:rPr>
          <w:rFonts w:ascii="Verdana" w:eastAsia="Geomanist Light" w:hAnsi="Verdana" w:cs="Arial"/>
          <w:color w:val="000000" w:themeColor="text1"/>
          <w:lang w:val="es-ES"/>
        </w:rPr>
      </w:pPr>
    </w:p>
    <w:p w14:paraId="0D064952" w14:textId="77777777" w:rsidR="00383144" w:rsidRDefault="00383144" w:rsidP="00D52CE9">
      <w:pPr>
        <w:spacing w:after="0" w:line="240" w:lineRule="auto"/>
        <w:rPr>
          <w:rFonts w:ascii="Verdana" w:eastAsia="Geomanist Light" w:hAnsi="Verdana" w:cs="Arial"/>
          <w:color w:val="000000" w:themeColor="text1"/>
          <w:lang w:val="es-ES"/>
        </w:rPr>
      </w:pPr>
    </w:p>
    <w:p w14:paraId="7E5C330F" w14:textId="77777777" w:rsidR="00383144" w:rsidRPr="00383144" w:rsidRDefault="00383144" w:rsidP="00D52CE9">
      <w:pPr>
        <w:spacing w:after="0" w:line="240" w:lineRule="auto"/>
        <w:rPr>
          <w:rFonts w:ascii="Verdana" w:eastAsia="Geomanist Light" w:hAnsi="Verdana" w:cs="Arial"/>
          <w:color w:val="000000" w:themeColor="text1"/>
          <w:lang w:val="es-ES"/>
        </w:rPr>
      </w:pPr>
    </w:p>
    <w:p w14:paraId="43356A54" w14:textId="77777777" w:rsidR="00383144" w:rsidRDefault="00383144" w:rsidP="00D52CE9">
      <w:pPr>
        <w:spacing w:after="0" w:line="240" w:lineRule="auto"/>
        <w:rPr>
          <w:rFonts w:ascii="Verdana" w:eastAsia="Geomanist Light" w:hAnsi="Verdana" w:cs="Arial"/>
          <w:color w:val="000000" w:themeColor="text1"/>
          <w:lang w:val="es-MX"/>
        </w:rPr>
      </w:pPr>
    </w:p>
    <w:p w14:paraId="034D08B1" w14:textId="77777777" w:rsidR="00383144" w:rsidRDefault="00383144" w:rsidP="00D52CE9">
      <w:pPr>
        <w:spacing w:after="0" w:line="240" w:lineRule="auto"/>
        <w:rPr>
          <w:rFonts w:ascii="Verdana" w:eastAsia="Geomanist Light" w:hAnsi="Verdana" w:cs="Arial"/>
          <w:color w:val="000000" w:themeColor="text1"/>
          <w:lang w:val="es-MX"/>
        </w:rPr>
      </w:pPr>
    </w:p>
    <w:p w14:paraId="1316847E" w14:textId="733CEC95" w:rsidR="00D52CE9" w:rsidRPr="00593A5F" w:rsidRDefault="00D52CE9" w:rsidP="00D52CE9">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163D7F" w:rsidRPr="00163D7F">
        <w:rPr>
          <w:rFonts w:ascii="Verdana" w:eastAsia="Geomanist Light" w:hAnsi="Verdana" w:cs="Arial"/>
          <w:color w:val="000000" w:themeColor="text1"/>
          <w:lang w:val="es-MX"/>
        </w:rPr>
        <w:t>28 de Mayo de 2026</w:t>
      </w:r>
    </w:p>
    <w:p w14:paraId="61E59AA1" w14:textId="529C7B1A" w:rsidR="00D52CE9" w:rsidRDefault="00D52CE9" w:rsidP="00D52CE9">
      <w:pPr>
        <w:spacing w:after="0" w:line="240" w:lineRule="auto"/>
        <w:jc w:val="both"/>
        <w:rPr>
          <w:rFonts w:ascii="Verdana" w:eastAsia="Calibri" w:hAnsi="Verdana" w:cs="Arial"/>
          <w:color w:val="000000"/>
          <w:lang w:val="es-ES"/>
        </w:rPr>
      </w:pPr>
    </w:p>
    <w:p w14:paraId="406A0FEB" w14:textId="46766832" w:rsidR="00D52CE9" w:rsidRDefault="00D52CE9" w:rsidP="00163D7F">
      <w:pPr>
        <w:spacing w:after="0" w:line="240" w:lineRule="auto"/>
        <w:jc w:val="right"/>
        <w:rPr>
          <w:rFonts w:ascii="Verdana" w:eastAsia="Calibri" w:hAnsi="Verdana" w:cs="Arial"/>
          <w:color w:val="000000"/>
          <w:lang w:val="es-ES"/>
        </w:rPr>
      </w:pPr>
    </w:p>
    <w:p w14:paraId="55B905DE" w14:textId="582B84E9" w:rsidR="00163D7F" w:rsidRPr="00593A5F" w:rsidRDefault="00C94FD8" w:rsidP="00D52CE9">
      <w:pPr>
        <w:spacing w:after="0" w:line="240" w:lineRule="auto"/>
        <w:jc w:val="both"/>
        <w:rPr>
          <w:rFonts w:ascii="Verdana" w:eastAsia="Calibri" w:hAnsi="Verdana" w:cs="Arial"/>
          <w:color w:val="000000"/>
          <w:lang w:val="es-ES"/>
        </w:rPr>
      </w:pPr>
      <w:r w:rsidRPr="00163D7F">
        <w:rPr>
          <w:rFonts w:ascii="Verdana" w:eastAsia="Calibri" w:hAnsi="Verdana" w:cs="Arial"/>
          <w:noProof/>
          <w:color w:val="000000"/>
          <w:lang w:val="es-ES"/>
        </w:rPr>
        <w:drawing>
          <wp:anchor distT="0" distB="0" distL="114300" distR="114300" simplePos="0" relativeHeight="251658240" behindDoc="0" locked="0" layoutInCell="1" allowOverlap="1" wp14:anchorId="17A29337" wp14:editId="017B162D">
            <wp:simplePos x="0" y="0"/>
            <wp:positionH relativeFrom="margin">
              <wp:align>right</wp:align>
            </wp:positionH>
            <wp:positionV relativeFrom="paragraph">
              <wp:posOffset>8890</wp:posOffset>
            </wp:positionV>
            <wp:extent cx="2487295" cy="763270"/>
            <wp:effectExtent l="0" t="0" r="8255" b="0"/>
            <wp:wrapSquare wrapText="bothSides"/>
            <wp:docPr id="444158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15868" name=""/>
                    <pic:cNvPicPr/>
                  </pic:nvPicPr>
                  <pic:blipFill>
                    <a:blip r:embed="rId10">
                      <a:extLst>
                        <a:ext uri="{28A0092B-C50C-407E-A947-70E740481C1C}">
                          <a14:useLocalDpi xmlns:a14="http://schemas.microsoft.com/office/drawing/2010/main" val="0"/>
                        </a:ext>
                      </a:extLst>
                    </a:blip>
                    <a:stretch>
                      <a:fillRect/>
                    </a:stretch>
                  </pic:blipFill>
                  <pic:spPr>
                    <a:xfrm>
                      <a:off x="0" y="0"/>
                      <a:ext cx="2487295" cy="763270"/>
                    </a:xfrm>
                    <a:prstGeom prst="rect">
                      <a:avLst/>
                    </a:prstGeom>
                  </pic:spPr>
                </pic:pic>
              </a:graphicData>
            </a:graphic>
            <wp14:sizeRelH relativeFrom="margin">
              <wp14:pctWidth>0</wp14:pctWidth>
            </wp14:sizeRelH>
            <wp14:sizeRelV relativeFrom="margin">
              <wp14:pctHeight>0</wp14:pctHeight>
            </wp14:sizeRelV>
          </wp:anchor>
        </w:drawing>
      </w:r>
    </w:p>
    <w:p w14:paraId="3FF186C2" w14:textId="77777777" w:rsidR="00D52CE9" w:rsidRPr="00B96799" w:rsidRDefault="00D52CE9" w:rsidP="00D52CE9">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2FCB98E5" w14:textId="77777777" w:rsidR="00D52CE9" w:rsidRDefault="00D52CE9" w:rsidP="00D52CE9">
      <w:pPr>
        <w:spacing w:after="0" w:line="240" w:lineRule="auto"/>
        <w:rPr>
          <w:rFonts w:ascii="Verdana" w:eastAsia="Calibri" w:hAnsi="Verdana" w:cs="Arial"/>
          <w:b/>
          <w:lang w:val="es-ES_tradnl" w:eastAsia="es-ES_tradnl"/>
        </w:rPr>
      </w:pPr>
      <w:r w:rsidRPr="0000200E">
        <w:rPr>
          <w:rFonts w:ascii="Verdana" w:eastAsia="Calibri" w:hAnsi="Verdana" w:cs="Arial"/>
          <w:b/>
          <w:lang w:val="es-ES_tradnl" w:eastAsia="es-ES_tradnl"/>
        </w:rPr>
        <w:t>Jorge Caicedo Medina</w:t>
      </w:r>
      <w:r w:rsidRPr="008777D5">
        <w:rPr>
          <w:rFonts w:ascii="Verdana" w:eastAsia="Calibri" w:hAnsi="Verdana" w:cs="Arial"/>
          <w:b/>
          <w:lang w:val="es-ES_tradnl" w:eastAsia="es-ES_tradnl"/>
        </w:rPr>
        <w:t xml:space="preserve"> </w:t>
      </w:r>
    </w:p>
    <w:p w14:paraId="30B5498E" w14:textId="77777777" w:rsidR="00D52CE9" w:rsidRPr="0000200E" w:rsidRDefault="00D52CE9" w:rsidP="00D52CE9">
      <w:pPr>
        <w:spacing w:after="0" w:line="240" w:lineRule="auto"/>
        <w:rPr>
          <w:rFonts w:ascii="Verdana" w:hAnsi="Verdana"/>
        </w:rPr>
      </w:pPr>
      <w:hyperlink r:id="rId11" w:history="1">
        <w:r w:rsidRPr="0000200E">
          <w:rPr>
            <w:rStyle w:val="Hipervnculo"/>
            <w:rFonts w:ascii="Verdana" w:hAnsi="Verdana"/>
          </w:rPr>
          <w:t>caicedomedinajorge@gmail.com</w:t>
        </w:r>
      </w:hyperlink>
    </w:p>
    <w:p w14:paraId="35D3A78D" w14:textId="77777777" w:rsidR="00D52CE9" w:rsidRDefault="00D52CE9" w:rsidP="00D52CE9">
      <w:pPr>
        <w:spacing w:after="0" w:line="240" w:lineRule="auto"/>
        <w:rPr>
          <w:rFonts w:ascii="Verdana" w:eastAsia="Calibri" w:hAnsi="Verdana" w:cs="Arial"/>
          <w:lang w:val="es-ES" w:eastAsia="es-ES"/>
        </w:rPr>
      </w:pPr>
      <w:r w:rsidRPr="0000200E">
        <w:rPr>
          <w:rFonts w:ascii="Verdana" w:eastAsia="Calibri" w:hAnsi="Verdana" w:cs="Arial"/>
          <w:lang w:val="es-ES" w:eastAsia="es-ES"/>
        </w:rPr>
        <w:t>Bogotá D.C.</w:t>
      </w:r>
      <w:r>
        <w:rPr>
          <w:rFonts w:ascii="Verdana" w:eastAsia="Calibri" w:hAnsi="Verdana" w:cs="Arial"/>
          <w:lang w:val="es-ES" w:eastAsia="es-ES"/>
        </w:rPr>
        <w:t xml:space="preserve"> </w:t>
      </w:r>
    </w:p>
    <w:p w14:paraId="13CF9355" w14:textId="77777777" w:rsidR="00D52CE9" w:rsidRPr="00593A5F" w:rsidRDefault="00D52CE9" w:rsidP="00D52CE9">
      <w:pPr>
        <w:spacing w:after="0" w:line="240" w:lineRule="auto"/>
        <w:rPr>
          <w:rFonts w:ascii="Verdana" w:eastAsia="Calibri" w:hAnsi="Verdana" w:cs="Arial"/>
          <w:b/>
          <w:bCs/>
          <w:color w:val="000000"/>
          <w:lang w:val="es-ES_tradnl" w:eastAsia="es-ES_tradnl"/>
        </w:rPr>
      </w:pPr>
    </w:p>
    <w:p w14:paraId="1D53E5D1" w14:textId="77777777" w:rsidR="00D52CE9" w:rsidRPr="00593A5F" w:rsidRDefault="00D52CE9" w:rsidP="00D52CE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52CE9" w:rsidRPr="00593A5F" w14:paraId="2998FF83" w14:textId="77777777" w:rsidTr="00D8359A">
        <w:trPr>
          <w:trHeight w:val="884"/>
        </w:trPr>
        <w:tc>
          <w:tcPr>
            <w:tcW w:w="2689" w:type="dxa"/>
          </w:tcPr>
          <w:p w14:paraId="36A456C5" w14:textId="77777777" w:rsidR="00D52CE9" w:rsidRPr="00C00976" w:rsidRDefault="00D52CE9" w:rsidP="00D8359A">
            <w:pPr>
              <w:jc w:val="both"/>
              <w:rPr>
                <w:rFonts w:ascii="Verdana" w:eastAsia="Calibri" w:hAnsi="Verdana" w:cs="Arial"/>
                <w:b/>
                <w:bCs/>
                <w:color w:val="7030A0"/>
                <w:lang w:val="es-ES_tradnl" w:eastAsia="es-ES_tradnl"/>
              </w:rPr>
            </w:pPr>
          </w:p>
        </w:tc>
        <w:tc>
          <w:tcPr>
            <w:tcW w:w="6100" w:type="dxa"/>
          </w:tcPr>
          <w:p w14:paraId="59A1A738" w14:textId="77777777" w:rsidR="00D52CE9" w:rsidRPr="00C00976" w:rsidRDefault="00D52CE9" w:rsidP="00D8359A">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758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D52CE9" w:rsidRPr="00593A5F" w14:paraId="789A2AE6" w14:textId="77777777" w:rsidTr="00D8359A">
        <w:trPr>
          <w:trHeight w:val="884"/>
        </w:trPr>
        <w:tc>
          <w:tcPr>
            <w:tcW w:w="2689" w:type="dxa"/>
          </w:tcPr>
          <w:p w14:paraId="6D8F1B34" w14:textId="77777777" w:rsidR="00D52CE9" w:rsidRPr="00593A5F" w:rsidRDefault="00D52CE9" w:rsidP="00D8359A">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6139932" w14:textId="77777777" w:rsidR="00D52CE9" w:rsidRPr="00A11406" w:rsidRDefault="00D52CE9" w:rsidP="00D8359A">
            <w:pPr>
              <w:spacing w:line="276" w:lineRule="auto"/>
              <w:jc w:val="both"/>
              <w:rPr>
                <w:rFonts w:ascii="Verdana" w:eastAsia="Calibri" w:hAnsi="Verdana" w:cs="Arial"/>
                <w:lang w:val="es-ES" w:eastAsia="es-ES"/>
              </w:rPr>
            </w:pPr>
            <w:r w:rsidRPr="00081F6A">
              <w:rPr>
                <w:rFonts w:ascii="Verdana" w:eastAsia="Calibri" w:hAnsi="Verdana" w:cs="Arial"/>
                <w:lang w:val="es-ES" w:eastAsia="es-ES"/>
              </w:rPr>
              <w:t>URGENCIA MANIFIESTA – Situación de calamidad o desastre</w:t>
            </w:r>
            <w:r>
              <w:rPr>
                <w:rFonts w:ascii="Verdana" w:eastAsia="Calibri" w:hAnsi="Verdana" w:cs="Arial"/>
                <w:lang w:val="es-ES" w:eastAsia="es-ES"/>
              </w:rPr>
              <w:t xml:space="preserve"> / </w:t>
            </w:r>
            <w:r w:rsidRPr="00081F6A">
              <w:rPr>
                <w:rFonts w:ascii="Verdana" w:eastAsia="Calibri" w:hAnsi="Verdana" w:cs="Arial"/>
                <w:lang w:val="es-ES" w:eastAsia="es-ES"/>
              </w:rPr>
              <w:t>CALAMIDAD Y DESASTRE – Fondo Nacional de Gestión de Riesgo</w:t>
            </w:r>
            <w:r>
              <w:rPr>
                <w:rFonts w:ascii="Verdana" w:eastAsia="Calibri" w:hAnsi="Verdana" w:cs="Arial"/>
                <w:lang w:val="es-ES" w:eastAsia="es-ES"/>
              </w:rPr>
              <w:t xml:space="preserve"> / </w:t>
            </w:r>
            <w:r w:rsidRPr="00081F6A">
              <w:rPr>
                <w:rFonts w:ascii="Verdana" w:eastAsia="Calibri" w:hAnsi="Verdana" w:cs="Arial"/>
                <w:lang w:val="es-ES" w:eastAsia="es-ES"/>
              </w:rPr>
              <w:t xml:space="preserve">ENTIDADES EXCEPTUADAS – Aplicación de normas de derecho público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58E8DE04" w14:textId="77777777" w:rsidR="00D52CE9" w:rsidRPr="00593A5F" w:rsidRDefault="00D52CE9" w:rsidP="00D8359A">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52CE9" w:rsidRPr="008E6AD9" w14:paraId="78D3D195" w14:textId="77777777" w:rsidTr="00D8359A">
        <w:tc>
          <w:tcPr>
            <w:tcW w:w="2689" w:type="dxa"/>
          </w:tcPr>
          <w:p w14:paraId="4D6CA587" w14:textId="77777777" w:rsidR="00D52CE9" w:rsidRPr="008E6AD9" w:rsidRDefault="00D52CE9" w:rsidP="00D8359A">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C16FC24" w14:textId="77777777" w:rsidR="00D52CE9" w:rsidRPr="00B92340" w:rsidRDefault="00D52CE9" w:rsidP="00D8359A">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BD6E56">
              <w:rPr>
                <w:rFonts w:ascii="Verdana" w:eastAsia="Calibri" w:hAnsi="Verdana" w:cs="Arial"/>
                <w:lang w:val="es-ES_tradnl" w:eastAsia="es-ES_tradnl"/>
              </w:rPr>
              <w:t>1_2026_05_06_006129</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711C3F88" w14:textId="77777777" w:rsidR="00D52CE9" w:rsidRPr="00593A5F" w:rsidRDefault="00D52CE9" w:rsidP="00D52CE9">
      <w:pPr>
        <w:spacing w:after="0" w:line="240" w:lineRule="auto"/>
        <w:jc w:val="both"/>
        <w:rPr>
          <w:rFonts w:ascii="Verdana" w:eastAsia="Calibri" w:hAnsi="Verdana" w:cs="Arial"/>
          <w:color w:val="000000"/>
          <w:lang w:val="es-ES_tradnl" w:eastAsia="es-ES_tradnl"/>
        </w:rPr>
      </w:pPr>
    </w:p>
    <w:p w14:paraId="63BE2EBA" w14:textId="77777777" w:rsidR="00D52CE9" w:rsidRPr="00593A5F" w:rsidRDefault="00D52CE9" w:rsidP="00D52CE9">
      <w:pPr>
        <w:spacing w:after="0" w:line="240" w:lineRule="auto"/>
        <w:jc w:val="both"/>
        <w:rPr>
          <w:rFonts w:ascii="Verdana" w:eastAsia="Calibri" w:hAnsi="Verdana" w:cs="Arial"/>
          <w:color w:val="000000"/>
          <w:lang w:val="es-ES_tradnl" w:eastAsia="es-ES_tradnl"/>
        </w:rPr>
      </w:pPr>
    </w:p>
    <w:p w14:paraId="12138C2F" w14:textId="77777777" w:rsidR="00D52CE9" w:rsidRPr="008E6AD9" w:rsidRDefault="00D52CE9" w:rsidP="00D52CE9">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00200E">
        <w:rPr>
          <w:rFonts w:ascii="Verdana" w:eastAsia="Calibri" w:hAnsi="Verdana" w:cs="Arial"/>
          <w:lang w:val="es-ES" w:eastAsia="es-ES"/>
        </w:rPr>
        <w:t>Caicedo Medina</w:t>
      </w:r>
      <w:r w:rsidRPr="008E6AD9">
        <w:rPr>
          <w:rFonts w:ascii="Verdana" w:eastAsia="Calibri" w:hAnsi="Verdana" w:cs="Arial"/>
          <w:lang w:val="es-ES" w:eastAsia="es-ES"/>
        </w:rPr>
        <w:t xml:space="preserve">: </w:t>
      </w:r>
    </w:p>
    <w:p w14:paraId="12F5AF29" w14:textId="77777777" w:rsidR="00D52CE9" w:rsidRDefault="00D52CE9" w:rsidP="00D52CE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64D6154" w14:textId="77777777" w:rsidR="00D52CE9" w:rsidRPr="00593A5F" w:rsidRDefault="00D52CE9" w:rsidP="00D52CE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6 de mayo de 2026, donde manifiesta lo siguiente</w:t>
      </w:r>
      <w:r w:rsidRPr="008E6AD9">
        <w:rPr>
          <w:rFonts w:ascii="Verdana" w:eastAsia="Calibri" w:hAnsi="Verdana" w:cs="Arial"/>
          <w:lang w:val="es-ES" w:eastAsia="es-ES"/>
        </w:rPr>
        <w:t xml:space="preserve">: </w:t>
      </w:r>
    </w:p>
    <w:p w14:paraId="119BBE84" w14:textId="77777777" w:rsidR="00D52CE9" w:rsidRPr="00272A7B" w:rsidRDefault="00D52CE9" w:rsidP="00D52CE9">
      <w:pPr>
        <w:pStyle w:val="Prrafodelista"/>
        <w:tabs>
          <w:tab w:val="left" w:pos="142"/>
          <w:tab w:val="left" w:pos="284"/>
        </w:tabs>
        <w:spacing w:after="0" w:line="276" w:lineRule="auto"/>
        <w:ind w:left="0"/>
        <w:jc w:val="both"/>
        <w:rPr>
          <w:rFonts w:ascii="Verdana" w:eastAsia="Century Gothic" w:hAnsi="Verdana" w:cs="Century Gothic"/>
          <w:b/>
          <w:bCs/>
        </w:rPr>
      </w:pPr>
    </w:p>
    <w:p w14:paraId="1EE8901E" w14:textId="77777777" w:rsidR="00D52CE9" w:rsidRPr="0000200E" w:rsidRDefault="00D52CE9" w:rsidP="00D52CE9">
      <w:pPr>
        <w:spacing w:after="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00200E">
        <w:rPr>
          <w:rFonts w:ascii="Verdana" w:eastAsia="Century Gothic" w:hAnsi="Verdana" w:cs="Century Gothic"/>
          <w:sz w:val="20"/>
          <w:szCs w:val="20"/>
          <w:lang w:val="es-ES"/>
        </w:rPr>
        <w:t>La presente solicitud se formula en el marco de una investigación académica orientada a la construcción de criterios jurídicos de interpretación restrictiva del régimen excepcional de contratación en escenarios de desastre, con el propósito de evitar su aplicación extensiva o desviada</w:t>
      </w:r>
      <w:r>
        <w:rPr>
          <w:rFonts w:ascii="Verdana" w:eastAsia="Century Gothic" w:hAnsi="Verdana" w:cs="Century Gothic"/>
          <w:sz w:val="20"/>
          <w:szCs w:val="20"/>
          <w:lang w:val="es-ES"/>
        </w:rPr>
        <w:t xml:space="preserve"> […]</w:t>
      </w:r>
      <w:r w:rsidRPr="0000200E">
        <w:rPr>
          <w:rFonts w:ascii="Verdana" w:eastAsia="Century Gothic" w:hAnsi="Verdana" w:cs="Century Gothic"/>
          <w:sz w:val="20"/>
          <w:szCs w:val="20"/>
          <w:lang w:val="es-ES"/>
        </w:rPr>
        <w:t xml:space="preserve">. </w:t>
      </w:r>
    </w:p>
    <w:p w14:paraId="5AED9149" w14:textId="77777777" w:rsidR="00D52CE9" w:rsidRPr="0000200E" w:rsidRDefault="00D52CE9" w:rsidP="00D52CE9">
      <w:pPr>
        <w:spacing w:after="120" w:line="240" w:lineRule="auto"/>
        <w:ind w:left="709" w:right="709"/>
        <w:jc w:val="both"/>
        <w:rPr>
          <w:rFonts w:ascii="Verdana" w:eastAsia="Century Gothic" w:hAnsi="Verdana" w:cs="Century Gothic"/>
          <w:sz w:val="20"/>
          <w:szCs w:val="20"/>
          <w:lang w:val="es-ES"/>
        </w:rPr>
      </w:pPr>
      <w:r w:rsidRPr="0000200E">
        <w:rPr>
          <w:rFonts w:ascii="Verdana" w:eastAsia="Century Gothic" w:hAnsi="Verdana" w:cs="Century Gothic"/>
          <w:sz w:val="20"/>
          <w:szCs w:val="20"/>
          <w:lang w:val="es-ES"/>
        </w:rPr>
        <w:t>[…]</w:t>
      </w:r>
    </w:p>
    <w:p w14:paraId="66EB74CF" w14:textId="77777777" w:rsidR="00D52CE9" w:rsidRPr="0000200E" w:rsidRDefault="00D52CE9" w:rsidP="00D52CE9">
      <w:pPr>
        <w:spacing w:after="120" w:line="240" w:lineRule="auto"/>
        <w:ind w:left="709" w:right="709"/>
        <w:jc w:val="both"/>
        <w:rPr>
          <w:rFonts w:ascii="Verdana" w:eastAsia="Century Gothic" w:hAnsi="Verdana" w:cs="Century Gothic"/>
          <w:sz w:val="20"/>
          <w:szCs w:val="20"/>
          <w:lang w:val="es-ES"/>
        </w:rPr>
      </w:pPr>
      <w:r w:rsidRPr="0000200E">
        <w:rPr>
          <w:rFonts w:ascii="Verdana" w:eastAsia="Century Gothic" w:hAnsi="Verdana" w:cs="Century Gothic"/>
          <w:sz w:val="20"/>
          <w:szCs w:val="20"/>
          <w:lang w:val="es-ES"/>
        </w:rPr>
        <w:t>1. Se solicita que el concepto se estructure atendiendo de manera expresa, separada y verificable cada uno de los siguientes ejes problemáticos, indicando para cada uno: (i) fundamento normativo específico, (</w:t>
      </w:r>
      <w:proofErr w:type="spellStart"/>
      <w:r w:rsidRPr="0000200E">
        <w:rPr>
          <w:rFonts w:ascii="Verdana" w:eastAsia="Century Gothic" w:hAnsi="Verdana" w:cs="Century Gothic"/>
          <w:sz w:val="20"/>
          <w:szCs w:val="20"/>
          <w:lang w:val="es-ES"/>
        </w:rPr>
        <w:t>ii</w:t>
      </w:r>
      <w:proofErr w:type="spellEnd"/>
      <w:r w:rsidRPr="0000200E">
        <w:rPr>
          <w:rFonts w:ascii="Verdana" w:eastAsia="Century Gothic" w:hAnsi="Verdana" w:cs="Century Gothic"/>
          <w:sz w:val="20"/>
          <w:szCs w:val="20"/>
          <w:lang w:val="es-ES"/>
        </w:rPr>
        <w:t xml:space="preserve">) soporte en líneas jurisprudenciales de la Corte Constitucional y del Consejo de </w:t>
      </w:r>
      <w:r w:rsidRPr="0000200E">
        <w:rPr>
          <w:rFonts w:ascii="Verdana" w:eastAsia="Century Gothic" w:hAnsi="Verdana" w:cs="Century Gothic"/>
          <w:sz w:val="20"/>
          <w:szCs w:val="20"/>
          <w:lang w:val="es-ES"/>
        </w:rPr>
        <w:lastRenderedPageBreak/>
        <w:t xml:space="preserve">Estado, con identificación de </w:t>
      </w:r>
      <w:r w:rsidRPr="0000200E">
        <w:rPr>
          <w:rFonts w:ascii="Verdana" w:eastAsia="Century Gothic" w:hAnsi="Verdana" w:cs="Century Gothic"/>
          <w:i/>
          <w:iCs/>
          <w:sz w:val="20"/>
          <w:szCs w:val="20"/>
          <w:lang w:val="es-ES"/>
        </w:rPr>
        <w:t xml:space="preserve">ratio </w:t>
      </w:r>
      <w:proofErr w:type="spellStart"/>
      <w:r w:rsidRPr="0000200E">
        <w:rPr>
          <w:rFonts w:ascii="Verdana" w:eastAsia="Century Gothic" w:hAnsi="Verdana" w:cs="Century Gothic"/>
          <w:i/>
          <w:iCs/>
          <w:sz w:val="20"/>
          <w:szCs w:val="20"/>
          <w:lang w:val="es-ES"/>
        </w:rPr>
        <w:t>decidendi</w:t>
      </w:r>
      <w:proofErr w:type="spellEnd"/>
      <w:r w:rsidRPr="0000200E">
        <w:rPr>
          <w:rFonts w:ascii="Verdana" w:eastAsia="Century Gothic" w:hAnsi="Verdana" w:cs="Century Gothic"/>
          <w:sz w:val="20"/>
          <w:szCs w:val="20"/>
          <w:lang w:val="es-ES"/>
        </w:rPr>
        <w:t>, y (</w:t>
      </w:r>
      <w:proofErr w:type="spellStart"/>
      <w:r w:rsidRPr="0000200E">
        <w:rPr>
          <w:rFonts w:ascii="Verdana" w:eastAsia="Century Gothic" w:hAnsi="Verdana" w:cs="Century Gothic"/>
          <w:sz w:val="20"/>
          <w:szCs w:val="20"/>
          <w:lang w:val="es-ES"/>
        </w:rPr>
        <w:t>iii</w:t>
      </w:r>
      <w:proofErr w:type="spellEnd"/>
      <w:r w:rsidRPr="0000200E">
        <w:rPr>
          <w:rFonts w:ascii="Verdana" w:eastAsia="Century Gothic" w:hAnsi="Verdana" w:cs="Century Gothic"/>
          <w:sz w:val="20"/>
          <w:szCs w:val="20"/>
          <w:lang w:val="es-ES"/>
        </w:rPr>
        <w:t>) posición institucional expresa de esa Agencia.</w:t>
      </w:r>
    </w:p>
    <w:p w14:paraId="71ED1A7D" w14:textId="77777777" w:rsidR="00D52CE9" w:rsidRPr="0000200E" w:rsidRDefault="00D52CE9" w:rsidP="00D52CE9">
      <w:pPr>
        <w:spacing w:after="120" w:line="240" w:lineRule="auto"/>
        <w:ind w:left="709" w:right="709"/>
        <w:jc w:val="both"/>
        <w:rPr>
          <w:rFonts w:ascii="Verdana" w:eastAsia="Century Gothic" w:hAnsi="Verdana" w:cs="Century Gothic"/>
          <w:sz w:val="20"/>
          <w:szCs w:val="20"/>
          <w:lang w:val="es-ES"/>
        </w:rPr>
      </w:pPr>
      <w:r w:rsidRPr="0000200E">
        <w:rPr>
          <w:rFonts w:ascii="Verdana" w:eastAsia="Century Gothic" w:hAnsi="Verdana" w:cs="Century Gothic"/>
          <w:sz w:val="20"/>
          <w:szCs w:val="20"/>
          <w:lang w:val="es-ES"/>
        </w:rPr>
        <w:t>2. En relación con el criterio de “relación directa” (Art 66, Ley 1523 de 2012), se requiere determinar si debe adoptarse una interpretación restrictiva o una interpretación extensiva, indicando de manera inequívoca la posición institucional, así como los criterios objetivos de verificación de la conexidad material (causal, funcional, temporal, territorial y teleológica), y si resulta jurídicamente exigible la aplicación de un test de conexidad acumulativo para habilitar el uso del régimen excepcional.</w:t>
      </w:r>
    </w:p>
    <w:p w14:paraId="301E1FD4" w14:textId="77777777" w:rsidR="00D52CE9" w:rsidRPr="0000200E" w:rsidRDefault="00D52CE9" w:rsidP="00D52CE9">
      <w:pPr>
        <w:spacing w:after="120" w:line="240" w:lineRule="auto"/>
        <w:ind w:left="709" w:right="709"/>
        <w:jc w:val="both"/>
        <w:rPr>
          <w:rFonts w:ascii="Verdana" w:eastAsia="Century Gothic" w:hAnsi="Verdana" w:cs="Century Gothic"/>
          <w:sz w:val="20"/>
          <w:szCs w:val="20"/>
          <w:lang w:val="es-ES"/>
        </w:rPr>
      </w:pPr>
      <w:r w:rsidRPr="0000200E">
        <w:rPr>
          <w:rFonts w:ascii="Verdana" w:eastAsia="Century Gothic" w:hAnsi="Verdana" w:cs="Century Gothic"/>
          <w:sz w:val="20"/>
          <w:szCs w:val="20"/>
          <w:lang w:val="es-ES"/>
        </w:rPr>
        <w:t>Se solicita que esa Agencia se pronuncie de manera expresa sobre la incidencia del elemento temporal en la validez de la aplicación del régimen especial, resolviendo si la ruptura del nexo temporal entre el hecho generador del daño o riesgo y la contratación de obras o intervenciones puede configurar un vicio de falsa motivación del acto administrativo de declaratoria de calamidad pública y, en consecuencia, una desviación de poder en la contratación derivada.</w:t>
      </w:r>
    </w:p>
    <w:p w14:paraId="0EB7C995" w14:textId="77777777" w:rsidR="00D52CE9" w:rsidRPr="0000200E" w:rsidRDefault="00D52CE9" w:rsidP="00D52CE9">
      <w:pPr>
        <w:spacing w:after="120" w:line="240" w:lineRule="auto"/>
        <w:ind w:left="709" w:right="709"/>
        <w:jc w:val="both"/>
        <w:rPr>
          <w:rFonts w:ascii="Verdana" w:eastAsia="Century Gothic" w:hAnsi="Verdana" w:cs="Century Gothic"/>
          <w:sz w:val="20"/>
          <w:szCs w:val="20"/>
          <w:lang w:val="es-ES"/>
        </w:rPr>
      </w:pPr>
      <w:r w:rsidRPr="0000200E">
        <w:rPr>
          <w:rFonts w:ascii="Verdana" w:eastAsia="Century Gothic" w:hAnsi="Verdana" w:cs="Century Gothic"/>
          <w:sz w:val="20"/>
          <w:szCs w:val="20"/>
          <w:lang w:val="es-ES"/>
        </w:rPr>
        <w:t>Así mismo, se solicita establecer si la incorporación posterior de proyectos no previstos inicialmente en el Plan de Acción Especifico constituye desnaturalización del régimen excepcional, así como los criterios jurídicos para identificar la ruptura del nexo temporal (desfase cronológico, ausencia de justificación técnica contemporánea, inclusión de proyectos estructurales preexistentes y falta de urgencia sobreviniente).</w:t>
      </w:r>
    </w:p>
    <w:p w14:paraId="3BBD0A22" w14:textId="77777777" w:rsidR="00D52CE9" w:rsidRPr="0000200E" w:rsidRDefault="00D52CE9" w:rsidP="00D52CE9">
      <w:pPr>
        <w:spacing w:after="120" w:line="240" w:lineRule="auto"/>
        <w:ind w:left="709" w:right="709"/>
        <w:jc w:val="both"/>
        <w:rPr>
          <w:rFonts w:ascii="Verdana" w:eastAsia="Century Gothic" w:hAnsi="Verdana" w:cs="Century Gothic"/>
          <w:sz w:val="20"/>
          <w:szCs w:val="20"/>
          <w:lang w:val="es-ES"/>
        </w:rPr>
      </w:pPr>
      <w:r w:rsidRPr="0000200E">
        <w:rPr>
          <w:rFonts w:ascii="Verdana" w:eastAsia="Century Gothic" w:hAnsi="Verdana" w:cs="Century Gothic"/>
          <w:sz w:val="20"/>
          <w:szCs w:val="20"/>
          <w:lang w:val="es-ES"/>
        </w:rPr>
        <w:t xml:space="preserve">Se solicita igualmente precisar si tales circunstancias pueden configurar falsa motivación del acto administrativo, en los términos desarrollados por el Consejo de Estado, y sus consecuencias jurídicas. Finalmente, se requiere indicar si es exigible documentar la línea de tiempo del evento, la afectación y la intervención, y si el elemento temporal debe integrarse como componente obligatorio de </w:t>
      </w:r>
      <w:proofErr w:type="gramStart"/>
      <w:r w:rsidRPr="0000200E">
        <w:rPr>
          <w:rFonts w:ascii="Verdana" w:eastAsia="Century Gothic" w:hAnsi="Verdana" w:cs="Century Gothic"/>
          <w:sz w:val="20"/>
          <w:szCs w:val="20"/>
          <w:lang w:val="es-ES"/>
        </w:rPr>
        <w:t>un test</w:t>
      </w:r>
      <w:proofErr w:type="gramEnd"/>
      <w:r w:rsidRPr="0000200E">
        <w:rPr>
          <w:rFonts w:ascii="Verdana" w:eastAsia="Century Gothic" w:hAnsi="Verdana" w:cs="Century Gothic"/>
          <w:sz w:val="20"/>
          <w:szCs w:val="20"/>
          <w:lang w:val="es-ES"/>
        </w:rPr>
        <w:t xml:space="preserve"> de legalidad del régimen excepcional.</w:t>
      </w:r>
    </w:p>
    <w:p w14:paraId="5E3A8C3F" w14:textId="77777777" w:rsidR="00D52CE9" w:rsidRPr="0000200E" w:rsidRDefault="00D52CE9" w:rsidP="00D52CE9">
      <w:pPr>
        <w:spacing w:after="120" w:line="240" w:lineRule="auto"/>
        <w:ind w:left="709" w:right="709"/>
        <w:jc w:val="both"/>
        <w:rPr>
          <w:rFonts w:ascii="Verdana" w:eastAsia="Century Gothic" w:hAnsi="Verdana" w:cs="Century Gothic"/>
          <w:sz w:val="20"/>
          <w:szCs w:val="20"/>
          <w:lang w:val="es-ES"/>
        </w:rPr>
      </w:pPr>
      <w:r w:rsidRPr="0000200E">
        <w:rPr>
          <w:rFonts w:ascii="Verdana" w:eastAsia="Century Gothic" w:hAnsi="Verdana" w:cs="Century Gothic"/>
          <w:sz w:val="20"/>
          <w:szCs w:val="20"/>
          <w:lang w:val="es-ES"/>
        </w:rPr>
        <w:t>3. Respecto de la naturaleza jurídica del régimen, se solicita precisar si la remisión a “los requisitos y formalidades de la contratación entre particulares”, en concordancia con el artículo 13 de la Ley 1150 de 2007, configura una remisión plena al derecho privado o un régimen híbrido, indicando cuáles principios del Estatuto General de Contratación permanecen vigentes.</w:t>
      </w:r>
    </w:p>
    <w:p w14:paraId="07233B2F" w14:textId="77777777" w:rsidR="00D52CE9" w:rsidRPr="0000200E" w:rsidRDefault="00D52CE9" w:rsidP="00D52CE9">
      <w:pPr>
        <w:spacing w:after="120" w:line="240" w:lineRule="auto"/>
        <w:ind w:left="709" w:right="709"/>
        <w:jc w:val="both"/>
        <w:rPr>
          <w:rFonts w:ascii="Verdana" w:eastAsia="Century Gothic" w:hAnsi="Verdana" w:cs="Century Gothic"/>
          <w:sz w:val="20"/>
          <w:szCs w:val="20"/>
          <w:lang w:val="es-ES"/>
        </w:rPr>
      </w:pPr>
      <w:r w:rsidRPr="0000200E">
        <w:rPr>
          <w:rFonts w:ascii="Verdana" w:eastAsia="Century Gothic" w:hAnsi="Verdana" w:cs="Century Gothic"/>
          <w:sz w:val="20"/>
          <w:szCs w:val="20"/>
          <w:lang w:val="es-ES"/>
        </w:rPr>
        <w:t xml:space="preserve">4. En cuanto a los límites constitucionales, se solicita identificar de manera expresa cuáles principios Constitucionales operan como límites inderogables del régimen especial, en particular frente a la transparencia, la responsabilidad, la moralidad administrativa y la prohibición de desviación de poder, indicando si el régimen excepcional intensifica la carga argumentativa del ordenador del gasto, Adicionalmente, se requiere precisar cómo se verifica materialmente su cumplimiento, estableciendo criterios operativos tales como: (i) estándares mínimos de publicidad y </w:t>
      </w:r>
      <w:r w:rsidRPr="0000200E">
        <w:rPr>
          <w:rFonts w:ascii="Verdana" w:eastAsia="Century Gothic" w:hAnsi="Verdana" w:cs="Century Gothic"/>
          <w:sz w:val="20"/>
          <w:szCs w:val="20"/>
          <w:lang w:val="es-ES"/>
        </w:rPr>
        <w:lastRenderedPageBreak/>
        <w:t>trazabilidad, (</w:t>
      </w:r>
      <w:proofErr w:type="spellStart"/>
      <w:r w:rsidRPr="0000200E">
        <w:rPr>
          <w:rFonts w:ascii="Verdana" w:eastAsia="Century Gothic" w:hAnsi="Verdana" w:cs="Century Gothic"/>
          <w:sz w:val="20"/>
          <w:szCs w:val="20"/>
          <w:lang w:val="es-ES"/>
        </w:rPr>
        <w:t>ii</w:t>
      </w:r>
      <w:proofErr w:type="spellEnd"/>
      <w:r w:rsidRPr="0000200E">
        <w:rPr>
          <w:rFonts w:ascii="Verdana" w:eastAsia="Century Gothic" w:hAnsi="Verdana" w:cs="Century Gothic"/>
          <w:sz w:val="20"/>
          <w:szCs w:val="20"/>
          <w:lang w:val="es-ES"/>
        </w:rPr>
        <w:t>) motivación suficiente de la necesidad, urgencia y selección del contratista, (</w:t>
      </w:r>
      <w:proofErr w:type="spellStart"/>
      <w:r w:rsidRPr="0000200E">
        <w:rPr>
          <w:rFonts w:ascii="Verdana" w:eastAsia="Century Gothic" w:hAnsi="Verdana" w:cs="Century Gothic"/>
          <w:sz w:val="20"/>
          <w:szCs w:val="20"/>
          <w:lang w:val="es-ES"/>
        </w:rPr>
        <w:t>iii</w:t>
      </w:r>
      <w:proofErr w:type="spellEnd"/>
      <w:r w:rsidRPr="0000200E">
        <w:rPr>
          <w:rFonts w:ascii="Verdana" w:eastAsia="Century Gothic" w:hAnsi="Verdana" w:cs="Century Gothic"/>
          <w:sz w:val="20"/>
          <w:szCs w:val="20"/>
          <w:lang w:val="es-ES"/>
        </w:rPr>
        <w:t>) justificación técnica y económica del contrato, y (</w:t>
      </w:r>
      <w:proofErr w:type="spellStart"/>
      <w:r w:rsidRPr="0000200E">
        <w:rPr>
          <w:rFonts w:ascii="Verdana" w:eastAsia="Century Gothic" w:hAnsi="Verdana" w:cs="Century Gothic"/>
          <w:sz w:val="20"/>
          <w:szCs w:val="20"/>
          <w:lang w:val="es-ES"/>
        </w:rPr>
        <w:t>iv</w:t>
      </w:r>
      <w:proofErr w:type="spellEnd"/>
      <w:r w:rsidRPr="0000200E">
        <w:rPr>
          <w:rFonts w:ascii="Verdana" w:eastAsia="Century Gothic" w:hAnsi="Verdana" w:cs="Century Gothic"/>
          <w:sz w:val="20"/>
          <w:szCs w:val="20"/>
          <w:lang w:val="es-ES"/>
        </w:rPr>
        <w:t>) criterios para identificar desviación de poder. Finalmente, se solicita indicar si la inobservancia de estos estándares puede configurar vicios de legalidad sustancial y generar consecuencias en términos de nulidad y responsabilidad fiscal, disciplinaria o penal, conforme a la jurisprudencia de la Corte Constitucional y el Consejo de Estado.</w:t>
      </w:r>
    </w:p>
    <w:p w14:paraId="6DA23BEF" w14:textId="77777777" w:rsidR="00D52CE9" w:rsidRPr="0000200E" w:rsidRDefault="00D52CE9" w:rsidP="00D52CE9">
      <w:pPr>
        <w:spacing w:after="120" w:line="240" w:lineRule="auto"/>
        <w:ind w:left="709" w:right="709"/>
        <w:jc w:val="both"/>
        <w:rPr>
          <w:rFonts w:ascii="Verdana" w:eastAsia="Century Gothic" w:hAnsi="Verdana" w:cs="Century Gothic"/>
          <w:sz w:val="20"/>
          <w:szCs w:val="20"/>
          <w:lang w:val="es-ES"/>
        </w:rPr>
      </w:pPr>
      <w:r w:rsidRPr="0000200E">
        <w:rPr>
          <w:rFonts w:ascii="Verdana" w:eastAsia="Century Gothic" w:hAnsi="Verdana" w:cs="Century Gothic"/>
          <w:sz w:val="20"/>
          <w:szCs w:val="20"/>
          <w:lang w:val="es-ES"/>
        </w:rPr>
        <w:t>5. En materia de prohibiciones, se solicita sistematizar de forma expresa las conductas vedadas en la aplicación del régimen, incluyendo la contratación de objetos no relacionados directamente con la calamidad, el uso del régimen para eludir procesos de selección objetiva, el fraccionamiento contractual, la ejecución de proyectos de inversión ordinarios y la ausencia de soporte técnico mínimo, precisando si estas hipótesis configuran causal de nulidad o de responsabilidad.</w:t>
      </w:r>
    </w:p>
    <w:p w14:paraId="03E23311" w14:textId="77777777" w:rsidR="00D52CE9" w:rsidRPr="0000200E" w:rsidRDefault="00D52CE9" w:rsidP="00D52CE9">
      <w:pPr>
        <w:spacing w:after="120" w:line="240" w:lineRule="auto"/>
        <w:ind w:left="709" w:right="709"/>
        <w:jc w:val="both"/>
        <w:rPr>
          <w:rFonts w:ascii="Verdana" w:eastAsia="Century Gothic" w:hAnsi="Verdana" w:cs="Century Gothic"/>
          <w:sz w:val="20"/>
          <w:szCs w:val="20"/>
          <w:lang w:val="es-ES"/>
        </w:rPr>
      </w:pPr>
      <w:r w:rsidRPr="000348C9">
        <w:rPr>
          <w:rFonts w:ascii="Verdana" w:eastAsia="Century Gothic" w:hAnsi="Verdana" w:cs="Century Gothic"/>
          <w:sz w:val="20"/>
          <w:szCs w:val="20"/>
          <w:lang w:val="es-ES"/>
        </w:rPr>
        <w:t>6. Frente a la diferenciación con la urgencia manifiesta, se solicita establecer con claridad las diferencias sustanciales en términos de requisitos de procedencia, alcance temporal, régimen de selección y nivel de control fiscal, indicando si se trata de figuras equivalentes, complementarias o autónomas.</w:t>
      </w:r>
    </w:p>
    <w:p w14:paraId="17CDD497" w14:textId="77777777" w:rsidR="00D52CE9" w:rsidRPr="008E6AD9" w:rsidRDefault="00D52CE9" w:rsidP="00D52CE9">
      <w:pPr>
        <w:spacing w:after="0" w:line="240" w:lineRule="auto"/>
        <w:ind w:left="709" w:right="709"/>
        <w:jc w:val="both"/>
        <w:rPr>
          <w:rFonts w:ascii="Verdana" w:eastAsia="Century Gothic" w:hAnsi="Verdana" w:cs="Century Gothic"/>
          <w:b/>
          <w:bCs/>
        </w:rPr>
      </w:pPr>
      <w:r w:rsidRPr="0000200E">
        <w:rPr>
          <w:rFonts w:ascii="Verdana" w:eastAsia="Century Gothic" w:hAnsi="Verdana" w:cs="Century Gothic"/>
          <w:sz w:val="20"/>
          <w:szCs w:val="20"/>
          <w:lang w:val="es-ES"/>
        </w:rPr>
        <w:t xml:space="preserve">7. Se solicita pronunciarse sobre la viabilidad jurídica de estructurar </w:t>
      </w:r>
      <w:proofErr w:type="gramStart"/>
      <w:r w:rsidRPr="0000200E">
        <w:rPr>
          <w:rFonts w:ascii="Verdana" w:eastAsia="Century Gothic" w:hAnsi="Verdana" w:cs="Century Gothic"/>
          <w:sz w:val="20"/>
          <w:szCs w:val="20"/>
          <w:lang w:val="es-ES"/>
        </w:rPr>
        <w:t>un test</w:t>
      </w:r>
      <w:proofErr w:type="gramEnd"/>
      <w:r w:rsidRPr="0000200E">
        <w:rPr>
          <w:rFonts w:ascii="Verdana" w:eastAsia="Century Gothic" w:hAnsi="Verdana" w:cs="Century Gothic"/>
          <w:sz w:val="20"/>
          <w:szCs w:val="20"/>
          <w:lang w:val="es-ES"/>
        </w:rPr>
        <w:t xml:space="preserve"> de legalidad del régimen excepcional que comprenda, como mínimo, los siguientes niveles: habilitación formal, conexidad material, necesidad y proporcionalidad, planeación mínima y trazabilidad, indicando si dicho instrumento puede ser adoptado como criterio orientador para entidades públicas</w:t>
      </w:r>
      <w:r>
        <w:rPr>
          <w:rFonts w:ascii="Verdana" w:eastAsia="Century Gothic" w:hAnsi="Verdana" w:cs="Century Gothic"/>
          <w:sz w:val="20"/>
          <w:szCs w:val="20"/>
          <w:lang w:val="es-ES"/>
        </w:rPr>
        <w:t>”.</w:t>
      </w:r>
    </w:p>
    <w:p w14:paraId="4E616E49" w14:textId="77777777" w:rsidR="00D52CE9" w:rsidRDefault="00D52CE9" w:rsidP="00D52CE9">
      <w:pPr>
        <w:spacing w:after="0" w:line="276" w:lineRule="auto"/>
        <w:ind w:firstLine="709"/>
        <w:jc w:val="both"/>
        <w:rPr>
          <w:rFonts w:ascii="Verdana" w:eastAsia="Calibri" w:hAnsi="Verdana" w:cs="Arial"/>
          <w:color w:val="000000"/>
          <w:lang w:val="es-ES" w:eastAsia="es-ES"/>
        </w:rPr>
      </w:pPr>
    </w:p>
    <w:p w14:paraId="0AD0C0A9" w14:textId="77777777" w:rsidR="00D52CE9" w:rsidRPr="00A652FF" w:rsidRDefault="00D52CE9" w:rsidP="00D52CE9">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57BDA95" w14:textId="77777777" w:rsidR="00D52CE9" w:rsidRDefault="00D52CE9" w:rsidP="00D52CE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w:t>
      </w:r>
      <w:r w:rsidRPr="00593A5F">
        <w:rPr>
          <w:rFonts w:ascii="Verdana" w:eastAsia="Calibri" w:hAnsi="Verdana" w:cs="Arial"/>
          <w:color w:val="000000"/>
          <w:lang w:val="es-ES" w:eastAsia="es-ES"/>
        </w:rPr>
        <w:lastRenderedPageBreak/>
        <w:t>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B7D28AB" w14:textId="77777777" w:rsidR="00D52CE9" w:rsidRPr="00593A5F" w:rsidRDefault="00D52CE9" w:rsidP="00D52CE9">
      <w:pPr>
        <w:spacing w:after="0" w:line="276" w:lineRule="auto"/>
        <w:ind w:firstLine="709"/>
        <w:jc w:val="both"/>
        <w:rPr>
          <w:rFonts w:ascii="Verdana" w:eastAsia="Calibri" w:hAnsi="Verdana" w:cs="Arial"/>
          <w:color w:val="000000"/>
          <w:lang w:val="es-ES" w:eastAsia="es-ES"/>
        </w:rPr>
      </w:pPr>
    </w:p>
    <w:p w14:paraId="0B8E1E36" w14:textId="77777777" w:rsidR="00D52CE9" w:rsidRPr="00593A5F" w:rsidRDefault="00D52CE9" w:rsidP="00D52CE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6629BB48" w14:textId="77777777" w:rsidR="00D52CE9" w:rsidRPr="00593A5F" w:rsidRDefault="00D52CE9" w:rsidP="00D52CE9">
      <w:pPr>
        <w:tabs>
          <w:tab w:val="left" w:pos="426"/>
        </w:tabs>
        <w:spacing w:after="0" w:line="276" w:lineRule="auto"/>
        <w:jc w:val="both"/>
        <w:rPr>
          <w:rFonts w:ascii="Verdana" w:eastAsia="Century Gothic" w:hAnsi="Verdana" w:cs="Century Gothic"/>
          <w:lang w:val="es-ES"/>
        </w:rPr>
      </w:pPr>
    </w:p>
    <w:p w14:paraId="6A02A5CD" w14:textId="77777777" w:rsidR="00D52CE9" w:rsidRDefault="00D52CE9" w:rsidP="00D52CE9">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1A3F5F">
        <w:rPr>
          <w:rFonts w:ascii="Verdana" w:eastAsia="Century Gothic" w:hAnsi="Verdana" w:cs="Century Gothic"/>
        </w:rPr>
        <w:t>¿cuál es el marco jurídico de los contratos celebrados por el Fondo Nacional de Gestión del Riesgo de Desastres?</w:t>
      </w:r>
    </w:p>
    <w:p w14:paraId="029F91DA" w14:textId="77777777" w:rsidR="00D52CE9" w:rsidRPr="004B140F" w:rsidRDefault="00D52CE9" w:rsidP="00D52CE9">
      <w:pPr>
        <w:spacing w:after="0" w:line="276" w:lineRule="auto"/>
        <w:jc w:val="both"/>
        <w:rPr>
          <w:rFonts w:ascii="Verdana" w:eastAsia="Calibri" w:hAnsi="Verdana" w:cs="Arial"/>
          <w:color w:val="7030A0"/>
        </w:rPr>
      </w:pPr>
    </w:p>
    <w:p w14:paraId="3EAB0CA5" w14:textId="77777777" w:rsidR="00D52CE9" w:rsidRPr="00593A5F" w:rsidRDefault="00D52CE9" w:rsidP="00D52CE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310F57A" w14:textId="77777777" w:rsidR="00D52CE9" w:rsidRPr="00593A5F" w:rsidRDefault="00D52CE9" w:rsidP="00D52CE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52CE9" w:rsidRPr="00593A5F" w14:paraId="4B3B0471" w14:textId="77777777" w:rsidTr="00D8359A">
        <w:trPr>
          <w:jc w:val="center"/>
        </w:trPr>
        <w:tc>
          <w:tcPr>
            <w:tcW w:w="8828" w:type="dxa"/>
          </w:tcPr>
          <w:p w14:paraId="7CA62A80" w14:textId="77777777" w:rsidR="00D52CE9" w:rsidRDefault="00D52CE9" w:rsidP="00D8359A">
            <w:pPr>
              <w:spacing w:after="120" w:line="276" w:lineRule="auto"/>
              <w:jc w:val="both"/>
              <w:rPr>
                <w:rFonts w:ascii="Verdana" w:eastAsia="Calibri" w:hAnsi="Verdana" w:cs="Arial"/>
                <w:lang w:val="es-ES_tradnl"/>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s</w:t>
            </w:r>
            <w:r w:rsidRPr="0004417F">
              <w:rPr>
                <w:rFonts w:ascii="Verdana" w:eastAsia="Calibri" w:hAnsi="Verdana" w:cs="Arial"/>
                <w:lang w:val="es-ES_tradnl"/>
              </w:rPr>
              <w:t xml:space="preserve">in perjuicio de las potestades exorbitantes, </w:t>
            </w:r>
            <w:r w:rsidRPr="00E84F10">
              <w:rPr>
                <w:rFonts w:ascii="Verdana" w:eastAsia="Calibri" w:hAnsi="Verdana" w:cs="Arial"/>
                <w:lang w:val="es-ES_tradnl"/>
              </w:rPr>
              <w:t>el artículo 66 de la Ley 1523 de 2012</w:t>
            </w:r>
            <w:r w:rsidRPr="0004417F">
              <w:rPr>
                <w:rFonts w:ascii="Verdana" w:eastAsia="Calibri" w:hAnsi="Verdana" w:cs="Arial"/>
                <w:lang w:val="es-ES_tradnl"/>
              </w:rPr>
              <w:t xml:space="preserve"> exceptúa del Estatuto General de Contratación de la Administración Pública los contratos </w:t>
            </w:r>
            <w:r>
              <w:rPr>
                <w:rFonts w:ascii="Verdana" w:eastAsia="Calibri" w:hAnsi="Verdana" w:cs="Arial"/>
                <w:lang w:val="es-ES_tradnl"/>
              </w:rPr>
              <w:t>“</w:t>
            </w:r>
            <w:r w:rsidRPr="0004417F">
              <w:rPr>
                <w:rFonts w:ascii="Verdana" w:eastAsia="Calibri" w:hAnsi="Verdana" w:cs="Arial"/>
                <w:lang w:val="es-ES_tradnl"/>
              </w:rPr>
              <w:t>[…] relacionados directamente con las actividades de respuesta, de rehabilitación y reconstrucción de las zonas declaradas en situación de desastre o calamidad pública […]</w:t>
            </w:r>
            <w:r>
              <w:rPr>
                <w:rFonts w:ascii="Verdana" w:eastAsia="Calibri" w:hAnsi="Verdana" w:cs="Arial"/>
                <w:lang w:val="es-ES_tradnl"/>
              </w:rPr>
              <w:t>”</w:t>
            </w:r>
            <w:r w:rsidRPr="0004417F">
              <w:rPr>
                <w:rFonts w:ascii="Verdana" w:eastAsia="Calibri" w:hAnsi="Verdana" w:cs="Arial"/>
                <w:lang w:val="es-ES_tradnl"/>
              </w:rPr>
              <w:t xml:space="preserve"> celebrados por: i) la sociedad fiduciaria que administra los recursos del Fondo Nacional de Gestión del Riesgo, </w:t>
            </w:r>
            <w:proofErr w:type="spellStart"/>
            <w:r w:rsidRPr="0004417F">
              <w:rPr>
                <w:rFonts w:ascii="Verdana" w:eastAsia="Calibri" w:hAnsi="Verdana" w:cs="Arial"/>
                <w:lang w:val="es-ES_tradnl"/>
              </w:rPr>
              <w:t>ii</w:t>
            </w:r>
            <w:proofErr w:type="spellEnd"/>
            <w:r w:rsidRPr="0004417F">
              <w:rPr>
                <w:rFonts w:ascii="Verdana" w:eastAsia="Calibri" w:hAnsi="Verdana" w:cs="Arial"/>
                <w:lang w:val="es-ES_tradnl"/>
              </w:rPr>
              <w:t xml:space="preserve">) por las entidades ejecutoras que reciban recursos provenientes de este fondo y </w:t>
            </w:r>
            <w:proofErr w:type="spellStart"/>
            <w:r w:rsidRPr="0004417F">
              <w:rPr>
                <w:rFonts w:ascii="Verdana" w:eastAsia="Calibri" w:hAnsi="Verdana" w:cs="Arial"/>
                <w:lang w:val="es-ES_tradnl"/>
              </w:rPr>
              <w:t>iii</w:t>
            </w:r>
            <w:proofErr w:type="spellEnd"/>
            <w:r w:rsidRPr="0004417F">
              <w:rPr>
                <w:rFonts w:ascii="Verdana" w:eastAsia="Calibri" w:hAnsi="Verdana" w:cs="Arial"/>
                <w:lang w:val="es-ES_tradnl"/>
              </w:rPr>
              <w:t xml:space="preserve">) los celebrados por las entidades territoriales y sus fondos de gestión del riesgo. </w:t>
            </w:r>
          </w:p>
          <w:p w14:paraId="0DB960E5" w14:textId="77777777" w:rsidR="00D52CE9" w:rsidRDefault="00D52CE9" w:rsidP="00D8359A">
            <w:pPr>
              <w:spacing w:after="120" w:line="276" w:lineRule="auto"/>
              <w:ind w:firstLine="708"/>
              <w:jc w:val="both"/>
              <w:rPr>
                <w:rFonts w:ascii="Verdana" w:eastAsia="Calibri" w:hAnsi="Verdana" w:cs="Arial"/>
                <w:lang w:val="es-ES_tradnl"/>
              </w:rPr>
            </w:pPr>
            <w:r>
              <w:rPr>
                <w:rFonts w:ascii="Verdana" w:eastAsia="Calibri" w:hAnsi="Verdana" w:cs="Arial"/>
                <w:lang w:val="es-ES_tradnl"/>
              </w:rPr>
              <w:t>Al ser una norma excepcional, la expresión entrecomillada en el párrafo precedente debe interpretarse literalmente, por lo que no es susceptible extensión, restricción o analogía. Como establece los parámetros para su aplicabilidad, el control judicial sobre la motivación se realiza estrictamente sobre la base de los elementos ya mencionados, sin restar o adicionar otros distintos. Por lo anterior, d</w:t>
            </w:r>
            <w:r w:rsidRPr="00E84F10">
              <w:rPr>
                <w:rFonts w:ascii="Verdana" w:eastAsia="Calibri" w:hAnsi="Verdana" w:cs="Arial"/>
                <w:lang w:val="es-ES_tradnl"/>
              </w:rPr>
              <w:t>el artículo 66 de la Ley 1523 de 2012</w:t>
            </w:r>
            <w:r>
              <w:rPr>
                <w:rFonts w:ascii="Verdana" w:eastAsia="Calibri" w:hAnsi="Verdana" w:cs="Arial"/>
                <w:lang w:val="es-ES_tradnl"/>
              </w:rPr>
              <w:t xml:space="preserve"> no se observa la obligación de establecer “[…] </w:t>
            </w:r>
            <w:r w:rsidRPr="00904DDD">
              <w:rPr>
                <w:rFonts w:ascii="Verdana" w:eastAsia="Calibri" w:hAnsi="Verdana" w:cs="Arial"/>
                <w:lang w:val="es-ES_tradnl"/>
              </w:rPr>
              <w:t>criterios objetivos de verificación de la conexidad material</w:t>
            </w:r>
            <w:r>
              <w:rPr>
                <w:rFonts w:ascii="Verdana" w:eastAsia="Calibri" w:hAnsi="Verdana" w:cs="Arial"/>
                <w:lang w:val="es-ES_tradnl"/>
              </w:rPr>
              <w:t xml:space="preserve"> […]” o exigir un “[…] test de conexidad acumulativo […]”, ya que la norma citada delimita el supuesto de hecho bajo el cual aplica el régimen especial. </w:t>
            </w:r>
          </w:p>
          <w:p w14:paraId="1BC6F65A" w14:textId="77777777" w:rsidR="00D52CE9" w:rsidRDefault="00D52CE9" w:rsidP="00D8359A">
            <w:pPr>
              <w:spacing w:after="120" w:line="276" w:lineRule="auto"/>
              <w:ind w:firstLine="708"/>
              <w:jc w:val="both"/>
              <w:rPr>
                <w:rFonts w:ascii="Verdana" w:eastAsia="Calibri" w:hAnsi="Verdana" w:cs="Arial"/>
                <w:lang w:val="es-ES_tradnl"/>
              </w:rPr>
            </w:pPr>
            <w:r>
              <w:rPr>
                <w:rFonts w:ascii="Verdana" w:eastAsia="Calibri" w:hAnsi="Verdana" w:cs="Arial"/>
                <w:lang w:val="es-ES_tradnl"/>
              </w:rPr>
              <w:t xml:space="preserve">Dicho supuesto no cobija el “[…] elemento temporal […]” como se indaga en la consulta, de manera que la incorporación posterior de proyectos no desnaturaliza la excepción al EGCAP. Lo anterior se sustenta en </w:t>
            </w:r>
            <w:r>
              <w:rPr>
                <w:rFonts w:ascii="Verdana" w:hAnsi="Verdana" w:cs="Arial"/>
                <w:lang w:val="es-ES"/>
              </w:rPr>
              <w:t xml:space="preserve">la directriz </w:t>
            </w:r>
            <w:r>
              <w:rPr>
                <w:rFonts w:ascii="Verdana" w:hAnsi="Verdana" w:cs="Arial"/>
                <w:lang w:val="es-ES"/>
              </w:rPr>
              <w:lastRenderedPageBreak/>
              <w:t xml:space="preserve">interpretativa del artículo 31 del Código Civil, según la cual </w:t>
            </w:r>
            <w:r w:rsidRPr="005D7CD5">
              <w:rPr>
                <w:rFonts w:ascii="Verdana" w:hAnsi="Verdana" w:cs="Arial"/>
                <w:lang w:val="es-ES"/>
              </w:rPr>
              <w:t>“Lo favorable u odioso de una disposición no se tomará en cuenta para ampliar o restringir su interpretació</w:t>
            </w:r>
            <w:r>
              <w:rPr>
                <w:rFonts w:ascii="Verdana" w:hAnsi="Verdana" w:cs="Arial"/>
                <w:lang w:val="es-ES"/>
              </w:rPr>
              <w:t xml:space="preserve">n. </w:t>
            </w:r>
            <w:r w:rsidRPr="00E51648">
              <w:rPr>
                <w:rFonts w:ascii="Verdana" w:hAnsi="Verdana" w:cs="Arial"/>
                <w:lang w:val="es-ES"/>
              </w:rPr>
              <w:t>La extensión que deba darse a toda ley se determinará por su genuino sentido, y según las reglas de interpretación precedentes</w:t>
            </w:r>
            <w:r>
              <w:rPr>
                <w:rFonts w:ascii="Verdana" w:hAnsi="Verdana" w:cs="Arial"/>
                <w:lang w:val="es-ES"/>
              </w:rPr>
              <w:t>”. (Respuesta a la pregunta 1)</w:t>
            </w:r>
          </w:p>
          <w:p w14:paraId="3AE5A746" w14:textId="77777777" w:rsidR="00D52CE9" w:rsidRDefault="00D52CE9" w:rsidP="00D8359A">
            <w:pPr>
              <w:tabs>
                <w:tab w:val="left" w:pos="426"/>
              </w:tabs>
              <w:spacing w:after="120" w:line="276" w:lineRule="auto"/>
              <w:ind w:firstLine="737"/>
              <w:jc w:val="both"/>
              <w:rPr>
                <w:rFonts w:ascii="Verdana" w:eastAsia="Calibri" w:hAnsi="Verdana" w:cs="Arial"/>
                <w:bCs/>
                <w:color w:val="000000" w:themeColor="text1"/>
                <w:lang w:val="es-ES_tradnl"/>
              </w:rPr>
            </w:pPr>
            <w:r>
              <w:rPr>
                <w:rFonts w:ascii="Verdana" w:eastAsia="Calibri" w:hAnsi="Verdana" w:cs="Arial"/>
                <w:lang w:val="es-ES_tradnl"/>
              </w:rPr>
              <w:t>C</w:t>
            </w:r>
            <w:r w:rsidRPr="0004417F">
              <w:rPr>
                <w:rFonts w:ascii="Verdana" w:eastAsia="Calibri" w:hAnsi="Verdana" w:cs="Arial"/>
                <w:lang w:val="es-ES_tradnl"/>
              </w:rPr>
              <w:t xml:space="preserve">uando se declare la situación de desastre o la situación de calamidad pública, las instituciones mencionadas antes son las únicas excluidas de la Ley 80 de 1993. Las demás siguen cubiertas por el Estatuto General de Contratación de la Administración Pública, como es el caso de los ministerios, todas las entidades descentralizadas por servicios del orden nacional y territorial, las demás ramas del poder público, los órganos autónomos, y en general casi todas las instituciones públicas del país. </w:t>
            </w:r>
            <w:r w:rsidRPr="000348C9">
              <w:rPr>
                <w:rFonts w:ascii="Verdana" w:eastAsia="Calibri" w:hAnsi="Verdana" w:cs="Arial"/>
                <w:lang w:val="es-ES_tradnl"/>
              </w:rPr>
              <w:t xml:space="preserve">Estas últimas podrán contratar directamente por urgencia manifiesta bajo los parámetros de la Ley 80 de 1993, de donde se deriva que el régimen especial </w:t>
            </w:r>
            <w:r>
              <w:rPr>
                <w:rFonts w:ascii="Verdana" w:eastAsia="Calibri" w:hAnsi="Verdana" w:cs="Arial"/>
                <w:lang w:val="es-ES_tradnl"/>
              </w:rPr>
              <w:t>d</w:t>
            </w:r>
            <w:r w:rsidRPr="00E84F10">
              <w:rPr>
                <w:rFonts w:ascii="Verdana" w:eastAsia="Calibri" w:hAnsi="Verdana" w:cs="Arial"/>
                <w:lang w:val="es-ES_tradnl"/>
              </w:rPr>
              <w:t>el artículo 66 de la Ley 1523 de 2012</w:t>
            </w:r>
            <w:r w:rsidRPr="000348C9">
              <w:rPr>
                <w:rFonts w:ascii="Verdana" w:eastAsia="Calibri" w:hAnsi="Verdana" w:cs="Arial"/>
                <w:lang w:val="es-ES_tradnl"/>
              </w:rPr>
              <w:t xml:space="preserve"> es autónomo y, por tanto, distinto a la regulación contenida en el EGCAP.</w:t>
            </w:r>
            <w:r>
              <w:rPr>
                <w:rFonts w:ascii="Verdana" w:eastAsia="Calibri" w:hAnsi="Verdana" w:cs="Arial"/>
                <w:lang w:val="es-ES_tradnl"/>
              </w:rPr>
              <w:t xml:space="preserve"> (Respuesta a la pregunta 6)</w:t>
            </w:r>
          </w:p>
          <w:p w14:paraId="174EF456" w14:textId="77777777" w:rsidR="00D52CE9" w:rsidRDefault="00D52CE9" w:rsidP="00D8359A">
            <w:pPr>
              <w:pStyle w:val="NormalWeb"/>
              <w:spacing w:before="120" w:beforeAutospacing="0" w:after="120" w:afterAutospacing="0" w:line="276" w:lineRule="auto"/>
              <w:ind w:firstLine="709"/>
              <w:jc w:val="both"/>
              <w:rPr>
                <w:rFonts w:ascii="Verdana" w:eastAsia="Calibri" w:hAnsi="Verdana" w:cs="Arial"/>
                <w:bCs/>
                <w:color w:val="000000" w:themeColor="text1"/>
                <w:sz w:val="22"/>
                <w:lang w:val="es-ES_tradnl"/>
              </w:rPr>
            </w:pPr>
            <w:r>
              <w:rPr>
                <w:rFonts w:ascii="Verdana" w:eastAsia="Calibri" w:hAnsi="Verdana" w:cs="Arial"/>
                <w:bCs/>
                <w:color w:val="000000" w:themeColor="text1"/>
                <w:sz w:val="22"/>
                <w:lang w:val="es-ES_tradnl"/>
              </w:rPr>
              <w:t xml:space="preserve">Bajo este régimen, la jurisprudencia explica que “[…] </w:t>
            </w:r>
            <w:r w:rsidRPr="00AD6431">
              <w:rPr>
                <w:rFonts w:ascii="Verdana" w:eastAsia="Calibri" w:hAnsi="Verdana" w:cs="Arial"/>
                <w:bCs/>
                <w:color w:val="000000" w:themeColor="text1"/>
                <w:sz w:val="22"/>
                <w:lang w:val="es-ES_tradnl"/>
              </w:rPr>
              <w:t>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r>
              <w:rPr>
                <w:rFonts w:ascii="Verdana" w:eastAsia="Calibri" w:hAnsi="Verdana" w:cs="Arial"/>
                <w:bCs/>
                <w:color w:val="000000" w:themeColor="text1"/>
                <w:sz w:val="22"/>
                <w:lang w:val="es-ES_tradnl"/>
              </w:rPr>
              <w:t>”.</w:t>
            </w:r>
          </w:p>
          <w:p w14:paraId="4B003ACB" w14:textId="77777777" w:rsidR="00D52CE9" w:rsidRPr="00E33D48" w:rsidRDefault="00D52CE9" w:rsidP="00D8359A">
            <w:pPr>
              <w:spacing w:before="120" w:after="120" w:line="276" w:lineRule="auto"/>
              <w:ind w:firstLine="708"/>
              <w:jc w:val="both"/>
              <w:rPr>
                <w:rFonts w:ascii="Verdana" w:eastAsia="Calibri" w:hAnsi="Verdana" w:cs="Arial"/>
                <w:color w:val="000000" w:themeColor="text1"/>
                <w:lang w:val="es-ES"/>
              </w:rPr>
            </w:pPr>
            <w:r>
              <w:rPr>
                <w:rFonts w:ascii="Verdana" w:eastAsia="Calibri" w:hAnsi="Verdana" w:cs="Arial"/>
                <w:color w:val="000000" w:themeColor="text1"/>
                <w:lang w:val="es-ES"/>
              </w:rPr>
              <w:t>E</w:t>
            </w:r>
            <w:r w:rsidRPr="00E33D48">
              <w:rPr>
                <w:rFonts w:ascii="Verdana" w:eastAsia="Calibri" w:hAnsi="Verdana" w:cs="Arial"/>
                <w:color w:val="000000" w:themeColor="text1"/>
                <w:lang w:val="es-ES"/>
              </w:rPr>
              <w:t xml:space="preserve">stas entidades deben cumplir unas obligaciones transversales a la contratación pública, entre ellas la elaboración del Plan Anual de Adquisiciones, la publicación de sus procedimientos de selección a través de la herramienta SECOP </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en la sección Régimen Especial</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 hacer uso del clasificador de bienes y servicios de las Naciones Unidas, reportar inhabilidades e incompatibilidades de los proveedores de la entidad y analizar el sector económico de los oferentes, entre otras.</w:t>
            </w:r>
          </w:p>
          <w:p w14:paraId="62DC5662" w14:textId="77777777" w:rsidR="00D52CE9" w:rsidRDefault="00D52CE9" w:rsidP="00D8359A">
            <w:pPr>
              <w:spacing w:before="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E</w:t>
            </w:r>
            <w:r w:rsidRPr="00E33D48">
              <w:rPr>
                <w:rFonts w:ascii="Verdana" w:eastAsia="Calibri" w:hAnsi="Verdana" w:cs="Arial"/>
                <w:color w:val="000000" w:themeColor="text1"/>
                <w:lang w:val="es-ES"/>
              </w:rPr>
              <w:t xml:space="preserve">l hecho de que algunas entidades estatales se rijan por el derecho privado en materia contractual no puede entenderse como una negación de lo que establece el artículo 13 de la Ley 1150 de 2007. Este enunciado normativo significó un </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retorno del derecho administrativo</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 xml:space="preserve"> para las entidades excluidas, </w:t>
            </w:r>
            <w:r w:rsidRPr="00E33D48">
              <w:rPr>
                <w:rFonts w:ascii="Verdana" w:eastAsia="Calibri" w:hAnsi="Verdana" w:cs="Arial"/>
                <w:color w:val="000000" w:themeColor="text1"/>
                <w:lang w:val="es-ES"/>
              </w:rPr>
              <w:lastRenderedPageBreak/>
              <w:t>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r>
              <w:rPr>
                <w:rFonts w:ascii="Verdana" w:eastAsia="Calibri" w:hAnsi="Verdana" w:cs="Arial"/>
                <w:color w:val="000000" w:themeColor="text1"/>
                <w:lang w:val="es-ES"/>
              </w:rPr>
              <w:t xml:space="preserve"> (Respuesta a la pregunta 3)</w:t>
            </w:r>
          </w:p>
          <w:p w14:paraId="39EAE93C" w14:textId="77777777" w:rsidR="00D52CE9" w:rsidRDefault="00D52CE9" w:rsidP="00D8359A">
            <w:pPr>
              <w:spacing w:before="120" w:line="276" w:lineRule="auto"/>
              <w:ind w:firstLine="709"/>
              <w:jc w:val="both"/>
              <w:rPr>
                <w:rFonts w:ascii="Verdana" w:eastAsia="Calibri" w:hAnsi="Verdana" w:cs="Arial"/>
                <w:lang w:val="es-ES_tradnl"/>
              </w:rPr>
            </w:pPr>
            <w:r>
              <w:rPr>
                <w:rFonts w:ascii="Verdana" w:eastAsia="Calibri" w:hAnsi="Verdana" w:cs="Arial"/>
                <w:color w:val="000000" w:themeColor="text1"/>
                <w:lang w:val="es-ES"/>
              </w:rPr>
              <w:t>Conforme al inciso primero del artículo 209 superior, “</w:t>
            </w:r>
            <w:r w:rsidRPr="00106CC4">
              <w:rPr>
                <w:rFonts w:ascii="Verdana" w:eastAsia="Calibri" w:hAnsi="Verdana" w:cs="Arial"/>
                <w:color w:val="000000" w:themeColor="text1"/>
                <w:lang w:val="es-ES"/>
              </w:rPr>
              <w:t>La función administrativa está al servicio de los intereses generales y se desarrolla con fundamento en los principios de igualdad, moralidad, eficacia, economía, celeridad, imparcialidad y publicidad</w:t>
            </w:r>
            <w:r>
              <w:rPr>
                <w:rFonts w:ascii="Verdana" w:eastAsia="Calibri" w:hAnsi="Verdana" w:cs="Arial"/>
                <w:color w:val="000000" w:themeColor="text1"/>
                <w:lang w:val="es-ES"/>
              </w:rPr>
              <w:t xml:space="preserve">”. En este contexto, la carga de motivación que exige el </w:t>
            </w:r>
            <w:r w:rsidRPr="00E84F10">
              <w:rPr>
                <w:rFonts w:ascii="Verdana" w:eastAsia="Calibri" w:hAnsi="Verdana" w:cs="Arial"/>
                <w:lang w:val="es-ES_tradnl"/>
              </w:rPr>
              <w:t>artículo 66 de la Ley 1523 de 2012</w:t>
            </w:r>
            <w:r>
              <w:rPr>
                <w:rFonts w:ascii="Verdana" w:eastAsia="Calibri" w:hAnsi="Verdana" w:cs="Arial"/>
                <w:lang w:val="es-ES_tradnl"/>
              </w:rPr>
              <w:t xml:space="preserve"> recae, principalmente, sobre la relación de los</w:t>
            </w:r>
            <w:r w:rsidRPr="0004417F">
              <w:rPr>
                <w:rFonts w:ascii="Verdana" w:eastAsia="Calibri" w:hAnsi="Verdana" w:cs="Arial"/>
                <w:lang w:val="es-ES_tradnl"/>
              </w:rPr>
              <w:t xml:space="preserve"> contratos </w:t>
            </w:r>
            <w:r>
              <w:rPr>
                <w:rFonts w:ascii="Verdana" w:eastAsia="Calibri" w:hAnsi="Verdana" w:cs="Arial"/>
                <w:lang w:val="es-ES_tradnl"/>
              </w:rPr>
              <w:t>con</w:t>
            </w:r>
            <w:r w:rsidRPr="0004417F">
              <w:rPr>
                <w:rFonts w:ascii="Verdana" w:eastAsia="Calibri" w:hAnsi="Verdana" w:cs="Arial"/>
                <w:lang w:val="es-ES_tradnl"/>
              </w:rPr>
              <w:t xml:space="preserve"> las actividades de respuesta, de rehabilitación y reconstrucción para superar la situación de calamidad o desastre</w:t>
            </w:r>
            <w:r>
              <w:rPr>
                <w:rFonts w:ascii="Verdana" w:eastAsia="Calibri" w:hAnsi="Verdana" w:cs="Arial"/>
                <w:lang w:val="es-ES_tradnl"/>
              </w:rPr>
              <w:t xml:space="preserve">. El establecimiento de los criterios operativos para verificar el cumplimiento de los principios de la función administrativa y de carga de motivación asociada al régimen de excepción corresponde al manual de contratación que adopten las autoridades competentes para el efecto. </w:t>
            </w:r>
          </w:p>
          <w:p w14:paraId="04027167" w14:textId="77777777" w:rsidR="00D52CE9" w:rsidRPr="004522B7" w:rsidRDefault="00D52CE9" w:rsidP="00D8359A">
            <w:pPr>
              <w:spacing w:before="120" w:after="120" w:line="276" w:lineRule="auto"/>
              <w:ind w:firstLine="709"/>
              <w:jc w:val="both"/>
              <w:rPr>
                <w:rFonts w:ascii="Verdana" w:eastAsia="Calibri" w:hAnsi="Verdana" w:cs="Arial"/>
                <w:lang w:val="es-ES_tradnl"/>
              </w:rPr>
            </w:pPr>
            <w:r>
              <w:rPr>
                <w:rFonts w:ascii="Verdana" w:eastAsia="Calibri" w:hAnsi="Verdana" w:cs="Arial"/>
                <w:lang w:val="es-ES_tradnl"/>
              </w:rPr>
              <w:t>Por lo demás, dado que la ANCP – CCE carece de atribuciones para juzgar la legalidad de actos y contratos, así como para establecer la responsabilidad de los servidores públicos, la inobservancia los parámetros mencionados en el párrafo anterior debe ser analizada por las instancias judiciales o de control bajo el respeto al principio de legalidad. Dichas instancias son competentes para establecer la tipicidad de las conductas vedadas en la aplicación del</w:t>
            </w:r>
            <w:r>
              <w:rPr>
                <w:rFonts w:ascii="Verdana" w:eastAsia="Calibri" w:hAnsi="Verdana" w:cs="Arial"/>
                <w:color w:val="000000" w:themeColor="text1"/>
                <w:lang w:val="es-ES"/>
              </w:rPr>
              <w:t xml:space="preserve"> </w:t>
            </w:r>
            <w:r w:rsidRPr="00E84F10">
              <w:rPr>
                <w:rFonts w:ascii="Verdana" w:eastAsia="Calibri" w:hAnsi="Verdana" w:cs="Arial"/>
                <w:lang w:val="es-ES_tradnl"/>
              </w:rPr>
              <w:t>artículo 66 de la Ley 1523 de 2012</w:t>
            </w:r>
            <w:r>
              <w:rPr>
                <w:rFonts w:ascii="Verdana" w:eastAsia="Calibri" w:hAnsi="Verdana" w:cs="Arial"/>
                <w:lang w:val="es-ES_tradnl"/>
              </w:rPr>
              <w:t>, precisando la consecuencia jurídica de acuerdo con las particularidades del caso concreto. (Respuesta a las preguntas 4 y 5)</w:t>
            </w:r>
            <w:r>
              <w:rPr>
                <w:rFonts w:ascii="Verdana" w:eastAsia="Calibri" w:hAnsi="Verdana" w:cs="Arial"/>
                <w:bCs/>
                <w:color w:val="000000" w:themeColor="text1"/>
                <w:lang w:val="es-ES_tradnl"/>
              </w:rPr>
              <w:t xml:space="preserve"> </w:t>
            </w:r>
          </w:p>
          <w:p w14:paraId="6CC51E48" w14:textId="77777777" w:rsidR="00D52CE9" w:rsidRDefault="00D52CE9" w:rsidP="00D8359A">
            <w:pPr>
              <w:spacing w:after="120" w:line="276" w:lineRule="auto"/>
              <w:ind w:firstLine="737"/>
              <w:jc w:val="both"/>
              <w:rPr>
                <w:rStyle w:val="s15"/>
                <w:rFonts w:ascii="Verdana" w:hAnsi="Verdana"/>
                <w:color w:val="000000"/>
              </w:rPr>
            </w:pPr>
            <w:r w:rsidRPr="00A4739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6127B441" w14:textId="77777777" w:rsidR="00D52CE9" w:rsidRPr="001941FD" w:rsidRDefault="00D52CE9" w:rsidP="00D8359A">
            <w:pPr>
              <w:spacing w:line="276" w:lineRule="auto"/>
              <w:ind w:firstLine="737"/>
              <w:jc w:val="both"/>
              <w:rPr>
                <w:rFonts w:ascii="Verdana" w:eastAsia="Calibri" w:hAnsi="Verdana" w:cs="Arial"/>
                <w:bCs/>
                <w:color w:val="000000" w:themeColor="text1"/>
              </w:rPr>
            </w:pPr>
            <w:r>
              <w:rPr>
                <w:rFonts w:ascii="Verdana" w:eastAsia="Calibri" w:hAnsi="Verdana" w:cs="Arial"/>
                <w:bCs/>
                <w:color w:val="000000" w:themeColor="text1"/>
              </w:rPr>
              <w:lastRenderedPageBreak/>
              <w:t>Considerando la finalidad investigativa de la consulta, aspectos como la</w:t>
            </w:r>
            <w:r w:rsidRPr="004E761A">
              <w:rPr>
                <w:rFonts w:ascii="Verdana" w:eastAsia="Calibri" w:hAnsi="Verdana" w:cs="Arial"/>
                <w:bCs/>
                <w:color w:val="000000" w:themeColor="text1"/>
              </w:rPr>
              <w:t xml:space="preserve"> viabilidad de estructurar un test de legalidad del régimen excepcional</w:t>
            </w:r>
            <w:r>
              <w:rPr>
                <w:rFonts w:ascii="Verdana" w:eastAsia="Calibri" w:hAnsi="Verdana" w:cs="Arial"/>
                <w:bCs/>
                <w:color w:val="000000" w:themeColor="text1"/>
              </w:rPr>
              <w:t xml:space="preserve"> y su aplicación como criterio orientador para las entidades públicas están fuera de la competencia de la entidad, pues su evaluación corresponde a las instancias editoriales o académicas pertinentes. Por la misma razón, dado que se trata de una propuesta dogmática para un libro, trabajo de grado o artículo de revista, no existe fundamento normativo o jurisprudencial que forma explícita brinde soporte al mencionado test o a su vinculatoriedad; razón por la cual, la posición de Colombia Compra se limita a lo mencionado en este concepto. (Respuesta a las preguntas 1 y 7)</w:t>
            </w:r>
          </w:p>
        </w:tc>
      </w:tr>
    </w:tbl>
    <w:p w14:paraId="3226534B" w14:textId="77777777" w:rsidR="00D52CE9" w:rsidRPr="00593A5F" w:rsidRDefault="00D52CE9" w:rsidP="00D52CE9">
      <w:pPr>
        <w:tabs>
          <w:tab w:val="left" w:pos="142"/>
          <w:tab w:val="left" w:pos="284"/>
        </w:tabs>
        <w:spacing w:after="0" w:line="276" w:lineRule="auto"/>
        <w:jc w:val="both"/>
        <w:rPr>
          <w:rFonts w:ascii="Verdana" w:eastAsia="Century Gothic" w:hAnsi="Verdana" w:cs="Century Gothic"/>
          <w:b/>
          <w:bCs/>
          <w:lang w:val="es-ES"/>
        </w:rPr>
      </w:pPr>
    </w:p>
    <w:bookmarkEnd w:id="1"/>
    <w:p w14:paraId="035641D6" w14:textId="77777777" w:rsidR="00D52CE9" w:rsidRPr="00593A5F" w:rsidRDefault="00D52CE9" w:rsidP="00D52CE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F285D33" w14:textId="77777777" w:rsidR="00D52CE9" w:rsidRPr="00593A5F" w:rsidRDefault="00D52CE9" w:rsidP="00D52CE9">
      <w:pPr>
        <w:spacing w:after="0" w:line="276" w:lineRule="auto"/>
        <w:jc w:val="both"/>
        <w:rPr>
          <w:rFonts w:ascii="Verdana" w:eastAsia="Calibri" w:hAnsi="Verdana" w:cs="Arial"/>
          <w:color w:val="7030A0"/>
          <w:lang w:val="es-ES"/>
        </w:rPr>
      </w:pPr>
    </w:p>
    <w:p w14:paraId="6A8C38AE" w14:textId="77777777" w:rsidR="00D52CE9" w:rsidRDefault="00D52CE9" w:rsidP="00D52CE9">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0674C2C" w14:textId="77777777" w:rsidR="00D52CE9" w:rsidRPr="00415608" w:rsidRDefault="00D52CE9" w:rsidP="00D52CE9">
      <w:pPr>
        <w:spacing w:after="0" w:line="276" w:lineRule="auto"/>
        <w:jc w:val="both"/>
        <w:rPr>
          <w:rFonts w:ascii="Verdana" w:eastAsia="Calibri" w:hAnsi="Verdana" w:cs="Arial"/>
          <w:lang w:val="es-ES"/>
        </w:rPr>
      </w:pPr>
    </w:p>
    <w:p w14:paraId="35E1E91C" w14:textId="77777777" w:rsidR="00D52CE9" w:rsidRPr="00D93A6C" w:rsidRDefault="00D52CE9" w:rsidP="00D52CE9">
      <w:pPr>
        <w:spacing w:after="120" w:line="276" w:lineRule="auto"/>
        <w:jc w:val="both"/>
        <w:rPr>
          <w:rFonts w:ascii="Verdana" w:eastAsia="Calibri" w:hAnsi="Verdana" w:cs="Arial"/>
          <w:lang w:val="es-ES_tradnl"/>
        </w:rPr>
      </w:pPr>
      <w:r w:rsidRPr="00462654">
        <w:rPr>
          <w:rFonts w:ascii="Verdana" w:hAnsi="Verdana" w:cs="Arial"/>
          <w:lang w:val="es-ES_tradnl"/>
        </w:rPr>
        <w:t xml:space="preserve">i. </w:t>
      </w:r>
      <w:r w:rsidRPr="00D93A6C">
        <w:rPr>
          <w:rFonts w:ascii="Verdana" w:eastAsia="Calibri" w:hAnsi="Verdana" w:cs="Arial"/>
          <w:lang w:val="es-ES_tradnl"/>
        </w:rPr>
        <w:t xml:space="preserve">El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 Para delimitar estas expresiones, el </w:t>
      </w:r>
      <w:bookmarkStart w:id="2" w:name="_Hlk35880053"/>
      <w:r w:rsidRPr="00D93A6C">
        <w:rPr>
          <w:rFonts w:ascii="Verdana" w:eastAsia="Calibri" w:hAnsi="Verdana" w:cs="Arial"/>
          <w:lang w:val="es-ES_tradnl"/>
        </w:rPr>
        <w:t xml:space="preserve">artículo 28 del Código Civil </w:t>
      </w:r>
      <w:bookmarkEnd w:id="2"/>
      <w:r w:rsidRPr="00D93A6C">
        <w:rPr>
          <w:rFonts w:ascii="Verdana" w:eastAsia="Calibri" w:hAnsi="Verdana" w:cs="Arial"/>
          <w:lang w:val="es-ES_tradnl"/>
        </w:rPr>
        <w:t xml:space="preserve">dispone que “Las palabras de la ley se entenderán en su sentido natural y obvio, según el uso general de las mismas palabras; pero cuando el legislador las haya definido expresamente para ciertas materias, se les dará en éstas su significado legal”. Y resulta que en la medida en que la norma utiliza la conjunción “o”, en principio asimilaría la </w:t>
      </w:r>
      <w:r w:rsidRPr="00D93A6C">
        <w:rPr>
          <w:rFonts w:ascii="Verdana" w:eastAsia="Calibri" w:hAnsi="Verdana" w:cs="Arial"/>
          <w:i/>
          <w:iCs/>
          <w:lang w:val="es-ES_tradnl"/>
        </w:rPr>
        <w:t>calamidad</w:t>
      </w:r>
      <w:r w:rsidRPr="00D93A6C">
        <w:rPr>
          <w:rFonts w:ascii="Verdana" w:eastAsia="Calibri" w:hAnsi="Verdana" w:cs="Arial"/>
          <w:lang w:val="es-ES_tradnl"/>
        </w:rPr>
        <w:t xml:space="preserve"> y el </w:t>
      </w:r>
      <w:r w:rsidRPr="00D93A6C">
        <w:rPr>
          <w:rFonts w:ascii="Verdana" w:eastAsia="Calibri" w:hAnsi="Verdana" w:cs="Arial"/>
          <w:i/>
          <w:iCs/>
          <w:lang w:val="es-ES_tradnl"/>
        </w:rPr>
        <w:t xml:space="preserve">desastre </w:t>
      </w:r>
      <w:r w:rsidRPr="00D93A6C">
        <w:rPr>
          <w:rFonts w:ascii="Verdana" w:eastAsia="Calibri" w:hAnsi="Verdana" w:cs="Arial"/>
          <w:lang w:val="es-ES_tradnl"/>
        </w:rPr>
        <w:t xml:space="preserve">con la </w:t>
      </w:r>
      <w:r w:rsidRPr="00D93A6C">
        <w:rPr>
          <w:rFonts w:ascii="Verdana" w:eastAsia="Calibri" w:hAnsi="Verdana" w:cs="Arial"/>
          <w:i/>
          <w:iCs/>
          <w:lang w:val="es-ES_tradnl"/>
        </w:rPr>
        <w:t>fuerza mayor</w:t>
      </w:r>
      <w:r w:rsidRPr="00D93A6C">
        <w:rPr>
          <w:rFonts w:ascii="Verdana" w:eastAsia="Calibri" w:hAnsi="Verdana" w:cs="Arial"/>
          <w:lang w:val="es-ES_tradnl"/>
        </w:rPr>
        <w:t xml:space="preserve"> o el </w:t>
      </w:r>
      <w:r w:rsidRPr="00D93A6C">
        <w:rPr>
          <w:rFonts w:ascii="Verdana" w:eastAsia="Calibri" w:hAnsi="Verdana" w:cs="Arial"/>
          <w:i/>
          <w:iCs/>
          <w:lang w:val="es-ES_tradnl"/>
        </w:rPr>
        <w:t>caso fortuito</w:t>
      </w:r>
      <w:r w:rsidRPr="00D93A6C">
        <w:rPr>
          <w:rFonts w:ascii="Verdana" w:eastAsia="Calibri" w:hAnsi="Verdana" w:cs="Arial"/>
          <w:lang w:val="es-ES_tradnl"/>
        </w:rPr>
        <w:t xml:space="preserve">. </w:t>
      </w:r>
    </w:p>
    <w:p w14:paraId="36B8A8B2" w14:textId="77777777" w:rsidR="00D52CE9" w:rsidRPr="00D93A6C" w:rsidRDefault="00D52CE9" w:rsidP="00D52CE9">
      <w:pPr>
        <w:spacing w:after="0" w:line="276" w:lineRule="auto"/>
        <w:ind w:firstLine="708"/>
        <w:jc w:val="both"/>
        <w:rPr>
          <w:rFonts w:ascii="Verdana" w:eastAsia="Calibri" w:hAnsi="Verdana" w:cs="Arial"/>
          <w:lang w:val="es-ES_tradnl"/>
        </w:rPr>
      </w:pPr>
      <w:r w:rsidRPr="00D93A6C">
        <w:rPr>
          <w:rFonts w:ascii="Verdana" w:eastAsia="Calibri" w:hAnsi="Verdana" w:cs="Arial"/>
          <w:lang w:val="es-ES_tradnl"/>
        </w:rPr>
        <w:t xml:space="preserve">Al respecto, el artículo 64 del Código Civil define como tal “[…] el imprevisto o que no es posible resistir, como un naufragio, un terremoto, </w:t>
      </w:r>
      <w:bookmarkStart w:id="3" w:name="_Hlk35871146"/>
      <w:r w:rsidRPr="00D93A6C">
        <w:rPr>
          <w:rFonts w:ascii="Verdana" w:eastAsia="Calibri" w:hAnsi="Verdana" w:cs="Arial"/>
          <w:lang w:val="es-ES_tradnl"/>
        </w:rPr>
        <w:t>el apresamiento de enemigos, los actos de autoridad ejercidos por un funcionario público</w:t>
      </w:r>
      <w:bookmarkEnd w:id="3"/>
      <w:r w:rsidRPr="00D93A6C">
        <w:rPr>
          <w:rFonts w:ascii="Verdana" w:eastAsia="Calibri" w:hAnsi="Verdana" w:cs="Arial"/>
          <w:lang w:val="es-ES_tradnl"/>
        </w:rPr>
        <w:t>, etc.”</w:t>
      </w:r>
      <w:r w:rsidRPr="00D93A6C">
        <w:rPr>
          <w:rFonts w:ascii="Verdana" w:eastAsia="Calibri" w:hAnsi="Verdana" w:cs="Arial"/>
          <w:sz w:val="21"/>
          <w:szCs w:val="21"/>
          <w:vertAlign w:val="superscript"/>
          <w:lang w:val="es-ES_tradnl"/>
        </w:rPr>
        <w:footnoteReference w:id="1"/>
      </w:r>
      <w:r w:rsidRPr="00D93A6C">
        <w:rPr>
          <w:rFonts w:ascii="Verdana" w:eastAsia="Calibri" w:hAnsi="Verdana" w:cs="Arial"/>
          <w:sz w:val="21"/>
          <w:szCs w:val="21"/>
          <w:lang w:val="es-ES_tradnl"/>
        </w:rPr>
        <w:t>.</w:t>
      </w:r>
      <w:r w:rsidRPr="00D93A6C">
        <w:rPr>
          <w:rFonts w:ascii="Verdana" w:eastAsia="Calibri" w:hAnsi="Verdana" w:cs="Arial"/>
          <w:lang w:val="es-ES_tradnl"/>
        </w:rPr>
        <w:t xml:space="preserve"> Cuando provienen de fenómenos de la naturaleza estas </w:t>
      </w:r>
      <w:r w:rsidRPr="00D93A6C">
        <w:rPr>
          <w:rFonts w:ascii="Verdana" w:eastAsia="Calibri" w:hAnsi="Verdana" w:cs="Arial"/>
          <w:lang w:val="es-ES_tradnl"/>
        </w:rPr>
        <w:lastRenderedPageBreak/>
        <w:t xml:space="preserve">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w:t>
      </w:r>
      <w:bookmarkStart w:id="4" w:name="_Hlk35879271"/>
      <w:r w:rsidRPr="00D93A6C">
        <w:rPr>
          <w:rFonts w:ascii="Verdana" w:eastAsia="Calibri" w:hAnsi="Verdana" w:cs="Arial"/>
          <w:lang w:val="es-ES_tradnl"/>
        </w:rPr>
        <w:t>el artículo 4, numerales 5 y 8, de la Ley 1523 de 2012</w:t>
      </w:r>
      <w:bookmarkEnd w:id="4"/>
      <w:r w:rsidRPr="00D93A6C">
        <w:rPr>
          <w:rFonts w:ascii="Verdana" w:eastAsia="Calibri" w:hAnsi="Verdana" w:cs="Arial"/>
          <w:lang w:val="es-ES_tradnl"/>
        </w:rPr>
        <w:t>:</w:t>
      </w:r>
    </w:p>
    <w:p w14:paraId="652C801D" w14:textId="77777777" w:rsidR="00D52CE9" w:rsidRPr="00D93A6C" w:rsidRDefault="00D52CE9" w:rsidP="00D52CE9">
      <w:pPr>
        <w:spacing w:after="0" w:line="276" w:lineRule="auto"/>
        <w:ind w:firstLine="708"/>
        <w:jc w:val="both"/>
        <w:rPr>
          <w:rFonts w:ascii="Verdana" w:eastAsia="Calibri" w:hAnsi="Verdana" w:cs="Arial"/>
          <w:lang w:val="es-ES_tradnl"/>
        </w:rPr>
      </w:pPr>
    </w:p>
    <w:p w14:paraId="773BD55D" w14:textId="77777777" w:rsidR="00D52CE9" w:rsidRPr="00D26698" w:rsidRDefault="00D52CE9" w:rsidP="00D52CE9">
      <w:pPr>
        <w:spacing w:after="0" w:line="240" w:lineRule="auto"/>
        <w:ind w:left="709" w:right="709"/>
        <w:jc w:val="both"/>
        <w:rPr>
          <w:rFonts w:ascii="Verdana" w:eastAsia="Calibri" w:hAnsi="Verdana" w:cs="Arial"/>
          <w:sz w:val="20"/>
          <w:szCs w:val="20"/>
          <w:lang w:val="es-ES_tradnl"/>
        </w:rPr>
      </w:pPr>
      <w:r w:rsidRPr="00D26698">
        <w:rPr>
          <w:rFonts w:ascii="Verdana" w:eastAsia="Calibri" w:hAnsi="Verdana" w:cs="Arial"/>
          <w:sz w:val="20"/>
          <w:szCs w:val="20"/>
          <w:lang w:val="es-ES_tradnl"/>
        </w:rPr>
        <w:t>“Art. 4. Para efectos de la presente ley se entenderá por:</w:t>
      </w:r>
    </w:p>
    <w:p w14:paraId="4D754227" w14:textId="77777777" w:rsidR="00D52CE9" w:rsidRPr="00D26698" w:rsidRDefault="00D52CE9" w:rsidP="00D52CE9">
      <w:pPr>
        <w:spacing w:after="120" w:line="240" w:lineRule="auto"/>
        <w:ind w:left="709" w:right="709"/>
        <w:jc w:val="both"/>
        <w:rPr>
          <w:rFonts w:ascii="Verdana" w:eastAsia="Calibri" w:hAnsi="Verdana" w:cs="Arial"/>
          <w:sz w:val="20"/>
          <w:szCs w:val="20"/>
          <w:lang w:val="es-ES_tradnl"/>
        </w:rPr>
      </w:pPr>
      <w:r w:rsidRPr="00D26698">
        <w:rPr>
          <w:rFonts w:ascii="Verdana" w:eastAsia="Calibri" w:hAnsi="Verdana" w:cs="Arial"/>
          <w:sz w:val="20"/>
          <w:szCs w:val="20"/>
          <w:lang w:val="es-ES_tradnl"/>
        </w:rPr>
        <w:t>[…]</w:t>
      </w:r>
    </w:p>
    <w:p w14:paraId="2677A544" w14:textId="77777777" w:rsidR="00D52CE9" w:rsidRPr="00D26698" w:rsidRDefault="00D52CE9" w:rsidP="00D52CE9">
      <w:pPr>
        <w:spacing w:after="0" w:line="240" w:lineRule="auto"/>
        <w:ind w:left="709" w:right="709"/>
        <w:jc w:val="both"/>
        <w:rPr>
          <w:rFonts w:ascii="Verdana" w:eastAsia="Calibri" w:hAnsi="Verdana" w:cs="Arial"/>
          <w:sz w:val="20"/>
          <w:szCs w:val="20"/>
          <w:lang w:val="es-ES_tradnl"/>
        </w:rPr>
      </w:pPr>
      <w:r w:rsidRPr="00D26698">
        <w:rPr>
          <w:rFonts w:ascii="Verdana" w:eastAsia="Calibri" w:hAnsi="Verdana" w:cs="Arial"/>
          <w:sz w:val="20"/>
          <w:szCs w:val="20"/>
          <w:lang w:val="es-ES_tradnl"/>
        </w:rPr>
        <w:t xml:space="preserve">5. Calamidad pública: Es </w:t>
      </w:r>
      <w:bookmarkStart w:id="5" w:name="_Hlk35879333"/>
      <w:r w:rsidRPr="00D26698">
        <w:rPr>
          <w:rFonts w:ascii="Verdana" w:eastAsia="Calibri" w:hAnsi="Verdana" w:cs="Arial"/>
          <w:sz w:val="20"/>
          <w:szCs w:val="20"/>
          <w:lang w:val="es-ES_tradnl"/>
        </w:rPr>
        <w:t xml:space="preserve">el resultado que se desencadena de la manifestación de uno o varios eventos naturales </w:t>
      </w:r>
      <w:bookmarkStart w:id="6" w:name="_Hlk35870820"/>
      <w:r w:rsidRPr="00D26698">
        <w:rPr>
          <w:rFonts w:ascii="Verdana" w:eastAsia="Calibri" w:hAnsi="Verdana" w:cs="Arial"/>
          <w:sz w:val="20"/>
          <w:szCs w:val="20"/>
          <w:lang w:val="es-ES_tradnl"/>
        </w:rPr>
        <w:t xml:space="preserve">o antropogénicos no intencionales </w:t>
      </w:r>
      <w:bookmarkEnd w:id="6"/>
      <w:r w:rsidRPr="00D26698">
        <w:rPr>
          <w:rFonts w:ascii="Verdana" w:eastAsia="Calibri" w:hAnsi="Verdana" w:cs="Arial"/>
          <w:sz w:val="20"/>
          <w:szCs w:val="20"/>
          <w:lang w:val="es-ES_tradnl"/>
        </w:rPr>
        <w:t xml:space="preserve">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w:t>
      </w:r>
      <w:bookmarkEnd w:id="5"/>
      <w:r w:rsidRPr="00D26698">
        <w:rPr>
          <w:rFonts w:ascii="Verdana" w:eastAsia="Calibri" w:hAnsi="Verdana" w:cs="Arial"/>
          <w:sz w:val="20"/>
          <w:szCs w:val="20"/>
          <w:lang w:val="es-ES_tradnl"/>
        </w:rPr>
        <w:t>de la población, en el respectivo territorio, que exige al municipio, distrito o departamento ejecutar acciones de respuesta a la emergencia, rehabilitación y reconstrucción.</w:t>
      </w:r>
    </w:p>
    <w:p w14:paraId="570BE609" w14:textId="77777777" w:rsidR="00D52CE9" w:rsidRPr="00D26698" w:rsidRDefault="00D52CE9" w:rsidP="00D52CE9">
      <w:pPr>
        <w:spacing w:after="120" w:line="240" w:lineRule="auto"/>
        <w:ind w:left="709" w:right="709"/>
        <w:jc w:val="both"/>
        <w:rPr>
          <w:rFonts w:ascii="Verdana" w:eastAsia="Calibri" w:hAnsi="Verdana" w:cs="Arial"/>
          <w:sz w:val="20"/>
          <w:szCs w:val="20"/>
          <w:lang w:val="es-ES_tradnl"/>
        </w:rPr>
      </w:pPr>
      <w:r w:rsidRPr="00D26698">
        <w:rPr>
          <w:rFonts w:ascii="Verdana" w:eastAsia="Calibri" w:hAnsi="Verdana" w:cs="Arial"/>
          <w:sz w:val="20"/>
          <w:szCs w:val="20"/>
          <w:lang w:val="es-ES_tradnl"/>
        </w:rPr>
        <w:t xml:space="preserve">[…] </w:t>
      </w:r>
    </w:p>
    <w:p w14:paraId="7E84DA48" w14:textId="77777777" w:rsidR="00D52CE9" w:rsidRPr="00D93A6C" w:rsidRDefault="00D52CE9" w:rsidP="00D52CE9">
      <w:pPr>
        <w:spacing w:after="0" w:line="240" w:lineRule="auto"/>
        <w:ind w:left="709" w:right="709"/>
        <w:jc w:val="both"/>
        <w:rPr>
          <w:rFonts w:ascii="Verdana" w:eastAsia="Calibri" w:hAnsi="Verdana" w:cs="Arial"/>
          <w:lang w:val="es-ES_tradnl"/>
        </w:rPr>
      </w:pPr>
      <w:r w:rsidRPr="00D26698">
        <w:rPr>
          <w:rFonts w:ascii="Verdana" w:eastAsia="Calibri" w:hAnsi="Verdana" w:cs="Arial"/>
          <w:sz w:val="20"/>
          <w:szCs w:val="20"/>
          <w:lang w:val="es-ES_tradnl"/>
        </w:rPr>
        <w:t xml:space="preserve">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w:t>
      </w:r>
      <w:r w:rsidRPr="00D26698">
        <w:rPr>
          <w:rFonts w:ascii="Verdana" w:eastAsia="Calibri" w:hAnsi="Verdana" w:cs="Arial"/>
          <w:sz w:val="20"/>
          <w:szCs w:val="20"/>
          <w:lang w:val="es-ES_tradnl"/>
        </w:rPr>
        <w:lastRenderedPageBreak/>
        <w:t>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49B6F564" w14:textId="77777777" w:rsidR="00D52CE9" w:rsidRPr="00D93A6C" w:rsidRDefault="00D52CE9" w:rsidP="00D52CE9">
      <w:pPr>
        <w:spacing w:after="0" w:line="276" w:lineRule="auto"/>
        <w:ind w:left="709" w:right="709"/>
        <w:jc w:val="both"/>
        <w:rPr>
          <w:rFonts w:ascii="Verdana" w:eastAsia="Calibri" w:hAnsi="Verdana" w:cs="Arial"/>
          <w:lang w:val="es-ES_tradnl"/>
        </w:rPr>
      </w:pPr>
    </w:p>
    <w:p w14:paraId="0AF0D320" w14:textId="77777777" w:rsidR="00D52CE9" w:rsidRPr="00D93A6C" w:rsidRDefault="00D52CE9" w:rsidP="00D52CE9">
      <w:pPr>
        <w:spacing w:after="120" w:line="276" w:lineRule="auto"/>
        <w:ind w:firstLine="709"/>
        <w:jc w:val="both"/>
        <w:rPr>
          <w:rFonts w:ascii="Verdana" w:eastAsia="Calibri" w:hAnsi="Verdana" w:cs="Arial"/>
          <w:lang w:val="es-ES"/>
        </w:rPr>
      </w:pPr>
      <w:r w:rsidRPr="67AA468F">
        <w:rPr>
          <w:rFonts w:ascii="Verdana" w:eastAsia="Calibri" w:hAnsi="Verdana" w:cs="Arial"/>
          <w:lang w:val="es-ES"/>
        </w:rPr>
        <w:t xml:space="preserve">Esta norma debe armonizarse con los artículos 56 y 57 </w:t>
      </w:r>
      <w:r w:rsidRPr="67AA468F">
        <w:rPr>
          <w:rFonts w:ascii="Verdana" w:eastAsia="Calibri" w:hAnsi="Verdana" w:cs="Arial"/>
          <w:i/>
          <w:lang w:val="es-ES"/>
        </w:rPr>
        <w:t>ibidem</w:t>
      </w:r>
      <w:r w:rsidRPr="67AA468F">
        <w:rPr>
          <w:rFonts w:ascii="Verdana" w:eastAsia="Calibri" w:hAnsi="Verdana" w:cs="Arial"/>
          <w:lang w:val="es-ES"/>
        </w:rPr>
        <w:t xml:space="preserve">, que asignan la competencia para declarar la ocurrencia de una situación de </w:t>
      </w:r>
      <w:r w:rsidRPr="67AA468F">
        <w:rPr>
          <w:rFonts w:ascii="Verdana" w:eastAsia="Calibri" w:hAnsi="Verdana" w:cs="Arial"/>
          <w:i/>
          <w:lang w:val="es-ES"/>
        </w:rPr>
        <w:t>desastre</w:t>
      </w:r>
      <w:r w:rsidRPr="67AA468F">
        <w:rPr>
          <w:rFonts w:ascii="Verdana" w:eastAsia="Calibri" w:hAnsi="Verdana" w:cs="Arial"/>
          <w:lang w:val="es-ES"/>
        </w:rPr>
        <w:t xml:space="preserve"> o una situación de </w:t>
      </w:r>
      <w:r w:rsidRPr="67AA468F">
        <w:rPr>
          <w:rFonts w:ascii="Verdana" w:eastAsia="Calibri" w:hAnsi="Verdana" w:cs="Arial"/>
          <w:i/>
          <w:lang w:val="es-ES"/>
        </w:rPr>
        <w:t>calamidad pública</w:t>
      </w:r>
      <w:r w:rsidRPr="67AA468F">
        <w:rPr>
          <w:rFonts w:ascii="Verdana" w:eastAsia="Calibri" w:hAnsi="Verdana" w:cs="Arial"/>
          <w:lang w:val="es-ES"/>
        </w:rPr>
        <w:t xml:space="preserve">. Particularmente, disponen que al </w:t>
      </w:r>
      <w:proofErr w:type="gramStart"/>
      <w:r w:rsidRPr="67AA468F">
        <w:rPr>
          <w:rFonts w:ascii="Verdana" w:eastAsia="Calibri" w:hAnsi="Verdana" w:cs="Arial"/>
          <w:lang w:val="es-ES"/>
        </w:rPr>
        <w:t>Presidente</w:t>
      </w:r>
      <w:proofErr w:type="gramEnd"/>
      <w:r w:rsidRPr="67AA468F">
        <w:rPr>
          <w:rFonts w:ascii="Verdana" w:eastAsia="Calibri" w:hAnsi="Verdana" w:cs="Arial"/>
          <w:lang w:val="es-ES"/>
        </w:rPr>
        <w:t xml:space="preserve"> de la República le corresponde declarar la situación de </w:t>
      </w:r>
      <w:r w:rsidRPr="67AA468F">
        <w:rPr>
          <w:rFonts w:ascii="Verdana" w:eastAsia="Calibri" w:hAnsi="Verdana" w:cs="Arial"/>
          <w:i/>
          <w:lang w:val="es-ES"/>
        </w:rPr>
        <w:t>desastre</w:t>
      </w:r>
      <w:r w:rsidRPr="67AA468F">
        <w:rPr>
          <w:rFonts w:ascii="Verdana" w:eastAsia="Calibri" w:hAnsi="Verdana" w:cs="Arial"/>
          <w:lang w:val="es-ES"/>
        </w:rPr>
        <w:t>, tanto en el orden nacional, departamental, como en el municipal y distrital</w:t>
      </w:r>
      <w:r w:rsidRPr="67AA468F">
        <w:rPr>
          <w:rStyle w:val="Refdenotaalpie"/>
          <w:rFonts w:ascii="Verdana" w:eastAsia="Calibri" w:hAnsi="Verdana" w:cs="Arial"/>
          <w:lang w:val="es-ES"/>
        </w:rPr>
        <w:footnoteReference w:id="2"/>
      </w:r>
      <w:r w:rsidRPr="67AA468F">
        <w:rPr>
          <w:rFonts w:ascii="Verdana" w:eastAsia="Calibri" w:hAnsi="Verdana" w:cs="Arial"/>
          <w:lang w:val="es-ES"/>
        </w:rPr>
        <w:t xml:space="preserve">, facultad que no pueden ejercer los gobernadores y alcaldes, porque la norma no les asignó esta competencia. No obstante, a los gobernadores y alcaldes sí les corresponde declarar la </w:t>
      </w:r>
      <w:r w:rsidRPr="67AA468F">
        <w:rPr>
          <w:rFonts w:ascii="Verdana" w:eastAsia="Calibri" w:hAnsi="Verdana" w:cs="Arial"/>
          <w:i/>
          <w:lang w:val="es-ES"/>
        </w:rPr>
        <w:t>situación de calamidad pública</w:t>
      </w:r>
      <w:r w:rsidRPr="67AA468F">
        <w:rPr>
          <w:rFonts w:ascii="Verdana" w:eastAsia="Calibri" w:hAnsi="Verdana" w:cs="Arial"/>
          <w:lang w:val="es-ES"/>
        </w:rPr>
        <w:t>, en los respectivos ámbitos, facultad que, en cambio, no puede ejercer el presidente de la república</w:t>
      </w:r>
      <w:r w:rsidRPr="67AA468F">
        <w:rPr>
          <w:rStyle w:val="Refdenotaalpie"/>
          <w:rFonts w:ascii="Verdana" w:eastAsia="Calibri" w:hAnsi="Verdana" w:cs="Arial"/>
          <w:lang w:val="es-ES"/>
        </w:rPr>
        <w:footnoteReference w:id="3"/>
      </w:r>
      <w:r w:rsidRPr="67AA468F">
        <w:rPr>
          <w:rFonts w:ascii="Verdana" w:eastAsia="Calibri" w:hAnsi="Verdana" w:cs="Arial"/>
          <w:lang w:val="es-ES"/>
        </w:rPr>
        <w:t xml:space="preserve">. </w:t>
      </w:r>
    </w:p>
    <w:p w14:paraId="53E02547" w14:textId="77777777" w:rsidR="00D52CE9" w:rsidRPr="00D93A6C" w:rsidRDefault="00D52CE9" w:rsidP="00D52CE9">
      <w:pPr>
        <w:spacing w:after="120" w:line="276" w:lineRule="auto"/>
        <w:ind w:firstLine="709"/>
        <w:jc w:val="both"/>
        <w:rPr>
          <w:rFonts w:ascii="Verdana" w:eastAsia="Calibri" w:hAnsi="Verdana" w:cs="Arial"/>
          <w:lang w:val="es-ES_tradnl"/>
        </w:rPr>
      </w:pPr>
      <w:r w:rsidRPr="00D93A6C">
        <w:rPr>
          <w:rFonts w:ascii="Verdana" w:eastAsia="Calibri" w:hAnsi="Verdana" w:cs="Arial"/>
          <w:lang w:val="es-ES_tradnl"/>
        </w:rPr>
        <w:t xml:space="preserve">De esta manera, una vez se declara la situación de calamidad o la situación de desastre bajo los criterios señalados en el artículo 59 de la Ley 1523 </w:t>
      </w:r>
      <w:r w:rsidRPr="00D93A6C">
        <w:rPr>
          <w:rFonts w:ascii="Verdana" w:eastAsia="Calibri" w:hAnsi="Verdana" w:cs="Arial"/>
          <w:lang w:val="es-ES_tradnl"/>
        </w:rPr>
        <w:lastRenderedPageBreak/>
        <w:t xml:space="preserve">de 2012, por parte de la autoridad competente, las demás entidades estatales –de conformidad con el artículo 42 de la Ley 80 de 1993– quedan facultadas para declarar, a continuación, la causal de contratación directa denominada “urgencia manifiesta”, mediante un acto administrativo propio, autónomo, que tiene como fundamento fáctico y jurídico la declaración de situación de calamidad o la situación de desastre. </w:t>
      </w:r>
    </w:p>
    <w:p w14:paraId="5902E68A" w14:textId="77777777" w:rsidR="00D52CE9" w:rsidRPr="00D93A6C" w:rsidRDefault="00D52CE9" w:rsidP="00D52CE9">
      <w:pPr>
        <w:spacing w:after="120" w:line="276" w:lineRule="auto"/>
        <w:ind w:firstLine="709"/>
        <w:jc w:val="both"/>
        <w:rPr>
          <w:rFonts w:ascii="Verdana" w:eastAsia="Calibri" w:hAnsi="Verdana" w:cs="Arial"/>
          <w:lang w:val="es-ES"/>
        </w:rPr>
      </w:pPr>
      <w:bookmarkStart w:id="8" w:name="_Hlk35959844"/>
      <w:r w:rsidRPr="67AA468F">
        <w:rPr>
          <w:rFonts w:ascii="Verdana" w:eastAsia="Calibri" w:hAnsi="Verdana" w:cs="Arial"/>
          <w:lang w:val="es-ES"/>
        </w:rPr>
        <w:t xml:space="preserve">Lo anterior significa que </w:t>
      </w:r>
      <w:bookmarkStart w:id="9" w:name="_Hlk35959859"/>
      <w:r w:rsidRPr="67AA468F">
        <w:rPr>
          <w:rFonts w:ascii="Verdana" w:eastAsia="Calibri" w:hAnsi="Verdana" w:cs="Arial"/>
          <w:lang w:val="es-ES"/>
        </w:rPr>
        <w:t xml:space="preserve">para contratar </w:t>
      </w:r>
      <w:bookmarkEnd w:id="8"/>
      <w:r w:rsidRPr="67AA468F">
        <w:rPr>
          <w:rFonts w:ascii="Verdana" w:eastAsia="Calibri" w:hAnsi="Verdana" w:cs="Arial"/>
          <w:lang w:val="es-ES"/>
        </w:rPr>
        <w:t xml:space="preserve">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w:t>
      </w:r>
      <w:proofErr w:type="spellStart"/>
      <w:r w:rsidRPr="67AA468F">
        <w:rPr>
          <w:rFonts w:ascii="Verdana" w:eastAsia="Calibri" w:hAnsi="Verdana" w:cs="Arial"/>
          <w:lang w:val="es-ES"/>
        </w:rPr>
        <w:t>ii</w:t>
      </w:r>
      <w:proofErr w:type="spellEnd"/>
      <w:r w:rsidRPr="67AA468F">
        <w:rPr>
          <w:rFonts w:ascii="Verdana" w:eastAsia="Calibri" w:hAnsi="Verdana" w:cs="Arial"/>
          <w:lang w:val="es-ES"/>
        </w:rPr>
        <w:t>) el segundo, la declaración propiamente dicha de “urgencia manifiesta” de que trata el artículo 42 del Estatuto General de Contratación, amparado o fundamentado en la declaración previa del desastre o calamidad.</w:t>
      </w:r>
    </w:p>
    <w:p w14:paraId="5F531C7D" w14:textId="77777777" w:rsidR="00D52CE9" w:rsidRPr="00D93A6C" w:rsidRDefault="00D52CE9" w:rsidP="00D52CE9">
      <w:pPr>
        <w:spacing w:after="120" w:line="276" w:lineRule="auto"/>
        <w:ind w:firstLine="709"/>
        <w:jc w:val="both"/>
        <w:rPr>
          <w:rFonts w:ascii="Verdana" w:eastAsia="Calibri" w:hAnsi="Verdana" w:cs="Arial"/>
          <w:lang w:val="es-ES"/>
        </w:rPr>
      </w:pPr>
      <w:r w:rsidRPr="00D93A6C">
        <w:rPr>
          <w:rFonts w:ascii="Verdana" w:eastAsia="Calibri" w:hAnsi="Verdana" w:cs="Arial"/>
          <w:lang w:val="es-ES_tradnl"/>
        </w:rPr>
        <w:t xml:space="preserve"> </w:t>
      </w:r>
      <w:bookmarkStart w:id="10" w:name="_Hlk37246142"/>
      <w:bookmarkEnd w:id="9"/>
      <w:r>
        <w:rPr>
          <w:rFonts w:ascii="Verdana" w:eastAsia="Calibri" w:hAnsi="Verdana" w:cs="Arial"/>
          <w:lang w:val="es-ES"/>
        </w:rPr>
        <w:t>P</w:t>
      </w:r>
      <w:r w:rsidRPr="3683B926">
        <w:rPr>
          <w:rFonts w:ascii="Verdana" w:eastAsia="Calibri" w:hAnsi="Verdana" w:cs="Arial"/>
          <w:lang w:val="es-ES"/>
        </w:rPr>
        <w:t>ara declarar la urgencia manifiesta es imprescindible que el presidente de la república o el gobernador o el alcalde, según el caso, hayan declarado la situación de desastre o la declaración de calamidad.</w:t>
      </w:r>
      <w:r>
        <w:rPr>
          <w:rFonts w:ascii="Verdana" w:eastAsia="Calibri" w:hAnsi="Verdana" w:cs="Arial"/>
          <w:lang w:val="es-ES"/>
        </w:rPr>
        <w:t xml:space="preserve"> Tratándose de los funcionarios mencionados, ambas declaraciones pueden realizarse en un mismo acto administrativo, es decir, el presidente, el gobernador o el alcalde declara el desastre o la calamidad y, como consecuencia, decreta la urgencia manifiesta.</w:t>
      </w:r>
      <w:r w:rsidRPr="3683B926">
        <w:rPr>
          <w:rFonts w:ascii="Verdana" w:eastAsia="Calibri" w:hAnsi="Verdana" w:cs="Arial"/>
          <w:lang w:val="es-ES"/>
        </w:rPr>
        <w:t xml:space="preserve"> Lo anterior,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1278D7E1" w14:textId="77777777" w:rsidR="00D52CE9" w:rsidRDefault="00D52CE9" w:rsidP="00D52CE9">
      <w:pPr>
        <w:spacing w:after="0" w:line="276" w:lineRule="auto"/>
        <w:ind w:firstLine="709"/>
        <w:jc w:val="both"/>
        <w:rPr>
          <w:rFonts w:ascii="Verdana" w:eastAsia="Calibri" w:hAnsi="Verdana" w:cs="Arial"/>
          <w:lang w:val="es-ES_tradnl"/>
        </w:rPr>
      </w:pPr>
      <w:r>
        <w:rPr>
          <w:rFonts w:ascii="Verdana" w:eastAsia="Calibri" w:hAnsi="Verdana" w:cs="Arial"/>
          <w:lang w:val="es-ES_tradnl"/>
        </w:rPr>
        <w:t>C</w:t>
      </w:r>
      <w:r w:rsidRPr="00D93A6C">
        <w:rPr>
          <w:rFonts w:ascii="Verdana" w:eastAsia="Calibri" w:hAnsi="Verdana" w:cs="Arial"/>
          <w:lang w:val="es-ES_tradnl"/>
        </w:rPr>
        <w:t xml:space="preserve">omo una autoridad diferente al presidente de la república, o al gobernador y el alcalde –por ejemplo, los ministros, directores o presidentes de agencias, directores de establecimientos públicos, de sociedades de economía mixta, etc.–, carece de competencia para declarar cualquiera de estas dos </w:t>
      </w:r>
      <w:r>
        <w:rPr>
          <w:rFonts w:ascii="Verdana" w:eastAsia="Calibri" w:hAnsi="Verdana" w:cs="Arial"/>
          <w:lang w:val="es-ES_tradnl"/>
        </w:rPr>
        <w:t xml:space="preserve">(2) </w:t>
      </w:r>
      <w:r w:rsidRPr="00D93A6C">
        <w:rPr>
          <w:rFonts w:ascii="Verdana" w:eastAsia="Calibri" w:hAnsi="Verdana" w:cs="Arial"/>
          <w:lang w:val="es-ES_tradnl"/>
        </w:rPr>
        <w:t xml:space="preserve">situaciones, deben esperar a que se dicten los actos respectivos para fundamentar la declaración de urgencia manifiesta en la situación de desastre o en la situación de calamidad. </w:t>
      </w:r>
      <w:r>
        <w:rPr>
          <w:rFonts w:ascii="Verdana" w:eastAsia="Calibri" w:hAnsi="Verdana" w:cs="Arial"/>
          <w:lang w:val="es-ES_tradnl"/>
        </w:rPr>
        <w:t xml:space="preserve">En esta segunda hipótesis, se expiden dos (2) actos administrativos separados: el presidente, gobernador o alcalde declara el desastre o la calamidad, por un lado, y </w:t>
      </w:r>
      <w:r w:rsidRPr="00D93A6C">
        <w:rPr>
          <w:rFonts w:ascii="Verdana" w:eastAsia="Calibri" w:hAnsi="Verdana" w:cs="Arial"/>
          <w:lang w:val="es-ES_tradnl"/>
        </w:rPr>
        <w:t xml:space="preserve">los ministros, directores o presidentes de agencias, directores de establecimientos públicos, de sociedades de economía </w:t>
      </w:r>
      <w:r w:rsidRPr="00D93A6C">
        <w:rPr>
          <w:rFonts w:ascii="Verdana" w:eastAsia="Calibri" w:hAnsi="Verdana" w:cs="Arial"/>
          <w:lang w:val="es-ES_tradnl"/>
        </w:rPr>
        <w:lastRenderedPageBreak/>
        <w:t>mixta, etc.</w:t>
      </w:r>
      <w:r>
        <w:rPr>
          <w:rFonts w:ascii="Verdana" w:eastAsia="Calibri" w:hAnsi="Verdana" w:cs="Arial"/>
          <w:lang w:val="es-ES_tradnl"/>
        </w:rPr>
        <w:t xml:space="preserve"> decretan la urgencia manifiesta, por otro. </w:t>
      </w:r>
      <w:r w:rsidRPr="00D93A6C">
        <w:rPr>
          <w:rFonts w:ascii="Verdana" w:eastAsia="Calibri" w:hAnsi="Verdana" w:cs="Arial"/>
          <w:lang w:val="es-ES_tradnl"/>
        </w:rPr>
        <w:t xml:space="preserve">Por lo anterior, cuando el artículo 42 de la Ley 80 de 1993 dispone que la urgencia manifiesta se declara –entre otras tres (3) causales– para “[…] </w:t>
      </w:r>
      <w:bookmarkStart w:id="11" w:name="_Hlk35879915"/>
      <w:r w:rsidRPr="00D93A6C">
        <w:rPr>
          <w:rFonts w:ascii="Verdana" w:eastAsia="Calibri" w:hAnsi="Verdana" w:cs="Arial"/>
          <w:lang w:val="es-ES_tradnl"/>
        </w:rPr>
        <w:t>conjurar situaciones excepcionales relacionadas con hechos de calamidad o constitutivos de fuerza mayor o desastre que demanden actuaciones inmediatas</w:t>
      </w:r>
      <w:bookmarkEnd w:id="11"/>
      <w:r w:rsidRPr="00D93A6C">
        <w:rPr>
          <w:rFonts w:ascii="Verdana" w:eastAsia="Calibri" w:hAnsi="Verdana" w:cs="Arial"/>
          <w:lang w:val="es-ES_tradnl"/>
        </w:rPr>
        <w:t xml:space="preserve"> […]”, las circunstancias de calamidad y desastre deben entenderse en los términos de la Ley 1523 de 2012, en la medida que forman una unidad jurídica completa.</w:t>
      </w:r>
    </w:p>
    <w:p w14:paraId="40FE9EDE" w14:textId="77777777" w:rsidR="00D52CE9" w:rsidRDefault="00D52CE9" w:rsidP="00D52CE9">
      <w:pPr>
        <w:spacing w:after="0" w:line="276" w:lineRule="auto"/>
        <w:ind w:firstLine="709"/>
        <w:jc w:val="both"/>
        <w:rPr>
          <w:rFonts w:ascii="Verdana" w:eastAsia="Calibri" w:hAnsi="Verdana" w:cs="Arial"/>
          <w:lang w:val="es-ES_tradnl"/>
        </w:rPr>
      </w:pPr>
    </w:p>
    <w:p w14:paraId="0321731C" w14:textId="77777777" w:rsidR="00D52CE9" w:rsidRPr="00916903" w:rsidRDefault="00D52CE9" w:rsidP="00D52CE9">
      <w:pPr>
        <w:spacing w:after="120" w:line="276" w:lineRule="auto"/>
        <w:jc w:val="both"/>
        <w:rPr>
          <w:rFonts w:ascii="Verdana" w:eastAsia="Calibri" w:hAnsi="Verdana" w:cs="Arial"/>
          <w:lang w:val="es-ES"/>
        </w:rPr>
      </w:pPr>
      <w:proofErr w:type="spellStart"/>
      <w:r w:rsidRPr="67AA468F">
        <w:rPr>
          <w:rFonts w:ascii="Verdana" w:eastAsia="Calibri" w:hAnsi="Verdana" w:cs="Arial"/>
          <w:lang w:val="es-ES"/>
        </w:rPr>
        <w:t>ii</w:t>
      </w:r>
      <w:proofErr w:type="spellEnd"/>
      <w:r w:rsidRPr="67AA468F">
        <w:rPr>
          <w:rFonts w:ascii="Verdana" w:eastAsia="Calibri" w:hAnsi="Verdana" w:cs="Arial"/>
          <w:lang w:val="es-ES"/>
        </w:rPr>
        <w:t xml:space="preserve">. Si bien la necesidad de contar con los dos actos administrativos anteriormente mencionados es un principio general, para el común de las entidades estatales, es necesario considerar el matiz introducido por el artículo 66 de la Ley 1523 de 2012, hipótesis en la cual basta declarar la situación de desastre o la situación de calamidad pública para contratar con el derecho privado, y los principios de la función administrativa y de la gestión fiscal. </w:t>
      </w:r>
    </w:p>
    <w:bookmarkEnd w:id="10"/>
    <w:p w14:paraId="35499F16" w14:textId="77777777" w:rsidR="00D52CE9" w:rsidRDefault="00D52CE9" w:rsidP="00D52CE9">
      <w:pPr>
        <w:spacing w:after="120" w:line="276" w:lineRule="auto"/>
        <w:ind w:firstLine="709"/>
        <w:jc w:val="both"/>
        <w:rPr>
          <w:rFonts w:ascii="Verdana" w:eastAsia="Calibri" w:hAnsi="Verdana" w:cs="Arial"/>
          <w:lang w:val="es-ES_tradnl"/>
        </w:rPr>
      </w:pPr>
      <w:r w:rsidRPr="00916903">
        <w:rPr>
          <w:rFonts w:ascii="Verdana" w:eastAsia="Calibri" w:hAnsi="Verdana" w:cs="Arial"/>
          <w:lang w:val="es-ES_tradnl"/>
        </w:rPr>
        <w:t xml:space="preserve">La interpretación </w:t>
      </w:r>
      <w:r>
        <w:rPr>
          <w:rFonts w:ascii="Verdana" w:eastAsia="Calibri" w:hAnsi="Verdana" w:cs="Arial"/>
          <w:lang w:val="es-ES_tradnl"/>
        </w:rPr>
        <w:t>de esta norma</w:t>
      </w:r>
      <w:r w:rsidRPr="00916903">
        <w:rPr>
          <w:rFonts w:ascii="Verdana" w:eastAsia="Calibri" w:hAnsi="Verdana" w:cs="Arial"/>
          <w:lang w:val="es-ES_tradnl"/>
        </w:rPr>
        <w:t xml:space="preserve"> supone tener en cuenta que, de conformidad con el artículo 47, se constituyó el </w:t>
      </w:r>
      <w:bookmarkStart w:id="12" w:name="_Hlk36225979"/>
      <w:r w:rsidRPr="00916903">
        <w:rPr>
          <w:rFonts w:ascii="Verdana" w:eastAsia="Calibri" w:hAnsi="Verdana" w:cs="Arial"/>
          <w:lang w:val="es-ES_tradnl"/>
        </w:rPr>
        <w:t>Fondo Nacional de Gestión de Riesgo de Desastres</w:t>
      </w:r>
      <w:bookmarkEnd w:id="12"/>
      <w:r w:rsidRPr="00916903">
        <w:rPr>
          <w:rFonts w:ascii="Verdana" w:eastAsia="Calibri" w:hAnsi="Verdana" w:cs="Arial"/>
          <w:lang w:val="es-ES_tradnl"/>
        </w:rPr>
        <w:t xml:space="preserve"> como un patrimonio autónomo –artículo 49–, administrado y representado en los términos del artículo 3° del Decreto 1547 de 1984 –modificado por el artículo 70 de Decreto-ley 919 de 1989</w:t>
      </w:r>
      <w:r w:rsidRPr="00916903">
        <w:rPr>
          <w:rStyle w:val="Refdenotaalpie"/>
          <w:rFonts w:ascii="Verdana" w:eastAsia="Calibri" w:hAnsi="Verdana" w:cs="Arial"/>
          <w:lang w:val="es-ES_tradnl"/>
        </w:rPr>
        <w:footnoteReference w:id="4"/>
      </w:r>
      <w:r w:rsidRPr="00916903">
        <w:rPr>
          <w:rFonts w:ascii="Verdana" w:eastAsia="Calibri" w:hAnsi="Verdana" w:cs="Arial"/>
          <w:lang w:val="es-ES_tradnl"/>
        </w:rPr>
        <w:t xml:space="preserve"> (artículo 48)–, destinado a adoptar medidas de conocimiento y reducción del riesgo de desastres, preparación, respuesta, rehabilitación y reconstrucción, a través de mecanismos de financiación dirigidos a las entidades involucradas en los procesos y a la población afectada por la ocurrencia de desastres, cuyo régimen contractual es el de las empresas industriales y comerciales, sin perjuicio de las facultades especiales para atender situaciones de desastres y evitar la extensión de los efectos –parágrafo 3 del artículo 50–. </w:t>
      </w:r>
    </w:p>
    <w:p w14:paraId="6468E563" w14:textId="77777777" w:rsidR="00D52CE9" w:rsidRPr="009D7E06" w:rsidRDefault="00D52CE9" w:rsidP="00D52CE9">
      <w:pPr>
        <w:spacing w:after="120" w:line="276" w:lineRule="auto"/>
        <w:ind w:firstLine="708"/>
        <w:jc w:val="both"/>
        <w:rPr>
          <w:rFonts w:ascii="Verdana" w:eastAsia="Calibri" w:hAnsi="Verdana" w:cs="Arial"/>
          <w:b/>
          <w:bCs/>
          <w:color w:val="000000" w:themeColor="text1"/>
        </w:rPr>
      </w:pPr>
      <w:r w:rsidRPr="009D7E06">
        <w:rPr>
          <w:rFonts w:ascii="Verdana" w:eastAsia="Calibri" w:hAnsi="Verdana" w:cs="Arial"/>
          <w:lang w:val="es-ES_tradnl"/>
        </w:rPr>
        <w:t>Para interpretar el primer aparte</w:t>
      </w:r>
      <w:r>
        <w:rPr>
          <w:rFonts w:ascii="Verdana" w:eastAsia="Calibri" w:hAnsi="Verdana" w:cs="Arial"/>
          <w:lang w:val="es-ES_tradnl"/>
        </w:rPr>
        <w:t xml:space="preserve"> del</w:t>
      </w:r>
      <w:r w:rsidRPr="009D7E06">
        <w:rPr>
          <w:rFonts w:ascii="Verdana" w:eastAsia="Calibri" w:hAnsi="Verdana" w:cs="Arial"/>
          <w:lang w:val="es-ES_tradnl"/>
        </w:rPr>
        <w:t xml:space="preserve"> </w:t>
      </w:r>
      <w:r w:rsidRPr="00916903">
        <w:rPr>
          <w:rFonts w:ascii="Verdana" w:eastAsia="Calibri" w:hAnsi="Verdana" w:cs="Arial"/>
          <w:lang w:val="es-ES_tradnl"/>
        </w:rPr>
        <w:t>parágrafo 3 del artículo 50</w:t>
      </w:r>
      <w:r>
        <w:rPr>
          <w:rFonts w:ascii="Verdana" w:eastAsia="Calibri" w:hAnsi="Verdana" w:cs="Arial"/>
          <w:lang w:val="es-ES_tradnl"/>
        </w:rPr>
        <w:t xml:space="preserve"> de la Ley </w:t>
      </w:r>
      <w:r w:rsidRPr="00916903">
        <w:rPr>
          <w:rFonts w:ascii="Verdana" w:eastAsia="Calibri" w:hAnsi="Verdana" w:cs="Arial"/>
          <w:lang w:val="es-ES_tradnl"/>
        </w:rPr>
        <w:t>1523 de 2012</w:t>
      </w:r>
      <w:r w:rsidRPr="009D7E06">
        <w:rPr>
          <w:rFonts w:ascii="Verdana" w:eastAsia="Calibri" w:hAnsi="Verdana" w:cs="Arial"/>
          <w:lang w:val="es-ES_tradnl"/>
        </w:rPr>
        <w:t xml:space="preserve">, es necesario tener en cuenta que </w:t>
      </w:r>
      <w:r w:rsidRPr="009D7E06">
        <w:rPr>
          <w:rFonts w:ascii="Verdana" w:eastAsia="Calibri" w:hAnsi="Verdana" w:cs="Arial"/>
          <w:color w:val="000000" w:themeColor="text1"/>
        </w:rPr>
        <w:t>en la estructura de la Administración pública se encuentran las entidades descentralizadas por servicios, y dentro de dicha categoría se ubican las empresas industriales y comerciales del Estado, las cuales –sin perjuicio del control de tutela– tienen personería jurídica, autonomía administrativa y patrimonio propio.</w:t>
      </w:r>
      <w:r w:rsidRPr="009D7E06">
        <w:rPr>
          <w:rFonts w:ascii="Verdana" w:eastAsia="Calibri" w:hAnsi="Verdana" w:cs="Arial"/>
          <w:b/>
          <w:bCs/>
          <w:color w:val="000000" w:themeColor="text1"/>
        </w:rPr>
        <w:t xml:space="preserve"> </w:t>
      </w:r>
      <w:r w:rsidRPr="009D7E06">
        <w:rPr>
          <w:rFonts w:ascii="Verdana" w:eastAsia="Calibri" w:hAnsi="Verdana" w:cs="Arial"/>
          <w:color w:val="000000" w:themeColor="text1"/>
        </w:rPr>
        <w:t xml:space="preserve">Estas </w:t>
      </w:r>
      <w:r w:rsidRPr="009D7E06">
        <w:rPr>
          <w:rFonts w:ascii="Verdana" w:eastAsia="Calibri" w:hAnsi="Verdana" w:cs="Arial"/>
          <w:color w:val="000000" w:themeColor="text1"/>
        </w:rPr>
        <w:lastRenderedPageBreak/>
        <w:t>entidades, como su nombre lo indica, se caracterizan por desarrollar actividades de carácter industrial o comercial. Así, por ejemplo, son empresas industriales y comerciales del Estado la Imprenta Nacional de Colombia, Coljuegos, Indumil, la Caja Promotora de Vivienda Militar y de Policía, Colpensiones, entre otras.</w:t>
      </w:r>
    </w:p>
    <w:p w14:paraId="2734E201" w14:textId="77777777" w:rsidR="00D52CE9" w:rsidRPr="009D7E06" w:rsidRDefault="00D52CE9" w:rsidP="00D52CE9">
      <w:pPr>
        <w:spacing w:after="120" w:line="276" w:lineRule="auto"/>
        <w:jc w:val="both"/>
        <w:rPr>
          <w:rFonts w:ascii="Verdana" w:eastAsia="Calibri" w:hAnsi="Verdana" w:cs="Arial"/>
          <w:color w:val="000000" w:themeColor="text1"/>
        </w:rPr>
      </w:pPr>
      <w:r w:rsidRPr="009D7E06">
        <w:rPr>
          <w:rFonts w:ascii="Verdana" w:eastAsia="Calibri" w:hAnsi="Verdana" w:cs="Arial"/>
          <w:color w:val="000000" w:themeColor="text1"/>
        </w:rPr>
        <w:tab/>
        <w:t xml:space="preserve">Considerando la actividad desarrollada, se itera, de carácter industrial o comercial, el régimen jurídico aplicable a estas empresas difiere del que corresponde a otras entidades descentralizadas funcionalmente o por servicios, como las superintendencias con personería jurídica, los establecimientos públicos o las unidades administrativas especiales, pues la regla general es el derecho privado, salvo excepciones legales y las contenidas en el acto de creación o en los estatutos de la respectiva empresa industrial o comercial del Estado.         </w:t>
      </w:r>
    </w:p>
    <w:p w14:paraId="32CF0E71" w14:textId="77777777" w:rsidR="00D52CE9" w:rsidRPr="009D7E06" w:rsidRDefault="00D52CE9" w:rsidP="00D52CE9">
      <w:pPr>
        <w:spacing w:after="120" w:line="276" w:lineRule="auto"/>
        <w:jc w:val="both"/>
        <w:rPr>
          <w:rFonts w:ascii="Verdana" w:eastAsia="Calibri" w:hAnsi="Verdana" w:cs="Arial"/>
          <w:color w:val="000000" w:themeColor="text1"/>
        </w:rPr>
      </w:pPr>
      <w:r w:rsidRPr="009D7E06">
        <w:rPr>
          <w:rFonts w:ascii="Verdana" w:eastAsia="Calibri" w:hAnsi="Verdana" w:cs="Arial"/>
          <w:color w:val="000000" w:themeColor="text1"/>
        </w:rPr>
        <w:tab/>
        <w:t>Sobre el régimen de contratación, el artículo 2 de la Ley 80 de 1993 –en concordancia con el artículo 93 de la Ley 489 de 1998– incorporó a las empresas industriales y comerciales del Estado dentro de la categoría de entidades estatales</w:t>
      </w:r>
      <w:r w:rsidRPr="009D7E06">
        <w:rPr>
          <w:rStyle w:val="Refdenotaalpie"/>
          <w:rFonts w:ascii="Verdana" w:eastAsia="Calibri" w:hAnsi="Verdana" w:cs="Arial"/>
          <w:color w:val="000000" w:themeColor="text1"/>
        </w:rPr>
        <w:footnoteReference w:id="5"/>
      </w:r>
      <w:r w:rsidRPr="009D7E06">
        <w:rPr>
          <w:rFonts w:ascii="Verdana" w:eastAsia="Calibri" w:hAnsi="Verdana" w:cs="Arial"/>
          <w:color w:val="000000" w:themeColor="text1"/>
        </w:rPr>
        <w:t>. Para estos efectos, el numeral 1, literal m), del artículo 24 del Estatuto General –derogado por el artículo 32 de la Ley 1150 de 2007– permitía la contratación directa de los bienes y servicios requeridos para el desarrollo de su objeto social, exceptuado los contratos de obra, consultoría, concesión, encargos fiduciarios y fiducia pública</w:t>
      </w:r>
      <w:r w:rsidRPr="009D7E06">
        <w:rPr>
          <w:rStyle w:val="Refdenotaalpie"/>
          <w:rFonts w:ascii="Verdana" w:eastAsia="Calibri" w:hAnsi="Verdana" w:cs="Arial"/>
          <w:color w:val="000000" w:themeColor="text1"/>
        </w:rPr>
        <w:footnoteReference w:id="6"/>
      </w:r>
      <w:r w:rsidRPr="009D7E06">
        <w:rPr>
          <w:rFonts w:ascii="Verdana" w:eastAsia="Calibri" w:hAnsi="Verdana" w:cs="Arial"/>
          <w:color w:val="000000" w:themeColor="text1"/>
        </w:rPr>
        <w:t xml:space="preserve">. </w:t>
      </w:r>
      <w:r>
        <w:rPr>
          <w:rFonts w:ascii="Verdana" w:eastAsia="Calibri" w:hAnsi="Verdana" w:cs="Arial"/>
          <w:color w:val="000000" w:themeColor="text1"/>
        </w:rPr>
        <w:t xml:space="preserve">Con el literal g) del artículo 2.2 de la Ley 1150 de 2007, dicha circunstancia se convierte en una causal de selección </w:t>
      </w:r>
      <w:r>
        <w:rPr>
          <w:rFonts w:ascii="Verdana" w:eastAsia="Calibri" w:hAnsi="Verdana" w:cs="Arial"/>
          <w:color w:val="000000" w:themeColor="text1"/>
        </w:rPr>
        <w:lastRenderedPageBreak/>
        <w:t xml:space="preserve">abreviada, la cual se regirá por el procedimiento de la menor cuantía conforme al artículo </w:t>
      </w:r>
      <w:r w:rsidRPr="00E47542">
        <w:rPr>
          <w:rFonts w:ascii="Verdana" w:eastAsia="Calibri" w:hAnsi="Verdana" w:cs="Arial"/>
          <w:color w:val="000000" w:themeColor="text1"/>
        </w:rPr>
        <w:t>2.2.1.2.1.2.24</w:t>
      </w:r>
      <w:r>
        <w:rPr>
          <w:rFonts w:ascii="Verdana" w:eastAsia="Calibri" w:hAnsi="Verdana" w:cs="Arial"/>
          <w:color w:val="000000" w:themeColor="text1"/>
        </w:rPr>
        <w:t xml:space="preserve"> del Decreto 1082 de 2015</w:t>
      </w:r>
      <w:r>
        <w:rPr>
          <w:rStyle w:val="Refdenotaalpie"/>
          <w:rFonts w:ascii="Verdana" w:eastAsia="Calibri" w:hAnsi="Verdana" w:cs="Arial"/>
          <w:color w:val="000000" w:themeColor="text1"/>
        </w:rPr>
        <w:footnoteReference w:id="7"/>
      </w:r>
      <w:r>
        <w:rPr>
          <w:rFonts w:ascii="Verdana" w:eastAsia="Calibri" w:hAnsi="Verdana" w:cs="Arial"/>
          <w:color w:val="000000" w:themeColor="text1"/>
        </w:rPr>
        <w:t>.</w:t>
      </w:r>
    </w:p>
    <w:p w14:paraId="4C69C2DE" w14:textId="77777777" w:rsidR="00D52CE9" w:rsidRPr="009D7E06" w:rsidRDefault="00D52CE9" w:rsidP="00D52CE9">
      <w:pPr>
        <w:spacing w:after="0" w:line="276" w:lineRule="auto"/>
        <w:jc w:val="both"/>
        <w:rPr>
          <w:rFonts w:ascii="Verdana" w:eastAsia="Calibri" w:hAnsi="Verdana" w:cs="Arial"/>
          <w:color w:val="000000" w:themeColor="text1"/>
        </w:rPr>
      </w:pPr>
      <w:r w:rsidRPr="009D7E06">
        <w:rPr>
          <w:rFonts w:ascii="Verdana" w:eastAsia="Calibri" w:hAnsi="Verdana" w:cs="Arial"/>
          <w:color w:val="000000" w:themeColor="text1"/>
        </w:rPr>
        <w:tab/>
        <w:t xml:space="preserve">Actualmente, el artículo 14 de Ley 1150 de 2007 distingue entre las empresas industriales y comerciales del Estado que desarrollan sus actividades en competencia con los particulares y las que no: mientras los contratos de estas últimas regresan a las normas de la Ley 80 de 1993, los de aquellas permanecen dentro del Código Civil y de Comercio, lo que –respecto al contenido del artículo 85 de la Ley 489 de 1998– implica un retorno parcial del derecho administrativo. </w:t>
      </w:r>
      <w:r>
        <w:rPr>
          <w:rFonts w:ascii="Verdana" w:eastAsia="Calibri" w:hAnsi="Verdana" w:cs="Arial"/>
          <w:color w:val="000000" w:themeColor="text1"/>
        </w:rPr>
        <w:t>L</w:t>
      </w:r>
      <w:r w:rsidRPr="009D7E06">
        <w:rPr>
          <w:rFonts w:ascii="Verdana" w:eastAsia="Calibri" w:hAnsi="Verdana" w:cs="Arial"/>
          <w:color w:val="000000" w:themeColor="text1"/>
        </w:rPr>
        <w:t>a norma anteriormente citada dispone lo siguiente:</w:t>
      </w:r>
    </w:p>
    <w:p w14:paraId="106592DF" w14:textId="77777777" w:rsidR="00D52CE9" w:rsidRPr="009D7E06" w:rsidRDefault="00D52CE9" w:rsidP="00D52CE9">
      <w:pPr>
        <w:spacing w:after="0" w:line="276" w:lineRule="auto"/>
        <w:jc w:val="both"/>
        <w:rPr>
          <w:rFonts w:ascii="Verdana" w:eastAsia="Calibri" w:hAnsi="Verdana" w:cs="Arial"/>
          <w:color w:val="000000" w:themeColor="text1"/>
        </w:rPr>
      </w:pPr>
    </w:p>
    <w:p w14:paraId="23C02EC9" w14:textId="77777777" w:rsidR="00D52CE9" w:rsidRPr="00D26698" w:rsidRDefault="00D52CE9" w:rsidP="00D52CE9">
      <w:pPr>
        <w:spacing w:after="0" w:line="240" w:lineRule="auto"/>
        <w:ind w:left="709" w:right="709"/>
        <w:jc w:val="both"/>
        <w:rPr>
          <w:rFonts w:ascii="Verdana" w:eastAsia="Calibri" w:hAnsi="Verdana" w:cs="Arial"/>
          <w:color w:val="000000" w:themeColor="text1"/>
          <w:sz w:val="20"/>
          <w:szCs w:val="20"/>
        </w:rPr>
      </w:pPr>
      <w:r w:rsidRPr="00D26698">
        <w:rPr>
          <w:rFonts w:ascii="Verdana" w:eastAsia="Calibri" w:hAnsi="Verdana" w:cs="Arial"/>
          <w:color w:val="000000" w:themeColor="text1"/>
          <w:sz w:val="20"/>
          <w:szCs w:val="20"/>
        </w:rPr>
        <w:t>“Artículo 14. Modificado por la Ley 1474 de 2011, artículo 93.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p w14:paraId="1ECF8A39" w14:textId="77777777" w:rsidR="00D52CE9" w:rsidRPr="009D7E06" w:rsidRDefault="00D52CE9" w:rsidP="00D52CE9">
      <w:pPr>
        <w:spacing w:after="0" w:line="276" w:lineRule="auto"/>
        <w:ind w:left="709" w:right="709"/>
        <w:jc w:val="both"/>
        <w:rPr>
          <w:rFonts w:ascii="Verdana" w:eastAsia="Calibri" w:hAnsi="Verdana" w:cs="Arial"/>
          <w:color w:val="000000" w:themeColor="text1"/>
        </w:rPr>
      </w:pPr>
    </w:p>
    <w:p w14:paraId="1AF65ED6" w14:textId="77777777" w:rsidR="00D52CE9" w:rsidRPr="009D7E06" w:rsidRDefault="00D52CE9" w:rsidP="00D52CE9">
      <w:pPr>
        <w:spacing w:after="0" w:line="276" w:lineRule="auto"/>
        <w:jc w:val="both"/>
        <w:rPr>
          <w:rFonts w:ascii="Verdana" w:eastAsia="Calibri" w:hAnsi="Verdana" w:cs="Arial"/>
          <w:color w:val="000000" w:themeColor="text1"/>
        </w:rPr>
      </w:pPr>
      <w:r w:rsidRPr="009D7E06">
        <w:rPr>
          <w:rFonts w:ascii="Verdana" w:eastAsia="Calibri" w:hAnsi="Verdana" w:cs="Arial"/>
          <w:color w:val="000000" w:themeColor="text1"/>
        </w:rPr>
        <w:tab/>
        <w:t>En esta medida, las empresas industriales y comerciales del Estado que no estén en competencia ni desarrollen su actividad en mercados regulados están sometidas al Estatuto General de Contratación de la Administración Pública y las normas que lo complementan. Conforme al literal g) del artículo 2.2 de la Ley 1150 de 2007, estos contratos siguen las reglas del procedimiento de selección abreviada, exceptuados los del artículo 32 de la Ley 80 de 1993</w:t>
      </w:r>
      <w:r w:rsidRPr="009D7E06">
        <w:rPr>
          <w:rStyle w:val="Refdenotaalpie"/>
          <w:rFonts w:ascii="Verdana" w:eastAsia="Calibri" w:hAnsi="Verdana" w:cs="Arial"/>
          <w:color w:val="000000" w:themeColor="text1"/>
        </w:rPr>
        <w:footnoteReference w:id="8"/>
      </w:r>
      <w:r w:rsidRPr="009D7E06">
        <w:rPr>
          <w:rFonts w:ascii="Verdana" w:eastAsia="Calibri" w:hAnsi="Verdana" w:cs="Arial"/>
          <w:color w:val="000000" w:themeColor="text1"/>
        </w:rPr>
        <w:t xml:space="preserve">. En </w:t>
      </w:r>
      <w:r w:rsidRPr="009D7E06">
        <w:rPr>
          <w:rFonts w:ascii="Verdana" w:eastAsia="Calibri" w:hAnsi="Verdana" w:cs="Arial"/>
          <w:color w:val="000000" w:themeColor="text1"/>
        </w:rPr>
        <w:lastRenderedPageBreak/>
        <w:t>contraste, el régimen contractual de las empresas industriales y comerciales del Estado que se encuentren en competencia o en mercados regulados es el propio de tales actividades, esto es, por regla general, el derecho privado. De acuerdo con la jurisprudencia, la exclusión de estas últimas se justifica en el principio de igualdad, ya que si Estado desarrolla actividades de los particulares, debe actuar no solo desprovisto de poderes exorbitantes sino también con la misma eficacia y eficiencia que los sujetos de derecho privado. No en vano:</w:t>
      </w:r>
    </w:p>
    <w:p w14:paraId="78A0FF12" w14:textId="77777777" w:rsidR="00D52CE9" w:rsidRPr="009D7E06" w:rsidRDefault="00D52CE9" w:rsidP="00D52CE9">
      <w:pPr>
        <w:spacing w:after="0" w:line="276" w:lineRule="auto"/>
        <w:jc w:val="both"/>
        <w:rPr>
          <w:rFonts w:ascii="Verdana" w:eastAsia="Calibri" w:hAnsi="Verdana" w:cs="Arial"/>
          <w:color w:val="000000" w:themeColor="text1"/>
        </w:rPr>
      </w:pPr>
    </w:p>
    <w:p w14:paraId="536652BE" w14:textId="77777777" w:rsidR="00D52CE9" w:rsidRPr="00D26698" w:rsidRDefault="00D52CE9" w:rsidP="00D52CE9">
      <w:pPr>
        <w:spacing w:after="120" w:line="240" w:lineRule="auto"/>
        <w:ind w:left="709" w:right="709"/>
        <w:jc w:val="both"/>
        <w:rPr>
          <w:rFonts w:ascii="Verdana" w:eastAsia="Calibri" w:hAnsi="Verdana" w:cs="Arial"/>
          <w:color w:val="000000" w:themeColor="text1"/>
          <w:sz w:val="20"/>
          <w:szCs w:val="20"/>
        </w:rPr>
      </w:pPr>
      <w:r w:rsidRPr="00D26698">
        <w:rPr>
          <w:rFonts w:ascii="Verdana" w:eastAsia="Calibri" w:hAnsi="Verdana" w:cs="Arial"/>
          <w:color w:val="000000" w:themeColor="text1"/>
          <w:sz w:val="20"/>
          <w:szCs w:val="20"/>
        </w:rPr>
        <w:t>“La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178130F2" w14:textId="77777777" w:rsidR="00D52CE9" w:rsidRPr="00D26698" w:rsidRDefault="00D52CE9" w:rsidP="00D52CE9">
      <w:pPr>
        <w:spacing w:after="120" w:line="240" w:lineRule="auto"/>
        <w:ind w:left="709" w:right="709"/>
        <w:jc w:val="both"/>
        <w:rPr>
          <w:rFonts w:ascii="Verdana" w:eastAsia="Calibri" w:hAnsi="Verdana" w:cs="Arial"/>
          <w:color w:val="000000" w:themeColor="text1"/>
          <w:sz w:val="20"/>
          <w:szCs w:val="20"/>
        </w:rPr>
      </w:pPr>
      <w:r w:rsidRPr="00D26698">
        <w:rPr>
          <w:rFonts w:ascii="Verdana" w:eastAsia="Calibri" w:hAnsi="Verdana" w:cs="Arial"/>
          <w:color w:val="000000" w:themeColor="text1"/>
          <w:sz w:val="20"/>
          <w:szCs w:val="20"/>
        </w:rPr>
        <w:t>Se trata pues, de que sus actividades de explotación industrial o comercial se desarrollen con las mismas oportunidades y las mismas ventajas o desventajas que las adelantadas por aquellos, sin que influya para nada su investidura de entidad estatal; que puedan actuar como particulares, frente a las exigencias de la economía y del mercado.</w:t>
      </w:r>
    </w:p>
    <w:p w14:paraId="523F794C" w14:textId="77777777" w:rsidR="00D52CE9" w:rsidRPr="009D7E06" w:rsidRDefault="00D52CE9" w:rsidP="00D52CE9">
      <w:pPr>
        <w:spacing w:after="0" w:line="240" w:lineRule="auto"/>
        <w:ind w:left="709" w:right="709"/>
        <w:jc w:val="both"/>
        <w:rPr>
          <w:rFonts w:ascii="Verdana" w:eastAsia="Calibri" w:hAnsi="Verdana" w:cs="Arial"/>
          <w:color w:val="000000" w:themeColor="text1"/>
          <w:sz w:val="21"/>
          <w:szCs w:val="21"/>
        </w:rPr>
      </w:pPr>
      <w:r w:rsidRPr="00D26698">
        <w:rPr>
          <w:rFonts w:ascii="Verdana" w:eastAsia="Calibri" w:hAnsi="Verdana" w:cs="Arial"/>
          <w:color w:val="000000" w:themeColor="text1"/>
          <w:sz w:val="20"/>
          <w:szCs w:val="20"/>
        </w:rPr>
        <w:t>Por ello, la regla general es que en sus actos y contratos rijan las normas de derecho privado, salvo en cuanto a sus relaciones con la Administración y en aquellos casos en los que por expresa disposición legal ejerzan alguna función administrativa, puesto que allí sí deberá dar aplicación a las reglas de derecho público pertinentes”</w:t>
      </w:r>
      <w:r w:rsidRPr="00D26698">
        <w:rPr>
          <w:rStyle w:val="Refdenotaalpie"/>
          <w:rFonts w:ascii="Verdana" w:eastAsia="Calibri" w:hAnsi="Verdana" w:cs="Arial"/>
          <w:color w:val="000000" w:themeColor="text1"/>
          <w:sz w:val="20"/>
          <w:szCs w:val="20"/>
        </w:rPr>
        <w:footnoteReference w:id="9"/>
      </w:r>
      <w:r w:rsidRPr="00D26698">
        <w:rPr>
          <w:rFonts w:ascii="Verdana" w:eastAsia="Calibri" w:hAnsi="Verdana" w:cs="Arial"/>
          <w:color w:val="000000" w:themeColor="text1"/>
          <w:sz w:val="20"/>
          <w:szCs w:val="20"/>
        </w:rPr>
        <w:t>.</w:t>
      </w:r>
    </w:p>
    <w:p w14:paraId="681D3A17" w14:textId="77777777" w:rsidR="00D52CE9" w:rsidRPr="009D7E06" w:rsidRDefault="00D52CE9" w:rsidP="00D52CE9">
      <w:pPr>
        <w:spacing w:after="0" w:line="276" w:lineRule="auto"/>
        <w:jc w:val="both"/>
        <w:rPr>
          <w:rFonts w:ascii="Verdana" w:eastAsia="Calibri" w:hAnsi="Verdana" w:cs="Arial"/>
          <w:color w:val="000000" w:themeColor="text1"/>
        </w:rPr>
      </w:pPr>
    </w:p>
    <w:p w14:paraId="444A6A42" w14:textId="77777777" w:rsidR="00D52CE9" w:rsidRDefault="00D52CE9" w:rsidP="00D52CE9">
      <w:pPr>
        <w:spacing w:after="0" w:line="276" w:lineRule="auto"/>
        <w:ind w:firstLine="708"/>
        <w:jc w:val="both"/>
        <w:rPr>
          <w:rFonts w:ascii="Verdana" w:eastAsia="Calibri" w:hAnsi="Verdana" w:cs="Arial"/>
          <w:color w:val="000000" w:themeColor="text1"/>
        </w:rPr>
      </w:pPr>
      <w:r w:rsidRPr="009D7E06">
        <w:rPr>
          <w:rFonts w:ascii="Verdana" w:eastAsia="Calibri" w:hAnsi="Verdana" w:cs="Arial"/>
          <w:color w:val="000000" w:themeColor="text1"/>
        </w:rPr>
        <w:t xml:space="preserve">Por lo tanto, </w:t>
      </w:r>
      <w:bookmarkStart w:id="13" w:name="_Hlk41238857"/>
      <w:r w:rsidRPr="009D7E06">
        <w:rPr>
          <w:rFonts w:ascii="Verdana" w:eastAsia="Calibri" w:hAnsi="Verdana" w:cs="Arial"/>
          <w:color w:val="000000" w:themeColor="text1"/>
        </w:rPr>
        <w:t xml:space="preserve">el régimen contractual de las empresas industriales y comerciales del Estado que estén en competencia o desarrollen su actividad en mercados regulados es el propio de tal actividad, esto es, por regla general, el derecho privado, salvo las excepciones legales o las contenidas en el acto de creación o en los estatutos de la respectiva empresa industrial o comercial del Estado. Aunque estos contratos están excluidos de la Ley 80 de 1993, no se rigen exclusivamente por el derecho civil y comercial, pues –conforme al artículo 13 de la Ley 1150 de 2007– aplican tanto los principios de la función </w:t>
      </w:r>
      <w:r w:rsidRPr="009D7E06">
        <w:rPr>
          <w:rFonts w:ascii="Verdana" w:eastAsia="Calibri" w:hAnsi="Verdana" w:cs="Arial"/>
          <w:color w:val="000000" w:themeColor="text1"/>
        </w:rPr>
        <w:lastRenderedPageBreak/>
        <w:t xml:space="preserve">administrativa y de la gestión fiscal como el régimen de inhabilidades e incompatibilidades. Por el contrario, aquellas empresas industriales y comerciales del Estado que no estén en competencia ni desarrollen su actividad en mercados regulados están sometidas al Estatuto General de Contratación de la Administración Pública y las normas que lo complementan, como lo dispone el artículo 14 de la Ley 1150 de 2007. </w:t>
      </w:r>
    </w:p>
    <w:p w14:paraId="75DB4103" w14:textId="77777777" w:rsidR="00D52CE9" w:rsidRDefault="00D52CE9" w:rsidP="00D52CE9">
      <w:pPr>
        <w:spacing w:after="0" w:line="276" w:lineRule="auto"/>
        <w:ind w:firstLine="708"/>
        <w:jc w:val="both"/>
        <w:rPr>
          <w:rFonts w:ascii="Verdana" w:eastAsia="Calibri" w:hAnsi="Verdana" w:cs="Arial"/>
          <w:color w:val="000000" w:themeColor="text1"/>
        </w:rPr>
      </w:pPr>
    </w:p>
    <w:p w14:paraId="775A0486" w14:textId="77777777" w:rsidR="00D52CE9" w:rsidRPr="00E84F10" w:rsidRDefault="00D52CE9" w:rsidP="00D52CE9">
      <w:pPr>
        <w:spacing w:after="0" w:line="276" w:lineRule="auto"/>
        <w:jc w:val="both"/>
        <w:rPr>
          <w:rFonts w:ascii="Verdana" w:eastAsia="Calibri" w:hAnsi="Verdana" w:cs="Arial"/>
          <w:lang w:val="es-ES_tradnl"/>
        </w:rPr>
      </w:pPr>
      <w:proofErr w:type="spellStart"/>
      <w:r>
        <w:rPr>
          <w:rFonts w:ascii="Verdana" w:eastAsia="Calibri" w:hAnsi="Verdana" w:cs="Arial"/>
          <w:color w:val="000000" w:themeColor="text1"/>
        </w:rPr>
        <w:t>iii</w:t>
      </w:r>
      <w:proofErr w:type="spellEnd"/>
      <w:r>
        <w:rPr>
          <w:rFonts w:ascii="Verdana" w:eastAsia="Calibri" w:hAnsi="Verdana" w:cs="Arial"/>
          <w:color w:val="000000" w:themeColor="text1"/>
        </w:rPr>
        <w:t>.</w:t>
      </w:r>
      <w:r w:rsidRPr="009D7E06">
        <w:rPr>
          <w:rFonts w:ascii="Verdana" w:eastAsia="Calibri" w:hAnsi="Verdana" w:cs="Arial"/>
          <w:color w:val="000000" w:themeColor="text1"/>
        </w:rPr>
        <w:t xml:space="preserve"> </w:t>
      </w:r>
      <w:bookmarkEnd w:id="13"/>
      <w:r w:rsidRPr="00E84F10">
        <w:rPr>
          <w:rFonts w:ascii="Verdana" w:eastAsia="Calibri" w:hAnsi="Verdana" w:cs="Arial"/>
          <w:color w:val="000000" w:themeColor="text1"/>
        </w:rPr>
        <w:t xml:space="preserve">Por </w:t>
      </w:r>
      <w:r w:rsidRPr="00E84F10">
        <w:rPr>
          <w:rFonts w:ascii="Verdana" w:eastAsia="Calibri" w:hAnsi="Verdana" w:cs="Arial"/>
          <w:i/>
          <w:iCs/>
          <w:color w:val="000000" w:themeColor="text1"/>
        </w:rPr>
        <w:t>regla general</w:t>
      </w:r>
      <w:r w:rsidRPr="00E84F10">
        <w:rPr>
          <w:rFonts w:ascii="Verdana" w:eastAsia="Calibri" w:hAnsi="Verdana" w:cs="Arial"/>
          <w:color w:val="000000" w:themeColor="text1"/>
        </w:rPr>
        <w:t xml:space="preserve">, </w:t>
      </w:r>
      <w:r w:rsidRPr="00E84F10">
        <w:rPr>
          <w:rFonts w:ascii="Verdana" w:eastAsia="Calibri" w:hAnsi="Verdana" w:cs="Arial"/>
          <w:lang w:val="es-ES_tradnl"/>
        </w:rPr>
        <w:t xml:space="preserve">el parágrafo 3 del artículo 50 de la Ley 1523 de 2012 dispone que los contratos del </w:t>
      </w:r>
      <w:r w:rsidRPr="00E84F10">
        <w:rPr>
          <w:rFonts w:ascii="Verdana" w:eastAsia="Century Gothic" w:hAnsi="Verdana" w:cs="Century Gothic"/>
          <w:lang w:val="es-ES_tradnl"/>
        </w:rPr>
        <w:t>Fondo Nacional de Gestión del Riesgo de Desastres</w:t>
      </w:r>
      <w:r w:rsidRPr="00E84F10">
        <w:rPr>
          <w:rFonts w:ascii="Verdana" w:eastAsia="Calibri" w:hAnsi="Verdana" w:cs="Arial"/>
          <w:lang w:val="es-ES_tradnl"/>
        </w:rPr>
        <w:t xml:space="preserve"> se someten al régimen aplicable a las empresas industriales y comerciales del Estado en las condiciones explicadas </w:t>
      </w:r>
      <w:r w:rsidRPr="00E84F10">
        <w:rPr>
          <w:rFonts w:ascii="Verdana" w:eastAsia="Calibri" w:hAnsi="Verdana" w:cs="Arial"/>
          <w:i/>
          <w:iCs/>
          <w:lang w:val="es-ES_tradnl"/>
        </w:rPr>
        <w:t>ut supra</w:t>
      </w:r>
      <w:r w:rsidRPr="00E84F10">
        <w:rPr>
          <w:rFonts w:ascii="Verdana" w:eastAsia="Calibri" w:hAnsi="Verdana" w:cs="Arial"/>
          <w:lang w:val="es-ES_tradnl"/>
        </w:rPr>
        <w:t xml:space="preserve">. Sin embargo, establece una </w:t>
      </w:r>
      <w:r w:rsidRPr="00E84F10">
        <w:rPr>
          <w:rFonts w:ascii="Verdana" w:eastAsia="Calibri" w:hAnsi="Verdana" w:cs="Arial"/>
          <w:i/>
          <w:iCs/>
          <w:lang w:val="es-ES_tradnl"/>
        </w:rPr>
        <w:t>excepción</w:t>
      </w:r>
      <w:r w:rsidRPr="00E84F10">
        <w:rPr>
          <w:rFonts w:ascii="Verdana" w:eastAsia="Calibri" w:hAnsi="Verdana" w:cs="Arial"/>
          <w:lang w:val="es-ES_tradnl"/>
        </w:rPr>
        <w:t xml:space="preserve"> al salvaguardar el “[…] régimen de contratación previsto para las situaciones de desastres o de similar naturaleza y a evitar la extensión de los efectos”. En este contexto, el artículo 66 de la Ley 1523 de 2012 dispone lo siguiente:</w:t>
      </w:r>
    </w:p>
    <w:p w14:paraId="536C9339" w14:textId="77777777" w:rsidR="00D52CE9" w:rsidRPr="00E84F10" w:rsidRDefault="00D52CE9" w:rsidP="00D52CE9">
      <w:pPr>
        <w:spacing w:after="0" w:line="276" w:lineRule="auto"/>
        <w:ind w:firstLine="708"/>
        <w:jc w:val="both"/>
        <w:rPr>
          <w:rFonts w:ascii="Verdana" w:eastAsia="Calibri" w:hAnsi="Verdana" w:cs="Arial"/>
          <w:lang w:val="es-ES_tradnl"/>
        </w:rPr>
      </w:pPr>
    </w:p>
    <w:p w14:paraId="0758C601" w14:textId="77777777" w:rsidR="00D52CE9" w:rsidRPr="00D26698" w:rsidRDefault="00D52CE9" w:rsidP="00D52CE9">
      <w:pPr>
        <w:spacing w:line="240" w:lineRule="auto"/>
        <w:ind w:left="709" w:right="709"/>
        <w:jc w:val="both"/>
        <w:rPr>
          <w:rFonts w:ascii="Verdana" w:eastAsia="Calibri" w:hAnsi="Verdana" w:cs="Arial"/>
          <w:sz w:val="20"/>
          <w:szCs w:val="20"/>
          <w:lang w:val="es-ES_tradnl"/>
        </w:rPr>
      </w:pPr>
      <w:r w:rsidRPr="00D26698">
        <w:rPr>
          <w:rFonts w:ascii="Verdana" w:eastAsia="Calibri" w:hAnsi="Verdana" w:cs="Arial"/>
          <w:sz w:val="20"/>
          <w:szCs w:val="20"/>
          <w:lang w:val="es-ES_tradnl"/>
        </w:rPr>
        <w:t xml:space="preserve">“Art. 66. Salvo lo dispuesto para los contratos de empréstito interno y externo, los contratos que celebre la sociedad fiduciaria para la ejecución de los bienes, derechos e intereses del </w:t>
      </w:r>
      <w:bookmarkStart w:id="14" w:name="_Hlk36227796"/>
      <w:r w:rsidRPr="00D26698">
        <w:rPr>
          <w:rFonts w:ascii="Verdana" w:eastAsia="Calibri" w:hAnsi="Verdana" w:cs="Arial"/>
          <w:sz w:val="20"/>
          <w:szCs w:val="20"/>
          <w:lang w:val="es-ES_tradnl"/>
        </w:rPr>
        <w:t>Fondo Nacional de Gestión del Riesgo</w:t>
      </w:r>
      <w:bookmarkEnd w:id="14"/>
      <w:r w:rsidRPr="00D26698">
        <w:rPr>
          <w:rFonts w:ascii="Verdana" w:eastAsia="Calibri" w:hAnsi="Verdana" w:cs="Arial"/>
          <w:sz w:val="20"/>
          <w:szCs w:val="20"/>
          <w:lang w:val="es-ES_tradnl"/>
        </w:rPr>
        <w:t xml:space="preserve"> o los celebrados </w:t>
      </w:r>
      <w:bookmarkStart w:id="15" w:name="_Hlk36227833"/>
      <w:r w:rsidRPr="00D26698">
        <w:rPr>
          <w:rFonts w:ascii="Verdana" w:eastAsia="Calibri" w:hAnsi="Verdana" w:cs="Arial"/>
          <w:sz w:val="20"/>
          <w:szCs w:val="20"/>
          <w:lang w:val="es-ES_tradnl"/>
        </w:rPr>
        <w:t>por las entidades ejecutoras que reciban recursos provenientes de este fondo</w:t>
      </w:r>
      <w:bookmarkEnd w:id="15"/>
      <w:r w:rsidRPr="00D26698">
        <w:rPr>
          <w:rFonts w:ascii="Verdana" w:eastAsia="Calibri" w:hAnsi="Verdana" w:cs="Arial"/>
          <w:sz w:val="20"/>
          <w:szCs w:val="20"/>
          <w:lang w:val="es-ES_tradnl"/>
        </w:rPr>
        <w:t xml:space="preserve"> o </w:t>
      </w:r>
      <w:bookmarkStart w:id="16" w:name="_Hlk36228014"/>
      <w:r w:rsidRPr="00D26698">
        <w:rPr>
          <w:rFonts w:ascii="Verdana" w:eastAsia="Calibri" w:hAnsi="Verdana" w:cs="Arial"/>
          <w:sz w:val="20"/>
          <w:szCs w:val="20"/>
          <w:lang w:val="es-ES_tradnl"/>
        </w:rPr>
        <w:t>los celebrados por las entidades territoriales y sus fondos de gestión del riesgo</w:t>
      </w:r>
      <w:bookmarkEnd w:id="16"/>
      <w:r w:rsidRPr="00D26698">
        <w:rPr>
          <w:rFonts w:ascii="Verdana" w:eastAsia="Calibri" w:hAnsi="Verdana" w:cs="Arial"/>
          <w:sz w:val="20"/>
          <w:szCs w:val="20"/>
          <w:lang w:val="es-ES_tradnl"/>
        </w:rPr>
        <w:t xml:space="preserve">, </w:t>
      </w:r>
      <w:bookmarkStart w:id="17" w:name="_Hlk36228190"/>
      <w:r w:rsidRPr="00D26698">
        <w:rPr>
          <w:rFonts w:ascii="Verdana" w:eastAsia="Calibri" w:hAnsi="Verdana" w:cs="Arial"/>
          <w:sz w:val="20"/>
          <w:szCs w:val="20"/>
          <w:lang w:val="es-ES_tradnl"/>
        </w:rPr>
        <w:t xml:space="preserve">relacionados </w:t>
      </w:r>
      <w:bookmarkStart w:id="18" w:name="_Hlk36229456"/>
      <w:r w:rsidRPr="00D26698">
        <w:rPr>
          <w:rFonts w:ascii="Verdana" w:eastAsia="Calibri" w:hAnsi="Verdana" w:cs="Arial"/>
          <w:sz w:val="20"/>
          <w:szCs w:val="20"/>
          <w:lang w:val="es-ES_tradnl"/>
        </w:rPr>
        <w:t>directamente con las actividades de respuesta, de rehabilitación y reconstrucción</w:t>
      </w:r>
      <w:bookmarkEnd w:id="18"/>
      <w:r w:rsidRPr="00D26698">
        <w:rPr>
          <w:rFonts w:ascii="Verdana" w:eastAsia="Calibri" w:hAnsi="Verdana" w:cs="Arial"/>
          <w:sz w:val="20"/>
          <w:szCs w:val="20"/>
          <w:lang w:val="es-ES_tradnl"/>
        </w:rPr>
        <w:t xml:space="preserve"> de las zonas declaradas en situación de desastre o calamidad pública</w:t>
      </w:r>
      <w:bookmarkEnd w:id="17"/>
      <w:r w:rsidRPr="00D26698">
        <w:rPr>
          <w:rFonts w:ascii="Verdana" w:eastAsia="Calibri" w:hAnsi="Verdana" w:cs="Arial"/>
          <w:sz w:val="20"/>
          <w:szCs w:val="20"/>
          <w:lang w:val="es-ES_tradnl"/>
        </w:rPr>
        <w:t>, se someterán a los requisitos y formalidades que exige la ley para la contratación entre particulares, con sujeción al régimen especial dispuesto en el artículo 13 de la Ley 1150 de 2007, y podrán contemplar cláusulas excepcionales de conformidad con lo dispuesto en los artículos 14 a 18 de la Ley 80 de 1993.</w:t>
      </w:r>
    </w:p>
    <w:p w14:paraId="73B0D519" w14:textId="77777777" w:rsidR="00D52CE9" w:rsidRPr="00E84F10" w:rsidRDefault="00D52CE9" w:rsidP="00D52CE9">
      <w:pPr>
        <w:spacing w:before="120" w:after="0" w:line="240" w:lineRule="auto"/>
        <w:ind w:left="709" w:right="709"/>
        <w:jc w:val="both"/>
        <w:rPr>
          <w:rFonts w:ascii="Verdana" w:eastAsia="Calibri" w:hAnsi="Verdana" w:cs="Arial"/>
          <w:lang w:val="es-ES_tradnl"/>
        </w:rPr>
      </w:pPr>
      <w:r w:rsidRPr="00D26698">
        <w:rPr>
          <w:rFonts w:ascii="Verdana" w:eastAsia="Calibri" w:hAnsi="Verdana" w:cs="Arial"/>
          <w:sz w:val="20"/>
          <w:szCs w:val="20"/>
          <w:lang w:val="es-ES_tradnl"/>
        </w:rPr>
        <w:t>Parágrafo. Los contratos celebrados por las entidades territoriales en virtud del artículo anterior se someterán al control fiscal dispuesto para los celebrados en el marco de la declaratoria de urgencia manifiesta contemplada en los artículos 42 y 43 de la Ley 80 de 1993 y demás normas que la modifiquen”.</w:t>
      </w:r>
    </w:p>
    <w:p w14:paraId="61EC1DE3" w14:textId="77777777" w:rsidR="00D52CE9" w:rsidRPr="0003308D" w:rsidRDefault="00D52CE9" w:rsidP="00D52CE9">
      <w:pPr>
        <w:spacing w:after="0" w:line="276" w:lineRule="auto"/>
        <w:jc w:val="both"/>
        <w:rPr>
          <w:rFonts w:ascii="Verdana" w:eastAsia="Calibri" w:hAnsi="Verdana" w:cs="Arial"/>
          <w:lang w:val="es-ES_tradnl"/>
        </w:rPr>
      </w:pPr>
    </w:p>
    <w:p w14:paraId="3A436668" w14:textId="77777777" w:rsidR="00D52CE9" w:rsidRPr="0004417F" w:rsidRDefault="00D52CE9" w:rsidP="00D52CE9">
      <w:pPr>
        <w:spacing w:after="120" w:line="276" w:lineRule="auto"/>
        <w:jc w:val="both"/>
        <w:rPr>
          <w:rFonts w:ascii="Verdana" w:eastAsia="Calibri" w:hAnsi="Verdana" w:cs="Arial"/>
          <w:lang w:val="es-ES"/>
        </w:rPr>
      </w:pPr>
      <w:r>
        <w:rPr>
          <w:rFonts w:ascii="Verdana" w:eastAsia="Calibri" w:hAnsi="Verdana" w:cs="Arial"/>
          <w:lang w:val="es-ES_tradnl"/>
        </w:rPr>
        <w:tab/>
      </w:r>
      <w:r w:rsidRPr="67AA468F">
        <w:rPr>
          <w:rFonts w:ascii="Verdana" w:eastAsia="Calibri" w:hAnsi="Verdana" w:cs="Arial"/>
          <w:lang w:val="es-ES"/>
        </w:rPr>
        <w:t>Respecto al Fondo Nacional de Gestión del Riesgo, esta norma es congruente con el artículo 3 del Decreto Ley 4702 de 2010, el cual está vigente conforme al inciso segundo del artículo 96 de la Ley 1523 de 2012</w:t>
      </w:r>
      <w:r w:rsidRPr="67AA468F">
        <w:rPr>
          <w:rStyle w:val="Refdenotaalpie"/>
          <w:rFonts w:ascii="Verdana" w:eastAsia="Calibri" w:hAnsi="Verdana" w:cs="Arial"/>
          <w:lang w:val="es-ES"/>
        </w:rPr>
        <w:footnoteReference w:id="10"/>
      </w:r>
      <w:r w:rsidRPr="67AA468F">
        <w:rPr>
          <w:rFonts w:ascii="Verdana" w:eastAsia="Calibri" w:hAnsi="Verdana" w:cs="Arial"/>
          <w:lang w:val="es-ES"/>
        </w:rPr>
        <w:t xml:space="preserve">. </w:t>
      </w:r>
      <w:r w:rsidRPr="67AA468F">
        <w:rPr>
          <w:rFonts w:ascii="Verdana" w:eastAsia="Calibri" w:hAnsi="Verdana" w:cs="Arial"/>
          <w:lang w:val="es-ES"/>
        </w:rPr>
        <w:lastRenderedPageBreak/>
        <w:t xml:space="preserve">Precisamente, dicha norma modificó el del Decreto Ley 919 de 1989 el cual organizaba anteriormente el Sistema Nacional para la Prevención y Atención de Desastres. Asimismo, el artículo 66 de la Ley 1523 de 2012 concuerda con el artículo 54 </w:t>
      </w:r>
      <w:r w:rsidRPr="67AA468F">
        <w:rPr>
          <w:rFonts w:ascii="Verdana" w:eastAsia="Calibri" w:hAnsi="Verdana" w:cs="Arial"/>
          <w:i/>
          <w:lang w:val="es-ES"/>
        </w:rPr>
        <w:t>ibidem</w:t>
      </w:r>
      <w:r w:rsidRPr="67AA468F">
        <w:rPr>
          <w:rFonts w:ascii="Verdana" w:eastAsia="Calibri" w:hAnsi="Verdana" w:cs="Arial"/>
          <w:lang w:val="es-ES"/>
        </w:rPr>
        <w:t xml:space="preserve">, pues este último establece que las entidades territoriales deben constituir sus propios </w:t>
      </w:r>
      <w:r w:rsidRPr="67AA468F">
        <w:rPr>
          <w:rFonts w:ascii="Verdana" w:eastAsia="Calibri" w:hAnsi="Verdana" w:cs="Arial"/>
          <w:i/>
          <w:lang w:val="es-ES"/>
        </w:rPr>
        <w:t>fondos de gestión del riesgo</w:t>
      </w:r>
      <w:r w:rsidRPr="67AA468F">
        <w:rPr>
          <w:rFonts w:ascii="Verdana" w:eastAsia="Calibri" w:hAnsi="Verdana" w:cs="Arial"/>
          <w:lang w:val="es-ES"/>
        </w:rPr>
        <w:t>, bajo el mismo esquema del Fondo Nacional, con el propósito de invertir, destinar y ejecutar sus recursos en la adopción de medidas de conocimiento y reducción del riesgo, preparación, respuesta, rehabilitación y reconstrucción en situaciones de desastre o calamidad pública</w:t>
      </w:r>
      <w:r w:rsidRPr="67AA468F">
        <w:rPr>
          <w:rStyle w:val="Refdenotaalpie"/>
          <w:rFonts w:ascii="Verdana" w:eastAsia="Calibri" w:hAnsi="Verdana" w:cs="Arial"/>
          <w:lang w:val="es-ES"/>
        </w:rPr>
        <w:footnoteReference w:id="11"/>
      </w:r>
      <w:r w:rsidRPr="67AA468F">
        <w:rPr>
          <w:rFonts w:ascii="Verdana" w:eastAsia="Calibri" w:hAnsi="Verdana" w:cs="Arial"/>
          <w:lang w:val="es-ES"/>
        </w:rPr>
        <w:t>.</w:t>
      </w:r>
    </w:p>
    <w:p w14:paraId="46BC6E8F" w14:textId="77777777" w:rsidR="00D52CE9" w:rsidRDefault="00D52CE9" w:rsidP="00D52CE9">
      <w:pPr>
        <w:spacing w:after="120" w:line="276" w:lineRule="auto"/>
        <w:ind w:firstLine="708"/>
        <w:jc w:val="both"/>
        <w:rPr>
          <w:rFonts w:ascii="Verdana" w:eastAsia="Calibri" w:hAnsi="Verdana" w:cs="Arial"/>
          <w:lang w:val="es-ES"/>
        </w:rPr>
      </w:pPr>
      <w:bookmarkStart w:id="20" w:name="_Hlk37246222"/>
      <w:r w:rsidRPr="67AA468F">
        <w:rPr>
          <w:rFonts w:ascii="Verdana" w:eastAsia="Calibri" w:hAnsi="Verdana" w:cs="Arial"/>
          <w:lang w:val="es-ES"/>
        </w:rPr>
        <w:t xml:space="preserve">Sin perjuicio de las potestades exorbitantes, la norma analizada exceptúa del Estatuto General de Contratación de la Administración Pública los contratos “[…] relacionados directamente con las actividades de respuesta, de rehabilitación y reconstrucción de las zonas declaradas en situación de desastre o calamidad pública […]” celebrados por: i) la sociedad fiduciaria que administra los recursos del Fondo Nacional de Gestión del Riesgo, </w:t>
      </w:r>
      <w:proofErr w:type="spellStart"/>
      <w:r w:rsidRPr="67AA468F">
        <w:rPr>
          <w:rFonts w:ascii="Verdana" w:eastAsia="Calibri" w:hAnsi="Verdana" w:cs="Arial"/>
          <w:lang w:val="es-ES"/>
        </w:rPr>
        <w:t>ii</w:t>
      </w:r>
      <w:proofErr w:type="spellEnd"/>
      <w:r w:rsidRPr="67AA468F">
        <w:rPr>
          <w:rFonts w:ascii="Verdana" w:eastAsia="Calibri" w:hAnsi="Verdana" w:cs="Arial"/>
          <w:lang w:val="es-ES"/>
        </w:rPr>
        <w:t xml:space="preserve">) por las entidades ejecutoras que reciban recursos provenientes de este fondo y </w:t>
      </w:r>
      <w:proofErr w:type="spellStart"/>
      <w:r w:rsidRPr="67AA468F">
        <w:rPr>
          <w:rFonts w:ascii="Verdana" w:eastAsia="Calibri" w:hAnsi="Verdana" w:cs="Arial"/>
          <w:lang w:val="es-ES"/>
        </w:rPr>
        <w:t>iii</w:t>
      </w:r>
      <w:proofErr w:type="spellEnd"/>
      <w:r w:rsidRPr="67AA468F">
        <w:rPr>
          <w:rFonts w:ascii="Verdana" w:eastAsia="Calibri" w:hAnsi="Verdana" w:cs="Arial"/>
          <w:lang w:val="es-ES"/>
        </w:rPr>
        <w:t xml:space="preserve">) los celebrados por las entidades territoriales y sus fondos de gestión del riesgo. </w:t>
      </w:r>
    </w:p>
    <w:p w14:paraId="45EA486E" w14:textId="77777777" w:rsidR="00D52CE9" w:rsidRDefault="00D52CE9" w:rsidP="00D52CE9">
      <w:pPr>
        <w:spacing w:after="120" w:line="276" w:lineRule="auto"/>
        <w:ind w:firstLine="708"/>
        <w:jc w:val="both"/>
        <w:rPr>
          <w:rFonts w:ascii="Verdana" w:eastAsia="Calibri" w:hAnsi="Verdana" w:cs="Arial"/>
          <w:lang w:val="es-ES_tradnl"/>
        </w:rPr>
      </w:pPr>
      <w:r>
        <w:rPr>
          <w:rFonts w:ascii="Verdana" w:eastAsia="Calibri" w:hAnsi="Verdana" w:cs="Arial"/>
          <w:lang w:val="es-ES_tradnl"/>
        </w:rPr>
        <w:t>Al ser una norma excepcional, la expresión entrecomillada en el párrafo precedente debe interpretarse literalmente, por lo que no es susceptible extensión, restricción o analogía. Como establece los parámetros para su aplicabilidad, el control judicial sobre la motivación se realiza estrictamente sobre la base de los elementos ya mencionados, sin restar o adicionar otros distintos. Por lo anterior, d</w:t>
      </w:r>
      <w:r w:rsidRPr="00E84F10">
        <w:rPr>
          <w:rFonts w:ascii="Verdana" w:eastAsia="Calibri" w:hAnsi="Verdana" w:cs="Arial"/>
          <w:lang w:val="es-ES_tradnl"/>
        </w:rPr>
        <w:t>el artículo 66 de la Ley 1523 de 2012</w:t>
      </w:r>
      <w:r>
        <w:rPr>
          <w:rFonts w:ascii="Verdana" w:eastAsia="Calibri" w:hAnsi="Verdana" w:cs="Arial"/>
          <w:lang w:val="es-ES_tradnl"/>
        </w:rPr>
        <w:t xml:space="preserve"> no se observa la obligación de establecer “[…] </w:t>
      </w:r>
      <w:r w:rsidRPr="00904DDD">
        <w:rPr>
          <w:rFonts w:ascii="Verdana" w:eastAsia="Calibri" w:hAnsi="Verdana" w:cs="Arial"/>
          <w:lang w:val="es-ES_tradnl"/>
        </w:rPr>
        <w:t xml:space="preserve">criterios objetivos de verificación de la conexidad </w:t>
      </w:r>
      <w:r w:rsidRPr="00904DDD">
        <w:rPr>
          <w:rFonts w:ascii="Verdana" w:eastAsia="Calibri" w:hAnsi="Verdana" w:cs="Arial"/>
          <w:lang w:val="es-ES_tradnl"/>
        </w:rPr>
        <w:lastRenderedPageBreak/>
        <w:t>material</w:t>
      </w:r>
      <w:r>
        <w:rPr>
          <w:rFonts w:ascii="Verdana" w:eastAsia="Calibri" w:hAnsi="Verdana" w:cs="Arial"/>
          <w:lang w:val="es-ES_tradnl"/>
        </w:rPr>
        <w:t xml:space="preserve"> […]” o exigir un “[…] test de conexidad acumulativo […]”, ya que la norma citada delimita el supuesto de hecho bajo el cual aplica el régimen especial. </w:t>
      </w:r>
    </w:p>
    <w:p w14:paraId="47E96DB1" w14:textId="77777777" w:rsidR="00D52CE9" w:rsidRDefault="00D52CE9" w:rsidP="00D52CE9">
      <w:pPr>
        <w:spacing w:after="120" w:line="276" w:lineRule="auto"/>
        <w:ind w:firstLine="708"/>
        <w:jc w:val="both"/>
        <w:rPr>
          <w:rFonts w:ascii="Verdana" w:eastAsia="Calibri" w:hAnsi="Verdana" w:cs="Arial"/>
          <w:lang w:val="es-ES_tradnl"/>
        </w:rPr>
      </w:pPr>
      <w:r>
        <w:rPr>
          <w:rFonts w:ascii="Verdana" w:eastAsia="Calibri" w:hAnsi="Verdana" w:cs="Arial"/>
          <w:lang w:val="es-ES_tradnl"/>
        </w:rPr>
        <w:t xml:space="preserve">Dicho supuesto no cobija el “[…] elemento temporal […]” como se indaga en la consulta, de manera que la incorporación posterior de proyectos no desnaturaliza la excepción al EGCAP. Lo anterior se sustenta en </w:t>
      </w:r>
      <w:r>
        <w:rPr>
          <w:rFonts w:ascii="Verdana" w:hAnsi="Verdana" w:cs="Arial"/>
          <w:lang w:val="es-ES"/>
        </w:rPr>
        <w:t xml:space="preserve">la directriz interpretativa del artículo 31 del Código Civil, según la cual </w:t>
      </w:r>
      <w:r w:rsidRPr="005D7CD5">
        <w:rPr>
          <w:rFonts w:ascii="Verdana" w:hAnsi="Verdana" w:cs="Arial"/>
          <w:lang w:val="es-ES"/>
        </w:rPr>
        <w:t>“Lo favorable u odioso de una disposición no se tomará en cuenta para ampliar o restringir su interpretació</w:t>
      </w:r>
      <w:r>
        <w:rPr>
          <w:rFonts w:ascii="Verdana" w:hAnsi="Verdana" w:cs="Arial"/>
          <w:lang w:val="es-ES"/>
        </w:rPr>
        <w:t xml:space="preserve">n. </w:t>
      </w:r>
      <w:r w:rsidRPr="00E51648">
        <w:rPr>
          <w:rFonts w:ascii="Verdana" w:hAnsi="Verdana" w:cs="Arial"/>
          <w:lang w:val="es-ES"/>
        </w:rPr>
        <w:t>La extensión que deba darse a toda ley se determinará por su genuino sentido, y según las reglas de interpretación precedentes</w:t>
      </w:r>
      <w:r>
        <w:rPr>
          <w:rFonts w:ascii="Verdana" w:hAnsi="Verdana" w:cs="Arial"/>
          <w:lang w:val="es-ES"/>
        </w:rPr>
        <w:t>”</w:t>
      </w:r>
      <w:r>
        <w:rPr>
          <w:rStyle w:val="Refdenotaalpie"/>
          <w:rFonts w:ascii="Verdana" w:hAnsi="Verdana" w:cs="Arial"/>
          <w:lang w:val="es-ES"/>
        </w:rPr>
        <w:footnoteReference w:id="12"/>
      </w:r>
      <w:r>
        <w:rPr>
          <w:rFonts w:ascii="Verdana" w:hAnsi="Verdana" w:cs="Arial"/>
          <w:lang w:val="es-ES"/>
        </w:rPr>
        <w:t xml:space="preserve">. </w:t>
      </w:r>
    </w:p>
    <w:p w14:paraId="6121EEF3" w14:textId="77777777" w:rsidR="00D52CE9" w:rsidRPr="0004417F" w:rsidRDefault="00D52CE9" w:rsidP="00D52CE9">
      <w:pPr>
        <w:spacing w:after="120" w:line="276" w:lineRule="auto"/>
        <w:ind w:firstLine="708"/>
        <w:jc w:val="both"/>
        <w:rPr>
          <w:rFonts w:ascii="Verdana" w:eastAsia="Calibri" w:hAnsi="Verdana" w:cs="Arial"/>
          <w:lang w:val="es-ES_tradnl"/>
        </w:rPr>
      </w:pPr>
      <w:r>
        <w:rPr>
          <w:rFonts w:ascii="Verdana" w:eastAsia="Calibri" w:hAnsi="Verdana" w:cs="Arial"/>
          <w:lang w:val="es-ES_tradnl"/>
        </w:rPr>
        <w:t>C</w:t>
      </w:r>
      <w:r w:rsidRPr="0004417F">
        <w:rPr>
          <w:rFonts w:ascii="Verdana" w:eastAsia="Calibri" w:hAnsi="Verdana" w:cs="Arial"/>
          <w:lang w:val="es-ES_tradnl"/>
        </w:rPr>
        <w:t xml:space="preserve">uando se declare la situación de desastre o la situación de calamidad pública, las instituciones mencionadas antes son las únicas excluidas de la Ley 80 de 1993. Las demás siguen cubiertas por el Estatuto General de Contratación de la Administración Pública, como es el caso de los ministerios, todas las entidades descentralizadas por servicios del orden nacional y territorial, las demás ramas del poder público, los órganos autónomos, y en general casi todas las instituciones públicas del país. </w:t>
      </w:r>
      <w:r w:rsidRPr="000348C9">
        <w:rPr>
          <w:rFonts w:ascii="Verdana" w:eastAsia="Calibri" w:hAnsi="Verdana" w:cs="Arial"/>
          <w:lang w:val="es-ES_tradnl"/>
        </w:rPr>
        <w:t xml:space="preserve">Estas últimas podrán contratar directamente por urgencia manifiesta bajo los parámetros de la Ley 80 de 1993, de donde se deriva que el régimen especial </w:t>
      </w:r>
      <w:r>
        <w:rPr>
          <w:rFonts w:ascii="Verdana" w:eastAsia="Calibri" w:hAnsi="Verdana" w:cs="Arial"/>
          <w:lang w:val="es-ES_tradnl"/>
        </w:rPr>
        <w:t>d</w:t>
      </w:r>
      <w:r w:rsidRPr="00E84F10">
        <w:rPr>
          <w:rFonts w:ascii="Verdana" w:eastAsia="Calibri" w:hAnsi="Verdana" w:cs="Arial"/>
          <w:lang w:val="es-ES_tradnl"/>
        </w:rPr>
        <w:t>el artículo 66 de la Ley 1523 de 2012</w:t>
      </w:r>
      <w:r w:rsidRPr="000348C9">
        <w:rPr>
          <w:rFonts w:ascii="Verdana" w:eastAsia="Calibri" w:hAnsi="Verdana" w:cs="Arial"/>
          <w:lang w:val="es-ES_tradnl"/>
        </w:rPr>
        <w:t xml:space="preserve"> es autónomo y, por tanto, distinto a la regulación contenida en el EGCAP.</w:t>
      </w:r>
      <w:r>
        <w:rPr>
          <w:rFonts w:ascii="Verdana" w:eastAsia="Calibri" w:hAnsi="Verdana" w:cs="Arial"/>
          <w:lang w:val="es-ES_tradnl"/>
        </w:rPr>
        <w:t xml:space="preserve">   </w:t>
      </w:r>
    </w:p>
    <w:p w14:paraId="6DD8BD56" w14:textId="77777777" w:rsidR="00D52CE9" w:rsidRDefault="00D52CE9" w:rsidP="00D52CE9">
      <w:pPr>
        <w:spacing w:after="0" w:line="276" w:lineRule="auto"/>
        <w:ind w:firstLine="708"/>
        <w:jc w:val="both"/>
        <w:rPr>
          <w:rFonts w:ascii="Verdana" w:eastAsia="Calibri" w:hAnsi="Verdana" w:cs="Arial"/>
          <w:lang w:val="es-ES_tradnl"/>
        </w:rPr>
      </w:pPr>
      <w:r w:rsidRPr="0004417F">
        <w:rPr>
          <w:rFonts w:ascii="Verdana" w:eastAsia="Calibri" w:hAnsi="Verdana" w:cs="Arial"/>
          <w:lang w:val="es-ES_tradnl"/>
        </w:rPr>
        <w:t xml:space="preserve">Además, según el parágrafo </w:t>
      </w:r>
      <w:r w:rsidRPr="00006673">
        <w:rPr>
          <w:rFonts w:ascii="Verdana" w:eastAsia="Calibri" w:hAnsi="Verdana" w:cs="Arial"/>
          <w:i/>
          <w:iCs/>
          <w:lang w:val="es-ES_tradnl"/>
        </w:rPr>
        <w:t>ibidem</w:t>
      </w:r>
      <w:r w:rsidRPr="0004417F">
        <w:rPr>
          <w:rFonts w:ascii="Verdana" w:eastAsia="Calibri" w:hAnsi="Verdana" w:cs="Arial"/>
          <w:lang w:val="es-ES_tradnl"/>
        </w:rPr>
        <w:t xml:space="preserve">, sólo los contratos celebrados por las entidades territoriales se someten al control fiscal, con independencia de que sean producto de la contratación directa; razón por la cual también recae sobre aquellos que son resultado de procesos de selección competitivos. En otras palabras, la pura y simple declaración de desastre o de calamidad pública </w:t>
      </w:r>
      <w:r w:rsidRPr="0004417F">
        <w:rPr>
          <w:rFonts w:ascii="Verdana" w:eastAsia="Calibri" w:hAnsi="Verdana" w:cs="Arial"/>
          <w:lang w:val="es-ES_tradnl"/>
        </w:rPr>
        <w:lastRenderedPageBreak/>
        <w:t xml:space="preserve">conduce a que las autoridades mencionadas atrás se excluyan del EGCAP, y pasen a formar parte del régimen especial de contratación, siempre que los contratos estén relacionados directamente con las actividades de respuesta, de rehabilitación y reconstrucción para superar la situación de calamidad o desastre declarados, caso en el cual, inclusive, podrán pactar poderes excepcionales. </w:t>
      </w:r>
      <w:bookmarkEnd w:id="20"/>
    </w:p>
    <w:p w14:paraId="2EE47D03" w14:textId="77777777" w:rsidR="00D52CE9" w:rsidRPr="00AD2699" w:rsidRDefault="00D52CE9" w:rsidP="00D52CE9">
      <w:pPr>
        <w:spacing w:after="120" w:line="276" w:lineRule="auto"/>
        <w:jc w:val="both"/>
        <w:rPr>
          <w:rFonts w:ascii="Verdana" w:hAnsi="Verdana" w:cs="Arial"/>
          <w:bCs/>
          <w:lang w:val="es-MX"/>
        </w:rPr>
      </w:pPr>
      <w:r>
        <w:rPr>
          <w:rFonts w:ascii="Verdana" w:eastAsia="Calibri" w:hAnsi="Verdana" w:cs="Arial"/>
          <w:lang w:val="es-ES_tradnl"/>
        </w:rPr>
        <w:br/>
      </w:r>
      <w:proofErr w:type="spellStart"/>
      <w:r>
        <w:rPr>
          <w:rFonts w:ascii="Verdana" w:eastAsia="Calibri" w:hAnsi="Verdana" w:cs="Arial"/>
          <w:lang w:val="es-ES_tradnl"/>
        </w:rPr>
        <w:t>iv</w:t>
      </w:r>
      <w:proofErr w:type="spellEnd"/>
      <w:r>
        <w:rPr>
          <w:rFonts w:ascii="Verdana" w:eastAsia="Calibri" w:hAnsi="Verdana" w:cs="Arial"/>
          <w:lang w:val="es-ES_tradnl"/>
        </w:rPr>
        <w:t xml:space="preserve">. </w:t>
      </w:r>
      <w:r>
        <w:rPr>
          <w:rFonts w:ascii="Verdana" w:hAnsi="Verdana" w:cs="Arial"/>
          <w:bCs/>
        </w:rPr>
        <w:t>No resulta extraño que el sistema de compras públicas</w:t>
      </w:r>
      <w:r w:rsidRPr="00FB2E1F">
        <w:rPr>
          <w:rFonts w:ascii="Verdana" w:hAnsi="Verdana" w:cs="Arial"/>
          <w:bCs/>
        </w:rPr>
        <w:t xml:space="preserve"> se apoy</w:t>
      </w:r>
      <w:r>
        <w:rPr>
          <w:rFonts w:ascii="Verdana" w:hAnsi="Verdana" w:cs="Arial"/>
          <w:bCs/>
        </w:rPr>
        <w:t>e</w:t>
      </w:r>
      <w:r w:rsidRPr="00FB2E1F">
        <w:rPr>
          <w:rFonts w:ascii="Verdana" w:hAnsi="Verdana" w:cs="Arial"/>
          <w:bCs/>
        </w:rPr>
        <w:t xml:space="preserve"> en normas de derecho civil y comercial, ya que la figura del contrato es transversal a todo el ordenamiento jurídico. Respecto a las </w:t>
      </w:r>
      <w:r w:rsidRPr="00FB2E1F">
        <w:rPr>
          <w:rFonts w:ascii="Verdana" w:hAnsi="Verdana" w:cs="Arial"/>
          <w:bCs/>
          <w:i/>
          <w:iCs/>
        </w:rPr>
        <w:t>entidades sometidas a la Ley 80 de 1993</w:t>
      </w:r>
      <w:r w:rsidRPr="00FB2E1F">
        <w:rPr>
          <w:rFonts w:ascii="Verdana" w:hAnsi="Verdana" w:cs="Arial"/>
          <w:bCs/>
        </w:rPr>
        <w:t>, 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0E9C9DCE" w14:textId="77777777" w:rsidR="00D52CE9" w:rsidRDefault="00D52CE9" w:rsidP="00D52CE9">
      <w:pPr>
        <w:spacing w:after="120" w:line="276" w:lineRule="auto"/>
        <w:ind w:firstLine="708"/>
        <w:jc w:val="both"/>
        <w:rPr>
          <w:rFonts w:ascii="Verdana" w:hAnsi="Verdana" w:cs="Arial"/>
          <w:bCs/>
        </w:rPr>
      </w:pPr>
      <w:r w:rsidRPr="00FB2E1F">
        <w:rPr>
          <w:rFonts w:ascii="Verdana" w:hAnsi="Verdana" w:cs="Arial"/>
          <w:bCs/>
        </w:rPr>
        <w:t xml:space="preserve">No obstante, aunque tenga una influencia limitada, las </w:t>
      </w:r>
      <w:r w:rsidRPr="00FB2E1F">
        <w:rPr>
          <w:rFonts w:ascii="Verdana" w:hAnsi="Verdana" w:cs="Arial"/>
          <w:bCs/>
          <w:i/>
          <w:iCs/>
        </w:rPr>
        <w:t>entidades del régimen exceptuado</w:t>
      </w:r>
      <w:r w:rsidRPr="00FB2E1F">
        <w:rPr>
          <w:rFonts w:ascii="Verdana" w:hAnsi="Verdana" w:cs="Arial"/>
          <w:bCs/>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295EA6C7" w14:textId="77777777" w:rsidR="00D52CE9" w:rsidRPr="00E33D48" w:rsidRDefault="00D52CE9" w:rsidP="00D52CE9">
      <w:pPr>
        <w:tabs>
          <w:tab w:val="left" w:pos="426"/>
        </w:tabs>
        <w:spacing w:line="276" w:lineRule="auto"/>
        <w:jc w:val="both"/>
        <w:rPr>
          <w:rFonts w:ascii="Verdana" w:eastAsia="Calibri" w:hAnsi="Verdana" w:cs="Arial"/>
          <w:b/>
          <w:bCs/>
          <w:color w:val="000000" w:themeColor="text1"/>
          <w:lang w:val="es-ES"/>
        </w:rPr>
      </w:pPr>
      <w:r>
        <w:rPr>
          <w:rFonts w:ascii="Verdana" w:eastAsia="Calibri" w:hAnsi="Verdana" w:cs="Arial"/>
          <w:color w:val="000000" w:themeColor="text1"/>
          <w:lang w:val="es-ES"/>
        </w:rPr>
        <w:tab/>
      </w:r>
      <w:r>
        <w:rPr>
          <w:rFonts w:ascii="Verdana" w:eastAsia="Calibri" w:hAnsi="Verdana" w:cs="Arial"/>
          <w:color w:val="000000" w:themeColor="text1"/>
          <w:lang w:val="es-ES"/>
        </w:rPr>
        <w:tab/>
      </w:r>
      <w:r w:rsidRPr="00E33D48">
        <w:rPr>
          <w:rFonts w:ascii="Verdana" w:eastAsia="Calibri" w:hAnsi="Verdana" w:cs="Arial"/>
          <w:color w:val="000000" w:themeColor="text1"/>
          <w:lang w:val="es-ES"/>
        </w:rPr>
        <w:t xml:space="preserve">Las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w:t>
      </w:r>
      <w:r w:rsidRPr="00E33D48">
        <w:rPr>
          <w:rFonts w:ascii="Verdana" w:eastAsia="Calibri" w:hAnsi="Verdana" w:cs="Arial"/>
          <w:color w:val="000000" w:themeColor="text1"/>
          <w:lang w:val="es-ES"/>
        </w:rPr>
        <w:lastRenderedPageBreak/>
        <w:t>normativa propia para su desarrollo, esto es, el derecho privado, lo cual está determinado en las normas de creación de las entidades de régimen especial y en sus manuales de contratación.</w:t>
      </w:r>
    </w:p>
    <w:p w14:paraId="2F30E9F3" w14:textId="77777777" w:rsidR="00D52CE9" w:rsidRPr="00E33D48" w:rsidRDefault="00D52CE9" w:rsidP="00D52CE9">
      <w:pPr>
        <w:spacing w:before="120" w:after="120" w:line="276" w:lineRule="auto"/>
        <w:jc w:val="both"/>
        <w:rPr>
          <w:rFonts w:ascii="Verdana" w:eastAsia="Calibri" w:hAnsi="Verdana" w:cs="Arial"/>
          <w:color w:val="000000" w:themeColor="text1"/>
          <w:lang w:val="es-ES"/>
        </w:rPr>
      </w:pPr>
      <w:r w:rsidRPr="00E33D48">
        <w:rPr>
          <w:rFonts w:ascii="Verdana" w:eastAsia="Calibri" w:hAnsi="Verdana" w:cs="Arial"/>
          <w:color w:val="000000" w:themeColor="text1"/>
          <w:lang w:val="es-ES_tradnl"/>
        </w:rPr>
        <w:tab/>
      </w:r>
      <w:r w:rsidRPr="00E33D48">
        <w:rPr>
          <w:rFonts w:ascii="Verdana" w:eastAsia="Calibri" w:hAnsi="Verdana" w:cs="Arial"/>
          <w:color w:val="000000" w:themeColor="text1"/>
          <w:lang w:val="es-ES"/>
        </w:rPr>
        <w:t xml:space="preserve">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 xml:space="preserve"> Colombia Compra Eficiente expidió la Guía para las entidades estatales con régimen especial de contratación, que las define como aquellas que contratan con un régimen distinto a las Leyes 80 de 1993 y 1150 de 2007</w:t>
      </w:r>
      <w:r w:rsidRPr="00E33D48">
        <w:rPr>
          <w:rStyle w:val="Refdenotaalpie"/>
          <w:rFonts w:ascii="Verdana" w:eastAsia="Calibri" w:hAnsi="Verdana" w:cs="Arial"/>
          <w:color w:val="000000" w:themeColor="text1"/>
          <w:lang w:val="es-ES"/>
        </w:rPr>
        <w:footnoteReference w:id="13"/>
      </w:r>
      <w:r w:rsidRPr="00E33D48">
        <w:rPr>
          <w:rFonts w:ascii="Verdana" w:eastAsia="Calibri" w:hAnsi="Verdana" w:cs="Arial"/>
          <w:color w:val="000000" w:themeColor="text1"/>
          <w:lang w:val="es-ES"/>
        </w:rPr>
        <w:t>.</w:t>
      </w:r>
    </w:p>
    <w:p w14:paraId="028BD7F6" w14:textId="77777777" w:rsidR="00D52CE9" w:rsidRDefault="00D52CE9" w:rsidP="00D52CE9">
      <w:pPr>
        <w:spacing w:after="0" w:line="276" w:lineRule="auto"/>
        <w:jc w:val="both"/>
        <w:rPr>
          <w:rFonts w:ascii="Verdana" w:eastAsia="Calibri" w:hAnsi="Verdana" w:cs="Arial"/>
          <w:color w:val="000000" w:themeColor="text1"/>
          <w:lang w:val="es-ES"/>
        </w:rPr>
      </w:pPr>
      <w:r w:rsidRPr="00E33D48">
        <w:rPr>
          <w:rFonts w:ascii="Verdana" w:eastAsia="Calibri" w:hAnsi="Verdana" w:cs="Arial"/>
          <w:color w:val="000000" w:themeColor="text1"/>
          <w:lang w:val="es-ES_tradnl"/>
        </w:rPr>
        <w:tab/>
      </w:r>
      <w:r w:rsidRPr="00E33D48">
        <w:rPr>
          <w:rFonts w:ascii="Verdana" w:eastAsia="Calibri" w:hAnsi="Verdana" w:cs="Arial"/>
          <w:color w:val="000000" w:themeColor="text1"/>
          <w:lang w:val="es-ES"/>
        </w:rPr>
        <w:t>No obstante, las entidades de régimen especial cumplen una finalidad pública y utilizan recursos públicos para lograrlo, por lo que no son ajenas a los principios de la función administrativa y de la gestión fiscal, entre otras reglas dispuestas en la normativa de contratación pública que son transversales a todas las entidades, sin importar su régimen contractual. Lo anterior es reafirmado por el Consejo de Estado, que destaca las reglas que sigue la contratación de las entidades de régimen especial:</w:t>
      </w:r>
    </w:p>
    <w:p w14:paraId="49E8B330" w14:textId="77777777" w:rsidR="00D52CE9" w:rsidRPr="00E33D48" w:rsidRDefault="00D52CE9" w:rsidP="00D52CE9">
      <w:pPr>
        <w:spacing w:after="0" w:line="276" w:lineRule="auto"/>
        <w:jc w:val="both"/>
        <w:rPr>
          <w:rFonts w:ascii="Verdana" w:eastAsia="Calibri" w:hAnsi="Verdana" w:cs="Arial"/>
          <w:color w:val="000000" w:themeColor="text1"/>
          <w:lang w:val="es-ES"/>
        </w:rPr>
      </w:pPr>
    </w:p>
    <w:p w14:paraId="7F2F0277" w14:textId="77777777" w:rsidR="00D52CE9" w:rsidRPr="009C21B9" w:rsidRDefault="00D52CE9" w:rsidP="00D52CE9">
      <w:pPr>
        <w:spacing w:line="240" w:lineRule="auto"/>
        <w:ind w:left="709" w:right="709"/>
        <w:jc w:val="both"/>
        <w:rPr>
          <w:rFonts w:ascii="Verdana" w:eastAsia="Calibri" w:hAnsi="Verdana" w:cs="Arial"/>
          <w:color w:val="000000" w:themeColor="text1"/>
          <w:sz w:val="20"/>
          <w:szCs w:val="20"/>
          <w:lang w:val="es-ES_tradnl"/>
        </w:rPr>
      </w:pPr>
      <w:r w:rsidRPr="009C21B9">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497E91C1" w14:textId="77777777" w:rsidR="00D52CE9" w:rsidRPr="009C21B9" w:rsidRDefault="00D52CE9" w:rsidP="00D52CE9">
      <w:pPr>
        <w:spacing w:line="240" w:lineRule="auto"/>
        <w:ind w:left="709" w:right="709"/>
        <w:jc w:val="both"/>
        <w:rPr>
          <w:rFonts w:ascii="Verdana" w:eastAsia="Calibri" w:hAnsi="Verdana" w:cs="Arial"/>
          <w:color w:val="000000" w:themeColor="text1"/>
          <w:sz w:val="20"/>
          <w:szCs w:val="20"/>
          <w:lang w:val="es-ES"/>
        </w:rPr>
      </w:pPr>
      <w:r w:rsidRPr="009C21B9">
        <w:rPr>
          <w:rFonts w:ascii="Verdana" w:eastAsia="Calibri" w:hAnsi="Verdana" w:cs="Arial"/>
          <w:color w:val="000000" w:themeColor="text1"/>
          <w:sz w:val="20"/>
          <w:szCs w:val="20"/>
          <w:lang w:val="es-ES"/>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17AA82FD" w14:textId="77777777" w:rsidR="00D52CE9" w:rsidRPr="00E33D48" w:rsidRDefault="00D52CE9" w:rsidP="00D52CE9">
      <w:pPr>
        <w:spacing w:after="0" w:line="240" w:lineRule="auto"/>
        <w:ind w:left="709" w:right="709"/>
        <w:jc w:val="both"/>
        <w:rPr>
          <w:rFonts w:ascii="Verdana" w:eastAsia="Calibri" w:hAnsi="Verdana" w:cs="Arial"/>
          <w:color w:val="000000" w:themeColor="text1"/>
          <w:sz w:val="21"/>
          <w:szCs w:val="21"/>
          <w:lang w:val="es-ES_tradnl"/>
        </w:rPr>
      </w:pPr>
      <w:r w:rsidRPr="009C21B9">
        <w:rPr>
          <w:rFonts w:ascii="Verdana" w:eastAsia="Calibri" w:hAnsi="Verdana" w:cs="Arial"/>
          <w:color w:val="000000" w:themeColor="text1"/>
          <w:sz w:val="20"/>
          <w:szCs w:val="20"/>
          <w:lang w:val="es-ES_tradnl"/>
        </w:rPr>
        <w:lastRenderedPageBreak/>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9C21B9">
        <w:rPr>
          <w:rStyle w:val="Refdenotaalpie"/>
          <w:rFonts w:ascii="Verdana" w:eastAsia="Calibri" w:hAnsi="Verdana" w:cs="Arial"/>
          <w:color w:val="000000" w:themeColor="text1"/>
          <w:sz w:val="20"/>
          <w:szCs w:val="20"/>
          <w:lang w:val="es-ES_tradnl"/>
        </w:rPr>
        <w:footnoteReference w:id="14"/>
      </w:r>
      <w:r w:rsidRPr="009C21B9">
        <w:rPr>
          <w:rFonts w:ascii="Verdana" w:eastAsia="Calibri" w:hAnsi="Verdana" w:cs="Arial"/>
          <w:color w:val="000000" w:themeColor="text1"/>
          <w:sz w:val="20"/>
          <w:szCs w:val="20"/>
          <w:lang w:val="es-ES_tradnl"/>
        </w:rPr>
        <w:t>.</w:t>
      </w:r>
    </w:p>
    <w:p w14:paraId="036FF0A4" w14:textId="77777777" w:rsidR="00D52CE9" w:rsidRPr="00E33D48" w:rsidRDefault="00D52CE9" w:rsidP="00D52CE9">
      <w:pPr>
        <w:spacing w:after="0" w:line="276" w:lineRule="auto"/>
        <w:ind w:left="709" w:right="709"/>
        <w:jc w:val="both"/>
        <w:rPr>
          <w:rFonts w:ascii="Verdana" w:eastAsia="Calibri" w:hAnsi="Verdana" w:cs="Arial"/>
          <w:color w:val="000000" w:themeColor="text1"/>
          <w:lang w:val="es-ES_tradnl"/>
        </w:rPr>
      </w:pPr>
    </w:p>
    <w:p w14:paraId="786F770D" w14:textId="77777777" w:rsidR="00D52CE9" w:rsidRPr="00E33D48" w:rsidRDefault="00D52CE9" w:rsidP="00D52CE9">
      <w:pPr>
        <w:spacing w:line="276" w:lineRule="auto"/>
        <w:ind w:firstLine="708"/>
        <w:jc w:val="both"/>
        <w:rPr>
          <w:rFonts w:ascii="Verdana" w:eastAsia="Calibri" w:hAnsi="Verdana" w:cs="Arial"/>
          <w:color w:val="000000" w:themeColor="text1"/>
          <w:lang w:val="es-ES_tradnl"/>
        </w:rPr>
      </w:pPr>
      <w:r w:rsidRPr="00E33D48">
        <w:rPr>
          <w:rFonts w:ascii="Verdana" w:eastAsia="Calibri" w:hAnsi="Verdana" w:cs="Arial"/>
          <w:color w:val="000000" w:themeColor="text1"/>
          <w:lang w:val="es-ES_tradnl"/>
        </w:rPr>
        <w:t>Considerando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y los 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14:paraId="673725C1" w14:textId="77777777" w:rsidR="00D52CE9" w:rsidRPr="00E33D48" w:rsidRDefault="00D52CE9" w:rsidP="00D52CE9">
      <w:pPr>
        <w:spacing w:before="120" w:after="120" w:line="276" w:lineRule="auto"/>
        <w:ind w:firstLine="708"/>
        <w:jc w:val="both"/>
        <w:rPr>
          <w:rFonts w:ascii="Verdana" w:eastAsia="Calibri" w:hAnsi="Verdana" w:cs="Arial"/>
          <w:color w:val="000000" w:themeColor="text1"/>
          <w:lang w:val="es-ES"/>
        </w:rPr>
      </w:pPr>
      <w:r w:rsidRPr="00E33D48">
        <w:rPr>
          <w:rFonts w:ascii="Verdana" w:eastAsia="Calibri" w:hAnsi="Verdana" w:cs="Arial"/>
          <w:color w:val="000000" w:themeColor="text1"/>
          <w:lang w:val="es-ES"/>
        </w:rPr>
        <w:t>As</w:t>
      </w:r>
      <w:r>
        <w:rPr>
          <w:rFonts w:ascii="Verdana" w:eastAsia="Calibri" w:hAnsi="Verdana" w:cs="Arial"/>
          <w:color w:val="000000" w:themeColor="text1"/>
          <w:lang w:val="es-ES"/>
        </w:rPr>
        <w:t>i</w:t>
      </w:r>
      <w:r w:rsidRPr="00E33D48">
        <w:rPr>
          <w:rFonts w:ascii="Verdana" w:eastAsia="Calibri" w:hAnsi="Verdana" w:cs="Arial"/>
          <w:color w:val="000000" w:themeColor="text1"/>
          <w:lang w:val="es-ES"/>
        </w:rPr>
        <w:t xml:space="preserve">mismo, estas entidades deben cumplir unas obligaciones transversales a la contratación pública, entre ellas la elaboración del Plan Anual de Adquisiciones, la publicación de sus procedimientos de selección a través de la herramienta SECOP </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en la sección Régimen Especial</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 hacer uso del clasificador de bienes y servicios de las Naciones Unidas, reportar inhabilidades e incompatibilidades de los proveedores de la entidad y analizar el sector económico de los oferentes, entre otras.</w:t>
      </w:r>
    </w:p>
    <w:p w14:paraId="49B05CDE" w14:textId="77777777" w:rsidR="00D52CE9" w:rsidRDefault="00D52CE9" w:rsidP="00D52CE9">
      <w:pPr>
        <w:spacing w:before="120" w:after="0" w:line="276" w:lineRule="auto"/>
        <w:ind w:firstLine="709"/>
        <w:jc w:val="both"/>
        <w:rPr>
          <w:rFonts w:ascii="Verdana" w:eastAsia="Calibri" w:hAnsi="Verdana" w:cs="Arial"/>
          <w:color w:val="000000" w:themeColor="text1"/>
          <w:lang w:val="es-ES"/>
        </w:rPr>
      </w:pPr>
      <w:r w:rsidRPr="00E33D48">
        <w:rPr>
          <w:rFonts w:ascii="Verdana" w:eastAsia="Calibri" w:hAnsi="Verdana" w:cs="Arial"/>
          <w:color w:val="000000" w:themeColor="text1"/>
          <w:lang w:val="es-ES"/>
        </w:rPr>
        <w:t xml:space="preserve">Como se explicó, el hecho de que algunas entidades estatales se rijan por el derecho privado en materia contractual no puede entenderse como una negación de lo que establece el artículo 13 de la Ley 1150 de 2007. Este enunciado normativo significó un </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retorno del derecho administrativo</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 xml:space="preserve"> para las entidades excluidas, al reiterar que deben cumplir los principios constitucionales de la función administrativa y de la gestión fiscal, así como el régimen de inhabilidades e incompatibilidades previsto legalmente para la contratación </w:t>
      </w:r>
      <w:r w:rsidRPr="00E33D48">
        <w:rPr>
          <w:rFonts w:ascii="Verdana" w:eastAsia="Calibri" w:hAnsi="Verdana" w:cs="Arial"/>
          <w:color w:val="000000" w:themeColor="text1"/>
          <w:lang w:val="es-ES"/>
        </w:rPr>
        <w:lastRenderedPageBreak/>
        <w:t>estatal; y ahora también publicar su actividad contractual en el SECOP II, de conformidad con el artículo 53 de la Ley 2195 de 2022</w:t>
      </w:r>
      <w:r w:rsidRPr="00E33D48">
        <w:rPr>
          <w:rStyle w:val="Refdenotaalpie"/>
          <w:rFonts w:ascii="Verdana" w:eastAsia="Calibri" w:hAnsi="Verdana" w:cs="Arial"/>
          <w:color w:val="000000" w:themeColor="text1"/>
          <w:lang w:val="es-ES"/>
        </w:rPr>
        <w:footnoteReference w:id="15"/>
      </w:r>
      <w:r w:rsidRPr="00E33D48">
        <w:rPr>
          <w:rFonts w:ascii="Verdana" w:eastAsia="Calibri" w:hAnsi="Verdana" w:cs="Arial"/>
          <w:color w:val="000000" w:themeColor="text1"/>
          <w:lang w:val="es-ES"/>
        </w:rPr>
        <w:t>.</w:t>
      </w:r>
    </w:p>
    <w:p w14:paraId="0DE77EE1" w14:textId="77777777" w:rsidR="00D52CE9" w:rsidRDefault="00D52CE9" w:rsidP="00D52CE9">
      <w:pPr>
        <w:spacing w:before="120" w:after="0" w:line="276" w:lineRule="auto"/>
        <w:ind w:firstLine="709"/>
        <w:jc w:val="both"/>
        <w:rPr>
          <w:rFonts w:ascii="Verdana" w:eastAsia="Calibri" w:hAnsi="Verdana" w:cs="Arial"/>
          <w:lang w:val="es-ES_tradnl"/>
        </w:rPr>
      </w:pPr>
      <w:r>
        <w:rPr>
          <w:rFonts w:ascii="Verdana" w:eastAsia="Calibri" w:hAnsi="Verdana" w:cs="Arial"/>
          <w:color w:val="000000" w:themeColor="text1"/>
          <w:lang w:val="es-ES"/>
        </w:rPr>
        <w:t>Conforme al inciso primero del artículo 209 superior, “</w:t>
      </w:r>
      <w:r w:rsidRPr="00106CC4">
        <w:rPr>
          <w:rFonts w:ascii="Verdana" w:eastAsia="Calibri" w:hAnsi="Verdana" w:cs="Arial"/>
          <w:color w:val="000000" w:themeColor="text1"/>
          <w:lang w:val="es-ES"/>
        </w:rPr>
        <w:t>La función administrativa está al servicio de los intereses generales y se desarrolla con fundamento en los principios de igualdad, moralidad, eficacia, economía, celeridad, imparcialidad y publicidad</w:t>
      </w:r>
      <w:r>
        <w:rPr>
          <w:rFonts w:ascii="Verdana" w:eastAsia="Calibri" w:hAnsi="Verdana" w:cs="Arial"/>
          <w:color w:val="000000" w:themeColor="text1"/>
          <w:lang w:val="es-ES"/>
        </w:rPr>
        <w:t xml:space="preserve">”. En este contexto, la carga de motivación que exige el </w:t>
      </w:r>
      <w:r w:rsidRPr="00E84F10">
        <w:rPr>
          <w:rFonts w:ascii="Verdana" w:eastAsia="Calibri" w:hAnsi="Verdana" w:cs="Arial"/>
          <w:lang w:val="es-ES_tradnl"/>
        </w:rPr>
        <w:t>artículo 66 de la Ley 1523 de 2012</w:t>
      </w:r>
      <w:r>
        <w:rPr>
          <w:rFonts w:ascii="Verdana" w:eastAsia="Calibri" w:hAnsi="Verdana" w:cs="Arial"/>
          <w:lang w:val="es-ES_tradnl"/>
        </w:rPr>
        <w:t xml:space="preserve"> recae, principalmente, sobre la relación de los</w:t>
      </w:r>
      <w:r w:rsidRPr="0004417F">
        <w:rPr>
          <w:rFonts w:ascii="Verdana" w:eastAsia="Calibri" w:hAnsi="Verdana" w:cs="Arial"/>
          <w:lang w:val="es-ES_tradnl"/>
        </w:rPr>
        <w:t xml:space="preserve"> contratos </w:t>
      </w:r>
      <w:r>
        <w:rPr>
          <w:rFonts w:ascii="Verdana" w:eastAsia="Calibri" w:hAnsi="Verdana" w:cs="Arial"/>
          <w:lang w:val="es-ES_tradnl"/>
        </w:rPr>
        <w:t>con</w:t>
      </w:r>
      <w:r w:rsidRPr="0004417F">
        <w:rPr>
          <w:rFonts w:ascii="Verdana" w:eastAsia="Calibri" w:hAnsi="Verdana" w:cs="Arial"/>
          <w:lang w:val="es-ES_tradnl"/>
        </w:rPr>
        <w:t xml:space="preserve"> las actividades de respuesta, de rehabilitación y reconstrucción para superar la situación de calamidad o desastre</w:t>
      </w:r>
      <w:r>
        <w:rPr>
          <w:rFonts w:ascii="Verdana" w:eastAsia="Calibri" w:hAnsi="Verdana" w:cs="Arial"/>
          <w:lang w:val="es-ES_tradnl"/>
        </w:rPr>
        <w:t xml:space="preserve">. El establecimiento de los criterios operativos para verificar el cumplimiento de los principios de la función administrativa y de carga de motivación asociada al régimen de excepción corresponde al manual de contratación que adopten las autoridades competentes para el efecto. </w:t>
      </w:r>
    </w:p>
    <w:p w14:paraId="04FB2322" w14:textId="77777777" w:rsidR="00D52CE9" w:rsidRDefault="00D52CE9" w:rsidP="00D52CE9">
      <w:pPr>
        <w:spacing w:before="120" w:after="0" w:line="276" w:lineRule="auto"/>
        <w:ind w:firstLine="709"/>
        <w:jc w:val="both"/>
        <w:rPr>
          <w:rFonts w:ascii="Verdana" w:eastAsia="Calibri" w:hAnsi="Verdana" w:cs="Arial"/>
          <w:lang w:val="es-ES_tradnl"/>
        </w:rPr>
      </w:pPr>
      <w:r>
        <w:rPr>
          <w:rFonts w:ascii="Verdana" w:eastAsia="Calibri" w:hAnsi="Verdana" w:cs="Arial"/>
          <w:lang w:val="es-ES_tradnl"/>
        </w:rPr>
        <w:t>Por lo demás, dado que la ANCP – CCE carece de atribuciones para juzgar la legalidad de actos y contratos, así como para establecer la responsabilidad de los servidores públicos, la inobservancia los parámetros mencionados en el párrafo anterior debe ser analizada por las instancias judiciales o de control bajo el respeto al principio de legalidad. Dichas instancias son competentes para establecer la tipicidad de las conductas vedadas en la aplicación del</w:t>
      </w:r>
      <w:r>
        <w:rPr>
          <w:rFonts w:ascii="Verdana" w:eastAsia="Calibri" w:hAnsi="Verdana" w:cs="Arial"/>
          <w:color w:val="000000" w:themeColor="text1"/>
          <w:lang w:val="es-ES"/>
        </w:rPr>
        <w:t xml:space="preserve"> </w:t>
      </w:r>
      <w:r w:rsidRPr="00E84F10">
        <w:rPr>
          <w:rFonts w:ascii="Verdana" w:eastAsia="Calibri" w:hAnsi="Verdana" w:cs="Arial"/>
          <w:lang w:val="es-ES_tradnl"/>
        </w:rPr>
        <w:t>artículo 66 de la Ley 1523 de 2012</w:t>
      </w:r>
      <w:r>
        <w:rPr>
          <w:rFonts w:ascii="Verdana" w:eastAsia="Calibri" w:hAnsi="Verdana" w:cs="Arial"/>
          <w:lang w:val="es-ES_tradnl"/>
        </w:rPr>
        <w:t>, precisando la consecuencia jurídica de acuerdo con las particularidades del caso concreto.</w:t>
      </w:r>
    </w:p>
    <w:p w14:paraId="317F74F7" w14:textId="77777777" w:rsidR="00D52CE9" w:rsidRDefault="00D52CE9" w:rsidP="00D52CE9">
      <w:pPr>
        <w:spacing w:after="0" w:line="276" w:lineRule="auto"/>
        <w:ind w:firstLine="709"/>
        <w:jc w:val="both"/>
        <w:rPr>
          <w:rFonts w:ascii="Verdana" w:eastAsia="Calibri" w:hAnsi="Verdana" w:cs="Arial"/>
          <w:color w:val="000000" w:themeColor="text1"/>
          <w:lang w:val="es-ES"/>
        </w:rPr>
      </w:pPr>
    </w:p>
    <w:p w14:paraId="01B7089E" w14:textId="77777777" w:rsidR="00D52CE9" w:rsidRPr="00A47393" w:rsidRDefault="00D52CE9" w:rsidP="00D52CE9">
      <w:pPr>
        <w:spacing w:after="120" w:line="276" w:lineRule="auto"/>
        <w:jc w:val="both"/>
        <w:rPr>
          <w:rFonts w:ascii="Verdana" w:eastAsia="Calibri" w:hAnsi="Verdana" w:cs="Arial"/>
          <w:bCs/>
          <w:color w:val="000000" w:themeColor="text1"/>
        </w:rPr>
      </w:pPr>
      <w:r>
        <w:rPr>
          <w:rFonts w:ascii="Verdana" w:eastAsia="Calibri" w:hAnsi="Verdana" w:cs="Arial"/>
          <w:color w:val="000000" w:themeColor="text1"/>
          <w:lang w:val="es-ES"/>
        </w:rPr>
        <w:t xml:space="preserve">v. </w:t>
      </w:r>
      <w:r w:rsidRPr="00A4739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5D2438D" w14:textId="77777777" w:rsidR="00D52CE9" w:rsidRDefault="00D52CE9" w:rsidP="00D52CE9">
      <w:pPr>
        <w:tabs>
          <w:tab w:val="left" w:pos="709"/>
        </w:tabs>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lastRenderedPageBreak/>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E76743B" w14:textId="77777777" w:rsidR="00D52CE9" w:rsidRPr="00185EE9" w:rsidRDefault="00D52CE9" w:rsidP="00D52CE9">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t>Dado que la Agencia no asesora trabajos de investigación, aspectos como la</w:t>
      </w:r>
      <w:r w:rsidRPr="004E761A">
        <w:rPr>
          <w:rFonts w:ascii="Verdana" w:eastAsia="Calibri" w:hAnsi="Verdana" w:cs="Arial"/>
          <w:bCs/>
          <w:color w:val="000000" w:themeColor="text1"/>
        </w:rPr>
        <w:t xml:space="preserve"> viabilidad de estructurar un test de legalidad del régimen excepcional</w:t>
      </w:r>
      <w:r>
        <w:rPr>
          <w:rFonts w:ascii="Verdana" w:eastAsia="Calibri" w:hAnsi="Verdana" w:cs="Arial"/>
          <w:bCs/>
          <w:color w:val="000000" w:themeColor="text1"/>
        </w:rPr>
        <w:t xml:space="preserve"> y su aplicación como criterio orientador para las entidades públicas están fuera de la competencia de la entidad, pues su evaluación corresponde a las instancias editoriales o académicas pertinentes. Por la misma razón, dado que se trata de una propuesta dogmática para un libro, trabajo de grado o artículo de revista, no existe fundamento normativo o jurisprudencial que forma explícita brinde soporte al mencionado test o a su vinculatoriedad; razón por la cual, la posición de Colombia Compra se limita a lo mencionado en este concepto. </w:t>
      </w:r>
    </w:p>
    <w:p w14:paraId="3155DD84" w14:textId="77777777" w:rsidR="00D52CE9" w:rsidRPr="00182C89" w:rsidRDefault="00D52CE9" w:rsidP="00D52CE9">
      <w:pPr>
        <w:tabs>
          <w:tab w:val="left" w:pos="709"/>
        </w:tabs>
        <w:spacing w:after="0" w:line="276" w:lineRule="auto"/>
        <w:jc w:val="both"/>
        <w:rPr>
          <w:rFonts w:ascii="Verdana" w:eastAsia="Calibri" w:hAnsi="Verdana" w:cs="Arial"/>
          <w:color w:val="000000" w:themeColor="text1"/>
        </w:rPr>
      </w:pPr>
    </w:p>
    <w:p w14:paraId="461FE1E0" w14:textId="77777777" w:rsidR="00D52CE9" w:rsidRPr="00593A5F" w:rsidRDefault="00D52CE9" w:rsidP="00D52CE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0292ECF" w14:textId="77777777" w:rsidR="00D52CE9" w:rsidRPr="00593A5F" w:rsidRDefault="00D52CE9" w:rsidP="00D52CE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52CE9" w:rsidRPr="002407CE" w14:paraId="268C3321" w14:textId="77777777" w:rsidTr="00D8359A">
        <w:trPr>
          <w:trHeight w:val="56"/>
          <w:jc w:val="center"/>
        </w:trPr>
        <w:tc>
          <w:tcPr>
            <w:tcW w:w="8647" w:type="dxa"/>
          </w:tcPr>
          <w:p w14:paraId="56F58C45" w14:textId="77777777" w:rsidR="00D52CE9" w:rsidRDefault="00D52CE9" w:rsidP="00D52CE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7280A">
              <w:rPr>
                <w:rFonts w:ascii="Verdana" w:hAnsi="Verdana" w:cs="Arial"/>
              </w:rPr>
              <w:t xml:space="preserve">Constitución Política </w:t>
            </w:r>
            <w:r>
              <w:rPr>
                <w:rFonts w:ascii="Verdana" w:hAnsi="Verdana" w:cs="Arial"/>
              </w:rPr>
              <w:t>de 1991, artículos 209 y 267.</w:t>
            </w:r>
          </w:p>
          <w:p w14:paraId="25132170" w14:textId="77777777" w:rsidR="00D52CE9" w:rsidRDefault="00D52CE9" w:rsidP="00D52CE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B87E7A">
              <w:rPr>
                <w:rFonts w:ascii="Verdana" w:hAnsi="Verdana" w:cs="Arial"/>
              </w:rPr>
              <w:t>Ley</w:t>
            </w:r>
            <w:r>
              <w:rPr>
                <w:rFonts w:ascii="Verdana" w:hAnsi="Verdana" w:cs="Arial"/>
              </w:rPr>
              <w:t xml:space="preserve"> 80 de 1993, artículos 2, 13, 24, 32, 40 y 42.</w:t>
            </w:r>
          </w:p>
          <w:p w14:paraId="69F68E84" w14:textId="77777777" w:rsidR="00D52CE9" w:rsidRDefault="00D52CE9" w:rsidP="00D52CE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 85.</w:t>
            </w:r>
          </w:p>
          <w:p w14:paraId="32C64D13" w14:textId="77777777" w:rsidR="00D52CE9" w:rsidRDefault="00D52CE9" w:rsidP="00D52CE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13 y 14.</w:t>
            </w:r>
          </w:p>
          <w:p w14:paraId="7C8793B0" w14:textId="77777777" w:rsidR="00D52CE9" w:rsidRDefault="00D52CE9" w:rsidP="00D52CE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1523 de 2012, artículos 4, 47, 48, 49, 50, 56, 57, 59, 66 y 96.</w:t>
            </w:r>
          </w:p>
          <w:p w14:paraId="7839B335" w14:textId="77777777" w:rsidR="00D52CE9" w:rsidRDefault="00D52CE9" w:rsidP="00D52CE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E33D48">
              <w:rPr>
                <w:rFonts w:ascii="Verdana" w:eastAsia="Calibri" w:hAnsi="Verdana" w:cs="Arial"/>
                <w:color w:val="000000" w:themeColor="text1"/>
              </w:rPr>
              <w:t>Ley 2195 de 2022</w:t>
            </w:r>
            <w:r>
              <w:rPr>
                <w:rFonts w:ascii="Verdana" w:eastAsia="Calibri" w:hAnsi="Verdana" w:cs="Arial"/>
                <w:color w:val="000000" w:themeColor="text1"/>
              </w:rPr>
              <w:t>, artículo 56.</w:t>
            </w:r>
          </w:p>
          <w:p w14:paraId="589CE439" w14:textId="77777777" w:rsidR="00D52CE9" w:rsidRDefault="00D52CE9" w:rsidP="00D52CE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eastAsia="Calibri" w:hAnsi="Verdana" w:cs="Arial"/>
                <w:color w:val="000000" w:themeColor="text1"/>
              </w:rPr>
              <w:t xml:space="preserve">Decreto 1082 de 2015, artículo </w:t>
            </w:r>
            <w:r w:rsidRPr="00E47542">
              <w:rPr>
                <w:rFonts w:ascii="Verdana" w:eastAsia="Calibri" w:hAnsi="Verdana" w:cs="Arial"/>
                <w:color w:val="000000" w:themeColor="text1"/>
              </w:rPr>
              <w:t>2.2.1.2.1.2.24</w:t>
            </w:r>
            <w:r>
              <w:rPr>
                <w:rFonts w:ascii="Verdana" w:eastAsia="Calibri" w:hAnsi="Verdana" w:cs="Arial"/>
                <w:color w:val="000000" w:themeColor="text1"/>
              </w:rPr>
              <w:t>.</w:t>
            </w:r>
          </w:p>
          <w:p w14:paraId="15EC552C" w14:textId="77777777" w:rsidR="00D52CE9" w:rsidRPr="005C6992" w:rsidRDefault="00D52CE9" w:rsidP="00D52CE9">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artículos 28, 29, 31 y 64.</w:t>
            </w:r>
          </w:p>
        </w:tc>
      </w:tr>
    </w:tbl>
    <w:p w14:paraId="6B925107" w14:textId="77777777" w:rsidR="00D52CE9" w:rsidRPr="002407CE" w:rsidRDefault="00D52CE9" w:rsidP="00D52CE9">
      <w:pPr>
        <w:widowControl w:val="0"/>
        <w:autoSpaceDE w:val="0"/>
        <w:autoSpaceDN w:val="0"/>
        <w:spacing w:after="0" w:line="276" w:lineRule="auto"/>
        <w:jc w:val="both"/>
        <w:rPr>
          <w:rFonts w:ascii="Verdana" w:hAnsi="Verdana" w:cs="Arial"/>
        </w:rPr>
      </w:pPr>
    </w:p>
    <w:p w14:paraId="673B63CA" w14:textId="77777777" w:rsidR="00D52CE9" w:rsidRPr="00593A5F" w:rsidRDefault="00D52CE9" w:rsidP="00D52CE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C702BF3" w14:textId="77777777" w:rsidR="00D52CE9" w:rsidRPr="00593A5F" w:rsidRDefault="00D52CE9" w:rsidP="00D52CE9">
      <w:pPr>
        <w:widowControl w:val="0"/>
        <w:autoSpaceDE w:val="0"/>
        <w:autoSpaceDN w:val="0"/>
        <w:spacing w:after="0" w:line="276" w:lineRule="auto"/>
        <w:jc w:val="both"/>
        <w:rPr>
          <w:rFonts w:ascii="Verdana" w:hAnsi="Verdana" w:cs="Arial"/>
        </w:rPr>
      </w:pPr>
    </w:p>
    <w:p w14:paraId="2652F4E0" w14:textId="77777777" w:rsidR="00D52CE9" w:rsidRPr="00ED0098" w:rsidRDefault="00D52CE9" w:rsidP="00D52CE9">
      <w:pPr>
        <w:widowControl w:val="0"/>
        <w:autoSpaceDE w:val="0"/>
        <w:autoSpaceDN w:val="0"/>
        <w:spacing w:after="0" w:line="276" w:lineRule="auto"/>
        <w:jc w:val="both"/>
        <w:rPr>
          <w:rStyle w:val="normaltextrun"/>
          <w:rFonts w:ascii="Verdana" w:hAnsi="Verdana" w:cs="Arial"/>
          <w:shd w:val="clear" w:color="auto" w:fill="FFFFFF"/>
        </w:rPr>
      </w:pPr>
      <w:r w:rsidRPr="00512737">
        <w:rPr>
          <w:rFonts w:ascii="Verdana" w:hAnsi="Verdana" w:cs="Arial"/>
          <w:shd w:val="clear" w:color="auto" w:fill="FFFFFF"/>
        </w:rPr>
        <w:t xml:space="preserve">Los conceptos de esta Subdirección se encuentran disponibles para consulta en </w:t>
      </w:r>
      <w:r w:rsidRPr="00512737">
        <w:rPr>
          <w:rFonts w:ascii="Verdana" w:hAnsi="Verdana" w:cs="Arial"/>
          <w:shd w:val="clear" w:color="auto" w:fill="FFFFFF"/>
        </w:rPr>
        <w:lastRenderedPageBreak/>
        <w:t xml:space="preserve">el Sistema de relatoría de la Agencia, al cual puede accederse a través del siguiente enlace: </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78908EB" w14:textId="77777777" w:rsidR="00D52CE9" w:rsidRPr="00096788" w:rsidRDefault="00D52CE9" w:rsidP="00D52CE9">
      <w:pPr>
        <w:widowControl w:val="0"/>
        <w:autoSpaceDE w:val="0"/>
        <w:autoSpaceDN w:val="0"/>
        <w:spacing w:after="0" w:line="276" w:lineRule="auto"/>
        <w:jc w:val="both"/>
        <w:rPr>
          <w:rFonts w:ascii="Verdana" w:hAnsi="Verdana" w:cs="Arial"/>
          <w:color w:val="000000" w:themeColor="text1"/>
          <w:shd w:val="clear" w:color="auto" w:fill="FFFFFF"/>
        </w:rPr>
      </w:pPr>
    </w:p>
    <w:p w14:paraId="3F280D84" w14:textId="77777777" w:rsidR="00D52CE9" w:rsidRDefault="00D52CE9" w:rsidP="00D52CE9">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7E9B5B3D" w14:textId="77777777" w:rsidR="00D52CE9" w:rsidRPr="009A385A" w:rsidRDefault="00D52CE9" w:rsidP="00D52CE9">
      <w:pPr>
        <w:spacing w:after="0"/>
        <w:jc w:val="both"/>
        <w:rPr>
          <w:rFonts w:ascii="Verdana" w:hAnsi="Verdana"/>
        </w:rPr>
      </w:pPr>
    </w:p>
    <w:p w14:paraId="29082EA5" w14:textId="77777777" w:rsidR="00D52CE9" w:rsidRDefault="00D52CE9" w:rsidP="00D52CE9">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39F2309B" w14:textId="77777777" w:rsidR="00D52CE9" w:rsidRDefault="00D52CE9" w:rsidP="00D52CE9">
      <w:pPr>
        <w:spacing w:after="0"/>
        <w:jc w:val="both"/>
        <w:rPr>
          <w:rFonts w:ascii="Verdana" w:hAnsi="Verdana"/>
        </w:rPr>
      </w:pPr>
    </w:p>
    <w:p w14:paraId="1B3F7AC9" w14:textId="77777777" w:rsidR="00D52CE9" w:rsidRPr="008E1CD7" w:rsidRDefault="00D52CE9" w:rsidP="00D52CE9">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D5627A4" w14:textId="77777777" w:rsidR="00D52CE9" w:rsidRDefault="00D52CE9" w:rsidP="00D52CE9">
      <w:pPr>
        <w:shd w:val="clear" w:color="auto" w:fill="FFFFFF"/>
        <w:spacing w:after="0" w:line="276" w:lineRule="auto"/>
        <w:jc w:val="both"/>
        <w:rPr>
          <w:rFonts w:ascii="Verdana" w:hAnsi="Verdana"/>
          <w:color w:val="000000"/>
          <w:u w:val="single"/>
        </w:rPr>
      </w:pPr>
    </w:p>
    <w:p w14:paraId="1D3BA861" w14:textId="77777777" w:rsidR="00D52CE9" w:rsidRPr="00116940" w:rsidRDefault="00D52CE9" w:rsidP="00D52CE9">
      <w:pPr>
        <w:spacing w:after="0"/>
        <w:jc w:val="both"/>
        <w:rPr>
          <w:rFonts w:ascii="Verdana" w:hAnsi="Verdana"/>
        </w:rPr>
      </w:pPr>
      <w:r>
        <w:rPr>
          <w:rFonts w:ascii="Verdana" w:hAnsi="Verdana"/>
        </w:rPr>
        <w:lastRenderedPageBreak/>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4B75700" w14:textId="77777777" w:rsidR="00D52CE9" w:rsidRPr="00116940" w:rsidRDefault="00D52CE9" w:rsidP="00D52CE9">
      <w:pPr>
        <w:spacing w:after="0"/>
        <w:jc w:val="both"/>
        <w:rPr>
          <w:rFonts w:ascii="Verdana" w:hAnsi="Verdana"/>
        </w:rPr>
      </w:pPr>
    </w:p>
    <w:p w14:paraId="58915298" w14:textId="77777777" w:rsidR="00D52CE9" w:rsidRPr="00116940" w:rsidRDefault="00D52CE9" w:rsidP="00D52CE9">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A1A88E1" w14:textId="77777777" w:rsidR="00D52CE9" w:rsidRPr="00116940" w:rsidRDefault="00D52CE9" w:rsidP="00D52CE9">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4701FCA6" w14:textId="77777777" w:rsidR="00D52CE9" w:rsidRPr="00116940" w:rsidRDefault="00D52CE9" w:rsidP="00D52CE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32464F23" w14:textId="77777777" w:rsidR="00D52CE9" w:rsidRPr="00116940" w:rsidRDefault="00D52CE9" w:rsidP="00D52CE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4E56BB98" w14:textId="77777777" w:rsidR="00D52CE9" w:rsidRPr="00116940" w:rsidRDefault="00D52CE9" w:rsidP="00D52CE9">
      <w:pPr>
        <w:spacing w:after="0" w:line="240" w:lineRule="auto"/>
        <w:ind w:left="720"/>
        <w:jc w:val="both"/>
        <w:rPr>
          <w:rFonts w:ascii="Verdana" w:hAnsi="Verdana"/>
        </w:rPr>
      </w:pPr>
    </w:p>
    <w:p w14:paraId="706793CD" w14:textId="77777777" w:rsidR="00D52CE9" w:rsidRPr="00116940" w:rsidRDefault="00D52CE9" w:rsidP="00D52CE9">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09E1AA7" w14:textId="77777777" w:rsidR="00D52CE9" w:rsidRPr="00116940" w:rsidRDefault="00D52CE9" w:rsidP="00D52CE9">
      <w:pPr>
        <w:spacing w:after="0" w:line="240" w:lineRule="auto"/>
        <w:rPr>
          <w:rFonts w:ascii="Verdana" w:hAnsi="Verdana"/>
        </w:rPr>
      </w:pPr>
    </w:p>
    <w:p w14:paraId="5C716A2F" w14:textId="77777777" w:rsidR="00D52CE9" w:rsidRPr="00116940" w:rsidRDefault="00D52CE9" w:rsidP="00D52CE9">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06036E09" w14:textId="77777777" w:rsidR="00D52CE9" w:rsidRPr="00116940" w:rsidRDefault="00D52CE9" w:rsidP="00D52CE9">
      <w:pPr>
        <w:spacing w:after="0" w:line="240" w:lineRule="auto"/>
        <w:jc w:val="both"/>
        <w:rPr>
          <w:rFonts w:ascii="Verdana" w:hAnsi="Verdana"/>
        </w:rPr>
      </w:pPr>
    </w:p>
    <w:p w14:paraId="4CA10465" w14:textId="77777777" w:rsidR="00D52CE9" w:rsidRPr="00116940" w:rsidRDefault="00D52CE9" w:rsidP="00D52CE9">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8326836" w14:textId="77777777" w:rsidR="00D52CE9" w:rsidRPr="00116940" w:rsidRDefault="00D52CE9" w:rsidP="00D52CE9">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0D4D16F" w14:textId="77777777" w:rsidR="00D52CE9" w:rsidRPr="00116940" w:rsidRDefault="00D52CE9" w:rsidP="00D52CE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F7365CB" w14:textId="77777777" w:rsidR="00D52CE9" w:rsidRPr="009C4035" w:rsidRDefault="00D52CE9" w:rsidP="00D52CE9">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2914E7C0" w14:textId="77777777" w:rsidR="00D52CE9" w:rsidRPr="00593A5F" w:rsidRDefault="00D52CE9" w:rsidP="00D52CE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20B83C6" w14:textId="77777777" w:rsidR="00D52CE9" w:rsidRPr="00593A5F" w:rsidRDefault="00D52CE9" w:rsidP="00D52CE9">
      <w:pPr>
        <w:widowControl w:val="0"/>
        <w:autoSpaceDE w:val="0"/>
        <w:autoSpaceDN w:val="0"/>
        <w:spacing w:after="0" w:line="276" w:lineRule="auto"/>
        <w:jc w:val="both"/>
        <w:rPr>
          <w:rFonts w:ascii="Verdana" w:hAnsi="Verdana" w:cs="Arial"/>
        </w:rPr>
      </w:pPr>
    </w:p>
    <w:p w14:paraId="2ECB004C" w14:textId="77777777" w:rsidR="00D52CE9" w:rsidRPr="00593A5F" w:rsidRDefault="00D52CE9" w:rsidP="00D52CE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CD73462" w14:textId="77CDB7CD" w:rsidR="00D52CE9" w:rsidRPr="00593A5F" w:rsidRDefault="007E7F1F" w:rsidP="00D52CE9">
      <w:pPr>
        <w:spacing w:line="276" w:lineRule="auto"/>
        <w:jc w:val="center"/>
        <w:rPr>
          <w:rFonts w:ascii="Verdana" w:hAnsi="Verdana" w:cs="Arial"/>
          <w:color w:val="000000"/>
          <w:lang w:val="es-ES_tradnl" w:eastAsia="es-CO"/>
        </w:rPr>
      </w:pPr>
      <w:r>
        <w:rPr>
          <w:noProof/>
        </w:rPr>
        <w:lastRenderedPageBreak/>
        <w:drawing>
          <wp:inline distT="0" distB="0" distL="0" distR="0" wp14:anchorId="2A11243E" wp14:editId="6EA8203C">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52CE9" w:rsidRPr="00593A5F" w14:paraId="73A0F302" w14:textId="77777777" w:rsidTr="00D8359A">
        <w:trPr>
          <w:trHeight w:val="315"/>
        </w:trPr>
        <w:tc>
          <w:tcPr>
            <w:tcW w:w="893" w:type="dxa"/>
            <w:vAlign w:val="center"/>
            <w:hideMark/>
          </w:tcPr>
          <w:p w14:paraId="27016619" w14:textId="77777777" w:rsidR="00D52CE9" w:rsidRPr="003751C7" w:rsidRDefault="00D52CE9" w:rsidP="00D8359A">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BB6A665" w14:textId="77777777" w:rsidR="00D52CE9" w:rsidRPr="00254A7A" w:rsidRDefault="00D52CE9" w:rsidP="00D8359A">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291A5E50" w14:textId="77777777" w:rsidR="00D52CE9" w:rsidRPr="00254A7A" w:rsidRDefault="00D52CE9" w:rsidP="00D8359A">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D52CE9" w:rsidRPr="00593A5F" w14:paraId="19F4B70C" w14:textId="77777777" w:rsidTr="00D8359A">
        <w:trPr>
          <w:trHeight w:val="330"/>
        </w:trPr>
        <w:tc>
          <w:tcPr>
            <w:tcW w:w="893" w:type="dxa"/>
            <w:vAlign w:val="center"/>
            <w:hideMark/>
          </w:tcPr>
          <w:p w14:paraId="00978CAA" w14:textId="77777777" w:rsidR="00D52CE9" w:rsidRPr="003751C7" w:rsidRDefault="00D52CE9" w:rsidP="00D8359A">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0FC0FAD" w14:textId="77777777" w:rsidR="00D52CE9" w:rsidRPr="0005531E" w:rsidRDefault="00D52CE9" w:rsidP="00D8359A">
            <w:pPr>
              <w:pStyle w:val="paragraph"/>
              <w:spacing w:after="0"/>
              <w:contextualSpacing/>
              <w:textAlignment w:val="baseline"/>
              <w:rPr>
                <w:rStyle w:val="normaltextrun"/>
                <w:rFonts w:ascii="Verdana" w:hAnsi="Verdana" w:cs="Arial"/>
                <w:sz w:val="16"/>
                <w:szCs w:val="16"/>
                <w:lang w:val="es-ES_tradnl"/>
              </w:rPr>
            </w:pPr>
            <w:r w:rsidRPr="0005531E">
              <w:rPr>
                <w:rStyle w:val="normaltextrun"/>
                <w:rFonts w:ascii="Verdana" w:hAnsi="Verdana" w:cs="Arial"/>
                <w:sz w:val="16"/>
                <w:szCs w:val="16"/>
                <w:lang w:val="es-ES_tradnl"/>
              </w:rPr>
              <w:t>Alejandro Sarmiento Cantillo</w:t>
            </w:r>
          </w:p>
          <w:p w14:paraId="70F24958" w14:textId="77777777" w:rsidR="00D52CE9" w:rsidRPr="00A40FD0" w:rsidRDefault="00D52CE9" w:rsidP="00D8359A">
            <w:pPr>
              <w:pStyle w:val="paragraph"/>
              <w:spacing w:before="0" w:beforeAutospacing="0" w:after="0" w:afterAutospacing="0"/>
              <w:contextualSpacing/>
              <w:textAlignment w:val="baseline"/>
              <w:rPr>
                <w:rFonts w:ascii="Verdana" w:hAnsi="Verdana" w:cs="Segoe UI"/>
                <w:sz w:val="16"/>
                <w:szCs w:val="16"/>
              </w:rPr>
            </w:pPr>
            <w:r w:rsidRPr="0005531E">
              <w:rPr>
                <w:rStyle w:val="normaltextrun"/>
                <w:rFonts w:ascii="Verdana" w:hAnsi="Verdana" w:cs="Arial"/>
                <w:sz w:val="16"/>
                <w:szCs w:val="16"/>
                <w:lang w:val="es-ES_tradnl"/>
              </w:rPr>
              <w:t>Gestor T1 ‒ 15 de la Subdirección de Gestión Contractual</w:t>
            </w:r>
          </w:p>
        </w:tc>
      </w:tr>
      <w:tr w:rsidR="00D52CE9" w:rsidRPr="00593A5F" w14:paraId="4735F3D8" w14:textId="77777777" w:rsidTr="00D8359A">
        <w:trPr>
          <w:trHeight w:val="300"/>
        </w:trPr>
        <w:tc>
          <w:tcPr>
            <w:tcW w:w="893" w:type="dxa"/>
            <w:vAlign w:val="center"/>
          </w:tcPr>
          <w:p w14:paraId="5C1F076C" w14:textId="77777777" w:rsidR="00D52CE9" w:rsidRPr="003751C7" w:rsidRDefault="00D52CE9" w:rsidP="00D8359A">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D6C9FB0" w14:textId="77777777" w:rsidR="00D52CE9" w:rsidRPr="00FE00BE" w:rsidRDefault="00D52CE9" w:rsidP="00D8359A">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3B36FA87" w14:textId="77777777" w:rsidR="00D52CE9" w:rsidRPr="00FE00BE" w:rsidRDefault="00D52CE9" w:rsidP="00D8359A">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7BD88766" w14:textId="77777777" w:rsidR="00D52CE9" w:rsidRDefault="00D52CE9" w:rsidP="00D52CE9"/>
    <w:p w14:paraId="3CCF3D68" w14:textId="094DA3BA" w:rsidR="00D52CE9" w:rsidRPr="00543BFE" w:rsidRDefault="00D52CE9" w:rsidP="00D52CE9"/>
    <w:p w14:paraId="0F293BF4" w14:textId="5864FEA9" w:rsidR="00127233" w:rsidRPr="00EF48B7" w:rsidRDefault="00127233" w:rsidP="00EF48B7"/>
    <w:sectPr w:rsidR="00127233" w:rsidRPr="00EF48B7"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9DC60A" w14:textId="77777777" w:rsidR="00CB6904" w:rsidRDefault="00CB6904" w:rsidP="004A1847">
      <w:pPr>
        <w:spacing w:after="0" w:line="240" w:lineRule="auto"/>
      </w:pPr>
      <w:r>
        <w:separator/>
      </w:r>
    </w:p>
  </w:endnote>
  <w:endnote w:type="continuationSeparator" w:id="0">
    <w:p w14:paraId="37B371F5" w14:textId="77777777" w:rsidR="00CB6904" w:rsidRDefault="00CB690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6B408" w14:textId="77777777" w:rsidR="00CB6904" w:rsidRDefault="00CB6904" w:rsidP="004A1847">
      <w:pPr>
        <w:spacing w:after="0" w:line="240" w:lineRule="auto"/>
      </w:pPr>
      <w:r>
        <w:separator/>
      </w:r>
    </w:p>
  </w:footnote>
  <w:footnote w:type="continuationSeparator" w:id="0">
    <w:p w14:paraId="2D758AB4" w14:textId="77777777" w:rsidR="00CB6904" w:rsidRDefault="00CB6904" w:rsidP="004A1847">
      <w:pPr>
        <w:spacing w:after="0" w:line="240" w:lineRule="auto"/>
      </w:pPr>
      <w:r>
        <w:continuationSeparator/>
      </w:r>
    </w:p>
  </w:footnote>
  <w:footnote w:id="1">
    <w:p w14:paraId="30369784" w14:textId="77777777" w:rsidR="00D52CE9" w:rsidRPr="00196ABA" w:rsidRDefault="00D52CE9" w:rsidP="00D52CE9">
      <w:pPr>
        <w:spacing w:after="0" w:line="240" w:lineRule="auto"/>
        <w:ind w:firstLine="708"/>
        <w:jc w:val="both"/>
        <w:rPr>
          <w:rFonts w:ascii="Verdana" w:eastAsia="Calibri" w:hAnsi="Verdana" w:cs="Arial"/>
          <w:sz w:val="16"/>
          <w:szCs w:val="16"/>
          <w:lang w:val="es-ES_tradnl"/>
        </w:rPr>
      </w:pPr>
      <w:r w:rsidRPr="00196ABA">
        <w:rPr>
          <w:rStyle w:val="Refdenotaalpie"/>
          <w:rFonts w:ascii="Verdana" w:hAnsi="Verdana" w:cs="Arial"/>
          <w:sz w:val="16"/>
          <w:szCs w:val="16"/>
        </w:rPr>
        <w:footnoteRef/>
      </w:r>
      <w:r w:rsidRPr="00196ABA">
        <w:rPr>
          <w:rFonts w:ascii="Verdana" w:hAnsi="Verdana" w:cs="Arial"/>
          <w:sz w:val="16"/>
          <w:szCs w:val="16"/>
        </w:rPr>
        <w:t xml:space="preserve"> </w:t>
      </w:r>
      <w:r w:rsidRPr="00196ABA">
        <w:rPr>
          <w:rFonts w:ascii="Verdana" w:hAnsi="Verdana" w:cs="Arial"/>
          <w:sz w:val="16"/>
          <w:szCs w:val="16"/>
          <w:lang w:val="es-ES_tradnl"/>
        </w:rPr>
        <w:t>La jurisprudencia delimita su sentido y alcance de la siguiente manera –</w:t>
      </w:r>
      <w:r w:rsidRPr="00196ABA">
        <w:rPr>
          <w:rFonts w:ascii="Verdana" w:hAnsi="Verdana" w:cs="Arial"/>
          <w:sz w:val="16"/>
          <w:szCs w:val="16"/>
          <w:lang w:val="es-ES"/>
        </w:rPr>
        <w:t>CORTE SUPREMA DE JUSTICIA. Sala de Casación Civil. Sentencia 20 de noviembre de 1989. MP. Alberto Ospina Botero. Publicada en la Gaceta Judicial. Tomo CXCVI. N° 2435. p. 93</w:t>
      </w:r>
      <w:r w:rsidRPr="00196ABA">
        <w:rPr>
          <w:rFonts w:ascii="Verdana" w:hAnsi="Verdana" w:cs="Arial"/>
          <w:sz w:val="16"/>
          <w:szCs w:val="16"/>
          <w:lang w:val="es-ES_tradnl"/>
        </w:rPr>
        <w:t>–:</w:t>
      </w:r>
    </w:p>
    <w:p w14:paraId="395F5D79" w14:textId="77777777" w:rsidR="00D52CE9" w:rsidRPr="00196ABA" w:rsidRDefault="00D52CE9" w:rsidP="00D52CE9">
      <w:pPr>
        <w:spacing w:after="0" w:line="240" w:lineRule="auto"/>
        <w:ind w:right="49" w:firstLine="708"/>
        <w:jc w:val="both"/>
        <w:rPr>
          <w:rFonts w:ascii="Verdana" w:eastAsia="Calibri" w:hAnsi="Verdana" w:cs="Arial"/>
          <w:sz w:val="16"/>
          <w:szCs w:val="16"/>
          <w:lang w:val="es-ES_tradnl"/>
        </w:rPr>
      </w:pPr>
      <w:r w:rsidRPr="00196ABA">
        <w:rPr>
          <w:rFonts w:ascii="Verdana" w:eastAsia="Calibri" w:hAnsi="Verdana" w:cs="Arial"/>
          <w:sz w:val="16"/>
          <w:szCs w:val="16"/>
          <w:lang w:val="es-ES_tradnl"/>
        </w:rPr>
        <w:t>“6. […] la fuerza mayor o caso fortuito se configura por la concurrencia de dos factores:</w:t>
      </w:r>
    </w:p>
    <w:p w14:paraId="1A91BF7B" w14:textId="77777777" w:rsidR="00D52CE9" w:rsidRPr="00196ABA" w:rsidRDefault="00D52CE9" w:rsidP="00D52CE9">
      <w:pPr>
        <w:spacing w:after="0" w:line="240" w:lineRule="auto"/>
        <w:ind w:right="49" w:firstLine="708"/>
        <w:jc w:val="both"/>
        <w:rPr>
          <w:rFonts w:ascii="Verdana" w:eastAsia="Calibri" w:hAnsi="Verdana" w:cs="Arial"/>
          <w:sz w:val="16"/>
          <w:szCs w:val="16"/>
          <w:lang w:val="es-ES_tradnl"/>
        </w:rPr>
      </w:pPr>
      <w:r w:rsidRPr="00196ABA">
        <w:rPr>
          <w:rFonts w:ascii="Verdana" w:eastAsia="Calibri" w:hAnsi="Verdana" w:cs="Arial"/>
          <w:sz w:val="16"/>
          <w:szCs w:val="16"/>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646B80F6" w14:textId="77777777" w:rsidR="00D52CE9" w:rsidRPr="00196ABA" w:rsidRDefault="00D52CE9" w:rsidP="00D52CE9">
      <w:pPr>
        <w:spacing w:after="0" w:line="240" w:lineRule="auto"/>
        <w:ind w:right="49" w:firstLine="708"/>
        <w:jc w:val="both"/>
        <w:rPr>
          <w:rFonts w:ascii="Verdana" w:eastAsia="Calibri" w:hAnsi="Verdana" w:cs="Arial"/>
          <w:sz w:val="16"/>
          <w:szCs w:val="16"/>
          <w:lang w:val="es-ES_tradnl"/>
        </w:rPr>
      </w:pPr>
      <w:r w:rsidRPr="00196ABA">
        <w:rPr>
          <w:rFonts w:ascii="Verdana" w:eastAsia="Calibri" w:hAnsi="Verdana" w:cs="Arial"/>
          <w:sz w:val="16"/>
          <w:szCs w:val="16"/>
          <w:lang w:val="es-ES_tradnl"/>
        </w:rPr>
        <w:t>b) Que el hecho sea irresistible, o sea, que el agente no pueda evitar su acaecimiento ni superar sus consecuencias.</w:t>
      </w:r>
    </w:p>
    <w:p w14:paraId="0B3F4ED0" w14:textId="77777777" w:rsidR="00D52CE9" w:rsidRPr="00196ABA" w:rsidRDefault="00D52CE9" w:rsidP="00D52CE9">
      <w:pPr>
        <w:spacing w:after="0" w:line="240" w:lineRule="auto"/>
        <w:ind w:right="49" w:firstLine="708"/>
        <w:jc w:val="both"/>
        <w:rPr>
          <w:rFonts w:ascii="Verdana" w:eastAsia="Calibri" w:hAnsi="Verdana" w:cs="Arial"/>
          <w:sz w:val="16"/>
          <w:szCs w:val="16"/>
          <w:lang w:val="es-ES_tradnl"/>
        </w:rPr>
      </w:pPr>
      <w:r w:rsidRPr="00196ABA">
        <w:rPr>
          <w:rFonts w:ascii="Verdana" w:eastAsia="Calibri" w:hAnsi="Verdana" w:cs="Arial"/>
          <w:sz w:val="16"/>
          <w:szCs w:val="16"/>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16BF3531" w14:textId="77777777" w:rsidR="00D52CE9" w:rsidRPr="00196ABA" w:rsidRDefault="00D52CE9" w:rsidP="00D52CE9">
      <w:pPr>
        <w:spacing w:after="0" w:line="240" w:lineRule="auto"/>
        <w:ind w:right="49" w:firstLine="708"/>
        <w:jc w:val="both"/>
        <w:rPr>
          <w:rFonts w:ascii="Verdana" w:eastAsia="Calibri" w:hAnsi="Verdana" w:cs="Arial"/>
          <w:sz w:val="16"/>
          <w:szCs w:val="16"/>
          <w:lang w:val="es-ES_tradnl"/>
        </w:rPr>
      </w:pPr>
      <w:r w:rsidRPr="00196ABA">
        <w:rPr>
          <w:rFonts w:ascii="Verdana" w:eastAsia="Calibri" w:hAnsi="Verdana" w:cs="Arial"/>
          <w:sz w:val="16"/>
          <w:szCs w:val="16"/>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4068520C" w14:textId="77777777" w:rsidR="00D52CE9" w:rsidRPr="00196ABA" w:rsidRDefault="00D52CE9" w:rsidP="00D52CE9">
      <w:pPr>
        <w:spacing w:after="0" w:line="240" w:lineRule="auto"/>
        <w:ind w:right="49"/>
        <w:jc w:val="both"/>
        <w:rPr>
          <w:rFonts w:ascii="Verdana" w:eastAsia="Calibri" w:hAnsi="Verdana" w:cs="Arial"/>
          <w:sz w:val="16"/>
          <w:szCs w:val="16"/>
          <w:lang w:val="es-ES_tradnl"/>
        </w:rPr>
      </w:pPr>
      <w:r w:rsidRPr="00196ABA">
        <w:rPr>
          <w:rFonts w:ascii="Verdana" w:eastAsia="Calibri" w:hAnsi="Verdana" w:cs="Arial"/>
          <w:sz w:val="16"/>
          <w:szCs w:val="16"/>
          <w:lang w:val="es-ES_tradnl"/>
        </w:rPr>
        <w:t>[…]</w:t>
      </w:r>
    </w:p>
    <w:p w14:paraId="7D206781" w14:textId="77777777" w:rsidR="00D52CE9" w:rsidRPr="00196ABA" w:rsidRDefault="00D52CE9" w:rsidP="00D52CE9">
      <w:pPr>
        <w:pStyle w:val="Textonotapie"/>
        <w:ind w:right="49" w:firstLine="708"/>
        <w:jc w:val="both"/>
        <w:rPr>
          <w:rFonts w:ascii="Verdana" w:hAnsi="Verdana" w:cs="Arial"/>
          <w:sz w:val="16"/>
          <w:szCs w:val="16"/>
          <w:lang w:val="es-CO"/>
        </w:rPr>
      </w:pPr>
      <w:r w:rsidRPr="00196ABA">
        <w:rPr>
          <w:rFonts w:ascii="Verdana" w:eastAsia="Calibri" w:hAnsi="Verdana" w:cs="Arial"/>
          <w:sz w:val="16"/>
          <w:szCs w:val="16"/>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2">
    <w:p w14:paraId="5F2FB533" w14:textId="77777777" w:rsidR="00D52CE9" w:rsidRPr="00196ABA" w:rsidRDefault="00D52CE9" w:rsidP="00D52CE9">
      <w:pPr>
        <w:pStyle w:val="Textonotapie"/>
        <w:ind w:firstLine="708"/>
        <w:jc w:val="both"/>
        <w:rPr>
          <w:rFonts w:ascii="Verdana" w:hAnsi="Verdana" w:cs="Arial"/>
          <w:sz w:val="16"/>
          <w:szCs w:val="16"/>
          <w:lang w:val="es-ES"/>
        </w:rPr>
      </w:pPr>
      <w:r w:rsidRPr="00196ABA">
        <w:rPr>
          <w:rStyle w:val="Refdenotaalpie"/>
          <w:rFonts w:ascii="Verdana" w:hAnsi="Verdana" w:cs="Arial"/>
          <w:sz w:val="16"/>
          <w:szCs w:val="16"/>
        </w:rPr>
        <w:footnoteRef/>
      </w:r>
      <w:r w:rsidRPr="00196ABA">
        <w:rPr>
          <w:rFonts w:ascii="Verdana" w:hAnsi="Verdana" w:cs="Arial"/>
          <w:sz w:val="16"/>
          <w:szCs w:val="16"/>
        </w:rPr>
        <w:t xml:space="preserve"> “</w:t>
      </w:r>
      <w:r w:rsidRPr="00196ABA">
        <w:rPr>
          <w:rFonts w:ascii="Verdana" w:hAnsi="Verdana" w:cs="Arial"/>
          <w:sz w:val="16"/>
          <w:szCs w:val="16"/>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4447509A" w14:textId="77777777" w:rsidR="00D52CE9" w:rsidRPr="00196ABA" w:rsidRDefault="00D52CE9" w:rsidP="00D52CE9">
      <w:pPr>
        <w:pStyle w:val="Textonotapie"/>
        <w:ind w:firstLine="708"/>
        <w:jc w:val="both"/>
        <w:rPr>
          <w:rFonts w:ascii="Verdana" w:hAnsi="Verdana" w:cs="Arial"/>
          <w:sz w:val="16"/>
          <w:szCs w:val="16"/>
          <w:lang w:val="es-ES"/>
        </w:rPr>
      </w:pPr>
      <w:r w:rsidRPr="00196ABA">
        <w:rPr>
          <w:rFonts w:ascii="Verdana" w:hAnsi="Verdana" w:cs="Arial"/>
          <w:sz w:val="16"/>
          <w:szCs w:val="16"/>
          <w:lang w:val="es-ES"/>
        </w:rPr>
        <w:t>1. Nacional. Existirá una situación de desastre nacional:</w:t>
      </w:r>
    </w:p>
    <w:p w14:paraId="7EEBED12" w14:textId="77777777" w:rsidR="00D52CE9" w:rsidRPr="00196ABA" w:rsidRDefault="00D52CE9" w:rsidP="00D52CE9">
      <w:pPr>
        <w:pStyle w:val="Textonotapie"/>
        <w:ind w:firstLine="708"/>
        <w:jc w:val="both"/>
        <w:rPr>
          <w:rFonts w:ascii="Verdana" w:hAnsi="Verdana" w:cs="Arial"/>
          <w:sz w:val="16"/>
          <w:szCs w:val="16"/>
          <w:lang w:val="es-ES"/>
        </w:rPr>
      </w:pPr>
      <w:r w:rsidRPr="00196ABA">
        <w:rPr>
          <w:rFonts w:ascii="Verdana" w:hAnsi="Verdana" w:cs="Arial"/>
          <w:sz w:val="16"/>
          <w:szCs w:val="16"/>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3BF2D688" w14:textId="77777777" w:rsidR="00D52CE9" w:rsidRPr="00196ABA" w:rsidRDefault="00D52CE9" w:rsidP="00D52CE9">
      <w:pPr>
        <w:pStyle w:val="Textonotapie"/>
        <w:ind w:firstLine="708"/>
        <w:jc w:val="both"/>
        <w:rPr>
          <w:rFonts w:ascii="Verdana" w:hAnsi="Verdana" w:cs="Arial"/>
          <w:sz w:val="16"/>
          <w:szCs w:val="16"/>
          <w:lang w:val="es-ES"/>
        </w:rPr>
      </w:pPr>
      <w:r w:rsidRPr="00196ABA">
        <w:rPr>
          <w:rFonts w:ascii="Verdana" w:hAnsi="Verdana" w:cs="Arial"/>
          <w:sz w:val="16"/>
          <w:szCs w:val="16"/>
          <w:lang w:val="es-ES"/>
        </w:rPr>
        <w:t>b). Cuando se hayan producido efectos adversos en uno (1) o más departamentos y su impacto rebase la capacidad técnica y los recursos de las administraciones departamentales y municipales involucradas.</w:t>
      </w:r>
    </w:p>
    <w:p w14:paraId="6E1CF725" w14:textId="77777777" w:rsidR="00D52CE9" w:rsidRPr="00196ABA" w:rsidRDefault="00D52CE9" w:rsidP="00D52CE9">
      <w:pPr>
        <w:pStyle w:val="Textonotapie"/>
        <w:ind w:firstLine="708"/>
        <w:jc w:val="both"/>
        <w:rPr>
          <w:rFonts w:ascii="Verdana" w:hAnsi="Verdana" w:cs="Arial"/>
          <w:sz w:val="16"/>
          <w:szCs w:val="16"/>
          <w:lang w:val="es-ES"/>
        </w:rPr>
      </w:pPr>
      <w:r w:rsidRPr="00196ABA">
        <w:rPr>
          <w:rFonts w:ascii="Verdana" w:hAnsi="Verdana" w:cs="Arial"/>
          <w:sz w:val="16"/>
          <w:szCs w:val="16"/>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68423B2D" w14:textId="77777777" w:rsidR="00D52CE9" w:rsidRPr="00196ABA" w:rsidRDefault="00D52CE9" w:rsidP="00D52CE9">
      <w:pPr>
        <w:pStyle w:val="Textonotapie"/>
        <w:ind w:firstLine="708"/>
        <w:jc w:val="both"/>
        <w:rPr>
          <w:rFonts w:ascii="Verdana" w:hAnsi="Verdana" w:cs="Arial"/>
          <w:sz w:val="16"/>
          <w:szCs w:val="16"/>
          <w:lang w:val="es-ES"/>
        </w:rPr>
      </w:pPr>
      <w:r w:rsidRPr="00196ABA">
        <w:rPr>
          <w:rFonts w:ascii="Verdana" w:hAnsi="Verdana" w:cs="Arial"/>
          <w:sz w:val="16"/>
          <w:szCs w:val="16"/>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4FE52D66" w14:textId="77777777" w:rsidR="00D52CE9" w:rsidRPr="00196ABA" w:rsidRDefault="00D52CE9" w:rsidP="00D52CE9">
      <w:pPr>
        <w:pStyle w:val="Textonotapie"/>
        <w:ind w:firstLine="708"/>
        <w:jc w:val="both"/>
        <w:rPr>
          <w:rFonts w:ascii="Verdana" w:hAnsi="Verdana" w:cs="Arial"/>
          <w:sz w:val="16"/>
          <w:szCs w:val="16"/>
          <w:lang w:val="es-ES"/>
        </w:rPr>
      </w:pPr>
      <w:r w:rsidRPr="00196ABA">
        <w:rPr>
          <w:rFonts w:ascii="Verdana" w:hAnsi="Verdana" w:cs="Arial"/>
          <w:sz w:val="16"/>
          <w:szCs w:val="16"/>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3">
    <w:p w14:paraId="260B8C28" w14:textId="77777777" w:rsidR="00D52CE9" w:rsidRPr="00196ABA" w:rsidRDefault="00D52CE9" w:rsidP="00D52CE9">
      <w:pPr>
        <w:pStyle w:val="Textonotapie"/>
        <w:ind w:firstLine="708"/>
        <w:jc w:val="both"/>
        <w:rPr>
          <w:rFonts w:ascii="Verdana" w:hAnsi="Verdana" w:cs="Arial"/>
          <w:sz w:val="16"/>
          <w:szCs w:val="16"/>
          <w:lang w:val="es-CO"/>
        </w:rPr>
      </w:pPr>
      <w:r w:rsidRPr="00196ABA">
        <w:rPr>
          <w:rStyle w:val="Refdenotaalpie"/>
          <w:rFonts w:ascii="Verdana" w:hAnsi="Verdana" w:cs="Arial"/>
          <w:sz w:val="16"/>
          <w:szCs w:val="16"/>
        </w:rPr>
        <w:footnoteRef/>
      </w:r>
      <w:r w:rsidRPr="00196ABA">
        <w:rPr>
          <w:rFonts w:ascii="Verdana" w:hAnsi="Verdana" w:cs="Arial"/>
          <w:sz w:val="16"/>
          <w:szCs w:val="16"/>
        </w:rPr>
        <w:t xml:space="preserve"> “</w:t>
      </w:r>
      <w:r w:rsidRPr="00196ABA">
        <w:rPr>
          <w:rFonts w:ascii="Verdana" w:hAnsi="Verdana" w:cs="Arial"/>
          <w:sz w:val="16"/>
          <w:szCs w:val="16"/>
          <w:lang w:val="es-ES"/>
        </w:rPr>
        <w:t xml:space="preserve">Artículo 57. Declaratoria de situación de calamidad pública. </w:t>
      </w:r>
      <w:bookmarkStart w:id="7" w:name="_Hlk132729568"/>
      <w:r w:rsidRPr="00196ABA">
        <w:rPr>
          <w:rFonts w:ascii="Verdana" w:hAnsi="Verdana" w:cs="Arial"/>
          <w:sz w:val="16"/>
          <w:szCs w:val="16"/>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7"/>
      <w:r w:rsidRPr="00196ABA">
        <w:rPr>
          <w:rFonts w:ascii="Verdana" w:hAnsi="Verdana" w:cs="Arial"/>
          <w:sz w:val="16"/>
          <w:szCs w:val="16"/>
          <w:lang w:val="es-ES"/>
        </w:rPr>
        <w:t>”.</w:t>
      </w:r>
    </w:p>
  </w:footnote>
  <w:footnote w:id="4">
    <w:p w14:paraId="240C95CD" w14:textId="77777777" w:rsidR="00D52CE9" w:rsidRPr="00196ABA" w:rsidRDefault="00D52CE9" w:rsidP="00D52CE9">
      <w:pPr>
        <w:pStyle w:val="Textonotapie"/>
        <w:ind w:firstLine="708"/>
        <w:jc w:val="both"/>
        <w:rPr>
          <w:rFonts w:ascii="Verdana" w:hAnsi="Verdana" w:cs="Arial"/>
          <w:sz w:val="16"/>
          <w:szCs w:val="16"/>
          <w:lang w:val="es-ES"/>
        </w:rPr>
      </w:pPr>
      <w:r w:rsidRPr="00196ABA">
        <w:rPr>
          <w:rStyle w:val="Refdenotaalpie"/>
          <w:rFonts w:ascii="Verdana" w:hAnsi="Verdana"/>
          <w:sz w:val="16"/>
          <w:szCs w:val="16"/>
        </w:rPr>
        <w:footnoteRef/>
      </w:r>
      <w:r w:rsidRPr="00196ABA">
        <w:rPr>
          <w:rFonts w:ascii="Verdana" w:hAnsi="Verdana"/>
          <w:sz w:val="16"/>
          <w:szCs w:val="16"/>
        </w:rPr>
        <w:t xml:space="preserve"> </w:t>
      </w:r>
      <w:r w:rsidRPr="00196ABA">
        <w:rPr>
          <w:rFonts w:ascii="Verdana" w:hAnsi="Verdana" w:cs="Arial"/>
          <w:sz w:val="16"/>
          <w:szCs w:val="16"/>
          <w:lang w:val="es-ES"/>
        </w:rPr>
        <w:t>El inciso 1 de la norma en comento dispone que “El Fondo Nacional de Calamidades [ahora denominado Fondo Nacional de Gestión de Riesgo de Desastres, en virtud del artículo 47 de la Ley 1543 de 2012] será manejado por la Sociedad Fiduciaria La Previsora Limitada, empresa industrial y comercial del Estado, vinculada al Ministerio de Hacienda y Crédito Público” (Corchetes fuera de texto).</w:t>
      </w:r>
    </w:p>
  </w:footnote>
  <w:footnote w:id="5">
    <w:p w14:paraId="11DBA6F4" w14:textId="77777777" w:rsidR="00D52CE9" w:rsidRPr="00196ABA" w:rsidRDefault="00D52CE9" w:rsidP="00D52CE9">
      <w:pPr>
        <w:pStyle w:val="Textonotapie"/>
        <w:ind w:firstLine="708"/>
        <w:jc w:val="both"/>
        <w:rPr>
          <w:rFonts w:ascii="Verdana" w:hAnsi="Verdana" w:cs="Arial"/>
          <w:color w:val="000000" w:themeColor="text1"/>
          <w:sz w:val="16"/>
          <w:szCs w:val="16"/>
        </w:rPr>
      </w:pPr>
      <w:r w:rsidRPr="00196ABA">
        <w:rPr>
          <w:rStyle w:val="Refdenotaalpie"/>
          <w:rFonts w:ascii="Verdana" w:hAnsi="Verdana" w:cs="Arial"/>
          <w:color w:val="000000" w:themeColor="text1"/>
          <w:sz w:val="16"/>
          <w:szCs w:val="16"/>
        </w:rPr>
        <w:footnoteRef/>
      </w:r>
      <w:r w:rsidRPr="00196ABA">
        <w:rPr>
          <w:rFonts w:ascii="Verdana" w:hAnsi="Verdana" w:cs="Arial"/>
          <w:color w:val="000000" w:themeColor="text1"/>
          <w:sz w:val="16"/>
          <w:szCs w:val="16"/>
        </w:rPr>
        <w:t xml:space="preserve"> Al respecto, el artículo 2, literal a) del numeral 1, del Estatuto General de Contratación denomina como entidades estatales a “La Nación, las regiones, los departamentos, las provincias, el distrito capital y los distritos especiales, las áreas metropolitanas, las asociaciones de municipios, los territorios indígenas y los municipios; los establecimientos públicos, </w:t>
      </w:r>
      <w:r w:rsidRPr="00196ABA">
        <w:rPr>
          <w:rFonts w:ascii="Verdana" w:hAnsi="Verdana" w:cs="Arial"/>
          <w:i/>
          <w:iCs/>
          <w:color w:val="000000" w:themeColor="text1"/>
          <w:sz w:val="16"/>
          <w:szCs w:val="16"/>
        </w:rPr>
        <w:t>las empresas industriales y comerciales del Estado</w:t>
      </w:r>
      <w:r w:rsidRPr="00196ABA">
        <w:rPr>
          <w:rFonts w:ascii="Verdana" w:hAnsi="Verdana" w:cs="Arial"/>
          <w:color w:val="000000" w:themeColor="text1"/>
          <w:sz w:val="16"/>
          <w:szCs w:val="16"/>
        </w:rPr>
        <w:t>,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(Énfasis fuera de texto).</w:t>
      </w:r>
    </w:p>
    <w:p w14:paraId="32A08B13" w14:textId="77777777" w:rsidR="00D52CE9" w:rsidRPr="00196ABA" w:rsidRDefault="00D52CE9" w:rsidP="00D52CE9">
      <w:pPr>
        <w:pStyle w:val="Textonotapie"/>
        <w:ind w:firstLine="708"/>
        <w:jc w:val="both"/>
        <w:rPr>
          <w:rFonts w:ascii="Verdana" w:hAnsi="Verdana" w:cs="Arial"/>
          <w:color w:val="000000" w:themeColor="text1"/>
          <w:sz w:val="16"/>
          <w:szCs w:val="16"/>
        </w:rPr>
      </w:pPr>
      <w:r w:rsidRPr="00196ABA">
        <w:rPr>
          <w:rFonts w:ascii="Verdana" w:hAnsi="Verdana" w:cs="Arial"/>
          <w:color w:val="000000" w:themeColor="text1"/>
          <w:sz w:val="16"/>
          <w:szCs w:val="16"/>
        </w:rPr>
        <w:t xml:space="preserve">Igualmente, el artículo 93 de la Ley 489 de 1998 dispone lo siguiente: “Los actos que expidan las empresas industriales y comerciales del Estado para el desarrollo de su actividad propia, industrial o comercial o de gestión económica </w:t>
      </w:r>
      <w:r w:rsidRPr="00196ABA">
        <w:rPr>
          <w:rFonts w:ascii="Verdana" w:hAnsi="Verdana" w:cs="Arial"/>
          <w:sz w:val="16"/>
          <w:szCs w:val="16"/>
        </w:rPr>
        <w:t xml:space="preserve">se sujetarán a las disposiciones del Derecho Privado. </w:t>
      </w:r>
      <w:r w:rsidRPr="00196ABA">
        <w:rPr>
          <w:rFonts w:ascii="Verdana" w:hAnsi="Verdana" w:cs="Arial"/>
          <w:i/>
          <w:iCs/>
          <w:sz w:val="16"/>
          <w:szCs w:val="16"/>
        </w:rPr>
        <w:t>Los contratos que celebren para el cumplimiento de su objeto se sujetarán a las disposiciones del Estatuto General de Contratación de las entidades estatales</w:t>
      </w:r>
      <w:r w:rsidRPr="00196ABA">
        <w:rPr>
          <w:rFonts w:ascii="Verdana" w:hAnsi="Verdana" w:cs="Arial"/>
          <w:sz w:val="16"/>
          <w:szCs w:val="16"/>
        </w:rPr>
        <w:t>” (Énfasis fuera de texto</w:t>
      </w:r>
      <w:r w:rsidRPr="00196ABA">
        <w:rPr>
          <w:rFonts w:ascii="Verdana" w:hAnsi="Verdana" w:cs="Arial"/>
          <w:color w:val="000000" w:themeColor="text1"/>
          <w:sz w:val="16"/>
          <w:szCs w:val="16"/>
        </w:rPr>
        <w:t>).</w:t>
      </w:r>
    </w:p>
  </w:footnote>
  <w:footnote w:id="6">
    <w:p w14:paraId="540426BA" w14:textId="77777777" w:rsidR="00D52CE9" w:rsidRPr="00196ABA" w:rsidRDefault="00D52CE9" w:rsidP="00D52CE9">
      <w:pPr>
        <w:pStyle w:val="Textonotapie"/>
        <w:ind w:firstLine="708"/>
        <w:jc w:val="both"/>
        <w:rPr>
          <w:rFonts w:ascii="Verdana" w:hAnsi="Verdana" w:cs="Arial"/>
          <w:sz w:val="16"/>
          <w:szCs w:val="16"/>
        </w:rPr>
      </w:pPr>
      <w:r w:rsidRPr="00196ABA">
        <w:rPr>
          <w:rStyle w:val="Refdenotaalpie"/>
          <w:rFonts w:ascii="Verdana" w:hAnsi="Verdana" w:cs="Arial"/>
          <w:sz w:val="16"/>
          <w:szCs w:val="16"/>
        </w:rPr>
        <w:footnoteRef/>
      </w:r>
      <w:r w:rsidRPr="00196ABA">
        <w:rPr>
          <w:rFonts w:ascii="Verdana" w:hAnsi="Verdana" w:cs="Arial"/>
          <w:sz w:val="16"/>
          <w:szCs w:val="16"/>
        </w:rPr>
        <w:t xml:space="preserve"> El numeral derogado disponía que “La escogencia del contratista se efectuará siempre a través de licitación o concurso públicos, salvo en los siguientes casos en los que se podrá contratar directamente: […] m)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esta ley”.</w:t>
      </w:r>
    </w:p>
  </w:footnote>
  <w:footnote w:id="7">
    <w:p w14:paraId="3E4E8AB5" w14:textId="77777777" w:rsidR="00D52CE9" w:rsidRPr="00E47542" w:rsidRDefault="00D52CE9" w:rsidP="00D52CE9">
      <w:pPr>
        <w:pStyle w:val="Textonotapie"/>
        <w:ind w:firstLine="708"/>
        <w:jc w:val="both"/>
        <w:rPr>
          <w:rFonts w:ascii="Verdana" w:hAnsi="Verdana"/>
          <w:sz w:val="16"/>
          <w:szCs w:val="16"/>
          <w:lang w:val="es-CO"/>
        </w:rPr>
      </w:pPr>
      <w:r w:rsidRPr="00E47542">
        <w:rPr>
          <w:rStyle w:val="Refdenotaalpie"/>
          <w:rFonts w:ascii="Verdana" w:hAnsi="Verdana"/>
          <w:sz w:val="16"/>
          <w:szCs w:val="16"/>
        </w:rPr>
        <w:footnoteRef/>
      </w:r>
      <w:r w:rsidRPr="00E47542">
        <w:rPr>
          <w:rFonts w:ascii="Verdana" w:hAnsi="Verdana"/>
          <w:sz w:val="16"/>
          <w:szCs w:val="16"/>
        </w:rPr>
        <w:t xml:space="preserve"> </w:t>
      </w:r>
      <w:r>
        <w:rPr>
          <w:rFonts w:ascii="Verdana" w:hAnsi="Verdana"/>
          <w:sz w:val="16"/>
          <w:szCs w:val="16"/>
        </w:rPr>
        <w:t xml:space="preserve">El </w:t>
      </w:r>
      <w:r w:rsidRPr="00E47542">
        <w:rPr>
          <w:rFonts w:ascii="Verdana" w:hAnsi="Verdana"/>
          <w:sz w:val="16"/>
          <w:szCs w:val="16"/>
        </w:rPr>
        <w:t>artículo 2.2.1.2.1.2.24 del Decreto 1082 de 2015</w:t>
      </w:r>
      <w:r>
        <w:rPr>
          <w:rFonts w:ascii="Verdana" w:hAnsi="Verdana"/>
          <w:sz w:val="16"/>
          <w:szCs w:val="16"/>
        </w:rPr>
        <w:t xml:space="preserve"> precisa lo siguiente: “</w:t>
      </w:r>
      <w:r w:rsidRPr="00E47542">
        <w:rPr>
          <w:rFonts w:ascii="Verdana" w:hAnsi="Verdana"/>
          <w:sz w:val="16"/>
          <w:szCs w:val="16"/>
        </w:rPr>
        <w:t>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r>
        <w:rPr>
          <w:rFonts w:ascii="Verdana" w:hAnsi="Verdana"/>
          <w:sz w:val="16"/>
          <w:szCs w:val="16"/>
        </w:rPr>
        <w:t>”</w:t>
      </w:r>
      <w:r w:rsidRPr="00E47542">
        <w:rPr>
          <w:rFonts w:ascii="Verdana" w:hAnsi="Verdana"/>
          <w:sz w:val="16"/>
          <w:szCs w:val="16"/>
        </w:rPr>
        <w:t>.</w:t>
      </w:r>
    </w:p>
  </w:footnote>
  <w:footnote w:id="8">
    <w:p w14:paraId="662C1320" w14:textId="77777777" w:rsidR="00D52CE9" w:rsidRPr="00196ABA" w:rsidRDefault="00D52CE9" w:rsidP="00D52CE9">
      <w:pPr>
        <w:pStyle w:val="Textonotapie"/>
        <w:ind w:firstLine="708"/>
        <w:jc w:val="both"/>
        <w:rPr>
          <w:rFonts w:ascii="Verdana" w:hAnsi="Verdana" w:cs="Arial"/>
          <w:sz w:val="16"/>
          <w:szCs w:val="16"/>
          <w:lang w:val="es-ES"/>
        </w:rPr>
      </w:pPr>
      <w:r w:rsidRPr="00196ABA">
        <w:rPr>
          <w:rStyle w:val="Refdenotaalpie"/>
          <w:rFonts w:ascii="Verdana" w:hAnsi="Verdana" w:cs="Arial"/>
          <w:sz w:val="16"/>
          <w:szCs w:val="16"/>
        </w:rPr>
        <w:footnoteRef/>
      </w:r>
      <w:r w:rsidRPr="00196ABA">
        <w:rPr>
          <w:rFonts w:ascii="Verdana" w:hAnsi="Verdana" w:cs="Arial"/>
          <w:sz w:val="16"/>
          <w:szCs w:val="16"/>
        </w:rPr>
        <w:t xml:space="preserve"> En concordancia, el artículo 2.2.1.2.1.2.24 del Decreto 1082 de 2015 prescribe que “Las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p>
  </w:footnote>
  <w:footnote w:id="9">
    <w:p w14:paraId="43E69681" w14:textId="77777777" w:rsidR="00D52CE9" w:rsidRPr="00196ABA" w:rsidRDefault="00D52CE9" w:rsidP="00D52CE9">
      <w:pPr>
        <w:pStyle w:val="Textonotapie"/>
        <w:ind w:firstLine="708"/>
        <w:jc w:val="both"/>
        <w:rPr>
          <w:rFonts w:ascii="Verdana" w:hAnsi="Verdana" w:cs="Arial"/>
          <w:sz w:val="16"/>
          <w:szCs w:val="16"/>
        </w:rPr>
      </w:pPr>
      <w:r w:rsidRPr="00196ABA">
        <w:rPr>
          <w:rStyle w:val="Refdenotaalpie"/>
          <w:rFonts w:ascii="Verdana" w:hAnsi="Verdana" w:cs="Arial"/>
          <w:sz w:val="16"/>
          <w:szCs w:val="16"/>
        </w:rPr>
        <w:footnoteRef/>
      </w:r>
      <w:r w:rsidRPr="00196ABA">
        <w:rPr>
          <w:rFonts w:ascii="Verdana" w:hAnsi="Verdana" w:cs="Arial"/>
          <w:sz w:val="16"/>
          <w:szCs w:val="16"/>
        </w:rPr>
        <w:t xml:space="preserve"> CONSEJO DE ESTADO. Sección Tercera. Sentencia del 19 de agosto de 2004. Exp. 12.342. C.P. Ramiro Saavedra Becerra. </w:t>
      </w:r>
    </w:p>
  </w:footnote>
  <w:footnote w:id="10">
    <w:p w14:paraId="0028B194" w14:textId="77777777" w:rsidR="00D52CE9" w:rsidRPr="00196ABA" w:rsidRDefault="00D52CE9" w:rsidP="00D52CE9">
      <w:pPr>
        <w:pStyle w:val="Textonotapie"/>
        <w:ind w:firstLine="708"/>
        <w:jc w:val="both"/>
        <w:rPr>
          <w:rFonts w:ascii="Verdana" w:hAnsi="Verdana"/>
          <w:sz w:val="16"/>
          <w:szCs w:val="16"/>
          <w:lang w:val="es-CO"/>
        </w:rPr>
      </w:pPr>
      <w:r w:rsidRPr="00196ABA">
        <w:rPr>
          <w:rStyle w:val="Refdenotaalpie"/>
          <w:rFonts w:ascii="Verdana" w:hAnsi="Verdana"/>
          <w:sz w:val="16"/>
          <w:szCs w:val="16"/>
        </w:rPr>
        <w:footnoteRef/>
      </w:r>
      <w:r w:rsidRPr="00196ABA">
        <w:rPr>
          <w:rFonts w:ascii="Verdana" w:hAnsi="Verdana"/>
          <w:sz w:val="16"/>
          <w:szCs w:val="16"/>
        </w:rPr>
        <w:t xml:space="preserve"> La norma citada prescribe que “Salvo lo dispuesto para los contratos de empréstito interno y externo, los contratos que celebre la sociedad fiduciaria para la ejecución de los bienes, derechos e intereses del Fondo Nacional de Calamidades se someterán únicamente a los requisitos y formalidades que exige la ley para la contratación entre particulares, dando aplicación a los artículos 14 a 18 de la Ley 80 de 1993 y 13 de la Ley 1150 de 2007”. Por lo demás, el el inciso segundo del artículo 96 de la Ley 1523 de 2012 indica que “[…] mantendrán plena vigencia los artículos 2°, 3°, 4°, 9° y 10 del Decreto-ley 4702 de 2010 […]”.</w:t>
      </w:r>
    </w:p>
  </w:footnote>
  <w:footnote w:id="11">
    <w:p w14:paraId="34311EA8" w14:textId="77777777" w:rsidR="00D52CE9" w:rsidRPr="00196ABA" w:rsidRDefault="00D52CE9" w:rsidP="00D52CE9">
      <w:pPr>
        <w:pStyle w:val="NormalWeb"/>
        <w:spacing w:before="0" w:beforeAutospacing="0" w:after="0" w:afterAutospacing="0"/>
        <w:ind w:firstLine="708"/>
        <w:jc w:val="both"/>
        <w:rPr>
          <w:rFonts w:ascii="Verdana" w:hAnsi="Verdana" w:cs="Arial"/>
          <w:sz w:val="16"/>
          <w:szCs w:val="16"/>
          <w:lang w:eastAsia="es-ES_tradnl"/>
        </w:rPr>
      </w:pPr>
      <w:r w:rsidRPr="00196ABA">
        <w:rPr>
          <w:rStyle w:val="Refdenotaalpie"/>
          <w:rFonts w:ascii="Verdana" w:hAnsi="Verdana" w:cs="Arial"/>
          <w:sz w:val="16"/>
          <w:szCs w:val="16"/>
        </w:rPr>
        <w:footnoteRef/>
      </w:r>
      <w:r w:rsidRPr="00196ABA">
        <w:rPr>
          <w:rFonts w:ascii="Verdana" w:hAnsi="Verdana" w:cs="Arial"/>
          <w:sz w:val="16"/>
          <w:szCs w:val="16"/>
        </w:rPr>
        <w:t xml:space="preserve"> </w:t>
      </w:r>
      <w:bookmarkStart w:id="19" w:name="54"/>
      <w:r w:rsidRPr="00196ABA">
        <w:rPr>
          <w:rFonts w:ascii="Verdana" w:hAnsi="Verdana" w:cs="Arial"/>
          <w:sz w:val="16"/>
          <w:szCs w:val="16"/>
        </w:rPr>
        <w:t>“</w:t>
      </w:r>
      <w:r w:rsidRPr="00196ABA">
        <w:rPr>
          <w:rFonts w:ascii="Verdana" w:hAnsi="Verdana" w:cs="Arial"/>
          <w:sz w:val="16"/>
          <w:szCs w:val="16"/>
          <w:lang w:eastAsia="es-ES_tradnl"/>
        </w:rPr>
        <w:t>Artículo 54. Fondos territoriales.</w:t>
      </w:r>
      <w:bookmarkEnd w:id="19"/>
      <w:r w:rsidRPr="00196ABA">
        <w:rPr>
          <w:rFonts w:ascii="Verdana" w:hAnsi="Verdana" w:cs="Arial"/>
          <w:sz w:val="16"/>
          <w:szCs w:val="16"/>
          <w:lang w:eastAsia="es-ES_tradnl"/>
        </w:rPr>
        <w:t> Las administraciones departamentales, distritales y municipales, en un plazo no mayor a noventa (90) días posteriores a la fecha en que se sancione la presente ley, constituirán sus propios fondos de gestión del riesgo bajo el esquema del Fondo Nacional, como cuentas especiales con autonomía técnica y financiera, con el propósito de invertir, destinar y ejecutar sus recursos en la adopción de medidas de conocimiento y reducción del riesgo de desastre, preparación, respuesta, rehabilitación y reconstrucción. Podrá establecer mecanismos de financiación dirigidos a las entidades involucradas en los procesos y a la población afectada por la ocurrencia de desastres o calamidad. El Fondo podrá crear subcuentas para los diferentes procesos de la gestión del riesgo. </w:t>
      </w:r>
    </w:p>
    <w:p w14:paraId="5B71ED18" w14:textId="77777777" w:rsidR="00D52CE9" w:rsidRPr="00196ABA" w:rsidRDefault="00D52CE9" w:rsidP="00D52CE9">
      <w:pPr>
        <w:spacing w:after="0" w:line="240" w:lineRule="auto"/>
        <w:ind w:firstLine="708"/>
        <w:jc w:val="both"/>
        <w:rPr>
          <w:rFonts w:ascii="Verdana" w:eastAsia="Times New Roman" w:hAnsi="Verdana" w:cs="Arial"/>
          <w:sz w:val="16"/>
          <w:szCs w:val="16"/>
          <w:lang w:eastAsia="es-ES_tradnl"/>
        </w:rPr>
      </w:pPr>
      <w:r w:rsidRPr="00196ABA">
        <w:rPr>
          <w:rFonts w:ascii="Verdana" w:eastAsia="Times New Roman" w:hAnsi="Verdana" w:cs="Arial"/>
          <w:sz w:val="16"/>
          <w:szCs w:val="16"/>
          <w:lang w:eastAsia="es-ES_tradnl"/>
        </w:rPr>
        <w:t>Parágrafo. Los recursos destinados a los fondos de los que habla este artículo, serán de carácter acumulativo y no podrán en ningún caso ser retirados del mismo, por motivos diferentes a la gestión del riesgo. En todo caso el monto de los recursos deberá guardar coherencia con los niveles de riesgo de desastre que enfrenta el departamento, distrito o municipio”.</w:t>
      </w:r>
    </w:p>
  </w:footnote>
  <w:footnote w:id="12">
    <w:p w14:paraId="3CA1A6AF" w14:textId="77777777" w:rsidR="00D52CE9" w:rsidRPr="00C9667E" w:rsidRDefault="00D52CE9" w:rsidP="00D52CE9">
      <w:pPr>
        <w:pStyle w:val="Textonotapie"/>
        <w:ind w:firstLine="708"/>
        <w:jc w:val="both"/>
        <w:rPr>
          <w:rFonts w:ascii="Verdana" w:hAnsi="Verdana"/>
          <w:sz w:val="16"/>
          <w:szCs w:val="16"/>
          <w:lang w:val="es-ES"/>
        </w:rPr>
      </w:pPr>
      <w:r w:rsidRPr="00C9667E">
        <w:rPr>
          <w:rStyle w:val="Refdenotaalpie"/>
          <w:rFonts w:ascii="Verdana" w:hAnsi="Verdana"/>
          <w:sz w:val="16"/>
          <w:szCs w:val="16"/>
        </w:rPr>
        <w:footnoteRef/>
      </w:r>
      <w:r w:rsidRPr="00C9667E">
        <w:rPr>
          <w:rFonts w:ascii="Verdana" w:hAnsi="Verdana"/>
          <w:sz w:val="16"/>
          <w:szCs w:val="16"/>
        </w:rPr>
        <w:t xml:space="preserve"> </w:t>
      </w:r>
      <w:r w:rsidRPr="00C9667E">
        <w:rPr>
          <w:rFonts w:ascii="Verdana" w:hAnsi="Verdana"/>
          <w:sz w:val="16"/>
          <w:szCs w:val="16"/>
          <w:lang w:val="es-ES"/>
        </w:rPr>
        <w:t>La doctrina chilena ilustra su aplicación en los siguientes términos:</w:t>
      </w:r>
      <w:r>
        <w:rPr>
          <w:rFonts w:ascii="Verdana" w:hAnsi="Verdana"/>
          <w:sz w:val="16"/>
          <w:szCs w:val="16"/>
          <w:lang w:val="es-ES"/>
        </w:rPr>
        <w:t xml:space="preserve"> </w:t>
      </w:r>
      <w:r w:rsidRPr="00C9667E">
        <w:rPr>
          <w:rFonts w:ascii="Verdana" w:hAnsi="Verdana"/>
          <w:sz w:val="16"/>
          <w:szCs w:val="16"/>
          <w:lang w:val="es-ES"/>
        </w:rPr>
        <w:t xml:space="preserve">“La ley se ha de entender general e indistintamente. Cuando la ley no hace excepción alguna, pudiendo haberla hecho, no podemos separarnos de su disposición general por medio de una distinción que ella no ha formulado. </w:t>
      </w:r>
      <w:r w:rsidRPr="00C9667E">
        <w:rPr>
          <w:rFonts w:ascii="Verdana" w:hAnsi="Verdana"/>
          <w:i/>
          <w:iCs/>
          <w:sz w:val="16"/>
          <w:szCs w:val="16"/>
          <w:lang w:val="es-ES"/>
        </w:rPr>
        <w:t>Ubi lex non distinguit nec nos distinguere debemus</w:t>
      </w:r>
      <w:r w:rsidRPr="00C9667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20844FCF" w14:textId="77777777" w:rsidR="00D52CE9" w:rsidRPr="00C9667E" w:rsidRDefault="00D52CE9" w:rsidP="00D52CE9">
      <w:pPr>
        <w:pStyle w:val="Textonotapie"/>
        <w:ind w:firstLine="708"/>
        <w:jc w:val="both"/>
        <w:rPr>
          <w:rFonts w:ascii="Verdana" w:hAnsi="Verdana"/>
          <w:sz w:val="16"/>
          <w:szCs w:val="16"/>
          <w:lang w:val="es-CO"/>
        </w:rPr>
      </w:pPr>
      <w:r w:rsidRPr="00C9667E">
        <w:rPr>
          <w:rFonts w:ascii="Verdana" w:hAnsi="Verdana"/>
          <w:sz w:val="16"/>
          <w:szCs w:val="16"/>
          <w:lang w:val="es-ES"/>
        </w:rPr>
        <w:t xml:space="preserve">En el derecho antiguo y en el derecho canónico se distinguían las leyes en favorables y odiosas, para ampliar o restringir su interpretación. </w:t>
      </w:r>
      <w:r w:rsidRPr="00C9667E">
        <w:rPr>
          <w:rFonts w:ascii="Verdana" w:hAnsi="Verdana"/>
          <w:i/>
          <w:iCs/>
          <w:sz w:val="16"/>
          <w:szCs w:val="16"/>
          <w:lang w:val="es-ES"/>
        </w:rPr>
        <w:t>Odia restringí et favores convenit ampliari</w:t>
      </w:r>
      <w:r w:rsidRPr="00C9667E">
        <w:rPr>
          <w:rFonts w:ascii="Verdana" w:hAnsi="Verdana"/>
          <w:sz w:val="16"/>
          <w:szCs w:val="16"/>
          <w:lang w:val="es-ES"/>
        </w:rPr>
        <w:t>.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w:t>
      </w:r>
      <w:r>
        <w:rPr>
          <w:rFonts w:ascii="Verdana" w:hAnsi="Verdana"/>
          <w:sz w:val="16"/>
          <w:szCs w:val="16"/>
          <w:lang w:val="es-ES"/>
        </w:rPr>
        <w:t xml:space="preserve"> (Cfr. </w:t>
      </w:r>
      <w:r w:rsidRPr="008A44AC">
        <w:rPr>
          <w:rFonts w:ascii="Verdana" w:hAnsi="Verdana"/>
          <w:sz w:val="16"/>
          <w:szCs w:val="16"/>
        </w:rPr>
        <w:t>CLARO SOLAR, Luis. Explicaciones de derecho civil chileno y comparado. Volumen I. Tomo I. Santiago: Editorial Jurídica de Chile, 2013. p. 11</w:t>
      </w:r>
      <w:r>
        <w:rPr>
          <w:rFonts w:ascii="Verdana" w:hAnsi="Verdana"/>
          <w:sz w:val="16"/>
          <w:szCs w:val="16"/>
        </w:rPr>
        <w:t>9</w:t>
      </w:r>
      <w:r w:rsidRPr="008A44AC">
        <w:rPr>
          <w:rFonts w:ascii="Verdana" w:hAnsi="Verdana"/>
          <w:sz w:val="16"/>
          <w:szCs w:val="16"/>
        </w:rPr>
        <w:t>. Énfasis dentro del texto</w:t>
      </w:r>
      <w:r>
        <w:rPr>
          <w:rFonts w:ascii="Verdana" w:hAnsi="Verdana"/>
          <w:sz w:val="16"/>
          <w:szCs w:val="16"/>
        </w:rPr>
        <w:t>).</w:t>
      </w:r>
    </w:p>
  </w:footnote>
  <w:footnote w:id="13">
    <w:p w14:paraId="0EF66F93" w14:textId="77777777" w:rsidR="00D52CE9" w:rsidRPr="001244F3" w:rsidRDefault="00D52CE9" w:rsidP="00D52CE9">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Agencia Nacional de Contratación Pública - Colombia Compra Eficiente. Guía para las Entidades Estatales con régimen especial de contratación: </w:t>
      </w:r>
      <w:r>
        <w:rPr>
          <w:rFonts w:ascii="Verdana" w:hAnsi="Verdana" w:cs="Arial"/>
          <w:color w:val="000000" w:themeColor="text1"/>
          <w:sz w:val="16"/>
          <w:szCs w:val="16"/>
        </w:rPr>
        <w:t>“</w:t>
      </w:r>
      <w:r w:rsidRPr="001244F3">
        <w:rPr>
          <w:rFonts w:ascii="Verdana" w:hAnsi="Verdana" w:cs="Arial"/>
          <w:color w:val="000000" w:themeColor="text1"/>
          <w:sz w:val="16"/>
          <w:szCs w:val="16"/>
        </w:rPr>
        <w:t>Entidad Estatal de régimen especial: Entidad Estatal que realiza sus Procesos de Contratación con un régimen distinto al previsto en las Leyes 80 de 1993 y 1150 de 2007</w:t>
      </w:r>
      <w:r>
        <w:rPr>
          <w:rFonts w:ascii="Verdana" w:hAnsi="Verdana" w:cs="Arial"/>
          <w:color w:val="000000" w:themeColor="text1"/>
          <w:sz w:val="16"/>
          <w:szCs w:val="16"/>
        </w:rPr>
        <w:t>”</w:t>
      </w:r>
      <w:r w:rsidRPr="001244F3">
        <w:rPr>
          <w:rFonts w:ascii="Verdana" w:hAnsi="Verdana" w:cs="Arial"/>
          <w:color w:val="000000" w:themeColor="text1"/>
          <w:sz w:val="16"/>
          <w:szCs w:val="16"/>
        </w:rPr>
        <w:t>.</w:t>
      </w:r>
    </w:p>
  </w:footnote>
  <w:footnote w:id="14">
    <w:p w14:paraId="1F2316CC" w14:textId="77777777" w:rsidR="00D52CE9" w:rsidRPr="001244F3" w:rsidRDefault="00D52CE9" w:rsidP="00D52CE9">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CONSEJO DE ESTADO. Sección Tercera. Radicado No. 45.607 del 24 de octubre de 2016. Consejera Ponente: María Nubia Velásquez Rico.</w:t>
      </w:r>
    </w:p>
  </w:footnote>
  <w:footnote w:id="15">
    <w:p w14:paraId="202E5306" w14:textId="77777777" w:rsidR="00D52CE9" w:rsidRPr="001244F3" w:rsidRDefault="00D52CE9" w:rsidP="00D52CE9">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Este fenómeno también se ha presentado, en los últimos años, en España. Al respecto, ver: SÁNCHEZ MORÓN, Miguel. El retorno del derecho administrativo. En: Revista de Administración Pública. Nº 216 (2018). Disponible en: </w:t>
      </w:r>
      <w:hyperlink r:id="rId1" w:history="1">
        <w:r w:rsidRPr="000C3FF3">
          <w:rPr>
            <w:rStyle w:val="Hipervnculo"/>
            <w:rFonts w:ascii="Verdana" w:hAnsi="Verdana" w:cs="Arial"/>
            <w:sz w:val="16"/>
            <w:szCs w:val="16"/>
          </w:rPr>
          <w:t>https://recyt.fecyt.es/index.php/RAP/article/view/67033</w:t>
        </w:r>
      </w:hyperlink>
      <w:r w:rsidRPr="001244F3">
        <w:rPr>
          <w:rFonts w:ascii="Verdana" w:hAnsi="Verdana" w:cs="Arial"/>
          <w:color w:val="000000" w:themeColor="text1"/>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7879"/>
    <w:rsid w:val="000A683E"/>
    <w:rsid w:val="000B19B9"/>
    <w:rsid w:val="000B6FD7"/>
    <w:rsid w:val="000D0334"/>
    <w:rsid w:val="000D5DA7"/>
    <w:rsid w:val="000F6486"/>
    <w:rsid w:val="00116940"/>
    <w:rsid w:val="00125105"/>
    <w:rsid w:val="00127233"/>
    <w:rsid w:val="0015699B"/>
    <w:rsid w:val="00163D7F"/>
    <w:rsid w:val="001A33BF"/>
    <w:rsid w:val="001A35F4"/>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6D00"/>
    <w:rsid w:val="00322A85"/>
    <w:rsid w:val="00324168"/>
    <w:rsid w:val="00330834"/>
    <w:rsid w:val="003448F4"/>
    <w:rsid w:val="00374F5E"/>
    <w:rsid w:val="00377E3E"/>
    <w:rsid w:val="00383144"/>
    <w:rsid w:val="003A779E"/>
    <w:rsid w:val="003D0F4D"/>
    <w:rsid w:val="003D5B0D"/>
    <w:rsid w:val="003E0499"/>
    <w:rsid w:val="003E4F80"/>
    <w:rsid w:val="003E6439"/>
    <w:rsid w:val="003F3941"/>
    <w:rsid w:val="003F72C6"/>
    <w:rsid w:val="00406575"/>
    <w:rsid w:val="00414C74"/>
    <w:rsid w:val="0042722E"/>
    <w:rsid w:val="0044528D"/>
    <w:rsid w:val="004631DF"/>
    <w:rsid w:val="00466E39"/>
    <w:rsid w:val="004A1847"/>
    <w:rsid w:val="004A305D"/>
    <w:rsid w:val="004F21C4"/>
    <w:rsid w:val="004F685F"/>
    <w:rsid w:val="00526710"/>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3350"/>
    <w:rsid w:val="007649AB"/>
    <w:rsid w:val="00771D0C"/>
    <w:rsid w:val="007833AC"/>
    <w:rsid w:val="007B268C"/>
    <w:rsid w:val="007B7171"/>
    <w:rsid w:val="007C0C0F"/>
    <w:rsid w:val="007C3DC2"/>
    <w:rsid w:val="007E5497"/>
    <w:rsid w:val="007E7F1F"/>
    <w:rsid w:val="00806F5F"/>
    <w:rsid w:val="00820278"/>
    <w:rsid w:val="008258C9"/>
    <w:rsid w:val="00844AE9"/>
    <w:rsid w:val="00867F95"/>
    <w:rsid w:val="008843B6"/>
    <w:rsid w:val="00885B50"/>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62BC5"/>
    <w:rsid w:val="00B72CD3"/>
    <w:rsid w:val="00B72FFF"/>
    <w:rsid w:val="00B766C5"/>
    <w:rsid w:val="00BC3D36"/>
    <w:rsid w:val="00BD54A6"/>
    <w:rsid w:val="00BD7F72"/>
    <w:rsid w:val="00BF7425"/>
    <w:rsid w:val="00C04FB3"/>
    <w:rsid w:val="00C11D8B"/>
    <w:rsid w:val="00C15139"/>
    <w:rsid w:val="00C330EB"/>
    <w:rsid w:val="00C50D69"/>
    <w:rsid w:val="00C5365C"/>
    <w:rsid w:val="00C754BE"/>
    <w:rsid w:val="00C76B1C"/>
    <w:rsid w:val="00C925AC"/>
    <w:rsid w:val="00C94FD8"/>
    <w:rsid w:val="00CB6357"/>
    <w:rsid w:val="00CB6904"/>
    <w:rsid w:val="00CC1B26"/>
    <w:rsid w:val="00D361FD"/>
    <w:rsid w:val="00D423A2"/>
    <w:rsid w:val="00D44E26"/>
    <w:rsid w:val="00D520D8"/>
    <w:rsid w:val="00D52CE9"/>
    <w:rsid w:val="00D63AC2"/>
    <w:rsid w:val="00D7383B"/>
    <w:rsid w:val="00D7788A"/>
    <w:rsid w:val="00DA231B"/>
    <w:rsid w:val="00DC39FC"/>
    <w:rsid w:val="00DF5254"/>
    <w:rsid w:val="00E02524"/>
    <w:rsid w:val="00E16408"/>
    <w:rsid w:val="00E20894"/>
    <w:rsid w:val="00E245AB"/>
    <w:rsid w:val="00E2764C"/>
    <w:rsid w:val="00E27F2E"/>
    <w:rsid w:val="00E45DF5"/>
    <w:rsid w:val="00E50AFE"/>
    <w:rsid w:val="00E75C92"/>
    <w:rsid w:val="00E771DC"/>
    <w:rsid w:val="00E8772A"/>
    <w:rsid w:val="00E90F6B"/>
    <w:rsid w:val="00E92C27"/>
    <w:rsid w:val="00EA0E3D"/>
    <w:rsid w:val="00EC38A7"/>
    <w:rsid w:val="00EE1AA8"/>
    <w:rsid w:val="00EF48B7"/>
    <w:rsid w:val="00F0213E"/>
    <w:rsid w:val="00F23FEA"/>
    <w:rsid w:val="00F31EDC"/>
    <w:rsid w:val="00F35816"/>
    <w:rsid w:val="00F462B3"/>
    <w:rsid w:val="00F5664F"/>
    <w:rsid w:val="00F666C4"/>
    <w:rsid w:val="00F76AFC"/>
    <w:rsid w:val="00FA47C0"/>
    <w:rsid w:val="00FB5DD1"/>
    <w:rsid w:val="00FC2B5D"/>
    <w:rsid w:val="00FE104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7AA468F"/>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2CE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2CE9"/>
    <w:rPr>
      <w:rFonts w:ascii="Geomanist Light" w:hAnsi="Geomanist Light"/>
      <w:lang w:val="es-ES"/>
    </w:rPr>
  </w:style>
  <w:style w:type="character" w:customStyle="1" w:styleId="s15">
    <w:name w:val="s15"/>
    <w:basedOn w:val="Fuentedeprrafopredeter"/>
    <w:rsid w:val="00D52CE9"/>
  </w:style>
  <w:style w:type="character" w:customStyle="1" w:styleId="NormalWebCar">
    <w:name w:val="Normal (Web) Car"/>
    <w:link w:val="NormalWeb"/>
    <w:uiPriority w:val="99"/>
    <w:rsid w:val="00D52CE9"/>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icedomedinajorge@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recyt.fecyt.es/index.php/RAP/article/view/670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D64589B1-8633-4E58-BFA3-3DB17092BA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27</Pages>
  <Words>8571</Words>
  <Characters>47146</Characters>
  <Application>Microsoft Office Word</Application>
  <DocSecurity>0</DocSecurity>
  <Lines>392</Lines>
  <Paragraphs>111</Paragraphs>
  <ScaleCrop>false</ScaleCrop>
  <Company/>
  <LinksUpToDate>false</LinksUpToDate>
  <CharactersWithSpaces>55606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2026-05-27T14:29:00Z</dcterms:created>
  <dcterms:modified xsi:type="dcterms:W3CDTF">2026-05-28T20:56:00Z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