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BF0B8E" w14:textId="77777777" w:rsidR="00A765B7" w:rsidRPr="0037437B" w:rsidRDefault="00A765B7" w:rsidP="00A765B7">
      <w:pPr>
        <w:spacing w:after="0"/>
        <w:jc w:val="both"/>
        <w:rPr>
          <w:rFonts w:ascii="Verdana" w:hAnsi="Verdana" w:cs="Arial"/>
          <w:b/>
          <w:bCs/>
          <w:color w:val="000000" w:themeColor="text1"/>
          <w:lang w:val="es-ES"/>
        </w:rPr>
      </w:pPr>
      <w:bookmarkStart w:id="0" w:name="_Hlk143780582"/>
      <w:r w:rsidRPr="0037437B">
        <w:rPr>
          <w:rFonts w:ascii="Verdana" w:hAnsi="Verdana" w:cs="Arial"/>
          <w:b/>
          <w:bCs/>
          <w:color w:val="000000" w:themeColor="text1"/>
          <w:lang w:val="es-ES"/>
        </w:rPr>
        <w:t xml:space="preserve">PRINCIPIO DE ANUALIDAD – Fundamento </w:t>
      </w:r>
    </w:p>
    <w:p w14:paraId="192AF5DE" w14:textId="77777777" w:rsidR="00A765B7" w:rsidRDefault="00A765B7" w:rsidP="00A765B7">
      <w:pPr>
        <w:spacing w:after="0"/>
        <w:jc w:val="both"/>
        <w:rPr>
          <w:rFonts w:ascii="Verdana" w:hAnsi="Verdana" w:cs="Arial"/>
          <w:b/>
          <w:bCs/>
          <w:color w:val="000000" w:themeColor="text1"/>
          <w:lang w:val="es-ES"/>
        </w:rPr>
      </w:pPr>
    </w:p>
    <w:p w14:paraId="202710BB" w14:textId="77777777" w:rsidR="00A765B7" w:rsidRDefault="00A765B7" w:rsidP="00A765B7">
      <w:pPr>
        <w:spacing w:after="0"/>
        <w:jc w:val="both"/>
        <w:rPr>
          <w:rFonts w:ascii="Verdana" w:hAnsi="Verdana" w:cs="Arial"/>
          <w:bCs/>
          <w:color w:val="000000" w:themeColor="text1"/>
          <w:sz w:val="20"/>
          <w:lang w:val="es-ES_tradnl"/>
        </w:rPr>
      </w:pPr>
      <w:r>
        <w:rPr>
          <w:rFonts w:ascii="Verdana" w:hAnsi="Verdana" w:cs="Arial"/>
          <w:bCs/>
          <w:color w:val="000000" w:themeColor="text1"/>
          <w:sz w:val="20"/>
          <w:lang w:val="es-ES_tradnl"/>
        </w:rPr>
        <w:t xml:space="preserve">[…] </w:t>
      </w:r>
      <w:r w:rsidRPr="0037437B">
        <w:rPr>
          <w:rFonts w:ascii="Verdana" w:hAnsi="Verdana" w:cs="Arial"/>
          <w:bCs/>
          <w:color w:val="000000" w:themeColor="text1"/>
          <w:sz w:val="20"/>
          <w:lang w:val="es-ES_tradnl"/>
        </w:rPr>
        <w:t>el Estatuto Orgánico del Presupuesto consagra este principio en el artículo 14 consistente en que “Después del 31 de diciembre no podrán asumirse compromisos con cargo a las apropiaciones del año fiscal que se cierra en esa fecha y los saldos de apropiación no afectados por compromisos caducarán sin excepción”. Es decir, los gastos previstos en el presupuesto anual deben ejecutarse dentro de una vigencia fiscal comprendida entre el 1 de enero y el 31 de diciembre.</w:t>
      </w:r>
      <w:r w:rsidRPr="0037437B">
        <w:rPr>
          <w:rFonts w:ascii="Verdana" w:hAnsi="Verdana" w:cs="Arial"/>
          <w:bCs/>
          <w:color w:val="000000" w:themeColor="text1"/>
          <w:sz w:val="20"/>
        </w:rPr>
        <w:t xml:space="preserve"> En el mismo sentido, </w:t>
      </w:r>
      <w:r w:rsidRPr="0037437B">
        <w:rPr>
          <w:rFonts w:ascii="Verdana" w:hAnsi="Verdana" w:cs="Arial"/>
          <w:bCs/>
          <w:color w:val="000000" w:themeColor="text1"/>
          <w:sz w:val="20"/>
          <w:lang w:val="es-ES_tradnl"/>
        </w:rPr>
        <w:t xml:space="preserve">el artículo 89 </w:t>
      </w:r>
      <w:r w:rsidRPr="0037437B">
        <w:rPr>
          <w:rFonts w:ascii="Verdana" w:hAnsi="Verdana" w:cs="Arial"/>
          <w:bCs/>
          <w:i/>
          <w:iCs/>
          <w:color w:val="000000" w:themeColor="text1"/>
          <w:sz w:val="20"/>
          <w:lang w:val="es-ES_tradnl"/>
        </w:rPr>
        <w:t>ibidem</w:t>
      </w:r>
      <w:r w:rsidRPr="0037437B">
        <w:rPr>
          <w:rFonts w:ascii="Verdana" w:hAnsi="Verdana" w:cs="Arial"/>
          <w:bCs/>
          <w:color w:val="000000" w:themeColor="text1"/>
          <w:sz w:val="20"/>
          <w:lang w:val="es-ES_tradnl"/>
        </w:rPr>
        <w:t xml:space="preserve"> consolida al principio de anualidad como regla general en la ejecución del gasto al establecer que “las apropiaciones presupuestales incluidas en el Presupuesto General de la Nación son autorizaciones máximas de gasto que el Congreso aprueba para ser ejecutadas o comprometidas durante la vigencia fiscal respectiva, por lo que después del 31 de diciembre de cada año estas autorizaciones expiran y, en consecuencia, no podrán comprometerse, adicionarse, transferirse, ni </w:t>
      </w:r>
      <w:proofErr w:type="spellStart"/>
      <w:r w:rsidRPr="0037437B">
        <w:rPr>
          <w:rFonts w:ascii="Verdana" w:hAnsi="Verdana" w:cs="Arial"/>
          <w:bCs/>
          <w:color w:val="000000" w:themeColor="text1"/>
          <w:sz w:val="20"/>
          <w:lang w:val="es-ES_tradnl"/>
        </w:rPr>
        <w:t>contracreditarse</w:t>
      </w:r>
      <w:proofErr w:type="spellEnd"/>
      <w:r w:rsidRPr="0037437B">
        <w:rPr>
          <w:rFonts w:ascii="Verdana" w:hAnsi="Verdana" w:cs="Arial"/>
          <w:bCs/>
          <w:color w:val="000000" w:themeColor="text1"/>
          <w:sz w:val="20"/>
          <w:lang w:val="es-ES_tradnl"/>
        </w:rPr>
        <w:t>”.</w:t>
      </w:r>
    </w:p>
    <w:p w14:paraId="15B9A091" w14:textId="77777777" w:rsidR="00A765B7" w:rsidRPr="0037437B" w:rsidRDefault="00A765B7" w:rsidP="00A765B7">
      <w:pPr>
        <w:spacing w:after="0"/>
        <w:jc w:val="both"/>
        <w:rPr>
          <w:rFonts w:ascii="Verdana" w:hAnsi="Verdana" w:cs="Arial"/>
          <w:bCs/>
          <w:color w:val="000000" w:themeColor="text1"/>
          <w:sz w:val="20"/>
          <w:lang w:val="es-ES_tradnl"/>
        </w:rPr>
      </w:pPr>
      <w:r w:rsidRPr="0037437B">
        <w:rPr>
          <w:rFonts w:ascii="Verdana" w:hAnsi="Verdana" w:cs="Arial"/>
          <w:bCs/>
          <w:color w:val="000000" w:themeColor="text1"/>
          <w:sz w:val="20"/>
          <w:lang w:val="es-ES_tradnl"/>
        </w:rPr>
        <w:t xml:space="preserve"> </w:t>
      </w:r>
    </w:p>
    <w:p w14:paraId="0D518ADC" w14:textId="77777777" w:rsidR="00A765B7" w:rsidRPr="0037437B" w:rsidRDefault="00A765B7" w:rsidP="00A765B7">
      <w:pPr>
        <w:spacing w:after="0"/>
        <w:jc w:val="both"/>
        <w:rPr>
          <w:rFonts w:ascii="Verdana" w:hAnsi="Verdana" w:cs="Arial"/>
          <w:bCs/>
          <w:color w:val="000000" w:themeColor="text1"/>
          <w:sz w:val="20"/>
          <w:lang w:val="es-ES_tradnl"/>
        </w:rPr>
      </w:pPr>
      <w:r w:rsidRPr="0037437B">
        <w:rPr>
          <w:rFonts w:ascii="Verdana" w:hAnsi="Verdana" w:cs="Arial"/>
          <w:bCs/>
          <w:color w:val="000000" w:themeColor="text1"/>
          <w:sz w:val="20"/>
          <w:lang w:val="es-ES_tradnl"/>
        </w:rPr>
        <w:t>A su turno, el artículo 8 de la Ley 819 de 2003 consagra el principio de anualidad al disponer que “l</w:t>
      </w:r>
      <w:r w:rsidRPr="0037437B">
        <w:rPr>
          <w:rFonts w:ascii="Verdana" w:hAnsi="Verdana" w:cs="Arial"/>
          <w:bCs/>
          <w:color w:val="000000" w:themeColor="text1"/>
          <w:sz w:val="20"/>
        </w:rPr>
        <w:t>a preparación y elaboración del Presupuesto General de la Nación y el de las entidades territoriales, deberá sujetarse a los correspondientes Marcos Fiscales de Mediano Plazo de manera que las apropiaciones presupuestales aprobadas por el Congreso de la República, las Asambleas y los Concejos, puedan ejecutarse en su totalidad durante la vigencia fiscal correspondiente”.</w:t>
      </w:r>
    </w:p>
    <w:p w14:paraId="0C48C589" w14:textId="77777777" w:rsidR="00A765B7" w:rsidRPr="0037437B" w:rsidRDefault="00A765B7" w:rsidP="00A765B7">
      <w:pPr>
        <w:spacing w:after="0"/>
        <w:jc w:val="both"/>
        <w:rPr>
          <w:rFonts w:ascii="Verdana" w:hAnsi="Verdana" w:cs="Arial"/>
          <w:b/>
          <w:bCs/>
          <w:color w:val="000000" w:themeColor="text1"/>
          <w:lang w:val="es-ES_tradnl"/>
        </w:rPr>
      </w:pPr>
    </w:p>
    <w:p w14:paraId="5ECEC14E" w14:textId="77777777" w:rsidR="00A765B7" w:rsidRPr="0037437B" w:rsidRDefault="00A765B7" w:rsidP="00A765B7">
      <w:pPr>
        <w:spacing w:after="0"/>
        <w:jc w:val="both"/>
        <w:rPr>
          <w:rFonts w:ascii="Verdana" w:hAnsi="Verdana" w:cs="Arial"/>
          <w:b/>
          <w:lang w:val="es-ES" w:eastAsia="es-ES"/>
        </w:rPr>
      </w:pPr>
      <w:r w:rsidRPr="0037437B">
        <w:rPr>
          <w:rFonts w:ascii="Verdana" w:hAnsi="Verdana" w:cs="Arial"/>
          <w:b/>
          <w:bCs/>
          <w:color w:val="000000" w:themeColor="text1"/>
          <w:lang w:val="es-ES"/>
        </w:rPr>
        <w:t>PRINCIPIO DE ANUALIDAD</w:t>
      </w:r>
      <w:r w:rsidRPr="0037437B">
        <w:rPr>
          <w:rFonts w:ascii="Verdana" w:hAnsi="Verdana" w:cs="Arial"/>
          <w:b/>
          <w:lang w:val="es-ES" w:eastAsia="es-ES"/>
        </w:rPr>
        <w:t xml:space="preserve"> – Excepciones </w:t>
      </w:r>
    </w:p>
    <w:p w14:paraId="3CDAB171" w14:textId="77777777" w:rsidR="00A765B7" w:rsidRPr="0037437B" w:rsidRDefault="00A765B7" w:rsidP="00A765B7">
      <w:pPr>
        <w:spacing w:after="0"/>
        <w:jc w:val="both"/>
        <w:rPr>
          <w:rFonts w:ascii="Verdana" w:hAnsi="Verdana" w:cs="Arial"/>
          <w:b/>
          <w:lang w:val="es-ES" w:eastAsia="es-ES"/>
        </w:rPr>
      </w:pPr>
    </w:p>
    <w:p w14:paraId="2CD6094E" w14:textId="77777777" w:rsidR="00A765B7" w:rsidRPr="0037437B" w:rsidRDefault="00A765B7" w:rsidP="00A765B7">
      <w:pPr>
        <w:spacing w:after="0"/>
        <w:jc w:val="both"/>
        <w:rPr>
          <w:rFonts w:ascii="Verdana" w:hAnsi="Verdana" w:cs="Arial"/>
          <w:sz w:val="20"/>
          <w:lang w:val="es-ES_tradnl" w:eastAsia="es-ES"/>
        </w:rPr>
      </w:pPr>
      <w:r w:rsidRPr="0037437B">
        <w:rPr>
          <w:rFonts w:ascii="Verdana" w:hAnsi="Verdana" w:cs="Arial"/>
          <w:sz w:val="20"/>
          <w:lang w:val="es-ES_tradnl" w:eastAsia="es-ES"/>
        </w:rPr>
        <w:t xml:space="preserve">Dentro de los mecanismos presupuestales que constituyen excepciones al principio de anualidad se identifican: i) las vigencias futuras, </w:t>
      </w:r>
      <w:proofErr w:type="spellStart"/>
      <w:r w:rsidRPr="0037437B">
        <w:rPr>
          <w:rFonts w:ascii="Verdana" w:hAnsi="Verdana" w:cs="Arial"/>
          <w:sz w:val="20"/>
          <w:lang w:val="es-ES_tradnl" w:eastAsia="es-ES"/>
        </w:rPr>
        <w:t>ii</w:t>
      </w:r>
      <w:proofErr w:type="spellEnd"/>
      <w:r w:rsidRPr="0037437B">
        <w:rPr>
          <w:rFonts w:ascii="Verdana" w:hAnsi="Verdana" w:cs="Arial"/>
          <w:sz w:val="20"/>
          <w:lang w:val="es-ES_tradnl" w:eastAsia="es-ES"/>
        </w:rPr>
        <w:t xml:space="preserve">) las cuentas por pagar y </w:t>
      </w:r>
      <w:proofErr w:type="spellStart"/>
      <w:r w:rsidRPr="0037437B">
        <w:rPr>
          <w:rFonts w:ascii="Verdana" w:hAnsi="Verdana" w:cs="Arial"/>
          <w:sz w:val="20"/>
          <w:lang w:val="es-ES_tradnl" w:eastAsia="es-ES"/>
        </w:rPr>
        <w:t>iii</w:t>
      </w:r>
      <w:proofErr w:type="spellEnd"/>
      <w:r w:rsidRPr="0037437B">
        <w:rPr>
          <w:rFonts w:ascii="Verdana" w:hAnsi="Verdana" w:cs="Arial"/>
          <w:sz w:val="20"/>
          <w:lang w:val="es-ES_tradnl" w:eastAsia="es-ES"/>
        </w:rPr>
        <w:t xml:space="preserve">) las reservas presupuestales. Las </w:t>
      </w:r>
      <w:r w:rsidRPr="0037437B">
        <w:rPr>
          <w:rFonts w:ascii="Verdana" w:hAnsi="Verdana" w:cs="Arial"/>
          <w:i/>
          <w:iCs/>
          <w:sz w:val="20"/>
          <w:lang w:val="es-ES_tradnl" w:eastAsia="es-ES"/>
        </w:rPr>
        <w:t>primeras</w:t>
      </w:r>
      <w:r w:rsidRPr="0037437B">
        <w:rPr>
          <w:rFonts w:ascii="Verdana" w:hAnsi="Verdana" w:cs="Arial"/>
          <w:sz w:val="20"/>
          <w:lang w:val="es-ES_tradnl" w:eastAsia="es-ES"/>
        </w:rPr>
        <w:t>, de conformidad con el artículo 23 del Estatuto Orgánico del Presupuesto</w:t>
      </w:r>
      <w:r w:rsidRPr="0037437B">
        <w:rPr>
          <w:rFonts w:ascii="Verdana" w:hAnsi="Verdana" w:cs="Arial"/>
          <w:i/>
          <w:iCs/>
          <w:sz w:val="20"/>
          <w:lang w:val="es-ES_tradnl" w:eastAsia="es-ES"/>
        </w:rPr>
        <w:t xml:space="preserve">, </w:t>
      </w:r>
      <w:r w:rsidRPr="0037437B">
        <w:rPr>
          <w:rFonts w:ascii="Verdana" w:hAnsi="Verdana" w:cs="Arial"/>
          <w:sz w:val="20"/>
          <w:lang w:val="es-ES_tradnl" w:eastAsia="es-ES"/>
        </w:rPr>
        <w:t>se</w:t>
      </w:r>
      <w:r w:rsidRPr="0037437B">
        <w:rPr>
          <w:rFonts w:ascii="Verdana" w:hAnsi="Verdana" w:cs="Arial"/>
          <w:i/>
          <w:iCs/>
          <w:sz w:val="20"/>
          <w:lang w:val="es-ES_tradnl" w:eastAsia="es-ES"/>
        </w:rPr>
        <w:t xml:space="preserve"> </w:t>
      </w:r>
      <w:r w:rsidRPr="0037437B">
        <w:rPr>
          <w:rFonts w:ascii="Verdana" w:hAnsi="Verdana" w:cs="Arial"/>
          <w:sz w:val="20"/>
          <w:lang w:val="es-ES_tradnl" w:eastAsia="es-ES"/>
        </w:rPr>
        <w:t>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Sobre esta institución el Consejo de Estado precisó que “</w:t>
      </w:r>
      <w:r w:rsidRPr="0037437B">
        <w:rPr>
          <w:rFonts w:ascii="Verdana" w:hAnsi="Verdana" w:cs="Arial"/>
          <w:sz w:val="20"/>
          <w:lang w:eastAsia="es-ES"/>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r w:rsidRPr="0037437B">
        <w:rPr>
          <w:rFonts w:ascii="Verdana" w:hAnsi="Verdana" w:cs="Arial"/>
          <w:sz w:val="20"/>
          <w:lang w:val="es-ES_tradnl" w:eastAsia="es-ES"/>
        </w:rPr>
        <w:t xml:space="preserve">. </w:t>
      </w:r>
    </w:p>
    <w:p w14:paraId="29B55FAB" w14:textId="77777777" w:rsidR="00A765B7" w:rsidRPr="00A765B7" w:rsidRDefault="00A765B7" w:rsidP="00A765B7">
      <w:pPr>
        <w:spacing w:after="0" w:line="276" w:lineRule="auto"/>
        <w:jc w:val="both"/>
        <w:rPr>
          <w:rFonts w:ascii="Verdana" w:hAnsi="Verdana" w:cs="Arial"/>
          <w:b/>
          <w:lang w:val="es-ES" w:eastAsia="es-ES"/>
        </w:rPr>
      </w:pPr>
    </w:p>
    <w:p w14:paraId="7D6285EF" w14:textId="77777777" w:rsidR="00A765B7" w:rsidRPr="00A765B7" w:rsidRDefault="00A765B7" w:rsidP="00A765B7">
      <w:pPr>
        <w:spacing w:after="0" w:line="276" w:lineRule="auto"/>
        <w:jc w:val="both"/>
        <w:rPr>
          <w:rFonts w:ascii="Verdana" w:hAnsi="Verdana" w:cs="Arial"/>
          <w:b/>
          <w:lang w:val="es-ES" w:eastAsia="es-ES"/>
        </w:rPr>
      </w:pPr>
      <w:r w:rsidRPr="00A765B7">
        <w:rPr>
          <w:rFonts w:ascii="Verdana" w:hAnsi="Verdana" w:cs="Arial"/>
          <w:b/>
          <w:lang w:val="es-ES" w:eastAsia="es-ES"/>
        </w:rPr>
        <w:t xml:space="preserve">VIGENCIAS FUTURAS - Tipos – Vigencia Futura Ordinaria – Vigencia Futura Excepcional </w:t>
      </w:r>
    </w:p>
    <w:p w14:paraId="2CC6C263" w14:textId="77777777" w:rsidR="00A765B7" w:rsidRPr="00A765B7" w:rsidRDefault="00A765B7" w:rsidP="00A765B7">
      <w:pPr>
        <w:spacing w:after="0"/>
        <w:jc w:val="both"/>
        <w:rPr>
          <w:rFonts w:ascii="Verdana" w:eastAsia="Verdana" w:hAnsi="Verdana" w:cs="Verdana"/>
          <w:sz w:val="20"/>
          <w:lang w:val="es-ES"/>
        </w:rPr>
      </w:pPr>
    </w:p>
    <w:p w14:paraId="56AA97A7" w14:textId="34BAC2B5" w:rsidR="00A765B7" w:rsidRPr="00A765B7" w:rsidRDefault="00A765B7" w:rsidP="00A765B7">
      <w:pPr>
        <w:spacing w:after="0" w:line="240" w:lineRule="auto"/>
        <w:jc w:val="both"/>
        <w:rPr>
          <w:rFonts w:ascii="Verdana" w:eastAsia="Verdana" w:hAnsi="Verdana" w:cs="Verdana"/>
          <w:sz w:val="20"/>
          <w:szCs w:val="20"/>
        </w:rPr>
      </w:pPr>
      <w:r w:rsidRPr="00A765B7">
        <w:rPr>
          <w:rFonts w:ascii="Verdana" w:eastAsia="Verdana" w:hAnsi="Verdana" w:cs="Verdana"/>
          <w:sz w:val="20"/>
          <w:szCs w:val="20"/>
        </w:rPr>
        <w:t xml:space="preserve">La Ley 819 de 2003 establece dos tipos de vigencias futuras: i) las vigencias futuras ordinarias, regulada en el artículo 10 de la Ley 819 de 2003, según la cual el Consejo Superior de Política Fiscal – </w:t>
      </w:r>
      <w:proofErr w:type="spellStart"/>
      <w:r w:rsidRPr="00A765B7">
        <w:rPr>
          <w:rFonts w:ascii="Verdana" w:eastAsia="Verdana" w:hAnsi="Verdana" w:cs="Verdana"/>
          <w:sz w:val="20"/>
          <w:szCs w:val="20"/>
        </w:rPr>
        <w:t>Confis</w:t>
      </w:r>
      <w:proofErr w:type="spellEnd"/>
      <w:r w:rsidRPr="00A765B7">
        <w:rPr>
          <w:rFonts w:ascii="Verdana" w:eastAsia="Verdana" w:hAnsi="Verdana" w:cs="Verdana"/>
          <w:sz w:val="20"/>
          <w:szCs w:val="20"/>
        </w:rPr>
        <w:t xml:space="preserve">,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w:t>
      </w:r>
    </w:p>
    <w:p w14:paraId="7BCC76BD" w14:textId="77777777" w:rsidR="00A765B7" w:rsidRPr="00A765B7" w:rsidRDefault="00A765B7" w:rsidP="00A765B7">
      <w:pPr>
        <w:spacing w:after="0" w:line="240" w:lineRule="auto"/>
        <w:jc w:val="both"/>
        <w:rPr>
          <w:rFonts w:ascii="Verdana" w:eastAsia="Verdana" w:hAnsi="Verdana" w:cs="Verdana"/>
          <w:sz w:val="20"/>
          <w:szCs w:val="20"/>
        </w:rPr>
      </w:pPr>
    </w:p>
    <w:p w14:paraId="6988C339" w14:textId="56EBA23B" w:rsidR="00A765B7" w:rsidRPr="00A765B7" w:rsidRDefault="00A765B7" w:rsidP="00A765B7">
      <w:pPr>
        <w:spacing w:after="0" w:line="240" w:lineRule="auto"/>
        <w:jc w:val="both"/>
        <w:rPr>
          <w:rFonts w:ascii="Verdana" w:eastAsia="Verdana" w:hAnsi="Verdana" w:cs="Verdana"/>
          <w:sz w:val="20"/>
          <w:szCs w:val="20"/>
        </w:rPr>
      </w:pPr>
      <w:r w:rsidRPr="00A765B7">
        <w:rPr>
          <w:rFonts w:ascii="Verdana" w:eastAsia="Verdana" w:hAnsi="Verdana" w:cs="Verdana"/>
          <w:sz w:val="20"/>
          <w:szCs w:val="20"/>
        </w:rPr>
        <w:t>Los requisitos para la autorización de vigencias futuras comprenden, en primer lugar, que el monto máximo, el plazo y sus condiciones deben estar acordes con las metas plurianuales definidas en el Marco Fiscal de Mediano Plazo, garantizando así la consistencia con la sostenibilidad fiscal. En segundo lugar, se exige que al momento de solicitar dichas vigencias se cuente, como mínimo, con una apropiación equivalente al quince por ciento (15%) del valor total en la vigencia fiscal en la que se otorga la autorización, como respaldo inicial del compromiso. Adicionalmente, cuando se trate de proyectos de inversión del orden nacional, será indispensable obtener un concepto favorable previo tanto del Departamento Nacional de Planeación como del ministerio del sector correspondiente, con el fin de asegurar la viabilidad técnica, económica y sectorial de la iniciativa.</w:t>
      </w:r>
    </w:p>
    <w:p w14:paraId="28BB8834" w14:textId="77777777" w:rsidR="00A765B7" w:rsidRPr="00A765B7" w:rsidRDefault="00A765B7" w:rsidP="00A765B7">
      <w:pPr>
        <w:spacing w:after="0" w:line="240" w:lineRule="auto"/>
        <w:jc w:val="both"/>
        <w:rPr>
          <w:rFonts w:ascii="Verdana" w:eastAsia="Verdana" w:hAnsi="Verdana" w:cs="Verdana"/>
          <w:sz w:val="20"/>
          <w:szCs w:val="20"/>
        </w:rPr>
      </w:pPr>
    </w:p>
    <w:p w14:paraId="72F15AAE" w14:textId="2FE34DF5" w:rsidR="00A765B7" w:rsidRPr="00A765B7" w:rsidRDefault="00A765B7" w:rsidP="00A765B7">
      <w:pPr>
        <w:spacing w:after="0" w:line="240" w:lineRule="auto"/>
        <w:jc w:val="both"/>
        <w:rPr>
          <w:rFonts w:ascii="Verdana" w:eastAsia="Verdana" w:hAnsi="Verdana" w:cs="Verdana"/>
          <w:sz w:val="20"/>
          <w:szCs w:val="20"/>
        </w:rPr>
      </w:pPr>
      <w:r w:rsidRPr="00A765B7">
        <w:rPr>
          <w:rFonts w:ascii="Verdana" w:eastAsia="Verdana" w:hAnsi="Verdana" w:cs="Verdana"/>
          <w:sz w:val="20"/>
          <w:szCs w:val="20"/>
        </w:rPr>
        <w:t xml:space="preserve">Y, </w:t>
      </w:r>
      <w:proofErr w:type="spellStart"/>
      <w:r w:rsidRPr="00A765B7">
        <w:rPr>
          <w:rFonts w:ascii="Verdana" w:eastAsia="Verdana" w:hAnsi="Verdana" w:cs="Verdana"/>
          <w:sz w:val="20"/>
          <w:szCs w:val="20"/>
        </w:rPr>
        <w:t>ii</w:t>
      </w:r>
      <w:proofErr w:type="spellEnd"/>
      <w:r w:rsidRPr="00A765B7">
        <w:rPr>
          <w:rFonts w:ascii="Verdana" w:eastAsia="Verdana" w:hAnsi="Verdana" w:cs="Verdana"/>
          <w:sz w:val="20"/>
          <w:szCs w:val="20"/>
        </w:rPr>
        <w:t xml:space="preserve">) las vigencias futuras excepcionales, regulada en el artículo 11 de la Ley 819 de 2003, dispone que en virtud de la cual el </w:t>
      </w:r>
      <w:proofErr w:type="spellStart"/>
      <w:r w:rsidRPr="00A765B7">
        <w:rPr>
          <w:rFonts w:ascii="Verdana" w:eastAsia="Verdana" w:hAnsi="Verdana" w:cs="Verdana"/>
          <w:sz w:val="20"/>
          <w:szCs w:val="20"/>
        </w:rPr>
        <w:t>Confis</w:t>
      </w:r>
      <w:proofErr w:type="spellEnd"/>
      <w:r w:rsidRPr="00A765B7">
        <w:rPr>
          <w:rFonts w:ascii="Verdana" w:eastAsia="Verdana" w:hAnsi="Verdana" w:cs="Verdana"/>
          <w:sz w:val="20"/>
          <w:szCs w:val="20"/>
        </w:rPr>
        <w:t xml:space="preserve">, en casos excepcionales para las obras de infraestructura, energía, comunicaciones, aeronáutica, defensa y seguridad, así como para las garantías a las concesiones, podrá autorizar que se asuman obligaciones que afecten el presupuesto de vigencias futuras sin apropiación en el presupuesto del año en que se concede la autorización. En este contexto, el monto máximo, el plazo y las condiciones de dichas vigencias deben ser coherentes con las metas plurianuales del Marco Fiscal de Mediano Plazo. Además, existe un control institucional mediante el deber de la Secretaría Ejecutiva del CONFIS de informar periódicamente al Congreso sobre las autorizaciones otorgadas, lo cual fortalece la transparencia del proceso. Por otra parte, el régimen contempla una excepción adicional respecto de los contratos de empréstito, en la medida en que estos y sus contrapartidas no requieren autorización del CONFIS para afectar vigencias futuras, dado que se rigen por las normas propias de las operaciones de crédito público. </w:t>
      </w:r>
    </w:p>
    <w:p w14:paraId="7929B36F" w14:textId="641538F9" w:rsidR="00A765B7" w:rsidRPr="00A765B7" w:rsidRDefault="00A765B7" w:rsidP="00A765B7">
      <w:pPr>
        <w:spacing w:after="0" w:line="276" w:lineRule="auto"/>
        <w:jc w:val="both"/>
        <w:rPr>
          <w:rFonts w:ascii="Verdana" w:hAnsi="Verdana" w:cs="Arial"/>
          <w:b/>
          <w:sz w:val="24"/>
          <w:lang w:val="es-ES" w:eastAsia="es-ES"/>
        </w:rPr>
      </w:pPr>
    </w:p>
    <w:p w14:paraId="4FD5A7A7" w14:textId="77777777" w:rsidR="00A765B7" w:rsidRPr="00A765B7" w:rsidRDefault="00A765B7" w:rsidP="00A765B7">
      <w:pPr>
        <w:spacing w:after="0" w:line="240" w:lineRule="auto"/>
        <w:jc w:val="both"/>
        <w:rPr>
          <w:rFonts w:ascii="Verdana" w:hAnsi="Verdana" w:cs="Arial"/>
          <w:b/>
          <w:lang w:val="es-ES" w:eastAsia="es-ES"/>
        </w:rPr>
      </w:pPr>
      <w:r w:rsidRPr="00A765B7">
        <w:rPr>
          <w:rFonts w:ascii="Verdana" w:hAnsi="Verdana" w:cs="Arial"/>
          <w:b/>
          <w:lang w:val="es-ES" w:eastAsia="es-ES"/>
        </w:rPr>
        <w:t xml:space="preserve">DEBER DE PLANEACIÓN – Análisis técnico </w:t>
      </w:r>
    </w:p>
    <w:p w14:paraId="400670DE" w14:textId="088100A6" w:rsidR="00A765B7" w:rsidRPr="00A765B7" w:rsidRDefault="00A765B7" w:rsidP="00A765B7">
      <w:pPr>
        <w:spacing w:after="0" w:line="240" w:lineRule="auto"/>
        <w:jc w:val="both"/>
        <w:rPr>
          <w:rFonts w:ascii="Verdana" w:eastAsia="Verdana" w:hAnsi="Verdana" w:cs="Verdana"/>
          <w:sz w:val="20"/>
        </w:rPr>
      </w:pPr>
    </w:p>
    <w:p w14:paraId="1DD73805" w14:textId="77777777" w:rsidR="00A765B7" w:rsidRPr="00A765B7" w:rsidRDefault="00A765B7" w:rsidP="00A765B7">
      <w:pPr>
        <w:spacing w:after="0" w:line="240" w:lineRule="auto"/>
        <w:jc w:val="both"/>
        <w:rPr>
          <w:rFonts w:ascii="Verdana" w:eastAsia="Verdana" w:hAnsi="Verdana" w:cs="Verdana"/>
          <w:sz w:val="20"/>
        </w:rPr>
      </w:pPr>
      <w:r w:rsidRPr="00A765B7">
        <w:rPr>
          <w:rFonts w:ascii="Verdana" w:eastAsia="Verdana" w:hAnsi="Verdana" w:cs="Verdana"/>
          <w:sz w:val="20"/>
          <w:lang w:val="es-ES_tradnl"/>
        </w:rPr>
        <w:t xml:space="preserve">En conclusión, las entidades estatales deben planear sus contrataciones con fundamento en el principio de la anualidad del gasto, de manera que sus compromisos presupuestales deben ser ejecutados dentro de la vigencia fiscal comprendida entre el 1 de enero y el 31 de diciembre. Sin embargo, como excepción a este principio se establecen </w:t>
      </w:r>
      <w:r w:rsidRPr="00A765B7">
        <w:rPr>
          <w:rFonts w:ascii="Verdana" w:eastAsia="Verdana" w:hAnsi="Verdana" w:cs="Verdana"/>
          <w:sz w:val="20"/>
        </w:rPr>
        <w:t xml:space="preserve">mecanismos presupuestales dentro de los cuales se encuentran las vigencias futuras, que permite asumir compromisos que afecten el presupuesto de vigencias posteriores. </w:t>
      </w:r>
    </w:p>
    <w:p w14:paraId="648CC958" w14:textId="77777777" w:rsidR="00A765B7" w:rsidRPr="00A765B7" w:rsidRDefault="00A765B7" w:rsidP="00A765B7">
      <w:pPr>
        <w:spacing w:after="0" w:line="240" w:lineRule="auto"/>
        <w:jc w:val="both"/>
        <w:rPr>
          <w:rFonts w:ascii="Verdana" w:eastAsia="Verdana" w:hAnsi="Verdana" w:cs="Verdana"/>
          <w:sz w:val="20"/>
        </w:rPr>
      </w:pPr>
      <w:r w:rsidRPr="00A765B7">
        <w:rPr>
          <w:rFonts w:ascii="Verdana" w:eastAsia="Verdana" w:hAnsi="Verdana" w:cs="Verdana"/>
          <w:sz w:val="20"/>
        </w:rPr>
        <w:lastRenderedPageBreak/>
        <w:t>De esta manera, en caso de que en la etapa de planeación la entidad evidencie que el contrato a ejecutar exceda la vigencia fiscal correspondiente, deberá atender las previsiones legales sobre las excepciones al principio de anualidad del gasto</w:t>
      </w:r>
      <w:r w:rsidRPr="00A765B7">
        <w:rPr>
          <w:rFonts w:ascii="Verdana" w:eastAsia="Verdana" w:hAnsi="Verdana" w:cs="Verdana"/>
          <w:bCs/>
          <w:sz w:val="20"/>
        </w:rPr>
        <w:t xml:space="preserve"> y determinar cual resulta aplicable al caso en concreto</w:t>
      </w:r>
      <w:r w:rsidRPr="00A765B7">
        <w:rPr>
          <w:rFonts w:ascii="Verdana" w:eastAsia="Verdana" w:hAnsi="Verdana" w:cs="Verdana"/>
          <w:sz w:val="20"/>
        </w:rPr>
        <w:t xml:space="preserve">. Dichas excepciones deben estar debidamente justificadas, cumplir con los requisitos establecidos por la normativa vigente y seguir los procedimientos correspondientes para su autorizaciones y ejecución, conforme a lo descrito en este concepto.  </w:t>
      </w:r>
    </w:p>
    <w:p w14:paraId="58028338" w14:textId="12C547DE" w:rsidR="00A765B7" w:rsidRDefault="00A765B7" w:rsidP="00BB0CE5">
      <w:pPr>
        <w:spacing w:after="0"/>
        <w:rPr>
          <w:rFonts w:ascii="Verdana" w:eastAsia="Verdana" w:hAnsi="Verdana" w:cs="Verdana"/>
        </w:rPr>
      </w:pPr>
    </w:p>
    <w:p w14:paraId="3562BD0E" w14:textId="5A4155E7" w:rsidR="00A765B7" w:rsidRDefault="00A765B7" w:rsidP="00BB0CE5">
      <w:pPr>
        <w:spacing w:after="0"/>
        <w:rPr>
          <w:rFonts w:ascii="Verdana" w:eastAsia="Verdana" w:hAnsi="Verdana" w:cs="Verdana"/>
        </w:rPr>
      </w:pPr>
    </w:p>
    <w:p w14:paraId="17895ED4" w14:textId="01C1AD6F" w:rsidR="00A765B7" w:rsidRDefault="00A765B7" w:rsidP="00BB0CE5">
      <w:pPr>
        <w:spacing w:after="0"/>
        <w:rPr>
          <w:rFonts w:ascii="Verdana" w:eastAsia="Verdana" w:hAnsi="Verdana" w:cs="Verdana"/>
        </w:rPr>
      </w:pPr>
    </w:p>
    <w:p w14:paraId="7E27329E" w14:textId="5F94A28F" w:rsidR="00A765B7" w:rsidRDefault="00A765B7" w:rsidP="00BB0CE5">
      <w:pPr>
        <w:spacing w:after="0"/>
        <w:rPr>
          <w:rFonts w:ascii="Verdana" w:eastAsia="Verdana" w:hAnsi="Verdana" w:cs="Verdana"/>
        </w:rPr>
      </w:pPr>
    </w:p>
    <w:p w14:paraId="642D4048" w14:textId="57050E95" w:rsidR="00A765B7" w:rsidRDefault="00A765B7" w:rsidP="00BB0CE5">
      <w:pPr>
        <w:spacing w:after="0"/>
        <w:rPr>
          <w:rFonts w:ascii="Verdana" w:eastAsia="Verdana" w:hAnsi="Verdana" w:cs="Verdana"/>
        </w:rPr>
      </w:pPr>
    </w:p>
    <w:p w14:paraId="780D490F" w14:textId="29DD2221" w:rsidR="00A765B7" w:rsidRDefault="00A765B7" w:rsidP="00BB0CE5">
      <w:pPr>
        <w:spacing w:after="0"/>
        <w:rPr>
          <w:rFonts w:ascii="Verdana" w:eastAsia="Verdana" w:hAnsi="Verdana" w:cs="Verdana"/>
        </w:rPr>
      </w:pPr>
    </w:p>
    <w:p w14:paraId="23730982" w14:textId="6A36FAF4" w:rsidR="00A765B7" w:rsidRDefault="00A765B7" w:rsidP="00BB0CE5">
      <w:pPr>
        <w:spacing w:after="0"/>
        <w:rPr>
          <w:rFonts w:ascii="Verdana" w:eastAsia="Verdana" w:hAnsi="Verdana" w:cs="Verdana"/>
        </w:rPr>
      </w:pPr>
    </w:p>
    <w:p w14:paraId="5A4647B8" w14:textId="45227D86" w:rsidR="00A765B7" w:rsidRDefault="00A765B7" w:rsidP="00BB0CE5">
      <w:pPr>
        <w:spacing w:after="0"/>
        <w:rPr>
          <w:rFonts w:ascii="Verdana" w:eastAsia="Verdana" w:hAnsi="Verdana" w:cs="Verdana"/>
        </w:rPr>
      </w:pPr>
    </w:p>
    <w:p w14:paraId="57364490" w14:textId="331E1739" w:rsidR="00A765B7" w:rsidRDefault="00A765B7" w:rsidP="00BB0CE5">
      <w:pPr>
        <w:spacing w:after="0"/>
        <w:rPr>
          <w:rFonts w:ascii="Verdana" w:eastAsia="Verdana" w:hAnsi="Verdana" w:cs="Verdana"/>
        </w:rPr>
      </w:pPr>
    </w:p>
    <w:p w14:paraId="246DB283" w14:textId="73921E6D" w:rsidR="00A765B7" w:rsidRDefault="00A765B7" w:rsidP="00BB0CE5">
      <w:pPr>
        <w:spacing w:after="0"/>
        <w:rPr>
          <w:rFonts w:ascii="Verdana" w:eastAsia="Verdana" w:hAnsi="Verdana" w:cs="Verdana"/>
        </w:rPr>
      </w:pPr>
    </w:p>
    <w:p w14:paraId="47A6349B" w14:textId="1D627D50" w:rsidR="00A765B7" w:rsidRDefault="00A765B7" w:rsidP="00BB0CE5">
      <w:pPr>
        <w:spacing w:after="0"/>
        <w:rPr>
          <w:rFonts w:ascii="Verdana" w:eastAsia="Verdana" w:hAnsi="Verdana" w:cs="Verdana"/>
        </w:rPr>
      </w:pPr>
    </w:p>
    <w:p w14:paraId="666E1CFC" w14:textId="4C47A73D" w:rsidR="00A765B7" w:rsidRDefault="00A765B7" w:rsidP="00BB0CE5">
      <w:pPr>
        <w:spacing w:after="0"/>
        <w:rPr>
          <w:rFonts w:ascii="Verdana" w:eastAsia="Verdana" w:hAnsi="Verdana" w:cs="Verdana"/>
        </w:rPr>
      </w:pPr>
    </w:p>
    <w:p w14:paraId="73E7B044" w14:textId="74F298C3" w:rsidR="00A765B7" w:rsidRDefault="00A765B7" w:rsidP="00BB0CE5">
      <w:pPr>
        <w:spacing w:after="0"/>
        <w:rPr>
          <w:rFonts w:ascii="Verdana" w:eastAsia="Verdana" w:hAnsi="Verdana" w:cs="Verdana"/>
        </w:rPr>
      </w:pPr>
    </w:p>
    <w:p w14:paraId="19DB6F8C" w14:textId="18755607" w:rsidR="00A765B7" w:rsidRDefault="00A765B7" w:rsidP="00BB0CE5">
      <w:pPr>
        <w:spacing w:after="0"/>
        <w:rPr>
          <w:rFonts w:ascii="Verdana" w:eastAsia="Verdana" w:hAnsi="Verdana" w:cs="Verdana"/>
        </w:rPr>
      </w:pPr>
    </w:p>
    <w:p w14:paraId="68720AD4" w14:textId="50BB9F2D" w:rsidR="00A765B7" w:rsidRDefault="00A765B7" w:rsidP="00BB0CE5">
      <w:pPr>
        <w:spacing w:after="0"/>
        <w:rPr>
          <w:rFonts w:ascii="Verdana" w:eastAsia="Verdana" w:hAnsi="Verdana" w:cs="Verdana"/>
        </w:rPr>
      </w:pPr>
    </w:p>
    <w:p w14:paraId="48D6666D" w14:textId="604146CF" w:rsidR="00A765B7" w:rsidRDefault="00A765B7" w:rsidP="00BB0CE5">
      <w:pPr>
        <w:spacing w:after="0"/>
        <w:rPr>
          <w:rFonts w:ascii="Verdana" w:eastAsia="Verdana" w:hAnsi="Verdana" w:cs="Verdana"/>
        </w:rPr>
      </w:pPr>
    </w:p>
    <w:p w14:paraId="434659DA" w14:textId="626DECEC" w:rsidR="00A765B7" w:rsidRDefault="00A765B7" w:rsidP="00BB0CE5">
      <w:pPr>
        <w:spacing w:after="0"/>
        <w:rPr>
          <w:rFonts w:ascii="Verdana" w:eastAsia="Verdana" w:hAnsi="Verdana" w:cs="Verdana"/>
        </w:rPr>
      </w:pPr>
    </w:p>
    <w:p w14:paraId="2E270662" w14:textId="770C9B28" w:rsidR="00A765B7" w:rsidRDefault="00A765B7" w:rsidP="00BB0CE5">
      <w:pPr>
        <w:spacing w:after="0"/>
        <w:rPr>
          <w:rFonts w:ascii="Verdana" w:eastAsia="Verdana" w:hAnsi="Verdana" w:cs="Verdana"/>
        </w:rPr>
      </w:pPr>
    </w:p>
    <w:p w14:paraId="39A93BE7" w14:textId="0E1D2125" w:rsidR="00A765B7" w:rsidRDefault="00A765B7" w:rsidP="00BB0CE5">
      <w:pPr>
        <w:spacing w:after="0"/>
        <w:rPr>
          <w:rFonts w:ascii="Verdana" w:eastAsia="Verdana" w:hAnsi="Verdana" w:cs="Verdana"/>
        </w:rPr>
      </w:pPr>
    </w:p>
    <w:p w14:paraId="0E8D3361" w14:textId="3EC194C5" w:rsidR="00A765B7" w:rsidRDefault="00A765B7" w:rsidP="00BB0CE5">
      <w:pPr>
        <w:spacing w:after="0"/>
        <w:rPr>
          <w:rFonts w:ascii="Verdana" w:eastAsia="Verdana" w:hAnsi="Verdana" w:cs="Verdana"/>
        </w:rPr>
      </w:pPr>
    </w:p>
    <w:p w14:paraId="23752D39" w14:textId="700B48F0" w:rsidR="00A765B7" w:rsidRDefault="00A765B7" w:rsidP="00BB0CE5">
      <w:pPr>
        <w:spacing w:after="0"/>
        <w:rPr>
          <w:rFonts w:ascii="Verdana" w:eastAsia="Verdana" w:hAnsi="Verdana" w:cs="Verdana"/>
        </w:rPr>
      </w:pPr>
    </w:p>
    <w:p w14:paraId="7BFA1BA4" w14:textId="62C5F74C" w:rsidR="00A765B7" w:rsidRDefault="00A765B7" w:rsidP="00BB0CE5">
      <w:pPr>
        <w:spacing w:after="0"/>
        <w:rPr>
          <w:rFonts w:ascii="Verdana" w:eastAsia="Verdana" w:hAnsi="Verdana" w:cs="Verdana"/>
        </w:rPr>
      </w:pPr>
    </w:p>
    <w:p w14:paraId="5FACFFCA" w14:textId="78B28D5E" w:rsidR="00A765B7" w:rsidRDefault="00A765B7" w:rsidP="00BB0CE5">
      <w:pPr>
        <w:spacing w:after="0"/>
        <w:rPr>
          <w:rFonts w:ascii="Verdana" w:eastAsia="Verdana" w:hAnsi="Verdana" w:cs="Verdana"/>
        </w:rPr>
      </w:pPr>
    </w:p>
    <w:p w14:paraId="74E653C5" w14:textId="28140C2B" w:rsidR="00A765B7" w:rsidRDefault="00A765B7" w:rsidP="00BB0CE5">
      <w:pPr>
        <w:spacing w:after="0"/>
        <w:rPr>
          <w:rFonts w:ascii="Verdana" w:eastAsia="Verdana" w:hAnsi="Verdana" w:cs="Verdana"/>
        </w:rPr>
      </w:pPr>
    </w:p>
    <w:p w14:paraId="24238E83" w14:textId="43AA92F1" w:rsidR="00A765B7" w:rsidRDefault="00A765B7" w:rsidP="00BB0CE5">
      <w:pPr>
        <w:spacing w:after="0"/>
        <w:rPr>
          <w:rFonts w:ascii="Verdana" w:eastAsia="Verdana" w:hAnsi="Verdana" w:cs="Verdana"/>
        </w:rPr>
      </w:pPr>
    </w:p>
    <w:p w14:paraId="01D4013E" w14:textId="02D16340" w:rsidR="00A765B7" w:rsidRDefault="00A765B7" w:rsidP="00BB0CE5">
      <w:pPr>
        <w:spacing w:after="0"/>
        <w:rPr>
          <w:rFonts w:ascii="Verdana" w:eastAsia="Verdana" w:hAnsi="Verdana" w:cs="Verdana"/>
        </w:rPr>
      </w:pPr>
    </w:p>
    <w:p w14:paraId="35D94C84" w14:textId="028158BE" w:rsidR="00A765B7" w:rsidRDefault="00A765B7" w:rsidP="00BB0CE5">
      <w:pPr>
        <w:spacing w:after="0"/>
        <w:rPr>
          <w:rFonts w:ascii="Verdana" w:eastAsia="Verdana" w:hAnsi="Verdana" w:cs="Verdana"/>
        </w:rPr>
      </w:pPr>
    </w:p>
    <w:p w14:paraId="37362699" w14:textId="624A224E" w:rsidR="00A765B7" w:rsidRDefault="00A765B7" w:rsidP="00BB0CE5">
      <w:pPr>
        <w:spacing w:after="0"/>
        <w:rPr>
          <w:rFonts w:ascii="Verdana" w:eastAsia="Verdana" w:hAnsi="Verdana" w:cs="Verdana"/>
        </w:rPr>
      </w:pPr>
    </w:p>
    <w:p w14:paraId="511301EC" w14:textId="07B5F293" w:rsidR="00A765B7" w:rsidRDefault="00A765B7" w:rsidP="00BB0CE5">
      <w:pPr>
        <w:spacing w:after="0"/>
        <w:rPr>
          <w:rFonts w:ascii="Verdana" w:eastAsia="Verdana" w:hAnsi="Verdana" w:cs="Verdana"/>
        </w:rPr>
      </w:pPr>
    </w:p>
    <w:p w14:paraId="6A279A76" w14:textId="309B9901" w:rsidR="00A765B7" w:rsidRDefault="00A765B7" w:rsidP="00BB0CE5">
      <w:pPr>
        <w:spacing w:after="0"/>
        <w:rPr>
          <w:rFonts w:ascii="Verdana" w:eastAsia="Verdana" w:hAnsi="Verdana" w:cs="Verdana"/>
        </w:rPr>
      </w:pPr>
    </w:p>
    <w:p w14:paraId="5C498252" w14:textId="0F7E0793" w:rsidR="00A765B7" w:rsidRDefault="00A765B7" w:rsidP="00BB0CE5">
      <w:pPr>
        <w:spacing w:after="0"/>
        <w:rPr>
          <w:rFonts w:ascii="Verdana" w:eastAsia="Verdana" w:hAnsi="Verdana" w:cs="Verdana"/>
        </w:rPr>
      </w:pPr>
    </w:p>
    <w:p w14:paraId="155A16A7" w14:textId="7369497D" w:rsidR="00A765B7" w:rsidRDefault="00A765B7" w:rsidP="00BB0CE5">
      <w:pPr>
        <w:spacing w:after="0"/>
        <w:rPr>
          <w:rFonts w:ascii="Verdana" w:eastAsia="Verdana" w:hAnsi="Verdana" w:cs="Verdana"/>
        </w:rPr>
      </w:pPr>
    </w:p>
    <w:p w14:paraId="10272CCE" w14:textId="2819746A" w:rsidR="00BB0CE5" w:rsidRPr="00983DCD" w:rsidRDefault="004B7A3E" w:rsidP="00BB0CE5">
      <w:pPr>
        <w:spacing w:after="0"/>
        <w:rPr>
          <w:rFonts w:ascii="Verdana" w:eastAsia="Calibri" w:hAnsi="Verdana" w:cs="Arial"/>
          <w:color w:val="000000"/>
          <w:lang w:val="es-MX" w:eastAsia="es-ES_tradnl"/>
        </w:rPr>
      </w:pPr>
      <w:r w:rsidRPr="004B7A3E">
        <w:rPr>
          <w:noProof/>
          <w:lang w:val="en-US"/>
        </w:rPr>
        <w:lastRenderedPageBreak/>
        <w:drawing>
          <wp:anchor distT="0" distB="0" distL="114300" distR="114300" simplePos="0" relativeHeight="251658240" behindDoc="0" locked="0" layoutInCell="1" allowOverlap="1" wp14:anchorId="0963E2E6" wp14:editId="41056473">
            <wp:simplePos x="0" y="0"/>
            <wp:positionH relativeFrom="margin">
              <wp:posOffset>2901950</wp:posOffset>
            </wp:positionH>
            <wp:positionV relativeFrom="paragraph">
              <wp:posOffset>140335</wp:posOffset>
            </wp:positionV>
            <wp:extent cx="2704465" cy="746125"/>
            <wp:effectExtent l="0" t="0" r="635"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04465" cy="746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765B7">
        <w:rPr>
          <w:rFonts w:ascii="Verdana" w:eastAsia="Verdana" w:hAnsi="Verdana" w:cs="Verdana"/>
        </w:rPr>
        <w:t>Bogotá D.C., 22 de mayo de 2026</w:t>
      </w:r>
      <w:r w:rsidR="00BB0CE5">
        <w:tab/>
      </w:r>
      <w:r w:rsidR="00BB0CE5">
        <w:br/>
      </w:r>
      <w:r w:rsidR="00BB0CE5">
        <w:tab/>
      </w:r>
    </w:p>
    <w:p w14:paraId="49EE894B" w14:textId="77777777" w:rsidR="00BB0CE5" w:rsidRPr="00983DCD" w:rsidRDefault="00BB0CE5" w:rsidP="00BB0CE5">
      <w:pPr>
        <w:spacing w:after="0" w:line="240" w:lineRule="auto"/>
        <w:jc w:val="both"/>
        <w:rPr>
          <w:rFonts w:ascii="Verdana" w:eastAsia="Calibri" w:hAnsi="Verdana" w:cs="Arial"/>
          <w:lang w:val="es-ES" w:eastAsia="es-ES"/>
        </w:rPr>
      </w:pPr>
    </w:p>
    <w:p w14:paraId="5F15CD66" w14:textId="77777777" w:rsidR="00BB0CE5" w:rsidRPr="00E01518" w:rsidRDefault="00BB0CE5" w:rsidP="00BB0CE5">
      <w:pPr>
        <w:spacing w:after="0" w:line="240" w:lineRule="auto"/>
        <w:jc w:val="both"/>
        <w:rPr>
          <w:rFonts w:ascii="Verdana" w:eastAsia="Calibri" w:hAnsi="Verdana" w:cs="Arial"/>
          <w:lang w:eastAsia="es-ES"/>
        </w:rPr>
      </w:pPr>
      <w:r w:rsidRPr="00E01518">
        <w:rPr>
          <w:rFonts w:ascii="Verdana" w:eastAsia="Calibri" w:hAnsi="Verdana" w:cs="Arial"/>
          <w:lang w:eastAsia="es-ES"/>
        </w:rPr>
        <w:t>Señor</w:t>
      </w:r>
      <w:r>
        <w:rPr>
          <w:rFonts w:ascii="Verdana" w:eastAsia="Calibri" w:hAnsi="Verdana" w:cs="Arial"/>
          <w:lang w:eastAsia="es-ES"/>
        </w:rPr>
        <w:t>a</w:t>
      </w:r>
    </w:p>
    <w:p w14:paraId="6275A303" w14:textId="77777777" w:rsidR="00BB0CE5" w:rsidRPr="00E01518" w:rsidRDefault="00BB0CE5" w:rsidP="00BB0CE5">
      <w:pPr>
        <w:spacing w:after="0" w:line="240" w:lineRule="auto"/>
        <w:rPr>
          <w:rFonts w:ascii="Verdana" w:eastAsia="Calibri" w:hAnsi="Verdana" w:cs="Arial"/>
          <w:b/>
          <w:lang w:eastAsia="es-ES_tradnl"/>
        </w:rPr>
      </w:pPr>
      <w:r w:rsidRPr="00475242">
        <w:rPr>
          <w:rFonts w:ascii="Verdana" w:eastAsia="Calibri" w:hAnsi="Verdana" w:cs="Arial"/>
          <w:b/>
          <w:lang w:eastAsia="es-ES_tradnl"/>
        </w:rPr>
        <w:t>Karen Julieth</w:t>
      </w:r>
      <w:r>
        <w:rPr>
          <w:rFonts w:ascii="Verdana" w:eastAsia="Calibri" w:hAnsi="Verdana" w:cs="Arial"/>
          <w:b/>
          <w:lang w:eastAsia="es-ES_tradnl"/>
        </w:rPr>
        <w:t xml:space="preserve"> Villamizar Medina</w:t>
      </w:r>
    </w:p>
    <w:p w14:paraId="55FB8594" w14:textId="77777777" w:rsidR="00BB0CE5" w:rsidRPr="00E01518" w:rsidRDefault="00BB0CE5" w:rsidP="00BB0CE5">
      <w:pPr>
        <w:spacing w:after="0" w:line="240" w:lineRule="auto"/>
        <w:rPr>
          <w:rFonts w:ascii="Verdana" w:hAnsi="Verdana"/>
        </w:rPr>
      </w:pPr>
      <w:hyperlink r:id="rId12" w:history="1">
        <w:r w:rsidRPr="00B255BB">
          <w:rPr>
            <w:rStyle w:val="Hipervnculo"/>
            <w:rFonts w:ascii="Verdana" w:hAnsi="Verdana"/>
          </w:rPr>
          <w:t>juliandmonsalve@hotmail.com</w:t>
        </w:r>
      </w:hyperlink>
      <w:r>
        <w:rPr>
          <w:rFonts w:ascii="Verdana" w:hAnsi="Verdana"/>
        </w:rPr>
        <w:t xml:space="preserve"> </w:t>
      </w:r>
    </w:p>
    <w:p w14:paraId="2D40504A" w14:textId="77777777" w:rsidR="00BB0CE5" w:rsidRPr="00E01518" w:rsidRDefault="00BB0CE5" w:rsidP="00BB0CE5">
      <w:pPr>
        <w:spacing w:after="0" w:line="240" w:lineRule="auto"/>
        <w:rPr>
          <w:rFonts w:ascii="Verdana" w:eastAsia="Calibri" w:hAnsi="Verdana" w:cs="Arial"/>
          <w:b/>
          <w:bCs/>
          <w:lang w:val="es-ES" w:eastAsia="es-ES"/>
        </w:rPr>
      </w:pPr>
      <w:r w:rsidRPr="00E01518">
        <w:rPr>
          <w:rFonts w:ascii="Verdana" w:eastAsia="Calibri" w:hAnsi="Verdana" w:cs="Arial"/>
          <w:lang w:val="es-ES" w:eastAsia="es-ES"/>
        </w:rPr>
        <w:t>Cali, Valle del Cauca</w:t>
      </w:r>
    </w:p>
    <w:p w14:paraId="1754F257" w14:textId="77777777" w:rsidR="00BB0CE5" w:rsidRPr="00983DCD" w:rsidRDefault="00BB0CE5" w:rsidP="00BB0CE5">
      <w:pPr>
        <w:spacing w:after="0" w:line="240" w:lineRule="auto"/>
        <w:rPr>
          <w:rFonts w:ascii="Verdana" w:eastAsia="Calibri" w:hAnsi="Verdana" w:cs="Arial"/>
          <w:b/>
          <w:bCs/>
          <w:color w:val="000000"/>
          <w:lang w:val="es-ES_tradnl" w:eastAsia="es-ES_tradnl"/>
        </w:rPr>
      </w:pPr>
    </w:p>
    <w:p w14:paraId="30E1A3B6" w14:textId="77777777" w:rsidR="00BB0CE5" w:rsidRPr="00983DCD" w:rsidRDefault="00BB0CE5" w:rsidP="00BB0CE5">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B0CE5" w:rsidRPr="00983DCD" w14:paraId="0DA14E51" w14:textId="77777777" w:rsidTr="0043265A">
        <w:trPr>
          <w:trHeight w:val="80"/>
        </w:trPr>
        <w:tc>
          <w:tcPr>
            <w:tcW w:w="2689" w:type="dxa"/>
          </w:tcPr>
          <w:p w14:paraId="5B52481E" w14:textId="77777777" w:rsidR="00BB0CE5" w:rsidRPr="00983DCD" w:rsidRDefault="00BB0CE5" w:rsidP="0043265A">
            <w:pPr>
              <w:jc w:val="both"/>
              <w:rPr>
                <w:rFonts w:ascii="Verdana" w:eastAsia="Calibri" w:hAnsi="Verdana" w:cs="Arial"/>
                <w:b/>
                <w:bCs/>
                <w:color w:val="7030A0"/>
                <w:lang w:val="es-ES_tradnl" w:eastAsia="es-ES_tradnl"/>
              </w:rPr>
            </w:pPr>
          </w:p>
        </w:tc>
        <w:tc>
          <w:tcPr>
            <w:tcW w:w="6100" w:type="dxa"/>
          </w:tcPr>
          <w:p w14:paraId="7EA5A047" w14:textId="77777777" w:rsidR="00BB0CE5" w:rsidRPr="00983DCD" w:rsidRDefault="00BB0CE5" w:rsidP="0043265A">
            <w:pPr>
              <w:jc w:val="both"/>
              <w:rPr>
                <w:rFonts w:ascii="Verdana" w:eastAsia="Calibri" w:hAnsi="Verdana" w:cs="Arial"/>
                <w:b/>
                <w:bCs/>
                <w:lang w:val="es-ES" w:eastAsia="es-ES"/>
              </w:rPr>
            </w:pPr>
            <w:r w:rsidRPr="00983DCD">
              <w:rPr>
                <w:rFonts w:ascii="Verdana" w:eastAsia="Calibri" w:hAnsi="Verdana" w:cs="Arial"/>
                <w:b/>
                <w:bCs/>
                <w:lang w:val="es-ES" w:eastAsia="es-ES"/>
              </w:rPr>
              <w:t>Concepto C-</w:t>
            </w:r>
            <w:r>
              <w:rPr>
                <w:rFonts w:ascii="Verdana" w:eastAsia="Calibri" w:hAnsi="Verdana" w:cs="Arial"/>
                <w:b/>
                <w:bCs/>
                <w:lang w:val="es-ES" w:eastAsia="es-ES"/>
              </w:rPr>
              <w:t>760</w:t>
            </w:r>
            <w:r w:rsidRPr="00983DCD">
              <w:rPr>
                <w:rFonts w:ascii="Verdana" w:eastAsia="Calibri" w:hAnsi="Verdana" w:cs="Arial"/>
                <w:b/>
                <w:bCs/>
                <w:color w:val="7030A0"/>
                <w:lang w:val="es-ES" w:eastAsia="es-ES"/>
              </w:rPr>
              <w:t xml:space="preserve"> </w:t>
            </w:r>
            <w:r w:rsidRPr="00983DCD">
              <w:rPr>
                <w:rFonts w:ascii="Verdana" w:eastAsia="Calibri" w:hAnsi="Verdana" w:cs="Arial"/>
                <w:b/>
                <w:bCs/>
                <w:lang w:val="es-ES" w:eastAsia="es-ES"/>
              </w:rPr>
              <w:t>de 2026</w:t>
            </w:r>
          </w:p>
          <w:p w14:paraId="3302CDE3" w14:textId="77777777" w:rsidR="00BB0CE5" w:rsidRPr="00983DCD" w:rsidRDefault="00BB0CE5" w:rsidP="0043265A">
            <w:pPr>
              <w:jc w:val="both"/>
              <w:rPr>
                <w:rFonts w:ascii="Verdana" w:eastAsia="Calibri" w:hAnsi="Verdana" w:cs="Arial"/>
                <w:b/>
                <w:bCs/>
                <w:color w:val="7030A0"/>
                <w:lang w:val="es-ES" w:eastAsia="es-ES"/>
              </w:rPr>
            </w:pPr>
          </w:p>
        </w:tc>
      </w:tr>
      <w:tr w:rsidR="00BB0CE5" w:rsidRPr="00983DCD" w14:paraId="2F139A9D" w14:textId="77777777" w:rsidTr="0043265A">
        <w:trPr>
          <w:trHeight w:val="884"/>
        </w:trPr>
        <w:tc>
          <w:tcPr>
            <w:tcW w:w="2689" w:type="dxa"/>
          </w:tcPr>
          <w:p w14:paraId="00462C88" w14:textId="77777777" w:rsidR="00BB0CE5" w:rsidRPr="00983DCD" w:rsidRDefault="00BB0CE5" w:rsidP="0043265A">
            <w:pPr>
              <w:spacing w:line="276" w:lineRule="auto"/>
              <w:jc w:val="both"/>
              <w:rPr>
                <w:rFonts w:ascii="Verdana" w:eastAsia="Calibri" w:hAnsi="Verdana" w:cs="Arial"/>
                <w:color w:val="000000"/>
                <w:lang w:val="es-ES_tradnl" w:eastAsia="es-ES_tradnl"/>
              </w:rPr>
            </w:pPr>
            <w:r w:rsidRPr="00983DCD">
              <w:rPr>
                <w:rFonts w:ascii="Verdana" w:eastAsia="Calibri" w:hAnsi="Verdana" w:cs="Arial"/>
                <w:b/>
                <w:color w:val="000000"/>
                <w:lang w:val="es-ES_tradnl" w:eastAsia="es-ES_tradnl"/>
              </w:rPr>
              <w:t>Temas:</w:t>
            </w:r>
            <w:r w:rsidRPr="00983DCD">
              <w:rPr>
                <w:rFonts w:ascii="Verdana" w:eastAsia="Calibri" w:hAnsi="Verdana" w:cs="Arial"/>
                <w:color w:val="000000"/>
                <w:lang w:val="es-ES_tradnl" w:eastAsia="es-ES_tradnl"/>
              </w:rPr>
              <w:t xml:space="preserve">                   </w:t>
            </w:r>
          </w:p>
        </w:tc>
        <w:tc>
          <w:tcPr>
            <w:tcW w:w="6100" w:type="dxa"/>
          </w:tcPr>
          <w:p w14:paraId="1F270C3D" w14:textId="77777777" w:rsidR="00BB0CE5" w:rsidRPr="00D069D8" w:rsidRDefault="00BB0CE5" w:rsidP="0043265A">
            <w:pPr>
              <w:spacing w:line="276" w:lineRule="auto"/>
              <w:jc w:val="both"/>
              <w:rPr>
                <w:rFonts w:ascii="Verdana" w:hAnsi="Verdana" w:cs="Arial"/>
                <w:lang w:val="es-ES" w:eastAsia="es-ES"/>
              </w:rPr>
            </w:pPr>
            <w:r w:rsidRPr="00D069D8">
              <w:rPr>
                <w:rFonts w:ascii="Verdana" w:hAnsi="Verdana" w:cs="Arial"/>
                <w:bCs/>
                <w:color w:val="000000" w:themeColor="text1"/>
                <w:lang w:val="es-ES"/>
              </w:rPr>
              <w:t>PRINCIPIO DE ANUALIDAD – Fundamento / PRINCIPIO DE ANUALIDAD</w:t>
            </w:r>
            <w:r w:rsidRPr="00D069D8">
              <w:rPr>
                <w:rFonts w:ascii="Verdana" w:hAnsi="Verdana" w:cs="Arial"/>
                <w:lang w:val="es-ES" w:eastAsia="es-ES"/>
              </w:rPr>
              <w:t xml:space="preserve"> – Excepcio</w:t>
            </w:r>
            <w:r>
              <w:rPr>
                <w:rFonts w:ascii="Verdana" w:hAnsi="Verdana" w:cs="Arial"/>
                <w:lang w:val="es-ES" w:eastAsia="es-ES"/>
              </w:rPr>
              <w:t xml:space="preserve">nes / VIGENCIAS FUTURAS - Tipos – Vigencia Futura Ordinaria – Vigencia Futura Excepcional / DEBER DE PLANEACIÓN – Análisis técnico </w:t>
            </w:r>
          </w:p>
          <w:p w14:paraId="380D47CB" w14:textId="77777777" w:rsidR="00BB0CE5" w:rsidRDefault="00BB0CE5" w:rsidP="0043265A">
            <w:pPr>
              <w:spacing w:line="276" w:lineRule="auto"/>
              <w:jc w:val="both"/>
              <w:rPr>
                <w:rFonts w:ascii="Verdana" w:eastAsia="Calibri" w:hAnsi="Verdana" w:cs="Arial"/>
                <w:lang w:val="es-ES" w:eastAsia="es-ES"/>
              </w:rPr>
            </w:pPr>
          </w:p>
          <w:p w14:paraId="7088117B" w14:textId="77777777" w:rsidR="00BB0CE5" w:rsidRPr="00983DCD" w:rsidRDefault="00BB0CE5" w:rsidP="0043265A">
            <w:pPr>
              <w:spacing w:line="276" w:lineRule="auto"/>
              <w:jc w:val="both"/>
              <w:rPr>
                <w:rFonts w:ascii="Verdana" w:eastAsia="Calibri" w:hAnsi="Verdana" w:cs="Arial"/>
                <w:lang w:val="es-ES" w:eastAsia="es-ES"/>
              </w:rPr>
            </w:pPr>
          </w:p>
        </w:tc>
      </w:tr>
      <w:tr w:rsidR="00BB0CE5" w:rsidRPr="00983DCD" w14:paraId="57ED1F5E" w14:textId="77777777" w:rsidTr="0043265A">
        <w:tc>
          <w:tcPr>
            <w:tcW w:w="2689" w:type="dxa"/>
          </w:tcPr>
          <w:p w14:paraId="1E1F477D" w14:textId="77777777" w:rsidR="00BB0CE5" w:rsidRPr="00983DCD" w:rsidRDefault="00BB0CE5" w:rsidP="0043265A">
            <w:pPr>
              <w:jc w:val="both"/>
              <w:rPr>
                <w:rFonts w:ascii="Verdana" w:eastAsia="Calibri" w:hAnsi="Verdana" w:cs="Arial"/>
                <w:b/>
                <w:lang w:val="es-ES_tradnl" w:eastAsia="es-ES_tradnl"/>
              </w:rPr>
            </w:pPr>
            <w:r w:rsidRPr="00983DCD">
              <w:rPr>
                <w:rFonts w:ascii="Verdana" w:eastAsia="Calibri" w:hAnsi="Verdana" w:cs="Arial"/>
                <w:b/>
                <w:lang w:val="es-ES_tradnl" w:eastAsia="es-ES_tradnl"/>
              </w:rPr>
              <w:t xml:space="preserve"> Radicación:</w:t>
            </w:r>
            <w:r w:rsidRPr="00983DCD">
              <w:rPr>
                <w:rFonts w:ascii="Verdana" w:eastAsia="Calibri" w:hAnsi="Verdana" w:cs="Arial"/>
                <w:lang w:val="es-ES_tradnl" w:eastAsia="es-ES_tradnl"/>
              </w:rPr>
              <w:t xml:space="preserve">               </w:t>
            </w:r>
          </w:p>
        </w:tc>
        <w:tc>
          <w:tcPr>
            <w:tcW w:w="6100" w:type="dxa"/>
          </w:tcPr>
          <w:p w14:paraId="310640B5" w14:textId="77777777" w:rsidR="00BB0CE5" w:rsidRPr="00983DCD" w:rsidRDefault="00BB0CE5" w:rsidP="0043265A">
            <w:pPr>
              <w:spacing w:line="276" w:lineRule="auto"/>
              <w:jc w:val="both"/>
              <w:rPr>
                <w:rFonts w:ascii="Verdana" w:eastAsia="Calibri" w:hAnsi="Verdana" w:cs="Arial"/>
                <w:lang w:eastAsia="es-ES_tradnl"/>
              </w:rPr>
            </w:pPr>
            <w:r w:rsidRPr="00983DCD">
              <w:rPr>
                <w:rFonts w:ascii="Verdana" w:eastAsia="Calibri" w:hAnsi="Verdana" w:cs="Arial"/>
                <w:lang w:val="es-ES_tradnl" w:eastAsia="es-ES_tradnl"/>
              </w:rPr>
              <w:t xml:space="preserve">Respuesta a consulta con radicado No. </w:t>
            </w:r>
            <w:r w:rsidRPr="00887F25">
              <w:rPr>
                <w:rFonts w:ascii="Verdana" w:eastAsia="Calibri" w:hAnsi="Verdana" w:cs="Arial"/>
                <w:lang w:eastAsia="es-ES_tradnl"/>
              </w:rPr>
              <w:t>1_2026_05_06_006144</w:t>
            </w:r>
          </w:p>
        </w:tc>
      </w:tr>
    </w:tbl>
    <w:p w14:paraId="3ED93B28" w14:textId="77777777" w:rsidR="00BB0CE5" w:rsidRPr="00983DCD" w:rsidRDefault="00BB0CE5" w:rsidP="00BB0CE5">
      <w:pPr>
        <w:spacing w:after="0" w:line="276" w:lineRule="auto"/>
        <w:jc w:val="both"/>
        <w:rPr>
          <w:rFonts w:ascii="Verdana" w:eastAsia="Calibri" w:hAnsi="Verdana" w:cs="Arial"/>
          <w:color w:val="000000"/>
          <w:lang w:val="es-ES_tradnl" w:eastAsia="es-ES_tradnl"/>
        </w:rPr>
      </w:pPr>
    </w:p>
    <w:p w14:paraId="2EBF377D" w14:textId="77777777" w:rsidR="00BB0CE5" w:rsidRPr="00983DCD" w:rsidRDefault="00BB0CE5" w:rsidP="00BB0CE5">
      <w:pPr>
        <w:spacing w:after="0" w:line="240" w:lineRule="auto"/>
        <w:jc w:val="both"/>
        <w:rPr>
          <w:rFonts w:ascii="Verdana" w:eastAsia="Calibri" w:hAnsi="Verdana" w:cs="Arial"/>
          <w:color w:val="000000"/>
          <w:lang w:val="es-ES_tradnl" w:eastAsia="es-ES_tradnl"/>
        </w:rPr>
      </w:pPr>
    </w:p>
    <w:p w14:paraId="78C07499" w14:textId="77777777" w:rsidR="00BB0CE5" w:rsidRPr="00983DCD" w:rsidRDefault="00BB0CE5" w:rsidP="00BB0CE5">
      <w:pPr>
        <w:spacing w:after="0" w:line="240" w:lineRule="auto"/>
        <w:jc w:val="both"/>
        <w:rPr>
          <w:rFonts w:ascii="Verdana" w:eastAsia="Calibri" w:hAnsi="Verdana" w:cs="Arial"/>
          <w:lang w:val="es-ES" w:eastAsia="es-ES"/>
        </w:rPr>
      </w:pPr>
      <w:r>
        <w:rPr>
          <w:rFonts w:ascii="Verdana" w:eastAsia="Calibri" w:hAnsi="Verdana" w:cs="Arial"/>
          <w:color w:val="000000" w:themeColor="text1"/>
          <w:lang w:val="es-ES" w:eastAsia="es-ES"/>
        </w:rPr>
        <w:t>Estimada Señora Villamizar</w:t>
      </w:r>
      <w:r w:rsidRPr="00983DCD">
        <w:rPr>
          <w:rFonts w:ascii="Verdana" w:eastAsia="Calibri" w:hAnsi="Verdana" w:cs="Arial"/>
          <w:lang w:val="es-ES" w:eastAsia="es-ES"/>
        </w:rPr>
        <w:t>,</w:t>
      </w:r>
    </w:p>
    <w:p w14:paraId="0A4608A6" w14:textId="77777777" w:rsidR="00BB0CE5" w:rsidRPr="00983DCD" w:rsidRDefault="00BB0CE5" w:rsidP="00BB0CE5">
      <w:pPr>
        <w:tabs>
          <w:tab w:val="left" w:pos="3768"/>
        </w:tabs>
        <w:spacing w:after="0" w:line="240" w:lineRule="auto"/>
        <w:jc w:val="both"/>
        <w:rPr>
          <w:rFonts w:ascii="Verdana" w:eastAsia="Calibri" w:hAnsi="Verdana" w:cs="Arial"/>
          <w:lang w:val="es-ES" w:eastAsia="es-ES"/>
        </w:rPr>
      </w:pPr>
    </w:p>
    <w:p w14:paraId="08AD96DD" w14:textId="77777777" w:rsidR="0043576B" w:rsidRDefault="00BB0CE5" w:rsidP="00BB0CE5">
      <w:pPr>
        <w:spacing w:after="120" w:line="276" w:lineRule="auto"/>
        <w:jc w:val="both"/>
        <w:rPr>
          <w:rFonts w:ascii="Verdana" w:eastAsia="Calibri" w:hAnsi="Verdana" w:cs="Arial"/>
          <w:lang w:val="es-ES" w:eastAsia="es-ES_tradnl"/>
        </w:rPr>
      </w:pPr>
      <w:r w:rsidRPr="00983DCD">
        <w:rPr>
          <w:rFonts w:ascii="Verdana" w:eastAsia="Calibri" w:hAnsi="Verdana" w:cs="Arial"/>
          <w:lang w:val="es-ES" w:eastAsia="es-ES_tradnl"/>
        </w:rPr>
        <w:t xml:space="preserve">En ejercicio de la competencia otorgada por los artículos 3, numeral 5º, y 11, numeral 8º, del Decreto Ley 4170 de 2011, así como lo establecido en la Resolución </w:t>
      </w:r>
      <w:r w:rsidRPr="00983DCD">
        <w:rPr>
          <w:rFonts w:ascii="Verdana" w:eastAsia="Times New Roman" w:hAnsi="Verdana" w:cs="Arial"/>
          <w:lang w:eastAsia="es-ES_tradnl"/>
        </w:rPr>
        <w:t xml:space="preserve">469 de 2025 </w:t>
      </w:r>
      <w:r w:rsidRPr="00983DCD">
        <w:rPr>
          <w:rFonts w:ascii="Verdana" w:eastAsia="Calibri" w:hAnsi="Verdana" w:cs="Arial"/>
          <w:lang w:val="es-ES" w:eastAsia="es-ES_tradnl"/>
        </w:rPr>
        <w:t>expedida por esta Entidad, la Agencia Nacional de Contratación Pública – Colombia Compra Eficiente– responde su</w:t>
      </w:r>
      <w:r>
        <w:rPr>
          <w:rFonts w:ascii="Verdana" w:eastAsia="Calibri" w:hAnsi="Verdana" w:cs="Arial"/>
          <w:lang w:val="es-ES" w:eastAsia="es-ES_tradnl"/>
        </w:rPr>
        <w:t xml:space="preserve"> solicitud de consulta del 6 de mayo de 2026, en la cual manifiesta: </w:t>
      </w:r>
    </w:p>
    <w:p w14:paraId="3BC66D8B" w14:textId="22614555" w:rsidR="00BB0CE5" w:rsidRPr="00475242" w:rsidRDefault="00BB0CE5" w:rsidP="00BB0CE5">
      <w:pPr>
        <w:spacing w:after="120" w:line="276" w:lineRule="auto"/>
        <w:jc w:val="both"/>
        <w:rPr>
          <w:rFonts w:ascii="Verdana" w:eastAsia="Calibri" w:hAnsi="Verdana" w:cs="Arial"/>
          <w:lang w:eastAsia="es-ES_tradnl"/>
        </w:rPr>
      </w:pPr>
      <w:r>
        <w:rPr>
          <w:rFonts w:ascii="Verdana" w:eastAsia="Calibri" w:hAnsi="Verdana" w:cs="Arial"/>
          <w:lang w:val="es-ES" w:eastAsia="es-ES_tradnl"/>
        </w:rPr>
        <w:t xml:space="preserve">“[…] </w:t>
      </w:r>
      <w:r w:rsidRPr="00475242">
        <w:rPr>
          <w:rFonts w:ascii="Verdana" w:eastAsia="Calibri" w:hAnsi="Verdana" w:cs="Arial"/>
          <w:lang w:eastAsia="es-ES_tradnl"/>
        </w:rPr>
        <w:t>respetuosamen</w:t>
      </w:r>
      <w:r>
        <w:rPr>
          <w:rFonts w:ascii="Verdana" w:eastAsia="Calibri" w:hAnsi="Verdana" w:cs="Arial"/>
          <w:lang w:eastAsia="es-ES_tradnl"/>
        </w:rPr>
        <w:t xml:space="preserve">te me permito </w:t>
      </w:r>
      <w:r w:rsidRPr="00475242">
        <w:rPr>
          <w:rFonts w:ascii="Verdana" w:eastAsia="Calibri" w:hAnsi="Verdana" w:cs="Arial"/>
          <w:lang w:eastAsia="es-ES_tradnl"/>
        </w:rPr>
        <w:t>solicitar información de cómo se puede adjudicar un proceso</w:t>
      </w:r>
      <w:r>
        <w:rPr>
          <w:rFonts w:ascii="Verdana" w:eastAsia="Calibri" w:hAnsi="Verdana" w:cs="Arial"/>
          <w:lang w:eastAsia="es-ES_tradnl"/>
        </w:rPr>
        <w:t xml:space="preserve"> </w:t>
      </w:r>
      <w:r w:rsidRPr="00475242">
        <w:rPr>
          <w:rFonts w:ascii="Verdana" w:eastAsia="Calibri" w:hAnsi="Verdana" w:cs="Arial"/>
          <w:lang w:eastAsia="es-ES_tradnl"/>
        </w:rPr>
        <w:t xml:space="preserve">teniendo en cuenta que es en </w:t>
      </w:r>
      <w:r>
        <w:rPr>
          <w:rFonts w:ascii="Verdana" w:eastAsia="Calibri" w:hAnsi="Verdana" w:cs="Arial"/>
          <w:lang w:eastAsia="es-ES_tradnl"/>
        </w:rPr>
        <w:t xml:space="preserve">vigencias futuras, para los años </w:t>
      </w:r>
      <w:r w:rsidRPr="00475242">
        <w:rPr>
          <w:rFonts w:ascii="Verdana" w:eastAsia="Calibri" w:hAnsi="Verdana" w:cs="Arial"/>
          <w:lang w:eastAsia="es-ES_tradnl"/>
        </w:rPr>
        <w:t>2027, 2028, 2029, 2030 y</w:t>
      </w:r>
      <w:r>
        <w:rPr>
          <w:rFonts w:ascii="Verdana" w:eastAsia="Calibri" w:hAnsi="Verdana" w:cs="Arial"/>
          <w:lang w:eastAsia="es-ES_tradnl"/>
        </w:rPr>
        <w:t xml:space="preserve"> 2031, para proceso CONPES 4187</w:t>
      </w:r>
      <w:r>
        <w:rPr>
          <w:rFonts w:ascii="Verdana" w:eastAsia="Times New Roman" w:hAnsi="Verdana" w:cs="CIDFont+F1"/>
          <w:i/>
          <w:iCs/>
          <w:sz w:val="20"/>
          <w:szCs w:val="20"/>
          <w:lang w:eastAsia="es-ES_tradnl"/>
        </w:rPr>
        <w:t xml:space="preserve">“. </w:t>
      </w:r>
    </w:p>
    <w:p w14:paraId="466551E6" w14:textId="77777777" w:rsidR="00BB0CE5" w:rsidRPr="00983DCD" w:rsidRDefault="00BB0CE5" w:rsidP="00BB0CE5">
      <w:pPr>
        <w:spacing w:after="120" w:line="276" w:lineRule="auto"/>
        <w:ind w:firstLine="709"/>
        <w:jc w:val="both"/>
        <w:rPr>
          <w:rFonts w:ascii="Verdana" w:eastAsia="Calibri" w:hAnsi="Verdana" w:cs="Arial"/>
          <w:color w:val="000000"/>
          <w:lang w:val="es-ES_tradnl" w:eastAsia="es-ES_tradnl"/>
        </w:rPr>
      </w:pPr>
      <w:r w:rsidRPr="00983DC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w:t>
      </w:r>
      <w:r w:rsidRPr="00983DCD">
        <w:rPr>
          <w:rFonts w:ascii="Verdana" w:eastAsia="Calibri" w:hAnsi="Verdana" w:cs="Arial"/>
          <w:color w:val="000000"/>
          <w:lang w:val="es-ES" w:eastAsia="es-ES"/>
        </w:rPr>
        <w:lastRenderedPageBreak/>
        <w:t xml:space="preserve">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83DCD">
        <w:rPr>
          <w:rFonts w:ascii="Verdana" w:eastAsia="Calibri" w:hAnsi="Verdana" w:cs="Arial"/>
          <w:color w:val="000000"/>
          <w:lang w:val="es-ES_tradnl" w:eastAsia="es-ES_tradnl"/>
        </w:rPr>
        <w:tab/>
      </w:r>
    </w:p>
    <w:p w14:paraId="3803CDAE" w14:textId="77777777" w:rsidR="00BB0CE5" w:rsidRPr="00983DCD" w:rsidRDefault="00BB0CE5" w:rsidP="00BB0CE5">
      <w:pPr>
        <w:spacing w:after="0" w:line="276" w:lineRule="auto"/>
        <w:ind w:firstLine="709"/>
        <w:jc w:val="both"/>
        <w:rPr>
          <w:rFonts w:ascii="Verdana" w:eastAsia="Calibri" w:hAnsi="Verdana" w:cs="Arial"/>
          <w:color w:val="000000"/>
          <w:lang w:val="es-ES" w:eastAsia="es-ES"/>
        </w:rPr>
      </w:pPr>
      <w:r w:rsidRPr="00983DCD">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w:t>
      </w:r>
      <w:r>
        <w:rPr>
          <w:rFonts w:ascii="Verdana" w:eastAsia="Calibri" w:hAnsi="Verdana" w:cs="Arial"/>
          <w:color w:val="000000"/>
          <w:lang w:val="es-ES" w:eastAsia="es-ES"/>
        </w:rPr>
        <w:t>el problema jurídico de su consulta.</w:t>
      </w:r>
    </w:p>
    <w:p w14:paraId="04F65FFC" w14:textId="77777777" w:rsidR="00BB0CE5" w:rsidRPr="00D069D8" w:rsidRDefault="00BB0CE5" w:rsidP="004B7A3E">
      <w:pPr>
        <w:spacing w:after="0" w:line="240" w:lineRule="auto"/>
        <w:rPr>
          <w:rFonts w:ascii="Verdana" w:eastAsia="Calibri" w:hAnsi="Verdana" w:cs="Times New Roman"/>
          <w:lang w:val="es-ES"/>
        </w:rPr>
      </w:pPr>
    </w:p>
    <w:p w14:paraId="7ACCFCDE" w14:textId="77777777" w:rsidR="00BB0CE5" w:rsidRPr="00D069D8" w:rsidRDefault="00BB0CE5" w:rsidP="004B7A3E">
      <w:pPr>
        <w:numPr>
          <w:ilvl w:val="0"/>
          <w:numId w:val="16"/>
        </w:numPr>
        <w:spacing w:after="0" w:line="240" w:lineRule="auto"/>
        <w:contextualSpacing/>
        <w:rPr>
          <w:rFonts w:ascii="Verdana" w:eastAsia="Calibri" w:hAnsi="Verdana" w:cs="Times New Roman"/>
          <w:b/>
          <w:bCs/>
          <w:lang w:val="es-ES"/>
        </w:rPr>
      </w:pPr>
      <w:r w:rsidRPr="00D069D8">
        <w:rPr>
          <w:rFonts w:ascii="Verdana" w:eastAsia="Calibri" w:hAnsi="Verdana" w:cs="Times New Roman"/>
          <w:b/>
          <w:bCs/>
          <w:lang w:val="es-ES"/>
        </w:rPr>
        <w:t>Problema planteado:</w:t>
      </w:r>
    </w:p>
    <w:p w14:paraId="250DC4F0" w14:textId="77777777" w:rsidR="00BB0CE5" w:rsidRPr="00D069D8" w:rsidRDefault="00BB0CE5" w:rsidP="004B7A3E">
      <w:pPr>
        <w:spacing w:after="0" w:line="240" w:lineRule="auto"/>
        <w:rPr>
          <w:rFonts w:ascii="Verdana" w:eastAsia="Calibri" w:hAnsi="Verdana" w:cs="Times New Roman"/>
        </w:rPr>
      </w:pPr>
    </w:p>
    <w:p w14:paraId="1C49016F" w14:textId="77777777" w:rsidR="00BB0CE5" w:rsidRPr="00552D0E" w:rsidRDefault="00BB0CE5" w:rsidP="00BB0CE5">
      <w:pPr>
        <w:spacing w:after="0" w:line="276" w:lineRule="auto"/>
        <w:jc w:val="both"/>
        <w:rPr>
          <w:rFonts w:ascii="Verdana" w:eastAsia="Calibri" w:hAnsi="Verdana" w:cs="Times New Roman"/>
        </w:rPr>
      </w:pPr>
      <w:r w:rsidRPr="00D069D8">
        <w:rPr>
          <w:rFonts w:ascii="Verdana" w:eastAsia="Calibri" w:hAnsi="Verdana" w:cs="Times New Roman"/>
        </w:rPr>
        <w:t xml:space="preserve">De acuerdo con el contenido de su solicitud, esta Agencia procede a resolver el siguiente problema jurídico: </w:t>
      </w:r>
      <w:r w:rsidRPr="00552D0E">
        <w:rPr>
          <w:rFonts w:ascii="Verdana" w:eastAsia="Calibri" w:hAnsi="Verdana" w:cs="Times New Roman"/>
        </w:rPr>
        <w:t>¿Es procedente adjudicar un proceso contractual que compromete vigencias futuras</w:t>
      </w:r>
      <w:r>
        <w:rPr>
          <w:rFonts w:ascii="Verdana" w:eastAsia="Calibri" w:hAnsi="Verdana" w:cs="Times New Roman"/>
        </w:rPr>
        <w:t xml:space="preserve"> en diferentes anualidades, </w:t>
      </w:r>
      <w:r w:rsidRPr="00552D0E">
        <w:rPr>
          <w:rFonts w:ascii="Verdana" w:eastAsia="Calibri" w:hAnsi="Verdana" w:cs="Times New Roman"/>
        </w:rPr>
        <w:t>y cuáles son los requisitos, condiciones y límites legales que deben cumplirse?</w:t>
      </w:r>
    </w:p>
    <w:p w14:paraId="37C8B56C" w14:textId="77777777" w:rsidR="00BB0CE5" w:rsidRPr="00D069D8" w:rsidRDefault="00BB0CE5" w:rsidP="004B7A3E">
      <w:pPr>
        <w:spacing w:after="0" w:line="240" w:lineRule="auto"/>
        <w:rPr>
          <w:rFonts w:ascii="Verdana" w:eastAsia="Calibri" w:hAnsi="Verdana" w:cs="Times New Roman"/>
        </w:rPr>
      </w:pPr>
    </w:p>
    <w:p w14:paraId="29E4CF9F" w14:textId="77777777" w:rsidR="00BB0CE5" w:rsidRPr="00D069D8" w:rsidRDefault="00BB0CE5" w:rsidP="004B7A3E">
      <w:pPr>
        <w:numPr>
          <w:ilvl w:val="0"/>
          <w:numId w:val="16"/>
        </w:numPr>
        <w:spacing w:after="0" w:line="240" w:lineRule="auto"/>
        <w:contextualSpacing/>
        <w:rPr>
          <w:rFonts w:ascii="Verdana" w:eastAsia="Calibri" w:hAnsi="Verdana" w:cs="Times New Roman"/>
          <w:b/>
          <w:bCs/>
          <w:lang w:val="es-ES"/>
        </w:rPr>
      </w:pPr>
      <w:r w:rsidRPr="00D069D8">
        <w:rPr>
          <w:rFonts w:ascii="Verdana" w:eastAsia="Calibri" w:hAnsi="Verdana" w:cs="Times New Roman"/>
          <w:b/>
          <w:bCs/>
          <w:lang w:val="es-ES"/>
        </w:rPr>
        <w:t>Respuesta:</w:t>
      </w:r>
    </w:p>
    <w:p w14:paraId="49FDC301" w14:textId="77777777" w:rsidR="00BB0CE5" w:rsidRPr="00D069D8" w:rsidRDefault="00BB0CE5" w:rsidP="004B7A3E">
      <w:pPr>
        <w:spacing w:after="0" w:line="240"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BB0CE5" w:rsidRPr="00D069D8" w14:paraId="506A6322" w14:textId="77777777" w:rsidTr="0043265A">
        <w:trPr>
          <w:trHeight w:val="870"/>
          <w:jc w:val="center"/>
        </w:trPr>
        <w:tc>
          <w:tcPr>
            <w:tcW w:w="8784" w:type="dxa"/>
          </w:tcPr>
          <w:p w14:paraId="272ED8B4" w14:textId="77777777" w:rsidR="00BB0CE5" w:rsidRDefault="00BB0CE5" w:rsidP="0043265A">
            <w:pPr>
              <w:shd w:val="clear" w:color="auto" w:fill="FFFFFF"/>
              <w:spacing w:after="120" w:line="276" w:lineRule="auto"/>
              <w:ind w:right="51"/>
              <w:jc w:val="both"/>
              <w:rPr>
                <w:rFonts w:ascii="Segoe UI" w:eastAsia="Times New Roman" w:hAnsi="Segoe UI" w:cs="Segoe UI"/>
                <w:sz w:val="21"/>
                <w:szCs w:val="21"/>
              </w:rPr>
            </w:pPr>
            <w:r w:rsidRPr="00D069D8">
              <w:rPr>
                <w:rFonts w:ascii="Verdana" w:hAnsi="Verdana" w:cs="Arial"/>
                <w:bCs/>
              </w:rPr>
              <w:t xml:space="preserve">Para </w:t>
            </w:r>
            <w:r>
              <w:rPr>
                <w:rFonts w:ascii="Verdana" w:hAnsi="Verdana" w:cs="Arial"/>
                <w:bCs/>
              </w:rPr>
              <w:t>dar solución al problema jurídico, se precisa que l</w:t>
            </w:r>
            <w:r w:rsidRPr="00D069D8">
              <w:rPr>
                <w:rFonts w:ascii="Verdana" w:eastAsia="Calibri" w:hAnsi="Verdana" w:cs="Arial"/>
                <w:color w:val="000000" w:themeColor="text1"/>
              </w:rPr>
              <w:t xml:space="preserve">a Ley 813 de 2003 </w:t>
            </w:r>
            <w:r>
              <w:rPr>
                <w:rFonts w:ascii="Verdana" w:eastAsia="Calibri" w:hAnsi="Verdana" w:cs="Arial"/>
                <w:color w:val="000000" w:themeColor="text1"/>
              </w:rPr>
              <w:t xml:space="preserve">establece </w:t>
            </w:r>
            <w:r w:rsidRPr="00D069D8">
              <w:rPr>
                <w:rFonts w:ascii="Verdana" w:eastAsia="Calibri" w:hAnsi="Verdana" w:cs="Arial"/>
                <w:color w:val="000000" w:themeColor="text1"/>
              </w:rPr>
              <w:t>dos tipos de vigencias futuras: i) las vigencias futuras ordinarias,</w:t>
            </w:r>
            <w:r>
              <w:rPr>
                <w:rFonts w:ascii="Verdana" w:eastAsia="Calibri" w:hAnsi="Verdana" w:cs="Arial"/>
                <w:color w:val="000000" w:themeColor="text1"/>
              </w:rPr>
              <w:t xml:space="preserve"> regulada en el artículo 10 de la Ley 819 de 2003,</w:t>
            </w:r>
            <w:r w:rsidRPr="00D069D8">
              <w:rPr>
                <w:rFonts w:ascii="Verdana" w:eastAsia="Calibri" w:hAnsi="Verdana" w:cs="Arial"/>
                <w:color w:val="000000" w:themeColor="text1"/>
              </w:rPr>
              <w:t xml:space="preserve"> según la cual el Consejo Superior de Política Fiscal – </w:t>
            </w:r>
            <w:proofErr w:type="spellStart"/>
            <w:r w:rsidRPr="00D069D8">
              <w:rPr>
                <w:rFonts w:ascii="Verdana" w:eastAsia="Calibri" w:hAnsi="Verdana" w:cs="Arial"/>
                <w:color w:val="000000" w:themeColor="text1"/>
              </w:rPr>
              <w:t>Confis</w:t>
            </w:r>
            <w:proofErr w:type="spellEnd"/>
            <w:r w:rsidRPr="00D069D8">
              <w:rPr>
                <w:rFonts w:ascii="Verdana" w:eastAsia="Calibri" w:hAnsi="Verdana" w:cs="Arial"/>
                <w:color w:val="000000" w:themeColor="text1"/>
              </w:rPr>
              <w:t>,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w:t>
            </w:r>
            <w:r w:rsidRPr="0019064C">
              <w:rPr>
                <w:rFonts w:ascii="Segoe UI" w:eastAsia="Times New Roman" w:hAnsi="Segoe UI" w:cs="Segoe UI"/>
                <w:sz w:val="21"/>
                <w:szCs w:val="21"/>
              </w:rPr>
              <w:t xml:space="preserve"> </w:t>
            </w:r>
          </w:p>
          <w:p w14:paraId="4B3C34FA" w14:textId="77777777" w:rsidR="00BB0CE5" w:rsidRDefault="00BB0CE5" w:rsidP="0043265A">
            <w:pPr>
              <w:shd w:val="clear" w:color="auto" w:fill="FFFFFF"/>
              <w:spacing w:after="120" w:line="276" w:lineRule="auto"/>
              <w:ind w:right="51" w:firstLine="709"/>
              <w:jc w:val="both"/>
              <w:rPr>
                <w:rFonts w:ascii="Verdana" w:eastAsia="Calibri" w:hAnsi="Verdana" w:cs="Arial"/>
                <w:color w:val="000000" w:themeColor="text1"/>
              </w:rPr>
            </w:pPr>
            <w:r w:rsidRPr="0019064C">
              <w:rPr>
                <w:rFonts w:ascii="Verdana" w:eastAsia="Calibri" w:hAnsi="Verdana" w:cs="Arial"/>
                <w:color w:val="000000" w:themeColor="text1"/>
              </w:rPr>
              <w:t xml:space="preserve">Los requisitos para la autorización de vigencias futuras comprenden, en primer lugar, que el monto máximo, el plazo y sus condiciones deben estar acordes con las metas plurianuales definidas en el Marco Fiscal de Mediano Plazo, garantizando así la consistencia con la sostenibilidad fiscal. En segundo lugar, se exige que al momento de solicitar dichas vigencias se cuente, como </w:t>
            </w:r>
            <w:r w:rsidRPr="0019064C">
              <w:rPr>
                <w:rFonts w:ascii="Verdana" w:eastAsia="Calibri" w:hAnsi="Verdana" w:cs="Arial"/>
                <w:color w:val="000000" w:themeColor="text1"/>
              </w:rPr>
              <w:lastRenderedPageBreak/>
              <w:t>mínimo, con una apropiación equivalente al quince por ciento (15%) del valor total en la vigencia fiscal en la que se otorga la autorización, como respaldo inicial del compromiso.</w:t>
            </w:r>
            <w:r>
              <w:rPr>
                <w:rFonts w:ascii="Verdana" w:eastAsia="Calibri" w:hAnsi="Verdana" w:cs="Arial"/>
                <w:color w:val="000000" w:themeColor="text1"/>
              </w:rPr>
              <w:t xml:space="preserve"> </w:t>
            </w:r>
            <w:r w:rsidRPr="0019064C">
              <w:rPr>
                <w:rFonts w:ascii="Verdana" w:eastAsia="Calibri" w:hAnsi="Verdana" w:cs="Arial"/>
                <w:color w:val="000000" w:themeColor="text1"/>
              </w:rPr>
              <w:t>Adicionalmente, cuando se trate de proyectos de inversión del orden nacional, será indispensable obtener un concepto favorable</w:t>
            </w:r>
            <w:r>
              <w:rPr>
                <w:rFonts w:ascii="Verdana" w:eastAsia="Calibri" w:hAnsi="Verdana" w:cs="Arial"/>
                <w:color w:val="000000" w:themeColor="text1"/>
              </w:rPr>
              <w:t xml:space="preserve"> previo</w:t>
            </w:r>
            <w:r w:rsidRPr="0019064C">
              <w:rPr>
                <w:rFonts w:ascii="Verdana" w:eastAsia="Calibri" w:hAnsi="Verdana" w:cs="Arial"/>
                <w:color w:val="000000" w:themeColor="text1"/>
              </w:rPr>
              <w:t xml:space="preserve"> tanto del Departamento Nacional de Planeación como del ministerio del sector correspondiente, con el fin de asegurar la viabilidad técnica, económica y sectorial de la iniciativa.</w:t>
            </w:r>
          </w:p>
          <w:p w14:paraId="5FC92E83" w14:textId="77777777" w:rsidR="00BB0CE5" w:rsidRPr="003C7CCA" w:rsidRDefault="00BB0CE5" w:rsidP="0043265A">
            <w:pPr>
              <w:shd w:val="clear" w:color="auto" w:fill="FFFFFF"/>
              <w:spacing w:after="120" w:line="276" w:lineRule="auto"/>
              <w:ind w:right="51" w:firstLine="709"/>
              <w:jc w:val="both"/>
              <w:rPr>
                <w:rFonts w:ascii="Verdana" w:eastAsia="Calibri" w:hAnsi="Verdana" w:cs="Arial"/>
                <w:color w:val="000000" w:themeColor="text1"/>
              </w:rPr>
            </w:pPr>
            <w:r>
              <w:rPr>
                <w:rFonts w:ascii="Verdana" w:eastAsia="Calibri" w:hAnsi="Verdana" w:cs="Arial"/>
                <w:color w:val="000000" w:themeColor="text1"/>
              </w:rPr>
              <w:t xml:space="preserve">Dentro de las vigencias futuras ordinarias se establece una regla, que consiste en que la </w:t>
            </w:r>
            <w:r w:rsidRPr="003C7CCA">
              <w:rPr>
                <w:rFonts w:ascii="Verdana" w:eastAsia="Calibri" w:hAnsi="Verdana" w:cs="Arial"/>
                <w:color w:val="000000" w:themeColor="text1"/>
              </w:rPr>
              <w:t>autorización por parte del CONFIS para comprometer recursos con cargo a</w:t>
            </w:r>
            <w:r>
              <w:rPr>
                <w:rFonts w:ascii="Verdana" w:eastAsia="Calibri" w:hAnsi="Verdana" w:cs="Arial"/>
                <w:color w:val="000000" w:themeColor="text1"/>
              </w:rPr>
              <w:t xml:space="preserve"> vigencias futuras </w:t>
            </w:r>
            <w:r w:rsidRPr="003C7CCA">
              <w:rPr>
                <w:rFonts w:ascii="Verdana" w:eastAsia="Calibri" w:hAnsi="Verdana" w:cs="Arial"/>
                <w:color w:val="000000" w:themeColor="text1"/>
              </w:rPr>
              <w:t xml:space="preserve">no puede exceder el respectivo período de gobierno, en atención la necesidad de preservar la disciplina fiscal y la planeación responsable del gasto público. No obstante, se establece una excepción frente a esta restricción en el caso de proyectos de inversión que hayan sido previamente declarados de </w:t>
            </w:r>
            <w:r>
              <w:rPr>
                <w:rFonts w:ascii="Verdana" w:eastAsia="Calibri" w:hAnsi="Verdana" w:cs="Arial"/>
                <w:color w:val="000000" w:themeColor="text1"/>
              </w:rPr>
              <w:t>“</w:t>
            </w:r>
            <w:r w:rsidRPr="003C7CCA">
              <w:rPr>
                <w:rFonts w:ascii="Verdana" w:eastAsia="Calibri" w:hAnsi="Verdana" w:cs="Arial"/>
                <w:color w:val="000000" w:themeColor="text1"/>
              </w:rPr>
              <w:t>importancia estratégica</w:t>
            </w:r>
            <w:r>
              <w:rPr>
                <w:rFonts w:ascii="Verdana" w:eastAsia="Calibri" w:hAnsi="Verdana" w:cs="Arial"/>
                <w:color w:val="000000" w:themeColor="text1"/>
              </w:rPr>
              <w:t>”</w:t>
            </w:r>
            <w:r w:rsidRPr="003C7CCA">
              <w:rPr>
                <w:rFonts w:ascii="Verdana" w:eastAsia="Calibri" w:hAnsi="Verdana" w:cs="Arial"/>
                <w:color w:val="000000" w:themeColor="text1"/>
              </w:rPr>
              <w:t xml:space="preserve"> por el CONPES. En estos eventos, y atendiendo a la relevancia y el impacto estructural del proyecto en el desarrollo económico o social, se permite comprometer recursos más allá del período de gobierno, siempre que se cumplan los requisitos legales y se garantice la sostenibilidad fiscal de la iniciativa.</w:t>
            </w:r>
            <w:r>
              <w:rPr>
                <w:rFonts w:ascii="Verdana" w:eastAsia="Calibri" w:hAnsi="Verdana" w:cs="Arial"/>
                <w:color w:val="000000" w:themeColor="text1"/>
              </w:rPr>
              <w:t xml:space="preserve"> Al respecto, la doctrina expresa: “[…] el CONPES deberá utilizar con mucha circunspección esta atribución que le otorga la ley para definir como ‘proyectos estratégicos’ exclusivamente aquellos que realmente lo sean. De lo contrario, el propósito perseguido por la ley, de que una Administración en ejercicio no debe atarle las manos presupuestalmente a la que habrá de sucederla, perdería su razón de ser”. </w:t>
            </w:r>
          </w:p>
          <w:p w14:paraId="440A53AC" w14:textId="77777777" w:rsidR="00BB0CE5" w:rsidRDefault="00BB0CE5" w:rsidP="0043265A">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 xml:space="preserve">Y, </w:t>
            </w:r>
            <w:proofErr w:type="spellStart"/>
            <w:r w:rsidRPr="00D069D8">
              <w:rPr>
                <w:rFonts w:ascii="Verdana" w:eastAsia="Calibri" w:hAnsi="Verdana" w:cs="Arial"/>
                <w:color w:val="000000" w:themeColor="text1"/>
              </w:rPr>
              <w:t>ii</w:t>
            </w:r>
            <w:proofErr w:type="spellEnd"/>
            <w:r w:rsidRPr="00D069D8">
              <w:rPr>
                <w:rFonts w:ascii="Verdana" w:eastAsia="Calibri" w:hAnsi="Verdana" w:cs="Arial"/>
                <w:color w:val="000000" w:themeColor="text1"/>
              </w:rPr>
              <w:t>) las vigencias futuras excepcionales,</w:t>
            </w:r>
            <w:r>
              <w:rPr>
                <w:rFonts w:ascii="Verdana" w:eastAsia="Calibri" w:hAnsi="Verdana" w:cs="Arial"/>
                <w:color w:val="000000" w:themeColor="text1"/>
              </w:rPr>
              <w:t xml:space="preserve"> reguladas en el artículo 11 de la Ley 819 de 2003, dispone que</w:t>
            </w:r>
            <w:r w:rsidRPr="00D069D8">
              <w:rPr>
                <w:rFonts w:ascii="Verdana" w:eastAsia="Calibri" w:hAnsi="Verdana" w:cs="Arial"/>
                <w:color w:val="000000" w:themeColor="text1"/>
              </w:rPr>
              <w:t xml:space="preserve"> en virtud de la cual el </w:t>
            </w:r>
            <w:proofErr w:type="spellStart"/>
            <w:r w:rsidRPr="00D069D8">
              <w:rPr>
                <w:rFonts w:ascii="Verdana" w:eastAsia="Calibri" w:hAnsi="Verdana" w:cs="Arial"/>
                <w:color w:val="000000" w:themeColor="text1"/>
              </w:rPr>
              <w:t>Confis</w:t>
            </w:r>
            <w:proofErr w:type="spellEnd"/>
            <w:r w:rsidRPr="00D069D8">
              <w:rPr>
                <w:rFonts w:ascii="Verdana" w:eastAsia="Calibri" w:hAnsi="Verdana" w:cs="Arial"/>
                <w:color w:val="000000" w:themeColor="text1"/>
              </w:rPr>
              <w:t xml:space="preserve">, en casos excepcionales para las obras de infraestructura, energía, comunicaciones, aeronáutica, defensa y seguridad, así como para las garantías a las concesiones, podrá autorizar que se asuman obligaciones que afecten el presupuesto de vigencias futuras sin apropiación en el presupuesto del año en que se concede la autorización. </w:t>
            </w:r>
            <w:r>
              <w:rPr>
                <w:rFonts w:ascii="Verdana" w:eastAsia="Calibri" w:hAnsi="Verdana" w:cs="Arial"/>
                <w:color w:val="000000" w:themeColor="text1"/>
              </w:rPr>
              <w:t>E</w:t>
            </w:r>
            <w:r w:rsidRPr="003458FC">
              <w:rPr>
                <w:rFonts w:ascii="Verdana" w:eastAsia="Calibri" w:hAnsi="Verdana" w:cs="Arial"/>
                <w:color w:val="000000" w:themeColor="text1"/>
              </w:rPr>
              <w:t>n este contexto, el monto máximo, el plazo y las condiciones de dichas vigencias deben ser coherentes con las metas plurianuales de</w:t>
            </w:r>
            <w:r>
              <w:rPr>
                <w:rFonts w:ascii="Verdana" w:eastAsia="Calibri" w:hAnsi="Verdana" w:cs="Arial"/>
                <w:color w:val="000000" w:themeColor="text1"/>
              </w:rPr>
              <w:t>l Marco Fiscal de Mediano Plazo</w:t>
            </w:r>
            <w:r w:rsidRPr="003458FC">
              <w:rPr>
                <w:rFonts w:ascii="Verdana" w:eastAsia="Calibri" w:hAnsi="Verdana" w:cs="Arial"/>
                <w:color w:val="000000" w:themeColor="text1"/>
              </w:rPr>
              <w:t xml:space="preserve">. Además, existe un control institucional mediante el deber de la Secretaría Ejecutiva del CONFIS de informar periódicamente al Congreso sobre las autorizaciones otorgadas, </w:t>
            </w:r>
            <w:r w:rsidRPr="003458FC">
              <w:rPr>
                <w:rFonts w:ascii="Verdana" w:eastAsia="Calibri" w:hAnsi="Verdana" w:cs="Arial"/>
                <w:color w:val="000000" w:themeColor="text1"/>
              </w:rPr>
              <w:lastRenderedPageBreak/>
              <w:t>lo cual fortalece la transparencia del proceso.</w:t>
            </w:r>
            <w:r>
              <w:rPr>
                <w:rFonts w:ascii="Verdana" w:eastAsia="Calibri" w:hAnsi="Verdana" w:cs="Arial"/>
                <w:color w:val="000000" w:themeColor="text1"/>
              </w:rPr>
              <w:t xml:space="preserve"> </w:t>
            </w:r>
            <w:r w:rsidRPr="003458FC">
              <w:rPr>
                <w:rFonts w:ascii="Verdana" w:eastAsia="Calibri" w:hAnsi="Verdana" w:cs="Arial"/>
                <w:color w:val="000000" w:themeColor="text1"/>
              </w:rPr>
              <w:t>Por otra parte, el régimen contempla una excepción adicional respecto de los contratos de empréstito, en la medida en que estos y sus contrapartidas no requieren autorización del CONFIS para afectar vigencias futuras, dado que se rigen por las normas propias de las operaciones de crédito público</w:t>
            </w:r>
            <w:r>
              <w:rPr>
                <w:rFonts w:ascii="Verdana" w:eastAsia="Calibri" w:hAnsi="Verdana" w:cs="Arial"/>
                <w:color w:val="000000" w:themeColor="text1"/>
              </w:rPr>
              <w:t xml:space="preserve">. </w:t>
            </w:r>
          </w:p>
          <w:p w14:paraId="5B38BF88" w14:textId="77777777" w:rsidR="00BB0CE5" w:rsidRPr="0019064C" w:rsidRDefault="00BB0CE5" w:rsidP="0043265A">
            <w:pPr>
              <w:shd w:val="clear" w:color="auto" w:fill="FFFFFF"/>
              <w:spacing w:after="120" w:line="276" w:lineRule="auto"/>
              <w:ind w:right="51" w:firstLine="709"/>
              <w:jc w:val="both"/>
              <w:rPr>
                <w:rFonts w:ascii="Verdana" w:hAnsi="Verdana" w:cs="Symbol"/>
              </w:rPr>
            </w:pPr>
            <w:r w:rsidRPr="00D069D8">
              <w:rPr>
                <w:rFonts w:ascii="Verdana" w:eastAsia="Calibri" w:hAnsi="Verdana" w:cs="Arial"/>
                <w:color w:val="000000" w:themeColor="text1"/>
              </w:rPr>
              <w:t>Sobre la distinción entre las vigencias futuras ordinarias y las excepcionales el Consejo de Estado señaló que “</w:t>
            </w:r>
            <w:r w:rsidRPr="00D069D8">
              <w:rPr>
                <w:rFonts w:ascii="Verdana" w:hAnsi="Verdana" w:cs="Symbol"/>
              </w:rPr>
              <w:t xml:space="preserve">la diferencia fundamental entre las vigencias futuras ordinarias y las vigencias futuras </w:t>
            </w:r>
            <w:proofErr w:type="gramStart"/>
            <w:r w:rsidRPr="00D069D8">
              <w:rPr>
                <w:rFonts w:ascii="Verdana" w:hAnsi="Verdana" w:cs="Symbol"/>
              </w:rPr>
              <w:t>excepcionales,</w:t>
            </w:r>
            <w:proofErr w:type="gramEnd"/>
            <w:r w:rsidRPr="00D069D8">
              <w:rPr>
                <w:rFonts w:ascii="Verdana" w:hAnsi="Verdana" w:cs="Symbol"/>
              </w:rPr>
              <w:t xml:space="preserve"> radica, esencialmente, en que en las primeras la ejecución se inicia con el presupuesto de la vigencia en curso, mientras que, en las excepcionales, se afecta el presupuesto de vigencias futuras, sin apropiación en el presupuesto del año en que se concede la autorización</w:t>
            </w:r>
            <w:r w:rsidRPr="00D069D8">
              <w:rPr>
                <w:rFonts w:ascii="Verdana" w:eastAsia="Calibri" w:hAnsi="Verdana" w:cs="Arial"/>
              </w:rPr>
              <w:t>”</w:t>
            </w:r>
            <w:r w:rsidRPr="00D069D8">
              <w:rPr>
                <w:rFonts w:ascii="Verdana" w:hAnsi="Verdana" w:cs="Symbol"/>
              </w:rPr>
              <w:t>.</w:t>
            </w:r>
            <w:r>
              <w:rPr>
                <w:rFonts w:ascii="Verdana" w:hAnsi="Verdana" w:cs="Symbol"/>
              </w:rPr>
              <w:t xml:space="preserve"> </w:t>
            </w:r>
          </w:p>
          <w:p w14:paraId="2B189A47" w14:textId="77777777" w:rsidR="00BB0CE5" w:rsidRDefault="00BB0CE5" w:rsidP="0043265A">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De esta manera, en caso de que en la etapa de planeación la entidad evidencie que el contrato a ejecutar exceda la vigencia fiscal correspondiente, deberá atender las previsiones legales sobre las excepciones al principio de anualidad del gasto</w:t>
            </w:r>
            <w:r w:rsidRPr="00D069D8">
              <w:rPr>
                <w:rFonts w:ascii="Verdana" w:eastAsia="Arial" w:hAnsi="Verdana" w:cs="Arial"/>
                <w:bCs/>
              </w:rPr>
              <w:t xml:space="preserve"> y determinar cual resulta aplicable al caso en concreto</w:t>
            </w:r>
            <w:r w:rsidRPr="00D069D8">
              <w:rPr>
                <w:rFonts w:ascii="Verdana" w:eastAsia="Calibri" w:hAnsi="Verdana" w:cs="Arial"/>
                <w:color w:val="000000" w:themeColor="text1"/>
              </w:rPr>
              <w:t xml:space="preserve">. Dichas excepciones deben estar debidamente justificadas, cumplir con los requisitos establecidos por la normativa vigente y seguir los procedimientos correspondientes para su autorizaciones y ejecución, conforme a lo descrito en este concepto.  </w:t>
            </w:r>
          </w:p>
          <w:p w14:paraId="69E34F69" w14:textId="77777777" w:rsidR="00BB0CE5" w:rsidRPr="00374584" w:rsidRDefault="00BB0CE5" w:rsidP="0043265A">
            <w:pPr>
              <w:spacing w:after="120" w:line="276" w:lineRule="auto"/>
              <w:ind w:firstLine="708"/>
              <w:jc w:val="both"/>
              <w:rPr>
                <w:rFonts w:ascii="Verdana" w:eastAsia="Calibri" w:hAnsi="Verdana" w:cs="Arial"/>
                <w:bCs/>
                <w:color w:val="000000" w:themeColor="text1"/>
              </w:rPr>
            </w:pPr>
            <w:r w:rsidRPr="00D069D8">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tc>
      </w:tr>
    </w:tbl>
    <w:p w14:paraId="1C69F016" w14:textId="77777777" w:rsidR="00BB0CE5" w:rsidRPr="00D069D8" w:rsidRDefault="00BB0CE5" w:rsidP="00BB0CE5">
      <w:pPr>
        <w:spacing w:after="0" w:line="276" w:lineRule="auto"/>
        <w:jc w:val="both"/>
        <w:rPr>
          <w:rFonts w:ascii="Verdana" w:eastAsia="Calibri" w:hAnsi="Verdana" w:cs="Arial"/>
          <w:bCs/>
          <w:color w:val="000000" w:themeColor="text1"/>
        </w:rPr>
      </w:pPr>
    </w:p>
    <w:p w14:paraId="272C4294" w14:textId="77777777" w:rsidR="00BB0CE5" w:rsidRPr="00D069D8" w:rsidRDefault="00BB0CE5" w:rsidP="00BB0CE5">
      <w:pPr>
        <w:numPr>
          <w:ilvl w:val="0"/>
          <w:numId w:val="16"/>
        </w:numPr>
        <w:spacing w:after="0" w:line="256" w:lineRule="auto"/>
        <w:rPr>
          <w:rFonts w:ascii="Verdana" w:eastAsia="Calibri" w:hAnsi="Verdana" w:cs="Times New Roman"/>
          <w:b/>
          <w:bCs/>
          <w:lang w:val="es-ES"/>
        </w:rPr>
      </w:pPr>
      <w:r w:rsidRPr="00D069D8">
        <w:rPr>
          <w:rFonts w:ascii="Verdana" w:eastAsia="Calibri" w:hAnsi="Verdana" w:cs="Times New Roman"/>
          <w:b/>
          <w:bCs/>
          <w:lang w:val="es-ES"/>
        </w:rPr>
        <w:t>Razones de la respuesta:</w:t>
      </w:r>
    </w:p>
    <w:p w14:paraId="6802DF49" w14:textId="77777777" w:rsidR="00BB0CE5" w:rsidRPr="00D069D8" w:rsidRDefault="00BB0CE5" w:rsidP="00BB0CE5">
      <w:pPr>
        <w:spacing w:after="0" w:line="276" w:lineRule="auto"/>
        <w:rPr>
          <w:rFonts w:ascii="Verdana" w:eastAsia="Calibri" w:hAnsi="Verdana" w:cs="Times New Roman"/>
          <w:b/>
          <w:bCs/>
          <w:lang w:val="es-ES"/>
        </w:rPr>
      </w:pPr>
    </w:p>
    <w:p w14:paraId="513CE436" w14:textId="77777777" w:rsidR="00BB0CE5" w:rsidRPr="00D069D8" w:rsidRDefault="00BB0CE5" w:rsidP="00BB0CE5">
      <w:pPr>
        <w:shd w:val="clear" w:color="auto" w:fill="FFFFFF" w:themeFill="background1"/>
        <w:spacing w:after="120" w:line="276" w:lineRule="auto"/>
        <w:ind w:right="51"/>
        <w:jc w:val="both"/>
        <w:rPr>
          <w:rFonts w:ascii="Verdana" w:eastAsia="Calibri" w:hAnsi="Verdana" w:cs="Arial"/>
          <w:color w:val="000000" w:themeColor="text1"/>
          <w:lang w:val="es-ES"/>
        </w:rPr>
      </w:pPr>
      <w:r w:rsidRPr="00D069D8">
        <w:rPr>
          <w:rFonts w:ascii="Verdana" w:eastAsia="Calibri" w:hAnsi="Verdana" w:cs="Arial"/>
          <w:color w:val="000000" w:themeColor="text1"/>
          <w:lang w:val="es-ES"/>
        </w:rPr>
        <w:t xml:space="preserve">i. Las entidades estatales deben sujetarse a los principios que rigen el sistema presupuestal, entre los cuales se encuentra el de anualidad del gasto público. </w:t>
      </w:r>
      <w:r w:rsidRPr="00D069D8">
        <w:rPr>
          <w:rFonts w:ascii="Verdana" w:eastAsia="Calibri" w:hAnsi="Verdana" w:cs="Arial"/>
          <w:color w:val="000000" w:themeColor="text1"/>
          <w:lang w:val="es-ES"/>
        </w:rPr>
        <w:lastRenderedPageBreak/>
        <w:t xml:space="preserve">Este principio encuentra fundamento constitucional </w:t>
      </w:r>
      <w:bookmarkStart w:id="1" w:name="_Hlk65717879"/>
      <w:r w:rsidRPr="00D069D8">
        <w:rPr>
          <w:rFonts w:ascii="Verdana" w:eastAsia="Calibri" w:hAnsi="Verdana" w:cs="Arial"/>
          <w:color w:val="000000" w:themeColor="text1"/>
          <w:lang w:val="es-ES"/>
        </w:rPr>
        <w:t>en el artículo 346 superior que contiene el régimen general del presupuesto de rentas y la ley de apropiaciones</w:t>
      </w:r>
      <w:r w:rsidRPr="00D069D8">
        <w:rPr>
          <w:rFonts w:ascii="Verdana" w:eastAsia="Calibri" w:hAnsi="Verdana" w:cs="Arial"/>
          <w:color w:val="000000" w:themeColor="text1"/>
          <w:vertAlign w:val="superscript"/>
          <w:lang w:val="es-ES"/>
        </w:rPr>
        <w:footnoteReference w:id="1"/>
      </w:r>
      <w:r w:rsidRPr="00D069D8">
        <w:rPr>
          <w:rFonts w:ascii="Verdana" w:eastAsia="Calibri" w:hAnsi="Verdana" w:cs="Arial"/>
          <w:color w:val="000000" w:themeColor="text1"/>
          <w:lang w:val="es-ES"/>
        </w:rPr>
        <w:t>, que deberá presentarse al Congreso dentro de los primeros diez días de cada legislatura, elaborarse y aprobarse dentro de un marco de sostenibilidad fiscal y corresponder al Plan Nacional de Desarrollo</w:t>
      </w:r>
      <w:r w:rsidRPr="00D069D8">
        <w:rPr>
          <w:rFonts w:ascii="Verdana" w:eastAsia="Calibri" w:hAnsi="Verdana" w:cs="Arial"/>
          <w:color w:val="000000" w:themeColor="text1"/>
          <w:vertAlign w:val="superscript"/>
          <w:lang w:val="es-ES"/>
        </w:rPr>
        <w:footnoteReference w:id="2"/>
      </w:r>
      <w:r w:rsidRPr="00D069D8">
        <w:rPr>
          <w:rFonts w:ascii="Verdana" w:eastAsia="Calibri" w:hAnsi="Verdana" w:cs="Arial"/>
          <w:color w:val="000000" w:themeColor="text1"/>
          <w:lang w:val="es-ES"/>
        </w:rPr>
        <w:t>. De conformidad con la misma norma constitucional, el presupuesto tiene vigencia anual y, por tanto, tienen como finalidad fijar los gastos y las rentas nacionales del Estado para la respectiva vigencia fiscal anual</w:t>
      </w:r>
      <w:bookmarkEnd w:id="1"/>
      <w:r w:rsidRPr="00D069D8">
        <w:rPr>
          <w:rFonts w:ascii="Verdana" w:eastAsia="Calibri" w:hAnsi="Verdana" w:cs="Arial"/>
          <w:color w:val="000000" w:themeColor="text1"/>
          <w:lang w:val="es-ES"/>
        </w:rPr>
        <w:t xml:space="preserve">. </w:t>
      </w:r>
    </w:p>
    <w:p w14:paraId="280BCCA7" w14:textId="77777777" w:rsidR="00BB0CE5" w:rsidRPr="00D069D8" w:rsidRDefault="00BB0CE5" w:rsidP="00BB0CE5">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color w:val="000000" w:themeColor="text1"/>
          <w:lang w:val="es-ES_tradnl"/>
        </w:rPr>
        <w:t xml:space="preserve">En armonía con lo anterior, el Estatuto Orgánico del Presupuesto consagra este principio en el artículo 14 consistente en que </w:t>
      </w:r>
      <w:r w:rsidRPr="00D069D8">
        <w:rPr>
          <w:rFonts w:ascii="Verdana" w:eastAsia="Calibri" w:hAnsi="Verdana" w:cs="Arial"/>
          <w:lang w:val="es-ES_tradnl"/>
        </w:rPr>
        <w:t>“</w:t>
      </w:r>
      <w:r w:rsidRPr="00D069D8">
        <w:rPr>
          <w:rFonts w:ascii="Verdana" w:eastAsia="Calibri" w:hAnsi="Verdana" w:cs="Arial"/>
          <w:color w:val="000000" w:themeColor="text1"/>
          <w:lang w:val="es-ES_tradnl"/>
        </w:rPr>
        <w:t>Después del 31 de diciembre no podrán asumirse compromisos con cargo a las apropiaciones del año fiscal que se cierra en esa fecha y los saldos de apropiación no afectados por compromisos caducarán sin excepción</w:t>
      </w:r>
      <w:r w:rsidRPr="00D069D8">
        <w:rPr>
          <w:rFonts w:ascii="Verdana" w:eastAsia="Calibri" w:hAnsi="Verdana" w:cs="Arial"/>
          <w:lang w:val="es-ES_tradnl"/>
        </w:rPr>
        <w:t>”</w:t>
      </w:r>
      <w:r w:rsidRPr="00D069D8">
        <w:rPr>
          <w:rFonts w:ascii="Verdana" w:eastAsia="Calibri" w:hAnsi="Verdana" w:cs="Arial"/>
          <w:color w:val="000000" w:themeColor="text1"/>
          <w:lang w:val="es-ES_tradnl"/>
        </w:rPr>
        <w:t>. Es decir, los gastos previstos en el presupuesto anual deben ejecutarse dentro de una vigencia fiscal comprendida entre el 1 de enero y el 31 de diciembre</w:t>
      </w:r>
      <w:r w:rsidRPr="00D069D8">
        <w:rPr>
          <w:rFonts w:ascii="Verdana" w:eastAsia="Calibri" w:hAnsi="Verdana" w:cs="Arial"/>
          <w:color w:val="000000" w:themeColor="text1"/>
          <w:vertAlign w:val="superscript"/>
          <w:lang w:val="es-ES_tradnl"/>
        </w:rPr>
        <w:footnoteReference w:id="3"/>
      </w:r>
      <w:r w:rsidRPr="00D069D8">
        <w:rPr>
          <w:rFonts w:ascii="Verdana" w:eastAsia="Calibri" w:hAnsi="Verdana" w:cs="Arial"/>
          <w:color w:val="000000" w:themeColor="text1"/>
          <w:lang w:val="es-ES_tradnl"/>
        </w:rPr>
        <w:t>.</w:t>
      </w:r>
      <w:r w:rsidRPr="00D069D8">
        <w:rPr>
          <w:rFonts w:ascii="Verdana" w:eastAsia="Calibri" w:hAnsi="Verdana" w:cs="Arial"/>
          <w:color w:val="000000" w:themeColor="text1"/>
        </w:rPr>
        <w:t xml:space="preserve"> En el mismo sentido, </w:t>
      </w:r>
      <w:r w:rsidRPr="00D069D8">
        <w:rPr>
          <w:rFonts w:ascii="Verdana" w:eastAsia="Calibri" w:hAnsi="Verdana" w:cs="Arial"/>
          <w:color w:val="000000" w:themeColor="text1"/>
          <w:lang w:val="es-ES_tradnl"/>
        </w:rPr>
        <w:t xml:space="preserve">el artículo 89 </w:t>
      </w:r>
      <w:r w:rsidRPr="00D069D8">
        <w:rPr>
          <w:rFonts w:ascii="Verdana" w:eastAsia="Calibri" w:hAnsi="Verdana" w:cs="Arial"/>
          <w:i/>
          <w:iCs/>
          <w:color w:val="000000" w:themeColor="text1"/>
          <w:lang w:val="es-ES_tradnl"/>
        </w:rPr>
        <w:lastRenderedPageBreak/>
        <w:t>ibidem</w:t>
      </w:r>
      <w:r w:rsidRPr="00D069D8">
        <w:rPr>
          <w:rFonts w:ascii="Verdana" w:eastAsia="Calibri" w:hAnsi="Verdana" w:cs="Arial"/>
          <w:color w:val="000000" w:themeColor="text1"/>
          <w:lang w:val="es-ES_tradnl"/>
        </w:rPr>
        <w:t xml:space="preserve"> consolida al principio de anualidad como regla general en la ejecución del gasto al establecer que </w:t>
      </w:r>
      <w:r w:rsidRPr="00D069D8">
        <w:rPr>
          <w:rFonts w:ascii="Verdana" w:eastAsia="Calibri" w:hAnsi="Verdana" w:cs="Arial"/>
          <w:lang w:val="es-ES_tradnl"/>
        </w:rPr>
        <w:t>“</w:t>
      </w:r>
      <w:r w:rsidRPr="00D069D8">
        <w:rPr>
          <w:rFonts w:ascii="Verdana" w:eastAsia="Calibri" w:hAnsi="Verdana" w:cs="Arial"/>
          <w:color w:val="000000" w:themeColor="text1"/>
          <w:lang w:val="es-ES_tradnl"/>
        </w:rPr>
        <w:t xml:space="preserve">las apropiaciones presupuestales incluidas en el Presupuesto General de la Nación son autorizaciones máximas de gasto que el Congreso aprueba para ser ejecutadas o comprometidas durante la vigencia fiscal respectiva, por lo que después del 31 de diciembre de cada año estas autorizaciones expiran y, en consecuencia, no podrán comprometerse, adicionarse, transferirse, ni </w:t>
      </w:r>
      <w:proofErr w:type="spellStart"/>
      <w:r w:rsidRPr="00D069D8">
        <w:rPr>
          <w:rFonts w:ascii="Verdana" w:eastAsia="Calibri" w:hAnsi="Verdana" w:cs="Arial"/>
          <w:color w:val="000000" w:themeColor="text1"/>
          <w:lang w:val="es-ES_tradnl"/>
        </w:rPr>
        <w:t>contracreditarse</w:t>
      </w:r>
      <w:proofErr w:type="spellEnd"/>
      <w:r w:rsidRPr="00D069D8">
        <w:rPr>
          <w:rFonts w:ascii="Verdana" w:eastAsia="Calibri" w:hAnsi="Verdana" w:cs="Arial"/>
          <w:lang w:val="es-ES_tradnl"/>
        </w:rPr>
        <w:t xml:space="preserve">”. </w:t>
      </w:r>
    </w:p>
    <w:p w14:paraId="67B6DEC2" w14:textId="77777777" w:rsidR="00BB0CE5" w:rsidRPr="00D069D8" w:rsidRDefault="00BB0CE5" w:rsidP="00BB0CE5">
      <w:pPr>
        <w:shd w:val="clear" w:color="auto" w:fill="FFFFFF"/>
        <w:spacing w:after="120" w:line="276" w:lineRule="auto"/>
        <w:ind w:right="51" w:firstLine="709"/>
        <w:jc w:val="both"/>
        <w:rPr>
          <w:rFonts w:ascii="Verdana" w:eastAsia="Calibri" w:hAnsi="Verdana" w:cs="Arial"/>
          <w:lang w:val="es-ES_tradnl"/>
        </w:rPr>
      </w:pPr>
      <w:r w:rsidRPr="00D069D8">
        <w:rPr>
          <w:rFonts w:ascii="Verdana" w:eastAsia="Calibri" w:hAnsi="Verdana" w:cs="Arial"/>
          <w:lang w:val="es-ES_tradnl"/>
        </w:rPr>
        <w:t>A su turno, el artículo 8 de la Ley 819 de 2003 consagra el principio de anualidad al disponer que “l</w:t>
      </w:r>
      <w:r w:rsidRPr="00D069D8">
        <w:rPr>
          <w:rFonts w:ascii="Verdana" w:eastAsia="Calibri" w:hAnsi="Verdana" w:cs="Arial"/>
        </w:rPr>
        <w:t>a preparación y elaboración del Presupuesto General de la Nación y el de las entidades territoriales, deberá sujetarse a los correspondientes Marcos Fiscales de Mediano Plazo de manera que las apropiaciones presupuestales aprobadas por el Congreso de la República, las Asambleas y los Concejos, puedan ejecutarse en su totalidad durante la vigencia fiscal correspondiente”.</w:t>
      </w:r>
    </w:p>
    <w:p w14:paraId="6D8CAC3D" w14:textId="77777777" w:rsidR="00BB0CE5" w:rsidRPr="00D069D8" w:rsidRDefault="00BB0CE5" w:rsidP="00BB0CE5">
      <w:pPr>
        <w:shd w:val="clear" w:color="auto" w:fill="FFFFFF" w:themeFill="background1"/>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lang w:val="es-ES"/>
        </w:rPr>
        <w:t>En este contexto, la anualidad del gasto es uno de los principios rectores de la actividad contractual pública, conforme al cual las entidades deben planear sus contrataciones de manera que sus compromisos contractuales sean atendidos durante la respectiva vigencia fiscal comprendida entre el 1 de enero y el 31 de diciembre. En este sentido, la regla general es que las entidades estatales solo pueden adquirir compromisos presupuestales que no excedan en su ejecución la vigencia fiscal en la que se suscribe el respectivo contrato.</w:t>
      </w:r>
    </w:p>
    <w:p w14:paraId="48B8925A" w14:textId="77777777" w:rsidR="00BB0CE5" w:rsidRPr="00D069D8" w:rsidRDefault="00BB0CE5" w:rsidP="00BB0CE5">
      <w:pPr>
        <w:shd w:val="clear" w:color="auto" w:fill="FFFFFF"/>
        <w:spacing w:after="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 xml:space="preserve">No obstante, conforme lo ha señalado el Consejo de Estado, el principio de anualidad no es absoluto </w:t>
      </w:r>
      <w:r w:rsidRPr="00D069D8">
        <w:rPr>
          <w:rFonts w:ascii="Verdana" w:eastAsia="Calibri" w:hAnsi="Verdana" w:cs="Arial"/>
          <w:color w:val="000000" w:themeColor="text1"/>
        </w:rPr>
        <w:t xml:space="preserve">en </w:t>
      </w:r>
      <w:r w:rsidRPr="00D069D8">
        <w:rPr>
          <w:rFonts w:ascii="Verdana" w:eastAsia="Calibri" w:hAnsi="Verdana" w:cs="Arial"/>
        </w:rPr>
        <w:t>“</w:t>
      </w:r>
      <w:r w:rsidRPr="00D069D8">
        <w:rPr>
          <w:rFonts w:ascii="Verdana" w:eastAsia="Calibri" w:hAnsi="Verdana" w:cs="Arial"/>
          <w:color w:val="000000" w:themeColor="text1"/>
        </w:rPr>
        <w:t>la medida en que la actividad presupuestal está íntimamente ligada con el principio de planeación, la cual normalmente es efectuada para periodos que superan el año calendario. Esta realidad impone la configuración de mecanismos presupuestales que permitan compatibilizar tales principios”</w:t>
      </w:r>
      <w:r w:rsidRPr="00D069D8">
        <w:rPr>
          <w:rFonts w:ascii="Verdana" w:eastAsia="Calibri" w:hAnsi="Verdana" w:cs="Arial"/>
          <w:vertAlign w:val="superscript"/>
          <w:lang w:val="es-ES_tradnl"/>
        </w:rPr>
        <w:footnoteReference w:id="4"/>
      </w:r>
      <w:r w:rsidRPr="00D069D8">
        <w:rPr>
          <w:rFonts w:ascii="Verdana" w:eastAsia="Calibri" w:hAnsi="Verdana" w:cs="Arial"/>
          <w:lang w:val="es-ES_tradnl"/>
        </w:rPr>
        <w:t>.</w:t>
      </w:r>
      <w:r w:rsidRPr="00D069D8">
        <w:rPr>
          <w:rFonts w:ascii="Verdana" w:eastAsia="Calibri" w:hAnsi="Verdana" w:cs="Arial"/>
          <w:color w:val="000000" w:themeColor="text1"/>
        </w:rPr>
        <w:t xml:space="preserve"> Así mismo, la doctrina expresa:</w:t>
      </w:r>
    </w:p>
    <w:p w14:paraId="6BD359A3" w14:textId="77777777" w:rsidR="00BB0CE5" w:rsidRPr="002C715A" w:rsidRDefault="00BB0CE5" w:rsidP="00BB0CE5">
      <w:pPr>
        <w:shd w:val="clear" w:color="auto" w:fill="FFFFFF"/>
        <w:spacing w:after="0" w:line="240" w:lineRule="auto"/>
        <w:ind w:left="709" w:right="709" w:firstLine="709"/>
        <w:jc w:val="both"/>
        <w:rPr>
          <w:rFonts w:ascii="Verdana" w:eastAsia="Calibri" w:hAnsi="Verdana" w:cs="Arial"/>
          <w:color w:val="000000" w:themeColor="text1"/>
          <w:sz w:val="20"/>
          <w:szCs w:val="20"/>
        </w:rPr>
      </w:pPr>
    </w:p>
    <w:p w14:paraId="2622C557" w14:textId="77777777" w:rsidR="00BB0CE5" w:rsidRPr="002C715A" w:rsidRDefault="00BB0CE5" w:rsidP="00BB0CE5">
      <w:pPr>
        <w:autoSpaceDE w:val="0"/>
        <w:autoSpaceDN w:val="0"/>
        <w:adjustRightInd w:val="0"/>
        <w:spacing w:after="0" w:line="240" w:lineRule="auto"/>
        <w:ind w:left="709" w:right="709"/>
        <w:jc w:val="both"/>
        <w:rPr>
          <w:rFonts w:ascii="Verdana" w:hAnsi="Verdana" w:cs="Times-Roman"/>
          <w:sz w:val="20"/>
          <w:szCs w:val="20"/>
        </w:rPr>
      </w:pPr>
      <w:r w:rsidRPr="002C715A">
        <w:rPr>
          <w:rFonts w:ascii="Verdana" w:hAnsi="Verdana" w:cs="Times-Roman"/>
          <w:sz w:val="20"/>
          <w:szCs w:val="20"/>
        </w:rPr>
        <w:t xml:space="preserve">Varias excepciones se presentan al momento de efectuar el cierre presupuestal, operación realizada al finalizar cada vigencia presupuestal en la cual se analiza la ejecución de las </w:t>
      </w:r>
      <w:proofErr w:type="gramStart"/>
      <w:r w:rsidRPr="002C715A">
        <w:rPr>
          <w:rFonts w:ascii="Verdana" w:hAnsi="Verdana" w:cs="Times-Roman"/>
          <w:sz w:val="20"/>
          <w:szCs w:val="20"/>
        </w:rPr>
        <w:t>partidas</w:t>
      </w:r>
      <w:proofErr w:type="gramEnd"/>
      <w:r w:rsidRPr="002C715A">
        <w:rPr>
          <w:rFonts w:ascii="Verdana" w:hAnsi="Verdana" w:cs="Times-Roman"/>
          <w:sz w:val="20"/>
          <w:szCs w:val="20"/>
        </w:rPr>
        <w:t xml:space="preserve"> así como el estado de las finanzas de la entidad respectiva que puede terminar en un balance de superávit, equilibrado o deficitario.</w:t>
      </w:r>
    </w:p>
    <w:p w14:paraId="1EF96FA7" w14:textId="77777777" w:rsidR="00BB0CE5" w:rsidRPr="002C715A" w:rsidRDefault="00BB0CE5" w:rsidP="00BB0CE5">
      <w:pPr>
        <w:autoSpaceDE w:val="0"/>
        <w:autoSpaceDN w:val="0"/>
        <w:adjustRightInd w:val="0"/>
        <w:spacing w:after="0" w:line="240" w:lineRule="auto"/>
        <w:ind w:left="709" w:right="709"/>
        <w:jc w:val="both"/>
        <w:rPr>
          <w:rFonts w:ascii="Verdana" w:hAnsi="Verdana" w:cs="Times-Roman"/>
          <w:sz w:val="20"/>
          <w:szCs w:val="20"/>
        </w:rPr>
      </w:pPr>
      <w:r w:rsidRPr="002C715A">
        <w:rPr>
          <w:rFonts w:ascii="Verdana" w:hAnsi="Verdana" w:cs="Times-Roman"/>
          <w:sz w:val="20"/>
          <w:szCs w:val="20"/>
        </w:rPr>
        <w:lastRenderedPageBreak/>
        <w:t>Según el principio de anualidad del presupuesto y en desarrollo del principio de eficacia de la Administración Pública contenido en el artículo 209 C.P., tenemos que el resultado que debería aparecer al cierre fiscal es que las partidas presupuestales que fueron aprobadas por la ley de presupuesto fueron debidamente comprometidas y canceladas.</w:t>
      </w:r>
    </w:p>
    <w:p w14:paraId="623D135C" w14:textId="77777777" w:rsidR="00BB0CE5" w:rsidRPr="002C715A" w:rsidRDefault="00BB0CE5" w:rsidP="00BB0CE5">
      <w:pPr>
        <w:autoSpaceDE w:val="0"/>
        <w:autoSpaceDN w:val="0"/>
        <w:adjustRightInd w:val="0"/>
        <w:spacing w:after="0" w:line="240" w:lineRule="auto"/>
        <w:ind w:left="709" w:right="709"/>
        <w:jc w:val="both"/>
        <w:rPr>
          <w:rFonts w:ascii="Verdana" w:hAnsi="Verdana" w:cs="Times-Roman"/>
          <w:sz w:val="20"/>
          <w:szCs w:val="20"/>
        </w:rPr>
      </w:pPr>
      <w:r w:rsidRPr="002C715A">
        <w:rPr>
          <w:rFonts w:ascii="Verdana" w:hAnsi="Verdana" w:cs="Times-Roman"/>
          <w:sz w:val="20"/>
          <w:szCs w:val="20"/>
        </w:rPr>
        <w:t>Sin embargo, en la práctica presupuestal muchas veces no es posible cancelar una partida dentro de su respectiva vigencia presupuestal. Piénsese a guisa de ejemplo en un contrato de construcción de una carretera que se termina por fuera del tiempo inicialmente convenido (</w:t>
      </w:r>
      <w:r w:rsidRPr="002C715A">
        <w:rPr>
          <w:rFonts w:ascii="Verdana" w:hAnsi="Verdana" w:cs="Times-Italic"/>
          <w:i/>
          <w:iCs/>
          <w:sz w:val="20"/>
          <w:szCs w:val="20"/>
        </w:rPr>
        <w:t>v.gr</w:t>
      </w:r>
      <w:r w:rsidRPr="002C715A">
        <w:rPr>
          <w:rFonts w:ascii="Verdana" w:hAnsi="Verdana" w:cs="Times-Roman"/>
          <w:sz w:val="20"/>
          <w:szCs w:val="20"/>
        </w:rPr>
        <w:t>. el 25 diciembre de 2004), porque las condiciones climáticas impidieron la ejecución de este durante dos o tres meses, y habrá de entregarse la obra terminada por fuera de la vigencia presupuestal en que fue aprobada la partida.</w:t>
      </w:r>
      <w:r w:rsidRPr="002C715A">
        <w:rPr>
          <w:rFonts w:ascii="Times-Roman" w:hAnsi="Times-Roman" w:cs="Times-Roman"/>
          <w:sz w:val="20"/>
          <w:szCs w:val="20"/>
        </w:rPr>
        <w:t xml:space="preserve"> </w:t>
      </w:r>
      <w:r w:rsidRPr="002C715A">
        <w:rPr>
          <w:rFonts w:ascii="Verdana" w:hAnsi="Verdana" w:cs="Times-Roman"/>
          <w:sz w:val="20"/>
          <w:szCs w:val="20"/>
        </w:rPr>
        <w:t>El contrato por la prórroga o suspensión, según fuere el caso, habría de extenderse hasta el 30 de marzo, razón por la cual no podrá la administración cancelar la obligación correspondiente en la vigencia presupuestal originaria sino en la que se entregó la obra completamente ejecutada.</w:t>
      </w:r>
    </w:p>
    <w:p w14:paraId="5C1CAB61" w14:textId="77777777" w:rsidR="00BB0CE5" w:rsidRPr="002C715A" w:rsidRDefault="00BB0CE5" w:rsidP="00BB0CE5">
      <w:pPr>
        <w:autoSpaceDE w:val="0"/>
        <w:autoSpaceDN w:val="0"/>
        <w:adjustRightInd w:val="0"/>
        <w:spacing w:after="0" w:line="240" w:lineRule="auto"/>
        <w:ind w:left="709" w:right="709"/>
        <w:jc w:val="both"/>
        <w:rPr>
          <w:rFonts w:ascii="Verdana" w:hAnsi="Verdana" w:cs="Times-Roman"/>
          <w:sz w:val="20"/>
          <w:szCs w:val="20"/>
        </w:rPr>
      </w:pPr>
      <w:r w:rsidRPr="002C715A">
        <w:rPr>
          <w:rFonts w:ascii="Verdana" w:hAnsi="Verdana" w:cs="Times-Roman"/>
          <w:sz w:val="20"/>
          <w:szCs w:val="20"/>
        </w:rPr>
        <w:t>Por este tipo de circunstancias surgen las excepciones al principio de anualidad, como son: las reservas de apropiación (</w:t>
      </w:r>
      <w:proofErr w:type="spellStart"/>
      <w:r w:rsidRPr="002C715A">
        <w:rPr>
          <w:rFonts w:ascii="Verdana" w:hAnsi="Verdana" w:cs="Times-Roman"/>
          <w:sz w:val="20"/>
          <w:szCs w:val="20"/>
        </w:rPr>
        <w:t>ra</w:t>
      </w:r>
      <w:proofErr w:type="spellEnd"/>
      <w:r w:rsidRPr="002C715A">
        <w:rPr>
          <w:rFonts w:ascii="Verdana" w:hAnsi="Verdana" w:cs="Times-Roman"/>
          <w:sz w:val="20"/>
          <w:szCs w:val="20"/>
        </w:rPr>
        <w:t>), las reservas de trámite negocial (</w:t>
      </w:r>
      <w:proofErr w:type="spellStart"/>
      <w:r w:rsidRPr="002C715A">
        <w:rPr>
          <w:rFonts w:ascii="Verdana" w:hAnsi="Verdana" w:cs="Times-Roman"/>
          <w:sz w:val="20"/>
          <w:szCs w:val="20"/>
        </w:rPr>
        <w:t>rtn</w:t>
      </w:r>
      <w:proofErr w:type="spellEnd"/>
      <w:r w:rsidRPr="002C715A">
        <w:rPr>
          <w:rFonts w:ascii="Verdana" w:hAnsi="Verdana" w:cs="Times-Roman"/>
          <w:sz w:val="20"/>
          <w:szCs w:val="20"/>
        </w:rPr>
        <w:t>), los pasivos exigibles por vigencias expiradas (</w:t>
      </w:r>
      <w:proofErr w:type="spellStart"/>
      <w:r w:rsidRPr="002C715A">
        <w:rPr>
          <w:rFonts w:ascii="Verdana" w:hAnsi="Verdana" w:cs="Times-Roman"/>
          <w:sz w:val="20"/>
          <w:szCs w:val="20"/>
        </w:rPr>
        <w:t>peve</w:t>
      </w:r>
      <w:proofErr w:type="spellEnd"/>
      <w:r w:rsidRPr="002C715A">
        <w:rPr>
          <w:rFonts w:ascii="Verdana" w:hAnsi="Verdana" w:cs="Times-Roman"/>
          <w:sz w:val="20"/>
          <w:szCs w:val="20"/>
        </w:rPr>
        <w:t>) y las vigencias futuras (</w:t>
      </w:r>
      <w:proofErr w:type="spellStart"/>
      <w:r w:rsidRPr="002C715A">
        <w:rPr>
          <w:rFonts w:ascii="Verdana" w:hAnsi="Verdana" w:cs="Times-Roman"/>
          <w:sz w:val="20"/>
          <w:szCs w:val="20"/>
        </w:rPr>
        <w:t>vf</w:t>
      </w:r>
      <w:proofErr w:type="spellEnd"/>
      <w:r w:rsidRPr="002C715A">
        <w:rPr>
          <w:rFonts w:ascii="Verdana" w:hAnsi="Verdana" w:cs="Times-Roman"/>
          <w:sz w:val="20"/>
          <w:szCs w:val="20"/>
        </w:rPr>
        <w:t>), esta última figura puede presentarse tanto de forma ordinaria como excepcionales. Es de resaltar que aun cuando las vigencias futuras son una excepción al principio de anualidad, esta no aparece en el proceso de cierre presupuestal, sino que tiene su origen en el proceso de aprobación del presupuesto y tiene implicaciones para el debido perfeccionamiento o ejecución del contrato</w:t>
      </w:r>
      <w:r w:rsidRPr="002C715A">
        <w:rPr>
          <w:rFonts w:ascii="Verdana" w:hAnsi="Verdana" w:cs="Times-Roman"/>
          <w:sz w:val="20"/>
          <w:szCs w:val="20"/>
          <w:vertAlign w:val="superscript"/>
        </w:rPr>
        <w:footnoteReference w:id="5"/>
      </w:r>
      <w:r w:rsidRPr="002C715A">
        <w:rPr>
          <w:rFonts w:ascii="Verdana" w:hAnsi="Verdana" w:cs="Times-Roman"/>
          <w:sz w:val="20"/>
          <w:szCs w:val="20"/>
        </w:rPr>
        <w:t>.</w:t>
      </w:r>
    </w:p>
    <w:p w14:paraId="52E784D9" w14:textId="77777777" w:rsidR="00BB0CE5" w:rsidRPr="00D069D8" w:rsidRDefault="00BB0CE5" w:rsidP="00BB0CE5">
      <w:pPr>
        <w:autoSpaceDE w:val="0"/>
        <w:autoSpaceDN w:val="0"/>
        <w:adjustRightInd w:val="0"/>
        <w:spacing w:after="0" w:line="240" w:lineRule="auto"/>
        <w:jc w:val="both"/>
        <w:rPr>
          <w:rFonts w:ascii="Verdana" w:hAnsi="Verdana" w:cs="Times-Roman"/>
          <w:sz w:val="21"/>
          <w:szCs w:val="21"/>
        </w:rPr>
      </w:pPr>
    </w:p>
    <w:p w14:paraId="16E06628" w14:textId="77777777" w:rsidR="00BB0CE5" w:rsidRPr="00C54CF0" w:rsidRDefault="00BB0CE5" w:rsidP="00BB0CE5">
      <w:pPr>
        <w:pStyle w:val="Sinespaciado"/>
        <w:spacing w:line="276" w:lineRule="auto"/>
        <w:ind w:firstLine="708"/>
        <w:jc w:val="both"/>
        <w:rPr>
          <w:rFonts w:ascii="Verdana" w:eastAsia="Verdana" w:hAnsi="Verdana" w:cs="Verdana"/>
          <w:sz w:val="22"/>
          <w:lang w:val="es-CO"/>
        </w:rPr>
      </w:pPr>
      <w:r>
        <w:rPr>
          <w:rFonts w:ascii="Verdana" w:eastAsia="Verdana" w:hAnsi="Verdana" w:cs="Verdana"/>
          <w:sz w:val="22"/>
          <w:lang w:val="es-CO"/>
        </w:rPr>
        <w:t>P</w:t>
      </w:r>
      <w:r w:rsidRPr="00C54CF0">
        <w:rPr>
          <w:rFonts w:ascii="Verdana" w:eastAsia="Verdana" w:hAnsi="Verdana" w:cs="Verdana"/>
          <w:sz w:val="22"/>
          <w:lang w:val="es-CO"/>
        </w:rPr>
        <w:t xml:space="preserve">uede concluirse </w:t>
      </w:r>
      <w:r>
        <w:rPr>
          <w:rFonts w:ascii="Verdana" w:eastAsia="Verdana" w:hAnsi="Verdana" w:cs="Verdana"/>
          <w:sz w:val="22"/>
          <w:lang w:val="es-CO"/>
        </w:rPr>
        <w:t xml:space="preserve">entonces </w:t>
      </w:r>
      <w:r w:rsidRPr="00C54CF0">
        <w:rPr>
          <w:rFonts w:ascii="Verdana" w:eastAsia="Verdana" w:hAnsi="Verdana" w:cs="Verdana"/>
          <w:sz w:val="22"/>
          <w:lang w:val="es-CO"/>
        </w:rPr>
        <w:t>que</w:t>
      </w:r>
      <w:r>
        <w:rPr>
          <w:rFonts w:ascii="Verdana" w:eastAsia="Verdana" w:hAnsi="Verdana" w:cs="Verdana"/>
          <w:sz w:val="22"/>
          <w:lang w:val="es-CO"/>
        </w:rPr>
        <w:t>,</w:t>
      </w:r>
      <w:r w:rsidRPr="00C54CF0">
        <w:rPr>
          <w:rFonts w:ascii="Verdana" w:eastAsia="Verdana" w:hAnsi="Verdana" w:cs="Verdana"/>
          <w:sz w:val="22"/>
          <w:lang w:val="es-CO"/>
        </w:rPr>
        <w:t xml:space="preserve"> el principio de anualidad presupuestal, lejos de constituir una regla rígida e inflexible, debe interpretarse de manera sistemática con los principios de planeación, eficacia y continuidad de la función administrativa, de forma que permita a las entidades estatales garantizar la adecuada ejecución de los proyectos y contratos públicos cuya materialización necesariamente trasciende una vigencia fiscal. Así, las figuras presupuestales previstas por el ordenamiento —tales como las reservas, los pasivos exigibles por vigencias expiradas y, especialmente, las vigencias futuras— no configuran una ruptura del principio de anualidad, sino instrumentos legítimos para armonizar la disciplina fiscal con la satisfacción oportuna del interés general, </w:t>
      </w:r>
      <w:r w:rsidRPr="00C54CF0">
        <w:rPr>
          <w:rFonts w:ascii="Verdana" w:eastAsia="Verdana" w:hAnsi="Verdana" w:cs="Verdana"/>
          <w:sz w:val="22"/>
          <w:lang w:val="es-CO"/>
        </w:rPr>
        <w:lastRenderedPageBreak/>
        <w:t>asegurando la coherencia entre programación, compromiso y ejecución del gasto público en el marco de la gestión contractual del Estado.</w:t>
      </w:r>
    </w:p>
    <w:p w14:paraId="39BBC088" w14:textId="77777777" w:rsidR="00BB0CE5" w:rsidRDefault="00BB0CE5" w:rsidP="00BB0CE5">
      <w:pPr>
        <w:shd w:val="clear" w:color="auto" w:fill="FFFFFF"/>
        <w:spacing w:after="0" w:line="276" w:lineRule="auto"/>
        <w:ind w:right="51"/>
        <w:jc w:val="both"/>
        <w:rPr>
          <w:rFonts w:ascii="Verdana" w:eastAsia="Calibri" w:hAnsi="Verdana" w:cs="Arial"/>
          <w:color w:val="000000" w:themeColor="text1"/>
          <w:lang w:val="es-ES_tradnl"/>
        </w:rPr>
      </w:pPr>
    </w:p>
    <w:p w14:paraId="72D5FD7E" w14:textId="77777777" w:rsidR="00BB0CE5" w:rsidRPr="00D069D8" w:rsidRDefault="00BB0CE5" w:rsidP="00BB0CE5">
      <w:pPr>
        <w:shd w:val="clear" w:color="auto" w:fill="FFFFFF"/>
        <w:spacing w:after="120" w:line="276" w:lineRule="auto"/>
        <w:ind w:right="51"/>
        <w:jc w:val="both"/>
        <w:rPr>
          <w:rFonts w:ascii="Verdana" w:eastAsia="Calibri" w:hAnsi="Verdana" w:cs="Arial"/>
          <w:lang w:val="es-ES_tradnl"/>
        </w:rPr>
      </w:pPr>
      <w:proofErr w:type="spellStart"/>
      <w:r>
        <w:rPr>
          <w:rFonts w:ascii="Verdana" w:eastAsia="Calibri" w:hAnsi="Verdana" w:cs="Arial"/>
          <w:color w:val="000000" w:themeColor="text1"/>
          <w:lang w:val="es-ES_tradnl"/>
        </w:rPr>
        <w:t>iii</w:t>
      </w:r>
      <w:proofErr w:type="spellEnd"/>
      <w:r>
        <w:rPr>
          <w:rFonts w:ascii="Verdana" w:eastAsia="Calibri" w:hAnsi="Verdana" w:cs="Arial"/>
          <w:color w:val="000000" w:themeColor="text1"/>
          <w:lang w:val="es-ES_tradnl"/>
        </w:rPr>
        <w:t xml:space="preserve">. </w:t>
      </w:r>
      <w:r w:rsidRPr="00D069D8">
        <w:rPr>
          <w:rFonts w:ascii="Verdana" w:eastAsia="Calibri" w:hAnsi="Verdana" w:cs="Arial"/>
          <w:color w:val="000000" w:themeColor="text1"/>
          <w:lang w:val="es-ES_tradnl"/>
        </w:rPr>
        <w:t xml:space="preserve">Dentro de los mecanismos presupuestales que constituyen excepciones al principio de anualidad se identifican: i) las vigencias futuras, </w:t>
      </w:r>
      <w:proofErr w:type="spellStart"/>
      <w:r w:rsidRPr="00D069D8">
        <w:rPr>
          <w:rFonts w:ascii="Verdana" w:eastAsia="Calibri" w:hAnsi="Verdana" w:cs="Arial"/>
          <w:color w:val="000000" w:themeColor="text1"/>
          <w:lang w:val="es-ES_tradnl"/>
        </w:rPr>
        <w:t>ii</w:t>
      </w:r>
      <w:proofErr w:type="spellEnd"/>
      <w:r w:rsidRPr="00D069D8">
        <w:rPr>
          <w:rFonts w:ascii="Verdana" w:eastAsia="Calibri" w:hAnsi="Verdana" w:cs="Arial"/>
          <w:color w:val="000000" w:themeColor="text1"/>
          <w:lang w:val="es-ES_tradnl"/>
        </w:rPr>
        <w:t xml:space="preserve">) las cuentas por pagar y </w:t>
      </w:r>
      <w:proofErr w:type="spellStart"/>
      <w:r w:rsidRPr="00D069D8">
        <w:rPr>
          <w:rFonts w:ascii="Verdana" w:eastAsia="Calibri" w:hAnsi="Verdana" w:cs="Arial"/>
          <w:color w:val="000000" w:themeColor="text1"/>
          <w:lang w:val="es-ES_tradnl"/>
        </w:rPr>
        <w:t>iii</w:t>
      </w:r>
      <w:proofErr w:type="spellEnd"/>
      <w:r w:rsidRPr="00D069D8">
        <w:rPr>
          <w:rFonts w:ascii="Verdana" w:eastAsia="Calibri" w:hAnsi="Verdana" w:cs="Arial"/>
          <w:color w:val="000000" w:themeColor="text1"/>
          <w:lang w:val="es-ES_tradnl"/>
        </w:rPr>
        <w:t xml:space="preserve">) las reservas presupuestales. Las </w:t>
      </w:r>
      <w:r w:rsidRPr="00D069D8">
        <w:rPr>
          <w:rFonts w:ascii="Verdana" w:eastAsia="Calibri" w:hAnsi="Verdana" w:cs="Arial"/>
          <w:i/>
          <w:iCs/>
          <w:color w:val="000000" w:themeColor="text1"/>
          <w:lang w:val="es-ES_tradnl"/>
        </w:rPr>
        <w:t>primeras</w:t>
      </w:r>
      <w:r w:rsidRPr="00D069D8">
        <w:rPr>
          <w:rFonts w:ascii="Verdana" w:eastAsia="Calibri" w:hAnsi="Verdana" w:cs="Arial"/>
          <w:color w:val="000000" w:themeColor="text1"/>
          <w:lang w:val="es-ES_tradnl"/>
        </w:rPr>
        <w:t>, de conformidad con el artículo 23 del Estatuto Orgánico del Presupuesto</w:t>
      </w:r>
      <w:r w:rsidRPr="00D069D8">
        <w:rPr>
          <w:rFonts w:ascii="Verdana" w:eastAsia="Calibri" w:hAnsi="Verdana" w:cs="Arial"/>
          <w:color w:val="000000" w:themeColor="text1"/>
          <w:vertAlign w:val="superscript"/>
          <w:lang w:val="es-ES_tradnl"/>
        </w:rPr>
        <w:footnoteReference w:id="6"/>
      </w:r>
      <w:r w:rsidRPr="00D069D8">
        <w:rPr>
          <w:rFonts w:ascii="Verdana" w:eastAsia="Calibri" w:hAnsi="Verdana" w:cs="Arial"/>
          <w:i/>
          <w:iCs/>
          <w:color w:val="000000" w:themeColor="text1"/>
          <w:lang w:val="es-ES_tradnl"/>
        </w:rPr>
        <w:t xml:space="preserve">, </w:t>
      </w:r>
      <w:r w:rsidRPr="00D069D8">
        <w:rPr>
          <w:rFonts w:ascii="Verdana" w:eastAsia="Calibri" w:hAnsi="Verdana" w:cs="Arial"/>
          <w:color w:val="000000" w:themeColor="text1"/>
          <w:lang w:val="es-ES_tradnl"/>
        </w:rPr>
        <w:t>se</w:t>
      </w:r>
      <w:r w:rsidRPr="00D069D8">
        <w:rPr>
          <w:rFonts w:ascii="Verdana" w:eastAsia="Calibri" w:hAnsi="Verdana" w:cs="Arial"/>
          <w:i/>
          <w:iCs/>
          <w:color w:val="000000" w:themeColor="text1"/>
          <w:lang w:val="es-ES_tradnl"/>
        </w:rPr>
        <w:t xml:space="preserve"> </w:t>
      </w:r>
      <w:r w:rsidRPr="00D069D8">
        <w:rPr>
          <w:rFonts w:ascii="Verdana" w:eastAsia="Calibri" w:hAnsi="Verdana" w:cs="Arial"/>
          <w:color w:val="000000" w:themeColor="text1"/>
          <w:lang w:val="es-ES_tradnl"/>
        </w:rPr>
        <w:t xml:space="preserve">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Sobre esta institución el Consejo de Estado precisó que </w:t>
      </w:r>
      <w:r w:rsidRPr="00D069D8">
        <w:rPr>
          <w:rFonts w:ascii="Verdana" w:eastAsia="Calibri" w:hAnsi="Verdana" w:cs="Arial"/>
          <w:lang w:val="es-ES_tradnl"/>
        </w:rPr>
        <w:t>“</w:t>
      </w:r>
      <w:r w:rsidRPr="00D069D8">
        <w:rPr>
          <w:rFonts w:ascii="Verdana" w:eastAsia="Calibri" w:hAnsi="Verdana" w:cs="Arial"/>
          <w:color w:val="000000" w:themeColor="text1"/>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r w:rsidRPr="00D069D8">
        <w:rPr>
          <w:rFonts w:ascii="Verdana" w:eastAsia="Calibri" w:hAnsi="Verdana" w:cs="Arial"/>
        </w:rPr>
        <w:t>”</w:t>
      </w:r>
      <w:r w:rsidRPr="00D069D8">
        <w:rPr>
          <w:rFonts w:ascii="Verdana" w:eastAsia="Calibri" w:hAnsi="Verdana" w:cs="Arial"/>
          <w:vertAlign w:val="superscript"/>
          <w:lang w:val="es-ES_tradnl"/>
        </w:rPr>
        <w:footnoteReference w:id="7"/>
      </w:r>
      <w:r w:rsidRPr="00D069D8">
        <w:rPr>
          <w:rFonts w:ascii="Verdana" w:eastAsia="Calibri" w:hAnsi="Verdana" w:cs="Arial"/>
          <w:lang w:val="es-ES_tradnl"/>
        </w:rPr>
        <w:t xml:space="preserve">. </w:t>
      </w:r>
    </w:p>
    <w:p w14:paraId="166AADAF" w14:textId="77777777" w:rsidR="00BB0CE5" w:rsidRDefault="00BB0CE5" w:rsidP="00BB0CE5">
      <w:pPr>
        <w:shd w:val="clear" w:color="auto" w:fill="FFFFFF"/>
        <w:spacing w:after="120" w:line="276" w:lineRule="auto"/>
        <w:ind w:right="51" w:firstLine="709"/>
        <w:jc w:val="both"/>
        <w:rPr>
          <w:rFonts w:ascii="Segoe UI" w:eastAsia="Times New Roman" w:hAnsi="Segoe UI" w:cs="Segoe UI"/>
          <w:sz w:val="21"/>
          <w:szCs w:val="21"/>
        </w:rPr>
      </w:pPr>
      <w:r>
        <w:rPr>
          <w:rFonts w:ascii="Verdana" w:eastAsia="Calibri" w:hAnsi="Verdana" w:cs="Arial"/>
          <w:color w:val="000000" w:themeColor="text1"/>
        </w:rPr>
        <w:t>La Ley 819</w:t>
      </w:r>
      <w:r w:rsidRPr="00D069D8">
        <w:rPr>
          <w:rFonts w:ascii="Verdana" w:eastAsia="Calibri" w:hAnsi="Verdana" w:cs="Arial"/>
          <w:color w:val="000000" w:themeColor="text1"/>
        </w:rPr>
        <w:t xml:space="preserve"> de 2003 </w:t>
      </w:r>
      <w:r>
        <w:rPr>
          <w:rFonts w:ascii="Verdana" w:eastAsia="Calibri" w:hAnsi="Verdana" w:cs="Arial"/>
          <w:color w:val="000000" w:themeColor="text1"/>
        </w:rPr>
        <w:t xml:space="preserve">establece </w:t>
      </w:r>
      <w:r w:rsidRPr="00D069D8">
        <w:rPr>
          <w:rFonts w:ascii="Verdana" w:eastAsia="Calibri" w:hAnsi="Verdana" w:cs="Arial"/>
          <w:color w:val="000000" w:themeColor="text1"/>
        </w:rPr>
        <w:t>dos tipos de vigencias futuras: i) las vigencias futuras ordinarias,</w:t>
      </w:r>
      <w:r>
        <w:rPr>
          <w:rFonts w:ascii="Verdana" w:eastAsia="Calibri" w:hAnsi="Verdana" w:cs="Arial"/>
          <w:color w:val="000000" w:themeColor="text1"/>
        </w:rPr>
        <w:t xml:space="preserve"> regulada en el artículo 10 de la Ley 819 de 2003</w:t>
      </w:r>
      <w:r>
        <w:rPr>
          <w:rStyle w:val="Refdenotaalpie"/>
          <w:rFonts w:ascii="Verdana" w:eastAsia="Calibri" w:hAnsi="Verdana" w:cs="Arial"/>
          <w:color w:val="000000" w:themeColor="text1"/>
        </w:rPr>
        <w:footnoteReference w:id="8"/>
      </w:r>
      <w:r>
        <w:rPr>
          <w:rFonts w:ascii="Verdana" w:eastAsia="Calibri" w:hAnsi="Verdana" w:cs="Arial"/>
          <w:color w:val="000000" w:themeColor="text1"/>
        </w:rPr>
        <w:t>,</w:t>
      </w:r>
      <w:r w:rsidRPr="00D069D8">
        <w:rPr>
          <w:rFonts w:ascii="Verdana" w:eastAsia="Calibri" w:hAnsi="Verdana" w:cs="Arial"/>
          <w:color w:val="000000" w:themeColor="text1"/>
        </w:rPr>
        <w:t xml:space="preserve"> </w:t>
      </w:r>
      <w:r w:rsidRPr="00D069D8">
        <w:rPr>
          <w:rFonts w:ascii="Verdana" w:eastAsia="Calibri" w:hAnsi="Verdana" w:cs="Arial"/>
          <w:color w:val="000000" w:themeColor="text1"/>
        </w:rPr>
        <w:lastRenderedPageBreak/>
        <w:t xml:space="preserve">según la cual el Consejo Superior de Política Fiscal – </w:t>
      </w:r>
      <w:proofErr w:type="spellStart"/>
      <w:r w:rsidRPr="00D069D8">
        <w:rPr>
          <w:rFonts w:ascii="Verdana" w:eastAsia="Calibri" w:hAnsi="Verdana" w:cs="Arial"/>
          <w:color w:val="000000" w:themeColor="text1"/>
        </w:rPr>
        <w:t>Confis</w:t>
      </w:r>
      <w:proofErr w:type="spellEnd"/>
      <w:r w:rsidRPr="00D069D8">
        <w:rPr>
          <w:rFonts w:ascii="Verdana" w:eastAsia="Calibri" w:hAnsi="Verdana" w:cs="Arial"/>
          <w:color w:val="000000" w:themeColor="text1"/>
        </w:rPr>
        <w:t>,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w:t>
      </w:r>
      <w:r w:rsidRPr="0019064C">
        <w:rPr>
          <w:rFonts w:ascii="Segoe UI" w:eastAsia="Times New Roman" w:hAnsi="Segoe UI" w:cs="Segoe UI"/>
          <w:sz w:val="21"/>
          <w:szCs w:val="21"/>
        </w:rPr>
        <w:t xml:space="preserve"> </w:t>
      </w:r>
    </w:p>
    <w:p w14:paraId="1595BD10" w14:textId="77777777" w:rsidR="00BB0CE5" w:rsidRDefault="00BB0CE5" w:rsidP="00BB0CE5">
      <w:pPr>
        <w:shd w:val="clear" w:color="auto" w:fill="FFFFFF"/>
        <w:spacing w:after="120" w:line="276" w:lineRule="auto"/>
        <w:ind w:right="51" w:firstLine="709"/>
        <w:jc w:val="both"/>
        <w:rPr>
          <w:rFonts w:ascii="Verdana" w:eastAsia="Calibri" w:hAnsi="Verdana" w:cs="Arial"/>
          <w:color w:val="000000" w:themeColor="text1"/>
        </w:rPr>
      </w:pPr>
      <w:r w:rsidRPr="0019064C">
        <w:rPr>
          <w:rFonts w:ascii="Verdana" w:eastAsia="Calibri" w:hAnsi="Verdana" w:cs="Arial"/>
          <w:color w:val="000000" w:themeColor="text1"/>
        </w:rPr>
        <w:t>Los requisitos para la autorización de vigencias futuras comprenden, en primer lugar, que el monto máximo, el plazo y sus condiciones deben estar acordes con las metas plurianuales definidas en el Marco Fiscal de Mediano Plazo, garantizando así la consistencia con la sostenibilidad fiscal. En segundo lugar, se exige que al momento de solicitar dichas vigencias se cuente, como mínimo, con una apropiación equivalente al quince por ciento (15%) del valor total en la vigencia fiscal en la que se otorga la autorización, como respaldo inicial del compromiso.</w:t>
      </w:r>
      <w:r>
        <w:rPr>
          <w:rFonts w:ascii="Verdana" w:eastAsia="Calibri" w:hAnsi="Verdana" w:cs="Arial"/>
          <w:color w:val="000000" w:themeColor="text1"/>
        </w:rPr>
        <w:t xml:space="preserve"> </w:t>
      </w:r>
      <w:r w:rsidRPr="0019064C">
        <w:rPr>
          <w:rFonts w:ascii="Verdana" w:eastAsia="Calibri" w:hAnsi="Verdana" w:cs="Arial"/>
          <w:color w:val="000000" w:themeColor="text1"/>
        </w:rPr>
        <w:t>Adicionalmente, cuando se trate de proyectos de inversión del orden nacional, será indispensable obtener un concepto favorable</w:t>
      </w:r>
      <w:r>
        <w:rPr>
          <w:rFonts w:ascii="Verdana" w:eastAsia="Calibri" w:hAnsi="Verdana" w:cs="Arial"/>
          <w:color w:val="000000" w:themeColor="text1"/>
        </w:rPr>
        <w:t xml:space="preserve"> previo</w:t>
      </w:r>
      <w:r w:rsidRPr="0019064C">
        <w:rPr>
          <w:rFonts w:ascii="Verdana" w:eastAsia="Calibri" w:hAnsi="Verdana" w:cs="Arial"/>
          <w:color w:val="000000" w:themeColor="text1"/>
        </w:rPr>
        <w:t xml:space="preserve"> tanto del Departamento Nacional de Planeación como del ministerio del sector correspondiente, con el fin de asegurar la viabilidad técnica, económica y sectorial de la iniciativa.</w:t>
      </w:r>
    </w:p>
    <w:p w14:paraId="2C82C1EA" w14:textId="77777777" w:rsidR="00BB0CE5" w:rsidRPr="003C7CCA" w:rsidRDefault="00BB0CE5" w:rsidP="00BB0CE5">
      <w:pPr>
        <w:shd w:val="clear" w:color="auto" w:fill="FFFFFF"/>
        <w:spacing w:after="120" w:line="276" w:lineRule="auto"/>
        <w:ind w:right="51" w:firstLine="709"/>
        <w:jc w:val="both"/>
        <w:rPr>
          <w:rFonts w:ascii="Verdana" w:eastAsia="Calibri" w:hAnsi="Verdana" w:cs="Arial"/>
          <w:color w:val="000000" w:themeColor="text1"/>
        </w:rPr>
      </w:pPr>
      <w:r>
        <w:rPr>
          <w:rFonts w:ascii="Verdana" w:eastAsia="Calibri" w:hAnsi="Verdana" w:cs="Arial"/>
          <w:color w:val="000000" w:themeColor="text1"/>
        </w:rPr>
        <w:t xml:space="preserve">Dentro de las vigencias futuras ordinarias se establece una regla, que consiste en que la </w:t>
      </w:r>
      <w:r w:rsidRPr="003C7CCA">
        <w:rPr>
          <w:rFonts w:ascii="Verdana" w:eastAsia="Calibri" w:hAnsi="Verdana" w:cs="Arial"/>
          <w:color w:val="000000" w:themeColor="text1"/>
        </w:rPr>
        <w:t xml:space="preserve">autorización por parte del CONFIS para comprometer </w:t>
      </w:r>
      <w:r w:rsidRPr="003C7CCA">
        <w:rPr>
          <w:rFonts w:ascii="Verdana" w:eastAsia="Calibri" w:hAnsi="Verdana" w:cs="Arial"/>
          <w:color w:val="000000" w:themeColor="text1"/>
        </w:rPr>
        <w:lastRenderedPageBreak/>
        <w:t>recursos con cargo a</w:t>
      </w:r>
      <w:r>
        <w:rPr>
          <w:rFonts w:ascii="Verdana" w:eastAsia="Calibri" w:hAnsi="Verdana" w:cs="Arial"/>
          <w:color w:val="000000" w:themeColor="text1"/>
        </w:rPr>
        <w:t xml:space="preserve"> vigencias futuras </w:t>
      </w:r>
      <w:r w:rsidRPr="003C7CCA">
        <w:rPr>
          <w:rFonts w:ascii="Verdana" w:eastAsia="Calibri" w:hAnsi="Verdana" w:cs="Arial"/>
          <w:color w:val="000000" w:themeColor="text1"/>
        </w:rPr>
        <w:t xml:space="preserve">no puede exceder el respectivo período de gobierno, en atención la necesidad de preservar la disciplina fiscal y la planeación responsable del gasto público. No obstante, se establece una excepción frente a esta restricción en el caso de proyectos de inversión que hayan sido previamente declarados de </w:t>
      </w:r>
      <w:r>
        <w:rPr>
          <w:rFonts w:ascii="Verdana" w:eastAsia="Calibri" w:hAnsi="Verdana" w:cs="Arial"/>
          <w:color w:val="000000" w:themeColor="text1"/>
        </w:rPr>
        <w:t>“</w:t>
      </w:r>
      <w:r w:rsidRPr="003C7CCA">
        <w:rPr>
          <w:rFonts w:ascii="Verdana" w:eastAsia="Calibri" w:hAnsi="Verdana" w:cs="Arial"/>
          <w:color w:val="000000" w:themeColor="text1"/>
        </w:rPr>
        <w:t>importancia estratégica</w:t>
      </w:r>
      <w:r>
        <w:rPr>
          <w:rFonts w:ascii="Verdana" w:eastAsia="Calibri" w:hAnsi="Verdana" w:cs="Arial"/>
          <w:color w:val="000000" w:themeColor="text1"/>
        </w:rPr>
        <w:t>”</w:t>
      </w:r>
      <w:r w:rsidRPr="003C7CCA">
        <w:rPr>
          <w:rFonts w:ascii="Verdana" w:eastAsia="Calibri" w:hAnsi="Verdana" w:cs="Arial"/>
          <w:color w:val="000000" w:themeColor="text1"/>
        </w:rPr>
        <w:t xml:space="preserve"> por el CONPES. En estos eventos, y atendiendo a la relevancia y el impacto estructural del proyecto en el desarrollo económico o social, se permite comprometer recursos más allá del período de gobierno, siempre que se cumplan los requisitos legales y se garantice la sostenibilidad fiscal de la iniciativa.</w:t>
      </w:r>
      <w:r>
        <w:rPr>
          <w:rFonts w:ascii="Verdana" w:eastAsia="Calibri" w:hAnsi="Verdana" w:cs="Arial"/>
          <w:color w:val="000000" w:themeColor="text1"/>
        </w:rPr>
        <w:t xml:space="preserve"> Al respecto, la doctrina expresa: “[…] el CONPES deberá utilizar con mucha circunspección esta atribución que le otorga la ley para definir como ‘proyectos estratégicos’ exclusivamente aquellos que realmente lo sean. De lo contrario, el propósito perseguido por la ley, de que una Administración en ejercicio no debe atarle las manos presupuestalmente a la que habrá de sucederla, perdería su razón de ser”</w:t>
      </w:r>
      <w:r>
        <w:rPr>
          <w:rStyle w:val="Refdenotaalpie"/>
          <w:rFonts w:ascii="Verdana" w:eastAsia="Calibri" w:hAnsi="Verdana" w:cs="Arial"/>
          <w:color w:val="000000" w:themeColor="text1"/>
        </w:rPr>
        <w:footnoteReference w:id="9"/>
      </w:r>
      <w:r>
        <w:rPr>
          <w:rFonts w:ascii="Verdana" w:eastAsia="Calibri" w:hAnsi="Verdana" w:cs="Arial"/>
          <w:color w:val="000000" w:themeColor="text1"/>
        </w:rPr>
        <w:t xml:space="preserve">. </w:t>
      </w:r>
    </w:p>
    <w:p w14:paraId="2F560334" w14:textId="77777777" w:rsidR="00BB0CE5" w:rsidRDefault="00BB0CE5" w:rsidP="00BB0CE5">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 xml:space="preserve">Y, </w:t>
      </w:r>
      <w:proofErr w:type="spellStart"/>
      <w:r w:rsidRPr="00D069D8">
        <w:rPr>
          <w:rFonts w:ascii="Verdana" w:eastAsia="Calibri" w:hAnsi="Verdana" w:cs="Arial"/>
          <w:color w:val="000000" w:themeColor="text1"/>
        </w:rPr>
        <w:t>ii</w:t>
      </w:r>
      <w:proofErr w:type="spellEnd"/>
      <w:r w:rsidRPr="00D069D8">
        <w:rPr>
          <w:rFonts w:ascii="Verdana" w:eastAsia="Calibri" w:hAnsi="Verdana" w:cs="Arial"/>
          <w:color w:val="000000" w:themeColor="text1"/>
        </w:rPr>
        <w:t>) las vigencias futuras excepcionales,</w:t>
      </w:r>
      <w:r>
        <w:rPr>
          <w:rFonts w:ascii="Verdana" w:eastAsia="Calibri" w:hAnsi="Verdana" w:cs="Arial"/>
          <w:color w:val="000000" w:themeColor="text1"/>
        </w:rPr>
        <w:t xml:space="preserve"> regulada en el artículo 11 de la Ley 819 de 2003</w:t>
      </w:r>
      <w:r>
        <w:rPr>
          <w:rStyle w:val="Refdenotaalpie"/>
          <w:rFonts w:ascii="Verdana" w:eastAsia="Calibri" w:hAnsi="Verdana" w:cs="Arial"/>
          <w:color w:val="000000" w:themeColor="text1"/>
        </w:rPr>
        <w:footnoteReference w:id="10"/>
      </w:r>
      <w:r>
        <w:rPr>
          <w:rFonts w:ascii="Verdana" w:eastAsia="Calibri" w:hAnsi="Verdana" w:cs="Arial"/>
          <w:color w:val="000000" w:themeColor="text1"/>
        </w:rPr>
        <w:t>, dispone que</w:t>
      </w:r>
      <w:r w:rsidRPr="00D069D8">
        <w:rPr>
          <w:rFonts w:ascii="Verdana" w:eastAsia="Calibri" w:hAnsi="Verdana" w:cs="Arial"/>
          <w:color w:val="000000" w:themeColor="text1"/>
        </w:rPr>
        <w:t xml:space="preserve"> en virtud de la cual el </w:t>
      </w:r>
      <w:proofErr w:type="spellStart"/>
      <w:r w:rsidRPr="00D069D8">
        <w:rPr>
          <w:rFonts w:ascii="Verdana" w:eastAsia="Calibri" w:hAnsi="Verdana" w:cs="Arial"/>
          <w:color w:val="000000" w:themeColor="text1"/>
        </w:rPr>
        <w:t>Confis</w:t>
      </w:r>
      <w:proofErr w:type="spellEnd"/>
      <w:r w:rsidRPr="00D069D8">
        <w:rPr>
          <w:rFonts w:ascii="Verdana" w:eastAsia="Calibri" w:hAnsi="Verdana" w:cs="Arial"/>
          <w:color w:val="000000" w:themeColor="text1"/>
        </w:rPr>
        <w:t xml:space="preserve">, en casos excepcionales para las obras de infraestructura, energía, comunicaciones, aeronáutica, defensa y seguridad, así como para las garantías a las concesiones, podrá autorizar que se asuman obligaciones que afecten el presupuesto de vigencias futuras sin apropiación en el presupuesto del año en que se concede la autorización. </w:t>
      </w:r>
      <w:r>
        <w:rPr>
          <w:rFonts w:ascii="Verdana" w:eastAsia="Calibri" w:hAnsi="Verdana" w:cs="Arial"/>
          <w:color w:val="000000" w:themeColor="text1"/>
        </w:rPr>
        <w:t>E</w:t>
      </w:r>
      <w:r w:rsidRPr="003458FC">
        <w:rPr>
          <w:rFonts w:ascii="Verdana" w:eastAsia="Calibri" w:hAnsi="Verdana" w:cs="Arial"/>
          <w:color w:val="000000" w:themeColor="text1"/>
        </w:rPr>
        <w:t>n este contexto, el monto máximo, el plazo y las condiciones de dichas vigencias deben ser coherentes con las metas plurianuales de</w:t>
      </w:r>
      <w:r>
        <w:rPr>
          <w:rFonts w:ascii="Verdana" w:eastAsia="Calibri" w:hAnsi="Verdana" w:cs="Arial"/>
          <w:color w:val="000000" w:themeColor="text1"/>
        </w:rPr>
        <w:t>l Marco Fiscal de Mediano Plazo</w:t>
      </w:r>
      <w:r w:rsidRPr="003458FC">
        <w:rPr>
          <w:rFonts w:ascii="Verdana" w:eastAsia="Calibri" w:hAnsi="Verdana" w:cs="Arial"/>
          <w:color w:val="000000" w:themeColor="text1"/>
        </w:rPr>
        <w:t xml:space="preserve">. Además, existe un control institucional mediante el deber de la Secretaría Ejecutiva del CONFIS de informar periódicamente al Congreso sobre las autorizaciones otorgadas, lo cual fortalece la transparencia </w:t>
      </w:r>
      <w:r w:rsidRPr="003458FC">
        <w:rPr>
          <w:rFonts w:ascii="Verdana" w:eastAsia="Calibri" w:hAnsi="Verdana" w:cs="Arial"/>
          <w:color w:val="000000" w:themeColor="text1"/>
        </w:rPr>
        <w:lastRenderedPageBreak/>
        <w:t>del proceso.</w:t>
      </w:r>
      <w:r>
        <w:rPr>
          <w:rFonts w:ascii="Verdana" w:eastAsia="Calibri" w:hAnsi="Verdana" w:cs="Arial"/>
          <w:color w:val="000000" w:themeColor="text1"/>
        </w:rPr>
        <w:t xml:space="preserve"> </w:t>
      </w:r>
      <w:r w:rsidRPr="003458FC">
        <w:rPr>
          <w:rFonts w:ascii="Verdana" w:eastAsia="Calibri" w:hAnsi="Verdana" w:cs="Arial"/>
          <w:color w:val="000000" w:themeColor="text1"/>
        </w:rPr>
        <w:t>Por otra parte, el régimen contempla una excepción adicional respecto de los contratos de empréstito, en la medida en que estos y sus contrapartidas no requieren autorización del CONFIS para afectar vigencias futuras, dado que se rigen por las normas propias de las operaciones de crédito público</w:t>
      </w:r>
      <w:r>
        <w:rPr>
          <w:rFonts w:ascii="Verdana" w:eastAsia="Calibri" w:hAnsi="Verdana" w:cs="Arial"/>
          <w:color w:val="000000" w:themeColor="text1"/>
        </w:rPr>
        <w:t xml:space="preserve">. </w:t>
      </w:r>
    </w:p>
    <w:p w14:paraId="11C5A986" w14:textId="77777777" w:rsidR="00BB0CE5" w:rsidRPr="0019064C" w:rsidRDefault="00BB0CE5" w:rsidP="00BB0CE5">
      <w:pPr>
        <w:shd w:val="clear" w:color="auto" w:fill="FFFFFF"/>
        <w:spacing w:after="120" w:line="276" w:lineRule="auto"/>
        <w:ind w:right="51" w:firstLine="709"/>
        <w:jc w:val="both"/>
        <w:rPr>
          <w:rFonts w:ascii="Verdana" w:hAnsi="Verdana" w:cs="Symbol"/>
        </w:rPr>
      </w:pPr>
      <w:r w:rsidRPr="00D069D8">
        <w:rPr>
          <w:rFonts w:ascii="Verdana" w:eastAsia="Calibri" w:hAnsi="Verdana" w:cs="Arial"/>
          <w:color w:val="000000" w:themeColor="text1"/>
        </w:rPr>
        <w:t>Sobre la distinción entre las vigencias futuras ordinarias y las excepcionales el Consejo de Estado señaló que “</w:t>
      </w:r>
      <w:r w:rsidRPr="00D069D8">
        <w:rPr>
          <w:rFonts w:ascii="Verdana" w:hAnsi="Verdana" w:cs="Symbol"/>
        </w:rPr>
        <w:t xml:space="preserve">la diferencia fundamental entre las vigencias futuras ordinarias y las vigencias futuras </w:t>
      </w:r>
      <w:proofErr w:type="gramStart"/>
      <w:r w:rsidRPr="00D069D8">
        <w:rPr>
          <w:rFonts w:ascii="Verdana" w:hAnsi="Verdana" w:cs="Symbol"/>
        </w:rPr>
        <w:t>excepcionales,</w:t>
      </w:r>
      <w:proofErr w:type="gramEnd"/>
      <w:r w:rsidRPr="00D069D8">
        <w:rPr>
          <w:rFonts w:ascii="Verdana" w:hAnsi="Verdana" w:cs="Symbol"/>
        </w:rPr>
        <w:t xml:space="preserve"> radica, esencialmente, en que en las primeras la ejecución se inicia con el presupuesto de la vigencia en curso, mientras </w:t>
      </w:r>
      <w:proofErr w:type="gramStart"/>
      <w:r w:rsidRPr="00D069D8">
        <w:rPr>
          <w:rFonts w:ascii="Verdana" w:hAnsi="Verdana" w:cs="Symbol"/>
        </w:rPr>
        <w:t>que</w:t>
      </w:r>
      <w:proofErr w:type="gramEnd"/>
      <w:r w:rsidRPr="00D069D8">
        <w:rPr>
          <w:rFonts w:ascii="Verdana" w:hAnsi="Verdana" w:cs="Symbol"/>
        </w:rPr>
        <w:t xml:space="preserve"> en las excepcionales, se afecta el presupuesto de vigencias futuras, sin apropiación en el presupuesto del año en que se concede la autorización</w:t>
      </w:r>
      <w:r w:rsidRPr="00D069D8">
        <w:rPr>
          <w:rFonts w:ascii="Verdana" w:eastAsia="Calibri" w:hAnsi="Verdana" w:cs="Arial"/>
        </w:rPr>
        <w:t>”</w:t>
      </w:r>
      <w:r w:rsidRPr="00D069D8">
        <w:rPr>
          <w:rFonts w:ascii="Verdana" w:eastAsia="Calibri" w:hAnsi="Verdana" w:cs="Arial"/>
          <w:vertAlign w:val="superscript"/>
          <w:lang w:val="es-ES_tradnl"/>
        </w:rPr>
        <w:footnoteReference w:id="11"/>
      </w:r>
      <w:r w:rsidRPr="00D069D8">
        <w:rPr>
          <w:rFonts w:ascii="Verdana" w:hAnsi="Verdana" w:cs="Symbol"/>
        </w:rPr>
        <w:t>.</w:t>
      </w:r>
      <w:r>
        <w:rPr>
          <w:rFonts w:ascii="Verdana" w:hAnsi="Verdana" w:cs="Symbol"/>
        </w:rPr>
        <w:t xml:space="preserve"> </w:t>
      </w:r>
    </w:p>
    <w:p w14:paraId="67054608" w14:textId="77777777" w:rsidR="00BB0CE5" w:rsidRPr="00D069D8" w:rsidRDefault="00BB0CE5" w:rsidP="00BB0CE5">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 xml:space="preserve">Por su parte, el artículo 12 </w:t>
      </w:r>
      <w:r w:rsidRPr="00D069D8">
        <w:rPr>
          <w:rFonts w:ascii="Verdana" w:eastAsia="Calibri" w:hAnsi="Verdana" w:cs="Arial"/>
          <w:i/>
          <w:iCs/>
          <w:color w:val="000000" w:themeColor="text1"/>
        </w:rPr>
        <w:t>ibidem</w:t>
      </w:r>
      <w:r w:rsidRPr="00D069D8">
        <w:rPr>
          <w:rFonts w:ascii="Verdana" w:eastAsia="Calibri" w:hAnsi="Verdana" w:cs="Arial"/>
          <w:color w:val="000000" w:themeColor="text1"/>
        </w:rPr>
        <w:t xml:space="preserve"> se refiere a las vigencias futuras ordinarias para entidades territoriales cuya autorización será impartida por la asamblea o concejo respectivo, a iniciativa del gobierno local, previa aprobación por el </w:t>
      </w:r>
      <w:proofErr w:type="spellStart"/>
      <w:r w:rsidRPr="00D069D8">
        <w:rPr>
          <w:rFonts w:ascii="Verdana" w:eastAsia="Calibri" w:hAnsi="Verdana" w:cs="Arial"/>
          <w:color w:val="000000" w:themeColor="text1"/>
        </w:rPr>
        <w:t>Confis</w:t>
      </w:r>
      <w:proofErr w:type="spellEnd"/>
      <w:r w:rsidRPr="00D069D8">
        <w:rPr>
          <w:rFonts w:ascii="Verdana" w:eastAsia="Calibri" w:hAnsi="Verdana" w:cs="Arial"/>
          <w:color w:val="000000" w:themeColor="text1"/>
        </w:rPr>
        <w:t xml:space="preserve"> territorial o el órgano que haga sus veces. Las vigencias futuras excepcionales para entidades territoriales se encuentran establecida en la Ley 1483 de 2011.  </w:t>
      </w:r>
    </w:p>
    <w:p w14:paraId="505C7E44" w14:textId="77777777" w:rsidR="00BB0CE5" w:rsidRPr="00D069D8" w:rsidRDefault="00BB0CE5" w:rsidP="00BB0CE5">
      <w:pPr>
        <w:shd w:val="clear" w:color="auto" w:fill="FFFFFF"/>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lang w:val="es-ES_tradnl"/>
        </w:rPr>
        <w:t xml:space="preserve">Las </w:t>
      </w:r>
      <w:r w:rsidRPr="00D069D8">
        <w:rPr>
          <w:rFonts w:ascii="Verdana" w:eastAsia="Calibri" w:hAnsi="Verdana" w:cs="Arial"/>
          <w:i/>
          <w:iCs/>
          <w:color w:val="000000" w:themeColor="text1"/>
          <w:lang w:val="es-ES_tradnl"/>
        </w:rPr>
        <w:t xml:space="preserve">cuentas por pagar </w:t>
      </w:r>
      <w:r w:rsidRPr="00D069D8">
        <w:rPr>
          <w:rFonts w:ascii="Verdana" w:eastAsia="Calibri" w:hAnsi="Verdana" w:cs="Arial"/>
          <w:color w:val="000000" w:themeColor="text1"/>
          <w:lang w:val="es-ES_tradnl"/>
        </w:rPr>
        <w:t>consisten en obligaciones cumplidas en la vigencia actual,</w:t>
      </w:r>
      <w:r w:rsidRPr="00D069D8">
        <w:rPr>
          <w:rFonts w:ascii="Verdana" w:eastAsia="Calibri" w:hAnsi="Verdana" w:cs="Arial"/>
          <w:color w:val="000000" w:themeColor="text1"/>
          <w:sz w:val="19"/>
          <w:szCs w:val="19"/>
        </w:rPr>
        <w:t xml:space="preserve"> </w:t>
      </w:r>
      <w:r w:rsidRPr="00D069D8">
        <w:rPr>
          <w:rFonts w:ascii="Verdana" w:eastAsia="Calibri" w:hAnsi="Verdana" w:cs="Arial"/>
          <w:color w:val="000000" w:themeColor="text1"/>
        </w:rPr>
        <w:t>correspondientes a los anticipos pactados en los contratos y a la entrega de bienes y servicios,</w:t>
      </w:r>
      <w:r w:rsidRPr="00D069D8">
        <w:rPr>
          <w:rFonts w:ascii="Verdana" w:eastAsia="Calibri" w:hAnsi="Verdana" w:cs="Arial"/>
          <w:color w:val="000000" w:themeColor="text1"/>
          <w:lang w:val="es-ES_tradnl"/>
        </w:rPr>
        <w:t xml:space="preserve"> de las cuales solo se encuentra pendiente el pago de acuerdo con los compromisos presupuestales adquiridos por la entidad</w:t>
      </w:r>
      <w:r w:rsidRPr="00D069D8">
        <w:rPr>
          <w:rFonts w:ascii="Verdana" w:eastAsia="Calibri" w:hAnsi="Verdana" w:cs="Arial"/>
          <w:color w:val="000000" w:themeColor="text1"/>
          <w:vertAlign w:val="superscript"/>
          <w:lang w:val="es-ES_tradnl"/>
        </w:rPr>
        <w:footnoteReference w:id="12"/>
      </w:r>
      <w:r w:rsidRPr="00D069D8">
        <w:rPr>
          <w:rFonts w:ascii="Verdana" w:eastAsia="Calibri" w:hAnsi="Verdana" w:cs="Arial"/>
          <w:color w:val="000000" w:themeColor="text1"/>
          <w:lang w:val="es-ES_tradnl"/>
        </w:rPr>
        <w:t xml:space="preserve">. Y las </w:t>
      </w:r>
      <w:r w:rsidRPr="00D069D8">
        <w:rPr>
          <w:rFonts w:ascii="Verdana" w:eastAsia="Calibri" w:hAnsi="Verdana" w:cs="Arial"/>
          <w:i/>
          <w:iCs/>
          <w:color w:val="000000" w:themeColor="text1"/>
          <w:lang w:val="es-ES_tradnl"/>
        </w:rPr>
        <w:t xml:space="preserve">terceras, </w:t>
      </w:r>
      <w:r w:rsidRPr="00D069D8">
        <w:rPr>
          <w:rFonts w:ascii="Verdana" w:eastAsia="Calibri" w:hAnsi="Verdana" w:cs="Arial"/>
          <w:color w:val="000000" w:themeColor="text1"/>
          <w:lang w:val="es-ES_tradnl"/>
        </w:rPr>
        <w:t xml:space="preserve">las </w:t>
      </w:r>
      <w:r w:rsidRPr="00D069D8">
        <w:rPr>
          <w:rFonts w:ascii="Verdana" w:eastAsia="Calibri" w:hAnsi="Verdana" w:cs="Arial"/>
          <w:i/>
          <w:iCs/>
          <w:color w:val="000000" w:themeColor="text1"/>
          <w:lang w:val="es-ES_tradnl"/>
        </w:rPr>
        <w:t>reservas presupuestales</w:t>
      </w:r>
      <w:bookmarkStart w:id="4" w:name="_Hlk93517351"/>
      <w:r w:rsidRPr="00D069D8">
        <w:rPr>
          <w:rFonts w:ascii="Verdana" w:eastAsia="Calibri" w:hAnsi="Verdana" w:cs="Arial"/>
          <w:color w:val="000000" w:themeColor="text1"/>
          <w:lang w:val="es-ES_tradnl"/>
        </w:rPr>
        <w:t xml:space="preserve"> </w:t>
      </w:r>
      <w:r w:rsidRPr="00D069D8">
        <w:rPr>
          <w:rFonts w:ascii="Verdana" w:eastAsia="Calibri" w:hAnsi="Verdana" w:cs="Arial"/>
          <w:color w:val="000000" w:themeColor="text1"/>
          <w:lang w:val="es-ES"/>
        </w:rPr>
        <w:t>suponen que «Al cierre de la vigencia fiscal cada órgano constituirá las reservas presupuestales con los compromisos que al 31 de diciembre no se hayan cumplido, siempre y cuando estén legalmente contraídos y desarrollen el objeto de la apropiación. Las reservas presupuestales sólo podrán utilizarse para cancelar los compromisos que les dieron origen»</w:t>
      </w:r>
      <w:r w:rsidRPr="00D069D8">
        <w:rPr>
          <w:rFonts w:ascii="Verdana" w:eastAsia="Calibri" w:hAnsi="Verdana" w:cs="Arial"/>
          <w:color w:val="000000" w:themeColor="text1"/>
          <w:vertAlign w:val="superscript"/>
          <w:lang w:val="es-ES"/>
        </w:rPr>
        <w:footnoteReference w:id="13"/>
      </w:r>
      <w:r w:rsidRPr="00D069D8">
        <w:rPr>
          <w:rFonts w:ascii="Verdana" w:eastAsia="Calibri" w:hAnsi="Verdana" w:cs="Arial"/>
          <w:color w:val="000000" w:themeColor="text1"/>
          <w:lang w:val="es-ES"/>
        </w:rPr>
        <w:t xml:space="preserve">. </w:t>
      </w:r>
      <w:bookmarkEnd w:id="4"/>
    </w:p>
    <w:p w14:paraId="0764DCFC" w14:textId="77777777" w:rsidR="00BB0CE5" w:rsidRPr="00D069D8" w:rsidRDefault="00BB0CE5" w:rsidP="00BB0CE5">
      <w:pPr>
        <w:shd w:val="clear" w:color="auto" w:fill="FFFFFF"/>
        <w:spacing w:after="120" w:line="276" w:lineRule="auto"/>
        <w:ind w:right="51" w:firstLine="709"/>
        <w:jc w:val="both"/>
        <w:rPr>
          <w:rFonts w:ascii="Verdana" w:eastAsia="Calibri" w:hAnsi="Verdana" w:cs="Arial"/>
          <w:sz w:val="21"/>
          <w:szCs w:val="21"/>
          <w:lang w:val="es-ES_tradnl"/>
        </w:rPr>
      </w:pPr>
      <w:r w:rsidRPr="00D069D8">
        <w:rPr>
          <w:rFonts w:ascii="Verdana" w:eastAsia="Calibri" w:hAnsi="Verdana" w:cs="Arial"/>
          <w:color w:val="000000" w:themeColor="text1"/>
          <w:lang w:val="es-ES_tradnl"/>
        </w:rPr>
        <w:t xml:space="preserve">En virtud de lo anterior, las entidades estatales pueden solicitar reservas presupuestales cuando habiendo adquirido compromisos en una vigencia fiscal, </w:t>
      </w:r>
      <w:r w:rsidRPr="00D069D8">
        <w:rPr>
          <w:rFonts w:ascii="Verdana" w:eastAsia="Calibri" w:hAnsi="Verdana" w:cs="Arial"/>
          <w:color w:val="000000" w:themeColor="text1"/>
          <w:lang w:val="es-ES_tradnl"/>
        </w:rPr>
        <w:lastRenderedPageBreak/>
        <w:t>a 31 de diciembre no se han cumplido en su totalidad, y, por tanto, debe continuarse con la respectiva ejecución en la siguiente vigencia. Las reservas presupuestales deben constituirse a más tardar el 20 de enero de cada año en los términos indicados por el Decreto 1068 de 2015</w:t>
      </w:r>
      <w:r w:rsidRPr="00D069D8">
        <w:rPr>
          <w:rFonts w:ascii="Verdana" w:eastAsia="Calibri" w:hAnsi="Verdana" w:cs="Arial"/>
          <w:color w:val="000000" w:themeColor="text1"/>
          <w:vertAlign w:val="superscript"/>
          <w:lang w:val="es-ES_tradnl"/>
        </w:rPr>
        <w:footnoteReference w:id="14"/>
      </w:r>
      <w:r w:rsidRPr="00D069D8">
        <w:rPr>
          <w:rFonts w:ascii="Verdana" w:eastAsia="Calibri" w:hAnsi="Verdana" w:cs="Arial"/>
          <w:color w:val="000000" w:themeColor="text1"/>
          <w:lang w:val="es-ES_tradnl"/>
        </w:rPr>
        <w:t xml:space="preserve">. </w:t>
      </w:r>
    </w:p>
    <w:p w14:paraId="437E60B3" w14:textId="77777777" w:rsidR="00BB0CE5" w:rsidRPr="00D069D8" w:rsidRDefault="00BB0CE5" w:rsidP="00BB0CE5">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Sin embargo, es necesario tener en cuenta que las entidades no pueden solicitar reservas presupuestales en cualquier situación, ya que al ser un mecanismo excepcional su uso se encuentra restringido por lo que deberán estar debidamente justificadas. Esto significa que su constitución no puede obedecer a una indebida planeación contractual, pues como se anotó, tanto el régimen presupuestal como el contractual público se desarrolla sobre la base del principio de planeación. En este sentido, las reservas presupuestales no pueden ser empleadas como una herramienta ordinaria de ejecución presupuestal puesto que están concebidas como “</w:t>
      </w:r>
      <w:r w:rsidRPr="00D069D8">
        <w:rPr>
          <w:rFonts w:ascii="Verdana" w:eastAsia="Calibri" w:hAnsi="Verdana" w:cs="Arial"/>
          <w:color w:val="000000" w:themeColor="text1"/>
        </w:rPr>
        <w:t>un instrumento de uso esporádico y justificado únicamente en situaciones atípicas que impiden la ejecución de los compromisos en las fechas inicialmente previstas para ello, dentro de la misma vigencia a aquella en que el compromiso se celebró”</w:t>
      </w:r>
      <w:r w:rsidRPr="00D069D8">
        <w:rPr>
          <w:rFonts w:ascii="Verdana" w:eastAsia="Calibri" w:hAnsi="Verdana" w:cs="Arial"/>
          <w:color w:val="000000" w:themeColor="text1"/>
          <w:vertAlign w:val="superscript"/>
          <w:lang w:val="es-ES"/>
        </w:rPr>
        <w:footnoteReference w:id="15"/>
      </w:r>
      <w:r w:rsidRPr="00D069D8">
        <w:rPr>
          <w:rFonts w:ascii="Verdana" w:eastAsia="Calibri" w:hAnsi="Verdana" w:cs="Arial"/>
          <w:color w:val="000000" w:themeColor="text1"/>
        </w:rPr>
        <w:t>.</w:t>
      </w:r>
    </w:p>
    <w:p w14:paraId="625092DC" w14:textId="77777777" w:rsidR="00BB0CE5" w:rsidRPr="00D069D8" w:rsidRDefault="00BB0CE5" w:rsidP="00BB0CE5">
      <w:pPr>
        <w:shd w:val="clear" w:color="auto" w:fill="FFFFFF"/>
        <w:spacing w:after="120" w:line="276" w:lineRule="auto"/>
        <w:ind w:right="51" w:firstLine="709"/>
        <w:jc w:val="both"/>
        <w:rPr>
          <w:rFonts w:ascii="Verdana" w:eastAsia="Calibri" w:hAnsi="Verdana" w:cs="Arial"/>
          <w:color w:val="000000" w:themeColor="text1"/>
          <w:lang w:val="es-ES"/>
        </w:rPr>
      </w:pPr>
      <w:r w:rsidRPr="00D069D8">
        <w:rPr>
          <w:rFonts w:ascii="Verdana" w:eastAsia="Calibri" w:hAnsi="Verdana" w:cs="Arial"/>
          <w:color w:val="000000" w:themeColor="text1"/>
        </w:rPr>
        <w:t xml:space="preserve">Respecto de la distinción entre las reservas presupuestales y las vigencias futuras debe señalarse que contrario a estas últimas, “la reserva presupuestal supone la existencia de un compromiso presupuestal legalmente adquirido, en otras palabras, de la existencia de un acto o contrato expedido y perfeccionado por las </w:t>
      </w:r>
      <w:proofErr w:type="gramStart"/>
      <w:r w:rsidRPr="00D069D8">
        <w:rPr>
          <w:rFonts w:ascii="Verdana" w:eastAsia="Calibri" w:hAnsi="Verdana" w:cs="Arial"/>
          <w:color w:val="000000" w:themeColor="text1"/>
        </w:rPr>
        <w:t>autoridades públicas</w:t>
      </w:r>
      <w:proofErr w:type="gramEnd"/>
      <w:r w:rsidRPr="00D069D8">
        <w:rPr>
          <w:rFonts w:ascii="Verdana" w:eastAsia="Calibri" w:hAnsi="Verdana" w:cs="Arial"/>
          <w:color w:val="000000" w:themeColor="text1"/>
          <w:lang w:val="es-ES"/>
        </w:rPr>
        <w:t>»</w:t>
      </w:r>
      <w:r w:rsidRPr="00D069D8">
        <w:rPr>
          <w:rFonts w:ascii="Verdana" w:eastAsia="Calibri" w:hAnsi="Verdana" w:cs="Arial"/>
          <w:color w:val="000000" w:themeColor="text1"/>
        </w:rPr>
        <w:t xml:space="preserve">. En cambio, en las vigencias futuras se realiza una autorización que afecta presupuestos futuros que </w:t>
      </w:r>
      <w:r w:rsidRPr="00D069D8">
        <w:rPr>
          <w:rFonts w:ascii="Verdana" w:eastAsia="Calibri" w:hAnsi="Verdana" w:cs="Arial"/>
          <w:color w:val="000000" w:themeColor="text1"/>
          <w:lang w:val="es-ES"/>
        </w:rPr>
        <w:t>«</w:t>
      </w:r>
      <w:r w:rsidRPr="00D069D8">
        <w:rPr>
          <w:rFonts w:ascii="Verdana" w:eastAsia="Calibri" w:hAnsi="Verdana" w:cs="Arial"/>
          <w:color w:val="000000" w:themeColor="text1"/>
        </w:rPr>
        <w:t>se formaliza antes de que se aprueben las vigencias en las que se van a ejecutar y la vida jurídica de tales autorizaciones se prolonga a lo largo de varias vigencias”</w:t>
      </w:r>
      <w:r w:rsidRPr="00D069D8">
        <w:rPr>
          <w:rFonts w:ascii="Verdana" w:eastAsia="Calibri" w:hAnsi="Verdana" w:cs="Arial"/>
          <w:color w:val="000000" w:themeColor="text1"/>
          <w:vertAlign w:val="superscript"/>
          <w:lang w:val="es-ES"/>
        </w:rPr>
        <w:footnoteReference w:id="16"/>
      </w:r>
      <w:r w:rsidRPr="00D069D8">
        <w:rPr>
          <w:rFonts w:ascii="Verdana" w:eastAsia="Calibri" w:hAnsi="Verdana" w:cs="Arial"/>
          <w:color w:val="000000" w:themeColor="text1"/>
        </w:rPr>
        <w:t xml:space="preserve">. </w:t>
      </w:r>
    </w:p>
    <w:p w14:paraId="481EE7F9" w14:textId="77777777" w:rsidR="00BB0CE5" w:rsidRDefault="00BB0CE5" w:rsidP="00BB0CE5">
      <w:pPr>
        <w:shd w:val="clear" w:color="auto" w:fill="FFFFFF"/>
        <w:spacing w:after="0" w:line="276" w:lineRule="auto"/>
        <w:ind w:right="51" w:firstLine="709"/>
        <w:jc w:val="both"/>
        <w:rPr>
          <w:rFonts w:ascii="Verdana" w:eastAsia="Calibri" w:hAnsi="Verdana" w:cs="Arial"/>
          <w:color w:val="000000" w:themeColor="text1"/>
          <w:lang w:val="es-ES_tradnl"/>
        </w:rPr>
      </w:pPr>
      <w:r w:rsidRPr="00D069D8">
        <w:rPr>
          <w:rFonts w:ascii="Verdana" w:eastAsia="Calibri" w:hAnsi="Verdana" w:cs="Arial"/>
          <w:color w:val="000000" w:themeColor="text1"/>
          <w:lang w:val="es-ES_tradnl"/>
        </w:rPr>
        <w:t>Finalmente, es importante hacer referencia a los “pagos de pasivos exigibles – vigencias expiradas</w:t>
      </w:r>
      <w:r w:rsidRPr="00D069D8">
        <w:rPr>
          <w:rFonts w:ascii="Verdana" w:eastAsia="Calibri" w:hAnsi="Verdana" w:cs="Arial"/>
          <w:color w:val="000000" w:themeColor="text1"/>
          <w:lang w:val="es-ES"/>
        </w:rPr>
        <w:t xml:space="preserve">” </w:t>
      </w:r>
      <w:r w:rsidRPr="00D069D8">
        <w:rPr>
          <w:rFonts w:ascii="Verdana" w:eastAsia="Calibri" w:hAnsi="Verdana" w:cs="Arial"/>
          <w:color w:val="000000" w:themeColor="text1"/>
          <w:lang w:val="es-ES_tradnl"/>
        </w:rPr>
        <w:t xml:space="preserve">que procede en los casos en los que </w:t>
      </w:r>
      <w:r w:rsidRPr="00D069D8">
        <w:rPr>
          <w:rFonts w:ascii="Verdana" w:eastAsia="Calibri" w:hAnsi="Verdana" w:cs="Arial"/>
          <w:sz w:val="21"/>
          <w:szCs w:val="21"/>
          <w:lang w:val="es-ES_tradnl"/>
        </w:rPr>
        <w:t xml:space="preserve">no se haya constituido la reserva presupuestal o la cuenta por pagar o cuando habiéndose </w:t>
      </w:r>
      <w:r w:rsidRPr="00D069D8">
        <w:rPr>
          <w:rFonts w:ascii="Verdana" w:eastAsia="Calibri" w:hAnsi="Verdana" w:cs="Arial"/>
          <w:sz w:val="21"/>
          <w:szCs w:val="21"/>
          <w:lang w:val="es-ES_tradnl"/>
        </w:rPr>
        <w:lastRenderedPageBreak/>
        <w:t>constituido no se realizó el pago respectivo</w:t>
      </w:r>
      <w:r w:rsidRPr="00D069D8">
        <w:rPr>
          <w:rFonts w:ascii="Verdana" w:eastAsia="Calibri" w:hAnsi="Verdana" w:cs="Arial"/>
          <w:color w:val="000000" w:themeColor="text1"/>
          <w:lang w:val="es-ES_tradnl"/>
        </w:rPr>
        <w:t>. El artículo 49 de la Ley 2159 de 2021 “</w:t>
      </w:r>
      <w:r w:rsidRPr="00D069D8">
        <w:rPr>
          <w:rFonts w:ascii="Verdana" w:eastAsia="Calibri" w:hAnsi="Verdana" w:cs="Arial"/>
          <w:color w:val="000000" w:themeColor="text1"/>
          <w:lang w:val="es-ES"/>
        </w:rPr>
        <w:t xml:space="preserve">Por </w:t>
      </w:r>
      <w:r w:rsidRPr="00D069D8">
        <w:rPr>
          <w:rFonts w:ascii="Verdana" w:eastAsia="Calibri" w:hAnsi="Verdana" w:cs="Arial"/>
          <w:color w:val="000000" w:themeColor="text1"/>
          <w:lang w:val="es-ES_tradnl"/>
        </w:rPr>
        <w:t xml:space="preserve">la cual se decreta el presupuesto de rentas y recursos de capital y ley de apropiaciones para la vigencia fiscal del 1° de enero al 31 de diciembre de 2022” regula esta institución de la siguiente manera: </w:t>
      </w:r>
    </w:p>
    <w:p w14:paraId="64B6246E" w14:textId="77777777" w:rsidR="00BB0CE5" w:rsidRPr="002C715A" w:rsidRDefault="00BB0CE5" w:rsidP="00BB0CE5">
      <w:pPr>
        <w:shd w:val="clear" w:color="auto" w:fill="FFFFFF"/>
        <w:spacing w:after="0" w:line="276" w:lineRule="auto"/>
        <w:ind w:right="51" w:firstLine="709"/>
        <w:jc w:val="both"/>
        <w:rPr>
          <w:rFonts w:ascii="Verdana" w:eastAsia="Calibri" w:hAnsi="Verdana" w:cs="Arial"/>
          <w:color w:val="000000" w:themeColor="text1"/>
          <w:sz w:val="20"/>
          <w:szCs w:val="20"/>
          <w:lang w:val="es-ES_tradnl"/>
        </w:rPr>
      </w:pPr>
    </w:p>
    <w:p w14:paraId="3AA07C28" w14:textId="77777777" w:rsidR="00BB0CE5" w:rsidRPr="002C715A" w:rsidRDefault="00BB0CE5" w:rsidP="00BB0CE5">
      <w:pPr>
        <w:spacing w:after="0"/>
        <w:ind w:left="709" w:right="709"/>
        <w:jc w:val="both"/>
        <w:rPr>
          <w:rFonts w:ascii="Verdana" w:eastAsia="Calibri" w:hAnsi="Verdana" w:cs="Arial"/>
          <w:i/>
          <w:iCs/>
          <w:sz w:val="20"/>
          <w:szCs w:val="20"/>
          <w:lang w:val="es-ES"/>
        </w:rPr>
      </w:pPr>
      <w:r w:rsidRPr="002C715A">
        <w:rPr>
          <w:rFonts w:ascii="Verdana" w:eastAsia="Calibri" w:hAnsi="Verdana" w:cs="Arial"/>
          <w:sz w:val="20"/>
          <w:szCs w:val="20"/>
          <w:lang w:val="es-ES"/>
        </w:rPr>
        <w:t xml:space="preserve">Sin perjuicio de la responsabilidad fiscal y disciplinaria a que haya lugar, cuando en vigencias anteriores no se haya realizado el pago de obligaciones adquiridas con las formalidades previstas en el Estatuto Orgánico del Presupuesto y demás normas que regulan la materia, y sobre los mismos no se haya constituido la reserva presupuestal o la cuenta por pagar correspondiente, se podrá hacer el pago bajo el concepto de </w:t>
      </w:r>
      <w:r w:rsidRPr="002C715A">
        <w:rPr>
          <w:rFonts w:ascii="Verdana" w:eastAsia="Calibri" w:hAnsi="Verdana" w:cs="Arial"/>
          <w:i/>
          <w:iCs/>
          <w:sz w:val="20"/>
          <w:szCs w:val="20"/>
          <w:lang w:val="es-ES"/>
        </w:rPr>
        <w:t xml:space="preserve">"Pago de Pasivos Exigibles - Vigencias Expiradas". </w:t>
      </w:r>
    </w:p>
    <w:p w14:paraId="39C7EF76" w14:textId="77777777" w:rsidR="00BB0CE5" w:rsidRPr="002C715A" w:rsidRDefault="00BB0CE5" w:rsidP="00BB0CE5">
      <w:pPr>
        <w:spacing w:after="0"/>
        <w:ind w:left="709" w:right="709"/>
        <w:jc w:val="both"/>
        <w:rPr>
          <w:rFonts w:ascii="Verdana" w:eastAsia="Calibri" w:hAnsi="Verdana" w:cs="Arial"/>
          <w:sz w:val="20"/>
          <w:szCs w:val="20"/>
          <w:lang w:val="es-ES_tradnl"/>
        </w:rPr>
      </w:pPr>
    </w:p>
    <w:p w14:paraId="463A4F0B" w14:textId="77777777" w:rsidR="00BB0CE5" w:rsidRPr="002C715A" w:rsidRDefault="00BB0CE5" w:rsidP="00BB0CE5">
      <w:pPr>
        <w:spacing w:after="0"/>
        <w:ind w:left="709" w:right="709"/>
        <w:jc w:val="both"/>
        <w:rPr>
          <w:rFonts w:ascii="Verdana" w:eastAsia="Calibri" w:hAnsi="Verdana" w:cs="Arial"/>
          <w:sz w:val="20"/>
          <w:szCs w:val="20"/>
          <w:lang w:val="es-ES_tradnl"/>
        </w:rPr>
      </w:pPr>
      <w:r w:rsidRPr="002C715A">
        <w:rPr>
          <w:rFonts w:ascii="Verdana" w:eastAsia="Calibri" w:hAnsi="Verdana" w:cs="Arial"/>
          <w:sz w:val="20"/>
          <w:szCs w:val="20"/>
          <w:lang w:val="es-ES_tradnl"/>
        </w:rPr>
        <w:t xml:space="preserve">También procederá la operación prevista en el inciso anterior, cuando el pago no se hubiere realizado pese a haberse constituido oportunamente la reserva presupuestal o la cuenta por pagar en los términos del artículo 89 del Estatuto Orgánico del Presupuesto. </w:t>
      </w:r>
    </w:p>
    <w:p w14:paraId="45F73648" w14:textId="77777777" w:rsidR="00BB0CE5" w:rsidRPr="002C715A" w:rsidRDefault="00BB0CE5" w:rsidP="00BB0CE5">
      <w:pPr>
        <w:spacing w:after="0"/>
        <w:ind w:left="709" w:right="709"/>
        <w:jc w:val="both"/>
        <w:rPr>
          <w:rFonts w:ascii="Verdana" w:eastAsia="Calibri" w:hAnsi="Verdana" w:cs="Arial"/>
          <w:sz w:val="20"/>
          <w:szCs w:val="20"/>
          <w:lang w:val="es-ES"/>
        </w:rPr>
      </w:pPr>
    </w:p>
    <w:p w14:paraId="37EA4777" w14:textId="77777777" w:rsidR="00BB0CE5" w:rsidRPr="002C715A" w:rsidRDefault="00BB0CE5" w:rsidP="00BB0CE5">
      <w:pPr>
        <w:spacing w:after="0"/>
        <w:ind w:left="709" w:right="709"/>
        <w:jc w:val="both"/>
        <w:rPr>
          <w:rFonts w:ascii="Verdana" w:eastAsia="Calibri" w:hAnsi="Verdana" w:cs="Arial"/>
          <w:sz w:val="20"/>
          <w:szCs w:val="20"/>
          <w:lang w:val="es-ES"/>
        </w:rPr>
      </w:pPr>
      <w:r w:rsidRPr="002C715A">
        <w:rPr>
          <w:rFonts w:ascii="Verdana" w:eastAsia="Calibri" w:hAnsi="Verdana" w:cs="Arial"/>
          <w:sz w:val="20"/>
          <w:szCs w:val="20"/>
          <w:lang w:val="es-ES"/>
        </w:rPr>
        <w:t xml:space="preserve">El mecanismo previsto en el primer inciso de este artículo también procederá cuando se trate del cumplimiento de una obligación originada en la ley, exigible en vigencias anteriores, aun sin que medie certificado de </w:t>
      </w:r>
      <w:proofErr w:type="gramStart"/>
      <w:r w:rsidRPr="002C715A">
        <w:rPr>
          <w:rFonts w:ascii="Verdana" w:eastAsia="Calibri" w:hAnsi="Verdana" w:cs="Arial"/>
          <w:sz w:val="20"/>
          <w:szCs w:val="20"/>
          <w:lang w:val="es-ES"/>
        </w:rPr>
        <w:t>disponibilidad presupuestal ni registro presupuestal</w:t>
      </w:r>
      <w:proofErr w:type="gramEnd"/>
      <w:r w:rsidRPr="002C715A">
        <w:rPr>
          <w:rFonts w:ascii="Verdana" w:eastAsia="Calibri" w:hAnsi="Verdana" w:cs="Arial"/>
          <w:sz w:val="20"/>
          <w:szCs w:val="20"/>
          <w:lang w:val="es-ES"/>
        </w:rPr>
        <w:t xml:space="preserve">. </w:t>
      </w:r>
    </w:p>
    <w:p w14:paraId="31C47BDE" w14:textId="77777777" w:rsidR="00BB0CE5" w:rsidRPr="002C715A" w:rsidRDefault="00BB0CE5" w:rsidP="00BB0CE5">
      <w:pPr>
        <w:spacing w:after="0"/>
        <w:ind w:left="709" w:right="709"/>
        <w:jc w:val="both"/>
        <w:rPr>
          <w:rFonts w:ascii="Verdana" w:eastAsia="Calibri" w:hAnsi="Verdana" w:cs="Arial"/>
          <w:sz w:val="20"/>
          <w:szCs w:val="20"/>
          <w:lang w:val="es-ES"/>
        </w:rPr>
      </w:pPr>
    </w:p>
    <w:p w14:paraId="59D0D31B" w14:textId="77777777" w:rsidR="00BB0CE5" w:rsidRPr="002C715A" w:rsidRDefault="00BB0CE5" w:rsidP="00BB0CE5">
      <w:pPr>
        <w:spacing w:after="0"/>
        <w:ind w:left="709" w:right="709"/>
        <w:jc w:val="both"/>
        <w:rPr>
          <w:rFonts w:ascii="Verdana" w:eastAsia="Calibri" w:hAnsi="Verdana" w:cs="Arial"/>
          <w:sz w:val="20"/>
          <w:szCs w:val="20"/>
          <w:lang w:val="es-ES"/>
        </w:rPr>
      </w:pPr>
      <w:r w:rsidRPr="002C715A">
        <w:rPr>
          <w:rFonts w:ascii="Verdana" w:eastAsia="Calibri" w:hAnsi="Verdana" w:cs="Arial"/>
          <w:sz w:val="20"/>
          <w:szCs w:val="20"/>
          <w:lang w:val="es-ES"/>
        </w:rPr>
        <w:t>Cuando se cumpla alguna de las anteriores condiciones, se podrá atender el gasto de "Pago Pasivos Exigibles - Vigencias Expiradas", a través del rubro presupuestal correspondiente de acuerdo con el detalle del anexo del decreto de liquidación. Al momento de hacerse el registro presupuestal deberá dejarse consignada la expresión "Pago Pasivos Exigibles - Vigencias Expiradas". Copia del acto administrativo que ordena su pago deberá ser remitido a la Contrataría General de la República. […] (Cursiva fuera de texto).</w:t>
      </w:r>
    </w:p>
    <w:p w14:paraId="3B3F9C62" w14:textId="77777777" w:rsidR="00BB0CE5" w:rsidRPr="00D069D8" w:rsidRDefault="00BB0CE5" w:rsidP="00BB0CE5">
      <w:pPr>
        <w:spacing w:after="0"/>
        <w:ind w:left="709" w:right="709"/>
        <w:jc w:val="both"/>
        <w:rPr>
          <w:rFonts w:ascii="Verdana" w:eastAsia="Calibri" w:hAnsi="Verdana" w:cs="Arial"/>
          <w:sz w:val="21"/>
          <w:szCs w:val="21"/>
          <w:lang w:val="es-ES"/>
        </w:rPr>
      </w:pPr>
    </w:p>
    <w:p w14:paraId="125F32D2" w14:textId="77777777" w:rsidR="00BB0CE5" w:rsidRPr="00D069D8" w:rsidRDefault="00BB0CE5" w:rsidP="00BB0CE5">
      <w:pPr>
        <w:shd w:val="clear" w:color="auto" w:fill="FFFFFF"/>
        <w:spacing w:after="120" w:line="276" w:lineRule="auto"/>
        <w:ind w:right="51" w:firstLine="709"/>
        <w:jc w:val="both"/>
        <w:rPr>
          <w:rFonts w:ascii="Verdana" w:eastAsia="Calibri" w:hAnsi="Verdana" w:cs="Arial"/>
          <w:color w:val="000000" w:themeColor="text1"/>
          <w:lang w:val="es-ES_tradnl"/>
        </w:rPr>
      </w:pPr>
      <w:r w:rsidRPr="00D069D8">
        <w:rPr>
          <w:rFonts w:ascii="Verdana" w:eastAsia="Calibri" w:hAnsi="Verdana" w:cs="Arial"/>
          <w:color w:val="000000" w:themeColor="text1"/>
          <w:lang w:val="es-ES_tradnl"/>
        </w:rPr>
        <w:t xml:space="preserve">En este sentido, el pago de “pasivos – vigencias expiradas” procederán cuando se cumplan los parámetros antes expuestos para las entidades que se rigen por dicha Ley. En los demás casos, se deberán atender las normas presupuestales particulares que lo regulen, atendiendo a la naturaleza de la entidad pública. </w:t>
      </w:r>
    </w:p>
    <w:p w14:paraId="692D663F" w14:textId="77777777" w:rsidR="00BB0CE5" w:rsidRPr="00D069D8" w:rsidRDefault="00BB0CE5" w:rsidP="00BB0CE5">
      <w:pPr>
        <w:shd w:val="clear" w:color="auto" w:fill="FFFFFF"/>
        <w:spacing w:after="12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lang w:val="es-ES_tradnl"/>
        </w:rPr>
        <w:t xml:space="preserve">En conclusión, las entidades estatales deben planear sus contrataciones con fundamento en el principio de la anualidad del gasto, de manera que sus </w:t>
      </w:r>
      <w:r w:rsidRPr="00D069D8">
        <w:rPr>
          <w:rFonts w:ascii="Verdana" w:eastAsia="Calibri" w:hAnsi="Verdana" w:cs="Arial"/>
          <w:color w:val="000000" w:themeColor="text1"/>
          <w:lang w:val="es-ES_tradnl"/>
        </w:rPr>
        <w:lastRenderedPageBreak/>
        <w:t xml:space="preserve">compromisos presupuestales deben ser ejecutados dentro de la vigencia fiscal comprendida entre el 1 de enero y el 31 de diciembre. Sin embargo, como excepción a este principio se establecen </w:t>
      </w:r>
      <w:r w:rsidRPr="00D069D8">
        <w:rPr>
          <w:rFonts w:ascii="Verdana" w:eastAsia="Calibri" w:hAnsi="Verdana" w:cs="Arial"/>
          <w:color w:val="000000" w:themeColor="text1"/>
        </w:rPr>
        <w:t xml:space="preserve">mecanismos presupuestales dentro de los cuales se encuentran las vigencias futuras, que permite asumir compromisos que afecten el presupuesto de vigencias posteriores. </w:t>
      </w:r>
    </w:p>
    <w:p w14:paraId="0DB8756D" w14:textId="77777777" w:rsidR="00BB0CE5" w:rsidRPr="00D069D8" w:rsidRDefault="00BB0CE5" w:rsidP="00BB0CE5">
      <w:pPr>
        <w:shd w:val="clear" w:color="auto" w:fill="FFFFFF"/>
        <w:spacing w:after="0" w:line="276" w:lineRule="auto"/>
        <w:ind w:right="51" w:firstLine="709"/>
        <w:jc w:val="both"/>
        <w:rPr>
          <w:rFonts w:ascii="Verdana" w:eastAsia="Calibri" w:hAnsi="Verdana" w:cs="Arial"/>
          <w:color w:val="000000" w:themeColor="text1"/>
        </w:rPr>
      </w:pPr>
      <w:r w:rsidRPr="00D069D8">
        <w:rPr>
          <w:rFonts w:ascii="Verdana" w:eastAsia="Calibri" w:hAnsi="Verdana" w:cs="Arial"/>
          <w:color w:val="000000" w:themeColor="text1"/>
        </w:rPr>
        <w:t>De esta manera, en caso de que en la etapa de planeación la entidad evidencie que el contrato a ejecutar exceda la vigencia fiscal correspondiente, deberá atender las previsiones legales sobre las excepciones al principio de anualidad del gasto</w:t>
      </w:r>
      <w:r w:rsidRPr="00D069D8">
        <w:rPr>
          <w:rFonts w:ascii="Verdana" w:eastAsia="Arial" w:hAnsi="Verdana" w:cs="Arial"/>
          <w:bCs/>
        </w:rPr>
        <w:t xml:space="preserve"> y determinar cual resulta aplicable al caso en concreto</w:t>
      </w:r>
      <w:r w:rsidRPr="00D069D8">
        <w:rPr>
          <w:rFonts w:ascii="Verdana" w:eastAsia="Calibri" w:hAnsi="Verdana" w:cs="Arial"/>
          <w:color w:val="000000" w:themeColor="text1"/>
        </w:rPr>
        <w:t xml:space="preserve">. Dichas excepciones deben estar debidamente justificadas, cumplir con los requisitos establecidos por la normativa vigente y seguir los procedimientos correspondientes para su autorizaciones y ejecución, conforme a lo descrito en este concepto.  </w:t>
      </w:r>
    </w:p>
    <w:p w14:paraId="787D97B5" w14:textId="77777777" w:rsidR="00BB0CE5" w:rsidRPr="00D069D8" w:rsidRDefault="00BB0CE5" w:rsidP="00BB0CE5">
      <w:pPr>
        <w:shd w:val="clear" w:color="auto" w:fill="FFFFFF"/>
        <w:spacing w:after="0" w:line="240" w:lineRule="auto"/>
        <w:ind w:right="51" w:firstLine="709"/>
        <w:jc w:val="both"/>
        <w:rPr>
          <w:rFonts w:ascii="Verdana" w:eastAsia="Calibri" w:hAnsi="Verdana" w:cs="Arial"/>
          <w:color w:val="000000" w:themeColor="text1"/>
        </w:rPr>
      </w:pPr>
    </w:p>
    <w:p w14:paraId="0531F50A" w14:textId="77777777" w:rsidR="00BB0CE5" w:rsidRPr="00D069D8" w:rsidRDefault="00BB0CE5" w:rsidP="00BB0CE5">
      <w:pPr>
        <w:spacing w:after="120" w:line="276" w:lineRule="auto"/>
        <w:jc w:val="both"/>
        <w:rPr>
          <w:rFonts w:ascii="Verdana" w:hAnsi="Verdana"/>
        </w:rPr>
      </w:pPr>
      <w:proofErr w:type="spellStart"/>
      <w:r>
        <w:rPr>
          <w:rFonts w:ascii="Verdana" w:eastAsia="Calibri" w:hAnsi="Verdana" w:cs="Arial"/>
          <w:bCs/>
          <w:iCs/>
          <w:lang w:val="es-ES" w:eastAsia="es-ES_tradnl"/>
        </w:rPr>
        <w:t>iv</w:t>
      </w:r>
      <w:proofErr w:type="spellEnd"/>
      <w:r w:rsidRPr="00D069D8">
        <w:rPr>
          <w:rFonts w:ascii="Verdana" w:eastAsia="Calibri" w:hAnsi="Verdana" w:cs="Arial"/>
          <w:bCs/>
          <w:iCs/>
          <w:lang w:val="es-ES" w:eastAsia="es-ES_tradnl"/>
        </w:rPr>
        <w:t xml:space="preserve">. </w:t>
      </w:r>
      <w:r w:rsidRPr="00D069D8">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89244E4" w14:textId="77777777" w:rsidR="00BB0CE5" w:rsidRPr="00D069D8" w:rsidRDefault="00BB0CE5" w:rsidP="00BB0CE5">
      <w:pPr>
        <w:spacing w:after="0" w:line="276" w:lineRule="auto"/>
        <w:ind w:firstLine="708"/>
        <w:jc w:val="both"/>
        <w:rPr>
          <w:rFonts w:ascii="Verdana" w:eastAsia="Calibri" w:hAnsi="Verdana" w:cs="Arial"/>
          <w:bCs/>
          <w:color w:val="000000" w:themeColor="text1"/>
        </w:rPr>
      </w:pPr>
      <w:r w:rsidRPr="00D069D8">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E69CAE0" w14:textId="77777777" w:rsidR="00BB0CE5" w:rsidRPr="00D069D8" w:rsidRDefault="00BB0CE5" w:rsidP="00BB0CE5">
      <w:pPr>
        <w:shd w:val="clear" w:color="auto" w:fill="FFFFFF"/>
        <w:spacing w:after="0" w:line="276" w:lineRule="auto"/>
        <w:ind w:right="51"/>
        <w:jc w:val="both"/>
        <w:rPr>
          <w:rFonts w:ascii="Verdana" w:eastAsia="Calibri" w:hAnsi="Verdana" w:cs="Arial"/>
          <w:color w:val="000000" w:themeColor="text1"/>
        </w:rPr>
      </w:pPr>
    </w:p>
    <w:p w14:paraId="4B98CA5E" w14:textId="77777777" w:rsidR="00BB0CE5" w:rsidRPr="00D069D8" w:rsidRDefault="00BB0CE5" w:rsidP="00BB0CE5">
      <w:pPr>
        <w:numPr>
          <w:ilvl w:val="0"/>
          <w:numId w:val="16"/>
        </w:numPr>
        <w:spacing w:after="0" w:line="276" w:lineRule="auto"/>
        <w:rPr>
          <w:rFonts w:ascii="Verdana" w:eastAsia="Calibri" w:hAnsi="Verdana" w:cs="Times New Roman"/>
          <w:b/>
          <w:bCs/>
          <w:lang w:val="es-ES"/>
        </w:rPr>
      </w:pPr>
      <w:r>
        <w:rPr>
          <w:rFonts w:ascii="Verdana" w:eastAsia="Calibri" w:hAnsi="Verdana" w:cs="Times New Roman"/>
          <w:b/>
          <w:bCs/>
          <w:lang w:val="es-ES"/>
        </w:rPr>
        <w:t>Referencias normativas:</w:t>
      </w:r>
    </w:p>
    <w:p w14:paraId="3F984D91" w14:textId="77777777" w:rsidR="00BB0CE5" w:rsidRPr="00D069D8" w:rsidRDefault="00BB0CE5" w:rsidP="00BB0CE5">
      <w:pPr>
        <w:spacing w:after="0" w:line="276" w:lineRule="auto"/>
        <w:jc w:val="both"/>
        <w:rPr>
          <w:rFonts w:ascii="Verdana" w:eastAsia="Calibri" w:hAnsi="Verdana" w:cs="Arial"/>
          <w:color w:val="000000"/>
          <w:szCs w:val="24"/>
          <w:lang w:eastAsia="es-ES_tradnl"/>
        </w:rPr>
      </w:pPr>
      <w:r w:rsidRPr="00D069D8">
        <w:rPr>
          <w:rFonts w:ascii="Verdana" w:eastAsia="Calibri" w:hAnsi="Verdana" w:cs="Arial"/>
          <w:color w:val="000000"/>
          <w:lang w:eastAsia="es-ES_tradnl"/>
        </w:rPr>
        <w:lastRenderedPageBreak/>
        <w:t xml:space="preserve">   </w:t>
      </w: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B0CE5" w:rsidRPr="00D069D8" w14:paraId="4CEB6FE6" w14:textId="77777777" w:rsidTr="0043265A">
        <w:trPr>
          <w:trHeight w:val="439"/>
          <w:jc w:val="center"/>
        </w:trPr>
        <w:tc>
          <w:tcPr>
            <w:tcW w:w="8647" w:type="dxa"/>
          </w:tcPr>
          <w:p w14:paraId="50E49036" w14:textId="77777777" w:rsidR="00BB0CE5" w:rsidRPr="00D069D8" w:rsidRDefault="00BB0CE5" w:rsidP="00BB0CE5">
            <w:pPr>
              <w:numPr>
                <w:ilvl w:val="0"/>
                <w:numId w:val="35"/>
              </w:numPr>
              <w:spacing w:before="120" w:after="120" w:line="276" w:lineRule="auto"/>
              <w:ind w:left="714" w:hanging="357"/>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 xml:space="preserve">Constitución Política, artículo 352. </w:t>
            </w:r>
          </w:p>
          <w:p w14:paraId="6B7D4DF8" w14:textId="77777777" w:rsidR="00BB0CE5" w:rsidRPr="00D069D8" w:rsidRDefault="00BB0CE5" w:rsidP="00BB0CE5">
            <w:pPr>
              <w:numPr>
                <w:ilvl w:val="0"/>
                <w:numId w:val="35"/>
              </w:numPr>
              <w:spacing w:before="120" w:after="120" w:line="276" w:lineRule="auto"/>
              <w:ind w:left="714" w:hanging="357"/>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 xml:space="preserve">Decreto 111 de 1996, artículo 23.  </w:t>
            </w:r>
          </w:p>
          <w:p w14:paraId="41250194" w14:textId="77777777" w:rsidR="00BB0CE5" w:rsidRPr="00D069D8" w:rsidRDefault="00BB0CE5" w:rsidP="00BB0CE5">
            <w:pPr>
              <w:numPr>
                <w:ilvl w:val="0"/>
                <w:numId w:val="35"/>
              </w:numPr>
              <w:spacing w:before="120" w:after="120" w:line="276" w:lineRule="auto"/>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La Ley 813 de 2003: Artículos 8, 10, 11 y 12.</w:t>
            </w:r>
          </w:p>
          <w:p w14:paraId="43BA668E" w14:textId="77777777" w:rsidR="00BB0CE5" w:rsidRPr="00D069D8" w:rsidRDefault="00BB0CE5" w:rsidP="00BB0CE5">
            <w:pPr>
              <w:numPr>
                <w:ilvl w:val="0"/>
                <w:numId w:val="35"/>
              </w:numPr>
              <w:spacing w:before="120" w:after="120" w:line="276" w:lineRule="auto"/>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Ley 1483 de 2011.</w:t>
            </w:r>
          </w:p>
          <w:p w14:paraId="60FD1C9E" w14:textId="77777777" w:rsidR="00BB0CE5" w:rsidRPr="00D069D8" w:rsidRDefault="00BB0CE5" w:rsidP="00BB0CE5">
            <w:pPr>
              <w:numPr>
                <w:ilvl w:val="0"/>
                <w:numId w:val="35"/>
              </w:numPr>
              <w:spacing w:before="120" w:after="120" w:line="276" w:lineRule="auto"/>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 xml:space="preserve">Ley 2159 de 2021, artículo 49. </w:t>
            </w:r>
          </w:p>
          <w:p w14:paraId="693FBABA" w14:textId="77777777" w:rsidR="00BB0CE5" w:rsidRPr="0085441E" w:rsidRDefault="00BB0CE5" w:rsidP="00BB0CE5">
            <w:pPr>
              <w:widowControl w:val="0"/>
              <w:numPr>
                <w:ilvl w:val="0"/>
                <w:numId w:val="35"/>
              </w:numPr>
              <w:autoSpaceDE w:val="0"/>
              <w:autoSpaceDN w:val="0"/>
              <w:spacing w:before="120" w:after="120" w:line="276" w:lineRule="auto"/>
              <w:jc w:val="both"/>
              <w:rPr>
                <w:rFonts w:ascii="Verdana" w:hAnsi="Verdana"/>
                <w:bCs/>
                <w:color w:val="000000"/>
                <w:lang w:val="es-ES_tradnl" w:eastAsia="es-ES_tradnl" w:bidi="es-ES"/>
              </w:rPr>
            </w:pPr>
            <w:r w:rsidRPr="00D069D8">
              <w:rPr>
                <w:rFonts w:ascii="Verdana" w:hAnsi="Verdana"/>
                <w:bCs/>
                <w:color w:val="000000"/>
                <w:lang w:val="es-ES_tradnl" w:eastAsia="es-ES_tradnl" w:bidi="es-ES"/>
              </w:rPr>
              <w:t xml:space="preserve">Decreto 1068 de 2015: Artículo 2.8.3.4. </w:t>
            </w:r>
          </w:p>
        </w:tc>
      </w:tr>
    </w:tbl>
    <w:p w14:paraId="7F30ADD5" w14:textId="77777777" w:rsidR="00BB0CE5" w:rsidRPr="00D069D8" w:rsidRDefault="00BB0CE5" w:rsidP="00BB0CE5">
      <w:pPr>
        <w:spacing w:after="0" w:line="276" w:lineRule="auto"/>
        <w:ind w:right="709"/>
        <w:jc w:val="both"/>
        <w:rPr>
          <w:rFonts w:ascii="Verdana" w:hAnsi="Verdana" w:cs="Arial"/>
          <w:color w:val="000000" w:themeColor="text1"/>
        </w:rPr>
      </w:pPr>
    </w:p>
    <w:p w14:paraId="0989B812" w14:textId="77777777" w:rsidR="00BB0CE5" w:rsidRPr="00D069D8" w:rsidRDefault="00BB0CE5" w:rsidP="00BB0CE5">
      <w:pPr>
        <w:numPr>
          <w:ilvl w:val="0"/>
          <w:numId w:val="16"/>
        </w:numPr>
        <w:spacing w:after="0" w:line="276" w:lineRule="auto"/>
        <w:rPr>
          <w:rFonts w:ascii="Verdana" w:eastAsia="Calibri" w:hAnsi="Verdana" w:cs="Times New Roman"/>
          <w:b/>
          <w:bCs/>
          <w:lang w:val="es-ES"/>
        </w:rPr>
      </w:pPr>
      <w:r w:rsidRPr="00D069D8">
        <w:rPr>
          <w:rFonts w:ascii="Verdana" w:eastAsia="Calibri" w:hAnsi="Verdana" w:cs="Times New Roman"/>
          <w:b/>
          <w:bCs/>
          <w:lang w:val="es-ES"/>
        </w:rPr>
        <w:t>Doctrina de la Agencia Nacional de Contratación Pública:</w:t>
      </w:r>
    </w:p>
    <w:p w14:paraId="03674F67" w14:textId="77777777" w:rsidR="00BB0CE5" w:rsidRPr="00D069D8" w:rsidRDefault="00BB0CE5" w:rsidP="00BB0CE5">
      <w:pPr>
        <w:spacing w:after="0" w:line="276" w:lineRule="auto"/>
        <w:rPr>
          <w:rFonts w:ascii="Verdana" w:eastAsia="Calibri" w:hAnsi="Verdana" w:cs="Times New Roman"/>
          <w:lang w:val="es-ES"/>
        </w:rPr>
      </w:pPr>
    </w:p>
    <w:p w14:paraId="2D5DD31F" w14:textId="77777777" w:rsidR="00BB0CE5" w:rsidRPr="00C04BE5" w:rsidRDefault="00BB0CE5" w:rsidP="00BB0CE5">
      <w:pPr>
        <w:widowControl w:val="0"/>
        <w:autoSpaceDE w:val="0"/>
        <w:autoSpaceDN w:val="0"/>
        <w:spacing w:after="0" w:line="276" w:lineRule="auto"/>
        <w:jc w:val="both"/>
        <w:rPr>
          <w:rFonts w:ascii="Verdana" w:eastAsia="Calibri" w:hAnsi="Verdana" w:cs="Times New Roman"/>
        </w:rPr>
      </w:pPr>
      <w:r w:rsidRPr="00D069D8">
        <w:rPr>
          <w:rFonts w:ascii="Verdana" w:hAnsi="Verdana" w:cs="Arial"/>
          <w:shd w:val="clear" w:color="auto" w:fill="FFFFFF"/>
        </w:rPr>
        <w:t>La Subdirección de Gestión Contractual ha expedido los siguientes conceptos con respecto al Principio de Anualidad del Gasto Público y sus excepciones:</w:t>
      </w:r>
      <w:r w:rsidRPr="00D069D8">
        <w:rPr>
          <w:rFonts w:ascii="Verdana" w:eastAsia="Calibri" w:hAnsi="Verdana" w:cs="Arial"/>
          <w:lang w:val="es-ES" w:eastAsia="es-ES"/>
        </w:rPr>
        <w:t xml:space="preserve"> C-744 del 4 de febrero de 2022, C-850 del </w:t>
      </w:r>
      <w:r w:rsidRPr="00D069D8">
        <w:rPr>
          <w:rFonts w:ascii="Verdana" w:eastAsia="Geomanist Light" w:hAnsi="Verdana" w:cs="Arial"/>
          <w:lang w:val="es-MX"/>
        </w:rPr>
        <w:t>5 de diciembre de 2024</w:t>
      </w:r>
      <w:r w:rsidRPr="00D069D8">
        <w:rPr>
          <w:rFonts w:ascii="Verdana" w:eastAsia="Calibri" w:hAnsi="Verdana" w:cs="Arial"/>
          <w:lang w:val="es-ES" w:eastAsia="es-ES"/>
        </w:rPr>
        <w:t xml:space="preserve">, C-082 del 7 de marzo de 2025, </w:t>
      </w:r>
      <w:r>
        <w:rPr>
          <w:rFonts w:ascii="Verdana" w:eastAsia="Calibri" w:hAnsi="Verdana" w:cs="Arial"/>
          <w:lang w:val="es-ES" w:eastAsia="es-ES"/>
        </w:rPr>
        <w:t xml:space="preserve">C-1220 del 3 de octubre de 2025, C-1537 del 25 de noviembre de 2025, C-040 del 11 de febrero de 2026, C-193 del 19 de marzo de 2026, </w:t>
      </w:r>
      <w:r w:rsidRPr="00D069D8">
        <w:rPr>
          <w:rFonts w:ascii="Verdana" w:eastAsia="Calibri" w:hAnsi="Verdana" w:cs="Arial"/>
          <w:lang w:val="es-ES" w:eastAsia="es-ES"/>
        </w:rPr>
        <w:t>entre otros.</w:t>
      </w:r>
      <w:r w:rsidRPr="0085441E">
        <w:rPr>
          <w:rFonts w:ascii="Verdana" w:eastAsia="Calibri" w:hAnsi="Verdana" w:cs="Times New Roman"/>
        </w:rPr>
        <w:t xml:space="preserve"> </w:t>
      </w:r>
      <w:r w:rsidRPr="00380CA4">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37928A7" w14:textId="77777777" w:rsidR="00BB0CE5" w:rsidRPr="00380CA4" w:rsidRDefault="00BB0CE5" w:rsidP="00BB0CE5">
      <w:pPr>
        <w:spacing w:after="0" w:line="256" w:lineRule="auto"/>
        <w:jc w:val="both"/>
        <w:rPr>
          <w:rFonts w:ascii="Verdana" w:eastAsia="Calibri" w:hAnsi="Verdana" w:cs="Times New Roman"/>
        </w:rPr>
      </w:pPr>
      <w:hyperlink r:id="rId13" w:history="1">
        <w:r w:rsidRPr="00380CA4">
          <w:rPr>
            <w:rStyle w:val="Hipervnculo"/>
            <w:rFonts w:ascii="Verdana" w:eastAsia="Calibri" w:hAnsi="Verdana" w:cs="Times New Roman"/>
          </w:rPr>
          <w:t>https://relatoria.colombiacompra.gov.co/busqueda/conceptos</w:t>
        </w:r>
      </w:hyperlink>
      <w:r w:rsidRPr="00380CA4">
        <w:rPr>
          <w:rFonts w:ascii="Verdana" w:eastAsia="Calibri" w:hAnsi="Verdana" w:cs="Times New Roman"/>
        </w:rPr>
        <w:t xml:space="preserve">. </w:t>
      </w:r>
    </w:p>
    <w:p w14:paraId="5A1940B8" w14:textId="77777777" w:rsidR="00BB0CE5" w:rsidRPr="00380CA4" w:rsidRDefault="00BB0CE5" w:rsidP="00BB0CE5">
      <w:pPr>
        <w:widowControl w:val="0"/>
        <w:autoSpaceDE w:val="0"/>
        <w:autoSpaceDN w:val="0"/>
        <w:spacing w:after="0" w:line="276" w:lineRule="auto"/>
        <w:jc w:val="both"/>
        <w:rPr>
          <w:rFonts w:ascii="Verdana" w:hAnsi="Verdana" w:cs="Arial"/>
          <w:color w:val="000000" w:themeColor="text1"/>
          <w:shd w:val="clear" w:color="auto" w:fill="FFFFFF"/>
        </w:rPr>
      </w:pPr>
    </w:p>
    <w:p w14:paraId="15D4B993" w14:textId="77777777" w:rsidR="00BB0CE5" w:rsidRPr="00231A97" w:rsidRDefault="00BB0CE5" w:rsidP="00BB0CE5">
      <w:pPr>
        <w:spacing w:after="0" w:line="256" w:lineRule="auto"/>
        <w:jc w:val="both"/>
        <w:rPr>
          <w:rFonts w:ascii="Verdana" w:eastAsia="Calibri" w:hAnsi="Verdana" w:cs="Times New Roman"/>
        </w:rPr>
      </w:pP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14" w:tgtFrame="_new" w:history="1">
        <w:r w:rsidRPr="00231A97">
          <w:rPr>
            <w:rStyle w:val="Hipervnculo"/>
            <w:rFonts w:ascii="Verdana" w:eastAsia="Calibri" w:hAnsi="Verdana" w:cs="Times New Roman"/>
          </w:rPr>
          <w:t>https://formacionvirtual.colombiacompra.gov.co/mod/page/view.php?id=3718</w:t>
        </w:r>
      </w:hyperlink>
    </w:p>
    <w:p w14:paraId="1CDFF101" w14:textId="77777777" w:rsidR="00BB0CE5" w:rsidRDefault="00BB0CE5" w:rsidP="00BB0CE5">
      <w:pPr>
        <w:spacing w:after="0" w:line="256" w:lineRule="auto"/>
        <w:jc w:val="both"/>
        <w:rPr>
          <w:rFonts w:ascii="Verdana" w:eastAsia="Calibri" w:hAnsi="Verdana" w:cs="Times New Roman"/>
        </w:rPr>
      </w:pPr>
    </w:p>
    <w:p w14:paraId="562D7A78" w14:textId="77777777" w:rsidR="00BB0CE5" w:rsidRPr="00231A97" w:rsidRDefault="00BB0CE5" w:rsidP="00BB0CE5">
      <w:pPr>
        <w:spacing w:after="0" w:line="256"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 xml:space="preserve">mediante las cuales </w:t>
      </w:r>
      <w:r w:rsidRPr="00231A97">
        <w:rPr>
          <w:rFonts w:ascii="Verdana" w:eastAsia="Calibri" w:hAnsi="Verdana" w:cs="Times New Roman"/>
          <w:b/>
          <w:bCs/>
        </w:rPr>
        <w:lastRenderedPageBreak/>
        <w:t>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231A97">
          <w:rPr>
            <w:rStyle w:val="Hipervnculo"/>
            <w:rFonts w:ascii="Verdana" w:eastAsia="Calibri" w:hAnsi="Verdana" w:cs="Times New Roman"/>
          </w:rPr>
          <w:t>https://www.colombiacompra.gov.co/normativa-y-relatoria/documentos-tipo</w:t>
        </w:r>
      </w:hyperlink>
    </w:p>
    <w:p w14:paraId="29C035E5" w14:textId="77777777" w:rsidR="00BB0CE5" w:rsidRDefault="00BB0CE5" w:rsidP="00BB0CE5">
      <w:pPr>
        <w:spacing w:after="0" w:line="256" w:lineRule="auto"/>
        <w:jc w:val="both"/>
        <w:rPr>
          <w:rFonts w:ascii="Verdana" w:eastAsia="Calibri" w:hAnsi="Verdana" w:cs="Times New Roman"/>
        </w:rPr>
      </w:pPr>
    </w:p>
    <w:p w14:paraId="4DE06609" w14:textId="77777777" w:rsidR="00BB0CE5" w:rsidRPr="00231A97" w:rsidRDefault="00BB0CE5" w:rsidP="00BB0CE5">
      <w:pPr>
        <w:spacing w:after="0" w:line="256"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16" w:tgtFrame="_new" w:history="1">
        <w:r w:rsidRPr="00231A97">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34B74AED" w14:textId="77777777" w:rsidR="00BB0CE5" w:rsidRPr="00380CA4" w:rsidRDefault="00BB0CE5" w:rsidP="00BB0CE5">
      <w:pPr>
        <w:shd w:val="clear" w:color="auto" w:fill="FFFFFF"/>
        <w:spacing w:after="0" w:line="276" w:lineRule="auto"/>
        <w:jc w:val="both"/>
        <w:rPr>
          <w:rFonts w:ascii="Verdana" w:hAnsi="Verdana"/>
          <w:color w:val="000000"/>
          <w:u w:val="single"/>
        </w:rPr>
      </w:pPr>
    </w:p>
    <w:p w14:paraId="76C22FE6" w14:textId="77777777" w:rsidR="00BB0CE5" w:rsidRPr="00380CA4" w:rsidRDefault="00BB0CE5" w:rsidP="00BB0CE5">
      <w:pPr>
        <w:spacing w:after="0"/>
        <w:jc w:val="both"/>
        <w:rPr>
          <w:rFonts w:ascii="Verdana" w:hAnsi="Verdana"/>
        </w:rPr>
      </w:pPr>
      <w:r w:rsidRPr="00380CA4">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2B4878A" w14:textId="77777777" w:rsidR="00BB0CE5" w:rsidRPr="00380CA4" w:rsidRDefault="00BB0CE5" w:rsidP="00BB0CE5">
      <w:pPr>
        <w:spacing w:after="0"/>
        <w:jc w:val="both"/>
        <w:rPr>
          <w:rFonts w:ascii="Verdana" w:hAnsi="Verdana"/>
        </w:rPr>
      </w:pPr>
    </w:p>
    <w:p w14:paraId="32C06BB6" w14:textId="77777777" w:rsidR="00BB0CE5" w:rsidRPr="00380CA4" w:rsidRDefault="00BB0CE5" w:rsidP="00BB0CE5">
      <w:pPr>
        <w:pStyle w:val="Prrafodelista"/>
        <w:numPr>
          <w:ilvl w:val="0"/>
          <w:numId w:val="15"/>
        </w:numPr>
        <w:spacing w:after="0" w:line="240" w:lineRule="auto"/>
        <w:jc w:val="both"/>
        <w:rPr>
          <w:rFonts w:ascii="Verdana" w:eastAsia="Verdana" w:hAnsi="Verdana" w:cs="Verdana"/>
          <w:color w:val="4472C4" w:themeColor="accent1"/>
          <w:u w:val="single"/>
          <w:lang w:val="es-CO"/>
        </w:rPr>
      </w:pPr>
      <w:r w:rsidRPr="00380CA4">
        <w:rPr>
          <w:rFonts w:ascii="Verdana" w:eastAsia="Verdana" w:hAnsi="Verdana" w:cs="Verdana"/>
          <w:lang w:val="es-CO"/>
        </w:rPr>
        <w:t xml:space="preserve">Línea nacional gratuita o servicio a la ciudadanía (Mesa de servicio): </w:t>
      </w:r>
      <w:r w:rsidRPr="00380CA4">
        <w:rPr>
          <w:rStyle w:val="Hipervnculo"/>
          <w:rFonts w:ascii="Verdana" w:hAnsi="Verdana"/>
          <w:lang w:val="es-CO"/>
        </w:rPr>
        <w:t>01800 0520808</w:t>
      </w:r>
    </w:p>
    <w:p w14:paraId="1AF0EFE6" w14:textId="77777777" w:rsidR="00BB0CE5" w:rsidRPr="00380CA4" w:rsidRDefault="00BB0CE5" w:rsidP="00BB0CE5">
      <w:pPr>
        <w:pStyle w:val="Prrafodelista"/>
        <w:numPr>
          <w:ilvl w:val="0"/>
          <w:numId w:val="15"/>
        </w:numPr>
        <w:spacing w:after="0"/>
        <w:rPr>
          <w:rFonts w:ascii="Verdana" w:eastAsia="Verdana" w:hAnsi="Verdana" w:cs="Verdana"/>
          <w:color w:val="4472C4" w:themeColor="accent1"/>
          <w:u w:val="single"/>
          <w:lang w:val="es-CO"/>
        </w:rPr>
      </w:pPr>
      <w:r w:rsidRPr="00380CA4">
        <w:rPr>
          <w:rFonts w:ascii="Verdana" w:eastAsia="Verdana" w:hAnsi="Verdana" w:cs="Verdana"/>
          <w:lang w:val="es-CO"/>
        </w:rPr>
        <w:t>Línea en Bogotá (Mesa de servicio</w:t>
      </w:r>
      <w:proofErr w:type="gramStart"/>
      <w:r w:rsidRPr="00380CA4">
        <w:rPr>
          <w:rFonts w:ascii="Verdana" w:eastAsia="Verdana" w:hAnsi="Verdana" w:cs="Verdana"/>
          <w:lang w:val="es-CO"/>
        </w:rPr>
        <w:t>):</w:t>
      </w:r>
      <w:r w:rsidRPr="00380CA4">
        <w:rPr>
          <w:rStyle w:val="Hipervnculo"/>
          <w:rFonts w:ascii="Verdana" w:hAnsi="Verdana"/>
          <w:lang w:val="es-CO"/>
        </w:rPr>
        <w:t>+</w:t>
      </w:r>
      <w:proofErr w:type="gramEnd"/>
      <w:r w:rsidRPr="00380CA4">
        <w:rPr>
          <w:rStyle w:val="Hipervnculo"/>
          <w:rFonts w:ascii="Verdana" w:hAnsi="Verdana"/>
          <w:lang w:val="es-CO"/>
        </w:rPr>
        <w:t>57 601 7456788</w:t>
      </w:r>
    </w:p>
    <w:p w14:paraId="283008AC" w14:textId="77777777" w:rsidR="00BB0CE5" w:rsidRPr="00380CA4" w:rsidRDefault="00BB0CE5" w:rsidP="00BB0CE5">
      <w:pPr>
        <w:pStyle w:val="Prrafodelista"/>
        <w:numPr>
          <w:ilvl w:val="0"/>
          <w:numId w:val="15"/>
        </w:numPr>
        <w:spacing w:after="0"/>
        <w:rPr>
          <w:rFonts w:ascii="Verdana" w:eastAsia="Verdana" w:hAnsi="Verdana" w:cs="Verdana"/>
          <w:color w:val="0000FF"/>
          <w:u w:val="single"/>
          <w:lang w:val="es-CO"/>
        </w:rPr>
      </w:pPr>
      <w:r w:rsidRPr="00380CA4">
        <w:rPr>
          <w:rFonts w:ascii="Verdana" w:eastAsia="Verdana" w:hAnsi="Verdana" w:cs="Verdana"/>
          <w:lang w:val="es-CO"/>
        </w:rPr>
        <w:t xml:space="preserve">Correo de radicación de correspondencia: </w:t>
      </w:r>
      <w:hyperlink r:id="rId17">
        <w:r w:rsidRPr="00380CA4">
          <w:rPr>
            <w:rStyle w:val="Hipervnculo"/>
            <w:rFonts w:ascii="Verdana" w:eastAsia="Verdana" w:hAnsi="Verdana" w:cs="Verdana"/>
            <w:lang w:val="es-CO"/>
          </w:rPr>
          <w:t>ventanilladeradicacion@colombiacompra.gov.co</w:t>
        </w:r>
      </w:hyperlink>
    </w:p>
    <w:p w14:paraId="55C97836" w14:textId="77777777" w:rsidR="00BB0CE5" w:rsidRPr="00380CA4" w:rsidRDefault="00BB0CE5" w:rsidP="00BB0CE5">
      <w:pPr>
        <w:pStyle w:val="Prrafodelista"/>
        <w:numPr>
          <w:ilvl w:val="0"/>
          <w:numId w:val="15"/>
        </w:numPr>
        <w:spacing w:after="0"/>
        <w:rPr>
          <w:rFonts w:ascii="Verdana" w:eastAsia="Verdana" w:hAnsi="Verdana" w:cs="Verdana"/>
          <w:color w:val="0000FF"/>
          <w:u w:val="single"/>
          <w:lang w:val="es-CO"/>
        </w:rPr>
      </w:pPr>
      <w:r w:rsidRPr="00380CA4">
        <w:rPr>
          <w:rFonts w:ascii="Verdana" w:eastAsia="Verdana" w:hAnsi="Verdana" w:cs="Verdana"/>
          <w:lang w:val="es-CO"/>
        </w:rPr>
        <w:t xml:space="preserve">Formulario web para PQRSD: </w:t>
      </w:r>
      <w:hyperlink r:id="rId18">
        <w:r w:rsidRPr="00380CA4">
          <w:rPr>
            <w:rStyle w:val="Hipervnculo"/>
            <w:rFonts w:ascii="Verdana" w:eastAsia="Verdana" w:hAnsi="Verdana" w:cs="Verdana"/>
            <w:lang w:val="es-CO"/>
          </w:rPr>
          <w:t>https://www.colombiacompra.gov.co/pqrsd/informacion-importante-antes-de-formular-una-pqrsd</w:t>
        </w:r>
      </w:hyperlink>
    </w:p>
    <w:p w14:paraId="2D15A5A1" w14:textId="77777777" w:rsidR="00BB0CE5" w:rsidRPr="00380CA4" w:rsidRDefault="00BB0CE5" w:rsidP="00BB0CE5">
      <w:pPr>
        <w:spacing w:after="0" w:line="240" w:lineRule="auto"/>
        <w:ind w:left="720"/>
        <w:jc w:val="both"/>
        <w:rPr>
          <w:rFonts w:ascii="Verdana" w:hAnsi="Verdana"/>
        </w:rPr>
      </w:pPr>
    </w:p>
    <w:p w14:paraId="327FEE8D" w14:textId="77777777" w:rsidR="00BB0CE5" w:rsidRPr="00380CA4" w:rsidRDefault="00BB0CE5" w:rsidP="00BB0CE5">
      <w:pPr>
        <w:spacing w:after="0" w:line="240" w:lineRule="auto"/>
        <w:rPr>
          <w:rFonts w:ascii="Verdana" w:hAnsi="Verdana"/>
        </w:rPr>
      </w:pPr>
      <w:r w:rsidRPr="00380CA4">
        <w:rPr>
          <w:rFonts w:ascii="Verdana" w:hAnsi="Verdana"/>
        </w:rPr>
        <w:lastRenderedPageBreak/>
        <w:t xml:space="preserve">Evalúa el servicio que ofrece la Agencia por el canal de atención de PQRSD en el siguiente </w:t>
      </w:r>
      <w:proofErr w:type="gramStart"/>
      <w:r w:rsidRPr="00380CA4">
        <w:rPr>
          <w:rFonts w:ascii="Verdana" w:hAnsi="Verdana"/>
        </w:rPr>
        <w:t>enlace :</w:t>
      </w:r>
      <w:proofErr w:type="gramEnd"/>
      <w:hyperlink r:id="rId19" w:tgtFrame="_blank" w:tooltip="https://forms.office.com/r/pphywvs2sz" w:history="1">
        <w:r w:rsidRPr="00380CA4">
          <w:rPr>
            <w:rStyle w:val="Hipervnculo"/>
            <w:rFonts w:ascii="Verdana" w:hAnsi="Verdana"/>
          </w:rPr>
          <w:t>https://forms.office.com/r/pPHyWVs2SZ</w:t>
        </w:r>
      </w:hyperlink>
      <w:r w:rsidRPr="00380CA4">
        <w:rPr>
          <w:rFonts w:ascii="Verdana" w:hAnsi="Verdana"/>
        </w:rPr>
        <w:t xml:space="preserve"> .¡Ayúdanos a mejorar porque el compromiso es de todos!</w:t>
      </w:r>
    </w:p>
    <w:p w14:paraId="70EF61A0" w14:textId="77777777" w:rsidR="00BB0CE5" w:rsidRPr="00380CA4" w:rsidRDefault="00BB0CE5" w:rsidP="00BB0CE5">
      <w:pPr>
        <w:spacing w:after="0" w:line="240" w:lineRule="auto"/>
        <w:rPr>
          <w:rFonts w:ascii="Verdana" w:hAnsi="Verdana"/>
        </w:rPr>
      </w:pPr>
    </w:p>
    <w:p w14:paraId="2A811F21" w14:textId="77777777" w:rsidR="00BB0CE5" w:rsidRPr="00380CA4" w:rsidRDefault="00BB0CE5" w:rsidP="00BB0CE5">
      <w:pPr>
        <w:spacing w:after="0" w:line="240" w:lineRule="auto"/>
        <w:jc w:val="both"/>
        <w:rPr>
          <w:rFonts w:ascii="Verdana" w:hAnsi="Verdana"/>
        </w:rPr>
      </w:pPr>
      <w:r w:rsidRPr="00380CA4">
        <w:rPr>
          <w:rFonts w:ascii="Verdana" w:hAnsi="Verdana"/>
        </w:rPr>
        <w:t xml:space="preserve">Por último, lo invitamos a seguirnos en las redes sociales en las cuales se difunde información institucional: </w:t>
      </w:r>
    </w:p>
    <w:p w14:paraId="3693ECF6" w14:textId="77777777" w:rsidR="00BB0CE5" w:rsidRPr="00380CA4" w:rsidRDefault="00BB0CE5" w:rsidP="00BB0CE5">
      <w:pPr>
        <w:spacing w:after="0" w:line="240" w:lineRule="auto"/>
        <w:jc w:val="both"/>
        <w:rPr>
          <w:rFonts w:ascii="Verdana" w:hAnsi="Verdana"/>
        </w:rPr>
      </w:pPr>
    </w:p>
    <w:p w14:paraId="63F66724" w14:textId="77777777" w:rsidR="00BB0CE5" w:rsidRPr="00380CA4" w:rsidRDefault="00BB0CE5" w:rsidP="00BB0CE5">
      <w:pPr>
        <w:spacing w:after="0" w:line="240" w:lineRule="auto"/>
        <w:jc w:val="both"/>
        <w:rPr>
          <w:rFonts w:ascii="Verdana" w:hAnsi="Verdana"/>
        </w:rPr>
      </w:pPr>
      <w:r w:rsidRPr="00380CA4">
        <w:rPr>
          <w:rFonts w:ascii="Verdana" w:hAnsi="Verdana"/>
        </w:rPr>
        <w:t xml:space="preserve">Twitter: </w:t>
      </w:r>
      <w:r w:rsidRPr="00380CA4">
        <w:rPr>
          <w:rStyle w:val="Hipervnculo"/>
          <w:rFonts w:ascii="Verdana" w:hAnsi="Verdana"/>
        </w:rPr>
        <w:t>@colombiacompra</w:t>
      </w:r>
      <w:r w:rsidRPr="00380CA4">
        <w:rPr>
          <w:rFonts w:ascii="Verdana" w:hAnsi="Verdana"/>
        </w:rPr>
        <w:t xml:space="preserve"> </w:t>
      </w:r>
    </w:p>
    <w:p w14:paraId="7EDFBEBE" w14:textId="77777777" w:rsidR="00BB0CE5" w:rsidRPr="00380CA4" w:rsidRDefault="00BB0CE5" w:rsidP="00BB0CE5">
      <w:pPr>
        <w:spacing w:after="0" w:line="240" w:lineRule="auto"/>
        <w:jc w:val="both"/>
        <w:rPr>
          <w:rFonts w:ascii="Verdana" w:hAnsi="Verdana"/>
        </w:rPr>
      </w:pPr>
      <w:r w:rsidRPr="00380CA4">
        <w:rPr>
          <w:rFonts w:ascii="Verdana" w:hAnsi="Verdana"/>
        </w:rPr>
        <w:t xml:space="preserve">Facebook: </w:t>
      </w:r>
      <w:proofErr w:type="spellStart"/>
      <w:r w:rsidRPr="00380CA4">
        <w:rPr>
          <w:rStyle w:val="Hipervnculo"/>
          <w:rFonts w:ascii="Verdana" w:hAnsi="Verdana"/>
        </w:rPr>
        <w:t>ColombiaCompraEficiente</w:t>
      </w:r>
      <w:proofErr w:type="spellEnd"/>
    </w:p>
    <w:p w14:paraId="68A58A17" w14:textId="77777777" w:rsidR="00BB0CE5" w:rsidRPr="00380CA4" w:rsidRDefault="00BB0CE5" w:rsidP="00BB0CE5">
      <w:pPr>
        <w:spacing w:after="0" w:line="240" w:lineRule="auto"/>
        <w:jc w:val="both"/>
        <w:rPr>
          <w:rFonts w:ascii="Verdana" w:hAnsi="Verdana"/>
        </w:rPr>
      </w:pPr>
      <w:r w:rsidRPr="00380CA4">
        <w:rPr>
          <w:rFonts w:ascii="Verdana" w:hAnsi="Verdana"/>
        </w:rPr>
        <w:t xml:space="preserve">LinkedIn: </w:t>
      </w:r>
      <w:r w:rsidRPr="00380CA4">
        <w:rPr>
          <w:rStyle w:val="Hipervnculo"/>
          <w:rFonts w:ascii="Verdana" w:hAnsi="Verdana"/>
        </w:rPr>
        <w:t>Agencia Nacional de Contratación Pública - Colombia Compra Eficiente</w:t>
      </w:r>
      <w:r w:rsidRPr="00380CA4">
        <w:rPr>
          <w:rFonts w:ascii="Verdana" w:hAnsi="Verdana"/>
        </w:rPr>
        <w:t xml:space="preserve"> Instagram: </w:t>
      </w:r>
      <w:r w:rsidRPr="00380CA4">
        <w:rPr>
          <w:rStyle w:val="Hipervnculo"/>
          <w:rFonts w:ascii="Verdana" w:hAnsi="Verdana"/>
        </w:rPr>
        <w:t>@colombiacompraeficiente_cce</w:t>
      </w:r>
    </w:p>
    <w:p w14:paraId="31AF72FE" w14:textId="77777777" w:rsidR="00BB0CE5" w:rsidRPr="00380CA4" w:rsidRDefault="00BB0CE5" w:rsidP="00BB0CE5">
      <w:pPr>
        <w:spacing w:after="0" w:line="240" w:lineRule="auto"/>
        <w:jc w:val="both"/>
        <w:rPr>
          <w:rFonts w:ascii="Verdana" w:hAnsi="Verdana"/>
        </w:rPr>
      </w:pPr>
    </w:p>
    <w:p w14:paraId="32DB3D8F" w14:textId="77777777" w:rsidR="00BB0CE5" w:rsidRPr="00380CA4" w:rsidRDefault="00BB0CE5" w:rsidP="00BB0CE5">
      <w:pPr>
        <w:spacing w:after="0" w:line="256" w:lineRule="auto"/>
        <w:jc w:val="both"/>
        <w:rPr>
          <w:rFonts w:ascii="Verdana" w:eastAsia="Calibri" w:hAnsi="Verdana" w:cs="Times New Roman"/>
          <w:bCs/>
        </w:rPr>
      </w:pPr>
      <w:r w:rsidRPr="00380CA4">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FD57523" w14:textId="77777777" w:rsidR="00BB0CE5" w:rsidRPr="00380CA4" w:rsidRDefault="00BB0CE5" w:rsidP="00BB0CE5">
      <w:pPr>
        <w:spacing w:after="0" w:line="256" w:lineRule="auto"/>
        <w:jc w:val="both"/>
        <w:rPr>
          <w:rFonts w:ascii="Verdana" w:eastAsia="Calibri" w:hAnsi="Verdana" w:cs="Times New Roman"/>
        </w:rPr>
      </w:pPr>
    </w:p>
    <w:p w14:paraId="5AFB7F8D" w14:textId="77777777" w:rsidR="00BB0CE5" w:rsidRPr="00380CA4" w:rsidRDefault="00BB0CE5" w:rsidP="00BB0CE5">
      <w:pPr>
        <w:spacing w:after="0" w:line="256" w:lineRule="auto"/>
        <w:jc w:val="both"/>
        <w:rPr>
          <w:rFonts w:ascii="Verdana" w:eastAsia="Calibri" w:hAnsi="Verdana" w:cs="Times New Roman"/>
        </w:rPr>
      </w:pPr>
      <w:r w:rsidRPr="00380CA4">
        <w:rPr>
          <w:rFonts w:ascii="Verdana" w:eastAsia="Calibri" w:hAnsi="Verdana" w:cs="Times New Roman"/>
        </w:rPr>
        <w:t>Atentamente,</w:t>
      </w:r>
    </w:p>
    <w:p w14:paraId="7D593B21" w14:textId="77777777" w:rsidR="00BB0CE5" w:rsidRPr="00123807" w:rsidRDefault="00BB0CE5" w:rsidP="00BB0CE5">
      <w:pPr>
        <w:spacing w:after="0" w:line="256" w:lineRule="auto"/>
        <w:jc w:val="center"/>
        <w:rPr>
          <w:rFonts w:ascii="Century Gothic" w:hAnsi="Century Gothic"/>
          <w:noProof/>
          <w:sz w:val="20"/>
          <w:szCs w:val="20"/>
        </w:rPr>
      </w:pPr>
    </w:p>
    <w:p w14:paraId="633E6B4E" w14:textId="71B6FCA2" w:rsidR="00BB0CE5" w:rsidRPr="00123807" w:rsidRDefault="00A765B7" w:rsidP="00BB0CE5">
      <w:pPr>
        <w:spacing w:after="0" w:line="256" w:lineRule="auto"/>
        <w:jc w:val="center"/>
        <w:rPr>
          <w:noProof/>
          <w:sz w:val="20"/>
          <w:szCs w:val="20"/>
          <w:lang w:val="en-US"/>
        </w:rPr>
      </w:pPr>
      <w:r w:rsidRPr="002C3AD6">
        <w:rPr>
          <w:rFonts w:ascii="Century Gothic" w:hAnsi="Century Gothic"/>
          <w:noProof/>
          <w:lang w:val="en-US"/>
        </w:rPr>
        <w:drawing>
          <wp:inline distT="0" distB="0" distL="0" distR="0" wp14:anchorId="1406CDF6" wp14:editId="64181AA0">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312722" cy="1229722"/>
                    </a:xfrm>
                    <a:prstGeom prst="rect">
                      <a:avLst/>
                    </a:prstGeom>
                  </pic:spPr>
                </pic:pic>
              </a:graphicData>
            </a:graphic>
          </wp:inline>
        </w:drawing>
      </w:r>
    </w:p>
    <w:p w14:paraId="6CA77529" w14:textId="77777777" w:rsidR="00BB0CE5" w:rsidRPr="00366835" w:rsidRDefault="00BB0CE5" w:rsidP="00BB0CE5">
      <w:pPr>
        <w:spacing w:after="0" w:line="256" w:lineRule="auto"/>
        <w:jc w:val="center"/>
        <w:rPr>
          <w:rFonts w:ascii="Century Gothic" w:hAnsi="Century Gothic"/>
          <w:noProof/>
          <w:sz w:val="16"/>
          <w:szCs w:val="16"/>
        </w:rPr>
      </w:pPr>
      <w:r w:rsidRPr="00366835">
        <w:rPr>
          <w:rFonts w:ascii="Verdana" w:hAnsi="Verdana"/>
          <w:sz w:val="16"/>
          <w:szCs w:val="16"/>
        </w:rPr>
        <w:t xml:space="preserve"> </w:t>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BB0CE5" w:rsidRPr="00380CA4" w14:paraId="25889621" w14:textId="77777777" w:rsidTr="0043265A">
        <w:trPr>
          <w:trHeight w:val="409"/>
        </w:trPr>
        <w:tc>
          <w:tcPr>
            <w:tcW w:w="817" w:type="dxa"/>
            <w:tcBorders>
              <w:top w:val="nil"/>
              <w:left w:val="nil"/>
              <w:bottom w:val="nil"/>
              <w:right w:val="nil"/>
            </w:tcBorders>
            <w:vAlign w:val="center"/>
            <w:hideMark/>
          </w:tcPr>
          <w:p w14:paraId="6F46A053" w14:textId="77777777" w:rsidR="00BB0CE5" w:rsidRPr="00380CA4" w:rsidRDefault="00BB0CE5" w:rsidP="0043265A">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038188DE" w14:textId="77777777" w:rsidR="00BB0CE5" w:rsidRPr="00380CA4" w:rsidRDefault="00BB0CE5" w:rsidP="0043265A">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José Luis Sánchez Cardona</w:t>
            </w:r>
          </w:p>
          <w:p w14:paraId="1B6C51BE" w14:textId="77777777" w:rsidR="00BB0CE5" w:rsidRPr="00380CA4" w:rsidRDefault="00BB0CE5" w:rsidP="0043265A">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Contratista de la Subdirección de Gestión Contractual</w:t>
            </w:r>
          </w:p>
        </w:tc>
      </w:tr>
      <w:tr w:rsidR="00BB0CE5" w:rsidRPr="00380CA4" w14:paraId="00564499" w14:textId="77777777" w:rsidTr="0043265A">
        <w:trPr>
          <w:trHeight w:val="409"/>
        </w:trPr>
        <w:tc>
          <w:tcPr>
            <w:tcW w:w="817" w:type="dxa"/>
            <w:tcBorders>
              <w:top w:val="nil"/>
              <w:left w:val="nil"/>
              <w:bottom w:val="nil"/>
              <w:right w:val="nil"/>
            </w:tcBorders>
            <w:vAlign w:val="center"/>
            <w:hideMark/>
          </w:tcPr>
          <w:p w14:paraId="03F43AFF" w14:textId="77777777" w:rsidR="00BB0CE5" w:rsidRPr="00380CA4" w:rsidRDefault="00BB0CE5" w:rsidP="0043265A">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B87F54B" w14:textId="77777777" w:rsidR="00BB0CE5" w:rsidRPr="00380CA4" w:rsidRDefault="00BB0CE5" w:rsidP="0043265A">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Alejandro R. Sarmiento Cantillo</w:t>
            </w:r>
          </w:p>
          <w:p w14:paraId="39DA21FA" w14:textId="77777777" w:rsidR="00BB0CE5" w:rsidRPr="00380CA4" w:rsidRDefault="00BB0CE5" w:rsidP="0043265A">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Gestor T1-15 de la Subdirección de Gestión Contractual </w:t>
            </w:r>
          </w:p>
        </w:tc>
      </w:tr>
      <w:tr w:rsidR="00BB0CE5" w:rsidRPr="00380CA4" w14:paraId="61CA7441" w14:textId="77777777" w:rsidTr="0043265A">
        <w:trPr>
          <w:trHeight w:val="389"/>
        </w:trPr>
        <w:tc>
          <w:tcPr>
            <w:tcW w:w="817" w:type="dxa"/>
            <w:tcBorders>
              <w:top w:val="nil"/>
              <w:left w:val="nil"/>
              <w:bottom w:val="nil"/>
              <w:right w:val="nil"/>
            </w:tcBorders>
            <w:vAlign w:val="center"/>
            <w:hideMark/>
          </w:tcPr>
          <w:p w14:paraId="08924DB8" w14:textId="77777777" w:rsidR="00BB0CE5" w:rsidRPr="00380CA4" w:rsidRDefault="00BB0CE5" w:rsidP="0043265A">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FBC3ECB" w14:textId="77777777" w:rsidR="00BB0CE5" w:rsidRPr="00380CA4" w:rsidRDefault="00BB0CE5" w:rsidP="0043265A">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Carolina Quintero Gacharná</w:t>
            </w:r>
          </w:p>
          <w:p w14:paraId="23C1EDBF" w14:textId="77777777" w:rsidR="00BB0CE5" w:rsidRPr="00380CA4" w:rsidRDefault="00BB0CE5" w:rsidP="0043265A">
            <w:pPr>
              <w:spacing w:after="0" w:line="256" w:lineRule="auto"/>
              <w:rPr>
                <w:rFonts w:ascii="Verdana" w:eastAsia="Calibri" w:hAnsi="Verdana" w:cs="Times New Roman"/>
                <w:sz w:val="16"/>
                <w:szCs w:val="16"/>
              </w:rPr>
            </w:pPr>
            <w:r w:rsidRPr="00380CA4">
              <w:rPr>
                <w:rFonts w:ascii="Verdana" w:eastAsia="Calibri" w:hAnsi="Verdana" w:cs="Times New Roman"/>
                <w:sz w:val="16"/>
                <w:szCs w:val="16"/>
              </w:rPr>
              <w:t>Subdirectora de Gestión Contractual ANCP – CCE</w:t>
            </w:r>
          </w:p>
        </w:tc>
      </w:tr>
    </w:tbl>
    <w:p w14:paraId="2EDAC079" w14:textId="77777777" w:rsidR="00BB0CE5" w:rsidRPr="00374584" w:rsidRDefault="00BB0CE5" w:rsidP="00BB0CE5">
      <w:pPr>
        <w:widowControl w:val="0"/>
        <w:autoSpaceDE w:val="0"/>
        <w:autoSpaceDN w:val="0"/>
        <w:spacing w:after="0" w:line="276" w:lineRule="auto"/>
        <w:jc w:val="both"/>
      </w:pPr>
    </w:p>
    <w:p w14:paraId="1916BA26" w14:textId="3F321E61" w:rsidR="00BB0CE5" w:rsidRPr="000E2B93" w:rsidRDefault="00BB0CE5" w:rsidP="00BB0CE5">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73C61EC8" w14:textId="6A1B3BE9" w:rsidR="00EB224C" w:rsidRPr="00BB0CE5" w:rsidRDefault="00EB224C" w:rsidP="00BB0CE5"/>
    <w:sectPr w:rsidR="00EB224C" w:rsidRPr="00BB0CE5"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B7BD0C" w14:textId="77777777" w:rsidR="009565A3" w:rsidRDefault="009565A3" w:rsidP="004A1847">
      <w:pPr>
        <w:spacing w:after="0" w:line="240" w:lineRule="auto"/>
      </w:pPr>
      <w:r>
        <w:separator/>
      </w:r>
    </w:p>
  </w:endnote>
  <w:endnote w:type="continuationSeparator" w:id="0">
    <w:p w14:paraId="1318412B" w14:textId="77777777" w:rsidR="009565A3" w:rsidRDefault="009565A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CIDFont+F1">
    <w:altName w:val="Calibri"/>
    <w:charset w:val="00"/>
    <w:family w:val="auto"/>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imes-Italic">
    <w:panose1 w:val="00000000000000000000"/>
    <w:charset w:val="00"/>
    <w:family w:val="roman"/>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9B3C20" w:rsidRDefault="009B3C20">
    <w:pPr>
      <w:pStyle w:val="Piedepgina"/>
    </w:pPr>
  </w:p>
  <w:p w14:paraId="594D6D9F" w14:textId="15AA3CEA" w:rsidR="009B3C20" w:rsidRPr="00174B77" w:rsidRDefault="009B3C20"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4B7A3E" w:rsidRPr="004B7A3E">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9B3C20" w:rsidRDefault="009B3C20"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9B3C20" w:rsidRPr="00E41027" w:rsidRDefault="009B3C20"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9B3C20" w:rsidRDefault="009B3C20">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7516B3" w14:textId="77777777" w:rsidR="009565A3" w:rsidRDefault="009565A3" w:rsidP="004A1847">
      <w:pPr>
        <w:spacing w:after="0" w:line="240" w:lineRule="auto"/>
      </w:pPr>
      <w:r>
        <w:separator/>
      </w:r>
    </w:p>
  </w:footnote>
  <w:footnote w:type="continuationSeparator" w:id="0">
    <w:p w14:paraId="2A23C5A4" w14:textId="77777777" w:rsidR="009565A3" w:rsidRDefault="009565A3" w:rsidP="004A1847">
      <w:pPr>
        <w:spacing w:after="0" w:line="240" w:lineRule="auto"/>
      </w:pPr>
      <w:r>
        <w:continuationSeparator/>
      </w:r>
    </w:p>
  </w:footnote>
  <w:footnote w:id="1">
    <w:p w14:paraId="0135A0AB" w14:textId="77777777" w:rsidR="00BB0CE5" w:rsidRPr="00F73D92" w:rsidRDefault="00BB0CE5" w:rsidP="00BB0CE5">
      <w:pPr>
        <w:pStyle w:val="Textonotapie"/>
        <w:ind w:firstLine="708"/>
        <w:jc w:val="both"/>
        <w:rPr>
          <w:rFonts w:ascii="Verdana" w:hAnsi="Verdana" w:cs="Arial"/>
          <w:sz w:val="16"/>
          <w:szCs w:val="16"/>
        </w:rPr>
      </w:pPr>
      <w:r w:rsidRPr="00F73D92">
        <w:rPr>
          <w:rStyle w:val="Refdenotaalpie"/>
          <w:rFonts w:ascii="Verdana" w:hAnsi="Verdana" w:cs="Arial"/>
          <w:sz w:val="16"/>
          <w:szCs w:val="16"/>
        </w:rPr>
        <w:footnoteRef/>
      </w:r>
      <w:r>
        <w:rPr>
          <w:rFonts w:ascii="Verdana" w:hAnsi="Verdana" w:cs="Arial"/>
          <w:sz w:val="16"/>
          <w:szCs w:val="16"/>
        </w:rPr>
        <w:t xml:space="preserve"> “</w:t>
      </w:r>
      <w:r w:rsidRPr="00F73D92">
        <w:rPr>
          <w:rFonts w:ascii="Verdana" w:hAnsi="Verdana" w:cs="Arial"/>
          <w:sz w:val="16"/>
          <w:szCs w:val="16"/>
        </w:rPr>
        <w:t>El instrumento principal de la actividad financiera del gobierno es el presupuesto público, el cual es también la carta de orientación para la ejecución de las finanzas estatales, instrumento de planificación y cumplimiento de planes y programas que refleja la actividad gubernamental y el cumplimiento de la Constitución Política en los ámbitos políticos, económicos, jurídicos y sociales. […] El presupuesto enmarca toda la práctica de política fiscal del Estado. Por medio de éste se llevan a cabo la búsqueda y el cumplimiento de principios y finalidades de la actuación administrativa, y que (sic) en últimas, orienta la satisfacción de necesidades de los individuos que lo conforman y se garantizan los recursos necesarios para el normal funcionamiento del apa</w:t>
      </w:r>
      <w:r>
        <w:rPr>
          <w:rFonts w:ascii="Verdana" w:hAnsi="Verdana" w:cs="Arial"/>
          <w:sz w:val="16"/>
          <w:szCs w:val="16"/>
        </w:rPr>
        <w:t>rato estatal”.</w:t>
      </w:r>
      <w:r w:rsidRPr="00F73D92">
        <w:rPr>
          <w:rFonts w:ascii="Verdana" w:hAnsi="Verdana" w:cs="Arial"/>
          <w:sz w:val="16"/>
          <w:szCs w:val="16"/>
        </w:rPr>
        <w:t xml:space="preserve"> PEÑA GONZÁLEZ, Edilberto. Principios e instituciones presupuestales en Colombia, en: Estudios Socio-Jurídicos, Bogotá (Colombia), 9 (1), enero-junio de 2007, p. 248 y 250.</w:t>
      </w:r>
    </w:p>
  </w:footnote>
  <w:footnote w:id="2">
    <w:p w14:paraId="01616F8E" w14:textId="77777777" w:rsidR="00BB0CE5" w:rsidRPr="00F73D92" w:rsidRDefault="00BB0CE5" w:rsidP="00BB0CE5">
      <w:pPr>
        <w:pStyle w:val="Textonotapie"/>
        <w:ind w:firstLine="708"/>
        <w:jc w:val="both"/>
        <w:rPr>
          <w:rFonts w:ascii="Verdana" w:hAnsi="Verdana" w:cs="Arial"/>
          <w:sz w:val="16"/>
          <w:szCs w:val="16"/>
        </w:rPr>
      </w:pPr>
      <w:r w:rsidRPr="00F73D92">
        <w:rPr>
          <w:rStyle w:val="Refdenotaalpie"/>
          <w:rFonts w:ascii="Verdana" w:hAnsi="Verdana" w:cs="Arial"/>
          <w:sz w:val="16"/>
          <w:szCs w:val="16"/>
        </w:rPr>
        <w:footnoteRef/>
      </w:r>
      <w:r w:rsidRPr="00F73D92">
        <w:rPr>
          <w:rFonts w:ascii="Verdana" w:hAnsi="Verdana" w:cs="Arial"/>
          <w:sz w:val="16"/>
          <w:szCs w:val="16"/>
        </w:rPr>
        <w:t xml:space="preserve"> De conformidad con lo dispuesto en el artículo 10 del Decreto 111 </w:t>
      </w:r>
      <w:r>
        <w:rPr>
          <w:rFonts w:ascii="Verdana" w:hAnsi="Verdana" w:cs="Arial"/>
          <w:sz w:val="16"/>
          <w:szCs w:val="16"/>
        </w:rPr>
        <w:t>de 1996 “</w:t>
      </w:r>
      <w:r w:rsidRPr="00F73D92">
        <w:rPr>
          <w:rFonts w:ascii="Verdana" w:hAnsi="Verdana" w:cs="Arial"/>
          <w:sz w:val="16"/>
          <w:szCs w:val="16"/>
        </w:rPr>
        <w:t>La Ley Anual sobre el Presupuesto General de la Nación es el instrumento para el cumplimiento de los planes y programas de</w:t>
      </w:r>
      <w:r>
        <w:rPr>
          <w:rFonts w:ascii="Verdana" w:hAnsi="Verdana" w:cs="Arial"/>
          <w:sz w:val="16"/>
          <w:szCs w:val="16"/>
        </w:rPr>
        <w:t xml:space="preserve"> desarrollo económico y social”</w:t>
      </w:r>
      <w:r w:rsidRPr="00F73D92">
        <w:rPr>
          <w:rFonts w:ascii="Verdana" w:hAnsi="Verdana" w:cs="Arial"/>
          <w:sz w:val="16"/>
          <w:szCs w:val="16"/>
        </w:rPr>
        <w:t xml:space="preserve"> </w:t>
      </w:r>
    </w:p>
    <w:p w14:paraId="12014D3E" w14:textId="77777777" w:rsidR="00BB0CE5" w:rsidRPr="00F73D92" w:rsidRDefault="00BB0CE5" w:rsidP="00BB0CE5">
      <w:pPr>
        <w:pStyle w:val="Textonotapie"/>
        <w:ind w:firstLine="708"/>
        <w:jc w:val="both"/>
        <w:rPr>
          <w:rFonts w:ascii="Verdana" w:hAnsi="Verdana" w:cs="Arial"/>
          <w:sz w:val="16"/>
          <w:szCs w:val="16"/>
        </w:rPr>
      </w:pPr>
      <w:r w:rsidRPr="00F73D92">
        <w:rPr>
          <w:rFonts w:ascii="Verdana" w:hAnsi="Verdana" w:cs="Arial"/>
          <w:sz w:val="16"/>
          <w:szCs w:val="16"/>
        </w:rPr>
        <w:t>A su turno, el artículo 1</w:t>
      </w:r>
      <w:r>
        <w:rPr>
          <w:rFonts w:ascii="Verdana" w:hAnsi="Verdana" w:cs="Arial"/>
          <w:sz w:val="16"/>
          <w:szCs w:val="16"/>
        </w:rPr>
        <w:t>1 del mismo Decreto indica que “</w:t>
      </w:r>
      <w:r w:rsidRPr="00F73D92">
        <w:rPr>
          <w:rFonts w:ascii="Verdana" w:hAnsi="Verdana" w:cs="Arial"/>
          <w:sz w:val="16"/>
          <w:szCs w:val="16"/>
        </w:rPr>
        <w:t>El Presupuesto General de la Nación se compone de las siguientes partes:</w:t>
      </w:r>
    </w:p>
    <w:p w14:paraId="56FCFA68" w14:textId="77777777" w:rsidR="00BB0CE5" w:rsidRPr="00F73D92" w:rsidRDefault="00BB0CE5" w:rsidP="00BB0CE5">
      <w:pPr>
        <w:pStyle w:val="Textonotapie"/>
        <w:ind w:firstLine="708"/>
        <w:jc w:val="both"/>
        <w:rPr>
          <w:rFonts w:ascii="Verdana" w:hAnsi="Verdana" w:cs="Arial"/>
          <w:sz w:val="16"/>
          <w:szCs w:val="16"/>
        </w:rPr>
      </w:pPr>
      <w:r w:rsidRPr="00F73D92">
        <w:rPr>
          <w:rFonts w:ascii="Verdana" w:hAnsi="Verdana" w:cs="Arial"/>
          <w:sz w:val="16"/>
          <w:szCs w:val="16"/>
        </w:rPr>
        <w:t>a) El Presupuesto de Rentas contendrá la estimación de los ingresos corrientes de la Nación; de las contribuciones para fiscales cuando sean administradas por un órgano que haga parte del Presupuesto, de los fondos especiales, de los recursos de capital y de los ingresos de los establecimientos públicos del orden nacional;</w:t>
      </w:r>
    </w:p>
    <w:p w14:paraId="421F3FC9" w14:textId="77777777" w:rsidR="00BB0CE5" w:rsidRPr="00F73D92" w:rsidRDefault="00BB0CE5" w:rsidP="00BB0CE5">
      <w:pPr>
        <w:pStyle w:val="Textonotapie"/>
        <w:ind w:firstLine="708"/>
        <w:jc w:val="both"/>
        <w:rPr>
          <w:rFonts w:ascii="Verdana" w:hAnsi="Verdana" w:cs="Arial"/>
          <w:sz w:val="16"/>
          <w:szCs w:val="16"/>
        </w:rPr>
      </w:pPr>
      <w:r w:rsidRPr="00F73D92">
        <w:rPr>
          <w:rFonts w:ascii="Verdana" w:hAnsi="Verdana" w:cs="Arial"/>
          <w:sz w:val="16"/>
          <w:szCs w:val="16"/>
        </w:rPr>
        <w:t>b) El Presupuesto de Gastos o Ley de Apropiaciones. Incluirá las apropiaciones para la Rama Judicial, la Rama Legislativa, la Fiscalía General de la Nación, la Procuraduría General de la Nación, la Defensoría del Pueblo, la Contraloría General de la República, la Registraduría Nacional del Estado Civil que incluye el Consejo Nacional Electoral, los Ministerios, los Departamentos Administrativos, los Establecimientos Públicos y la Policía Nacional, distinguiendo entre gastos de funcionamiento, servicio de la deuda pública y gastos de inversión, clasificados y detallados en la forma que indiquen los reglamentos;</w:t>
      </w:r>
    </w:p>
    <w:p w14:paraId="43DED5A4" w14:textId="77777777" w:rsidR="00BB0CE5" w:rsidRPr="00F73D92" w:rsidRDefault="00BB0CE5" w:rsidP="00BB0CE5">
      <w:pPr>
        <w:pStyle w:val="Textonotapie"/>
        <w:ind w:firstLine="708"/>
        <w:jc w:val="both"/>
        <w:rPr>
          <w:rFonts w:ascii="Verdana" w:hAnsi="Verdana" w:cs="Arial"/>
          <w:sz w:val="16"/>
          <w:szCs w:val="16"/>
          <w:lang w:val="es-CO"/>
        </w:rPr>
      </w:pPr>
      <w:r w:rsidRPr="00F73D92">
        <w:rPr>
          <w:rFonts w:ascii="Verdana" w:hAnsi="Verdana" w:cs="Arial"/>
          <w:sz w:val="16"/>
          <w:szCs w:val="16"/>
        </w:rPr>
        <w:t xml:space="preserve"> c) Disposiciones generales. Corresponde a las normas tendientes a asegurar la correcta ejecución del Presupuesto General de la Nación, las cuales regirán únicamente para el año fiscal para el cual se expidan.»</w:t>
      </w:r>
    </w:p>
  </w:footnote>
  <w:footnote w:id="3">
    <w:p w14:paraId="56B6C354" w14:textId="77777777" w:rsidR="00BB0CE5" w:rsidRPr="00F73D92" w:rsidRDefault="00BB0CE5" w:rsidP="00BB0CE5">
      <w:pPr>
        <w:pStyle w:val="Textonotapie"/>
        <w:ind w:firstLine="709"/>
        <w:jc w:val="both"/>
        <w:rPr>
          <w:rFonts w:ascii="Verdana" w:hAnsi="Verdana"/>
          <w:sz w:val="16"/>
          <w:szCs w:val="16"/>
          <w:lang w:val="es-CO"/>
        </w:rPr>
      </w:pPr>
      <w:r w:rsidRPr="00F73D92">
        <w:rPr>
          <w:rStyle w:val="Refdenotaalpie"/>
          <w:rFonts w:ascii="Verdana" w:hAnsi="Verdana" w:cs="Arial"/>
          <w:sz w:val="16"/>
          <w:szCs w:val="16"/>
        </w:rPr>
        <w:footnoteRef/>
      </w:r>
      <w:r>
        <w:rPr>
          <w:rFonts w:ascii="Verdana" w:hAnsi="Verdana" w:cs="Arial"/>
          <w:sz w:val="16"/>
          <w:szCs w:val="16"/>
        </w:rPr>
        <w:t xml:space="preserve"> Decreto 1068 de 2015 “</w:t>
      </w:r>
      <w:r w:rsidRPr="00F73D92">
        <w:rPr>
          <w:rFonts w:ascii="Verdana" w:hAnsi="Verdana" w:cs="Arial"/>
          <w:sz w:val="16"/>
          <w:szCs w:val="16"/>
          <w:lang w:val="es-CO"/>
        </w:rPr>
        <w:t>Artículo </w:t>
      </w:r>
      <w:bookmarkStart w:id="2" w:name="2.8.3.4"/>
      <w:bookmarkEnd w:id="2"/>
      <w:r w:rsidRPr="00F73D92">
        <w:rPr>
          <w:rFonts w:ascii="Verdana" w:hAnsi="Verdana" w:cs="Arial"/>
          <w:sz w:val="16"/>
          <w:szCs w:val="16"/>
          <w:lang w:val="es-CO"/>
        </w:rPr>
        <w:t>2.8.3.4. </w:t>
      </w:r>
      <w:r w:rsidRPr="00F73D92">
        <w:rPr>
          <w:rFonts w:ascii="Verdana" w:hAnsi="Verdana" w:cs="Arial"/>
          <w:i/>
          <w:iCs/>
          <w:sz w:val="16"/>
          <w:szCs w:val="16"/>
          <w:lang w:val="es-CO"/>
        </w:rPr>
        <w:t>Anualidad.</w:t>
      </w:r>
      <w:r w:rsidRPr="00F73D92">
        <w:rPr>
          <w:rFonts w:ascii="Verdana" w:hAnsi="Verdana" w:cs="Arial"/>
          <w:sz w:val="16"/>
          <w:szCs w:val="16"/>
          <w:lang w:val="es-CO"/>
        </w:rPr>
        <w:t> El año fiscal comienza el 1 de enero y termina el 31 de diciembre de cada año. Después del 31 de diciembre no podrán asumirse compromisos con cargo a las apropiaciones del año fiscal que se cierra en esa fecha y los saldos de apropiación no afectados por compromisos caducarán sin excepción</w:t>
      </w:r>
      <w:r>
        <w:rPr>
          <w:rFonts w:ascii="Verdana" w:hAnsi="Verdana" w:cs="Arial"/>
          <w:sz w:val="16"/>
          <w:szCs w:val="16"/>
          <w:lang w:val="es-CO"/>
        </w:rPr>
        <w:t>”</w:t>
      </w:r>
      <w:r w:rsidRPr="00F73D92">
        <w:rPr>
          <w:rFonts w:ascii="Verdana" w:hAnsi="Verdana" w:cs="Arial"/>
          <w:sz w:val="16"/>
          <w:szCs w:val="16"/>
          <w:lang w:val="es-CO"/>
        </w:rPr>
        <w:t>.</w:t>
      </w:r>
    </w:p>
  </w:footnote>
  <w:footnote w:id="4">
    <w:p w14:paraId="3C7043AF" w14:textId="77777777" w:rsidR="00BB0CE5" w:rsidRPr="00F73D92" w:rsidRDefault="00BB0CE5" w:rsidP="00BB0CE5">
      <w:pPr>
        <w:pStyle w:val="Textonotapie"/>
        <w:ind w:right="49" w:firstLine="708"/>
        <w:jc w:val="both"/>
        <w:rPr>
          <w:rFonts w:ascii="Verdana" w:hAnsi="Verdana" w:cs="Arial"/>
          <w:color w:val="000000"/>
          <w:sz w:val="16"/>
          <w:szCs w:val="16"/>
        </w:rPr>
      </w:pPr>
      <w:r w:rsidRPr="00F73D92">
        <w:rPr>
          <w:rStyle w:val="Refdenotaalpie"/>
          <w:rFonts w:ascii="Verdana" w:hAnsi="Verdana"/>
          <w:sz w:val="16"/>
          <w:szCs w:val="16"/>
        </w:rPr>
        <w:footnoteRef/>
      </w:r>
      <w:r w:rsidRPr="00F73D92">
        <w:rPr>
          <w:rFonts w:ascii="Verdana" w:hAnsi="Verdana"/>
          <w:sz w:val="16"/>
          <w:szCs w:val="16"/>
        </w:rPr>
        <w:t xml:space="preserve"> </w:t>
      </w:r>
      <w:r w:rsidRPr="00F73D92">
        <w:rPr>
          <w:rFonts w:ascii="Verdana" w:hAnsi="Verdana" w:cs="Arial"/>
          <w:color w:val="000000"/>
          <w:sz w:val="16"/>
          <w:szCs w:val="16"/>
        </w:rPr>
        <w:t>Consejo de Estado. Sección Tercera. Sentencia del 1 de febrero de 2018. Radicado Nro.</w:t>
      </w:r>
      <w:r w:rsidRPr="00F73D92">
        <w:rPr>
          <w:rFonts w:ascii="Verdana" w:hAnsi="Verdana" w:cs="Arial"/>
          <w:color w:val="000000"/>
          <w:sz w:val="16"/>
          <w:szCs w:val="16"/>
          <w:lang w:val="es-CO"/>
        </w:rPr>
        <w:t xml:space="preserve"> 08001-2331-000-2010-00987-01</w:t>
      </w:r>
      <w:r w:rsidRPr="00F73D92">
        <w:rPr>
          <w:rFonts w:ascii="Verdana" w:hAnsi="Verdana" w:cs="Arial"/>
          <w:color w:val="000000"/>
          <w:sz w:val="16"/>
          <w:szCs w:val="16"/>
        </w:rPr>
        <w:t xml:space="preserve">. C.P. </w:t>
      </w:r>
      <w:r w:rsidRPr="00F73D92">
        <w:rPr>
          <w:rFonts w:ascii="Verdana" w:hAnsi="Verdana" w:cs="Arial"/>
          <w:color w:val="000000"/>
          <w:sz w:val="16"/>
          <w:szCs w:val="16"/>
          <w:lang w:val="es-CO"/>
        </w:rPr>
        <w:t>Oswaldo Giraldo López</w:t>
      </w:r>
    </w:p>
    <w:p w14:paraId="39E16611" w14:textId="77777777" w:rsidR="00BB0CE5" w:rsidRPr="00F73D92" w:rsidRDefault="00BB0CE5" w:rsidP="00BB0CE5">
      <w:pPr>
        <w:pStyle w:val="Textonotapie"/>
        <w:jc w:val="both"/>
        <w:rPr>
          <w:rFonts w:ascii="Verdana" w:hAnsi="Verdana"/>
          <w:sz w:val="16"/>
          <w:szCs w:val="16"/>
          <w:lang w:val="es-CO"/>
        </w:rPr>
      </w:pPr>
    </w:p>
  </w:footnote>
  <w:footnote w:id="5">
    <w:p w14:paraId="17157DAF" w14:textId="77777777" w:rsidR="00BB0CE5" w:rsidRPr="004746C4" w:rsidRDefault="00BB0CE5" w:rsidP="00BB0CE5">
      <w:pPr>
        <w:pStyle w:val="Textonotapie"/>
        <w:ind w:firstLine="708"/>
        <w:rPr>
          <w:rFonts w:ascii="Verdana" w:hAnsi="Verdana"/>
          <w:sz w:val="16"/>
          <w:szCs w:val="16"/>
          <w:lang w:val="es-ES"/>
        </w:rPr>
      </w:pPr>
      <w:r w:rsidRPr="004746C4">
        <w:rPr>
          <w:rStyle w:val="Refdenotaalpie"/>
          <w:rFonts w:ascii="Verdana" w:hAnsi="Verdana"/>
          <w:sz w:val="16"/>
          <w:szCs w:val="16"/>
        </w:rPr>
        <w:footnoteRef/>
      </w:r>
      <w:r w:rsidRPr="004746C4">
        <w:rPr>
          <w:rStyle w:val="Refdenotaalpie"/>
          <w:rFonts w:ascii="Verdana" w:hAnsi="Verdana"/>
          <w:sz w:val="16"/>
          <w:szCs w:val="16"/>
        </w:rPr>
        <w:footnoteRef/>
      </w:r>
      <w:r w:rsidRPr="004746C4">
        <w:rPr>
          <w:rFonts w:ascii="Verdana" w:hAnsi="Verdana"/>
          <w:sz w:val="16"/>
          <w:szCs w:val="16"/>
        </w:rPr>
        <w:t xml:space="preserve"> NARANJO FLORES, Carlos Eduardo; CELY CUBIDES, Diego Mauricio. Las excepciones al principio de anualidad en la contratación estatal. Bogotá: Revista de Derecho Fiscal Universidad Externado de Colombia, 2008, no 4. pp. 250-251. </w:t>
      </w:r>
    </w:p>
  </w:footnote>
  <w:footnote w:id="6">
    <w:p w14:paraId="2E835E71" w14:textId="77777777" w:rsidR="00BB0CE5" w:rsidRPr="004746C4" w:rsidRDefault="00BB0CE5" w:rsidP="00BB0CE5">
      <w:pPr>
        <w:pStyle w:val="Textonotapie"/>
        <w:ind w:firstLine="709"/>
        <w:jc w:val="both"/>
        <w:rPr>
          <w:rFonts w:ascii="Verdana" w:hAnsi="Verdana" w:cs="Arial"/>
          <w:sz w:val="16"/>
          <w:szCs w:val="16"/>
          <w:lang w:val="es-CO"/>
        </w:rPr>
      </w:pPr>
      <w:r w:rsidRPr="004746C4">
        <w:rPr>
          <w:rStyle w:val="Refdenotaalpie"/>
          <w:rFonts w:ascii="Verdana" w:hAnsi="Verdana" w:cs="Arial"/>
          <w:sz w:val="16"/>
          <w:szCs w:val="16"/>
        </w:rPr>
        <w:footnoteRef/>
      </w:r>
      <w:r w:rsidRPr="004746C4">
        <w:rPr>
          <w:rFonts w:ascii="Verdana" w:hAnsi="Verdana" w:cs="Arial"/>
          <w:sz w:val="16"/>
          <w:szCs w:val="16"/>
        </w:rPr>
        <w:t xml:space="preserve"> </w:t>
      </w:r>
      <w:bookmarkStart w:id="3" w:name="23"/>
      <w:r>
        <w:rPr>
          <w:rFonts w:ascii="Verdana" w:eastAsia="Calibri" w:hAnsi="Verdana" w:cs="Arial"/>
          <w:sz w:val="16"/>
          <w:szCs w:val="16"/>
          <w:lang w:val="es-ES_tradnl"/>
        </w:rPr>
        <w:t>“</w:t>
      </w:r>
      <w:r w:rsidRPr="004746C4">
        <w:rPr>
          <w:rFonts w:ascii="Verdana" w:hAnsi="Verdana" w:cs="Arial"/>
          <w:sz w:val="16"/>
          <w:szCs w:val="16"/>
          <w:lang w:val="es-CO"/>
        </w:rPr>
        <w:t>Artículo 23.</w:t>
      </w:r>
      <w:bookmarkEnd w:id="3"/>
      <w:r w:rsidRPr="004746C4">
        <w:rPr>
          <w:rFonts w:ascii="Verdana" w:hAnsi="Verdana" w:cs="Arial"/>
          <w:sz w:val="16"/>
          <w:szCs w:val="16"/>
          <w:lang w:val="es-CO"/>
        </w:rPr>
        <w:t xml:space="preserve"> El Confis podrá autorizar la asunción de obligaciones que afecten presupuestos de vigencias futuras cuando su ejecución se inicie con presupuesto de la vigencia en curso y el objeto del compromiso se lleve a cabo en cada una de ellas siempre y cuando se cumpla que:</w:t>
      </w:r>
    </w:p>
    <w:p w14:paraId="00CAF3EA" w14:textId="77777777" w:rsidR="00BB0CE5" w:rsidRPr="004746C4" w:rsidRDefault="00BB0CE5" w:rsidP="00BB0CE5">
      <w:pPr>
        <w:pStyle w:val="Textonotapie"/>
        <w:ind w:firstLine="567"/>
        <w:jc w:val="both"/>
        <w:rPr>
          <w:rFonts w:ascii="Verdana" w:hAnsi="Verdana" w:cs="Arial"/>
          <w:sz w:val="16"/>
          <w:szCs w:val="16"/>
          <w:lang w:val="es-CO"/>
        </w:rPr>
      </w:pPr>
      <w:r w:rsidRPr="004746C4">
        <w:rPr>
          <w:rFonts w:ascii="Verdana" w:hAnsi="Verdana" w:cs="Arial"/>
          <w:sz w:val="16"/>
          <w:szCs w:val="16"/>
          <w:lang w:val="es-CO"/>
        </w:rPr>
        <w:t>a) El monto máximo de vigencias futuras, el plazo y las condiciones de las mismas consulte las metas plurianuales del Marco Fiscal de Mediano Plazo de que trata el artículo </w:t>
      </w:r>
      <w:hyperlink r:id="rId1" w:anchor="1" w:history="1">
        <w:r w:rsidRPr="004746C4">
          <w:rPr>
            <w:rStyle w:val="Hipervnculo"/>
            <w:rFonts w:ascii="Verdana" w:hAnsi="Verdana" w:cs="Arial"/>
            <w:sz w:val="16"/>
            <w:szCs w:val="16"/>
            <w:lang w:val="es-CO"/>
          </w:rPr>
          <w:t>1</w:t>
        </w:r>
      </w:hyperlink>
      <w:r w:rsidRPr="004746C4">
        <w:rPr>
          <w:rFonts w:ascii="Verdana" w:hAnsi="Verdana" w:cs="Arial"/>
          <w:sz w:val="16"/>
          <w:szCs w:val="16"/>
          <w:lang w:val="es-CO"/>
        </w:rPr>
        <w:t>o de esta ley;</w:t>
      </w:r>
    </w:p>
    <w:p w14:paraId="04FC09D7" w14:textId="77777777" w:rsidR="00BB0CE5" w:rsidRPr="004746C4" w:rsidRDefault="00BB0CE5" w:rsidP="00BB0CE5">
      <w:pPr>
        <w:pStyle w:val="Textonotapie"/>
        <w:ind w:firstLine="567"/>
        <w:jc w:val="both"/>
        <w:rPr>
          <w:rFonts w:ascii="Verdana" w:hAnsi="Verdana" w:cs="Arial"/>
          <w:sz w:val="16"/>
          <w:szCs w:val="16"/>
          <w:lang w:val="es-CO"/>
        </w:rPr>
      </w:pPr>
      <w:r w:rsidRPr="004746C4">
        <w:rPr>
          <w:rFonts w:ascii="Verdana" w:hAnsi="Verdana" w:cs="Arial"/>
          <w:sz w:val="16"/>
          <w:szCs w:val="16"/>
          <w:lang w:val="es-CO"/>
        </w:rPr>
        <w:t>b) Como mínimo, de las vigencias futuras que se soliciten se deberá contar con apropiación del quince por ciento (15%) en la vigencia fiscal en la que estas sean autorizadas;</w:t>
      </w:r>
    </w:p>
    <w:p w14:paraId="54122890" w14:textId="77777777" w:rsidR="00BB0CE5" w:rsidRPr="004746C4" w:rsidRDefault="00BB0CE5" w:rsidP="00BB0CE5">
      <w:pPr>
        <w:pStyle w:val="Textonotapie"/>
        <w:ind w:firstLine="567"/>
        <w:jc w:val="both"/>
        <w:rPr>
          <w:rFonts w:ascii="Verdana" w:hAnsi="Verdana" w:cs="Arial"/>
          <w:sz w:val="16"/>
          <w:szCs w:val="16"/>
          <w:lang w:val="es-CO"/>
        </w:rPr>
      </w:pPr>
      <w:r w:rsidRPr="004746C4">
        <w:rPr>
          <w:rFonts w:ascii="Verdana" w:hAnsi="Verdana" w:cs="Arial"/>
          <w:sz w:val="16"/>
          <w:szCs w:val="16"/>
          <w:lang w:val="es-CO"/>
        </w:rPr>
        <w:t>c) Cuando se trate de proyectos de inversión nacional deberá obtenerse el concepto previo y favorable del Departamento Nacional de Planeación y del Ministerio del ramo.</w:t>
      </w:r>
    </w:p>
    <w:p w14:paraId="57AB0F22" w14:textId="77777777" w:rsidR="00BB0CE5" w:rsidRPr="004746C4" w:rsidRDefault="00BB0CE5" w:rsidP="00BB0CE5">
      <w:pPr>
        <w:pStyle w:val="Textonotapie"/>
        <w:jc w:val="both"/>
        <w:rPr>
          <w:rFonts w:ascii="Verdana" w:hAnsi="Verdana" w:cs="Arial"/>
          <w:sz w:val="16"/>
          <w:szCs w:val="16"/>
          <w:lang w:val="es-CO"/>
        </w:rPr>
      </w:pPr>
      <w:r w:rsidRPr="004746C4">
        <w:rPr>
          <w:rFonts w:ascii="Verdana" w:hAnsi="Verdana" w:cs="Arial"/>
          <w:sz w:val="16"/>
          <w:szCs w:val="16"/>
          <w:lang w:val="es-CO"/>
        </w:rPr>
        <w:t>La autorización por parte del Confis para comprometer presupuesto con cargo a vigencias futuras no podrá superar el respectivo período de gobierno. Se exceptúan los proyectos de gastos de inversión en aquellos casos en que el Conpes previamente los declare de importancia estratégica.</w:t>
      </w:r>
    </w:p>
    <w:p w14:paraId="58707EBD" w14:textId="77777777" w:rsidR="00BB0CE5" w:rsidRPr="008E2FF6" w:rsidRDefault="00BB0CE5" w:rsidP="00BB0CE5">
      <w:pPr>
        <w:pStyle w:val="Textonotapie"/>
        <w:jc w:val="both"/>
        <w:rPr>
          <w:rFonts w:ascii="Verdana" w:hAnsi="Verdana" w:cs="Arial"/>
          <w:sz w:val="16"/>
          <w:szCs w:val="16"/>
          <w:lang w:val="es-CO"/>
        </w:rPr>
      </w:pPr>
      <w:r w:rsidRPr="008E2FF6">
        <w:rPr>
          <w:rFonts w:ascii="Verdana" w:hAnsi="Verdana" w:cs="Arial"/>
          <w:sz w:val="16"/>
          <w:szCs w:val="16"/>
          <w:lang w:val="es-CO"/>
        </w:rPr>
        <w:t>Esta disposición también se aplicará a las entidades de que trata el artículo 9o de la presente ley. El Gobierno reglamentará la materia.</w:t>
      </w:r>
    </w:p>
    <w:p w14:paraId="6EBB0E5F" w14:textId="77777777" w:rsidR="00BB0CE5" w:rsidRPr="008E2FF6" w:rsidRDefault="00BB0CE5" w:rsidP="00BB0CE5">
      <w:pPr>
        <w:pStyle w:val="Textonotapie"/>
        <w:ind w:firstLine="709"/>
        <w:jc w:val="both"/>
        <w:rPr>
          <w:rFonts w:ascii="Verdana" w:hAnsi="Verdana" w:cs="Arial"/>
          <w:sz w:val="16"/>
          <w:szCs w:val="16"/>
          <w:lang w:val="es-CO"/>
        </w:rPr>
      </w:pPr>
      <w:r w:rsidRPr="008E2FF6">
        <w:rPr>
          <w:rFonts w:ascii="Verdana" w:hAnsi="Verdana" w:cs="Arial"/>
          <w:sz w:val="16"/>
          <w:szCs w:val="16"/>
          <w:lang w:val="es-CO"/>
        </w:rPr>
        <w:t>El Ministerio de Hacienda y Crédito Público, Dirección General del Presupuesto Público Nacional, incluirá en los proyectos de presupuesto las asignaciones necesarias para darle cumplimiento a lo dispuesto en este artículo. […]</w:t>
      </w:r>
      <w:r w:rsidRPr="008E2FF6">
        <w:rPr>
          <w:rFonts w:ascii="Verdana" w:eastAsia="Calibri" w:hAnsi="Verdana" w:cs="Arial"/>
          <w:sz w:val="16"/>
          <w:szCs w:val="16"/>
          <w:lang w:val="es-ES_tradnl"/>
        </w:rPr>
        <w:t>”</w:t>
      </w:r>
    </w:p>
  </w:footnote>
  <w:footnote w:id="7">
    <w:p w14:paraId="19233A11" w14:textId="77777777" w:rsidR="00BB0CE5" w:rsidRPr="008E2FF6" w:rsidRDefault="00BB0CE5" w:rsidP="00BB0CE5">
      <w:pPr>
        <w:pStyle w:val="Textonotapie"/>
        <w:ind w:firstLine="567"/>
        <w:jc w:val="both"/>
        <w:rPr>
          <w:rFonts w:ascii="Verdana" w:hAnsi="Verdana" w:cs="Arial"/>
          <w:sz w:val="16"/>
          <w:szCs w:val="16"/>
          <w:lang w:val="es-CO"/>
        </w:rPr>
      </w:pPr>
      <w:r w:rsidRPr="008E2FF6">
        <w:rPr>
          <w:rStyle w:val="Refdenotaalpie"/>
          <w:rFonts w:ascii="Verdana" w:hAnsi="Verdana" w:cs="Arial"/>
          <w:sz w:val="16"/>
          <w:szCs w:val="16"/>
        </w:rPr>
        <w:footnoteRef/>
      </w:r>
      <w:r w:rsidRPr="008E2FF6">
        <w:rPr>
          <w:rFonts w:ascii="Verdana" w:hAnsi="Verdana" w:cs="Arial"/>
          <w:sz w:val="16"/>
          <w:szCs w:val="16"/>
        </w:rPr>
        <w:t xml:space="preserve"> Consejo de Estado. Sección Tercera. Sentencia del 1 de febrero de 2018. Radicado Nro. 08001-2331-000-2010-00987-01. C.P. Oswaldo Giraldo López</w:t>
      </w:r>
    </w:p>
  </w:footnote>
  <w:footnote w:id="8">
    <w:p w14:paraId="777752D9" w14:textId="77777777" w:rsidR="00BB0CE5" w:rsidRPr="008E2FF6" w:rsidRDefault="00BB0CE5" w:rsidP="00BB0CE5">
      <w:pPr>
        <w:pStyle w:val="Textonotapie"/>
        <w:ind w:firstLine="567"/>
        <w:jc w:val="both"/>
        <w:rPr>
          <w:rFonts w:ascii="Verdana" w:hAnsi="Verdana"/>
          <w:sz w:val="16"/>
          <w:szCs w:val="16"/>
          <w:lang w:val="es-CO"/>
        </w:rPr>
      </w:pPr>
      <w:r w:rsidRPr="008E2FF6">
        <w:rPr>
          <w:rStyle w:val="Refdenotaalpie"/>
          <w:rFonts w:ascii="Verdana" w:hAnsi="Verdana"/>
          <w:sz w:val="16"/>
          <w:szCs w:val="16"/>
        </w:rPr>
        <w:footnoteRef/>
      </w:r>
      <w:r w:rsidRPr="008E2FF6">
        <w:rPr>
          <w:rFonts w:ascii="Verdana" w:hAnsi="Verdana"/>
          <w:sz w:val="16"/>
          <w:szCs w:val="16"/>
        </w:rPr>
        <w:t xml:space="preserve"> </w:t>
      </w:r>
      <w:r w:rsidRPr="008E2FF6">
        <w:rPr>
          <w:rFonts w:ascii="Verdana" w:hAnsi="Verdana"/>
          <w:bCs/>
          <w:sz w:val="16"/>
          <w:szCs w:val="16"/>
          <w:lang w:val="es-CO"/>
        </w:rPr>
        <w:t>Artículo 10.</w:t>
      </w:r>
      <w:r w:rsidRPr="008E2FF6">
        <w:rPr>
          <w:rFonts w:ascii="Verdana" w:hAnsi="Verdana"/>
          <w:i/>
          <w:iCs/>
          <w:sz w:val="16"/>
          <w:szCs w:val="16"/>
          <w:lang w:val="es-CO"/>
        </w:rPr>
        <w:t> Vigencias futuras ordinarias</w:t>
      </w:r>
      <w:r w:rsidRPr="008E2FF6">
        <w:rPr>
          <w:rFonts w:ascii="Verdana" w:hAnsi="Verdana"/>
          <w:sz w:val="16"/>
          <w:szCs w:val="16"/>
          <w:lang w:val="es-CO"/>
        </w:rPr>
        <w:t>. El artículo 9º de la Ley 179 de 1994 quedará así: </w:t>
      </w:r>
    </w:p>
    <w:p w14:paraId="37B24345" w14:textId="77777777" w:rsidR="00BB0CE5" w:rsidRPr="008E2FF6" w:rsidRDefault="00BB0CE5" w:rsidP="00BB0CE5">
      <w:pPr>
        <w:pStyle w:val="Textonotapie"/>
        <w:ind w:firstLine="567"/>
        <w:jc w:val="both"/>
        <w:rPr>
          <w:rFonts w:ascii="Verdana" w:hAnsi="Verdana"/>
          <w:sz w:val="16"/>
          <w:szCs w:val="16"/>
          <w:lang w:val="es-CO"/>
        </w:rPr>
      </w:pPr>
      <w:r w:rsidRPr="008E2FF6">
        <w:rPr>
          <w:rFonts w:ascii="Verdana" w:hAnsi="Verdana"/>
          <w:sz w:val="16"/>
          <w:szCs w:val="16"/>
          <w:lang w:val="es-CO"/>
        </w:rPr>
        <w:t>El Confis podrá autorizar la asunción de obligaciones que afecten presupuestos de vigencias futuras cuando su ejecución se inicie con presupuesto de la vigencia en curso y el objeto del compromiso se lleve a cabo en cada una de ellas siempre y cuando se cumpla que: </w:t>
      </w:r>
    </w:p>
    <w:p w14:paraId="4CCB9265" w14:textId="77777777" w:rsidR="00BB0CE5" w:rsidRPr="008E2FF6" w:rsidRDefault="00BB0CE5" w:rsidP="00BB0CE5">
      <w:pPr>
        <w:pStyle w:val="Textonotapie"/>
        <w:ind w:firstLine="567"/>
        <w:jc w:val="both"/>
        <w:rPr>
          <w:rFonts w:ascii="Verdana" w:hAnsi="Verdana"/>
          <w:sz w:val="16"/>
          <w:szCs w:val="16"/>
          <w:lang w:val="es-CO"/>
        </w:rPr>
      </w:pPr>
      <w:r w:rsidRPr="008E2FF6">
        <w:rPr>
          <w:rFonts w:ascii="Verdana" w:hAnsi="Verdana"/>
          <w:sz w:val="16"/>
          <w:szCs w:val="16"/>
          <w:lang w:val="es-CO"/>
        </w:rPr>
        <w:t>a) El monto máximo de vigencias futuras, el plazo y las condiciones de las mismas consulte las metas plurianuales del Marco Fiscal de Mediano Plazo de que trata el artículo 1º de esta ley; </w:t>
      </w:r>
    </w:p>
    <w:p w14:paraId="38BC0ED9" w14:textId="77777777" w:rsidR="00BB0CE5" w:rsidRPr="008E2FF6" w:rsidRDefault="00BB0CE5" w:rsidP="00BB0CE5">
      <w:pPr>
        <w:pStyle w:val="Textonotapie"/>
        <w:ind w:firstLine="567"/>
        <w:jc w:val="both"/>
        <w:rPr>
          <w:rFonts w:ascii="Verdana" w:hAnsi="Verdana"/>
          <w:sz w:val="16"/>
          <w:szCs w:val="16"/>
          <w:lang w:val="es-CO"/>
        </w:rPr>
      </w:pPr>
      <w:r w:rsidRPr="008E2FF6">
        <w:rPr>
          <w:rFonts w:ascii="Verdana" w:hAnsi="Verdana"/>
          <w:sz w:val="16"/>
          <w:szCs w:val="16"/>
          <w:lang w:val="es-CO"/>
        </w:rPr>
        <w:t>b) Como mínimo, de las vigencias futuras que se soliciten se deberá contar con apropiación del quince por ciento (15%) en la vigencia fiscal en la que estas sean autorizadas; </w:t>
      </w:r>
    </w:p>
    <w:p w14:paraId="219272BA" w14:textId="77777777" w:rsidR="00BB0CE5" w:rsidRPr="008E2FF6" w:rsidRDefault="00BB0CE5" w:rsidP="00BB0CE5">
      <w:pPr>
        <w:pStyle w:val="Textonotapie"/>
        <w:ind w:firstLine="567"/>
        <w:jc w:val="both"/>
        <w:rPr>
          <w:rFonts w:ascii="Verdana" w:hAnsi="Verdana"/>
          <w:sz w:val="16"/>
          <w:szCs w:val="16"/>
          <w:lang w:val="es-CO"/>
        </w:rPr>
      </w:pPr>
      <w:r w:rsidRPr="008E2FF6">
        <w:rPr>
          <w:rFonts w:ascii="Verdana" w:hAnsi="Verdana"/>
          <w:sz w:val="16"/>
          <w:szCs w:val="16"/>
          <w:lang w:val="es-CO"/>
        </w:rPr>
        <w:t>c) Cuando se trate de proyectos de inversión nacional deberá obtenerse el concepto previo y favorable del Departamento Nacional de Planeación y del Ministerio del ramo. </w:t>
      </w:r>
    </w:p>
    <w:p w14:paraId="0A47FF86" w14:textId="77777777" w:rsidR="00BB0CE5" w:rsidRPr="008E2FF6" w:rsidRDefault="00BB0CE5" w:rsidP="00BB0CE5">
      <w:pPr>
        <w:pStyle w:val="Textonotapie"/>
        <w:ind w:firstLine="567"/>
        <w:jc w:val="both"/>
        <w:rPr>
          <w:rFonts w:ascii="Verdana" w:hAnsi="Verdana"/>
          <w:sz w:val="16"/>
          <w:szCs w:val="16"/>
          <w:lang w:val="es-CO"/>
        </w:rPr>
      </w:pPr>
      <w:r w:rsidRPr="008E2FF6">
        <w:rPr>
          <w:rFonts w:ascii="Verdana" w:hAnsi="Verdana"/>
          <w:sz w:val="16"/>
          <w:szCs w:val="16"/>
          <w:lang w:val="es-CO"/>
        </w:rPr>
        <w:t>La autorización por parte del Confis para comprometer presupuesto con cargo a vigencias futuras no podrá superar el respectivo período de gobierno. Se exceptúan los proyectos de gastos de inversión en aquellos casos en que el Conpes previamente los declare de importancia estratégica. </w:t>
      </w:r>
    </w:p>
    <w:p w14:paraId="072262C4" w14:textId="77777777" w:rsidR="00BB0CE5" w:rsidRPr="008E2FF6" w:rsidRDefault="00BB0CE5" w:rsidP="00BB0CE5">
      <w:pPr>
        <w:pStyle w:val="Textonotapie"/>
        <w:ind w:firstLine="567"/>
        <w:jc w:val="both"/>
        <w:rPr>
          <w:rFonts w:ascii="Verdana" w:hAnsi="Verdana"/>
          <w:sz w:val="16"/>
          <w:szCs w:val="16"/>
          <w:lang w:val="es-CO"/>
        </w:rPr>
      </w:pPr>
      <w:r w:rsidRPr="008E2FF6">
        <w:rPr>
          <w:rFonts w:ascii="Verdana" w:hAnsi="Verdana"/>
          <w:sz w:val="16"/>
          <w:szCs w:val="16"/>
          <w:lang w:val="es-CO"/>
        </w:rPr>
        <w:t>Esta disposición también se aplicará a las entidades de que trata el artículo 9º de la presente ley. El Gobierno reglamentará la materia. </w:t>
      </w:r>
    </w:p>
    <w:p w14:paraId="4D33BDB0" w14:textId="77777777" w:rsidR="00BB0CE5" w:rsidRPr="008E2FF6" w:rsidRDefault="00BB0CE5" w:rsidP="00BB0CE5">
      <w:pPr>
        <w:pStyle w:val="Textonotapie"/>
        <w:ind w:firstLine="567"/>
        <w:jc w:val="both"/>
        <w:rPr>
          <w:rFonts w:ascii="Verdana" w:hAnsi="Verdana"/>
          <w:sz w:val="16"/>
          <w:szCs w:val="16"/>
          <w:lang w:val="es-CO"/>
        </w:rPr>
      </w:pPr>
      <w:r w:rsidRPr="008E2FF6">
        <w:rPr>
          <w:rFonts w:ascii="Verdana" w:hAnsi="Verdana"/>
          <w:sz w:val="16"/>
          <w:szCs w:val="16"/>
          <w:lang w:val="es-CO"/>
        </w:rPr>
        <w:t>El Ministerio de Hacienda y Crédito Público, Dirección General del Presupuesto Público Nacional, incluirá en los proyectos de presupuesto las asignaciones necesarias para darle cumplimiento a lo dispuesto en este artículo. </w:t>
      </w:r>
    </w:p>
    <w:p w14:paraId="5500E386" w14:textId="77777777" w:rsidR="00BB0CE5" w:rsidRPr="008E2FF6" w:rsidRDefault="00BB0CE5" w:rsidP="00BB0CE5">
      <w:pPr>
        <w:pStyle w:val="Textonotapie"/>
        <w:ind w:firstLine="567"/>
        <w:jc w:val="both"/>
        <w:rPr>
          <w:rFonts w:ascii="Verdana" w:hAnsi="Verdana"/>
          <w:sz w:val="16"/>
          <w:szCs w:val="16"/>
          <w:lang w:val="es-CO"/>
        </w:rPr>
      </w:pPr>
      <w:r w:rsidRPr="008E2FF6">
        <w:rPr>
          <w:rFonts w:ascii="Verdana" w:hAnsi="Verdana"/>
          <w:bCs/>
          <w:sz w:val="16"/>
          <w:szCs w:val="16"/>
          <w:lang w:val="es-CO"/>
        </w:rPr>
        <w:t>Parágrafo.</w:t>
      </w:r>
      <w:r w:rsidRPr="008E2FF6">
        <w:rPr>
          <w:rFonts w:ascii="Verdana" w:hAnsi="Verdana"/>
          <w:sz w:val="16"/>
          <w:szCs w:val="16"/>
          <w:lang w:val="es-CO"/>
        </w:rPr>
        <w:t> Estas funciones podrán ser delegadas por el Confis en la Dirección General del Presupuesto Público Nacional del Ministerio de Hacienda y Crédito Público para el caso de los órganos que componen el Presupuesto General de la Nación y en las juntas o Consejos Directivos en el caso de las entidades de las que trata el numeral 4 del artículo 10 de la Ley 179 de 1994. El Gobierno Nacional reglamentará la materia. </w:t>
      </w:r>
    </w:p>
    <w:p w14:paraId="1E257CAD" w14:textId="77777777" w:rsidR="00BB0CE5" w:rsidRPr="008E2FF6" w:rsidRDefault="00BB0CE5" w:rsidP="00BB0CE5">
      <w:pPr>
        <w:pStyle w:val="Textonotapie"/>
        <w:ind w:firstLine="567"/>
        <w:rPr>
          <w:rFonts w:ascii="Verdana" w:hAnsi="Verdana"/>
          <w:sz w:val="16"/>
          <w:szCs w:val="16"/>
          <w:lang w:val="es-CO"/>
        </w:rPr>
      </w:pPr>
      <w:r w:rsidRPr="008E2FF6">
        <w:rPr>
          <w:rFonts w:ascii="Verdana" w:hAnsi="Verdana"/>
          <w:sz w:val="16"/>
          <w:szCs w:val="16"/>
          <w:lang w:val="es-CO"/>
        </w:rPr>
        <w:t>En caso de existir tal delegación, quien sea delegado por el Confis presentará un informe trimestral a dicho Consejo sobre las vigencias futuras autorizadas en el trimestre inmediatamente anterior. </w:t>
      </w:r>
    </w:p>
    <w:p w14:paraId="1F2CA907" w14:textId="77777777" w:rsidR="00BB0CE5" w:rsidRPr="008E2FF6" w:rsidRDefault="00BB0CE5" w:rsidP="00BB0CE5">
      <w:pPr>
        <w:pStyle w:val="Textonotapie"/>
        <w:rPr>
          <w:rFonts w:ascii="Verdana" w:hAnsi="Verdana"/>
          <w:sz w:val="16"/>
          <w:szCs w:val="16"/>
          <w:lang w:val="es-CO"/>
        </w:rPr>
      </w:pPr>
    </w:p>
  </w:footnote>
  <w:footnote w:id="9">
    <w:p w14:paraId="0F5D4385" w14:textId="77777777" w:rsidR="00BB0CE5" w:rsidRPr="008E2FF6" w:rsidRDefault="00BB0CE5" w:rsidP="00BB0CE5">
      <w:pPr>
        <w:pStyle w:val="Textonotapie"/>
        <w:ind w:firstLine="567"/>
        <w:rPr>
          <w:rFonts w:ascii="Verdana" w:hAnsi="Verdana"/>
          <w:sz w:val="16"/>
          <w:szCs w:val="16"/>
          <w:lang w:val="es-ES"/>
        </w:rPr>
      </w:pPr>
      <w:r w:rsidRPr="008E2FF6">
        <w:rPr>
          <w:rStyle w:val="Refdenotaalpie"/>
          <w:rFonts w:ascii="Verdana" w:hAnsi="Verdana"/>
          <w:sz w:val="16"/>
          <w:szCs w:val="16"/>
        </w:rPr>
        <w:footnoteRef/>
      </w:r>
      <w:r w:rsidRPr="008E2FF6">
        <w:rPr>
          <w:rFonts w:ascii="Verdana" w:hAnsi="Verdana"/>
          <w:sz w:val="16"/>
          <w:szCs w:val="16"/>
        </w:rPr>
        <w:t xml:space="preserve"> </w:t>
      </w:r>
      <w:r w:rsidRPr="008E2FF6">
        <w:rPr>
          <w:rFonts w:ascii="Verdana" w:hAnsi="Verdana"/>
          <w:sz w:val="16"/>
          <w:szCs w:val="16"/>
          <w:lang w:val="es-ES"/>
        </w:rPr>
        <w:t xml:space="preserve">RESTREPO, Juan Camilo. Derecho presupuestal colombiano. Bogotá: Legis, 2014. p. 188.  </w:t>
      </w:r>
    </w:p>
  </w:footnote>
  <w:footnote w:id="10">
    <w:p w14:paraId="07F3EDDB" w14:textId="77777777" w:rsidR="00BB0CE5" w:rsidRPr="008E2FF6" w:rsidRDefault="00BB0CE5" w:rsidP="00BB0CE5">
      <w:pPr>
        <w:pStyle w:val="Textonotapie"/>
        <w:ind w:firstLine="567"/>
        <w:jc w:val="both"/>
        <w:rPr>
          <w:rFonts w:ascii="Verdana" w:hAnsi="Verdana"/>
          <w:sz w:val="16"/>
          <w:szCs w:val="16"/>
          <w:lang w:val="es-CO"/>
        </w:rPr>
      </w:pPr>
      <w:r w:rsidRPr="008E2FF6">
        <w:rPr>
          <w:rStyle w:val="Refdenotaalpie"/>
          <w:rFonts w:ascii="Verdana" w:hAnsi="Verdana"/>
          <w:sz w:val="16"/>
          <w:szCs w:val="16"/>
        </w:rPr>
        <w:footnoteRef/>
      </w:r>
      <w:r w:rsidRPr="008E2FF6">
        <w:rPr>
          <w:rFonts w:ascii="Verdana" w:hAnsi="Verdana"/>
          <w:sz w:val="16"/>
          <w:szCs w:val="16"/>
        </w:rPr>
        <w:t xml:space="preserve"> </w:t>
      </w:r>
      <w:r w:rsidRPr="008E2FF6">
        <w:rPr>
          <w:rFonts w:ascii="Verdana" w:hAnsi="Verdana"/>
          <w:bCs/>
          <w:sz w:val="16"/>
          <w:szCs w:val="16"/>
          <w:lang w:val="es-CO"/>
        </w:rPr>
        <w:t>Artículo 11. </w:t>
      </w:r>
      <w:r w:rsidRPr="008E2FF6">
        <w:rPr>
          <w:rFonts w:ascii="Verdana" w:hAnsi="Verdana"/>
          <w:i/>
          <w:iCs/>
          <w:sz w:val="16"/>
          <w:szCs w:val="16"/>
          <w:lang w:val="es-CO"/>
        </w:rPr>
        <w:t>Vigencias futuras excepcionales. </w:t>
      </w:r>
      <w:r w:rsidRPr="008E2FF6">
        <w:rPr>
          <w:rFonts w:ascii="Verdana" w:hAnsi="Verdana"/>
          <w:sz w:val="16"/>
          <w:szCs w:val="16"/>
          <w:lang w:val="es-CO"/>
        </w:rPr>
        <w:t>El artículo 3º de la Ley 225 de 1995 quedará así: </w:t>
      </w:r>
    </w:p>
    <w:p w14:paraId="33F8A84D" w14:textId="77777777" w:rsidR="00BB0CE5" w:rsidRPr="008E2FF6" w:rsidRDefault="00BB0CE5" w:rsidP="00BB0CE5">
      <w:pPr>
        <w:pStyle w:val="Textonotapie"/>
        <w:ind w:firstLine="567"/>
        <w:jc w:val="both"/>
        <w:rPr>
          <w:rFonts w:ascii="Verdana" w:hAnsi="Verdana"/>
          <w:sz w:val="16"/>
          <w:szCs w:val="16"/>
          <w:lang w:val="es-CO"/>
        </w:rPr>
      </w:pPr>
      <w:r w:rsidRPr="008E2FF6">
        <w:rPr>
          <w:rFonts w:ascii="Verdana" w:hAnsi="Verdana"/>
          <w:sz w:val="16"/>
          <w:szCs w:val="16"/>
          <w:lang w:val="es-CO"/>
        </w:rPr>
        <w:t>El Consejo Superior de Política Fiscal, Confis, en casos excepcionales para las obras de infraestructura, energía, comunicaciones, aeronáutica, defensa y seguridad, así como para las garantías a las concesiones, podrá autorizar que se asuman obligaciones que afecten el presupuesto de vigencias futuras sin apropiación en el presupuesto del año en que se concede la autorización. El monto máximo de vigencias futuras, el plazo y las condiciones de las mismas deberán consultar las metas plurianuales del Marco Fiscal de Mediano Plazo del que trata el artículo 1º de esta ley. </w:t>
      </w:r>
    </w:p>
    <w:p w14:paraId="655D5F39" w14:textId="77777777" w:rsidR="00BB0CE5" w:rsidRPr="008E2FF6" w:rsidRDefault="00BB0CE5" w:rsidP="00BB0CE5">
      <w:pPr>
        <w:pStyle w:val="Textonotapie"/>
        <w:ind w:firstLine="567"/>
        <w:jc w:val="both"/>
        <w:rPr>
          <w:rFonts w:ascii="Verdana" w:hAnsi="Verdana"/>
          <w:sz w:val="16"/>
          <w:szCs w:val="16"/>
          <w:lang w:val="es-CO"/>
        </w:rPr>
      </w:pPr>
      <w:r w:rsidRPr="008E2FF6">
        <w:rPr>
          <w:rFonts w:ascii="Verdana" w:hAnsi="Verdana"/>
          <w:sz w:val="16"/>
          <w:szCs w:val="16"/>
          <w:lang w:val="es-CO"/>
        </w:rPr>
        <w:t>La secretaría ejecutiva del Confis enviará trimestralmente a las comisiones económicas del Congreso una relación de las autorizaciones aprobadas por el Consejo, para estos casos. </w:t>
      </w:r>
    </w:p>
    <w:p w14:paraId="4A1AF1F6" w14:textId="77777777" w:rsidR="00BB0CE5" w:rsidRPr="008E2FF6" w:rsidRDefault="00BB0CE5" w:rsidP="00BB0CE5">
      <w:pPr>
        <w:pStyle w:val="Textonotapie"/>
        <w:ind w:firstLine="567"/>
        <w:jc w:val="both"/>
        <w:rPr>
          <w:rFonts w:ascii="Verdana" w:hAnsi="Verdana"/>
          <w:sz w:val="16"/>
          <w:szCs w:val="16"/>
          <w:lang w:val="es-CO"/>
        </w:rPr>
      </w:pPr>
      <w:r w:rsidRPr="008E2FF6">
        <w:rPr>
          <w:rFonts w:ascii="Verdana" w:hAnsi="Verdana"/>
          <w:sz w:val="16"/>
          <w:szCs w:val="16"/>
          <w:lang w:val="es-CO"/>
        </w:rPr>
        <w:t>Para asumir obligaciones que afecten presupuestos de vigencias futuras, los contratos de empréstito y las contrapartidas que en estos se estipulen no requieren la autorización del Consejo Superior de Política Fiscal, Confis. Estos contratos se regirán por las normas que regulan las operaciones de crédito público. </w:t>
      </w:r>
    </w:p>
  </w:footnote>
  <w:footnote w:id="11">
    <w:p w14:paraId="06C1458F" w14:textId="77777777" w:rsidR="00BB0CE5" w:rsidRPr="00F73D92" w:rsidRDefault="00BB0CE5" w:rsidP="00BB0CE5">
      <w:pPr>
        <w:pStyle w:val="Textonotapie"/>
        <w:ind w:firstLine="709"/>
        <w:jc w:val="both"/>
        <w:rPr>
          <w:rFonts w:ascii="Verdana" w:hAnsi="Verdana" w:cs="Arial"/>
          <w:b/>
          <w:sz w:val="16"/>
          <w:szCs w:val="16"/>
          <w:lang w:val="es-ES"/>
        </w:rPr>
      </w:pPr>
      <w:r w:rsidRPr="00F73D92">
        <w:rPr>
          <w:rStyle w:val="Refdenotaalpie"/>
          <w:rFonts w:ascii="Verdana" w:hAnsi="Verdana"/>
          <w:sz w:val="16"/>
          <w:szCs w:val="16"/>
        </w:rPr>
        <w:footnoteRef/>
      </w:r>
      <w:r w:rsidRPr="00F73D92">
        <w:rPr>
          <w:rFonts w:ascii="Verdana" w:hAnsi="Verdana"/>
          <w:sz w:val="16"/>
          <w:szCs w:val="16"/>
        </w:rPr>
        <w:t xml:space="preserve"> </w:t>
      </w:r>
      <w:r w:rsidRPr="00F73D92">
        <w:rPr>
          <w:rFonts w:ascii="Verdana" w:hAnsi="Verdana" w:cs="Arial"/>
          <w:sz w:val="16"/>
          <w:szCs w:val="16"/>
        </w:rPr>
        <w:t xml:space="preserve">Consejo de Estado. Sección Tercera. Sentencia del 12 de agosto de 2014. Radicado Nro. </w:t>
      </w:r>
      <w:r w:rsidRPr="00F73D92">
        <w:rPr>
          <w:rFonts w:ascii="Verdana" w:hAnsi="Verdana" w:cs="Arial"/>
          <w:bCs/>
          <w:sz w:val="16"/>
          <w:szCs w:val="16"/>
          <w:lang w:val="es-ES"/>
        </w:rPr>
        <w:t xml:space="preserve">05001-23-31-000-1998-01350-01(28565) </w:t>
      </w:r>
      <w:r w:rsidRPr="00F73D92">
        <w:rPr>
          <w:rFonts w:ascii="Verdana" w:hAnsi="Verdana" w:cs="Arial"/>
          <w:sz w:val="16"/>
          <w:szCs w:val="16"/>
        </w:rPr>
        <w:t>C.P. Enrique Gil Botero</w:t>
      </w:r>
    </w:p>
  </w:footnote>
  <w:footnote w:id="12">
    <w:p w14:paraId="3F963499" w14:textId="77777777" w:rsidR="00BB0CE5" w:rsidRPr="002E718F" w:rsidRDefault="00BB0CE5" w:rsidP="00BB0CE5">
      <w:pPr>
        <w:pStyle w:val="Textonotapie"/>
        <w:ind w:firstLine="709"/>
        <w:jc w:val="both"/>
        <w:rPr>
          <w:rFonts w:ascii="Verdana" w:eastAsia="Calibri" w:hAnsi="Verdana" w:cs="Arial"/>
          <w:sz w:val="16"/>
          <w:szCs w:val="16"/>
          <w:lang w:val="es-ES_tradnl"/>
        </w:rPr>
      </w:pPr>
      <w:r w:rsidRPr="00F73D92">
        <w:rPr>
          <w:rStyle w:val="Refdenotaalpie"/>
          <w:rFonts w:ascii="Verdana" w:hAnsi="Verdana"/>
          <w:sz w:val="16"/>
          <w:szCs w:val="16"/>
        </w:rPr>
        <w:footnoteRef/>
      </w:r>
      <w:r w:rsidRPr="00F73D92">
        <w:rPr>
          <w:rFonts w:ascii="Verdana" w:hAnsi="Verdana"/>
          <w:sz w:val="16"/>
          <w:szCs w:val="16"/>
        </w:rPr>
        <w:t xml:space="preserve"> </w:t>
      </w:r>
      <w:r w:rsidRPr="00F73D92">
        <w:rPr>
          <w:rFonts w:ascii="Verdana" w:hAnsi="Verdana" w:cs="Arial"/>
          <w:sz w:val="16"/>
          <w:szCs w:val="16"/>
        </w:rPr>
        <w:t xml:space="preserve">Conforme al Artículo 89 del </w:t>
      </w:r>
      <w:r w:rsidRPr="00F73D92">
        <w:rPr>
          <w:rFonts w:ascii="Verdana" w:eastAsia="Calibri" w:hAnsi="Verdana" w:cs="Arial"/>
          <w:color w:val="000000" w:themeColor="text1"/>
          <w:sz w:val="16"/>
          <w:szCs w:val="16"/>
          <w:lang w:val="es-ES"/>
        </w:rPr>
        <w:t>Estatuto Orgánico del Presupuesto</w:t>
      </w:r>
      <w:r w:rsidRPr="00F73D92">
        <w:rPr>
          <w:rFonts w:ascii="Verdana" w:eastAsia="Times New Roman" w:hAnsi="Verdana" w:cs="Arial"/>
          <w:color w:val="4B4949"/>
          <w:sz w:val="16"/>
          <w:szCs w:val="16"/>
          <w:lang w:val="es-CO" w:eastAsia="es-ES_tradnl"/>
        </w:rPr>
        <w:t xml:space="preserve"> </w:t>
      </w:r>
      <w:r>
        <w:rPr>
          <w:rFonts w:ascii="Verdana" w:eastAsia="Calibri" w:hAnsi="Verdana" w:cs="Arial"/>
          <w:sz w:val="16"/>
          <w:szCs w:val="16"/>
          <w:lang w:val="es-CO"/>
        </w:rPr>
        <w:t>“</w:t>
      </w:r>
      <w:r w:rsidRPr="00F73D92">
        <w:rPr>
          <w:rFonts w:ascii="Verdana" w:eastAsia="Calibri" w:hAnsi="Verdana" w:cs="Arial"/>
          <w:sz w:val="16"/>
          <w:szCs w:val="16"/>
          <w:lang w:val="es-ES_tradnl"/>
        </w:rPr>
        <w:t xml:space="preserve">[…] </w:t>
      </w:r>
      <w:r w:rsidRPr="00F73D92">
        <w:rPr>
          <w:rFonts w:ascii="Verdana" w:eastAsia="Times New Roman" w:hAnsi="Verdana" w:cs="Arial"/>
          <w:color w:val="4B4949"/>
          <w:sz w:val="16"/>
          <w:szCs w:val="16"/>
          <w:lang w:val="es-CO" w:eastAsia="es-ES_tradnl"/>
        </w:rPr>
        <w:t>c</w:t>
      </w:r>
      <w:r w:rsidRPr="00F73D92">
        <w:rPr>
          <w:rFonts w:ascii="Verdana" w:eastAsia="Calibri" w:hAnsi="Verdana" w:cs="Arial"/>
          <w:color w:val="000000" w:themeColor="text1"/>
          <w:sz w:val="16"/>
          <w:szCs w:val="16"/>
          <w:lang w:val="es-CO"/>
        </w:rPr>
        <w:t>ada órgano constituirá al 31 de diciembre del año cuentas por pagar con las obligaciones correspondientes a los anticipos pactados en los contratos y a la entrega de bienes y servicios</w:t>
      </w:r>
      <w:r>
        <w:rPr>
          <w:rFonts w:ascii="Verdana" w:eastAsia="Calibri" w:hAnsi="Verdana" w:cs="Arial"/>
          <w:sz w:val="16"/>
          <w:szCs w:val="16"/>
          <w:lang w:val="es-ES_tradnl"/>
        </w:rPr>
        <w:t>”.</w:t>
      </w:r>
    </w:p>
  </w:footnote>
  <w:footnote w:id="13">
    <w:p w14:paraId="006CAD86" w14:textId="77777777" w:rsidR="00BB0CE5" w:rsidRPr="00F73D92" w:rsidRDefault="00BB0CE5" w:rsidP="00BB0CE5">
      <w:pPr>
        <w:pStyle w:val="Textonotapie"/>
        <w:ind w:firstLine="709"/>
        <w:jc w:val="both"/>
        <w:rPr>
          <w:rFonts w:ascii="Verdana" w:hAnsi="Verdana" w:cs="Arial"/>
          <w:sz w:val="16"/>
          <w:szCs w:val="16"/>
          <w:lang w:val="es-CO"/>
        </w:rPr>
      </w:pPr>
      <w:r w:rsidRPr="00F73D92">
        <w:rPr>
          <w:rStyle w:val="Refdenotaalpie"/>
          <w:rFonts w:ascii="Verdana" w:hAnsi="Verdana"/>
          <w:sz w:val="16"/>
          <w:szCs w:val="16"/>
        </w:rPr>
        <w:footnoteRef/>
      </w:r>
      <w:r w:rsidRPr="00F73D92">
        <w:rPr>
          <w:rFonts w:ascii="Verdana" w:hAnsi="Verdana"/>
          <w:sz w:val="16"/>
          <w:szCs w:val="16"/>
        </w:rPr>
        <w:t xml:space="preserve"> </w:t>
      </w:r>
      <w:r w:rsidRPr="00F73D92">
        <w:rPr>
          <w:rFonts w:ascii="Verdana" w:eastAsia="Calibri" w:hAnsi="Verdana" w:cs="Arial"/>
          <w:color w:val="000000" w:themeColor="text1"/>
          <w:sz w:val="16"/>
          <w:szCs w:val="16"/>
          <w:lang w:val="es-ES"/>
        </w:rPr>
        <w:t>Artículo 89 del Estatuto Orgánico del Presupuesto</w:t>
      </w:r>
    </w:p>
  </w:footnote>
  <w:footnote w:id="14">
    <w:p w14:paraId="64499C48" w14:textId="77777777" w:rsidR="00BB0CE5" w:rsidRPr="00F73D92" w:rsidRDefault="00BB0CE5" w:rsidP="00BB0CE5">
      <w:pPr>
        <w:pStyle w:val="Textonotapie"/>
        <w:ind w:firstLine="709"/>
        <w:jc w:val="both"/>
        <w:rPr>
          <w:rFonts w:ascii="Verdana" w:hAnsi="Verdana"/>
          <w:sz w:val="16"/>
          <w:szCs w:val="16"/>
          <w:lang w:val="es-CO"/>
        </w:rPr>
      </w:pPr>
      <w:r w:rsidRPr="00F73D92">
        <w:rPr>
          <w:rStyle w:val="Refdenotaalpie"/>
          <w:rFonts w:ascii="Verdana" w:hAnsi="Verdana"/>
          <w:sz w:val="16"/>
          <w:szCs w:val="16"/>
        </w:rPr>
        <w:footnoteRef/>
      </w:r>
      <w:r w:rsidRPr="00F73D92">
        <w:rPr>
          <w:rFonts w:ascii="Verdana" w:hAnsi="Verdana"/>
          <w:sz w:val="16"/>
          <w:szCs w:val="16"/>
        </w:rPr>
        <w:t xml:space="preserve"> </w:t>
      </w:r>
      <w:r>
        <w:rPr>
          <w:rFonts w:ascii="Verdana" w:eastAsia="Calibri" w:hAnsi="Verdana" w:cs="Arial"/>
          <w:sz w:val="16"/>
          <w:szCs w:val="16"/>
          <w:lang w:val="es-ES_tradnl"/>
        </w:rPr>
        <w:t>“</w:t>
      </w:r>
      <w:r w:rsidRPr="00F73D92">
        <w:rPr>
          <w:rFonts w:ascii="Verdana" w:hAnsi="Verdana" w:cs="Arial"/>
          <w:sz w:val="16"/>
          <w:szCs w:val="16"/>
          <w:lang w:val="es-CO"/>
        </w:rPr>
        <w:t>Artículo </w:t>
      </w:r>
      <w:bookmarkStart w:id="5" w:name="2.8.1.7.3.2"/>
      <w:bookmarkEnd w:id="5"/>
      <w:r w:rsidRPr="00F73D92">
        <w:rPr>
          <w:rFonts w:ascii="Verdana" w:hAnsi="Verdana" w:cs="Arial"/>
          <w:sz w:val="16"/>
          <w:szCs w:val="16"/>
          <w:lang w:val="es-CO"/>
        </w:rPr>
        <w:t>2.8.1.7.3.2. </w:t>
      </w:r>
      <w:r w:rsidRPr="00F73D92">
        <w:rPr>
          <w:rFonts w:ascii="Verdana" w:hAnsi="Verdana" w:cs="Arial"/>
          <w:i/>
          <w:iCs/>
          <w:sz w:val="16"/>
          <w:szCs w:val="16"/>
          <w:lang w:val="es-CO"/>
        </w:rPr>
        <w:t>Constitución de reservas presupuestales y cuentas por pagar. </w:t>
      </w:r>
      <w:r w:rsidRPr="00F73D92">
        <w:rPr>
          <w:rFonts w:ascii="Verdana" w:hAnsi="Verdana" w:cs="Arial"/>
          <w:sz w:val="16"/>
          <w:szCs w:val="16"/>
          <w:lang w:val="es-CO"/>
        </w:rPr>
        <w:t>A más tardar el 20 de enero de cada año, los órganos que conforman el Presupuesto General de la Nación constituirán las reservas presupuestales y cuentas por pagar de la respectiva sección presupuestal correspondientes a la vigencia fiscal anterior, de conformidad con los saldos registrados a 31 de diciembre a través del Sistema Integrado de Información Financiera SIIF Nación. En dicho plazo, solo se podrán efectuar los ajustes a que haya lugar para la constitución de las reserves presupuestales y de las cuentas por pagar, sin que en ningún caso se puedan registrar nuevos compromisos ni obligaciones</w:t>
      </w:r>
      <w:r>
        <w:rPr>
          <w:rFonts w:ascii="Verdana" w:eastAsia="Calibri" w:hAnsi="Verdana" w:cs="Arial"/>
          <w:sz w:val="16"/>
          <w:szCs w:val="16"/>
          <w:lang w:val="es-CO"/>
        </w:rPr>
        <w:t>”</w:t>
      </w:r>
      <w:r w:rsidRPr="00F73D92">
        <w:rPr>
          <w:rFonts w:ascii="Verdana" w:hAnsi="Verdana" w:cs="Arial"/>
          <w:sz w:val="16"/>
          <w:szCs w:val="16"/>
          <w:lang w:val="es-CO"/>
        </w:rPr>
        <w:t>.</w:t>
      </w:r>
    </w:p>
  </w:footnote>
  <w:footnote w:id="15">
    <w:p w14:paraId="76FD759B" w14:textId="77777777" w:rsidR="00BB0CE5" w:rsidRPr="00F73D92" w:rsidRDefault="00BB0CE5" w:rsidP="00BB0CE5">
      <w:pPr>
        <w:pStyle w:val="Textonotapie"/>
        <w:ind w:firstLine="709"/>
        <w:jc w:val="both"/>
        <w:rPr>
          <w:rFonts w:ascii="Verdana" w:hAnsi="Verdana" w:cs="Arial"/>
          <w:sz w:val="16"/>
          <w:szCs w:val="16"/>
          <w:lang w:val="es-CO"/>
        </w:rPr>
      </w:pPr>
      <w:r w:rsidRPr="00F73D92">
        <w:rPr>
          <w:rStyle w:val="Refdenotaalpie"/>
          <w:rFonts w:ascii="Verdana" w:hAnsi="Verdana" w:cs="Arial"/>
          <w:sz w:val="16"/>
          <w:szCs w:val="16"/>
        </w:rPr>
        <w:footnoteRef/>
      </w:r>
      <w:r w:rsidRPr="00F73D92">
        <w:rPr>
          <w:rFonts w:ascii="Verdana" w:hAnsi="Verdana" w:cs="Arial"/>
          <w:sz w:val="16"/>
          <w:szCs w:val="16"/>
        </w:rPr>
        <w:t xml:space="preserve"> </w:t>
      </w:r>
      <w:r w:rsidRPr="00F73D92">
        <w:rPr>
          <w:rFonts w:ascii="Verdana" w:hAnsi="Verdana" w:cs="Arial"/>
          <w:sz w:val="16"/>
          <w:szCs w:val="16"/>
          <w:lang w:val="es-CO"/>
        </w:rPr>
        <w:t xml:space="preserve">Contraloría General de la República. Circular Externa 43 de 2008 </w:t>
      </w:r>
    </w:p>
  </w:footnote>
  <w:footnote w:id="16">
    <w:p w14:paraId="7495C5D9" w14:textId="77777777" w:rsidR="00BB0CE5" w:rsidRPr="002E718F" w:rsidRDefault="00BB0CE5" w:rsidP="00BB0CE5">
      <w:pPr>
        <w:pStyle w:val="Textonotapie"/>
        <w:ind w:right="49" w:firstLine="708"/>
        <w:jc w:val="both"/>
        <w:rPr>
          <w:rFonts w:ascii="Verdana" w:hAnsi="Verdana" w:cs="Arial"/>
          <w:color w:val="000000"/>
          <w:sz w:val="16"/>
          <w:szCs w:val="16"/>
        </w:rPr>
      </w:pPr>
      <w:r w:rsidRPr="00F73D92">
        <w:rPr>
          <w:rStyle w:val="Refdenotaalpie"/>
          <w:rFonts w:ascii="Verdana" w:hAnsi="Verdana"/>
          <w:sz w:val="16"/>
          <w:szCs w:val="16"/>
        </w:rPr>
        <w:footnoteRef/>
      </w:r>
      <w:r w:rsidRPr="00F73D92">
        <w:rPr>
          <w:rFonts w:ascii="Verdana" w:hAnsi="Verdana"/>
          <w:sz w:val="16"/>
          <w:szCs w:val="16"/>
        </w:rPr>
        <w:t xml:space="preserve"> </w:t>
      </w:r>
      <w:r w:rsidRPr="00F73D92">
        <w:rPr>
          <w:rFonts w:ascii="Verdana" w:hAnsi="Verdana" w:cs="Arial"/>
          <w:color w:val="000000"/>
          <w:sz w:val="16"/>
          <w:szCs w:val="16"/>
        </w:rPr>
        <w:t>Consejo de Estado. Sección Tercera. Sentencia del 1 de febrero de 2018. Radicado Nro.</w:t>
      </w:r>
      <w:r w:rsidRPr="00F73D92">
        <w:rPr>
          <w:rFonts w:ascii="Verdana" w:hAnsi="Verdana" w:cs="Arial"/>
          <w:color w:val="000000"/>
          <w:sz w:val="16"/>
          <w:szCs w:val="16"/>
          <w:lang w:val="es-CO"/>
        </w:rPr>
        <w:t xml:space="preserve"> 08001-2331-000-2010-00987-01</w:t>
      </w:r>
      <w:r w:rsidRPr="00F73D92">
        <w:rPr>
          <w:rFonts w:ascii="Verdana" w:hAnsi="Verdana" w:cs="Arial"/>
          <w:color w:val="000000"/>
          <w:sz w:val="16"/>
          <w:szCs w:val="16"/>
        </w:rPr>
        <w:t xml:space="preserve">. C.P. </w:t>
      </w:r>
      <w:r w:rsidRPr="00F73D92">
        <w:rPr>
          <w:rFonts w:ascii="Verdana" w:hAnsi="Verdana" w:cs="Arial"/>
          <w:color w:val="000000"/>
          <w:sz w:val="16"/>
          <w:szCs w:val="16"/>
          <w:lang w:val="es-CO"/>
        </w:rPr>
        <w:t>Oswaldo Giraldo López</w:t>
      </w:r>
      <w:r>
        <w:rPr>
          <w:rFonts w:ascii="Verdana" w:hAnsi="Verdana" w:cs="Arial"/>
          <w:color w:val="000000"/>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9B3C20" w:rsidRDefault="009B3C20"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9B3C20" w:rsidRDefault="009B3C20">
    <w:pPr>
      <w:pStyle w:val="Encabezado"/>
    </w:pPr>
  </w:p>
  <w:p w14:paraId="5E18350A" w14:textId="705F7B76" w:rsidR="009B3C20" w:rsidRPr="004A305D" w:rsidRDefault="009B3C20" w:rsidP="00B01B1A">
    <w:pPr>
      <w:spacing w:after="0" w:line="120" w:lineRule="auto"/>
      <w:rPr>
        <w:rFonts w:ascii="Century Gothic" w:eastAsia="Geo" w:hAnsi="Century Gothic" w:cs="Geo"/>
        <w:sz w:val="16"/>
        <w:szCs w:val="16"/>
        <w:lang w:eastAsia="es-CO"/>
      </w:rPr>
    </w:pPr>
  </w:p>
  <w:p w14:paraId="211B7F5D" w14:textId="77777777" w:rsidR="009B3C20" w:rsidRDefault="009B3C20" w:rsidP="00844AE9">
    <w:pPr>
      <w:spacing w:after="0" w:line="240" w:lineRule="auto"/>
      <w:rPr>
        <w:rFonts w:ascii="Verdana" w:hAnsi="Verdana"/>
        <w:sz w:val="24"/>
        <w:szCs w:val="24"/>
      </w:rPr>
    </w:pPr>
  </w:p>
  <w:p w14:paraId="5A0054B1" w14:textId="77777777" w:rsidR="009B3C20" w:rsidRPr="00C925AC" w:rsidRDefault="009B3C20" w:rsidP="00844AE9">
    <w:pPr>
      <w:spacing w:after="0" w:line="240" w:lineRule="auto"/>
      <w:rPr>
        <w:rFonts w:ascii="Verdana" w:hAnsi="Verdana"/>
        <w:sz w:val="24"/>
        <w:szCs w:val="24"/>
      </w:rPr>
    </w:pPr>
  </w:p>
  <w:p w14:paraId="1FD1C243" w14:textId="37C5500A" w:rsidR="009B3C20" w:rsidRPr="00C925AC" w:rsidRDefault="009B3C20"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874E1E31"/>
    <w:multiLevelType w:val="hybridMultilevel"/>
    <w:tmpl w:val="15B440BB"/>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FF1201"/>
    <w:multiLevelType w:val="hybridMultilevel"/>
    <w:tmpl w:val="03B2583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4"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08F5138A"/>
    <w:multiLevelType w:val="hybridMultilevel"/>
    <w:tmpl w:val="EA27AD36"/>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8" w15:restartNumberingAfterBreak="0">
    <w:nsid w:val="21BD4E30"/>
    <w:multiLevelType w:val="hybridMultilevel"/>
    <w:tmpl w:val="3A0F72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1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1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21" w15:restartNumberingAfterBreak="0">
    <w:nsid w:val="59E0344E"/>
    <w:multiLevelType w:val="hybridMultilevel"/>
    <w:tmpl w:val="C66EF1EA"/>
    <w:lvl w:ilvl="0" w:tplc="240A0001">
      <w:start w:val="1"/>
      <w:numFmt w:val="bullet"/>
      <w:lvlText w:val=""/>
      <w:lvlJc w:val="left"/>
      <w:pPr>
        <w:ind w:left="800" w:hanging="360"/>
      </w:pPr>
      <w:rPr>
        <w:rFonts w:ascii="Symbol" w:hAnsi="Symbol" w:hint="default"/>
      </w:rPr>
    </w:lvl>
    <w:lvl w:ilvl="1" w:tplc="240A0003" w:tentative="1">
      <w:start w:val="1"/>
      <w:numFmt w:val="bullet"/>
      <w:lvlText w:val="o"/>
      <w:lvlJc w:val="left"/>
      <w:pPr>
        <w:ind w:left="1520" w:hanging="360"/>
      </w:pPr>
      <w:rPr>
        <w:rFonts w:ascii="Courier New" w:hAnsi="Courier New" w:cs="Courier New" w:hint="default"/>
      </w:rPr>
    </w:lvl>
    <w:lvl w:ilvl="2" w:tplc="240A0005" w:tentative="1">
      <w:start w:val="1"/>
      <w:numFmt w:val="bullet"/>
      <w:lvlText w:val=""/>
      <w:lvlJc w:val="left"/>
      <w:pPr>
        <w:ind w:left="2240" w:hanging="360"/>
      </w:pPr>
      <w:rPr>
        <w:rFonts w:ascii="Wingdings" w:hAnsi="Wingdings" w:hint="default"/>
      </w:rPr>
    </w:lvl>
    <w:lvl w:ilvl="3" w:tplc="240A0001" w:tentative="1">
      <w:start w:val="1"/>
      <w:numFmt w:val="bullet"/>
      <w:lvlText w:val=""/>
      <w:lvlJc w:val="left"/>
      <w:pPr>
        <w:ind w:left="2960" w:hanging="360"/>
      </w:pPr>
      <w:rPr>
        <w:rFonts w:ascii="Symbol" w:hAnsi="Symbol" w:hint="default"/>
      </w:rPr>
    </w:lvl>
    <w:lvl w:ilvl="4" w:tplc="240A0003" w:tentative="1">
      <w:start w:val="1"/>
      <w:numFmt w:val="bullet"/>
      <w:lvlText w:val="o"/>
      <w:lvlJc w:val="left"/>
      <w:pPr>
        <w:ind w:left="3680" w:hanging="360"/>
      </w:pPr>
      <w:rPr>
        <w:rFonts w:ascii="Courier New" w:hAnsi="Courier New" w:cs="Courier New" w:hint="default"/>
      </w:rPr>
    </w:lvl>
    <w:lvl w:ilvl="5" w:tplc="240A0005" w:tentative="1">
      <w:start w:val="1"/>
      <w:numFmt w:val="bullet"/>
      <w:lvlText w:val=""/>
      <w:lvlJc w:val="left"/>
      <w:pPr>
        <w:ind w:left="4400" w:hanging="360"/>
      </w:pPr>
      <w:rPr>
        <w:rFonts w:ascii="Wingdings" w:hAnsi="Wingdings" w:hint="default"/>
      </w:rPr>
    </w:lvl>
    <w:lvl w:ilvl="6" w:tplc="240A0001" w:tentative="1">
      <w:start w:val="1"/>
      <w:numFmt w:val="bullet"/>
      <w:lvlText w:val=""/>
      <w:lvlJc w:val="left"/>
      <w:pPr>
        <w:ind w:left="5120" w:hanging="360"/>
      </w:pPr>
      <w:rPr>
        <w:rFonts w:ascii="Symbol" w:hAnsi="Symbol" w:hint="default"/>
      </w:rPr>
    </w:lvl>
    <w:lvl w:ilvl="7" w:tplc="240A0003" w:tentative="1">
      <w:start w:val="1"/>
      <w:numFmt w:val="bullet"/>
      <w:lvlText w:val="o"/>
      <w:lvlJc w:val="left"/>
      <w:pPr>
        <w:ind w:left="5840" w:hanging="360"/>
      </w:pPr>
      <w:rPr>
        <w:rFonts w:ascii="Courier New" w:hAnsi="Courier New" w:cs="Courier New" w:hint="default"/>
      </w:rPr>
    </w:lvl>
    <w:lvl w:ilvl="8" w:tplc="240A0005" w:tentative="1">
      <w:start w:val="1"/>
      <w:numFmt w:val="bullet"/>
      <w:lvlText w:val=""/>
      <w:lvlJc w:val="left"/>
      <w:pPr>
        <w:ind w:left="6560" w:hanging="360"/>
      </w:pPr>
      <w:rPr>
        <w:rFonts w:ascii="Wingdings" w:hAnsi="Wingdings" w:hint="default"/>
      </w:rPr>
    </w:lvl>
  </w:abstractNum>
  <w:abstractNum w:abstractNumId="22"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2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7BBE2BF1"/>
    <w:multiLevelType w:val="hybridMultilevel"/>
    <w:tmpl w:val="FBA670D1"/>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544566947">
    <w:abstractNumId w:val="15"/>
  </w:num>
  <w:num w:numId="2" w16cid:durableId="650017954">
    <w:abstractNumId w:val="4"/>
  </w:num>
  <w:num w:numId="3" w16cid:durableId="1613240200">
    <w:abstractNumId w:val="12"/>
  </w:num>
  <w:num w:numId="4" w16cid:durableId="67535110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79826348">
    <w:abstractNumId w:val="4"/>
  </w:num>
  <w:num w:numId="6" w16cid:durableId="114914276">
    <w:abstractNumId w:val="26"/>
  </w:num>
  <w:num w:numId="7" w16cid:durableId="327632995">
    <w:abstractNumId w:val="13"/>
  </w:num>
  <w:num w:numId="8" w16cid:durableId="1090854714">
    <w:abstractNumId w:val="25"/>
  </w:num>
  <w:num w:numId="9" w16cid:durableId="692417136">
    <w:abstractNumId w:val="16"/>
  </w:num>
  <w:num w:numId="10" w16cid:durableId="2016302551">
    <w:abstractNumId w:val="24"/>
  </w:num>
  <w:num w:numId="11" w16cid:durableId="1189493272">
    <w:abstractNumId w:val="17"/>
  </w:num>
  <w:num w:numId="12" w16cid:durableId="81339062">
    <w:abstractNumId w:val="2"/>
  </w:num>
  <w:num w:numId="13" w16cid:durableId="391273752">
    <w:abstractNumId w:val="9"/>
  </w:num>
  <w:num w:numId="14" w16cid:durableId="2169424">
    <w:abstractNumId w:val="27"/>
  </w:num>
  <w:num w:numId="15" w16cid:durableId="163055835">
    <w:abstractNumId w:val="23"/>
  </w:num>
  <w:num w:numId="16" w16cid:durableId="1010911742">
    <w:abstractNumId w:val="10"/>
  </w:num>
  <w:num w:numId="17" w16cid:durableId="1341617895">
    <w:abstractNumId w:val="18"/>
  </w:num>
  <w:num w:numId="18" w16cid:durableId="1996494449">
    <w:abstractNumId w:val="31"/>
  </w:num>
  <w:num w:numId="19" w16cid:durableId="1253319056">
    <w:abstractNumId w:val="29"/>
  </w:num>
  <w:num w:numId="20" w16cid:durableId="607080314">
    <w:abstractNumId w:val="3"/>
  </w:num>
  <w:num w:numId="21" w16cid:durableId="1730762971">
    <w:abstractNumId w:val="7"/>
  </w:num>
  <w:num w:numId="22" w16cid:durableId="346449070">
    <w:abstractNumId w:val="11"/>
  </w:num>
  <w:num w:numId="23" w16cid:durableId="1075281872">
    <w:abstractNumId w:val="6"/>
  </w:num>
  <w:num w:numId="24" w16cid:durableId="1649937254">
    <w:abstractNumId w:val="28"/>
  </w:num>
  <w:num w:numId="25" w16cid:durableId="748237038">
    <w:abstractNumId w:val="1"/>
  </w:num>
  <w:num w:numId="26" w16cid:durableId="301886781">
    <w:abstractNumId w:val="0"/>
  </w:num>
  <w:num w:numId="27" w16cid:durableId="934676021">
    <w:abstractNumId w:val="8"/>
  </w:num>
  <w:num w:numId="28" w16cid:durableId="1835492809">
    <w:abstractNumId w:val="14"/>
  </w:num>
  <w:num w:numId="29" w16cid:durableId="63767741">
    <w:abstractNumId w:val="32"/>
  </w:num>
  <w:num w:numId="30" w16cid:durableId="1014378066">
    <w:abstractNumId w:val="20"/>
  </w:num>
  <w:num w:numId="31" w16cid:durableId="709574377">
    <w:abstractNumId w:val="22"/>
  </w:num>
  <w:num w:numId="32" w16cid:durableId="1870533869">
    <w:abstractNumId w:val="5"/>
  </w:num>
  <w:num w:numId="33" w16cid:durableId="1323242806">
    <w:abstractNumId w:val="21"/>
  </w:num>
  <w:num w:numId="34" w16cid:durableId="1823499201">
    <w:abstractNumId w:val="30"/>
  </w:num>
  <w:num w:numId="35" w16cid:durableId="186046729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34D5"/>
    <w:rsid w:val="00016F78"/>
    <w:rsid w:val="00031A8F"/>
    <w:rsid w:val="00033B58"/>
    <w:rsid w:val="000351B8"/>
    <w:rsid w:val="000353BD"/>
    <w:rsid w:val="00046945"/>
    <w:rsid w:val="000520BE"/>
    <w:rsid w:val="00055901"/>
    <w:rsid w:val="00061B2A"/>
    <w:rsid w:val="00062688"/>
    <w:rsid w:val="000711CF"/>
    <w:rsid w:val="0007149E"/>
    <w:rsid w:val="00076D52"/>
    <w:rsid w:val="00080B1D"/>
    <w:rsid w:val="00082362"/>
    <w:rsid w:val="0009079C"/>
    <w:rsid w:val="000A0F1E"/>
    <w:rsid w:val="000A66E5"/>
    <w:rsid w:val="000A683E"/>
    <w:rsid w:val="000B19B9"/>
    <w:rsid w:val="000B27F0"/>
    <w:rsid w:val="000B70B5"/>
    <w:rsid w:val="000C5A9E"/>
    <w:rsid w:val="000D0334"/>
    <w:rsid w:val="000D1DC8"/>
    <w:rsid w:val="000D4734"/>
    <w:rsid w:val="000D5DA7"/>
    <w:rsid w:val="000E6E2C"/>
    <w:rsid w:val="000F078F"/>
    <w:rsid w:val="000F3444"/>
    <w:rsid w:val="000F512E"/>
    <w:rsid w:val="000F6486"/>
    <w:rsid w:val="00105C57"/>
    <w:rsid w:val="001161CA"/>
    <w:rsid w:val="001168F2"/>
    <w:rsid w:val="00116940"/>
    <w:rsid w:val="00125105"/>
    <w:rsid w:val="00127233"/>
    <w:rsid w:val="001328F3"/>
    <w:rsid w:val="001428DC"/>
    <w:rsid w:val="00144A14"/>
    <w:rsid w:val="0015699B"/>
    <w:rsid w:val="00171640"/>
    <w:rsid w:val="00174D6E"/>
    <w:rsid w:val="00180534"/>
    <w:rsid w:val="00186A6A"/>
    <w:rsid w:val="0019064C"/>
    <w:rsid w:val="001A10B6"/>
    <w:rsid w:val="001A2E76"/>
    <w:rsid w:val="001A33BF"/>
    <w:rsid w:val="001A3A16"/>
    <w:rsid w:val="001C5AE4"/>
    <w:rsid w:val="001C61B3"/>
    <w:rsid w:val="001D02CC"/>
    <w:rsid w:val="001D1FE7"/>
    <w:rsid w:val="001E2E05"/>
    <w:rsid w:val="001E4177"/>
    <w:rsid w:val="001F08F8"/>
    <w:rsid w:val="001F0B24"/>
    <w:rsid w:val="001F7DC6"/>
    <w:rsid w:val="00207466"/>
    <w:rsid w:val="00212AD1"/>
    <w:rsid w:val="00216522"/>
    <w:rsid w:val="002209DE"/>
    <w:rsid w:val="0022400B"/>
    <w:rsid w:val="002421BB"/>
    <w:rsid w:val="00251528"/>
    <w:rsid w:val="00253436"/>
    <w:rsid w:val="0025796E"/>
    <w:rsid w:val="002707A2"/>
    <w:rsid w:val="00275482"/>
    <w:rsid w:val="0028778F"/>
    <w:rsid w:val="002951A0"/>
    <w:rsid w:val="002962BC"/>
    <w:rsid w:val="002A093D"/>
    <w:rsid w:val="002A0DD0"/>
    <w:rsid w:val="002A49AC"/>
    <w:rsid w:val="002A64FD"/>
    <w:rsid w:val="002B730F"/>
    <w:rsid w:val="002C715A"/>
    <w:rsid w:val="002C7A84"/>
    <w:rsid w:val="002E05EF"/>
    <w:rsid w:val="002E2BF8"/>
    <w:rsid w:val="002E4FD9"/>
    <w:rsid w:val="002E73A6"/>
    <w:rsid w:val="002F0847"/>
    <w:rsid w:val="002F43E6"/>
    <w:rsid w:val="002F7AD4"/>
    <w:rsid w:val="0030657A"/>
    <w:rsid w:val="003136DC"/>
    <w:rsid w:val="00316053"/>
    <w:rsid w:val="00322A85"/>
    <w:rsid w:val="00322C00"/>
    <w:rsid w:val="00322D77"/>
    <w:rsid w:val="00324168"/>
    <w:rsid w:val="00327F61"/>
    <w:rsid w:val="00330834"/>
    <w:rsid w:val="003332A8"/>
    <w:rsid w:val="003448F4"/>
    <w:rsid w:val="003458FC"/>
    <w:rsid w:val="00351032"/>
    <w:rsid w:val="00366835"/>
    <w:rsid w:val="00374F5E"/>
    <w:rsid w:val="003769E1"/>
    <w:rsid w:val="00377E3E"/>
    <w:rsid w:val="00381BAB"/>
    <w:rsid w:val="00384EC6"/>
    <w:rsid w:val="003A779E"/>
    <w:rsid w:val="003B0DFC"/>
    <w:rsid w:val="003C0ED7"/>
    <w:rsid w:val="003C7CCA"/>
    <w:rsid w:val="003D0F4D"/>
    <w:rsid w:val="003D5B0D"/>
    <w:rsid w:val="003E0499"/>
    <w:rsid w:val="003E4F80"/>
    <w:rsid w:val="003E6439"/>
    <w:rsid w:val="003F1FD8"/>
    <w:rsid w:val="003F3941"/>
    <w:rsid w:val="00403EFA"/>
    <w:rsid w:val="00406575"/>
    <w:rsid w:val="004140B3"/>
    <w:rsid w:val="00414C74"/>
    <w:rsid w:val="00426826"/>
    <w:rsid w:val="0042722E"/>
    <w:rsid w:val="0043576B"/>
    <w:rsid w:val="0044528D"/>
    <w:rsid w:val="00447AD5"/>
    <w:rsid w:val="00450B8A"/>
    <w:rsid w:val="00451137"/>
    <w:rsid w:val="004555EA"/>
    <w:rsid w:val="0045785F"/>
    <w:rsid w:val="00466E39"/>
    <w:rsid w:val="00475242"/>
    <w:rsid w:val="00476D7D"/>
    <w:rsid w:val="00484E40"/>
    <w:rsid w:val="00486E52"/>
    <w:rsid w:val="0048787A"/>
    <w:rsid w:val="00494F04"/>
    <w:rsid w:val="0049642B"/>
    <w:rsid w:val="004A0A0B"/>
    <w:rsid w:val="004A0E5C"/>
    <w:rsid w:val="004A1847"/>
    <w:rsid w:val="004A305D"/>
    <w:rsid w:val="004A6649"/>
    <w:rsid w:val="004B3DAC"/>
    <w:rsid w:val="004B73B9"/>
    <w:rsid w:val="004B7A3E"/>
    <w:rsid w:val="004C0DBB"/>
    <w:rsid w:val="004E2B92"/>
    <w:rsid w:val="004F21C4"/>
    <w:rsid w:val="004F685F"/>
    <w:rsid w:val="00513BF7"/>
    <w:rsid w:val="00517955"/>
    <w:rsid w:val="005229DB"/>
    <w:rsid w:val="00534886"/>
    <w:rsid w:val="00536A0E"/>
    <w:rsid w:val="00552D0E"/>
    <w:rsid w:val="00553040"/>
    <w:rsid w:val="005566E8"/>
    <w:rsid w:val="00560892"/>
    <w:rsid w:val="00566E6F"/>
    <w:rsid w:val="00570B00"/>
    <w:rsid w:val="00572622"/>
    <w:rsid w:val="00573280"/>
    <w:rsid w:val="00574867"/>
    <w:rsid w:val="005803CC"/>
    <w:rsid w:val="00591460"/>
    <w:rsid w:val="00592C94"/>
    <w:rsid w:val="005A2CAB"/>
    <w:rsid w:val="005A52A7"/>
    <w:rsid w:val="005A65E0"/>
    <w:rsid w:val="005B2A46"/>
    <w:rsid w:val="005C0881"/>
    <w:rsid w:val="005C3777"/>
    <w:rsid w:val="005C5CDC"/>
    <w:rsid w:val="005C674F"/>
    <w:rsid w:val="005D2566"/>
    <w:rsid w:val="005D476C"/>
    <w:rsid w:val="005F0988"/>
    <w:rsid w:val="005F20A4"/>
    <w:rsid w:val="00600D92"/>
    <w:rsid w:val="00603C5B"/>
    <w:rsid w:val="00611CE6"/>
    <w:rsid w:val="006137E1"/>
    <w:rsid w:val="00617E91"/>
    <w:rsid w:val="006200BF"/>
    <w:rsid w:val="0062143E"/>
    <w:rsid w:val="006219F8"/>
    <w:rsid w:val="00624A89"/>
    <w:rsid w:val="00624EEC"/>
    <w:rsid w:val="006302F7"/>
    <w:rsid w:val="006443FE"/>
    <w:rsid w:val="00646B9F"/>
    <w:rsid w:val="00646F24"/>
    <w:rsid w:val="006547C3"/>
    <w:rsid w:val="006556B1"/>
    <w:rsid w:val="00663A04"/>
    <w:rsid w:val="00665D70"/>
    <w:rsid w:val="00684F67"/>
    <w:rsid w:val="006900D9"/>
    <w:rsid w:val="00695B4F"/>
    <w:rsid w:val="0069741A"/>
    <w:rsid w:val="006A2BE4"/>
    <w:rsid w:val="006B4707"/>
    <w:rsid w:val="006D13BA"/>
    <w:rsid w:val="006D591D"/>
    <w:rsid w:val="006F2238"/>
    <w:rsid w:val="006F4199"/>
    <w:rsid w:val="007009D7"/>
    <w:rsid w:val="007025D7"/>
    <w:rsid w:val="00706C16"/>
    <w:rsid w:val="00714355"/>
    <w:rsid w:val="00715444"/>
    <w:rsid w:val="0071557C"/>
    <w:rsid w:val="00731F30"/>
    <w:rsid w:val="007340C3"/>
    <w:rsid w:val="0073510E"/>
    <w:rsid w:val="007401F3"/>
    <w:rsid w:val="007458D3"/>
    <w:rsid w:val="0075235A"/>
    <w:rsid w:val="00752CDB"/>
    <w:rsid w:val="0075557D"/>
    <w:rsid w:val="00756841"/>
    <w:rsid w:val="007576BA"/>
    <w:rsid w:val="007649AB"/>
    <w:rsid w:val="0076547C"/>
    <w:rsid w:val="00771AEF"/>
    <w:rsid w:val="00771D0C"/>
    <w:rsid w:val="00782ED2"/>
    <w:rsid w:val="007833AC"/>
    <w:rsid w:val="00795086"/>
    <w:rsid w:val="007A037B"/>
    <w:rsid w:val="007A1830"/>
    <w:rsid w:val="007B268C"/>
    <w:rsid w:val="007B7171"/>
    <w:rsid w:val="007C0C0F"/>
    <w:rsid w:val="007C3DC2"/>
    <w:rsid w:val="007C4353"/>
    <w:rsid w:val="007C6A9F"/>
    <w:rsid w:val="007D2809"/>
    <w:rsid w:val="007D3058"/>
    <w:rsid w:val="007D4B12"/>
    <w:rsid w:val="007E43AC"/>
    <w:rsid w:val="007E5497"/>
    <w:rsid w:val="00806F5F"/>
    <w:rsid w:val="00820278"/>
    <w:rsid w:val="00822A37"/>
    <w:rsid w:val="008236EF"/>
    <w:rsid w:val="008258C9"/>
    <w:rsid w:val="008306EB"/>
    <w:rsid w:val="00830893"/>
    <w:rsid w:val="00833286"/>
    <w:rsid w:val="00836232"/>
    <w:rsid w:val="00841E29"/>
    <w:rsid w:val="00844AE9"/>
    <w:rsid w:val="0085441E"/>
    <w:rsid w:val="0085545E"/>
    <w:rsid w:val="00865120"/>
    <w:rsid w:val="00867F95"/>
    <w:rsid w:val="00871AAC"/>
    <w:rsid w:val="008843B6"/>
    <w:rsid w:val="00886410"/>
    <w:rsid w:val="00887F25"/>
    <w:rsid w:val="00891928"/>
    <w:rsid w:val="008A446D"/>
    <w:rsid w:val="008B0D0F"/>
    <w:rsid w:val="008B25F1"/>
    <w:rsid w:val="008B3DF1"/>
    <w:rsid w:val="008C11FD"/>
    <w:rsid w:val="008C4DD5"/>
    <w:rsid w:val="008C517A"/>
    <w:rsid w:val="008C6AE5"/>
    <w:rsid w:val="008D1660"/>
    <w:rsid w:val="008D180B"/>
    <w:rsid w:val="008E2FF6"/>
    <w:rsid w:val="008F0EA7"/>
    <w:rsid w:val="008F17DC"/>
    <w:rsid w:val="008F207E"/>
    <w:rsid w:val="008F4334"/>
    <w:rsid w:val="008F6705"/>
    <w:rsid w:val="009037F6"/>
    <w:rsid w:val="0091143C"/>
    <w:rsid w:val="00915A51"/>
    <w:rsid w:val="00917FBF"/>
    <w:rsid w:val="0092018D"/>
    <w:rsid w:val="00920817"/>
    <w:rsid w:val="00923EEF"/>
    <w:rsid w:val="009419F9"/>
    <w:rsid w:val="009565A3"/>
    <w:rsid w:val="0095685E"/>
    <w:rsid w:val="00961B09"/>
    <w:rsid w:val="00963E12"/>
    <w:rsid w:val="00964321"/>
    <w:rsid w:val="00965334"/>
    <w:rsid w:val="00970742"/>
    <w:rsid w:val="0097093E"/>
    <w:rsid w:val="009722DE"/>
    <w:rsid w:val="009736BF"/>
    <w:rsid w:val="00982DD4"/>
    <w:rsid w:val="00984DB3"/>
    <w:rsid w:val="00992E19"/>
    <w:rsid w:val="009A0486"/>
    <w:rsid w:val="009A0DFA"/>
    <w:rsid w:val="009A4368"/>
    <w:rsid w:val="009B28B9"/>
    <w:rsid w:val="009B2D26"/>
    <w:rsid w:val="009B3C20"/>
    <w:rsid w:val="009C71FA"/>
    <w:rsid w:val="009C72E7"/>
    <w:rsid w:val="009C7F7E"/>
    <w:rsid w:val="009D23F2"/>
    <w:rsid w:val="009D3058"/>
    <w:rsid w:val="009E1F28"/>
    <w:rsid w:val="009E6924"/>
    <w:rsid w:val="009E7AED"/>
    <w:rsid w:val="009F3A13"/>
    <w:rsid w:val="009F5BD5"/>
    <w:rsid w:val="009F7A6E"/>
    <w:rsid w:val="00A0334B"/>
    <w:rsid w:val="00A0526C"/>
    <w:rsid w:val="00A06941"/>
    <w:rsid w:val="00A10812"/>
    <w:rsid w:val="00A122D3"/>
    <w:rsid w:val="00A13FAB"/>
    <w:rsid w:val="00A14468"/>
    <w:rsid w:val="00A160DC"/>
    <w:rsid w:val="00A17F13"/>
    <w:rsid w:val="00A2014A"/>
    <w:rsid w:val="00A20739"/>
    <w:rsid w:val="00A23AF9"/>
    <w:rsid w:val="00A31A76"/>
    <w:rsid w:val="00A33C78"/>
    <w:rsid w:val="00A346A8"/>
    <w:rsid w:val="00A53338"/>
    <w:rsid w:val="00A73C39"/>
    <w:rsid w:val="00A73F45"/>
    <w:rsid w:val="00A765B7"/>
    <w:rsid w:val="00AA1E47"/>
    <w:rsid w:val="00AB0ADB"/>
    <w:rsid w:val="00AB3961"/>
    <w:rsid w:val="00AB436E"/>
    <w:rsid w:val="00AB5BE5"/>
    <w:rsid w:val="00AC694F"/>
    <w:rsid w:val="00AC73F2"/>
    <w:rsid w:val="00AD173A"/>
    <w:rsid w:val="00AD7D5F"/>
    <w:rsid w:val="00AE3513"/>
    <w:rsid w:val="00AE485E"/>
    <w:rsid w:val="00AF5A10"/>
    <w:rsid w:val="00B00C0E"/>
    <w:rsid w:val="00B01B1A"/>
    <w:rsid w:val="00B0459C"/>
    <w:rsid w:val="00B04DA1"/>
    <w:rsid w:val="00B11075"/>
    <w:rsid w:val="00B12E7E"/>
    <w:rsid w:val="00B30A05"/>
    <w:rsid w:val="00B3633C"/>
    <w:rsid w:val="00B37EB5"/>
    <w:rsid w:val="00B40730"/>
    <w:rsid w:val="00B44A47"/>
    <w:rsid w:val="00B51CEB"/>
    <w:rsid w:val="00B54271"/>
    <w:rsid w:val="00B5550F"/>
    <w:rsid w:val="00B6149C"/>
    <w:rsid w:val="00B64484"/>
    <w:rsid w:val="00B71FD5"/>
    <w:rsid w:val="00B72CD3"/>
    <w:rsid w:val="00B72FFF"/>
    <w:rsid w:val="00B74092"/>
    <w:rsid w:val="00B95DAC"/>
    <w:rsid w:val="00BA2EB9"/>
    <w:rsid w:val="00BA703D"/>
    <w:rsid w:val="00BB0CE5"/>
    <w:rsid w:val="00BC3D36"/>
    <w:rsid w:val="00BC70CB"/>
    <w:rsid w:val="00BD125A"/>
    <w:rsid w:val="00BD13AC"/>
    <w:rsid w:val="00BD54A6"/>
    <w:rsid w:val="00BD7F72"/>
    <w:rsid w:val="00BF056C"/>
    <w:rsid w:val="00BF3B66"/>
    <w:rsid w:val="00BF5C08"/>
    <w:rsid w:val="00BF7425"/>
    <w:rsid w:val="00C04FB3"/>
    <w:rsid w:val="00C11D8B"/>
    <w:rsid w:val="00C1537A"/>
    <w:rsid w:val="00C15442"/>
    <w:rsid w:val="00C251B0"/>
    <w:rsid w:val="00C3284D"/>
    <w:rsid w:val="00C330EB"/>
    <w:rsid w:val="00C419DF"/>
    <w:rsid w:val="00C50D69"/>
    <w:rsid w:val="00C5365C"/>
    <w:rsid w:val="00C619D4"/>
    <w:rsid w:val="00C61D93"/>
    <w:rsid w:val="00C661E0"/>
    <w:rsid w:val="00C754BE"/>
    <w:rsid w:val="00C76B1C"/>
    <w:rsid w:val="00C82667"/>
    <w:rsid w:val="00C90C96"/>
    <w:rsid w:val="00C925AC"/>
    <w:rsid w:val="00C94828"/>
    <w:rsid w:val="00C963BE"/>
    <w:rsid w:val="00C96B64"/>
    <w:rsid w:val="00CA2858"/>
    <w:rsid w:val="00CA710C"/>
    <w:rsid w:val="00CB02F1"/>
    <w:rsid w:val="00CB6357"/>
    <w:rsid w:val="00CC1B26"/>
    <w:rsid w:val="00CD4C85"/>
    <w:rsid w:val="00CE3C1C"/>
    <w:rsid w:val="00CE4026"/>
    <w:rsid w:val="00D06146"/>
    <w:rsid w:val="00D0699E"/>
    <w:rsid w:val="00D1210B"/>
    <w:rsid w:val="00D1532C"/>
    <w:rsid w:val="00D22D2B"/>
    <w:rsid w:val="00D334DD"/>
    <w:rsid w:val="00D34EA3"/>
    <w:rsid w:val="00D361FD"/>
    <w:rsid w:val="00D4214E"/>
    <w:rsid w:val="00D423A2"/>
    <w:rsid w:val="00D44E26"/>
    <w:rsid w:val="00D51A5D"/>
    <w:rsid w:val="00D520D8"/>
    <w:rsid w:val="00D532D4"/>
    <w:rsid w:val="00D62B9C"/>
    <w:rsid w:val="00D63AC2"/>
    <w:rsid w:val="00D7383B"/>
    <w:rsid w:val="00D73DBD"/>
    <w:rsid w:val="00D7788A"/>
    <w:rsid w:val="00D85F06"/>
    <w:rsid w:val="00D936A2"/>
    <w:rsid w:val="00DA231B"/>
    <w:rsid w:val="00DA6CAC"/>
    <w:rsid w:val="00DB13F4"/>
    <w:rsid w:val="00DB3340"/>
    <w:rsid w:val="00DB55DA"/>
    <w:rsid w:val="00DB7D12"/>
    <w:rsid w:val="00DC39FC"/>
    <w:rsid w:val="00DC7CCB"/>
    <w:rsid w:val="00DD0D10"/>
    <w:rsid w:val="00DE6EC3"/>
    <w:rsid w:val="00DF27FE"/>
    <w:rsid w:val="00DF5254"/>
    <w:rsid w:val="00E01518"/>
    <w:rsid w:val="00E02087"/>
    <w:rsid w:val="00E02524"/>
    <w:rsid w:val="00E1159D"/>
    <w:rsid w:val="00E1451E"/>
    <w:rsid w:val="00E16408"/>
    <w:rsid w:val="00E20894"/>
    <w:rsid w:val="00E245AB"/>
    <w:rsid w:val="00E24891"/>
    <w:rsid w:val="00E27341"/>
    <w:rsid w:val="00E2764C"/>
    <w:rsid w:val="00E27F2E"/>
    <w:rsid w:val="00E31225"/>
    <w:rsid w:val="00E501E7"/>
    <w:rsid w:val="00E50AFE"/>
    <w:rsid w:val="00E577E2"/>
    <w:rsid w:val="00E615C4"/>
    <w:rsid w:val="00E75C92"/>
    <w:rsid w:val="00E771DC"/>
    <w:rsid w:val="00E8772A"/>
    <w:rsid w:val="00E90F6B"/>
    <w:rsid w:val="00E91AED"/>
    <w:rsid w:val="00E92C27"/>
    <w:rsid w:val="00E96B5C"/>
    <w:rsid w:val="00EA0E3D"/>
    <w:rsid w:val="00EA426C"/>
    <w:rsid w:val="00EB224C"/>
    <w:rsid w:val="00EC006D"/>
    <w:rsid w:val="00EC297F"/>
    <w:rsid w:val="00EC33B9"/>
    <w:rsid w:val="00EC38A7"/>
    <w:rsid w:val="00ED4980"/>
    <w:rsid w:val="00EE1AA8"/>
    <w:rsid w:val="00EE265D"/>
    <w:rsid w:val="00EE3D99"/>
    <w:rsid w:val="00EF0C91"/>
    <w:rsid w:val="00EF1D4F"/>
    <w:rsid w:val="00EF5E13"/>
    <w:rsid w:val="00EF647F"/>
    <w:rsid w:val="00F03314"/>
    <w:rsid w:val="00F038E2"/>
    <w:rsid w:val="00F0580C"/>
    <w:rsid w:val="00F17049"/>
    <w:rsid w:val="00F23FEA"/>
    <w:rsid w:val="00F27B7B"/>
    <w:rsid w:val="00F31EDC"/>
    <w:rsid w:val="00F34294"/>
    <w:rsid w:val="00F449F4"/>
    <w:rsid w:val="00F45A82"/>
    <w:rsid w:val="00F462B3"/>
    <w:rsid w:val="00F515B7"/>
    <w:rsid w:val="00F5664F"/>
    <w:rsid w:val="00F60F65"/>
    <w:rsid w:val="00F666C4"/>
    <w:rsid w:val="00F7218F"/>
    <w:rsid w:val="00F76AFC"/>
    <w:rsid w:val="00F81BF0"/>
    <w:rsid w:val="00F82E88"/>
    <w:rsid w:val="00F86E11"/>
    <w:rsid w:val="00F86E3E"/>
    <w:rsid w:val="00F95C74"/>
    <w:rsid w:val="00F9721B"/>
    <w:rsid w:val="00FA31C3"/>
    <w:rsid w:val="00FA47C0"/>
    <w:rsid w:val="00FA5FFD"/>
    <w:rsid w:val="00FA69A3"/>
    <w:rsid w:val="00FB5DD1"/>
    <w:rsid w:val="00FC2B5D"/>
    <w:rsid w:val="00FD1DDC"/>
    <w:rsid w:val="00FD3AD2"/>
    <w:rsid w:val="00FD5BCD"/>
    <w:rsid w:val="00FF1449"/>
    <w:rsid w:val="00FF227D"/>
    <w:rsid w:val="00FF696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0CE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3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DB13F4"/>
    <w:rPr>
      <w:color w:val="605E5C"/>
      <w:shd w:val="clear" w:color="auto" w:fill="E1DFDD"/>
    </w:rPr>
  </w:style>
  <w:style w:type="table" w:customStyle="1" w:styleId="TableNormal1">
    <w:name w:val="Table Normal1"/>
    <w:uiPriority w:val="2"/>
    <w:semiHidden/>
    <w:unhideWhenUsed/>
    <w:qFormat/>
    <w:rsid w:val="009B3C2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NormalWebCar">
    <w:name w:val="Normal (Web) Car"/>
    <w:link w:val="NormalWeb"/>
    <w:uiPriority w:val="99"/>
    <w:rsid w:val="008236EF"/>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semiHidden/>
    <w:unhideWhenUsed/>
    <w:rsid w:val="00714355"/>
    <w:pPr>
      <w:spacing w:after="120"/>
    </w:pPr>
  </w:style>
  <w:style w:type="character" w:customStyle="1" w:styleId="TextoindependienteCar">
    <w:name w:val="Texto independiente Car"/>
    <w:basedOn w:val="Fuentedeprrafopredeter"/>
    <w:link w:val="Textoindependiente"/>
    <w:uiPriority w:val="99"/>
    <w:semiHidden/>
    <w:rsid w:val="00714355"/>
  </w:style>
  <w:style w:type="character" w:styleId="Fuerte">
    <w:name w:val="Strong"/>
    <w:basedOn w:val="Fuentedeprrafopredeter"/>
    <w:uiPriority w:val="22"/>
    <w:qFormat/>
    <w:rsid w:val="00384EC6"/>
    <w:rPr>
      <w:b/>
      <w:bCs/>
    </w:rPr>
  </w:style>
  <w:style w:type="paragraph" w:styleId="Sinespaciado">
    <w:name w:val="No Spacing"/>
    <w:aliases w:val="No Indent"/>
    <w:uiPriority w:val="3"/>
    <w:qFormat/>
    <w:rsid w:val="00A346A8"/>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18941589">
      <w:bodyDiv w:val="1"/>
      <w:marLeft w:val="0"/>
      <w:marRight w:val="0"/>
      <w:marTop w:val="0"/>
      <w:marBottom w:val="0"/>
      <w:divBdr>
        <w:top w:val="none" w:sz="0" w:space="0" w:color="auto"/>
        <w:left w:val="none" w:sz="0" w:space="0" w:color="auto"/>
        <w:bottom w:val="none" w:sz="0" w:space="0" w:color="auto"/>
        <w:right w:val="none" w:sz="0" w:space="0" w:color="auto"/>
      </w:divBdr>
    </w:div>
    <w:div w:id="20865981">
      <w:bodyDiv w:val="1"/>
      <w:marLeft w:val="0"/>
      <w:marRight w:val="0"/>
      <w:marTop w:val="0"/>
      <w:marBottom w:val="0"/>
      <w:divBdr>
        <w:top w:val="none" w:sz="0" w:space="0" w:color="auto"/>
        <w:left w:val="none" w:sz="0" w:space="0" w:color="auto"/>
        <w:bottom w:val="none" w:sz="0" w:space="0" w:color="auto"/>
        <w:right w:val="none" w:sz="0" w:space="0" w:color="auto"/>
      </w:divBdr>
      <w:divsChild>
        <w:div w:id="1037195841">
          <w:marLeft w:val="0"/>
          <w:marRight w:val="0"/>
          <w:marTop w:val="0"/>
          <w:marBottom w:val="0"/>
          <w:divBdr>
            <w:top w:val="none" w:sz="0" w:space="0" w:color="auto"/>
            <w:left w:val="none" w:sz="0" w:space="0" w:color="auto"/>
            <w:bottom w:val="none" w:sz="0" w:space="0" w:color="auto"/>
            <w:right w:val="none" w:sz="0" w:space="0" w:color="auto"/>
          </w:divBdr>
        </w:div>
      </w:divsChild>
    </w:div>
    <w:div w:id="231963799">
      <w:bodyDiv w:val="1"/>
      <w:marLeft w:val="0"/>
      <w:marRight w:val="0"/>
      <w:marTop w:val="0"/>
      <w:marBottom w:val="0"/>
      <w:divBdr>
        <w:top w:val="none" w:sz="0" w:space="0" w:color="auto"/>
        <w:left w:val="none" w:sz="0" w:space="0" w:color="auto"/>
        <w:bottom w:val="none" w:sz="0" w:space="0" w:color="auto"/>
        <w:right w:val="none" w:sz="0" w:space="0" w:color="auto"/>
      </w:divBdr>
      <w:divsChild>
        <w:div w:id="1967085044">
          <w:marLeft w:val="0"/>
          <w:marRight w:val="0"/>
          <w:marTop w:val="0"/>
          <w:marBottom w:val="0"/>
          <w:divBdr>
            <w:top w:val="none" w:sz="0" w:space="0" w:color="auto"/>
            <w:left w:val="none" w:sz="0" w:space="0" w:color="auto"/>
            <w:bottom w:val="none" w:sz="0" w:space="0" w:color="auto"/>
            <w:right w:val="none" w:sz="0" w:space="0" w:color="auto"/>
          </w:divBdr>
        </w:div>
      </w:divsChild>
    </w:div>
    <w:div w:id="389112425">
      <w:bodyDiv w:val="1"/>
      <w:marLeft w:val="0"/>
      <w:marRight w:val="0"/>
      <w:marTop w:val="0"/>
      <w:marBottom w:val="0"/>
      <w:divBdr>
        <w:top w:val="none" w:sz="0" w:space="0" w:color="auto"/>
        <w:left w:val="none" w:sz="0" w:space="0" w:color="auto"/>
        <w:bottom w:val="none" w:sz="0" w:space="0" w:color="auto"/>
        <w:right w:val="none" w:sz="0" w:space="0" w:color="auto"/>
      </w:divBdr>
      <w:divsChild>
        <w:div w:id="1168524253">
          <w:marLeft w:val="0"/>
          <w:marRight w:val="0"/>
          <w:marTop w:val="0"/>
          <w:marBottom w:val="0"/>
          <w:divBdr>
            <w:top w:val="none" w:sz="0" w:space="0" w:color="auto"/>
            <w:left w:val="none" w:sz="0" w:space="0" w:color="auto"/>
            <w:bottom w:val="none" w:sz="0" w:space="0" w:color="auto"/>
            <w:right w:val="none" w:sz="0" w:space="0" w:color="auto"/>
          </w:divBdr>
        </w:div>
      </w:divsChild>
    </w:div>
    <w:div w:id="395514011">
      <w:bodyDiv w:val="1"/>
      <w:marLeft w:val="0"/>
      <w:marRight w:val="0"/>
      <w:marTop w:val="0"/>
      <w:marBottom w:val="0"/>
      <w:divBdr>
        <w:top w:val="none" w:sz="0" w:space="0" w:color="auto"/>
        <w:left w:val="none" w:sz="0" w:space="0" w:color="auto"/>
        <w:bottom w:val="none" w:sz="0" w:space="0" w:color="auto"/>
        <w:right w:val="none" w:sz="0" w:space="0" w:color="auto"/>
      </w:divBdr>
      <w:divsChild>
        <w:div w:id="1117141357">
          <w:marLeft w:val="0"/>
          <w:marRight w:val="0"/>
          <w:marTop w:val="0"/>
          <w:marBottom w:val="0"/>
          <w:divBdr>
            <w:top w:val="none" w:sz="0" w:space="0" w:color="auto"/>
            <w:left w:val="none" w:sz="0" w:space="0" w:color="auto"/>
            <w:bottom w:val="none" w:sz="0" w:space="0" w:color="auto"/>
            <w:right w:val="none" w:sz="0" w:space="0" w:color="auto"/>
          </w:divBdr>
        </w:div>
      </w:divsChild>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551694321">
      <w:bodyDiv w:val="1"/>
      <w:marLeft w:val="0"/>
      <w:marRight w:val="0"/>
      <w:marTop w:val="0"/>
      <w:marBottom w:val="0"/>
      <w:divBdr>
        <w:top w:val="none" w:sz="0" w:space="0" w:color="auto"/>
        <w:left w:val="none" w:sz="0" w:space="0" w:color="auto"/>
        <w:bottom w:val="none" w:sz="0" w:space="0" w:color="auto"/>
        <w:right w:val="none" w:sz="0" w:space="0" w:color="auto"/>
      </w:divBdr>
      <w:divsChild>
        <w:div w:id="1386568614">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670839555">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62535293">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586180906">
      <w:bodyDiv w:val="1"/>
      <w:marLeft w:val="0"/>
      <w:marRight w:val="0"/>
      <w:marTop w:val="0"/>
      <w:marBottom w:val="0"/>
      <w:divBdr>
        <w:top w:val="none" w:sz="0" w:space="0" w:color="auto"/>
        <w:left w:val="none" w:sz="0" w:space="0" w:color="auto"/>
        <w:bottom w:val="none" w:sz="0" w:space="0" w:color="auto"/>
        <w:right w:val="none" w:sz="0" w:space="0" w:color="auto"/>
      </w:divBdr>
      <w:divsChild>
        <w:div w:id="1065682156">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1876187953">
      <w:bodyDiv w:val="1"/>
      <w:marLeft w:val="0"/>
      <w:marRight w:val="0"/>
      <w:marTop w:val="0"/>
      <w:marBottom w:val="0"/>
      <w:divBdr>
        <w:top w:val="none" w:sz="0" w:space="0" w:color="auto"/>
        <w:left w:val="none" w:sz="0" w:space="0" w:color="auto"/>
        <w:bottom w:val="none" w:sz="0" w:space="0" w:color="auto"/>
        <w:right w:val="none" w:sz="0" w:space="0" w:color="auto"/>
      </w:divBdr>
      <w:divsChild>
        <w:div w:id="154616896">
          <w:marLeft w:val="0"/>
          <w:marRight w:val="0"/>
          <w:marTop w:val="0"/>
          <w:marBottom w:val="0"/>
          <w:divBdr>
            <w:top w:val="none" w:sz="0" w:space="0" w:color="auto"/>
            <w:left w:val="none" w:sz="0" w:space="0" w:color="auto"/>
            <w:bottom w:val="none" w:sz="0" w:space="0" w:color="auto"/>
            <w:right w:val="none" w:sz="0" w:space="0" w:color="auto"/>
          </w:divBdr>
        </w:div>
      </w:divsChild>
    </w:div>
    <w:div w:id="1906139158">
      <w:bodyDiv w:val="1"/>
      <w:marLeft w:val="0"/>
      <w:marRight w:val="0"/>
      <w:marTop w:val="0"/>
      <w:marBottom w:val="0"/>
      <w:divBdr>
        <w:top w:val="none" w:sz="0" w:space="0" w:color="auto"/>
        <w:left w:val="none" w:sz="0" w:space="0" w:color="auto"/>
        <w:bottom w:val="none" w:sz="0" w:space="0" w:color="auto"/>
        <w:right w:val="none" w:sz="0" w:space="0" w:color="auto"/>
      </w:divBdr>
      <w:divsChild>
        <w:div w:id="934216237">
          <w:marLeft w:val="0"/>
          <w:marRight w:val="0"/>
          <w:marTop w:val="0"/>
          <w:marBottom w:val="0"/>
          <w:divBdr>
            <w:top w:val="none" w:sz="0" w:space="0" w:color="auto"/>
            <w:left w:val="none" w:sz="0" w:space="0" w:color="auto"/>
            <w:bottom w:val="none" w:sz="0" w:space="0" w:color="auto"/>
            <w:right w:val="none" w:sz="0" w:space="0" w:color="auto"/>
          </w:divBdr>
        </w:div>
      </w:divsChild>
    </w:div>
    <w:div w:id="2122526568">
      <w:bodyDiv w:val="1"/>
      <w:marLeft w:val="0"/>
      <w:marRight w:val="0"/>
      <w:marTop w:val="0"/>
      <w:marBottom w:val="0"/>
      <w:divBdr>
        <w:top w:val="none" w:sz="0" w:space="0" w:color="auto"/>
        <w:left w:val="none" w:sz="0" w:space="0" w:color="auto"/>
        <w:bottom w:val="none" w:sz="0" w:space="0" w:color="auto"/>
        <w:right w:val="none" w:sz="0" w:space="0" w:color="auto"/>
      </w:divBdr>
      <w:divsChild>
        <w:div w:id="1475639888">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juliandmonsalve@hotmail.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179_1994.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DD4D199-739B-40DF-A634-5262A412F88B}">
  <ds:schemaRefs>
    <ds:schemaRef ds:uri="http://schemas.openxmlformats.org/officeDocument/2006/bibliography"/>
  </ds:schemaRefs>
</ds:datastoreItem>
</file>

<file path=customXml/itemProps2.xml><?xml version="1.0" encoding="utf-8"?>
<ds:datastoreItem xmlns:ds="http://schemas.openxmlformats.org/officeDocument/2006/customXml" ds:itemID="{BC340EA8-24AB-448C-B380-521C92C2D5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20</Pages>
  <Words>6168</Words>
  <Characters>33927</Characters>
  <Application>Microsoft Office Word</Application>
  <DocSecurity>0</DocSecurity>
  <Lines>282</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2026-05-22T16:01:00Z</dcterms:created>
  <dcterms:modified xsi:type="dcterms:W3CDTF">2026-05-25T23:00:00Z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