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62887" w14:textId="77777777" w:rsidR="00252292" w:rsidRPr="00AF1555" w:rsidRDefault="00252292" w:rsidP="00252292">
      <w:pPr>
        <w:spacing w:after="0" w:line="240" w:lineRule="auto"/>
        <w:jc w:val="both"/>
        <w:rPr>
          <w:rFonts w:ascii="Verdana" w:eastAsia="Calibri" w:hAnsi="Verdana" w:cs="Arial"/>
          <w:b/>
          <w:color w:val="000000" w:themeColor="text1"/>
          <w:lang w:val="es-ES"/>
        </w:rPr>
      </w:pPr>
      <w:r w:rsidRPr="00144294">
        <w:rPr>
          <w:rFonts w:ascii="Verdana" w:eastAsia="Calibri" w:hAnsi="Verdana" w:cs="Arial"/>
          <w:b/>
          <w:color w:val="000000" w:themeColor="text1"/>
          <w:lang w:val="es-ES"/>
        </w:rPr>
        <w:t xml:space="preserve">DÍAS HÁBILES – </w:t>
      </w:r>
      <w:r>
        <w:rPr>
          <w:rFonts w:ascii="Verdana" w:eastAsia="Calibri" w:hAnsi="Verdana" w:cs="Arial"/>
          <w:b/>
          <w:color w:val="000000" w:themeColor="text1"/>
          <w:lang w:val="es-ES"/>
        </w:rPr>
        <w:t>Jornada de atención al público – Concepto</w:t>
      </w:r>
      <w:r w:rsidRPr="00AF1555">
        <w:rPr>
          <w:rFonts w:ascii="Verdana" w:eastAsia="Calibri" w:hAnsi="Verdana" w:cs="Arial"/>
          <w:b/>
          <w:color w:val="000000" w:themeColor="text1"/>
          <w:lang w:val="es-ES"/>
        </w:rPr>
        <w:t xml:space="preserve"> </w:t>
      </w:r>
    </w:p>
    <w:p w14:paraId="6F7D8FD8" w14:textId="77777777" w:rsidR="00252292" w:rsidRPr="00AF1555" w:rsidRDefault="00252292" w:rsidP="00252292">
      <w:pPr>
        <w:spacing w:after="0" w:line="240" w:lineRule="auto"/>
        <w:jc w:val="both"/>
        <w:rPr>
          <w:rFonts w:ascii="Verdana" w:eastAsia="Calibri" w:hAnsi="Verdana" w:cs="Arial"/>
          <w:bCs/>
          <w:color w:val="000000" w:themeColor="text1"/>
          <w:sz w:val="20"/>
          <w:szCs w:val="20"/>
          <w:lang w:val="es-ES"/>
        </w:rPr>
      </w:pPr>
    </w:p>
    <w:p w14:paraId="3F043247" w14:textId="77777777" w:rsidR="00252292" w:rsidRDefault="00252292" w:rsidP="00252292">
      <w:pPr>
        <w:spacing w:after="0" w:line="240" w:lineRule="auto"/>
        <w:jc w:val="both"/>
        <w:rPr>
          <w:rFonts w:ascii="Verdana" w:eastAsia="Calibri" w:hAnsi="Verdana" w:cs="Arial"/>
          <w:color w:val="000000" w:themeColor="text1"/>
          <w:sz w:val="20"/>
          <w:szCs w:val="20"/>
          <w:lang w:val="es-ES_tradnl" w:eastAsia="es-ES_tradnl"/>
        </w:rPr>
      </w:pPr>
      <w:r w:rsidRPr="00144294">
        <w:rPr>
          <w:rFonts w:ascii="Verdana" w:eastAsia="Calibri" w:hAnsi="Verdana" w:cs="Arial"/>
          <w:color w:val="000000" w:themeColor="text1"/>
          <w:sz w:val="20"/>
          <w:szCs w:val="20"/>
          <w:lang w:val="es-ES_tradnl" w:eastAsia="es-ES_tradnl"/>
        </w:rPr>
        <w:t>los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En todo caso, algunas entidades pueden definir en sus reglamentos internos jornadas laborales distintas, que incluyan el sábado o el domingo. Por ello, respecto al cómputo de los términos en días hábiles propios de los procesos de selección, esto implica que deberán transcurrir dentro de los días definidos por cada entidad estatal como laborables en su correspondiente reglamento o manual de funciones.</w:t>
      </w:r>
    </w:p>
    <w:p w14:paraId="1F099B59" w14:textId="77777777" w:rsidR="00252292" w:rsidRPr="00144294" w:rsidRDefault="00252292" w:rsidP="00252292">
      <w:pPr>
        <w:spacing w:after="0" w:line="240" w:lineRule="auto"/>
        <w:jc w:val="both"/>
        <w:rPr>
          <w:rFonts w:ascii="Verdana" w:eastAsia="Calibri" w:hAnsi="Verdana" w:cs="Arial"/>
          <w:color w:val="000000" w:themeColor="text1"/>
          <w:sz w:val="20"/>
          <w:szCs w:val="20"/>
          <w:lang w:val="es-ES_tradnl" w:eastAsia="es-ES_tradnl"/>
        </w:rPr>
      </w:pPr>
    </w:p>
    <w:p w14:paraId="4E9958BB" w14:textId="77777777" w:rsidR="00252292" w:rsidRPr="00AF1555" w:rsidRDefault="00252292" w:rsidP="00252292">
      <w:pPr>
        <w:spacing w:after="0" w:line="240" w:lineRule="auto"/>
        <w:jc w:val="both"/>
        <w:rPr>
          <w:rFonts w:ascii="Verdana" w:eastAsia="Calibri" w:hAnsi="Verdana" w:cs="Arial"/>
          <w:color w:val="000000" w:themeColor="text1"/>
          <w:sz w:val="20"/>
          <w:szCs w:val="20"/>
          <w:lang w:val="es-ES_tradnl"/>
        </w:rPr>
      </w:pPr>
      <w:r w:rsidRPr="00144294">
        <w:rPr>
          <w:rFonts w:ascii="Verdana" w:eastAsia="Calibri" w:hAnsi="Verdana" w:cs="Arial"/>
          <w:color w:val="000000" w:themeColor="text1"/>
          <w:sz w:val="20"/>
          <w:szCs w:val="20"/>
          <w:lang w:val="es-ES_tradnl" w:eastAsia="es-ES_tradnl"/>
        </w:rPr>
        <w:t>En los días que cada entidad estime hábiles, el artículo 2 del Decreto Ley 1876 de 1970 obliga a entidades como los Ministerios, Departamentos Administrativos, Superintendencias y Establecimientos Públicos a establecer “[…] el horario de atención al público, los sistemas de registro de las horas de entradas y de salida, las sanciones por ausencias o retardos, los procedimientos para el otorgamiento de permisos y las demás disposiciones a que hubiere lugar sobre la materia, todo de conformidad con las normas legales vigentes sobre el particular […]”. Asimismo, conforme al artículo 3 ibidem, también “[…] se establecerán las normas que han de regir para efectos de contar los términos que corren contra los particulares o contra organismos administrativos en los asuntos que tramita o de que conoce la respectiva entidad […]”. Por lo demás, en los términos del artículo 7.3 de la Ley 1437 de 2011 todas autoridades deben “Garantizar atención personal al público, como mínimo durante cuarenta (40) horas a la semana, las cuales se distribuirán en horarios que satisfagan las necesidades del servicio”</w:t>
      </w:r>
      <w:r w:rsidRPr="00817818">
        <w:rPr>
          <w:rFonts w:ascii="Verdana" w:eastAsia="Calibri" w:hAnsi="Verdana" w:cs="Arial"/>
          <w:color w:val="000000" w:themeColor="text1"/>
          <w:sz w:val="20"/>
          <w:szCs w:val="20"/>
          <w:lang w:val="es-ES_tradnl" w:eastAsia="es-ES_tradnl"/>
        </w:rPr>
        <w:t>.</w:t>
      </w:r>
    </w:p>
    <w:p w14:paraId="6BEDEEFF" w14:textId="77777777" w:rsidR="00252292" w:rsidRPr="00AF1555" w:rsidRDefault="00252292" w:rsidP="00252292">
      <w:pPr>
        <w:spacing w:after="0" w:line="240" w:lineRule="auto"/>
        <w:rPr>
          <w:rFonts w:ascii="Verdana" w:eastAsia="Geomanist Light" w:hAnsi="Verdana" w:cs="Arial"/>
          <w:color w:val="000000" w:themeColor="text1"/>
          <w:sz w:val="20"/>
          <w:szCs w:val="20"/>
          <w:lang w:val="es-ES_tradnl"/>
        </w:rPr>
      </w:pPr>
    </w:p>
    <w:p w14:paraId="21F6B083" w14:textId="77777777" w:rsidR="00252292" w:rsidRPr="00AF1555" w:rsidRDefault="00252292" w:rsidP="00252292">
      <w:pPr>
        <w:spacing w:after="0" w:line="240" w:lineRule="auto"/>
        <w:jc w:val="both"/>
        <w:rPr>
          <w:rFonts w:ascii="Verdana" w:eastAsia="Calibri" w:hAnsi="Verdana" w:cs="Arial"/>
          <w:b/>
          <w:sz w:val="20"/>
          <w:szCs w:val="20"/>
          <w:lang w:val="es-ES"/>
        </w:rPr>
      </w:pPr>
      <w:r>
        <w:rPr>
          <w:rFonts w:ascii="Verdana" w:eastAsia="Calibri" w:hAnsi="Verdana" w:cs="Arial"/>
          <w:b/>
          <w:lang w:val="es-ES"/>
        </w:rPr>
        <w:t>GESTIÓN CONTRACTUAL</w:t>
      </w:r>
      <w:r w:rsidRPr="00817818">
        <w:rPr>
          <w:rFonts w:ascii="Verdana" w:eastAsia="Calibri" w:hAnsi="Verdana" w:cs="Arial"/>
          <w:b/>
          <w:lang w:val="es-ES"/>
        </w:rPr>
        <w:t xml:space="preserve"> – </w:t>
      </w:r>
      <w:r>
        <w:rPr>
          <w:rFonts w:ascii="Verdana" w:eastAsia="Calibri" w:hAnsi="Verdana" w:cs="Arial"/>
          <w:b/>
          <w:lang w:val="es-ES"/>
        </w:rPr>
        <w:t>Fuera de días y horas de atención al público</w:t>
      </w:r>
      <w:r w:rsidRPr="00817818">
        <w:rPr>
          <w:rFonts w:ascii="Verdana" w:eastAsia="Calibri" w:hAnsi="Verdana" w:cs="Arial"/>
          <w:b/>
          <w:lang w:val="es-ES"/>
        </w:rPr>
        <w:t xml:space="preserve"> – </w:t>
      </w:r>
      <w:r>
        <w:rPr>
          <w:rFonts w:ascii="Verdana" w:eastAsia="Calibri" w:hAnsi="Verdana" w:cs="Arial"/>
          <w:b/>
          <w:lang w:val="es-ES"/>
        </w:rPr>
        <w:t>Posibilidad – Principios de celeridad y economía</w:t>
      </w:r>
    </w:p>
    <w:p w14:paraId="0FDE5F72" w14:textId="77777777" w:rsidR="00252292" w:rsidRDefault="00252292" w:rsidP="00252292">
      <w:pPr>
        <w:spacing w:after="0" w:line="240" w:lineRule="auto"/>
        <w:jc w:val="both"/>
        <w:rPr>
          <w:rFonts w:ascii="Verdana" w:eastAsia="Calibri" w:hAnsi="Verdana" w:cs="Arial"/>
          <w:bCs/>
          <w:sz w:val="20"/>
          <w:szCs w:val="20"/>
          <w:lang w:val="es-ES"/>
        </w:rPr>
      </w:pPr>
    </w:p>
    <w:p w14:paraId="61004153" w14:textId="77777777" w:rsidR="00252292" w:rsidRDefault="00252292" w:rsidP="00252292">
      <w:pPr>
        <w:spacing w:after="0" w:line="240" w:lineRule="auto"/>
        <w:jc w:val="both"/>
        <w:rPr>
          <w:rFonts w:ascii="Verdana" w:eastAsia="Calibri" w:hAnsi="Verdana" w:cs="Arial"/>
          <w:bCs/>
          <w:sz w:val="20"/>
          <w:szCs w:val="20"/>
          <w:lang w:val="es-ES"/>
        </w:rPr>
      </w:pPr>
      <w:r>
        <w:rPr>
          <w:rFonts w:ascii="Verdana" w:eastAsia="Calibri" w:hAnsi="Verdana" w:cs="Arial"/>
          <w:bCs/>
          <w:sz w:val="20"/>
          <w:szCs w:val="20"/>
          <w:lang w:val="es-ES"/>
        </w:rPr>
        <w:t>E</w:t>
      </w:r>
      <w:r w:rsidRPr="00B04206">
        <w:rPr>
          <w:rFonts w:ascii="Verdana" w:eastAsia="Calibri" w:hAnsi="Verdana" w:cs="Arial"/>
          <w:bCs/>
          <w:sz w:val="20"/>
          <w:szCs w:val="20"/>
          <w:lang w:val="es-ES"/>
        </w:rPr>
        <w:t xml:space="preserve">n ausencia de norma expresa, la Agencia estima que la competencia no se suspende en los días inhábiles ni en horas ajenas a la jornada de atención al público. Ello no es más que el desarrollo del principio de celeridad en las actuaciones administrativas, pues “[…] las autoridades impulsarán oficiosamente los procedimientos, e incentivarán el uso de las tecnologías de la información y las comunicaciones, a efectos de que los procedimientos se adelanten con diligencia, dentro de los términos legales y sin dilaciones injustificadas” –artículo 3.13 de la Ley 1437 de 2011–. Además, el artículo 25.4 de la Ley 80 de 1993 establece como parte el principio de economía la idea de que “Los trámites se adelantarán con austeridad de tiempo, medios y gastos y se impedirán las dilaciones y los retardos en la ejecución del contrato”. </w:t>
      </w:r>
    </w:p>
    <w:p w14:paraId="61D6EDBC" w14:textId="77777777" w:rsidR="00252292" w:rsidRDefault="00252292" w:rsidP="00252292">
      <w:pPr>
        <w:spacing w:after="0" w:line="240" w:lineRule="auto"/>
        <w:jc w:val="both"/>
        <w:rPr>
          <w:rFonts w:ascii="Verdana" w:eastAsia="Calibri" w:hAnsi="Verdana" w:cs="Arial"/>
          <w:bCs/>
          <w:sz w:val="20"/>
          <w:szCs w:val="20"/>
          <w:lang w:val="es-ES"/>
        </w:rPr>
      </w:pPr>
    </w:p>
    <w:p w14:paraId="7D315F30" w14:textId="77777777" w:rsidR="00EA66BC" w:rsidRDefault="00252292" w:rsidP="00EA66BC">
      <w:pPr>
        <w:spacing w:after="0" w:line="240" w:lineRule="auto"/>
        <w:jc w:val="both"/>
        <w:rPr>
          <w:rFonts w:ascii="Verdana" w:hAnsi="Verdana"/>
          <w:sz w:val="20"/>
          <w:szCs w:val="20"/>
          <w:lang w:val="es-ES"/>
        </w:rPr>
      </w:pPr>
      <w:r w:rsidRPr="00B04206">
        <w:rPr>
          <w:rFonts w:ascii="Verdana" w:eastAsia="Calibri" w:hAnsi="Verdana" w:cs="Arial"/>
          <w:bCs/>
          <w:sz w:val="20"/>
          <w:szCs w:val="20"/>
          <w:lang w:val="es-ES"/>
        </w:rPr>
        <w:t xml:space="preserve">Por ello, dentro del cronograma del proceso de selección y siempre que no se vulneren derechos de los interesados, es posible que las entidades adelanten gestiones de ordenación del gasto como la expedición de </w:t>
      </w:r>
      <w:proofErr w:type="spellStart"/>
      <w:r w:rsidRPr="00B04206">
        <w:rPr>
          <w:rFonts w:ascii="Verdana" w:eastAsia="Calibri" w:hAnsi="Verdana" w:cs="Arial"/>
          <w:bCs/>
          <w:sz w:val="20"/>
          <w:szCs w:val="20"/>
          <w:lang w:val="es-ES"/>
        </w:rPr>
        <w:t>CDPs</w:t>
      </w:r>
      <w:proofErr w:type="spellEnd"/>
      <w:r w:rsidRPr="00B04206">
        <w:rPr>
          <w:rFonts w:ascii="Verdana" w:eastAsia="Calibri" w:hAnsi="Verdana" w:cs="Arial"/>
          <w:bCs/>
          <w:sz w:val="20"/>
          <w:szCs w:val="20"/>
          <w:lang w:val="es-ES"/>
        </w:rPr>
        <w:t xml:space="preserve"> o la aprobación pólizas, contratos y pagos en el SECOP fuera de los días y horas mencionados </w:t>
      </w:r>
      <w:r w:rsidRPr="00B04206">
        <w:rPr>
          <w:rFonts w:ascii="Verdana" w:eastAsia="Calibri" w:hAnsi="Verdana" w:cs="Arial"/>
          <w:bCs/>
          <w:i/>
          <w:iCs/>
          <w:sz w:val="20"/>
          <w:szCs w:val="20"/>
          <w:lang w:val="es-ES"/>
        </w:rPr>
        <w:t>ut supra</w:t>
      </w:r>
      <w:r w:rsidRPr="00B04206">
        <w:rPr>
          <w:rFonts w:ascii="Verdana" w:eastAsia="Calibri" w:hAnsi="Verdana" w:cs="Arial"/>
          <w:bCs/>
          <w:sz w:val="20"/>
          <w:szCs w:val="20"/>
          <w:lang w:val="es-ES"/>
        </w:rPr>
        <w:t>.</w:t>
      </w:r>
      <w:r>
        <w:rPr>
          <w:rFonts w:ascii="Verdana" w:eastAsia="Calibri" w:hAnsi="Verdana" w:cs="Arial"/>
          <w:bCs/>
          <w:sz w:val="20"/>
          <w:szCs w:val="20"/>
          <w:lang w:val="es-ES"/>
        </w:rPr>
        <w:t xml:space="preserve"> </w:t>
      </w:r>
      <w:r w:rsidRPr="00E6588A">
        <w:rPr>
          <w:rFonts w:ascii="Verdana" w:eastAsia="Calibri" w:hAnsi="Verdana" w:cs="Arial"/>
          <w:bCs/>
          <w:sz w:val="20"/>
          <w:szCs w:val="20"/>
          <w:lang w:val="es-ES"/>
        </w:rPr>
        <w:t xml:space="preserve">Asimismo, para efectos de adiciones, es posible expedir </w:t>
      </w:r>
      <w:proofErr w:type="spellStart"/>
      <w:r w:rsidRPr="00E6588A">
        <w:rPr>
          <w:rFonts w:ascii="Verdana" w:eastAsia="Calibri" w:hAnsi="Verdana" w:cs="Arial"/>
          <w:bCs/>
          <w:sz w:val="20"/>
          <w:szCs w:val="20"/>
          <w:lang w:val="es-ES"/>
        </w:rPr>
        <w:t>RPs</w:t>
      </w:r>
      <w:proofErr w:type="spellEnd"/>
      <w:r w:rsidRPr="00E6588A">
        <w:rPr>
          <w:rFonts w:ascii="Verdana" w:eastAsia="Calibri" w:hAnsi="Verdana" w:cs="Arial"/>
          <w:bCs/>
          <w:sz w:val="20"/>
          <w:szCs w:val="20"/>
          <w:lang w:val="es-ES"/>
        </w:rPr>
        <w:t xml:space="preserve"> antes de la fecha terminación inicial, </w:t>
      </w:r>
      <w:r>
        <w:rPr>
          <w:rFonts w:ascii="Verdana" w:eastAsia="Calibri" w:hAnsi="Verdana" w:cs="Arial"/>
          <w:bCs/>
          <w:sz w:val="20"/>
          <w:szCs w:val="20"/>
          <w:lang w:val="es-ES"/>
        </w:rPr>
        <w:t>al margen de que</w:t>
      </w:r>
      <w:r w:rsidRPr="00E6588A">
        <w:rPr>
          <w:rFonts w:ascii="Verdana" w:eastAsia="Calibri" w:hAnsi="Verdana" w:cs="Arial"/>
          <w:bCs/>
          <w:sz w:val="20"/>
          <w:szCs w:val="20"/>
          <w:lang w:val="es-ES"/>
        </w:rPr>
        <w:t xml:space="preserve"> el día sea hábil o no.</w:t>
      </w:r>
    </w:p>
    <w:p w14:paraId="2CD1DCEE" w14:textId="5FE8B6C4" w:rsidR="00B52968" w:rsidRPr="00EA66BC" w:rsidRDefault="00B52968" w:rsidP="00EA66BC">
      <w:pPr>
        <w:spacing w:after="0" w:line="240" w:lineRule="auto"/>
        <w:jc w:val="both"/>
        <w:rPr>
          <w:rFonts w:ascii="Verdana" w:hAnsi="Verdana"/>
          <w:sz w:val="20"/>
          <w:szCs w:val="20"/>
          <w:lang w:val="es-ES"/>
        </w:rPr>
      </w:pPr>
      <w:r w:rsidRPr="00593A5F">
        <w:rPr>
          <w:rFonts w:ascii="Verdana" w:eastAsia="Geomanist Light" w:hAnsi="Verdana" w:cs="Arial"/>
          <w:color w:val="000000" w:themeColor="text1"/>
          <w:lang w:val="es-MX"/>
        </w:rPr>
        <w:lastRenderedPageBreak/>
        <w:t>Bogotá D.C., </w:t>
      </w:r>
      <w:r w:rsidR="00375F2F" w:rsidRPr="00375F2F">
        <w:rPr>
          <w:rFonts w:ascii="Verdana" w:eastAsia="Geomanist Light" w:hAnsi="Verdana" w:cs="Arial"/>
          <w:color w:val="000000" w:themeColor="text1"/>
          <w:lang w:val="es-MX"/>
        </w:rPr>
        <w:t xml:space="preserve">15 de </w:t>
      </w:r>
      <w:r w:rsidR="00EA66BC" w:rsidRPr="00375F2F">
        <w:rPr>
          <w:rFonts w:ascii="Verdana" w:eastAsia="Geomanist Light" w:hAnsi="Verdana" w:cs="Arial"/>
          <w:color w:val="000000" w:themeColor="text1"/>
          <w:lang w:val="es-MX"/>
        </w:rPr>
        <w:t>mayo</w:t>
      </w:r>
      <w:r w:rsidR="00375F2F" w:rsidRPr="00375F2F">
        <w:rPr>
          <w:rFonts w:ascii="Verdana" w:eastAsia="Geomanist Light" w:hAnsi="Verdana" w:cs="Arial"/>
          <w:color w:val="000000" w:themeColor="text1"/>
          <w:lang w:val="es-MX"/>
        </w:rPr>
        <w:t xml:space="preserve"> de 2026</w:t>
      </w:r>
    </w:p>
    <w:p w14:paraId="0A15587A" w14:textId="3293B7FC" w:rsidR="00B52968" w:rsidRDefault="00B52968" w:rsidP="00B52968">
      <w:pPr>
        <w:spacing w:after="0" w:line="240" w:lineRule="auto"/>
        <w:jc w:val="both"/>
        <w:rPr>
          <w:rFonts w:ascii="Verdana" w:eastAsia="Calibri" w:hAnsi="Verdana" w:cs="Arial"/>
          <w:color w:val="000000"/>
          <w:lang w:val="es-ES"/>
        </w:rPr>
      </w:pPr>
    </w:p>
    <w:p w14:paraId="423CAB27" w14:textId="520330C1" w:rsidR="00375F2F" w:rsidRDefault="00375F2F" w:rsidP="00375F2F">
      <w:pPr>
        <w:spacing w:after="0" w:line="240" w:lineRule="auto"/>
        <w:jc w:val="right"/>
        <w:rPr>
          <w:rFonts w:ascii="Verdana" w:eastAsia="Calibri" w:hAnsi="Verdana" w:cs="Arial"/>
          <w:color w:val="000000"/>
          <w:lang w:val="es-ES"/>
        </w:rPr>
      </w:pPr>
    </w:p>
    <w:p w14:paraId="6FEFF4C4" w14:textId="5FCBE24D" w:rsidR="00B52968" w:rsidRPr="00593A5F" w:rsidRDefault="00B52968" w:rsidP="00B52968">
      <w:pPr>
        <w:spacing w:after="0" w:line="240" w:lineRule="auto"/>
        <w:jc w:val="both"/>
        <w:rPr>
          <w:rFonts w:ascii="Verdana" w:eastAsia="Calibri" w:hAnsi="Verdana" w:cs="Arial"/>
          <w:color w:val="000000"/>
          <w:lang w:val="es-ES"/>
        </w:rPr>
      </w:pPr>
    </w:p>
    <w:p w14:paraId="638E0919" w14:textId="6805FE3C" w:rsidR="00B52968" w:rsidRPr="00B96799" w:rsidRDefault="00EA66BC" w:rsidP="00B52968">
      <w:pPr>
        <w:spacing w:after="0" w:line="240" w:lineRule="auto"/>
        <w:jc w:val="both"/>
        <w:rPr>
          <w:rFonts w:ascii="Verdana" w:eastAsia="Calibri" w:hAnsi="Verdana" w:cs="Arial"/>
          <w:lang w:val="es-ES" w:eastAsia="es-ES"/>
        </w:rPr>
      </w:pPr>
      <w:r w:rsidRPr="00375F2F">
        <w:rPr>
          <w:rFonts w:ascii="Verdana" w:eastAsia="Calibri" w:hAnsi="Verdana" w:cs="Arial"/>
          <w:noProof/>
          <w:color w:val="000000"/>
          <w:lang w:val="es-ES"/>
        </w:rPr>
        <w:drawing>
          <wp:anchor distT="0" distB="0" distL="114300" distR="114300" simplePos="0" relativeHeight="251658240" behindDoc="0" locked="0" layoutInCell="1" allowOverlap="1" wp14:anchorId="70B2CB90" wp14:editId="48F72CC5">
            <wp:simplePos x="0" y="0"/>
            <wp:positionH relativeFrom="margin">
              <wp:align>right</wp:align>
            </wp:positionH>
            <wp:positionV relativeFrom="paragraph">
              <wp:posOffset>5715</wp:posOffset>
            </wp:positionV>
            <wp:extent cx="2400300" cy="858520"/>
            <wp:effectExtent l="0" t="0" r="0" b="0"/>
            <wp:wrapSquare wrapText="bothSides"/>
            <wp:docPr id="16181372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137208"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858520"/>
                    </a:xfrm>
                    <a:prstGeom prst="rect">
                      <a:avLst/>
                    </a:prstGeom>
                  </pic:spPr>
                </pic:pic>
              </a:graphicData>
            </a:graphic>
            <wp14:sizeRelV relativeFrom="margin">
              <wp14:pctHeight>0</wp14:pctHeight>
            </wp14:sizeRelV>
          </wp:anchor>
        </w:drawing>
      </w:r>
      <w:r w:rsidR="00B52968">
        <w:rPr>
          <w:rFonts w:ascii="Verdana" w:eastAsia="Calibri" w:hAnsi="Verdana" w:cs="Arial"/>
          <w:lang w:val="es-ES" w:eastAsia="es-ES"/>
        </w:rPr>
        <w:t>Señora</w:t>
      </w:r>
    </w:p>
    <w:p w14:paraId="5AFFF4B3" w14:textId="77777777" w:rsidR="00B52968" w:rsidRPr="0085423D" w:rsidRDefault="00B52968" w:rsidP="00B52968">
      <w:pPr>
        <w:spacing w:after="0" w:line="240" w:lineRule="auto"/>
        <w:rPr>
          <w:rFonts w:ascii="Verdana" w:eastAsia="Calibri" w:hAnsi="Verdana" w:cs="Arial"/>
          <w:b/>
          <w:lang w:val="es-ES_tradnl" w:eastAsia="es-ES_tradnl"/>
        </w:rPr>
      </w:pPr>
      <w:bookmarkStart w:id="0" w:name="OLE_LINK1"/>
      <w:r w:rsidRPr="00330AAF">
        <w:rPr>
          <w:rFonts w:ascii="Verdana" w:eastAsia="Calibri" w:hAnsi="Verdana" w:cs="Arial"/>
          <w:b/>
          <w:lang w:val="es-ES_tradnl" w:eastAsia="es-ES_tradnl"/>
        </w:rPr>
        <w:t>Daniela Márquez Ramírez</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285B5118" w14:textId="77777777" w:rsidR="00B52968" w:rsidRPr="00A804BA" w:rsidRDefault="00B52968" w:rsidP="00B52968">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330AAF">
        <w:rPr>
          <w:rFonts w:ascii="Verdana" w:hAnsi="Verdana"/>
        </w:rPr>
        <w:instrText>danielamarquez485@gmail.com</w:instrText>
      </w:r>
      <w:r>
        <w:rPr>
          <w:rFonts w:ascii="Verdana" w:hAnsi="Verdana"/>
        </w:rPr>
        <w:instrText>"</w:instrText>
      </w:r>
      <w:r>
        <w:rPr>
          <w:rFonts w:ascii="Verdana" w:hAnsi="Verdana"/>
        </w:rPr>
      </w:r>
      <w:r>
        <w:rPr>
          <w:rFonts w:ascii="Verdana" w:hAnsi="Verdana"/>
        </w:rPr>
        <w:fldChar w:fldCharType="separate"/>
      </w:r>
      <w:r w:rsidRPr="007E0E12">
        <w:rPr>
          <w:rStyle w:val="Hipervnculo"/>
          <w:rFonts w:ascii="Verdana" w:hAnsi="Verdana"/>
        </w:rPr>
        <w:t>danielamarquez485@gmail.com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5242C5EE" w14:textId="77777777" w:rsidR="00B52968" w:rsidRDefault="00B52968" w:rsidP="00B52968">
      <w:pPr>
        <w:spacing w:after="0" w:line="240" w:lineRule="auto"/>
        <w:rPr>
          <w:rFonts w:ascii="Verdana" w:eastAsia="Calibri" w:hAnsi="Verdana" w:cs="Arial"/>
          <w:lang w:val="es-ES" w:eastAsia="es-ES"/>
        </w:rPr>
      </w:pPr>
      <w:r>
        <w:rPr>
          <w:rFonts w:ascii="Verdana" w:eastAsia="Calibri" w:hAnsi="Verdana" w:cs="Arial"/>
          <w:lang w:val="es-ES" w:eastAsia="es-ES"/>
        </w:rPr>
        <w:t xml:space="preserve">Armenia, Quindío </w:t>
      </w:r>
    </w:p>
    <w:p w14:paraId="66B02ED9" w14:textId="77777777" w:rsidR="00B52968" w:rsidRPr="00593A5F" w:rsidRDefault="00B52968" w:rsidP="00B52968">
      <w:pPr>
        <w:spacing w:after="0" w:line="240" w:lineRule="auto"/>
        <w:rPr>
          <w:rFonts w:ascii="Verdana" w:eastAsia="Calibri" w:hAnsi="Verdana" w:cs="Arial"/>
          <w:b/>
          <w:bCs/>
          <w:color w:val="000000"/>
          <w:lang w:val="es-ES_tradnl" w:eastAsia="es-ES_tradnl"/>
        </w:rPr>
      </w:pPr>
    </w:p>
    <w:p w14:paraId="1002308C" w14:textId="77777777" w:rsidR="00B52968" w:rsidRPr="00593A5F" w:rsidRDefault="00B52968" w:rsidP="00B5296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52968" w:rsidRPr="00593A5F" w14:paraId="2B068E64" w14:textId="77777777" w:rsidTr="00E45993">
        <w:trPr>
          <w:trHeight w:val="884"/>
        </w:trPr>
        <w:tc>
          <w:tcPr>
            <w:tcW w:w="2689" w:type="dxa"/>
          </w:tcPr>
          <w:p w14:paraId="3F0D2C0C" w14:textId="77777777" w:rsidR="00B52968" w:rsidRPr="00C00976" w:rsidRDefault="00B52968" w:rsidP="00E45993">
            <w:pPr>
              <w:jc w:val="both"/>
              <w:rPr>
                <w:rFonts w:ascii="Verdana" w:eastAsia="Calibri" w:hAnsi="Verdana" w:cs="Arial"/>
                <w:b/>
                <w:bCs/>
                <w:color w:val="7030A0"/>
                <w:lang w:val="es-ES_tradnl" w:eastAsia="es-ES_tradnl"/>
              </w:rPr>
            </w:pPr>
          </w:p>
        </w:tc>
        <w:tc>
          <w:tcPr>
            <w:tcW w:w="6100" w:type="dxa"/>
          </w:tcPr>
          <w:p w14:paraId="775FA33F" w14:textId="5D309F74" w:rsidR="00B52968" w:rsidRPr="00C00976" w:rsidRDefault="00B52968" w:rsidP="00E4599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9B7E7D">
              <w:rPr>
                <w:rFonts w:ascii="Verdana" w:eastAsia="Calibri" w:hAnsi="Verdana" w:cs="Arial"/>
                <w:b/>
                <w:bCs/>
                <w:lang w:val="es-ES" w:eastAsia="es-ES"/>
              </w:rPr>
              <w:t>767</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B52968" w:rsidRPr="00593A5F" w14:paraId="43443AE9" w14:textId="77777777" w:rsidTr="00E45993">
        <w:trPr>
          <w:trHeight w:val="884"/>
        </w:trPr>
        <w:tc>
          <w:tcPr>
            <w:tcW w:w="2689" w:type="dxa"/>
          </w:tcPr>
          <w:p w14:paraId="35915863" w14:textId="77777777" w:rsidR="00B52968" w:rsidRPr="00593A5F" w:rsidRDefault="00B52968" w:rsidP="00E4599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3F8A170" w14:textId="3028C72D" w:rsidR="00B52968" w:rsidRDefault="00B52968" w:rsidP="00E45993">
            <w:pPr>
              <w:spacing w:line="276" w:lineRule="auto"/>
              <w:jc w:val="both"/>
              <w:rPr>
                <w:rFonts w:ascii="Verdana" w:eastAsia="Calibri" w:hAnsi="Verdana" w:cs="Arial"/>
                <w:lang w:val="es-ES" w:eastAsia="es-ES"/>
              </w:rPr>
            </w:pPr>
            <w:r w:rsidRPr="00B04206">
              <w:rPr>
                <w:rFonts w:ascii="Verdana" w:eastAsia="Calibri" w:hAnsi="Verdana" w:cs="Arial"/>
                <w:lang w:val="es-ES" w:eastAsia="es-ES"/>
              </w:rPr>
              <w:t>DÍAS HÁBILES – Jornada de atención al público – Concepto</w:t>
            </w:r>
            <w:r>
              <w:rPr>
                <w:rFonts w:ascii="Verdana" w:eastAsia="Calibri" w:hAnsi="Verdana" w:cs="Arial"/>
                <w:lang w:val="es-ES" w:eastAsia="es-ES"/>
              </w:rPr>
              <w:t xml:space="preserve"> / </w:t>
            </w:r>
            <w:r w:rsidRPr="00B04206">
              <w:rPr>
                <w:rFonts w:ascii="Verdana" w:eastAsia="Calibri" w:hAnsi="Verdana" w:cs="Arial"/>
                <w:lang w:val="es-ES" w:eastAsia="es-ES"/>
              </w:rPr>
              <w:t>GESTIÓN CONTRACTUAL – Fuera de días y horas de atención al público – Posibilidad – Principios de celeridad y economía</w:t>
            </w:r>
            <w:r w:rsidR="65BF1E2F" w:rsidRPr="2D3F11ED">
              <w:rPr>
                <w:rFonts w:ascii="Verdana" w:eastAsia="Calibri" w:hAnsi="Verdana" w:cs="Arial"/>
                <w:lang w:val="es-ES" w:eastAsia="es-ES"/>
              </w:rPr>
              <w:t xml:space="preserve"> </w:t>
            </w:r>
            <w:r w:rsidR="00951FB5">
              <w:rPr>
                <w:rFonts w:ascii="Verdana" w:eastAsia="Calibri" w:hAnsi="Verdana" w:cs="Arial"/>
                <w:lang w:val="es-ES" w:eastAsia="es-ES"/>
              </w:rPr>
              <w:t>–</w:t>
            </w:r>
            <w:r w:rsidR="65BF1E2F" w:rsidRPr="2D3F11ED">
              <w:rPr>
                <w:rFonts w:ascii="Verdana" w:eastAsia="Calibri" w:hAnsi="Verdana" w:cs="Arial"/>
                <w:lang w:val="es-ES" w:eastAsia="es-ES"/>
              </w:rPr>
              <w:t xml:space="preserve"> Expedición de registro pres</w:t>
            </w:r>
            <w:r w:rsidR="005951D8">
              <w:rPr>
                <w:rFonts w:ascii="Verdana" w:eastAsia="Calibri" w:hAnsi="Verdana" w:cs="Arial"/>
                <w:lang w:val="es-ES" w:eastAsia="es-ES"/>
              </w:rPr>
              <w:t>u</w:t>
            </w:r>
            <w:r w:rsidR="65BF1E2F" w:rsidRPr="2D3F11ED">
              <w:rPr>
                <w:rFonts w:ascii="Verdana" w:eastAsia="Calibri" w:hAnsi="Verdana" w:cs="Arial"/>
                <w:lang w:val="es-ES" w:eastAsia="es-ES"/>
              </w:rPr>
              <w:t>pues</w:t>
            </w:r>
            <w:r w:rsidR="253D470F" w:rsidRPr="2D3F11ED">
              <w:rPr>
                <w:rFonts w:ascii="Verdana" w:eastAsia="Calibri" w:hAnsi="Verdana" w:cs="Arial"/>
                <w:lang w:val="es-ES" w:eastAsia="es-ES"/>
              </w:rPr>
              <w:t>tal</w:t>
            </w:r>
          </w:p>
          <w:p w14:paraId="14560681" w14:textId="77777777" w:rsidR="00B52968" w:rsidRPr="00593A5F" w:rsidRDefault="00B52968" w:rsidP="00E4599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52968" w:rsidRPr="008E6AD9" w14:paraId="17DA5FAC" w14:textId="77777777" w:rsidTr="00E45993">
        <w:tc>
          <w:tcPr>
            <w:tcW w:w="2689" w:type="dxa"/>
          </w:tcPr>
          <w:p w14:paraId="2B94D164" w14:textId="77777777" w:rsidR="00B52968" w:rsidRPr="008E6AD9" w:rsidRDefault="00B52968" w:rsidP="00E4599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731AD84" w14:textId="77777777" w:rsidR="00B52968" w:rsidRPr="00B92340" w:rsidRDefault="00B52968" w:rsidP="00E4599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330AAF">
              <w:rPr>
                <w:rFonts w:ascii="Verdana" w:eastAsia="Calibri" w:hAnsi="Verdana" w:cs="Arial"/>
                <w:lang w:val="es-ES_tradnl" w:eastAsia="es-ES_tradnl"/>
              </w:rPr>
              <w:t>1_2026_05_06_006191</w:t>
            </w:r>
            <w:r>
              <w:rPr>
                <w:rFonts w:ascii="Verdana" w:eastAsia="Calibri" w:hAnsi="Verdana" w:cs="Arial"/>
                <w:lang w:val="es-ES_tradnl" w:eastAsia="es-ES_tradnl"/>
              </w:rPr>
              <w:t xml:space="preserve">                                   </w:t>
            </w:r>
          </w:p>
        </w:tc>
      </w:tr>
    </w:tbl>
    <w:p w14:paraId="2F94FE3C" w14:textId="77777777" w:rsidR="00B52968" w:rsidRPr="00593A5F" w:rsidRDefault="00B52968" w:rsidP="00B52968">
      <w:pPr>
        <w:spacing w:after="0" w:line="240" w:lineRule="auto"/>
        <w:jc w:val="both"/>
        <w:rPr>
          <w:rFonts w:ascii="Verdana" w:eastAsia="Calibri" w:hAnsi="Verdana" w:cs="Arial"/>
          <w:color w:val="000000"/>
          <w:lang w:val="es-ES_tradnl" w:eastAsia="es-ES_tradnl"/>
        </w:rPr>
      </w:pPr>
    </w:p>
    <w:p w14:paraId="01EA18D8" w14:textId="77777777" w:rsidR="00B52968" w:rsidRPr="00593A5F" w:rsidRDefault="00B52968" w:rsidP="00B52968">
      <w:pPr>
        <w:spacing w:after="0" w:line="240" w:lineRule="auto"/>
        <w:jc w:val="both"/>
        <w:rPr>
          <w:rFonts w:ascii="Verdana" w:eastAsia="Calibri" w:hAnsi="Verdana" w:cs="Arial"/>
          <w:color w:val="000000"/>
          <w:lang w:val="es-ES_tradnl" w:eastAsia="es-ES_tradnl"/>
        </w:rPr>
      </w:pPr>
    </w:p>
    <w:p w14:paraId="0CC7D02B" w14:textId="77777777" w:rsidR="00B52968" w:rsidRPr="008E6AD9" w:rsidRDefault="00B52968" w:rsidP="00B52968">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2B16BB">
        <w:rPr>
          <w:rFonts w:ascii="Verdana" w:eastAsia="Calibri" w:hAnsi="Verdana" w:cs="Arial"/>
          <w:lang w:val="es-ES" w:eastAsia="es-ES"/>
        </w:rPr>
        <w:t>Márquez Ramírez</w:t>
      </w:r>
      <w:r w:rsidRPr="008E6AD9">
        <w:rPr>
          <w:rFonts w:ascii="Verdana" w:eastAsia="Calibri" w:hAnsi="Verdana" w:cs="Arial"/>
          <w:lang w:val="es-ES" w:eastAsia="es-ES"/>
        </w:rPr>
        <w:t xml:space="preserve">: </w:t>
      </w:r>
    </w:p>
    <w:p w14:paraId="6889AFDA" w14:textId="77777777" w:rsidR="00B52968" w:rsidRDefault="00B52968" w:rsidP="00B529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52C31CE" w14:textId="77777777" w:rsidR="00B52968" w:rsidRPr="00593A5F" w:rsidRDefault="00B52968" w:rsidP="00B52968">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7279A4">
        <w:rPr>
          <w:rFonts w:ascii="Verdana" w:hAnsi="Verdana" w:cs="Arial"/>
        </w:rPr>
        <w:t>así como lo establecido en el artículo 4 de la Resolución 469 de 2025 expedida por esta Entidad</w:t>
      </w:r>
      <w:r w:rsidRPr="00593A5F">
        <w:rPr>
          <w:rFonts w:ascii="Verdana" w:hAnsi="Verdana" w:cs="Arial"/>
        </w:rPr>
        <w:t xml:space="preserve">,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6 de mayo de 2026</w:t>
      </w:r>
      <w:r>
        <w:rPr>
          <w:rFonts w:ascii="Verdana" w:eastAsia="Calibri" w:hAnsi="Verdana" w:cs="Arial"/>
          <w:lang w:val="es-ES" w:eastAsia="es-ES"/>
        </w:rPr>
        <w:t>, donde pregunta lo siguiente</w:t>
      </w:r>
      <w:r w:rsidRPr="008E6AD9">
        <w:rPr>
          <w:rFonts w:ascii="Verdana" w:eastAsia="Calibri" w:hAnsi="Verdana" w:cs="Arial"/>
          <w:lang w:val="es-ES" w:eastAsia="es-ES"/>
        </w:rPr>
        <w:t xml:space="preserve">: </w:t>
      </w:r>
    </w:p>
    <w:p w14:paraId="0B7F5A72" w14:textId="77777777" w:rsidR="00B52968" w:rsidRPr="00272A7B" w:rsidRDefault="00B52968" w:rsidP="00B52968">
      <w:pPr>
        <w:pStyle w:val="Prrafodelista"/>
        <w:tabs>
          <w:tab w:val="left" w:pos="142"/>
          <w:tab w:val="left" w:pos="284"/>
        </w:tabs>
        <w:spacing w:after="0" w:line="276" w:lineRule="auto"/>
        <w:ind w:left="0"/>
        <w:jc w:val="both"/>
        <w:rPr>
          <w:rFonts w:ascii="Verdana" w:eastAsia="Century Gothic" w:hAnsi="Verdana" w:cs="Century Gothic"/>
          <w:b/>
          <w:bCs/>
        </w:rPr>
      </w:pPr>
    </w:p>
    <w:p w14:paraId="2FBD7A24" w14:textId="77777777" w:rsidR="00B52968" w:rsidRPr="00AA6517" w:rsidRDefault="00B52968" w:rsidP="00B52968">
      <w:pPr>
        <w:spacing w:after="0" w:line="240" w:lineRule="auto"/>
        <w:ind w:left="709" w:right="709"/>
        <w:jc w:val="both"/>
        <w:rPr>
          <w:rFonts w:ascii="Verdana" w:eastAsia="Century Gothic" w:hAnsi="Verdana" w:cs="Century Gothic"/>
          <w:sz w:val="20"/>
          <w:szCs w:val="20"/>
          <w:lang w:val="es-ES"/>
        </w:rPr>
      </w:pPr>
      <w:bookmarkStart w:id="1" w:name="_Hlk95313578"/>
      <w:r w:rsidRPr="00AA6517">
        <w:rPr>
          <w:rFonts w:ascii="Verdana" w:eastAsia="Century Gothic" w:hAnsi="Verdana" w:cs="Century Gothic"/>
          <w:sz w:val="20"/>
          <w:szCs w:val="20"/>
          <w:lang w:val="es-ES"/>
        </w:rPr>
        <w:t>“</w:t>
      </w:r>
      <w:bookmarkEnd w:id="1"/>
      <w:r w:rsidRPr="002B16BB">
        <w:rPr>
          <w:rFonts w:ascii="Verdana" w:eastAsia="Century Gothic" w:hAnsi="Verdana" w:cs="Century Gothic"/>
          <w:sz w:val="20"/>
          <w:szCs w:val="20"/>
          <w:lang w:val="es-ES"/>
        </w:rPr>
        <w:t xml:space="preserve">¿Es jurídicamente procedente la expedición del registro presupuestal (RP) de una modificación contractual (adición y prórroga) suscrita y publicada en SECOP II con anterioridad a la fecha de terminación inicial del contrato, cuando dicho RP no pudo ser expedido oportunamente debido a días no hábiles consecutivos (festivo y fin de semana), y la solicitud </w:t>
      </w:r>
      <w:proofErr w:type="gramStart"/>
      <w:r w:rsidRPr="002B16BB">
        <w:rPr>
          <w:rFonts w:ascii="Verdana" w:eastAsia="Century Gothic" w:hAnsi="Verdana" w:cs="Century Gothic"/>
          <w:sz w:val="20"/>
          <w:szCs w:val="20"/>
          <w:lang w:val="es-ES"/>
        </w:rPr>
        <w:t>del mismo</w:t>
      </w:r>
      <w:proofErr w:type="gramEnd"/>
      <w:r w:rsidRPr="002B16BB">
        <w:rPr>
          <w:rFonts w:ascii="Verdana" w:eastAsia="Century Gothic" w:hAnsi="Verdana" w:cs="Century Gothic"/>
          <w:sz w:val="20"/>
          <w:szCs w:val="20"/>
          <w:lang w:val="es-ES"/>
        </w:rPr>
        <w:t xml:space="preserve"> se realizó en el primer día hábil siguiente, sin que se hubiera interrumpido la continuidad del objeto contractual?</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13038FCC" w14:textId="77777777" w:rsidR="00B52968" w:rsidRPr="008E6AD9" w:rsidRDefault="00B52968" w:rsidP="00B52968">
      <w:pPr>
        <w:pStyle w:val="Prrafodelista"/>
        <w:tabs>
          <w:tab w:val="left" w:pos="142"/>
          <w:tab w:val="left" w:pos="284"/>
        </w:tabs>
        <w:spacing w:after="0" w:line="276" w:lineRule="auto"/>
        <w:ind w:left="0"/>
        <w:jc w:val="both"/>
        <w:rPr>
          <w:rFonts w:ascii="Verdana" w:eastAsia="Century Gothic" w:hAnsi="Verdana" w:cs="Century Gothic"/>
          <w:b/>
          <w:bCs/>
        </w:rPr>
      </w:pPr>
    </w:p>
    <w:p w14:paraId="0AB03AFD" w14:textId="77777777" w:rsidR="00B52968" w:rsidRPr="00A652FF" w:rsidRDefault="00B52968" w:rsidP="00B5296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5D3A007" w14:textId="77777777" w:rsidR="00B52968" w:rsidRDefault="00B52968" w:rsidP="00B5296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2AEF526" w14:textId="77777777" w:rsidR="00B52968" w:rsidRPr="00593A5F" w:rsidRDefault="00B52968" w:rsidP="00B52968">
      <w:pPr>
        <w:spacing w:after="0" w:line="276" w:lineRule="auto"/>
        <w:ind w:firstLine="709"/>
        <w:jc w:val="both"/>
        <w:rPr>
          <w:rFonts w:ascii="Verdana" w:eastAsia="Calibri" w:hAnsi="Verdana" w:cs="Arial"/>
          <w:color w:val="000000"/>
          <w:lang w:val="es-ES" w:eastAsia="es-ES"/>
        </w:rPr>
      </w:pPr>
    </w:p>
    <w:p w14:paraId="4CFF8D05" w14:textId="77777777" w:rsidR="00B52968" w:rsidRPr="00593A5F" w:rsidRDefault="00B52968" w:rsidP="00B529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2D1C6F8" w14:textId="77777777" w:rsidR="00B52968" w:rsidRPr="00593A5F" w:rsidRDefault="00B52968" w:rsidP="00B52968">
      <w:pPr>
        <w:tabs>
          <w:tab w:val="left" w:pos="426"/>
        </w:tabs>
        <w:spacing w:after="0" w:line="276" w:lineRule="auto"/>
        <w:jc w:val="both"/>
        <w:rPr>
          <w:rFonts w:ascii="Verdana" w:eastAsia="Century Gothic" w:hAnsi="Verdana" w:cs="Century Gothic"/>
          <w:lang w:val="es-ES"/>
        </w:rPr>
      </w:pPr>
    </w:p>
    <w:p w14:paraId="44CADCE1" w14:textId="77777777" w:rsidR="00B52968" w:rsidRPr="00593A5F" w:rsidRDefault="00B52968" w:rsidP="00B5296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0249A7">
        <w:rPr>
          <w:rFonts w:ascii="Verdana" w:eastAsia="Century Gothic" w:hAnsi="Verdana" w:cs="Century Gothic"/>
        </w:rPr>
        <w:t>¿</w:t>
      </w:r>
      <w:r>
        <w:rPr>
          <w:rFonts w:ascii="Verdana" w:eastAsia="Century Gothic" w:hAnsi="Verdana" w:cs="Century Gothic"/>
        </w:rPr>
        <w:t>es posible realizar trámites contractuales fuera de los días hábiles o de la jornada de atención al público</w:t>
      </w:r>
      <w:r w:rsidRPr="000249A7">
        <w:rPr>
          <w:rFonts w:ascii="Verdana" w:eastAsia="Times New Roman" w:hAnsi="Verdana" w:cs="Arial"/>
          <w:kern w:val="2"/>
          <w:shd w:val="clear" w:color="auto" w:fill="FFFFFF"/>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58873D7" w14:textId="77777777" w:rsidR="00B52968" w:rsidRPr="004B140F" w:rsidRDefault="00B52968" w:rsidP="00B52968">
      <w:pPr>
        <w:spacing w:after="0" w:line="276" w:lineRule="auto"/>
        <w:jc w:val="both"/>
        <w:rPr>
          <w:rFonts w:ascii="Verdana" w:eastAsia="Calibri" w:hAnsi="Verdana" w:cs="Arial"/>
          <w:color w:val="7030A0"/>
        </w:rPr>
      </w:pPr>
    </w:p>
    <w:p w14:paraId="4ED0D041" w14:textId="77777777" w:rsidR="00B52968" w:rsidRPr="00593A5F" w:rsidRDefault="00B52968" w:rsidP="00B529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D21C97" w14:textId="77777777" w:rsidR="00B52968" w:rsidRPr="00593A5F" w:rsidRDefault="00B52968" w:rsidP="00B529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52968" w:rsidRPr="00593A5F" w14:paraId="7BEA4C2D" w14:textId="77777777" w:rsidTr="00E45993">
        <w:trPr>
          <w:jc w:val="center"/>
        </w:trPr>
        <w:tc>
          <w:tcPr>
            <w:tcW w:w="8828" w:type="dxa"/>
          </w:tcPr>
          <w:p w14:paraId="069F9192" w14:textId="77777777" w:rsidR="00B52968" w:rsidRDefault="00B52968" w:rsidP="00E45993">
            <w:pPr>
              <w:tabs>
                <w:tab w:val="left" w:pos="0"/>
              </w:tabs>
              <w:spacing w:after="120" w:line="276" w:lineRule="auto"/>
              <w:jc w:val="both"/>
              <w:rPr>
                <w:rFonts w:ascii="Verdana" w:eastAsia="Calibri" w:hAnsi="Verdana" w:cs="Arial"/>
                <w:bCs/>
                <w:lang w:val="es-ES"/>
              </w:rPr>
            </w:pPr>
            <w:bookmarkStart w:id="2" w:name="_Hlk171694685"/>
            <w:r>
              <w:rPr>
                <w:rFonts w:ascii="Verdana" w:eastAsia="Calibri" w:hAnsi="Verdana" w:cs="Arial"/>
                <w:bCs/>
                <w:color w:val="000000" w:themeColor="text1"/>
              </w:rPr>
              <w:t xml:space="preserve">Conforme a la interpretación general de las normas del sistema de compras públicas, los </w:t>
            </w:r>
            <w:r w:rsidRPr="008305C9">
              <w:rPr>
                <w:rFonts w:ascii="Verdana" w:eastAsia="Calibri" w:hAnsi="Verdana" w:cs="Arial"/>
                <w:bCs/>
                <w:lang w:val="es-ES"/>
              </w:rPr>
              <w:t>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En todo caso, algunas entidades pueden definir en sus reglamentos internos jornadas laborales distintas, que incluyan el sábado o el domingo</w:t>
            </w:r>
            <w:r>
              <w:rPr>
                <w:rFonts w:ascii="Verdana" w:eastAsia="Calibri" w:hAnsi="Verdana" w:cs="Arial"/>
                <w:bCs/>
                <w:lang w:val="es-ES"/>
              </w:rPr>
              <w:t>. Por ello</w:t>
            </w:r>
            <w:r w:rsidRPr="008305C9">
              <w:rPr>
                <w:rFonts w:ascii="Verdana" w:eastAsia="Calibri" w:hAnsi="Verdana" w:cs="Arial"/>
                <w:bCs/>
                <w:lang w:val="es-ES"/>
              </w:rPr>
              <w:t xml:space="preserve">, respecto al cómputo de los términos en días hábiles propios de los procesos de selección, esto implica que deberán transcurrir dentro de </w:t>
            </w:r>
            <w:r w:rsidRPr="008305C9">
              <w:rPr>
                <w:rFonts w:ascii="Verdana" w:eastAsia="Calibri" w:hAnsi="Verdana" w:cs="Arial"/>
                <w:bCs/>
                <w:lang w:val="es-ES"/>
              </w:rPr>
              <w:lastRenderedPageBreak/>
              <w:t>los días definidos por cada entidad estatal como laborables en su correspondiente reglamento o manual de funciones.</w:t>
            </w:r>
          </w:p>
          <w:p w14:paraId="32A030CF" w14:textId="77777777" w:rsidR="00B52968" w:rsidRDefault="00B52968" w:rsidP="00E45993">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tab/>
              <w:t xml:space="preserve">En los días que cada entidad estime hábiles, el artículo 2 del Decreto Ley 1876 de 1970 obliga a entidades como los </w:t>
            </w:r>
            <w:r w:rsidRPr="00562BA7">
              <w:rPr>
                <w:rFonts w:ascii="Verdana" w:eastAsia="Calibri" w:hAnsi="Verdana" w:cs="Arial"/>
                <w:bCs/>
                <w:lang w:val="es-ES"/>
              </w:rPr>
              <w:t>Ministerios, Departamentos Administrativos, Superintendencias y Establecimientos Públicos</w:t>
            </w:r>
            <w:r>
              <w:rPr>
                <w:rFonts w:ascii="Verdana" w:eastAsia="Calibri" w:hAnsi="Verdana" w:cs="Arial"/>
                <w:bCs/>
                <w:lang w:val="es-ES"/>
              </w:rPr>
              <w:t xml:space="preserve"> a establecer “[…] </w:t>
            </w:r>
            <w:r w:rsidRPr="006D08D7">
              <w:rPr>
                <w:rFonts w:ascii="Verdana" w:eastAsia="Calibri" w:hAnsi="Verdana" w:cs="Arial"/>
                <w:bCs/>
                <w:lang w:val="es-ES"/>
              </w:rPr>
              <w:t>el horario de atención al público, los sistemas de registro de las horas de entradas y de salida, las sanciones por ausencias o retardos, los procedimientos para el otorgamiento de permisos y las demás disposiciones a que hubiere lugar sobre la materia, todo de conformidad con las normas legales vigentes sobre el particular</w:t>
            </w:r>
            <w:r>
              <w:rPr>
                <w:rFonts w:ascii="Verdana" w:eastAsia="Calibri" w:hAnsi="Verdana" w:cs="Arial"/>
                <w:bCs/>
                <w:lang w:val="es-ES"/>
              </w:rPr>
              <w:t xml:space="preserve"> […]”. Asimismo, conforme al artículo 3 </w:t>
            </w:r>
            <w:r w:rsidRPr="005442E8">
              <w:rPr>
                <w:rFonts w:ascii="Verdana" w:eastAsia="Calibri" w:hAnsi="Verdana" w:cs="Arial"/>
                <w:bCs/>
                <w:i/>
                <w:iCs/>
                <w:lang w:val="es-ES"/>
              </w:rPr>
              <w:t>ibidem</w:t>
            </w:r>
            <w:r>
              <w:rPr>
                <w:rFonts w:ascii="Verdana" w:eastAsia="Calibri" w:hAnsi="Verdana" w:cs="Arial"/>
                <w:bCs/>
                <w:lang w:val="es-ES"/>
              </w:rPr>
              <w:t xml:space="preserve">, también “[…] </w:t>
            </w:r>
            <w:r w:rsidRPr="005161F0">
              <w:rPr>
                <w:rFonts w:ascii="Verdana" w:eastAsia="Calibri" w:hAnsi="Verdana" w:cs="Arial"/>
                <w:bCs/>
                <w:lang w:val="es-ES"/>
              </w:rPr>
              <w:t>se establecerán las normas que han de regir para efectos de contar los términos que corren contra los particulares o contra organismos administrativos en los asuntos que tramita o de que conoce la respectiva entidad</w:t>
            </w:r>
            <w:r>
              <w:rPr>
                <w:rFonts w:ascii="Verdana" w:eastAsia="Calibri" w:hAnsi="Verdana" w:cs="Arial"/>
                <w:bCs/>
                <w:lang w:val="es-ES"/>
              </w:rPr>
              <w:t xml:space="preserve"> […]”. Por lo demás, en los términos del artículo 7.3 de la Ley 1437 de 2011 todas autoridades deben “</w:t>
            </w:r>
            <w:r w:rsidRPr="005B0D5F">
              <w:rPr>
                <w:rFonts w:ascii="Verdana" w:eastAsia="Calibri" w:hAnsi="Verdana" w:cs="Arial"/>
                <w:bCs/>
                <w:lang w:val="es-ES"/>
              </w:rPr>
              <w:t>Garantizar atención personal al público, como mínimo durante cuarenta (40) horas a la semana, las cuales se distribuirán en horarios que satisfagan las necesidades del servicio</w:t>
            </w:r>
            <w:r>
              <w:rPr>
                <w:rFonts w:ascii="Verdana" w:eastAsia="Calibri" w:hAnsi="Verdana" w:cs="Arial"/>
                <w:bCs/>
                <w:lang w:val="es-ES"/>
              </w:rPr>
              <w:t>”.</w:t>
            </w:r>
          </w:p>
          <w:p w14:paraId="467D3377" w14:textId="77777777" w:rsidR="00B52968" w:rsidRDefault="00B52968" w:rsidP="00E45993">
            <w:pPr>
              <w:spacing w:after="120" w:line="276" w:lineRule="auto"/>
              <w:jc w:val="both"/>
              <w:rPr>
                <w:rFonts w:ascii="Verdana" w:eastAsia="Calibri" w:hAnsi="Verdana" w:cs="Arial"/>
                <w:bCs/>
                <w:lang w:val="es-ES"/>
              </w:rPr>
            </w:pPr>
            <w:r>
              <w:rPr>
                <w:rFonts w:ascii="Verdana" w:eastAsia="Calibri" w:hAnsi="Verdana" w:cs="Arial"/>
                <w:bCs/>
                <w:lang w:val="es-ES"/>
              </w:rPr>
              <w:tab/>
              <w:t xml:space="preserve">Lo anterior no obsta para que, por necesidades del servicio, la entidad realice adelante trámites contractuales fuera de los días y horarios descritos en los párrafos precedentes. Para estos efectos, en ausencia de norma expresa, la Agencia estima que la competencia no se suspende en los días inhábiles ni en horas ajenas a la jornada de atención al público. Ello no es más que el desarrollo del principio de celeridad en las actuaciones administrativas, pues “[…] </w:t>
            </w:r>
            <w:r w:rsidRPr="005B0D5F">
              <w:rPr>
                <w:rFonts w:ascii="Verdana" w:eastAsia="Calibri" w:hAnsi="Verdana" w:cs="Arial"/>
                <w:bCs/>
                <w:lang w:val="es-ES"/>
              </w:rPr>
              <w:t>las autoridades impulsarán oficiosamente los procedimientos, e incentivarán el uso de las tecnologías de la información y las comunicaciones, a efectos de que los procedimientos se adelanten con diligencia, dentro de los términos legales y sin dilaciones injustificadas</w:t>
            </w:r>
            <w:r>
              <w:rPr>
                <w:rFonts w:ascii="Verdana" w:eastAsia="Calibri" w:hAnsi="Verdana" w:cs="Arial"/>
                <w:bCs/>
                <w:lang w:val="es-ES"/>
              </w:rPr>
              <w:t>” –artículo 3.13 de la Ley 1437 de 2011–</w:t>
            </w:r>
            <w:r w:rsidRPr="005B0D5F">
              <w:rPr>
                <w:rFonts w:ascii="Verdana" w:eastAsia="Calibri" w:hAnsi="Verdana" w:cs="Arial"/>
                <w:bCs/>
                <w:lang w:val="es-ES"/>
              </w:rPr>
              <w:t>.</w:t>
            </w:r>
            <w:r>
              <w:rPr>
                <w:rFonts w:ascii="Verdana" w:eastAsia="Calibri" w:hAnsi="Verdana" w:cs="Arial"/>
                <w:bCs/>
                <w:lang w:val="es-ES"/>
              </w:rPr>
              <w:t xml:space="preserve"> Además, el artículo 25.4 de la Ley 80 de 1993 establece como parte el principio de economía la idea de que “</w:t>
            </w:r>
            <w:r w:rsidRPr="00312258">
              <w:rPr>
                <w:rFonts w:ascii="Verdana" w:eastAsia="Calibri" w:hAnsi="Verdana" w:cs="Arial"/>
                <w:bCs/>
                <w:lang w:val="es-ES"/>
              </w:rPr>
              <w:t>Los trámites se adelantarán con austeridad de tiempo, medios y gastos y se impedirán las dilaciones y los retardos en la ejecución del contrato</w:t>
            </w:r>
            <w:r>
              <w:rPr>
                <w:rFonts w:ascii="Verdana" w:eastAsia="Calibri" w:hAnsi="Verdana" w:cs="Arial"/>
                <w:bCs/>
                <w:lang w:val="es-ES"/>
              </w:rPr>
              <w:t>”</w:t>
            </w:r>
            <w:r w:rsidRPr="00312258">
              <w:rPr>
                <w:rFonts w:ascii="Verdana" w:eastAsia="Calibri" w:hAnsi="Verdana" w:cs="Arial"/>
                <w:bCs/>
                <w:lang w:val="es-ES"/>
              </w:rPr>
              <w:t xml:space="preserve">. </w:t>
            </w:r>
          </w:p>
          <w:p w14:paraId="4C2C33E5" w14:textId="0DBBAE3E" w:rsidR="00B52968" w:rsidRPr="00324083" w:rsidRDefault="00B52968" w:rsidP="00E45993">
            <w:pPr>
              <w:spacing w:after="120" w:line="276" w:lineRule="auto"/>
              <w:ind w:firstLine="741"/>
              <w:jc w:val="both"/>
              <w:rPr>
                <w:rFonts w:ascii="Verdana" w:eastAsia="Times New Roman" w:hAnsi="Verdana" w:cs="Arial"/>
                <w:color w:val="000000"/>
                <w:bdr w:val="none" w:sz="0" w:space="0" w:color="auto" w:frame="1"/>
                <w:shd w:val="clear" w:color="auto" w:fill="FFFFFF"/>
                <w:lang w:eastAsia="es-ES"/>
              </w:rPr>
            </w:pPr>
            <w:r>
              <w:rPr>
                <w:rFonts w:ascii="Verdana" w:eastAsia="Calibri" w:hAnsi="Verdana" w:cs="Arial"/>
                <w:bCs/>
                <w:lang w:val="es-ES"/>
              </w:rPr>
              <w:t xml:space="preserve">Por ello, dentro del cronograma del proceso de selección y siempre que no se vulneren derechos de los interesados, es posible que las entidades adelanten gestiones de ordenación del gasto como la expedición de </w:t>
            </w:r>
            <w:proofErr w:type="spellStart"/>
            <w:r>
              <w:rPr>
                <w:rFonts w:ascii="Verdana" w:eastAsia="Calibri" w:hAnsi="Verdana" w:cs="Arial"/>
                <w:bCs/>
                <w:lang w:val="es-ES"/>
              </w:rPr>
              <w:t>CDPs</w:t>
            </w:r>
            <w:proofErr w:type="spellEnd"/>
            <w:r>
              <w:rPr>
                <w:rFonts w:ascii="Verdana" w:eastAsia="Calibri" w:hAnsi="Verdana" w:cs="Arial"/>
                <w:bCs/>
                <w:lang w:val="es-ES"/>
              </w:rPr>
              <w:t xml:space="preserve"> o la aprobación pólizas, contratos y pagos en el SECOP fuera de los días y horas </w:t>
            </w:r>
            <w:r>
              <w:rPr>
                <w:rFonts w:ascii="Verdana" w:eastAsia="Calibri" w:hAnsi="Verdana" w:cs="Arial"/>
                <w:bCs/>
                <w:lang w:val="es-ES"/>
              </w:rPr>
              <w:lastRenderedPageBreak/>
              <w:t xml:space="preserve">mencionados </w:t>
            </w:r>
            <w:r w:rsidRPr="008453D9">
              <w:rPr>
                <w:rFonts w:ascii="Verdana" w:eastAsia="Calibri" w:hAnsi="Verdana" w:cs="Arial"/>
                <w:bCs/>
                <w:i/>
                <w:iCs/>
                <w:lang w:val="es-ES"/>
              </w:rPr>
              <w:t>ut supra</w:t>
            </w:r>
            <w:r>
              <w:rPr>
                <w:rFonts w:ascii="Verdana" w:eastAsia="Calibri" w:hAnsi="Verdana" w:cs="Arial"/>
                <w:bCs/>
                <w:lang w:val="es-ES"/>
              </w:rPr>
              <w:t xml:space="preserve">. Asimismo, para efectos de adiciones, es posible expedir </w:t>
            </w:r>
            <w:r w:rsidRPr="2D3F11ED">
              <w:rPr>
                <w:rFonts w:ascii="Verdana" w:eastAsia="Calibri" w:hAnsi="Verdana" w:cs="Arial"/>
                <w:lang w:val="es-ES"/>
              </w:rPr>
              <w:t>R</w:t>
            </w:r>
            <w:r w:rsidR="3FAF3A70" w:rsidRPr="2D3F11ED">
              <w:rPr>
                <w:rFonts w:ascii="Verdana" w:eastAsia="Calibri" w:hAnsi="Verdana" w:cs="Arial"/>
                <w:lang w:val="es-ES"/>
              </w:rPr>
              <w:t xml:space="preserve">egistros </w:t>
            </w:r>
            <w:r w:rsidRPr="2D3F11ED">
              <w:rPr>
                <w:rFonts w:ascii="Verdana" w:eastAsia="Calibri" w:hAnsi="Verdana" w:cs="Arial"/>
                <w:lang w:val="es-ES"/>
              </w:rPr>
              <w:t>P</w:t>
            </w:r>
            <w:r w:rsidR="0950D9AA" w:rsidRPr="2D3F11ED">
              <w:rPr>
                <w:rFonts w:ascii="Verdana" w:eastAsia="Calibri" w:hAnsi="Verdana" w:cs="Arial"/>
                <w:lang w:val="es-ES"/>
              </w:rPr>
              <w:t>re</w:t>
            </w:r>
            <w:r w:rsidRPr="2D3F11ED">
              <w:rPr>
                <w:rFonts w:ascii="Verdana" w:eastAsia="Calibri" w:hAnsi="Verdana" w:cs="Arial"/>
                <w:lang w:val="es-ES"/>
              </w:rPr>
              <w:t>s</w:t>
            </w:r>
            <w:r w:rsidR="2F206EE0" w:rsidRPr="2D3F11ED">
              <w:rPr>
                <w:rFonts w:ascii="Verdana" w:eastAsia="Calibri" w:hAnsi="Verdana" w:cs="Arial"/>
                <w:lang w:val="es-ES"/>
              </w:rPr>
              <w:t>upuestales</w:t>
            </w:r>
            <w:r>
              <w:rPr>
                <w:rFonts w:ascii="Verdana" w:eastAsia="Calibri" w:hAnsi="Verdana" w:cs="Arial"/>
                <w:bCs/>
                <w:lang w:val="es-ES"/>
              </w:rPr>
              <w:t xml:space="preserve"> antes de la fecha terminación inicial, al margen de que el día sea hábil o no. </w:t>
            </w:r>
          </w:p>
          <w:p w14:paraId="56CFC5F6" w14:textId="77777777" w:rsidR="00B52968" w:rsidRPr="001941FD" w:rsidRDefault="00B52968" w:rsidP="00E45993">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66794412" w14:textId="77777777" w:rsidR="00B52968" w:rsidRPr="00593A5F" w:rsidRDefault="00B52968" w:rsidP="00B52968">
      <w:pPr>
        <w:tabs>
          <w:tab w:val="left" w:pos="142"/>
          <w:tab w:val="left" w:pos="284"/>
        </w:tabs>
        <w:spacing w:after="0" w:line="276" w:lineRule="auto"/>
        <w:jc w:val="both"/>
        <w:rPr>
          <w:rFonts w:ascii="Verdana" w:eastAsia="Century Gothic" w:hAnsi="Verdana" w:cs="Century Gothic"/>
          <w:b/>
          <w:bCs/>
          <w:lang w:val="es-ES"/>
        </w:rPr>
      </w:pPr>
    </w:p>
    <w:bookmarkEnd w:id="2"/>
    <w:p w14:paraId="55354BC4" w14:textId="77777777" w:rsidR="00B52968" w:rsidRPr="00593A5F" w:rsidRDefault="00B52968" w:rsidP="00B529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8A88740" w14:textId="77777777" w:rsidR="00B52968" w:rsidRPr="00593A5F" w:rsidRDefault="00B52968" w:rsidP="00B52968">
      <w:pPr>
        <w:spacing w:after="0" w:line="276" w:lineRule="auto"/>
        <w:jc w:val="both"/>
        <w:rPr>
          <w:rFonts w:ascii="Verdana" w:eastAsia="Calibri" w:hAnsi="Verdana" w:cs="Arial"/>
          <w:color w:val="7030A0"/>
          <w:lang w:val="es-ES"/>
        </w:rPr>
      </w:pPr>
    </w:p>
    <w:p w14:paraId="74599569" w14:textId="77777777" w:rsidR="00B52968" w:rsidRDefault="00B52968" w:rsidP="00B5296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BC5E464" w14:textId="77777777" w:rsidR="00B52968" w:rsidRPr="008305C9" w:rsidRDefault="00B52968" w:rsidP="00B52968">
      <w:pPr>
        <w:spacing w:after="0" w:line="276" w:lineRule="auto"/>
        <w:jc w:val="both"/>
        <w:rPr>
          <w:rFonts w:ascii="Verdana" w:eastAsia="Calibri" w:hAnsi="Verdana" w:cs="Arial"/>
          <w:lang w:val="es-ES"/>
        </w:rPr>
      </w:pPr>
    </w:p>
    <w:p w14:paraId="61D7A4EC" w14:textId="77777777" w:rsidR="00B52968" w:rsidRPr="008305C9" w:rsidRDefault="00B52968" w:rsidP="00B52968">
      <w:pPr>
        <w:spacing w:after="120" w:line="276" w:lineRule="auto"/>
        <w:jc w:val="both"/>
        <w:rPr>
          <w:rFonts w:ascii="Verdana" w:eastAsia="Calibri" w:hAnsi="Verdana" w:cs="Arial"/>
          <w:color w:val="000000"/>
          <w:szCs w:val="24"/>
          <w:lang w:val="es-ES_tradnl" w:eastAsia="es-ES_tradnl"/>
        </w:rPr>
      </w:pPr>
      <w:r w:rsidRPr="008305C9">
        <w:rPr>
          <w:rFonts w:ascii="Verdana" w:eastAsia="Calibri" w:hAnsi="Verdana" w:cs="Arial"/>
          <w:color w:val="000000" w:themeColor="text1"/>
          <w:lang w:val="es-ES_tradnl"/>
        </w:rPr>
        <w:t>E</w:t>
      </w:r>
      <w:r w:rsidRPr="008305C9">
        <w:rPr>
          <w:rFonts w:ascii="Verdana" w:eastAsia="Calibri" w:hAnsi="Verdana" w:cs="Arial"/>
          <w:color w:val="000000"/>
          <w:szCs w:val="24"/>
          <w:lang w:val="es-ES_tradnl" w:eastAsia="es-ES_tradnl"/>
        </w:rPr>
        <w:t>l ordenamiento jurídico</w:t>
      </w:r>
      <w:r>
        <w:rPr>
          <w:rFonts w:ascii="Verdana" w:eastAsia="Calibri" w:hAnsi="Verdana" w:cs="Arial"/>
          <w:color w:val="000000"/>
          <w:szCs w:val="24"/>
          <w:lang w:val="es-ES_tradnl" w:eastAsia="es-ES_tradnl"/>
        </w:rPr>
        <w:t xml:space="preserve"> colombiano</w:t>
      </w:r>
      <w:r w:rsidRPr="008305C9">
        <w:rPr>
          <w:rFonts w:ascii="Verdana" w:eastAsia="Calibri" w:hAnsi="Verdana" w:cs="Arial"/>
          <w:color w:val="000000"/>
          <w:szCs w:val="24"/>
          <w:lang w:val="es-ES_tradnl" w:eastAsia="es-ES_tradnl"/>
        </w:rPr>
        <w:t xml:space="preserve"> no consagra una acepción unívoca de día hábil, pues no existe certidumbre de cuáles son los días de la semana que pueden entenderse como tales. En principio, ello posibilita que las entidades regulen de manera disímil los términos de las diferentes modalidades de selección previstas en el artículo 2 de la Ley 1150 de 2007.  </w:t>
      </w:r>
    </w:p>
    <w:p w14:paraId="28DECE59" w14:textId="77777777" w:rsidR="00B52968" w:rsidRPr="008305C9" w:rsidRDefault="00B52968" w:rsidP="00B52968">
      <w:pPr>
        <w:spacing w:after="120" w:line="276" w:lineRule="auto"/>
        <w:jc w:val="both"/>
        <w:rPr>
          <w:rFonts w:ascii="Verdana" w:eastAsia="Calibri" w:hAnsi="Verdana" w:cs="Arial"/>
          <w:bCs/>
          <w:lang w:val="es-ES"/>
        </w:rPr>
      </w:pPr>
      <w:r w:rsidRPr="008305C9">
        <w:rPr>
          <w:rFonts w:ascii="Verdana" w:eastAsia="Calibri" w:hAnsi="Verdana" w:cs="Arial"/>
          <w:color w:val="000000"/>
          <w:szCs w:val="24"/>
          <w:lang w:val="es-ES_tradnl" w:eastAsia="es-ES_tradnl"/>
        </w:rPr>
        <w:tab/>
      </w:r>
      <w:r w:rsidRPr="008305C9">
        <w:rPr>
          <w:rFonts w:ascii="Verdana" w:eastAsia="Calibri" w:hAnsi="Verdana" w:cs="Arial"/>
          <w:bCs/>
          <w:lang w:val="es-ES"/>
        </w:rPr>
        <w:t xml:space="preserve">La ausencia de definición legal de día hábil autoriza acudir al sentido natural y obvio de la palabra </w:t>
      </w:r>
      <w:r w:rsidRPr="008305C9">
        <w:rPr>
          <w:rFonts w:ascii="Verdana" w:eastAsia="Calibri" w:hAnsi="Verdana" w:cs="Arial"/>
          <w:bCs/>
          <w:i/>
          <w:iCs/>
          <w:lang w:val="es-ES"/>
        </w:rPr>
        <w:t>hábil</w:t>
      </w:r>
      <w:r w:rsidRPr="008305C9">
        <w:rPr>
          <w:rFonts w:ascii="Verdana" w:eastAsia="Calibri" w:hAnsi="Verdana" w:cs="Arial"/>
          <w:bCs/>
          <w:lang w:val="es-ES"/>
        </w:rPr>
        <w:t>, encontrándonos las siguientes acepciones “1. adj. Capaz de realizar con éxito una tarea manual. 2. adj. Dotado del talento para actuar adecuadamente o lograr su objetivo. 3. adj. Propio de una persona hábil. 4. adj. Apto o adecuado para algo. 5. adj. Dicho de un período de tiempo: Establecido como válido o computable para realizar una actividad, especialmente administrativa o judicial”</w:t>
      </w:r>
      <w:r w:rsidRPr="008305C9">
        <w:rPr>
          <w:rFonts w:ascii="Verdana" w:eastAsia="Calibri" w:hAnsi="Verdana" w:cs="Arial"/>
          <w:bCs/>
          <w:vertAlign w:val="superscript"/>
          <w:lang w:val="es-ES"/>
        </w:rPr>
        <w:footnoteReference w:id="1"/>
      </w:r>
      <w:r w:rsidRPr="008305C9">
        <w:rPr>
          <w:rFonts w:ascii="Verdana" w:eastAsia="Calibri" w:hAnsi="Verdana" w:cs="Arial"/>
          <w:bCs/>
          <w:lang w:val="es-ES"/>
        </w:rPr>
        <w:t>. La última acepción se ajusta al entendimiento normativo. Sin embargo, no es suficiente para absolver lo que se indaga, en la medida en que corresponde al ordenamiento jurídico establecer cuáles son los días válidos para realizar las actuaciones.</w:t>
      </w:r>
    </w:p>
    <w:p w14:paraId="069EF34B" w14:textId="77777777" w:rsidR="00B52968" w:rsidRPr="008305C9" w:rsidRDefault="00B52968" w:rsidP="00B52968">
      <w:pPr>
        <w:tabs>
          <w:tab w:val="left" w:pos="0"/>
        </w:tabs>
        <w:spacing w:before="120" w:after="0" w:line="276" w:lineRule="auto"/>
        <w:jc w:val="both"/>
        <w:rPr>
          <w:rFonts w:ascii="Verdana" w:eastAsia="Calibri" w:hAnsi="Verdana" w:cs="Arial"/>
          <w:bCs/>
          <w:lang w:val="es-ES"/>
        </w:rPr>
      </w:pPr>
      <w:r w:rsidRPr="008305C9">
        <w:rPr>
          <w:rFonts w:ascii="Verdana" w:eastAsia="Calibri" w:hAnsi="Verdana" w:cs="Arial"/>
          <w:bCs/>
          <w:lang w:val="es-ES"/>
        </w:rPr>
        <w:lastRenderedPageBreak/>
        <w:tab/>
        <w:t>A pesar de no existir una definición legal, existen normas supletivas que tienen como función servir de pautas para el cómputo de términos previstos en la ley, cuando no ha sido regulado de forma específica por las disposiciones que consagran dichos plazos. Al respecto, los artículos 59 y 62 de la Ley 4 de 1913 disponen que:</w:t>
      </w:r>
    </w:p>
    <w:p w14:paraId="1AE83840" w14:textId="77777777" w:rsidR="00B52968" w:rsidRPr="008305C9" w:rsidRDefault="00B52968" w:rsidP="00B52968">
      <w:pPr>
        <w:tabs>
          <w:tab w:val="left" w:pos="0"/>
        </w:tabs>
        <w:spacing w:after="0" w:line="276" w:lineRule="auto"/>
        <w:jc w:val="both"/>
        <w:rPr>
          <w:rFonts w:ascii="Verdana" w:eastAsia="Calibri" w:hAnsi="Verdana" w:cs="Arial"/>
          <w:bCs/>
          <w:lang w:val="es-ES"/>
        </w:rPr>
      </w:pPr>
    </w:p>
    <w:p w14:paraId="59C2A4F9" w14:textId="77777777" w:rsidR="00B52968" w:rsidRPr="008305C9" w:rsidRDefault="00B52968" w:rsidP="00B52968">
      <w:pPr>
        <w:tabs>
          <w:tab w:val="left" w:pos="0"/>
        </w:tabs>
        <w:spacing w:after="0" w:line="240" w:lineRule="auto"/>
        <w:ind w:left="709" w:right="709"/>
        <w:jc w:val="both"/>
        <w:rPr>
          <w:rFonts w:ascii="Verdana" w:eastAsia="Batang" w:hAnsi="Verdana" w:cs="Arial"/>
          <w:sz w:val="20"/>
          <w:szCs w:val="20"/>
        </w:rPr>
      </w:pPr>
      <w:r w:rsidRPr="008305C9">
        <w:rPr>
          <w:rFonts w:ascii="Verdana" w:eastAsia="Batang" w:hAnsi="Verdana" w:cs="Arial"/>
          <w:sz w:val="20"/>
          <w:szCs w:val="20"/>
        </w:rPr>
        <w:t>“Artículo 59.</w:t>
      </w:r>
      <w:r w:rsidRPr="008305C9">
        <w:rPr>
          <w:rFonts w:ascii="Verdana" w:eastAsia="Batang" w:hAnsi="Verdana" w:cs="Arial"/>
          <w:b/>
          <w:sz w:val="20"/>
          <w:szCs w:val="20"/>
        </w:rPr>
        <w:t> </w:t>
      </w:r>
      <w:r w:rsidRPr="008305C9">
        <w:rPr>
          <w:rFonts w:ascii="Verdana" w:eastAsia="Batang" w:hAnsi="Verdana" w:cs="Arial"/>
          <w:sz w:val="20"/>
          <w:szCs w:val="20"/>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1B3FC75D" w14:textId="77777777" w:rsidR="00B52968" w:rsidRPr="008305C9" w:rsidRDefault="00B52968" w:rsidP="00B52968">
      <w:pPr>
        <w:tabs>
          <w:tab w:val="left" w:pos="0"/>
        </w:tabs>
        <w:spacing w:after="120" w:line="240" w:lineRule="auto"/>
        <w:ind w:left="709" w:right="709"/>
        <w:jc w:val="both"/>
        <w:rPr>
          <w:rFonts w:ascii="Verdana" w:eastAsia="Batang" w:hAnsi="Verdana" w:cs="Arial"/>
          <w:sz w:val="20"/>
          <w:szCs w:val="20"/>
        </w:rPr>
      </w:pPr>
      <w:r w:rsidRPr="008305C9">
        <w:rPr>
          <w:rFonts w:ascii="Verdana" w:eastAsia="Batang" w:hAnsi="Verdana" w:cs="Arial"/>
          <w:sz w:val="20"/>
          <w:szCs w:val="20"/>
        </w:rPr>
        <w:t>[…]</w:t>
      </w:r>
    </w:p>
    <w:p w14:paraId="78D00BA1" w14:textId="77777777" w:rsidR="00B52968" w:rsidRPr="008305C9" w:rsidRDefault="00B52968" w:rsidP="00B52968">
      <w:pPr>
        <w:tabs>
          <w:tab w:val="left" w:pos="0"/>
        </w:tabs>
        <w:spacing w:after="0" w:line="240" w:lineRule="auto"/>
        <w:ind w:left="709" w:right="709"/>
        <w:jc w:val="both"/>
        <w:rPr>
          <w:rFonts w:ascii="Verdana" w:eastAsia="Batang" w:hAnsi="Verdana" w:cs="Arial"/>
          <w:sz w:val="21"/>
          <w:szCs w:val="21"/>
        </w:rPr>
      </w:pPr>
      <w:r w:rsidRPr="008305C9">
        <w:rPr>
          <w:rFonts w:ascii="Verdana" w:eastAsia="Batang" w:hAnsi="Verdana" w:cs="Arial"/>
          <w:bCs/>
          <w:sz w:val="20"/>
          <w:szCs w:val="20"/>
        </w:rPr>
        <w:t>Artículo 62.</w:t>
      </w:r>
      <w:r w:rsidRPr="008305C9">
        <w:rPr>
          <w:rFonts w:ascii="Verdana" w:eastAsia="Batang" w:hAnsi="Verdana" w:cs="Arial"/>
          <w:sz w:val="20"/>
          <w:szCs w:val="20"/>
        </w:rPr>
        <w:t>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w:t>
      </w:r>
      <w:r w:rsidRPr="008305C9">
        <w:rPr>
          <w:rFonts w:ascii="Verdana" w:eastAsia="Batang" w:hAnsi="Verdana" w:cs="Arial"/>
          <w:sz w:val="21"/>
          <w:szCs w:val="21"/>
        </w:rPr>
        <w:t> </w:t>
      </w:r>
    </w:p>
    <w:p w14:paraId="605B1F50" w14:textId="77777777" w:rsidR="00B52968" w:rsidRPr="008305C9" w:rsidRDefault="00B52968" w:rsidP="00B52968">
      <w:pPr>
        <w:tabs>
          <w:tab w:val="left" w:pos="0"/>
        </w:tabs>
        <w:spacing w:after="0" w:line="276" w:lineRule="auto"/>
        <w:jc w:val="both"/>
        <w:rPr>
          <w:rFonts w:ascii="Verdana" w:eastAsia="Calibri" w:hAnsi="Verdana" w:cs="Arial"/>
          <w:bCs/>
          <w:lang w:val="es-ES"/>
        </w:rPr>
      </w:pPr>
    </w:p>
    <w:p w14:paraId="22CD3B9F" w14:textId="77777777" w:rsidR="00B52968" w:rsidRPr="008305C9" w:rsidRDefault="00B52968" w:rsidP="00B52968">
      <w:pPr>
        <w:tabs>
          <w:tab w:val="left" w:pos="0"/>
        </w:tabs>
        <w:spacing w:after="120" w:line="276" w:lineRule="auto"/>
        <w:jc w:val="both"/>
        <w:rPr>
          <w:rFonts w:ascii="Verdana" w:eastAsia="Calibri" w:hAnsi="Verdana" w:cs="Arial"/>
          <w:bCs/>
          <w:lang w:val="es-ES"/>
        </w:rPr>
      </w:pPr>
      <w:r w:rsidRPr="008305C9">
        <w:rPr>
          <w:rFonts w:ascii="Verdana" w:eastAsia="Calibri" w:hAnsi="Verdana" w:cs="Arial"/>
          <w:bCs/>
          <w:lang w:val="es-ES"/>
        </w:rPr>
        <w:tab/>
        <w:t xml:space="preserve">El artículo 59 establece que los plazos a los que se haga mención en la ley terminan a la medianoche, y que por </w:t>
      </w:r>
      <w:r w:rsidRPr="008305C9">
        <w:rPr>
          <w:rFonts w:ascii="Verdana" w:eastAsia="Calibri" w:hAnsi="Verdana" w:cs="Arial"/>
          <w:bCs/>
          <w:i/>
          <w:iCs/>
          <w:lang w:val="es-ES"/>
        </w:rPr>
        <w:t xml:space="preserve">día </w:t>
      </w:r>
      <w:r w:rsidRPr="008305C9">
        <w:rPr>
          <w:rFonts w:ascii="Verdana" w:eastAsia="Calibri" w:hAnsi="Verdana" w:cs="Arial"/>
          <w:bCs/>
          <w:lang w:val="es-ES"/>
        </w:rPr>
        <w:t>se entiende el espacio de veinticuatro horas. Por su parte,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normas citadas no definen los días hábiles, sí denotan cierta antonimia con los vacantes y feriados, lo cual, en línea con la definición de uso común a la que antes se hacía referencia, indica que por hábiles se entiende los días laborables</w:t>
      </w:r>
      <w:r w:rsidRPr="008305C9">
        <w:rPr>
          <w:rFonts w:ascii="Verdana" w:eastAsia="Calibri" w:hAnsi="Verdana" w:cs="Arial"/>
          <w:bCs/>
          <w:vertAlign w:val="superscript"/>
          <w:lang w:val="es-ES"/>
        </w:rPr>
        <w:footnoteReference w:id="2"/>
      </w:r>
      <w:r w:rsidRPr="008305C9">
        <w:rPr>
          <w:rFonts w:ascii="Verdana" w:eastAsia="Calibri" w:hAnsi="Verdana" w:cs="Arial"/>
          <w:bCs/>
          <w:lang w:val="es-ES"/>
        </w:rPr>
        <w:t>.</w:t>
      </w:r>
    </w:p>
    <w:p w14:paraId="36750A65" w14:textId="77777777" w:rsidR="00B52968" w:rsidRPr="008305C9" w:rsidRDefault="00B52968" w:rsidP="00B52968">
      <w:pPr>
        <w:tabs>
          <w:tab w:val="left" w:pos="0"/>
        </w:tabs>
        <w:spacing w:after="0" w:line="276" w:lineRule="auto"/>
        <w:jc w:val="both"/>
        <w:rPr>
          <w:rFonts w:ascii="Verdana" w:eastAsia="Calibri" w:hAnsi="Verdana" w:cs="Arial"/>
          <w:bCs/>
          <w:lang w:val="es-ES"/>
        </w:rPr>
      </w:pPr>
      <w:r w:rsidRPr="008305C9">
        <w:rPr>
          <w:rFonts w:ascii="Verdana" w:eastAsia="Calibri" w:hAnsi="Verdana" w:cs="Arial"/>
          <w:bCs/>
          <w:lang w:val="es-ES"/>
        </w:rPr>
        <w:tab/>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Por ejemplo, en la Sentencia del 12 de abril de 1978 explicó lo siguiente:</w:t>
      </w:r>
    </w:p>
    <w:p w14:paraId="431C910B" w14:textId="77777777" w:rsidR="00B52968" w:rsidRPr="008305C9" w:rsidRDefault="00B52968" w:rsidP="00B52968">
      <w:pPr>
        <w:tabs>
          <w:tab w:val="left" w:pos="0"/>
        </w:tabs>
        <w:spacing w:after="0" w:line="276" w:lineRule="auto"/>
        <w:ind w:left="709" w:right="709"/>
        <w:jc w:val="both"/>
        <w:rPr>
          <w:rFonts w:ascii="Verdana" w:eastAsia="Batang" w:hAnsi="Verdana" w:cs="Arial"/>
          <w:sz w:val="21"/>
          <w:szCs w:val="21"/>
          <w:lang w:val="es-ES"/>
        </w:rPr>
      </w:pPr>
    </w:p>
    <w:p w14:paraId="39F5305C" w14:textId="77777777" w:rsidR="00B52968" w:rsidRPr="008305C9" w:rsidRDefault="00B52968" w:rsidP="00B52968">
      <w:pPr>
        <w:tabs>
          <w:tab w:val="left" w:pos="0"/>
        </w:tabs>
        <w:spacing w:after="0" w:line="240" w:lineRule="auto"/>
        <w:ind w:left="709" w:right="709"/>
        <w:jc w:val="both"/>
        <w:rPr>
          <w:rFonts w:ascii="Verdana" w:eastAsia="Calibri" w:hAnsi="Verdana" w:cs="Arial"/>
          <w:bCs/>
          <w:sz w:val="20"/>
          <w:szCs w:val="20"/>
          <w:lang w:val="es-ES"/>
        </w:rPr>
      </w:pPr>
      <w:r w:rsidRPr="008305C9">
        <w:rPr>
          <w:rFonts w:ascii="Verdana" w:eastAsia="Batang" w:hAnsi="Verdana" w:cs="Arial"/>
          <w:sz w:val="20"/>
          <w:szCs w:val="20"/>
        </w:rPr>
        <w:lastRenderedPageBreak/>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8305C9">
        <w:rPr>
          <w:rFonts w:ascii="Verdana" w:eastAsia="Batang" w:hAnsi="Verdana" w:cs="Arial"/>
          <w:sz w:val="20"/>
          <w:szCs w:val="20"/>
          <w:vertAlign w:val="superscript"/>
        </w:rPr>
        <w:footnoteReference w:id="3"/>
      </w:r>
      <w:r w:rsidRPr="008305C9">
        <w:rPr>
          <w:rFonts w:ascii="Verdana" w:eastAsia="Batang" w:hAnsi="Verdana" w:cs="Arial"/>
          <w:sz w:val="20"/>
          <w:szCs w:val="20"/>
        </w:rPr>
        <w:t>.</w:t>
      </w:r>
    </w:p>
    <w:p w14:paraId="0E4CF957" w14:textId="77777777" w:rsidR="00B52968" w:rsidRPr="008305C9" w:rsidRDefault="00B52968" w:rsidP="00B52968">
      <w:pPr>
        <w:tabs>
          <w:tab w:val="left" w:pos="0"/>
        </w:tabs>
        <w:spacing w:after="0" w:line="276" w:lineRule="auto"/>
        <w:jc w:val="both"/>
        <w:rPr>
          <w:rFonts w:ascii="Verdana" w:eastAsia="Calibri" w:hAnsi="Verdana" w:cs="Arial"/>
          <w:bCs/>
          <w:lang w:val="es-ES"/>
        </w:rPr>
      </w:pPr>
    </w:p>
    <w:p w14:paraId="3A062FC2" w14:textId="77777777" w:rsidR="00B52968" w:rsidRPr="008305C9" w:rsidRDefault="00B52968" w:rsidP="00B52968">
      <w:pPr>
        <w:tabs>
          <w:tab w:val="left" w:pos="0"/>
        </w:tabs>
        <w:spacing w:after="0" w:line="276" w:lineRule="auto"/>
        <w:jc w:val="both"/>
        <w:rPr>
          <w:rFonts w:ascii="Verdana" w:eastAsia="Calibri" w:hAnsi="Verdana" w:cs="Arial"/>
          <w:bCs/>
          <w:lang w:val="es-ES"/>
        </w:rPr>
      </w:pPr>
      <w:r w:rsidRPr="008305C9">
        <w:rPr>
          <w:rFonts w:ascii="Verdana" w:eastAsia="Calibri" w:hAnsi="Verdana" w:cs="Arial"/>
          <w:bCs/>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1A630550" w14:textId="77777777" w:rsidR="00B52968" w:rsidRPr="008305C9" w:rsidRDefault="00B52968" w:rsidP="00B52968">
      <w:pPr>
        <w:spacing w:after="0" w:line="276" w:lineRule="auto"/>
        <w:jc w:val="both"/>
        <w:rPr>
          <w:rFonts w:ascii="Verdana" w:eastAsia="Times New Roman" w:hAnsi="Verdana" w:cs="Arial"/>
          <w:sz w:val="21"/>
          <w:szCs w:val="21"/>
          <w:lang w:val="es-ES" w:eastAsia="es-CO"/>
        </w:rPr>
      </w:pPr>
    </w:p>
    <w:p w14:paraId="63CF8DC0" w14:textId="77777777" w:rsidR="00B52968" w:rsidRPr="00140E53" w:rsidRDefault="00B52968" w:rsidP="00B52968">
      <w:pPr>
        <w:spacing w:after="120" w:line="240" w:lineRule="auto"/>
        <w:ind w:left="709" w:right="709"/>
        <w:jc w:val="both"/>
        <w:rPr>
          <w:rFonts w:ascii="Verdana" w:eastAsia="Times New Roman" w:hAnsi="Verdana" w:cs="Arial"/>
          <w:sz w:val="20"/>
          <w:szCs w:val="20"/>
          <w:lang w:eastAsia="es-CO"/>
        </w:rPr>
      </w:pPr>
      <w:r w:rsidRPr="00140E53">
        <w:rPr>
          <w:rFonts w:ascii="Verdana" w:eastAsia="Times New Roman" w:hAnsi="Verdana" w:cs="Arial"/>
          <w:sz w:val="20"/>
          <w:szCs w:val="20"/>
          <w:lang w:eastAsia="es-CO"/>
        </w:rPr>
        <w:t>“[E]l cómputo de días hábiles de que trata el artículo 62 de la Ley 4.ª de 1913 debe realizarse con base en los días laborables forzosos, teniendo por tales todos los del año, excluidos los señalados por la ley como de descanso remunerado.</w:t>
      </w:r>
    </w:p>
    <w:p w14:paraId="2C7DE7BA" w14:textId="77777777" w:rsidR="00B52968" w:rsidRPr="008305C9" w:rsidRDefault="00B52968" w:rsidP="00B52968">
      <w:pPr>
        <w:spacing w:after="0" w:line="240" w:lineRule="auto"/>
        <w:ind w:left="709" w:right="709"/>
        <w:jc w:val="both"/>
        <w:rPr>
          <w:rFonts w:ascii="Verdana" w:eastAsia="Times New Roman" w:hAnsi="Verdana" w:cs="Arial"/>
          <w:sz w:val="21"/>
          <w:szCs w:val="21"/>
          <w:lang w:eastAsia="es-CO"/>
        </w:rPr>
      </w:pPr>
      <w:r w:rsidRPr="00140E53">
        <w:rPr>
          <w:rFonts w:ascii="Verdana" w:eastAsia="Times New Roman" w:hAnsi="Verdana" w:cs="Arial"/>
          <w:sz w:val="20"/>
          <w:szCs w:val="20"/>
          <w:lang w:eastAsia="es-CO"/>
        </w:rPr>
        <w:t xml:space="preserve">Así, el criterio que determina el carácter de hábil de los días, para el cómputo de los términos legales, es el de su </w:t>
      </w:r>
      <w:proofErr w:type="spellStart"/>
      <w:r w:rsidRPr="00140E53">
        <w:rPr>
          <w:rFonts w:ascii="Verdana" w:eastAsia="Times New Roman" w:hAnsi="Verdana" w:cs="Arial"/>
          <w:sz w:val="20"/>
          <w:szCs w:val="20"/>
          <w:lang w:eastAsia="es-CO"/>
        </w:rPr>
        <w:t>laborabilidad</w:t>
      </w:r>
      <w:proofErr w:type="spellEnd"/>
      <w:r w:rsidRPr="00140E53">
        <w:rPr>
          <w:rFonts w:ascii="Verdana" w:eastAsia="Times New Roman" w:hAnsi="Verdana" w:cs="Arial"/>
          <w:sz w:val="20"/>
          <w:szCs w:val="20"/>
          <w:lang w:eastAsia="es-CO"/>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1.°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140E53">
        <w:rPr>
          <w:rFonts w:ascii="Verdana" w:eastAsia="Times New Roman" w:hAnsi="Verdana" w:cs="Arial"/>
          <w:sz w:val="20"/>
          <w:szCs w:val="20"/>
          <w:vertAlign w:val="superscript"/>
          <w:lang w:eastAsia="es-CO"/>
        </w:rPr>
        <w:footnoteReference w:id="4"/>
      </w:r>
      <w:r w:rsidRPr="00140E53">
        <w:rPr>
          <w:rFonts w:ascii="Verdana" w:eastAsia="Times New Roman" w:hAnsi="Verdana" w:cs="Arial"/>
          <w:sz w:val="20"/>
          <w:szCs w:val="20"/>
          <w:lang w:eastAsia="es-CO"/>
        </w:rPr>
        <w:t>.</w:t>
      </w:r>
    </w:p>
    <w:p w14:paraId="752F9067" w14:textId="77777777" w:rsidR="00B52968" w:rsidRPr="008305C9" w:rsidRDefault="00B52968" w:rsidP="00B52968">
      <w:pPr>
        <w:tabs>
          <w:tab w:val="left" w:pos="0"/>
        </w:tabs>
        <w:spacing w:after="0" w:line="276" w:lineRule="auto"/>
        <w:jc w:val="both"/>
        <w:rPr>
          <w:rFonts w:ascii="Verdana" w:eastAsia="Calibri" w:hAnsi="Verdana" w:cs="Arial"/>
          <w:bCs/>
          <w:lang w:val="es-ES"/>
        </w:rPr>
      </w:pPr>
      <w:r w:rsidRPr="008305C9">
        <w:rPr>
          <w:rFonts w:ascii="Verdana" w:eastAsia="Calibri" w:hAnsi="Verdana" w:cs="Arial"/>
          <w:bCs/>
          <w:lang w:val="es-ES"/>
        </w:rPr>
        <w:t xml:space="preserve"> </w:t>
      </w:r>
    </w:p>
    <w:p w14:paraId="3CC3A459" w14:textId="77777777" w:rsidR="00B52968" w:rsidRPr="008305C9" w:rsidRDefault="00B52968" w:rsidP="00B52968">
      <w:pPr>
        <w:tabs>
          <w:tab w:val="left" w:pos="0"/>
        </w:tabs>
        <w:spacing w:after="120" w:line="276" w:lineRule="auto"/>
        <w:jc w:val="both"/>
        <w:rPr>
          <w:rFonts w:ascii="Verdana" w:eastAsia="Calibri" w:hAnsi="Verdana" w:cs="Arial"/>
          <w:bCs/>
          <w:lang w:val="es-ES"/>
        </w:rPr>
      </w:pPr>
      <w:r w:rsidRPr="008305C9">
        <w:rPr>
          <w:rFonts w:ascii="Verdana" w:eastAsia="Calibri" w:hAnsi="Verdana" w:cs="Arial"/>
          <w:bCs/>
          <w:lang w:val="es-ES"/>
        </w:rPr>
        <w:tab/>
        <w:t xml:space="preserve">De esta manera, los días hábiles se determinan según la entidad, ya que cada una “[…] establece la jornada laboral, a través de su reglamento interno, dando certeza sobre los días que atienden al público, e indirectamente </w:t>
      </w:r>
      <w:r w:rsidRPr="008305C9">
        <w:rPr>
          <w:rFonts w:ascii="Verdana" w:eastAsia="Calibri" w:hAnsi="Verdana" w:cs="Arial"/>
          <w:bCs/>
          <w:lang w:val="es-ES"/>
        </w:rPr>
        <w:lastRenderedPageBreak/>
        <w:t>definiendo qué día es hábil en determinada institución”</w:t>
      </w:r>
      <w:r w:rsidRPr="008305C9">
        <w:rPr>
          <w:rFonts w:ascii="Verdana" w:eastAsia="Calibri" w:hAnsi="Verdana" w:cs="Arial"/>
          <w:bCs/>
          <w:vertAlign w:val="superscript"/>
          <w:lang w:val="es-ES"/>
        </w:rPr>
        <w:footnoteReference w:id="5"/>
      </w:r>
      <w:r w:rsidRPr="008305C9">
        <w:rPr>
          <w:rFonts w:ascii="Verdana" w:eastAsia="Calibri" w:hAnsi="Verdana" w:cs="Arial"/>
          <w:bCs/>
          <w:lang w:val="es-ES"/>
        </w:rPr>
        <w:t xml:space="preserve">,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w:t>
      </w:r>
    </w:p>
    <w:p w14:paraId="3884B795" w14:textId="77777777" w:rsidR="00B52968" w:rsidRDefault="00B52968" w:rsidP="00B52968">
      <w:pPr>
        <w:tabs>
          <w:tab w:val="left" w:pos="0"/>
        </w:tabs>
        <w:spacing w:after="120" w:line="276" w:lineRule="auto"/>
        <w:jc w:val="both"/>
        <w:rPr>
          <w:rFonts w:ascii="Verdana" w:eastAsia="Calibri" w:hAnsi="Verdana" w:cs="Arial"/>
          <w:bCs/>
          <w:lang w:val="es-ES"/>
        </w:rPr>
      </w:pPr>
      <w:r w:rsidRPr="008305C9">
        <w:rPr>
          <w:rFonts w:ascii="Verdana" w:eastAsia="Calibri" w:hAnsi="Verdana" w:cs="Arial"/>
          <w:bCs/>
          <w:lang w:val="es-ES"/>
        </w:rPr>
        <w:tab/>
        <w:t>En todo caso, algunas entidades pueden definir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8305C9">
        <w:rPr>
          <w:rFonts w:ascii="Verdana" w:eastAsia="Calibri" w:hAnsi="Verdana" w:cs="Arial"/>
          <w:bCs/>
          <w:vertAlign w:val="superscript"/>
          <w:lang w:val="es-ES"/>
        </w:rPr>
        <w:footnoteReference w:id="6"/>
      </w:r>
      <w:r w:rsidRPr="008305C9">
        <w:rPr>
          <w:rFonts w:ascii="Verdana" w:eastAsia="Calibri" w:hAnsi="Verdana" w:cs="Arial"/>
          <w:bCs/>
          <w:lang w:val="es-ES"/>
        </w:rPr>
        <w:t>, ejemplo donde los días laborables o hábiles son todos los de la semana, con excepción del miércoles. En conclusión, respecto al cómputo de los términos en días hábiles propios de los procesos de selección, esto implica que deberán transcurrir dentro de los días definidos por cada entidad estatal como laborables en su correspondiente reglamento o manual de funciones.</w:t>
      </w:r>
    </w:p>
    <w:p w14:paraId="5683B362" w14:textId="77777777" w:rsidR="00B52968" w:rsidRDefault="00B52968" w:rsidP="00B52968">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tab/>
        <w:t xml:space="preserve">En los días que cada entidad estime hábiles, el artículo 2 del Decreto Ley 1876 de 1970 obliga a entidades como los </w:t>
      </w:r>
      <w:r w:rsidRPr="00562BA7">
        <w:rPr>
          <w:rFonts w:ascii="Verdana" w:eastAsia="Calibri" w:hAnsi="Verdana" w:cs="Arial"/>
          <w:bCs/>
          <w:lang w:val="es-ES"/>
        </w:rPr>
        <w:t>Ministerios, Departamentos Administrativos, Superintendencias y Establecimientos Públicos</w:t>
      </w:r>
      <w:r>
        <w:rPr>
          <w:rFonts w:ascii="Verdana" w:eastAsia="Calibri" w:hAnsi="Verdana" w:cs="Arial"/>
          <w:bCs/>
          <w:lang w:val="es-ES"/>
        </w:rPr>
        <w:t xml:space="preserve"> a establecer “[…] </w:t>
      </w:r>
      <w:r w:rsidRPr="006D08D7">
        <w:rPr>
          <w:rFonts w:ascii="Verdana" w:eastAsia="Calibri" w:hAnsi="Verdana" w:cs="Arial"/>
          <w:bCs/>
          <w:lang w:val="es-ES"/>
        </w:rPr>
        <w:t>el horario de atención al público, los sistemas de registro de las horas de entradas y de salida, las sanciones por ausencias o retardos, los procedimientos para el otorgamiento de permisos y las demás disposiciones a que hubiere lugar sobre la materia, todo de conformidad con las normas legales vigentes sobre el particular</w:t>
      </w:r>
      <w:r>
        <w:rPr>
          <w:rFonts w:ascii="Verdana" w:eastAsia="Calibri" w:hAnsi="Verdana" w:cs="Arial"/>
          <w:bCs/>
          <w:lang w:val="es-ES"/>
        </w:rPr>
        <w:t xml:space="preserve"> […]”. Asimismo, conforme al artículo 3 </w:t>
      </w:r>
      <w:r w:rsidRPr="005442E8">
        <w:rPr>
          <w:rFonts w:ascii="Verdana" w:eastAsia="Calibri" w:hAnsi="Verdana" w:cs="Arial"/>
          <w:bCs/>
          <w:i/>
          <w:iCs/>
          <w:lang w:val="es-ES"/>
        </w:rPr>
        <w:t>ibidem</w:t>
      </w:r>
      <w:r>
        <w:rPr>
          <w:rFonts w:ascii="Verdana" w:eastAsia="Calibri" w:hAnsi="Verdana" w:cs="Arial"/>
          <w:bCs/>
          <w:lang w:val="es-ES"/>
        </w:rPr>
        <w:t xml:space="preserve">, también “[…] </w:t>
      </w:r>
      <w:r w:rsidRPr="005161F0">
        <w:rPr>
          <w:rFonts w:ascii="Verdana" w:eastAsia="Calibri" w:hAnsi="Verdana" w:cs="Arial"/>
          <w:bCs/>
          <w:lang w:val="es-ES"/>
        </w:rPr>
        <w:t>se establecerán las normas que han de regir para efectos de contar los términos que corren contra los particulares o contra organismos administrativos en los asuntos que tramita o de que conoce la respectiva entidad</w:t>
      </w:r>
      <w:r>
        <w:rPr>
          <w:rFonts w:ascii="Verdana" w:eastAsia="Calibri" w:hAnsi="Verdana" w:cs="Arial"/>
          <w:bCs/>
          <w:lang w:val="es-ES"/>
        </w:rPr>
        <w:t xml:space="preserve"> […]”. Por lo demás, en los términos del artículo 7.3 de la Ley 1437 de 2011 todas autoridades deben “</w:t>
      </w:r>
      <w:r w:rsidRPr="005B0D5F">
        <w:rPr>
          <w:rFonts w:ascii="Verdana" w:eastAsia="Calibri" w:hAnsi="Verdana" w:cs="Arial"/>
          <w:bCs/>
          <w:lang w:val="es-ES"/>
        </w:rPr>
        <w:t>Garantizar atención personal al público, como mínimo durante cuarenta (40) horas a la semana, las cuales se distribuirán en horarios que satisfagan las necesidades del servicio</w:t>
      </w:r>
      <w:r>
        <w:rPr>
          <w:rFonts w:ascii="Verdana" w:eastAsia="Calibri" w:hAnsi="Verdana" w:cs="Arial"/>
          <w:bCs/>
          <w:lang w:val="es-ES"/>
        </w:rPr>
        <w:t>”.</w:t>
      </w:r>
    </w:p>
    <w:p w14:paraId="158591CB" w14:textId="77777777" w:rsidR="00B52968" w:rsidRDefault="00B52968" w:rsidP="00B52968">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lastRenderedPageBreak/>
        <w:tab/>
        <w:t xml:space="preserve">Lo anterior no obsta para que, por necesidades del servicio, la entidad realice adelante trámites contractuales fuera de los días y horarios descritos en los párrafos precedentes. Para estos efectos, en ausencia de norma expresa, la Agencia estima que la competencia no se suspende en los días inhábiles ni en horas ajenas a la jornada de atención al público. Ello no es más que el desarrollo del principio de celeridad en las actuaciones administrativas, pues “[…] </w:t>
      </w:r>
      <w:r w:rsidRPr="005B0D5F">
        <w:rPr>
          <w:rFonts w:ascii="Verdana" w:eastAsia="Calibri" w:hAnsi="Verdana" w:cs="Arial"/>
          <w:bCs/>
          <w:lang w:val="es-ES"/>
        </w:rPr>
        <w:t>las autoridades impulsarán oficiosamente los procedimientos, e incentivarán el uso de las tecnologías de la información y las comunicaciones, a efectos de que los procedimientos se adelanten con diligencia, dentro de los términos legales y sin dilaciones injustificadas</w:t>
      </w:r>
      <w:r>
        <w:rPr>
          <w:rFonts w:ascii="Verdana" w:eastAsia="Calibri" w:hAnsi="Verdana" w:cs="Arial"/>
          <w:bCs/>
          <w:lang w:val="es-ES"/>
        </w:rPr>
        <w:t>” –artículo 3.13 de la Ley 1437 de 2011–</w:t>
      </w:r>
      <w:r w:rsidRPr="005B0D5F">
        <w:rPr>
          <w:rFonts w:ascii="Verdana" w:eastAsia="Calibri" w:hAnsi="Verdana" w:cs="Arial"/>
          <w:bCs/>
          <w:lang w:val="es-ES"/>
        </w:rPr>
        <w:t>.</w:t>
      </w:r>
      <w:r>
        <w:rPr>
          <w:rFonts w:ascii="Verdana" w:eastAsia="Calibri" w:hAnsi="Verdana" w:cs="Arial"/>
          <w:bCs/>
          <w:lang w:val="es-ES"/>
        </w:rPr>
        <w:t xml:space="preserve"> Además, el artículo 25.4 de la Ley 80 de 1993 establece como parte el principio de economía la idea de que “</w:t>
      </w:r>
      <w:r w:rsidRPr="00312258">
        <w:rPr>
          <w:rFonts w:ascii="Verdana" w:eastAsia="Calibri" w:hAnsi="Verdana" w:cs="Arial"/>
          <w:bCs/>
          <w:lang w:val="es-ES"/>
        </w:rPr>
        <w:t>Los trámites se adelantarán con austeridad de tiempo, medios y gastos y se impedirán las dilaciones y los retardos en la ejecución del contrato</w:t>
      </w:r>
      <w:r>
        <w:rPr>
          <w:rFonts w:ascii="Verdana" w:eastAsia="Calibri" w:hAnsi="Verdana" w:cs="Arial"/>
          <w:bCs/>
          <w:lang w:val="es-ES"/>
        </w:rPr>
        <w:t>”</w:t>
      </w:r>
      <w:r w:rsidRPr="00312258">
        <w:rPr>
          <w:rFonts w:ascii="Verdana" w:eastAsia="Calibri" w:hAnsi="Verdana" w:cs="Arial"/>
          <w:bCs/>
          <w:lang w:val="es-ES"/>
        </w:rPr>
        <w:t xml:space="preserve">. </w:t>
      </w:r>
    </w:p>
    <w:p w14:paraId="4036CE65" w14:textId="77777777" w:rsidR="00B52968" w:rsidRPr="00E4549A" w:rsidRDefault="00B52968" w:rsidP="00B52968">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tab/>
        <w:t xml:space="preserve">Por ello, dentro del cronograma del proceso de selección y siempre que no se vulneren derechos de los interesados, es posible que las entidades adelanten gestiones de ordenación del gasto como la expedición de </w:t>
      </w:r>
      <w:proofErr w:type="spellStart"/>
      <w:r>
        <w:rPr>
          <w:rFonts w:ascii="Verdana" w:eastAsia="Calibri" w:hAnsi="Verdana" w:cs="Arial"/>
          <w:bCs/>
          <w:lang w:val="es-ES"/>
        </w:rPr>
        <w:t>CDPs</w:t>
      </w:r>
      <w:proofErr w:type="spellEnd"/>
      <w:r>
        <w:rPr>
          <w:rFonts w:ascii="Verdana" w:eastAsia="Calibri" w:hAnsi="Verdana" w:cs="Arial"/>
          <w:bCs/>
          <w:lang w:val="es-ES"/>
        </w:rPr>
        <w:t xml:space="preserve"> o la aprobación pólizas, contratos y pagos en el SECOP fuera de los días y horas mencionados </w:t>
      </w:r>
      <w:r w:rsidRPr="008453D9">
        <w:rPr>
          <w:rFonts w:ascii="Verdana" w:eastAsia="Calibri" w:hAnsi="Verdana" w:cs="Arial"/>
          <w:bCs/>
          <w:i/>
          <w:iCs/>
          <w:lang w:val="es-ES"/>
        </w:rPr>
        <w:t>ut supra</w:t>
      </w:r>
      <w:r>
        <w:rPr>
          <w:rFonts w:ascii="Verdana" w:eastAsia="Calibri" w:hAnsi="Verdana" w:cs="Arial"/>
          <w:bCs/>
          <w:lang w:val="es-ES"/>
        </w:rPr>
        <w:t xml:space="preserve">. Asimismo, para efectos de adiciones, es posible expedir </w:t>
      </w:r>
      <w:proofErr w:type="spellStart"/>
      <w:r>
        <w:rPr>
          <w:rFonts w:ascii="Verdana" w:eastAsia="Calibri" w:hAnsi="Verdana" w:cs="Arial"/>
          <w:bCs/>
          <w:lang w:val="es-ES"/>
        </w:rPr>
        <w:t>RPs</w:t>
      </w:r>
      <w:proofErr w:type="spellEnd"/>
      <w:r>
        <w:rPr>
          <w:rFonts w:ascii="Verdana" w:eastAsia="Calibri" w:hAnsi="Verdana" w:cs="Arial"/>
          <w:bCs/>
          <w:lang w:val="es-ES"/>
        </w:rPr>
        <w:t xml:space="preserve"> antes de la fecha terminación inicial, al margen de que el día sea hábil o no.  </w:t>
      </w:r>
    </w:p>
    <w:p w14:paraId="1198D4A2" w14:textId="77777777" w:rsidR="00B52968" w:rsidRDefault="00B52968" w:rsidP="00B52968">
      <w:pPr>
        <w:widowControl w:val="0"/>
        <w:autoSpaceDE w:val="0"/>
        <w:autoSpaceDN w:val="0"/>
        <w:spacing w:after="120" w:line="276" w:lineRule="auto"/>
        <w:ind w:firstLine="708"/>
        <w:jc w:val="both"/>
        <w:rPr>
          <w:rFonts w:ascii="Verdana" w:hAnsi="Verdana" w:cs="Arial"/>
          <w:lang w:eastAsia="es-ES"/>
        </w:rPr>
      </w:pPr>
      <w:r w:rsidRPr="006539F8">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F21F975" w14:textId="77777777" w:rsidR="00B52968" w:rsidRPr="00301910" w:rsidRDefault="00B52968" w:rsidP="00B52968">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6539F8">
        <w:rPr>
          <w:rFonts w:ascii="Verdana" w:hAnsi="Verdana" w:cs="Arial"/>
          <w:lang w:eastAsia="es-ES"/>
        </w:rPr>
        <w:lastRenderedPageBreak/>
        <w:t>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456BD698" w14:textId="77777777" w:rsidR="00B52968" w:rsidRPr="00182C89" w:rsidRDefault="00B52968" w:rsidP="00B52968">
      <w:pPr>
        <w:tabs>
          <w:tab w:val="left" w:pos="709"/>
        </w:tabs>
        <w:spacing w:after="0" w:line="276" w:lineRule="auto"/>
        <w:jc w:val="both"/>
        <w:rPr>
          <w:rFonts w:ascii="Verdana" w:eastAsia="Calibri" w:hAnsi="Verdana" w:cs="Arial"/>
          <w:color w:val="000000" w:themeColor="text1"/>
        </w:rPr>
      </w:pPr>
    </w:p>
    <w:p w14:paraId="55145DEF" w14:textId="77777777" w:rsidR="00B52968" w:rsidRPr="00AE65D5" w:rsidRDefault="00B52968" w:rsidP="00B529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9647611" w14:textId="77777777" w:rsidR="00B52968" w:rsidRPr="00593A5F" w:rsidRDefault="00B52968" w:rsidP="00B5296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52968" w:rsidRPr="002407CE" w14:paraId="29D2C8FF" w14:textId="77777777" w:rsidTr="00E45993">
        <w:trPr>
          <w:trHeight w:val="870"/>
          <w:jc w:val="center"/>
        </w:trPr>
        <w:tc>
          <w:tcPr>
            <w:tcW w:w="8647" w:type="dxa"/>
          </w:tcPr>
          <w:p w14:paraId="6E120E4A" w14:textId="77777777" w:rsidR="00B52968" w:rsidRDefault="00B52968" w:rsidP="00E45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 de 1913, artículos 59 y 62.</w:t>
            </w:r>
          </w:p>
          <w:p w14:paraId="45BB1BDA" w14:textId="77777777" w:rsidR="00B52968" w:rsidRDefault="00B52968" w:rsidP="00E45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1150 de 2007, artículo 2. </w:t>
            </w:r>
          </w:p>
          <w:p w14:paraId="3628547C" w14:textId="77777777" w:rsidR="00B52968" w:rsidRDefault="00B52968" w:rsidP="00E45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25.</w:t>
            </w:r>
          </w:p>
          <w:p w14:paraId="443DEE2A" w14:textId="77777777" w:rsidR="00B52968" w:rsidRDefault="00B52968" w:rsidP="00E4599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3 y 7.</w:t>
            </w:r>
          </w:p>
          <w:p w14:paraId="16E6A849" w14:textId="77777777" w:rsidR="00B52968" w:rsidRPr="00144294" w:rsidRDefault="00B52968" w:rsidP="00E45993">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Decreto Ley 1876 de 1970, artículos 2 y 3.</w:t>
            </w:r>
          </w:p>
        </w:tc>
      </w:tr>
    </w:tbl>
    <w:p w14:paraId="16759543" w14:textId="77777777" w:rsidR="00B52968" w:rsidRPr="002407CE" w:rsidRDefault="00B52968" w:rsidP="00B52968">
      <w:pPr>
        <w:widowControl w:val="0"/>
        <w:autoSpaceDE w:val="0"/>
        <w:autoSpaceDN w:val="0"/>
        <w:spacing w:after="0" w:line="276" w:lineRule="auto"/>
        <w:jc w:val="both"/>
        <w:rPr>
          <w:rFonts w:ascii="Verdana" w:hAnsi="Verdana" w:cs="Arial"/>
        </w:rPr>
      </w:pPr>
    </w:p>
    <w:p w14:paraId="37EBEEC7" w14:textId="77777777" w:rsidR="00B52968" w:rsidRPr="00593A5F" w:rsidRDefault="00B52968" w:rsidP="00B529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1340E0C" w14:textId="77777777" w:rsidR="00B52968" w:rsidRPr="00593A5F" w:rsidRDefault="00B52968" w:rsidP="00B52968">
      <w:pPr>
        <w:widowControl w:val="0"/>
        <w:autoSpaceDE w:val="0"/>
        <w:autoSpaceDN w:val="0"/>
        <w:spacing w:after="0" w:line="276" w:lineRule="auto"/>
        <w:jc w:val="both"/>
        <w:rPr>
          <w:rFonts w:ascii="Verdana" w:hAnsi="Verdana" w:cs="Arial"/>
        </w:rPr>
      </w:pPr>
    </w:p>
    <w:p w14:paraId="750BE6AE" w14:textId="77777777" w:rsidR="00B52968" w:rsidRDefault="00B52968" w:rsidP="00B52968">
      <w:pPr>
        <w:widowControl w:val="0"/>
        <w:autoSpaceDE w:val="0"/>
        <w:autoSpaceDN w:val="0"/>
        <w:spacing w:after="0" w:line="276" w:lineRule="auto"/>
        <w:jc w:val="both"/>
        <w:rPr>
          <w:rStyle w:val="normaltextrun"/>
          <w:rFonts w:ascii="Verdana" w:hAnsi="Verdana"/>
        </w:rPr>
      </w:pPr>
      <w:r w:rsidRPr="005344DB">
        <w:rPr>
          <w:rStyle w:val="normaltextrun"/>
          <w:rFonts w:ascii="Verdana" w:hAnsi="Verdana" w:cs="Arial"/>
          <w:shd w:val="clear" w:color="auto" w:fill="FFFFFF"/>
        </w:rPr>
        <w:t xml:space="preserve">Esta Subdirección se ha pronunciado sobre </w:t>
      </w:r>
      <w:r w:rsidRPr="001439BA">
        <w:rPr>
          <w:rStyle w:val="normaltextrun"/>
          <w:rFonts w:ascii="Verdana" w:hAnsi="Verdana" w:cs="Arial"/>
          <w:shd w:val="clear" w:color="auto" w:fill="FFFFFF"/>
        </w:rPr>
        <w:t xml:space="preserve">sobre el cómputo de días hábiles en el marco de procesos de selección, en los </w:t>
      </w:r>
      <w:r>
        <w:rPr>
          <w:rStyle w:val="normaltextrun"/>
          <w:rFonts w:ascii="Verdana" w:hAnsi="Verdana" w:cs="Arial"/>
          <w:shd w:val="clear" w:color="auto" w:fill="FFFFFF"/>
        </w:rPr>
        <w:t>C</w:t>
      </w:r>
      <w:r w:rsidRPr="001439BA">
        <w:rPr>
          <w:rStyle w:val="normaltextrun"/>
          <w:rFonts w:ascii="Verdana" w:hAnsi="Verdana" w:cs="Arial"/>
          <w:shd w:val="clear" w:color="auto" w:fill="FFFFFF"/>
        </w:rPr>
        <w:t>onceptos C-135 del 28 de marzo de 2022, C-271 del 4 de mayo de 2022, C-604 de 26 de junio de 2025, C-1179 del 01 de octubre de 2025</w:t>
      </w:r>
      <w:r>
        <w:rPr>
          <w:rStyle w:val="normaltextrun"/>
          <w:rFonts w:ascii="Verdana" w:hAnsi="Verdana" w:cs="Arial"/>
          <w:shd w:val="clear" w:color="auto" w:fill="FFFFFF"/>
        </w:rPr>
        <w:t>, C-1850 del 9 de enero de 2026 y C-082 del 4 de febrero de 2026</w:t>
      </w:r>
      <w:r>
        <w:rPr>
          <w:rFonts w:ascii="Verdana" w:eastAsia="Calibri"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49D98DF" w14:textId="77777777" w:rsidR="00B52968" w:rsidRDefault="00B52968" w:rsidP="00B52968">
      <w:pPr>
        <w:widowControl w:val="0"/>
        <w:autoSpaceDE w:val="0"/>
        <w:autoSpaceDN w:val="0"/>
        <w:spacing w:after="0" w:line="276" w:lineRule="auto"/>
        <w:jc w:val="both"/>
        <w:rPr>
          <w:rStyle w:val="normaltextrun"/>
          <w:rFonts w:ascii="Verdana" w:hAnsi="Verdana"/>
        </w:rPr>
      </w:pPr>
    </w:p>
    <w:p w14:paraId="0CFE8000" w14:textId="77777777" w:rsidR="00B52968" w:rsidRDefault="00B52968" w:rsidP="00B52968">
      <w:pPr>
        <w:widowControl w:val="0"/>
        <w:autoSpaceDE w:val="0"/>
        <w:autoSpaceDN w:val="0"/>
        <w:spacing w:after="0" w:line="276" w:lineRule="auto"/>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1A814370" w14:textId="77777777" w:rsidR="00B52968" w:rsidRPr="009A385A" w:rsidRDefault="00B52968" w:rsidP="00B52968">
      <w:pPr>
        <w:spacing w:after="0"/>
        <w:jc w:val="both"/>
        <w:rPr>
          <w:rFonts w:ascii="Verdana" w:hAnsi="Verdana"/>
        </w:rPr>
      </w:pPr>
    </w:p>
    <w:p w14:paraId="6C04E572" w14:textId="77777777" w:rsidR="00B52968" w:rsidRDefault="00B52968" w:rsidP="00B52968">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w:t>
      </w:r>
      <w:r w:rsidRPr="009A385A">
        <w:rPr>
          <w:rFonts w:ascii="Verdana" w:hAnsi="Verdana"/>
          <w:b/>
          <w:bCs/>
        </w:rPr>
        <w:lastRenderedPageBreak/>
        <w:t>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12E32461" w14:textId="77777777" w:rsidR="00B52968" w:rsidRDefault="00B52968" w:rsidP="00B52968">
      <w:pPr>
        <w:spacing w:after="0"/>
        <w:jc w:val="both"/>
        <w:rPr>
          <w:rFonts w:ascii="Verdana" w:hAnsi="Verdana"/>
        </w:rPr>
      </w:pPr>
    </w:p>
    <w:p w14:paraId="2EF7482C" w14:textId="77777777" w:rsidR="00B52968" w:rsidRPr="008E1CD7" w:rsidRDefault="00B52968" w:rsidP="00B52968">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F989CE5" w14:textId="77777777" w:rsidR="00B52968" w:rsidRDefault="00B52968" w:rsidP="00B52968">
      <w:pPr>
        <w:shd w:val="clear" w:color="auto" w:fill="FFFFFF"/>
        <w:spacing w:after="0" w:line="276" w:lineRule="auto"/>
        <w:jc w:val="both"/>
        <w:rPr>
          <w:rFonts w:ascii="Verdana" w:hAnsi="Verdana"/>
          <w:color w:val="000000"/>
          <w:u w:val="single"/>
        </w:rPr>
      </w:pPr>
    </w:p>
    <w:p w14:paraId="7CC7E005" w14:textId="77777777" w:rsidR="00B52968" w:rsidRPr="00116940" w:rsidRDefault="00B52968" w:rsidP="00B5296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AEA1010" w14:textId="77777777" w:rsidR="00B52968" w:rsidRPr="00116940" w:rsidRDefault="00B52968" w:rsidP="00B52968">
      <w:pPr>
        <w:spacing w:after="0"/>
        <w:jc w:val="both"/>
        <w:rPr>
          <w:rFonts w:ascii="Verdana" w:hAnsi="Verdana"/>
        </w:rPr>
      </w:pPr>
    </w:p>
    <w:p w14:paraId="2076ED09" w14:textId="77777777" w:rsidR="00B52968" w:rsidRPr="00116940" w:rsidRDefault="00B52968" w:rsidP="00B5296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D704717" w14:textId="77777777" w:rsidR="00B52968" w:rsidRPr="00116940" w:rsidRDefault="00B52968" w:rsidP="00B52968">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7640883" w14:textId="77777777" w:rsidR="00B52968" w:rsidRPr="00116940" w:rsidRDefault="00B52968" w:rsidP="00B5296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43A7442F" w14:textId="77777777" w:rsidR="00B52968" w:rsidRPr="00116940" w:rsidRDefault="00B52968" w:rsidP="00B5296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02EF9A91" w14:textId="77777777" w:rsidR="00B52968" w:rsidRPr="00116940" w:rsidRDefault="00B52968" w:rsidP="00B52968">
      <w:pPr>
        <w:spacing w:after="0" w:line="240" w:lineRule="auto"/>
        <w:ind w:left="720"/>
        <w:jc w:val="both"/>
        <w:rPr>
          <w:rFonts w:ascii="Verdana" w:hAnsi="Verdana"/>
        </w:rPr>
      </w:pPr>
    </w:p>
    <w:p w14:paraId="3D0957D6" w14:textId="77777777" w:rsidR="00B52968" w:rsidRPr="00116940" w:rsidRDefault="00B52968" w:rsidP="00B52968">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A7B7833" w14:textId="77777777" w:rsidR="00B52968" w:rsidRPr="00116940" w:rsidRDefault="00B52968" w:rsidP="00B52968">
      <w:pPr>
        <w:spacing w:after="0" w:line="240" w:lineRule="auto"/>
        <w:rPr>
          <w:rFonts w:ascii="Verdana" w:hAnsi="Verdana"/>
        </w:rPr>
      </w:pPr>
    </w:p>
    <w:p w14:paraId="5DBF03A2" w14:textId="77777777" w:rsidR="00B52968" w:rsidRPr="00116940" w:rsidRDefault="00B52968" w:rsidP="00B52968">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3FB4628" w14:textId="77777777" w:rsidR="00B52968" w:rsidRPr="00116940" w:rsidRDefault="00B52968" w:rsidP="00B52968">
      <w:pPr>
        <w:spacing w:after="0" w:line="240" w:lineRule="auto"/>
        <w:jc w:val="both"/>
        <w:rPr>
          <w:rFonts w:ascii="Verdana" w:hAnsi="Verdana"/>
        </w:rPr>
      </w:pPr>
    </w:p>
    <w:p w14:paraId="59BF1A03" w14:textId="77777777" w:rsidR="00B52968" w:rsidRPr="00116940" w:rsidRDefault="00B52968" w:rsidP="00B5296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355C8BF" w14:textId="77777777" w:rsidR="00B52968" w:rsidRPr="00116940" w:rsidRDefault="00B52968" w:rsidP="00B52968">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D031131" w14:textId="77777777" w:rsidR="00B52968" w:rsidRPr="00116940" w:rsidRDefault="00B52968" w:rsidP="00B5296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9B75B6B" w14:textId="77777777" w:rsidR="00B52968" w:rsidRPr="009C4035" w:rsidRDefault="00B52968" w:rsidP="00B52968">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A3AF0CF" w14:textId="77777777" w:rsidR="00B52968" w:rsidRPr="00593A5F" w:rsidRDefault="00B52968" w:rsidP="00B5296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2352657" w14:textId="77777777" w:rsidR="00B52968" w:rsidRPr="00593A5F" w:rsidRDefault="00B52968" w:rsidP="00B52968">
      <w:pPr>
        <w:widowControl w:val="0"/>
        <w:autoSpaceDE w:val="0"/>
        <w:autoSpaceDN w:val="0"/>
        <w:spacing w:after="0" w:line="276" w:lineRule="auto"/>
        <w:jc w:val="both"/>
        <w:rPr>
          <w:rFonts w:ascii="Verdana" w:hAnsi="Verdana" w:cs="Arial"/>
        </w:rPr>
      </w:pPr>
    </w:p>
    <w:p w14:paraId="7C0CBC15" w14:textId="77777777" w:rsidR="00B52968" w:rsidRPr="00593A5F" w:rsidRDefault="00B52968" w:rsidP="00B5296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F9861CD" w14:textId="1ADD6A84" w:rsidR="00B52968" w:rsidRPr="00593A5F" w:rsidRDefault="009A7554" w:rsidP="00B52968">
      <w:pPr>
        <w:spacing w:line="276" w:lineRule="auto"/>
        <w:jc w:val="center"/>
        <w:rPr>
          <w:rFonts w:ascii="Verdana" w:hAnsi="Verdana" w:cs="Arial"/>
          <w:color w:val="000000"/>
          <w:lang w:val="es-ES_tradnl" w:eastAsia="es-CO"/>
        </w:rPr>
      </w:pPr>
      <w:r>
        <w:rPr>
          <w:noProof/>
        </w:rPr>
        <w:drawing>
          <wp:inline distT="0" distB="0" distL="0" distR="0" wp14:anchorId="3B4C03F3" wp14:editId="6E404B61">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52968" w:rsidRPr="00593A5F" w14:paraId="478E37D4" w14:textId="77777777" w:rsidTr="00E45993">
        <w:trPr>
          <w:trHeight w:val="315"/>
        </w:trPr>
        <w:tc>
          <w:tcPr>
            <w:tcW w:w="893" w:type="dxa"/>
            <w:vAlign w:val="center"/>
            <w:hideMark/>
          </w:tcPr>
          <w:p w14:paraId="63ECA5CD" w14:textId="77777777" w:rsidR="00B52968" w:rsidRPr="003751C7" w:rsidRDefault="00B52968" w:rsidP="00E4599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8A18962" w14:textId="77777777" w:rsidR="00B52968" w:rsidRPr="00254A7A" w:rsidRDefault="00B52968" w:rsidP="00E4599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8203B42" w14:textId="77777777" w:rsidR="00B52968" w:rsidRPr="00254A7A" w:rsidRDefault="00B52968" w:rsidP="00E4599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52968" w:rsidRPr="00593A5F" w14:paraId="286AA792" w14:textId="77777777" w:rsidTr="00E45993">
        <w:trPr>
          <w:trHeight w:val="330"/>
        </w:trPr>
        <w:tc>
          <w:tcPr>
            <w:tcW w:w="893" w:type="dxa"/>
            <w:vAlign w:val="center"/>
            <w:hideMark/>
          </w:tcPr>
          <w:p w14:paraId="3600AC96" w14:textId="77777777" w:rsidR="00B52968" w:rsidRPr="003751C7" w:rsidRDefault="00B52968" w:rsidP="00E4599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2E9D7E6" w14:textId="77777777" w:rsidR="00B52968" w:rsidRPr="0079562D" w:rsidRDefault="00B52968" w:rsidP="00E45993">
            <w:pPr>
              <w:pStyle w:val="paragraph"/>
              <w:spacing w:after="0"/>
              <w:contextualSpacing/>
              <w:textAlignment w:val="baseline"/>
              <w:rPr>
                <w:rStyle w:val="normaltextrun"/>
                <w:rFonts w:ascii="Verdana" w:hAnsi="Verdana" w:cs="Arial"/>
                <w:sz w:val="16"/>
                <w:szCs w:val="16"/>
                <w:lang w:val="es-ES_tradnl"/>
              </w:rPr>
            </w:pPr>
            <w:r w:rsidRPr="0079562D">
              <w:rPr>
                <w:rStyle w:val="normaltextrun"/>
                <w:rFonts w:ascii="Verdana" w:hAnsi="Verdana" w:cs="Arial"/>
                <w:sz w:val="16"/>
                <w:szCs w:val="16"/>
                <w:lang w:val="es-ES_tradnl"/>
              </w:rPr>
              <w:t>Alejandro Sarmiento Cantillo</w:t>
            </w:r>
          </w:p>
          <w:p w14:paraId="700C717C" w14:textId="77777777" w:rsidR="00B52968" w:rsidRPr="00254A7A" w:rsidRDefault="00B52968" w:rsidP="00E45993">
            <w:pPr>
              <w:pStyle w:val="paragraph"/>
              <w:spacing w:before="0" w:beforeAutospacing="0" w:after="0" w:afterAutospacing="0"/>
              <w:contextualSpacing/>
              <w:textAlignment w:val="baseline"/>
              <w:rPr>
                <w:rFonts w:ascii="Verdana" w:hAnsi="Verdana" w:cs="Segoe UI"/>
                <w:sz w:val="16"/>
                <w:szCs w:val="16"/>
              </w:rPr>
            </w:pPr>
            <w:r w:rsidRPr="0079562D">
              <w:rPr>
                <w:rStyle w:val="normaltextrun"/>
                <w:rFonts w:ascii="Verdana" w:hAnsi="Verdana" w:cs="Arial"/>
                <w:sz w:val="16"/>
                <w:szCs w:val="16"/>
                <w:lang w:val="es-ES_tradnl"/>
              </w:rPr>
              <w:t>Gestor T1 ‒ 15 de la Subdirección de Gestión Contractual</w:t>
            </w:r>
          </w:p>
        </w:tc>
      </w:tr>
      <w:tr w:rsidR="00B52968" w:rsidRPr="00593A5F" w14:paraId="45464026" w14:textId="77777777" w:rsidTr="00E45993">
        <w:trPr>
          <w:trHeight w:val="300"/>
        </w:trPr>
        <w:tc>
          <w:tcPr>
            <w:tcW w:w="893" w:type="dxa"/>
            <w:vAlign w:val="center"/>
          </w:tcPr>
          <w:p w14:paraId="1EAB59BE" w14:textId="77777777" w:rsidR="00B52968" w:rsidRPr="003751C7" w:rsidRDefault="00B52968" w:rsidP="00E4599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E9E8F5D" w14:textId="77777777" w:rsidR="00B52968" w:rsidRPr="001133D2" w:rsidRDefault="00B52968" w:rsidP="00E45993">
            <w:pPr>
              <w:contextualSpacing/>
              <w:rPr>
                <w:rFonts w:ascii="Verdana" w:eastAsia="Calibri" w:hAnsi="Verdana" w:cs="Arial"/>
                <w:sz w:val="16"/>
                <w:szCs w:val="16"/>
                <w:lang w:val="es-ES_tradnl" w:eastAsia="es-ES"/>
              </w:rPr>
            </w:pPr>
            <w:r w:rsidRPr="001133D2">
              <w:rPr>
                <w:rFonts w:ascii="Verdana" w:eastAsia="Calibri" w:hAnsi="Verdana" w:cs="Arial"/>
                <w:sz w:val="16"/>
                <w:szCs w:val="16"/>
                <w:lang w:val="es-ES_tradnl" w:eastAsia="es-ES"/>
              </w:rPr>
              <w:t>Carolina Quintero Gacharná</w:t>
            </w:r>
          </w:p>
          <w:p w14:paraId="13EEA540" w14:textId="77777777" w:rsidR="00B52968" w:rsidRPr="003751C7" w:rsidRDefault="00B52968" w:rsidP="00E45993">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3317B89D" w14:textId="77777777" w:rsidR="00B52968" w:rsidRPr="00543BFE" w:rsidRDefault="00B52968" w:rsidP="00B52968"/>
    <w:p w14:paraId="30122B77" w14:textId="77777777" w:rsidR="00B52968" w:rsidRPr="00543BFE" w:rsidRDefault="00B52968" w:rsidP="00B52968"/>
    <w:p w14:paraId="0F293BF4" w14:textId="1A8AF8D0" w:rsidR="00127233" w:rsidRPr="00CB0E29" w:rsidRDefault="00127233" w:rsidP="00CB0E29"/>
    <w:sectPr w:rsidR="00127233" w:rsidRPr="00CB0E29"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AC540" w14:textId="77777777" w:rsidR="00287698" w:rsidRDefault="00287698" w:rsidP="004A1847">
      <w:pPr>
        <w:spacing w:after="0" w:line="240" w:lineRule="auto"/>
      </w:pPr>
      <w:r>
        <w:separator/>
      </w:r>
    </w:p>
  </w:endnote>
  <w:endnote w:type="continuationSeparator" w:id="0">
    <w:p w14:paraId="00B118D1" w14:textId="77777777" w:rsidR="00287698" w:rsidRDefault="0028769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95994" w14:textId="77777777" w:rsidR="00287698" w:rsidRDefault="00287698" w:rsidP="004A1847">
      <w:pPr>
        <w:spacing w:after="0" w:line="240" w:lineRule="auto"/>
      </w:pPr>
      <w:r>
        <w:separator/>
      </w:r>
    </w:p>
  </w:footnote>
  <w:footnote w:type="continuationSeparator" w:id="0">
    <w:p w14:paraId="2851E1BD" w14:textId="77777777" w:rsidR="00287698" w:rsidRDefault="00287698" w:rsidP="004A1847">
      <w:pPr>
        <w:spacing w:after="0" w:line="240" w:lineRule="auto"/>
      </w:pPr>
      <w:r>
        <w:continuationSeparator/>
      </w:r>
    </w:p>
  </w:footnote>
  <w:footnote w:id="1">
    <w:p w14:paraId="153B43AF" w14:textId="77777777" w:rsidR="00B52968" w:rsidRPr="00C63189" w:rsidRDefault="00B52968" w:rsidP="00B52968">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w:t>
      </w:r>
      <w:r w:rsidRPr="00C63189">
        <w:rPr>
          <w:rFonts w:ascii="Verdana" w:hAnsi="Verdana" w:cs="Arial"/>
          <w:color w:val="000000"/>
          <w:sz w:val="16"/>
          <w:szCs w:val="16"/>
          <w:lang w:val="es-CO"/>
        </w:rPr>
        <w:t xml:space="preserve">Real Academia Española de la Lengua. Diccionario de la Lengua Española. Edición Tricentenario. Disponible en: </w:t>
      </w:r>
      <w:hyperlink r:id="rId1" w:history="1">
        <w:r w:rsidRPr="00C63189">
          <w:rPr>
            <w:rStyle w:val="Hipervnculo"/>
            <w:rFonts w:ascii="Verdana" w:hAnsi="Verdana" w:cs="Arial"/>
            <w:color w:val="000000"/>
            <w:sz w:val="16"/>
            <w:szCs w:val="16"/>
          </w:rPr>
          <w:t>https://dle.rae.es/h%C3%A1bil</w:t>
        </w:r>
      </w:hyperlink>
      <w:r w:rsidRPr="00C63189">
        <w:rPr>
          <w:rStyle w:val="Hipervnculo"/>
          <w:rFonts w:ascii="Verdana" w:hAnsi="Verdana" w:cs="Arial"/>
          <w:color w:val="000000"/>
          <w:sz w:val="16"/>
          <w:szCs w:val="16"/>
        </w:rPr>
        <w:t xml:space="preserve">. </w:t>
      </w:r>
      <w:r w:rsidRPr="00C63189">
        <w:rPr>
          <w:rFonts w:ascii="Verdana" w:hAnsi="Verdana" w:cs="Arial"/>
          <w:color w:val="000000"/>
          <w:sz w:val="16"/>
          <w:szCs w:val="16"/>
          <w:lang w:val="es-CO"/>
        </w:rPr>
        <w:t xml:space="preserve"> </w:t>
      </w:r>
    </w:p>
  </w:footnote>
  <w:footnote w:id="2">
    <w:p w14:paraId="1DA04686" w14:textId="77777777" w:rsidR="00B52968" w:rsidRPr="00C63189" w:rsidRDefault="00B52968" w:rsidP="00B52968">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MARÍN CORTÉS, Fabián G. Derecho de petición y procedimiento administrativo. 1</w:t>
      </w:r>
      <w:r w:rsidRPr="00C63189">
        <w:rPr>
          <w:rFonts w:ascii="Verdana" w:hAnsi="Verdana" w:cs="Arial"/>
          <w:color w:val="000000"/>
          <w:sz w:val="16"/>
          <w:szCs w:val="16"/>
          <w:u w:val="single"/>
          <w:vertAlign w:val="superscript"/>
        </w:rPr>
        <w:t>a</w:t>
      </w:r>
      <w:r w:rsidRPr="00C63189">
        <w:rPr>
          <w:rFonts w:ascii="Verdana" w:hAnsi="Verdana" w:cs="Arial"/>
          <w:color w:val="000000"/>
          <w:sz w:val="16"/>
          <w:szCs w:val="16"/>
        </w:rPr>
        <w:t xml:space="preserve"> ed. Medellín: Librería Jurídica Sánchez R Ltda y Centro de Estudios de Derecho Administrativo, 2017. p. 417. </w:t>
      </w:r>
    </w:p>
  </w:footnote>
  <w:footnote w:id="3">
    <w:p w14:paraId="28BE5421" w14:textId="77777777" w:rsidR="00B52968" w:rsidRPr="00C63189" w:rsidRDefault="00B52968" w:rsidP="00B52968">
      <w:pPr>
        <w:pStyle w:val="Textonotapie"/>
        <w:ind w:firstLine="708"/>
        <w:jc w:val="both"/>
        <w:rPr>
          <w:rFonts w:ascii="Verdana" w:hAnsi="Verdana" w:cs="Arial"/>
          <w:color w:val="000000"/>
          <w:sz w:val="16"/>
          <w:szCs w:val="16"/>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w:t>
      </w:r>
      <w:r w:rsidRPr="00C63189">
        <w:rPr>
          <w:rFonts w:ascii="Verdana" w:hAnsi="Verdana" w:cs="Arial"/>
          <w:color w:val="000000"/>
          <w:sz w:val="16"/>
          <w:szCs w:val="16"/>
          <w:lang w:val="es-CO"/>
        </w:rPr>
        <w:t xml:space="preserve">Consejo de Estado. </w:t>
      </w:r>
      <w:r w:rsidRPr="00C63189">
        <w:rPr>
          <w:rFonts w:ascii="Verdana" w:hAnsi="Verdana" w:cs="Arial"/>
          <w:color w:val="000000"/>
          <w:sz w:val="16"/>
          <w:szCs w:val="16"/>
        </w:rPr>
        <w:t>Sala Plena de lo Contencioso Administrativo. Sentencia del 12 de abril de 1978. C.P. Carlos Portocarrero Mutis. Exp. 355.</w:t>
      </w:r>
    </w:p>
  </w:footnote>
  <w:footnote w:id="4">
    <w:p w14:paraId="28AE3A79" w14:textId="77777777" w:rsidR="00B52968" w:rsidRPr="00C63189" w:rsidRDefault="00B52968" w:rsidP="00B52968">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Consejo de Estado. Sección Cuarta. Auto del 26 de febrero de 1983.</w:t>
      </w:r>
    </w:p>
  </w:footnote>
  <w:footnote w:id="5">
    <w:p w14:paraId="3F060E8C" w14:textId="77777777" w:rsidR="00B52968" w:rsidRPr="00C63189" w:rsidRDefault="00B52968" w:rsidP="00B52968">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MARÍN CORTÉS, Fabián G. Derecho de petición y procedimiento administrativo. 1</w:t>
      </w:r>
      <w:r w:rsidRPr="00C63189">
        <w:rPr>
          <w:rFonts w:ascii="Verdana" w:hAnsi="Verdana" w:cs="Arial"/>
          <w:color w:val="000000"/>
          <w:sz w:val="16"/>
          <w:szCs w:val="16"/>
          <w:u w:val="single"/>
          <w:vertAlign w:val="superscript"/>
        </w:rPr>
        <w:t>a</w:t>
      </w:r>
      <w:r w:rsidRPr="00C63189">
        <w:rPr>
          <w:rFonts w:ascii="Verdana" w:hAnsi="Verdana" w:cs="Arial"/>
          <w:color w:val="000000"/>
          <w:sz w:val="16"/>
          <w:szCs w:val="16"/>
        </w:rPr>
        <w:t xml:space="preserve"> ed. Medellín: Librería Jurídica Sánchez R Ltda y Centro de Estudios de Derecho Administrativo, 2017. p. 417.  </w:t>
      </w:r>
    </w:p>
  </w:footnote>
  <w:footnote w:id="6">
    <w:p w14:paraId="6668DB7C" w14:textId="77777777" w:rsidR="00B52968" w:rsidRPr="00C63189" w:rsidRDefault="00B52968" w:rsidP="00B52968">
      <w:pPr>
        <w:pStyle w:val="Textonotapie"/>
        <w:ind w:firstLine="708"/>
        <w:jc w:val="both"/>
        <w:rPr>
          <w:rFonts w:ascii="Verdana" w:hAnsi="Verdana" w:cs="Arial"/>
          <w:color w:val="000000"/>
          <w:sz w:val="16"/>
          <w:szCs w:val="16"/>
          <w:lang w:val="es-CO"/>
        </w:rPr>
      </w:pPr>
      <w:r w:rsidRPr="00C63189">
        <w:rPr>
          <w:rStyle w:val="Refdenotaalpie"/>
          <w:rFonts w:ascii="Verdana" w:hAnsi="Verdana" w:cs="Arial"/>
          <w:color w:val="000000"/>
          <w:sz w:val="16"/>
          <w:szCs w:val="16"/>
        </w:rPr>
        <w:footnoteRef/>
      </w:r>
      <w:r w:rsidRPr="00C63189">
        <w:rPr>
          <w:rFonts w:ascii="Verdana" w:hAnsi="Verdana" w:cs="Arial"/>
          <w:color w:val="000000"/>
          <w:sz w:val="16"/>
          <w:szCs w:val="16"/>
        </w:rPr>
        <w:t xml:space="preserve"> </w:t>
      </w:r>
      <w:r w:rsidRPr="00C63189">
        <w:rPr>
          <w:rFonts w:ascii="Verdana" w:hAnsi="Verdana" w:cs="Arial"/>
          <w:i/>
          <w:iCs/>
          <w:color w:val="000000"/>
          <w:sz w:val="16"/>
          <w:szCs w:val="16"/>
        </w:rPr>
        <w:t>Ibídem.</w:t>
      </w:r>
      <w:r w:rsidRPr="00C63189">
        <w:rPr>
          <w:rFonts w:ascii="Verdana" w:hAnsi="Verdana" w:cs="Arial"/>
          <w:color w:val="000000"/>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1780"/>
    <w:rsid w:val="000D0334"/>
    <w:rsid w:val="000D5DA7"/>
    <w:rsid w:val="000F6486"/>
    <w:rsid w:val="00116940"/>
    <w:rsid w:val="00125105"/>
    <w:rsid w:val="00127233"/>
    <w:rsid w:val="0015699B"/>
    <w:rsid w:val="001A33BF"/>
    <w:rsid w:val="001E4177"/>
    <w:rsid w:val="001F0B24"/>
    <w:rsid w:val="001F7DC6"/>
    <w:rsid w:val="0022400B"/>
    <w:rsid w:val="002421BB"/>
    <w:rsid w:val="00252292"/>
    <w:rsid w:val="0025796E"/>
    <w:rsid w:val="002707A2"/>
    <w:rsid w:val="00287698"/>
    <w:rsid w:val="002951A0"/>
    <w:rsid w:val="002962BC"/>
    <w:rsid w:val="002A093D"/>
    <w:rsid w:val="002A0DD0"/>
    <w:rsid w:val="002A49AC"/>
    <w:rsid w:val="002A64FD"/>
    <w:rsid w:val="002C7A84"/>
    <w:rsid w:val="002D24CE"/>
    <w:rsid w:val="002E2BF8"/>
    <w:rsid w:val="002E4FD9"/>
    <w:rsid w:val="0030657A"/>
    <w:rsid w:val="00322A85"/>
    <w:rsid w:val="00324168"/>
    <w:rsid w:val="00330834"/>
    <w:rsid w:val="003448F4"/>
    <w:rsid w:val="00374F5E"/>
    <w:rsid w:val="00375F2F"/>
    <w:rsid w:val="00377E3E"/>
    <w:rsid w:val="003A779E"/>
    <w:rsid w:val="003D0F4D"/>
    <w:rsid w:val="003D521C"/>
    <w:rsid w:val="003D5B0D"/>
    <w:rsid w:val="003E0499"/>
    <w:rsid w:val="003E4F80"/>
    <w:rsid w:val="003E6439"/>
    <w:rsid w:val="003F3941"/>
    <w:rsid w:val="00406575"/>
    <w:rsid w:val="00412BFE"/>
    <w:rsid w:val="00414C74"/>
    <w:rsid w:val="0042722E"/>
    <w:rsid w:val="0044528D"/>
    <w:rsid w:val="00466E39"/>
    <w:rsid w:val="0047166A"/>
    <w:rsid w:val="004A1847"/>
    <w:rsid w:val="004A305D"/>
    <w:rsid w:val="004D3E6D"/>
    <w:rsid w:val="004F21C4"/>
    <w:rsid w:val="004F685F"/>
    <w:rsid w:val="005566E8"/>
    <w:rsid w:val="00574867"/>
    <w:rsid w:val="00591460"/>
    <w:rsid w:val="005951D8"/>
    <w:rsid w:val="005A65E0"/>
    <w:rsid w:val="005C3777"/>
    <w:rsid w:val="005C5CDC"/>
    <w:rsid w:val="005D476C"/>
    <w:rsid w:val="006200BF"/>
    <w:rsid w:val="006219F8"/>
    <w:rsid w:val="006302F7"/>
    <w:rsid w:val="00646B9F"/>
    <w:rsid w:val="00665D70"/>
    <w:rsid w:val="006900D9"/>
    <w:rsid w:val="00706C16"/>
    <w:rsid w:val="007340C3"/>
    <w:rsid w:val="00751B04"/>
    <w:rsid w:val="0075235A"/>
    <w:rsid w:val="00756841"/>
    <w:rsid w:val="007649AB"/>
    <w:rsid w:val="00771D0C"/>
    <w:rsid w:val="00782A51"/>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1FB5"/>
    <w:rsid w:val="0095685E"/>
    <w:rsid w:val="00961B09"/>
    <w:rsid w:val="00965334"/>
    <w:rsid w:val="0097093E"/>
    <w:rsid w:val="009A0DFA"/>
    <w:rsid w:val="009A1C6F"/>
    <w:rsid w:val="009A7554"/>
    <w:rsid w:val="009B2D26"/>
    <w:rsid w:val="009B4FF6"/>
    <w:rsid w:val="009B7E7D"/>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076C5"/>
    <w:rsid w:val="00B4442C"/>
    <w:rsid w:val="00B44A47"/>
    <w:rsid w:val="00B52968"/>
    <w:rsid w:val="00B72CD3"/>
    <w:rsid w:val="00B72FFF"/>
    <w:rsid w:val="00BC09DE"/>
    <w:rsid w:val="00BC3D36"/>
    <w:rsid w:val="00BD54A6"/>
    <w:rsid w:val="00BD7F72"/>
    <w:rsid w:val="00BF7425"/>
    <w:rsid w:val="00C04FB3"/>
    <w:rsid w:val="00C11D8B"/>
    <w:rsid w:val="00C15139"/>
    <w:rsid w:val="00C330EB"/>
    <w:rsid w:val="00C50D69"/>
    <w:rsid w:val="00C5365C"/>
    <w:rsid w:val="00C754BE"/>
    <w:rsid w:val="00C76B1C"/>
    <w:rsid w:val="00C925AC"/>
    <w:rsid w:val="00CA283F"/>
    <w:rsid w:val="00CB0E29"/>
    <w:rsid w:val="00CB6357"/>
    <w:rsid w:val="00CC1B26"/>
    <w:rsid w:val="00D10A4B"/>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1DC"/>
    <w:rsid w:val="00E2764C"/>
    <w:rsid w:val="00E27F2E"/>
    <w:rsid w:val="00E50AFE"/>
    <w:rsid w:val="00E75C92"/>
    <w:rsid w:val="00E771DC"/>
    <w:rsid w:val="00E8772A"/>
    <w:rsid w:val="00E90F6B"/>
    <w:rsid w:val="00E92C27"/>
    <w:rsid w:val="00EA0E3D"/>
    <w:rsid w:val="00EA66BC"/>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50D9AA"/>
    <w:rsid w:val="09908A09"/>
    <w:rsid w:val="0EFE6349"/>
    <w:rsid w:val="0FF4CCA8"/>
    <w:rsid w:val="13CFC91B"/>
    <w:rsid w:val="19A2EC2C"/>
    <w:rsid w:val="21779BE6"/>
    <w:rsid w:val="253D470F"/>
    <w:rsid w:val="2859CA1B"/>
    <w:rsid w:val="2C4D2425"/>
    <w:rsid w:val="2D3F11ED"/>
    <w:rsid w:val="2EE1E026"/>
    <w:rsid w:val="2F206EE0"/>
    <w:rsid w:val="2F44F38F"/>
    <w:rsid w:val="30821638"/>
    <w:rsid w:val="32A4F9CF"/>
    <w:rsid w:val="33A1FF93"/>
    <w:rsid w:val="356CEDFD"/>
    <w:rsid w:val="3C591AFD"/>
    <w:rsid w:val="3FAF3A70"/>
    <w:rsid w:val="42183F0A"/>
    <w:rsid w:val="545B112A"/>
    <w:rsid w:val="5BEB1497"/>
    <w:rsid w:val="65BF1E2F"/>
    <w:rsid w:val="69614A15"/>
    <w:rsid w:val="72D10866"/>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529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52968"/>
    <w:rPr>
      <w:rFonts w:ascii="Geomanist Light" w:hAnsi="Geomanist Light"/>
      <w:lang w:val="es-ES"/>
    </w:rPr>
  </w:style>
  <w:style w:type="character" w:customStyle="1" w:styleId="s15">
    <w:name w:val="s15"/>
    <w:basedOn w:val="Fuentedeprrafopredeter"/>
    <w:rsid w:val="00B529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6909B96-3B1D-4010-91C7-F58C55B579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12</Pages>
  <Words>4160</Words>
  <Characters>22883</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2026-05-14T14:30:00Z</dcterms:created>
  <dcterms:modified xsi:type="dcterms:W3CDTF">2026-05-19T21:56:00Z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