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1B3AB" w14:textId="77777777" w:rsidR="00463145" w:rsidRPr="00760536" w:rsidRDefault="00463145" w:rsidP="00463145">
      <w:pPr>
        <w:spacing w:after="0" w:line="240" w:lineRule="auto"/>
        <w:jc w:val="both"/>
        <w:rPr>
          <w:rFonts w:ascii="Verdana" w:hAnsi="Verdana" w:cs="Arial"/>
          <w:b/>
        </w:rPr>
      </w:pPr>
      <w:r>
        <w:rPr>
          <w:rFonts w:ascii="Verdana" w:hAnsi="Verdana" w:cs="Arial"/>
          <w:b/>
        </w:rPr>
        <w:t>CONTRATOS ESTATALES ATÍPICOS</w:t>
      </w:r>
      <w:r w:rsidRPr="00760536">
        <w:rPr>
          <w:rFonts w:ascii="Verdana" w:hAnsi="Verdana" w:cs="Arial"/>
          <w:b/>
        </w:rPr>
        <w:t xml:space="preserve"> – </w:t>
      </w:r>
      <w:r>
        <w:rPr>
          <w:rFonts w:ascii="Verdana" w:hAnsi="Verdana" w:cs="Arial"/>
          <w:b/>
        </w:rPr>
        <w:t>Autonomía de la voluntad – Contratos de generación de energía</w:t>
      </w:r>
      <w:r w:rsidRPr="00760536">
        <w:rPr>
          <w:rFonts w:ascii="Verdana" w:hAnsi="Verdana" w:cs="Arial"/>
          <w:b/>
        </w:rPr>
        <w:t xml:space="preserve"> </w:t>
      </w:r>
      <w:r w:rsidRPr="007341D5">
        <w:rPr>
          <w:rFonts w:ascii="Verdana" w:hAnsi="Verdana" w:cs="Arial"/>
          <w:b/>
        </w:rPr>
        <w:t xml:space="preserve">– </w:t>
      </w:r>
      <w:r>
        <w:rPr>
          <w:rFonts w:ascii="Verdana" w:hAnsi="Verdana" w:cs="Arial"/>
          <w:b/>
        </w:rPr>
        <w:t>P</w:t>
      </w:r>
      <w:r w:rsidRPr="007341D5">
        <w:rPr>
          <w:rFonts w:ascii="Verdana" w:hAnsi="Verdana" w:cs="Arial"/>
          <w:b/>
        </w:rPr>
        <w:t xml:space="preserve">ower </w:t>
      </w:r>
      <w:r>
        <w:rPr>
          <w:rFonts w:ascii="Verdana" w:hAnsi="Verdana" w:cs="Arial"/>
          <w:b/>
        </w:rPr>
        <w:t>P</w:t>
      </w:r>
      <w:r w:rsidRPr="007341D5">
        <w:rPr>
          <w:rFonts w:ascii="Verdana" w:hAnsi="Verdana" w:cs="Arial"/>
          <w:b/>
        </w:rPr>
        <w:t xml:space="preserve">urchase </w:t>
      </w:r>
      <w:proofErr w:type="spellStart"/>
      <w:r>
        <w:rPr>
          <w:rFonts w:ascii="Verdana" w:hAnsi="Verdana" w:cs="Arial"/>
          <w:b/>
        </w:rPr>
        <w:t>A</w:t>
      </w:r>
      <w:r w:rsidRPr="007341D5">
        <w:rPr>
          <w:rFonts w:ascii="Verdana" w:hAnsi="Verdana" w:cs="Arial"/>
          <w:b/>
        </w:rPr>
        <w:t>greement</w:t>
      </w:r>
      <w:proofErr w:type="spellEnd"/>
    </w:p>
    <w:p w14:paraId="61B66D2D" w14:textId="77777777" w:rsidR="00463145" w:rsidRPr="00760536" w:rsidRDefault="00463145" w:rsidP="00463145">
      <w:pPr>
        <w:spacing w:after="0" w:line="240" w:lineRule="auto"/>
        <w:jc w:val="both"/>
        <w:rPr>
          <w:rFonts w:ascii="Verdana" w:hAnsi="Verdana" w:cs="Arial"/>
          <w:b/>
          <w:sz w:val="20"/>
          <w:szCs w:val="20"/>
        </w:rPr>
      </w:pPr>
    </w:p>
    <w:p w14:paraId="2E87512F" w14:textId="77777777" w:rsidR="00463145" w:rsidRPr="007341D5" w:rsidRDefault="00463145" w:rsidP="00463145">
      <w:pPr>
        <w:spacing w:after="0" w:line="240" w:lineRule="auto"/>
        <w:jc w:val="both"/>
        <w:textAlignment w:val="baseline"/>
        <w:rPr>
          <w:rFonts w:ascii="Verdana" w:hAnsi="Verdana" w:cs="Arial"/>
          <w:sz w:val="20"/>
          <w:szCs w:val="20"/>
          <w:lang w:val="es-ES" w:eastAsia="es-CO"/>
        </w:rPr>
      </w:pPr>
      <w:r>
        <w:rPr>
          <w:rFonts w:ascii="Verdana" w:hAnsi="Verdana" w:cs="Arial"/>
          <w:sz w:val="20"/>
          <w:szCs w:val="20"/>
          <w:lang w:val="es-ES_tradnl" w:eastAsia="es-CO"/>
        </w:rPr>
        <w:t>C</w:t>
      </w:r>
      <w:r w:rsidRPr="007341D5">
        <w:rPr>
          <w:rFonts w:ascii="Verdana" w:hAnsi="Verdana" w:cs="Arial"/>
          <w:sz w:val="20"/>
          <w:szCs w:val="20"/>
          <w:lang w:val="es-ES_tradnl" w:eastAsia="es-CO"/>
        </w:rPr>
        <w:t xml:space="preserve">omo se explica en el Concepto C-126 del 8 de marzo de 2025, </w:t>
      </w:r>
      <w:r w:rsidRPr="007341D5">
        <w:rPr>
          <w:rFonts w:ascii="Verdana" w:hAnsi="Verdana" w:cs="Arial"/>
          <w:sz w:val="20"/>
          <w:szCs w:val="20"/>
          <w:lang w:val="es-ES" w:eastAsia="es-CO"/>
        </w:rPr>
        <w:t>siempre que no existan restricciones especiales en el sector de energía y se cumplan los requisitos establecidos por las autoridades en dicho ámbito –el gobierno nacional, la Superintendencia de Servicios Públicos Domiciliarios, las comisiones de regulación, entre otras– una entidad estatal podría celebrar un acuerdo de compra de energía –</w:t>
      </w:r>
      <w:r w:rsidRPr="007341D5">
        <w:rPr>
          <w:rFonts w:ascii="Verdana" w:hAnsi="Verdana" w:cs="Arial"/>
          <w:sz w:val="20"/>
          <w:szCs w:val="20"/>
          <w:lang w:val="es-ES_tradnl" w:eastAsia="es-CO"/>
        </w:rPr>
        <w:t xml:space="preserve"> </w:t>
      </w:r>
      <w:proofErr w:type="spellStart"/>
      <w:r w:rsidRPr="007341D5">
        <w:rPr>
          <w:rFonts w:ascii="Verdana" w:hAnsi="Verdana" w:cs="Arial"/>
          <w:i/>
          <w:iCs/>
          <w:sz w:val="20"/>
          <w:szCs w:val="20"/>
          <w:lang w:val="es-ES_tradnl" w:eastAsia="es-CO"/>
        </w:rPr>
        <w:t>power</w:t>
      </w:r>
      <w:proofErr w:type="spellEnd"/>
      <w:r w:rsidRPr="007341D5">
        <w:rPr>
          <w:rFonts w:ascii="Verdana" w:hAnsi="Verdana" w:cs="Arial"/>
          <w:i/>
          <w:iCs/>
          <w:sz w:val="20"/>
          <w:szCs w:val="20"/>
          <w:lang w:val="es-ES_tradnl" w:eastAsia="es-CO"/>
        </w:rPr>
        <w:t xml:space="preserve"> </w:t>
      </w:r>
      <w:proofErr w:type="spellStart"/>
      <w:r w:rsidRPr="007341D5">
        <w:rPr>
          <w:rFonts w:ascii="Verdana" w:hAnsi="Verdana" w:cs="Arial"/>
          <w:i/>
          <w:iCs/>
          <w:sz w:val="20"/>
          <w:szCs w:val="20"/>
          <w:lang w:val="es-ES_tradnl" w:eastAsia="es-CO"/>
        </w:rPr>
        <w:t>purchase</w:t>
      </w:r>
      <w:proofErr w:type="spellEnd"/>
      <w:r w:rsidRPr="007341D5">
        <w:rPr>
          <w:rFonts w:ascii="Verdana" w:hAnsi="Verdana" w:cs="Arial"/>
          <w:i/>
          <w:iCs/>
          <w:sz w:val="20"/>
          <w:szCs w:val="20"/>
          <w:lang w:val="es-ES_tradnl" w:eastAsia="es-CO"/>
        </w:rPr>
        <w:t xml:space="preserve"> </w:t>
      </w:r>
      <w:proofErr w:type="spellStart"/>
      <w:r w:rsidRPr="007341D5">
        <w:rPr>
          <w:rFonts w:ascii="Verdana" w:hAnsi="Verdana" w:cs="Arial"/>
          <w:i/>
          <w:iCs/>
          <w:sz w:val="20"/>
          <w:szCs w:val="20"/>
          <w:lang w:val="es-ES_tradnl" w:eastAsia="es-CO"/>
        </w:rPr>
        <w:t>agreement</w:t>
      </w:r>
      <w:proofErr w:type="spellEnd"/>
      <w:r w:rsidRPr="007341D5">
        <w:rPr>
          <w:rFonts w:ascii="Verdana" w:hAnsi="Verdana" w:cs="Arial"/>
          <w:sz w:val="20"/>
          <w:szCs w:val="20"/>
          <w:lang w:val="es-ES" w:eastAsia="es-CO"/>
        </w:rPr>
        <w:t xml:space="preserve">. Ante la inexistencia de una regulación de este contrato en el Estatuto General de Contratación de la Administración Pública, su régimen se integrará por las normas especiales del sector energético y las del Derecho privado. Ahora bien, si la venta de energía también incluye </w:t>
      </w:r>
      <w:r>
        <w:rPr>
          <w:rFonts w:ascii="Verdana" w:hAnsi="Verdana" w:cs="Arial"/>
          <w:sz w:val="20"/>
          <w:szCs w:val="20"/>
          <w:lang w:val="es-ES" w:eastAsia="es-CO"/>
        </w:rPr>
        <w:t>elementos integrados en</w:t>
      </w:r>
      <w:r w:rsidRPr="007341D5">
        <w:rPr>
          <w:rFonts w:ascii="Verdana" w:hAnsi="Verdana" w:cs="Arial"/>
          <w:sz w:val="20"/>
          <w:szCs w:val="20"/>
          <w:lang w:val="es-ES" w:eastAsia="es-CO"/>
        </w:rPr>
        <w:t xml:space="preserve"> alguna de las tipologías contractuales establecidas en el artículo 32 de la Ley 80 de 1993 o en normas especiales de Derecho administrativo, deberá respetarse este régimen especial. Así sucedería, por ejemplo, si la distribución de la energía se enmarca en una concesión, tal como lo señaló la Sala de Consulta y Servicio Civil del Consejo de Estado.</w:t>
      </w:r>
    </w:p>
    <w:p w14:paraId="184238E4" w14:textId="77777777" w:rsidR="00463145" w:rsidRPr="00760536" w:rsidRDefault="00463145" w:rsidP="00463145">
      <w:pPr>
        <w:spacing w:after="0" w:line="240" w:lineRule="auto"/>
        <w:jc w:val="both"/>
        <w:textAlignment w:val="baseline"/>
        <w:rPr>
          <w:rFonts w:ascii="Verdana" w:hAnsi="Verdana" w:cs="Arial"/>
          <w:sz w:val="20"/>
          <w:szCs w:val="20"/>
          <w:lang w:val="es-ES" w:eastAsia="es-CO"/>
        </w:rPr>
      </w:pPr>
    </w:p>
    <w:p w14:paraId="3F8D3AE0" w14:textId="77777777" w:rsidR="00463145" w:rsidRPr="00760536" w:rsidRDefault="00463145" w:rsidP="00463145">
      <w:pPr>
        <w:spacing w:after="0" w:line="240" w:lineRule="auto"/>
        <w:jc w:val="both"/>
        <w:rPr>
          <w:rFonts w:ascii="Verdana" w:hAnsi="Verdana" w:cs="Arial"/>
          <w:b/>
          <w:lang w:val="es-ES"/>
        </w:rPr>
      </w:pPr>
      <w:r>
        <w:rPr>
          <w:rFonts w:ascii="Verdana" w:hAnsi="Verdana" w:cs="Arial"/>
          <w:b/>
          <w:lang w:val="es-ES"/>
        </w:rPr>
        <w:t>PRINCIPIO DE ANUALIDAD PRESUPUESTAL</w:t>
      </w:r>
      <w:r w:rsidRPr="00760536">
        <w:rPr>
          <w:rFonts w:ascii="Verdana" w:hAnsi="Verdana" w:cs="Arial"/>
          <w:b/>
          <w:lang w:val="es-ES"/>
        </w:rPr>
        <w:t xml:space="preserve"> – </w:t>
      </w:r>
      <w:r>
        <w:rPr>
          <w:rFonts w:ascii="Verdana" w:hAnsi="Verdana" w:cs="Arial"/>
          <w:b/>
          <w:lang w:val="es-ES"/>
        </w:rPr>
        <w:t>Vigencias futuras</w:t>
      </w:r>
      <w:r w:rsidRPr="00760536">
        <w:rPr>
          <w:rFonts w:ascii="Verdana" w:hAnsi="Verdana" w:cs="Arial"/>
          <w:b/>
          <w:lang w:val="es-ES"/>
        </w:rPr>
        <w:t xml:space="preserve"> </w:t>
      </w:r>
      <w:r>
        <w:rPr>
          <w:rFonts w:ascii="Verdana" w:hAnsi="Verdana" w:cs="Arial"/>
          <w:b/>
          <w:lang w:val="es-ES"/>
        </w:rPr>
        <w:t>– Regulación – Entidades sometidas al Presupuesto General de la Nación</w:t>
      </w:r>
    </w:p>
    <w:p w14:paraId="2818781F" w14:textId="77777777" w:rsidR="00463145" w:rsidRPr="00760536" w:rsidRDefault="00463145" w:rsidP="00463145">
      <w:pPr>
        <w:spacing w:after="0" w:line="240" w:lineRule="auto"/>
        <w:jc w:val="both"/>
        <w:rPr>
          <w:rFonts w:ascii="Verdana" w:hAnsi="Verdana" w:cs="Arial"/>
          <w:b/>
          <w:sz w:val="20"/>
          <w:szCs w:val="20"/>
          <w:lang w:val="es-ES"/>
        </w:rPr>
      </w:pPr>
    </w:p>
    <w:p w14:paraId="4DC50172" w14:textId="77777777" w:rsidR="00463145" w:rsidRDefault="00463145" w:rsidP="00463145">
      <w:pPr>
        <w:spacing w:after="0" w:line="240" w:lineRule="auto"/>
        <w:jc w:val="both"/>
        <w:textAlignment w:val="baseline"/>
        <w:rPr>
          <w:rFonts w:ascii="Verdana" w:hAnsi="Verdana" w:cs="Arial"/>
          <w:bCs/>
          <w:sz w:val="20"/>
          <w:szCs w:val="20"/>
          <w:lang w:eastAsia="es-CO"/>
        </w:rPr>
      </w:pPr>
      <w:r w:rsidRPr="000E5D0D">
        <w:rPr>
          <w:rFonts w:ascii="Verdana" w:hAnsi="Verdana" w:cs="Arial"/>
          <w:bCs/>
          <w:sz w:val="20"/>
          <w:szCs w:val="20"/>
          <w:lang w:val="es-ES" w:eastAsia="es-CO"/>
        </w:rPr>
        <w:t>Con independencia de que el contrato sea típico o no, l</w:t>
      </w:r>
      <w:r w:rsidRPr="000E5D0D">
        <w:rPr>
          <w:rFonts w:ascii="Verdana" w:hAnsi="Verdana" w:cs="Arial"/>
          <w:bCs/>
          <w:sz w:val="20"/>
          <w:szCs w:val="20"/>
          <w:lang w:eastAsia="es-CO"/>
        </w:rPr>
        <w:t xml:space="preserve">as entidades estatales deben sujetarse a las normas presupuestales, ya que los contratos estatales son una de las principales fuentes de ejecución de recursos públicos. Entre los principios que rigen el sistema presupuestal, se encuentra el de anualidad del gasto público. Conforme a los artículos 346 y 347 de la Constitución Política, este indica que el Gobierno debe formular anualmente el presupuesto de rentas y la ley de apropiaciones, el cual deberá contener la totalidad de los gastos que el Estado pretenda realizar durante la vigencia fiscal. </w:t>
      </w:r>
    </w:p>
    <w:p w14:paraId="19D5577F" w14:textId="77777777" w:rsidR="00463145" w:rsidRPr="000E5D0D" w:rsidRDefault="00463145" w:rsidP="00463145">
      <w:pPr>
        <w:spacing w:after="0" w:line="240" w:lineRule="auto"/>
        <w:jc w:val="both"/>
        <w:textAlignment w:val="baseline"/>
        <w:rPr>
          <w:rFonts w:ascii="Verdana" w:hAnsi="Verdana" w:cs="Arial"/>
          <w:bCs/>
          <w:sz w:val="20"/>
          <w:szCs w:val="20"/>
          <w:lang w:eastAsia="es-CO"/>
        </w:rPr>
      </w:pPr>
    </w:p>
    <w:p w14:paraId="288A57E3" w14:textId="77777777" w:rsidR="00463145" w:rsidRDefault="00463145" w:rsidP="00463145">
      <w:pPr>
        <w:spacing w:after="0" w:line="240" w:lineRule="auto"/>
        <w:jc w:val="both"/>
        <w:textAlignment w:val="baseline"/>
        <w:rPr>
          <w:rFonts w:ascii="Verdana" w:hAnsi="Verdana" w:cs="Arial"/>
          <w:bCs/>
          <w:sz w:val="20"/>
          <w:szCs w:val="20"/>
          <w:lang w:eastAsia="es-CO"/>
        </w:rPr>
      </w:pPr>
      <w:r w:rsidRPr="000E5D0D">
        <w:rPr>
          <w:rFonts w:ascii="Verdana" w:hAnsi="Verdana" w:cs="Arial"/>
          <w:bCs/>
          <w:sz w:val="20"/>
          <w:szCs w:val="20"/>
          <w:lang w:eastAsia="es-CO"/>
        </w:rPr>
        <w:t>Dicho principio, según lo dispuesto en el artículo 14 del Estatuto Orgánico del Presupuesto consiste en que “Después del 31 de diciembre no podrán asumirse compromisos con cargo a las apropiaciones del año fiscal que se cierra en esa fecha y los saldos de apropiación no afectados por compromisos caducarán sin excepción”. Es decir, por regla general los gastos previstos en el presupuesto anual se deben ejecutar dentro de una vigencia fiscal. En el mismo sentido, el principio de anualidad se consolida como la regla general</w:t>
      </w:r>
      <w:r w:rsidRPr="000E5D0D">
        <w:rPr>
          <w:rFonts w:ascii="Verdana" w:hAnsi="Verdana" w:cs="Arial"/>
          <w:bCs/>
          <w:i/>
          <w:sz w:val="20"/>
          <w:szCs w:val="20"/>
          <w:lang w:eastAsia="es-CO"/>
        </w:rPr>
        <w:t xml:space="preserve">, </w:t>
      </w:r>
      <w:r w:rsidRPr="000E5D0D">
        <w:rPr>
          <w:rFonts w:ascii="Verdana" w:hAnsi="Verdana" w:cs="Arial"/>
          <w:bCs/>
          <w:sz w:val="20"/>
          <w:szCs w:val="20"/>
          <w:lang w:eastAsia="es-CO"/>
        </w:rPr>
        <w:t xml:space="preserve">al establecer –según lo indicado en el artículo 80 </w:t>
      </w:r>
      <w:r w:rsidRPr="000E5D0D">
        <w:rPr>
          <w:rFonts w:ascii="Verdana" w:hAnsi="Verdana" w:cs="Arial"/>
          <w:bCs/>
          <w:i/>
          <w:sz w:val="20"/>
          <w:szCs w:val="20"/>
          <w:lang w:eastAsia="es-CO"/>
        </w:rPr>
        <w:t>ibidem</w:t>
      </w:r>
      <w:r w:rsidRPr="000E5D0D">
        <w:rPr>
          <w:rFonts w:ascii="Verdana" w:hAnsi="Verdana" w:cs="Arial"/>
          <w:bCs/>
          <w:sz w:val="20"/>
          <w:szCs w:val="20"/>
          <w:lang w:eastAsia="es-CO"/>
        </w:rPr>
        <w:t>– que las apropiaciones presupuestales son autorizaciones máximas de gasto que el Congreso aprueba para ser ejecutadas o comprometidas durante la vigencia fiscal respectiva, por lo que después del 31 de diciembre de cada año estas autorizaciones expiran y, en consecuencia, no podrán comprometerse, adicionarse ni transferirse.</w:t>
      </w:r>
    </w:p>
    <w:p w14:paraId="5E5A7482" w14:textId="77777777" w:rsidR="00463145" w:rsidRPr="000E5D0D" w:rsidRDefault="00463145" w:rsidP="00463145">
      <w:pPr>
        <w:spacing w:after="0" w:line="240" w:lineRule="auto"/>
        <w:jc w:val="both"/>
        <w:textAlignment w:val="baseline"/>
        <w:rPr>
          <w:rFonts w:ascii="Verdana" w:hAnsi="Verdana" w:cs="Arial"/>
          <w:bCs/>
          <w:sz w:val="20"/>
          <w:szCs w:val="20"/>
          <w:lang w:eastAsia="es-CO"/>
        </w:rPr>
      </w:pPr>
    </w:p>
    <w:p w14:paraId="4F347F49" w14:textId="77777777" w:rsidR="00463145" w:rsidRDefault="00463145" w:rsidP="00463145">
      <w:pPr>
        <w:spacing w:after="0" w:line="240" w:lineRule="auto"/>
        <w:jc w:val="both"/>
        <w:textAlignment w:val="baseline"/>
        <w:rPr>
          <w:rFonts w:ascii="Verdana" w:hAnsi="Verdana" w:cs="Arial"/>
          <w:bCs/>
          <w:sz w:val="20"/>
          <w:szCs w:val="20"/>
          <w:lang w:eastAsia="es-CO"/>
        </w:rPr>
      </w:pPr>
      <w:r w:rsidRPr="000E5D0D">
        <w:rPr>
          <w:rFonts w:ascii="Verdana" w:hAnsi="Verdana" w:cs="Arial"/>
          <w:bCs/>
          <w:sz w:val="20"/>
          <w:szCs w:val="20"/>
          <w:lang w:eastAsia="es-CO"/>
        </w:rPr>
        <w:t xml:space="preserve">No obstante, existen algunas situaciones que impiden ejecutar las obligaciones contractuales durante la vigencia fiscal en la que el contrato fue celebrado, lo que quiere decir que no siempre debe aplicarse de manera restrictiva el principio de anualidad del gasto, pues aquellas podrán ser ejecutadas en las siguientes vigencias. Es decir, el principio de anualidad del gasto tiene excepciones, y entre estas se encuentran las </w:t>
      </w:r>
      <w:r w:rsidRPr="000E5D0D">
        <w:rPr>
          <w:rFonts w:ascii="Verdana" w:hAnsi="Verdana" w:cs="Arial"/>
          <w:bCs/>
          <w:sz w:val="20"/>
          <w:szCs w:val="20"/>
          <w:lang w:eastAsia="es-CO"/>
        </w:rPr>
        <w:lastRenderedPageBreak/>
        <w:t>vigencias futuras, que se refieren a la autorización que deben solicitar las entidades para asumir obligaciones que afectarán los presupuestos siguientes a los de la vigencia fiscal en la que se suscribió el contrato.</w:t>
      </w:r>
    </w:p>
    <w:p w14:paraId="2C03E81D" w14:textId="77777777" w:rsidR="00463145" w:rsidRPr="000E5D0D" w:rsidRDefault="00463145" w:rsidP="00463145">
      <w:pPr>
        <w:spacing w:after="0" w:line="240" w:lineRule="auto"/>
        <w:jc w:val="both"/>
        <w:textAlignment w:val="baseline"/>
        <w:rPr>
          <w:rFonts w:ascii="Verdana" w:hAnsi="Verdana" w:cs="Arial"/>
          <w:bCs/>
          <w:sz w:val="20"/>
          <w:szCs w:val="20"/>
          <w:lang w:eastAsia="es-CO"/>
        </w:rPr>
      </w:pPr>
    </w:p>
    <w:p w14:paraId="2CEC7D26" w14:textId="77777777" w:rsidR="00463145" w:rsidRPr="000E5D0D" w:rsidRDefault="00463145" w:rsidP="00463145">
      <w:pPr>
        <w:spacing w:after="0" w:line="240" w:lineRule="auto"/>
        <w:jc w:val="both"/>
        <w:textAlignment w:val="baseline"/>
        <w:rPr>
          <w:rFonts w:ascii="Verdana" w:hAnsi="Verdana" w:cs="Arial"/>
          <w:bCs/>
          <w:sz w:val="20"/>
          <w:szCs w:val="20"/>
          <w:lang w:eastAsia="es-CO"/>
        </w:rPr>
      </w:pPr>
      <w:r w:rsidRPr="000E5D0D">
        <w:rPr>
          <w:rFonts w:ascii="Verdana" w:hAnsi="Verdana" w:cs="Arial"/>
          <w:bCs/>
          <w:sz w:val="20"/>
          <w:szCs w:val="20"/>
          <w:lang w:val="es-ES" w:eastAsia="es-CO"/>
        </w:rPr>
        <w:t>La autorización de vigencias futuras se realiza con estricta sujeción a lo previsto en los artículos 10 y 11 de la Ley 819 de 2003 para las entidades del Presupuesto General de la Nación. Luego, lo que define su necesidad no es el objeto contractual ni la tipología aplicable al negocio jurídico. Si de la fase de planeación, se deriva la ejecución de obligaciones por más de dos (2) vigencias fiscales, es posible excepcionar el principio de anualidad siempre que se cumplan los requisitos de las normas precitadas. De lo contrario, si la planeación contractual se limita a la vigencia en curso –o siendo necesarias dos (2) o más de éstas, no se cumple lo previsto en la Ley 819 de 2003–, aplicará la regla general de anualidad presupuestaria, sin que el trámite requiera comprometer vigencias futuras</w:t>
      </w:r>
      <w:r w:rsidRPr="002C0402">
        <w:rPr>
          <w:rFonts w:ascii="Verdana" w:hAnsi="Verdana" w:cs="Arial"/>
          <w:bCs/>
          <w:sz w:val="20"/>
          <w:szCs w:val="20"/>
          <w:lang w:val="es-ES_tradnl" w:eastAsia="es-CO"/>
        </w:rPr>
        <w:t xml:space="preserve">.  </w:t>
      </w:r>
    </w:p>
    <w:p w14:paraId="0789E1C4" w14:textId="77777777" w:rsidR="00463145" w:rsidRPr="00760536" w:rsidRDefault="00463145" w:rsidP="00463145">
      <w:pPr>
        <w:spacing w:after="0" w:line="240" w:lineRule="auto"/>
        <w:jc w:val="both"/>
        <w:rPr>
          <w:rFonts w:ascii="Verdana" w:hAnsi="Verdana" w:cs="Arial"/>
          <w:bCs/>
          <w:sz w:val="20"/>
          <w:szCs w:val="20"/>
        </w:rPr>
      </w:pPr>
    </w:p>
    <w:p w14:paraId="4FA6D034" w14:textId="77777777" w:rsidR="00463145" w:rsidRPr="00760536" w:rsidRDefault="00463145" w:rsidP="00463145">
      <w:pPr>
        <w:spacing w:after="0" w:line="240" w:lineRule="auto"/>
        <w:jc w:val="both"/>
        <w:rPr>
          <w:rFonts w:ascii="Verdana" w:hAnsi="Verdana" w:cs="Arial"/>
          <w:b/>
        </w:rPr>
      </w:pPr>
      <w:r>
        <w:rPr>
          <w:rFonts w:ascii="Verdana" w:hAnsi="Verdana" w:cs="Arial"/>
          <w:b/>
        </w:rPr>
        <w:t>RÉGIMEN DE GARANTÍAS</w:t>
      </w:r>
      <w:r w:rsidRPr="00760536">
        <w:rPr>
          <w:rFonts w:ascii="Verdana" w:hAnsi="Verdana" w:cs="Arial"/>
          <w:b/>
        </w:rPr>
        <w:t xml:space="preserve"> – </w:t>
      </w:r>
      <w:r>
        <w:rPr>
          <w:rFonts w:ascii="Verdana" w:hAnsi="Verdana" w:cs="Arial"/>
          <w:b/>
        </w:rPr>
        <w:t xml:space="preserve">Privilegio de la entidad contratante </w:t>
      </w:r>
    </w:p>
    <w:p w14:paraId="4D8E36FA" w14:textId="77777777" w:rsidR="00463145" w:rsidRPr="00760536" w:rsidRDefault="00463145" w:rsidP="00463145">
      <w:pPr>
        <w:spacing w:after="0" w:line="240" w:lineRule="auto"/>
        <w:jc w:val="both"/>
        <w:rPr>
          <w:rFonts w:ascii="Verdana" w:hAnsi="Verdana" w:cs="Arial"/>
          <w:b/>
          <w:sz w:val="20"/>
          <w:szCs w:val="20"/>
        </w:rPr>
      </w:pPr>
    </w:p>
    <w:p w14:paraId="63DFF7B9" w14:textId="77777777" w:rsidR="00463145" w:rsidRDefault="00463145" w:rsidP="00463145">
      <w:pPr>
        <w:spacing w:after="0" w:line="240" w:lineRule="auto"/>
        <w:jc w:val="both"/>
        <w:textAlignment w:val="baseline"/>
        <w:rPr>
          <w:rFonts w:ascii="Verdana" w:hAnsi="Verdana" w:cs="Arial"/>
          <w:sz w:val="20"/>
          <w:szCs w:val="20"/>
          <w:lang w:val="es-ES_tradnl" w:eastAsia="es-CO"/>
        </w:rPr>
      </w:pPr>
      <w:r w:rsidRPr="006C07A1">
        <w:rPr>
          <w:rFonts w:ascii="Verdana" w:hAnsi="Verdana" w:cs="Arial"/>
          <w:sz w:val="20"/>
          <w:szCs w:val="20"/>
          <w:lang w:val="es-ES_tradnl" w:eastAsia="es-CO"/>
        </w:rPr>
        <w:t xml:space="preserve">En lo referente a la garantía de cumplimiento,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Para estos efectos es única, ya que “[…] La prioridad […] es que no haya garantías separadas para los diferentes riesgos, aunque existan varias garantías para diferentes proporciones del interés asegurado […]”. </w:t>
      </w:r>
    </w:p>
    <w:p w14:paraId="222F6B6C" w14:textId="77777777" w:rsidR="00463145" w:rsidRPr="006C07A1" w:rsidRDefault="00463145" w:rsidP="00463145">
      <w:pPr>
        <w:spacing w:after="0" w:line="240" w:lineRule="auto"/>
        <w:jc w:val="both"/>
        <w:textAlignment w:val="baseline"/>
        <w:rPr>
          <w:rFonts w:ascii="Verdana" w:hAnsi="Verdana" w:cs="Arial"/>
          <w:sz w:val="20"/>
          <w:szCs w:val="20"/>
          <w:lang w:val="es-ES_tradnl" w:eastAsia="es-CO"/>
        </w:rPr>
      </w:pPr>
      <w:r w:rsidRPr="006C07A1">
        <w:rPr>
          <w:rFonts w:ascii="Verdana" w:hAnsi="Verdana" w:cs="Arial"/>
          <w:sz w:val="20"/>
          <w:szCs w:val="20"/>
          <w:lang w:val="es-ES_tradnl" w:eastAsia="es-CO"/>
        </w:rPr>
        <w:t xml:space="preserve">   </w:t>
      </w:r>
    </w:p>
    <w:p w14:paraId="1038C157" w14:textId="77777777" w:rsidR="00463145" w:rsidRPr="007341D5" w:rsidRDefault="00463145" w:rsidP="00463145">
      <w:pPr>
        <w:spacing w:after="0" w:line="240" w:lineRule="auto"/>
        <w:jc w:val="both"/>
        <w:textAlignment w:val="baseline"/>
        <w:rPr>
          <w:rFonts w:ascii="Verdana" w:hAnsi="Verdana" w:cs="Arial"/>
          <w:sz w:val="20"/>
          <w:szCs w:val="20"/>
          <w:lang w:val="es-ES" w:eastAsia="es-CO"/>
        </w:rPr>
      </w:pPr>
      <w:r w:rsidRPr="006C07A1">
        <w:rPr>
          <w:rFonts w:ascii="Verdana" w:hAnsi="Verdana" w:cs="Arial"/>
          <w:sz w:val="20"/>
          <w:szCs w:val="20"/>
          <w:lang w:val="es-ES_tradnl" w:eastAsia="es-CO"/>
        </w:rPr>
        <w:t xml:space="preserve">El régimen de garantías previsto en el artículo 7 de la Ley 1150 de 2007, reglamentado por lo artículos 2.2.1.2.3.1.1 a 2.2.1.2.3.1.19, aplica en favor de la entidad contratante, pues hace parte de las potestades de control y vigilancia sobre el cumplimiento de las obligaciones. Al igual que las disposiciones presupuestales, dicho régimen es independiente de la tipicidad o atipicidad del contrato celebrado. En este sentido, no existe un marco jurídico de naturaleza legal o reglamentario para otorgar garantías al contratista, ya que los contratos estatales tienen como presupuesto definitorio la posición privilegiada de las </w:t>
      </w:r>
      <w:proofErr w:type="gramStart"/>
      <w:r w:rsidRPr="006C07A1">
        <w:rPr>
          <w:rFonts w:ascii="Verdana" w:hAnsi="Verdana" w:cs="Arial"/>
          <w:sz w:val="20"/>
          <w:szCs w:val="20"/>
          <w:lang w:val="es-ES_tradnl" w:eastAsia="es-CO"/>
        </w:rPr>
        <w:t>autoridades públicas</w:t>
      </w:r>
      <w:proofErr w:type="gramEnd"/>
      <w:r w:rsidRPr="006C07A1">
        <w:rPr>
          <w:rFonts w:ascii="Verdana" w:hAnsi="Verdana" w:cs="Arial"/>
          <w:sz w:val="20"/>
          <w:szCs w:val="20"/>
          <w:lang w:val="es-ES_tradnl" w:eastAsia="es-CO"/>
        </w:rPr>
        <w:t xml:space="preserve"> sobre los particulares. Por sustracción de materia, con independencia de que se comprometan o no vigencias futuras, es imposible informar “[…] cuáles son los mecanismos jurídicos idóneos para otorgar garantías de pago al inversionista encargado del CAPEX y administración, operación y mantenimiento y suministro de energía […]”</w:t>
      </w:r>
      <w:r w:rsidRPr="007341D5">
        <w:rPr>
          <w:rFonts w:ascii="Verdana" w:hAnsi="Verdana" w:cs="Arial"/>
          <w:sz w:val="20"/>
          <w:szCs w:val="20"/>
          <w:lang w:val="es-ES" w:eastAsia="es-CO"/>
        </w:rPr>
        <w:t>.</w:t>
      </w:r>
    </w:p>
    <w:p w14:paraId="6C5DD56F" w14:textId="77777777" w:rsidR="00463145" w:rsidRPr="00760536" w:rsidRDefault="00463145" w:rsidP="00463145">
      <w:pPr>
        <w:spacing w:after="0" w:line="240" w:lineRule="auto"/>
        <w:jc w:val="both"/>
        <w:textAlignment w:val="baseline"/>
        <w:rPr>
          <w:rFonts w:ascii="Verdana" w:hAnsi="Verdana" w:cs="Arial"/>
          <w:sz w:val="20"/>
          <w:szCs w:val="20"/>
          <w:lang w:val="es-ES" w:eastAsia="es-CO"/>
        </w:rPr>
      </w:pPr>
    </w:p>
    <w:p w14:paraId="66D1F151" w14:textId="77777777" w:rsidR="00463145" w:rsidRDefault="00463145" w:rsidP="00463145">
      <w:pPr>
        <w:spacing w:after="0" w:line="240" w:lineRule="auto"/>
        <w:rPr>
          <w:rFonts w:ascii="Verdana" w:eastAsia="Calibri" w:hAnsi="Verdana" w:cs="Arial"/>
          <w:b/>
          <w:color w:val="000000" w:themeColor="text1"/>
          <w:lang w:val="es-ES"/>
        </w:rPr>
      </w:pPr>
    </w:p>
    <w:p w14:paraId="1F23A325" w14:textId="77777777" w:rsidR="00463145" w:rsidRDefault="00463145" w:rsidP="00463145">
      <w:pPr>
        <w:spacing w:after="0" w:line="240" w:lineRule="auto"/>
        <w:rPr>
          <w:rFonts w:ascii="Verdana" w:eastAsia="Calibri" w:hAnsi="Verdana" w:cs="Arial"/>
          <w:b/>
          <w:color w:val="000000" w:themeColor="text1"/>
          <w:lang w:val="es-ES"/>
        </w:rPr>
      </w:pPr>
    </w:p>
    <w:p w14:paraId="35367971" w14:textId="77777777" w:rsidR="00463145" w:rsidRDefault="00463145" w:rsidP="00463145">
      <w:pPr>
        <w:spacing w:after="0" w:line="240" w:lineRule="auto"/>
        <w:rPr>
          <w:rFonts w:ascii="Verdana" w:eastAsia="Calibri" w:hAnsi="Verdana" w:cs="Arial"/>
          <w:b/>
          <w:color w:val="000000" w:themeColor="text1"/>
          <w:lang w:val="es-ES"/>
        </w:rPr>
      </w:pPr>
    </w:p>
    <w:p w14:paraId="05DDA3F8" w14:textId="77777777" w:rsidR="00463145" w:rsidRDefault="00463145" w:rsidP="00463145">
      <w:pPr>
        <w:spacing w:after="0" w:line="240" w:lineRule="auto"/>
        <w:rPr>
          <w:rFonts w:ascii="Verdana" w:eastAsia="Calibri" w:hAnsi="Verdana" w:cs="Arial"/>
          <w:b/>
          <w:color w:val="000000" w:themeColor="text1"/>
          <w:lang w:val="es-ES"/>
        </w:rPr>
      </w:pPr>
    </w:p>
    <w:p w14:paraId="38847D01" w14:textId="77777777" w:rsidR="00463145" w:rsidRDefault="00463145" w:rsidP="002A5DBE">
      <w:pPr>
        <w:spacing w:after="0" w:line="240" w:lineRule="auto"/>
        <w:rPr>
          <w:rFonts w:ascii="Verdana" w:eastAsia="Calibri" w:hAnsi="Verdana" w:cs="Arial"/>
          <w:b/>
          <w:color w:val="000000" w:themeColor="text1"/>
          <w:lang w:val="es-ES"/>
        </w:rPr>
      </w:pPr>
    </w:p>
    <w:p w14:paraId="4C4330E9" w14:textId="77777777" w:rsidR="00463145" w:rsidRDefault="00463145" w:rsidP="002A5DBE">
      <w:pPr>
        <w:spacing w:after="0" w:line="240" w:lineRule="auto"/>
        <w:rPr>
          <w:rFonts w:ascii="Verdana" w:eastAsia="Geomanist Light" w:hAnsi="Verdana" w:cs="Arial"/>
          <w:color w:val="000000" w:themeColor="text1"/>
          <w:lang w:val="es-MX"/>
        </w:rPr>
      </w:pPr>
    </w:p>
    <w:p w14:paraId="2F5BDE71" w14:textId="77777777" w:rsidR="00851005" w:rsidRDefault="00851005" w:rsidP="002A5DBE">
      <w:pPr>
        <w:spacing w:after="0" w:line="240" w:lineRule="auto"/>
        <w:rPr>
          <w:rFonts w:ascii="Verdana" w:eastAsia="Geomanist Light" w:hAnsi="Verdana" w:cs="Arial"/>
          <w:color w:val="000000" w:themeColor="text1"/>
          <w:lang w:val="es-MX"/>
        </w:rPr>
      </w:pPr>
    </w:p>
    <w:p w14:paraId="46586071" w14:textId="049E13AB" w:rsidR="002A5DBE" w:rsidRPr="00593A5F" w:rsidRDefault="002A5DBE" w:rsidP="002A5DBE">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1852CF" w:rsidRPr="001852CF">
        <w:rPr>
          <w:rFonts w:ascii="Verdana" w:eastAsia="Geomanist Light" w:hAnsi="Verdana" w:cs="Arial"/>
          <w:color w:val="000000" w:themeColor="text1"/>
          <w:lang w:val="es-MX"/>
        </w:rPr>
        <w:t xml:space="preserve">15 de </w:t>
      </w:r>
      <w:r w:rsidR="00851005" w:rsidRPr="001852CF">
        <w:rPr>
          <w:rFonts w:ascii="Verdana" w:eastAsia="Geomanist Light" w:hAnsi="Verdana" w:cs="Arial"/>
          <w:color w:val="000000" w:themeColor="text1"/>
          <w:lang w:val="es-MX"/>
        </w:rPr>
        <w:t>mayo</w:t>
      </w:r>
      <w:r w:rsidR="001852CF" w:rsidRPr="001852CF">
        <w:rPr>
          <w:rFonts w:ascii="Verdana" w:eastAsia="Geomanist Light" w:hAnsi="Verdana" w:cs="Arial"/>
          <w:color w:val="000000" w:themeColor="text1"/>
          <w:lang w:val="es-MX"/>
        </w:rPr>
        <w:t xml:space="preserve"> de 2026</w:t>
      </w:r>
    </w:p>
    <w:p w14:paraId="4778B28E" w14:textId="42D4D1C6" w:rsidR="002A5DBE" w:rsidRDefault="002A5DBE" w:rsidP="002A5DBE">
      <w:pPr>
        <w:spacing w:after="0" w:line="240" w:lineRule="auto"/>
        <w:jc w:val="both"/>
        <w:rPr>
          <w:rFonts w:ascii="Verdana" w:eastAsia="Calibri" w:hAnsi="Verdana" w:cs="Arial"/>
          <w:color w:val="000000"/>
          <w:lang w:val="es-ES"/>
        </w:rPr>
      </w:pPr>
    </w:p>
    <w:p w14:paraId="77F7CEBB" w14:textId="25D75F00" w:rsidR="001852CF" w:rsidRDefault="001852CF" w:rsidP="00227CA6">
      <w:pPr>
        <w:spacing w:after="0" w:line="240" w:lineRule="auto"/>
        <w:jc w:val="right"/>
        <w:rPr>
          <w:rFonts w:ascii="Verdana" w:eastAsia="Calibri" w:hAnsi="Verdana" w:cs="Arial"/>
          <w:color w:val="000000"/>
          <w:lang w:val="es-ES"/>
        </w:rPr>
      </w:pPr>
    </w:p>
    <w:p w14:paraId="7C66D3D0" w14:textId="79806953" w:rsidR="002A5DBE" w:rsidRPr="00593A5F" w:rsidRDefault="00851005" w:rsidP="002A5DBE">
      <w:pPr>
        <w:spacing w:after="0" w:line="240" w:lineRule="auto"/>
        <w:jc w:val="both"/>
        <w:rPr>
          <w:rFonts w:ascii="Verdana" w:eastAsia="Calibri" w:hAnsi="Verdana" w:cs="Arial"/>
          <w:color w:val="000000"/>
          <w:lang w:val="es-ES"/>
        </w:rPr>
      </w:pPr>
      <w:r w:rsidRPr="00227CA6">
        <w:rPr>
          <w:rFonts w:ascii="Verdana" w:eastAsia="Calibri" w:hAnsi="Verdana" w:cs="Arial"/>
          <w:noProof/>
          <w:color w:val="000000"/>
          <w:lang w:val="es-ES"/>
        </w:rPr>
        <w:drawing>
          <wp:anchor distT="0" distB="0" distL="114300" distR="114300" simplePos="0" relativeHeight="251658240" behindDoc="0" locked="0" layoutInCell="1" allowOverlap="1" wp14:anchorId="40FCE68C" wp14:editId="7FDBC398">
            <wp:simplePos x="0" y="0"/>
            <wp:positionH relativeFrom="margin">
              <wp:align>right</wp:align>
            </wp:positionH>
            <wp:positionV relativeFrom="paragraph">
              <wp:posOffset>8890</wp:posOffset>
            </wp:positionV>
            <wp:extent cx="2908935" cy="874395"/>
            <wp:effectExtent l="0" t="0" r="5715" b="1905"/>
            <wp:wrapSquare wrapText="bothSides"/>
            <wp:docPr id="21416991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699179" name=""/>
                    <pic:cNvPicPr/>
                  </pic:nvPicPr>
                  <pic:blipFill>
                    <a:blip r:embed="rId10">
                      <a:extLst>
                        <a:ext uri="{28A0092B-C50C-407E-A947-70E740481C1C}">
                          <a14:useLocalDpi xmlns:a14="http://schemas.microsoft.com/office/drawing/2010/main" val="0"/>
                        </a:ext>
                      </a:extLst>
                    </a:blip>
                    <a:stretch>
                      <a:fillRect/>
                    </a:stretch>
                  </pic:blipFill>
                  <pic:spPr>
                    <a:xfrm>
                      <a:off x="0" y="0"/>
                      <a:ext cx="2908935" cy="874395"/>
                    </a:xfrm>
                    <a:prstGeom prst="rect">
                      <a:avLst/>
                    </a:prstGeom>
                  </pic:spPr>
                </pic:pic>
              </a:graphicData>
            </a:graphic>
            <wp14:sizeRelH relativeFrom="margin">
              <wp14:pctWidth>0</wp14:pctWidth>
            </wp14:sizeRelH>
            <wp14:sizeRelV relativeFrom="margin">
              <wp14:pctHeight>0</wp14:pctHeight>
            </wp14:sizeRelV>
          </wp:anchor>
        </w:drawing>
      </w:r>
    </w:p>
    <w:p w14:paraId="0FD8D7CA" w14:textId="77777777" w:rsidR="002A5DBE" w:rsidRPr="00B96799" w:rsidRDefault="002A5DBE" w:rsidP="002A5DBE">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0CDB1237" w14:textId="77777777" w:rsidR="002A5DBE" w:rsidRDefault="002A5DBE" w:rsidP="002A5DBE">
      <w:pPr>
        <w:spacing w:after="0" w:line="240" w:lineRule="auto"/>
        <w:rPr>
          <w:rFonts w:ascii="Verdana" w:eastAsia="Calibri" w:hAnsi="Verdana" w:cs="Arial"/>
          <w:b/>
          <w:lang w:val="es-ES_tradnl" w:eastAsia="es-ES_tradnl"/>
        </w:rPr>
      </w:pPr>
      <w:r w:rsidRPr="001F45A1">
        <w:rPr>
          <w:rFonts w:ascii="Verdana" w:eastAsia="Calibri" w:hAnsi="Verdana" w:cs="Arial"/>
          <w:b/>
          <w:lang w:val="es-ES_tradnl" w:eastAsia="es-ES_tradnl"/>
        </w:rPr>
        <w:t>Leonardo Jiménez</w:t>
      </w:r>
      <w:r w:rsidRPr="008777D5">
        <w:rPr>
          <w:rFonts w:ascii="Verdana" w:eastAsia="Calibri" w:hAnsi="Verdana" w:cs="Arial"/>
          <w:b/>
          <w:lang w:val="es-ES_tradnl" w:eastAsia="es-ES_tradnl"/>
        </w:rPr>
        <w:t xml:space="preserve"> </w:t>
      </w:r>
    </w:p>
    <w:p w14:paraId="4B567370" w14:textId="77777777" w:rsidR="002A5DBE" w:rsidRPr="001F45A1" w:rsidRDefault="002A5DBE" w:rsidP="002A5DBE">
      <w:pPr>
        <w:spacing w:after="0" w:line="240" w:lineRule="auto"/>
        <w:rPr>
          <w:rFonts w:ascii="Verdana" w:hAnsi="Verdana"/>
        </w:rPr>
      </w:pPr>
      <w:hyperlink r:id="rId11" w:history="1">
        <w:r w:rsidRPr="002F12D9">
          <w:rPr>
            <w:rStyle w:val="Hipervnculo"/>
            <w:rFonts w:ascii="Verdana" w:hAnsi="Verdana"/>
          </w:rPr>
          <w:t>l.jimenez@Ise.com.co</w:t>
        </w:r>
      </w:hyperlink>
      <w:r>
        <w:rPr>
          <w:rFonts w:ascii="Verdana" w:hAnsi="Verdana"/>
        </w:rPr>
        <w:t xml:space="preserve"> </w:t>
      </w:r>
    </w:p>
    <w:p w14:paraId="4E977703" w14:textId="77777777" w:rsidR="002A5DBE" w:rsidRPr="001F45A1" w:rsidRDefault="002A5DBE" w:rsidP="002A5DBE">
      <w:pPr>
        <w:spacing w:after="0" w:line="240" w:lineRule="auto"/>
        <w:rPr>
          <w:rFonts w:ascii="Verdana" w:eastAsia="Calibri" w:hAnsi="Verdana" w:cs="Arial"/>
          <w:lang w:val="es-ES" w:eastAsia="es-ES"/>
        </w:rPr>
      </w:pPr>
      <w:r w:rsidRPr="001F45A1">
        <w:rPr>
          <w:rFonts w:ascii="Verdana" w:hAnsi="Verdana"/>
        </w:rPr>
        <w:t>Bogotá D.C</w:t>
      </w:r>
      <w:r w:rsidRPr="001F45A1">
        <w:rPr>
          <w:rFonts w:ascii="Verdana" w:eastAsia="Calibri" w:hAnsi="Verdana" w:cs="Arial"/>
          <w:lang w:val="es-ES" w:eastAsia="es-ES"/>
        </w:rPr>
        <w:t xml:space="preserve"> </w:t>
      </w:r>
    </w:p>
    <w:p w14:paraId="23BD9A70" w14:textId="77777777" w:rsidR="002A5DBE" w:rsidRPr="00593A5F" w:rsidRDefault="002A5DBE" w:rsidP="002A5DBE">
      <w:pPr>
        <w:spacing w:after="0" w:line="240" w:lineRule="auto"/>
        <w:rPr>
          <w:rFonts w:ascii="Verdana" w:eastAsia="Calibri" w:hAnsi="Verdana" w:cs="Arial"/>
          <w:b/>
          <w:bCs/>
          <w:color w:val="000000"/>
          <w:lang w:val="es-ES_tradnl" w:eastAsia="es-ES_tradnl"/>
        </w:rPr>
      </w:pPr>
    </w:p>
    <w:p w14:paraId="3BDA8731" w14:textId="77777777" w:rsidR="002A5DBE" w:rsidRPr="00593A5F" w:rsidRDefault="002A5DBE" w:rsidP="002A5DB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A5DBE" w:rsidRPr="00593A5F" w14:paraId="39B0D625" w14:textId="77777777" w:rsidTr="004B0A4D">
        <w:trPr>
          <w:trHeight w:val="884"/>
        </w:trPr>
        <w:tc>
          <w:tcPr>
            <w:tcW w:w="2689" w:type="dxa"/>
          </w:tcPr>
          <w:p w14:paraId="498127BC" w14:textId="77777777" w:rsidR="002A5DBE" w:rsidRPr="00C00976" w:rsidRDefault="002A5DBE" w:rsidP="004B0A4D">
            <w:pPr>
              <w:jc w:val="both"/>
              <w:rPr>
                <w:rFonts w:ascii="Verdana" w:eastAsia="Calibri" w:hAnsi="Verdana" w:cs="Arial"/>
                <w:b/>
                <w:bCs/>
                <w:color w:val="7030A0"/>
                <w:lang w:val="es-ES_tradnl" w:eastAsia="es-ES_tradnl"/>
              </w:rPr>
            </w:pPr>
          </w:p>
        </w:tc>
        <w:tc>
          <w:tcPr>
            <w:tcW w:w="6100" w:type="dxa"/>
          </w:tcPr>
          <w:p w14:paraId="7ADE3554" w14:textId="46D0374A" w:rsidR="002A5DBE" w:rsidRPr="00C00976" w:rsidRDefault="002A5DBE" w:rsidP="004B0A4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Concepto C</w:t>
            </w:r>
            <w:r w:rsidR="00851005">
              <w:rPr>
                <w:rFonts w:ascii="Verdana" w:eastAsia="Calibri" w:hAnsi="Verdana" w:cs="Arial"/>
                <w:b/>
                <w:bCs/>
                <w:lang w:val="es-ES" w:eastAsia="es-ES"/>
              </w:rPr>
              <w:t>-</w:t>
            </w:r>
            <w:r w:rsidR="00A75858">
              <w:rPr>
                <w:rFonts w:ascii="Verdana" w:eastAsia="Calibri" w:hAnsi="Verdana" w:cs="Arial"/>
                <w:b/>
                <w:bCs/>
                <w:lang w:val="es-ES" w:eastAsia="es-ES"/>
              </w:rPr>
              <w:t>780</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2A5DBE" w:rsidRPr="00593A5F" w14:paraId="684DC92A" w14:textId="77777777" w:rsidTr="004B0A4D">
        <w:trPr>
          <w:trHeight w:val="884"/>
        </w:trPr>
        <w:tc>
          <w:tcPr>
            <w:tcW w:w="2689" w:type="dxa"/>
          </w:tcPr>
          <w:p w14:paraId="5014223B" w14:textId="77777777" w:rsidR="002A5DBE" w:rsidRPr="00593A5F" w:rsidRDefault="002A5DBE" w:rsidP="004B0A4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F7214A4" w14:textId="77777777" w:rsidR="002A5DBE" w:rsidRPr="00A11406" w:rsidRDefault="002A5DBE" w:rsidP="004B0A4D">
            <w:pPr>
              <w:spacing w:line="276" w:lineRule="auto"/>
              <w:jc w:val="both"/>
              <w:rPr>
                <w:rFonts w:ascii="Verdana" w:eastAsia="Calibri" w:hAnsi="Verdana" w:cs="Arial"/>
                <w:lang w:val="es-ES" w:eastAsia="es-ES"/>
              </w:rPr>
            </w:pPr>
            <w:r w:rsidRPr="009C2442">
              <w:rPr>
                <w:rFonts w:ascii="Verdana" w:eastAsia="Calibri" w:hAnsi="Verdana" w:cs="Arial"/>
                <w:lang w:val="es-ES" w:eastAsia="es-ES"/>
              </w:rPr>
              <w:t xml:space="preserve">CONTRATOS ESTATALES ATÍPICOS – Autonomía de la voluntad – Contratos de generación de energía – Power Purchase </w:t>
            </w:r>
            <w:proofErr w:type="spellStart"/>
            <w:r w:rsidRPr="009C2442">
              <w:rPr>
                <w:rFonts w:ascii="Verdana" w:eastAsia="Calibri" w:hAnsi="Verdana" w:cs="Arial"/>
                <w:lang w:val="es-ES" w:eastAsia="es-ES"/>
              </w:rPr>
              <w:t>Agreement</w:t>
            </w:r>
            <w:proofErr w:type="spellEnd"/>
            <w:r>
              <w:rPr>
                <w:rFonts w:ascii="Verdana" w:eastAsia="Calibri" w:hAnsi="Verdana" w:cs="Arial"/>
                <w:lang w:val="es-ES" w:eastAsia="es-ES"/>
              </w:rPr>
              <w:t xml:space="preserve"> / </w:t>
            </w:r>
            <w:r w:rsidRPr="009C2442">
              <w:rPr>
                <w:rFonts w:ascii="Verdana" w:eastAsia="Calibri" w:hAnsi="Verdana" w:cs="Arial"/>
                <w:lang w:val="es-ES" w:eastAsia="es-ES"/>
              </w:rPr>
              <w:t>PRINCIPIO DE ANUALIDAD PRESUPUESTAL – Vigencias futuras – Regulación – Entidades sometidas al Presupuesto General de la Nación</w:t>
            </w:r>
            <w:r>
              <w:rPr>
                <w:rFonts w:ascii="Verdana" w:eastAsia="Calibri" w:hAnsi="Verdana" w:cs="Arial"/>
                <w:lang w:val="es-ES" w:eastAsia="es-ES"/>
              </w:rPr>
              <w:t xml:space="preserve"> / </w:t>
            </w:r>
            <w:r w:rsidRPr="009C2442">
              <w:rPr>
                <w:rFonts w:ascii="Verdana" w:eastAsia="Calibri" w:hAnsi="Verdana" w:cs="Arial"/>
                <w:lang w:val="es-ES" w:eastAsia="es-ES"/>
              </w:rPr>
              <w:t xml:space="preserve">RÉGIMEN DE GARANTÍAS – Privilegio de la entidad contratante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468E9DF0" w14:textId="77777777" w:rsidR="002A5DBE" w:rsidRPr="00593A5F" w:rsidRDefault="002A5DBE" w:rsidP="004B0A4D">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2A5DBE" w:rsidRPr="008E6AD9" w14:paraId="53BA781D" w14:textId="77777777" w:rsidTr="004B0A4D">
        <w:tc>
          <w:tcPr>
            <w:tcW w:w="2689" w:type="dxa"/>
          </w:tcPr>
          <w:p w14:paraId="0B2B4D51" w14:textId="77777777" w:rsidR="002A5DBE" w:rsidRPr="008E6AD9" w:rsidRDefault="002A5DBE" w:rsidP="004B0A4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741D5F9" w14:textId="77777777" w:rsidR="002A5DBE" w:rsidRPr="00B92340" w:rsidRDefault="002A5DBE" w:rsidP="004B0A4D">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8473BF">
              <w:rPr>
                <w:rFonts w:ascii="Verdana" w:eastAsia="Calibri" w:hAnsi="Verdana" w:cs="Arial"/>
                <w:lang w:val="es-ES_tradnl" w:eastAsia="es-ES_tradnl"/>
              </w:rPr>
              <w:t>1_2026_01_07_000133</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39ED564" w14:textId="77777777" w:rsidR="002A5DBE" w:rsidRPr="00593A5F" w:rsidRDefault="002A5DBE" w:rsidP="002A5DBE">
      <w:pPr>
        <w:spacing w:after="0" w:line="240" w:lineRule="auto"/>
        <w:jc w:val="both"/>
        <w:rPr>
          <w:rFonts w:ascii="Verdana" w:eastAsia="Calibri" w:hAnsi="Verdana" w:cs="Arial"/>
          <w:color w:val="000000"/>
          <w:lang w:val="es-ES_tradnl" w:eastAsia="es-ES_tradnl"/>
        </w:rPr>
      </w:pPr>
    </w:p>
    <w:p w14:paraId="6F6D2389" w14:textId="77777777" w:rsidR="002A5DBE" w:rsidRPr="00593A5F" w:rsidRDefault="002A5DBE" w:rsidP="002A5DBE">
      <w:pPr>
        <w:spacing w:after="0" w:line="240" w:lineRule="auto"/>
        <w:jc w:val="both"/>
        <w:rPr>
          <w:rFonts w:ascii="Verdana" w:eastAsia="Calibri" w:hAnsi="Verdana" w:cs="Arial"/>
          <w:color w:val="000000"/>
          <w:lang w:val="es-ES_tradnl" w:eastAsia="es-ES_tradnl"/>
        </w:rPr>
      </w:pPr>
    </w:p>
    <w:p w14:paraId="48F9202D" w14:textId="77777777" w:rsidR="002A5DBE" w:rsidRPr="008E6AD9" w:rsidRDefault="002A5DBE" w:rsidP="002A5DBE">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6F748B">
        <w:rPr>
          <w:rFonts w:ascii="Verdana" w:eastAsia="Calibri" w:hAnsi="Verdana" w:cs="Arial"/>
          <w:lang w:val="es-ES" w:eastAsia="es-ES"/>
        </w:rPr>
        <w:t>Jiménez</w:t>
      </w:r>
      <w:r w:rsidRPr="008E6AD9">
        <w:rPr>
          <w:rFonts w:ascii="Verdana" w:eastAsia="Calibri" w:hAnsi="Verdana" w:cs="Arial"/>
          <w:lang w:val="es-ES" w:eastAsia="es-ES"/>
        </w:rPr>
        <w:t xml:space="preserve">: </w:t>
      </w:r>
    </w:p>
    <w:p w14:paraId="18543D49" w14:textId="77777777" w:rsidR="002A5DBE" w:rsidRDefault="002A5DBE" w:rsidP="002A5DB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2BFD250" w14:textId="77777777" w:rsidR="002A5DBE" w:rsidRPr="00593A5F" w:rsidRDefault="002A5DBE" w:rsidP="002A5DBE">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7 de enero de 2026, donde solicita</w:t>
      </w:r>
      <w:r w:rsidRPr="008E6AD9">
        <w:rPr>
          <w:rFonts w:ascii="Verdana" w:eastAsia="Calibri" w:hAnsi="Verdana" w:cs="Arial"/>
          <w:lang w:val="es-ES" w:eastAsia="es-ES"/>
        </w:rPr>
        <w:t xml:space="preserve">: </w:t>
      </w:r>
    </w:p>
    <w:p w14:paraId="43F43B20" w14:textId="77777777" w:rsidR="002A5DBE" w:rsidRPr="00272A7B" w:rsidRDefault="002A5DBE" w:rsidP="002A5DBE">
      <w:pPr>
        <w:pStyle w:val="Prrafodelista"/>
        <w:tabs>
          <w:tab w:val="left" w:pos="142"/>
          <w:tab w:val="left" w:pos="284"/>
        </w:tabs>
        <w:spacing w:after="0" w:line="276" w:lineRule="auto"/>
        <w:ind w:left="0"/>
        <w:jc w:val="both"/>
        <w:rPr>
          <w:rFonts w:ascii="Verdana" w:eastAsia="Century Gothic" w:hAnsi="Verdana" w:cs="Century Gothic"/>
          <w:b/>
          <w:bCs/>
        </w:rPr>
      </w:pPr>
    </w:p>
    <w:p w14:paraId="0B8D2267" w14:textId="77777777" w:rsidR="002A5DBE" w:rsidRPr="006F748B" w:rsidRDefault="002A5DBE" w:rsidP="002A5DBE">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 xml:space="preserve">[…] </w:t>
      </w:r>
      <w:r w:rsidRPr="006F748B">
        <w:rPr>
          <w:rFonts w:ascii="Verdana" w:eastAsia="Century Gothic" w:hAnsi="Verdana" w:cs="Century Gothic"/>
          <w:sz w:val="20"/>
          <w:szCs w:val="20"/>
          <w:lang w:val="es-ES"/>
        </w:rPr>
        <w:t xml:space="preserve">emitir concepto jurídico en el que precise si las entidades estatales sometidos al Estatuto General de Contratación de la Administración Pública  — EGCAP — , al amparo de lo dispuesto en los artículos 32 de la Ley 80 de 1993, 13 de la Ley 1150 de 2007 —  demás concordantes—   y las normas sectoriales de energía (Leyes 142 y 143 de 1994, Ley 1715 de 2014 y Ley 2099 de 2021), pueden celebrar contratos de Power Purchase </w:t>
      </w:r>
      <w:proofErr w:type="spellStart"/>
      <w:r w:rsidRPr="006F748B">
        <w:rPr>
          <w:rFonts w:ascii="Verdana" w:eastAsia="Century Gothic" w:hAnsi="Verdana" w:cs="Century Gothic"/>
          <w:sz w:val="20"/>
          <w:szCs w:val="20"/>
          <w:lang w:val="es-ES"/>
        </w:rPr>
        <w:lastRenderedPageBreak/>
        <w:t>Agreement</w:t>
      </w:r>
      <w:proofErr w:type="spellEnd"/>
      <w:r w:rsidRPr="006F748B">
        <w:rPr>
          <w:rFonts w:ascii="Verdana" w:eastAsia="Century Gothic" w:hAnsi="Verdana" w:cs="Century Gothic"/>
          <w:sz w:val="20"/>
          <w:szCs w:val="20"/>
          <w:lang w:val="es-ES"/>
        </w:rPr>
        <w:t xml:space="preserve"> (PPA) en esquemas de autogeneración  — a pequeña o gran escala — , bajo la modalidad de pague lo generado hasta un consumo base sin que ello implique comprometer vigencias futuras, en la medida en que los pagos se atienden como gasto recurrente de funcionamiento con cargo al presupuesto de cada vigencia fiscal.</w:t>
      </w:r>
    </w:p>
    <w:p w14:paraId="406D92D9" w14:textId="77777777" w:rsidR="002A5DBE" w:rsidRPr="008E6AD9" w:rsidRDefault="002A5DBE" w:rsidP="002A5DBE">
      <w:pPr>
        <w:spacing w:after="0" w:line="240" w:lineRule="auto"/>
        <w:ind w:left="709" w:right="709"/>
        <w:jc w:val="both"/>
        <w:rPr>
          <w:rFonts w:ascii="Verdana" w:eastAsia="Century Gothic" w:hAnsi="Verdana" w:cs="Century Gothic"/>
          <w:b/>
          <w:bCs/>
        </w:rPr>
      </w:pPr>
      <w:r w:rsidRPr="006F748B">
        <w:rPr>
          <w:rFonts w:ascii="Verdana" w:eastAsia="Century Gothic" w:hAnsi="Verdana" w:cs="Century Gothic"/>
          <w:sz w:val="20"/>
          <w:szCs w:val="20"/>
          <w:lang w:val="es-ES"/>
        </w:rPr>
        <w:t>De igual modo, solicito se aclare cuáles son los mecanismos jurídicos idóneos para otorgar garantías de pago al inversionista encargado del CAPEX y administración, operación y mantenimiento y suministro de energía (tales como pactos de apropiación anual obligatoria, cláusulas indemnizatorias, reconocimiento de inversiones no amortizadas o esquemas fiduciarios), sin que tales instrumentos configuren compromisos</w:t>
      </w:r>
      <w:r>
        <w:rPr>
          <w:rFonts w:ascii="Verdana" w:eastAsia="Century Gothic" w:hAnsi="Verdana" w:cs="Century Gothic"/>
          <w:sz w:val="20"/>
          <w:szCs w:val="20"/>
          <w:lang w:val="es-ES"/>
        </w:rPr>
        <w:t xml:space="preserve"> </w:t>
      </w:r>
      <w:r w:rsidRPr="006F748B">
        <w:rPr>
          <w:rFonts w:ascii="Verdana" w:eastAsia="Century Gothic" w:hAnsi="Verdana" w:cs="Century Gothic"/>
          <w:sz w:val="20"/>
          <w:szCs w:val="20"/>
          <w:lang w:val="es-ES"/>
        </w:rPr>
        <w:t>de vigencias futuras</w:t>
      </w:r>
      <w:r>
        <w:rPr>
          <w:rFonts w:ascii="Verdana" w:eastAsia="Century Gothic" w:hAnsi="Verdana" w:cs="Century Gothic"/>
          <w:sz w:val="20"/>
          <w:szCs w:val="20"/>
          <w:lang w:val="es-ES"/>
        </w:rPr>
        <w:t xml:space="preserve"> </w:t>
      </w:r>
      <w:r w:rsidRPr="006F748B">
        <w:rPr>
          <w:rFonts w:ascii="Verdana" w:eastAsia="Century Gothic" w:hAnsi="Verdana" w:cs="Century Gothic"/>
          <w:sz w:val="20"/>
          <w:szCs w:val="20"/>
          <w:lang w:val="es-ES"/>
        </w:rPr>
        <w:t>prohibidos por la Ley 819 de 2003</w:t>
      </w:r>
      <w:r>
        <w:rPr>
          <w:rFonts w:ascii="Verdana" w:eastAsia="Century Gothic" w:hAnsi="Verdana" w:cs="Century Gothic"/>
          <w:sz w:val="20"/>
          <w:szCs w:val="20"/>
          <w:lang w:val="es-ES"/>
        </w:rPr>
        <w:t>”.</w:t>
      </w:r>
    </w:p>
    <w:p w14:paraId="46A768F8" w14:textId="77777777" w:rsidR="002A5DBE" w:rsidRPr="006F748B" w:rsidRDefault="002A5DBE" w:rsidP="002A5DBE">
      <w:pPr>
        <w:spacing w:after="0" w:line="276" w:lineRule="auto"/>
        <w:ind w:firstLine="709"/>
        <w:jc w:val="both"/>
        <w:rPr>
          <w:rFonts w:ascii="Verdana" w:eastAsia="Calibri" w:hAnsi="Verdana" w:cs="Arial"/>
          <w:color w:val="000000"/>
          <w:lang w:eastAsia="es-ES"/>
        </w:rPr>
      </w:pPr>
    </w:p>
    <w:p w14:paraId="1F72DFA4" w14:textId="77777777" w:rsidR="002A5DBE" w:rsidRDefault="002A5DBE" w:rsidP="002A5DBE">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Esta solicitud se responde conforme a lo ordenado por la Sala de Consulta y Servicio Civil del Consejo de Estado que, en providencia del 9 de abril de 2026, resolvió un conflicto negativo de competencias administrativas entre la Agencia, el Ministerio de Hacienda y Crédito Público </w:t>
      </w:r>
      <w:r w:rsidRPr="006F748B">
        <w:rPr>
          <w:rFonts w:ascii="Verdana" w:eastAsia="Calibri" w:hAnsi="Verdana" w:cs="Arial"/>
          <w:color w:val="000000"/>
          <w:lang w:val="es-ES" w:eastAsia="es-ES"/>
        </w:rPr>
        <w:t xml:space="preserve">y </w:t>
      </w:r>
      <w:r>
        <w:rPr>
          <w:rFonts w:ascii="Verdana" w:eastAsia="Calibri" w:hAnsi="Verdana" w:cs="Arial"/>
          <w:color w:val="000000"/>
          <w:lang w:val="es-ES" w:eastAsia="es-ES"/>
        </w:rPr>
        <w:t xml:space="preserve">la </w:t>
      </w:r>
      <w:r w:rsidRPr="006F748B">
        <w:rPr>
          <w:rFonts w:ascii="Verdana" w:eastAsia="Calibri" w:hAnsi="Verdana" w:cs="Arial"/>
          <w:color w:val="000000"/>
          <w:lang w:val="es-ES" w:eastAsia="es-ES"/>
        </w:rPr>
        <w:t>Superintendencia de Servicios Públicos Domiciliarios</w:t>
      </w:r>
      <w:r>
        <w:rPr>
          <w:rFonts w:ascii="Verdana" w:eastAsia="Calibri" w:hAnsi="Verdana" w:cs="Arial"/>
          <w:color w:val="000000"/>
          <w:lang w:val="es-ES" w:eastAsia="es-ES"/>
        </w:rPr>
        <w:t>. Para estos efectos, conforme al numeral primero de la parte resolutiva, se dispuso “</w:t>
      </w:r>
      <w:r w:rsidRPr="007958F4">
        <w:rPr>
          <w:rFonts w:ascii="Verdana" w:eastAsia="Calibri" w:hAnsi="Verdana" w:cs="Arial"/>
          <w:i/>
          <w:iCs/>
          <w:color w:val="000000"/>
          <w:lang w:val="es-ES" w:eastAsia="es-ES"/>
        </w:rPr>
        <w:t>DECLARAR competente a la Agencia Nacional de Contratación Pública Colombia Compra Eficiente, para dar respuesta al derecho de petición de consulta elevado por el señor Leonardo F. Jiménez G.</w:t>
      </w:r>
      <w:r>
        <w:rPr>
          <w:rFonts w:ascii="Verdana" w:eastAsia="Calibri" w:hAnsi="Verdana" w:cs="Arial"/>
          <w:color w:val="000000"/>
          <w:lang w:val="es-ES" w:eastAsia="es-ES"/>
        </w:rPr>
        <w:t xml:space="preserve"> […]”.</w:t>
      </w:r>
    </w:p>
    <w:p w14:paraId="14FA5F7C" w14:textId="77777777" w:rsidR="002A5DBE" w:rsidRPr="00A652FF" w:rsidRDefault="002A5DBE" w:rsidP="002A5DBE">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42DE7C5" w14:textId="77777777" w:rsidR="002A5DBE" w:rsidRDefault="002A5DBE" w:rsidP="002A5DBE">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0215498" w14:textId="77777777" w:rsidR="002A5DBE" w:rsidRPr="00593A5F" w:rsidRDefault="002A5DBE" w:rsidP="002A5DBE">
      <w:pPr>
        <w:spacing w:after="0" w:line="276" w:lineRule="auto"/>
        <w:ind w:firstLine="709"/>
        <w:jc w:val="both"/>
        <w:rPr>
          <w:rFonts w:ascii="Verdana" w:eastAsia="Calibri" w:hAnsi="Verdana" w:cs="Arial"/>
          <w:color w:val="000000"/>
          <w:lang w:val="es-ES" w:eastAsia="es-ES"/>
        </w:rPr>
      </w:pPr>
    </w:p>
    <w:p w14:paraId="29B737DE" w14:textId="77777777" w:rsidR="002A5DBE" w:rsidRPr="00593A5F" w:rsidRDefault="002A5DBE" w:rsidP="002A5DB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4E701A8" w14:textId="77777777" w:rsidR="002A5DBE" w:rsidRPr="00593A5F" w:rsidRDefault="002A5DBE" w:rsidP="002A5DBE">
      <w:pPr>
        <w:tabs>
          <w:tab w:val="left" w:pos="426"/>
        </w:tabs>
        <w:spacing w:after="0" w:line="276" w:lineRule="auto"/>
        <w:jc w:val="both"/>
        <w:rPr>
          <w:rFonts w:ascii="Verdana" w:eastAsia="Century Gothic" w:hAnsi="Verdana" w:cs="Century Gothic"/>
          <w:lang w:val="es-ES"/>
        </w:rPr>
      </w:pPr>
    </w:p>
    <w:p w14:paraId="5D378B35" w14:textId="77777777" w:rsidR="002A5DBE" w:rsidRPr="00593A5F" w:rsidRDefault="002A5DBE" w:rsidP="002A5DBE">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A56E74">
        <w:rPr>
          <w:rFonts w:ascii="Verdana" w:eastAsia="Century Gothic" w:hAnsi="Verdana" w:cs="Century Gothic"/>
        </w:rPr>
        <w:t>¿</w:t>
      </w:r>
      <w:r>
        <w:rPr>
          <w:rFonts w:ascii="Verdana" w:eastAsia="Calibri" w:hAnsi="Verdana" w:cs="Arial"/>
          <w:color w:val="000000"/>
          <w:lang w:val="es-ES" w:eastAsia="es-ES"/>
        </w:rPr>
        <w:t>para las entidades sometidas al EGCAP,</w:t>
      </w:r>
      <w:r>
        <w:rPr>
          <w:rFonts w:ascii="Verdana" w:eastAsia="Century Gothic" w:hAnsi="Verdana" w:cs="Century Gothic"/>
        </w:rPr>
        <w:t xml:space="preserve"> bajo qué circunstancias es posible la celebración de </w:t>
      </w:r>
      <w:r w:rsidRPr="008A6B8B">
        <w:rPr>
          <w:rFonts w:ascii="Verdana" w:eastAsia="Calibri" w:hAnsi="Verdana" w:cs="Arial"/>
          <w:color w:val="000000"/>
          <w:lang w:val="es-ES" w:eastAsia="es-ES"/>
        </w:rPr>
        <w:t xml:space="preserve">contratos de Power Purchase </w:t>
      </w:r>
      <w:proofErr w:type="spellStart"/>
      <w:r w:rsidRPr="008A6B8B">
        <w:rPr>
          <w:rFonts w:ascii="Verdana" w:eastAsia="Calibri" w:hAnsi="Verdana" w:cs="Arial"/>
          <w:color w:val="000000"/>
          <w:lang w:val="es-ES" w:eastAsia="es-ES"/>
        </w:rPr>
        <w:t>Agreement</w:t>
      </w:r>
      <w:proofErr w:type="spellEnd"/>
      <w:r w:rsidRPr="008A6B8B">
        <w:rPr>
          <w:rFonts w:ascii="Verdana" w:eastAsia="Calibri" w:hAnsi="Verdana" w:cs="Arial"/>
          <w:color w:val="000000"/>
          <w:lang w:val="es-ES" w:eastAsia="es-ES"/>
        </w:rPr>
        <w:t xml:space="preserve"> </w:t>
      </w:r>
      <w:r>
        <w:rPr>
          <w:rFonts w:ascii="Verdana" w:eastAsia="Calibri" w:hAnsi="Verdana" w:cs="Arial"/>
          <w:color w:val="000000"/>
          <w:lang w:val="es-ES" w:eastAsia="es-ES"/>
        </w:rPr>
        <w:t>–</w:t>
      </w:r>
      <w:r w:rsidRPr="008A6B8B">
        <w:rPr>
          <w:rFonts w:ascii="Verdana" w:eastAsia="Calibri" w:hAnsi="Verdana" w:cs="Arial"/>
          <w:color w:val="000000"/>
          <w:lang w:val="es-ES" w:eastAsia="es-ES"/>
        </w:rPr>
        <w:t>PPA</w:t>
      </w:r>
      <w:r>
        <w:rPr>
          <w:rFonts w:ascii="Verdana" w:eastAsia="Calibri" w:hAnsi="Verdana" w:cs="Arial"/>
          <w:color w:val="000000"/>
          <w:lang w:val="es-ES" w:eastAsia="es-ES"/>
        </w:rPr>
        <w:t>– sin vigencias futuras y cuál es el régimen de garantías aplicable en favor de los contratistas del Estado</w:t>
      </w:r>
      <w:r w:rsidRPr="00A56E74">
        <w:rPr>
          <w:rFonts w:ascii="Verdana" w:eastAsia="Century Gothic" w:hAnsi="Verdana" w:cs="Century Gothic"/>
        </w:rPr>
        <w:t>?</w:t>
      </w:r>
      <w:r>
        <w:rPr>
          <w:rFonts w:ascii="Verdana" w:eastAsia="Century Gothic" w:hAnsi="Verdana" w:cs="Century Gothic"/>
        </w:rPr>
        <w:t xml:space="preserve"> </w:t>
      </w:r>
    </w:p>
    <w:p w14:paraId="36E44FCA" w14:textId="77777777" w:rsidR="002A5DBE" w:rsidRPr="004B140F" w:rsidRDefault="002A5DBE" w:rsidP="002A5DBE">
      <w:pPr>
        <w:spacing w:after="0" w:line="276" w:lineRule="auto"/>
        <w:jc w:val="both"/>
        <w:rPr>
          <w:rFonts w:ascii="Verdana" w:eastAsia="Calibri" w:hAnsi="Verdana" w:cs="Arial"/>
          <w:color w:val="7030A0"/>
        </w:rPr>
      </w:pPr>
    </w:p>
    <w:p w14:paraId="6FD5C28F" w14:textId="77777777" w:rsidR="002A5DBE" w:rsidRPr="00593A5F" w:rsidRDefault="002A5DBE" w:rsidP="002A5DB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695E168" w14:textId="77777777" w:rsidR="002A5DBE" w:rsidRPr="00593A5F" w:rsidRDefault="002A5DBE" w:rsidP="002A5DB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A5DBE" w:rsidRPr="00593A5F" w14:paraId="205047CF" w14:textId="77777777" w:rsidTr="004B0A4D">
        <w:trPr>
          <w:jc w:val="center"/>
        </w:trPr>
        <w:tc>
          <w:tcPr>
            <w:tcW w:w="8828" w:type="dxa"/>
          </w:tcPr>
          <w:p w14:paraId="6EF53D8D" w14:textId="77777777" w:rsidR="002A5DBE" w:rsidRDefault="002A5DBE" w:rsidP="004B0A4D">
            <w:pPr>
              <w:spacing w:after="120" w:line="276" w:lineRule="auto"/>
              <w:jc w:val="both"/>
              <w:rPr>
                <w:rFonts w:ascii="Verdana" w:eastAsia="Calibri" w:hAnsi="Verdana" w:cs="Arial"/>
                <w:color w:val="000000" w:themeColor="text1"/>
                <w:lang w:val="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sidRPr="4E58DF9A">
              <w:rPr>
                <w:rFonts w:ascii="Verdana" w:eastAsia="Calibri" w:hAnsi="Verdana" w:cs="Arial"/>
                <w:color w:val="000000" w:themeColor="text1"/>
                <w:lang w:val="es-ES"/>
              </w:rPr>
              <w:t>siempre que no existan restricciones especiales en el sector de energía y se cumplan los requisitos establecidos por las autoridades en dicho ámbito –el gobierno nacional, la Superintendencia de Servicios Públicos Domiciliarios, las comisiones de regulación, entre otras– una entidad estatal podría celebrar un acuerdo de compra de energía</w:t>
            </w:r>
            <w:r>
              <w:rPr>
                <w:rFonts w:ascii="Verdana" w:eastAsia="Calibri" w:hAnsi="Verdana" w:cs="Arial"/>
                <w:color w:val="000000" w:themeColor="text1"/>
                <w:lang w:val="es-ES"/>
              </w:rPr>
              <w:t xml:space="preserve"> –</w:t>
            </w:r>
            <w:r w:rsidRPr="00412765">
              <w:rPr>
                <w:rFonts w:ascii="Verdana" w:eastAsia="Calibri" w:hAnsi="Verdana" w:cs="Arial"/>
                <w:color w:val="000000" w:themeColor="text1"/>
                <w:lang w:val="es-ES_tradnl"/>
              </w:rPr>
              <w:t xml:space="preserve"> </w:t>
            </w:r>
            <w:proofErr w:type="spellStart"/>
            <w:r w:rsidRPr="00412765">
              <w:rPr>
                <w:rFonts w:ascii="Verdana" w:eastAsia="Calibri" w:hAnsi="Verdana" w:cs="Arial"/>
                <w:i/>
                <w:iCs/>
                <w:color w:val="000000" w:themeColor="text1"/>
                <w:lang w:val="es-ES_tradnl"/>
              </w:rPr>
              <w:t>power</w:t>
            </w:r>
            <w:proofErr w:type="spellEnd"/>
            <w:r w:rsidRPr="00412765">
              <w:rPr>
                <w:rFonts w:ascii="Verdana" w:eastAsia="Calibri" w:hAnsi="Verdana" w:cs="Arial"/>
                <w:i/>
                <w:iCs/>
                <w:color w:val="000000" w:themeColor="text1"/>
                <w:lang w:val="es-ES_tradnl"/>
              </w:rPr>
              <w:t xml:space="preserve"> </w:t>
            </w:r>
            <w:proofErr w:type="spellStart"/>
            <w:r w:rsidRPr="00412765">
              <w:rPr>
                <w:rFonts w:ascii="Verdana" w:eastAsia="Calibri" w:hAnsi="Verdana" w:cs="Arial"/>
                <w:i/>
                <w:iCs/>
                <w:color w:val="000000" w:themeColor="text1"/>
                <w:lang w:val="es-ES_tradnl"/>
              </w:rPr>
              <w:t>purchase</w:t>
            </w:r>
            <w:proofErr w:type="spellEnd"/>
            <w:r w:rsidRPr="00412765">
              <w:rPr>
                <w:rFonts w:ascii="Verdana" w:eastAsia="Calibri" w:hAnsi="Verdana" w:cs="Arial"/>
                <w:i/>
                <w:iCs/>
                <w:color w:val="000000" w:themeColor="text1"/>
                <w:lang w:val="es-ES_tradnl"/>
              </w:rPr>
              <w:t xml:space="preserve"> </w:t>
            </w:r>
            <w:proofErr w:type="spellStart"/>
            <w:r w:rsidRPr="00412765">
              <w:rPr>
                <w:rFonts w:ascii="Verdana" w:eastAsia="Calibri" w:hAnsi="Verdana" w:cs="Arial"/>
                <w:i/>
                <w:iCs/>
                <w:color w:val="000000" w:themeColor="text1"/>
                <w:lang w:val="es-ES_tradnl"/>
              </w:rPr>
              <w:t>agreement</w:t>
            </w:r>
            <w:proofErr w:type="spellEnd"/>
            <w:r w:rsidRPr="4E58DF9A">
              <w:rPr>
                <w:rFonts w:ascii="Verdana" w:eastAsia="Calibri" w:hAnsi="Verdana" w:cs="Arial"/>
                <w:color w:val="000000" w:themeColor="text1"/>
                <w:lang w:val="es-ES"/>
              </w:rPr>
              <w:t xml:space="preserve">. Ante la inexistencia de una regulación de este contrato en el Estatuto General de Contratación de la Administración Pública, su régimen se integrará por las normas especiales del sector energético y las del Derecho privado. Ahora bien, si la venta de energía también incluye </w:t>
            </w:r>
            <w:r>
              <w:rPr>
                <w:rFonts w:ascii="Verdana" w:eastAsia="Calibri" w:hAnsi="Verdana" w:cs="Arial"/>
                <w:color w:val="000000" w:themeColor="text1"/>
                <w:lang w:val="es-ES"/>
              </w:rPr>
              <w:t>elementos integrados en</w:t>
            </w:r>
            <w:r w:rsidRPr="4E58DF9A">
              <w:rPr>
                <w:rFonts w:ascii="Verdana" w:eastAsia="Calibri" w:hAnsi="Verdana" w:cs="Arial"/>
                <w:color w:val="000000" w:themeColor="text1"/>
                <w:lang w:val="es-ES"/>
              </w:rPr>
              <w:t xml:space="preserve"> alguna de las tipologías contractuales establecidas en el artículo 32 de la Ley 80 de 1993 o en normas especiales de Derecho administrativo, deberá respetarse este régimen especial. Así sucedería, por ejemplo, si la distribución de la energía se enmarca en una concesión, tal como lo señaló la Sala de Consulta y Servicio Civil del Consejo de Estado.</w:t>
            </w:r>
          </w:p>
          <w:p w14:paraId="51474448" w14:textId="77777777" w:rsidR="002A5DBE" w:rsidRDefault="002A5DBE" w:rsidP="004B0A4D">
            <w:pPr>
              <w:tabs>
                <w:tab w:val="left" w:pos="426"/>
              </w:tabs>
              <w:spacing w:after="120" w:line="276" w:lineRule="auto"/>
              <w:ind w:firstLine="741"/>
              <w:jc w:val="both"/>
              <w:rPr>
                <w:rFonts w:ascii="Verdana" w:eastAsia="Calibri" w:hAnsi="Verdana" w:cs="Arial"/>
                <w:bCs/>
                <w:color w:val="000000" w:themeColor="text1"/>
              </w:rPr>
            </w:pPr>
            <w:r w:rsidRPr="000F2819">
              <w:rPr>
                <w:rFonts w:ascii="Verdana" w:eastAsia="Calibri" w:hAnsi="Verdana" w:cs="Arial"/>
                <w:bCs/>
                <w:color w:val="000000" w:themeColor="text1"/>
                <w:lang w:val="es-ES"/>
              </w:rPr>
              <w:t>Con independencia de que el contrato sea típico o no, l</w:t>
            </w:r>
            <w:r w:rsidRPr="000F2819">
              <w:rPr>
                <w:rFonts w:ascii="Verdana" w:eastAsia="Calibri" w:hAnsi="Verdana" w:cs="Arial"/>
                <w:bCs/>
                <w:color w:val="000000" w:themeColor="text1"/>
              </w:rPr>
              <w:t xml:space="preserve">as entidades estatales deben sujetarse a las normas presupuestales, ya que los contratos estatales son una de las principales fuentes de ejecución de recursos públicos. Entre los principios que rigen el sistema presupuestal, se encuentra el de anualidad del gasto público. Conforme a los artículos 346 y 347 de la Constitución Política, este indica que el Gobierno debe formular anualmente el presupuesto de rentas y la ley de apropiaciones, el cual deberá contener la totalidad de los gastos que el Estado pretenda realizar durante la vigencia fiscal. </w:t>
            </w:r>
          </w:p>
          <w:p w14:paraId="361353F3" w14:textId="77777777" w:rsidR="002A5DBE" w:rsidRDefault="002A5DBE" w:rsidP="004B0A4D">
            <w:pPr>
              <w:tabs>
                <w:tab w:val="left" w:pos="426"/>
              </w:tabs>
              <w:spacing w:after="120" w:line="276" w:lineRule="auto"/>
              <w:ind w:firstLine="741"/>
              <w:jc w:val="both"/>
              <w:rPr>
                <w:rFonts w:ascii="Verdana" w:eastAsia="Calibri" w:hAnsi="Verdana" w:cs="Arial"/>
                <w:bCs/>
                <w:color w:val="000000" w:themeColor="text1"/>
              </w:rPr>
            </w:pPr>
            <w:r w:rsidRPr="000F2819">
              <w:rPr>
                <w:rFonts w:ascii="Verdana" w:eastAsia="Calibri" w:hAnsi="Verdana" w:cs="Arial"/>
                <w:bCs/>
                <w:color w:val="000000" w:themeColor="text1"/>
              </w:rPr>
              <w:lastRenderedPageBreak/>
              <w:t>Dicho principio, según lo dispuesto en el artículo 14 del Estatuto Orgánico del Presupuesto consiste en que “Después del 31 de diciembre no podrán asumirse compromisos con cargo a las apropiaciones del año fiscal que se cierra en esa fecha y los saldos de apropiación no afectados por compromisos caducarán sin excepción”. Es decir, por regla general los gastos previstos en el presupuesto anual se deben ejecutar dentro de una vigencia fiscal. En el mismo sentido, el principio de anualidad se consolida como la regla general</w:t>
            </w:r>
            <w:r w:rsidRPr="000F2819">
              <w:rPr>
                <w:rFonts w:ascii="Verdana" w:eastAsia="Calibri" w:hAnsi="Verdana" w:cs="Arial"/>
                <w:bCs/>
                <w:i/>
                <w:color w:val="000000" w:themeColor="text1"/>
              </w:rPr>
              <w:t xml:space="preserve">, </w:t>
            </w:r>
            <w:r w:rsidRPr="000F2819">
              <w:rPr>
                <w:rFonts w:ascii="Verdana" w:eastAsia="Calibri" w:hAnsi="Verdana" w:cs="Arial"/>
                <w:bCs/>
                <w:color w:val="000000" w:themeColor="text1"/>
              </w:rPr>
              <w:t xml:space="preserve">al establecer –según lo indicado en el artículo 80 </w:t>
            </w:r>
            <w:r w:rsidRPr="000F2819">
              <w:rPr>
                <w:rFonts w:ascii="Verdana" w:eastAsia="Calibri" w:hAnsi="Verdana" w:cs="Arial"/>
                <w:bCs/>
                <w:i/>
                <w:color w:val="000000" w:themeColor="text1"/>
              </w:rPr>
              <w:t>ibidem</w:t>
            </w:r>
            <w:r w:rsidRPr="000F2819">
              <w:rPr>
                <w:rFonts w:ascii="Verdana" w:eastAsia="Calibri" w:hAnsi="Verdana" w:cs="Arial"/>
                <w:bCs/>
                <w:color w:val="000000" w:themeColor="text1"/>
              </w:rPr>
              <w:t>– que las apropiaciones presupuestales son autorizaciones máximas de gasto que el Congreso aprueba para ser ejecutadas o comprometidas durante la vigencia fiscal respectiva, por lo que después del 31 de diciembre de cada año estas autorizaciones expiran y, en consecuencia, no podrán comprometerse, adicionarse ni transferirse</w:t>
            </w:r>
            <w:r>
              <w:rPr>
                <w:rFonts w:ascii="Verdana" w:eastAsia="Calibri" w:hAnsi="Verdana" w:cs="Arial"/>
                <w:bCs/>
                <w:color w:val="000000" w:themeColor="text1"/>
              </w:rPr>
              <w:t>.</w:t>
            </w:r>
          </w:p>
          <w:p w14:paraId="1E886A4B" w14:textId="77777777" w:rsidR="002A5DBE" w:rsidRPr="000F2819" w:rsidRDefault="002A5DBE" w:rsidP="004B0A4D">
            <w:pPr>
              <w:pStyle w:val="Textoindependiente"/>
              <w:ind w:firstLine="709"/>
              <w:jc w:val="both"/>
              <w:rPr>
                <w:rFonts w:ascii="Verdana" w:hAnsi="Verdana"/>
                <w:color w:val="000000" w:themeColor="text1"/>
              </w:rPr>
            </w:pPr>
            <w:r w:rsidRPr="00644707">
              <w:rPr>
                <w:rFonts w:ascii="Verdana" w:hAnsi="Verdana"/>
                <w:color w:val="000000" w:themeColor="text1"/>
              </w:rPr>
              <w:t>No obstante, existen algunas situaciones que impiden ejecutar las obligaciones contractuales durante la vigencia fiscal en la que el contrato fue celebrado, lo que quiere decir que no siempre debe aplicarse de manera restrictiva el principio de anualidad del gasto, pues aquellas podrán ser ejecutadas en las siguientes vigencias.</w:t>
            </w:r>
            <w:r>
              <w:rPr>
                <w:rFonts w:ascii="Verdana" w:hAnsi="Verdana"/>
                <w:color w:val="000000" w:themeColor="text1"/>
              </w:rPr>
              <w:t xml:space="preserve"> </w:t>
            </w:r>
            <w:r w:rsidRPr="00644707">
              <w:rPr>
                <w:rFonts w:ascii="Verdana" w:hAnsi="Verdana"/>
                <w:color w:val="000000" w:themeColor="text1"/>
              </w:rPr>
              <w:t xml:space="preserve">Es decir, el principio de anualidad del gasto tiene excepciones, y entre estas se encuentran las vigencias </w:t>
            </w:r>
            <w:r>
              <w:rPr>
                <w:rFonts w:ascii="Verdana" w:hAnsi="Verdana"/>
                <w:color w:val="000000" w:themeColor="text1"/>
              </w:rPr>
              <w:t>futuras, que se refieren</w:t>
            </w:r>
            <w:r w:rsidRPr="00644707">
              <w:rPr>
                <w:rFonts w:ascii="Verdana" w:hAnsi="Verdana"/>
                <w:color w:val="000000" w:themeColor="text1"/>
              </w:rPr>
              <w:t xml:space="preserve"> a la autorización que deben solicitar las entidades para asumir obligaciones que afectarán los presupuestos </w:t>
            </w:r>
            <w:r>
              <w:rPr>
                <w:rFonts w:ascii="Verdana" w:hAnsi="Verdana"/>
                <w:color w:val="000000" w:themeColor="text1"/>
              </w:rPr>
              <w:t>siguientes a los de la vigencia fiscal en la que se suscribió el contrato.</w:t>
            </w:r>
          </w:p>
          <w:p w14:paraId="726290FD" w14:textId="77777777" w:rsidR="002A5DBE" w:rsidRPr="000F2819" w:rsidRDefault="002A5DBE" w:rsidP="004B0A4D">
            <w:pPr>
              <w:tabs>
                <w:tab w:val="left" w:pos="426"/>
              </w:tabs>
              <w:spacing w:after="120" w:line="276" w:lineRule="auto"/>
              <w:ind w:firstLine="741"/>
              <w:jc w:val="both"/>
              <w:rPr>
                <w:rFonts w:ascii="Verdana" w:eastAsia="Calibri" w:hAnsi="Verdana" w:cs="Arial"/>
                <w:bCs/>
                <w:color w:val="000000" w:themeColor="text1"/>
              </w:rPr>
            </w:pPr>
            <w:r w:rsidRPr="00955D0D">
              <w:rPr>
                <w:rFonts w:ascii="Verdana" w:eastAsia="Calibri" w:hAnsi="Verdana" w:cs="Arial"/>
                <w:color w:val="000000" w:themeColor="text1"/>
                <w:lang w:val="es-ES"/>
              </w:rPr>
              <w:t>La autorización de vigencias futuras se realiza con estricta sujeción a lo previsto en los artículos 10 y 11 de la Ley 819 de 2003</w:t>
            </w:r>
            <w:r>
              <w:rPr>
                <w:rFonts w:ascii="Verdana" w:eastAsia="Calibri" w:hAnsi="Verdana" w:cs="Arial"/>
                <w:color w:val="000000" w:themeColor="text1"/>
                <w:lang w:val="es-ES"/>
              </w:rPr>
              <w:t xml:space="preserve"> para las entidades del Presupuesto General de la Nación. Luego, lo que define su necesidad no es el objeto contractual ni la tipología aplicable al negocio jurídico. Si de la fase de planeación, se deriva la ejecución de obligaciones por más de dos (2) vigencias fiscales, es posible excepcionar el principio de anualidad siempre que se cumplan los requisitos de las normas precitadas. De lo contrario, si la planeación contractual se limita a la vigencia en curso –o siendo necesarias dos (2) o más de éstas, no se cumple lo previsto en la Ley 819 de 2003–, aplicará la regla general de anualidad presupuestaria, sin que el trámite requiera comprometer vigencias futuras.</w:t>
            </w:r>
          </w:p>
          <w:p w14:paraId="4A6140A2" w14:textId="77777777" w:rsidR="002A5DBE" w:rsidRPr="00644707" w:rsidRDefault="002A5DBE" w:rsidP="004B0A4D">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En lo referente a la garantía de cumplimiento, </w:t>
            </w:r>
            <w:r w:rsidRPr="00CA6FDA">
              <w:rPr>
                <w:rFonts w:ascii="Verdana" w:eastAsia="Calibri" w:hAnsi="Verdana" w:cs="Arial"/>
                <w:color w:val="000000" w:themeColor="text1"/>
                <w:lang w:val="es-ES"/>
              </w:rPr>
              <w:t xml:space="preserve">el contratista ampara los perjuicios que le pueda generar a la entidad el incumplimiento de las </w:t>
            </w:r>
            <w:r w:rsidRPr="00CA6FDA">
              <w:rPr>
                <w:rFonts w:ascii="Verdana" w:eastAsia="Calibri" w:hAnsi="Verdana" w:cs="Arial"/>
                <w:color w:val="000000" w:themeColor="text1"/>
                <w:lang w:val="es-ES"/>
              </w:rPr>
              <w:lastRenderedPageBreak/>
              <w:t xml:space="preserve">obligaciones derivadas del contrato. En esta medida, tienen como objetivo reparar los perjuicios causados por conductas atribuibles al contratista, por lo que estos últimos son un presupuesto necesario para el pago que cubre la garantía. </w:t>
            </w:r>
            <w:r w:rsidRPr="00CA6FDA">
              <w:rPr>
                <w:rFonts w:ascii="Verdana" w:hAnsi="Verdana" w:cs="Arial"/>
                <w:color w:val="000000" w:themeColor="text1"/>
                <w:lang w:val="es-ES_tradnl"/>
              </w:rPr>
              <w:t xml:space="preserve">Para estos efectos es única, ya que “[…] La prioridad […] es que no haya garantías separadas para los diferentes riesgos, aunque existan varias garantías para diferentes proporciones del interés asegurado […]”.    </w:t>
            </w:r>
          </w:p>
          <w:p w14:paraId="0FF950F5" w14:textId="68895215" w:rsidR="002A5DBE" w:rsidRPr="00502997" w:rsidRDefault="002A5DBE" w:rsidP="004B0A4D">
            <w:pPr>
              <w:pStyle w:val="NormalWeb"/>
              <w:spacing w:before="120" w:beforeAutospacing="0" w:after="120" w:afterAutospacing="0" w:line="276" w:lineRule="auto"/>
              <w:ind w:firstLine="709"/>
              <w:jc w:val="both"/>
              <w:rPr>
                <w:rFonts w:ascii="Verdana" w:eastAsia="Calibri" w:hAnsi="Verdana" w:cs="Arial"/>
                <w:bCs/>
                <w:color w:val="000000" w:themeColor="text1"/>
                <w:sz w:val="22"/>
                <w:lang w:val="es-ES_tradnl"/>
              </w:rPr>
            </w:pPr>
            <w:r w:rsidRPr="00105D2F">
              <w:rPr>
                <w:rFonts w:ascii="Verdana" w:eastAsia="Calibri" w:hAnsi="Verdana" w:cs="Arial"/>
                <w:bCs/>
                <w:color w:val="000000" w:themeColor="text1"/>
                <w:sz w:val="22"/>
              </w:rPr>
              <w:t>El régimen de garantías previsto en el artículo 7 de la Ley 1150 de 2007, reglamentado por lo artículos 2.2.1.2.3.1.1 a 2.2.1.2.3.1.19, aplica en favor de la entidad contratante, pues hace parte de las potestades de control y vigilancia sobre el cumplimiento de las obligaciones. Al igual que las disposiciones presupuestales, dicho régimen es independiente de la tipicidad o atipicidad del contrato celebrado. En este sentido, no existe un marco jurídico de naturaleza legal o reglamentario para otorgar garantías al contratista, ya que los contratos estatales tienen como presupuesto definitorio la posición privilegiada de las autoridades públicas sobre los particulares</w:t>
            </w:r>
            <w:r>
              <w:rPr>
                <w:rFonts w:ascii="Verdana" w:eastAsia="Calibri" w:hAnsi="Verdana" w:cs="Arial"/>
                <w:bCs/>
                <w:color w:val="000000" w:themeColor="text1"/>
                <w:sz w:val="22"/>
              </w:rPr>
              <w:t xml:space="preserve">. </w:t>
            </w:r>
            <w:r w:rsidRPr="00941BF3">
              <w:rPr>
                <w:rFonts w:ascii="Verdana" w:eastAsia="Calibri" w:hAnsi="Verdana" w:cs="Arial"/>
                <w:bCs/>
                <w:color w:val="000000" w:themeColor="text1"/>
                <w:sz w:val="22"/>
              </w:rPr>
              <w:t>Por sustracción de materia, con independencia de que se comprometan o no vigencias futuras, es imposible informar “[…] cuáles son los mecanismos jurídicos idóneos para otorgar garantías de pago al inversionista encargado del CAPEX y administración, operación y mantenimiento y suministro de energía</w:t>
            </w:r>
            <w:r>
              <w:rPr>
                <w:rFonts w:ascii="Verdana" w:eastAsia="Calibri" w:hAnsi="Verdana" w:cs="Arial"/>
                <w:bCs/>
                <w:color w:val="000000" w:themeColor="text1"/>
                <w:sz w:val="22"/>
              </w:rPr>
              <w:t xml:space="preserve"> […]</w:t>
            </w:r>
            <w:r w:rsidRPr="00941BF3">
              <w:rPr>
                <w:rFonts w:ascii="Verdana" w:eastAsia="Calibri" w:hAnsi="Verdana" w:cs="Arial"/>
                <w:bCs/>
                <w:color w:val="000000" w:themeColor="text1"/>
                <w:sz w:val="22"/>
              </w:rPr>
              <w:t>”.</w:t>
            </w:r>
            <w:r>
              <w:rPr>
                <w:rFonts w:ascii="Verdana" w:eastAsia="Calibri" w:hAnsi="Verdana" w:cs="Arial"/>
                <w:color w:val="000000" w:themeColor="text1"/>
                <w:sz w:val="22"/>
              </w:rPr>
              <w:t xml:space="preserve"> </w:t>
            </w:r>
            <w:r>
              <w:rPr>
                <w:rFonts w:ascii="Verdana" w:eastAsia="Calibri" w:hAnsi="Verdana" w:cs="Arial"/>
                <w:bCs/>
                <w:color w:val="000000" w:themeColor="text1"/>
                <w:sz w:val="22"/>
                <w:lang w:val="es-ES_tradnl"/>
              </w:rPr>
              <w:t xml:space="preserve">  </w:t>
            </w:r>
          </w:p>
          <w:p w14:paraId="6AA39321" w14:textId="77777777" w:rsidR="002A5DBE" w:rsidRPr="001941FD" w:rsidRDefault="002A5DBE" w:rsidP="004B0A4D">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2DF9C7A" w14:textId="77777777" w:rsidR="002A5DBE" w:rsidRPr="00593A5F" w:rsidRDefault="002A5DBE" w:rsidP="002A5DBE">
      <w:pPr>
        <w:tabs>
          <w:tab w:val="left" w:pos="142"/>
          <w:tab w:val="left" w:pos="284"/>
        </w:tabs>
        <w:spacing w:after="0" w:line="276" w:lineRule="auto"/>
        <w:jc w:val="both"/>
        <w:rPr>
          <w:rFonts w:ascii="Verdana" w:eastAsia="Century Gothic" w:hAnsi="Verdana" w:cs="Century Gothic"/>
          <w:b/>
          <w:bCs/>
          <w:lang w:val="es-ES"/>
        </w:rPr>
      </w:pPr>
    </w:p>
    <w:bookmarkEnd w:id="1"/>
    <w:p w14:paraId="1782CAB7" w14:textId="77777777" w:rsidR="002A5DBE" w:rsidRPr="00593A5F" w:rsidRDefault="002A5DBE" w:rsidP="002A5DB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FA79285" w14:textId="77777777" w:rsidR="002A5DBE" w:rsidRPr="00593A5F" w:rsidRDefault="002A5DBE" w:rsidP="002A5DBE">
      <w:pPr>
        <w:spacing w:after="0" w:line="276" w:lineRule="auto"/>
        <w:jc w:val="both"/>
        <w:rPr>
          <w:rFonts w:ascii="Verdana" w:eastAsia="Calibri" w:hAnsi="Verdana" w:cs="Arial"/>
          <w:color w:val="7030A0"/>
          <w:lang w:val="es-ES"/>
        </w:rPr>
      </w:pPr>
    </w:p>
    <w:p w14:paraId="2AACA919" w14:textId="77777777" w:rsidR="002A5DBE" w:rsidRDefault="002A5DBE" w:rsidP="002A5DBE">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CDFE113" w14:textId="77777777" w:rsidR="002A5DBE" w:rsidRPr="00415608" w:rsidRDefault="002A5DBE" w:rsidP="002A5DBE">
      <w:pPr>
        <w:spacing w:after="0" w:line="276" w:lineRule="auto"/>
        <w:jc w:val="both"/>
        <w:rPr>
          <w:rFonts w:ascii="Verdana" w:eastAsia="Calibri" w:hAnsi="Verdana" w:cs="Arial"/>
          <w:lang w:val="es-ES"/>
        </w:rPr>
      </w:pPr>
    </w:p>
    <w:p w14:paraId="73CA6A32" w14:textId="77777777" w:rsidR="002A5DBE" w:rsidRPr="00CB68C5" w:rsidRDefault="002A5DBE" w:rsidP="002A5DBE">
      <w:pPr>
        <w:spacing w:after="120" w:line="276" w:lineRule="auto"/>
        <w:jc w:val="both"/>
        <w:rPr>
          <w:rFonts w:ascii="Verdana" w:hAnsi="Verdana" w:cs="Arial"/>
        </w:rPr>
      </w:pPr>
      <w:r w:rsidRPr="00CB68C5">
        <w:rPr>
          <w:rFonts w:ascii="Verdana" w:eastAsia="Calibri" w:hAnsi="Verdana" w:cs="Arial"/>
          <w:lang w:val="es-ES"/>
        </w:rPr>
        <w:lastRenderedPageBreak/>
        <w:t xml:space="preserve">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3758E744" w14:textId="77777777" w:rsidR="002A5DBE" w:rsidRPr="00CB68C5" w:rsidRDefault="002A5DBE" w:rsidP="002A5DBE">
      <w:pPr>
        <w:spacing w:after="120" w:line="276" w:lineRule="auto"/>
        <w:ind w:firstLine="709"/>
        <w:jc w:val="both"/>
        <w:rPr>
          <w:rFonts w:ascii="Verdana" w:hAnsi="Verdana" w:cs="Arial"/>
        </w:rPr>
      </w:pPr>
      <w:r w:rsidRPr="00CB68C5">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68ACF324" w14:textId="77777777" w:rsidR="002A5DBE" w:rsidRPr="00CB68C5" w:rsidRDefault="002A5DBE" w:rsidP="002A5DBE">
      <w:pPr>
        <w:spacing w:after="0" w:line="276" w:lineRule="auto"/>
        <w:ind w:firstLine="708"/>
        <w:jc w:val="both"/>
        <w:rPr>
          <w:rFonts w:ascii="Verdana" w:hAnsi="Verdana" w:cs="Arial"/>
        </w:rPr>
      </w:pPr>
      <w:r w:rsidRPr="00CB68C5">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CB68C5">
        <w:rPr>
          <w:rStyle w:val="Refdenotaalpie"/>
          <w:rFonts w:ascii="Verdana" w:hAnsi="Verdana" w:cs="Arial"/>
        </w:rPr>
        <w:footnoteReference w:id="1"/>
      </w:r>
      <w:r w:rsidRPr="00CB68C5">
        <w:rPr>
          <w:rFonts w:ascii="Verdana" w:hAnsi="Verdana" w:cs="Arial"/>
        </w:rPr>
        <w:t>. Para la doctrina, la mixtura del régimen contractual:</w:t>
      </w:r>
    </w:p>
    <w:p w14:paraId="4DF8AB4E" w14:textId="77777777" w:rsidR="002A5DBE" w:rsidRPr="00CB68C5" w:rsidRDefault="002A5DBE" w:rsidP="002A5DBE">
      <w:pPr>
        <w:spacing w:after="0" w:line="276" w:lineRule="auto"/>
        <w:ind w:firstLine="709"/>
        <w:jc w:val="both"/>
        <w:rPr>
          <w:rFonts w:ascii="Verdana" w:hAnsi="Verdana" w:cs="Arial"/>
        </w:rPr>
      </w:pPr>
    </w:p>
    <w:p w14:paraId="57D0B982" w14:textId="77777777" w:rsidR="002A5DBE" w:rsidRPr="00B02C54" w:rsidRDefault="002A5DBE" w:rsidP="002A5DBE">
      <w:pPr>
        <w:spacing w:after="0" w:line="240" w:lineRule="auto"/>
        <w:ind w:left="709" w:right="709"/>
        <w:jc w:val="both"/>
        <w:rPr>
          <w:rFonts w:ascii="Verdana" w:hAnsi="Verdana" w:cs="Arial"/>
          <w:sz w:val="20"/>
          <w:szCs w:val="20"/>
        </w:rPr>
      </w:pPr>
      <w:r w:rsidRPr="00B02C54">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7D6998D3" w14:textId="77777777" w:rsidR="002A5DBE" w:rsidRPr="00B02C54" w:rsidRDefault="002A5DBE" w:rsidP="002A5DBE">
      <w:pPr>
        <w:spacing w:after="0" w:line="240" w:lineRule="auto"/>
        <w:ind w:right="709"/>
        <w:jc w:val="both"/>
        <w:rPr>
          <w:rFonts w:ascii="Verdana" w:hAnsi="Verdana" w:cs="Arial"/>
          <w:sz w:val="12"/>
          <w:szCs w:val="12"/>
        </w:rPr>
      </w:pPr>
      <w:r w:rsidRPr="00B02C54">
        <w:rPr>
          <w:rFonts w:ascii="Verdana" w:hAnsi="Verdana" w:cs="Arial"/>
          <w:sz w:val="20"/>
          <w:szCs w:val="20"/>
        </w:rPr>
        <w:tab/>
      </w:r>
    </w:p>
    <w:p w14:paraId="5718C65F" w14:textId="77777777" w:rsidR="002A5DBE" w:rsidRPr="00B02C54" w:rsidRDefault="002A5DBE" w:rsidP="002A5DBE">
      <w:pPr>
        <w:spacing w:after="0" w:line="240" w:lineRule="auto"/>
        <w:ind w:left="709" w:right="709"/>
        <w:jc w:val="both"/>
        <w:rPr>
          <w:rFonts w:ascii="Verdana" w:hAnsi="Verdana" w:cs="Arial"/>
          <w:sz w:val="20"/>
          <w:szCs w:val="20"/>
        </w:rPr>
      </w:pPr>
      <w:r w:rsidRPr="00B02C54">
        <w:rPr>
          <w:rFonts w:ascii="Verdana" w:hAnsi="Verdana" w:cs="Arial"/>
          <w:sz w:val="20"/>
          <w:szCs w:val="20"/>
        </w:rPr>
        <w:t xml:space="preserve">En otras palabras, extremos como los indicados no son ni de derecho público ni de derecho privado, sino, simplemente, de derecho propio, </w:t>
      </w:r>
      <w:r w:rsidRPr="00B02C54">
        <w:rPr>
          <w:rFonts w:ascii="Verdana" w:hAnsi="Verdana" w:cs="Arial"/>
          <w:sz w:val="20"/>
          <w:szCs w:val="20"/>
        </w:rPr>
        <w:lastRenderedPageBreak/>
        <w:t>aplicables a toda relación contractual, con prescindencia de la naturaleza de los sujetos involucrados en la misma”</w:t>
      </w:r>
      <w:r w:rsidRPr="00B02C54">
        <w:rPr>
          <w:rStyle w:val="Refdenotaalpie"/>
          <w:rFonts w:ascii="Verdana" w:hAnsi="Verdana" w:cs="Arial"/>
          <w:sz w:val="20"/>
          <w:szCs w:val="20"/>
        </w:rPr>
        <w:footnoteReference w:id="2"/>
      </w:r>
      <w:r w:rsidRPr="00B02C54">
        <w:rPr>
          <w:rFonts w:ascii="Verdana" w:hAnsi="Verdana" w:cs="Arial"/>
          <w:sz w:val="20"/>
          <w:szCs w:val="20"/>
        </w:rPr>
        <w:t xml:space="preserve">. </w:t>
      </w:r>
    </w:p>
    <w:p w14:paraId="6C7EFDC1" w14:textId="77777777" w:rsidR="002A5DBE" w:rsidRPr="00CB68C5" w:rsidRDefault="002A5DBE" w:rsidP="002A5DBE">
      <w:pPr>
        <w:spacing w:after="0" w:line="276" w:lineRule="auto"/>
        <w:ind w:left="709" w:right="709"/>
        <w:jc w:val="both"/>
        <w:rPr>
          <w:rFonts w:ascii="Verdana" w:hAnsi="Verdana" w:cs="Arial"/>
        </w:rPr>
      </w:pPr>
      <w:r w:rsidRPr="00CB68C5">
        <w:rPr>
          <w:rFonts w:ascii="Verdana" w:hAnsi="Verdana" w:cs="Arial"/>
        </w:rPr>
        <w:t xml:space="preserve"> </w:t>
      </w:r>
    </w:p>
    <w:p w14:paraId="5ED9CDBF" w14:textId="77777777" w:rsidR="002A5DBE" w:rsidRDefault="002A5DBE" w:rsidP="002A5DBE">
      <w:pPr>
        <w:spacing w:after="120" w:line="276" w:lineRule="auto"/>
        <w:jc w:val="both"/>
        <w:rPr>
          <w:rFonts w:ascii="Verdana" w:hAnsi="Verdana" w:cs="Arial"/>
        </w:rPr>
      </w:pPr>
      <w:r w:rsidRPr="00CB68C5">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Pr>
          <w:rFonts w:ascii="Verdana" w:hAnsi="Verdana" w:cs="Arial"/>
        </w:rPr>
        <w:t xml:space="preserve"> </w:t>
      </w:r>
    </w:p>
    <w:p w14:paraId="64B70328" w14:textId="77777777" w:rsidR="002A5DBE" w:rsidRDefault="002A5DBE" w:rsidP="002A5DBE">
      <w:pPr>
        <w:spacing w:after="0" w:line="276" w:lineRule="auto"/>
        <w:ind w:firstLine="708"/>
        <w:jc w:val="both"/>
        <w:rPr>
          <w:rFonts w:ascii="Verdana" w:hAnsi="Verdana" w:cs="Arial"/>
        </w:rPr>
      </w:pPr>
      <w:r w:rsidRPr="00CB68C5">
        <w:rPr>
          <w:rFonts w:ascii="Verdana" w:hAnsi="Verdana" w:cs="Arial"/>
        </w:rPr>
        <w:t xml:space="preserve">Esta precisión es importante, porque </w:t>
      </w:r>
      <w:r>
        <w:rPr>
          <w:rFonts w:ascii="Verdana" w:hAnsi="Verdana" w:cs="Arial"/>
        </w:rPr>
        <w:t xml:space="preserve">el grueso de los </w:t>
      </w:r>
      <w:r w:rsidRPr="00082689">
        <w:rPr>
          <w:rFonts w:ascii="Verdana" w:hAnsi="Verdana" w:cs="Arial"/>
          <w:i/>
          <w:iCs/>
        </w:rPr>
        <w:t>contratos típicos</w:t>
      </w:r>
      <w:r>
        <w:rPr>
          <w:rFonts w:ascii="Verdana" w:hAnsi="Verdana" w:cs="Arial"/>
        </w:rPr>
        <w:t xml:space="preserve"> –v. gr. compraventa, arrendamiento, mutuo, comodato, depósito, suministro, transporte, etc.–</w:t>
      </w:r>
      <w:r w:rsidRPr="00CB68C5">
        <w:rPr>
          <w:rFonts w:ascii="Verdana" w:hAnsi="Verdana" w:cs="Arial"/>
        </w:rPr>
        <w:t xml:space="preserve"> se encuentra</w:t>
      </w:r>
      <w:r>
        <w:rPr>
          <w:rFonts w:ascii="Verdana" w:hAnsi="Verdana" w:cs="Arial"/>
        </w:rPr>
        <w:t>n</w:t>
      </w:r>
      <w:r w:rsidRPr="00CB68C5">
        <w:rPr>
          <w:rFonts w:ascii="Verdana" w:hAnsi="Verdana" w:cs="Arial"/>
        </w:rPr>
        <w:t xml:space="preserve"> en el Código Civil y</w:t>
      </w:r>
      <w:r>
        <w:rPr>
          <w:rFonts w:ascii="Verdana" w:hAnsi="Verdana" w:cs="Arial"/>
        </w:rPr>
        <w:t xml:space="preserve"> en el Código de Comercio, por lo que</w:t>
      </w:r>
      <w:r w:rsidRPr="00CB68C5">
        <w:rPr>
          <w:rFonts w:ascii="Verdana" w:hAnsi="Verdana" w:cs="Arial"/>
        </w:rPr>
        <w:t xml:space="preserve"> allí encuentra</w:t>
      </w:r>
      <w:r>
        <w:rPr>
          <w:rFonts w:ascii="Verdana" w:hAnsi="Verdana" w:cs="Arial"/>
        </w:rPr>
        <w:t>n</w:t>
      </w:r>
      <w:r w:rsidRPr="00CB68C5">
        <w:rPr>
          <w:rFonts w:ascii="Verdana" w:hAnsi="Verdana" w:cs="Arial"/>
        </w:rPr>
        <w:t xml:space="preserve"> gran parte de su régimen jurídico</w:t>
      </w:r>
      <w:r>
        <w:rPr>
          <w:rFonts w:ascii="Verdana" w:hAnsi="Verdana" w:cs="Arial"/>
        </w:rPr>
        <w:t xml:space="preserve">. Sin embargo, ello no obsta para la existencia de </w:t>
      </w:r>
      <w:r w:rsidRPr="009D4B09">
        <w:rPr>
          <w:rFonts w:ascii="Verdana" w:hAnsi="Verdana" w:cs="Arial"/>
          <w:i/>
          <w:iCs/>
        </w:rPr>
        <w:t>contratos atípicos</w:t>
      </w:r>
      <w:r>
        <w:rPr>
          <w:rFonts w:ascii="Verdana" w:hAnsi="Verdana" w:cs="Arial"/>
        </w:rPr>
        <w:t>, pues –aunque no corresponden a un molde legal predefinido– en ellos obra con mayor alcance la libertad contractual. Como explica la doctrina:</w:t>
      </w:r>
    </w:p>
    <w:p w14:paraId="5C010F83" w14:textId="77777777" w:rsidR="002A5DBE" w:rsidRDefault="002A5DBE" w:rsidP="002A5DBE">
      <w:pPr>
        <w:spacing w:after="0" w:line="276" w:lineRule="auto"/>
        <w:jc w:val="both"/>
        <w:rPr>
          <w:rFonts w:ascii="Verdana" w:hAnsi="Verdana" w:cs="Arial"/>
        </w:rPr>
      </w:pPr>
    </w:p>
    <w:p w14:paraId="2FBD09B4" w14:textId="77777777" w:rsidR="002A5DBE" w:rsidRPr="005F70F5" w:rsidRDefault="002A5DBE" w:rsidP="002A5DBE">
      <w:pPr>
        <w:spacing w:after="0" w:line="240" w:lineRule="auto"/>
        <w:ind w:left="709" w:right="709"/>
        <w:jc w:val="both"/>
        <w:rPr>
          <w:rFonts w:ascii="Verdana" w:hAnsi="Verdana" w:cs="Arial"/>
          <w:sz w:val="21"/>
          <w:szCs w:val="21"/>
        </w:rPr>
      </w:pPr>
      <w:r w:rsidRPr="005F70F5">
        <w:rPr>
          <w:rFonts w:ascii="Verdana" w:hAnsi="Verdana" w:cs="Arial"/>
          <w:sz w:val="21"/>
          <w:szCs w:val="21"/>
        </w:rPr>
        <w:t>“En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los actos patrones reglamentados por la ley. ‘Bajo nuestro régimen jurídico —explica la Corte Suprema de Justicia—, la ley reglamenta ciertos tipos de contratos, lo cual no impide al tráfico moverse dentro de especies de convenciones distintas que satisfagan necesidades no previstas por el legislador, debido a que él obtiene sus materiales del pasado y se halla a menudo en retardo respecto de los hechos económicos’"</w:t>
      </w:r>
      <w:r>
        <w:rPr>
          <w:rStyle w:val="Refdenotaalpie"/>
          <w:rFonts w:ascii="Verdana" w:hAnsi="Verdana" w:cs="Arial"/>
          <w:sz w:val="21"/>
          <w:szCs w:val="21"/>
        </w:rPr>
        <w:footnoteReference w:id="3"/>
      </w:r>
      <w:r w:rsidRPr="005F70F5">
        <w:rPr>
          <w:rFonts w:ascii="Verdana" w:hAnsi="Verdana" w:cs="Arial"/>
          <w:sz w:val="21"/>
          <w:szCs w:val="21"/>
        </w:rPr>
        <w:t>.</w:t>
      </w:r>
    </w:p>
    <w:p w14:paraId="022A1490" w14:textId="77777777" w:rsidR="002A5DBE" w:rsidRDefault="002A5DBE" w:rsidP="002A5DBE">
      <w:pPr>
        <w:spacing w:after="0" w:line="276" w:lineRule="auto"/>
        <w:jc w:val="both"/>
        <w:rPr>
          <w:rFonts w:ascii="Verdana" w:hAnsi="Verdana" w:cs="Arial"/>
        </w:rPr>
      </w:pPr>
    </w:p>
    <w:p w14:paraId="23638772" w14:textId="77777777" w:rsidR="002A5DBE" w:rsidRDefault="002A5DBE" w:rsidP="002A5DBE">
      <w:pPr>
        <w:spacing w:after="120" w:line="276" w:lineRule="auto"/>
        <w:ind w:firstLine="709"/>
        <w:jc w:val="both"/>
        <w:rPr>
          <w:rFonts w:ascii="Verdana" w:eastAsia="Calibri" w:hAnsi="Verdana" w:cs="Arial"/>
          <w:color w:val="000000" w:themeColor="text1"/>
          <w:lang w:val="es-ES"/>
        </w:rPr>
      </w:pPr>
      <w:r>
        <w:rPr>
          <w:rFonts w:ascii="Verdana" w:eastAsia="Calibri" w:hAnsi="Verdana"/>
          <w:color w:val="000000" w:themeColor="text1"/>
          <w:lang w:val="es-ES_tradnl"/>
        </w:rPr>
        <w:t xml:space="preserve">De esta manera, como se explica en el Concepto C-126 del 8 de marzo de 2025, </w:t>
      </w:r>
      <w:r w:rsidRPr="4E58DF9A">
        <w:rPr>
          <w:rFonts w:ascii="Verdana" w:eastAsia="Calibri" w:hAnsi="Verdana" w:cs="Arial"/>
          <w:color w:val="000000" w:themeColor="text1"/>
          <w:lang w:val="es-ES"/>
        </w:rPr>
        <w:t xml:space="preserve">siempre que no existan restricciones especiales en el sector de energía y </w:t>
      </w:r>
      <w:r w:rsidRPr="4E58DF9A">
        <w:rPr>
          <w:rFonts w:ascii="Verdana" w:eastAsia="Calibri" w:hAnsi="Verdana" w:cs="Arial"/>
          <w:color w:val="000000" w:themeColor="text1"/>
          <w:lang w:val="es-ES"/>
        </w:rPr>
        <w:lastRenderedPageBreak/>
        <w:t>se cumplan los requisitos establecidos por las autoridades en dicho ámbito –el gobierno nacional, la Superintendencia de Servicios Públicos Domiciliarios, las comisiones de regulación, entre otras– una entidad estatal podría celebrar un acuerdo de compra de energía</w:t>
      </w:r>
      <w:r>
        <w:rPr>
          <w:rFonts w:ascii="Verdana" w:eastAsia="Calibri" w:hAnsi="Verdana" w:cs="Arial"/>
          <w:color w:val="000000" w:themeColor="text1"/>
          <w:lang w:val="es-ES"/>
        </w:rPr>
        <w:t xml:space="preserve"> –</w:t>
      </w:r>
      <w:r w:rsidRPr="00412765">
        <w:rPr>
          <w:rFonts w:ascii="Verdana" w:eastAsia="Calibri" w:hAnsi="Verdana" w:cs="Arial"/>
          <w:color w:val="000000" w:themeColor="text1"/>
          <w:lang w:val="es-ES_tradnl"/>
        </w:rPr>
        <w:t xml:space="preserve"> </w:t>
      </w:r>
      <w:proofErr w:type="spellStart"/>
      <w:r w:rsidRPr="00412765">
        <w:rPr>
          <w:rFonts w:ascii="Verdana" w:eastAsia="Calibri" w:hAnsi="Verdana" w:cs="Arial"/>
          <w:i/>
          <w:iCs/>
          <w:color w:val="000000" w:themeColor="text1"/>
          <w:lang w:val="es-ES_tradnl"/>
        </w:rPr>
        <w:t>power</w:t>
      </w:r>
      <w:proofErr w:type="spellEnd"/>
      <w:r w:rsidRPr="00412765">
        <w:rPr>
          <w:rFonts w:ascii="Verdana" w:eastAsia="Calibri" w:hAnsi="Verdana" w:cs="Arial"/>
          <w:i/>
          <w:iCs/>
          <w:color w:val="000000" w:themeColor="text1"/>
          <w:lang w:val="es-ES_tradnl"/>
        </w:rPr>
        <w:t xml:space="preserve"> </w:t>
      </w:r>
      <w:proofErr w:type="spellStart"/>
      <w:r w:rsidRPr="00412765">
        <w:rPr>
          <w:rFonts w:ascii="Verdana" w:eastAsia="Calibri" w:hAnsi="Verdana" w:cs="Arial"/>
          <w:i/>
          <w:iCs/>
          <w:color w:val="000000" w:themeColor="text1"/>
          <w:lang w:val="es-ES_tradnl"/>
        </w:rPr>
        <w:t>purchase</w:t>
      </w:r>
      <w:proofErr w:type="spellEnd"/>
      <w:r w:rsidRPr="00412765">
        <w:rPr>
          <w:rFonts w:ascii="Verdana" w:eastAsia="Calibri" w:hAnsi="Verdana" w:cs="Arial"/>
          <w:i/>
          <w:iCs/>
          <w:color w:val="000000" w:themeColor="text1"/>
          <w:lang w:val="es-ES_tradnl"/>
        </w:rPr>
        <w:t xml:space="preserve"> </w:t>
      </w:r>
      <w:proofErr w:type="spellStart"/>
      <w:r w:rsidRPr="00412765">
        <w:rPr>
          <w:rFonts w:ascii="Verdana" w:eastAsia="Calibri" w:hAnsi="Verdana" w:cs="Arial"/>
          <w:i/>
          <w:iCs/>
          <w:color w:val="000000" w:themeColor="text1"/>
          <w:lang w:val="es-ES_tradnl"/>
        </w:rPr>
        <w:t>agreement</w:t>
      </w:r>
      <w:proofErr w:type="spellEnd"/>
      <w:r w:rsidRPr="4E58DF9A">
        <w:rPr>
          <w:rFonts w:ascii="Verdana" w:eastAsia="Calibri" w:hAnsi="Verdana" w:cs="Arial"/>
          <w:color w:val="000000" w:themeColor="text1"/>
          <w:lang w:val="es-ES"/>
        </w:rPr>
        <w:t xml:space="preserve">. Ante la inexistencia de una regulación de este contrato en el Estatuto General de Contratación de la Administración Pública, su régimen se integrará por las normas especiales del sector energético y las del Derecho privado. Ahora bien, si la venta de energía también incluye </w:t>
      </w:r>
      <w:r>
        <w:rPr>
          <w:rFonts w:ascii="Verdana" w:eastAsia="Calibri" w:hAnsi="Verdana" w:cs="Arial"/>
          <w:color w:val="000000" w:themeColor="text1"/>
          <w:lang w:val="es-ES"/>
        </w:rPr>
        <w:t>elementos integrados en</w:t>
      </w:r>
      <w:r w:rsidRPr="4E58DF9A">
        <w:rPr>
          <w:rFonts w:ascii="Verdana" w:eastAsia="Calibri" w:hAnsi="Verdana" w:cs="Arial"/>
          <w:color w:val="000000" w:themeColor="text1"/>
          <w:lang w:val="es-ES"/>
        </w:rPr>
        <w:t xml:space="preserve"> alguna de las tipologías contractuales establecidas en el artículo 32 de la Ley 80 de 1993 o en normas especiales de Derecho administrativo, deberá respetarse este régimen especial. Así sucedería, por ejemplo, si la distribución de la energía se enmarca en una concesión</w:t>
      </w:r>
      <w:r w:rsidRPr="4E58DF9A">
        <w:rPr>
          <w:rStyle w:val="Refdenotaalpie"/>
          <w:rFonts w:ascii="Verdana" w:eastAsia="Calibri" w:hAnsi="Verdana" w:cs="Arial"/>
          <w:color w:val="000000" w:themeColor="text1"/>
          <w:lang w:val="es-ES"/>
        </w:rPr>
        <w:footnoteReference w:id="4"/>
      </w:r>
      <w:r w:rsidRPr="4E58DF9A">
        <w:rPr>
          <w:rFonts w:ascii="Verdana" w:eastAsia="Calibri" w:hAnsi="Verdana" w:cs="Arial"/>
          <w:color w:val="000000" w:themeColor="text1"/>
          <w:lang w:val="es-ES"/>
        </w:rPr>
        <w:t>, tal como lo señaló la Sala de Consulta y Servicio Civil del Consejo de Estado</w:t>
      </w:r>
      <w:r w:rsidRPr="4E58DF9A">
        <w:rPr>
          <w:rStyle w:val="Refdenotaalpie"/>
          <w:rFonts w:ascii="Verdana" w:eastAsia="Calibri" w:hAnsi="Verdana" w:cs="Arial"/>
          <w:color w:val="000000" w:themeColor="text1"/>
          <w:lang w:val="es-ES"/>
        </w:rPr>
        <w:footnoteReference w:id="5"/>
      </w:r>
      <w:r w:rsidRPr="4E58DF9A">
        <w:rPr>
          <w:rFonts w:ascii="Verdana" w:eastAsia="Calibri" w:hAnsi="Verdana" w:cs="Arial"/>
          <w:color w:val="000000" w:themeColor="text1"/>
          <w:lang w:val="es-ES"/>
        </w:rPr>
        <w:t>.</w:t>
      </w:r>
    </w:p>
    <w:p w14:paraId="3C4FDD8F" w14:textId="77777777" w:rsidR="002A5DBE" w:rsidRDefault="002A5DBE" w:rsidP="002A5DBE">
      <w:pPr>
        <w:spacing w:after="120" w:line="276" w:lineRule="auto"/>
        <w:ind w:firstLine="709"/>
        <w:jc w:val="both"/>
        <w:rPr>
          <w:rFonts w:ascii="Verdana" w:hAnsi="Verdana" w:cs="Arial"/>
        </w:rPr>
      </w:pPr>
      <w:r>
        <w:rPr>
          <w:rFonts w:ascii="Verdana" w:eastAsia="Calibri" w:hAnsi="Verdana" w:cs="Arial"/>
          <w:color w:val="000000" w:themeColor="text1"/>
          <w:lang w:val="es-ES"/>
        </w:rPr>
        <w:t>Con independencia de que el contrato sea típico o no, l</w:t>
      </w:r>
      <w:r w:rsidRPr="00B06BEF">
        <w:rPr>
          <w:rFonts w:ascii="Verdana" w:hAnsi="Verdana" w:cs="Arial"/>
        </w:rPr>
        <w:t xml:space="preserve">as entidades estatales deben sujetarse </w:t>
      </w:r>
      <w:r>
        <w:rPr>
          <w:rFonts w:ascii="Verdana" w:hAnsi="Verdana" w:cs="Arial"/>
        </w:rPr>
        <w:t>a las normas presupuestales</w:t>
      </w:r>
      <w:r w:rsidRPr="00B06BEF">
        <w:rPr>
          <w:rFonts w:ascii="Verdana" w:hAnsi="Verdana" w:cs="Arial"/>
        </w:rPr>
        <w:t>,</w:t>
      </w:r>
      <w:r>
        <w:rPr>
          <w:rFonts w:ascii="Verdana" w:hAnsi="Verdana" w:cs="Arial"/>
        </w:rPr>
        <w:t xml:space="preserve"> ya que los contratos estatales son una de las principales fuentes de ejecución de recursos públicos. Respecto al principio de economía, los numerales 6, 13 y 14 del artículo 25 del Estatuto General de Contratación de la Administración Pública disponen que las </w:t>
      </w:r>
      <w:r w:rsidRPr="00220FAE">
        <w:rPr>
          <w:rFonts w:ascii="Verdana" w:hAnsi="Verdana" w:cs="Arial"/>
        </w:rPr>
        <w:t>entidades estatales s</w:t>
      </w:r>
      <w:r>
        <w:rPr>
          <w:rFonts w:ascii="Verdana" w:hAnsi="Verdana" w:cs="Arial"/>
        </w:rPr>
        <w:t>ólo</w:t>
      </w:r>
      <w:r w:rsidRPr="00220FAE">
        <w:rPr>
          <w:rFonts w:ascii="Verdana" w:hAnsi="Verdana" w:cs="Arial"/>
        </w:rPr>
        <w:t xml:space="preserve"> iniciar</w:t>
      </w:r>
      <w:r>
        <w:rPr>
          <w:rFonts w:ascii="Verdana" w:hAnsi="Verdana" w:cs="Arial"/>
        </w:rPr>
        <w:t>án</w:t>
      </w:r>
      <w:r w:rsidRPr="00220FAE">
        <w:rPr>
          <w:rFonts w:ascii="Verdana" w:hAnsi="Verdana" w:cs="Arial"/>
        </w:rPr>
        <w:t xml:space="preserve"> procesos contractuales si cuentan con respaldo presupuestal suficiente, incluyendo reservas </w:t>
      </w:r>
      <w:r>
        <w:rPr>
          <w:rFonts w:ascii="Verdana" w:hAnsi="Verdana" w:cs="Arial"/>
        </w:rPr>
        <w:t>para las cláusulas de actualización de precios</w:t>
      </w:r>
      <w:r w:rsidRPr="00220FAE">
        <w:rPr>
          <w:rFonts w:ascii="Verdana" w:hAnsi="Verdana" w:cs="Arial"/>
        </w:rPr>
        <w:t xml:space="preserve"> y </w:t>
      </w:r>
      <w:r>
        <w:rPr>
          <w:rFonts w:ascii="Verdana" w:hAnsi="Verdana" w:cs="Arial"/>
        </w:rPr>
        <w:t>los</w:t>
      </w:r>
      <w:r w:rsidRPr="00220FAE">
        <w:rPr>
          <w:rFonts w:ascii="Verdana" w:hAnsi="Verdana" w:cs="Arial"/>
        </w:rPr>
        <w:t xml:space="preserve"> imprevistos derivados de retrasos en pagos o </w:t>
      </w:r>
      <w:r>
        <w:rPr>
          <w:rFonts w:ascii="Verdana" w:hAnsi="Verdana" w:cs="Arial"/>
        </w:rPr>
        <w:t xml:space="preserve">la revisión de precios por alteración de las condiciones iniciales del negocio jurídico. Asimismo, el inciso segundo del artículo 41 </w:t>
      </w:r>
      <w:r w:rsidRPr="00DA3842">
        <w:rPr>
          <w:rFonts w:ascii="Verdana" w:hAnsi="Verdana" w:cs="Arial"/>
          <w:i/>
          <w:iCs/>
        </w:rPr>
        <w:t>ibidem</w:t>
      </w:r>
      <w:r>
        <w:rPr>
          <w:rFonts w:ascii="Verdana" w:hAnsi="Verdana" w:cs="Arial"/>
        </w:rPr>
        <w:t xml:space="preserve"> –modificado por el artículo 23 de la Ley 1150 de 2007– eleva el registro presupuestal a requisito de ejecución de los contratos. Como explica la doctrina, tanto en la fase preparatoria como en la de formalización, las normas del sistema de compras públicas exigen el cumplimiento de la legalidad presupuestaría</w:t>
      </w:r>
      <w:r>
        <w:rPr>
          <w:rStyle w:val="Refdenotaalpie"/>
          <w:rFonts w:ascii="Verdana" w:hAnsi="Verdana" w:cs="Arial"/>
        </w:rPr>
        <w:footnoteReference w:id="6"/>
      </w:r>
      <w:r>
        <w:rPr>
          <w:rFonts w:ascii="Verdana" w:hAnsi="Verdana" w:cs="Arial"/>
        </w:rPr>
        <w:t>.</w:t>
      </w:r>
    </w:p>
    <w:p w14:paraId="5EF389D1" w14:textId="77777777" w:rsidR="002A5DBE" w:rsidRDefault="002A5DBE" w:rsidP="002A5DBE">
      <w:pPr>
        <w:pStyle w:val="Textoindependiente"/>
        <w:spacing w:after="0"/>
        <w:ind w:firstLine="708"/>
        <w:jc w:val="both"/>
        <w:rPr>
          <w:rFonts w:ascii="Verdana" w:hAnsi="Verdana"/>
          <w:color w:val="000000" w:themeColor="text1"/>
        </w:rPr>
      </w:pPr>
      <w:r w:rsidRPr="00644707">
        <w:rPr>
          <w:rFonts w:ascii="Verdana" w:hAnsi="Verdana"/>
          <w:color w:val="000000" w:themeColor="text1"/>
        </w:rPr>
        <w:lastRenderedPageBreak/>
        <w:t>Entre los principios que rigen el sistema presupuestal, se encuentra el de anualidad del gasto público. Conforme a los artículos 346 y 347 de la Constitución Política, este indica que el Gobierno debe formular anualmente el presupuesto de rentas y la ley de apropiaciones, el cual deberá contener la totalidad de los gastos que el Estado pretenda realizar durante la vigencia fiscal.</w:t>
      </w:r>
      <w:r>
        <w:rPr>
          <w:rFonts w:ascii="Verdana" w:hAnsi="Verdana"/>
          <w:color w:val="000000" w:themeColor="text1"/>
        </w:rPr>
        <w:t xml:space="preserve"> </w:t>
      </w:r>
      <w:r w:rsidRPr="00644707">
        <w:rPr>
          <w:rFonts w:ascii="Verdana" w:hAnsi="Verdana"/>
          <w:color w:val="000000" w:themeColor="text1"/>
        </w:rPr>
        <w:t>Dicho principio, según lo dispuesto en el artículo 14 del Estatuto Orgánico del Presupuesto consiste en que “Después del 31 de diciembre no podrán asumirse compromisos con cargo a las apropiaciones del año fiscal que se cierra en esa fecha y los saldos de apropiación no afectados por compromisos caducarán sin excepción”. Es decir, por regla general los gastos previstos en el presupuesto anual se deben ejecutar dentro de una vigencia fiscal. En el mismo sentido, el principio de anualidad se consolida como la regla general</w:t>
      </w:r>
      <w:r w:rsidRPr="00644707">
        <w:rPr>
          <w:rFonts w:ascii="Verdana" w:hAnsi="Verdana"/>
          <w:i/>
          <w:color w:val="000000" w:themeColor="text1"/>
        </w:rPr>
        <w:t xml:space="preserve">, </w:t>
      </w:r>
      <w:r w:rsidRPr="00644707">
        <w:rPr>
          <w:rFonts w:ascii="Verdana" w:hAnsi="Verdana"/>
          <w:color w:val="000000" w:themeColor="text1"/>
        </w:rPr>
        <w:t>al establecer –según lo indicado en el artículo 8</w:t>
      </w:r>
      <w:r>
        <w:rPr>
          <w:rFonts w:ascii="Verdana" w:hAnsi="Verdana"/>
          <w:color w:val="000000" w:themeColor="text1"/>
        </w:rPr>
        <w:t>9</w:t>
      </w:r>
      <w:r w:rsidRPr="00644707">
        <w:rPr>
          <w:rFonts w:ascii="Verdana" w:hAnsi="Verdana"/>
          <w:color w:val="000000" w:themeColor="text1"/>
        </w:rPr>
        <w:t xml:space="preserve"> </w:t>
      </w:r>
      <w:r w:rsidRPr="00644707">
        <w:rPr>
          <w:rFonts w:ascii="Verdana" w:hAnsi="Verdana"/>
          <w:i/>
          <w:color w:val="000000" w:themeColor="text1"/>
        </w:rPr>
        <w:t>ibidem</w:t>
      </w:r>
      <w:r w:rsidRPr="00644707">
        <w:rPr>
          <w:rFonts w:ascii="Verdana" w:hAnsi="Verdana"/>
          <w:color w:val="000000" w:themeColor="text1"/>
        </w:rPr>
        <w:t>– que las apropiaciones presupuestales son autorizaciones máximas de gasto que el Congreso aprueba para ser ejecutadas o comprometidas durante la vigencia fiscal respectiva, por lo que después del 31 de diciembre de cada año estas autorizaciones expiran y, en consecuencia, no podrán comprometerse, adicionarse ni transferirse.</w:t>
      </w:r>
      <w:r>
        <w:rPr>
          <w:rFonts w:ascii="Verdana" w:hAnsi="Verdana"/>
          <w:color w:val="000000" w:themeColor="text1"/>
        </w:rPr>
        <w:t xml:space="preserve"> Por ello, la doctrina explica que:</w:t>
      </w:r>
    </w:p>
    <w:p w14:paraId="3FFB1315" w14:textId="77777777" w:rsidR="002A5DBE" w:rsidRDefault="002A5DBE" w:rsidP="002A5DBE">
      <w:pPr>
        <w:pStyle w:val="Textoindependiente"/>
        <w:spacing w:after="0"/>
        <w:ind w:firstLine="708"/>
        <w:jc w:val="both"/>
        <w:rPr>
          <w:rFonts w:ascii="Verdana" w:hAnsi="Verdana"/>
          <w:color w:val="000000" w:themeColor="text1"/>
        </w:rPr>
      </w:pPr>
    </w:p>
    <w:p w14:paraId="1E17E5A5" w14:textId="77777777" w:rsidR="002A5DBE" w:rsidRPr="00644707" w:rsidRDefault="002A5DBE" w:rsidP="002A5DBE">
      <w:pPr>
        <w:pStyle w:val="Textoindependiente"/>
        <w:spacing w:line="240" w:lineRule="auto"/>
        <w:ind w:left="709" w:right="709"/>
        <w:jc w:val="both"/>
        <w:rPr>
          <w:rFonts w:ascii="Verdana" w:hAnsi="Verdana"/>
          <w:color w:val="000000" w:themeColor="text1"/>
          <w:sz w:val="20"/>
          <w:szCs w:val="20"/>
        </w:rPr>
      </w:pPr>
      <w:r w:rsidRPr="00644707">
        <w:rPr>
          <w:rFonts w:ascii="Verdana" w:hAnsi="Verdana"/>
          <w:color w:val="000000" w:themeColor="text1"/>
          <w:sz w:val="20"/>
          <w:szCs w:val="20"/>
        </w:rPr>
        <w:t>“[…] el presupuesto es un acto de autorización de gastos, en cuanto limita jurídicamente la ejecución del mismo en un triple sentido:</w:t>
      </w:r>
    </w:p>
    <w:p w14:paraId="15D1BCB1" w14:textId="77777777" w:rsidR="002A5DBE" w:rsidRPr="00644707" w:rsidRDefault="002A5DBE" w:rsidP="002A5DBE">
      <w:pPr>
        <w:pStyle w:val="Textoindependiente"/>
        <w:spacing w:line="240" w:lineRule="auto"/>
        <w:ind w:left="709" w:right="709"/>
        <w:jc w:val="both"/>
        <w:rPr>
          <w:rFonts w:ascii="Verdana" w:hAnsi="Verdana"/>
          <w:color w:val="000000" w:themeColor="text1"/>
          <w:sz w:val="20"/>
          <w:szCs w:val="20"/>
        </w:rPr>
      </w:pPr>
      <w:r w:rsidRPr="00644707">
        <w:rPr>
          <w:rFonts w:ascii="Verdana" w:hAnsi="Verdana"/>
          <w:color w:val="000000" w:themeColor="text1"/>
          <w:sz w:val="20"/>
          <w:szCs w:val="20"/>
        </w:rPr>
        <w:t>a) Temporal, pues las obligaciones deben satisfacerse dentro de un determinado período. La periodicidad es en nuestro país de un año y se lo denomina ‘año financiero o ejercicio financiero’.</w:t>
      </w:r>
    </w:p>
    <w:p w14:paraId="2A408C4C" w14:textId="77777777" w:rsidR="002A5DBE" w:rsidRPr="00644707" w:rsidRDefault="002A5DBE" w:rsidP="002A5DBE">
      <w:pPr>
        <w:pStyle w:val="Textoindependiente"/>
        <w:spacing w:line="240" w:lineRule="auto"/>
        <w:ind w:left="709" w:right="709"/>
        <w:jc w:val="both"/>
        <w:rPr>
          <w:rFonts w:ascii="Verdana" w:hAnsi="Verdana"/>
          <w:color w:val="000000" w:themeColor="text1"/>
          <w:sz w:val="20"/>
          <w:szCs w:val="20"/>
        </w:rPr>
      </w:pPr>
      <w:r w:rsidRPr="00644707">
        <w:rPr>
          <w:rFonts w:ascii="Verdana" w:hAnsi="Verdana"/>
          <w:color w:val="000000" w:themeColor="text1"/>
          <w:sz w:val="20"/>
          <w:szCs w:val="20"/>
        </w:rPr>
        <w:t>b ) Cualitativo, pues marca el principio de la especificación o de la especialidad, indicándole a la Administración de manera clara y categórica qué es lo que puede gastar.</w:t>
      </w:r>
    </w:p>
    <w:p w14:paraId="095309B8" w14:textId="77777777" w:rsidR="002A5DBE" w:rsidRDefault="002A5DBE" w:rsidP="002A5DBE">
      <w:pPr>
        <w:pStyle w:val="Textoindependiente"/>
        <w:spacing w:after="0" w:line="240" w:lineRule="auto"/>
        <w:ind w:left="709" w:right="709"/>
        <w:jc w:val="both"/>
        <w:rPr>
          <w:rFonts w:ascii="Verdana" w:hAnsi="Verdana"/>
          <w:color w:val="000000" w:themeColor="text1"/>
        </w:rPr>
      </w:pPr>
      <w:r w:rsidRPr="00644707">
        <w:rPr>
          <w:rFonts w:ascii="Verdana" w:hAnsi="Verdana"/>
          <w:color w:val="000000" w:themeColor="text1"/>
          <w:sz w:val="20"/>
          <w:szCs w:val="20"/>
        </w:rPr>
        <w:t>c) Cuantitativo, por cuanto las cifras consignadas constituyen el ‘máximo’ que la Administración puede gastar”</w:t>
      </w:r>
      <w:r>
        <w:rPr>
          <w:rStyle w:val="Refdenotaalpie"/>
          <w:rFonts w:ascii="Verdana" w:hAnsi="Verdana"/>
          <w:color w:val="000000" w:themeColor="text1"/>
          <w:sz w:val="20"/>
          <w:szCs w:val="20"/>
        </w:rPr>
        <w:footnoteReference w:id="7"/>
      </w:r>
      <w:r w:rsidRPr="00644707">
        <w:rPr>
          <w:rFonts w:ascii="Verdana" w:hAnsi="Verdana"/>
          <w:color w:val="000000" w:themeColor="text1"/>
          <w:sz w:val="20"/>
          <w:szCs w:val="20"/>
        </w:rPr>
        <w:t>.</w:t>
      </w:r>
    </w:p>
    <w:p w14:paraId="51A87D9B" w14:textId="77777777" w:rsidR="002A5DBE" w:rsidRPr="00644707" w:rsidRDefault="002A5DBE" w:rsidP="002A5DBE">
      <w:pPr>
        <w:pStyle w:val="Textoindependiente"/>
        <w:spacing w:after="0"/>
        <w:ind w:left="709" w:right="709"/>
        <w:jc w:val="both"/>
        <w:rPr>
          <w:rFonts w:ascii="Verdana" w:hAnsi="Verdana"/>
          <w:color w:val="000000" w:themeColor="text1"/>
        </w:rPr>
      </w:pPr>
    </w:p>
    <w:p w14:paraId="47E79221" w14:textId="77777777" w:rsidR="002A5DBE" w:rsidRPr="00644707" w:rsidRDefault="002A5DBE" w:rsidP="002A5DBE">
      <w:pPr>
        <w:pStyle w:val="Textoindependiente"/>
        <w:spacing w:after="0"/>
        <w:ind w:firstLine="708"/>
        <w:jc w:val="both"/>
        <w:rPr>
          <w:rFonts w:ascii="Verdana" w:hAnsi="Verdana"/>
          <w:color w:val="000000" w:themeColor="text1"/>
        </w:rPr>
      </w:pPr>
      <w:r w:rsidRPr="00644707">
        <w:rPr>
          <w:rFonts w:ascii="Verdana" w:hAnsi="Verdana"/>
          <w:color w:val="000000" w:themeColor="text1"/>
        </w:rPr>
        <w:t>El artículo 7</w:t>
      </w:r>
      <w:r>
        <w:rPr>
          <w:rFonts w:ascii="Verdana" w:hAnsi="Verdana"/>
          <w:color w:val="000000" w:themeColor="text1"/>
        </w:rPr>
        <w:t>1</w:t>
      </w:r>
      <w:r w:rsidRPr="00644707">
        <w:rPr>
          <w:rFonts w:ascii="Verdana" w:hAnsi="Verdana"/>
          <w:color w:val="000000" w:themeColor="text1"/>
        </w:rPr>
        <w:t xml:space="preserve"> del Estatuto Orgánico de Presupuesto establece que las decisiones de las entidades públicas que afecten las apropiaciones </w:t>
      </w:r>
      <w:r w:rsidRPr="00644707">
        <w:rPr>
          <w:rFonts w:ascii="Verdana" w:hAnsi="Verdana"/>
          <w:color w:val="000000" w:themeColor="text1"/>
        </w:rPr>
        <w:lastRenderedPageBreak/>
        <w:t>presupuestales deben contar con un certificado de disponibilidad y registro presupuestal de manera que se garantice la existencia de los recursos y que estos sean destinados a la finalidad identificada. Por su parte, el numeral 6 del artículo 25 de la Ley 80 de 1993 prescribe que las entidades estatales deben iniciar sus procesos de contratación cuando existan las partidas o disponibilidades presupuestales. Asimismo, el Estatuto General de Contratación dispone que la existencia de las disponibilidades presupuestales correspondientes es un requisito de ejecución del contrato a menos que se trate de contratación con recursos de vigencia futuras. Por ello, el inciso segundo del artículo 41 de la Ley 80 de 1993 –modificado</w:t>
      </w:r>
      <w:r w:rsidRPr="00644707">
        <w:rPr>
          <w:rFonts w:ascii="Verdana" w:hAnsi="Verdana"/>
        </w:rPr>
        <w:t xml:space="preserve"> </w:t>
      </w:r>
      <w:r w:rsidRPr="00644707">
        <w:rPr>
          <w:rFonts w:ascii="Verdana" w:hAnsi="Verdana"/>
          <w:color w:val="000000" w:themeColor="text1"/>
        </w:rPr>
        <w:t>por el artículo 23 de la Ley 1150 de 2007– dispone lo siguiente:</w:t>
      </w:r>
    </w:p>
    <w:p w14:paraId="19DDC845" w14:textId="77777777" w:rsidR="002A5DBE" w:rsidRPr="00644707" w:rsidRDefault="002A5DBE" w:rsidP="002A5DBE">
      <w:pPr>
        <w:pStyle w:val="Textoindependiente"/>
        <w:rPr>
          <w:rFonts w:ascii="Verdana" w:hAnsi="Verdana"/>
          <w:color w:val="000000" w:themeColor="text1"/>
          <w:sz w:val="24"/>
        </w:rPr>
      </w:pPr>
    </w:p>
    <w:p w14:paraId="6C58AF18" w14:textId="77777777" w:rsidR="002A5DBE" w:rsidRPr="00644707" w:rsidRDefault="002A5DBE" w:rsidP="002A5DBE">
      <w:pPr>
        <w:spacing w:after="0" w:line="240" w:lineRule="auto"/>
        <w:ind w:left="709" w:right="709"/>
        <w:jc w:val="both"/>
        <w:rPr>
          <w:rFonts w:ascii="Verdana" w:hAnsi="Verdana" w:cs="Arial"/>
          <w:color w:val="000000" w:themeColor="text1"/>
          <w:sz w:val="20"/>
          <w:szCs w:val="20"/>
        </w:rPr>
      </w:pPr>
      <w:r w:rsidRPr="00644707">
        <w:rPr>
          <w:rFonts w:ascii="Verdana" w:hAnsi="Verdana" w:cs="Arial"/>
          <w:color w:val="000000" w:themeColor="text1"/>
          <w:sz w:val="20"/>
          <w:szCs w:val="20"/>
        </w:rPr>
        <w:t>“</w:t>
      </w:r>
      <w:r w:rsidRPr="00644707">
        <w:rPr>
          <w:rFonts w:ascii="Verdana" w:hAnsi="Verdana" w:cs="Arial"/>
          <w:i/>
          <w:iCs/>
          <w:color w:val="000000" w:themeColor="text1"/>
          <w:sz w:val="20"/>
          <w:szCs w:val="20"/>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w:t>
      </w:r>
      <w:r w:rsidRPr="00644707">
        <w:rPr>
          <w:rFonts w:ascii="Verdana" w:hAnsi="Verdana" w:cs="Arial"/>
          <w:color w:val="000000" w:themeColor="text1"/>
          <w:sz w:val="20"/>
          <w:szCs w:val="20"/>
        </w:rPr>
        <w:t>. El proponente y el contratista deberán acreditar que se encuentran al día en el pago de aportes parafiscales relativos al Sistema de Seguridad Social Integral, así como los propios del Sena, ICBF y Cajas de Compensación Familiar, cuando</w:t>
      </w:r>
      <w:r w:rsidRPr="00644707">
        <w:rPr>
          <w:rFonts w:ascii="Verdana" w:hAnsi="Verdana" w:cs="Arial"/>
          <w:color w:val="000000" w:themeColor="text1"/>
          <w:spacing w:val="-13"/>
          <w:sz w:val="20"/>
          <w:szCs w:val="20"/>
        </w:rPr>
        <w:t xml:space="preserve"> </w:t>
      </w:r>
      <w:r w:rsidRPr="00644707">
        <w:rPr>
          <w:rFonts w:ascii="Verdana" w:hAnsi="Verdana" w:cs="Arial"/>
          <w:color w:val="000000" w:themeColor="text1"/>
          <w:sz w:val="20"/>
          <w:szCs w:val="20"/>
        </w:rPr>
        <w:t>corresponda” (Énfasis fuera de texto).</w:t>
      </w:r>
    </w:p>
    <w:p w14:paraId="2142161E" w14:textId="77777777" w:rsidR="002A5DBE" w:rsidRPr="00644707" w:rsidRDefault="002A5DBE" w:rsidP="002A5DBE">
      <w:pPr>
        <w:pStyle w:val="Textoindependiente"/>
        <w:spacing w:after="0"/>
        <w:rPr>
          <w:rFonts w:ascii="Verdana" w:hAnsi="Verdana"/>
          <w:color w:val="000000" w:themeColor="text1"/>
          <w:sz w:val="24"/>
        </w:rPr>
      </w:pPr>
    </w:p>
    <w:p w14:paraId="7F575409" w14:textId="77777777" w:rsidR="002A5DBE" w:rsidRPr="00644707" w:rsidRDefault="002A5DBE" w:rsidP="002A5DBE">
      <w:pPr>
        <w:pStyle w:val="Textoindependiente"/>
        <w:ind w:firstLine="709"/>
        <w:jc w:val="both"/>
        <w:rPr>
          <w:rFonts w:ascii="Verdana" w:hAnsi="Verdana"/>
          <w:color w:val="000000" w:themeColor="text1"/>
        </w:rPr>
      </w:pPr>
      <w:r w:rsidRPr="00644707">
        <w:rPr>
          <w:rFonts w:ascii="Verdana" w:hAnsi="Verdana"/>
          <w:color w:val="000000" w:themeColor="text1"/>
        </w:rPr>
        <w:t>De esta manera, los contratos celebrados por las entidades estatales no solo deben tener el respectivo respaldo presupuestal, sino que, por regla general, deben ser ejecutados en la vigencia fiscal respectiva. No obstante, existen algunas situaciones que impiden ejecutar las obligaciones contractuales durante la vigencia fiscal en la que el contrato fue celebrado, lo que quiere decir que no siempre debe aplicarse de manera restrictiva el principio de anualidad del gasto, pues aquellas podrán ser ejecutadas en las siguientes vigencias.</w:t>
      </w:r>
    </w:p>
    <w:p w14:paraId="543FE6FD" w14:textId="77777777" w:rsidR="002A5DBE" w:rsidRPr="00644707" w:rsidRDefault="002A5DBE" w:rsidP="002A5DBE">
      <w:pPr>
        <w:pStyle w:val="Textoindependiente"/>
        <w:ind w:firstLine="709"/>
        <w:jc w:val="both"/>
        <w:rPr>
          <w:rFonts w:ascii="Verdana" w:hAnsi="Verdana"/>
          <w:color w:val="000000" w:themeColor="text1"/>
        </w:rPr>
      </w:pPr>
      <w:r w:rsidRPr="00644707">
        <w:rPr>
          <w:rFonts w:ascii="Verdana" w:hAnsi="Verdana"/>
          <w:color w:val="000000" w:themeColor="text1"/>
        </w:rPr>
        <w:t xml:space="preserve">Es decir, el principio de anualidad del gasto tiene excepciones, y entre estas se encuentran: i) las vigencias futuras, </w:t>
      </w:r>
      <w:proofErr w:type="spellStart"/>
      <w:r w:rsidRPr="00644707">
        <w:rPr>
          <w:rFonts w:ascii="Verdana" w:hAnsi="Verdana"/>
          <w:color w:val="000000" w:themeColor="text1"/>
        </w:rPr>
        <w:t>ii</w:t>
      </w:r>
      <w:proofErr w:type="spellEnd"/>
      <w:r w:rsidRPr="00644707">
        <w:rPr>
          <w:rFonts w:ascii="Verdana" w:hAnsi="Verdana"/>
          <w:color w:val="000000" w:themeColor="text1"/>
        </w:rPr>
        <w:t xml:space="preserve">) las cuentas por pagar y </w:t>
      </w:r>
      <w:proofErr w:type="spellStart"/>
      <w:r w:rsidRPr="00644707">
        <w:rPr>
          <w:rFonts w:ascii="Verdana" w:hAnsi="Verdana"/>
          <w:color w:val="000000" w:themeColor="text1"/>
        </w:rPr>
        <w:t>iii</w:t>
      </w:r>
      <w:proofErr w:type="spellEnd"/>
      <w:r w:rsidRPr="00644707">
        <w:rPr>
          <w:rFonts w:ascii="Verdana" w:hAnsi="Verdana"/>
          <w:color w:val="000000" w:themeColor="text1"/>
        </w:rPr>
        <w:t xml:space="preserve">) las reservas presupuestales. </w:t>
      </w:r>
      <w:r w:rsidRPr="00644707">
        <w:rPr>
          <w:rFonts w:ascii="Verdana" w:hAnsi="Verdana"/>
          <w:i/>
          <w:iCs/>
          <w:color w:val="000000" w:themeColor="text1"/>
        </w:rPr>
        <w:t>Las primeras</w:t>
      </w:r>
      <w:r w:rsidRPr="00644707">
        <w:rPr>
          <w:rFonts w:ascii="Verdana" w:hAnsi="Verdana"/>
          <w:color w:val="000000" w:themeColor="text1"/>
        </w:rPr>
        <w:t xml:space="preserve"> se refieren a la autorización que deben solicitar las entidades para asumir obligaciones que afectarán los presupuestos </w:t>
      </w:r>
      <w:r>
        <w:rPr>
          <w:rFonts w:ascii="Verdana" w:hAnsi="Verdana"/>
          <w:color w:val="000000" w:themeColor="text1"/>
        </w:rPr>
        <w:t>siguientes a los de la vigencia fiscal en la que se suscribió el contrato</w:t>
      </w:r>
      <w:r w:rsidRPr="00644707">
        <w:rPr>
          <w:rFonts w:ascii="Verdana" w:hAnsi="Verdana"/>
          <w:color w:val="000000" w:themeColor="text1"/>
        </w:rPr>
        <w:t xml:space="preserve">; </w:t>
      </w:r>
      <w:r w:rsidRPr="00644707">
        <w:rPr>
          <w:rFonts w:ascii="Verdana" w:hAnsi="Verdana"/>
          <w:i/>
          <w:iCs/>
          <w:color w:val="000000" w:themeColor="text1"/>
        </w:rPr>
        <w:t>las segundas</w:t>
      </w:r>
      <w:r w:rsidRPr="00644707">
        <w:rPr>
          <w:rFonts w:ascii="Verdana" w:hAnsi="Verdana"/>
          <w:color w:val="000000" w:themeColor="text1"/>
        </w:rPr>
        <w:t xml:space="preserve"> consisten en obligaciones cumplidas en la vigencia actual, de las cuales solo se encuentra pendiente el pago, de acuerdo con los compromisos presupuestales adquiridos por la entidad; y </w:t>
      </w:r>
      <w:r w:rsidRPr="00644707">
        <w:rPr>
          <w:rFonts w:ascii="Verdana" w:hAnsi="Verdana"/>
          <w:i/>
          <w:iCs/>
          <w:color w:val="000000" w:themeColor="text1"/>
        </w:rPr>
        <w:t>las terceras</w:t>
      </w:r>
      <w:r w:rsidRPr="00644707">
        <w:rPr>
          <w:rFonts w:ascii="Verdana" w:hAnsi="Verdana"/>
          <w:color w:val="000000" w:themeColor="text1"/>
        </w:rPr>
        <w:t xml:space="preserve"> se generan cuando el compromiso es legalmente constituido pero su objeto no fue cumplido dentro </w:t>
      </w:r>
      <w:r w:rsidRPr="00644707">
        <w:rPr>
          <w:rFonts w:ascii="Verdana" w:hAnsi="Verdana"/>
          <w:color w:val="000000" w:themeColor="text1"/>
        </w:rPr>
        <w:lastRenderedPageBreak/>
        <w:t>del año fiscal que finaliza, por lo que se pagará con cargo a la reserva constituida de la vigencia siguiente.</w:t>
      </w:r>
    </w:p>
    <w:p w14:paraId="328D4C35" w14:textId="77777777" w:rsidR="002A5DBE" w:rsidRDefault="002A5DBE" w:rsidP="002A5DBE">
      <w:pPr>
        <w:spacing w:after="120" w:line="276" w:lineRule="auto"/>
        <w:ind w:firstLine="709"/>
        <w:jc w:val="both"/>
        <w:rPr>
          <w:rFonts w:ascii="Verdana" w:hAnsi="Verdana"/>
          <w:color w:val="000000" w:themeColor="text1"/>
        </w:rPr>
      </w:pPr>
      <w:r w:rsidRPr="00644707">
        <w:rPr>
          <w:rFonts w:ascii="Verdana" w:hAnsi="Verdana"/>
          <w:color w:val="000000" w:themeColor="text1"/>
        </w:rPr>
        <w:t xml:space="preserve">Respecto a las vigencias futuras, estas se dividen en ordinarias y extraordinarias. Las </w:t>
      </w:r>
      <w:r w:rsidRPr="00644707">
        <w:rPr>
          <w:rFonts w:ascii="Verdana" w:hAnsi="Verdana"/>
          <w:i/>
          <w:iCs/>
          <w:color w:val="000000" w:themeColor="text1"/>
        </w:rPr>
        <w:t>vigencias futuras ordinarias</w:t>
      </w:r>
      <w:r w:rsidRPr="00644707">
        <w:rPr>
          <w:rFonts w:ascii="Verdana" w:hAnsi="Verdana"/>
          <w:color w:val="000000" w:themeColor="text1"/>
        </w:rPr>
        <w:t xml:space="preserve"> son aquellas donde la ejecución inicia afectando el presupuesto de la vigencia en curso y el objeto del compromiso se lleva a cabo en cada una de las vigencias futuras autorizadas. Por su parte, las </w:t>
      </w:r>
      <w:r w:rsidRPr="00644707">
        <w:rPr>
          <w:rFonts w:ascii="Verdana" w:hAnsi="Verdana"/>
          <w:i/>
          <w:iCs/>
          <w:color w:val="000000" w:themeColor="text1"/>
        </w:rPr>
        <w:t>vigencias futuras excepcionales</w:t>
      </w:r>
      <w:r w:rsidRPr="00644707">
        <w:rPr>
          <w:rFonts w:ascii="Verdana" w:hAnsi="Verdana"/>
          <w:color w:val="000000" w:themeColor="text1"/>
        </w:rPr>
        <w:t xml:space="preserve"> son aquellas donde los compromisos y obligaciones afectan el presupuesto de vigencias fiscales siguientes, no requieren de apropiación en el presupuesto de la vigencia en que se autoriza y se conceden para obras de infraestructura, energía, comunicaciones, aeronáutica, defensa y seguridad, así como para las garantías a las concesiones.</w:t>
      </w:r>
    </w:p>
    <w:p w14:paraId="71B14DFD" w14:textId="77777777" w:rsidR="002A5DBE" w:rsidRDefault="002A5DBE" w:rsidP="002A5DBE">
      <w:pPr>
        <w:spacing w:after="120" w:line="276" w:lineRule="auto"/>
        <w:ind w:firstLine="709"/>
        <w:jc w:val="both"/>
        <w:rPr>
          <w:rFonts w:ascii="Verdana" w:eastAsia="Calibri" w:hAnsi="Verdana" w:cs="Arial"/>
          <w:color w:val="000000" w:themeColor="text1"/>
          <w:lang w:val="es-ES"/>
        </w:rPr>
      </w:pPr>
      <w:r w:rsidRPr="00955D0D">
        <w:rPr>
          <w:rFonts w:ascii="Verdana" w:eastAsia="Calibri" w:hAnsi="Verdana" w:cs="Arial"/>
          <w:color w:val="000000" w:themeColor="text1"/>
          <w:lang w:val="es-ES"/>
        </w:rPr>
        <w:t>La autorización de vigencias futuras se realiza con estricta sujeción a lo previsto en los artículos 10 y 11 de la Ley 819 de 2003</w:t>
      </w:r>
      <w:r>
        <w:rPr>
          <w:rFonts w:ascii="Verdana" w:eastAsia="Calibri" w:hAnsi="Verdana" w:cs="Arial"/>
          <w:color w:val="000000" w:themeColor="text1"/>
          <w:lang w:val="es-ES"/>
        </w:rPr>
        <w:t xml:space="preserve"> para las entidades del Presupuesto General de la Nación. Luego, lo que define su necesidad no es el objeto contractual ni la tipología aplicable al negocio jurídico. Si de la fase de planeación, se deriva la ejecución de obligaciones por más de dos (2) vigencias fiscales, es posible excepcionar el principio de anualidad siempre que se cumplan los requisitos de las normas precitadas. De lo contrario, si la planeación contractual se limita a la vigencia en curso –o siendo necesarias dos (2) o más de éstas, no se cumple lo previsto en la Ley 819 de 2003–, aplicará la regla general de anualidad presupuestaria, sin que el trámite requiera comprometer vigencias futuras</w:t>
      </w:r>
      <w:r>
        <w:rPr>
          <w:rStyle w:val="Refdenotaalpie"/>
          <w:rFonts w:ascii="Verdana" w:eastAsia="Calibri" w:hAnsi="Verdana" w:cs="Arial"/>
          <w:color w:val="000000" w:themeColor="text1"/>
          <w:lang w:val="es-ES"/>
        </w:rPr>
        <w:footnoteReference w:id="8"/>
      </w:r>
      <w:r>
        <w:rPr>
          <w:rFonts w:ascii="Verdana" w:eastAsia="Calibri" w:hAnsi="Verdana" w:cs="Arial"/>
          <w:color w:val="000000" w:themeColor="text1"/>
          <w:lang w:val="es-ES"/>
        </w:rPr>
        <w:t xml:space="preserve">.  </w:t>
      </w:r>
    </w:p>
    <w:p w14:paraId="3A09E0B7" w14:textId="77777777" w:rsidR="002A5DBE" w:rsidRPr="00644707" w:rsidRDefault="002A5DBE" w:rsidP="002A5DBE">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En lo referente a la garantía de cumplimiento, </w:t>
      </w:r>
      <w:r w:rsidRPr="00CA6FDA">
        <w:rPr>
          <w:rFonts w:ascii="Verdana" w:eastAsia="Calibri" w:hAnsi="Verdana" w:cs="Arial"/>
          <w:color w:val="000000" w:themeColor="text1"/>
          <w:lang w:val="es-ES"/>
        </w:rPr>
        <w:t>el contratista ampara los perjuicios que le pueda generar a la entidad el incumplimiento de las obligaciones derivadas del contrato</w:t>
      </w:r>
      <w:r w:rsidRPr="00CA6FDA">
        <w:rPr>
          <w:rStyle w:val="Refdenotaalpie"/>
          <w:rFonts w:ascii="Verdana" w:eastAsia="Calibri" w:hAnsi="Verdana" w:cs="Arial"/>
          <w:color w:val="000000" w:themeColor="text1"/>
        </w:rPr>
        <w:footnoteReference w:id="9"/>
      </w:r>
      <w:r w:rsidRPr="00CA6FDA">
        <w:rPr>
          <w:rFonts w:ascii="Verdana" w:eastAsia="Calibri" w:hAnsi="Verdana" w:cs="Arial"/>
          <w:color w:val="000000" w:themeColor="text1"/>
          <w:lang w:val="es-ES"/>
        </w:rPr>
        <w:t xml:space="preserve">. En esta medida, tienen como objetivo reparar los perjuicios causados por conductas atribuibles al contratista, por lo </w:t>
      </w:r>
      <w:r w:rsidRPr="00CA6FDA">
        <w:rPr>
          <w:rFonts w:ascii="Verdana" w:eastAsia="Calibri" w:hAnsi="Verdana" w:cs="Arial"/>
          <w:color w:val="000000" w:themeColor="text1"/>
          <w:lang w:val="es-ES"/>
        </w:rPr>
        <w:lastRenderedPageBreak/>
        <w:t xml:space="preserve">que estos últimos son un presupuesto necesario para el pago que cubre la garantía. </w:t>
      </w:r>
      <w:r w:rsidRPr="00CA6FDA">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A6FDA">
        <w:rPr>
          <w:rStyle w:val="Refdenotaalpie"/>
          <w:rFonts w:ascii="Verdana" w:hAnsi="Verdana" w:cs="Arial"/>
          <w:color w:val="000000" w:themeColor="text1"/>
          <w:lang w:val="es-ES_tradnl"/>
        </w:rPr>
        <w:footnoteReference w:id="10"/>
      </w:r>
      <w:r w:rsidRPr="00CA6FDA">
        <w:rPr>
          <w:rFonts w:ascii="Verdana" w:hAnsi="Verdana" w:cs="Arial"/>
          <w:color w:val="000000" w:themeColor="text1"/>
          <w:lang w:val="es-ES_tradnl"/>
        </w:rPr>
        <w:t xml:space="preserve">.    </w:t>
      </w:r>
    </w:p>
    <w:p w14:paraId="27FEA56C" w14:textId="77777777" w:rsidR="002A5DBE" w:rsidRPr="00CA6FDA" w:rsidRDefault="002A5DBE" w:rsidP="002A5DBE">
      <w:pPr>
        <w:spacing w:after="120" w:line="276" w:lineRule="auto"/>
        <w:ind w:firstLine="708"/>
        <w:jc w:val="both"/>
        <w:rPr>
          <w:rFonts w:ascii="Verdana" w:hAnsi="Verdana" w:cs="Arial"/>
          <w:color w:val="000000" w:themeColor="text1"/>
          <w:lang w:val="es-ES"/>
        </w:rPr>
      </w:pPr>
      <w:r w:rsidRPr="1429D904">
        <w:rPr>
          <w:rFonts w:ascii="Verdana" w:hAnsi="Verdana" w:cs="Arial"/>
          <w:color w:val="000000" w:themeColor="text1"/>
          <w:lang w:val="es-ES"/>
        </w:rPr>
        <w:t xml:space="preserve">Desde esta perspectiva, constituye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1429D904">
        <w:rPr>
          <w:rFonts w:ascii="Verdana" w:hAnsi="Verdana" w:cs="Arial"/>
          <w:color w:val="000000" w:themeColor="text1"/>
          <w:lang w:val="es-ES"/>
        </w:rPr>
        <w:t>ii</w:t>
      </w:r>
      <w:proofErr w:type="spellEnd"/>
      <w:r w:rsidRPr="1429D904">
        <w:rPr>
          <w:rFonts w:ascii="Verdana" w:hAnsi="Verdana" w:cs="Arial"/>
          <w:color w:val="000000" w:themeColor="text1"/>
          <w:lang w:val="es-ES"/>
        </w:rPr>
        <w:t xml:space="preserve">) garantías bancarias o </w:t>
      </w:r>
      <w:proofErr w:type="spellStart"/>
      <w:r w:rsidRPr="1429D904">
        <w:rPr>
          <w:rFonts w:ascii="Verdana" w:hAnsi="Verdana" w:cs="Arial"/>
          <w:color w:val="000000" w:themeColor="text1"/>
          <w:lang w:val="es-ES"/>
        </w:rPr>
        <w:t>iii</w:t>
      </w:r>
      <w:proofErr w:type="spellEnd"/>
      <w:r w:rsidRPr="1429D904">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1429D904">
        <w:rPr>
          <w:rStyle w:val="Refdenotaalpie"/>
          <w:rFonts w:ascii="Verdana" w:hAnsi="Verdana" w:cs="Arial"/>
          <w:color w:val="000000" w:themeColor="text1"/>
          <w:lang w:val="es-ES"/>
        </w:rPr>
        <w:footnoteReference w:id="11"/>
      </w:r>
      <w:r w:rsidRPr="1429D904">
        <w:rPr>
          <w:rFonts w:ascii="Verdana" w:hAnsi="Verdana" w:cs="Arial"/>
          <w:color w:val="000000" w:themeColor="text1"/>
          <w:lang w:val="es-ES"/>
        </w:rPr>
        <w:t>. De esta manera, las garantías previstas en la ley tienen como objetivo asegurar la solvencia del garante</w:t>
      </w:r>
      <w:r w:rsidRPr="1429D904">
        <w:rPr>
          <w:rStyle w:val="Refdenotaalpie"/>
          <w:rFonts w:ascii="Verdana" w:hAnsi="Verdana" w:cs="Arial"/>
          <w:color w:val="000000" w:themeColor="text1"/>
          <w:lang w:val="es-ES"/>
        </w:rPr>
        <w:footnoteReference w:id="12"/>
      </w:r>
      <w:r w:rsidRPr="1429D904">
        <w:rPr>
          <w:rFonts w:ascii="Verdana" w:hAnsi="Verdana" w:cs="Arial"/>
          <w:color w:val="000000" w:themeColor="text1"/>
          <w:lang w:val="es-ES"/>
        </w:rPr>
        <w:t>.</w:t>
      </w:r>
    </w:p>
    <w:p w14:paraId="6F1CEB03" w14:textId="77777777" w:rsidR="002A5DBE" w:rsidRPr="00CA6FDA" w:rsidRDefault="002A5DBE" w:rsidP="002A5DBE">
      <w:pPr>
        <w:spacing w:after="120" w:line="276" w:lineRule="auto"/>
        <w:ind w:firstLine="708"/>
        <w:jc w:val="both"/>
        <w:rPr>
          <w:rFonts w:ascii="Verdana" w:hAnsi="Verdana" w:cs="Arial"/>
          <w:color w:val="000000" w:themeColor="text1"/>
        </w:rPr>
      </w:pPr>
      <w:r w:rsidRPr="00CA6FDA">
        <w:rPr>
          <w:rFonts w:ascii="Verdana" w:hAnsi="Verdana" w:cs="Arial"/>
          <w:color w:val="000000" w:themeColor="text1"/>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4370B692" w14:textId="77777777" w:rsidR="002A5DBE" w:rsidRDefault="002A5DBE" w:rsidP="002A5DBE">
      <w:pPr>
        <w:spacing w:before="120" w:after="0" w:line="276" w:lineRule="auto"/>
        <w:ind w:firstLine="708"/>
        <w:jc w:val="both"/>
        <w:rPr>
          <w:rFonts w:ascii="Verdana" w:eastAsia="Times New Roman" w:hAnsi="Verdana" w:cs="Arial"/>
          <w:color w:val="000000" w:themeColor="text1"/>
          <w:lang w:eastAsia="es-CO"/>
        </w:rPr>
      </w:pPr>
      <w:r w:rsidRPr="00CA6FDA">
        <w:rPr>
          <w:rFonts w:ascii="Verdana" w:hAnsi="Verdana" w:cs="Arial"/>
          <w:color w:val="000000" w:themeColor="text1"/>
        </w:rPr>
        <w:t xml:space="preserve">El artículo 2.2.1.2.3.1.3, por ejemplo, establece que la “garantía de cobertura del Riesgo es indivisible”, además de la obligación de los contratantes </w:t>
      </w:r>
      <w:r w:rsidRPr="00CA6FDA">
        <w:rPr>
          <w:rFonts w:ascii="Verdana" w:hAnsi="Verdana" w:cs="Arial"/>
          <w:color w:val="000000" w:themeColor="text1"/>
        </w:rPr>
        <w:lastRenderedPageBreak/>
        <w:t>de establecer en los pliegos de condiciones las garantías exigidas para cada periodo contractual</w:t>
      </w:r>
      <w:r w:rsidRPr="00CA6FDA">
        <w:rPr>
          <w:rStyle w:val="Refdenotaalpie"/>
          <w:rFonts w:ascii="Verdana" w:hAnsi="Verdana" w:cs="Arial"/>
          <w:color w:val="000000" w:themeColor="text1"/>
        </w:rPr>
        <w:footnoteReference w:id="13"/>
      </w:r>
      <w:r w:rsidRPr="00CA6FDA">
        <w:rPr>
          <w:rFonts w:ascii="Verdana" w:hAnsi="Verdana" w:cs="Arial"/>
          <w:color w:val="000000" w:themeColor="text1"/>
        </w:rPr>
        <w:t xml:space="preserve">. Por su parte, el artículo 2.2.1.3.1.7 prescribe que la garantía de cumplimiento debe cubrir: i) el buen manejo y correcta inversión del anticipo; </w:t>
      </w:r>
      <w:proofErr w:type="spellStart"/>
      <w:r w:rsidRPr="00CA6FDA">
        <w:rPr>
          <w:rFonts w:ascii="Verdana" w:hAnsi="Verdana" w:cs="Arial"/>
          <w:color w:val="000000" w:themeColor="text1"/>
        </w:rPr>
        <w:t>ii</w:t>
      </w:r>
      <w:proofErr w:type="spellEnd"/>
      <w:r w:rsidRPr="00CA6FDA">
        <w:rPr>
          <w:rFonts w:ascii="Verdana" w:hAnsi="Verdana" w:cs="Arial"/>
          <w:color w:val="000000" w:themeColor="text1"/>
        </w:rPr>
        <w:t xml:space="preserve">) la devolución del pago anticipado; </w:t>
      </w:r>
      <w:proofErr w:type="spellStart"/>
      <w:r w:rsidRPr="00CA6FDA">
        <w:rPr>
          <w:rFonts w:ascii="Verdana" w:hAnsi="Verdana" w:cs="Arial"/>
          <w:color w:val="000000" w:themeColor="text1"/>
        </w:rPr>
        <w:t>iii</w:t>
      </w:r>
      <w:proofErr w:type="spellEnd"/>
      <w:r w:rsidRPr="00CA6FDA">
        <w:rPr>
          <w:rFonts w:ascii="Verdana" w:hAnsi="Verdana" w:cs="Arial"/>
          <w:color w:val="000000" w:themeColor="text1"/>
        </w:rPr>
        <w:t xml:space="preserve">) el cumplimiento del contrato; </w:t>
      </w:r>
      <w:proofErr w:type="spellStart"/>
      <w:r w:rsidRPr="00CA6FDA">
        <w:rPr>
          <w:rFonts w:ascii="Verdana" w:hAnsi="Verdana" w:cs="Arial"/>
          <w:color w:val="000000" w:themeColor="text1"/>
        </w:rPr>
        <w:t>iv</w:t>
      </w:r>
      <w:proofErr w:type="spellEnd"/>
      <w:r w:rsidRPr="00CA6FDA">
        <w:rPr>
          <w:rFonts w:ascii="Verdana" w:hAnsi="Verdana" w:cs="Arial"/>
          <w:color w:val="000000" w:themeColor="text1"/>
        </w:rPr>
        <w:t xml:space="preserve">) el pago de salarios, prestaciones sociales legales e indemnizaciones laborales; v)  la estabilidad y calidad de la obra; vi) la </w:t>
      </w:r>
      <w:r w:rsidRPr="00CA6FDA">
        <w:rPr>
          <w:rFonts w:ascii="Verdana" w:eastAsia="Times New Roman" w:hAnsi="Verdana" w:cs="Arial"/>
          <w:color w:val="000000" w:themeColor="text1"/>
          <w:lang w:eastAsia="es-CO"/>
        </w:rPr>
        <w:t xml:space="preserve">calidad del servicio; </w:t>
      </w:r>
      <w:proofErr w:type="spellStart"/>
      <w:r w:rsidRPr="00CA6FDA">
        <w:rPr>
          <w:rFonts w:ascii="Verdana" w:eastAsia="Times New Roman" w:hAnsi="Verdana" w:cs="Arial"/>
          <w:color w:val="000000" w:themeColor="text1"/>
          <w:lang w:eastAsia="es-CO"/>
        </w:rPr>
        <w:t>vii</w:t>
      </w:r>
      <w:proofErr w:type="spellEnd"/>
      <w:r w:rsidRPr="00CA6FDA">
        <w:rPr>
          <w:rFonts w:ascii="Verdana" w:eastAsia="Times New Roman" w:hAnsi="Verdana" w:cs="Arial"/>
          <w:color w:val="000000" w:themeColor="text1"/>
          <w:lang w:eastAsia="es-CO"/>
        </w:rPr>
        <w:t xml:space="preserve">) la calidad y correcto funcionamiento de los bienes; y </w:t>
      </w:r>
      <w:proofErr w:type="spellStart"/>
      <w:r w:rsidRPr="00CA6FDA">
        <w:rPr>
          <w:rFonts w:ascii="Verdana" w:eastAsia="Times New Roman" w:hAnsi="Verdana" w:cs="Arial"/>
          <w:color w:val="000000" w:themeColor="text1"/>
          <w:lang w:eastAsia="es-CO"/>
        </w:rPr>
        <w:t>viii</w:t>
      </w:r>
      <w:proofErr w:type="spellEnd"/>
      <w:r w:rsidRPr="00CA6FDA">
        <w:rPr>
          <w:rFonts w:ascii="Verdana" w:eastAsia="Times New Roman" w:hAnsi="Verdana" w:cs="Arial"/>
          <w:color w:val="000000" w:themeColor="text1"/>
          <w:lang w:eastAsia="es-CO"/>
        </w:rPr>
        <w:t>) los demás incumplimientos de las obligaciones que la entidad estatal considere deben ser amparados</w:t>
      </w:r>
      <w:r w:rsidRPr="00CA6FDA">
        <w:rPr>
          <w:rStyle w:val="Refdenotaalpie"/>
          <w:rFonts w:ascii="Verdana" w:eastAsia="Times New Roman" w:hAnsi="Verdana" w:cs="Arial"/>
          <w:color w:val="000000" w:themeColor="text1"/>
          <w:lang w:eastAsia="es-CO"/>
        </w:rPr>
        <w:footnoteReference w:id="14"/>
      </w:r>
      <w:r w:rsidRPr="00CA6FDA">
        <w:rPr>
          <w:rFonts w:ascii="Verdana" w:eastAsia="Times New Roman" w:hAnsi="Verdana" w:cs="Arial"/>
          <w:color w:val="000000" w:themeColor="text1"/>
          <w:lang w:eastAsia="es-CO"/>
        </w:rPr>
        <w:t xml:space="preserve">. </w:t>
      </w:r>
    </w:p>
    <w:p w14:paraId="5618C8D8" w14:textId="77777777" w:rsidR="002A5DBE" w:rsidRDefault="002A5DBE" w:rsidP="002A5DBE">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lastRenderedPageBreak/>
        <w:t xml:space="preserve">El régimen de garantías previsto en el artículo 7 de la Ley 1150 de 2007, reglamentado por lo artículos </w:t>
      </w:r>
      <w:r w:rsidRPr="00CA6FDA">
        <w:rPr>
          <w:rFonts w:ascii="Verdana" w:hAnsi="Verdana" w:cs="Arial"/>
          <w:color w:val="000000" w:themeColor="text1"/>
        </w:rPr>
        <w:t>2.2.1.2.3.1.1 a 2.2.1.2.3.1.19</w:t>
      </w:r>
      <w:r>
        <w:rPr>
          <w:rFonts w:ascii="Verdana" w:hAnsi="Verdana" w:cs="Arial"/>
          <w:color w:val="000000" w:themeColor="text1"/>
        </w:rPr>
        <w:t xml:space="preserve">, aplica en favor de la entidad contratante, pues hace parte de las potestades de </w:t>
      </w:r>
      <w:r w:rsidRPr="00EC4144">
        <w:rPr>
          <w:rFonts w:ascii="Verdana" w:hAnsi="Verdana" w:cs="Arial"/>
          <w:color w:val="000000" w:themeColor="text1"/>
        </w:rPr>
        <w:t xml:space="preserve">control y vigilancia </w:t>
      </w:r>
      <w:r>
        <w:rPr>
          <w:rFonts w:ascii="Verdana" w:hAnsi="Verdana" w:cs="Arial"/>
          <w:color w:val="000000" w:themeColor="text1"/>
        </w:rPr>
        <w:t>sobre el cumplimiento de las obligaciones. Al igual que las disposiciones presupuestales, dicho régimen es independiente de la tipicidad o atipicidad del contrato celebrado. En este sentido, no existe un marco jurídico de naturaleza legal o reglamentario para otorgar garantías al contratista, ya que los contratos estatales tienen como presupuesto definitorio la posición privilegiada de las autoridades públicas sobre los particulares</w:t>
      </w:r>
      <w:r>
        <w:rPr>
          <w:rStyle w:val="Refdenotaalpie"/>
          <w:rFonts w:ascii="Verdana" w:hAnsi="Verdana" w:cs="Arial"/>
          <w:color w:val="000000" w:themeColor="text1"/>
        </w:rPr>
        <w:footnoteReference w:id="15"/>
      </w:r>
      <w:r>
        <w:rPr>
          <w:rFonts w:ascii="Verdana" w:hAnsi="Verdana" w:cs="Arial"/>
          <w:color w:val="000000" w:themeColor="text1"/>
        </w:rPr>
        <w:t xml:space="preserve">. Por sustracción de materia, con independencia de que se comprometan o no vigencias futuras, es imposible informar “[…] </w:t>
      </w:r>
      <w:r w:rsidRPr="0083733F">
        <w:rPr>
          <w:rFonts w:ascii="Verdana" w:hAnsi="Verdana" w:cs="Arial"/>
          <w:color w:val="000000" w:themeColor="text1"/>
        </w:rPr>
        <w:t>cuáles son los mecanismos jurídicos idóneos para otorgar garantías de pago al inversionista encargado del CAPEX y administración, operación y mantenimiento y suministro de energía</w:t>
      </w:r>
      <w:r>
        <w:rPr>
          <w:rFonts w:ascii="Verdana" w:hAnsi="Verdana" w:cs="Arial"/>
          <w:color w:val="000000" w:themeColor="text1"/>
        </w:rPr>
        <w:t xml:space="preserve"> […]”.  </w:t>
      </w:r>
    </w:p>
    <w:p w14:paraId="0FDDDD17" w14:textId="77777777" w:rsidR="002A5DBE" w:rsidRPr="00A47393" w:rsidRDefault="002A5DBE" w:rsidP="002A5DBE">
      <w:pPr>
        <w:tabs>
          <w:tab w:val="left" w:pos="709"/>
        </w:tabs>
        <w:spacing w:after="18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w:t>
      </w:r>
      <w:r w:rsidRPr="00A47393">
        <w:rPr>
          <w:rFonts w:ascii="Verdana" w:eastAsia="Calibri" w:hAnsi="Verdana" w:cs="Arial"/>
          <w:bCs/>
          <w:color w:val="000000" w:themeColor="text1"/>
        </w:rPr>
        <w:lastRenderedPageBreak/>
        <w:t>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D776DEE" w14:textId="77777777" w:rsidR="002A5DBE" w:rsidRPr="00185EE9" w:rsidRDefault="002A5DBE" w:rsidP="002A5DBE">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79C13499" w14:textId="77777777" w:rsidR="002A5DBE" w:rsidRPr="00182C89" w:rsidRDefault="002A5DBE" w:rsidP="002A5DBE">
      <w:pPr>
        <w:tabs>
          <w:tab w:val="left" w:pos="709"/>
        </w:tabs>
        <w:spacing w:after="0" w:line="276" w:lineRule="auto"/>
        <w:jc w:val="both"/>
        <w:rPr>
          <w:rFonts w:ascii="Verdana" w:eastAsia="Calibri" w:hAnsi="Verdana" w:cs="Arial"/>
          <w:color w:val="000000" w:themeColor="text1"/>
        </w:rPr>
      </w:pPr>
    </w:p>
    <w:p w14:paraId="040BDC6E" w14:textId="77777777" w:rsidR="002A5DBE" w:rsidRPr="00593A5F" w:rsidRDefault="002A5DBE" w:rsidP="002A5DB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6140B67" w14:textId="77777777" w:rsidR="002A5DBE" w:rsidRPr="00593A5F" w:rsidRDefault="002A5DBE" w:rsidP="002A5DB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A5DBE" w:rsidRPr="002407CE" w14:paraId="5E4D4CA0" w14:textId="77777777" w:rsidTr="004B0A4D">
        <w:trPr>
          <w:trHeight w:val="56"/>
          <w:jc w:val="center"/>
        </w:trPr>
        <w:tc>
          <w:tcPr>
            <w:tcW w:w="8647" w:type="dxa"/>
          </w:tcPr>
          <w:p w14:paraId="5A064509" w14:textId="77777777" w:rsidR="002A5DBE" w:rsidRDefault="002A5DBE" w:rsidP="004B0A4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346 y 347.</w:t>
            </w:r>
          </w:p>
          <w:p w14:paraId="3D934336" w14:textId="77777777" w:rsidR="002A5DBE" w:rsidRDefault="002A5DBE" w:rsidP="004B0A4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13, 25, 32, 40 y 41.</w:t>
            </w:r>
            <w:r w:rsidRPr="00B87E7A">
              <w:rPr>
                <w:rFonts w:ascii="Verdana" w:hAnsi="Verdana" w:cs="Arial"/>
              </w:rPr>
              <w:t xml:space="preserve"> </w:t>
            </w:r>
          </w:p>
          <w:p w14:paraId="55863965" w14:textId="77777777" w:rsidR="002A5DBE" w:rsidRDefault="002A5DBE" w:rsidP="004B0A4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819 de 2003, artículos 10, 11 y 12.</w:t>
            </w:r>
          </w:p>
          <w:p w14:paraId="1954BC2C" w14:textId="77777777" w:rsidR="002A5DBE" w:rsidRPr="00172983" w:rsidRDefault="002A5DBE" w:rsidP="004B0A4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w:t>
            </w:r>
            <w:r w:rsidRPr="00172983">
              <w:rPr>
                <w:rFonts w:ascii="Verdana" w:hAnsi="Verdana" w:cs="Arial"/>
              </w:rPr>
              <w:t>1150 de 2007, artículo 7.</w:t>
            </w:r>
          </w:p>
          <w:p w14:paraId="62C3ADB6" w14:textId="77777777" w:rsidR="002A5DBE" w:rsidRPr="00172983" w:rsidRDefault="002A5DBE" w:rsidP="004B0A4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172983">
              <w:rPr>
                <w:rFonts w:ascii="Verdana" w:hAnsi="Verdana" w:cs="Arial"/>
              </w:rPr>
              <w:t>Ley 1483 de 2011, artículo 1.</w:t>
            </w:r>
          </w:p>
          <w:p w14:paraId="07EC1522" w14:textId="77777777" w:rsidR="002A5DBE" w:rsidRDefault="002A5DBE" w:rsidP="004B0A4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172983">
              <w:rPr>
                <w:rFonts w:ascii="Verdana" w:hAnsi="Verdana" w:cs="Arial"/>
              </w:rPr>
              <w:t>Decreto Ley 111 de 1996, artículos 14, 71 y 89.</w:t>
            </w:r>
          </w:p>
          <w:p w14:paraId="06F3700E" w14:textId="77777777" w:rsidR="002A5DBE" w:rsidRPr="00172983" w:rsidRDefault="002A5DBE" w:rsidP="004B0A4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172983">
              <w:rPr>
                <w:rFonts w:ascii="Verdana" w:hAnsi="Verdana" w:cs="Arial"/>
              </w:rPr>
              <w:t>Decreto 1082 de 2015</w:t>
            </w:r>
            <w:r>
              <w:rPr>
                <w:rFonts w:ascii="Verdana" w:hAnsi="Verdana" w:cs="Arial"/>
              </w:rPr>
              <w:t xml:space="preserve">, </w:t>
            </w:r>
            <w:r w:rsidRPr="00172983">
              <w:rPr>
                <w:rFonts w:ascii="Verdana" w:hAnsi="Verdana" w:cs="Arial"/>
              </w:rPr>
              <w:t>artículos 2.2.1.2.3.1.1 a 2.2.1.2.3.1.19</w:t>
            </w:r>
            <w:r>
              <w:rPr>
                <w:rFonts w:ascii="Verdana" w:hAnsi="Verdana" w:cs="Arial"/>
              </w:rPr>
              <w:t>.</w:t>
            </w:r>
          </w:p>
          <w:p w14:paraId="441E6D20" w14:textId="77777777" w:rsidR="002A5DBE" w:rsidRPr="00B87E7A" w:rsidRDefault="002A5DBE" w:rsidP="004B0A4D">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172983">
              <w:rPr>
                <w:rFonts w:ascii="Verdana" w:hAnsi="Verdana" w:cs="Arial"/>
              </w:rPr>
              <w:t>Código de Comercio, artículos</w:t>
            </w:r>
            <w:r>
              <w:rPr>
                <w:rFonts w:ascii="Verdana" w:hAnsi="Verdana" w:cs="Arial"/>
              </w:rPr>
              <w:t xml:space="preserve"> 1068 y 1071. </w:t>
            </w:r>
          </w:p>
        </w:tc>
      </w:tr>
    </w:tbl>
    <w:p w14:paraId="56817475" w14:textId="77777777" w:rsidR="002A5DBE" w:rsidRPr="002407CE" w:rsidRDefault="002A5DBE" w:rsidP="002A5DBE">
      <w:pPr>
        <w:widowControl w:val="0"/>
        <w:autoSpaceDE w:val="0"/>
        <w:autoSpaceDN w:val="0"/>
        <w:spacing w:after="0" w:line="276" w:lineRule="auto"/>
        <w:jc w:val="both"/>
        <w:rPr>
          <w:rFonts w:ascii="Verdana" w:hAnsi="Verdana" w:cs="Arial"/>
        </w:rPr>
      </w:pPr>
    </w:p>
    <w:p w14:paraId="3F5DA0A5" w14:textId="77777777" w:rsidR="002A5DBE" w:rsidRPr="00593A5F" w:rsidRDefault="002A5DBE" w:rsidP="002A5DB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5E8A240" w14:textId="77777777" w:rsidR="002A5DBE" w:rsidRPr="00593A5F" w:rsidRDefault="002A5DBE" w:rsidP="002A5DBE">
      <w:pPr>
        <w:widowControl w:val="0"/>
        <w:autoSpaceDE w:val="0"/>
        <w:autoSpaceDN w:val="0"/>
        <w:spacing w:after="0" w:line="276" w:lineRule="auto"/>
        <w:jc w:val="both"/>
        <w:rPr>
          <w:rFonts w:ascii="Verdana" w:hAnsi="Verdana" w:cs="Arial"/>
        </w:rPr>
      </w:pPr>
    </w:p>
    <w:p w14:paraId="48A52F97" w14:textId="77777777" w:rsidR="002A5DBE" w:rsidRPr="00ED0098" w:rsidRDefault="002A5DBE" w:rsidP="002A5DBE">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 xml:space="preserve">Esta Subdirección </w:t>
      </w:r>
      <w:r w:rsidRPr="00683260">
        <w:rPr>
          <w:rStyle w:val="normaltextrun"/>
          <w:rFonts w:ascii="Verdana" w:hAnsi="Verdana" w:cs="Arial"/>
          <w:shd w:val="clear" w:color="auto" w:fill="FFFFFF"/>
        </w:rPr>
        <w:t>se ha pronunciado</w:t>
      </w:r>
      <w:r>
        <w:rPr>
          <w:rStyle w:val="normaltextrun"/>
          <w:rFonts w:ascii="Verdana" w:hAnsi="Verdana" w:cs="Arial"/>
          <w:shd w:val="clear" w:color="auto" w:fill="FFFFFF"/>
        </w:rPr>
        <w:t xml:space="preserve"> sobre los </w:t>
      </w:r>
      <w:r w:rsidRPr="00AA0591">
        <w:rPr>
          <w:rStyle w:val="normaltextrun"/>
          <w:rFonts w:ascii="Verdana" w:hAnsi="Verdana" w:cs="Arial"/>
          <w:shd w:val="clear" w:color="auto" w:fill="FFFFFF"/>
        </w:rPr>
        <w:t xml:space="preserve">contratos de Power Purchase </w:t>
      </w:r>
      <w:proofErr w:type="spellStart"/>
      <w:r w:rsidRPr="00AA0591">
        <w:rPr>
          <w:rStyle w:val="normaltextrun"/>
          <w:rFonts w:ascii="Verdana" w:hAnsi="Verdana" w:cs="Arial"/>
          <w:shd w:val="clear" w:color="auto" w:fill="FFFFFF"/>
        </w:rPr>
        <w:t>Agreement</w:t>
      </w:r>
      <w:proofErr w:type="spellEnd"/>
      <w:r w:rsidRPr="00AA0591">
        <w:rPr>
          <w:rStyle w:val="normaltextrun"/>
          <w:rFonts w:ascii="Verdana" w:hAnsi="Verdana" w:cs="Arial"/>
          <w:shd w:val="clear" w:color="auto" w:fill="FFFFFF"/>
        </w:rPr>
        <w:t xml:space="preserve"> </w:t>
      </w:r>
      <w:r>
        <w:rPr>
          <w:rStyle w:val="normaltextrun"/>
          <w:rFonts w:ascii="Verdana" w:hAnsi="Verdana" w:cs="Arial"/>
          <w:shd w:val="clear" w:color="auto" w:fill="FFFFFF"/>
        </w:rPr>
        <w:t>–</w:t>
      </w:r>
      <w:r w:rsidRPr="00AA0591">
        <w:rPr>
          <w:rStyle w:val="normaltextrun"/>
          <w:rFonts w:ascii="Verdana" w:hAnsi="Verdana" w:cs="Arial"/>
          <w:shd w:val="clear" w:color="auto" w:fill="FFFFFF"/>
        </w:rPr>
        <w:t>PPA</w:t>
      </w:r>
      <w:r>
        <w:rPr>
          <w:rStyle w:val="normaltextrun"/>
          <w:rFonts w:ascii="Verdana" w:hAnsi="Verdana" w:cs="Arial"/>
          <w:shd w:val="clear" w:color="auto" w:fill="FFFFFF"/>
        </w:rPr>
        <w:t xml:space="preserve">– en el </w:t>
      </w:r>
      <w:r>
        <w:rPr>
          <w:rFonts w:ascii="Verdana" w:eastAsia="Calibri" w:hAnsi="Verdana"/>
          <w:color w:val="000000" w:themeColor="text1"/>
          <w:lang w:val="es-ES_tradnl"/>
        </w:rPr>
        <w:t>Concepto C-126 del 8 de marzo de 2025</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w:t>
      </w:r>
      <w:r>
        <w:rPr>
          <w:rStyle w:val="normaltextrun"/>
          <w:rFonts w:ascii="Verdana" w:hAnsi="Verdana" w:cs="Arial"/>
          <w:shd w:val="clear" w:color="auto" w:fill="FFFFFF"/>
        </w:rPr>
        <w:t>e</w:t>
      </w:r>
      <w:r w:rsidRPr="00E278D2">
        <w:rPr>
          <w:rStyle w:val="normaltextrun"/>
          <w:rFonts w:ascii="Verdana" w:hAnsi="Verdana" w:cs="Arial"/>
          <w:shd w:val="clear" w:color="auto" w:fill="FFFFFF"/>
        </w:rPr>
        <w:t xml:space="preserve">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41F927E" w14:textId="77777777" w:rsidR="002A5DBE" w:rsidRPr="00096788" w:rsidRDefault="002A5DBE" w:rsidP="002A5DBE">
      <w:pPr>
        <w:widowControl w:val="0"/>
        <w:autoSpaceDE w:val="0"/>
        <w:autoSpaceDN w:val="0"/>
        <w:spacing w:after="0" w:line="276" w:lineRule="auto"/>
        <w:jc w:val="both"/>
        <w:rPr>
          <w:rFonts w:ascii="Verdana" w:hAnsi="Verdana" w:cs="Arial"/>
          <w:color w:val="000000" w:themeColor="text1"/>
          <w:shd w:val="clear" w:color="auto" w:fill="FFFFFF"/>
        </w:rPr>
      </w:pPr>
    </w:p>
    <w:p w14:paraId="4A43AF0F" w14:textId="77777777" w:rsidR="002A5DBE" w:rsidRDefault="002A5DBE" w:rsidP="002A5DBE">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219FB0A3" w14:textId="77777777" w:rsidR="002A5DBE" w:rsidRPr="009A385A" w:rsidRDefault="002A5DBE" w:rsidP="002A5DBE">
      <w:pPr>
        <w:spacing w:after="0"/>
        <w:jc w:val="both"/>
        <w:rPr>
          <w:rFonts w:ascii="Verdana" w:hAnsi="Verdana"/>
        </w:rPr>
      </w:pPr>
    </w:p>
    <w:p w14:paraId="06481D0F" w14:textId="77777777" w:rsidR="002A5DBE" w:rsidRDefault="002A5DBE" w:rsidP="002A5DBE">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178F72A3" w14:textId="77777777" w:rsidR="002A5DBE" w:rsidRDefault="002A5DBE" w:rsidP="002A5DBE">
      <w:pPr>
        <w:spacing w:after="0"/>
        <w:jc w:val="both"/>
        <w:rPr>
          <w:rFonts w:ascii="Verdana" w:hAnsi="Verdana"/>
        </w:rPr>
      </w:pPr>
    </w:p>
    <w:p w14:paraId="752D94CE" w14:textId="77777777" w:rsidR="002A5DBE" w:rsidRPr="008E1CD7" w:rsidRDefault="002A5DBE" w:rsidP="002A5DBE">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0B28883" w14:textId="77777777" w:rsidR="002A5DBE" w:rsidRDefault="002A5DBE" w:rsidP="002A5DBE">
      <w:pPr>
        <w:shd w:val="clear" w:color="auto" w:fill="FFFFFF"/>
        <w:spacing w:after="0" w:line="276" w:lineRule="auto"/>
        <w:jc w:val="both"/>
        <w:rPr>
          <w:rFonts w:ascii="Verdana" w:hAnsi="Verdana"/>
          <w:color w:val="000000"/>
          <w:u w:val="single"/>
        </w:rPr>
      </w:pPr>
    </w:p>
    <w:p w14:paraId="0C2BF62A" w14:textId="77777777" w:rsidR="002A5DBE" w:rsidRPr="00116940" w:rsidRDefault="002A5DBE" w:rsidP="002A5DBE">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w:t>
      </w:r>
      <w:r w:rsidRPr="00116940">
        <w:rPr>
          <w:rFonts w:ascii="Verdana" w:hAnsi="Verdana"/>
        </w:rPr>
        <w:lastRenderedPageBreak/>
        <w:t xml:space="preserve">marco de nuestras funciones a través de nuestros diferentes canales de atención: </w:t>
      </w:r>
    </w:p>
    <w:p w14:paraId="0D8F6461" w14:textId="77777777" w:rsidR="002A5DBE" w:rsidRPr="00116940" w:rsidRDefault="002A5DBE" w:rsidP="002A5DBE">
      <w:pPr>
        <w:spacing w:after="0"/>
        <w:jc w:val="both"/>
        <w:rPr>
          <w:rFonts w:ascii="Verdana" w:hAnsi="Verdana"/>
        </w:rPr>
      </w:pPr>
    </w:p>
    <w:p w14:paraId="510A9CC7" w14:textId="77777777" w:rsidR="002A5DBE" w:rsidRPr="00116940" w:rsidRDefault="002A5DBE" w:rsidP="002A5DBE">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F2D5955" w14:textId="77777777" w:rsidR="002A5DBE" w:rsidRPr="00116940" w:rsidRDefault="002A5DBE" w:rsidP="002A5DBE">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9C8DFF5" w14:textId="77777777" w:rsidR="002A5DBE" w:rsidRPr="00116940" w:rsidRDefault="002A5DBE" w:rsidP="002A5DBE">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1A4477D3" w14:textId="77777777" w:rsidR="002A5DBE" w:rsidRPr="00116940" w:rsidRDefault="002A5DBE" w:rsidP="002A5DBE">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4FB58782" w14:textId="77777777" w:rsidR="002A5DBE" w:rsidRPr="00116940" w:rsidRDefault="002A5DBE" w:rsidP="002A5DBE">
      <w:pPr>
        <w:spacing w:after="0" w:line="240" w:lineRule="auto"/>
        <w:ind w:left="720"/>
        <w:jc w:val="both"/>
        <w:rPr>
          <w:rFonts w:ascii="Verdana" w:hAnsi="Verdana"/>
        </w:rPr>
      </w:pPr>
    </w:p>
    <w:p w14:paraId="021C665D" w14:textId="77777777" w:rsidR="002A5DBE" w:rsidRPr="00116940" w:rsidRDefault="002A5DBE" w:rsidP="002A5DBE">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68FB2FD" w14:textId="77777777" w:rsidR="002A5DBE" w:rsidRPr="00116940" w:rsidRDefault="002A5DBE" w:rsidP="002A5DBE">
      <w:pPr>
        <w:spacing w:after="0" w:line="240" w:lineRule="auto"/>
        <w:rPr>
          <w:rFonts w:ascii="Verdana" w:hAnsi="Verdana"/>
        </w:rPr>
      </w:pPr>
    </w:p>
    <w:p w14:paraId="21D2460B" w14:textId="77777777" w:rsidR="002A5DBE" w:rsidRPr="00116940" w:rsidRDefault="002A5DBE" w:rsidP="002A5DBE">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AD5CBF8" w14:textId="77777777" w:rsidR="002A5DBE" w:rsidRPr="00116940" w:rsidRDefault="002A5DBE" w:rsidP="002A5DBE">
      <w:pPr>
        <w:spacing w:after="0" w:line="240" w:lineRule="auto"/>
        <w:jc w:val="both"/>
        <w:rPr>
          <w:rFonts w:ascii="Verdana" w:hAnsi="Verdana"/>
        </w:rPr>
      </w:pPr>
    </w:p>
    <w:p w14:paraId="16FEB6DF" w14:textId="77777777" w:rsidR="002A5DBE" w:rsidRPr="00116940" w:rsidRDefault="002A5DBE" w:rsidP="002A5DBE">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4BA5151" w14:textId="77777777" w:rsidR="002A5DBE" w:rsidRPr="00116940" w:rsidRDefault="002A5DBE" w:rsidP="002A5DBE">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ACE7521" w14:textId="77777777" w:rsidR="002A5DBE" w:rsidRPr="00116940" w:rsidRDefault="002A5DBE" w:rsidP="002A5DBE">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D7051A0" w14:textId="77777777" w:rsidR="002A5DBE" w:rsidRPr="009C4035" w:rsidRDefault="002A5DBE" w:rsidP="002A5DBE">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78F82A68" w14:textId="77777777" w:rsidR="002A5DBE" w:rsidRPr="00593A5F" w:rsidRDefault="002A5DBE" w:rsidP="002A5DBE">
      <w:pPr>
        <w:widowControl w:val="0"/>
        <w:autoSpaceDE w:val="0"/>
        <w:autoSpaceDN w:val="0"/>
        <w:spacing w:after="0" w:line="276" w:lineRule="auto"/>
        <w:jc w:val="both"/>
        <w:rPr>
          <w:rFonts w:ascii="Verdana" w:hAnsi="Verdana" w:cs="Arial"/>
          <w:lang w:val="es-ES_tradnl"/>
        </w:rPr>
      </w:pPr>
      <w:r w:rsidRPr="00AA0591">
        <w:rPr>
          <w:rFonts w:ascii="Verdana" w:hAnsi="Verdana" w:cs="Arial"/>
        </w:rPr>
        <w:t xml:space="preserve">El presente </w:t>
      </w:r>
      <w:r>
        <w:rPr>
          <w:rFonts w:ascii="Verdana" w:hAnsi="Verdana" w:cs="Arial"/>
        </w:rPr>
        <w:t>oficio</w:t>
      </w:r>
      <w:r w:rsidRPr="00AA0591">
        <w:rPr>
          <w:rFonts w:ascii="Verdana" w:hAnsi="Verdana" w:cs="Arial"/>
        </w:rPr>
        <w:t xml:space="preserve"> se expide en cumplimiento de lo </w:t>
      </w:r>
      <w:r>
        <w:rPr>
          <w:rFonts w:ascii="Verdana" w:hAnsi="Verdana" w:cs="Arial"/>
        </w:rPr>
        <w:t xml:space="preserve">dispuesto </w:t>
      </w:r>
      <w:r w:rsidRPr="00AA0591">
        <w:rPr>
          <w:rFonts w:ascii="Verdana" w:hAnsi="Verdana" w:cs="Arial"/>
        </w:rPr>
        <w:t>por la Sala de Consulta y Servicio Civil del Consejo de Estado en providencia</w:t>
      </w:r>
      <w:r>
        <w:rPr>
          <w:rFonts w:ascii="Verdana" w:hAnsi="Verdana" w:cs="Arial"/>
        </w:rPr>
        <w:t xml:space="preserve"> </w:t>
      </w:r>
      <w:r>
        <w:rPr>
          <w:rFonts w:ascii="Verdana" w:eastAsia="Calibri" w:hAnsi="Verdana" w:cs="Arial"/>
          <w:color w:val="000000"/>
          <w:lang w:val="es-ES" w:eastAsia="es-ES"/>
        </w:rPr>
        <w:t>del 9 de abril de 2026</w:t>
      </w:r>
      <w:r>
        <w:rPr>
          <w:rFonts w:ascii="Verdana" w:hAnsi="Verdana" w:cs="Arial"/>
        </w:rPr>
        <w:t xml:space="preserve">. </w:t>
      </w: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37FDC54" w14:textId="77777777" w:rsidR="002A5DBE" w:rsidRPr="00593A5F" w:rsidRDefault="002A5DBE" w:rsidP="002A5DBE">
      <w:pPr>
        <w:widowControl w:val="0"/>
        <w:autoSpaceDE w:val="0"/>
        <w:autoSpaceDN w:val="0"/>
        <w:spacing w:after="0" w:line="276" w:lineRule="auto"/>
        <w:jc w:val="both"/>
        <w:rPr>
          <w:rFonts w:ascii="Verdana" w:hAnsi="Verdana" w:cs="Arial"/>
        </w:rPr>
      </w:pPr>
    </w:p>
    <w:p w14:paraId="3B3468CB" w14:textId="77777777" w:rsidR="002A5DBE" w:rsidRPr="00593A5F" w:rsidRDefault="002A5DBE" w:rsidP="002A5DBE">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4A50B43" w14:textId="38119899" w:rsidR="002A5DBE" w:rsidRPr="00593A5F" w:rsidRDefault="00D77F4A" w:rsidP="002A5DBE">
      <w:pPr>
        <w:spacing w:line="276" w:lineRule="auto"/>
        <w:jc w:val="center"/>
        <w:rPr>
          <w:rFonts w:ascii="Verdana" w:hAnsi="Verdana" w:cs="Arial"/>
          <w:color w:val="000000"/>
          <w:lang w:val="es-ES_tradnl" w:eastAsia="es-CO"/>
        </w:rPr>
      </w:pPr>
      <w:r>
        <w:rPr>
          <w:noProof/>
        </w:rPr>
        <w:lastRenderedPageBreak/>
        <w:drawing>
          <wp:inline distT="0" distB="0" distL="0" distR="0" wp14:anchorId="1617E473" wp14:editId="2DA3D277">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A5DBE" w:rsidRPr="00593A5F" w14:paraId="73D1ABCB" w14:textId="77777777" w:rsidTr="004B0A4D">
        <w:trPr>
          <w:trHeight w:val="315"/>
        </w:trPr>
        <w:tc>
          <w:tcPr>
            <w:tcW w:w="893" w:type="dxa"/>
            <w:vAlign w:val="center"/>
            <w:hideMark/>
          </w:tcPr>
          <w:p w14:paraId="2AADE92D" w14:textId="77777777" w:rsidR="002A5DBE" w:rsidRPr="003751C7" w:rsidRDefault="002A5DBE" w:rsidP="004B0A4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CD72309" w14:textId="77777777" w:rsidR="002A5DBE" w:rsidRPr="00254A7A" w:rsidRDefault="002A5DBE" w:rsidP="004B0A4D">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467F93F" w14:textId="77777777" w:rsidR="002A5DBE" w:rsidRPr="00254A7A" w:rsidRDefault="002A5DBE" w:rsidP="004B0A4D">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2A5DBE" w:rsidRPr="00593A5F" w14:paraId="73D5E365" w14:textId="77777777" w:rsidTr="004B0A4D">
        <w:trPr>
          <w:trHeight w:val="330"/>
        </w:trPr>
        <w:tc>
          <w:tcPr>
            <w:tcW w:w="893" w:type="dxa"/>
            <w:vAlign w:val="center"/>
            <w:hideMark/>
          </w:tcPr>
          <w:p w14:paraId="4DB876A4" w14:textId="77777777" w:rsidR="002A5DBE" w:rsidRPr="003751C7" w:rsidRDefault="002A5DBE" w:rsidP="004B0A4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AC60FF" w14:textId="77777777" w:rsidR="002A5DBE" w:rsidRPr="00A2230B" w:rsidRDefault="002A5DBE" w:rsidP="004B0A4D">
            <w:pPr>
              <w:pStyle w:val="paragraph"/>
              <w:spacing w:after="0"/>
              <w:contextualSpacing/>
              <w:textAlignment w:val="baseline"/>
              <w:rPr>
                <w:rStyle w:val="normaltextrun"/>
                <w:rFonts w:ascii="Verdana" w:hAnsi="Verdana" w:cs="Arial"/>
                <w:sz w:val="16"/>
                <w:szCs w:val="16"/>
                <w:lang w:val="es-ES_tradnl"/>
              </w:rPr>
            </w:pPr>
            <w:r w:rsidRPr="00A2230B">
              <w:rPr>
                <w:rStyle w:val="normaltextrun"/>
                <w:rFonts w:ascii="Verdana" w:hAnsi="Verdana" w:cs="Arial"/>
                <w:sz w:val="16"/>
                <w:szCs w:val="16"/>
                <w:lang w:val="es-ES_tradnl"/>
              </w:rPr>
              <w:t>Alejandro Sarmiento Cantillo</w:t>
            </w:r>
          </w:p>
          <w:p w14:paraId="4811F44C" w14:textId="77777777" w:rsidR="002A5DBE" w:rsidRPr="00A40FD0" w:rsidRDefault="002A5DBE" w:rsidP="004B0A4D">
            <w:pPr>
              <w:pStyle w:val="paragraph"/>
              <w:spacing w:before="0" w:beforeAutospacing="0" w:after="0" w:afterAutospacing="0"/>
              <w:contextualSpacing/>
              <w:textAlignment w:val="baseline"/>
              <w:rPr>
                <w:rFonts w:ascii="Verdana" w:hAnsi="Verdana" w:cs="Segoe UI"/>
                <w:sz w:val="16"/>
                <w:szCs w:val="16"/>
              </w:rPr>
            </w:pPr>
            <w:r w:rsidRPr="00A2230B">
              <w:rPr>
                <w:rStyle w:val="normaltextrun"/>
                <w:rFonts w:ascii="Verdana" w:hAnsi="Verdana" w:cs="Arial"/>
                <w:sz w:val="16"/>
                <w:szCs w:val="16"/>
                <w:lang w:val="es-ES_tradnl"/>
              </w:rPr>
              <w:t>Gestor T1 ‒ 15 de la Subdirección de Gestión Contractual</w:t>
            </w:r>
          </w:p>
        </w:tc>
      </w:tr>
      <w:tr w:rsidR="002A5DBE" w:rsidRPr="00593A5F" w14:paraId="1BDF620D" w14:textId="77777777" w:rsidTr="004B0A4D">
        <w:trPr>
          <w:trHeight w:val="300"/>
        </w:trPr>
        <w:tc>
          <w:tcPr>
            <w:tcW w:w="893" w:type="dxa"/>
            <w:vAlign w:val="center"/>
          </w:tcPr>
          <w:p w14:paraId="6F818716" w14:textId="77777777" w:rsidR="002A5DBE" w:rsidRPr="003751C7" w:rsidRDefault="002A5DBE" w:rsidP="004B0A4D">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7283853" w14:textId="77777777" w:rsidR="002A5DBE" w:rsidRPr="00FE00BE" w:rsidRDefault="002A5DBE" w:rsidP="004B0A4D">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3D05A032" w14:textId="77777777" w:rsidR="002A5DBE" w:rsidRPr="00FE00BE" w:rsidRDefault="002A5DBE" w:rsidP="004B0A4D">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0B0A50B3" w14:textId="1296B72B" w:rsidR="002A5DBE" w:rsidRPr="00543BFE" w:rsidRDefault="002A5DBE" w:rsidP="002A5DBE"/>
    <w:p w14:paraId="0F293BF4" w14:textId="2F975180" w:rsidR="00127233" w:rsidRPr="00D536E0" w:rsidRDefault="00127233" w:rsidP="00D536E0"/>
    <w:sectPr w:rsidR="00127233" w:rsidRPr="00D536E0"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F1101" w14:textId="77777777" w:rsidR="00E5757D" w:rsidRDefault="00E5757D" w:rsidP="004A1847">
      <w:pPr>
        <w:spacing w:after="0" w:line="240" w:lineRule="auto"/>
      </w:pPr>
      <w:r>
        <w:separator/>
      </w:r>
    </w:p>
  </w:endnote>
  <w:endnote w:type="continuationSeparator" w:id="0">
    <w:p w14:paraId="410C30A6" w14:textId="77777777" w:rsidR="00E5757D" w:rsidRDefault="00E5757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DB5DF" w14:textId="77777777" w:rsidR="00E5757D" w:rsidRDefault="00E5757D" w:rsidP="004A1847">
      <w:pPr>
        <w:spacing w:after="0" w:line="240" w:lineRule="auto"/>
      </w:pPr>
      <w:r>
        <w:separator/>
      </w:r>
    </w:p>
  </w:footnote>
  <w:footnote w:type="continuationSeparator" w:id="0">
    <w:p w14:paraId="1B4E85BD" w14:textId="77777777" w:rsidR="00E5757D" w:rsidRDefault="00E5757D" w:rsidP="004A1847">
      <w:pPr>
        <w:spacing w:after="0" w:line="240" w:lineRule="auto"/>
      </w:pPr>
      <w:r>
        <w:continuationSeparator/>
      </w:r>
    </w:p>
  </w:footnote>
  <w:footnote w:id="1">
    <w:p w14:paraId="59DC6A04" w14:textId="77777777" w:rsidR="002A5DBE" w:rsidRPr="00497C0F" w:rsidRDefault="002A5DBE" w:rsidP="002A5DBE">
      <w:pPr>
        <w:pStyle w:val="Textonotapie"/>
        <w:ind w:firstLine="708"/>
        <w:jc w:val="both"/>
        <w:rPr>
          <w:rFonts w:ascii="Verdana" w:hAnsi="Verdana" w:cs="Arial"/>
          <w:sz w:val="16"/>
          <w:szCs w:val="16"/>
          <w:lang w:val="es-ES"/>
        </w:rPr>
      </w:pPr>
      <w:r w:rsidRPr="00497C0F">
        <w:rPr>
          <w:rStyle w:val="Refdenotaalpie"/>
          <w:rFonts w:ascii="Verdana" w:hAnsi="Verdana" w:cs="Arial"/>
          <w:sz w:val="16"/>
          <w:szCs w:val="16"/>
        </w:rPr>
        <w:footnoteRef/>
      </w:r>
      <w:r w:rsidRPr="00497C0F">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2">
    <w:p w14:paraId="77DC1249" w14:textId="77777777" w:rsidR="002A5DBE" w:rsidRPr="00497C0F" w:rsidRDefault="002A5DBE" w:rsidP="002A5DBE">
      <w:pPr>
        <w:pStyle w:val="Textonotapie"/>
        <w:ind w:firstLine="708"/>
        <w:jc w:val="both"/>
        <w:rPr>
          <w:rFonts w:ascii="Verdana" w:hAnsi="Verdana" w:cs="Arial"/>
          <w:sz w:val="16"/>
          <w:szCs w:val="16"/>
          <w:lang w:val="es-ES"/>
        </w:rPr>
      </w:pPr>
      <w:r w:rsidRPr="00497C0F">
        <w:rPr>
          <w:rStyle w:val="Refdenotaalpie"/>
          <w:rFonts w:ascii="Verdana" w:hAnsi="Verdana" w:cs="Arial"/>
          <w:sz w:val="16"/>
          <w:szCs w:val="16"/>
        </w:rPr>
        <w:footnoteRef/>
      </w:r>
      <w:r w:rsidRPr="00497C0F">
        <w:rPr>
          <w:rFonts w:ascii="Verdana" w:hAnsi="Verdana" w:cs="Arial"/>
          <w:sz w:val="16"/>
          <w:szCs w:val="16"/>
        </w:rPr>
        <w:t xml:space="preserve"> BETANCUR JARAMILLO, Carlos. Derecho procesal administrativo. Octava edición. Medellín: Señal Editora, 2013. p. 627. </w:t>
      </w:r>
    </w:p>
  </w:footnote>
  <w:footnote w:id="3">
    <w:p w14:paraId="50B67DDE" w14:textId="77777777" w:rsidR="002A5DBE" w:rsidRPr="00497C0F" w:rsidRDefault="002A5DBE" w:rsidP="002A5DBE">
      <w:pPr>
        <w:pStyle w:val="Textonotapie"/>
        <w:ind w:firstLine="708"/>
        <w:jc w:val="both"/>
        <w:rPr>
          <w:rFonts w:ascii="Verdana" w:hAnsi="Verdana"/>
          <w:sz w:val="16"/>
          <w:szCs w:val="16"/>
          <w:lang w:val="es-CO"/>
        </w:rPr>
      </w:pPr>
      <w:r w:rsidRPr="00497C0F">
        <w:rPr>
          <w:rStyle w:val="Refdenotaalpie"/>
          <w:rFonts w:ascii="Verdana" w:hAnsi="Verdana"/>
          <w:sz w:val="16"/>
          <w:szCs w:val="16"/>
        </w:rPr>
        <w:footnoteRef/>
      </w:r>
      <w:r w:rsidRPr="00497C0F">
        <w:rPr>
          <w:rFonts w:ascii="Verdana" w:hAnsi="Verdana"/>
          <w:sz w:val="16"/>
          <w:szCs w:val="16"/>
        </w:rPr>
        <w:t xml:space="preserve"> OSPINA FERNÁNDEZ, Guillermo &amp; OSPINA ACOSTA, Eduardo. Teoría General del Contrato y del Negocio Jurídico. Séptima edición. Bogotá: Temis, 2021. p. 50.</w:t>
      </w:r>
    </w:p>
  </w:footnote>
  <w:footnote w:id="4">
    <w:p w14:paraId="04079787" w14:textId="77777777" w:rsidR="002A5DBE" w:rsidRPr="00497C0F" w:rsidRDefault="002A5DBE" w:rsidP="002A5DBE">
      <w:pPr>
        <w:pStyle w:val="Textonotapie"/>
        <w:ind w:firstLine="709"/>
        <w:jc w:val="both"/>
        <w:rPr>
          <w:rFonts w:ascii="Verdana" w:hAnsi="Verdana"/>
          <w:sz w:val="16"/>
          <w:szCs w:val="16"/>
          <w:lang w:val="es-ES_tradnl"/>
        </w:rPr>
      </w:pPr>
      <w:r w:rsidRPr="00497C0F">
        <w:rPr>
          <w:rStyle w:val="Refdenotaalpie"/>
          <w:rFonts w:ascii="Verdana" w:hAnsi="Verdana"/>
          <w:sz w:val="16"/>
          <w:szCs w:val="16"/>
        </w:rPr>
        <w:footnoteRef/>
      </w:r>
      <w:r w:rsidRPr="00497C0F">
        <w:rPr>
          <w:rFonts w:ascii="Verdana" w:hAnsi="Verdana"/>
          <w:sz w:val="16"/>
          <w:szCs w:val="16"/>
        </w:rPr>
        <w:t xml:space="preserve"> El artículo 32, numeral 4, de la Ley 80 de 1993 establece: </w:t>
      </w:r>
      <w:r w:rsidRPr="00497C0F">
        <w:rPr>
          <w:rFonts w:ascii="Verdana" w:hAnsi="Verdana"/>
          <w:sz w:val="16"/>
          <w:szCs w:val="16"/>
          <w:lang w:val="es-ES_tradnl"/>
        </w:rPr>
        <w:t>“Son contratos de concesión los que celebran las entidades estatales con el objeto de otorgar a una persona llamada concesionario la prestación, operación explotación, organización o gestión, total o parcial, de un servicio público, o la construcción, explotación o conservación total o parcial, de una obra o bien destinados al servicio o uso público, así como todas aquellas actividades necesarias para la adecuada prestación o funcionamiento de la obra o servicio por cuenta y riesgo del concesionario y bajo la vigilancia y control de la entidad concedente, a cambio de una remuneración que puede consistir en derechos, tarifas, tasas, valorización, o en la participación que se le otorgue en la explotación del bien, o en una suma periódica, única o porcentual y, en general, en cualquier otra modalidad de contraprestación que las partes acuerden”.</w:t>
      </w:r>
    </w:p>
  </w:footnote>
  <w:footnote w:id="5">
    <w:p w14:paraId="324CBC68" w14:textId="77777777" w:rsidR="002A5DBE" w:rsidRPr="00497C0F" w:rsidRDefault="002A5DBE" w:rsidP="002A5DBE">
      <w:pPr>
        <w:pStyle w:val="Textonotapie"/>
        <w:ind w:firstLine="709"/>
        <w:jc w:val="both"/>
        <w:rPr>
          <w:rFonts w:ascii="Verdana" w:hAnsi="Verdana"/>
          <w:sz w:val="16"/>
          <w:szCs w:val="16"/>
          <w:lang w:val="es-ES_tradnl"/>
        </w:rPr>
      </w:pPr>
      <w:r w:rsidRPr="00497C0F">
        <w:rPr>
          <w:rStyle w:val="Refdenotaalpie"/>
          <w:rFonts w:ascii="Verdana" w:hAnsi="Verdana"/>
          <w:sz w:val="16"/>
          <w:szCs w:val="16"/>
        </w:rPr>
        <w:footnoteRef/>
      </w:r>
      <w:r w:rsidRPr="00497C0F">
        <w:rPr>
          <w:rFonts w:ascii="Verdana" w:hAnsi="Verdana"/>
          <w:sz w:val="16"/>
          <w:szCs w:val="16"/>
        </w:rPr>
        <w:t xml:space="preserve"> </w:t>
      </w:r>
      <w:r w:rsidRPr="00497C0F">
        <w:rPr>
          <w:rFonts w:ascii="Verdana" w:hAnsi="Verdana"/>
          <w:sz w:val="16"/>
          <w:szCs w:val="16"/>
          <w:lang w:val="es-ES_tradnl"/>
        </w:rPr>
        <w:t xml:space="preserve">Al respecto, véase el concepto de 4 de febrero de 2015, con radicado interno No. 2230, C.P. Álvaro Namén Vargas. Disponible en: </w:t>
      </w:r>
      <w:hyperlink r:id="rId1" w:history="1">
        <w:r w:rsidRPr="00497C0F">
          <w:rPr>
            <w:rStyle w:val="Hipervnculo"/>
            <w:rFonts w:ascii="Verdana" w:hAnsi="Verdana"/>
            <w:sz w:val="16"/>
            <w:szCs w:val="16"/>
            <w:lang w:val="es-ES_tradnl"/>
          </w:rPr>
          <w:t>https://normas.cra.gov.co/gestor/docs/11001-03-06-000-2014-00230-00(2230).htm</w:t>
        </w:r>
      </w:hyperlink>
      <w:r w:rsidRPr="00497C0F">
        <w:rPr>
          <w:rFonts w:ascii="Verdana" w:hAnsi="Verdana"/>
          <w:sz w:val="16"/>
          <w:szCs w:val="16"/>
          <w:lang w:val="es-ES_tradnl"/>
        </w:rPr>
        <w:t xml:space="preserve"> </w:t>
      </w:r>
    </w:p>
  </w:footnote>
  <w:footnote w:id="6">
    <w:p w14:paraId="44E4BB9F" w14:textId="77777777" w:rsidR="002A5DBE" w:rsidRPr="009A7C93" w:rsidRDefault="002A5DBE" w:rsidP="002A5DBE">
      <w:pPr>
        <w:pStyle w:val="Textonotapie"/>
        <w:ind w:firstLine="708"/>
        <w:jc w:val="both"/>
        <w:rPr>
          <w:rFonts w:ascii="Verdana" w:hAnsi="Verdana"/>
          <w:sz w:val="16"/>
          <w:szCs w:val="16"/>
        </w:rPr>
      </w:pPr>
      <w:r w:rsidRPr="009A7C93">
        <w:rPr>
          <w:rStyle w:val="Refdenotaalpie"/>
          <w:rFonts w:ascii="Verdana" w:hAnsi="Verdana"/>
          <w:sz w:val="16"/>
          <w:szCs w:val="16"/>
        </w:rPr>
        <w:footnoteRef/>
      </w:r>
      <w:r w:rsidRPr="009A7C93">
        <w:rPr>
          <w:rFonts w:ascii="Verdana" w:hAnsi="Verdana"/>
          <w:sz w:val="16"/>
          <w:szCs w:val="16"/>
        </w:rPr>
        <w:t xml:space="preserve"> </w:t>
      </w:r>
      <w:r>
        <w:rPr>
          <w:rFonts w:ascii="Verdana" w:hAnsi="Verdana"/>
          <w:sz w:val="16"/>
          <w:szCs w:val="16"/>
        </w:rPr>
        <w:t>PALOMAR OLMEDO, Alberto y LOZADA GONZÁLEZ, Herminio. El procedimiento administrativo y la gestión presupuestaria y su control. Madrid: Dykinson, 1995. p. 131. Por lo demás, dichos autores sostinen que “</w:t>
      </w:r>
      <w:r w:rsidRPr="009A7C93">
        <w:rPr>
          <w:rFonts w:ascii="Verdana" w:hAnsi="Verdana"/>
          <w:sz w:val="16"/>
          <w:szCs w:val="16"/>
        </w:rPr>
        <w:t>Desde esta consideración y como resumen podría indicarse que en el</w:t>
      </w:r>
      <w:r>
        <w:rPr>
          <w:rFonts w:ascii="Verdana" w:hAnsi="Verdana"/>
          <w:sz w:val="16"/>
          <w:szCs w:val="16"/>
        </w:rPr>
        <w:t xml:space="preserve"> </w:t>
      </w:r>
      <w:r w:rsidRPr="009A7C93">
        <w:rPr>
          <w:rFonts w:ascii="Verdana" w:hAnsi="Verdana"/>
          <w:sz w:val="16"/>
          <w:szCs w:val="16"/>
        </w:rPr>
        <w:t>procedimiento contractual de derecho público regulado en la Ley de Contratos del Estado se produce una interacción absoluta, de forma que los</w:t>
      </w:r>
      <w:r>
        <w:rPr>
          <w:rFonts w:ascii="Verdana" w:hAnsi="Verdana"/>
          <w:sz w:val="16"/>
          <w:szCs w:val="16"/>
        </w:rPr>
        <w:t xml:space="preserve"> </w:t>
      </w:r>
      <w:r w:rsidRPr="009A7C93">
        <w:rPr>
          <w:rFonts w:ascii="Verdana" w:hAnsi="Verdana"/>
          <w:sz w:val="16"/>
          <w:szCs w:val="16"/>
        </w:rPr>
        <w:t>requisitos generales derivados de la ejecución presupuestaría forman parte indisoluble del propio procedimiento de contratación. Esta interacción,</w:t>
      </w:r>
      <w:r>
        <w:rPr>
          <w:rFonts w:ascii="Verdana" w:hAnsi="Verdana"/>
          <w:sz w:val="16"/>
          <w:szCs w:val="16"/>
        </w:rPr>
        <w:t xml:space="preserve"> </w:t>
      </w:r>
      <w:r w:rsidRPr="009A7C93">
        <w:rPr>
          <w:rFonts w:ascii="Verdana" w:hAnsi="Verdana"/>
          <w:sz w:val="16"/>
          <w:szCs w:val="16"/>
        </w:rPr>
        <w:t>en la mayor parte de los supuestos está expresamente reconocida en las propias normas de contratación</w:t>
      </w:r>
      <w:r>
        <w:rPr>
          <w:rFonts w:ascii="Verdana" w:hAnsi="Verdana"/>
          <w:sz w:val="16"/>
          <w:szCs w:val="16"/>
        </w:rPr>
        <w:t>” (</w:t>
      </w:r>
      <w:r w:rsidRPr="009A7C93">
        <w:rPr>
          <w:rFonts w:ascii="Verdana" w:hAnsi="Verdana"/>
          <w:i/>
          <w:iCs/>
          <w:sz w:val="16"/>
          <w:szCs w:val="16"/>
        </w:rPr>
        <w:t>Ibidem</w:t>
      </w:r>
      <w:r>
        <w:rPr>
          <w:rFonts w:ascii="Verdana" w:hAnsi="Verdana"/>
          <w:sz w:val="16"/>
          <w:szCs w:val="16"/>
        </w:rPr>
        <w:t xml:space="preserve">, p. 132). </w:t>
      </w:r>
    </w:p>
  </w:footnote>
  <w:footnote w:id="7">
    <w:p w14:paraId="15FE9470" w14:textId="77777777" w:rsidR="002A5DBE" w:rsidRPr="002A5DBE" w:rsidRDefault="002A5DBE" w:rsidP="002A5DBE">
      <w:pPr>
        <w:pStyle w:val="Textonotapie"/>
        <w:ind w:firstLine="708"/>
        <w:jc w:val="both"/>
        <w:rPr>
          <w:rFonts w:ascii="Verdana" w:hAnsi="Verdana"/>
          <w:sz w:val="16"/>
          <w:szCs w:val="16"/>
          <w:lang w:val="es-CO"/>
        </w:rPr>
      </w:pPr>
      <w:r w:rsidRPr="00644707">
        <w:rPr>
          <w:rStyle w:val="Refdenotaalpie"/>
          <w:rFonts w:ascii="Verdana" w:hAnsi="Verdana"/>
          <w:sz w:val="16"/>
          <w:szCs w:val="16"/>
        </w:rPr>
        <w:footnoteRef/>
      </w:r>
      <w:r w:rsidRPr="00644707">
        <w:rPr>
          <w:rFonts w:ascii="Verdana" w:hAnsi="Verdana"/>
          <w:sz w:val="16"/>
          <w:szCs w:val="16"/>
        </w:rPr>
        <w:t xml:space="preserve"> </w:t>
      </w:r>
      <w:r>
        <w:rPr>
          <w:rFonts w:ascii="Verdana" w:hAnsi="Verdana"/>
          <w:sz w:val="16"/>
          <w:szCs w:val="16"/>
        </w:rPr>
        <w:t>DROMI, Roberto</w:t>
      </w:r>
      <w:r w:rsidRPr="006C721F">
        <w:rPr>
          <w:rFonts w:ascii="Verdana" w:hAnsi="Verdana"/>
          <w:sz w:val="16"/>
          <w:szCs w:val="16"/>
        </w:rPr>
        <w:t>.</w:t>
      </w:r>
      <w:r>
        <w:rPr>
          <w:rFonts w:ascii="Verdana" w:hAnsi="Verdana"/>
          <w:sz w:val="16"/>
          <w:szCs w:val="16"/>
        </w:rPr>
        <w:t xml:space="preserve"> Presupuesto y cuenta de inversión. Buenos Aires: Astrea, 1988. p. 49.</w:t>
      </w:r>
    </w:p>
  </w:footnote>
  <w:footnote w:id="8">
    <w:p w14:paraId="62913FB6" w14:textId="77777777" w:rsidR="002A5DBE" w:rsidRPr="0033454C" w:rsidRDefault="002A5DBE" w:rsidP="002A5DBE">
      <w:pPr>
        <w:pStyle w:val="Textonotapie"/>
        <w:ind w:firstLine="708"/>
        <w:jc w:val="both"/>
        <w:rPr>
          <w:rFonts w:ascii="Verdana" w:hAnsi="Verdana"/>
          <w:sz w:val="16"/>
          <w:szCs w:val="16"/>
          <w:lang w:val="es-CO"/>
        </w:rPr>
      </w:pPr>
      <w:r w:rsidRPr="0033454C">
        <w:rPr>
          <w:rStyle w:val="Refdenotaalpie"/>
          <w:rFonts w:ascii="Verdana" w:hAnsi="Verdana"/>
          <w:sz w:val="16"/>
          <w:szCs w:val="16"/>
        </w:rPr>
        <w:footnoteRef/>
      </w:r>
      <w:r w:rsidRPr="0033454C">
        <w:rPr>
          <w:rFonts w:ascii="Verdana" w:hAnsi="Verdana"/>
          <w:sz w:val="16"/>
          <w:szCs w:val="16"/>
        </w:rPr>
        <w:t xml:space="preserve"> </w:t>
      </w:r>
      <w:r>
        <w:rPr>
          <w:rFonts w:ascii="Verdana" w:hAnsi="Verdana"/>
          <w:sz w:val="16"/>
          <w:szCs w:val="16"/>
        </w:rPr>
        <w:t xml:space="preserve">Es necesario tener en cuenta que as vigencias futuras para las entidades territoriales están reguladas, por un lado, en el artículo 12 de la Ley 819 de 2003 –odinarias–, y, por otro, en el artículo 1 de la Ley 1483 de 2011 –excepcionales–. </w:t>
      </w:r>
    </w:p>
  </w:footnote>
  <w:footnote w:id="9">
    <w:p w14:paraId="79461DB4" w14:textId="77777777" w:rsidR="002A5DBE" w:rsidRPr="00CA6FDA" w:rsidRDefault="002A5DBE" w:rsidP="002A5DBE">
      <w:pPr>
        <w:pStyle w:val="Textonotapie"/>
        <w:ind w:firstLine="708"/>
        <w:jc w:val="both"/>
        <w:rPr>
          <w:rFonts w:ascii="Verdana" w:hAnsi="Verdana" w:cs="Arial"/>
          <w:sz w:val="16"/>
          <w:szCs w:val="16"/>
        </w:rPr>
      </w:pPr>
      <w:r w:rsidRPr="00CA6FDA">
        <w:rPr>
          <w:rStyle w:val="Refdenotaalpie"/>
          <w:rFonts w:ascii="Verdana" w:hAnsi="Verdana" w:cs="Arial"/>
          <w:sz w:val="16"/>
          <w:szCs w:val="16"/>
        </w:rPr>
        <w:footnoteRef/>
      </w:r>
      <w:r w:rsidRPr="00CA6FDA">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10">
    <w:p w14:paraId="11EE7482" w14:textId="77777777" w:rsidR="002A5DBE" w:rsidRPr="00CA6FDA" w:rsidRDefault="002A5DBE" w:rsidP="002A5DBE">
      <w:pPr>
        <w:pStyle w:val="Textonotapie"/>
        <w:ind w:firstLine="709"/>
        <w:jc w:val="both"/>
        <w:rPr>
          <w:rFonts w:ascii="Verdana" w:hAnsi="Verdana" w:cs="Arial"/>
          <w:color w:val="000000" w:themeColor="text1"/>
          <w:sz w:val="16"/>
          <w:szCs w:val="16"/>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11">
    <w:p w14:paraId="03F86B48" w14:textId="77777777" w:rsidR="002A5DBE" w:rsidRPr="00CA6FDA" w:rsidRDefault="002A5DBE" w:rsidP="002A5DBE">
      <w:pPr>
        <w:pStyle w:val="Textonotapie"/>
        <w:ind w:firstLine="709"/>
        <w:jc w:val="both"/>
        <w:rPr>
          <w:rFonts w:ascii="Verdana" w:hAnsi="Verdana" w:cs="Arial"/>
          <w:color w:val="000000" w:themeColor="text1"/>
          <w:sz w:val="16"/>
          <w:szCs w:val="16"/>
          <w:lang w:val="es-ES"/>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CA6FDA">
        <w:rPr>
          <w:rFonts w:ascii="Verdana" w:hAnsi="Verdana" w:cs="Arial"/>
          <w:color w:val="000000" w:themeColor="text1"/>
          <w:sz w:val="16"/>
          <w:szCs w:val="16"/>
          <w:lang w:val="es-ES"/>
        </w:rPr>
        <w:t xml:space="preserve">Igualmente, el inciso primero del artículo 1071 </w:t>
      </w:r>
      <w:r w:rsidRPr="00CA6FDA">
        <w:rPr>
          <w:rFonts w:ascii="Verdana" w:hAnsi="Verdana" w:cs="Arial"/>
          <w:i/>
          <w:iCs/>
          <w:color w:val="000000" w:themeColor="text1"/>
          <w:sz w:val="16"/>
          <w:szCs w:val="16"/>
          <w:lang w:val="es-ES"/>
        </w:rPr>
        <w:t>ibidem</w:t>
      </w:r>
      <w:r w:rsidRPr="00CA6FDA">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12">
    <w:p w14:paraId="6C386AA4" w14:textId="77777777" w:rsidR="002A5DBE" w:rsidRPr="00CA6FDA" w:rsidRDefault="002A5DBE" w:rsidP="002A5DBE">
      <w:pPr>
        <w:pStyle w:val="Textonotapie"/>
        <w:ind w:firstLine="709"/>
        <w:jc w:val="both"/>
        <w:rPr>
          <w:rFonts w:ascii="Verdana" w:hAnsi="Verdana" w:cs="Arial"/>
          <w:color w:val="000000" w:themeColor="text1"/>
          <w:sz w:val="16"/>
          <w:szCs w:val="16"/>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w:t>
      </w:r>
      <w:r>
        <w:rPr>
          <w:rFonts w:ascii="Verdana" w:hAnsi="Verdana" w:cs="Arial"/>
          <w:color w:val="000000" w:themeColor="text1"/>
          <w:sz w:val="16"/>
          <w:szCs w:val="16"/>
        </w:rPr>
        <w:t xml:space="preserve"> ‘</w:t>
      </w:r>
      <w:r w:rsidRPr="00CA6FDA">
        <w:rPr>
          <w:rFonts w:ascii="Verdana" w:hAnsi="Verdana" w:cs="Arial"/>
          <w:color w:val="000000" w:themeColor="text1"/>
          <w:sz w:val="16"/>
          <w:szCs w:val="16"/>
        </w:rPr>
        <w:t>preparada para absorber el riesgo de indemnización</w:t>
      </w:r>
      <w:r>
        <w:rPr>
          <w:rFonts w:ascii="Verdana" w:hAnsi="Verdana" w:cs="Arial"/>
          <w:color w:val="000000" w:themeColor="text1"/>
          <w:sz w:val="16"/>
          <w:szCs w:val="16"/>
        </w:rPr>
        <w:t>’</w:t>
      </w:r>
      <w:r w:rsidRPr="00CA6FDA">
        <w:rPr>
          <w:rFonts w:ascii="Verdana" w:hAnsi="Verdana" w:cs="Arial"/>
          <w:color w:val="000000" w:themeColor="text1"/>
          <w:sz w:val="16"/>
          <w:szCs w:val="16"/>
        </w:rPr>
        <w:t>“</w:t>
      </w:r>
      <w:r>
        <w:rPr>
          <w:rFonts w:ascii="Verdana" w:hAnsi="Verdana" w:cs="Arial"/>
          <w:color w:val="000000" w:themeColor="text1"/>
          <w:sz w:val="16"/>
          <w:szCs w:val="16"/>
        </w:rPr>
        <w:t xml:space="preserve"> </w:t>
      </w:r>
      <w:r w:rsidRPr="00CA6FDA">
        <w:rPr>
          <w:rFonts w:ascii="Verdana" w:hAnsi="Verdana" w:cs="Arial"/>
          <w:color w:val="000000" w:themeColor="text1"/>
          <w:sz w:val="16"/>
          <w:szCs w:val="16"/>
        </w:rPr>
        <w:t>(Cfr. STIGLITZ, Rubén S. Derecho de seguros. Tomo I. Tercera Edición. Buenos Aires: Abeledo – Perrot, 2001. p. 21).</w:t>
      </w:r>
    </w:p>
  </w:footnote>
  <w:footnote w:id="13">
    <w:p w14:paraId="4B600C57"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w:t>
      </w:r>
      <w:r w:rsidRPr="00CA6FDA">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3EC63BB3"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55ED108D"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1. La Entidad Estatal debe exigir una garantía independiente para cada Etapa del Contrato o cada Periodo Contractual o cada unidad funcional en el caso de las Asociaciones Público</w:t>
      </w:r>
      <w:r>
        <w:rPr>
          <w:rFonts w:ascii="Verdana" w:hAnsi="Verdana" w:cs="Arial"/>
          <w:color w:val="000000" w:themeColor="text1"/>
          <w:sz w:val="16"/>
          <w:szCs w:val="16"/>
          <w:lang w:val="es-CO"/>
        </w:rPr>
        <w:t xml:space="preserve"> </w:t>
      </w:r>
      <w:r w:rsidRPr="00CA6FDA">
        <w:rPr>
          <w:rFonts w:ascii="Verdana" w:hAnsi="Verdana" w:cs="Arial"/>
          <w:color w:val="000000" w:themeColor="text1"/>
          <w:sz w:val="16"/>
          <w:szCs w:val="16"/>
          <w:lang w:val="es-CO"/>
        </w:rPr>
        <w:t xml:space="preserve">Privadas, cuya vigencia debe ser por lo menos la misma establecida para la Etapa del Contrato o Periodo Contractual respectivo. </w:t>
      </w:r>
    </w:p>
    <w:p w14:paraId="02A0D8DA"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6FABDEB0"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2F8AE852"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14">
    <w:p w14:paraId="7EFF6F39"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Style w:val="Refdenotaalpie"/>
          <w:rFonts w:ascii="Verdana" w:hAnsi="Verdana" w:cs="Arial"/>
          <w:color w:val="000000" w:themeColor="text1"/>
          <w:sz w:val="16"/>
          <w:szCs w:val="16"/>
        </w:rPr>
        <w:footnoteRef/>
      </w:r>
      <w:r w:rsidRPr="00CA6FDA">
        <w:rPr>
          <w:rFonts w:ascii="Verdana" w:hAnsi="Verdana" w:cs="Arial"/>
          <w:color w:val="000000" w:themeColor="text1"/>
          <w:sz w:val="16"/>
          <w:szCs w:val="16"/>
        </w:rPr>
        <w:t xml:space="preserve"> </w:t>
      </w:r>
      <w:r w:rsidRPr="00CA6FDA">
        <w:rPr>
          <w:rFonts w:ascii="Verdana" w:hAnsi="Verdana" w:cs="Arial"/>
          <w:color w:val="000000" w:themeColor="text1"/>
          <w:sz w:val="16"/>
          <w:szCs w:val="16"/>
          <w:lang w:val="es-CO"/>
        </w:rPr>
        <w:t xml:space="preserve">“Artículo </w:t>
      </w:r>
      <w:bookmarkStart w:id="2" w:name="_Hlk67919994"/>
      <w:r w:rsidRPr="00CA6FDA">
        <w:rPr>
          <w:rFonts w:ascii="Verdana" w:hAnsi="Verdana" w:cs="Arial"/>
          <w:color w:val="000000" w:themeColor="text1"/>
          <w:sz w:val="16"/>
          <w:szCs w:val="16"/>
          <w:lang w:val="es-CO"/>
        </w:rPr>
        <w:t>2.2.1.2.3.1.7</w:t>
      </w:r>
      <w:bookmarkEnd w:id="2"/>
      <w:r w:rsidRPr="00CA6FDA">
        <w:rPr>
          <w:rFonts w:ascii="Verdana" w:hAnsi="Verdana" w:cs="Arial"/>
          <w:color w:val="000000" w:themeColor="text1"/>
          <w:sz w:val="16"/>
          <w:szCs w:val="16"/>
          <w:lang w:val="es-CO"/>
        </w:rPr>
        <w:t xml:space="preserve">. Garantía de cumplimiento. La garantía de cumplimiento del contrato debe cubrir: </w:t>
      </w:r>
    </w:p>
    <w:p w14:paraId="285ACAF4" w14:textId="77777777" w:rsidR="002A5DBE" w:rsidRPr="00CA6FDA" w:rsidRDefault="002A5DBE" w:rsidP="002A5DBE">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  </w:t>
      </w:r>
      <w:r w:rsidRPr="00CA6FDA">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3E28C609"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3D42277A"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 Cumplimiento del contrato. Este amparo cubre a la Entidad Estatal de los perjuicios derivados de: </w:t>
      </w:r>
    </w:p>
    <w:p w14:paraId="2DF155DA" w14:textId="77777777" w:rsidR="002A5DBE" w:rsidRPr="00CA6FDA" w:rsidRDefault="002A5DBE" w:rsidP="002A5DBE">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  </w:t>
      </w:r>
      <w:r w:rsidRPr="00CA6FDA">
        <w:rPr>
          <w:rFonts w:ascii="Verdana" w:hAnsi="Verdana" w:cs="Arial"/>
          <w:color w:val="000000" w:themeColor="text1"/>
          <w:sz w:val="16"/>
          <w:szCs w:val="16"/>
          <w:lang w:val="es-CO"/>
        </w:rPr>
        <w:tab/>
        <w:t xml:space="preserve">3.1. </w:t>
      </w:r>
      <w:bookmarkStart w:id="3" w:name="_Hlk67920056"/>
      <w:r w:rsidRPr="00CA6FDA">
        <w:rPr>
          <w:rFonts w:ascii="Verdana" w:hAnsi="Verdana" w:cs="Arial"/>
          <w:color w:val="000000" w:themeColor="text1"/>
          <w:sz w:val="16"/>
          <w:szCs w:val="16"/>
          <w:lang w:val="es-CO"/>
        </w:rPr>
        <w:t xml:space="preserve">El incumplimiento total o parcial del contrato, cuando el incumplimiento es imputable al contratista; </w:t>
      </w:r>
    </w:p>
    <w:p w14:paraId="1E776091" w14:textId="77777777" w:rsidR="002A5DBE" w:rsidRPr="00CA6FDA" w:rsidRDefault="002A5DBE" w:rsidP="002A5DBE">
      <w:pPr>
        <w:pStyle w:val="Textonotapie"/>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  </w:t>
      </w:r>
      <w:r w:rsidRPr="00CA6FDA">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64C06261"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3"/>
    <w:p w14:paraId="438B1CEC"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3.4. El pago del valor de las multas y de la cláusula penal pecuniaria. </w:t>
      </w:r>
    </w:p>
    <w:p w14:paraId="4AE162F9"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439ED11C"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3EC8F32B"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3E2583D9"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404003C2"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72DD00D7" w14:textId="77777777" w:rsidR="002A5DBE" w:rsidRPr="00CA6FDA" w:rsidRDefault="002A5DBE" w:rsidP="002A5DBE">
      <w:pPr>
        <w:pStyle w:val="Textonotapie"/>
        <w:ind w:firstLine="708"/>
        <w:jc w:val="both"/>
        <w:rPr>
          <w:rFonts w:ascii="Verdana" w:hAnsi="Verdana" w:cs="Arial"/>
          <w:color w:val="000000" w:themeColor="text1"/>
          <w:sz w:val="16"/>
          <w:szCs w:val="16"/>
          <w:lang w:val="es-CO"/>
        </w:rPr>
      </w:pPr>
      <w:r w:rsidRPr="00CA6FDA">
        <w:rPr>
          <w:rFonts w:ascii="Verdana" w:hAnsi="Verdana" w:cs="Arial"/>
          <w:color w:val="000000" w:themeColor="text1"/>
          <w:sz w:val="16"/>
          <w:szCs w:val="16"/>
          <w:lang w:val="es-CO"/>
        </w:rPr>
        <w:t xml:space="preserve">8. </w:t>
      </w:r>
      <w:bookmarkStart w:id="4" w:name="_Hlk143267015"/>
      <w:r w:rsidRPr="00CA6FDA">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4"/>
      <w:r w:rsidRPr="00CA6FDA">
        <w:rPr>
          <w:rFonts w:ascii="Verdana" w:hAnsi="Verdana" w:cs="Arial"/>
          <w:color w:val="000000" w:themeColor="text1"/>
          <w:sz w:val="16"/>
          <w:szCs w:val="16"/>
          <w:lang w:val="es-CO"/>
        </w:rPr>
        <w:t>”.</w:t>
      </w:r>
    </w:p>
  </w:footnote>
  <w:footnote w:id="15">
    <w:p w14:paraId="2376305E" w14:textId="77777777" w:rsidR="002A5DBE" w:rsidRDefault="002A5DBE" w:rsidP="002A5DBE">
      <w:pPr>
        <w:pStyle w:val="Textonotapie"/>
        <w:ind w:firstLine="708"/>
        <w:jc w:val="both"/>
        <w:rPr>
          <w:rFonts w:ascii="Verdana" w:hAnsi="Verdana"/>
          <w:sz w:val="16"/>
          <w:szCs w:val="16"/>
        </w:rPr>
      </w:pPr>
      <w:r w:rsidRPr="00C7217B">
        <w:rPr>
          <w:rStyle w:val="Refdenotaalpie"/>
          <w:rFonts w:ascii="Verdana" w:hAnsi="Verdana"/>
          <w:sz w:val="16"/>
          <w:szCs w:val="16"/>
        </w:rPr>
        <w:footnoteRef/>
      </w:r>
      <w:r w:rsidRPr="00C7217B">
        <w:rPr>
          <w:rFonts w:ascii="Verdana" w:hAnsi="Verdana"/>
          <w:sz w:val="16"/>
          <w:szCs w:val="16"/>
        </w:rPr>
        <w:t xml:space="preserve"> </w:t>
      </w:r>
      <w:r>
        <w:rPr>
          <w:rFonts w:ascii="Verdana" w:hAnsi="Verdana"/>
          <w:sz w:val="16"/>
          <w:szCs w:val="16"/>
        </w:rPr>
        <w:t>En efecto, “</w:t>
      </w:r>
      <w:r w:rsidRPr="007871DB">
        <w:rPr>
          <w:rFonts w:ascii="Verdana" w:hAnsi="Verdana"/>
          <w:sz w:val="16"/>
          <w:szCs w:val="16"/>
        </w:rPr>
        <w:t>Los contratos administrativos no se hallan sujetos al procedi</w:t>
      </w:r>
      <w:r>
        <w:rPr>
          <w:rFonts w:ascii="Verdana" w:hAnsi="Verdana"/>
          <w:sz w:val="16"/>
          <w:szCs w:val="16"/>
        </w:rPr>
        <w:t>m</w:t>
      </w:r>
      <w:r w:rsidRPr="007871DB">
        <w:rPr>
          <w:rFonts w:ascii="Verdana" w:hAnsi="Verdana"/>
          <w:sz w:val="16"/>
          <w:szCs w:val="16"/>
        </w:rPr>
        <w:t>iento ordinario de los contratos privados, donde la parte perjudicada por el incumplimiento total o parcial de la</w:t>
      </w:r>
      <w:r>
        <w:rPr>
          <w:rFonts w:ascii="Verdana" w:hAnsi="Verdana"/>
          <w:sz w:val="16"/>
          <w:szCs w:val="16"/>
        </w:rPr>
        <w:t xml:space="preserve"> </w:t>
      </w:r>
      <w:r w:rsidRPr="007871DB">
        <w:rPr>
          <w:rFonts w:ascii="Verdana" w:hAnsi="Verdana"/>
          <w:sz w:val="16"/>
          <w:szCs w:val="16"/>
        </w:rPr>
        <w:t>otra</w:t>
      </w:r>
      <w:r>
        <w:rPr>
          <w:rFonts w:ascii="Verdana" w:hAnsi="Verdana"/>
          <w:sz w:val="16"/>
          <w:szCs w:val="16"/>
        </w:rPr>
        <w:t xml:space="preserve"> debe </w:t>
      </w:r>
      <w:r w:rsidRPr="007871DB">
        <w:rPr>
          <w:rFonts w:ascii="Verdana" w:hAnsi="Verdana"/>
          <w:sz w:val="16"/>
          <w:szCs w:val="16"/>
        </w:rPr>
        <w:t>reclamar por la vía jurisdiccional pertinente el cump</w:t>
      </w:r>
      <w:r>
        <w:rPr>
          <w:rFonts w:ascii="Verdana" w:hAnsi="Verdana"/>
          <w:sz w:val="16"/>
          <w:szCs w:val="16"/>
        </w:rPr>
        <w:t>li</w:t>
      </w:r>
      <w:r w:rsidRPr="007871DB">
        <w:rPr>
          <w:rFonts w:ascii="Verdana" w:hAnsi="Verdana"/>
          <w:sz w:val="16"/>
          <w:szCs w:val="16"/>
        </w:rPr>
        <w:t>miento o la rescisión del pacto. Aquí, la satisfacción premi</w:t>
      </w:r>
      <w:r>
        <w:rPr>
          <w:rFonts w:ascii="Verdana" w:hAnsi="Verdana"/>
          <w:sz w:val="16"/>
          <w:szCs w:val="16"/>
        </w:rPr>
        <w:t>o</w:t>
      </w:r>
      <w:r w:rsidRPr="007871DB">
        <w:rPr>
          <w:rFonts w:ascii="Verdana" w:hAnsi="Verdana"/>
          <w:sz w:val="16"/>
          <w:szCs w:val="16"/>
        </w:rPr>
        <w:t xml:space="preserve">sa de las necesidades públicas, hace imposible la demora </w:t>
      </w:r>
      <w:r>
        <w:rPr>
          <w:rFonts w:ascii="Verdana" w:hAnsi="Verdana"/>
          <w:sz w:val="16"/>
          <w:szCs w:val="16"/>
        </w:rPr>
        <w:t>in</w:t>
      </w:r>
      <w:r w:rsidRPr="007871DB">
        <w:rPr>
          <w:rFonts w:ascii="Verdana" w:hAnsi="Verdana"/>
          <w:sz w:val="16"/>
          <w:szCs w:val="16"/>
        </w:rPr>
        <w:t xml:space="preserve">herente a la sustanciación del proceso civil ordinario y </w:t>
      </w:r>
      <w:r>
        <w:rPr>
          <w:rFonts w:ascii="Verdana" w:hAnsi="Verdana"/>
          <w:sz w:val="16"/>
          <w:szCs w:val="16"/>
        </w:rPr>
        <w:t>r</w:t>
      </w:r>
      <w:r w:rsidRPr="007871DB">
        <w:rPr>
          <w:rFonts w:ascii="Verdana" w:hAnsi="Verdana"/>
          <w:sz w:val="16"/>
          <w:szCs w:val="16"/>
        </w:rPr>
        <w:t>eclama perentoriamente la acción ejecutiva del poder pú</w:t>
      </w:r>
      <w:r>
        <w:rPr>
          <w:rFonts w:ascii="Verdana" w:hAnsi="Verdana"/>
          <w:sz w:val="16"/>
          <w:szCs w:val="16"/>
        </w:rPr>
        <w:t>bli</w:t>
      </w:r>
      <w:r w:rsidRPr="007871DB">
        <w:rPr>
          <w:rFonts w:ascii="Verdana" w:hAnsi="Verdana"/>
          <w:sz w:val="16"/>
          <w:szCs w:val="16"/>
        </w:rPr>
        <w:t>co a q</w:t>
      </w:r>
      <w:r>
        <w:rPr>
          <w:rFonts w:ascii="Verdana" w:hAnsi="Verdana"/>
          <w:sz w:val="16"/>
          <w:szCs w:val="16"/>
        </w:rPr>
        <w:t>ui</w:t>
      </w:r>
      <w:r w:rsidRPr="007871DB">
        <w:rPr>
          <w:rFonts w:ascii="Verdana" w:hAnsi="Verdana"/>
          <w:sz w:val="16"/>
          <w:szCs w:val="16"/>
        </w:rPr>
        <w:t>en compete velar por la satisfacción de esas necesidades impostergables.</w:t>
      </w:r>
    </w:p>
    <w:p w14:paraId="082A4E29" w14:textId="77777777" w:rsidR="002A5DBE" w:rsidRPr="007871DB" w:rsidRDefault="002A5DBE" w:rsidP="002A5DBE">
      <w:pPr>
        <w:pStyle w:val="Textonotapie"/>
        <w:ind w:firstLine="708"/>
        <w:jc w:val="both"/>
        <w:rPr>
          <w:rFonts w:ascii="Verdana" w:hAnsi="Verdana"/>
          <w:sz w:val="16"/>
          <w:szCs w:val="16"/>
        </w:rPr>
      </w:pPr>
      <w:r w:rsidRPr="007871DB">
        <w:rPr>
          <w:rFonts w:ascii="Verdana" w:hAnsi="Verdana"/>
          <w:sz w:val="16"/>
          <w:szCs w:val="16"/>
        </w:rPr>
        <w:t>Aparece entonces otro aspecto de la subordinación jurídica en que se halla con respecto al contrato, quien celebra con la Administración pública uno relativo a un fin público</w:t>
      </w:r>
      <w:r>
        <w:rPr>
          <w:rFonts w:ascii="Verdana" w:hAnsi="Verdana"/>
          <w:sz w:val="16"/>
          <w:szCs w:val="16"/>
        </w:rPr>
        <w:t xml:space="preserve"> </w:t>
      </w:r>
      <w:r w:rsidRPr="007871DB">
        <w:rPr>
          <w:rFonts w:ascii="Verdana" w:hAnsi="Verdana"/>
          <w:sz w:val="16"/>
          <w:szCs w:val="16"/>
        </w:rPr>
        <w:t>o cuya ejecución puede afectar la satisfacción de una necesidad pública colectiva.</w:t>
      </w:r>
    </w:p>
    <w:p w14:paraId="5A051D5C" w14:textId="77777777" w:rsidR="002A5DBE" w:rsidRPr="007871DB" w:rsidRDefault="002A5DBE" w:rsidP="002A5DBE">
      <w:pPr>
        <w:pStyle w:val="Textonotapie"/>
        <w:ind w:firstLine="708"/>
        <w:jc w:val="both"/>
        <w:rPr>
          <w:rFonts w:ascii="Verdana" w:hAnsi="Verdana"/>
          <w:sz w:val="16"/>
          <w:szCs w:val="16"/>
        </w:rPr>
      </w:pPr>
      <w:r w:rsidRPr="007871DB">
        <w:rPr>
          <w:rFonts w:ascii="Verdana" w:hAnsi="Verdana"/>
          <w:sz w:val="16"/>
          <w:szCs w:val="16"/>
        </w:rPr>
        <w:t>La Administración pública es el juez inmediato del cumplimiento de las prestaciones que corresponden a su cocontratante. Si a su criterio no son ejecutadas conforme a lo convenido, puede disponer unilateralmente su nueva ejecución, su ejecución por un tercero o la rescisión del convenio. Todo</w:t>
      </w:r>
      <w:r>
        <w:rPr>
          <w:rFonts w:ascii="Verdana" w:hAnsi="Verdana"/>
          <w:sz w:val="16"/>
          <w:szCs w:val="16"/>
        </w:rPr>
        <w:t xml:space="preserve"> </w:t>
      </w:r>
      <w:r w:rsidRPr="007871DB">
        <w:rPr>
          <w:rFonts w:ascii="Verdana" w:hAnsi="Verdana"/>
          <w:sz w:val="16"/>
          <w:szCs w:val="16"/>
        </w:rPr>
        <w:t>sin perjuicio de los recursos jurisdiccionales que sean procedentes según los distintos ordenamientos jurídicos o de las</w:t>
      </w:r>
      <w:r>
        <w:rPr>
          <w:rFonts w:ascii="Verdana" w:hAnsi="Verdana"/>
          <w:sz w:val="16"/>
          <w:szCs w:val="16"/>
        </w:rPr>
        <w:t xml:space="preserve"> </w:t>
      </w:r>
      <w:r w:rsidRPr="007871DB">
        <w:rPr>
          <w:rFonts w:ascii="Verdana" w:hAnsi="Verdana"/>
          <w:sz w:val="16"/>
          <w:szCs w:val="16"/>
        </w:rPr>
        <w:t>indemnizaciones que puedan resultar en el caso de probarse,</w:t>
      </w:r>
      <w:r>
        <w:rPr>
          <w:rFonts w:ascii="Verdana" w:hAnsi="Verdana"/>
          <w:sz w:val="16"/>
          <w:szCs w:val="16"/>
        </w:rPr>
        <w:t xml:space="preserve"> </w:t>
      </w:r>
      <w:r w:rsidRPr="007871DB">
        <w:rPr>
          <w:rFonts w:ascii="Verdana" w:hAnsi="Verdana"/>
          <w:sz w:val="16"/>
          <w:szCs w:val="16"/>
        </w:rPr>
        <w:t>ulteriormente, por la vía judicial respectiva, la arbitrariedad</w:t>
      </w:r>
      <w:r>
        <w:rPr>
          <w:rFonts w:ascii="Verdana" w:hAnsi="Verdana"/>
          <w:sz w:val="16"/>
          <w:szCs w:val="16"/>
        </w:rPr>
        <w:t xml:space="preserve"> </w:t>
      </w:r>
      <w:r w:rsidRPr="007871DB">
        <w:rPr>
          <w:rFonts w:ascii="Verdana" w:hAnsi="Verdana"/>
          <w:sz w:val="16"/>
          <w:szCs w:val="16"/>
        </w:rPr>
        <w:t>de las decisiones tomadas por la Administración pública al respecto</w:t>
      </w:r>
      <w:r>
        <w:rPr>
          <w:rFonts w:ascii="Verdana" w:hAnsi="Verdana"/>
          <w:sz w:val="16"/>
          <w:szCs w:val="16"/>
        </w:rPr>
        <w:t>” (Cfr. BERÇAITZ, Miguel Ángel. Teoría general de los contratos administrativos. Segunda edición. Buenos Aires: Depalma, 1980. pp. 238-239)</w:t>
      </w:r>
      <w:r w:rsidRPr="007871DB">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82B"/>
    <w:rsid w:val="00046945"/>
    <w:rsid w:val="00061B2A"/>
    <w:rsid w:val="00082362"/>
    <w:rsid w:val="00083B5F"/>
    <w:rsid w:val="000A683E"/>
    <w:rsid w:val="000B19B9"/>
    <w:rsid w:val="000D0334"/>
    <w:rsid w:val="000D5DA7"/>
    <w:rsid w:val="000F6486"/>
    <w:rsid w:val="00116940"/>
    <w:rsid w:val="00125105"/>
    <w:rsid w:val="00127233"/>
    <w:rsid w:val="0015699B"/>
    <w:rsid w:val="001852CF"/>
    <w:rsid w:val="001A33BF"/>
    <w:rsid w:val="001E0021"/>
    <w:rsid w:val="001E4177"/>
    <w:rsid w:val="001F0B24"/>
    <w:rsid w:val="001F385F"/>
    <w:rsid w:val="001F7DC6"/>
    <w:rsid w:val="0022400B"/>
    <w:rsid w:val="00227CA6"/>
    <w:rsid w:val="002371B0"/>
    <w:rsid w:val="002421BB"/>
    <w:rsid w:val="0025796E"/>
    <w:rsid w:val="002707A2"/>
    <w:rsid w:val="002951A0"/>
    <w:rsid w:val="002962BC"/>
    <w:rsid w:val="002A093D"/>
    <w:rsid w:val="002A0DD0"/>
    <w:rsid w:val="002A49AC"/>
    <w:rsid w:val="002A5DBE"/>
    <w:rsid w:val="002A64FD"/>
    <w:rsid w:val="002C7A84"/>
    <w:rsid w:val="002D24CE"/>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3145"/>
    <w:rsid w:val="00466E39"/>
    <w:rsid w:val="0049440B"/>
    <w:rsid w:val="004A1847"/>
    <w:rsid w:val="004A305D"/>
    <w:rsid w:val="004A63F9"/>
    <w:rsid w:val="004F21C4"/>
    <w:rsid w:val="004F685F"/>
    <w:rsid w:val="00540D9E"/>
    <w:rsid w:val="005566E8"/>
    <w:rsid w:val="00574867"/>
    <w:rsid w:val="00587658"/>
    <w:rsid w:val="00591460"/>
    <w:rsid w:val="005A65E0"/>
    <w:rsid w:val="005C3777"/>
    <w:rsid w:val="005C5CDC"/>
    <w:rsid w:val="005D476C"/>
    <w:rsid w:val="006200BF"/>
    <w:rsid w:val="006219F8"/>
    <w:rsid w:val="006302F7"/>
    <w:rsid w:val="0064690D"/>
    <w:rsid w:val="00646B9F"/>
    <w:rsid w:val="00665D70"/>
    <w:rsid w:val="006900D9"/>
    <w:rsid w:val="006974DC"/>
    <w:rsid w:val="006B2BBB"/>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1005"/>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40F8"/>
    <w:rsid w:val="009F3A13"/>
    <w:rsid w:val="00A122D3"/>
    <w:rsid w:val="00A14468"/>
    <w:rsid w:val="00A17F13"/>
    <w:rsid w:val="00A20739"/>
    <w:rsid w:val="00A23AF9"/>
    <w:rsid w:val="00A33C78"/>
    <w:rsid w:val="00A75858"/>
    <w:rsid w:val="00AB0ADB"/>
    <w:rsid w:val="00B00C0E"/>
    <w:rsid w:val="00B01B1A"/>
    <w:rsid w:val="00B0381D"/>
    <w:rsid w:val="00B04085"/>
    <w:rsid w:val="00B141A0"/>
    <w:rsid w:val="00B44A47"/>
    <w:rsid w:val="00B72CD3"/>
    <w:rsid w:val="00B72FFF"/>
    <w:rsid w:val="00BC09DE"/>
    <w:rsid w:val="00BC3D36"/>
    <w:rsid w:val="00BD486F"/>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536E0"/>
    <w:rsid w:val="00D63AC2"/>
    <w:rsid w:val="00D7383B"/>
    <w:rsid w:val="00D7788A"/>
    <w:rsid w:val="00D77F4A"/>
    <w:rsid w:val="00DA231B"/>
    <w:rsid w:val="00DA5C61"/>
    <w:rsid w:val="00DC39FC"/>
    <w:rsid w:val="00DF5254"/>
    <w:rsid w:val="00E02524"/>
    <w:rsid w:val="00E16408"/>
    <w:rsid w:val="00E166B9"/>
    <w:rsid w:val="00E20894"/>
    <w:rsid w:val="00E245AB"/>
    <w:rsid w:val="00E271DC"/>
    <w:rsid w:val="00E2764C"/>
    <w:rsid w:val="00E27F2E"/>
    <w:rsid w:val="00E50AFE"/>
    <w:rsid w:val="00E5757D"/>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A5BE8"/>
    <w:rsid w:val="00FB5DD1"/>
    <w:rsid w:val="00FC2B5D"/>
    <w:rsid w:val="00FF1449"/>
    <w:rsid w:val="00FF7963"/>
    <w:rsid w:val="071B8F93"/>
    <w:rsid w:val="07C73DD1"/>
    <w:rsid w:val="09908A09"/>
    <w:rsid w:val="0EFE6349"/>
    <w:rsid w:val="0FF4CCA8"/>
    <w:rsid w:val="13CFC91B"/>
    <w:rsid w:val="1429D904"/>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A5DB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A5DBE"/>
    <w:rPr>
      <w:rFonts w:ascii="Geomanist Light" w:hAnsi="Geomanist Light"/>
      <w:lang w:val="es-ES"/>
    </w:rPr>
  </w:style>
  <w:style w:type="paragraph" w:styleId="Textoindependiente">
    <w:name w:val="Body Text"/>
    <w:basedOn w:val="Normal"/>
    <w:link w:val="TextoindependienteCar"/>
    <w:uiPriority w:val="99"/>
    <w:unhideWhenUsed/>
    <w:rsid w:val="002A5DBE"/>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A5DBE"/>
    <w:rPr>
      <w:rFonts w:eastAsiaTheme="minorEastAsia"/>
      <w:lang w:eastAsia="es-CO"/>
    </w:rPr>
  </w:style>
  <w:style w:type="character" w:customStyle="1" w:styleId="s15">
    <w:name w:val="s15"/>
    <w:basedOn w:val="Fuentedeprrafopredeter"/>
    <w:rsid w:val="002A5DBE"/>
  </w:style>
  <w:style w:type="character" w:customStyle="1" w:styleId="NormalWebCar">
    <w:name w:val="Normal (Web) Car"/>
    <w:link w:val="NormalWeb"/>
    <w:uiPriority w:val="99"/>
    <w:rsid w:val="002A5DBE"/>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jimenez@Ise.com.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normas.cra.gov.co/gestor/docs/11001-03-06-000-2014-00230-00(2230).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C1401F1-9836-4EC0-9E87-5D56E50C5C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20</Pages>
  <Words>6223</Words>
  <Characters>34229</Characters>
  <Application>Microsoft Office Word</Application>
  <DocSecurity>0</DocSecurity>
  <Lines>285</Lines>
  <Paragraphs>80</Paragraphs>
  <ScaleCrop>false</ScaleCrop>
  <Company/>
  <LinksUpToDate>false</LinksUpToDate>
  <CharactersWithSpaces>40372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2026-05-14T14:26:00Z</dcterms:created>
  <dcterms:modified xsi:type="dcterms:W3CDTF">2026-05-19T21:26:00Z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