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3F441" w14:textId="77777777" w:rsidR="00115315" w:rsidRPr="000C00B8" w:rsidRDefault="00115315" w:rsidP="00115315">
      <w:pPr>
        <w:spacing w:after="0" w:line="240" w:lineRule="auto"/>
        <w:jc w:val="both"/>
        <w:rPr>
          <w:rFonts w:ascii="Verdana" w:eastAsia="Calibri" w:hAnsi="Verdana" w:cs="Arial"/>
          <w:b/>
          <w:bCs/>
          <w:color w:val="000000" w:themeColor="text1"/>
          <w:sz w:val="20"/>
          <w:szCs w:val="20"/>
        </w:rPr>
      </w:pPr>
    </w:p>
    <w:p w14:paraId="5F3E19BC" w14:textId="77777777" w:rsidR="00115315" w:rsidRPr="000C00B8" w:rsidRDefault="00115315" w:rsidP="00115315">
      <w:pPr>
        <w:spacing w:after="0" w:line="240" w:lineRule="auto"/>
        <w:jc w:val="both"/>
        <w:rPr>
          <w:rFonts w:ascii="Verdana" w:eastAsia="Calibri" w:hAnsi="Verdana" w:cs="Arial"/>
          <w:b/>
          <w:bCs/>
          <w:color w:val="000000" w:themeColor="text1"/>
          <w:lang w:val="es-ES_tradnl"/>
        </w:rPr>
      </w:pPr>
      <w:r w:rsidRPr="000C00B8">
        <w:rPr>
          <w:rFonts w:ascii="Verdana" w:eastAsia="Calibri" w:hAnsi="Verdana" w:cs="Arial"/>
          <w:b/>
          <w:bCs/>
          <w:color w:val="000000" w:themeColor="text1"/>
          <w:lang w:val="es-ES_tradnl"/>
        </w:rPr>
        <w:t>SELECCIÓN OBJETIVA – Noción – Requisitos habilitantes</w:t>
      </w:r>
    </w:p>
    <w:p w14:paraId="6C6E1D02" w14:textId="77777777" w:rsidR="00115315" w:rsidRPr="000C00B8" w:rsidRDefault="00115315" w:rsidP="00115315">
      <w:pPr>
        <w:spacing w:after="0" w:line="240" w:lineRule="auto"/>
        <w:rPr>
          <w:rFonts w:ascii="Verdana" w:eastAsia="Calibri" w:hAnsi="Verdana" w:cs="Arial"/>
          <w:b/>
          <w:bCs/>
          <w:color w:val="000000" w:themeColor="text1"/>
          <w:sz w:val="20"/>
          <w:szCs w:val="20"/>
          <w:lang w:val="es-ES_tradnl"/>
        </w:rPr>
      </w:pPr>
    </w:p>
    <w:p w14:paraId="575BBC27" w14:textId="77777777" w:rsidR="00115315" w:rsidRPr="000C00B8" w:rsidRDefault="00115315" w:rsidP="00115315">
      <w:pPr>
        <w:spacing w:after="0" w:line="240" w:lineRule="auto"/>
        <w:jc w:val="both"/>
        <w:rPr>
          <w:rFonts w:ascii="Verdana" w:eastAsia="Calibri" w:hAnsi="Verdana" w:cs="Arial"/>
          <w:color w:val="000000" w:themeColor="text1"/>
          <w:sz w:val="20"/>
          <w:szCs w:val="20"/>
          <w:lang w:val="es-ES_tradnl"/>
        </w:rPr>
      </w:pPr>
      <w:r w:rsidRPr="000C00B8">
        <w:rPr>
          <w:rFonts w:ascii="Verdana" w:eastAsia="Calibri" w:hAnsi="Verdana" w:cs="Arial"/>
          <w:color w:val="000000" w:themeColor="text1"/>
          <w:sz w:val="20"/>
          <w:szCs w:val="20"/>
          <w:lang w:val="es-ES_tradnl"/>
        </w:rPr>
        <w:t xml:space="preserve">El artículo 5 de la Ley 1150 de 2007 establece que se considera “objetiva la selección en la cual la escogencia se haga al ofrecimiento más favorable a la entidad y a los fines que ella busca, sin tener en consideración factores de afecto o de interés y, en general, cualquier clase de motivación subjetiva”. […] Los requisitos habilitantes y criterios de calificación que establezcan las entidades en los pliegos de condiciones o sus equivalentes, deberán tener en cuenta, entre otras exigencias, los criterios establecidos en dicho artículo. Específicamente, el numeral 1º de la disposición en comento establece que en los procesos de selección de contratistas serán objeto de verificación, como requisitos habilitantes, los siguientes: i) la capacidad jurídica; </w:t>
      </w:r>
      <w:proofErr w:type="spellStart"/>
      <w:r w:rsidRPr="000C00B8">
        <w:rPr>
          <w:rFonts w:ascii="Verdana" w:eastAsia="Calibri" w:hAnsi="Verdana" w:cs="Arial"/>
          <w:color w:val="000000" w:themeColor="text1"/>
          <w:sz w:val="20"/>
          <w:szCs w:val="20"/>
          <w:lang w:val="es-ES_tradnl"/>
        </w:rPr>
        <w:t>ii</w:t>
      </w:r>
      <w:proofErr w:type="spellEnd"/>
      <w:r w:rsidRPr="000C00B8">
        <w:rPr>
          <w:rFonts w:ascii="Verdana" w:eastAsia="Calibri" w:hAnsi="Verdana" w:cs="Arial"/>
          <w:color w:val="000000" w:themeColor="text1"/>
          <w:sz w:val="20"/>
          <w:szCs w:val="20"/>
          <w:lang w:val="es-ES_tradnl"/>
        </w:rPr>
        <w:t xml:space="preserve">) la experiencia; </w:t>
      </w:r>
      <w:proofErr w:type="spellStart"/>
      <w:r w:rsidRPr="000C00B8">
        <w:rPr>
          <w:rFonts w:ascii="Verdana" w:eastAsia="Calibri" w:hAnsi="Verdana" w:cs="Arial"/>
          <w:color w:val="000000" w:themeColor="text1"/>
          <w:sz w:val="20"/>
          <w:szCs w:val="20"/>
          <w:lang w:val="es-ES_tradnl"/>
        </w:rPr>
        <w:t>iii</w:t>
      </w:r>
      <w:proofErr w:type="spellEnd"/>
      <w:r w:rsidRPr="000C00B8">
        <w:rPr>
          <w:rFonts w:ascii="Verdana" w:eastAsia="Calibri" w:hAnsi="Verdana" w:cs="Arial"/>
          <w:color w:val="000000" w:themeColor="text1"/>
          <w:sz w:val="20"/>
          <w:szCs w:val="20"/>
          <w:lang w:val="es-ES_tradnl"/>
        </w:rPr>
        <w:t xml:space="preserve">) la capacidad financiera y </w:t>
      </w:r>
      <w:proofErr w:type="spellStart"/>
      <w:r w:rsidRPr="000C00B8">
        <w:rPr>
          <w:rFonts w:ascii="Verdana" w:eastAsia="Calibri" w:hAnsi="Verdana" w:cs="Arial"/>
          <w:color w:val="000000" w:themeColor="text1"/>
          <w:sz w:val="20"/>
          <w:szCs w:val="20"/>
          <w:lang w:val="es-ES_tradnl"/>
        </w:rPr>
        <w:t>iv</w:t>
      </w:r>
      <w:proofErr w:type="spellEnd"/>
      <w:r w:rsidRPr="000C00B8">
        <w:rPr>
          <w:rFonts w:ascii="Verdana" w:eastAsia="Calibri" w:hAnsi="Verdana" w:cs="Arial"/>
          <w:color w:val="000000" w:themeColor="text1"/>
          <w:sz w:val="20"/>
          <w:szCs w:val="20"/>
          <w:lang w:val="es-ES_tradnl"/>
        </w:rPr>
        <w:t>) la capacidad de organización.</w:t>
      </w:r>
    </w:p>
    <w:p w14:paraId="754E09B1" w14:textId="77777777" w:rsidR="00115315" w:rsidRPr="00A87F2D" w:rsidRDefault="00115315" w:rsidP="00115315">
      <w:pPr>
        <w:spacing w:after="0" w:line="240" w:lineRule="auto"/>
        <w:jc w:val="both"/>
        <w:rPr>
          <w:rFonts w:ascii="Verdana" w:eastAsia="Calibri" w:hAnsi="Verdana" w:cs="Arial"/>
          <w:b/>
          <w:sz w:val="20"/>
          <w:szCs w:val="20"/>
          <w:lang w:val="es-ES_tradnl"/>
        </w:rPr>
      </w:pPr>
    </w:p>
    <w:p w14:paraId="4DD6D039" w14:textId="77777777" w:rsidR="00115315" w:rsidRPr="00A87F2D" w:rsidRDefault="00115315" w:rsidP="00115315">
      <w:pPr>
        <w:spacing w:after="0" w:line="240" w:lineRule="auto"/>
        <w:jc w:val="both"/>
        <w:rPr>
          <w:rFonts w:ascii="Verdana" w:eastAsia="Calibri" w:hAnsi="Verdana" w:cs="Arial"/>
          <w:b/>
          <w:bCs/>
          <w:color w:val="000000" w:themeColor="text1"/>
          <w:sz w:val="20"/>
          <w:szCs w:val="20"/>
          <w:lang w:val="es-MX"/>
        </w:rPr>
      </w:pPr>
      <w:r w:rsidRPr="00A87F2D">
        <w:rPr>
          <w:rFonts w:ascii="Verdana" w:eastAsia="Calibri" w:hAnsi="Verdana" w:cs="Arial"/>
          <w:b/>
          <w:bCs/>
          <w:color w:val="000000" w:themeColor="text1"/>
          <w:lang w:val="es-MX"/>
        </w:rPr>
        <w:t xml:space="preserve">REGISTRO ÚNICO DE PROPONENTES – Definición – Marco jurídico </w:t>
      </w:r>
    </w:p>
    <w:p w14:paraId="44FEFD63" w14:textId="77777777" w:rsidR="00115315" w:rsidRPr="00A87F2D" w:rsidRDefault="00115315" w:rsidP="00115315">
      <w:pPr>
        <w:spacing w:after="0" w:line="240" w:lineRule="auto"/>
        <w:jc w:val="both"/>
        <w:rPr>
          <w:rFonts w:ascii="Verdana" w:eastAsia="Calibri" w:hAnsi="Verdana" w:cs="Arial"/>
          <w:bCs/>
          <w:color w:val="000000" w:themeColor="text1"/>
          <w:sz w:val="20"/>
          <w:szCs w:val="20"/>
          <w:lang w:val="es-ES"/>
        </w:rPr>
      </w:pPr>
    </w:p>
    <w:p w14:paraId="054BA146" w14:textId="77777777" w:rsidR="00115315" w:rsidRPr="00A87F2D" w:rsidRDefault="00115315" w:rsidP="00115315">
      <w:pPr>
        <w:spacing w:after="0" w:line="240" w:lineRule="auto"/>
        <w:jc w:val="both"/>
        <w:rPr>
          <w:rFonts w:ascii="Verdana" w:eastAsia="Calibri" w:hAnsi="Verdana" w:cs="Arial"/>
          <w:bCs/>
          <w:color w:val="000000" w:themeColor="text1"/>
          <w:sz w:val="20"/>
          <w:szCs w:val="20"/>
          <w:lang w:val="es-ES"/>
        </w:rPr>
      </w:pPr>
      <w:r w:rsidRPr="00A87F2D">
        <w:rPr>
          <w:rFonts w:ascii="Verdana" w:eastAsia="Calibri" w:hAnsi="Verdana" w:cs="Arial"/>
          <w:bCs/>
          <w:color w:val="000000" w:themeColor="text1"/>
          <w:sz w:val="20"/>
          <w:szCs w:val="20"/>
          <w:lang w:val="es-ES"/>
        </w:rPr>
        <w:t xml:space="preserve">El Registro Único de Proponentes es el documento donde consta la información relacionada con las personas naturales y jurídicas, que tiene por objeto consolidar los datos relacionados con la capacidad jurídica, técnica, financiera y organizacional de los posibles proponentes, con el fin que participen en los procedimientos de selección realizados por las entidades estatales, facilitando la revisión de los datos contenidos en el registro </w:t>
      </w:r>
    </w:p>
    <w:p w14:paraId="4176B9E5" w14:textId="77777777" w:rsidR="00115315" w:rsidRPr="00A87F2D" w:rsidRDefault="00115315" w:rsidP="00115315">
      <w:pPr>
        <w:spacing w:after="0" w:line="240" w:lineRule="auto"/>
        <w:jc w:val="both"/>
        <w:rPr>
          <w:rFonts w:ascii="Verdana" w:eastAsia="Calibri" w:hAnsi="Verdana" w:cs="Arial"/>
          <w:b/>
          <w:bCs/>
          <w:color w:val="000000" w:themeColor="text1"/>
          <w:sz w:val="20"/>
          <w:szCs w:val="20"/>
          <w:lang w:val="es-ES"/>
        </w:rPr>
      </w:pPr>
    </w:p>
    <w:p w14:paraId="02C65A44" w14:textId="77777777" w:rsidR="00115315" w:rsidRPr="00A87F2D" w:rsidRDefault="00115315" w:rsidP="00115315">
      <w:pPr>
        <w:spacing w:after="0" w:line="240" w:lineRule="auto"/>
        <w:jc w:val="both"/>
        <w:rPr>
          <w:rFonts w:ascii="Verdana" w:eastAsia="Calibri" w:hAnsi="Verdana" w:cs="Arial"/>
          <w:bCs/>
          <w:color w:val="000000" w:themeColor="text1"/>
          <w:sz w:val="20"/>
          <w:szCs w:val="20"/>
          <w:lang w:val="es-ES"/>
        </w:rPr>
      </w:pPr>
      <w:r w:rsidRPr="00A87F2D">
        <w:rPr>
          <w:rFonts w:ascii="Verdana" w:eastAsia="Calibri" w:hAnsi="Verdana" w:cs="Arial"/>
          <w:bCs/>
          <w:color w:val="000000" w:themeColor="text1"/>
          <w:sz w:val="20"/>
          <w:szCs w:val="20"/>
          <w:lang w:val="es-ES"/>
        </w:rPr>
        <w:t xml:space="preserve">El artículo 6.1 de la Ley 1150 de 2007, al determinar las características aplicables al RUP, cualifica la información plasmada en él, al establecer que constituye plena prueba de lo que contiene. A su vez, el numeral 1 del artículo 5 de la misma ley, al establecer los criterios que deben tenerse en cuenta por las entidades estatales para garantizar la selección objetiva, determina que las Cámaras de Comercio realizarán la verificación de la información suministrada por las personas naturales o jurídicas para su inscripción en el Registro Único de Proponentes, ya que esta será tenida en cuenta por las entidades estales en los procedimientos de selección en los que es exigible el RUP. </w:t>
      </w:r>
    </w:p>
    <w:p w14:paraId="0E818E8A" w14:textId="77777777" w:rsidR="00115315" w:rsidRPr="00A87F2D" w:rsidRDefault="00115315" w:rsidP="00115315">
      <w:pPr>
        <w:spacing w:after="0" w:line="240" w:lineRule="auto"/>
        <w:jc w:val="both"/>
        <w:rPr>
          <w:rFonts w:ascii="Verdana" w:eastAsia="Calibri" w:hAnsi="Verdana" w:cs="Arial"/>
          <w:bCs/>
          <w:color w:val="000000" w:themeColor="text1"/>
          <w:sz w:val="20"/>
          <w:szCs w:val="20"/>
          <w:lang w:val="es-ES"/>
        </w:rPr>
      </w:pPr>
    </w:p>
    <w:p w14:paraId="1B460194" w14:textId="77777777" w:rsidR="00115315" w:rsidRPr="00A87F2D" w:rsidRDefault="00115315" w:rsidP="00115315">
      <w:pPr>
        <w:spacing w:after="0" w:line="240" w:lineRule="auto"/>
        <w:jc w:val="both"/>
        <w:rPr>
          <w:rFonts w:ascii="Verdana" w:eastAsia="Calibri" w:hAnsi="Verdana" w:cs="Arial"/>
          <w:b/>
          <w:bCs/>
          <w:color w:val="000000" w:themeColor="text1"/>
          <w:lang w:val="es-ES"/>
        </w:rPr>
      </w:pPr>
      <w:r w:rsidRPr="00A87F2D">
        <w:rPr>
          <w:rFonts w:ascii="Verdana" w:eastAsia="Calibri" w:hAnsi="Verdana" w:cs="Arial"/>
          <w:b/>
          <w:bCs/>
          <w:color w:val="000000" w:themeColor="text1"/>
          <w:lang w:val="es-ES"/>
        </w:rPr>
        <w:t xml:space="preserve">REQUISITOS HABILITANTES – Registro Único de Proponentes – Plena prueba  </w:t>
      </w:r>
    </w:p>
    <w:p w14:paraId="67B75325" w14:textId="77777777" w:rsidR="00115315" w:rsidRPr="00A87F2D" w:rsidRDefault="00115315" w:rsidP="00115315">
      <w:pPr>
        <w:spacing w:after="0" w:line="240" w:lineRule="auto"/>
        <w:jc w:val="both"/>
        <w:rPr>
          <w:rFonts w:ascii="Verdana" w:eastAsia="Calibri" w:hAnsi="Verdana" w:cs="Arial"/>
          <w:b/>
          <w:bCs/>
          <w:color w:val="000000" w:themeColor="text1"/>
          <w:sz w:val="20"/>
          <w:szCs w:val="20"/>
          <w:lang w:val="es-ES"/>
        </w:rPr>
      </w:pPr>
    </w:p>
    <w:p w14:paraId="7EFD9E1C" w14:textId="77777777" w:rsidR="00115315" w:rsidRPr="00A87F2D" w:rsidRDefault="00115315" w:rsidP="00115315">
      <w:pPr>
        <w:spacing w:after="0" w:line="240" w:lineRule="auto"/>
        <w:jc w:val="both"/>
        <w:rPr>
          <w:rFonts w:ascii="Verdana" w:eastAsia="Calibri" w:hAnsi="Verdana" w:cs="Arial"/>
          <w:color w:val="000000" w:themeColor="text1"/>
          <w:sz w:val="20"/>
          <w:szCs w:val="20"/>
        </w:rPr>
      </w:pPr>
      <w:r w:rsidRPr="00A87F2D">
        <w:rPr>
          <w:rFonts w:ascii="Verdana" w:eastAsia="Calibri" w:hAnsi="Verdana" w:cs="Arial"/>
          <w:color w:val="000000" w:themeColor="text1"/>
          <w:sz w:val="20"/>
          <w:szCs w:val="20"/>
        </w:rPr>
        <w:t>[…] la capacidad jurídica, las condiciones de experiencia, la capacidad financiera y de organización de los proponentes deberán verificarse exclusivamente con el Registro Único de Proponentes, pues, de acuerdo con lo expuesto, este instrumento es plena prueba de la información contenida en él.</w:t>
      </w:r>
    </w:p>
    <w:p w14:paraId="62A7990C" w14:textId="77777777" w:rsidR="00115315" w:rsidRPr="00A87F2D" w:rsidRDefault="00115315" w:rsidP="00115315">
      <w:pPr>
        <w:spacing w:after="0" w:line="240" w:lineRule="auto"/>
        <w:jc w:val="both"/>
        <w:rPr>
          <w:rFonts w:ascii="Verdana" w:eastAsia="Calibri" w:hAnsi="Verdana" w:cs="Arial"/>
          <w:b/>
          <w:sz w:val="20"/>
          <w:szCs w:val="20"/>
          <w:lang w:val="es-ES_tradnl"/>
        </w:rPr>
      </w:pPr>
    </w:p>
    <w:p w14:paraId="52A74B62" w14:textId="77777777" w:rsidR="00115315" w:rsidRPr="00760536" w:rsidRDefault="00115315" w:rsidP="00115315">
      <w:pPr>
        <w:spacing w:after="0" w:line="240" w:lineRule="auto"/>
        <w:jc w:val="both"/>
        <w:rPr>
          <w:rFonts w:ascii="Verdana" w:hAnsi="Verdana" w:cs="Arial"/>
          <w:b/>
          <w:lang w:val="es-ES"/>
        </w:rPr>
      </w:pPr>
      <w:r>
        <w:rPr>
          <w:rFonts w:ascii="Verdana" w:hAnsi="Verdana" w:cs="Arial"/>
          <w:b/>
          <w:lang w:val="es-ES"/>
        </w:rPr>
        <w:t>INDICADORES FINANCIEROS</w:t>
      </w:r>
      <w:r w:rsidRPr="00760536">
        <w:rPr>
          <w:rFonts w:ascii="Verdana" w:hAnsi="Verdana" w:cs="Arial"/>
          <w:b/>
          <w:lang w:val="es-ES"/>
        </w:rPr>
        <w:t xml:space="preserve"> – </w:t>
      </w:r>
      <w:r>
        <w:rPr>
          <w:rFonts w:ascii="Verdana" w:hAnsi="Verdana" w:cs="Arial"/>
          <w:b/>
          <w:lang w:val="es-ES"/>
        </w:rPr>
        <w:t>Resultado indeterminado</w:t>
      </w:r>
      <w:r w:rsidRPr="00760536">
        <w:rPr>
          <w:rFonts w:ascii="Verdana" w:hAnsi="Verdana" w:cs="Arial"/>
          <w:b/>
          <w:lang w:val="es-ES"/>
        </w:rPr>
        <w:t xml:space="preserve"> </w:t>
      </w:r>
      <w:r>
        <w:rPr>
          <w:rFonts w:ascii="Verdana" w:hAnsi="Verdana" w:cs="Arial"/>
          <w:b/>
          <w:lang w:val="es-ES"/>
        </w:rPr>
        <w:t>– Evaluación – Pliego de condiciones</w:t>
      </w:r>
    </w:p>
    <w:p w14:paraId="7703C943" w14:textId="77777777" w:rsidR="00115315" w:rsidRPr="00760536" w:rsidRDefault="00115315" w:rsidP="00115315">
      <w:pPr>
        <w:spacing w:after="0" w:line="240" w:lineRule="auto"/>
        <w:jc w:val="both"/>
        <w:rPr>
          <w:rFonts w:ascii="Verdana" w:hAnsi="Verdana" w:cs="Arial"/>
          <w:b/>
          <w:sz w:val="20"/>
          <w:szCs w:val="20"/>
          <w:lang w:val="es-ES"/>
        </w:rPr>
      </w:pPr>
    </w:p>
    <w:p w14:paraId="674D074C" w14:textId="77777777" w:rsidR="00115315" w:rsidRPr="0076557B" w:rsidRDefault="00115315" w:rsidP="00115315">
      <w:pPr>
        <w:spacing w:after="0" w:line="240" w:lineRule="auto"/>
        <w:jc w:val="both"/>
        <w:textAlignment w:val="baseline"/>
        <w:rPr>
          <w:rFonts w:ascii="Verdana" w:hAnsi="Verdana" w:cs="Arial"/>
          <w:bCs/>
          <w:sz w:val="20"/>
          <w:szCs w:val="20"/>
          <w:lang w:val="es-ES_tradnl" w:eastAsia="es-CO"/>
        </w:rPr>
      </w:pPr>
      <w:r w:rsidRPr="0076557B">
        <w:rPr>
          <w:rFonts w:ascii="Verdana" w:hAnsi="Verdana" w:cs="Arial"/>
          <w:bCs/>
          <w:sz w:val="20"/>
          <w:szCs w:val="20"/>
          <w:lang w:val="es-ES_tradnl" w:eastAsia="es-CO"/>
        </w:rPr>
        <w:t xml:space="preserve">Según el artículo 2.2.1.1.1.5.3. del Decreto 1082 de 2015, el RUP contempla como indicadores de capacidad financiera los siguientes: i) el índice de liquidez, que </w:t>
      </w:r>
      <w:r w:rsidRPr="0076557B">
        <w:rPr>
          <w:rFonts w:ascii="Verdana" w:hAnsi="Verdana" w:cs="Arial"/>
          <w:bCs/>
          <w:sz w:val="20"/>
          <w:szCs w:val="20"/>
          <w:lang w:val="es-ES_tradnl" w:eastAsia="es-CO"/>
        </w:rPr>
        <w:lastRenderedPageBreak/>
        <w:t xml:space="preserve">corresponde a la división entre el activo corriente y el pasivo corriente, y que determina la capacidad que tiene el proponente para cumplir con sus obligaciones de corto plazo; </w:t>
      </w:r>
      <w:proofErr w:type="spellStart"/>
      <w:r w:rsidRPr="0076557B">
        <w:rPr>
          <w:rFonts w:ascii="Verdana" w:hAnsi="Verdana" w:cs="Arial"/>
          <w:bCs/>
          <w:sz w:val="20"/>
          <w:szCs w:val="20"/>
          <w:lang w:val="es-ES_tradnl" w:eastAsia="es-CO"/>
        </w:rPr>
        <w:t>ii</w:t>
      </w:r>
      <w:proofErr w:type="spellEnd"/>
      <w:r w:rsidRPr="0076557B">
        <w:rPr>
          <w:rFonts w:ascii="Verdana" w:hAnsi="Verdana" w:cs="Arial"/>
          <w:bCs/>
          <w:sz w:val="20"/>
          <w:szCs w:val="20"/>
          <w:lang w:val="es-ES_tradnl" w:eastAsia="es-CO"/>
        </w:rPr>
        <w:t xml:space="preserve">) el índice de endeudamiento, que se calcula dividiendo el pasivo total por el activo total, el cual determina el grado de endeudamiento en la estructura de financiación del proponente; y </w:t>
      </w:r>
      <w:proofErr w:type="spellStart"/>
      <w:r w:rsidRPr="0076557B">
        <w:rPr>
          <w:rFonts w:ascii="Verdana" w:hAnsi="Verdana" w:cs="Arial"/>
          <w:bCs/>
          <w:sz w:val="20"/>
          <w:szCs w:val="20"/>
          <w:lang w:val="es-ES_tradnl" w:eastAsia="es-CO"/>
        </w:rPr>
        <w:t>iii</w:t>
      </w:r>
      <w:proofErr w:type="spellEnd"/>
      <w:r w:rsidRPr="0076557B">
        <w:rPr>
          <w:rFonts w:ascii="Verdana" w:hAnsi="Verdana" w:cs="Arial"/>
          <w:bCs/>
          <w:sz w:val="20"/>
          <w:szCs w:val="20"/>
          <w:lang w:val="es-ES_tradnl" w:eastAsia="es-CO"/>
        </w:rPr>
        <w:t>) la razón de cobertura de intereses, que es igual a la utilidad operacional, sobre los gastos de intereses, y que refleja la capacidad del proponente para cumplir con sus obligaciones financieras.</w:t>
      </w:r>
    </w:p>
    <w:p w14:paraId="111DE779" w14:textId="77777777" w:rsidR="00115315" w:rsidRDefault="00115315" w:rsidP="00115315">
      <w:pPr>
        <w:spacing w:after="0" w:line="240" w:lineRule="auto"/>
        <w:jc w:val="both"/>
        <w:textAlignment w:val="baseline"/>
        <w:rPr>
          <w:rFonts w:ascii="Verdana" w:hAnsi="Verdana" w:cs="Arial"/>
          <w:bCs/>
          <w:sz w:val="20"/>
          <w:szCs w:val="20"/>
          <w:lang w:val="es-ES_tradnl" w:eastAsia="es-CO"/>
        </w:rPr>
      </w:pPr>
    </w:p>
    <w:p w14:paraId="4345BFE9" w14:textId="77777777" w:rsidR="00115315" w:rsidRDefault="00115315" w:rsidP="00115315">
      <w:pPr>
        <w:spacing w:after="0" w:line="240" w:lineRule="auto"/>
        <w:jc w:val="both"/>
        <w:textAlignment w:val="baseline"/>
        <w:rPr>
          <w:rFonts w:ascii="Verdana" w:hAnsi="Verdana" w:cs="Arial"/>
          <w:bCs/>
          <w:sz w:val="20"/>
          <w:szCs w:val="20"/>
          <w:lang w:val="es-ES_tradnl" w:eastAsia="es-CO"/>
        </w:rPr>
      </w:pPr>
      <w:r>
        <w:rPr>
          <w:rFonts w:ascii="Verdana" w:hAnsi="Verdana" w:cs="Arial"/>
          <w:bCs/>
          <w:sz w:val="20"/>
          <w:szCs w:val="20"/>
          <w:lang w:val="es-ES_tradnl" w:eastAsia="es-CO"/>
        </w:rPr>
        <w:t>[…]</w:t>
      </w:r>
    </w:p>
    <w:p w14:paraId="65E014E6" w14:textId="77777777" w:rsidR="00115315" w:rsidRPr="0076557B" w:rsidRDefault="00115315" w:rsidP="00115315">
      <w:pPr>
        <w:spacing w:after="0" w:line="240" w:lineRule="auto"/>
        <w:jc w:val="both"/>
        <w:textAlignment w:val="baseline"/>
        <w:rPr>
          <w:rFonts w:ascii="Verdana" w:hAnsi="Verdana" w:cs="Arial"/>
          <w:bCs/>
          <w:sz w:val="20"/>
          <w:szCs w:val="20"/>
          <w:lang w:val="es-ES_tradnl" w:eastAsia="es-CO"/>
        </w:rPr>
      </w:pPr>
    </w:p>
    <w:p w14:paraId="608EB1CA" w14:textId="77777777" w:rsidR="00115315" w:rsidRPr="002C0402" w:rsidRDefault="00115315" w:rsidP="00115315">
      <w:pPr>
        <w:spacing w:after="0" w:line="240" w:lineRule="auto"/>
        <w:jc w:val="both"/>
        <w:textAlignment w:val="baseline"/>
        <w:rPr>
          <w:rFonts w:ascii="Verdana" w:hAnsi="Verdana" w:cs="Arial"/>
          <w:bCs/>
          <w:sz w:val="20"/>
          <w:szCs w:val="20"/>
          <w:lang w:val="es-ES_tradnl" w:eastAsia="es-CO"/>
        </w:rPr>
      </w:pPr>
      <w:r w:rsidRPr="0076557B">
        <w:rPr>
          <w:rFonts w:ascii="Verdana" w:hAnsi="Verdana" w:cs="Arial"/>
          <w:bCs/>
          <w:sz w:val="20"/>
          <w:szCs w:val="20"/>
          <w:lang w:val="es-ES_tradnl" w:eastAsia="es-CO"/>
        </w:rPr>
        <w:t>De esta manera, se evidencia que en los indicadores de capacidad financiera, como el índice de liquidez, es posible obtener resultados incomprensibles cuando el denominador es igual a cero, lo que podría dar lugar a que el resultado sea indeterminado. Debido a que la normativa de contratación pública no regula los eventos en los que el indicador sea indeterminado, la entidad estatal, como responsable de su proceso de contratación, debe definir en los pliegos de condiciones una regla que determine el cumplimiento de los requisitos habilitantes en estos casos.</w:t>
      </w:r>
      <w:r w:rsidRPr="002C0402">
        <w:rPr>
          <w:rFonts w:ascii="Verdana" w:hAnsi="Verdana" w:cs="Arial"/>
          <w:bCs/>
          <w:sz w:val="20"/>
          <w:szCs w:val="20"/>
          <w:lang w:val="es-ES_tradnl" w:eastAsia="es-CO"/>
        </w:rPr>
        <w:t xml:space="preserve">  </w:t>
      </w:r>
    </w:p>
    <w:p w14:paraId="5D478459" w14:textId="77777777" w:rsidR="00115315" w:rsidRDefault="00115315" w:rsidP="00115315">
      <w:pPr>
        <w:spacing w:after="0" w:line="240" w:lineRule="auto"/>
        <w:rPr>
          <w:rFonts w:ascii="Verdana" w:eastAsia="Calibri" w:hAnsi="Verdana" w:cs="Arial"/>
          <w:b/>
          <w:color w:val="000000" w:themeColor="text1"/>
          <w:lang w:val="es-ES"/>
        </w:rPr>
      </w:pPr>
    </w:p>
    <w:p w14:paraId="1BAD2EBD" w14:textId="77777777" w:rsidR="00115315" w:rsidRDefault="00115315" w:rsidP="00115315">
      <w:pPr>
        <w:spacing w:after="0" w:line="240" w:lineRule="auto"/>
        <w:rPr>
          <w:rFonts w:ascii="Verdana" w:eastAsia="Calibri" w:hAnsi="Verdana" w:cs="Arial"/>
          <w:b/>
          <w:color w:val="000000" w:themeColor="text1"/>
          <w:lang w:val="es-ES"/>
        </w:rPr>
      </w:pPr>
    </w:p>
    <w:p w14:paraId="5DE6CB6B" w14:textId="77777777" w:rsidR="00115315" w:rsidRDefault="00115315" w:rsidP="00115315">
      <w:pPr>
        <w:spacing w:after="0" w:line="240" w:lineRule="auto"/>
        <w:rPr>
          <w:rFonts w:ascii="Verdana" w:eastAsia="Calibri" w:hAnsi="Verdana" w:cs="Arial"/>
          <w:b/>
          <w:color w:val="000000" w:themeColor="text1"/>
          <w:lang w:val="es-ES"/>
        </w:rPr>
      </w:pPr>
    </w:p>
    <w:p w14:paraId="7A16C200" w14:textId="77777777" w:rsidR="00115315" w:rsidRDefault="00115315" w:rsidP="00115315">
      <w:pPr>
        <w:spacing w:after="0" w:line="240" w:lineRule="auto"/>
        <w:rPr>
          <w:rFonts w:ascii="Verdana" w:eastAsia="Calibri" w:hAnsi="Verdana" w:cs="Arial"/>
          <w:b/>
          <w:color w:val="000000" w:themeColor="text1"/>
          <w:lang w:val="es-ES"/>
        </w:rPr>
      </w:pPr>
    </w:p>
    <w:p w14:paraId="561D7D0C" w14:textId="77777777" w:rsidR="00115315" w:rsidRDefault="00115315" w:rsidP="00115315">
      <w:pPr>
        <w:spacing w:after="0" w:line="240" w:lineRule="auto"/>
        <w:rPr>
          <w:rFonts w:ascii="Verdana" w:eastAsia="Calibri" w:hAnsi="Verdana" w:cs="Arial"/>
          <w:b/>
          <w:color w:val="000000" w:themeColor="text1"/>
          <w:lang w:val="es-ES"/>
        </w:rPr>
      </w:pPr>
    </w:p>
    <w:p w14:paraId="445329B9" w14:textId="77777777" w:rsidR="00115315" w:rsidRDefault="00115315" w:rsidP="00115315">
      <w:pPr>
        <w:spacing w:after="0" w:line="240" w:lineRule="auto"/>
        <w:rPr>
          <w:rFonts w:ascii="Verdana" w:eastAsia="Calibri" w:hAnsi="Verdana" w:cs="Arial"/>
          <w:b/>
          <w:color w:val="000000" w:themeColor="text1"/>
          <w:lang w:val="es-ES"/>
        </w:rPr>
      </w:pPr>
    </w:p>
    <w:p w14:paraId="45747B6B" w14:textId="77777777" w:rsidR="00115315" w:rsidRDefault="00115315" w:rsidP="00115315">
      <w:pPr>
        <w:spacing w:after="0" w:line="240" w:lineRule="auto"/>
        <w:rPr>
          <w:rFonts w:ascii="Verdana" w:eastAsia="Calibri" w:hAnsi="Verdana" w:cs="Arial"/>
          <w:b/>
          <w:color w:val="000000" w:themeColor="text1"/>
          <w:lang w:val="es-ES"/>
        </w:rPr>
      </w:pPr>
    </w:p>
    <w:p w14:paraId="20AF9037" w14:textId="77777777" w:rsidR="00115315" w:rsidRDefault="00115315" w:rsidP="00115315">
      <w:pPr>
        <w:spacing w:after="0" w:line="240" w:lineRule="auto"/>
        <w:rPr>
          <w:rFonts w:ascii="Verdana" w:eastAsia="Calibri" w:hAnsi="Verdana" w:cs="Arial"/>
          <w:b/>
          <w:color w:val="000000" w:themeColor="text1"/>
          <w:lang w:val="es-ES"/>
        </w:rPr>
      </w:pPr>
    </w:p>
    <w:p w14:paraId="0A3C4761" w14:textId="77777777" w:rsidR="00115315" w:rsidRDefault="00115315" w:rsidP="00115315">
      <w:pPr>
        <w:spacing w:after="0" w:line="240" w:lineRule="auto"/>
        <w:rPr>
          <w:rFonts w:ascii="Verdana" w:eastAsia="Calibri" w:hAnsi="Verdana" w:cs="Arial"/>
          <w:b/>
          <w:color w:val="000000" w:themeColor="text1"/>
          <w:lang w:val="es-ES"/>
        </w:rPr>
      </w:pPr>
    </w:p>
    <w:p w14:paraId="458B0CF6" w14:textId="77777777" w:rsidR="00115315" w:rsidRDefault="00115315" w:rsidP="00115315">
      <w:pPr>
        <w:spacing w:after="0" w:line="240" w:lineRule="auto"/>
        <w:rPr>
          <w:rFonts w:ascii="Verdana" w:eastAsia="Calibri" w:hAnsi="Verdana" w:cs="Arial"/>
          <w:b/>
          <w:color w:val="000000" w:themeColor="text1"/>
          <w:lang w:val="es-ES"/>
        </w:rPr>
      </w:pPr>
    </w:p>
    <w:p w14:paraId="027D001B" w14:textId="77777777" w:rsidR="00115315" w:rsidRDefault="00115315" w:rsidP="00115315">
      <w:pPr>
        <w:spacing w:after="0" w:line="240" w:lineRule="auto"/>
        <w:rPr>
          <w:rFonts w:ascii="Verdana" w:eastAsia="Calibri" w:hAnsi="Verdana" w:cs="Arial"/>
          <w:b/>
          <w:color w:val="000000" w:themeColor="text1"/>
          <w:lang w:val="es-ES"/>
        </w:rPr>
      </w:pPr>
    </w:p>
    <w:p w14:paraId="1079AAE8" w14:textId="77777777" w:rsidR="00115315" w:rsidRDefault="00115315" w:rsidP="00115315">
      <w:pPr>
        <w:spacing w:after="0" w:line="240" w:lineRule="auto"/>
        <w:rPr>
          <w:rFonts w:ascii="Verdana" w:eastAsia="Calibri" w:hAnsi="Verdana" w:cs="Arial"/>
          <w:b/>
          <w:color w:val="000000" w:themeColor="text1"/>
          <w:lang w:val="es-ES"/>
        </w:rPr>
      </w:pPr>
    </w:p>
    <w:p w14:paraId="269E485F" w14:textId="77777777" w:rsidR="00115315" w:rsidRDefault="00115315" w:rsidP="00115315">
      <w:pPr>
        <w:spacing w:after="0" w:line="240" w:lineRule="auto"/>
        <w:rPr>
          <w:rFonts w:ascii="Verdana" w:eastAsia="Calibri" w:hAnsi="Verdana" w:cs="Arial"/>
          <w:b/>
          <w:color w:val="000000" w:themeColor="text1"/>
          <w:lang w:val="es-ES"/>
        </w:rPr>
      </w:pPr>
    </w:p>
    <w:p w14:paraId="214B36EF" w14:textId="77777777" w:rsidR="00115315" w:rsidRDefault="00115315" w:rsidP="00115315">
      <w:pPr>
        <w:spacing w:after="0" w:line="240" w:lineRule="auto"/>
        <w:rPr>
          <w:rFonts w:ascii="Verdana" w:eastAsia="Calibri" w:hAnsi="Verdana" w:cs="Arial"/>
          <w:b/>
          <w:color w:val="000000" w:themeColor="text1"/>
          <w:lang w:val="es-ES"/>
        </w:rPr>
      </w:pPr>
    </w:p>
    <w:p w14:paraId="5D87412B" w14:textId="77777777" w:rsidR="00115315" w:rsidRDefault="00115315" w:rsidP="00115315">
      <w:pPr>
        <w:spacing w:after="0" w:line="240" w:lineRule="auto"/>
        <w:rPr>
          <w:rFonts w:ascii="Verdana" w:eastAsia="Calibri" w:hAnsi="Verdana" w:cs="Arial"/>
          <w:b/>
          <w:color w:val="000000" w:themeColor="text1"/>
          <w:lang w:val="es-ES"/>
        </w:rPr>
      </w:pPr>
    </w:p>
    <w:p w14:paraId="28DC005D" w14:textId="77777777" w:rsidR="00115315" w:rsidRDefault="00115315" w:rsidP="00115315">
      <w:pPr>
        <w:spacing w:after="0" w:line="240" w:lineRule="auto"/>
        <w:rPr>
          <w:rFonts w:ascii="Verdana" w:eastAsia="Calibri" w:hAnsi="Verdana" w:cs="Arial"/>
          <w:b/>
          <w:color w:val="000000" w:themeColor="text1"/>
          <w:lang w:val="es-ES"/>
        </w:rPr>
      </w:pPr>
    </w:p>
    <w:p w14:paraId="1B06BF49" w14:textId="77777777" w:rsidR="00115315" w:rsidRDefault="00115315" w:rsidP="00115315">
      <w:pPr>
        <w:spacing w:after="0" w:line="240" w:lineRule="auto"/>
        <w:rPr>
          <w:rFonts w:ascii="Verdana" w:eastAsia="Calibri" w:hAnsi="Verdana" w:cs="Arial"/>
          <w:b/>
          <w:color w:val="000000" w:themeColor="text1"/>
          <w:lang w:val="es-ES"/>
        </w:rPr>
      </w:pPr>
    </w:p>
    <w:p w14:paraId="6CE522A4" w14:textId="77777777" w:rsidR="00115315" w:rsidRDefault="00115315" w:rsidP="00115315">
      <w:pPr>
        <w:spacing w:after="0" w:line="240" w:lineRule="auto"/>
        <w:rPr>
          <w:rFonts w:ascii="Verdana" w:eastAsia="Calibri" w:hAnsi="Verdana" w:cs="Arial"/>
          <w:b/>
          <w:color w:val="000000" w:themeColor="text1"/>
          <w:lang w:val="es-ES"/>
        </w:rPr>
      </w:pPr>
    </w:p>
    <w:p w14:paraId="2D6EE697" w14:textId="77777777" w:rsidR="00115315" w:rsidRDefault="00115315" w:rsidP="00115315">
      <w:pPr>
        <w:spacing w:after="0" w:line="240" w:lineRule="auto"/>
        <w:rPr>
          <w:rFonts w:ascii="Verdana" w:eastAsia="Calibri" w:hAnsi="Verdana" w:cs="Arial"/>
          <w:b/>
          <w:color w:val="000000" w:themeColor="text1"/>
          <w:lang w:val="es-ES"/>
        </w:rPr>
      </w:pPr>
    </w:p>
    <w:p w14:paraId="1290EFD2" w14:textId="77777777" w:rsidR="00115315" w:rsidRDefault="00115315" w:rsidP="00115315">
      <w:pPr>
        <w:spacing w:after="0" w:line="240" w:lineRule="auto"/>
        <w:rPr>
          <w:rFonts w:ascii="Verdana" w:eastAsia="Calibri" w:hAnsi="Verdana" w:cs="Arial"/>
          <w:b/>
          <w:color w:val="000000" w:themeColor="text1"/>
          <w:lang w:val="es-ES"/>
        </w:rPr>
      </w:pPr>
    </w:p>
    <w:p w14:paraId="5D4D1145" w14:textId="77777777" w:rsidR="00115315" w:rsidRDefault="00115315" w:rsidP="00115315">
      <w:pPr>
        <w:spacing w:after="0" w:line="240" w:lineRule="auto"/>
        <w:rPr>
          <w:rFonts w:ascii="Verdana" w:eastAsia="Calibri" w:hAnsi="Verdana" w:cs="Arial"/>
          <w:b/>
          <w:color w:val="000000" w:themeColor="text1"/>
          <w:lang w:val="es-ES"/>
        </w:rPr>
      </w:pPr>
    </w:p>
    <w:p w14:paraId="709C76EE" w14:textId="77777777" w:rsidR="00115315" w:rsidRDefault="00115315" w:rsidP="00115315">
      <w:pPr>
        <w:spacing w:after="0" w:line="240" w:lineRule="auto"/>
        <w:rPr>
          <w:rFonts w:ascii="Verdana" w:eastAsia="Calibri" w:hAnsi="Verdana" w:cs="Arial"/>
          <w:b/>
          <w:color w:val="000000" w:themeColor="text1"/>
          <w:lang w:val="es-ES"/>
        </w:rPr>
      </w:pPr>
    </w:p>
    <w:p w14:paraId="6F2C7F26" w14:textId="77777777" w:rsidR="00115315" w:rsidRDefault="00115315" w:rsidP="00F92583">
      <w:pPr>
        <w:spacing w:after="0" w:line="240" w:lineRule="auto"/>
        <w:rPr>
          <w:rFonts w:ascii="Verdana" w:eastAsia="Calibri" w:hAnsi="Verdana" w:cs="Arial"/>
          <w:b/>
          <w:color w:val="000000" w:themeColor="text1"/>
          <w:lang w:val="es-ES"/>
        </w:rPr>
      </w:pPr>
    </w:p>
    <w:p w14:paraId="162F2C95" w14:textId="77777777" w:rsidR="00115315" w:rsidRDefault="00115315" w:rsidP="00F92583">
      <w:pPr>
        <w:spacing w:after="0" w:line="240" w:lineRule="auto"/>
        <w:rPr>
          <w:rFonts w:ascii="Verdana" w:eastAsia="Geomanist Light" w:hAnsi="Verdana" w:cs="Arial"/>
          <w:color w:val="000000" w:themeColor="text1"/>
          <w:lang w:val="es-MX"/>
        </w:rPr>
      </w:pPr>
    </w:p>
    <w:p w14:paraId="1AC00D71" w14:textId="77777777" w:rsidR="00115315" w:rsidRDefault="00115315" w:rsidP="00F92583">
      <w:pPr>
        <w:spacing w:after="0" w:line="240" w:lineRule="auto"/>
        <w:rPr>
          <w:rFonts w:ascii="Verdana" w:eastAsia="Geomanist Light" w:hAnsi="Verdana" w:cs="Arial"/>
          <w:color w:val="000000" w:themeColor="text1"/>
          <w:lang w:val="es-MX"/>
        </w:rPr>
      </w:pPr>
    </w:p>
    <w:p w14:paraId="5CC388A1" w14:textId="77777777" w:rsidR="00115315" w:rsidRDefault="00115315" w:rsidP="00F92583">
      <w:pPr>
        <w:spacing w:after="0" w:line="240" w:lineRule="auto"/>
        <w:rPr>
          <w:rFonts w:ascii="Verdana" w:eastAsia="Geomanist Light" w:hAnsi="Verdana" w:cs="Arial"/>
          <w:color w:val="000000" w:themeColor="text1"/>
          <w:lang w:val="es-MX"/>
        </w:rPr>
      </w:pPr>
    </w:p>
    <w:p w14:paraId="7881ADE0" w14:textId="54D0791F" w:rsidR="00F92583" w:rsidRPr="00705786" w:rsidRDefault="00F92583" w:rsidP="00F92583">
      <w:pPr>
        <w:spacing w:after="0" w:line="240" w:lineRule="auto"/>
        <w:rPr>
          <w:rFonts w:ascii="Verdana" w:eastAsia="Geomanist Light" w:hAnsi="Verdana" w:cs="Arial"/>
          <w:color w:val="201F1E"/>
        </w:rPr>
      </w:pPr>
      <w:r w:rsidRPr="00593A5F">
        <w:rPr>
          <w:rFonts w:ascii="Verdana" w:eastAsia="Geomanist Light" w:hAnsi="Verdana" w:cs="Arial"/>
          <w:color w:val="000000" w:themeColor="text1"/>
          <w:lang w:val="es-MX"/>
        </w:rPr>
        <w:lastRenderedPageBreak/>
        <w:t>Bogotá D.C., </w:t>
      </w:r>
      <w:r w:rsidR="00705786" w:rsidRPr="00705786">
        <w:rPr>
          <w:rFonts w:ascii="Verdana" w:eastAsia="Geomanist Light" w:hAnsi="Verdana" w:cs="Arial"/>
          <w:color w:val="000000" w:themeColor="text1"/>
          <w:lang w:val="es-MX"/>
        </w:rPr>
        <w:t>28 de Mayo de 2026</w:t>
      </w:r>
    </w:p>
    <w:p w14:paraId="21F87080" w14:textId="4DF2EC3C" w:rsidR="00F92583" w:rsidRDefault="00F92583" w:rsidP="00F92583">
      <w:pPr>
        <w:spacing w:after="0" w:line="240" w:lineRule="auto"/>
        <w:jc w:val="both"/>
        <w:rPr>
          <w:rFonts w:ascii="Verdana" w:eastAsia="Calibri" w:hAnsi="Verdana" w:cs="Arial"/>
          <w:color w:val="000000"/>
          <w:lang w:val="es-ES"/>
        </w:rPr>
      </w:pPr>
    </w:p>
    <w:p w14:paraId="620729B7" w14:textId="0307843A" w:rsidR="00705786" w:rsidRDefault="00705786" w:rsidP="00705786">
      <w:pPr>
        <w:spacing w:after="0" w:line="240" w:lineRule="auto"/>
        <w:jc w:val="right"/>
        <w:rPr>
          <w:rFonts w:ascii="Verdana" w:eastAsia="Calibri" w:hAnsi="Verdana" w:cs="Arial"/>
          <w:color w:val="000000"/>
          <w:lang w:val="es-ES"/>
        </w:rPr>
      </w:pPr>
    </w:p>
    <w:p w14:paraId="53009738" w14:textId="7F1ECEC4" w:rsidR="00F92583" w:rsidRPr="00593A5F" w:rsidRDefault="00F92583" w:rsidP="00F92583">
      <w:pPr>
        <w:spacing w:after="0" w:line="240" w:lineRule="auto"/>
        <w:jc w:val="both"/>
        <w:rPr>
          <w:rFonts w:ascii="Verdana" w:eastAsia="Calibri" w:hAnsi="Verdana" w:cs="Arial"/>
          <w:color w:val="000000"/>
          <w:lang w:val="es-ES"/>
        </w:rPr>
      </w:pPr>
    </w:p>
    <w:p w14:paraId="58B62C70" w14:textId="7B5D938F" w:rsidR="00F92583" w:rsidRPr="00B96799" w:rsidRDefault="00487D0E" w:rsidP="00F92583">
      <w:pPr>
        <w:spacing w:after="0" w:line="240" w:lineRule="auto"/>
        <w:jc w:val="both"/>
        <w:rPr>
          <w:rFonts w:ascii="Verdana" w:eastAsia="Calibri" w:hAnsi="Verdana" w:cs="Arial"/>
          <w:lang w:val="es-ES" w:eastAsia="es-ES"/>
        </w:rPr>
      </w:pPr>
      <w:r w:rsidRPr="00705786">
        <w:rPr>
          <w:rFonts w:ascii="Verdana" w:eastAsia="Calibri" w:hAnsi="Verdana" w:cs="Arial"/>
          <w:noProof/>
          <w:color w:val="000000"/>
          <w:lang w:val="es-ES"/>
        </w:rPr>
        <w:drawing>
          <wp:anchor distT="0" distB="0" distL="114300" distR="114300" simplePos="0" relativeHeight="251658240" behindDoc="0" locked="0" layoutInCell="1" allowOverlap="1" wp14:anchorId="2300E795" wp14:editId="4FF2C604">
            <wp:simplePos x="0" y="0"/>
            <wp:positionH relativeFrom="margin">
              <wp:align>right</wp:align>
            </wp:positionH>
            <wp:positionV relativeFrom="paragraph">
              <wp:posOffset>5715</wp:posOffset>
            </wp:positionV>
            <wp:extent cx="2400300" cy="770890"/>
            <wp:effectExtent l="0" t="0" r="0" b="0"/>
            <wp:wrapSquare wrapText="bothSides"/>
            <wp:docPr id="57605306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053060" name=""/>
                    <pic:cNvPicPr/>
                  </pic:nvPicPr>
                  <pic:blipFill>
                    <a:blip r:embed="rId10">
                      <a:extLst>
                        <a:ext uri="{28A0092B-C50C-407E-A947-70E740481C1C}">
                          <a14:useLocalDpi xmlns:a14="http://schemas.microsoft.com/office/drawing/2010/main" val="0"/>
                        </a:ext>
                      </a:extLst>
                    </a:blip>
                    <a:stretch>
                      <a:fillRect/>
                    </a:stretch>
                  </pic:blipFill>
                  <pic:spPr>
                    <a:xfrm>
                      <a:off x="0" y="0"/>
                      <a:ext cx="2400300" cy="770890"/>
                    </a:xfrm>
                    <a:prstGeom prst="rect">
                      <a:avLst/>
                    </a:prstGeom>
                  </pic:spPr>
                </pic:pic>
              </a:graphicData>
            </a:graphic>
            <wp14:sizeRelV relativeFrom="margin">
              <wp14:pctHeight>0</wp14:pctHeight>
            </wp14:sizeRelV>
          </wp:anchor>
        </w:drawing>
      </w:r>
      <w:r w:rsidR="00F92583">
        <w:rPr>
          <w:rFonts w:ascii="Verdana" w:eastAsia="Calibri" w:hAnsi="Verdana" w:cs="Arial"/>
          <w:lang w:val="es-ES" w:eastAsia="es-ES"/>
        </w:rPr>
        <w:t>Señor</w:t>
      </w:r>
    </w:p>
    <w:p w14:paraId="5FD3B082" w14:textId="77777777" w:rsidR="00F92583" w:rsidRDefault="00F92583" w:rsidP="00F92583">
      <w:pPr>
        <w:spacing w:after="0" w:line="240" w:lineRule="auto"/>
        <w:rPr>
          <w:rFonts w:ascii="Verdana" w:eastAsia="Calibri" w:hAnsi="Verdana" w:cs="Arial"/>
          <w:b/>
          <w:lang w:val="es-ES_tradnl" w:eastAsia="es-ES_tradnl"/>
        </w:rPr>
      </w:pPr>
      <w:r w:rsidRPr="00307040">
        <w:rPr>
          <w:rFonts w:ascii="Verdana" w:eastAsia="Calibri" w:hAnsi="Verdana" w:cs="Arial"/>
          <w:b/>
          <w:lang w:val="es-ES_tradnl" w:eastAsia="es-ES_tradnl"/>
        </w:rPr>
        <w:t>Jesús Hernán Mejía Moreno</w:t>
      </w:r>
      <w:r w:rsidRPr="008777D5">
        <w:rPr>
          <w:rFonts w:ascii="Verdana" w:eastAsia="Calibri" w:hAnsi="Verdana" w:cs="Arial"/>
          <w:b/>
          <w:lang w:val="es-ES_tradnl" w:eastAsia="es-ES_tradnl"/>
        </w:rPr>
        <w:t xml:space="preserve"> </w:t>
      </w:r>
    </w:p>
    <w:p w14:paraId="572753AD" w14:textId="77777777" w:rsidR="00F92583" w:rsidRPr="00307040" w:rsidRDefault="00F92583" w:rsidP="00F92583">
      <w:pPr>
        <w:spacing w:after="0" w:line="240" w:lineRule="auto"/>
        <w:rPr>
          <w:rFonts w:ascii="Verdana" w:eastAsia="Calibri" w:hAnsi="Verdana" w:cs="Arial"/>
          <w:lang w:val="es-ES" w:eastAsia="es-ES"/>
        </w:rPr>
      </w:pPr>
      <w:hyperlink r:id="rId11" w:history="1">
        <w:r w:rsidRPr="002A44E2">
          <w:rPr>
            <w:rStyle w:val="Hipervnculo"/>
            <w:rFonts w:ascii="Verdana" w:hAnsi="Verdana"/>
          </w:rPr>
          <w:t>jehermemo@hotmail.com</w:t>
        </w:r>
      </w:hyperlink>
      <w:r>
        <w:rPr>
          <w:rFonts w:ascii="Verdana" w:hAnsi="Verdana"/>
        </w:rPr>
        <w:t xml:space="preserve"> </w:t>
      </w:r>
      <w:r w:rsidRPr="00307040">
        <w:rPr>
          <w:rFonts w:ascii="Verdana" w:hAnsi="Verdana"/>
        </w:rPr>
        <w:t xml:space="preserve">                    </w:t>
      </w:r>
      <w:r w:rsidRPr="00307040">
        <w:rPr>
          <w:rFonts w:ascii="Verdana" w:eastAsia="Calibri" w:hAnsi="Verdana" w:cs="Arial"/>
          <w:lang w:val="es-ES" w:eastAsia="es-ES"/>
        </w:rPr>
        <w:t xml:space="preserve">    </w:t>
      </w:r>
    </w:p>
    <w:p w14:paraId="1AC1F5A2" w14:textId="77777777" w:rsidR="00F92583" w:rsidRDefault="00F92583" w:rsidP="00F92583">
      <w:pPr>
        <w:spacing w:after="0" w:line="240" w:lineRule="auto"/>
        <w:rPr>
          <w:rFonts w:ascii="Verdana" w:eastAsia="Calibri" w:hAnsi="Verdana" w:cs="Arial"/>
          <w:lang w:val="es-ES" w:eastAsia="es-ES"/>
        </w:rPr>
      </w:pPr>
      <w:r>
        <w:rPr>
          <w:rFonts w:ascii="Verdana" w:eastAsia="Calibri" w:hAnsi="Verdana" w:cs="Arial"/>
          <w:lang w:val="es-ES" w:eastAsia="es-ES"/>
        </w:rPr>
        <w:t>Arauca</w:t>
      </w:r>
      <w:r w:rsidRPr="004513BB">
        <w:rPr>
          <w:rFonts w:ascii="Verdana" w:eastAsia="Calibri" w:hAnsi="Verdana" w:cs="Arial"/>
          <w:lang w:val="es-ES" w:eastAsia="es-ES"/>
        </w:rPr>
        <w:t xml:space="preserve">, </w:t>
      </w:r>
      <w:r>
        <w:rPr>
          <w:rFonts w:ascii="Verdana" w:eastAsia="Calibri" w:hAnsi="Verdana" w:cs="Arial"/>
          <w:lang w:val="es-ES" w:eastAsia="es-ES"/>
        </w:rPr>
        <w:t xml:space="preserve">Arauca </w:t>
      </w:r>
    </w:p>
    <w:p w14:paraId="1DF8FCE7" w14:textId="77777777" w:rsidR="00F92583" w:rsidRPr="00593A5F" w:rsidRDefault="00F92583" w:rsidP="00F92583">
      <w:pPr>
        <w:spacing w:after="0" w:line="240" w:lineRule="auto"/>
        <w:rPr>
          <w:rFonts w:ascii="Verdana" w:eastAsia="Calibri" w:hAnsi="Verdana" w:cs="Arial"/>
          <w:b/>
          <w:bCs/>
          <w:color w:val="000000"/>
          <w:lang w:val="es-ES_tradnl" w:eastAsia="es-ES_tradnl"/>
        </w:rPr>
      </w:pPr>
    </w:p>
    <w:p w14:paraId="740AF478" w14:textId="77777777" w:rsidR="00F92583" w:rsidRPr="00593A5F" w:rsidRDefault="00F92583" w:rsidP="00F9258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92583" w:rsidRPr="00593A5F" w14:paraId="4569F506" w14:textId="77777777" w:rsidTr="005460DB">
        <w:trPr>
          <w:trHeight w:val="884"/>
        </w:trPr>
        <w:tc>
          <w:tcPr>
            <w:tcW w:w="2689" w:type="dxa"/>
          </w:tcPr>
          <w:p w14:paraId="63519587" w14:textId="77777777" w:rsidR="00F92583" w:rsidRPr="00C00976" w:rsidRDefault="00F92583" w:rsidP="005460DB">
            <w:pPr>
              <w:jc w:val="both"/>
              <w:rPr>
                <w:rFonts w:ascii="Verdana" w:eastAsia="Calibri" w:hAnsi="Verdana" w:cs="Arial"/>
                <w:b/>
                <w:bCs/>
                <w:color w:val="7030A0"/>
                <w:lang w:val="es-ES_tradnl" w:eastAsia="es-ES_tradnl"/>
              </w:rPr>
            </w:pPr>
          </w:p>
        </w:tc>
        <w:tc>
          <w:tcPr>
            <w:tcW w:w="6100" w:type="dxa"/>
          </w:tcPr>
          <w:p w14:paraId="4BE25880" w14:textId="77777777" w:rsidR="00F92583" w:rsidRPr="00C00976" w:rsidRDefault="00F92583" w:rsidP="005460DB">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817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F92583" w:rsidRPr="00593A5F" w14:paraId="67828E02" w14:textId="77777777" w:rsidTr="005460DB">
        <w:trPr>
          <w:trHeight w:val="884"/>
        </w:trPr>
        <w:tc>
          <w:tcPr>
            <w:tcW w:w="2689" w:type="dxa"/>
          </w:tcPr>
          <w:p w14:paraId="0CE9CECF" w14:textId="77777777" w:rsidR="00F92583" w:rsidRPr="00593A5F" w:rsidRDefault="00F92583" w:rsidP="005460DB">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00AF96B2" w14:textId="77777777" w:rsidR="00F92583" w:rsidRPr="00A11406" w:rsidRDefault="00F92583" w:rsidP="005460DB">
            <w:pPr>
              <w:spacing w:line="276" w:lineRule="auto"/>
              <w:jc w:val="both"/>
              <w:rPr>
                <w:rFonts w:ascii="Verdana" w:eastAsia="Calibri" w:hAnsi="Verdana" w:cs="Arial"/>
                <w:lang w:val="es-ES" w:eastAsia="es-ES"/>
              </w:rPr>
            </w:pPr>
            <w:r w:rsidRPr="0076557B">
              <w:rPr>
                <w:rFonts w:ascii="Verdana" w:eastAsia="Calibri" w:hAnsi="Verdana" w:cs="Arial"/>
                <w:lang w:val="es-ES" w:eastAsia="es-ES"/>
              </w:rPr>
              <w:t>SELECCIÓN OBJETIVA – Noción – Requisitos habilitantes</w:t>
            </w:r>
            <w:r>
              <w:rPr>
                <w:rFonts w:ascii="Verdana" w:eastAsia="Calibri" w:hAnsi="Verdana" w:cs="Arial"/>
                <w:lang w:val="es-ES" w:eastAsia="es-ES"/>
              </w:rPr>
              <w:t xml:space="preserve"> / </w:t>
            </w:r>
            <w:r w:rsidRPr="0076557B">
              <w:rPr>
                <w:rFonts w:ascii="Verdana" w:eastAsia="Calibri" w:hAnsi="Verdana" w:cs="Arial"/>
                <w:lang w:val="es-ES" w:eastAsia="es-ES"/>
              </w:rPr>
              <w:t>REGISTRO ÚNICO DE PROPONENTES – Definición – Marco jurídico</w:t>
            </w:r>
            <w:r>
              <w:rPr>
                <w:rFonts w:ascii="Verdana" w:eastAsia="Calibri" w:hAnsi="Verdana" w:cs="Arial"/>
                <w:lang w:val="es-ES" w:eastAsia="es-ES"/>
              </w:rPr>
              <w:t xml:space="preserve"> / </w:t>
            </w:r>
            <w:r w:rsidRPr="0076557B">
              <w:rPr>
                <w:rFonts w:ascii="Verdana" w:eastAsia="Calibri" w:hAnsi="Verdana" w:cs="Arial"/>
                <w:lang w:val="es-ES" w:eastAsia="es-ES"/>
              </w:rPr>
              <w:t>REQUISITOS HABILITANTES – Registro Único de Proponentes – Plena prueba</w:t>
            </w:r>
            <w:r>
              <w:rPr>
                <w:rFonts w:ascii="Verdana" w:eastAsia="Calibri" w:hAnsi="Verdana" w:cs="Arial"/>
                <w:lang w:val="es-ES" w:eastAsia="es-ES"/>
              </w:rPr>
              <w:t xml:space="preserve"> / </w:t>
            </w:r>
            <w:r w:rsidRPr="0076557B">
              <w:rPr>
                <w:rFonts w:ascii="Verdana" w:eastAsia="Calibri" w:hAnsi="Verdana" w:cs="Arial"/>
                <w:lang w:val="es-ES" w:eastAsia="es-ES"/>
              </w:rPr>
              <w:t>INDICADORES FINANCIEROS – Resultado indeterminado – Evaluación – Pliego de condiciones</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6B34E6AE" w14:textId="77777777" w:rsidR="00F92583" w:rsidRPr="00593A5F" w:rsidRDefault="00F92583" w:rsidP="005460DB">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F92583" w:rsidRPr="008E6AD9" w14:paraId="6C59C150" w14:textId="77777777" w:rsidTr="005460DB">
        <w:tc>
          <w:tcPr>
            <w:tcW w:w="2689" w:type="dxa"/>
          </w:tcPr>
          <w:p w14:paraId="168EBE38" w14:textId="77777777" w:rsidR="00F92583" w:rsidRPr="008E6AD9" w:rsidRDefault="00F92583" w:rsidP="005460DB">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7D241580" w14:textId="77777777" w:rsidR="00F92583" w:rsidRPr="00B92340" w:rsidRDefault="00F92583" w:rsidP="005460DB">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307040">
              <w:rPr>
                <w:rFonts w:ascii="Verdana" w:eastAsia="Calibri" w:hAnsi="Verdana" w:cs="Arial"/>
                <w:lang w:val="es-ES_tradnl" w:eastAsia="es-ES_tradnl"/>
              </w:rPr>
              <w:t>1_2026_05_15_006586</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4A5A16F8" w14:textId="77777777" w:rsidR="00F92583" w:rsidRPr="00593A5F" w:rsidRDefault="00F92583" w:rsidP="00F92583">
      <w:pPr>
        <w:spacing w:after="0" w:line="240" w:lineRule="auto"/>
        <w:jc w:val="both"/>
        <w:rPr>
          <w:rFonts w:ascii="Verdana" w:eastAsia="Calibri" w:hAnsi="Verdana" w:cs="Arial"/>
          <w:color w:val="000000"/>
          <w:lang w:val="es-ES_tradnl" w:eastAsia="es-ES_tradnl"/>
        </w:rPr>
      </w:pPr>
    </w:p>
    <w:p w14:paraId="7D2FFA23" w14:textId="77777777" w:rsidR="00F92583" w:rsidRPr="00593A5F" w:rsidRDefault="00F92583" w:rsidP="00F92583">
      <w:pPr>
        <w:spacing w:after="0" w:line="240" w:lineRule="auto"/>
        <w:jc w:val="both"/>
        <w:rPr>
          <w:rFonts w:ascii="Verdana" w:eastAsia="Calibri" w:hAnsi="Verdana" w:cs="Arial"/>
          <w:color w:val="000000"/>
          <w:lang w:val="es-ES_tradnl" w:eastAsia="es-ES_tradnl"/>
        </w:rPr>
      </w:pPr>
    </w:p>
    <w:p w14:paraId="349C0CF2" w14:textId="77777777" w:rsidR="00F92583" w:rsidRPr="008E6AD9" w:rsidRDefault="00F92583" w:rsidP="00F92583">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8D45B4">
        <w:rPr>
          <w:rFonts w:ascii="Verdana" w:eastAsia="Calibri" w:hAnsi="Verdana" w:cs="Arial"/>
          <w:lang w:val="es-ES" w:eastAsia="es-ES"/>
        </w:rPr>
        <w:t>Mejía Moreno</w:t>
      </w:r>
      <w:r w:rsidRPr="008E6AD9">
        <w:rPr>
          <w:rFonts w:ascii="Verdana" w:eastAsia="Calibri" w:hAnsi="Verdana" w:cs="Arial"/>
          <w:lang w:val="es-ES" w:eastAsia="es-ES"/>
        </w:rPr>
        <w:t xml:space="preserve">: </w:t>
      </w:r>
    </w:p>
    <w:p w14:paraId="61A97FE5" w14:textId="77777777" w:rsidR="00F92583" w:rsidRDefault="00F92583" w:rsidP="00F9258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E9C682E" w14:textId="77777777" w:rsidR="00F92583" w:rsidRPr="00593A5F" w:rsidRDefault="00F92583" w:rsidP="00F92583">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29 de abril de 2026 a la Superintendencia de Sociedades, la cual –conforme al artículo 21 de la Ley 1437 de 2011– fue remitida por competencia a esta entidad mediante correo electrónico del 12 de mayo de 2026, donde solicita información sobre los siguientes aspectos</w:t>
      </w:r>
      <w:r w:rsidRPr="008E6AD9">
        <w:rPr>
          <w:rFonts w:ascii="Verdana" w:eastAsia="Calibri" w:hAnsi="Verdana" w:cs="Arial"/>
          <w:lang w:val="es-ES" w:eastAsia="es-ES"/>
        </w:rPr>
        <w:t xml:space="preserve">: </w:t>
      </w:r>
    </w:p>
    <w:p w14:paraId="11558D72" w14:textId="77777777" w:rsidR="00F92583" w:rsidRPr="00272A7B" w:rsidRDefault="00F92583" w:rsidP="00F92583">
      <w:pPr>
        <w:pStyle w:val="Prrafodelista"/>
        <w:tabs>
          <w:tab w:val="left" w:pos="142"/>
          <w:tab w:val="left" w:pos="284"/>
        </w:tabs>
        <w:spacing w:after="0" w:line="276" w:lineRule="auto"/>
        <w:ind w:left="0"/>
        <w:jc w:val="both"/>
        <w:rPr>
          <w:rFonts w:ascii="Verdana" w:eastAsia="Century Gothic" w:hAnsi="Verdana" w:cs="Century Gothic"/>
          <w:b/>
          <w:bCs/>
        </w:rPr>
      </w:pPr>
    </w:p>
    <w:p w14:paraId="1A201500" w14:textId="77777777" w:rsidR="00F92583" w:rsidRPr="004D0A49" w:rsidRDefault="00F92583" w:rsidP="00F92583">
      <w:pPr>
        <w:spacing w:after="12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t>“</w:t>
      </w:r>
      <w:bookmarkEnd w:id="0"/>
      <w:r w:rsidRPr="004D0A49">
        <w:rPr>
          <w:rFonts w:ascii="Verdana" w:eastAsia="Century Gothic" w:hAnsi="Verdana" w:cs="Century Gothic"/>
          <w:sz w:val="20"/>
          <w:szCs w:val="20"/>
          <w:lang w:val="es-ES"/>
        </w:rPr>
        <w:t xml:space="preserve">1. </w:t>
      </w:r>
      <w:r w:rsidRPr="004D0A49">
        <w:rPr>
          <w:rFonts w:ascii="Verdana" w:eastAsia="Century Gothic" w:hAnsi="Verdana" w:cs="Century Gothic"/>
          <w:b/>
          <w:bCs/>
          <w:sz w:val="20"/>
          <w:szCs w:val="20"/>
          <w:lang w:val="es-ES"/>
        </w:rPr>
        <w:t>Copia de la exposición de motivos</w:t>
      </w:r>
      <w:r w:rsidRPr="004D0A49">
        <w:rPr>
          <w:rFonts w:ascii="Verdana" w:eastAsia="Century Gothic" w:hAnsi="Verdana" w:cs="Century Gothic"/>
          <w:sz w:val="20"/>
          <w:szCs w:val="20"/>
          <w:lang w:val="es-ES"/>
        </w:rPr>
        <w:t xml:space="preserve"> de la ley, decreto, resolución o norma de carácter jurídico mediante la cual se incorporó la obligatoriedad de presentar información financiera en el RUP, incluyendo:</w:t>
      </w:r>
    </w:p>
    <w:p w14:paraId="5BD25885" w14:textId="77777777" w:rsidR="00F92583" w:rsidRPr="004D0A49" w:rsidRDefault="00F92583" w:rsidP="00F92583">
      <w:pPr>
        <w:spacing w:after="120" w:line="240" w:lineRule="auto"/>
        <w:ind w:left="709" w:right="709"/>
        <w:jc w:val="both"/>
        <w:rPr>
          <w:rFonts w:ascii="Verdana" w:eastAsia="Century Gothic" w:hAnsi="Verdana" w:cs="Century Gothic"/>
          <w:sz w:val="20"/>
          <w:szCs w:val="20"/>
          <w:lang w:val="es-ES"/>
        </w:rPr>
      </w:pPr>
      <w:r w:rsidRPr="004D0A49">
        <w:rPr>
          <w:rFonts w:ascii="Verdana" w:eastAsia="Century Gothic" w:hAnsi="Verdana" w:cs="Century Gothic"/>
          <w:sz w:val="20"/>
          <w:szCs w:val="20"/>
          <w:lang w:val="es-ES"/>
        </w:rPr>
        <w:lastRenderedPageBreak/>
        <w:t>• La orientación del legislador u órgano rector sobre la finalidad de dicha incorporación.</w:t>
      </w:r>
    </w:p>
    <w:p w14:paraId="2F9AD703" w14:textId="77777777" w:rsidR="00F92583" w:rsidRPr="004D0A49" w:rsidRDefault="00F92583" w:rsidP="00F92583">
      <w:pPr>
        <w:spacing w:after="120" w:line="240" w:lineRule="auto"/>
        <w:ind w:left="709" w:right="709"/>
        <w:jc w:val="both"/>
        <w:rPr>
          <w:rFonts w:ascii="Verdana" w:eastAsia="Century Gothic" w:hAnsi="Verdana" w:cs="Century Gothic"/>
          <w:sz w:val="20"/>
          <w:szCs w:val="20"/>
          <w:lang w:val="es-ES"/>
        </w:rPr>
      </w:pPr>
      <w:r w:rsidRPr="004D0A49">
        <w:rPr>
          <w:rFonts w:ascii="Verdana" w:eastAsia="Century Gothic" w:hAnsi="Verdana" w:cs="Century Gothic"/>
          <w:sz w:val="20"/>
          <w:szCs w:val="20"/>
          <w:lang w:val="es-ES"/>
        </w:rPr>
        <w:t>• Destinatarios de la información financiera.</w:t>
      </w:r>
    </w:p>
    <w:p w14:paraId="623748C2" w14:textId="77777777" w:rsidR="00F92583" w:rsidRPr="004D0A49" w:rsidRDefault="00F92583" w:rsidP="00F92583">
      <w:pPr>
        <w:spacing w:after="120" w:line="240" w:lineRule="auto"/>
        <w:ind w:left="709" w:right="709"/>
        <w:jc w:val="both"/>
        <w:rPr>
          <w:rFonts w:ascii="Verdana" w:eastAsia="Century Gothic" w:hAnsi="Verdana" w:cs="Century Gothic"/>
          <w:sz w:val="20"/>
          <w:szCs w:val="20"/>
          <w:lang w:val="es-ES"/>
        </w:rPr>
      </w:pPr>
      <w:r w:rsidRPr="004D0A49">
        <w:rPr>
          <w:rFonts w:ascii="Verdana" w:eastAsia="Century Gothic" w:hAnsi="Verdana" w:cs="Century Gothic"/>
          <w:sz w:val="20"/>
          <w:szCs w:val="20"/>
          <w:lang w:val="es-ES"/>
        </w:rPr>
        <w:t>• Uso restrictivo o subjetivo que deben hacer los usuarios de dichos indicadores financieros.</w:t>
      </w:r>
    </w:p>
    <w:p w14:paraId="7DEF1CEE" w14:textId="77777777" w:rsidR="00F92583" w:rsidRPr="004D0A49" w:rsidRDefault="00F92583" w:rsidP="00F92583">
      <w:pPr>
        <w:spacing w:after="120" w:line="240" w:lineRule="auto"/>
        <w:ind w:left="709" w:right="709"/>
        <w:jc w:val="both"/>
        <w:rPr>
          <w:rFonts w:ascii="Verdana" w:eastAsia="Century Gothic" w:hAnsi="Verdana" w:cs="Century Gothic"/>
          <w:sz w:val="20"/>
          <w:szCs w:val="20"/>
          <w:lang w:val="es-ES"/>
        </w:rPr>
      </w:pPr>
      <w:r w:rsidRPr="004D0A49">
        <w:rPr>
          <w:rFonts w:ascii="Verdana" w:eastAsia="Century Gothic" w:hAnsi="Verdana" w:cs="Century Gothic"/>
          <w:sz w:val="20"/>
          <w:szCs w:val="20"/>
          <w:lang w:val="es-ES"/>
        </w:rPr>
        <w:t xml:space="preserve">2. </w:t>
      </w:r>
      <w:r w:rsidRPr="004D0A49">
        <w:rPr>
          <w:rFonts w:ascii="Verdana" w:eastAsia="Century Gothic" w:hAnsi="Verdana" w:cs="Century Gothic"/>
          <w:b/>
          <w:bCs/>
          <w:sz w:val="20"/>
          <w:szCs w:val="20"/>
          <w:lang w:val="es-ES"/>
        </w:rPr>
        <w:t>Orientación específica</w:t>
      </w:r>
      <w:r w:rsidRPr="004D0A49">
        <w:rPr>
          <w:rFonts w:ascii="Verdana" w:eastAsia="Century Gothic" w:hAnsi="Verdana" w:cs="Century Gothic"/>
          <w:sz w:val="20"/>
          <w:szCs w:val="20"/>
          <w:lang w:val="es-ES"/>
        </w:rPr>
        <w:t xml:space="preserve"> sobre el criterio técnico que define como "Indeterminado" a un indicador financiero sin denominador, aclarando:</w:t>
      </w:r>
    </w:p>
    <w:p w14:paraId="5935CA39" w14:textId="77777777" w:rsidR="00F92583" w:rsidRPr="004D0A49" w:rsidRDefault="00F92583" w:rsidP="00F92583">
      <w:pPr>
        <w:spacing w:after="120" w:line="240" w:lineRule="auto"/>
        <w:ind w:left="709" w:right="709"/>
        <w:jc w:val="both"/>
        <w:rPr>
          <w:rFonts w:ascii="Verdana" w:eastAsia="Century Gothic" w:hAnsi="Verdana" w:cs="Century Gothic"/>
          <w:sz w:val="20"/>
          <w:szCs w:val="20"/>
          <w:lang w:val="es-ES"/>
        </w:rPr>
      </w:pPr>
      <w:r w:rsidRPr="004D0A49">
        <w:rPr>
          <w:rFonts w:ascii="Verdana" w:eastAsia="Century Gothic" w:hAnsi="Verdana" w:cs="Century Gothic"/>
          <w:sz w:val="20"/>
          <w:szCs w:val="20"/>
          <w:lang w:val="es-ES"/>
        </w:rPr>
        <w:t>• Interpretación técnica de dicho concepto.</w:t>
      </w:r>
    </w:p>
    <w:p w14:paraId="7F9BDEF8" w14:textId="77777777" w:rsidR="00F92583" w:rsidRPr="004D0A49" w:rsidRDefault="00F92583" w:rsidP="00F92583">
      <w:pPr>
        <w:spacing w:after="120" w:line="240" w:lineRule="auto"/>
        <w:ind w:left="709" w:right="709"/>
        <w:jc w:val="both"/>
        <w:rPr>
          <w:rFonts w:ascii="Verdana" w:eastAsia="Century Gothic" w:hAnsi="Verdana" w:cs="Century Gothic"/>
          <w:sz w:val="20"/>
          <w:szCs w:val="20"/>
          <w:lang w:val="es-ES"/>
        </w:rPr>
      </w:pPr>
      <w:r w:rsidRPr="004D0A49">
        <w:rPr>
          <w:rFonts w:ascii="Verdana" w:eastAsia="Century Gothic" w:hAnsi="Verdana" w:cs="Century Gothic"/>
          <w:sz w:val="20"/>
          <w:szCs w:val="20"/>
          <w:lang w:val="es-ES"/>
        </w:rPr>
        <w:t>• ¿Representa un 100% del numerador?</w:t>
      </w:r>
    </w:p>
    <w:p w14:paraId="19C5D060" w14:textId="77777777" w:rsidR="00F92583" w:rsidRPr="008E6AD9" w:rsidRDefault="00F92583" w:rsidP="002309D9">
      <w:pPr>
        <w:spacing w:after="0" w:line="240" w:lineRule="auto"/>
        <w:ind w:left="709" w:right="709"/>
        <w:jc w:val="both"/>
        <w:rPr>
          <w:rFonts w:ascii="Verdana" w:eastAsia="Century Gothic" w:hAnsi="Verdana" w:cs="Century Gothic"/>
          <w:b/>
          <w:bCs/>
        </w:rPr>
      </w:pPr>
      <w:r w:rsidRPr="004D0A49">
        <w:rPr>
          <w:rFonts w:ascii="Verdana" w:eastAsia="Century Gothic" w:hAnsi="Verdana" w:cs="Century Gothic"/>
          <w:sz w:val="20"/>
          <w:szCs w:val="20"/>
          <w:lang w:val="es-ES"/>
        </w:rPr>
        <w:t>• Directrices para su interpretación en el régimen de contratación pública</w:t>
      </w:r>
      <w:r>
        <w:rPr>
          <w:rFonts w:ascii="Verdana" w:eastAsia="Century Gothic" w:hAnsi="Verdana" w:cs="Century Gothic"/>
          <w:sz w:val="20"/>
          <w:szCs w:val="20"/>
          <w:lang w:val="es-ES"/>
        </w:rPr>
        <w:t>”. (Énfasis dentro del texto)</w:t>
      </w:r>
    </w:p>
    <w:p w14:paraId="54D7A527" w14:textId="77777777" w:rsidR="00F92583" w:rsidRDefault="00F92583" w:rsidP="00F92583">
      <w:pPr>
        <w:spacing w:after="0" w:line="276" w:lineRule="auto"/>
        <w:ind w:firstLine="709"/>
        <w:jc w:val="both"/>
        <w:rPr>
          <w:rFonts w:ascii="Verdana" w:eastAsia="Calibri" w:hAnsi="Verdana" w:cs="Arial"/>
          <w:color w:val="000000"/>
          <w:lang w:val="es-ES" w:eastAsia="es-ES"/>
        </w:rPr>
      </w:pPr>
    </w:p>
    <w:p w14:paraId="6FE79E6F" w14:textId="77777777" w:rsidR="00F92583" w:rsidRPr="00A652FF" w:rsidRDefault="00F92583" w:rsidP="00F92583">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3B5FD4A" w14:textId="77777777" w:rsidR="00F92583" w:rsidRDefault="00F92583" w:rsidP="00F92583">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17C2C831" w14:textId="77777777" w:rsidR="00F92583" w:rsidRPr="00593A5F" w:rsidRDefault="00F92583" w:rsidP="00F92583">
      <w:pPr>
        <w:spacing w:after="0" w:line="276" w:lineRule="auto"/>
        <w:ind w:firstLine="709"/>
        <w:jc w:val="both"/>
        <w:rPr>
          <w:rFonts w:ascii="Verdana" w:eastAsia="Calibri" w:hAnsi="Verdana" w:cs="Arial"/>
          <w:color w:val="000000"/>
          <w:lang w:val="es-ES" w:eastAsia="es-ES"/>
        </w:rPr>
      </w:pPr>
    </w:p>
    <w:p w14:paraId="2686BE25" w14:textId="77777777" w:rsidR="00F92583" w:rsidRPr="00593A5F" w:rsidRDefault="00F92583" w:rsidP="00F9258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1A3949B7" w14:textId="77777777" w:rsidR="00F92583" w:rsidRPr="00593A5F" w:rsidRDefault="00F92583" w:rsidP="00F92583">
      <w:pPr>
        <w:tabs>
          <w:tab w:val="left" w:pos="426"/>
        </w:tabs>
        <w:spacing w:after="0" w:line="276" w:lineRule="auto"/>
        <w:jc w:val="both"/>
        <w:rPr>
          <w:rFonts w:ascii="Verdana" w:eastAsia="Century Gothic" w:hAnsi="Verdana" w:cs="Century Gothic"/>
          <w:lang w:val="es-ES"/>
        </w:rPr>
      </w:pPr>
    </w:p>
    <w:p w14:paraId="22CDB4C5" w14:textId="77777777" w:rsidR="00F92583" w:rsidRPr="00593A5F" w:rsidRDefault="00F92583" w:rsidP="00F92583">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¿cuál es la finalidad de la información contable reportada al RUP y qué sucede con los indicadores indeterminados por ser una división sobre cero</w:t>
      </w:r>
      <w:r w:rsidRPr="00A56E74">
        <w:rPr>
          <w:rFonts w:ascii="Verdana" w:eastAsia="Century Gothic" w:hAnsi="Verdana" w:cs="Century Gothic"/>
        </w:rPr>
        <w:t>?</w:t>
      </w:r>
      <w:r>
        <w:rPr>
          <w:rFonts w:ascii="Verdana" w:eastAsia="Century Gothic" w:hAnsi="Verdana" w:cs="Century Gothic"/>
        </w:rPr>
        <w:t xml:space="preserve"> </w:t>
      </w:r>
    </w:p>
    <w:p w14:paraId="489CA163" w14:textId="77777777" w:rsidR="00F92583" w:rsidRPr="004B140F" w:rsidRDefault="00F92583" w:rsidP="00F92583">
      <w:pPr>
        <w:spacing w:after="0" w:line="276" w:lineRule="auto"/>
        <w:jc w:val="both"/>
        <w:rPr>
          <w:rFonts w:ascii="Verdana" w:eastAsia="Calibri" w:hAnsi="Verdana" w:cs="Arial"/>
          <w:color w:val="7030A0"/>
        </w:rPr>
      </w:pPr>
    </w:p>
    <w:p w14:paraId="3BE8392B" w14:textId="77777777" w:rsidR="00F92583" w:rsidRPr="00593A5F" w:rsidRDefault="00F92583" w:rsidP="00F9258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6E5F72B" w14:textId="77777777" w:rsidR="00F92583" w:rsidRPr="00593A5F" w:rsidRDefault="00F92583" w:rsidP="00F9258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92583" w:rsidRPr="00593A5F" w14:paraId="2214BA6F" w14:textId="77777777" w:rsidTr="005460DB">
        <w:trPr>
          <w:jc w:val="center"/>
        </w:trPr>
        <w:tc>
          <w:tcPr>
            <w:tcW w:w="8828" w:type="dxa"/>
          </w:tcPr>
          <w:p w14:paraId="4F481093" w14:textId="77777777" w:rsidR="00F92583" w:rsidRDefault="00F92583" w:rsidP="005460DB">
            <w:pPr>
              <w:tabs>
                <w:tab w:val="left" w:pos="426"/>
              </w:tabs>
              <w:spacing w:after="120" w:line="276" w:lineRule="auto"/>
              <w:jc w:val="both"/>
              <w:rPr>
                <w:rFonts w:ascii="Verdana" w:eastAsia="Arial" w:hAnsi="Verdana" w:cs="Arial"/>
                <w:lang w:val="es-MX" w:eastAsia="es-ES" w:bidi="es-ES"/>
              </w:rPr>
            </w:pPr>
            <w:bookmarkStart w:id="1"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e</w:t>
            </w:r>
            <w:r w:rsidRPr="00F40B01">
              <w:rPr>
                <w:rFonts w:ascii="Verdana" w:eastAsia="Arial" w:hAnsi="Verdana" w:cs="Arial"/>
                <w:lang w:val="es-MX" w:eastAsia="es-ES" w:bidi="es-ES"/>
              </w:rPr>
              <w:t xml:space="preserve">n concordancia con la exposición de motivos de la Ley 1150 de 2007, documento que se adjunta al presente oficio, </w:t>
            </w:r>
            <w:r>
              <w:rPr>
                <w:rFonts w:ascii="Verdana" w:eastAsia="Arial" w:hAnsi="Verdana" w:cs="Arial"/>
                <w:lang w:val="es-MX" w:eastAsia="es-ES" w:bidi="es-ES"/>
              </w:rPr>
              <w:t xml:space="preserve">en </w:t>
            </w:r>
            <w:r w:rsidRPr="00F40B01">
              <w:rPr>
                <w:rFonts w:ascii="Verdana" w:eastAsia="Arial" w:hAnsi="Verdana" w:cs="Arial"/>
                <w:lang w:val="es-MX" w:eastAsia="es-ES" w:bidi="es-ES"/>
              </w:rPr>
              <w:t>el Registro Único de Proponentes consta la información relacionada con las personas naturales y jurídicas, que tiene por objeto consolidar los datos relacionados con la capacidad jurídica, técnica, financiera y organizacional de los posibles proponentes, con el fin que participen en los procedimientos de selección realizados por las entidades estatales, facilitando la revisión de los datos contenidos en el registro</w:t>
            </w:r>
            <w:r>
              <w:rPr>
                <w:rFonts w:ascii="Verdana" w:eastAsia="Arial" w:hAnsi="Verdana" w:cs="Arial"/>
                <w:lang w:val="es-MX" w:eastAsia="es-ES" w:bidi="es-ES"/>
              </w:rPr>
              <w:t xml:space="preserve">. </w:t>
            </w:r>
          </w:p>
          <w:p w14:paraId="1AB0BD15" w14:textId="77777777" w:rsidR="00F92583" w:rsidRPr="000C45AD" w:rsidRDefault="00F92583" w:rsidP="005460DB">
            <w:pPr>
              <w:tabs>
                <w:tab w:val="left" w:pos="426"/>
              </w:tabs>
              <w:spacing w:after="120" w:line="276" w:lineRule="auto"/>
              <w:ind w:firstLine="737"/>
              <w:jc w:val="both"/>
              <w:rPr>
                <w:rFonts w:ascii="Verdana" w:eastAsia="Arial" w:hAnsi="Verdana" w:cs="Arial"/>
                <w:lang w:val="es-MX" w:eastAsia="es-ES" w:bidi="es-ES"/>
              </w:rPr>
            </w:pPr>
            <w:r w:rsidRPr="0036593E">
              <w:rPr>
                <w:rFonts w:ascii="Verdana" w:hAnsi="Verdana" w:cs="Arial"/>
                <w:bCs/>
                <w:color w:val="000000" w:themeColor="text1"/>
                <w:lang w:val="es-ES_tradnl"/>
              </w:rPr>
              <w:t xml:space="preserve">La </w:t>
            </w:r>
            <w:r w:rsidRPr="0036593E">
              <w:rPr>
                <w:rFonts w:ascii="Verdana" w:hAnsi="Verdana" w:cs="Arial"/>
                <w:bCs/>
                <w:i/>
                <w:iCs/>
                <w:color w:val="000000" w:themeColor="text1"/>
                <w:lang w:val="es-ES_tradnl"/>
              </w:rPr>
              <w:t xml:space="preserve">capacidad financiera </w:t>
            </w:r>
            <w:r>
              <w:rPr>
                <w:rFonts w:ascii="Verdana" w:eastAsia="Calibri" w:hAnsi="Verdana" w:cs="Arial"/>
                <w:bCs/>
                <w:color w:val="000000" w:themeColor="text1"/>
                <w:lang w:val="es-ES_tradnl"/>
              </w:rPr>
              <w:t>b</w:t>
            </w:r>
            <w:r w:rsidRPr="0036593E">
              <w:rPr>
                <w:rFonts w:ascii="Verdana" w:hAnsi="Verdana" w:cs="Arial"/>
                <w:bCs/>
                <w:color w:val="000000" w:themeColor="text1"/>
                <w:lang w:val="es-ES_tradnl"/>
              </w:rPr>
              <w:t xml:space="preserve">usca establecer condiciones mínimas en relación con la “salud financiera” de </w:t>
            </w:r>
            <w:r>
              <w:rPr>
                <w:rFonts w:ascii="Verdana" w:eastAsia="Calibri" w:hAnsi="Verdana" w:cs="Arial"/>
                <w:bCs/>
                <w:color w:val="000000" w:themeColor="text1"/>
                <w:lang w:val="es-ES_tradnl"/>
              </w:rPr>
              <w:t>los proponentes</w:t>
            </w:r>
            <w:r w:rsidRPr="0036593E">
              <w:rPr>
                <w:rFonts w:ascii="Verdana" w:hAnsi="Verdana" w:cs="Arial"/>
                <w:bCs/>
                <w:color w:val="000000" w:themeColor="text1"/>
                <w:lang w:val="es-ES_tradnl"/>
              </w:rPr>
              <w:t>, particularmente, demostrar su aptitud para cumplir oportuna y cabalmente el objeto del contrato</w:t>
            </w:r>
            <w:r>
              <w:rPr>
                <w:rFonts w:ascii="Verdana" w:eastAsia="Calibri" w:hAnsi="Verdana" w:cs="Arial"/>
                <w:bCs/>
                <w:color w:val="000000" w:themeColor="text1"/>
                <w:lang w:val="es-ES_tradnl"/>
              </w:rPr>
              <w:t xml:space="preserve">. </w:t>
            </w:r>
            <w:r w:rsidRPr="000C45AD">
              <w:rPr>
                <w:rFonts w:ascii="Verdana" w:eastAsia="Calibri" w:hAnsi="Verdana" w:cs="Arial"/>
                <w:bCs/>
                <w:color w:val="000000" w:themeColor="text1"/>
                <w:lang w:val="es-ES_tradnl"/>
              </w:rPr>
              <w:t>Por su parte, l</w:t>
            </w:r>
            <w:r w:rsidRPr="000C45AD">
              <w:rPr>
                <w:rFonts w:ascii="Verdana" w:eastAsia="Calibri" w:hAnsi="Verdana" w:cs="Arial"/>
                <w:color w:val="000000" w:themeColor="text1"/>
                <w:lang w:val="es-ES_tradnl"/>
              </w:rPr>
              <w:t xml:space="preserve">a </w:t>
            </w:r>
            <w:r w:rsidRPr="000C45AD">
              <w:rPr>
                <w:rFonts w:ascii="Verdana" w:eastAsia="Calibri" w:hAnsi="Verdana" w:cs="Arial"/>
                <w:bCs/>
                <w:i/>
                <w:iCs/>
                <w:color w:val="000000" w:themeColor="text1"/>
                <w:lang w:val="es-ES_tradnl"/>
              </w:rPr>
              <w:t>capacidad de organización</w:t>
            </w:r>
            <w:r w:rsidRPr="000C45AD">
              <w:rPr>
                <w:rFonts w:ascii="Verdana" w:eastAsia="Calibri" w:hAnsi="Verdana" w:cs="Arial"/>
                <w:color w:val="000000" w:themeColor="text1"/>
                <w:lang w:val="es-ES_tradnl"/>
              </w:rPr>
              <w:t xml:space="preserve"> es la aptitud de un proponente para cumplir oportuna y cabalmente el objeto del contrato en función de su organización interna. </w:t>
            </w:r>
            <w:r>
              <w:rPr>
                <w:rStyle w:val="eop"/>
                <w:rFonts w:ascii="Verdana" w:hAnsi="Verdana" w:cs="Arial"/>
                <w:color w:val="000000"/>
                <w:shd w:val="clear" w:color="auto" w:fill="FFFFFF"/>
              </w:rPr>
              <w:t xml:space="preserve">Para efectos del RUP, </w:t>
            </w:r>
            <w:r w:rsidRPr="00C123B6">
              <w:rPr>
                <w:rStyle w:val="eop"/>
                <w:rFonts w:ascii="Verdana" w:hAnsi="Verdana" w:cs="Arial"/>
                <w:color w:val="000000"/>
                <w:shd w:val="clear" w:color="auto" w:fill="FFFFFF"/>
              </w:rPr>
              <w:t>debe</w:t>
            </w:r>
            <w:r>
              <w:rPr>
                <w:rStyle w:val="eop"/>
                <w:rFonts w:ascii="Verdana" w:hAnsi="Verdana" w:cs="Arial"/>
                <w:color w:val="000000"/>
                <w:shd w:val="clear" w:color="auto" w:fill="FFFFFF"/>
              </w:rPr>
              <w:t>n</w:t>
            </w:r>
            <w:r w:rsidRPr="00C123B6">
              <w:rPr>
                <w:rStyle w:val="eop"/>
                <w:rFonts w:ascii="Verdana" w:hAnsi="Verdana" w:cs="Arial"/>
                <w:color w:val="000000"/>
                <w:shd w:val="clear" w:color="auto" w:fill="FFFFFF"/>
              </w:rPr>
              <w:t xml:space="preserve"> acreditarse a la Cámara de Comercio en las condiciones descritas en los numerales 1.3 y 2.3 del artículo 2.2.1.1.1.5.2 del Decreto 1082 de 2015</w:t>
            </w:r>
            <w:r>
              <w:rPr>
                <w:rStyle w:val="eop"/>
                <w:rFonts w:ascii="Verdana" w:hAnsi="Verdana" w:cs="Arial"/>
                <w:color w:val="000000"/>
                <w:shd w:val="clear" w:color="auto" w:fill="FFFFFF"/>
              </w:rPr>
              <w:t xml:space="preserve">. </w:t>
            </w:r>
          </w:p>
          <w:p w14:paraId="095294C4" w14:textId="77777777" w:rsidR="00F92583" w:rsidRDefault="00F92583" w:rsidP="005460DB">
            <w:pPr>
              <w:pStyle w:val="NormalWeb"/>
              <w:spacing w:before="120" w:beforeAutospacing="0" w:after="120" w:afterAutospacing="0" w:line="276" w:lineRule="auto"/>
              <w:ind w:firstLine="709"/>
              <w:jc w:val="both"/>
              <w:rPr>
                <w:rFonts w:ascii="Verdana" w:hAnsi="Verdana" w:cs="Arial"/>
                <w:color w:val="000000"/>
                <w:sz w:val="22"/>
                <w:szCs w:val="22"/>
                <w:lang w:val="es-ES_tradnl"/>
              </w:rPr>
            </w:pPr>
            <w:r w:rsidRPr="000C45AD">
              <w:rPr>
                <w:rFonts w:ascii="Verdana" w:hAnsi="Verdana" w:cs="Arial"/>
                <w:color w:val="000000"/>
                <w:sz w:val="22"/>
                <w:szCs w:val="22"/>
                <w:lang w:val="es-ES_tradnl"/>
              </w:rPr>
              <w:t xml:space="preserve">Aunque la Agencia no tiene la memoria justificativa del reglamento compilatorio –Decreto 1082 de 2015– ni de los compilados –especialmente, del Decreto 1510 de 2013–, el reporte contable tiene como destinatarios a las entidades que requieren información sobre los indicadores de capacidad financiera y organizacional en los procesos de selección. Por tanto, previa verificación de las cámaras de comercio, el RUP permite determinar la aptitud real los proponentes, eliminando en la selección del contratista la simple apreciación subjetiva de la </w:t>
            </w:r>
            <w:r>
              <w:rPr>
                <w:rFonts w:ascii="Verdana" w:hAnsi="Verdana" w:cs="Arial"/>
                <w:color w:val="000000"/>
                <w:sz w:val="22"/>
                <w:szCs w:val="22"/>
                <w:lang w:val="es-ES_tradnl"/>
              </w:rPr>
              <w:t>e</w:t>
            </w:r>
            <w:r w:rsidRPr="000C45AD">
              <w:rPr>
                <w:rFonts w:ascii="Verdana" w:hAnsi="Verdana" w:cs="Arial"/>
                <w:color w:val="000000"/>
                <w:sz w:val="22"/>
                <w:szCs w:val="22"/>
                <w:lang w:val="es-ES_tradnl"/>
              </w:rPr>
              <w:t xml:space="preserve">ntidad, </w:t>
            </w:r>
            <w:r>
              <w:rPr>
                <w:rFonts w:ascii="Verdana" w:hAnsi="Verdana" w:cs="Arial"/>
                <w:color w:val="000000"/>
                <w:sz w:val="22"/>
                <w:szCs w:val="22"/>
                <w:lang w:val="es-ES_tradnl"/>
              </w:rPr>
              <w:t>permitiendo tanto la eficiencia del trámite como</w:t>
            </w:r>
            <w:r w:rsidRPr="000C45AD">
              <w:rPr>
                <w:rFonts w:ascii="Verdana" w:hAnsi="Verdana" w:cs="Arial"/>
                <w:color w:val="000000"/>
                <w:sz w:val="22"/>
                <w:szCs w:val="22"/>
                <w:lang w:val="es-ES_tradnl"/>
              </w:rPr>
              <w:t xml:space="preserve"> el conocimiento de la idoneidad de quien </w:t>
            </w:r>
            <w:r>
              <w:rPr>
                <w:rFonts w:ascii="Verdana" w:hAnsi="Verdana" w:cs="Arial"/>
                <w:color w:val="000000"/>
                <w:sz w:val="22"/>
                <w:szCs w:val="22"/>
                <w:lang w:val="es-ES_tradnl"/>
              </w:rPr>
              <w:t>aspira a contratar con el Estado</w:t>
            </w:r>
            <w:r w:rsidRPr="000C45AD">
              <w:rPr>
                <w:rFonts w:ascii="Verdana" w:hAnsi="Verdana" w:cs="Arial"/>
                <w:color w:val="000000"/>
                <w:sz w:val="22"/>
                <w:szCs w:val="22"/>
                <w:lang w:val="es-ES_tradnl"/>
              </w:rPr>
              <w:t>. De esta manera, el uso de los indicadores de capacidad financiera u organizacional contenidos en el registro se restringe principalmente al ámbito donde actúan los diferentes partícipes del sistema de compras y contratación pública.</w:t>
            </w:r>
          </w:p>
          <w:p w14:paraId="4021D747" w14:textId="77777777" w:rsidR="00F92583" w:rsidRPr="004505A6" w:rsidRDefault="00F92583" w:rsidP="005460DB">
            <w:pPr>
              <w:spacing w:before="120" w:after="120" w:line="276" w:lineRule="auto"/>
              <w:ind w:firstLine="737"/>
              <w:jc w:val="both"/>
              <w:rPr>
                <w:rFonts w:ascii="Verdana" w:eastAsia="Calibri" w:hAnsi="Verdana" w:cs="Arial"/>
                <w:lang w:val="es-ES_tradnl" w:eastAsia="es-MX"/>
              </w:rPr>
            </w:pPr>
            <w:r>
              <w:rPr>
                <w:rFonts w:ascii="Verdana" w:hAnsi="Verdana" w:cs="Arial"/>
                <w:color w:val="000000"/>
                <w:lang w:val="es-ES_tradnl"/>
              </w:rPr>
              <w:t>Por otra parte, según</w:t>
            </w:r>
            <w:r w:rsidRPr="004505A6">
              <w:rPr>
                <w:rFonts w:ascii="Verdana" w:eastAsia="Calibri" w:hAnsi="Verdana" w:cs="Arial"/>
                <w:lang w:eastAsia="es-MX"/>
              </w:rPr>
              <w:t xml:space="preserve"> el artículo 2.2.1.1.1.5.3 del Decreto 1082 de 2015, el </w:t>
            </w:r>
            <w:r>
              <w:rPr>
                <w:rFonts w:ascii="Verdana" w:eastAsia="Calibri" w:hAnsi="Verdana" w:cs="Arial"/>
                <w:lang w:eastAsia="es-MX"/>
              </w:rPr>
              <w:t>RUP</w:t>
            </w:r>
            <w:r w:rsidRPr="004505A6">
              <w:rPr>
                <w:rFonts w:ascii="Verdana" w:eastAsia="Calibri" w:hAnsi="Verdana" w:cs="Arial"/>
                <w:lang w:eastAsia="es-MX"/>
              </w:rPr>
              <w:t xml:space="preserve"> contempla como indicadores de capacidad financiera, entre otros, </w:t>
            </w:r>
            <w:r w:rsidRPr="004505A6">
              <w:rPr>
                <w:rFonts w:ascii="Verdana" w:eastAsia="Calibri" w:hAnsi="Verdana" w:cs="Arial"/>
                <w:lang w:eastAsia="es-MX"/>
              </w:rPr>
              <w:lastRenderedPageBreak/>
              <w:t xml:space="preserve">el índice de liquidez, que corresponde a la división entre el </w:t>
            </w:r>
            <w:proofErr w:type="gramStart"/>
            <w:r w:rsidRPr="004505A6">
              <w:rPr>
                <w:rFonts w:ascii="Verdana" w:eastAsia="Calibri" w:hAnsi="Verdana" w:cs="Arial"/>
                <w:lang w:eastAsia="es-MX"/>
              </w:rPr>
              <w:t>activo corriente y el pasivo corriente</w:t>
            </w:r>
            <w:proofErr w:type="gramEnd"/>
            <w:r w:rsidRPr="004505A6">
              <w:rPr>
                <w:rFonts w:ascii="Verdana" w:eastAsia="Calibri" w:hAnsi="Verdana" w:cs="Arial"/>
                <w:lang w:eastAsia="es-MX"/>
              </w:rPr>
              <w:t>, y que determina la capacidad que tiene el proponente para cumplir con sus obligaciones de corto plazo. Para determinar este indicador en el proceso de contratación, la entidad debe establecer un umbral adecuado, fijando valores máximos o mínimos aceptables con los operadores "menor o igual (≤)" o "mayor o igual (≥)", según lo que considere apropiado para asegurar que el proponente pueda cumplir con sus obligaciones contractuales sin comprometer su estabilidad financiera. Estos valores deben basarse en los estudios previos del proceso de contratación y en el contexto económico del sector.</w:t>
            </w:r>
          </w:p>
          <w:p w14:paraId="6D4CA1D9" w14:textId="77777777" w:rsidR="00F92583" w:rsidRPr="004505A6" w:rsidRDefault="00F92583" w:rsidP="005460DB">
            <w:pPr>
              <w:spacing w:before="120" w:line="276" w:lineRule="auto"/>
              <w:ind w:firstLine="743"/>
              <w:jc w:val="both"/>
              <w:rPr>
                <w:rFonts w:ascii="Verdana" w:hAnsi="Verdana" w:cs="Arial"/>
              </w:rPr>
            </w:pPr>
            <w:r w:rsidRPr="004505A6">
              <w:rPr>
                <w:rFonts w:ascii="Verdana" w:eastAsia="Calibri" w:hAnsi="Verdana" w:cs="Arial"/>
                <w:lang w:eastAsia="es-MX"/>
              </w:rPr>
              <w:t>El Manual para Determinar y Verificar los Requisitos Habilitantes en los Procesos de Contratación, expedido por esta Agencia, establece un marco detallado para estructurar la capacidad financiera de los proponentes, garantizando que estos puedan cumplir con las obligaciones del contrato de manera eficiente y oportuna. En este contexto, e</w:t>
            </w:r>
            <w:r w:rsidRPr="004505A6">
              <w:rPr>
                <w:rFonts w:ascii="Verdana" w:hAnsi="Verdana" w:cs="Arial"/>
              </w:rPr>
              <w:t>l numeral 5.3 del Manual señala algunas pautas a tener en cuenta por las entidades estatales para fijar los indicadores de capacidad financiera, y establece lo siguiente:</w:t>
            </w:r>
          </w:p>
          <w:p w14:paraId="2FE9E09E" w14:textId="77777777" w:rsidR="00F92583" w:rsidRPr="004505A6" w:rsidRDefault="00F92583" w:rsidP="005460DB">
            <w:pPr>
              <w:ind w:firstLine="743"/>
              <w:jc w:val="both"/>
              <w:rPr>
                <w:rFonts w:ascii="Verdana" w:hAnsi="Verdana" w:cs="Arial"/>
              </w:rPr>
            </w:pPr>
          </w:p>
          <w:p w14:paraId="3A5ADEB2" w14:textId="77777777" w:rsidR="00F92583" w:rsidRPr="004505A6" w:rsidRDefault="00F92583" w:rsidP="005460DB">
            <w:pPr>
              <w:ind w:left="709" w:right="709"/>
              <w:jc w:val="both"/>
              <w:rPr>
                <w:rFonts w:ascii="Verdana" w:eastAsia="Calibri" w:hAnsi="Verdana" w:cs="Arial"/>
                <w:color w:val="000000"/>
                <w:sz w:val="20"/>
                <w:szCs w:val="20"/>
                <w:lang w:val="es-ES_tradnl" w:eastAsia="es-ES_tradnl"/>
              </w:rPr>
            </w:pPr>
            <w:r w:rsidRPr="004505A6">
              <w:rPr>
                <w:rFonts w:ascii="Verdana" w:hAnsi="Verdana" w:cs="Arial"/>
                <w:sz w:val="20"/>
                <w:szCs w:val="20"/>
              </w:rPr>
              <w:t>“</w:t>
            </w:r>
            <w:r w:rsidRPr="004505A6">
              <w:rPr>
                <w:rFonts w:ascii="Verdana" w:eastAsia="Calibri" w:hAnsi="Verdana" w:cs="Arial"/>
                <w:color w:val="000000"/>
                <w:sz w:val="20"/>
                <w:szCs w:val="20"/>
                <w:lang w:val="es-ES_tradnl" w:eastAsia="es-ES_tradnl"/>
              </w:rPr>
              <w:t>Debido a que hay indicadores que resultan de realizar divisiones entre valores, la Entidad Estatal debe establecer explícitamente en los Documentos del Proceso una regla para determinar cómo lo evaluará cuando el denominador es cero, pues en este caso no es posible realizar esta operación matemática. Por ejemplo, en el caso del indicador de cobertura de intereses, puede haber empresas que no presentan obligaciones financieras y, por ende, no incurren en gastos financieros, es decir, el denominador es cero (0) y no sería posible calcular el indicador. En este evento, la regla puede ser que el proponente que no tiene obligaciones financieras resulta habilitado”.</w:t>
            </w:r>
          </w:p>
          <w:p w14:paraId="4B1E2F93" w14:textId="77777777" w:rsidR="00F92583" w:rsidRPr="007F3794" w:rsidRDefault="00F92583" w:rsidP="005460DB">
            <w:pPr>
              <w:spacing w:line="276" w:lineRule="auto"/>
              <w:ind w:left="743" w:right="505"/>
              <w:jc w:val="both"/>
              <w:rPr>
                <w:rFonts w:ascii="Verdana" w:hAnsi="Verdana" w:cs="Arial"/>
              </w:rPr>
            </w:pPr>
          </w:p>
          <w:p w14:paraId="6013FD3B" w14:textId="77777777" w:rsidR="00F92583" w:rsidRPr="007F3794" w:rsidRDefault="00F92583" w:rsidP="005460DB">
            <w:pPr>
              <w:spacing w:after="120" w:line="276" w:lineRule="auto"/>
              <w:ind w:firstLine="709"/>
              <w:jc w:val="both"/>
              <w:rPr>
                <w:rFonts w:ascii="Verdana" w:eastAsia="Arial" w:hAnsi="Verdana" w:cs="Arial"/>
                <w:lang w:val="es-ES"/>
              </w:rPr>
            </w:pPr>
            <w:r w:rsidRPr="004505A6">
              <w:rPr>
                <w:rFonts w:ascii="Verdana" w:eastAsia="Arial" w:hAnsi="Verdana" w:cs="Arial"/>
                <w:lang w:val="es-ES"/>
              </w:rPr>
              <w:t xml:space="preserve">De esta manera, se evidencia que, en los indicadores de capacidad financiera, como el índice de liquidez, es posible obtener resultados incomprensibles cuando el denominador es igual a cero, lo que podría dar lugar a que el resultado sea indeterminado. Debido a que la normativa de contratación pública no regula los eventos en los que el indicador sea indeterminado, la entidad estatal, como responsable de su proceso de contratación, debe definir en los pliegos de condiciones una regla que determine el cumplimiento de los requisitos habilitantes en estos casos. </w:t>
            </w:r>
          </w:p>
          <w:p w14:paraId="79E6B0AC" w14:textId="77777777" w:rsidR="00F92583" w:rsidRPr="001941FD" w:rsidRDefault="00F92583" w:rsidP="005460DB">
            <w:pPr>
              <w:spacing w:line="276" w:lineRule="auto"/>
              <w:ind w:firstLine="737"/>
              <w:jc w:val="both"/>
              <w:rPr>
                <w:rFonts w:ascii="Verdana" w:eastAsia="Calibri" w:hAnsi="Verdana" w:cs="Arial"/>
                <w:bCs/>
                <w:color w:val="000000" w:themeColor="text1"/>
              </w:rPr>
            </w:pPr>
            <w:r w:rsidRPr="00A47393">
              <w:rPr>
                <w:rStyle w:val="s15"/>
                <w:rFonts w:ascii="Verdana" w:hAnsi="Verdana"/>
                <w:color w:val="000000"/>
              </w:rPr>
              <w:lastRenderedPageBreak/>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10410939" w14:textId="77777777" w:rsidR="00F92583" w:rsidRPr="00593A5F" w:rsidRDefault="00F92583" w:rsidP="00F92583">
      <w:pPr>
        <w:tabs>
          <w:tab w:val="left" w:pos="142"/>
          <w:tab w:val="left" w:pos="284"/>
        </w:tabs>
        <w:spacing w:after="0" w:line="276" w:lineRule="auto"/>
        <w:jc w:val="both"/>
        <w:rPr>
          <w:rFonts w:ascii="Verdana" w:eastAsia="Century Gothic" w:hAnsi="Verdana" w:cs="Century Gothic"/>
          <w:b/>
          <w:bCs/>
          <w:lang w:val="es-ES"/>
        </w:rPr>
      </w:pPr>
    </w:p>
    <w:bookmarkEnd w:id="1"/>
    <w:p w14:paraId="2A0B7B78" w14:textId="77777777" w:rsidR="00F92583" w:rsidRPr="00593A5F" w:rsidRDefault="00F92583" w:rsidP="00F9258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58C6112" w14:textId="77777777" w:rsidR="00F92583" w:rsidRPr="00593A5F" w:rsidRDefault="00F92583" w:rsidP="00F92583">
      <w:pPr>
        <w:spacing w:after="0" w:line="276" w:lineRule="auto"/>
        <w:jc w:val="both"/>
        <w:rPr>
          <w:rFonts w:ascii="Verdana" w:eastAsia="Calibri" w:hAnsi="Verdana" w:cs="Arial"/>
          <w:color w:val="7030A0"/>
          <w:lang w:val="es-ES"/>
        </w:rPr>
      </w:pPr>
    </w:p>
    <w:p w14:paraId="4574A50A" w14:textId="77777777" w:rsidR="00F92583" w:rsidRDefault="00F92583" w:rsidP="00F92583">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26EC3EA3" w14:textId="77777777" w:rsidR="00F92583" w:rsidRPr="00415608" w:rsidRDefault="00F92583" w:rsidP="00F92583">
      <w:pPr>
        <w:spacing w:after="0" w:line="276" w:lineRule="auto"/>
        <w:jc w:val="both"/>
        <w:rPr>
          <w:rFonts w:ascii="Verdana" w:eastAsia="Calibri" w:hAnsi="Verdana" w:cs="Arial"/>
          <w:lang w:val="es-ES"/>
        </w:rPr>
      </w:pPr>
    </w:p>
    <w:p w14:paraId="502BAA10" w14:textId="77777777" w:rsidR="00F92583" w:rsidRPr="00F047DB" w:rsidRDefault="00F92583" w:rsidP="00F92583">
      <w:pPr>
        <w:spacing w:after="120" w:line="276" w:lineRule="auto"/>
        <w:jc w:val="both"/>
        <w:rPr>
          <w:rFonts w:ascii="Verdana" w:eastAsia="Calibri" w:hAnsi="Verdana" w:cs="Arial"/>
          <w:color w:val="000000" w:themeColor="text1"/>
          <w:lang w:val="es-ES_tradnl"/>
        </w:rPr>
      </w:pPr>
      <w:r w:rsidRPr="00A47393">
        <w:rPr>
          <w:rFonts w:ascii="Verdana" w:hAnsi="Verdana" w:cs="Arial"/>
          <w:color w:val="000000" w:themeColor="text1"/>
          <w:lang w:val="es-ES"/>
        </w:rPr>
        <w:t xml:space="preserve">i. </w:t>
      </w:r>
      <w:r w:rsidRPr="00F047DB">
        <w:rPr>
          <w:rFonts w:ascii="Verdana" w:eastAsia="Calibri" w:hAnsi="Verdana" w:cs="Arial"/>
          <w:color w:val="000000" w:themeColor="text1"/>
          <w:lang w:val="es-ES_tradnl"/>
        </w:rPr>
        <w:t xml:space="preserve">El artículo 5 de la Ley 1150 de 2007 establece que se considera “objetiva la selección en la cual la escogencia se haga al ofrecimiento más favorable a la entidad y a los fines que ella busca, sin tener en consideración factores de afecto o de interés y, en general, cualquier clase de motivación subjetiva”. En ese contexto, los factores de escogencia y calificación que establezcan las entidades en los pliegos de condiciones o sus documentos equivalentes deberán tener en cuenta, entre otras cuestiones, los criterios establecidos en dicha disposición. </w:t>
      </w:r>
    </w:p>
    <w:p w14:paraId="36280027" w14:textId="77777777" w:rsidR="00F92583" w:rsidRPr="00F047DB" w:rsidRDefault="00F92583" w:rsidP="00F92583">
      <w:pPr>
        <w:spacing w:after="0" w:line="276" w:lineRule="auto"/>
        <w:ind w:firstLine="709"/>
        <w:jc w:val="both"/>
        <w:rPr>
          <w:rFonts w:ascii="Verdana" w:eastAsia="Calibri" w:hAnsi="Verdana" w:cs="Arial"/>
          <w:color w:val="000000" w:themeColor="text1"/>
          <w:lang w:val="es-ES"/>
        </w:rPr>
      </w:pPr>
      <w:r w:rsidRPr="1E611919">
        <w:rPr>
          <w:rFonts w:ascii="Verdana" w:eastAsia="Calibri" w:hAnsi="Verdana" w:cs="Arial"/>
          <w:color w:val="000000" w:themeColor="text1"/>
          <w:lang w:val="es-ES"/>
        </w:rPr>
        <w:t xml:space="preserve">Específicamente, el numeral 1º del artículo referido establece que en los procesos de selección de contratistas serán objeto de verificación, como requisitos habilitantes, </w:t>
      </w:r>
      <w:r w:rsidRPr="1E611919">
        <w:rPr>
          <w:rFonts w:ascii="Verdana" w:eastAsia="Calibri" w:hAnsi="Verdana" w:cs="Arial"/>
          <w:i/>
          <w:color w:val="000000" w:themeColor="text1"/>
          <w:lang w:val="es-ES"/>
        </w:rPr>
        <w:t>entre otros</w:t>
      </w:r>
      <w:r w:rsidRPr="1E611919">
        <w:rPr>
          <w:rFonts w:ascii="Verdana" w:eastAsia="Calibri" w:hAnsi="Verdana" w:cs="Arial"/>
          <w:color w:val="000000" w:themeColor="text1"/>
          <w:lang w:val="es-ES"/>
        </w:rPr>
        <w:t xml:space="preserve">, los siguientes: i) la capacidad jurídica; </w:t>
      </w:r>
      <w:proofErr w:type="spellStart"/>
      <w:r w:rsidRPr="1E611919">
        <w:rPr>
          <w:rFonts w:ascii="Verdana" w:eastAsia="Calibri" w:hAnsi="Verdana" w:cs="Arial"/>
          <w:color w:val="000000" w:themeColor="text1"/>
          <w:lang w:val="es-ES"/>
        </w:rPr>
        <w:t>ii</w:t>
      </w:r>
      <w:proofErr w:type="spellEnd"/>
      <w:r w:rsidRPr="1E611919">
        <w:rPr>
          <w:rFonts w:ascii="Verdana" w:eastAsia="Calibri" w:hAnsi="Verdana" w:cs="Arial"/>
          <w:color w:val="000000" w:themeColor="text1"/>
          <w:lang w:val="es-ES"/>
        </w:rPr>
        <w:t xml:space="preserve">) la experiencia; </w:t>
      </w:r>
      <w:proofErr w:type="spellStart"/>
      <w:r w:rsidRPr="1E611919">
        <w:rPr>
          <w:rFonts w:ascii="Verdana" w:eastAsia="Calibri" w:hAnsi="Verdana" w:cs="Arial"/>
          <w:color w:val="000000" w:themeColor="text1"/>
          <w:lang w:val="es-ES"/>
        </w:rPr>
        <w:t>iii</w:t>
      </w:r>
      <w:proofErr w:type="spellEnd"/>
      <w:r w:rsidRPr="1E611919">
        <w:rPr>
          <w:rFonts w:ascii="Verdana" w:eastAsia="Calibri" w:hAnsi="Verdana" w:cs="Arial"/>
          <w:color w:val="000000" w:themeColor="text1"/>
          <w:lang w:val="es-ES"/>
        </w:rPr>
        <w:t xml:space="preserve">) la capacidad financiera y </w:t>
      </w:r>
      <w:proofErr w:type="spellStart"/>
      <w:r w:rsidRPr="1E611919">
        <w:rPr>
          <w:rFonts w:ascii="Verdana" w:eastAsia="Calibri" w:hAnsi="Verdana" w:cs="Arial"/>
          <w:color w:val="000000" w:themeColor="text1"/>
          <w:lang w:val="es-ES"/>
        </w:rPr>
        <w:t>iv</w:t>
      </w:r>
      <w:proofErr w:type="spellEnd"/>
      <w:r w:rsidRPr="1E611919">
        <w:rPr>
          <w:rFonts w:ascii="Verdana" w:eastAsia="Calibri" w:hAnsi="Verdana" w:cs="Arial"/>
          <w:color w:val="000000" w:themeColor="text1"/>
          <w:lang w:val="es-ES"/>
        </w:rPr>
        <w:t xml:space="preserve">) la capacidad de organización. En efecto, la norma citada dispone lo siguiente: </w:t>
      </w:r>
    </w:p>
    <w:p w14:paraId="379AB7ED" w14:textId="77777777" w:rsidR="00F92583" w:rsidRPr="00F047DB" w:rsidRDefault="00F92583" w:rsidP="00F92583">
      <w:pPr>
        <w:spacing w:after="0"/>
        <w:jc w:val="both"/>
        <w:rPr>
          <w:rFonts w:ascii="Verdana" w:eastAsia="Calibri" w:hAnsi="Verdana" w:cs="Arial"/>
          <w:color w:val="000000" w:themeColor="text1"/>
          <w:lang w:val="es-ES_tradnl"/>
        </w:rPr>
      </w:pPr>
    </w:p>
    <w:p w14:paraId="458EDE2F" w14:textId="77777777" w:rsidR="00F92583" w:rsidRPr="00F047DB" w:rsidRDefault="00F92583" w:rsidP="00F92583">
      <w:pPr>
        <w:spacing w:after="0" w:line="240" w:lineRule="auto"/>
        <w:ind w:left="709" w:right="709"/>
        <w:jc w:val="both"/>
        <w:rPr>
          <w:rFonts w:ascii="Verdana" w:eastAsia="Calibri" w:hAnsi="Verdana" w:cs="Arial"/>
          <w:color w:val="000000" w:themeColor="text1"/>
          <w:sz w:val="20"/>
          <w:szCs w:val="20"/>
          <w:lang w:val="es-ES_tradnl"/>
        </w:rPr>
      </w:pPr>
      <w:r w:rsidRPr="00F047DB">
        <w:rPr>
          <w:rFonts w:ascii="Verdana" w:eastAsia="Calibri" w:hAnsi="Verdana" w:cs="Arial"/>
          <w:color w:val="000000" w:themeColor="text1"/>
          <w:sz w:val="20"/>
          <w:szCs w:val="20"/>
          <w:lang w:val="es-ES_tradnl"/>
        </w:rPr>
        <w:t xml:space="preserve">“Artículo 5. De la Selección Objetiva. </w:t>
      </w:r>
    </w:p>
    <w:p w14:paraId="14EE77CF" w14:textId="77777777" w:rsidR="00F92583" w:rsidRPr="00F047DB" w:rsidRDefault="00F92583" w:rsidP="00F92583">
      <w:pPr>
        <w:spacing w:after="120" w:line="240" w:lineRule="auto"/>
        <w:ind w:left="709" w:right="709"/>
        <w:jc w:val="both"/>
        <w:rPr>
          <w:rFonts w:ascii="Verdana" w:eastAsia="Calibri" w:hAnsi="Verdana" w:cs="Arial"/>
          <w:color w:val="000000" w:themeColor="text1"/>
          <w:sz w:val="20"/>
          <w:szCs w:val="20"/>
          <w:lang w:val="es-ES_tradnl"/>
        </w:rPr>
      </w:pPr>
      <w:r w:rsidRPr="00F047DB">
        <w:rPr>
          <w:rFonts w:ascii="Verdana" w:eastAsia="Calibri" w:hAnsi="Verdana" w:cs="Arial"/>
          <w:color w:val="000000" w:themeColor="text1"/>
          <w:sz w:val="20"/>
          <w:szCs w:val="20"/>
          <w:lang w:val="es-ES_tradnl"/>
        </w:rPr>
        <w:t>[…]</w:t>
      </w:r>
    </w:p>
    <w:p w14:paraId="1B7705A9" w14:textId="77777777" w:rsidR="00F92583" w:rsidRPr="00F047DB" w:rsidRDefault="00F92583" w:rsidP="00F92583">
      <w:pPr>
        <w:spacing w:after="0" w:line="240" w:lineRule="auto"/>
        <w:ind w:left="709" w:right="709"/>
        <w:jc w:val="both"/>
        <w:rPr>
          <w:rFonts w:ascii="Verdana" w:eastAsia="Calibri" w:hAnsi="Verdana" w:cs="Arial"/>
          <w:color w:val="000000" w:themeColor="text1"/>
          <w:sz w:val="21"/>
          <w:szCs w:val="21"/>
          <w:lang w:val="es-ES_tradnl"/>
        </w:rPr>
      </w:pPr>
      <w:r w:rsidRPr="00F047DB">
        <w:rPr>
          <w:rFonts w:ascii="Verdana" w:eastAsia="Calibri" w:hAnsi="Verdana" w:cs="Arial"/>
          <w:color w:val="000000" w:themeColor="text1"/>
          <w:sz w:val="20"/>
          <w:szCs w:val="20"/>
          <w:lang w:val="es-ES_tradnl"/>
        </w:rPr>
        <w:t xml:space="preserve">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w:t>
      </w:r>
      <w:r w:rsidRPr="00F047DB">
        <w:rPr>
          <w:rFonts w:ascii="Verdana" w:eastAsia="Calibri" w:hAnsi="Verdana" w:cs="Arial"/>
          <w:color w:val="000000" w:themeColor="text1"/>
          <w:sz w:val="20"/>
          <w:szCs w:val="20"/>
          <w:lang w:val="es-ES_tradnl"/>
        </w:rPr>
        <w:lastRenderedPageBreak/>
        <w:t>de conformidad con lo establecido en el artículo 6 de la presente ley, de acuerdo con lo cual se expedirá la respectiva certificación”.</w:t>
      </w:r>
    </w:p>
    <w:p w14:paraId="4020E67B" w14:textId="77777777" w:rsidR="00F92583" w:rsidRPr="00F047DB" w:rsidRDefault="00F92583" w:rsidP="00F92583">
      <w:pPr>
        <w:spacing w:after="0" w:line="276" w:lineRule="auto"/>
        <w:jc w:val="both"/>
        <w:rPr>
          <w:rFonts w:ascii="Verdana" w:eastAsia="Calibri" w:hAnsi="Verdana" w:cs="Arial"/>
          <w:color w:val="000000" w:themeColor="text1"/>
          <w:lang w:val="es-ES_tradnl"/>
        </w:rPr>
      </w:pPr>
    </w:p>
    <w:p w14:paraId="4936DE77" w14:textId="77777777" w:rsidR="00F92583" w:rsidRPr="00F047DB" w:rsidRDefault="00F92583" w:rsidP="00F92583">
      <w:pPr>
        <w:spacing w:after="120" w:line="276" w:lineRule="auto"/>
        <w:ind w:firstLine="709"/>
        <w:jc w:val="both"/>
        <w:rPr>
          <w:rFonts w:ascii="Verdana" w:eastAsia="Calibri" w:hAnsi="Verdana" w:cs="Arial"/>
          <w:color w:val="000000" w:themeColor="text1"/>
          <w:lang w:val="es-ES_tradnl"/>
        </w:rPr>
      </w:pPr>
      <w:r w:rsidRPr="00F047DB">
        <w:rPr>
          <w:rFonts w:ascii="Verdana" w:eastAsia="Calibri" w:hAnsi="Verdana" w:cs="Arial"/>
          <w:color w:val="000000" w:themeColor="text1"/>
          <w:lang w:val="es-ES_tradnl"/>
        </w:rPr>
        <w:t xml:space="preserve">A continuación, se explicará el alcance de los requisitos habilitantes previamente referidos. La </w:t>
      </w:r>
      <w:r w:rsidRPr="00F047DB">
        <w:rPr>
          <w:rFonts w:ascii="Verdana" w:eastAsia="Calibri" w:hAnsi="Verdana" w:cs="Arial"/>
          <w:bCs/>
          <w:i/>
          <w:iCs/>
          <w:color w:val="000000" w:themeColor="text1"/>
          <w:lang w:val="es-ES_tradnl"/>
        </w:rPr>
        <w:t>capacidad jurídica</w:t>
      </w:r>
      <w:r w:rsidRPr="00F047DB">
        <w:rPr>
          <w:rFonts w:ascii="Verdana" w:eastAsia="Calibri" w:hAnsi="Verdana" w:cs="Arial"/>
          <w:color w:val="000000" w:themeColor="text1"/>
          <w:lang w:val="es-ES_tradnl"/>
        </w:rPr>
        <w:t xml:space="preserve"> es la aptitud que recae en los sujetos activos o pasivos de las relaciones jurídicas</w:t>
      </w:r>
      <w:r w:rsidRPr="00F047DB">
        <w:rPr>
          <w:rStyle w:val="Refdenotaalpie"/>
          <w:rFonts w:ascii="Verdana" w:eastAsia="Calibri" w:hAnsi="Verdana" w:cs="Arial"/>
          <w:color w:val="000000" w:themeColor="text1"/>
          <w:lang w:val="es-ES_tradnl"/>
        </w:rPr>
        <w:footnoteReference w:id="1"/>
      </w:r>
      <w:r w:rsidRPr="00F047DB">
        <w:rPr>
          <w:rFonts w:ascii="Verdana" w:eastAsia="Calibri" w:hAnsi="Verdana" w:cs="Arial"/>
          <w:color w:val="000000" w:themeColor="text1"/>
          <w:lang w:val="es-ES_tradnl"/>
        </w:rPr>
        <w:t xml:space="preserve">. Para efectos de la contratación estatal, es la facultad que tiene una persona natural o jurídica o una forma asociativa sin personería jurídica para celebrar contratos con una entidad pública. En ese ámbito, la capacidad jurídica se manifiesta en la facultad que alguien tiene para participar en procedimientos de selección o celebrar el contrato, en la inexistencia de inhabilidades o incompatibilidades, en su inscripción en el Registro Único de Proponentes (RUP), cuando esta sea exigible, y en general, en el cumplimiento de los requisitos jurídicos establecidos en el ordenamiento para concurrir en procedimientos de selección y celebrar contratos estatales. </w:t>
      </w:r>
    </w:p>
    <w:p w14:paraId="590156A4" w14:textId="77777777" w:rsidR="00F92583" w:rsidRPr="00F047DB" w:rsidRDefault="00F92583" w:rsidP="00F92583">
      <w:pPr>
        <w:spacing w:after="120" w:line="276" w:lineRule="auto"/>
        <w:ind w:firstLine="709"/>
        <w:jc w:val="both"/>
        <w:rPr>
          <w:rFonts w:ascii="Verdana" w:eastAsia="Calibri" w:hAnsi="Verdana" w:cs="Arial"/>
          <w:color w:val="000000" w:themeColor="text1"/>
          <w:lang w:val="es-ES_tradnl"/>
        </w:rPr>
      </w:pPr>
      <w:r w:rsidRPr="00F047DB">
        <w:rPr>
          <w:rFonts w:ascii="Verdana" w:eastAsia="Calibri" w:hAnsi="Verdana" w:cs="Arial"/>
          <w:color w:val="000000" w:themeColor="text1"/>
          <w:lang w:val="es-ES_tradnl"/>
        </w:rPr>
        <w:t>Para efectos del Estatuto General de Contratación de la Administración Pública, la capacidad para contratar la tienen las personas consideradas legalmente capaces, según lo que establece el artículo 6 de la Ley 80 de 1993</w:t>
      </w:r>
      <w:r w:rsidRPr="00F047DB">
        <w:rPr>
          <w:rStyle w:val="Refdenotaalpie"/>
          <w:rFonts w:ascii="Verdana" w:eastAsia="Calibri" w:hAnsi="Verdana" w:cs="Arial"/>
          <w:color w:val="000000" w:themeColor="text1"/>
          <w:lang w:val="es-ES_tradnl"/>
        </w:rPr>
        <w:footnoteReference w:id="2"/>
      </w:r>
      <w:r w:rsidRPr="00F047DB">
        <w:rPr>
          <w:rFonts w:ascii="Verdana" w:eastAsia="Calibri" w:hAnsi="Verdana" w:cs="Arial"/>
          <w:color w:val="000000" w:themeColor="text1"/>
          <w:lang w:val="es-ES_tradnl"/>
        </w:rPr>
        <w:t xml:space="preserve">. Por un lado, las personas naturales tienen capacidad jurídica cuando alcanzan la mayoría de edad, claro está, siempre que su capacidad no haya sido limitada –ej. interdicción judicial–, y siempre que no estén incursas en inhabilidades, incompatibilidades o prohibiciones para contratar. Por otro lado, la capacidad de las personas jurídicas se traduce en la posibilidad que tienen estas para adelantar actividades en el marco de su objeto social, en las facultades que le han sido otorgadas al representante legal y en la ausencia de inhabilidades, incompatibilidades o prohibiciones para contratar, bien sea de los socios individualmente considerados o de la sociedad como tal. En el marco de los procedimientos de selección, las entidades deben solicitar a los proponentes toda </w:t>
      </w:r>
      <w:r w:rsidRPr="00F047DB">
        <w:rPr>
          <w:rFonts w:ascii="Verdana" w:eastAsia="Calibri" w:hAnsi="Verdana" w:cs="Arial"/>
          <w:color w:val="000000" w:themeColor="text1"/>
          <w:lang w:val="es-ES_tradnl"/>
        </w:rPr>
        <w:lastRenderedPageBreak/>
        <w:t>la información necesaria para conocer su idoneidad jurídica en relación con el contrato a celebrar</w:t>
      </w:r>
      <w:r w:rsidRPr="00F047DB">
        <w:rPr>
          <w:rStyle w:val="Refdenotaalpie"/>
          <w:rFonts w:ascii="Verdana" w:eastAsia="Calibri" w:hAnsi="Verdana" w:cs="Arial"/>
          <w:color w:val="000000" w:themeColor="text1"/>
          <w:lang w:val="es-ES_tradnl"/>
        </w:rPr>
        <w:footnoteReference w:id="3"/>
      </w:r>
      <w:r w:rsidRPr="00F047DB">
        <w:rPr>
          <w:rFonts w:ascii="Verdana" w:eastAsia="Calibri" w:hAnsi="Verdana" w:cs="Arial"/>
          <w:color w:val="000000" w:themeColor="text1"/>
          <w:lang w:val="es-ES_tradnl"/>
        </w:rPr>
        <w:t xml:space="preserve">. </w:t>
      </w:r>
    </w:p>
    <w:p w14:paraId="2365C27F" w14:textId="77777777" w:rsidR="00F92583" w:rsidRPr="00FB6997" w:rsidRDefault="00F92583" w:rsidP="00F92583">
      <w:pPr>
        <w:spacing w:after="120" w:line="276" w:lineRule="auto"/>
        <w:ind w:firstLine="709"/>
        <w:jc w:val="both"/>
        <w:rPr>
          <w:rFonts w:ascii="Verdana" w:eastAsia="Calibri" w:hAnsi="Verdana" w:cs="Arial"/>
          <w:color w:val="000000" w:themeColor="text1"/>
          <w:lang w:val="es-ES_tradnl"/>
        </w:rPr>
      </w:pPr>
      <w:r w:rsidRPr="00F047DB">
        <w:rPr>
          <w:rFonts w:ascii="Verdana" w:eastAsia="Calibri" w:hAnsi="Verdana" w:cs="Arial"/>
          <w:color w:val="000000" w:themeColor="text1"/>
          <w:lang w:val="es-ES_tradnl"/>
        </w:rPr>
        <w:t xml:space="preserve">La </w:t>
      </w:r>
      <w:r w:rsidRPr="00F047DB">
        <w:rPr>
          <w:rFonts w:ascii="Verdana" w:eastAsia="Calibri" w:hAnsi="Verdana" w:cs="Arial"/>
          <w:bCs/>
          <w:i/>
          <w:iCs/>
          <w:color w:val="000000" w:themeColor="text1"/>
          <w:lang w:val="es-ES_tradnl"/>
        </w:rPr>
        <w:t>experiencia</w:t>
      </w:r>
      <w:r w:rsidRPr="00F047DB">
        <w:rPr>
          <w:rFonts w:ascii="Verdana" w:eastAsia="Calibri" w:hAnsi="Verdana" w:cs="Arial"/>
          <w:i/>
          <w:iCs/>
          <w:color w:val="000000" w:themeColor="text1"/>
          <w:lang w:val="es-ES_tradnl"/>
        </w:rPr>
        <w:t xml:space="preserve"> </w:t>
      </w:r>
      <w:r w:rsidRPr="00F047DB">
        <w:rPr>
          <w:rFonts w:ascii="Verdana" w:eastAsia="Calibri" w:hAnsi="Verdana" w:cs="Arial"/>
          <w:color w:val="000000" w:themeColor="text1"/>
          <w:lang w:val="es-ES_tradnl"/>
        </w:rPr>
        <w:t xml:space="preserve">como requisito habilitante tiene como propósito que </w:t>
      </w:r>
      <w:r w:rsidRPr="00F047DB">
        <w:rPr>
          <w:rStyle w:val="normaltextrun"/>
          <w:rFonts w:ascii="Verdana" w:hAnsi="Verdana" w:cs="Arial"/>
          <w:color w:val="000000" w:themeColor="text1"/>
          <w:lang w:val="es-ES_tradnl"/>
        </w:rPr>
        <w:t>las entidades fijen unos requisitos mínimos de idoneidad técnica que deben acreditar los proponentes, para que puedan verificar su aptitud para participar en el proceso de selección y, eventualmente, ejecutar el contrato estatal</w:t>
      </w:r>
      <w:r w:rsidRPr="00F047DB">
        <w:rPr>
          <w:rStyle w:val="Refdenotaalpie"/>
          <w:rFonts w:ascii="Verdana" w:hAnsi="Verdana" w:cs="Arial"/>
          <w:color w:val="000000" w:themeColor="text1"/>
          <w:lang w:val="es-ES_tradnl"/>
        </w:rPr>
        <w:footnoteReference w:id="4"/>
      </w:r>
      <w:r w:rsidRPr="00F047DB">
        <w:rPr>
          <w:rStyle w:val="normaltextrun"/>
          <w:rFonts w:ascii="Verdana" w:hAnsi="Verdana" w:cs="Arial"/>
          <w:color w:val="000000" w:themeColor="text1"/>
          <w:lang w:val="es-ES_tradnl"/>
        </w:rPr>
        <w:t>.</w:t>
      </w:r>
      <w:r>
        <w:rPr>
          <w:rStyle w:val="normaltextrun"/>
          <w:rFonts w:ascii="Verdana" w:hAnsi="Verdana" w:cs="Arial"/>
          <w:color w:val="000000" w:themeColor="text1"/>
          <w:lang w:val="es-ES_tradnl"/>
        </w:rPr>
        <w:t xml:space="preserve"> </w:t>
      </w:r>
      <w:r w:rsidRPr="00F047DB">
        <w:rPr>
          <w:rStyle w:val="normaltextrun"/>
          <w:rFonts w:ascii="Verdana" w:hAnsi="Verdana" w:cs="Arial"/>
          <w:color w:val="000000" w:themeColor="text1"/>
          <w:lang w:val="es-ES_tradnl"/>
        </w:rPr>
        <w:t>La experiencia que se deriva de la ejecución de los contratos que el proponente ha celebrado y ejecutado con diferentes contratantes, sin importar la naturaleza de estos últimos, se verifica con el Registro Único de Proponentes (RUP)</w:t>
      </w:r>
      <w:r w:rsidRPr="00F047DB">
        <w:rPr>
          <w:rStyle w:val="Refdenotaalpie"/>
          <w:rFonts w:ascii="Verdana" w:hAnsi="Verdana" w:cs="Arial"/>
          <w:color w:val="000000" w:themeColor="text1"/>
          <w:lang w:val="es-ES_tradnl"/>
        </w:rPr>
        <w:footnoteReference w:id="5"/>
      </w:r>
      <w:r w:rsidRPr="00F047DB">
        <w:rPr>
          <w:rStyle w:val="normaltextrun"/>
          <w:rFonts w:ascii="Verdana" w:hAnsi="Verdana" w:cs="Arial"/>
          <w:color w:val="000000" w:themeColor="text1"/>
          <w:lang w:val="es-ES_tradnl"/>
        </w:rPr>
        <w:t>, claro está, cuando este certificado sea exigible. Allí constan únicamente los requisitos habilitantes que se evalúan con este documento, de los cuales el mismo es plena prueba, sin que le sea posible a la entidad o al proponente solicitar o aportar documentación distinta</w:t>
      </w:r>
      <w:r w:rsidRPr="00F047DB">
        <w:rPr>
          <w:rStyle w:val="Refdenotaalpie"/>
          <w:rFonts w:ascii="Verdana" w:hAnsi="Verdana" w:cs="Arial"/>
          <w:color w:val="000000" w:themeColor="text1"/>
          <w:lang w:val="es-ES_tradnl"/>
        </w:rPr>
        <w:footnoteReference w:id="6"/>
      </w:r>
      <w:r w:rsidRPr="00F047DB">
        <w:rPr>
          <w:rStyle w:val="normaltextrun"/>
          <w:rFonts w:ascii="Verdana" w:hAnsi="Verdana" w:cs="Arial"/>
          <w:color w:val="000000" w:themeColor="text1"/>
          <w:lang w:val="es-ES_tradnl"/>
        </w:rPr>
        <w:t>.</w:t>
      </w:r>
    </w:p>
    <w:p w14:paraId="11E351B7" w14:textId="77777777" w:rsidR="00F92583" w:rsidRPr="00F047DB" w:rsidRDefault="00F92583" w:rsidP="00F92583">
      <w:pPr>
        <w:pStyle w:val="paragraph"/>
        <w:spacing w:before="0" w:beforeAutospacing="0" w:after="120" w:afterAutospacing="0" w:line="276" w:lineRule="auto"/>
        <w:ind w:firstLine="709"/>
        <w:jc w:val="both"/>
        <w:textAlignment w:val="baseline"/>
        <w:rPr>
          <w:rFonts w:ascii="Verdana" w:hAnsi="Verdana" w:cs="Arial"/>
          <w:color w:val="000000" w:themeColor="text1"/>
          <w:sz w:val="22"/>
          <w:szCs w:val="22"/>
          <w:lang w:val="es-ES"/>
        </w:rPr>
      </w:pPr>
      <w:r w:rsidRPr="1E611919">
        <w:rPr>
          <w:rStyle w:val="normaltextrun"/>
          <w:rFonts w:ascii="Verdana" w:hAnsi="Verdana" w:cs="Arial"/>
          <w:color w:val="000000" w:themeColor="text1"/>
          <w:sz w:val="22"/>
          <w:szCs w:val="22"/>
          <w:lang w:val="es-ES"/>
        </w:rPr>
        <w:lastRenderedPageBreak/>
        <w:t>La experiencia debe inscribirse, renovarse o actualizarse en el RUP con copia de los contratos o con certificados de los contratos celebrados por el proponente con diferentes contratantes, quienes los expiden dando cuenta del contrato ejecutado y de que recibieron los bienes, obras o servicios de parte del proponente. Estos documentos deben codificarse de acuerdo con el clasificador de bienes y servicios en el tercer nivel</w:t>
      </w:r>
      <w:r w:rsidRPr="1E611919">
        <w:rPr>
          <w:rStyle w:val="Refdenotaalpie"/>
          <w:rFonts w:ascii="Verdana" w:hAnsi="Verdana" w:cs="Arial"/>
          <w:color w:val="000000" w:themeColor="text1"/>
          <w:sz w:val="22"/>
          <w:szCs w:val="22"/>
          <w:lang w:val="es-ES"/>
        </w:rPr>
        <w:footnoteReference w:id="7"/>
      </w:r>
      <w:r w:rsidRPr="1E611919">
        <w:rPr>
          <w:rStyle w:val="normaltextrun"/>
          <w:rFonts w:ascii="Verdana" w:hAnsi="Verdana" w:cs="Arial"/>
          <w:color w:val="000000" w:themeColor="text1"/>
          <w:sz w:val="22"/>
          <w:szCs w:val="22"/>
          <w:lang w:val="es-ES"/>
        </w:rPr>
        <w:t>. De esta manera, lo que se verifica con el RUP es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totalmente idéntico. Es pertinente aclarar que los códigos del clasificador de bienes y servicios ayudan a que exista un lenguaje común en la denominación de los bienes, obras o servicios que los proveedores ofrecen y que las entidades solicitan.</w:t>
      </w:r>
      <w:r w:rsidRPr="1E611919">
        <w:rPr>
          <w:rStyle w:val="eop"/>
          <w:rFonts w:ascii="Verdana" w:hAnsi="Verdana" w:cs="Arial"/>
          <w:color w:val="000000" w:themeColor="text1"/>
          <w:sz w:val="22"/>
          <w:szCs w:val="22"/>
          <w:lang w:val="es-ES"/>
        </w:rPr>
        <w:t> </w:t>
      </w:r>
    </w:p>
    <w:p w14:paraId="58C28935" w14:textId="77777777" w:rsidR="00F92583" w:rsidRPr="00F047DB" w:rsidRDefault="00F92583" w:rsidP="00F92583">
      <w:pPr>
        <w:pStyle w:val="paragraph"/>
        <w:spacing w:before="0" w:beforeAutospacing="0" w:after="120" w:afterAutospacing="0" w:line="276" w:lineRule="auto"/>
        <w:ind w:firstLine="709"/>
        <w:jc w:val="both"/>
        <w:textAlignment w:val="baseline"/>
        <w:rPr>
          <w:rFonts w:ascii="Verdana" w:hAnsi="Verdana" w:cs="Arial"/>
          <w:color w:val="000000" w:themeColor="text1"/>
          <w:sz w:val="22"/>
          <w:szCs w:val="22"/>
          <w:lang w:val="es-ES_tradnl"/>
        </w:rPr>
      </w:pPr>
      <w:r w:rsidRPr="00F047DB">
        <w:rPr>
          <w:rStyle w:val="normaltextrun"/>
          <w:rFonts w:ascii="Verdana" w:hAnsi="Verdana" w:cs="Arial"/>
          <w:color w:val="000000" w:themeColor="text1"/>
          <w:sz w:val="22"/>
          <w:szCs w:val="22"/>
          <w:lang w:val="es-ES_tradnl"/>
        </w:rPr>
        <w:t xml:space="preserve">Colombia Compra Eficiente considera que no es posible tener experiencia si en la práctica no se ha ejercido o ejecutado lo que se ofrece a otros contratantes. Precisamente, de esa experiencia es que se deriva el conocimiento que tiene el proponente, el cual es importante para la contratación pública, en la medida en que garantiza que no existirán improvisación o mayores costos por errores o dificultades originadas en realizar una actividad por primera vez. Adicionalmente, se entiende que la experiencia puede ser obtenida directamente o por participar asociado con otra persona, como es el caso de proponentes plurales como consorcios o uniones temporales, caso en el cual, aunque la experiencia no deja de ser personal, es compartida por tratarse de esquemas asociativos. Por otra parte, la Agencia recomienda que la experiencia que se solicite sea proporcional y no igual al objeto que se va a contratar, ya que esto puede limitar la participación de los proveedores por no haber ejecutado un </w:t>
      </w:r>
      <w:r w:rsidRPr="00F047DB">
        <w:rPr>
          <w:rStyle w:val="normaltextrun"/>
          <w:rFonts w:ascii="Verdana" w:hAnsi="Verdana" w:cs="Arial"/>
          <w:color w:val="000000" w:themeColor="text1"/>
          <w:sz w:val="22"/>
          <w:szCs w:val="22"/>
          <w:lang w:val="es-ES_tradnl"/>
        </w:rPr>
        <w:lastRenderedPageBreak/>
        <w:t>objeto igual, aunque sí hubieran ejecutado uno similar, afectando con eso la pluralidad de oferentes. Igualmente, es importante resaltar que:</w:t>
      </w:r>
    </w:p>
    <w:p w14:paraId="3A16AB25" w14:textId="77777777" w:rsidR="00F92583" w:rsidRPr="00F047DB" w:rsidRDefault="00F92583" w:rsidP="00F92583">
      <w:pPr>
        <w:pStyle w:val="paragraph"/>
        <w:spacing w:before="0" w:beforeAutospacing="0" w:after="120" w:afterAutospacing="0" w:line="276" w:lineRule="auto"/>
        <w:ind w:firstLine="709"/>
        <w:jc w:val="both"/>
        <w:textAlignment w:val="baseline"/>
        <w:rPr>
          <w:rFonts w:ascii="Verdana" w:hAnsi="Verdana" w:cs="Arial"/>
          <w:color w:val="000000" w:themeColor="text1"/>
          <w:sz w:val="22"/>
          <w:szCs w:val="22"/>
          <w:lang w:val="es-ES_tradnl"/>
        </w:rPr>
      </w:pPr>
      <w:r w:rsidRPr="00F047DB">
        <w:rPr>
          <w:rStyle w:val="normaltextrun"/>
          <w:rFonts w:ascii="Verdana" w:hAnsi="Verdana" w:cs="Arial"/>
          <w:color w:val="000000" w:themeColor="text1"/>
          <w:sz w:val="22"/>
          <w:szCs w:val="22"/>
          <w:lang w:val="es-ES_tradnl"/>
        </w:rPr>
        <w:t>i) La experiencia es personal, esto es, se adquiere participando, directa o indirectamente, sin que sea posible no participar y tener una experiencia que no es propia.</w:t>
      </w:r>
    </w:p>
    <w:p w14:paraId="12B06BB5" w14:textId="77777777" w:rsidR="00F92583" w:rsidRPr="00F047DB" w:rsidRDefault="00F92583" w:rsidP="00F92583">
      <w:pPr>
        <w:pStyle w:val="paragraph"/>
        <w:spacing w:before="0" w:beforeAutospacing="0" w:after="120" w:afterAutospacing="0" w:line="276" w:lineRule="auto"/>
        <w:ind w:firstLine="709"/>
        <w:jc w:val="both"/>
        <w:textAlignment w:val="baseline"/>
        <w:rPr>
          <w:rFonts w:ascii="Verdana" w:hAnsi="Verdana" w:cs="Arial"/>
          <w:color w:val="000000" w:themeColor="text1"/>
          <w:sz w:val="22"/>
          <w:szCs w:val="22"/>
          <w:lang w:val="es-ES"/>
        </w:rPr>
      </w:pPr>
      <w:proofErr w:type="spellStart"/>
      <w:r w:rsidRPr="1E611919">
        <w:rPr>
          <w:rStyle w:val="spellingerror"/>
          <w:rFonts w:ascii="Verdana" w:hAnsi="Verdana" w:cs="Arial"/>
          <w:color w:val="000000" w:themeColor="text1"/>
          <w:sz w:val="22"/>
          <w:szCs w:val="22"/>
          <w:lang w:val="es-ES"/>
        </w:rPr>
        <w:t>ii</w:t>
      </w:r>
      <w:proofErr w:type="spellEnd"/>
      <w:r w:rsidRPr="1E611919">
        <w:rPr>
          <w:rStyle w:val="normaltextrun"/>
          <w:rFonts w:ascii="Verdana" w:hAnsi="Verdana" w:cs="Arial"/>
          <w:color w:val="000000" w:themeColor="text1"/>
          <w:sz w:val="22"/>
          <w:szCs w:val="22"/>
          <w:lang w:val="es-ES"/>
        </w:rPr>
        <w:t>) La experiencia se puede compartir, sin que implique que la que se haya compartido a una persona se entienda suya, ya que dentro del procedimiento contractual se reflejará que esa persona tiene la experiencia de otra, como es el caso de la que le aportan los socios a las sociedades con menos de 3 años de constitución, lo cual constará en el RUP; o el de las figuras asociativas –consorcios y uniones temporales–, evento que se verificará en el correspondiente documento privado de constitución.</w:t>
      </w:r>
    </w:p>
    <w:p w14:paraId="1520BA40" w14:textId="77777777" w:rsidR="00F92583" w:rsidRPr="00F047DB" w:rsidRDefault="00F92583" w:rsidP="00F92583">
      <w:pPr>
        <w:pStyle w:val="paragraph"/>
        <w:spacing w:before="0" w:beforeAutospacing="0" w:after="120" w:afterAutospacing="0" w:line="276" w:lineRule="auto"/>
        <w:ind w:firstLine="709"/>
        <w:jc w:val="both"/>
        <w:textAlignment w:val="baseline"/>
        <w:rPr>
          <w:rFonts w:ascii="Verdana" w:hAnsi="Verdana" w:cs="Arial"/>
          <w:color w:val="000000" w:themeColor="text1"/>
          <w:sz w:val="22"/>
          <w:szCs w:val="22"/>
          <w:lang w:val="es-ES"/>
        </w:rPr>
      </w:pPr>
      <w:proofErr w:type="spellStart"/>
      <w:r w:rsidRPr="1E611919">
        <w:rPr>
          <w:rStyle w:val="spellingerror"/>
          <w:rFonts w:ascii="Verdana" w:hAnsi="Verdana" w:cs="Arial"/>
          <w:color w:val="000000" w:themeColor="text1"/>
          <w:sz w:val="22"/>
          <w:szCs w:val="22"/>
          <w:lang w:val="es-ES"/>
        </w:rPr>
        <w:t>iii</w:t>
      </w:r>
      <w:proofErr w:type="spellEnd"/>
      <w:r w:rsidRPr="1E611919">
        <w:rPr>
          <w:rStyle w:val="normaltextrun"/>
          <w:rFonts w:ascii="Verdana" w:hAnsi="Verdana" w:cs="Arial"/>
          <w:color w:val="000000" w:themeColor="text1"/>
          <w:sz w:val="22"/>
          <w:szCs w:val="22"/>
          <w:lang w:val="es-ES"/>
        </w:rPr>
        <w:t>) La experiencia se puede transferir y esto es diferente a compartirla, puesto que implica que la experiencia de una persona se traslada a otra, y esta última acredita esa experiencia como propia.</w:t>
      </w:r>
      <w:r w:rsidRPr="1E611919">
        <w:rPr>
          <w:rStyle w:val="eop"/>
          <w:rFonts w:ascii="Verdana" w:hAnsi="Verdana" w:cs="Arial"/>
          <w:color w:val="000000" w:themeColor="text1"/>
          <w:sz w:val="22"/>
          <w:szCs w:val="22"/>
          <w:lang w:val="es-ES"/>
        </w:rPr>
        <w:t> </w:t>
      </w:r>
    </w:p>
    <w:p w14:paraId="2395E545" w14:textId="77777777" w:rsidR="00F92583" w:rsidRPr="00F047DB" w:rsidRDefault="00F92583" w:rsidP="00F92583">
      <w:pPr>
        <w:pStyle w:val="paragraph"/>
        <w:spacing w:before="0" w:beforeAutospacing="0" w:after="120" w:afterAutospacing="0" w:line="276" w:lineRule="auto"/>
        <w:ind w:firstLine="709"/>
        <w:jc w:val="both"/>
        <w:textAlignment w:val="baseline"/>
        <w:rPr>
          <w:rFonts w:ascii="Verdana" w:hAnsi="Verdana" w:cs="Arial"/>
          <w:color w:val="000000" w:themeColor="text1"/>
          <w:sz w:val="22"/>
          <w:szCs w:val="22"/>
          <w:lang w:val="es-ES"/>
        </w:rPr>
      </w:pPr>
      <w:proofErr w:type="spellStart"/>
      <w:r w:rsidRPr="1E611919">
        <w:rPr>
          <w:rStyle w:val="spellingerror"/>
          <w:rFonts w:ascii="Verdana" w:hAnsi="Verdana" w:cs="Arial"/>
          <w:color w:val="000000" w:themeColor="text1"/>
          <w:sz w:val="22"/>
          <w:szCs w:val="22"/>
          <w:lang w:val="es-ES"/>
        </w:rPr>
        <w:t>iv</w:t>
      </w:r>
      <w:proofErr w:type="spellEnd"/>
      <w:r w:rsidRPr="1E611919">
        <w:rPr>
          <w:rStyle w:val="normaltextrun"/>
          <w:rFonts w:ascii="Verdana" w:hAnsi="Verdana" w:cs="Arial"/>
          <w:color w:val="000000" w:themeColor="text1"/>
          <w:sz w:val="22"/>
          <w:szCs w:val="22"/>
          <w:lang w:val="es-ES"/>
        </w:rPr>
        <w:t>) Cuando la persona que adquirió la experiencia desaparece o se liquida, no es posible que comparta o transfiera su experiencia, porque al ser personal sigue la suerte de quien la adquirió.</w:t>
      </w:r>
    </w:p>
    <w:p w14:paraId="48894E80" w14:textId="77777777" w:rsidR="00F92583" w:rsidRPr="00F047DB" w:rsidRDefault="00F92583" w:rsidP="00F92583">
      <w:pPr>
        <w:spacing w:after="120" w:line="276" w:lineRule="auto"/>
        <w:ind w:firstLine="709"/>
        <w:jc w:val="both"/>
        <w:rPr>
          <w:rFonts w:ascii="Verdana" w:eastAsia="Calibri" w:hAnsi="Verdana" w:cs="Arial"/>
          <w:color w:val="000000" w:themeColor="text1"/>
          <w:lang w:val="es-ES_tradnl"/>
        </w:rPr>
      </w:pPr>
      <w:r w:rsidRPr="00F047DB">
        <w:rPr>
          <w:rFonts w:ascii="Verdana" w:eastAsia="Calibri" w:hAnsi="Verdana" w:cs="Arial"/>
          <w:color w:val="000000" w:themeColor="text1"/>
          <w:lang w:val="es-ES_tradnl"/>
        </w:rPr>
        <w:t xml:space="preserve">La </w:t>
      </w:r>
      <w:r w:rsidRPr="00F047DB">
        <w:rPr>
          <w:rFonts w:ascii="Verdana" w:eastAsia="Calibri" w:hAnsi="Verdana" w:cs="Arial"/>
          <w:bCs/>
          <w:i/>
          <w:iCs/>
          <w:color w:val="000000" w:themeColor="text1"/>
          <w:lang w:val="es-ES_tradnl"/>
        </w:rPr>
        <w:t>capacidad financiera</w:t>
      </w:r>
      <w:r w:rsidRPr="00F047DB">
        <w:rPr>
          <w:rFonts w:ascii="Verdana" w:eastAsia="Calibri" w:hAnsi="Verdana" w:cs="Arial"/>
          <w:i/>
          <w:iCs/>
          <w:color w:val="000000" w:themeColor="text1"/>
          <w:lang w:val="es-ES_tradnl"/>
        </w:rPr>
        <w:t xml:space="preserve"> </w:t>
      </w:r>
      <w:r w:rsidRPr="00F047DB">
        <w:rPr>
          <w:rFonts w:ascii="Verdana" w:eastAsia="Calibri" w:hAnsi="Verdana" w:cs="Arial"/>
          <w:color w:val="000000" w:themeColor="text1"/>
          <w:lang w:val="es-ES_tradnl"/>
        </w:rPr>
        <w:t>se determina a través de la liquidez y el endeudamiento de los proponentes. Busca establecer condiciones mínimas en relación con la “salud financiera” de estos últimos, particularmente, demostrar su aptitud para cumplir oportuna y cabalmente el objeto del contrato. En ese sentido, la capacidad financiera que la entidad requiera para un proceso de contratación debe ser adecuada y proporcional a la naturaleza y al valor del contrato. Además, los requisitos de capacidad financiera deben ser establecidos con fundamento en los Estudios del Sector, los cuales pueden ser elaborados según la “Guía para la Elaboración de Estudios de Sector”, de esta Agencia.</w:t>
      </w:r>
    </w:p>
    <w:p w14:paraId="56955473" w14:textId="77777777" w:rsidR="00F92583" w:rsidRPr="00F047DB" w:rsidRDefault="00F92583" w:rsidP="00F92583">
      <w:pPr>
        <w:spacing w:after="120" w:line="276" w:lineRule="auto"/>
        <w:ind w:firstLine="709"/>
        <w:jc w:val="both"/>
        <w:rPr>
          <w:rFonts w:ascii="Verdana" w:eastAsia="Calibri" w:hAnsi="Verdana" w:cs="Arial"/>
          <w:color w:val="000000" w:themeColor="text1"/>
          <w:lang w:val="es-ES"/>
        </w:rPr>
      </w:pPr>
      <w:r w:rsidRPr="1E611919">
        <w:rPr>
          <w:rFonts w:ascii="Verdana" w:eastAsia="Calibri" w:hAnsi="Verdana" w:cs="Arial"/>
          <w:color w:val="000000" w:themeColor="text1"/>
          <w:lang w:val="es-ES"/>
        </w:rPr>
        <w:t xml:space="preserve">En atención a la naturaleza del contrato a suscribir y su valor, plazo y forma de pago, la entidad debe usar los indicadores que considere adecuados respecto del objeto del proceso de contratación, para lo cual no es suficiente la aplicación mecánica de fórmulas financieras, pues deben conocer cada indicador, sus fórmulas de cálculo y su interpretación. Según el artículo 2.2.1.1.1.5.3 del Decreto 1082 de 2015, son indicadores de la capacidad financiera los siguientes: i) el </w:t>
      </w:r>
      <w:r w:rsidRPr="1E611919">
        <w:rPr>
          <w:rFonts w:ascii="Verdana" w:eastAsia="Calibri" w:hAnsi="Verdana" w:cs="Arial"/>
          <w:i/>
          <w:color w:val="000000" w:themeColor="text1"/>
          <w:lang w:val="es-ES"/>
        </w:rPr>
        <w:t>índice de liquidez</w:t>
      </w:r>
      <w:r w:rsidRPr="1E611919">
        <w:rPr>
          <w:rFonts w:ascii="Verdana" w:eastAsia="Calibri" w:hAnsi="Verdana" w:cs="Arial"/>
          <w:color w:val="000000" w:themeColor="text1"/>
          <w:lang w:val="es-ES"/>
        </w:rPr>
        <w:t xml:space="preserve">, que corresponde a la división entre el activo corriente y </w:t>
      </w:r>
      <w:r w:rsidRPr="1E611919">
        <w:rPr>
          <w:rFonts w:ascii="Verdana" w:eastAsia="Calibri" w:hAnsi="Verdana" w:cs="Arial"/>
          <w:color w:val="000000" w:themeColor="text1"/>
          <w:lang w:val="es-ES"/>
        </w:rPr>
        <w:lastRenderedPageBreak/>
        <w:t xml:space="preserve">el pasivo corriente, y que determina la capacidad que tiene el proponente para cumplir con sus obligaciones de corto plazo; </w:t>
      </w:r>
      <w:proofErr w:type="spellStart"/>
      <w:r w:rsidRPr="1E611919">
        <w:rPr>
          <w:rFonts w:ascii="Verdana" w:eastAsia="Calibri" w:hAnsi="Verdana" w:cs="Arial"/>
          <w:color w:val="000000" w:themeColor="text1"/>
          <w:lang w:val="es-ES"/>
        </w:rPr>
        <w:t>ii</w:t>
      </w:r>
      <w:proofErr w:type="spellEnd"/>
      <w:r w:rsidRPr="1E611919">
        <w:rPr>
          <w:rFonts w:ascii="Verdana" w:eastAsia="Calibri" w:hAnsi="Verdana" w:cs="Arial"/>
          <w:color w:val="000000" w:themeColor="text1"/>
          <w:lang w:val="es-ES"/>
        </w:rPr>
        <w:t xml:space="preserve">) el </w:t>
      </w:r>
      <w:r w:rsidRPr="1E611919">
        <w:rPr>
          <w:rFonts w:ascii="Verdana" w:eastAsia="Calibri" w:hAnsi="Verdana" w:cs="Arial"/>
          <w:i/>
          <w:color w:val="000000" w:themeColor="text1"/>
          <w:lang w:val="es-ES"/>
        </w:rPr>
        <w:t>índice de endeudamiento</w:t>
      </w:r>
      <w:r w:rsidRPr="1E611919">
        <w:rPr>
          <w:rFonts w:ascii="Verdana" w:eastAsia="Calibri" w:hAnsi="Verdana" w:cs="Arial"/>
          <w:color w:val="000000" w:themeColor="text1"/>
          <w:lang w:val="es-ES"/>
        </w:rPr>
        <w:t xml:space="preserve">, que se calcula dividiendo el pasivo total por el activo total, el cual determina el grado de endeudamiento en la estructura de financiación del proponente; y </w:t>
      </w:r>
      <w:proofErr w:type="spellStart"/>
      <w:r w:rsidRPr="1E611919">
        <w:rPr>
          <w:rFonts w:ascii="Verdana" w:eastAsia="Calibri" w:hAnsi="Verdana" w:cs="Arial"/>
          <w:color w:val="000000" w:themeColor="text1"/>
          <w:lang w:val="es-ES"/>
        </w:rPr>
        <w:t>iii</w:t>
      </w:r>
      <w:proofErr w:type="spellEnd"/>
      <w:r w:rsidRPr="1E611919">
        <w:rPr>
          <w:rFonts w:ascii="Verdana" w:eastAsia="Calibri" w:hAnsi="Verdana" w:cs="Arial"/>
          <w:color w:val="000000" w:themeColor="text1"/>
          <w:lang w:val="es-ES"/>
        </w:rPr>
        <w:t xml:space="preserve">) la </w:t>
      </w:r>
      <w:r w:rsidRPr="1E611919">
        <w:rPr>
          <w:rFonts w:ascii="Verdana" w:eastAsia="Calibri" w:hAnsi="Verdana" w:cs="Arial"/>
          <w:i/>
          <w:color w:val="000000" w:themeColor="text1"/>
          <w:lang w:val="es-ES"/>
        </w:rPr>
        <w:t>razón de cobertura de intereses</w:t>
      </w:r>
      <w:r w:rsidRPr="1E611919">
        <w:rPr>
          <w:rFonts w:ascii="Verdana" w:eastAsia="Calibri" w:hAnsi="Verdana" w:cs="Arial"/>
          <w:color w:val="000000" w:themeColor="text1"/>
          <w:lang w:val="es-ES"/>
        </w:rPr>
        <w:t xml:space="preserve">, que es igual a la utilidad operacional, sobre los gastos de intereses, y que refleja la capacidad del proponente para cumplir con sus obligaciones financieras. Adicionalmente, Colombia Compra Eficiente recomienda valorar otro tipo de indicadores como el </w:t>
      </w:r>
      <w:r w:rsidRPr="1E611919">
        <w:rPr>
          <w:rFonts w:ascii="Verdana" w:eastAsia="Calibri" w:hAnsi="Verdana" w:cs="Arial"/>
          <w:i/>
          <w:color w:val="000000" w:themeColor="text1"/>
          <w:lang w:val="es-ES"/>
        </w:rPr>
        <w:t>capital de trabajo</w:t>
      </w:r>
      <w:r w:rsidRPr="1E611919">
        <w:rPr>
          <w:rFonts w:ascii="Verdana" w:eastAsia="Calibri" w:hAnsi="Verdana" w:cs="Arial"/>
          <w:color w:val="000000" w:themeColor="text1"/>
          <w:lang w:val="es-ES"/>
        </w:rPr>
        <w:t xml:space="preserve">, la </w:t>
      </w:r>
      <w:r w:rsidRPr="1E611919">
        <w:rPr>
          <w:rFonts w:ascii="Verdana" w:eastAsia="Calibri" w:hAnsi="Verdana" w:cs="Arial"/>
          <w:i/>
          <w:color w:val="000000" w:themeColor="text1"/>
          <w:lang w:val="es-ES"/>
        </w:rPr>
        <w:t>razón de efectivo</w:t>
      </w:r>
      <w:r w:rsidRPr="1E611919">
        <w:rPr>
          <w:rFonts w:ascii="Verdana" w:eastAsia="Calibri" w:hAnsi="Verdana" w:cs="Arial"/>
          <w:color w:val="000000" w:themeColor="text1"/>
          <w:lang w:val="es-ES"/>
        </w:rPr>
        <w:t xml:space="preserve">, la denominada </w:t>
      </w:r>
      <w:r w:rsidRPr="1E611919">
        <w:rPr>
          <w:rFonts w:ascii="Verdana" w:eastAsia="Calibri" w:hAnsi="Verdana" w:cs="Arial"/>
          <w:i/>
          <w:color w:val="000000" w:themeColor="text1"/>
          <w:lang w:val="es-ES"/>
        </w:rPr>
        <w:t>prueba ácida</w:t>
      </w:r>
      <w:r w:rsidRPr="1E611919">
        <w:rPr>
          <w:rFonts w:ascii="Verdana" w:eastAsia="Calibri" w:hAnsi="Verdana" w:cs="Arial"/>
          <w:color w:val="000000" w:themeColor="text1"/>
          <w:lang w:val="es-ES"/>
        </w:rPr>
        <w:t xml:space="preserve">, la </w:t>
      </w:r>
      <w:r w:rsidRPr="1E611919">
        <w:rPr>
          <w:rFonts w:ascii="Verdana" w:eastAsia="Calibri" w:hAnsi="Verdana" w:cs="Arial"/>
          <w:i/>
          <w:color w:val="000000" w:themeColor="text1"/>
          <w:lang w:val="es-ES"/>
        </w:rPr>
        <w:t xml:space="preserve">concentración de endeudamiento a corto </w:t>
      </w:r>
      <w:r w:rsidRPr="1E611919">
        <w:rPr>
          <w:rFonts w:ascii="Verdana" w:eastAsia="Calibri" w:hAnsi="Verdana" w:cs="Arial"/>
          <w:color w:val="000000" w:themeColor="text1"/>
          <w:lang w:val="es-ES"/>
        </w:rPr>
        <w:t>y</w:t>
      </w:r>
      <w:r w:rsidRPr="1E611919">
        <w:rPr>
          <w:rFonts w:ascii="Verdana" w:eastAsia="Calibri" w:hAnsi="Verdana" w:cs="Arial"/>
          <w:i/>
          <w:color w:val="000000" w:themeColor="text1"/>
          <w:lang w:val="es-ES"/>
        </w:rPr>
        <w:t xml:space="preserve"> a largo plazo</w:t>
      </w:r>
      <w:r w:rsidRPr="1E611919">
        <w:rPr>
          <w:rFonts w:ascii="Verdana" w:eastAsia="Calibri" w:hAnsi="Verdana" w:cs="Arial"/>
          <w:color w:val="000000" w:themeColor="text1"/>
          <w:lang w:val="es-ES"/>
        </w:rPr>
        <w:t xml:space="preserve"> y el </w:t>
      </w:r>
      <w:r w:rsidRPr="1E611919">
        <w:rPr>
          <w:rFonts w:ascii="Verdana" w:eastAsia="Calibri" w:hAnsi="Verdana" w:cs="Arial"/>
          <w:i/>
          <w:color w:val="000000" w:themeColor="text1"/>
          <w:lang w:val="es-ES"/>
        </w:rPr>
        <w:t>patrimonio</w:t>
      </w:r>
      <w:r w:rsidRPr="1E611919">
        <w:rPr>
          <w:rFonts w:ascii="Verdana" w:eastAsia="Calibri" w:hAnsi="Verdana" w:cs="Arial"/>
          <w:color w:val="000000" w:themeColor="text1"/>
          <w:lang w:val="es-ES"/>
        </w:rPr>
        <w:t>.</w:t>
      </w:r>
    </w:p>
    <w:p w14:paraId="39D59259" w14:textId="77777777" w:rsidR="00F92583" w:rsidRPr="00F047DB" w:rsidRDefault="00F92583" w:rsidP="00F92583">
      <w:pPr>
        <w:spacing w:after="120" w:line="276" w:lineRule="auto"/>
        <w:ind w:firstLine="709"/>
        <w:jc w:val="both"/>
        <w:rPr>
          <w:rFonts w:ascii="Verdana" w:eastAsia="Calibri" w:hAnsi="Verdana" w:cs="Arial"/>
          <w:color w:val="000000" w:themeColor="text1"/>
          <w:lang w:val="es-ES_tradnl"/>
        </w:rPr>
      </w:pPr>
      <w:r w:rsidRPr="00F047DB">
        <w:rPr>
          <w:rFonts w:ascii="Verdana" w:hAnsi="Verdana" w:cs="Arial"/>
          <w:color w:val="000000" w:themeColor="text1"/>
          <w:lang w:val="es-ES_tradnl"/>
        </w:rPr>
        <w:t>L</w:t>
      </w:r>
      <w:r w:rsidRPr="00F047DB">
        <w:rPr>
          <w:rFonts w:ascii="Verdana" w:eastAsia="Calibri" w:hAnsi="Verdana" w:cs="Arial"/>
          <w:color w:val="000000" w:themeColor="text1"/>
          <w:lang w:val="es-ES_tradnl"/>
        </w:rPr>
        <w:t xml:space="preserve">a </w:t>
      </w:r>
      <w:r w:rsidRPr="00F047DB">
        <w:rPr>
          <w:rFonts w:ascii="Verdana" w:eastAsia="Calibri" w:hAnsi="Verdana" w:cs="Arial"/>
          <w:bCs/>
          <w:i/>
          <w:iCs/>
          <w:color w:val="000000" w:themeColor="text1"/>
          <w:lang w:val="es-ES_tradnl"/>
        </w:rPr>
        <w:t>capacidad de organización</w:t>
      </w:r>
      <w:r>
        <w:rPr>
          <w:rFonts w:ascii="Verdana" w:eastAsia="Calibri" w:hAnsi="Verdana" w:cs="Arial"/>
          <w:color w:val="000000" w:themeColor="text1"/>
          <w:lang w:val="es-ES_tradnl"/>
        </w:rPr>
        <w:t xml:space="preserve"> es </w:t>
      </w:r>
      <w:r w:rsidRPr="00F047DB">
        <w:rPr>
          <w:rFonts w:ascii="Verdana" w:eastAsia="Calibri" w:hAnsi="Verdana" w:cs="Arial"/>
          <w:color w:val="000000" w:themeColor="text1"/>
          <w:lang w:val="es-ES_tradnl"/>
        </w:rPr>
        <w:t xml:space="preserve">la aptitud de un proponente para cumplir oportuna y cabalmente el objeto del contrato en función de su organización interna. Según el artículo 2.2.1.1.1.5.3, numeral 4, del Decreto 1082 de 2015, los indicadores para medir la capacidad organizacional de un proponente son: por un lado, la </w:t>
      </w:r>
      <w:r w:rsidRPr="00F047DB">
        <w:rPr>
          <w:rFonts w:ascii="Verdana" w:eastAsia="Calibri" w:hAnsi="Verdana" w:cs="Arial"/>
          <w:i/>
          <w:iCs/>
          <w:color w:val="000000" w:themeColor="text1"/>
          <w:lang w:val="es-ES_tradnl"/>
        </w:rPr>
        <w:t>rentabilidad del patrimonio</w:t>
      </w:r>
      <w:r w:rsidRPr="00F047DB">
        <w:rPr>
          <w:rFonts w:ascii="Verdana" w:eastAsia="Calibri" w:hAnsi="Verdana" w:cs="Arial"/>
          <w:color w:val="000000" w:themeColor="text1"/>
          <w:lang w:val="es-ES_tradnl"/>
        </w:rPr>
        <w:t xml:space="preserve">, que corresponde a la utilidad operacional dividida por el patrimonio, y que determina la rentabilidad del patrimonio del proponente, es decir, la capacidad de generación de utilidad operacional por cada peso invertido en el patrimonio, del tal forma que, a mayor rentabilidad sobre el patrimonio, mayor es la rentabilidad de los accionistas y mejor la capacidad organizacional del proponente. Por el otro, la </w:t>
      </w:r>
      <w:r w:rsidRPr="00F047DB">
        <w:rPr>
          <w:rFonts w:ascii="Verdana" w:eastAsia="Calibri" w:hAnsi="Verdana" w:cs="Arial"/>
          <w:i/>
          <w:iCs/>
          <w:color w:val="000000" w:themeColor="text1"/>
          <w:lang w:val="es-ES_tradnl"/>
        </w:rPr>
        <w:t>rentabilidad del activo</w:t>
      </w:r>
      <w:r w:rsidRPr="00F047DB">
        <w:rPr>
          <w:rFonts w:ascii="Verdana" w:eastAsia="Calibri" w:hAnsi="Verdana" w:cs="Arial"/>
          <w:color w:val="000000" w:themeColor="text1"/>
          <w:lang w:val="es-ES_tradnl"/>
        </w:rPr>
        <w:t>, que se calcula al dividir la utilidad operacional por el activo total, y que mide la rentabilidad de los activos del proponente, esto es, la capacidad de generación de utilidad operacional por cada peso invertido en el activo, de tal manera que, a mayor rentabilidad sobre activos, mayor es la rentabilidad del negocio y mejor la capacidad organizacional del proponente. Este último indicador debe ser, en todo caso, menor o igual que el referido indicador de rentabilidad sobre patrimonio.</w:t>
      </w:r>
    </w:p>
    <w:p w14:paraId="515C409D" w14:textId="77777777" w:rsidR="00F92583" w:rsidRDefault="00F92583" w:rsidP="00F92583">
      <w:pPr>
        <w:tabs>
          <w:tab w:val="left" w:pos="0"/>
        </w:tabs>
        <w:spacing w:after="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_tradnl"/>
        </w:rPr>
        <w:tab/>
      </w:r>
      <w:r w:rsidRPr="1E611919">
        <w:rPr>
          <w:rFonts w:ascii="Verdana" w:eastAsia="Calibri" w:hAnsi="Verdana" w:cs="Arial"/>
          <w:color w:val="000000" w:themeColor="text1"/>
          <w:lang w:val="es-ES"/>
        </w:rPr>
        <w:t>A juicio de esta Agencia, también son relevantes los siguientes indicadores</w:t>
      </w:r>
      <w:r w:rsidRPr="1E611919">
        <w:rPr>
          <w:rFonts w:ascii="Verdana" w:hAnsi="Verdana" w:cs="Arial"/>
          <w:color w:val="000000" w:themeColor="text1"/>
          <w:lang w:val="es-ES"/>
        </w:rPr>
        <w:t xml:space="preserve">, pero únicamente </w:t>
      </w:r>
      <w:r w:rsidRPr="1E611919">
        <w:rPr>
          <w:rFonts w:ascii="Verdana" w:eastAsia="Calibri" w:hAnsi="Verdana" w:cs="Arial"/>
          <w:color w:val="000000" w:themeColor="text1"/>
          <w:lang w:val="es-ES"/>
        </w:rPr>
        <w:t xml:space="preserve">en aquellos casos en los que, por las características del objeto a contratar, la naturaleza o la complejidad del proceso de contratación, se requieran: i) margen bruto; </w:t>
      </w:r>
      <w:proofErr w:type="spellStart"/>
      <w:r w:rsidRPr="1E611919">
        <w:rPr>
          <w:rFonts w:ascii="Verdana" w:eastAsia="Calibri" w:hAnsi="Verdana" w:cs="Arial"/>
          <w:color w:val="000000" w:themeColor="text1"/>
          <w:lang w:val="es-ES"/>
        </w:rPr>
        <w:t>ii</w:t>
      </w:r>
      <w:proofErr w:type="spellEnd"/>
      <w:r w:rsidRPr="1E611919">
        <w:rPr>
          <w:rFonts w:ascii="Verdana" w:eastAsia="Calibri" w:hAnsi="Verdana" w:cs="Arial"/>
          <w:color w:val="000000" w:themeColor="text1"/>
          <w:lang w:val="es-ES"/>
        </w:rPr>
        <w:t xml:space="preserve">) margen operacional; </w:t>
      </w:r>
      <w:proofErr w:type="spellStart"/>
      <w:r w:rsidRPr="1E611919">
        <w:rPr>
          <w:rFonts w:ascii="Verdana" w:eastAsia="Calibri" w:hAnsi="Verdana" w:cs="Arial"/>
          <w:color w:val="000000" w:themeColor="text1"/>
          <w:lang w:val="es-ES"/>
        </w:rPr>
        <w:t>iii</w:t>
      </w:r>
      <w:proofErr w:type="spellEnd"/>
      <w:r w:rsidRPr="1E611919">
        <w:rPr>
          <w:rFonts w:ascii="Verdana" w:eastAsia="Calibri" w:hAnsi="Verdana" w:cs="Arial"/>
          <w:color w:val="000000" w:themeColor="text1"/>
          <w:lang w:val="es-ES"/>
        </w:rPr>
        <w:t xml:space="preserve">) margen neto; </w:t>
      </w:r>
      <w:proofErr w:type="spellStart"/>
      <w:r w:rsidRPr="1E611919">
        <w:rPr>
          <w:rFonts w:ascii="Verdana" w:eastAsia="Calibri" w:hAnsi="Verdana" w:cs="Arial"/>
          <w:color w:val="000000" w:themeColor="text1"/>
          <w:lang w:val="es-ES"/>
        </w:rPr>
        <w:t>iv</w:t>
      </w:r>
      <w:proofErr w:type="spellEnd"/>
      <w:r w:rsidRPr="1E611919">
        <w:rPr>
          <w:rFonts w:ascii="Verdana" w:eastAsia="Calibri" w:hAnsi="Verdana" w:cs="Arial"/>
          <w:color w:val="000000" w:themeColor="text1"/>
          <w:lang w:val="es-ES"/>
        </w:rPr>
        <w:t xml:space="preserve">) retorno sobre capital invertido; v) rotación de activos totales; vi) rotación de activos fijos; y </w:t>
      </w:r>
      <w:proofErr w:type="spellStart"/>
      <w:r w:rsidRPr="1E611919">
        <w:rPr>
          <w:rFonts w:ascii="Verdana" w:eastAsia="Calibri" w:hAnsi="Verdana" w:cs="Arial"/>
          <w:color w:val="000000" w:themeColor="text1"/>
          <w:lang w:val="es-ES"/>
        </w:rPr>
        <w:t>vii</w:t>
      </w:r>
      <w:proofErr w:type="spellEnd"/>
      <w:r w:rsidRPr="1E611919">
        <w:rPr>
          <w:rFonts w:ascii="Verdana" w:eastAsia="Calibri" w:hAnsi="Verdana" w:cs="Arial"/>
          <w:color w:val="000000" w:themeColor="text1"/>
          <w:lang w:val="es-ES"/>
        </w:rPr>
        <w:t>) rotación de inventarios.</w:t>
      </w:r>
    </w:p>
    <w:p w14:paraId="5B27B088" w14:textId="77777777" w:rsidR="00F92583" w:rsidRDefault="00F92583" w:rsidP="00F92583">
      <w:pPr>
        <w:tabs>
          <w:tab w:val="left" w:pos="0"/>
        </w:tabs>
        <w:spacing w:after="0" w:line="276" w:lineRule="auto"/>
        <w:jc w:val="both"/>
        <w:rPr>
          <w:rFonts w:ascii="Verdana" w:eastAsia="Calibri" w:hAnsi="Verdana" w:cs="Arial"/>
          <w:color w:val="000000" w:themeColor="text1"/>
          <w:lang w:val="es-ES_tradnl"/>
        </w:rPr>
      </w:pPr>
    </w:p>
    <w:p w14:paraId="1CAC4805" w14:textId="77777777" w:rsidR="00F92583" w:rsidRPr="007D13F2" w:rsidRDefault="00F92583" w:rsidP="00F92583">
      <w:pPr>
        <w:spacing w:after="120" w:line="276" w:lineRule="auto"/>
        <w:jc w:val="both"/>
        <w:rPr>
          <w:rFonts w:ascii="Verdana" w:eastAsia="Calibri" w:hAnsi="Verdana" w:cs="Arial"/>
        </w:rPr>
      </w:pPr>
      <w:proofErr w:type="spellStart"/>
      <w:r w:rsidRPr="007D13F2">
        <w:rPr>
          <w:rFonts w:ascii="Verdana" w:eastAsia="Calibri" w:hAnsi="Verdana" w:cs="Arial"/>
          <w:color w:val="000000" w:themeColor="text1"/>
          <w:lang w:val="es-ES_tradnl"/>
        </w:rPr>
        <w:t>ii</w:t>
      </w:r>
      <w:proofErr w:type="spellEnd"/>
      <w:r w:rsidRPr="007D13F2">
        <w:rPr>
          <w:rFonts w:ascii="Verdana" w:eastAsia="Calibri" w:hAnsi="Verdana" w:cs="Arial"/>
          <w:color w:val="000000" w:themeColor="text1"/>
          <w:lang w:val="es-ES_tradnl"/>
        </w:rPr>
        <w:t xml:space="preserve">. </w:t>
      </w:r>
      <w:bookmarkStart w:id="2" w:name="_Hlk131524352"/>
      <w:r>
        <w:rPr>
          <w:rFonts w:ascii="Verdana" w:eastAsia="Calibri" w:hAnsi="Verdana" w:cs="Arial"/>
          <w:lang w:val="es-ES_tradnl"/>
        </w:rPr>
        <w:t>En concordancia con la exposición de motivos de la Ley 1150 de 2007, documento que se adjunta al presente oficio, en el</w:t>
      </w:r>
      <w:r w:rsidRPr="007D13F2">
        <w:rPr>
          <w:rFonts w:ascii="Verdana" w:eastAsia="Calibri" w:hAnsi="Verdana" w:cs="Arial"/>
        </w:rPr>
        <w:t xml:space="preserve"> Registro Único de </w:t>
      </w:r>
      <w:r w:rsidRPr="007D13F2">
        <w:rPr>
          <w:rFonts w:ascii="Verdana" w:eastAsia="Calibri" w:hAnsi="Verdana" w:cs="Arial"/>
        </w:rPr>
        <w:lastRenderedPageBreak/>
        <w:t>Proponentes consta la información relacionada con las personas naturales y jurídicas, que tiene por objeto consolidar los datos relacionados con la capacidad jurídica, técnica, financiera y organizacional de los posibles proponentes, con el fin que participen en los procedimientos de selección realizados por las entidades estatales, facilitando la revisión de los datos contenidos en el registro</w:t>
      </w:r>
      <w:bookmarkEnd w:id="2"/>
      <w:r w:rsidRPr="007D13F2">
        <w:rPr>
          <w:rFonts w:ascii="Verdana" w:eastAsia="Calibri" w:hAnsi="Verdana" w:cs="Arial"/>
        </w:rPr>
        <w:t xml:space="preserve">. </w:t>
      </w:r>
    </w:p>
    <w:p w14:paraId="1853AFE6" w14:textId="77777777" w:rsidR="00F92583" w:rsidRPr="007D13F2" w:rsidRDefault="00F92583" w:rsidP="00F92583">
      <w:pPr>
        <w:spacing w:after="120" w:line="276" w:lineRule="auto"/>
        <w:ind w:firstLine="708"/>
        <w:jc w:val="both"/>
        <w:rPr>
          <w:rFonts w:ascii="Verdana" w:eastAsia="Calibri" w:hAnsi="Verdana" w:cs="Arial"/>
        </w:rPr>
      </w:pPr>
      <w:bookmarkStart w:id="3" w:name="_Hlk131524414"/>
      <w:r w:rsidRPr="007D13F2">
        <w:rPr>
          <w:rFonts w:ascii="Verdana" w:eastAsia="Calibri" w:hAnsi="Verdana" w:cs="Arial"/>
        </w:rPr>
        <w:t>El artículo 6.1 de la Ley 1150 de 2007, al determinar las características aplicables al RUP, cualifica la información plasmada en él, al establecer que constituye plena prueba de lo que contiene. A su vez, el numeral 1 del artículo 5 de la misma ley, al establecer los criterios que deben tenerse en cuenta por las entidades estatales para garantizar la selección objetiva, determina que las Cámaras de Comercio realizarán la verificación de la información suministrada por las personas naturales o jurídicas para su inscripción en el Registro Único de Proponentes, ya que esta será tenida en cuenta por las entidades estales en los procedimientos de selección en los que es exigible el RUP.</w:t>
      </w:r>
    </w:p>
    <w:bookmarkEnd w:id="3"/>
    <w:p w14:paraId="5D8FDA5A" w14:textId="77777777" w:rsidR="00F92583" w:rsidRPr="007D13F2" w:rsidRDefault="00F92583" w:rsidP="00F92583">
      <w:pPr>
        <w:spacing w:after="0" w:line="276" w:lineRule="auto"/>
        <w:ind w:firstLine="708"/>
        <w:jc w:val="both"/>
        <w:rPr>
          <w:rFonts w:ascii="Verdana" w:hAnsi="Verdana" w:cs="Arial"/>
          <w:shd w:val="clear" w:color="auto" w:fill="FFFFFF"/>
        </w:rPr>
      </w:pPr>
      <w:r w:rsidRPr="007D13F2">
        <w:rPr>
          <w:rFonts w:ascii="Verdana" w:eastAsia="Calibri" w:hAnsi="Verdana" w:cs="Arial"/>
        </w:rPr>
        <w:t xml:space="preserve">Al respecto, la Corte Constitucional precisó que el legislador descentralizó la función administrativa de llevar el Registro Único de Proponentes radicándola en cabeza de las Cámaras de Comercio. Dichas entidades deben ejercer esta actividad atendiendo a los principios establecidos en la Constitución Política, particularmente a los del artículo 209 superior, concordantes con lo dispuesto en la ley 80 de 1993 y en los artículos 3º de la Ley 489 de 1998 y 13 de la Ley 1447 de 2011. </w:t>
      </w:r>
      <w:r w:rsidRPr="007D13F2">
        <w:rPr>
          <w:rFonts w:ascii="Verdana" w:hAnsi="Verdana" w:cs="Arial"/>
          <w:shd w:val="clear" w:color="auto" w:fill="FFFFFF"/>
        </w:rPr>
        <w:t>En tal sentido la Corte explicó la función registral de las Cámaras de Comercio y la confiabilidad de la información en él contenida de la siguiente manera:</w:t>
      </w:r>
    </w:p>
    <w:p w14:paraId="72B899B1" w14:textId="77777777" w:rsidR="00F92583" w:rsidRPr="007D13F2" w:rsidRDefault="00F92583" w:rsidP="00F92583">
      <w:pPr>
        <w:spacing w:after="0" w:line="276" w:lineRule="auto"/>
        <w:ind w:firstLine="708"/>
        <w:jc w:val="both"/>
        <w:rPr>
          <w:rFonts w:ascii="Verdana" w:hAnsi="Verdana" w:cs="Arial"/>
          <w:shd w:val="clear" w:color="auto" w:fill="FFFFFF"/>
        </w:rPr>
      </w:pPr>
    </w:p>
    <w:p w14:paraId="2EED03D4" w14:textId="77777777" w:rsidR="00F92583" w:rsidRPr="007D13F2" w:rsidRDefault="00F92583" w:rsidP="00F92583">
      <w:pPr>
        <w:spacing w:after="0" w:line="240" w:lineRule="auto"/>
        <w:ind w:left="709" w:right="709"/>
        <w:jc w:val="both"/>
        <w:rPr>
          <w:rFonts w:ascii="Verdana" w:hAnsi="Verdana" w:cs="Arial"/>
          <w:sz w:val="20"/>
          <w:szCs w:val="20"/>
          <w:shd w:val="clear" w:color="auto" w:fill="FFFFFF"/>
        </w:rPr>
      </w:pPr>
      <w:r w:rsidRPr="007D13F2">
        <w:rPr>
          <w:rFonts w:ascii="Verdana" w:hAnsi="Verdana" w:cs="Arial"/>
          <w:sz w:val="20"/>
          <w:szCs w:val="20"/>
          <w:shd w:val="clear" w:color="auto" w:fill="FFFFFF"/>
        </w:rPr>
        <w:t xml:space="preserve">“La función registral de las Cámaras de Comercio ha sido unificada a través del Registro Único Empresarial y Social -RUES-, conformado, entre otros, por el Registro Mercantil, el Registro Único Empresarial -RUE-, el Registro Único de Proponentes -RUP- y el Registro de Entidades sin ánimo de lucro, todo para ofrecer al Estado, a la sociedad, a los empresarios, a los contratistas, a las entidades de economía solidaria y a las entidades sin ánimo de lucro una herramienta confiable de información unificada útil en el campo nacional y en el internacional. En ejercicio de la función registral asignada por la ley a las Cámaras de Comercio estas administran el Registro Único de proponente -RUP, como también regulan los procedimientos a aplicar para los actos de registro, clasificación y calificación de los mismos, recursos que se pueden interponer en contra de tales actos, derechos de las personas naturales y jurídicas inscritas, entre varias materias propias de esta actividad. En suma, las Cámaras de Comercio, mediante delegación de funciones tienen a su cargo la </w:t>
      </w:r>
      <w:r w:rsidRPr="007D13F2">
        <w:rPr>
          <w:rFonts w:ascii="Verdana" w:hAnsi="Verdana" w:cs="Arial"/>
          <w:sz w:val="20"/>
          <w:szCs w:val="20"/>
          <w:shd w:val="clear" w:color="auto" w:fill="FFFFFF"/>
        </w:rPr>
        <w:lastRenderedPageBreak/>
        <w:t>administración del RUP o Registro Único de Proponentes. Para la respectiva inscripción el Gobierno Nacional adoptó el formulario único, estableció cuáles son los documentos requeridos para la inscripción y aprobó el modelo de certificación que expiden las Cámaras. Con la información recaudada en el RUP las Cámaras conforman un registro especial de los inscritos, clasificándolos por actividades, especialidades y grupos, atendiendo a los bienes y servicios ofrecidos. El RUP tiene como finalidad suministrar a las entidades del Estado y en general a todas las personas interesadas en celebrar contratos, la información relacionada con un contratista, particularmente en lo relacionado con su experiencia contractual, idoneidad financiera y capacidad técnica. El RUP fue concebido por el legislador para (i) unificar la reglamentación y la información de todos los registros de proponentes, (</w:t>
      </w:r>
      <w:proofErr w:type="spellStart"/>
      <w:r w:rsidRPr="007D13F2">
        <w:rPr>
          <w:rFonts w:ascii="Verdana" w:hAnsi="Verdana" w:cs="Arial"/>
          <w:sz w:val="20"/>
          <w:szCs w:val="20"/>
          <w:shd w:val="clear" w:color="auto" w:fill="FFFFFF"/>
        </w:rPr>
        <w:t>ii</w:t>
      </w:r>
      <w:proofErr w:type="spellEnd"/>
      <w:r w:rsidRPr="007D13F2">
        <w:rPr>
          <w:rFonts w:ascii="Verdana" w:hAnsi="Verdana" w:cs="Arial"/>
          <w:sz w:val="20"/>
          <w:szCs w:val="20"/>
          <w:shd w:val="clear" w:color="auto" w:fill="FFFFFF"/>
        </w:rPr>
        <w:t>) simplificar la tarea de los contratistas en sus trámites respecto de la administración, haciendo que con la sola inscripción en la Cámara de Comercio del domicilio del proponente el interesado quede válidamente registrado ante todas las entidades del país, y (</w:t>
      </w:r>
      <w:proofErr w:type="spellStart"/>
      <w:r w:rsidRPr="007D13F2">
        <w:rPr>
          <w:rFonts w:ascii="Verdana" w:hAnsi="Verdana" w:cs="Arial"/>
          <w:sz w:val="20"/>
          <w:szCs w:val="20"/>
          <w:shd w:val="clear" w:color="auto" w:fill="FFFFFF"/>
        </w:rPr>
        <w:t>iii</w:t>
      </w:r>
      <w:proofErr w:type="spellEnd"/>
      <w:r w:rsidRPr="007D13F2">
        <w:rPr>
          <w:rFonts w:ascii="Verdana" w:hAnsi="Verdana" w:cs="Arial"/>
          <w:sz w:val="20"/>
          <w:szCs w:val="20"/>
          <w:shd w:val="clear" w:color="auto" w:fill="FFFFFF"/>
        </w:rPr>
        <w:t>) dar transparencia al proceso de inscripción en el registro. El artículo 6º de la ley 1150 de 2007 comprende tres partes: 6.1. Del proceso de inscripción en el Registro Único de Proponentes (RUP); 6.2. De la información sobre contratos, multas y sanciones a los inscritos y 6.3. De la impugnación de la inscripción en el Registro Único de Proponentes (RUP). El inciso quinto del numeral 6.3. prevé que cuando la Cámara de Comercio establezca la existencia de graves inconsistencias relacionadas con la información y el trámite propio de la inscripción en el RUP, procederá a cancelar la inscripción en el registro quedando el proponente inhabilitado para contratar con las entidades estatales por el término de cinco (5) años, sin perjuicio de las acciones penales a que haya lugar. Si el proponente reincide en esta clase de comportamiento, la Cámara de Comercio lo inhabilitará de manera permanente. Es decir, el segmento demandado hace parte del repertorio de medidas que las Cámaras de Comercio pueden adoptar en relación con el proponente registrado en el RUP que con sus actos dolosos defraude la confianza considerada como elemento fundamental de las relaciones contractuales con el Estado”</w:t>
      </w:r>
      <w:r w:rsidRPr="007D13F2">
        <w:rPr>
          <w:rStyle w:val="Refdenotaalpie"/>
          <w:rFonts w:ascii="Verdana" w:eastAsia="Calibri" w:hAnsi="Verdana" w:cs="Arial"/>
          <w:sz w:val="20"/>
          <w:szCs w:val="20"/>
        </w:rPr>
        <w:footnoteReference w:id="8"/>
      </w:r>
      <w:r w:rsidRPr="007D13F2">
        <w:rPr>
          <w:rFonts w:ascii="Verdana" w:hAnsi="Verdana" w:cs="Arial"/>
          <w:sz w:val="20"/>
          <w:szCs w:val="20"/>
          <w:shd w:val="clear" w:color="auto" w:fill="FFFFFF"/>
        </w:rPr>
        <w:t xml:space="preserve">. </w:t>
      </w:r>
    </w:p>
    <w:p w14:paraId="55B89E7A" w14:textId="77777777" w:rsidR="00F92583" w:rsidRPr="007D13F2" w:rsidRDefault="00F92583" w:rsidP="00F92583">
      <w:pPr>
        <w:spacing w:after="0" w:line="276" w:lineRule="auto"/>
        <w:ind w:firstLine="708"/>
        <w:jc w:val="both"/>
        <w:rPr>
          <w:rFonts w:ascii="Verdana" w:eastAsia="Calibri" w:hAnsi="Verdana" w:cs="Arial"/>
        </w:rPr>
      </w:pPr>
    </w:p>
    <w:p w14:paraId="26A48C95" w14:textId="77777777" w:rsidR="00F92583" w:rsidRPr="007D13F2" w:rsidRDefault="00F92583" w:rsidP="00F92583">
      <w:pPr>
        <w:spacing w:after="120" w:line="276" w:lineRule="auto"/>
        <w:ind w:firstLine="709"/>
        <w:jc w:val="both"/>
        <w:rPr>
          <w:rFonts w:ascii="Verdana" w:eastAsia="Calibri" w:hAnsi="Verdana" w:cs="Arial"/>
        </w:rPr>
      </w:pPr>
      <w:r w:rsidRPr="007D13F2">
        <w:rPr>
          <w:rFonts w:ascii="Verdana" w:eastAsia="Calibri" w:hAnsi="Verdana" w:cs="Arial"/>
        </w:rPr>
        <w:t xml:space="preserve">Bajo este contexto, la capacidad jurídica, las condiciones de experiencia, la capacidad financiera y de organización de los proponentes deberán verificarse exclusivamente con el Registro Único de Proponentes, pues constituye plena prueba de la información contenida en él. No obstante, el RUP no es exigible en algunos procedimientos de selección,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w:t>
      </w:r>
      <w:r w:rsidRPr="007D13F2">
        <w:rPr>
          <w:rFonts w:ascii="Verdana" w:eastAsia="Calibri" w:hAnsi="Verdana" w:cs="Arial"/>
        </w:rPr>
        <w:lastRenderedPageBreak/>
        <w:t>empresas industriales y comerciales del Estado y las sociedades de economía mixta, que tengan por objeto el desarrollo de sus actividades industriales y comerciales, razón por la cual las entidades estatales deben verificar directamente el cumplimiento de los requisitos habilitantes.</w:t>
      </w:r>
    </w:p>
    <w:p w14:paraId="11B1F6F0" w14:textId="77777777" w:rsidR="00F92583" w:rsidRPr="007D13F2" w:rsidRDefault="00F92583" w:rsidP="00F92583">
      <w:pPr>
        <w:spacing w:after="0" w:line="276" w:lineRule="auto"/>
        <w:ind w:firstLine="708"/>
        <w:jc w:val="both"/>
        <w:rPr>
          <w:rFonts w:ascii="Verdana" w:eastAsia="Calibri" w:hAnsi="Verdana" w:cs="Arial"/>
        </w:rPr>
      </w:pPr>
      <w:r w:rsidRPr="007D13F2">
        <w:rPr>
          <w:rFonts w:ascii="Verdana" w:eastAsia="Calibri" w:hAnsi="Verdana" w:cs="Arial"/>
        </w:rPr>
        <w:t>Lo anterior fue reafirmado por el Consejo de Estado, quien enlistó las excepciones en las cuales no es necesario estar inscrito en el RUP para participar en procedimientos de selección adelantados por las entidades estatales, incluyendo el supuesto en que se puede verificar información adicional a la contenida en él:</w:t>
      </w:r>
    </w:p>
    <w:p w14:paraId="735B219D" w14:textId="77777777" w:rsidR="00F92583" w:rsidRPr="007D13F2" w:rsidRDefault="00F92583" w:rsidP="00F92583">
      <w:pPr>
        <w:spacing w:after="0" w:line="276" w:lineRule="auto"/>
        <w:ind w:firstLine="708"/>
        <w:jc w:val="both"/>
        <w:rPr>
          <w:rFonts w:ascii="Verdana" w:eastAsia="Calibri" w:hAnsi="Verdana" w:cs="Arial"/>
        </w:rPr>
      </w:pPr>
    </w:p>
    <w:p w14:paraId="0A25685E" w14:textId="77777777" w:rsidR="00F92583" w:rsidRPr="007D13F2" w:rsidRDefault="00F92583" w:rsidP="00F92583">
      <w:pPr>
        <w:pStyle w:val="Prrafodelista"/>
        <w:numPr>
          <w:ilvl w:val="0"/>
          <w:numId w:val="18"/>
        </w:numPr>
        <w:spacing w:after="0" w:line="276" w:lineRule="auto"/>
        <w:jc w:val="both"/>
        <w:rPr>
          <w:rFonts w:ascii="Verdana" w:eastAsia="Calibri" w:hAnsi="Verdana" w:cs="Arial"/>
        </w:rPr>
      </w:pPr>
      <w:r w:rsidRPr="007D13F2">
        <w:rPr>
          <w:rFonts w:ascii="Verdana" w:eastAsia="Calibri" w:hAnsi="Verdana" w:cs="Arial"/>
        </w:rPr>
        <w:t>No se requiere el RUP respecto de los proponentes que pretenden celebrar los contratos enunciados en el inciso segundo del artículo 6 de la ley 1150, así como en los eventos de contratación directa.</w:t>
      </w:r>
    </w:p>
    <w:p w14:paraId="58219A04" w14:textId="77777777" w:rsidR="00F92583" w:rsidRPr="007D13F2" w:rsidRDefault="00F92583" w:rsidP="00F92583">
      <w:pPr>
        <w:pStyle w:val="Prrafodelista"/>
        <w:numPr>
          <w:ilvl w:val="0"/>
          <w:numId w:val="18"/>
        </w:numPr>
        <w:spacing w:before="240" w:after="0" w:line="276" w:lineRule="auto"/>
        <w:jc w:val="both"/>
        <w:rPr>
          <w:rFonts w:ascii="Verdana" w:eastAsia="Calibri" w:hAnsi="Verdana" w:cs="Arial"/>
        </w:rPr>
      </w:pPr>
      <w:r w:rsidRPr="007D13F2">
        <w:rPr>
          <w:rFonts w:ascii="Verdana" w:eastAsia="Calibri" w:hAnsi="Verdana" w:cs="Arial"/>
        </w:rPr>
        <w:t>Tratándose de personas naturales extranjeras sin domicilio en el país o de personas jurídicas extranjeras que no tengan sucursal en Colombia, o en aquellos casos en que el procedimiento de selección haya utilizado sistemas de precalificación.</w:t>
      </w:r>
    </w:p>
    <w:p w14:paraId="1C1E6A51" w14:textId="77777777" w:rsidR="00F92583" w:rsidRPr="007D13F2" w:rsidRDefault="00F92583" w:rsidP="00F92583">
      <w:pPr>
        <w:pStyle w:val="Prrafodelista"/>
        <w:numPr>
          <w:ilvl w:val="0"/>
          <w:numId w:val="18"/>
        </w:numPr>
        <w:spacing w:after="0" w:line="276" w:lineRule="auto"/>
        <w:jc w:val="both"/>
        <w:rPr>
          <w:rFonts w:ascii="Verdana" w:eastAsia="Calibri" w:hAnsi="Verdana" w:cs="Arial"/>
        </w:rPr>
      </w:pPr>
      <w:r w:rsidRPr="007D13F2">
        <w:rPr>
          <w:rFonts w:ascii="Verdana" w:eastAsia="Calibri" w:hAnsi="Verdana" w:cs="Arial"/>
        </w:rPr>
        <w:t>Cuando por las características del objeto a contratar se requiera verificar requisitos del proponente adicionales a los contenidos en el RUP, caso donde puede exigirse el registro; solo que habrá información adicional que podrá verificar la entidad directamente.</w:t>
      </w:r>
    </w:p>
    <w:p w14:paraId="55E15741" w14:textId="77777777" w:rsidR="00F92583" w:rsidRPr="007D13F2" w:rsidRDefault="00F92583" w:rsidP="00F92583">
      <w:pPr>
        <w:spacing w:after="0" w:line="276" w:lineRule="auto"/>
        <w:ind w:firstLine="708"/>
        <w:jc w:val="both"/>
        <w:rPr>
          <w:rFonts w:ascii="Verdana" w:eastAsia="Calibri" w:hAnsi="Verdana" w:cs="Arial"/>
        </w:rPr>
      </w:pPr>
    </w:p>
    <w:p w14:paraId="40DD2A6F" w14:textId="77777777" w:rsidR="00F92583" w:rsidRPr="007D13F2" w:rsidRDefault="00F92583" w:rsidP="00F92583">
      <w:pPr>
        <w:spacing w:after="120" w:line="276" w:lineRule="auto"/>
        <w:ind w:firstLine="709"/>
        <w:jc w:val="both"/>
        <w:rPr>
          <w:rFonts w:ascii="Verdana" w:eastAsia="Calibri" w:hAnsi="Verdana" w:cs="Arial"/>
        </w:rPr>
      </w:pPr>
      <w:r w:rsidRPr="007D13F2">
        <w:rPr>
          <w:rFonts w:ascii="Verdana" w:eastAsia="Calibri" w:hAnsi="Verdana" w:cs="Arial"/>
        </w:rPr>
        <w:t>Además de lo anterior, tampoco es un requisito obligatorio estar inscrito en el registro para celebrar los contratos con entidades privadas sin ánimo de lucro, con fundamento en el régimen establecido en el Decreto 092 de 2017, al igual que para participar en procedimientos de selección de entidades que no se rigen por el Estatuto General de Contratación de la Administración Pública, esto es, para celebrar contratos que tienen un régimen especial.</w:t>
      </w:r>
      <w:r w:rsidRPr="007D13F2">
        <w:rPr>
          <w:rFonts w:ascii="Verdana" w:eastAsia="Calibri" w:hAnsi="Verdana" w:cs="Arial"/>
        </w:rPr>
        <w:tab/>
      </w:r>
    </w:p>
    <w:p w14:paraId="7FB1CBA6" w14:textId="77777777" w:rsidR="00F92583" w:rsidRDefault="00F92583" w:rsidP="00F92583">
      <w:pPr>
        <w:spacing w:after="120" w:line="276" w:lineRule="auto"/>
        <w:ind w:firstLine="709"/>
        <w:jc w:val="both"/>
        <w:rPr>
          <w:rStyle w:val="eop"/>
          <w:rFonts w:ascii="Verdana" w:hAnsi="Verdana" w:cs="Arial"/>
          <w:color w:val="000000"/>
          <w:shd w:val="clear" w:color="auto" w:fill="FFFFFF"/>
        </w:rPr>
      </w:pPr>
      <w:r w:rsidRPr="007D13F2">
        <w:rPr>
          <w:rStyle w:val="normaltextrun"/>
          <w:rFonts w:ascii="Verdana" w:hAnsi="Verdana" w:cs="Arial"/>
          <w:color w:val="000000"/>
          <w:shd w:val="clear" w:color="auto" w:fill="FFFFFF"/>
          <w:lang w:val="es-ES"/>
        </w:rPr>
        <w:t>En este sentido, salvo las excepciones enunciadas, por regla general la capacidad jurídica, las condiciones de experiencia y la capacidad financiera y de organización de los proponentes deberán verificarse con el Registro Único de Proponentes, pues, de acuerdo con lo expuesto, este instrumento es plena prueba de la información que contiene, debiendo las entidades estatales efectuar su verificación, en aplicación de los principios que rigen la función administrativa, especialmente</w:t>
      </w:r>
      <w:r>
        <w:rPr>
          <w:rStyle w:val="normaltextrun"/>
          <w:rFonts w:ascii="Verdana" w:hAnsi="Verdana" w:cs="Arial"/>
          <w:color w:val="000000"/>
          <w:shd w:val="clear" w:color="auto" w:fill="FFFFFF"/>
          <w:lang w:val="es-ES"/>
        </w:rPr>
        <w:t>,</w:t>
      </w:r>
      <w:r w:rsidRPr="007D13F2">
        <w:rPr>
          <w:rStyle w:val="normaltextrun"/>
          <w:rFonts w:ascii="Verdana" w:hAnsi="Verdana" w:cs="Arial"/>
          <w:color w:val="000000"/>
          <w:shd w:val="clear" w:color="auto" w:fill="FFFFFF"/>
          <w:lang w:val="es-ES"/>
        </w:rPr>
        <w:t xml:space="preserve"> los de selección objetiva y economía.</w:t>
      </w:r>
      <w:r w:rsidRPr="007D13F2">
        <w:rPr>
          <w:rStyle w:val="eop"/>
          <w:rFonts w:ascii="Verdana" w:hAnsi="Verdana" w:cs="Arial"/>
          <w:color w:val="000000"/>
          <w:shd w:val="clear" w:color="auto" w:fill="FFFFFF"/>
        </w:rPr>
        <w:t> </w:t>
      </w:r>
    </w:p>
    <w:p w14:paraId="62DE8BA6" w14:textId="77777777" w:rsidR="00F92583" w:rsidRDefault="00F92583" w:rsidP="00F92583">
      <w:pPr>
        <w:spacing w:after="120" w:line="276" w:lineRule="auto"/>
        <w:ind w:firstLine="709"/>
        <w:jc w:val="both"/>
        <w:rPr>
          <w:rFonts w:ascii="Verdana" w:hAnsi="Verdana" w:cs="Arial"/>
          <w:color w:val="000000"/>
          <w:lang w:val="es-ES_tradnl"/>
        </w:rPr>
      </w:pPr>
      <w:r>
        <w:rPr>
          <w:rStyle w:val="eop"/>
          <w:rFonts w:ascii="Verdana" w:hAnsi="Verdana" w:cs="Arial"/>
          <w:color w:val="000000"/>
          <w:shd w:val="clear" w:color="auto" w:fill="FFFFFF"/>
        </w:rPr>
        <w:lastRenderedPageBreak/>
        <w:t xml:space="preserve">Para efectos del RUP, </w:t>
      </w:r>
      <w:r w:rsidRPr="00C123B6">
        <w:rPr>
          <w:rStyle w:val="eop"/>
          <w:rFonts w:ascii="Verdana" w:hAnsi="Verdana" w:cs="Arial"/>
          <w:color w:val="000000"/>
          <w:shd w:val="clear" w:color="auto" w:fill="FFFFFF"/>
        </w:rPr>
        <w:t>la capacidad financiera y organizacional debe acreditarse a la Cámara de Comercio en las condiciones descritas en los numerales 1.3 y 2.3 del artículo 2.2.1.1.1.5.2 del Decreto 1082 de 2015</w:t>
      </w:r>
      <w:r>
        <w:rPr>
          <w:rStyle w:val="eop"/>
          <w:rFonts w:ascii="Verdana" w:hAnsi="Verdana" w:cs="Arial"/>
          <w:color w:val="000000"/>
          <w:shd w:val="clear" w:color="auto" w:fill="FFFFFF"/>
        </w:rPr>
        <w:t xml:space="preserve">. </w:t>
      </w:r>
      <w:r w:rsidRPr="006C0DB0">
        <w:rPr>
          <w:rFonts w:ascii="Verdana" w:hAnsi="Verdana" w:cs="Arial"/>
          <w:color w:val="000000"/>
          <w:lang w:val="es-ES_tradnl"/>
        </w:rPr>
        <w:t>Así, tratándose de personas naturales obligadas a llevar contabilidad, deben presentar copia de la información contable del último año exigida por las normas tributarias. En contraste, las personas jurídicas deben aportar los estados financieros de la sociedad y los estados financieros consolidados del grupo empresarial, cuando la norma aplicable lo exige,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 En todo caso, “Si el interesado no tiene antigüedad suficiente para tener estados financieros auditados a 31 de diciembre, debe inscribirse con estados financieros de corte trimestral, suscritos por el representante legal y el auditor o contador o estados financieros de apertura”.</w:t>
      </w:r>
    </w:p>
    <w:p w14:paraId="0EA0522C" w14:textId="77777777" w:rsidR="00F92583" w:rsidRDefault="00F92583" w:rsidP="00F92583">
      <w:pPr>
        <w:spacing w:after="0" w:line="276" w:lineRule="auto"/>
        <w:ind w:firstLine="708"/>
        <w:jc w:val="both"/>
        <w:rPr>
          <w:rFonts w:ascii="Verdana" w:hAnsi="Verdana" w:cs="Arial"/>
          <w:color w:val="000000"/>
          <w:lang w:val="es-ES_tradnl"/>
        </w:rPr>
      </w:pPr>
      <w:r>
        <w:rPr>
          <w:rFonts w:ascii="Verdana" w:hAnsi="Verdana" w:cs="Arial"/>
          <w:color w:val="000000"/>
          <w:lang w:val="es-ES_tradnl"/>
        </w:rPr>
        <w:t xml:space="preserve">Aunque la Agencia no tiene la memoria justificativa del reglamento compilatorio –Decreto 1082 de 2015– ni de los compilados –especialmente, del Decreto 1510 de 2013–, el reporte contable tiene como destinatarios a las entidades que requieren información sobre los indicadores de capacidad financiera y organizacional en los procesos de selección. Por tanto, previa verificación de las cámaras de comercio, el RUP </w:t>
      </w:r>
      <w:r w:rsidRPr="000C6248">
        <w:rPr>
          <w:rFonts w:ascii="Verdana" w:hAnsi="Verdana" w:cs="Arial"/>
          <w:color w:val="000000"/>
          <w:lang w:val="es-ES_tradnl"/>
        </w:rPr>
        <w:t xml:space="preserve">permite </w:t>
      </w:r>
      <w:r>
        <w:rPr>
          <w:rFonts w:ascii="Verdana" w:hAnsi="Verdana" w:cs="Arial"/>
          <w:color w:val="000000"/>
          <w:lang w:val="es-ES_tradnl"/>
        </w:rPr>
        <w:t>determinar la</w:t>
      </w:r>
      <w:r w:rsidRPr="000C6248">
        <w:rPr>
          <w:rFonts w:ascii="Verdana" w:hAnsi="Verdana" w:cs="Arial"/>
          <w:color w:val="000000"/>
          <w:lang w:val="es-ES_tradnl"/>
        </w:rPr>
        <w:t xml:space="preserve"> aptitud real </w:t>
      </w:r>
      <w:r>
        <w:rPr>
          <w:rFonts w:ascii="Verdana" w:hAnsi="Verdana" w:cs="Arial"/>
          <w:color w:val="000000"/>
          <w:lang w:val="es-ES_tradnl"/>
        </w:rPr>
        <w:t>los proponentes</w:t>
      </w:r>
      <w:r w:rsidRPr="000C6248">
        <w:rPr>
          <w:rFonts w:ascii="Verdana" w:hAnsi="Verdana" w:cs="Arial"/>
          <w:color w:val="000000"/>
          <w:lang w:val="es-ES_tradnl"/>
        </w:rPr>
        <w:t>, eliminando en</w:t>
      </w:r>
      <w:r>
        <w:rPr>
          <w:rFonts w:ascii="Verdana" w:hAnsi="Verdana" w:cs="Arial"/>
          <w:color w:val="000000"/>
          <w:lang w:val="es-ES_tradnl"/>
        </w:rPr>
        <w:t xml:space="preserve"> </w:t>
      </w:r>
      <w:r w:rsidRPr="000C6248">
        <w:rPr>
          <w:rFonts w:ascii="Verdana" w:hAnsi="Verdana" w:cs="Arial"/>
          <w:color w:val="000000"/>
          <w:lang w:val="es-ES_tradnl"/>
        </w:rPr>
        <w:t>la selección del contratista la simple apreciación subjetiva de la Entidad,</w:t>
      </w:r>
      <w:r>
        <w:rPr>
          <w:rFonts w:ascii="Verdana" w:hAnsi="Verdana" w:cs="Arial"/>
          <w:color w:val="000000"/>
          <w:lang w:val="es-ES_tradnl"/>
        </w:rPr>
        <w:t xml:space="preserve"> permitiendo tanto la eficiencia del trámite como </w:t>
      </w:r>
      <w:r w:rsidRPr="000C6248">
        <w:rPr>
          <w:rFonts w:ascii="Verdana" w:hAnsi="Verdana" w:cs="Arial"/>
          <w:color w:val="000000"/>
          <w:lang w:val="es-ES_tradnl"/>
        </w:rPr>
        <w:t xml:space="preserve">el conocimiento de la idoneidad de quien </w:t>
      </w:r>
      <w:r>
        <w:rPr>
          <w:rFonts w:ascii="Verdana" w:hAnsi="Verdana" w:cs="Arial"/>
          <w:color w:val="000000"/>
          <w:lang w:val="es-ES_tradnl"/>
        </w:rPr>
        <w:t>aspira a contratar con el Estado</w:t>
      </w:r>
      <w:r>
        <w:rPr>
          <w:rStyle w:val="Refdenotaalpie"/>
          <w:rFonts w:ascii="Verdana" w:hAnsi="Verdana" w:cs="Arial"/>
          <w:color w:val="000000"/>
          <w:lang w:val="es-ES_tradnl"/>
        </w:rPr>
        <w:footnoteReference w:id="9"/>
      </w:r>
      <w:r>
        <w:rPr>
          <w:rFonts w:ascii="Verdana" w:hAnsi="Verdana" w:cs="Arial"/>
          <w:color w:val="000000"/>
          <w:lang w:val="es-ES_tradnl"/>
        </w:rPr>
        <w:t xml:space="preserve">. De esta manera, el uso de los indicadores de capacidad financiera u organizacional contenidos en el registro se restringe principalmente al ámbito donde actúan los diferentes partícipes del sistema de compras y contratación pública. </w:t>
      </w:r>
    </w:p>
    <w:p w14:paraId="377D26EB" w14:textId="77777777" w:rsidR="00F92583" w:rsidRDefault="00F92583" w:rsidP="00F92583">
      <w:pPr>
        <w:spacing w:after="0" w:line="276" w:lineRule="auto"/>
        <w:jc w:val="both"/>
        <w:rPr>
          <w:rFonts w:ascii="Verdana" w:hAnsi="Verdana" w:cs="Arial"/>
          <w:color w:val="000000"/>
          <w:lang w:val="es-ES_tradnl"/>
        </w:rPr>
      </w:pPr>
    </w:p>
    <w:p w14:paraId="574AE368" w14:textId="77777777" w:rsidR="00F92583" w:rsidRPr="004505A6" w:rsidRDefault="00F92583" w:rsidP="00F92583">
      <w:pPr>
        <w:spacing w:after="120" w:line="276" w:lineRule="auto"/>
        <w:jc w:val="both"/>
        <w:rPr>
          <w:rFonts w:ascii="Verdana" w:eastAsia="Calibri" w:hAnsi="Verdana" w:cs="Arial"/>
          <w:lang w:eastAsia="es-MX"/>
        </w:rPr>
      </w:pPr>
      <w:proofErr w:type="spellStart"/>
      <w:r>
        <w:rPr>
          <w:rFonts w:ascii="Verdana" w:hAnsi="Verdana" w:cs="Arial"/>
          <w:color w:val="000000"/>
          <w:lang w:val="es-ES_tradnl"/>
        </w:rPr>
        <w:t>iii</w:t>
      </w:r>
      <w:proofErr w:type="spellEnd"/>
      <w:r>
        <w:rPr>
          <w:rFonts w:ascii="Verdana" w:hAnsi="Verdana" w:cs="Arial"/>
          <w:color w:val="000000"/>
          <w:lang w:val="es-ES_tradnl"/>
        </w:rPr>
        <w:t xml:space="preserve">. </w:t>
      </w:r>
      <w:r w:rsidRPr="004505A6">
        <w:rPr>
          <w:rFonts w:ascii="Verdana" w:eastAsia="Calibri" w:hAnsi="Verdana" w:cs="Arial"/>
          <w:lang w:eastAsia="es-MX"/>
        </w:rPr>
        <w:t xml:space="preserve">Para efectos de fijar los indicadores de capacidad financiera en el proceso de contratación, el Manual para Determinar y Verificar los Requisitos Habilitantes en los Procesos de Contratación establece un marco detallado para estructurar la capacidad financiera de los proponentes, garantizando que estos puedan cumplir con las obligaciones del contrato de manera eficiente y oportuna. El </w:t>
      </w:r>
      <w:r w:rsidRPr="004505A6">
        <w:rPr>
          <w:rFonts w:ascii="Verdana" w:eastAsia="Calibri" w:hAnsi="Verdana" w:cs="Arial"/>
          <w:lang w:eastAsia="es-MX"/>
        </w:rPr>
        <w:lastRenderedPageBreak/>
        <w:t xml:space="preserve">numeral 4.1 del Manual establece la fórmula y la descripción de cada uno de estos indicadores así: </w:t>
      </w:r>
    </w:p>
    <w:p w14:paraId="6F02E50B" w14:textId="77777777" w:rsidR="00F92583" w:rsidRPr="004505A6" w:rsidRDefault="00F92583" w:rsidP="00F92583">
      <w:pPr>
        <w:spacing w:before="120" w:after="120" w:line="276" w:lineRule="auto"/>
        <w:ind w:firstLine="709"/>
        <w:jc w:val="center"/>
        <w:rPr>
          <w:rFonts w:ascii="Verdana" w:eastAsia="Calibri" w:hAnsi="Verdana" w:cs="Arial"/>
          <w:lang w:eastAsia="es-MX"/>
        </w:rPr>
      </w:pPr>
      <w:r w:rsidRPr="004505A6">
        <w:rPr>
          <w:rFonts w:ascii="Verdana" w:eastAsia="Calibri" w:hAnsi="Verdana" w:cs="Arial"/>
          <w:noProof/>
          <w:lang w:eastAsia="es-MX"/>
        </w:rPr>
        <w:drawing>
          <wp:inline distT="0" distB="0" distL="0" distR="0" wp14:anchorId="0D3F3330" wp14:editId="4C9B8264">
            <wp:extent cx="5287108" cy="2767471"/>
            <wp:effectExtent l="0" t="0" r="0" b="1270"/>
            <wp:docPr id="1658878428" name="Imagen 1" descr="Tab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878428" name="Imagen 1" descr="Tabla"/>
                    <pic:cNvPicPr/>
                  </pic:nvPicPr>
                  <pic:blipFill>
                    <a:blip r:embed="rId12"/>
                    <a:stretch>
                      <a:fillRect/>
                    </a:stretch>
                  </pic:blipFill>
                  <pic:spPr>
                    <a:xfrm>
                      <a:off x="0" y="0"/>
                      <a:ext cx="5293558" cy="2770847"/>
                    </a:xfrm>
                    <a:prstGeom prst="rect">
                      <a:avLst/>
                    </a:prstGeom>
                  </pic:spPr>
                </pic:pic>
              </a:graphicData>
            </a:graphic>
          </wp:inline>
        </w:drawing>
      </w:r>
    </w:p>
    <w:p w14:paraId="5D19D626" w14:textId="77777777" w:rsidR="00F92583" w:rsidRPr="004505A6" w:rsidRDefault="00F92583" w:rsidP="00F92583">
      <w:pPr>
        <w:spacing w:before="120" w:after="120" w:line="276" w:lineRule="auto"/>
        <w:ind w:firstLine="709"/>
        <w:jc w:val="both"/>
        <w:rPr>
          <w:rFonts w:ascii="Verdana" w:eastAsia="Calibri" w:hAnsi="Verdana" w:cs="Arial"/>
          <w:lang w:eastAsia="es-MX"/>
        </w:rPr>
      </w:pPr>
      <w:r w:rsidRPr="004505A6">
        <w:rPr>
          <w:rFonts w:ascii="Verdana" w:eastAsia="Calibri" w:hAnsi="Verdana" w:cs="Arial"/>
          <w:lang w:eastAsia="es-MX"/>
        </w:rPr>
        <w:t xml:space="preserve">La entidad también debe establecer valores mínimos o máximos para estos indicadores según el nivel de riesgo que representan. Para tales efectos, el Manual ilustra una tabla que muestra la interpretación de cada uno de los indicadores de capacidad financiera que debe contener el RUP y su relación con la probabilidad de Riesgo: </w:t>
      </w:r>
    </w:p>
    <w:p w14:paraId="43395316" w14:textId="77777777" w:rsidR="00F92583" w:rsidRPr="004505A6" w:rsidRDefault="00F92583" w:rsidP="00F92583">
      <w:pPr>
        <w:spacing w:before="120" w:after="120" w:line="276" w:lineRule="auto"/>
        <w:ind w:firstLine="709"/>
        <w:jc w:val="both"/>
        <w:rPr>
          <w:rFonts w:ascii="Verdana" w:eastAsia="Calibri" w:hAnsi="Verdana" w:cs="Arial"/>
          <w:lang w:eastAsia="es-MX"/>
        </w:rPr>
      </w:pPr>
      <w:r w:rsidRPr="004505A6">
        <w:rPr>
          <w:rFonts w:ascii="Verdana" w:eastAsia="Calibri" w:hAnsi="Verdana" w:cs="Arial"/>
          <w:noProof/>
          <w:lang w:eastAsia="es-MX"/>
        </w:rPr>
        <w:drawing>
          <wp:inline distT="0" distB="0" distL="0" distR="0" wp14:anchorId="04E61AE3" wp14:editId="0AA220CE">
            <wp:extent cx="4869180" cy="1623060"/>
            <wp:effectExtent l="0" t="0" r="7620" b="0"/>
            <wp:docPr id="66745465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454653" name=""/>
                    <pic:cNvPicPr/>
                  </pic:nvPicPr>
                  <pic:blipFill>
                    <a:blip r:embed="rId13"/>
                    <a:stretch>
                      <a:fillRect/>
                    </a:stretch>
                  </pic:blipFill>
                  <pic:spPr>
                    <a:xfrm>
                      <a:off x="0" y="0"/>
                      <a:ext cx="4880214" cy="1626738"/>
                    </a:xfrm>
                    <a:prstGeom prst="rect">
                      <a:avLst/>
                    </a:prstGeom>
                  </pic:spPr>
                </pic:pic>
              </a:graphicData>
            </a:graphic>
          </wp:inline>
        </w:drawing>
      </w:r>
    </w:p>
    <w:p w14:paraId="09354052" w14:textId="77777777" w:rsidR="00F92583" w:rsidRPr="004505A6" w:rsidRDefault="00F92583" w:rsidP="00F92583">
      <w:pPr>
        <w:spacing w:after="120" w:line="276" w:lineRule="auto"/>
        <w:ind w:firstLine="709"/>
        <w:jc w:val="both"/>
        <w:rPr>
          <w:rFonts w:ascii="Verdana" w:eastAsia="Calibri" w:hAnsi="Verdana" w:cs="Arial"/>
          <w:lang w:eastAsia="es-MX"/>
        </w:rPr>
      </w:pPr>
      <w:r w:rsidRPr="004505A6">
        <w:rPr>
          <w:rFonts w:ascii="Verdana" w:eastAsia="Calibri" w:hAnsi="Verdana" w:cs="Arial"/>
          <w:lang w:eastAsia="es-MX"/>
        </w:rPr>
        <w:t xml:space="preserve">En este contexto, la Entidad Estatal debe establecer el límite para los indicadores de capacidad financiera en función de las características del contrato, como su naturaleza, valor, plazo y complejidad y evitar hacerlo de manera mecánica, pues cada proceso de contratación tiene una naturaleza distinta y está asociado a riesgos particulares. Por tanto, la entidad debe </w:t>
      </w:r>
      <w:r w:rsidRPr="004505A6">
        <w:rPr>
          <w:rFonts w:ascii="Verdana" w:eastAsia="Calibri" w:hAnsi="Verdana" w:cs="Arial"/>
          <w:lang w:eastAsia="es-MX"/>
        </w:rPr>
        <w:lastRenderedPageBreak/>
        <w:t xml:space="preserve">establecer un umbral adecuado para el indicador, fijando valores máximos o mínimos aceptables con los operadores "menor o igual (≤)" o "mayor o igual (≥)", según lo que considere apropiado para asegurar que el proponente pueda cumplir con sus obligaciones contractuales sin comprometer su estabilidad financiera. </w:t>
      </w:r>
    </w:p>
    <w:p w14:paraId="5AF14EA6" w14:textId="77777777" w:rsidR="00F92583" w:rsidRPr="004505A6" w:rsidRDefault="00F92583" w:rsidP="00F92583">
      <w:pPr>
        <w:spacing w:after="0" w:line="276" w:lineRule="auto"/>
        <w:ind w:firstLine="709"/>
        <w:jc w:val="both"/>
        <w:rPr>
          <w:rFonts w:ascii="Verdana" w:hAnsi="Verdana" w:cs="Arial"/>
        </w:rPr>
      </w:pPr>
      <w:r w:rsidRPr="004505A6">
        <w:rPr>
          <w:rFonts w:ascii="Verdana" w:hAnsi="Verdana" w:cs="Arial"/>
        </w:rPr>
        <w:t xml:space="preserve">El numeral 5.3 del Manual establece las pautas a tener en cuenta por las Entidades Estatales para fijar los indicadores de capacidad financiera y organizacional y señala la necesidad de determinar reglas específicas para los casos en los que el indicador cuente con valores en cero. Al respecto, señaló lo siguiente: </w:t>
      </w:r>
    </w:p>
    <w:p w14:paraId="76630D5E" w14:textId="77777777" w:rsidR="00F92583" w:rsidRPr="004505A6" w:rsidRDefault="00F92583" w:rsidP="00F92583">
      <w:pPr>
        <w:spacing w:after="0" w:line="240" w:lineRule="auto"/>
        <w:ind w:firstLine="709"/>
        <w:jc w:val="both"/>
        <w:rPr>
          <w:rFonts w:ascii="Verdana" w:hAnsi="Verdana" w:cs="Arial"/>
        </w:rPr>
      </w:pPr>
    </w:p>
    <w:p w14:paraId="5104D1E6" w14:textId="77777777" w:rsidR="00F92583" w:rsidRPr="004505A6" w:rsidRDefault="00F92583" w:rsidP="00F92583">
      <w:pPr>
        <w:spacing w:after="0" w:line="240" w:lineRule="auto"/>
        <w:ind w:left="709" w:right="709"/>
        <w:jc w:val="both"/>
        <w:rPr>
          <w:rFonts w:ascii="Verdana" w:eastAsia="Calibri" w:hAnsi="Verdana" w:cs="Arial"/>
          <w:i/>
          <w:iCs/>
          <w:color w:val="000000"/>
          <w:sz w:val="20"/>
          <w:szCs w:val="20"/>
          <w:lang w:val="es-ES_tradnl" w:eastAsia="es-ES_tradnl"/>
        </w:rPr>
      </w:pPr>
      <w:r w:rsidRPr="004505A6">
        <w:rPr>
          <w:rFonts w:ascii="Verdana" w:eastAsia="Calibri" w:hAnsi="Verdana" w:cs="Arial"/>
          <w:color w:val="000000"/>
          <w:sz w:val="20"/>
          <w:szCs w:val="20"/>
          <w:lang w:val="es-ES_tradnl" w:eastAsia="es-ES_tradnl"/>
        </w:rPr>
        <w:t>“Debido a que hay indicadores que resultan de realizar divisiones entre valores, la Entidad Estatal debe establecer explícitamente en los Documentos del Proceso una regla para determinar cómo lo evaluará cuando el denominador es cero, pues en este caso no es posible realizar esta operación matemática. Por ejemplo, en el caso del indicador de cobertura de intereses, puede haber empresas que no presentan obligaciones financieras y, por ende, no incurren en gastos financieros, es decir, el denominador es cero (0) y no sería posible calcular el indicador. En este evento, la regla puede ser que el proponente que no tiene obligaciones financieras resulta habilitado”</w:t>
      </w:r>
      <w:r w:rsidRPr="004505A6">
        <w:rPr>
          <w:rFonts w:ascii="Verdana" w:eastAsia="Calibri" w:hAnsi="Verdana" w:cs="Arial"/>
          <w:i/>
          <w:iCs/>
          <w:color w:val="000000"/>
          <w:sz w:val="20"/>
          <w:szCs w:val="20"/>
          <w:lang w:val="es-ES_tradnl" w:eastAsia="es-ES_tradnl"/>
        </w:rPr>
        <w:t xml:space="preserve">. </w:t>
      </w:r>
    </w:p>
    <w:p w14:paraId="40F53D0C" w14:textId="77777777" w:rsidR="00F92583" w:rsidRPr="004505A6" w:rsidRDefault="00F92583" w:rsidP="00F92583">
      <w:pPr>
        <w:spacing w:after="0" w:line="276" w:lineRule="auto"/>
        <w:ind w:firstLine="709"/>
        <w:jc w:val="both"/>
        <w:rPr>
          <w:rFonts w:ascii="Verdana" w:eastAsia="Arial" w:hAnsi="Verdana" w:cs="Arial"/>
          <w:lang w:val="es-ES"/>
        </w:rPr>
      </w:pPr>
    </w:p>
    <w:p w14:paraId="1B33BCB2" w14:textId="77777777" w:rsidR="00F92583" w:rsidRPr="004505A6" w:rsidRDefault="00F92583" w:rsidP="00F92583">
      <w:pPr>
        <w:spacing w:after="120" w:line="276" w:lineRule="auto"/>
        <w:ind w:firstLine="709"/>
        <w:jc w:val="both"/>
        <w:rPr>
          <w:rFonts w:ascii="Verdana" w:eastAsia="Arial" w:hAnsi="Verdana" w:cs="Arial"/>
          <w:lang w:val="es-ES"/>
        </w:rPr>
      </w:pPr>
      <w:r w:rsidRPr="004505A6">
        <w:rPr>
          <w:rFonts w:ascii="Verdana" w:eastAsia="Arial" w:hAnsi="Verdana" w:cs="Arial"/>
          <w:lang w:val="es-ES"/>
        </w:rPr>
        <w:t xml:space="preserve">De esta manera, se evidencia que, en los indicadores de capacidad financiera como el índice de liquidez, es posible obtener resultados incomprensibles cuando el denominador es igual a cero, lo que podría dar lugar a que el resultado sea indeterminado. Así, debido a que la normativa de contratación pública no regula los eventos en los que el indicador sea indeterminado, la entidad estatal, como responsable de su proceso de contratación, debe definir en los pliegos de condiciones una regla que determine el cumplimiento de los requisitos habilitantes en estos casos. </w:t>
      </w:r>
    </w:p>
    <w:p w14:paraId="2ADAA925" w14:textId="77777777" w:rsidR="00F92583" w:rsidRPr="004505A6" w:rsidRDefault="00F92583" w:rsidP="00F92583">
      <w:pPr>
        <w:spacing w:after="120" w:line="276" w:lineRule="auto"/>
        <w:ind w:firstLine="709"/>
        <w:jc w:val="both"/>
        <w:rPr>
          <w:rFonts w:ascii="Verdana" w:eastAsia="Arial" w:hAnsi="Verdana" w:cs="Arial"/>
        </w:rPr>
      </w:pPr>
      <w:r w:rsidRPr="004505A6">
        <w:rPr>
          <w:rFonts w:ascii="Verdana" w:eastAsia="Arial" w:hAnsi="Verdana" w:cs="Arial"/>
          <w:lang w:val="es-ES"/>
        </w:rPr>
        <w:t>A modo de ilustración, vale la pena señalar que en el numeral 3.6 “Capacidad Financiera” de los documentos tipo de licitación pública de infraestructura de transporte V4 se establece una regla específicamente en el caso descrito según la cual: “</w:t>
      </w:r>
      <w:r w:rsidRPr="004505A6">
        <w:rPr>
          <w:rFonts w:ascii="Verdana" w:eastAsia="Arial" w:hAnsi="Verdana" w:cs="Arial"/>
        </w:rPr>
        <w:t xml:space="preserve">El Proponente que no tiene pasivos corrientes está habilitado respecto del índice de liquidez. El Proponente que no tiene gastos de intereses está habilitado respecto de la razón de cobertura de intereses, siempre y cuando la utilidad operacional sea igual o mayor a cero (0). </w:t>
      </w:r>
      <w:r w:rsidRPr="004505A6">
        <w:rPr>
          <w:rFonts w:ascii="Verdana" w:eastAsia="Arial" w:hAnsi="Verdana" w:cs="Arial"/>
          <w:lang w:val="es-MX"/>
        </w:rPr>
        <w:t xml:space="preserve">De igual forma, para calcular la capacidad financiera de la capacidad residual del proponente, el </w:t>
      </w:r>
      <w:r w:rsidRPr="004505A6">
        <w:rPr>
          <w:rFonts w:ascii="Verdana" w:eastAsia="Arial" w:hAnsi="Verdana" w:cs="Arial"/>
          <w:lang w:val="es-MX"/>
        </w:rPr>
        <w:lastRenderedPageBreak/>
        <w:t>literal C del numeral 3.11.2 de los documentos tipo señala que “Cuando el proponente tiene un pasivo corriente igual a cero (0) y por consiguiente su índice de liquidez sea indeterminado, la entidad debe otorgar el mayor puntaje en el componente de capacidad financiera (CF)”.</w:t>
      </w:r>
    </w:p>
    <w:p w14:paraId="2197B7ED" w14:textId="77777777" w:rsidR="00F92583" w:rsidRPr="004505A6" w:rsidRDefault="00F92583" w:rsidP="00F92583">
      <w:pPr>
        <w:spacing w:before="120" w:after="0" w:line="276" w:lineRule="auto"/>
        <w:ind w:firstLine="709"/>
        <w:jc w:val="both"/>
        <w:rPr>
          <w:rFonts w:ascii="Verdana" w:eastAsia="Calibri" w:hAnsi="Verdana" w:cs="Arial"/>
          <w:lang w:eastAsia="es-MX"/>
        </w:rPr>
      </w:pPr>
      <w:r w:rsidRPr="004505A6">
        <w:rPr>
          <w:rFonts w:ascii="Verdana" w:eastAsia="Calibri" w:hAnsi="Verdana" w:cs="Arial"/>
          <w:lang w:eastAsia="es-MX"/>
        </w:rPr>
        <w:t xml:space="preserve">En ese sentido, la entidad estatal es responsable de establecer los valores de los indicadores de capacidad financiera como requisitos habilitantes, así como </w:t>
      </w:r>
      <w:r w:rsidRPr="004505A6">
        <w:rPr>
          <w:rFonts w:ascii="Verdana" w:eastAsia="Calibri" w:hAnsi="Verdana" w:cs="Arial"/>
          <w:color w:val="000000"/>
          <w:lang w:eastAsia="es-ES_tradnl"/>
        </w:rPr>
        <w:t>determinar</w:t>
      </w:r>
      <w:r w:rsidRPr="004505A6">
        <w:rPr>
          <w:rFonts w:ascii="Verdana" w:eastAsia="Calibri" w:hAnsi="Verdana" w:cs="Arial"/>
          <w:lang w:eastAsia="es-MX"/>
        </w:rPr>
        <w:t xml:space="preserve"> reglas precisas para los casos en los que los indicadores, como el índice de liquidez o la razón de cobertura de intereses, presenten valores en cero o indeterminado. En todo caso, la valoración de estos eventos se debe efectuar con sujeción a las reglas establecidas en el pliego de condiciones, asegurando que los proponentes seleccionados sean financieramente sólidos y capaces de cumplir con</w:t>
      </w:r>
      <w:r w:rsidRPr="004505A6">
        <w:rPr>
          <w:rFonts w:ascii="Verdana" w:eastAsia="Calibri" w:hAnsi="Verdana" w:cs="Arial"/>
          <w:color w:val="000000"/>
          <w:lang w:eastAsia="es-ES_tradnl"/>
        </w:rPr>
        <w:t xml:space="preserve"> el objeto contractual. </w:t>
      </w:r>
    </w:p>
    <w:p w14:paraId="5477BD83" w14:textId="77777777" w:rsidR="00F92583" w:rsidRDefault="00F92583" w:rsidP="00F92583">
      <w:pPr>
        <w:tabs>
          <w:tab w:val="left" w:pos="0"/>
        </w:tabs>
        <w:spacing w:after="0" w:line="276" w:lineRule="auto"/>
        <w:jc w:val="both"/>
        <w:rPr>
          <w:rFonts w:ascii="Verdana" w:eastAsia="Calibri" w:hAnsi="Verdana" w:cs="Arial"/>
          <w:bCs/>
          <w:color w:val="000000" w:themeColor="text1"/>
          <w:lang w:val="es-ES_tradnl"/>
        </w:rPr>
      </w:pPr>
    </w:p>
    <w:p w14:paraId="10AE3032" w14:textId="77777777" w:rsidR="00F92583" w:rsidRPr="00A47393" w:rsidRDefault="00F92583" w:rsidP="00F92583">
      <w:pPr>
        <w:tabs>
          <w:tab w:val="left" w:pos="0"/>
        </w:tabs>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iv</w:t>
      </w:r>
      <w:proofErr w:type="spellEnd"/>
      <w:r>
        <w:rPr>
          <w:rFonts w:ascii="Verdana" w:eastAsia="Calibri" w:hAnsi="Verdana" w:cs="Arial"/>
          <w:bCs/>
          <w:color w:val="000000" w:themeColor="text1"/>
        </w:rPr>
        <w:t xml:space="preserve">. </w:t>
      </w:r>
      <w:r w:rsidRPr="00A47393">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57BAD55" w14:textId="77777777" w:rsidR="00F92583" w:rsidRPr="00185EE9" w:rsidRDefault="00F92583" w:rsidP="00F92583">
      <w:pPr>
        <w:tabs>
          <w:tab w:val="left" w:pos="709"/>
        </w:tabs>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A47393">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185EE9">
        <w:rPr>
          <w:rFonts w:ascii="Verdana" w:eastAsia="Calibri" w:hAnsi="Verdana" w:cs="Arial"/>
          <w:bCs/>
          <w:color w:val="000000" w:themeColor="text1"/>
        </w:rPr>
        <w:t xml:space="preserve"> </w:t>
      </w:r>
    </w:p>
    <w:p w14:paraId="74B54E12" w14:textId="77777777" w:rsidR="00F92583" w:rsidRPr="00182C89" w:rsidRDefault="00F92583" w:rsidP="00F92583">
      <w:pPr>
        <w:tabs>
          <w:tab w:val="left" w:pos="709"/>
        </w:tabs>
        <w:spacing w:after="0" w:line="276" w:lineRule="auto"/>
        <w:jc w:val="both"/>
        <w:rPr>
          <w:rFonts w:ascii="Verdana" w:eastAsia="Calibri" w:hAnsi="Verdana" w:cs="Arial"/>
          <w:color w:val="000000" w:themeColor="text1"/>
        </w:rPr>
      </w:pPr>
    </w:p>
    <w:p w14:paraId="6A811195" w14:textId="77777777" w:rsidR="00F92583" w:rsidRPr="00593A5F" w:rsidRDefault="00F92583" w:rsidP="00F9258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748C6382" w14:textId="77777777" w:rsidR="00F92583" w:rsidRPr="00593A5F" w:rsidRDefault="00F92583" w:rsidP="00F92583">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92583" w:rsidRPr="002407CE" w14:paraId="603417EE" w14:textId="77777777" w:rsidTr="005460DB">
        <w:trPr>
          <w:trHeight w:val="56"/>
          <w:jc w:val="center"/>
        </w:trPr>
        <w:tc>
          <w:tcPr>
            <w:tcW w:w="8647" w:type="dxa"/>
          </w:tcPr>
          <w:p w14:paraId="48D25F06" w14:textId="77777777" w:rsidR="00F92583" w:rsidRDefault="00F92583" w:rsidP="005460D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lastRenderedPageBreak/>
              <w:t>Ley 1150 de 2007, artículos 5 y 6.</w:t>
            </w:r>
          </w:p>
          <w:p w14:paraId="49943921" w14:textId="77777777" w:rsidR="00F92583" w:rsidRDefault="00F92583" w:rsidP="005460D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 6.</w:t>
            </w:r>
          </w:p>
          <w:p w14:paraId="5660798F" w14:textId="77777777" w:rsidR="00F92583" w:rsidRDefault="00F92583" w:rsidP="005460D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Decreto 1082 de 2015, artículos </w:t>
            </w:r>
            <w:r w:rsidRPr="00C123B6">
              <w:rPr>
                <w:rStyle w:val="eop"/>
                <w:rFonts w:ascii="Verdana" w:hAnsi="Verdana" w:cs="Arial"/>
                <w:color w:val="000000"/>
                <w:shd w:val="clear" w:color="auto" w:fill="FFFFFF"/>
              </w:rPr>
              <w:t>2.2.1.1.1.5.2</w:t>
            </w:r>
            <w:r>
              <w:rPr>
                <w:rStyle w:val="eop"/>
                <w:rFonts w:ascii="Verdana" w:hAnsi="Verdana" w:cs="Arial"/>
                <w:color w:val="000000"/>
                <w:shd w:val="clear" w:color="auto" w:fill="FFFFFF"/>
              </w:rPr>
              <w:t xml:space="preserve"> y </w:t>
            </w:r>
            <w:r w:rsidRPr="00F047DB">
              <w:rPr>
                <w:rFonts w:ascii="Verdana" w:eastAsia="Calibri" w:hAnsi="Verdana" w:cs="Arial"/>
                <w:color w:val="000000" w:themeColor="text1"/>
                <w:lang w:val="es-ES_tradnl"/>
              </w:rPr>
              <w:t>2.2.1.1.1.5.3</w:t>
            </w:r>
            <w:r>
              <w:rPr>
                <w:rFonts w:ascii="Verdana" w:eastAsia="Calibri" w:hAnsi="Verdana" w:cs="Arial"/>
                <w:color w:val="000000" w:themeColor="text1"/>
                <w:lang w:val="es-ES_tradnl"/>
              </w:rPr>
              <w:t>.</w:t>
            </w:r>
          </w:p>
          <w:p w14:paraId="4E24433B" w14:textId="77777777" w:rsidR="00F92583" w:rsidRPr="00B87E7A" w:rsidRDefault="00F92583" w:rsidP="005460DB">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3F4E35">
              <w:rPr>
                <w:rFonts w:ascii="Verdana" w:hAnsi="Verdana" w:cs="Arial"/>
              </w:rPr>
              <w:t>Manual para Determinar y Verificar los Requisitos Habilitantes en los Procesos de Contratación</w:t>
            </w:r>
            <w:r w:rsidRPr="00A47393">
              <w:rPr>
                <w:rFonts w:ascii="Verdana" w:hAnsi="Verdana" w:cs="Arial"/>
              </w:rPr>
              <w:t xml:space="preserve"> expedido por la </w:t>
            </w:r>
            <w:r>
              <w:rPr>
                <w:rFonts w:ascii="Verdana" w:hAnsi="Verdana" w:cs="Arial"/>
              </w:rPr>
              <w:t xml:space="preserve">ANCP – CCE. </w:t>
            </w:r>
            <w:r w:rsidRPr="00A52461">
              <w:rPr>
                <w:rFonts w:ascii="Verdana" w:hAnsi="Verdana" w:cs="Arial"/>
              </w:rPr>
              <w:t>Disponible en:</w:t>
            </w:r>
            <w:r>
              <w:rPr>
                <w:rFonts w:ascii="Verdana" w:hAnsi="Verdana" w:cs="Arial"/>
              </w:rPr>
              <w:t xml:space="preserve"> </w:t>
            </w:r>
            <w:hyperlink r:id="rId14" w:history="1">
              <w:r w:rsidRPr="002A44E2">
                <w:rPr>
                  <w:rStyle w:val="Hipervnculo"/>
                  <w:rFonts w:ascii="Verdana" w:hAnsi="Verdana"/>
                </w:rPr>
                <w:t>https://www.colombiacompra.gov.co/wp-content/uploads/2024/08/cce-eicp-ma-04._manual_requisitos_habilitantes_v3_29-09-2023.pdf</w:t>
              </w:r>
            </w:hyperlink>
            <w:r>
              <w:rPr>
                <w:rFonts w:ascii="Verdana" w:hAnsi="Verdana"/>
              </w:rPr>
              <w:t xml:space="preserve"> </w:t>
            </w:r>
            <w:r>
              <w:rPr>
                <w:rFonts w:ascii="Verdana" w:hAnsi="Verdana" w:cs="Arial"/>
              </w:rPr>
              <w:t xml:space="preserve"> </w:t>
            </w:r>
          </w:p>
        </w:tc>
      </w:tr>
    </w:tbl>
    <w:p w14:paraId="4986FC12" w14:textId="77777777" w:rsidR="00F92583" w:rsidRPr="002407CE" w:rsidRDefault="00F92583" w:rsidP="00F92583">
      <w:pPr>
        <w:widowControl w:val="0"/>
        <w:autoSpaceDE w:val="0"/>
        <w:autoSpaceDN w:val="0"/>
        <w:spacing w:after="0" w:line="276" w:lineRule="auto"/>
        <w:jc w:val="both"/>
        <w:rPr>
          <w:rFonts w:ascii="Verdana" w:hAnsi="Verdana" w:cs="Arial"/>
        </w:rPr>
      </w:pPr>
    </w:p>
    <w:p w14:paraId="5A812CFB" w14:textId="77777777" w:rsidR="00F92583" w:rsidRPr="00593A5F" w:rsidRDefault="00F92583" w:rsidP="00F9258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8A78F59" w14:textId="77777777" w:rsidR="00F92583" w:rsidRPr="00593A5F" w:rsidRDefault="00F92583" w:rsidP="00F92583">
      <w:pPr>
        <w:widowControl w:val="0"/>
        <w:autoSpaceDE w:val="0"/>
        <w:autoSpaceDN w:val="0"/>
        <w:spacing w:after="0" w:line="276" w:lineRule="auto"/>
        <w:jc w:val="both"/>
        <w:rPr>
          <w:rFonts w:ascii="Verdana" w:hAnsi="Verdana" w:cs="Arial"/>
        </w:rPr>
      </w:pPr>
    </w:p>
    <w:p w14:paraId="3F330DF7" w14:textId="77777777" w:rsidR="00F92583" w:rsidRPr="00ED0098" w:rsidRDefault="00F92583" w:rsidP="00F92583">
      <w:pPr>
        <w:widowControl w:val="0"/>
        <w:autoSpaceDE w:val="0"/>
        <w:autoSpaceDN w:val="0"/>
        <w:spacing w:after="0" w:line="276" w:lineRule="auto"/>
        <w:jc w:val="both"/>
        <w:rPr>
          <w:rStyle w:val="normaltextrun"/>
          <w:rFonts w:ascii="Verdana" w:hAnsi="Verdana" w:cs="Arial"/>
          <w:shd w:val="clear" w:color="auto" w:fill="FFFFFF"/>
        </w:rPr>
      </w:pPr>
      <w:r w:rsidRPr="00922FAB">
        <w:rPr>
          <w:rFonts w:ascii="Verdana" w:hAnsi="Verdana" w:cs="Arial"/>
          <w:shd w:val="clear" w:color="auto" w:fill="FFFFFF"/>
        </w:rPr>
        <w:t>La Agencia Nacional de Contratación Pública – Colombia Compra Eficiente, se pronunció sobre la acreditación de los indicadores de la capacidad financiera y organizacional, entre otros, en los conceptos No. 4201912000006798 del 24 de octubre de 2019, C-002 del 12 de febrero de 2020, C-089 del 4 de marzo de 2020, C-099 del 06 de abril de 2020, C-166 del 14 de abril de 2020, C-233 del 16 de abril de 2020, C-326 del 9 de junio de 2020, C-140 del 9 de abril de 2021, C-439 del 5 de julio de 2022, C-673 del 19 de octubre de 2022, C-865 del 30 de diciembre de 2024, C-996 del 29 de enero de 2025</w:t>
      </w:r>
      <w:r>
        <w:rPr>
          <w:rFonts w:ascii="Verdana" w:hAnsi="Verdana" w:cs="Arial"/>
          <w:shd w:val="clear" w:color="auto" w:fill="FFFFFF"/>
        </w:rPr>
        <w:t xml:space="preserve">, </w:t>
      </w:r>
      <w:r w:rsidRPr="00922FAB">
        <w:rPr>
          <w:rFonts w:ascii="Verdana" w:hAnsi="Verdana" w:cs="Arial"/>
          <w:shd w:val="clear" w:color="auto" w:fill="FFFFFF"/>
        </w:rPr>
        <w:t>C-075 del 2025</w:t>
      </w:r>
      <w:r>
        <w:rPr>
          <w:rFonts w:ascii="Verdana" w:hAnsi="Verdana" w:cs="Arial"/>
          <w:shd w:val="clear" w:color="auto" w:fill="FFFFFF"/>
        </w:rPr>
        <w:t xml:space="preserve"> y C-353 del 6 de abril de 2026</w:t>
      </w:r>
      <w:r>
        <w:rPr>
          <w:rFonts w:ascii="Verdana" w:eastAsia="Calibri" w:hAnsi="Verdana" w:cs="Arial"/>
          <w:shd w:val="clear" w:color="auto" w:fill="FFFFFF"/>
        </w:rPr>
        <w:t>.</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5"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24ABA542" w14:textId="77777777" w:rsidR="00F92583" w:rsidRPr="00096788" w:rsidRDefault="00F92583" w:rsidP="00F92583">
      <w:pPr>
        <w:widowControl w:val="0"/>
        <w:autoSpaceDE w:val="0"/>
        <w:autoSpaceDN w:val="0"/>
        <w:spacing w:after="0" w:line="276" w:lineRule="auto"/>
        <w:jc w:val="both"/>
        <w:rPr>
          <w:rFonts w:ascii="Verdana" w:hAnsi="Verdana" w:cs="Arial"/>
          <w:color w:val="000000" w:themeColor="text1"/>
          <w:shd w:val="clear" w:color="auto" w:fill="FFFFFF"/>
        </w:rPr>
      </w:pPr>
    </w:p>
    <w:p w14:paraId="67EF975C" w14:textId="77777777" w:rsidR="00F92583" w:rsidRDefault="00F92583" w:rsidP="00F92583">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6" w:tgtFrame="_new" w:history="1">
        <w:r w:rsidRPr="009A385A">
          <w:rPr>
            <w:rStyle w:val="Hipervnculo"/>
            <w:rFonts w:ascii="Verdana" w:hAnsi="Verdana"/>
          </w:rPr>
          <w:t>https://formacionvirtual.colombiacompra.gov.co/mod/page/view.php?id=3718</w:t>
        </w:r>
      </w:hyperlink>
    </w:p>
    <w:p w14:paraId="6D8EA213" w14:textId="77777777" w:rsidR="00F92583" w:rsidRPr="009A385A" w:rsidRDefault="00F92583" w:rsidP="00F92583">
      <w:pPr>
        <w:spacing w:after="0"/>
        <w:jc w:val="both"/>
        <w:rPr>
          <w:rFonts w:ascii="Verdana" w:hAnsi="Verdana"/>
        </w:rPr>
      </w:pPr>
    </w:p>
    <w:p w14:paraId="13ECA432" w14:textId="77777777" w:rsidR="00F92583" w:rsidRDefault="00F92583" w:rsidP="00F92583">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 xml:space="preserve">mediante las cuales </w:t>
      </w:r>
      <w:r w:rsidRPr="009A385A">
        <w:rPr>
          <w:rFonts w:ascii="Verdana" w:hAnsi="Verdana"/>
          <w:b/>
          <w:bCs/>
        </w:rPr>
        <w:lastRenderedPageBreak/>
        <w:t>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7" w:tgtFrame="_new" w:history="1">
        <w:r w:rsidRPr="00635F16">
          <w:rPr>
            <w:rStyle w:val="Hipervnculo"/>
            <w:rFonts w:ascii="Verdana" w:hAnsi="Verdana"/>
          </w:rPr>
          <w:t>https://www.colombiacompra.gov.co/normativa-y-relatoria/documentos-tipo</w:t>
        </w:r>
      </w:hyperlink>
    </w:p>
    <w:p w14:paraId="7863DE37" w14:textId="77777777" w:rsidR="00F92583" w:rsidRDefault="00F92583" w:rsidP="00F92583">
      <w:pPr>
        <w:spacing w:after="0"/>
        <w:jc w:val="both"/>
        <w:rPr>
          <w:rFonts w:ascii="Verdana" w:hAnsi="Verdana"/>
        </w:rPr>
      </w:pPr>
    </w:p>
    <w:p w14:paraId="2A50CBD5" w14:textId="77777777" w:rsidR="00F92583" w:rsidRPr="008E1CD7" w:rsidRDefault="00F92583" w:rsidP="00F92583">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8"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8A87AC6" w14:textId="77777777" w:rsidR="00F92583" w:rsidRDefault="00F92583" w:rsidP="00F92583">
      <w:pPr>
        <w:shd w:val="clear" w:color="auto" w:fill="FFFFFF"/>
        <w:spacing w:after="0" w:line="276" w:lineRule="auto"/>
        <w:jc w:val="both"/>
        <w:rPr>
          <w:rFonts w:ascii="Verdana" w:hAnsi="Verdana"/>
          <w:color w:val="000000"/>
          <w:u w:val="single"/>
        </w:rPr>
      </w:pPr>
    </w:p>
    <w:p w14:paraId="727AFA4F" w14:textId="77777777" w:rsidR="00F92583" w:rsidRPr="00116940" w:rsidRDefault="00F92583" w:rsidP="00F92583">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72E1969E" w14:textId="77777777" w:rsidR="00F92583" w:rsidRPr="00116940" w:rsidRDefault="00F92583" w:rsidP="00F92583">
      <w:pPr>
        <w:spacing w:after="0"/>
        <w:jc w:val="both"/>
        <w:rPr>
          <w:rFonts w:ascii="Verdana" w:hAnsi="Verdana"/>
        </w:rPr>
      </w:pPr>
    </w:p>
    <w:p w14:paraId="535C1738" w14:textId="77777777" w:rsidR="00F92583" w:rsidRPr="00116940" w:rsidRDefault="00F92583" w:rsidP="00F92583">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0EF3A7DF" w14:textId="77777777" w:rsidR="00F92583" w:rsidRPr="00116940" w:rsidRDefault="00F92583" w:rsidP="00F92583">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347BD866" w14:textId="77777777" w:rsidR="00F92583" w:rsidRPr="00116940" w:rsidRDefault="00F92583" w:rsidP="00F92583">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9">
        <w:r w:rsidRPr="00116940">
          <w:rPr>
            <w:rStyle w:val="Hipervnculo"/>
            <w:rFonts w:ascii="Verdana" w:eastAsia="Verdana" w:hAnsi="Verdana" w:cs="Verdana"/>
            <w:lang w:val="es-MX"/>
          </w:rPr>
          <w:t>ventanilladeradicacion@colombiacompra.gov.co</w:t>
        </w:r>
      </w:hyperlink>
    </w:p>
    <w:p w14:paraId="0E299859" w14:textId="77777777" w:rsidR="00F92583" w:rsidRPr="00116940" w:rsidRDefault="00F92583" w:rsidP="00F92583">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20">
        <w:r w:rsidRPr="00116940">
          <w:rPr>
            <w:rStyle w:val="Hipervnculo"/>
            <w:rFonts w:ascii="Verdana" w:eastAsia="Verdana" w:hAnsi="Verdana" w:cs="Verdana"/>
            <w:lang w:val="es-MX"/>
          </w:rPr>
          <w:t>https://www.colombiacompra.gov.co/pqrsd/informacion-importante-antes-de-formular-una-pqrsd</w:t>
        </w:r>
      </w:hyperlink>
    </w:p>
    <w:p w14:paraId="6CC65942" w14:textId="77777777" w:rsidR="00F92583" w:rsidRPr="00116940" w:rsidRDefault="00F92583" w:rsidP="00F92583">
      <w:pPr>
        <w:spacing w:after="0" w:line="240" w:lineRule="auto"/>
        <w:ind w:left="720"/>
        <w:jc w:val="both"/>
        <w:rPr>
          <w:rFonts w:ascii="Verdana" w:hAnsi="Verdana"/>
        </w:rPr>
      </w:pPr>
    </w:p>
    <w:p w14:paraId="105B2B65" w14:textId="77777777" w:rsidR="00F92583" w:rsidRPr="00116940" w:rsidRDefault="00F92583" w:rsidP="00F92583">
      <w:pPr>
        <w:spacing w:after="0" w:line="240" w:lineRule="auto"/>
        <w:rPr>
          <w:rFonts w:ascii="Verdana" w:hAnsi="Verdana"/>
        </w:rPr>
      </w:pPr>
      <w:r w:rsidRPr="00116940">
        <w:rPr>
          <w:rFonts w:ascii="Verdana" w:hAnsi="Verdana"/>
        </w:rPr>
        <w:lastRenderedPageBreak/>
        <w:t>Evalúa el servicio que ofrece la Agencia por el canal de atención de PQRSD en el siguiente enlace :</w:t>
      </w:r>
      <w:hyperlink r:id="rId21"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149C8342" w14:textId="77777777" w:rsidR="00F92583" w:rsidRPr="00116940" w:rsidRDefault="00F92583" w:rsidP="00F92583">
      <w:pPr>
        <w:spacing w:after="0" w:line="240" w:lineRule="auto"/>
        <w:rPr>
          <w:rFonts w:ascii="Verdana" w:hAnsi="Verdana"/>
        </w:rPr>
      </w:pPr>
    </w:p>
    <w:p w14:paraId="53642BFB" w14:textId="77777777" w:rsidR="00F92583" w:rsidRPr="00116940" w:rsidRDefault="00F92583" w:rsidP="00F92583">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44F80E15" w14:textId="77777777" w:rsidR="00F92583" w:rsidRPr="00116940" w:rsidRDefault="00F92583" w:rsidP="00F92583">
      <w:pPr>
        <w:spacing w:after="0" w:line="240" w:lineRule="auto"/>
        <w:jc w:val="both"/>
        <w:rPr>
          <w:rFonts w:ascii="Verdana" w:hAnsi="Verdana"/>
        </w:rPr>
      </w:pPr>
    </w:p>
    <w:p w14:paraId="7B41038F" w14:textId="77777777" w:rsidR="00F92583" w:rsidRPr="00116940" w:rsidRDefault="00F92583" w:rsidP="00F92583">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8326D2E" w14:textId="77777777" w:rsidR="00F92583" w:rsidRPr="00116940" w:rsidRDefault="00F92583" w:rsidP="00F92583">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1193244D" w14:textId="77777777" w:rsidR="00F92583" w:rsidRPr="00116940" w:rsidRDefault="00F92583" w:rsidP="00F92583">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4E4665A" w14:textId="77777777" w:rsidR="00F92583" w:rsidRPr="009C4035" w:rsidRDefault="00F92583" w:rsidP="00F92583">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5937765E" w14:textId="77777777" w:rsidR="00F92583" w:rsidRPr="00593A5F" w:rsidRDefault="00F92583" w:rsidP="00F92583">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FC4CEAA" w14:textId="77777777" w:rsidR="00F92583" w:rsidRPr="00593A5F" w:rsidRDefault="00F92583" w:rsidP="00F92583">
      <w:pPr>
        <w:widowControl w:val="0"/>
        <w:autoSpaceDE w:val="0"/>
        <w:autoSpaceDN w:val="0"/>
        <w:spacing w:after="0" w:line="276" w:lineRule="auto"/>
        <w:jc w:val="both"/>
        <w:rPr>
          <w:rFonts w:ascii="Verdana" w:hAnsi="Verdana" w:cs="Arial"/>
        </w:rPr>
      </w:pPr>
    </w:p>
    <w:p w14:paraId="7C39136A" w14:textId="77777777" w:rsidR="00F92583" w:rsidRPr="00593A5F" w:rsidRDefault="00F92583" w:rsidP="00F92583">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4AACA89" w14:textId="21579E13" w:rsidR="00F92583" w:rsidRPr="00593A5F" w:rsidRDefault="0071259C" w:rsidP="00F92583">
      <w:pPr>
        <w:spacing w:line="276" w:lineRule="auto"/>
        <w:jc w:val="center"/>
        <w:rPr>
          <w:rFonts w:ascii="Verdana" w:hAnsi="Verdana" w:cs="Arial"/>
          <w:color w:val="000000"/>
          <w:lang w:val="es-ES_tradnl" w:eastAsia="es-CO"/>
        </w:rPr>
      </w:pPr>
      <w:r>
        <w:rPr>
          <w:noProof/>
        </w:rPr>
        <w:drawing>
          <wp:inline distT="0" distB="0" distL="0" distR="0" wp14:anchorId="395806D6" wp14:editId="010B019C">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22"/>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92583" w:rsidRPr="00593A5F" w14:paraId="41947758" w14:textId="77777777" w:rsidTr="005460DB">
        <w:trPr>
          <w:trHeight w:val="315"/>
        </w:trPr>
        <w:tc>
          <w:tcPr>
            <w:tcW w:w="893" w:type="dxa"/>
            <w:vAlign w:val="center"/>
            <w:hideMark/>
          </w:tcPr>
          <w:p w14:paraId="1728BB5F" w14:textId="77777777" w:rsidR="00F92583" w:rsidRPr="003751C7" w:rsidRDefault="00F92583" w:rsidP="005460DB">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0A8D793" w14:textId="77777777" w:rsidR="00F92583" w:rsidRPr="00254A7A" w:rsidRDefault="00F92583" w:rsidP="005460DB">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3862CE63" w14:textId="77777777" w:rsidR="00F92583" w:rsidRPr="00254A7A" w:rsidRDefault="00F92583" w:rsidP="005460DB">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F92583" w:rsidRPr="00593A5F" w14:paraId="5DE90FA9" w14:textId="77777777" w:rsidTr="005460DB">
        <w:trPr>
          <w:trHeight w:val="330"/>
        </w:trPr>
        <w:tc>
          <w:tcPr>
            <w:tcW w:w="893" w:type="dxa"/>
            <w:vAlign w:val="center"/>
            <w:hideMark/>
          </w:tcPr>
          <w:p w14:paraId="77B33A77" w14:textId="77777777" w:rsidR="00F92583" w:rsidRPr="003751C7" w:rsidRDefault="00F92583" w:rsidP="005460DB">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1D6DCB8" w14:textId="77777777" w:rsidR="00F92583" w:rsidRPr="006E242B" w:rsidRDefault="00F92583" w:rsidP="005460DB">
            <w:pPr>
              <w:pStyle w:val="paragraph"/>
              <w:spacing w:after="0"/>
              <w:contextualSpacing/>
              <w:textAlignment w:val="baseline"/>
              <w:rPr>
                <w:rStyle w:val="normaltextrun"/>
                <w:rFonts w:ascii="Verdana" w:hAnsi="Verdana" w:cs="Arial"/>
                <w:sz w:val="16"/>
                <w:szCs w:val="16"/>
                <w:lang w:val="es-ES_tradnl"/>
              </w:rPr>
            </w:pPr>
            <w:r w:rsidRPr="006E242B">
              <w:rPr>
                <w:rStyle w:val="normaltextrun"/>
                <w:rFonts w:ascii="Verdana" w:hAnsi="Verdana" w:cs="Arial"/>
                <w:sz w:val="16"/>
                <w:szCs w:val="16"/>
                <w:lang w:val="es-ES_tradnl"/>
              </w:rPr>
              <w:t>Alejandro Sarmiento Cantillo</w:t>
            </w:r>
          </w:p>
          <w:p w14:paraId="1ADE517E" w14:textId="77777777" w:rsidR="00F92583" w:rsidRPr="00A40FD0" w:rsidRDefault="00F92583" w:rsidP="005460DB">
            <w:pPr>
              <w:pStyle w:val="paragraph"/>
              <w:spacing w:before="0" w:beforeAutospacing="0" w:after="0" w:afterAutospacing="0"/>
              <w:contextualSpacing/>
              <w:textAlignment w:val="baseline"/>
              <w:rPr>
                <w:rFonts w:ascii="Verdana" w:hAnsi="Verdana" w:cs="Segoe UI"/>
                <w:sz w:val="16"/>
                <w:szCs w:val="16"/>
              </w:rPr>
            </w:pPr>
            <w:r w:rsidRPr="006E242B">
              <w:rPr>
                <w:rStyle w:val="normaltextrun"/>
                <w:rFonts w:ascii="Verdana" w:hAnsi="Verdana" w:cs="Arial"/>
                <w:sz w:val="16"/>
                <w:szCs w:val="16"/>
                <w:lang w:val="es-ES_tradnl"/>
              </w:rPr>
              <w:t>Gestor T1 ‒ 15 de la Subdirección de Gestión Contractual</w:t>
            </w:r>
          </w:p>
        </w:tc>
      </w:tr>
      <w:tr w:rsidR="00F92583" w:rsidRPr="00593A5F" w14:paraId="15ED7C00" w14:textId="77777777" w:rsidTr="005460DB">
        <w:trPr>
          <w:trHeight w:val="300"/>
        </w:trPr>
        <w:tc>
          <w:tcPr>
            <w:tcW w:w="893" w:type="dxa"/>
            <w:vAlign w:val="center"/>
          </w:tcPr>
          <w:p w14:paraId="510AABC6" w14:textId="77777777" w:rsidR="00F92583" w:rsidRPr="003751C7" w:rsidRDefault="00F92583" w:rsidP="005460DB">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16C9B8E" w14:textId="77777777" w:rsidR="00F92583" w:rsidRPr="00FE00BE" w:rsidRDefault="00F92583" w:rsidP="005460DB">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Carolina Quintero Gacharná</w:t>
            </w:r>
          </w:p>
          <w:p w14:paraId="5E985B25" w14:textId="77777777" w:rsidR="00F92583" w:rsidRPr="00FE00BE" w:rsidRDefault="00F92583" w:rsidP="005460DB">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r w:rsidR="00F92583" w:rsidRPr="00593A5F" w14:paraId="51B505E4" w14:textId="77777777" w:rsidTr="005460DB">
        <w:trPr>
          <w:trHeight w:val="300"/>
        </w:trPr>
        <w:tc>
          <w:tcPr>
            <w:tcW w:w="893" w:type="dxa"/>
            <w:vAlign w:val="center"/>
          </w:tcPr>
          <w:p w14:paraId="52BAD282" w14:textId="77777777" w:rsidR="00F92583" w:rsidRPr="003751C7" w:rsidRDefault="00F92583" w:rsidP="005460DB">
            <w:pPr>
              <w:contextualSpacing/>
              <w:rPr>
                <w:rFonts w:ascii="Verdana" w:hAnsi="Verdana" w:cs="Arial"/>
                <w:sz w:val="16"/>
                <w:szCs w:val="16"/>
                <w:lang w:val="es-ES" w:eastAsia="es-ES"/>
              </w:rPr>
            </w:pPr>
            <w:r>
              <w:rPr>
                <w:rFonts w:ascii="Verdana" w:hAnsi="Verdana" w:cs="Arial"/>
                <w:sz w:val="16"/>
                <w:szCs w:val="16"/>
                <w:lang w:val="es-ES" w:eastAsia="es-ES"/>
              </w:rPr>
              <w:t>Anexos:</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42A9C24" w14:textId="77777777" w:rsidR="00F92583" w:rsidRPr="00FE00BE" w:rsidRDefault="00F92583" w:rsidP="005460DB">
            <w:pPr>
              <w:contextualSpacing/>
              <w:rPr>
                <w:rFonts w:ascii="Verdana" w:eastAsia="Calibri" w:hAnsi="Verdana" w:cs="Arial"/>
                <w:sz w:val="16"/>
                <w:szCs w:val="16"/>
                <w:lang w:val="es-ES_tradnl" w:eastAsia="es-ES"/>
              </w:rPr>
            </w:pPr>
            <w:r>
              <w:rPr>
                <w:rFonts w:ascii="Verdana" w:eastAsia="Calibri" w:hAnsi="Verdana" w:cs="Arial"/>
                <w:sz w:val="16"/>
                <w:szCs w:val="16"/>
                <w:lang w:val="es-ES_tradnl" w:eastAsia="es-ES"/>
              </w:rPr>
              <w:t>Exposición de motivos de la Ley 1150 de 2007</w:t>
            </w:r>
          </w:p>
        </w:tc>
      </w:tr>
    </w:tbl>
    <w:p w14:paraId="7DAA6705" w14:textId="1C49119A" w:rsidR="00F92583" w:rsidRPr="00543BFE" w:rsidRDefault="00F92583" w:rsidP="00F92583"/>
    <w:p w14:paraId="0F293BF4" w14:textId="392ED1F2" w:rsidR="00127233" w:rsidRPr="00AF4DA5" w:rsidRDefault="00127233" w:rsidP="00AF4DA5"/>
    <w:sectPr w:rsidR="00127233" w:rsidRPr="00AF4DA5" w:rsidSect="007C0C0F">
      <w:headerReference w:type="default" r:id="rId23"/>
      <w:footerReference w:type="default" r:id="rId2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95E9DB" w14:textId="77777777" w:rsidR="000A7249" w:rsidRDefault="000A7249" w:rsidP="004A1847">
      <w:pPr>
        <w:spacing w:after="0" w:line="240" w:lineRule="auto"/>
      </w:pPr>
      <w:r>
        <w:separator/>
      </w:r>
    </w:p>
  </w:endnote>
  <w:endnote w:type="continuationSeparator" w:id="0">
    <w:p w14:paraId="7AE78708" w14:textId="77777777" w:rsidR="000A7249" w:rsidRDefault="000A724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2C47E1"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2C47E1">
      <w:rPr>
        <w:rFonts w:ascii="Verdana" w:eastAsia="Verdana" w:hAnsi="Verdana" w:cs="Verdana"/>
        <w:b/>
        <w:color w:val="000000" w:themeColor="text1"/>
        <w:sz w:val="18"/>
        <w:szCs w:val="18"/>
        <w:lang w:val="pt-BR" w:eastAsia="es-CO"/>
      </w:rPr>
      <w:t xml:space="preserve">Código: </w:t>
    </w:r>
    <w:r w:rsidRPr="002C47E1">
      <w:rPr>
        <w:rFonts w:ascii="Verdana" w:eastAsia="Verdana" w:hAnsi="Verdana" w:cs="Verdana"/>
        <w:color w:val="000000" w:themeColor="text1"/>
        <w:sz w:val="18"/>
        <w:szCs w:val="18"/>
        <w:lang w:val="pt-BR" w:eastAsia="es-CO"/>
      </w:rPr>
      <w:t xml:space="preserve">CCE-REC-FM-17 </w:t>
    </w:r>
    <w:r w:rsidRPr="002C47E1">
      <w:rPr>
        <w:rFonts w:ascii="Verdana" w:eastAsia="Verdana" w:hAnsi="Verdana" w:cs="Verdana"/>
        <w:b/>
        <w:color w:val="000000" w:themeColor="text1"/>
        <w:sz w:val="18"/>
        <w:szCs w:val="18"/>
        <w:lang w:val="pt-BR" w:eastAsia="es-CO"/>
      </w:rPr>
      <w:t xml:space="preserve">V: </w:t>
    </w:r>
    <w:r w:rsidRPr="002C47E1">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7D743" w14:textId="77777777" w:rsidR="000A7249" w:rsidRDefault="000A7249" w:rsidP="004A1847">
      <w:pPr>
        <w:spacing w:after="0" w:line="240" w:lineRule="auto"/>
      </w:pPr>
      <w:r>
        <w:separator/>
      </w:r>
    </w:p>
  </w:footnote>
  <w:footnote w:type="continuationSeparator" w:id="0">
    <w:p w14:paraId="113580B3" w14:textId="77777777" w:rsidR="000A7249" w:rsidRDefault="000A7249" w:rsidP="004A1847">
      <w:pPr>
        <w:spacing w:after="0" w:line="240" w:lineRule="auto"/>
      </w:pPr>
      <w:r>
        <w:continuationSeparator/>
      </w:r>
    </w:p>
  </w:footnote>
  <w:footnote w:id="1">
    <w:p w14:paraId="7E5BE287" w14:textId="77777777" w:rsidR="00F92583" w:rsidRPr="007D13F2" w:rsidRDefault="00F92583" w:rsidP="00F92583">
      <w:pPr>
        <w:pStyle w:val="Textonotapie"/>
        <w:ind w:firstLine="708"/>
        <w:jc w:val="both"/>
        <w:rPr>
          <w:rFonts w:ascii="Verdana" w:hAnsi="Verdana" w:cs="Arial"/>
          <w:sz w:val="16"/>
          <w:szCs w:val="16"/>
        </w:rPr>
      </w:pPr>
      <w:r w:rsidRPr="007D13F2">
        <w:rPr>
          <w:rStyle w:val="Refdenotaalpie"/>
          <w:rFonts w:ascii="Verdana" w:hAnsi="Verdana" w:cs="Arial"/>
          <w:sz w:val="16"/>
          <w:szCs w:val="16"/>
        </w:rPr>
        <w:footnoteRef/>
      </w:r>
      <w:r w:rsidRPr="002C47E1">
        <w:rPr>
          <w:rFonts w:ascii="Verdana" w:hAnsi="Verdana" w:cs="Arial"/>
          <w:sz w:val="16"/>
          <w:szCs w:val="16"/>
          <w:lang w:val="pt-BR"/>
        </w:rPr>
        <w:t xml:space="preserve"> </w:t>
      </w:r>
      <w:r w:rsidRPr="002C47E1">
        <w:rPr>
          <w:rFonts w:ascii="Verdana" w:eastAsia="Calibri" w:hAnsi="Verdana" w:cs="Arial"/>
          <w:sz w:val="16"/>
          <w:szCs w:val="16"/>
          <w:lang w:val="pt-BR"/>
        </w:rPr>
        <w:t xml:space="preserve">Corte Constitucional. Sentencia C 178 de 1996. </w:t>
      </w:r>
      <w:r w:rsidRPr="007D13F2">
        <w:rPr>
          <w:rFonts w:ascii="Verdana" w:eastAsia="Calibri" w:hAnsi="Verdana" w:cs="Arial"/>
          <w:sz w:val="16"/>
          <w:szCs w:val="16"/>
        </w:rPr>
        <w:t>M. P. Antonio Barrera Carbonell.</w:t>
      </w:r>
      <w:r w:rsidRPr="007D13F2">
        <w:rPr>
          <w:rFonts w:ascii="Verdana" w:hAnsi="Verdana" w:cs="Arial"/>
          <w:sz w:val="16"/>
          <w:szCs w:val="16"/>
        </w:rPr>
        <w:t xml:space="preserve"> </w:t>
      </w:r>
    </w:p>
  </w:footnote>
  <w:footnote w:id="2">
    <w:p w14:paraId="260E5DF0" w14:textId="77777777" w:rsidR="00F92583" w:rsidRPr="007D13F2" w:rsidRDefault="00F92583" w:rsidP="00F92583">
      <w:pPr>
        <w:pStyle w:val="Textonotapie"/>
        <w:ind w:firstLine="708"/>
        <w:jc w:val="both"/>
        <w:rPr>
          <w:rFonts w:ascii="Verdana" w:eastAsia="Calibri" w:hAnsi="Verdana" w:cs="Arial"/>
          <w:sz w:val="16"/>
          <w:szCs w:val="16"/>
        </w:rPr>
      </w:pPr>
      <w:r w:rsidRPr="007D13F2">
        <w:rPr>
          <w:rStyle w:val="Refdenotaalpie"/>
          <w:rFonts w:ascii="Verdana" w:hAnsi="Verdana" w:cs="Arial"/>
          <w:sz w:val="16"/>
          <w:szCs w:val="16"/>
        </w:rPr>
        <w:footnoteRef/>
      </w:r>
      <w:r w:rsidRPr="007D13F2">
        <w:rPr>
          <w:rFonts w:ascii="Verdana" w:hAnsi="Verdana" w:cs="Arial"/>
          <w:sz w:val="16"/>
          <w:szCs w:val="16"/>
        </w:rPr>
        <w:t xml:space="preserve"> </w:t>
      </w:r>
      <w:r w:rsidRPr="007D13F2">
        <w:rPr>
          <w:rFonts w:ascii="Verdana" w:eastAsia="Calibri" w:hAnsi="Verdana" w:cs="Arial"/>
          <w:sz w:val="16"/>
          <w:szCs w:val="16"/>
        </w:rPr>
        <w:t>“Artículo 6o. De la capacidad para contratar. Pueden celebrar contratos con las entidades estatales las personas consideradas legalmente capaces en las disposiciones vigentes. También podrán celebrar contratos con las entidades estatales los Cabildos Indígenas, las asociaciones de Autoridades Tradicionales Indígenas, los consejos comunitarios de las comunidades negras regulados por la Ley 70 de 1993.</w:t>
      </w:r>
    </w:p>
    <w:p w14:paraId="103694A3" w14:textId="77777777" w:rsidR="00F92583" w:rsidRPr="007D13F2" w:rsidRDefault="00F92583" w:rsidP="00F92583">
      <w:pPr>
        <w:pStyle w:val="Textonotapie"/>
        <w:ind w:firstLine="708"/>
        <w:jc w:val="both"/>
        <w:rPr>
          <w:rFonts w:ascii="Verdana" w:eastAsia="Calibri" w:hAnsi="Verdana" w:cs="Arial"/>
          <w:sz w:val="16"/>
          <w:szCs w:val="16"/>
        </w:rPr>
      </w:pPr>
      <w:r w:rsidRPr="007D13F2">
        <w:rPr>
          <w:rFonts w:ascii="Verdana" w:eastAsia="Calibri" w:hAnsi="Verdana" w:cs="Arial"/>
          <w:sz w:val="16"/>
          <w:szCs w:val="16"/>
        </w:rPr>
        <w:t>Para las organizaciones de base de comunidades negras, afrocolombianas, raizales y palenqueras y las demás formas y expresiones organizativas, deberán contar con diez (10) años o más de haber sido incorporados por el Ministerio del Interior en el correspondiente Registro Público Único Nacional y que hayan cumplido con el deber de actualización de información en el mismo registro; y los consorcios y uniones temporales.</w:t>
      </w:r>
    </w:p>
    <w:p w14:paraId="18F0D987" w14:textId="77777777" w:rsidR="00F92583" w:rsidRPr="007D13F2" w:rsidRDefault="00F92583" w:rsidP="00F92583">
      <w:pPr>
        <w:pStyle w:val="Textonotapie"/>
        <w:ind w:firstLine="708"/>
        <w:jc w:val="both"/>
        <w:rPr>
          <w:rFonts w:ascii="Verdana" w:eastAsia="Calibri" w:hAnsi="Verdana" w:cs="Arial"/>
          <w:sz w:val="16"/>
          <w:szCs w:val="16"/>
        </w:rPr>
      </w:pPr>
      <w:r w:rsidRPr="007D13F2">
        <w:rPr>
          <w:rFonts w:ascii="Verdana" w:eastAsia="Calibri" w:hAnsi="Verdana" w:cs="Arial"/>
          <w:sz w:val="16"/>
          <w:szCs w:val="16"/>
        </w:rPr>
        <w:t>Las personas jurídicas nacionales y extranjeras deberán acreditar que su duración no será inferior a la del plazo del contrato y un año más”.</w:t>
      </w:r>
    </w:p>
  </w:footnote>
  <w:footnote w:id="3">
    <w:p w14:paraId="6AD5DF3D" w14:textId="77777777" w:rsidR="00F92583" w:rsidRPr="007D13F2" w:rsidRDefault="00F92583" w:rsidP="00F92583">
      <w:pPr>
        <w:pStyle w:val="Textonotapie"/>
        <w:ind w:firstLine="708"/>
        <w:jc w:val="both"/>
        <w:rPr>
          <w:rFonts w:ascii="Verdana" w:eastAsia="Calibri" w:hAnsi="Verdana" w:cs="Arial"/>
          <w:sz w:val="16"/>
          <w:szCs w:val="16"/>
        </w:rPr>
      </w:pPr>
      <w:r w:rsidRPr="007D13F2">
        <w:rPr>
          <w:rStyle w:val="Refdenotaalpie"/>
          <w:rFonts w:ascii="Verdana" w:hAnsi="Verdana" w:cs="Arial"/>
          <w:sz w:val="16"/>
          <w:szCs w:val="16"/>
        </w:rPr>
        <w:footnoteRef/>
      </w:r>
      <w:r w:rsidRPr="007D13F2">
        <w:rPr>
          <w:rFonts w:ascii="Verdana" w:hAnsi="Verdana" w:cs="Arial"/>
          <w:sz w:val="16"/>
          <w:szCs w:val="16"/>
        </w:rPr>
        <w:t xml:space="preserve"> </w:t>
      </w:r>
      <w:r w:rsidRPr="007D13F2">
        <w:rPr>
          <w:rFonts w:ascii="Verdana" w:eastAsia="Calibri" w:hAnsi="Verdana" w:cs="Arial"/>
          <w:sz w:val="16"/>
          <w:szCs w:val="16"/>
        </w:rPr>
        <w:t xml:space="preserve">Consejo de Estado. Sala de Consulta y Servicio Civil. Concepto del 10 de agosto de 2015. Expediente: 11001-03-06-000-2015-00118-00 (2.260). C.P. Álvaro Namén Vargas. </w:t>
      </w:r>
    </w:p>
  </w:footnote>
  <w:footnote w:id="4">
    <w:p w14:paraId="29E22724" w14:textId="77777777" w:rsidR="00F92583" w:rsidRPr="007D13F2" w:rsidRDefault="00F92583" w:rsidP="00F92583">
      <w:pPr>
        <w:pStyle w:val="Textonotapie"/>
        <w:ind w:firstLine="708"/>
        <w:jc w:val="both"/>
        <w:rPr>
          <w:rFonts w:ascii="Verdana" w:eastAsia="Calibri" w:hAnsi="Verdana" w:cs="Arial"/>
          <w:sz w:val="16"/>
          <w:szCs w:val="16"/>
        </w:rPr>
      </w:pPr>
      <w:r w:rsidRPr="007D13F2">
        <w:rPr>
          <w:rStyle w:val="Refdenotaalpie"/>
          <w:rFonts w:ascii="Verdana" w:hAnsi="Verdana" w:cs="Arial"/>
          <w:sz w:val="16"/>
          <w:szCs w:val="16"/>
        </w:rPr>
        <w:footnoteRef/>
      </w:r>
      <w:r w:rsidRPr="007D13F2">
        <w:rPr>
          <w:rFonts w:ascii="Verdana" w:hAnsi="Verdana" w:cs="Arial"/>
          <w:sz w:val="16"/>
          <w:szCs w:val="16"/>
        </w:rPr>
        <w:t xml:space="preserve"> </w:t>
      </w:r>
      <w:r w:rsidRPr="007D13F2">
        <w:rPr>
          <w:rFonts w:ascii="Verdana" w:eastAsia="Calibri" w:hAnsi="Verdana" w:cs="Arial"/>
          <w:sz w:val="16"/>
          <w:szCs w:val="16"/>
        </w:rPr>
        <w:t>Consejo de Estado. Sección Tercera. Subsección B. Providencia del 5 de diciembre de 2016. Expediente: 05001-23-31-000-2003-03663-01 (41.333). C. P. Ramiro Pazos Guerrero. Allí se dijo que “es deber de los servidores evitar que prevalezca el interés particular sobre el general, de manera que para garantizar tal propósito el legislador ha establecido toda una reglamentación para propender por la transparencia en la adopción de decisiones, la cual no solo está contenida en la Ley 80 de 1993 o en los régimen especiales de contratación estatal, sino en otro tipo de normas, verbigracia en los ordenamientos disciplinarios, los que regulan el funcionamiento de los entes territoriales  o la actividad de la administración, etc.</w:t>
      </w:r>
      <w:r w:rsidRPr="007D13F2">
        <w:rPr>
          <w:rFonts w:ascii="Verdana" w:eastAsia="Calibri" w:hAnsi="Verdana" w:cs="Arial"/>
          <w:sz w:val="16"/>
          <w:szCs w:val="16"/>
        </w:rPr>
        <w:tab/>
      </w:r>
    </w:p>
    <w:p w14:paraId="64044CD8" w14:textId="77777777" w:rsidR="00F92583" w:rsidRPr="007D13F2" w:rsidRDefault="00F92583" w:rsidP="00F92583">
      <w:pPr>
        <w:pStyle w:val="Textonotapie"/>
        <w:ind w:firstLine="708"/>
        <w:jc w:val="both"/>
        <w:rPr>
          <w:rFonts w:ascii="Verdana" w:eastAsia="Calibri" w:hAnsi="Verdana" w:cs="Arial"/>
          <w:sz w:val="16"/>
          <w:szCs w:val="16"/>
        </w:rPr>
      </w:pPr>
      <w:r w:rsidRPr="007D13F2">
        <w:rPr>
          <w:rFonts w:ascii="Verdana" w:eastAsia="Calibri" w:hAnsi="Verdana" w:cs="Arial"/>
          <w:sz w:val="16"/>
          <w:szCs w:val="16"/>
        </w:rPr>
        <w:t>27.6. No sobra decir que con toda razón, el Consejo de Estado ha considerado que el régimen de inhabilidades e incompatibilidades se justifica en la prevalencia de los intereses estatales y en los principios y valores de igualdad, moralidad, ética, corrección, probidad, trasparencia e imparcialidad”.</w:t>
      </w:r>
    </w:p>
  </w:footnote>
  <w:footnote w:id="5">
    <w:p w14:paraId="1404E039" w14:textId="77777777" w:rsidR="00F92583" w:rsidRPr="007D13F2" w:rsidRDefault="00F92583" w:rsidP="00F92583">
      <w:pPr>
        <w:pStyle w:val="Textonotapie"/>
        <w:ind w:firstLine="708"/>
        <w:jc w:val="both"/>
        <w:rPr>
          <w:rFonts w:ascii="Verdana" w:hAnsi="Verdana" w:cs="Arial"/>
          <w:sz w:val="16"/>
          <w:szCs w:val="16"/>
        </w:rPr>
      </w:pPr>
      <w:r w:rsidRPr="007D13F2">
        <w:rPr>
          <w:rStyle w:val="Refdenotaalpie"/>
          <w:rFonts w:ascii="Verdana" w:hAnsi="Verdana" w:cs="Arial"/>
          <w:sz w:val="16"/>
          <w:szCs w:val="16"/>
        </w:rPr>
        <w:footnoteRef/>
      </w:r>
      <w:r w:rsidRPr="007D13F2">
        <w:rPr>
          <w:rFonts w:ascii="Verdana" w:hAnsi="Verdana" w:cs="Arial"/>
          <w:sz w:val="16"/>
          <w:szCs w:val="16"/>
        </w:rPr>
        <w:t xml:space="preserve"> Decreto 1082 de 2015: “Artículo 2.2.1.1.1.5.3. Requisitos habilitantes contenidos en el RUP. Las cámaras de comercio, con base en la información a la que hace referencia el artículo anterior, deben verificar y certificar los siguientes requisitos habilitantes:</w:t>
      </w:r>
    </w:p>
    <w:p w14:paraId="1A1AB7D0" w14:textId="77777777" w:rsidR="00F92583" w:rsidRPr="007D13F2" w:rsidRDefault="00F92583" w:rsidP="00F92583">
      <w:pPr>
        <w:pStyle w:val="Textonotapie"/>
        <w:ind w:firstLine="708"/>
        <w:jc w:val="both"/>
        <w:rPr>
          <w:rFonts w:ascii="Verdana" w:hAnsi="Verdana" w:cs="Arial"/>
          <w:sz w:val="16"/>
          <w:szCs w:val="16"/>
          <w:lang w:val="es-ES"/>
        </w:rPr>
      </w:pPr>
      <w:r w:rsidRPr="007D13F2">
        <w:rPr>
          <w:rFonts w:ascii="Verdana" w:hAnsi="Verdana" w:cs="Arial"/>
          <w:sz w:val="16"/>
          <w:szCs w:val="16"/>
        </w:rPr>
        <w:t>1. Experiencia – Los contratos celebrados por el interesado para cada uno de los bienes, obras y servicios que ofrecerá a las Entidades Estatales, identificados con el Clasificador de Bienes y Servicios en el tercer nivel y su valor expresado en SMMLV. […]”.</w:t>
      </w:r>
    </w:p>
  </w:footnote>
  <w:footnote w:id="6">
    <w:p w14:paraId="0E0A5685" w14:textId="77777777" w:rsidR="00F92583" w:rsidRPr="007D13F2" w:rsidRDefault="00F92583" w:rsidP="00F92583">
      <w:pPr>
        <w:pStyle w:val="Textonotapie"/>
        <w:ind w:firstLine="708"/>
        <w:jc w:val="both"/>
        <w:rPr>
          <w:rFonts w:ascii="Verdana" w:hAnsi="Verdana" w:cs="Arial"/>
          <w:sz w:val="16"/>
          <w:szCs w:val="16"/>
        </w:rPr>
      </w:pPr>
      <w:r w:rsidRPr="007D13F2">
        <w:rPr>
          <w:rStyle w:val="Refdenotaalpie"/>
          <w:rFonts w:ascii="Verdana" w:hAnsi="Verdana" w:cs="Arial"/>
          <w:sz w:val="16"/>
          <w:szCs w:val="16"/>
        </w:rPr>
        <w:footnoteRef/>
      </w:r>
      <w:r w:rsidRPr="007D13F2">
        <w:rPr>
          <w:rFonts w:ascii="Verdana" w:hAnsi="Verdana" w:cs="Arial"/>
          <w:sz w:val="16"/>
          <w:szCs w:val="16"/>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3DA5E962" w14:textId="77777777" w:rsidR="00F92583" w:rsidRPr="007D13F2" w:rsidRDefault="00F92583" w:rsidP="00F92583">
      <w:pPr>
        <w:pStyle w:val="Textonotapie"/>
        <w:ind w:firstLine="708"/>
        <w:jc w:val="both"/>
        <w:rPr>
          <w:rFonts w:ascii="Verdana" w:hAnsi="Verdana" w:cs="Arial"/>
          <w:sz w:val="16"/>
          <w:szCs w:val="16"/>
        </w:rPr>
      </w:pPr>
      <w:r w:rsidRPr="007D13F2">
        <w:rPr>
          <w:rFonts w:ascii="Verdana" w:hAnsi="Verdana" w:cs="Arial"/>
          <w:sz w:val="16"/>
          <w:szCs w:val="16"/>
        </w:rPr>
        <w:t>[...]</w:t>
      </w:r>
    </w:p>
    <w:p w14:paraId="20F72FDE" w14:textId="77777777" w:rsidR="00F92583" w:rsidRPr="007D13F2" w:rsidRDefault="00F92583" w:rsidP="00F92583">
      <w:pPr>
        <w:pStyle w:val="Textonotapie"/>
        <w:ind w:firstLine="708"/>
        <w:jc w:val="both"/>
        <w:rPr>
          <w:rFonts w:ascii="Verdana" w:hAnsi="Verdana" w:cs="Arial"/>
          <w:sz w:val="16"/>
          <w:szCs w:val="16"/>
        </w:rPr>
      </w:pPr>
      <w:r w:rsidRPr="007D13F2">
        <w:rPr>
          <w:rFonts w:ascii="Verdana" w:hAnsi="Verdana" w:cs="Arial"/>
          <w:sz w:val="16"/>
          <w:szCs w:val="16"/>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45F41444" w14:textId="77777777" w:rsidR="00F92583" w:rsidRPr="007D13F2" w:rsidRDefault="00F92583" w:rsidP="00F92583">
      <w:pPr>
        <w:pStyle w:val="Textonotapie"/>
        <w:ind w:firstLine="708"/>
        <w:jc w:val="both"/>
        <w:rPr>
          <w:rFonts w:ascii="Verdana" w:hAnsi="Verdana" w:cs="Arial"/>
          <w:sz w:val="16"/>
          <w:szCs w:val="16"/>
          <w:lang w:val="es-ES"/>
        </w:rPr>
      </w:pPr>
      <w:r w:rsidRPr="007D13F2">
        <w:rPr>
          <w:rFonts w:ascii="Verdana" w:hAnsi="Verdana" w:cs="Arial"/>
          <w:sz w:val="16"/>
          <w:szCs w:val="16"/>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7">
    <w:p w14:paraId="3FBA4C85" w14:textId="77777777" w:rsidR="00F92583" w:rsidRPr="007D13F2" w:rsidRDefault="00F92583" w:rsidP="00F92583">
      <w:pPr>
        <w:pStyle w:val="Textonotapie"/>
        <w:ind w:firstLine="708"/>
        <w:jc w:val="both"/>
        <w:rPr>
          <w:rFonts w:ascii="Verdana" w:hAnsi="Verdana" w:cs="Arial"/>
          <w:sz w:val="16"/>
          <w:szCs w:val="16"/>
        </w:rPr>
      </w:pPr>
      <w:r w:rsidRPr="007D13F2">
        <w:rPr>
          <w:rStyle w:val="Refdenotaalpie"/>
          <w:rFonts w:ascii="Verdana" w:hAnsi="Verdana" w:cs="Arial"/>
          <w:sz w:val="16"/>
          <w:szCs w:val="16"/>
        </w:rPr>
        <w:footnoteRef/>
      </w:r>
      <w:r w:rsidRPr="007D13F2">
        <w:rPr>
          <w:rFonts w:ascii="Verdana" w:hAnsi="Verdana" w:cs="Arial"/>
          <w:sz w:val="16"/>
          <w:szCs w:val="16"/>
        </w:rPr>
        <w:t xml:space="preserve"> Decreto 1082 de 2015: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69165FA8" w14:textId="77777777" w:rsidR="00F92583" w:rsidRPr="007D13F2" w:rsidRDefault="00F92583" w:rsidP="00F92583">
      <w:pPr>
        <w:pStyle w:val="Textonotapie"/>
        <w:ind w:firstLine="709"/>
        <w:jc w:val="both"/>
        <w:rPr>
          <w:rFonts w:ascii="Verdana" w:hAnsi="Verdana" w:cs="Arial"/>
          <w:sz w:val="16"/>
          <w:szCs w:val="16"/>
        </w:rPr>
      </w:pPr>
      <w:r w:rsidRPr="007D13F2">
        <w:rPr>
          <w:rFonts w:ascii="Verdana" w:hAnsi="Verdana" w:cs="Arial"/>
          <w:sz w:val="16"/>
          <w:szCs w:val="16"/>
        </w:rPr>
        <w:t>1. Si es una persona natural:</w:t>
      </w:r>
    </w:p>
    <w:p w14:paraId="1A60ABF7" w14:textId="77777777" w:rsidR="00F92583" w:rsidRPr="007D13F2" w:rsidRDefault="00F92583" w:rsidP="00F92583">
      <w:pPr>
        <w:pStyle w:val="Textonotapie"/>
        <w:ind w:firstLine="709"/>
        <w:jc w:val="both"/>
        <w:rPr>
          <w:rFonts w:ascii="Verdana" w:hAnsi="Verdana" w:cs="Arial"/>
          <w:sz w:val="16"/>
          <w:szCs w:val="16"/>
        </w:rPr>
      </w:pPr>
      <w:r w:rsidRPr="007D13F2">
        <w:rPr>
          <w:rFonts w:ascii="Verdana" w:hAnsi="Verdana" w:cs="Arial"/>
          <w:sz w:val="16"/>
          <w:szCs w:val="16"/>
        </w:rPr>
        <w:t>1.1. Bienes, obras y servicios que ofrecerá a las Entidades Estatales, identificados con el Clasificador de Bienes y Servicios en el tercer nivel.</w:t>
      </w:r>
    </w:p>
    <w:p w14:paraId="09B1E6D8" w14:textId="77777777" w:rsidR="00F92583" w:rsidRPr="007D13F2" w:rsidRDefault="00F92583" w:rsidP="00F92583">
      <w:pPr>
        <w:pStyle w:val="Textonotapie"/>
        <w:ind w:firstLine="709"/>
        <w:jc w:val="both"/>
        <w:rPr>
          <w:rFonts w:ascii="Verdana" w:hAnsi="Verdana" w:cs="Arial"/>
          <w:sz w:val="16"/>
          <w:szCs w:val="16"/>
        </w:rPr>
      </w:pPr>
      <w:r w:rsidRPr="007D13F2">
        <w:rPr>
          <w:rFonts w:ascii="Verdana" w:hAnsi="Verdana" w:cs="Arial"/>
          <w:sz w:val="16"/>
          <w:szCs w:val="16"/>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footnote>
  <w:footnote w:id="8">
    <w:p w14:paraId="08F1A438" w14:textId="77777777" w:rsidR="00F92583" w:rsidRPr="007D13F2" w:rsidRDefault="00F92583" w:rsidP="00F92583">
      <w:pPr>
        <w:pStyle w:val="Textonotapie"/>
        <w:ind w:firstLine="708"/>
        <w:jc w:val="both"/>
        <w:rPr>
          <w:rFonts w:ascii="Verdana" w:hAnsi="Verdana" w:cs="Arial"/>
          <w:sz w:val="16"/>
          <w:szCs w:val="16"/>
          <w:lang w:val="es-CO"/>
        </w:rPr>
      </w:pPr>
      <w:r w:rsidRPr="007D13F2">
        <w:rPr>
          <w:rStyle w:val="Refdenotaalpie"/>
          <w:rFonts w:ascii="Verdana" w:hAnsi="Verdana" w:cs="Arial"/>
          <w:sz w:val="16"/>
          <w:szCs w:val="16"/>
        </w:rPr>
        <w:footnoteRef/>
      </w:r>
      <w:r w:rsidRPr="002C47E1">
        <w:rPr>
          <w:rFonts w:ascii="Verdana" w:hAnsi="Verdana" w:cs="Arial"/>
          <w:sz w:val="16"/>
          <w:szCs w:val="16"/>
          <w:lang w:val="pt-BR"/>
        </w:rPr>
        <w:t xml:space="preserve"> CORTE CONSTITUCIONAL. </w:t>
      </w:r>
      <w:r w:rsidRPr="002C47E1">
        <w:rPr>
          <w:rFonts w:ascii="Verdana" w:hAnsi="Verdana" w:cs="Arial"/>
          <w:color w:val="2D2D2D"/>
          <w:sz w:val="16"/>
          <w:szCs w:val="16"/>
          <w:shd w:val="clear" w:color="auto" w:fill="FFFFFF"/>
          <w:lang w:val="pt-BR"/>
        </w:rPr>
        <w:t xml:space="preserve">Sentencia C-1016 de 2012. </w:t>
      </w:r>
      <w:r>
        <w:rPr>
          <w:rFonts w:ascii="Verdana" w:hAnsi="Verdana" w:cs="Arial"/>
          <w:color w:val="2D2D2D"/>
          <w:sz w:val="16"/>
          <w:szCs w:val="16"/>
          <w:shd w:val="clear" w:color="auto" w:fill="FFFFFF"/>
        </w:rPr>
        <w:t xml:space="preserve">M.P. </w:t>
      </w:r>
      <w:r w:rsidRPr="00A913CE">
        <w:rPr>
          <w:rFonts w:ascii="Verdana" w:hAnsi="Verdana" w:cs="Arial"/>
          <w:color w:val="2D2D2D"/>
          <w:sz w:val="16"/>
          <w:szCs w:val="16"/>
          <w:shd w:val="clear" w:color="auto" w:fill="FFFFFF"/>
        </w:rPr>
        <w:t>Jorge Iván Palacio Palacio</w:t>
      </w:r>
      <w:r>
        <w:rPr>
          <w:rFonts w:ascii="Verdana" w:hAnsi="Verdana" w:cs="Arial"/>
          <w:color w:val="2D2D2D"/>
          <w:sz w:val="16"/>
          <w:szCs w:val="16"/>
          <w:shd w:val="clear" w:color="auto" w:fill="FFFFFF"/>
        </w:rPr>
        <w:t>.</w:t>
      </w:r>
    </w:p>
  </w:footnote>
  <w:footnote w:id="9">
    <w:p w14:paraId="3935B137" w14:textId="77777777" w:rsidR="00F92583" w:rsidRPr="000C6248" w:rsidRDefault="00F92583" w:rsidP="00F92583">
      <w:pPr>
        <w:pStyle w:val="Textonotapie"/>
        <w:ind w:firstLine="708"/>
        <w:jc w:val="both"/>
        <w:rPr>
          <w:rFonts w:ascii="Verdana" w:hAnsi="Verdana"/>
          <w:sz w:val="16"/>
          <w:szCs w:val="16"/>
          <w:lang w:val="en-US"/>
        </w:rPr>
      </w:pPr>
      <w:r w:rsidRPr="000C6248">
        <w:rPr>
          <w:rStyle w:val="Refdenotaalpie"/>
          <w:rFonts w:ascii="Verdana" w:hAnsi="Verdana"/>
          <w:sz w:val="16"/>
          <w:szCs w:val="16"/>
        </w:rPr>
        <w:footnoteRef/>
      </w:r>
      <w:r w:rsidRPr="000C6248">
        <w:rPr>
          <w:rFonts w:ascii="Verdana" w:hAnsi="Verdana"/>
          <w:sz w:val="16"/>
          <w:szCs w:val="16"/>
        </w:rPr>
        <w:t xml:space="preserve"> </w:t>
      </w:r>
      <w:r w:rsidRPr="002574F9">
        <w:rPr>
          <w:rFonts w:ascii="Verdana" w:hAnsi="Verdana" w:cs="Arial"/>
          <w:color w:val="000000" w:themeColor="text1"/>
          <w:sz w:val="16"/>
          <w:szCs w:val="16"/>
        </w:rPr>
        <w:t>PALACIO HINCAPÉ, Juan Ángel. La contratación de las entidades estatales. Novena. Edición. Medellín: Librería Jurídica Sánchez, 2025. p.</w:t>
      </w:r>
      <w:r>
        <w:rPr>
          <w:rFonts w:ascii="Verdana" w:hAnsi="Verdana" w:cs="Arial"/>
          <w:color w:val="000000" w:themeColor="text1"/>
          <w:sz w:val="16"/>
          <w:szCs w:val="16"/>
        </w:rPr>
        <w:t xml:space="preserve"> 201.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51C0253"/>
    <w:multiLevelType w:val="hybridMultilevel"/>
    <w:tmpl w:val="BE9E2BB6"/>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 w:numId="18" w16cid:durableId="158965613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A7249"/>
    <w:rsid w:val="000B19B9"/>
    <w:rsid w:val="000B432B"/>
    <w:rsid w:val="000D0334"/>
    <w:rsid w:val="000D5DA7"/>
    <w:rsid w:val="000F6486"/>
    <w:rsid w:val="00115315"/>
    <w:rsid w:val="00116940"/>
    <w:rsid w:val="00125105"/>
    <w:rsid w:val="00127233"/>
    <w:rsid w:val="0015699B"/>
    <w:rsid w:val="001A33BF"/>
    <w:rsid w:val="001E4177"/>
    <w:rsid w:val="001F0B24"/>
    <w:rsid w:val="001F7DC6"/>
    <w:rsid w:val="00217BF3"/>
    <w:rsid w:val="0022400B"/>
    <w:rsid w:val="002309D9"/>
    <w:rsid w:val="002421BB"/>
    <w:rsid w:val="0025796E"/>
    <w:rsid w:val="002707A2"/>
    <w:rsid w:val="002951A0"/>
    <w:rsid w:val="002962BC"/>
    <w:rsid w:val="002A093D"/>
    <w:rsid w:val="002A0DD0"/>
    <w:rsid w:val="002A49AC"/>
    <w:rsid w:val="002A64FD"/>
    <w:rsid w:val="002C47E1"/>
    <w:rsid w:val="002C7A84"/>
    <w:rsid w:val="002D146B"/>
    <w:rsid w:val="002E2BF8"/>
    <w:rsid w:val="002E4FD9"/>
    <w:rsid w:val="0030657A"/>
    <w:rsid w:val="00322A85"/>
    <w:rsid w:val="00324168"/>
    <w:rsid w:val="00330834"/>
    <w:rsid w:val="003448F4"/>
    <w:rsid w:val="00374F5E"/>
    <w:rsid w:val="00377E3E"/>
    <w:rsid w:val="00387CFF"/>
    <w:rsid w:val="003A779E"/>
    <w:rsid w:val="003D0F4D"/>
    <w:rsid w:val="003D5B0D"/>
    <w:rsid w:val="003E0499"/>
    <w:rsid w:val="003E4F80"/>
    <w:rsid w:val="003E6439"/>
    <w:rsid w:val="003F3941"/>
    <w:rsid w:val="00406575"/>
    <w:rsid w:val="00414C74"/>
    <w:rsid w:val="0042722E"/>
    <w:rsid w:val="0043281E"/>
    <w:rsid w:val="0044528D"/>
    <w:rsid w:val="004631DF"/>
    <w:rsid w:val="00466E39"/>
    <w:rsid w:val="00487D0E"/>
    <w:rsid w:val="004A06AE"/>
    <w:rsid w:val="004A1847"/>
    <w:rsid w:val="004A305D"/>
    <w:rsid w:val="004D6400"/>
    <w:rsid w:val="004F21C4"/>
    <w:rsid w:val="004F685F"/>
    <w:rsid w:val="005566E8"/>
    <w:rsid w:val="00570595"/>
    <w:rsid w:val="00574867"/>
    <w:rsid w:val="005750C6"/>
    <w:rsid w:val="00591460"/>
    <w:rsid w:val="005A65E0"/>
    <w:rsid w:val="005C3777"/>
    <w:rsid w:val="005C5CDC"/>
    <w:rsid w:val="005D476C"/>
    <w:rsid w:val="005E2373"/>
    <w:rsid w:val="006200BF"/>
    <w:rsid w:val="006219F8"/>
    <w:rsid w:val="006302F7"/>
    <w:rsid w:val="00646B9F"/>
    <w:rsid w:val="00665D70"/>
    <w:rsid w:val="006900D9"/>
    <w:rsid w:val="006B6170"/>
    <w:rsid w:val="00705786"/>
    <w:rsid w:val="00706C16"/>
    <w:rsid w:val="0071259C"/>
    <w:rsid w:val="007340C3"/>
    <w:rsid w:val="0075235A"/>
    <w:rsid w:val="00756841"/>
    <w:rsid w:val="007649AB"/>
    <w:rsid w:val="00771D0C"/>
    <w:rsid w:val="007833AC"/>
    <w:rsid w:val="007B268C"/>
    <w:rsid w:val="007B7171"/>
    <w:rsid w:val="007B74F3"/>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50B0"/>
    <w:rsid w:val="0095685E"/>
    <w:rsid w:val="00961B09"/>
    <w:rsid w:val="00965334"/>
    <w:rsid w:val="0097093E"/>
    <w:rsid w:val="009925B5"/>
    <w:rsid w:val="0099450F"/>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F4DA5"/>
    <w:rsid w:val="00B00C0E"/>
    <w:rsid w:val="00B01B1A"/>
    <w:rsid w:val="00B0381D"/>
    <w:rsid w:val="00B44A47"/>
    <w:rsid w:val="00B72CD3"/>
    <w:rsid w:val="00B72FFF"/>
    <w:rsid w:val="00BC3D36"/>
    <w:rsid w:val="00BD4948"/>
    <w:rsid w:val="00BD54A6"/>
    <w:rsid w:val="00BD7F72"/>
    <w:rsid w:val="00BF7425"/>
    <w:rsid w:val="00C04FB3"/>
    <w:rsid w:val="00C11D8B"/>
    <w:rsid w:val="00C15139"/>
    <w:rsid w:val="00C330EB"/>
    <w:rsid w:val="00C42169"/>
    <w:rsid w:val="00C50D69"/>
    <w:rsid w:val="00C5365C"/>
    <w:rsid w:val="00C678A6"/>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D75F5"/>
    <w:rsid w:val="00DF5254"/>
    <w:rsid w:val="00E02524"/>
    <w:rsid w:val="00E16408"/>
    <w:rsid w:val="00E20894"/>
    <w:rsid w:val="00E245AB"/>
    <w:rsid w:val="00E2764C"/>
    <w:rsid w:val="00E27F2E"/>
    <w:rsid w:val="00E50AFE"/>
    <w:rsid w:val="00E66873"/>
    <w:rsid w:val="00E75C92"/>
    <w:rsid w:val="00E771DC"/>
    <w:rsid w:val="00E864D7"/>
    <w:rsid w:val="00E8772A"/>
    <w:rsid w:val="00E90F6B"/>
    <w:rsid w:val="00E92C27"/>
    <w:rsid w:val="00EA0E3D"/>
    <w:rsid w:val="00EC38A7"/>
    <w:rsid w:val="00EE1AA8"/>
    <w:rsid w:val="00F23FEA"/>
    <w:rsid w:val="00F31EDC"/>
    <w:rsid w:val="00F462B3"/>
    <w:rsid w:val="00F5664F"/>
    <w:rsid w:val="00F666C4"/>
    <w:rsid w:val="00F7517E"/>
    <w:rsid w:val="00F76AFC"/>
    <w:rsid w:val="00F92583"/>
    <w:rsid w:val="00FA47C0"/>
    <w:rsid w:val="00FB5DD1"/>
    <w:rsid w:val="00FC2B5D"/>
    <w:rsid w:val="00FF1449"/>
    <w:rsid w:val="00FF7963"/>
    <w:rsid w:val="071B8F93"/>
    <w:rsid w:val="07C73DD1"/>
    <w:rsid w:val="09908A09"/>
    <w:rsid w:val="0EFE6349"/>
    <w:rsid w:val="0FF4CCA8"/>
    <w:rsid w:val="13CFC91B"/>
    <w:rsid w:val="19A2EC2C"/>
    <w:rsid w:val="1E611919"/>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9258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92583"/>
    <w:rPr>
      <w:rFonts w:ascii="Geomanist Light" w:hAnsi="Geomanist Light"/>
      <w:lang w:val="es-ES"/>
    </w:rPr>
  </w:style>
  <w:style w:type="character" w:customStyle="1" w:styleId="s15">
    <w:name w:val="s15"/>
    <w:basedOn w:val="Fuentedeprrafopredeter"/>
    <w:rsid w:val="00F92583"/>
  </w:style>
  <w:style w:type="character" w:customStyle="1" w:styleId="NormalWebCar">
    <w:name w:val="Normal (Web) Car"/>
    <w:link w:val="NormalWeb"/>
    <w:uiPriority w:val="99"/>
    <w:rsid w:val="00F92583"/>
    <w:rPr>
      <w:rFonts w:ascii="Times New Roman" w:eastAsia="Times New Roman" w:hAnsi="Times New Roman" w:cs="Times New Roman"/>
      <w:sz w:val="24"/>
      <w:szCs w:val="24"/>
      <w:lang w:eastAsia="es-CO"/>
    </w:rPr>
  </w:style>
  <w:style w:type="character" w:customStyle="1" w:styleId="spellingerror">
    <w:name w:val="spellingerror"/>
    <w:basedOn w:val="Fuentedeprrafopredeter"/>
    <w:rsid w:val="00F925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forms.office.com/r/pPHyWVs2SZ" TargetMode="Externa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www.colombiacompra.gov.co/normativa-y-relatoria/documentos-tipo"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formacionvirtual.colombiacompra.gov.co/mod/page/view.php?id=3718" TargetMode="External"/><Relationship Id="rId20" Type="http://schemas.openxmlformats.org/officeDocument/2006/relationships/hyperlink" Target="https://www.colombiacompra.gov.co/pqrsd/informacion-importante-antes-de-formular-una-pqrsd"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ehermemo@hotmail.com" TargetMode="External"/><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23"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hyperlink" Target="mailto:ventanilladeradicacion@colombiacompra.gov.co"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wp-content/uploads/2024/08/cce-eicp-ma-04._manual_requisitos_habilitantes_v3_29-09-2023.pdf" TargetMode="External"/><Relationship Id="rId22"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AD4C7CC-099A-4E44-B7A0-C41B0E75B6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22</Pages>
  <Words>7200</Words>
  <Characters>39605</Characters>
  <Application>Microsoft Office Word</Application>
  <DocSecurity>0</DocSecurity>
  <Lines>330</Lines>
  <Paragraphs>93</Paragraphs>
  <ScaleCrop>false</ScaleCrop>
  <Company/>
  <LinksUpToDate>false</LinksUpToDate>
  <CharactersWithSpaces>46712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2026-05-27T15:26:00Z</dcterms:created>
  <dcterms:modified xsi:type="dcterms:W3CDTF">2026-05-28T21:09:00Z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