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A33641" w14:textId="77777777" w:rsidR="009C6CFE" w:rsidRPr="00817382" w:rsidRDefault="009C6CFE" w:rsidP="009C6CFE">
      <w:pPr>
        <w:tabs>
          <w:tab w:val="left" w:pos="709"/>
        </w:tabs>
        <w:spacing w:after="0" w:line="240" w:lineRule="auto"/>
        <w:jc w:val="both"/>
        <w:rPr>
          <w:rFonts w:ascii="Verdana" w:eastAsia="Calibri" w:hAnsi="Verdana" w:cs="Arial"/>
          <w:bCs/>
          <w:sz w:val="20"/>
          <w:szCs w:val="20"/>
          <w:lang w:val="es-ES_tradnl" w:eastAsia="es-ES_tradnl"/>
        </w:rPr>
      </w:pPr>
    </w:p>
    <w:p w14:paraId="47651E99" w14:textId="77777777" w:rsidR="009C6CFE" w:rsidRPr="00817382" w:rsidRDefault="009C6CFE" w:rsidP="009C6CFE">
      <w:pPr>
        <w:spacing w:after="0" w:line="240" w:lineRule="auto"/>
        <w:jc w:val="both"/>
        <w:rPr>
          <w:rFonts w:ascii="Verdana" w:eastAsia="Calibri" w:hAnsi="Verdana" w:cs="Arial"/>
          <w:b/>
          <w:color w:val="000000" w:themeColor="text1"/>
          <w:lang w:val="es-ES_tradnl"/>
        </w:rPr>
      </w:pPr>
      <w:r w:rsidRPr="00817382">
        <w:rPr>
          <w:rFonts w:ascii="Verdana" w:eastAsia="Calibri" w:hAnsi="Verdana" w:cs="Arial"/>
          <w:b/>
          <w:color w:val="000000" w:themeColor="text1"/>
          <w:lang w:val="es-ES_tradnl"/>
        </w:rPr>
        <w:t xml:space="preserve">EGCAP – Ámbito de aplicación – Entidades estatales </w:t>
      </w:r>
    </w:p>
    <w:p w14:paraId="0D53BC43" w14:textId="77777777" w:rsidR="009C6CFE" w:rsidRPr="00817382" w:rsidRDefault="009C6CFE" w:rsidP="009C6CFE">
      <w:pPr>
        <w:spacing w:after="0" w:line="240" w:lineRule="auto"/>
        <w:jc w:val="both"/>
        <w:rPr>
          <w:rFonts w:ascii="Verdana" w:eastAsia="Calibri" w:hAnsi="Verdana" w:cs="Arial"/>
          <w:bCs/>
          <w:color w:val="000000" w:themeColor="text1"/>
          <w:sz w:val="20"/>
          <w:szCs w:val="20"/>
          <w:lang w:val="es-ES_tradnl"/>
        </w:rPr>
      </w:pPr>
    </w:p>
    <w:p w14:paraId="606A004C" w14:textId="77777777" w:rsidR="009C6CFE" w:rsidRPr="00817382" w:rsidRDefault="009C6CFE" w:rsidP="009C6CFE">
      <w:pPr>
        <w:spacing w:after="0" w:line="240" w:lineRule="auto"/>
        <w:jc w:val="both"/>
        <w:rPr>
          <w:rFonts w:ascii="Verdana" w:eastAsia="Calibri" w:hAnsi="Verdana" w:cs="Arial"/>
          <w:bCs/>
          <w:color w:val="000000" w:themeColor="text1"/>
          <w:sz w:val="20"/>
          <w:szCs w:val="20"/>
          <w:lang w:val="es-ES_tradnl" w:eastAsia="es-ES_tradnl"/>
        </w:rPr>
      </w:pPr>
      <w:r w:rsidRPr="00817382">
        <w:rPr>
          <w:rFonts w:ascii="Verdana" w:eastAsia="Calibri" w:hAnsi="Verdana" w:cs="Arial"/>
          <w:bCs/>
          <w:color w:val="000000" w:themeColor="text1"/>
          <w:sz w:val="20"/>
          <w:szCs w:val="20"/>
          <w:lang w:val="es-ES_tradnl" w:eastAsia="es-ES_tradnl"/>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817382">
        <w:rPr>
          <w:rFonts w:ascii="Verdana" w:eastAsia="Calibri" w:hAnsi="Verdana" w:cs="Arial"/>
          <w:bCs/>
          <w:i/>
          <w:iCs/>
          <w:color w:val="000000" w:themeColor="text1"/>
          <w:sz w:val="20"/>
          <w:szCs w:val="20"/>
          <w:lang w:val="es-ES_tradnl" w:eastAsia="es-ES_tradnl"/>
        </w:rPr>
        <w:t>entidades estatales</w:t>
      </w:r>
      <w:r w:rsidRPr="00817382">
        <w:rPr>
          <w:rFonts w:ascii="Verdana" w:eastAsia="Calibri" w:hAnsi="Verdana" w:cs="Arial"/>
          <w:bCs/>
          <w:color w:val="000000" w:themeColor="text1"/>
          <w:sz w:val="20"/>
          <w:szCs w:val="20"/>
          <w:lang w:val="es-ES_tradnl" w:eastAsia="es-ES_tradnl"/>
        </w:rPr>
        <w:t xml:space="preserve">, esto es, aquellas previstas en los literales a) y b) del numeral 1 del artículo 2 </w:t>
      </w:r>
      <w:r w:rsidRPr="00817382">
        <w:rPr>
          <w:rFonts w:ascii="Verdana" w:eastAsia="Calibri" w:hAnsi="Verdana" w:cs="Arial"/>
          <w:bCs/>
          <w:i/>
          <w:iCs/>
          <w:color w:val="000000" w:themeColor="text1"/>
          <w:sz w:val="20"/>
          <w:szCs w:val="20"/>
          <w:lang w:val="es-ES_tradnl" w:eastAsia="es-ES_tradnl"/>
        </w:rPr>
        <w:t>ibidem</w:t>
      </w:r>
      <w:r w:rsidRPr="00817382">
        <w:rPr>
          <w:rFonts w:ascii="Verdana" w:eastAsia="Calibri" w:hAnsi="Verdana" w:cs="Arial"/>
          <w:bCs/>
          <w:color w:val="000000" w:themeColor="text1"/>
          <w:sz w:val="20"/>
          <w:szCs w:val="20"/>
          <w:lang w:val="es-ES_tradnl" w:eastAsia="es-ES_tradnl"/>
        </w:rPr>
        <w:t xml:space="preserve">. La norma citada define la competencia contractual en los siguientes términos: </w:t>
      </w:r>
    </w:p>
    <w:p w14:paraId="5D9A5905" w14:textId="77777777" w:rsidR="009C6CFE" w:rsidRPr="00817382" w:rsidRDefault="009C6CFE" w:rsidP="009C6CFE">
      <w:pPr>
        <w:spacing w:after="0" w:line="240" w:lineRule="auto"/>
        <w:jc w:val="both"/>
        <w:rPr>
          <w:rFonts w:ascii="Verdana" w:eastAsia="Calibri" w:hAnsi="Verdana" w:cs="Arial"/>
          <w:bCs/>
          <w:color w:val="000000" w:themeColor="text1"/>
          <w:sz w:val="20"/>
          <w:szCs w:val="20"/>
          <w:lang w:val="es-ES_tradnl" w:eastAsia="es-ES_tradnl"/>
        </w:rPr>
      </w:pPr>
    </w:p>
    <w:p w14:paraId="055606DC" w14:textId="77777777" w:rsidR="009C6CFE" w:rsidRPr="00817382" w:rsidRDefault="009C6CFE" w:rsidP="009C6CFE">
      <w:pPr>
        <w:spacing w:after="0" w:line="240" w:lineRule="auto"/>
        <w:jc w:val="both"/>
        <w:rPr>
          <w:rFonts w:ascii="Verdana" w:eastAsia="Calibri" w:hAnsi="Verdana" w:cs="Arial"/>
          <w:bCs/>
          <w:color w:val="000000" w:themeColor="text1"/>
          <w:sz w:val="20"/>
          <w:szCs w:val="20"/>
          <w:lang w:val="es-ES_tradnl" w:eastAsia="es-ES_tradnl"/>
        </w:rPr>
      </w:pPr>
      <w:r w:rsidRPr="00817382">
        <w:rPr>
          <w:rFonts w:ascii="Verdana" w:eastAsia="Calibri" w:hAnsi="Verdana" w:cs="Arial"/>
          <w:bCs/>
          <w:color w:val="000000" w:themeColor="text1"/>
          <w:sz w:val="20"/>
          <w:szCs w:val="20"/>
          <w:lang w:val="es-ES_tradnl" w:eastAsia="es-ES_tradnl"/>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5051EAEE" w14:textId="77777777" w:rsidR="009C6CFE" w:rsidRPr="00817382" w:rsidRDefault="009C6CFE" w:rsidP="009C6CFE">
      <w:pPr>
        <w:spacing w:after="0" w:line="240" w:lineRule="auto"/>
        <w:jc w:val="both"/>
        <w:rPr>
          <w:rFonts w:ascii="Verdana" w:eastAsia="Calibri" w:hAnsi="Verdana" w:cs="Arial"/>
          <w:bCs/>
          <w:color w:val="000000" w:themeColor="text1"/>
          <w:sz w:val="20"/>
          <w:szCs w:val="20"/>
          <w:lang w:val="es-ES_tradnl" w:eastAsia="es-ES_tradnl"/>
        </w:rPr>
      </w:pPr>
      <w:r w:rsidRPr="00817382">
        <w:rPr>
          <w:rFonts w:ascii="Verdana" w:eastAsia="Calibri" w:hAnsi="Verdana" w:cs="Arial"/>
          <w:bCs/>
          <w:color w:val="000000" w:themeColor="text1"/>
          <w:sz w:val="20"/>
          <w:szCs w:val="20"/>
          <w:lang w:val="es-ES_tradnl" w:eastAsia="es-ES_tradnl"/>
        </w:rPr>
        <w:t xml:space="preserve"> </w:t>
      </w:r>
    </w:p>
    <w:p w14:paraId="71AE9176" w14:textId="77777777" w:rsidR="009C6CFE" w:rsidRPr="00817382" w:rsidRDefault="009C6CFE" w:rsidP="009C6CFE">
      <w:pPr>
        <w:spacing w:after="0" w:line="240" w:lineRule="auto"/>
        <w:jc w:val="both"/>
        <w:rPr>
          <w:rFonts w:ascii="Verdana" w:eastAsia="Calibri" w:hAnsi="Verdana" w:cs="Arial"/>
          <w:iCs/>
          <w:color w:val="000000" w:themeColor="text1"/>
          <w:sz w:val="20"/>
          <w:szCs w:val="20"/>
          <w:lang w:val="es-ES_tradnl" w:eastAsia="es-ES_tradnl"/>
        </w:rPr>
      </w:pPr>
      <w:r w:rsidRPr="00817382">
        <w:rPr>
          <w:rFonts w:ascii="Verdana" w:eastAsia="Calibri" w:hAnsi="Verdana" w:cs="Arial"/>
          <w:bCs/>
          <w:color w:val="000000" w:themeColor="text1"/>
          <w:sz w:val="20"/>
          <w:szCs w:val="20"/>
          <w:lang w:val="es-ES_tradnl" w:eastAsia="es-ES_tradnl"/>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817382">
        <w:rPr>
          <w:rFonts w:ascii="Verdana" w:eastAsia="Calibri" w:hAnsi="Verdana" w:cs="Arial"/>
          <w:color w:val="000000" w:themeColor="text1"/>
          <w:sz w:val="20"/>
          <w:szCs w:val="20"/>
          <w:lang w:val="es-ES_tradnl"/>
        </w:rPr>
        <w:t>.</w:t>
      </w:r>
    </w:p>
    <w:p w14:paraId="510F5660" w14:textId="77777777" w:rsidR="009C6CFE" w:rsidRDefault="009C6CFE" w:rsidP="009C6CFE">
      <w:pPr>
        <w:spacing w:after="0" w:line="240" w:lineRule="auto"/>
        <w:jc w:val="both"/>
        <w:rPr>
          <w:rFonts w:ascii="Verdana" w:eastAsia="Calibri" w:hAnsi="Verdana" w:cs="Arial"/>
          <w:b/>
          <w:lang w:val="es-ES_tradnl"/>
        </w:rPr>
      </w:pPr>
    </w:p>
    <w:p w14:paraId="54717A1D" w14:textId="77777777" w:rsidR="009C6CFE" w:rsidRPr="00817382" w:rsidRDefault="009C6CFE" w:rsidP="009C6CFE">
      <w:pPr>
        <w:spacing w:after="0" w:line="240" w:lineRule="auto"/>
        <w:jc w:val="both"/>
        <w:rPr>
          <w:rFonts w:ascii="Verdana" w:eastAsia="Calibri" w:hAnsi="Verdana" w:cs="Arial"/>
          <w:b/>
          <w:lang w:val="es-ES_tradnl"/>
        </w:rPr>
      </w:pPr>
      <w:r w:rsidRPr="00817382">
        <w:rPr>
          <w:rFonts w:ascii="Verdana" w:eastAsia="Calibri" w:hAnsi="Verdana" w:cs="Arial"/>
          <w:b/>
          <w:lang w:val="es-ES_tradnl"/>
        </w:rPr>
        <w:t>ENTIDADES EXCEPTUADAS – Aplicación de normas de derecho público</w:t>
      </w:r>
    </w:p>
    <w:p w14:paraId="20669130" w14:textId="77777777" w:rsidR="009C6CFE" w:rsidRPr="00817382" w:rsidRDefault="009C6CFE" w:rsidP="009C6CFE">
      <w:pPr>
        <w:spacing w:after="0" w:line="240" w:lineRule="auto"/>
        <w:jc w:val="both"/>
        <w:rPr>
          <w:rFonts w:ascii="Verdana" w:eastAsia="Calibri" w:hAnsi="Verdana" w:cs="Arial"/>
          <w:b/>
          <w:sz w:val="20"/>
          <w:szCs w:val="20"/>
          <w:lang w:val="es-ES_tradnl"/>
        </w:rPr>
      </w:pPr>
    </w:p>
    <w:p w14:paraId="19DCB26F" w14:textId="77777777" w:rsidR="009C6CFE" w:rsidRPr="00817382" w:rsidRDefault="009C6CFE" w:rsidP="009C6CFE">
      <w:pPr>
        <w:spacing w:after="0" w:line="240" w:lineRule="auto"/>
        <w:jc w:val="both"/>
        <w:rPr>
          <w:rFonts w:ascii="Verdana" w:eastAsia="Calibri" w:hAnsi="Verdana" w:cs="Arial"/>
          <w:bCs/>
          <w:sz w:val="20"/>
          <w:szCs w:val="20"/>
          <w:lang w:val="es-ES_tradnl"/>
        </w:rPr>
      </w:pPr>
      <w:r w:rsidRPr="00817382">
        <w:rPr>
          <w:rFonts w:ascii="Verdana" w:eastAsia="Calibri" w:hAnsi="Verdana" w:cs="Arial"/>
          <w:bCs/>
          <w:sz w:val="20"/>
          <w:szCs w:val="20"/>
          <w:lang w:val="es-ES_tradnl"/>
        </w:rPr>
        <w:t xml:space="preserve">[…] aunque tenga una influencia limitada, las </w:t>
      </w:r>
      <w:r w:rsidRPr="00817382">
        <w:rPr>
          <w:rFonts w:ascii="Verdana" w:eastAsia="Calibri" w:hAnsi="Verdana" w:cs="Arial"/>
          <w:bCs/>
          <w:i/>
          <w:iCs/>
          <w:sz w:val="20"/>
          <w:szCs w:val="20"/>
          <w:lang w:val="es-ES_tradnl"/>
        </w:rPr>
        <w:t>entidades del régimen exceptuado</w:t>
      </w:r>
      <w:r w:rsidRPr="00817382">
        <w:rPr>
          <w:rFonts w:ascii="Verdana" w:eastAsia="Calibri" w:hAnsi="Verdana" w:cs="Arial"/>
          <w:bCs/>
          <w:sz w:val="20"/>
          <w:szCs w:val="20"/>
          <w:lang w:val="es-ES_tradnl"/>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Pr="00817382">
        <w:rPr>
          <w:rFonts w:ascii="Verdana" w:eastAsia="Calibri" w:hAnsi="Verdana" w:cs="Arial"/>
          <w:color w:val="000000"/>
          <w:sz w:val="20"/>
          <w:szCs w:val="20"/>
          <w:lang w:val="es-ES_tradnl"/>
        </w:rPr>
        <w:t>.</w:t>
      </w:r>
    </w:p>
    <w:p w14:paraId="42B6178D" w14:textId="77777777" w:rsidR="009C6CFE" w:rsidRPr="00817382" w:rsidRDefault="009C6CFE" w:rsidP="009C6CFE">
      <w:pPr>
        <w:spacing w:after="0" w:line="240" w:lineRule="auto"/>
        <w:jc w:val="both"/>
        <w:rPr>
          <w:rFonts w:ascii="Verdana" w:hAnsi="Verdana" w:cs="Arial"/>
          <w:color w:val="000000" w:themeColor="text1"/>
          <w:sz w:val="21"/>
          <w:szCs w:val="21"/>
          <w:lang w:val="es-ES_tradnl"/>
        </w:rPr>
      </w:pPr>
    </w:p>
    <w:p w14:paraId="5EB26426" w14:textId="77777777" w:rsidR="009C6CFE" w:rsidRPr="00817382" w:rsidRDefault="009C6CFE" w:rsidP="009C6CFE">
      <w:pPr>
        <w:spacing w:after="0" w:line="240" w:lineRule="auto"/>
        <w:jc w:val="both"/>
        <w:rPr>
          <w:rFonts w:ascii="Verdana" w:eastAsia="Calibri" w:hAnsi="Verdana" w:cs="Arial"/>
          <w:b/>
          <w:color w:val="000000" w:themeColor="text1"/>
          <w:lang w:val="es-ES_tradnl"/>
        </w:rPr>
      </w:pPr>
      <w:bookmarkStart w:id="0" w:name="_Hlk109118876"/>
      <w:r w:rsidRPr="00817382">
        <w:rPr>
          <w:rFonts w:ascii="Verdana" w:eastAsia="Calibri" w:hAnsi="Verdana" w:cs="Arial"/>
          <w:b/>
          <w:color w:val="000000" w:themeColor="text1"/>
          <w:lang w:val="es-ES_tradnl"/>
        </w:rPr>
        <w:lastRenderedPageBreak/>
        <w:t>CONTRATOS ESTATALES –</w:t>
      </w:r>
      <w:bookmarkEnd w:id="0"/>
      <w:r w:rsidRPr="00817382">
        <w:rPr>
          <w:rFonts w:ascii="Verdana" w:eastAsia="Calibri" w:hAnsi="Verdana" w:cs="Arial"/>
          <w:b/>
          <w:color w:val="000000" w:themeColor="text1"/>
          <w:lang w:val="es-ES_tradnl"/>
        </w:rPr>
        <w:t xml:space="preserve"> Régimen especial – Obligaciones transversales – Manual de contratación – Límites </w:t>
      </w:r>
    </w:p>
    <w:p w14:paraId="7CB8DD2B" w14:textId="77777777" w:rsidR="009C6CFE" w:rsidRPr="00817382" w:rsidRDefault="009C6CFE" w:rsidP="009C6CFE">
      <w:pPr>
        <w:spacing w:after="0" w:line="240" w:lineRule="auto"/>
        <w:jc w:val="both"/>
        <w:rPr>
          <w:rFonts w:ascii="Verdana" w:eastAsia="Calibri" w:hAnsi="Verdana" w:cs="Arial"/>
          <w:b/>
          <w:color w:val="000000" w:themeColor="text1"/>
          <w:lang w:val="es-ES_tradnl"/>
        </w:rPr>
      </w:pPr>
    </w:p>
    <w:p w14:paraId="5B09B2E1" w14:textId="77777777" w:rsidR="009C6CFE" w:rsidRPr="00817382" w:rsidRDefault="009C6CFE" w:rsidP="009C6CFE">
      <w:pPr>
        <w:spacing w:after="0" w:line="240" w:lineRule="auto"/>
        <w:jc w:val="both"/>
        <w:rPr>
          <w:rFonts w:ascii="Verdana" w:hAnsi="Verdana" w:cs="Arial"/>
          <w:color w:val="000000" w:themeColor="text1"/>
          <w:sz w:val="20"/>
          <w:szCs w:val="20"/>
          <w:lang w:val="es-ES_tradnl"/>
        </w:rPr>
      </w:pPr>
      <w:r w:rsidRPr="00817382">
        <w:rPr>
          <w:rFonts w:ascii="Verdana" w:hAnsi="Verdana" w:cs="Arial"/>
          <w:color w:val="000000" w:themeColor="text1"/>
          <w:sz w:val="20"/>
          <w:szCs w:val="20"/>
          <w:lang w:val="es-ES_tradnl"/>
        </w:rPr>
        <w:t>El hecho de que algunas entidades estatales se rijan por el derecho privado en materia contractual no puede entenderse como una negación de lo que establece el artículo 13 de la Ley 1150 de 2007. Este enunciado normativo significó un “retorno del derecho administrativo” para las entidades excluidas, al reiterar que deben cumplir los principios constitucionales de la función administrativa y de la gestión fiscal, así como el régimen de inhabilidades e incompatibilidades previsto legalmente para la contratación estatal; y ahora también publicar su actividad contractual en el SECOP II, de conformidad con el artículo 53 de la Ley 2195 de 2022.</w:t>
      </w:r>
    </w:p>
    <w:p w14:paraId="1E20501C" w14:textId="77777777" w:rsidR="009C6CFE" w:rsidRPr="00817382" w:rsidRDefault="009C6CFE" w:rsidP="009C6CFE">
      <w:pPr>
        <w:spacing w:after="0" w:line="240" w:lineRule="auto"/>
        <w:jc w:val="both"/>
        <w:rPr>
          <w:rFonts w:ascii="Verdana" w:hAnsi="Verdana" w:cs="Arial"/>
          <w:color w:val="000000" w:themeColor="text1"/>
          <w:sz w:val="20"/>
          <w:szCs w:val="20"/>
          <w:lang w:val="es-ES_tradnl"/>
        </w:rPr>
      </w:pPr>
    </w:p>
    <w:p w14:paraId="58AE0B00" w14:textId="77777777" w:rsidR="009C6CFE" w:rsidRPr="00817382" w:rsidRDefault="009C6CFE" w:rsidP="009C6CFE">
      <w:pPr>
        <w:spacing w:after="0" w:line="240" w:lineRule="auto"/>
        <w:jc w:val="both"/>
        <w:rPr>
          <w:rFonts w:ascii="Verdana" w:hAnsi="Verdana" w:cs="Arial"/>
          <w:color w:val="000000" w:themeColor="text1"/>
          <w:sz w:val="20"/>
          <w:szCs w:val="20"/>
          <w:lang w:val="es-ES_tradnl"/>
        </w:rPr>
      </w:pPr>
      <w:r w:rsidRPr="00817382">
        <w:rPr>
          <w:rFonts w:ascii="Verdana" w:hAnsi="Verdana" w:cs="Arial"/>
          <w:color w:val="000000" w:themeColor="text1"/>
          <w:sz w:val="20"/>
          <w:szCs w:val="20"/>
          <w:lang w:val="es-ES_tradnl"/>
        </w:rPr>
        <w:t xml:space="preserve">Adicionalmente, las entidades estatales que, por disposición legal, cuentan con un régimen especial, exceptuado del Estatuto General de Contratación de la Administración Pública –Leyes 80 de 1993, 1150 de 2007 y normas complementarias– pueden expedir un reglamento interno de contratación –comúnmente denominado </w:t>
      </w:r>
      <w:r w:rsidRPr="00817382">
        <w:rPr>
          <w:rFonts w:ascii="Verdana" w:hAnsi="Verdana" w:cs="Arial"/>
          <w:i/>
          <w:color w:val="000000" w:themeColor="text1"/>
          <w:sz w:val="20"/>
          <w:szCs w:val="20"/>
          <w:lang w:val="es-ES_tradnl"/>
        </w:rPr>
        <w:t>manual de contratación</w:t>
      </w:r>
      <w:r w:rsidRPr="00817382">
        <w:rPr>
          <w:rFonts w:ascii="Verdana" w:hAnsi="Verdana" w:cs="Arial"/>
          <w:color w:val="000000" w:themeColor="text1"/>
          <w:sz w:val="20"/>
          <w:szCs w:val="20"/>
          <w:lang w:val="es-ES_tradnl"/>
        </w:rPr>
        <w:t>–, que regule aspectos asociados a la actividad contractual, como los procedimientos de selección, los requisitos de participación, las condiciones de ejecución del contrato, etc. En otras palabras, el manual de contratación de las entidades exceptuadas es un acto administrativo y, de manera más concreta, un reglamento, pues, además de consistir en una manifestación unilateral de voluntad efectuada por la entidad estatal, en ejercicio de función administrativa, dirigida a producir efectos jurídicos, tiene vocación de permanencia en el tiempo. Esto significa que el manual de contratación despliega sus efectos de manera indefinida en el futuro, no agotándose con una sola aplicación.</w:t>
      </w:r>
    </w:p>
    <w:p w14:paraId="27E8EE1F" w14:textId="77777777" w:rsidR="009C6CFE" w:rsidRPr="00817382" w:rsidRDefault="009C6CFE" w:rsidP="009C6CFE">
      <w:pPr>
        <w:spacing w:after="0" w:line="240" w:lineRule="auto"/>
        <w:jc w:val="both"/>
        <w:rPr>
          <w:rFonts w:ascii="Verdana" w:hAnsi="Verdana" w:cs="Arial"/>
          <w:color w:val="000000" w:themeColor="text1"/>
          <w:sz w:val="20"/>
          <w:szCs w:val="20"/>
          <w:lang w:val="es-ES_tradnl"/>
        </w:rPr>
      </w:pPr>
    </w:p>
    <w:p w14:paraId="2E03DD0D" w14:textId="77777777" w:rsidR="009C6CFE" w:rsidRPr="00817382" w:rsidRDefault="009C6CFE" w:rsidP="009C6CFE">
      <w:pPr>
        <w:spacing w:after="0" w:line="240" w:lineRule="auto"/>
        <w:jc w:val="both"/>
        <w:rPr>
          <w:rFonts w:ascii="Verdana" w:hAnsi="Verdana" w:cs="Arial"/>
          <w:color w:val="000000" w:themeColor="text1"/>
          <w:sz w:val="20"/>
          <w:szCs w:val="20"/>
          <w:lang w:val="es-ES_tradnl"/>
        </w:rPr>
      </w:pPr>
      <w:r w:rsidRPr="00817382">
        <w:rPr>
          <w:rFonts w:ascii="Verdana" w:hAnsi="Verdana" w:cs="Arial"/>
          <w:color w:val="000000" w:themeColor="text1"/>
          <w:sz w:val="20"/>
          <w:szCs w:val="20"/>
          <w:lang w:val="es-ES_tradnl"/>
        </w:rPr>
        <w:t xml:space="preserve">Sin embargo, la libertad de configuración reglamentaria de las entidades estatales, expresada en el manual de contratación, no es absoluta, ya que, a pesar de que están facultadas para regular ciertos temas relacionados con la actividad contractual, deben hacerlo respetando la reserva legal de la que gozan ciertas materias. En tal sentido, asuntos como: i) los requisitos de existencia y validez del contrato, </w:t>
      </w:r>
      <w:proofErr w:type="spellStart"/>
      <w:r w:rsidRPr="00817382">
        <w:rPr>
          <w:rFonts w:ascii="Verdana" w:hAnsi="Verdana" w:cs="Arial"/>
          <w:color w:val="000000" w:themeColor="text1"/>
          <w:sz w:val="20"/>
          <w:szCs w:val="20"/>
          <w:lang w:val="es-ES_tradnl"/>
        </w:rPr>
        <w:t>ii</w:t>
      </w:r>
      <w:proofErr w:type="spellEnd"/>
      <w:r w:rsidRPr="00817382">
        <w:rPr>
          <w:rFonts w:ascii="Verdana" w:hAnsi="Verdana" w:cs="Arial"/>
          <w:color w:val="000000" w:themeColor="text1"/>
          <w:sz w:val="20"/>
          <w:szCs w:val="20"/>
          <w:lang w:val="es-ES_tradnl"/>
        </w:rPr>
        <w:t xml:space="preserve">) sanciones, sin perjuicio de las que pueden pactar de acuerdo con las normas civiles y comerciales, </w:t>
      </w:r>
      <w:proofErr w:type="spellStart"/>
      <w:r w:rsidRPr="00817382">
        <w:rPr>
          <w:rFonts w:ascii="Verdana" w:hAnsi="Verdana" w:cs="Arial"/>
          <w:color w:val="000000" w:themeColor="text1"/>
          <w:sz w:val="20"/>
          <w:szCs w:val="20"/>
          <w:lang w:val="es-ES_tradnl"/>
        </w:rPr>
        <w:t>iii</w:t>
      </w:r>
      <w:proofErr w:type="spellEnd"/>
      <w:r w:rsidRPr="00817382">
        <w:rPr>
          <w:rFonts w:ascii="Verdana" w:hAnsi="Verdana" w:cs="Arial"/>
          <w:color w:val="000000" w:themeColor="text1"/>
          <w:sz w:val="20"/>
          <w:szCs w:val="20"/>
          <w:lang w:val="es-ES_tradnl"/>
        </w:rPr>
        <w:t xml:space="preserve">) procedimientos para su imposición, </w:t>
      </w:r>
      <w:proofErr w:type="spellStart"/>
      <w:r w:rsidRPr="00817382">
        <w:rPr>
          <w:rFonts w:ascii="Verdana" w:hAnsi="Verdana" w:cs="Arial"/>
          <w:color w:val="000000" w:themeColor="text1"/>
          <w:sz w:val="20"/>
          <w:szCs w:val="20"/>
          <w:lang w:val="es-ES_tradnl"/>
        </w:rPr>
        <w:t>iv</w:t>
      </w:r>
      <w:proofErr w:type="spellEnd"/>
      <w:r w:rsidRPr="00817382">
        <w:rPr>
          <w:rFonts w:ascii="Verdana" w:hAnsi="Verdana" w:cs="Arial"/>
          <w:color w:val="000000" w:themeColor="text1"/>
          <w:sz w:val="20"/>
          <w:szCs w:val="20"/>
          <w:lang w:val="es-ES_tradnl"/>
        </w:rPr>
        <w:t>) causales de inhabilidad e incompatibilidad, v) el principio de anualidad del gasto, y vi) restricciones al acceso a la administración de justicia para discutir las controversias contractuales, son, entre otros, temas cuya regulación está reservada al legislador y que, por tanto, las entidades exceptuadas no pueden reglamentar en su manual de contratación.</w:t>
      </w:r>
    </w:p>
    <w:p w14:paraId="654401A1" w14:textId="77777777" w:rsidR="009C6CFE" w:rsidRDefault="009C6CFE" w:rsidP="009C6CFE">
      <w:pPr>
        <w:spacing w:after="0"/>
        <w:jc w:val="both"/>
        <w:rPr>
          <w:rFonts w:ascii="Verdana" w:eastAsia="Arial" w:hAnsi="Verdana" w:cs="Arial"/>
          <w:bCs/>
          <w:color w:val="000000"/>
          <w:sz w:val="20"/>
          <w:szCs w:val="20"/>
        </w:rPr>
      </w:pPr>
    </w:p>
    <w:p w14:paraId="7CFF6962" w14:textId="77777777" w:rsidR="009C6CFE" w:rsidRPr="00C72F17" w:rsidRDefault="009C6CFE" w:rsidP="009C6CFE">
      <w:pPr>
        <w:spacing w:after="0"/>
        <w:jc w:val="both"/>
        <w:rPr>
          <w:rFonts w:ascii="Verdana" w:eastAsia="Arial" w:hAnsi="Verdana" w:cs="Arial"/>
          <w:b/>
          <w:color w:val="000000"/>
        </w:rPr>
      </w:pPr>
      <w:r w:rsidRPr="00632FFA">
        <w:rPr>
          <w:rFonts w:ascii="Verdana" w:eastAsia="Arial" w:hAnsi="Verdana" w:cs="Arial"/>
          <w:b/>
          <w:color w:val="000000"/>
        </w:rPr>
        <w:t>SOCIEDADES DE ECONOMÍA MIXTA</w:t>
      </w:r>
      <w:r w:rsidRPr="00C72F17">
        <w:rPr>
          <w:rFonts w:ascii="Verdana" w:eastAsia="Arial" w:hAnsi="Verdana" w:cs="Arial"/>
          <w:b/>
          <w:color w:val="000000"/>
        </w:rPr>
        <w:t xml:space="preserve"> –</w:t>
      </w:r>
      <w:r>
        <w:rPr>
          <w:rFonts w:ascii="Verdana" w:eastAsia="Arial" w:hAnsi="Verdana" w:cs="Arial"/>
          <w:b/>
          <w:color w:val="000000"/>
        </w:rPr>
        <w:t xml:space="preserve"> Participación Mayoritaria del Estado –</w:t>
      </w:r>
      <w:r w:rsidRPr="00C72F17">
        <w:rPr>
          <w:rFonts w:ascii="Verdana" w:eastAsia="Arial" w:hAnsi="Verdana" w:cs="Arial"/>
          <w:b/>
          <w:color w:val="000000"/>
        </w:rPr>
        <w:t xml:space="preserve"> Régimen contractual – Ley 80 de 1993 – Derecho privado  </w:t>
      </w:r>
    </w:p>
    <w:p w14:paraId="6D7AC404" w14:textId="77777777" w:rsidR="009C6CFE" w:rsidRPr="00C72F17" w:rsidRDefault="009C6CFE" w:rsidP="009C6CFE">
      <w:pPr>
        <w:spacing w:after="0"/>
        <w:jc w:val="both"/>
        <w:rPr>
          <w:rFonts w:ascii="Verdana" w:eastAsia="Arial" w:hAnsi="Verdana" w:cs="Arial"/>
          <w:bCs/>
          <w:color w:val="000000"/>
          <w:sz w:val="20"/>
          <w:szCs w:val="20"/>
        </w:rPr>
      </w:pPr>
    </w:p>
    <w:p w14:paraId="19BED18E" w14:textId="77777777" w:rsidR="009C6CFE" w:rsidRPr="002C0402" w:rsidRDefault="009C6CFE" w:rsidP="009C6CFE">
      <w:pPr>
        <w:spacing w:after="0" w:line="240" w:lineRule="auto"/>
        <w:jc w:val="both"/>
        <w:textAlignment w:val="baseline"/>
        <w:rPr>
          <w:rFonts w:ascii="Verdana" w:hAnsi="Verdana" w:cs="Arial"/>
          <w:bCs/>
          <w:sz w:val="20"/>
          <w:szCs w:val="20"/>
          <w:lang w:val="es-ES_tradnl" w:eastAsia="es-CO"/>
        </w:rPr>
      </w:pPr>
      <w:r>
        <w:rPr>
          <w:rFonts w:ascii="Verdana" w:eastAsia="Arial" w:hAnsi="Verdana" w:cs="Arial"/>
          <w:bCs/>
          <w:color w:val="000000"/>
          <w:sz w:val="20"/>
          <w:szCs w:val="20"/>
        </w:rPr>
        <w:t>E</w:t>
      </w:r>
      <w:r w:rsidRPr="00632FFA">
        <w:rPr>
          <w:rFonts w:ascii="Verdana" w:eastAsia="Arial" w:hAnsi="Verdana" w:cs="Arial"/>
          <w:bCs/>
          <w:color w:val="000000"/>
          <w:sz w:val="20"/>
          <w:szCs w:val="20"/>
        </w:rPr>
        <w:t xml:space="preserve">l régimen contractual de las sociedades de economía mixta en las que el Estado tenga participación superior al cincuenta por ciento (50%) que estén en competencia o desarrollen su actividad en mercados regulados es el propio de tal actividad, esto es, por regla general, el derecho privado, salvo las excepciones legales. Aunque estos </w:t>
      </w:r>
      <w:r w:rsidRPr="00632FFA">
        <w:rPr>
          <w:rFonts w:ascii="Verdana" w:eastAsia="Arial" w:hAnsi="Verdana" w:cs="Arial"/>
          <w:bCs/>
          <w:color w:val="000000"/>
          <w:sz w:val="20"/>
          <w:szCs w:val="20"/>
        </w:rPr>
        <w:lastRenderedPageBreak/>
        <w:t>contratos están excluidos de la Ley 80 de 1993, no se rigen exclusivamente por el derecho civil y comercial, pues –conforme al artículo 13 de la Ley 1150 de 2007– aplican tanto los principios de la función administrativa y de la gestión fiscal como el régimen de inhabilidades e incompatibilidades. Por el contrario, aquellas sociedades de economía mixta en las que el Estado tenga participación superior al cincuenta por ciento (50%) que no estén en competencia ni desarrollen su actividad en mercados regulados están sometidas al Estatuto General de Contratación de la Administración Pública y las normas que lo complementan, como lo dispone el artículo 14 de la Ley 1150 de 2007.</w:t>
      </w:r>
      <w:r w:rsidRPr="002C0402">
        <w:rPr>
          <w:rFonts w:ascii="Verdana" w:hAnsi="Verdana" w:cs="Arial"/>
          <w:bCs/>
          <w:sz w:val="20"/>
          <w:szCs w:val="20"/>
          <w:lang w:val="es-ES_tradnl" w:eastAsia="es-CO"/>
        </w:rPr>
        <w:t xml:space="preserve"> </w:t>
      </w:r>
    </w:p>
    <w:p w14:paraId="4879F10E" w14:textId="77777777" w:rsidR="009C6CFE" w:rsidRDefault="009C6CFE" w:rsidP="009C6CFE">
      <w:pPr>
        <w:spacing w:after="0" w:line="240" w:lineRule="auto"/>
        <w:rPr>
          <w:rFonts w:ascii="Verdana" w:eastAsia="Calibri" w:hAnsi="Verdana" w:cs="Arial"/>
          <w:b/>
          <w:color w:val="000000" w:themeColor="text1"/>
          <w:lang w:val="es-ES"/>
        </w:rPr>
      </w:pPr>
    </w:p>
    <w:p w14:paraId="09216FF8" w14:textId="77777777" w:rsidR="009C6CFE" w:rsidRDefault="009C6CFE" w:rsidP="009C6CFE">
      <w:pPr>
        <w:spacing w:after="0" w:line="240" w:lineRule="auto"/>
        <w:rPr>
          <w:rFonts w:ascii="Verdana" w:eastAsia="Calibri" w:hAnsi="Verdana" w:cs="Arial"/>
          <w:b/>
          <w:color w:val="000000" w:themeColor="text1"/>
          <w:lang w:val="es-ES"/>
        </w:rPr>
      </w:pPr>
    </w:p>
    <w:p w14:paraId="62D13450" w14:textId="77777777" w:rsidR="009C6CFE" w:rsidRDefault="009C6CFE" w:rsidP="009C6CFE">
      <w:pPr>
        <w:spacing w:after="0" w:line="240" w:lineRule="auto"/>
        <w:rPr>
          <w:rFonts w:ascii="Verdana" w:eastAsia="Calibri" w:hAnsi="Verdana" w:cs="Arial"/>
          <w:b/>
          <w:color w:val="000000" w:themeColor="text1"/>
          <w:lang w:val="es-ES"/>
        </w:rPr>
      </w:pPr>
    </w:p>
    <w:p w14:paraId="0ED0DC3F" w14:textId="77777777" w:rsidR="009C6CFE" w:rsidRDefault="009C6CFE" w:rsidP="009C6CFE">
      <w:pPr>
        <w:spacing w:after="0" w:line="240" w:lineRule="auto"/>
        <w:rPr>
          <w:rFonts w:ascii="Verdana" w:eastAsia="Calibri" w:hAnsi="Verdana" w:cs="Arial"/>
          <w:b/>
          <w:color w:val="000000" w:themeColor="text1"/>
          <w:lang w:val="es-ES"/>
        </w:rPr>
      </w:pPr>
    </w:p>
    <w:p w14:paraId="7D9E2809" w14:textId="77777777" w:rsidR="009C6CFE" w:rsidRDefault="009C6CFE" w:rsidP="009C6CFE">
      <w:pPr>
        <w:spacing w:after="0" w:line="240" w:lineRule="auto"/>
        <w:rPr>
          <w:rFonts w:ascii="Verdana" w:eastAsia="Calibri" w:hAnsi="Verdana" w:cs="Arial"/>
          <w:b/>
          <w:color w:val="000000" w:themeColor="text1"/>
          <w:lang w:val="es-ES"/>
        </w:rPr>
      </w:pPr>
    </w:p>
    <w:p w14:paraId="3772E897" w14:textId="77777777" w:rsidR="009C6CFE" w:rsidRDefault="009C6CFE" w:rsidP="009C6CFE">
      <w:pPr>
        <w:spacing w:after="0" w:line="240" w:lineRule="auto"/>
        <w:rPr>
          <w:rFonts w:ascii="Verdana" w:eastAsia="Calibri" w:hAnsi="Verdana" w:cs="Arial"/>
          <w:b/>
          <w:color w:val="000000" w:themeColor="text1"/>
          <w:lang w:val="es-ES"/>
        </w:rPr>
      </w:pPr>
    </w:p>
    <w:p w14:paraId="4E51C458" w14:textId="77777777" w:rsidR="009C6CFE" w:rsidRDefault="009C6CFE" w:rsidP="009C6CFE">
      <w:pPr>
        <w:spacing w:after="0" w:line="240" w:lineRule="auto"/>
        <w:rPr>
          <w:rFonts w:ascii="Verdana" w:eastAsia="Calibri" w:hAnsi="Verdana" w:cs="Arial"/>
          <w:b/>
          <w:color w:val="000000" w:themeColor="text1"/>
          <w:lang w:val="es-ES"/>
        </w:rPr>
      </w:pPr>
    </w:p>
    <w:p w14:paraId="31E6357E" w14:textId="77777777" w:rsidR="009C6CFE" w:rsidRDefault="009C6CFE" w:rsidP="009C6CFE">
      <w:pPr>
        <w:spacing w:after="0" w:line="240" w:lineRule="auto"/>
        <w:rPr>
          <w:rFonts w:ascii="Verdana" w:eastAsia="Calibri" w:hAnsi="Verdana" w:cs="Arial"/>
          <w:b/>
          <w:color w:val="000000" w:themeColor="text1"/>
          <w:lang w:val="es-ES"/>
        </w:rPr>
      </w:pPr>
    </w:p>
    <w:p w14:paraId="679EEE39" w14:textId="77777777" w:rsidR="009C6CFE" w:rsidRDefault="009C6CFE" w:rsidP="009C6CFE">
      <w:pPr>
        <w:spacing w:after="0" w:line="240" w:lineRule="auto"/>
        <w:rPr>
          <w:rFonts w:ascii="Verdana" w:eastAsia="Calibri" w:hAnsi="Verdana" w:cs="Arial"/>
          <w:b/>
          <w:color w:val="000000" w:themeColor="text1"/>
          <w:lang w:val="es-ES"/>
        </w:rPr>
      </w:pPr>
    </w:p>
    <w:p w14:paraId="5725FD89" w14:textId="77777777" w:rsidR="009C6CFE" w:rsidRDefault="009C6CFE" w:rsidP="009C6CFE">
      <w:pPr>
        <w:spacing w:after="0" w:line="240" w:lineRule="auto"/>
        <w:rPr>
          <w:rFonts w:ascii="Verdana" w:eastAsia="Calibri" w:hAnsi="Verdana" w:cs="Arial"/>
          <w:b/>
          <w:color w:val="000000" w:themeColor="text1"/>
          <w:lang w:val="es-ES"/>
        </w:rPr>
      </w:pPr>
    </w:p>
    <w:p w14:paraId="677C6222" w14:textId="77777777" w:rsidR="009C6CFE" w:rsidRDefault="009C6CFE" w:rsidP="009C6CFE">
      <w:pPr>
        <w:spacing w:after="0" w:line="240" w:lineRule="auto"/>
        <w:rPr>
          <w:rFonts w:ascii="Verdana" w:eastAsia="Calibri" w:hAnsi="Verdana" w:cs="Arial"/>
          <w:b/>
          <w:color w:val="000000" w:themeColor="text1"/>
          <w:lang w:val="es-ES"/>
        </w:rPr>
      </w:pPr>
    </w:p>
    <w:p w14:paraId="29CDABBD" w14:textId="77777777" w:rsidR="009C6CFE" w:rsidRDefault="009C6CFE" w:rsidP="009C6CFE">
      <w:pPr>
        <w:spacing w:after="0" w:line="240" w:lineRule="auto"/>
        <w:rPr>
          <w:rFonts w:ascii="Verdana" w:eastAsia="Calibri" w:hAnsi="Verdana" w:cs="Arial"/>
          <w:b/>
          <w:color w:val="000000" w:themeColor="text1"/>
          <w:lang w:val="es-ES"/>
        </w:rPr>
      </w:pPr>
    </w:p>
    <w:p w14:paraId="52422F07" w14:textId="77777777" w:rsidR="009C6CFE" w:rsidRDefault="009C6CFE" w:rsidP="009C6CFE">
      <w:pPr>
        <w:spacing w:after="0" w:line="240" w:lineRule="auto"/>
        <w:rPr>
          <w:rFonts w:ascii="Verdana" w:eastAsia="Calibri" w:hAnsi="Verdana" w:cs="Arial"/>
          <w:b/>
          <w:color w:val="000000" w:themeColor="text1"/>
          <w:lang w:val="es-ES"/>
        </w:rPr>
      </w:pPr>
    </w:p>
    <w:p w14:paraId="5012F051" w14:textId="77777777" w:rsidR="009C6CFE" w:rsidRDefault="009C6CFE" w:rsidP="009C6CFE">
      <w:pPr>
        <w:spacing w:after="0" w:line="240" w:lineRule="auto"/>
        <w:rPr>
          <w:rFonts w:ascii="Verdana" w:eastAsia="Calibri" w:hAnsi="Verdana" w:cs="Arial"/>
          <w:b/>
          <w:color w:val="000000" w:themeColor="text1"/>
          <w:lang w:val="es-ES"/>
        </w:rPr>
      </w:pPr>
    </w:p>
    <w:p w14:paraId="019A25ED" w14:textId="77777777" w:rsidR="009C6CFE" w:rsidRDefault="009C6CFE" w:rsidP="009C6CFE">
      <w:pPr>
        <w:spacing w:after="0" w:line="240" w:lineRule="auto"/>
        <w:rPr>
          <w:rFonts w:ascii="Verdana" w:eastAsia="Calibri" w:hAnsi="Verdana" w:cs="Arial"/>
          <w:b/>
          <w:color w:val="000000" w:themeColor="text1"/>
          <w:lang w:val="es-ES"/>
        </w:rPr>
      </w:pPr>
    </w:p>
    <w:p w14:paraId="11ADA80D" w14:textId="77777777" w:rsidR="009C6CFE" w:rsidRDefault="009C6CFE" w:rsidP="009C6CFE">
      <w:pPr>
        <w:spacing w:after="0" w:line="240" w:lineRule="auto"/>
        <w:rPr>
          <w:rFonts w:ascii="Verdana" w:eastAsia="Calibri" w:hAnsi="Verdana" w:cs="Arial"/>
          <w:b/>
          <w:color w:val="000000" w:themeColor="text1"/>
          <w:lang w:val="es-ES"/>
        </w:rPr>
      </w:pPr>
    </w:p>
    <w:p w14:paraId="4E14C1FB" w14:textId="77777777" w:rsidR="009C6CFE" w:rsidRDefault="009C6CFE" w:rsidP="009C6CFE">
      <w:pPr>
        <w:spacing w:after="0" w:line="240" w:lineRule="auto"/>
        <w:rPr>
          <w:rFonts w:ascii="Verdana" w:eastAsia="Calibri" w:hAnsi="Verdana" w:cs="Arial"/>
          <w:b/>
          <w:color w:val="000000" w:themeColor="text1"/>
          <w:lang w:val="es-ES"/>
        </w:rPr>
      </w:pPr>
    </w:p>
    <w:p w14:paraId="0D629590" w14:textId="77777777" w:rsidR="009C6CFE" w:rsidRDefault="009C6CFE" w:rsidP="009C6CFE">
      <w:pPr>
        <w:spacing w:after="0" w:line="240" w:lineRule="auto"/>
        <w:rPr>
          <w:rFonts w:ascii="Verdana" w:eastAsia="Calibri" w:hAnsi="Verdana" w:cs="Arial"/>
          <w:b/>
          <w:color w:val="000000" w:themeColor="text1"/>
          <w:lang w:val="es-ES"/>
        </w:rPr>
      </w:pPr>
    </w:p>
    <w:p w14:paraId="1A10693E" w14:textId="77777777" w:rsidR="009C6CFE" w:rsidRDefault="009C6CFE" w:rsidP="009C6CFE">
      <w:pPr>
        <w:spacing w:after="0" w:line="240" w:lineRule="auto"/>
        <w:rPr>
          <w:rFonts w:ascii="Verdana" w:eastAsia="Calibri" w:hAnsi="Verdana" w:cs="Arial"/>
          <w:b/>
          <w:color w:val="000000" w:themeColor="text1"/>
          <w:lang w:val="es-ES"/>
        </w:rPr>
      </w:pPr>
    </w:p>
    <w:p w14:paraId="02A21E48" w14:textId="77777777" w:rsidR="009C6CFE" w:rsidRDefault="009C6CFE" w:rsidP="009C6CFE">
      <w:pPr>
        <w:spacing w:after="0" w:line="240" w:lineRule="auto"/>
        <w:rPr>
          <w:rFonts w:ascii="Verdana" w:eastAsia="Calibri" w:hAnsi="Verdana" w:cs="Arial"/>
          <w:b/>
          <w:color w:val="000000" w:themeColor="text1"/>
          <w:lang w:val="es-ES"/>
        </w:rPr>
      </w:pPr>
    </w:p>
    <w:p w14:paraId="207070D2" w14:textId="77777777" w:rsidR="009C6CFE" w:rsidRDefault="009C6CFE" w:rsidP="009C6CFE">
      <w:pPr>
        <w:spacing w:after="0" w:line="240" w:lineRule="auto"/>
        <w:rPr>
          <w:rFonts w:ascii="Verdana" w:eastAsia="Calibri" w:hAnsi="Verdana" w:cs="Arial"/>
          <w:b/>
          <w:color w:val="000000" w:themeColor="text1"/>
          <w:lang w:val="es-ES"/>
        </w:rPr>
      </w:pPr>
    </w:p>
    <w:p w14:paraId="14A4F8C4" w14:textId="77777777" w:rsidR="009C6CFE" w:rsidRDefault="009C6CFE" w:rsidP="009C6CFE">
      <w:pPr>
        <w:spacing w:after="0" w:line="240" w:lineRule="auto"/>
        <w:rPr>
          <w:rFonts w:ascii="Verdana" w:eastAsia="Calibri" w:hAnsi="Verdana" w:cs="Arial"/>
          <w:b/>
          <w:color w:val="000000" w:themeColor="text1"/>
          <w:lang w:val="es-ES"/>
        </w:rPr>
      </w:pPr>
    </w:p>
    <w:p w14:paraId="17E844D5" w14:textId="77777777" w:rsidR="009C6CFE" w:rsidRDefault="009C6CFE" w:rsidP="009C6CFE">
      <w:pPr>
        <w:spacing w:after="0" w:line="240" w:lineRule="auto"/>
        <w:rPr>
          <w:rFonts w:ascii="Verdana" w:eastAsia="Calibri" w:hAnsi="Verdana" w:cs="Arial"/>
          <w:b/>
          <w:color w:val="000000" w:themeColor="text1"/>
          <w:lang w:val="es-ES"/>
        </w:rPr>
      </w:pPr>
    </w:p>
    <w:p w14:paraId="44A559C0" w14:textId="77777777" w:rsidR="009C6CFE" w:rsidRDefault="009C6CFE" w:rsidP="009C6CFE">
      <w:pPr>
        <w:spacing w:after="0" w:line="240" w:lineRule="auto"/>
        <w:rPr>
          <w:rFonts w:ascii="Verdana" w:eastAsia="Calibri" w:hAnsi="Verdana" w:cs="Arial"/>
          <w:b/>
          <w:color w:val="000000" w:themeColor="text1"/>
          <w:lang w:val="es-ES"/>
        </w:rPr>
      </w:pPr>
    </w:p>
    <w:p w14:paraId="1670E156" w14:textId="77777777" w:rsidR="009C6CFE" w:rsidRDefault="009C6CFE" w:rsidP="009C6CFE">
      <w:pPr>
        <w:spacing w:after="0" w:line="240" w:lineRule="auto"/>
        <w:rPr>
          <w:rFonts w:ascii="Verdana" w:eastAsia="Calibri" w:hAnsi="Verdana" w:cs="Arial"/>
          <w:b/>
          <w:color w:val="000000" w:themeColor="text1"/>
          <w:lang w:val="es-ES"/>
        </w:rPr>
      </w:pPr>
    </w:p>
    <w:p w14:paraId="038157C5" w14:textId="77777777" w:rsidR="009C6CFE" w:rsidRDefault="009C6CFE" w:rsidP="009C6CFE">
      <w:pPr>
        <w:spacing w:after="0" w:line="240" w:lineRule="auto"/>
        <w:rPr>
          <w:rFonts w:ascii="Verdana" w:eastAsia="Calibri" w:hAnsi="Verdana" w:cs="Arial"/>
          <w:b/>
          <w:color w:val="000000" w:themeColor="text1"/>
          <w:lang w:val="es-ES"/>
        </w:rPr>
      </w:pPr>
    </w:p>
    <w:p w14:paraId="1410C489" w14:textId="77777777" w:rsidR="009C6CFE" w:rsidRDefault="009C6CFE" w:rsidP="009C6CFE">
      <w:pPr>
        <w:spacing w:after="0" w:line="240" w:lineRule="auto"/>
        <w:rPr>
          <w:rFonts w:ascii="Verdana" w:eastAsia="Calibri" w:hAnsi="Verdana" w:cs="Arial"/>
          <w:b/>
          <w:color w:val="000000" w:themeColor="text1"/>
          <w:lang w:val="es-ES"/>
        </w:rPr>
      </w:pPr>
    </w:p>
    <w:p w14:paraId="62507670" w14:textId="77777777" w:rsidR="009C6CFE" w:rsidRDefault="009C6CFE" w:rsidP="009C6CFE">
      <w:pPr>
        <w:spacing w:after="0" w:line="240" w:lineRule="auto"/>
        <w:rPr>
          <w:rFonts w:ascii="Verdana" w:eastAsia="Calibri" w:hAnsi="Verdana" w:cs="Arial"/>
          <w:b/>
          <w:color w:val="000000" w:themeColor="text1"/>
          <w:lang w:val="es-ES"/>
        </w:rPr>
      </w:pPr>
    </w:p>
    <w:p w14:paraId="43DC8925" w14:textId="77777777" w:rsidR="009C6CFE" w:rsidRDefault="009C6CFE" w:rsidP="009C6CFE">
      <w:pPr>
        <w:spacing w:after="0" w:line="240" w:lineRule="auto"/>
        <w:rPr>
          <w:rFonts w:ascii="Verdana" w:eastAsia="Calibri" w:hAnsi="Verdana" w:cs="Arial"/>
          <w:b/>
          <w:color w:val="000000" w:themeColor="text1"/>
          <w:lang w:val="es-ES"/>
        </w:rPr>
      </w:pPr>
    </w:p>
    <w:p w14:paraId="7E861DD7" w14:textId="77777777" w:rsidR="009C6CFE" w:rsidRDefault="009C6CFE" w:rsidP="009C6CFE">
      <w:pPr>
        <w:spacing w:after="0" w:line="240" w:lineRule="auto"/>
        <w:rPr>
          <w:rFonts w:ascii="Verdana" w:eastAsia="Calibri" w:hAnsi="Verdana" w:cs="Arial"/>
          <w:b/>
          <w:color w:val="000000" w:themeColor="text1"/>
          <w:lang w:val="es-ES"/>
        </w:rPr>
      </w:pPr>
    </w:p>
    <w:p w14:paraId="7A33B34B" w14:textId="77777777" w:rsidR="009C6CFE" w:rsidRDefault="009C6CFE" w:rsidP="009C6CFE">
      <w:pPr>
        <w:spacing w:after="0" w:line="240" w:lineRule="auto"/>
        <w:rPr>
          <w:rFonts w:ascii="Verdana" w:eastAsia="Calibri" w:hAnsi="Verdana" w:cs="Arial"/>
          <w:b/>
          <w:color w:val="000000" w:themeColor="text1"/>
          <w:lang w:val="es-ES"/>
        </w:rPr>
      </w:pPr>
    </w:p>
    <w:p w14:paraId="30BB7C7B" w14:textId="77777777" w:rsidR="009C6CFE" w:rsidRDefault="009C6CFE" w:rsidP="00DC2088">
      <w:pPr>
        <w:spacing w:after="0" w:line="240" w:lineRule="auto"/>
        <w:rPr>
          <w:rFonts w:ascii="Verdana" w:eastAsia="Calibri" w:hAnsi="Verdana" w:cs="Arial"/>
          <w:b/>
          <w:color w:val="000000" w:themeColor="text1"/>
          <w:lang w:val="es-ES"/>
        </w:rPr>
      </w:pPr>
    </w:p>
    <w:p w14:paraId="2E30862E" w14:textId="77777777" w:rsidR="009C6CFE" w:rsidRDefault="009C6CFE" w:rsidP="00DC2088">
      <w:pPr>
        <w:spacing w:after="0" w:line="240" w:lineRule="auto"/>
        <w:rPr>
          <w:rFonts w:ascii="Verdana" w:eastAsia="Calibri" w:hAnsi="Verdana" w:cs="Arial"/>
          <w:b/>
          <w:color w:val="000000" w:themeColor="text1"/>
          <w:lang w:val="es-ES"/>
        </w:rPr>
      </w:pPr>
    </w:p>
    <w:p w14:paraId="6BBDC61D" w14:textId="77777777" w:rsidR="009C6CFE" w:rsidRDefault="009C6CFE" w:rsidP="00DC2088">
      <w:pPr>
        <w:spacing w:after="0" w:line="240" w:lineRule="auto"/>
        <w:rPr>
          <w:rFonts w:ascii="Verdana" w:eastAsia="Geomanist Light" w:hAnsi="Verdana" w:cs="Arial"/>
          <w:color w:val="000000" w:themeColor="text1"/>
          <w:lang w:val="es-MX"/>
        </w:rPr>
      </w:pPr>
    </w:p>
    <w:p w14:paraId="4369551A" w14:textId="782EA6A2" w:rsidR="00DC2088" w:rsidRPr="00593A5F" w:rsidRDefault="00DC2088" w:rsidP="00DC2088">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8057E6" w:rsidRPr="008057E6">
        <w:rPr>
          <w:rFonts w:ascii="Verdana" w:eastAsia="Geomanist Light" w:hAnsi="Verdana" w:cs="Arial"/>
          <w:color w:val="000000" w:themeColor="text1"/>
          <w:lang w:val="es-MX"/>
        </w:rPr>
        <w:t>25 de Mayo de 2026</w:t>
      </w:r>
    </w:p>
    <w:p w14:paraId="3AF28EC0" w14:textId="1907608B" w:rsidR="00DC2088" w:rsidRDefault="00DC2088" w:rsidP="00DC2088">
      <w:pPr>
        <w:spacing w:after="0" w:line="240" w:lineRule="auto"/>
        <w:jc w:val="both"/>
        <w:rPr>
          <w:rFonts w:ascii="Verdana" w:eastAsia="Calibri" w:hAnsi="Verdana" w:cs="Arial"/>
          <w:color w:val="000000"/>
          <w:lang w:val="es-ES"/>
        </w:rPr>
      </w:pPr>
    </w:p>
    <w:p w14:paraId="71A0D133" w14:textId="0D56372D" w:rsidR="008057E6" w:rsidRDefault="008057E6" w:rsidP="008057E6">
      <w:pPr>
        <w:spacing w:after="0" w:line="240" w:lineRule="auto"/>
        <w:jc w:val="right"/>
        <w:rPr>
          <w:rFonts w:ascii="Verdana" w:eastAsia="Calibri" w:hAnsi="Verdana" w:cs="Arial"/>
          <w:color w:val="000000"/>
          <w:lang w:val="es-ES"/>
        </w:rPr>
      </w:pPr>
    </w:p>
    <w:p w14:paraId="065B4075" w14:textId="3FBD17CC" w:rsidR="00DC2088" w:rsidRPr="00593A5F" w:rsidRDefault="00DC2088" w:rsidP="00DC2088">
      <w:pPr>
        <w:spacing w:after="0" w:line="240" w:lineRule="auto"/>
        <w:jc w:val="both"/>
        <w:rPr>
          <w:rFonts w:ascii="Verdana" w:eastAsia="Calibri" w:hAnsi="Verdana" w:cs="Arial"/>
          <w:color w:val="000000"/>
          <w:lang w:val="es-ES"/>
        </w:rPr>
      </w:pPr>
    </w:p>
    <w:p w14:paraId="75C480C6" w14:textId="4B0F65B9" w:rsidR="00DC2088" w:rsidRPr="00B96799" w:rsidRDefault="007E4B29" w:rsidP="00DC2088">
      <w:pPr>
        <w:spacing w:after="0" w:line="240" w:lineRule="auto"/>
        <w:jc w:val="both"/>
        <w:rPr>
          <w:rFonts w:ascii="Verdana" w:eastAsia="Calibri" w:hAnsi="Verdana" w:cs="Arial"/>
          <w:lang w:val="es-ES" w:eastAsia="es-ES"/>
        </w:rPr>
      </w:pPr>
      <w:r w:rsidRPr="008057E6">
        <w:rPr>
          <w:rFonts w:ascii="Verdana" w:eastAsia="Calibri" w:hAnsi="Verdana" w:cs="Arial"/>
          <w:noProof/>
          <w:color w:val="000000"/>
          <w:lang w:val="es-ES"/>
        </w:rPr>
        <w:drawing>
          <wp:anchor distT="0" distB="0" distL="114300" distR="114300" simplePos="0" relativeHeight="251658240" behindDoc="0" locked="0" layoutInCell="1" allowOverlap="1" wp14:anchorId="43CBAE4A" wp14:editId="28BE5103">
            <wp:simplePos x="0" y="0"/>
            <wp:positionH relativeFrom="margin">
              <wp:align>right</wp:align>
            </wp:positionH>
            <wp:positionV relativeFrom="paragraph">
              <wp:posOffset>5715</wp:posOffset>
            </wp:positionV>
            <wp:extent cx="2400300" cy="818515"/>
            <wp:effectExtent l="0" t="0" r="0" b="635"/>
            <wp:wrapSquare wrapText="bothSides"/>
            <wp:docPr id="97746043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460437" name=""/>
                    <pic:cNvPicPr/>
                  </pic:nvPicPr>
                  <pic:blipFill>
                    <a:blip r:embed="rId10">
                      <a:extLst>
                        <a:ext uri="{28A0092B-C50C-407E-A947-70E740481C1C}">
                          <a14:useLocalDpi xmlns:a14="http://schemas.microsoft.com/office/drawing/2010/main" val="0"/>
                        </a:ext>
                      </a:extLst>
                    </a:blip>
                    <a:stretch>
                      <a:fillRect/>
                    </a:stretch>
                  </pic:blipFill>
                  <pic:spPr>
                    <a:xfrm>
                      <a:off x="0" y="0"/>
                      <a:ext cx="2400300" cy="818515"/>
                    </a:xfrm>
                    <a:prstGeom prst="rect">
                      <a:avLst/>
                    </a:prstGeom>
                  </pic:spPr>
                </pic:pic>
              </a:graphicData>
            </a:graphic>
            <wp14:sizeRelV relativeFrom="margin">
              <wp14:pctHeight>0</wp14:pctHeight>
            </wp14:sizeRelV>
          </wp:anchor>
        </w:drawing>
      </w:r>
      <w:r w:rsidR="00DC2088">
        <w:rPr>
          <w:rFonts w:ascii="Verdana" w:eastAsia="Calibri" w:hAnsi="Verdana" w:cs="Arial"/>
          <w:lang w:val="es-ES" w:eastAsia="es-ES"/>
        </w:rPr>
        <w:t>Señora</w:t>
      </w:r>
    </w:p>
    <w:p w14:paraId="0E8D1595" w14:textId="77777777" w:rsidR="00DC2088" w:rsidRDefault="00DC2088" w:rsidP="00DC2088">
      <w:pPr>
        <w:spacing w:after="0" w:line="240" w:lineRule="auto"/>
        <w:rPr>
          <w:rFonts w:ascii="Verdana" w:eastAsia="Calibri" w:hAnsi="Verdana" w:cs="Arial"/>
          <w:b/>
          <w:lang w:val="es-ES_tradnl" w:eastAsia="es-ES_tradnl"/>
        </w:rPr>
      </w:pPr>
      <w:r w:rsidRPr="002F66B2">
        <w:rPr>
          <w:rFonts w:ascii="Verdana" w:eastAsia="Calibri" w:hAnsi="Verdana" w:cs="Arial"/>
          <w:b/>
          <w:lang w:val="es-ES_tradnl" w:eastAsia="es-ES_tradnl"/>
        </w:rPr>
        <w:t>Deisy</w:t>
      </w:r>
      <w:r>
        <w:rPr>
          <w:rFonts w:ascii="Verdana" w:eastAsia="Calibri" w:hAnsi="Verdana" w:cs="Arial"/>
          <w:b/>
          <w:lang w:val="es-ES_tradnl" w:eastAsia="es-ES_tradnl"/>
        </w:rPr>
        <w:t xml:space="preserve"> </w:t>
      </w:r>
      <w:r w:rsidRPr="002F66B2">
        <w:rPr>
          <w:rFonts w:ascii="Verdana" w:eastAsia="Calibri" w:hAnsi="Verdana" w:cs="Arial"/>
          <w:b/>
          <w:lang w:val="es-ES_tradnl" w:eastAsia="es-ES_tradnl"/>
        </w:rPr>
        <w:t>Marloy Espinosa Vera</w:t>
      </w:r>
      <w:r w:rsidRPr="008777D5">
        <w:rPr>
          <w:rFonts w:ascii="Verdana" w:eastAsia="Calibri" w:hAnsi="Verdana" w:cs="Arial"/>
          <w:b/>
          <w:lang w:val="es-ES_tradnl" w:eastAsia="es-ES_tradnl"/>
        </w:rPr>
        <w:t xml:space="preserve"> </w:t>
      </w:r>
    </w:p>
    <w:p w14:paraId="5581ACF3" w14:textId="77777777" w:rsidR="00DC2088" w:rsidRPr="000C18E8" w:rsidRDefault="00DC2088" w:rsidP="00DC2088">
      <w:pPr>
        <w:spacing w:after="0" w:line="240" w:lineRule="auto"/>
        <w:rPr>
          <w:rFonts w:ascii="Verdana" w:eastAsia="Calibri" w:hAnsi="Verdana" w:cs="Arial"/>
          <w:lang w:val="es-ES" w:eastAsia="es-ES"/>
        </w:rPr>
      </w:pPr>
      <w:hyperlink r:id="rId11" w:history="1">
        <w:r w:rsidRPr="001C26E7">
          <w:rPr>
            <w:rStyle w:val="Hipervnculo"/>
            <w:rFonts w:ascii="Verdana" w:hAnsi="Verdana"/>
          </w:rPr>
          <w:t>gerenciacentrologisticojardin@gmail.com</w:t>
        </w:r>
      </w:hyperlink>
      <w:r>
        <w:rPr>
          <w:rFonts w:ascii="Verdana" w:hAnsi="Verdana"/>
        </w:rPr>
        <w:t xml:space="preserve"> </w:t>
      </w:r>
      <w:r w:rsidRPr="000C18E8">
        <w:rPr>
          <w:rFonts w:ascii="Verdana" w:hAnsi="Verdana"/>
        </w:rPr>
        <w:t xml:space="preserve">                    </w:t>
      </w:r>
      <w:r w:rsidRPr="000C18E8">
        <w:rPr>
          <w:rFonts w:ascii="Verdana" w:eastAsia="Calibri" w:hAnsi="Verdana" w:cs="Arial"/>
          <w:lang w:val="es-ES" w:eastAsia="es-ES"/>
        </w:rPr>
        <w:t xml:space="preserve">    </w:t>
      </w:r>
    </w:p>
    <w:p w14:paraId="6AD4CC7A" w14:textId="77777777" w:rsidR="00DC2088" w:rsidRDefault="00DC2088" w:rsidP="00DC2088">
      <w:pPr>
        <w:spacing w:after="0" w:line="240" w:lineRule="auto"/>
        <w:rPr>
          <w:rFonts w:ascii="Verdana" w:eastAsia="Calibri" w:hAnsi="Verdana" w:cs="Arial"/>
          <w:lang w:val="es-ES" w:eastAsia="es-ES"/>
        </w:rPr>
      </w:pPr>
      <w:r w:rsidRPr="000C18E8">
        <w:rPr>
          <w:rFonts w:ascii="Verdana" w:eastAsia="Calibri" w:hAnsi="Verdana" w:cs="Arial"/>
          <w:lang w:val="es-ES" w:eastAsia="es-ES"/>
        </w:rPr>
        <w:t>Jardín</w:t>
      </w:r>
      <w:r w:rsidRPr="004513BB">
        <w:rPr>
          <w:rFonts w:ascii="Verdana" w:eastAsia="Calibri" w:hAnsi="Verdana" w:cs="Arial"/>
          <w:lang w:val="es-ES" w:eastAsia="es-ES"/>
        </w:rPr>
        <w:t xml:space="preserve">, </w:t>
      </w:r>
      <w:r>
        <w:rPr>
          <w:rFonts w:ascii="Verdana" w:eastAsia="Calibri" w:hAnsi="Verdana" w:cs="Arial"/>
          <w:lang w:val="es-ES" w:eastAsia="es-ES"/>
        </w:rPr>
        <w:t xml:space="preserve">Antioquia </w:t>
      </w:r>
    </w:p>
    <w:p w14:paraId="00B55B3C" w14:textId="77777777" w:rsidR="00DC2088" w:rsidRPr="00593A5F" w:rsidRDefault="00DC2088" w:rsidP="00DC2088">
      <w:pPr>
        <w:spacing w:after="0" w:line="240" w:lineRule="auto"/>
        <w:rPr>
          <w:rFonts w:ascii="Verdana" w:eastAsia="Calibri" w:hAnsi="Verdana" w:cs="Arial"/>
          <w:b/>
          <w:bCs/>
          <w:color w:val="000000"/>
          <w:lang w:val="es-ES_tradnl" w:eastAsia="es-ES_tradnl"/>
        </w:rPr>
      </w:pPr>
    </w:p>
    <w:p w14:paraId="4879CA76" w14:textId="77777777" w:rsidR="00DC2088" w:rsidRPr="00593A5F" w:rsidRDefault="00DC2088" w:rsidP="00DC2088">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C2088" w:rsidRPr="00593A5F" w14:paraId="62B914C1" w14:textId="77777777" w:rsidTr="002A11C0">
        <w:trPr>
          <w:trHeight w:val="884"/>
        </w:trPr>
        <w:tc>
          <w:tcPr>
            <w:tcW w:w="2689" w:type="dxa"/>
          </w:tcPr>
          <w:p w14:paraId="0358FD85" w14:textId="77777777" w:rsidR="00DC2088" w:rsidRPr="00C00976" w:rsidRDefault="00DC2088" w:rsidP="002A11C0">
            <w:pPr>
              <w:jc w:val="both"/>
              <w:rPr>
                <w:rFonts w:ascii="Verdana" w:eastAsia="Calibri" w:hAnsi="Verdana" w:cs="Arial"/>
                <w:b/>
                <w:bCs/>
                <w:color w:val="7030A0"/>
                <w:lang w:val="es-ES_tradnl" w:eastAsia="es-ES_tradnl"/>
              </w:rPr>
            </w:pPr>
          </w:p>
        </w:tc>
        <w:tc>
          <w:tcPr>
            <w:tcW w:w="6100" w:type="dxa"/>
          </w:tcPr>
          <w:p w14:paraId="08027E6F" w14:textId="24317014" w:rsidR="00DC2088" w:rsidRPr="00C00976" w:rsidRDefault="00DC2088" w:rsidP="002A11C0">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740D8A">
              <w:rPr>
                <w:rFonts w:ascii="Verdana" w:eastAsia="Calibri" w:hAnsi="Verdana" w:cs="Arial"/>
                <w:b/>
                <w:bCs/>
                <w:lang w:val="es-ES" w:eastAsia="es-ES"/>
              </w:rPr>
              <w:t>831</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DC2088" w:rsidRPr="00593A5F" w14:paraId="5CB7473F" w14:textId="77777777" w:rsidTr="002A11C0">
        <w:trPr>
          <w:trHeight w:val="884"/>
        </w:trPr>
        <w:tc>
          <w:tcPr>
            <w:tcW w:w="2689" w:type="dxa"/>
          </w:tcPr>
          <w:p w14:paraId="715E254C" w14:textId="77777777" w:rsidR="00DC2088" w:rsidRPr="00593A5F" w:rsidRDefault="00DC2088" w:rsidP="002A11C0">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43C9D81C" w14:textId="77777777" w:rsidR="00DC2088" w:rsidRPr="00A11406" w:rsidRDefault="00DC2088" w:rsidP="002A11C0">
            <w:pPr>
              <w:spacing w:line="276" w:lineRule="auto"/>
              <w:jc w:val="both"/>
              <w:rPr>
                <w:rFonts w:ascii="Verdana" w:eastAsia="Calibri" w:hAnsi="Verdana" w:cs="Arial"/>
                <w:lang w:val="es-ES" w:eastAsia="es-ES"/>
              </w:rPr>
            </w:pPr>
            <w:r w:rsidRPr="00AB0849">
              <w:rPr>
                <w:rFonts w:ascii="Verdana" w:eastAsia="Calibri" w:hAnsi="Verdana" w:cs="Arial"/>
                <w:lang w:val="es-ES" w:eastAsia="es-ES"/>
              </w:rPr>
              <w:t>EGCAP – Ámbito de aplicación – Entidades estatales / ENTIDADES EXCEPTUADAS – Aplicación de normas de derecho público / CONTRATOS ESTATALES – Régimen especial – Obligaciones transversales – Manual de contratación – Límites / SOCIEDADES DE ECONOMÍA MIXTA – Participación Mayoritaria del Estado – Régimen contractual – Ley 80 de 1993 – Derecho privado</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31747B9F" w14:textId="77777777" w:rsidR="00DC2088" w:rsidRPr="00593A5F" w:rsidRDefault="00DC2088" w:rsidP="002A11C0">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DC2088" w:rsidRPr="008E6AD9" w14:paraId="451310D2" w14:textId="77777777" w:rsidTr="002A11C0">
        <w:tc>
          <w:tcPr>
            <w:tcW w:w="2689" w:type="dxa"/>
          </w:tcPr>
          <w:p w14:paraId="7E351679" w14:textId="77777777" w:rsidR="00DC2088" w:rsidRPr="008E6AD9" w:rsidRDefault="00DC2088" w:rsidP="002A11C0">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55AC10F3" w14:textId="77777777" w:rsidR="00DC2088" w:rsidRPr="00B92340" w:rsidRDefault="00DC2088" w:rsidP="002A11C0">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5334BE">
              <w:rPr>
                <w:rFonts w:ascii="Verdana" w:eastAsia="Calibri" w:hAnsi="Verdana" w:cs="Arial"/>
                <w:lang w:val="es-ES_tradnl" w:eastAsia="es-ES_tradnl"/>
              </w:rPr>
              <w:t>1_2026_04_10_004876</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07791A44" w14:textId="77777777" w:rsidR="00DC2088" w:rsidRPr="00593A5F" w:rsidRDefault="00DC2088" w:rsidP="00DC2088">
      <w:pPr>
        <w:spacing w:after="0" w:line="240" w:lineRule="auto"/>
        <w:jc w:val="both"/>
        <w:rPr>
          <w:rFonts w:ascii="Verdana" w:eastAsia="Calibri" w:hAnsi="Verdana" w:cs="Arial"/>
          <w:color w:val="000000"/>
          <w:lang w:val="es-ES_tradnl" w:eastAsia="es-ES_tradnl"/>
        </w:rPr>
      </w:pPr>
    </w:p>
    <w:p w14:paraId="4BF14B3D" w14:textId="77777777" w:rsidR="00DC2088" w:rsidRPr="00593A5F" w:rsidRDefault="00DC2088" w:rsidP="00DC2088">
      <w:pPr>
        <w:spacing w:after="0" w:line="240" w:lineRule="auto"/>
        <w:jc w:val="both"/>
        <w:rPr>
          <w:rFonts w:ascii="Verdana" w:eastAsia="Calibri" w:hAnsi="Verdana" w:cs="Arial"/>
          <w:color w:val="000000"/>
          <w:lang w:val="es-ES_tradnl" w:eastAsia="es-ES_tradnl"/>
        </w:rPr>
      </w:pPr>
    </w:p>
    <w:p w14:paraId="02E04745" w14:textId="77777777" w:rsidR="00DC2088" w:rsidRPr="008E6AD9" w:rsidRDefault="00DC2088" w:rsidP="00DC2088">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0C18E8">
        <w:rPr>
          <w:rFonts w:ascii="Verdana" w:eastAsia="Calibri" w:hAnsi="Verdana" w:cs="Arial"/>
          <w:lang w:val="es-ES" w:eastAsia="es-ES"/>
        </w:rPr>
        <w:t>Espinosa Vera</w:t>
      </w:r>
      <w:r w:rsidRPr="008E6AD9">
        <w:rPr>
          <w:rFonts w:ascii="Verdana" w:eastAsia="Calibri" w:hAnsi="Verdana" w:cs="Arial"/>
          <w:lang w:val="es-ES" w:eastAsia="es-ES"/>
        </w:rPr>
        <w:t xml:space="preserve">: </w:t>
      </w:r>
    </w:p>
    <w:p w14:paraId="711AC8F4" w14:textId="77777777" w:rsidR="00DC2088" w:rsidRDefault="00DC2088" w:rsidP="00DC2088">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B9C1CE6" w14:textId="77777777" w:rsidR="00DC2088" w:rsidRPr="00593A5F" w:rsidRDefault="00DC2088" w:rsidP="00DC2088">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w:t>
      </w:r>
      <w:r>
        <w:rPr>
          <w:rFonts w:ascii="Verdana" w:eastAsia="Calibri" w:hAnsi="Verdana" w:cs="Arial"/>
          <w:color w:val="000000" w:themeColor="text1"/>
          <w:lang w:val="es-ES" w:eastAsia="es-ES"/>
        </w:rPr>
        <w:t xml:space="preserve"> –en cumplimiento de lo ordenado en el numeral 2 de la Sentencia de Tutela del 22 de mayo de 2026, expedida por el Juzgado 017 Administrativo Oral del Circuito de Medellín– </w:t>
      </w:r>
      <w:r w:rsidRPr="00593A5F">
        <w:rPr>
          <w:rFonts w:ascii="Verdana" w:eastAsia="Calibri" w:hAnsi="Verdana" w:cs="Arial"/>
          <w:color w:val="000000" w:themeColor="text1"/>
          <w:lang w:val="es-ES" w:eastAsia="es-ES"/>
        </w:rPr>
        <w:t>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10 de abril de 2026, donde solicita conceptuar sobre los siguientes aspectos</w:t>
      </w:r>
      <w:r w:rsidRPr="008E6AD9">
        <w:rPr>
          <w:rFonts w:ascii="Verdana" w:eastAsia="Calibri" w:hAnsi="Verdana" w:cs="Arial"/>
          <w:lang w:val="es-ES" w:eastAsia="es-ES"/>
        </w:rPr>
        <w:t xml:space="preserve">: </w:t>
      </w:r>
    </w:p>
    <w:p w14:paraId="1F0D6F4F" w14:textId="77777777" w:rsidR="00DC2088" w:rsidRPr="00272A7B" w:rsidRDefault="00DC2088" w:rsidP="00DC2088">
      <w:pPr>
        <w:pStyle w:val="Prrafodelista"/>
        <w:tabs>
          <w:tab w:val="left" w:pos="142"/>
          <w:tab w:val="left" w:pos="284"/>
        </w:tabs>
        <w:spacing w:after="0" w:line="276" w:lineRule="auto"/>
        <w:ind w:left="0"/>
        <w:jc w:val="both"/>
        <w:rPr>
          <w:rFonts w:ascii="Verdana" w:eastAsia="Century Gothic" w:hAnsi="Verdana" w:cs="Century Gothic"/>
          <w:b/>
          <w:bCs/>
        </w:rPr>
      </w:pPr>
    </w:p>
    <w:p w14:paraId="6173F5AD" w14:textId="77777777" w:rsidR="00DC2088" w:rsidRDefault="00DC2088" w:rsidP="00DC2088">
      <w:pPr>
        <w:spacing w:after="120" w:line="240" w:lineRule="auto"/>
        <w:ind w:left="709" w:right="709"/>
        <w:jc w:val="both"/>
        <w:rPr>
          <w:rFonts w:ascii="Verdana" w:eastAsia="Century Gothic" w:hAnsi="Verdana" w:cs="Century Gothic"/>
          <w:sz w:val="20"/>
          <w:szCs w:val="20"/>
          <w:lang w:val="es-ES"/>
        </w:rPr>
      </w:pPr>
      <w:bookmarkStart w:id="1" w:name="_Hlk95313578"/>
      <w:r w:rsidRPr="001904AF">
        <w:rPr>
          <w:rFonts w:ascii="Verdana" w:eastAsia="Century Gothic" w:hAnsi="Verdana" w:cs="Century Gothic"/>
          <w:sz w:val="20"/>
          <w:szCs w:val="20"/>
          <w:lang w:val="es-ES"/>
        </w:rPr>
        <w:t>“</w:t>
      </w:r>
      <w:bookmarkEnd w:id="1"/>
      <w:r>
        <w:rPr>
          <w:rFonts w:ascii="Verdana" w:eastAsia="Century Gothic" w:hAnsi="Verdana" w:cs="Century Gothic"/>
          <w:sz w:val="20"/>
          <w:szCs w:val="20"/>
          <w:lang w:val="es-ES"/>
        </w:rPr>
        <w:t>[…]</w:t>
      </w:r>
    </w:p>
    <w:p w14:paraId="38A4CEBB" w14:textId="77777777" w:rsidR="00DC2088" w:rsidRPr="000C18E8" w:rsidRDefault="00DC2088" w:rsidP="00DC2088">
      <w:pPr>
        <w:spacing w:after="120" w:line="240" w:lineRule="auto"/>
        <w:ind w:left="709" w:right="709"/>
        <w:jc w:val="both"/>
        <w:rPr>
          <w:rFonts w:ascii="Verdana" w:eastAsia="Century Gothic" w:hAnsi="Verdana" w:cs="Century Gothic"/>
          <w:sz w:val="20"/>
          <w:szCs w:val="20"/>
          <w:lang w:val="es-ES"/>
        </w:rPr>
      </w:pPr>
      <w:r w:rsidRPr="000C18E8">
        <w:rPr>
          <w:rFonts w:ascii="Verdana" w:eastAsia="Century Gothic" w:hAnsi="Verdana" w:cs="Century Gothic"/>
          <w:sz w:val="20"/>
          <w:szCs w:val="20"/>
          <w:lang w:val="es-ES"/>
        </w:rPr>
        <w:lastRenderedPageBreak/>
        <w:t>1. ¿Es jurídicamente viable que una sociedad de economía mixta que su capital público no supera el 70 %, regida por un manual de contratación propio, pero sujeta a los principios de la contratación estatal, incluya como criterio de calificación dentro de un proceso contractual de suministro, la oferta de una ‘prima anticipada’ o aporte económico directo por parte del proponente a favor de la entidad, cuando dicho aporte esté orientado a la financiación o inversión del proyecto objeto del contrato?</w:t>
      </w:r>
    </w:p>
    <w:p w14:paraId="259BB074" w14:textId="77777777" w:rsidR="00DC2088" w:rsidRPr="000C18E8" w:rsidRDefault="00DC2088" w:rsidP="00DC2088">
      <w:pPr>
        <w:spacing w:after="120" w:line="240" w:lineRule="auto"/>
        <w:ind w:left="709" w:right="709"/>
        <w:jc w:val="both"/>
        <w:rPr>
          <w:rFonts w:ascii="Verdana" w:eastAsia="Century Gothic" w:hAnsi="Verdana" w:cs="Century Gothic"/>
          <w:sz w:val="20"/>
          <w:szCs w:val="20"/>
          <w:lang w:val="es-ES"/>
        </w:rPr>
      </w:pPr>
      <w:r w:rsidRPr="000C18E8">
        <w:rPr>
          <w:rFonts w:ascii="Verdana" w:eastAsia="Century Gothic" w:hAnsi="Verdana" w:cs="Century Gothic"/>
          <w:sz w:val="20"/>
          <w:szCs w:val="20"/>
          <w:lang w:val="es-ES"/>
        </w:rPr>
        <w:t>2. En caso de considerarse viable, ¿cuáles serían los límites, condiciones y requisitos que deberían observarse para garantizar el cumplimiento de los principios de transparencia, selección objetiva, economía y responsabilidad?</w:t>
      </w:r>
    </w:p>
    <w:p w14:paraId="60CD27C8" w14:textId="77777777" w:rsidR="00DC2088" w:rsidRPr="000C18E8" w:rsidRDefault="00DC2088" w:rsidP="00DC2088">
      <w:pPr>
        <w:spacing w:after="120" w:line="240" w:lineRule="auto"/>
        <w:ind w:left="709" w:right="709"/>
        <w:jc w:val="both"/>
        <w:rPr>
          <w:rFonts w:ascii="Verdana" w:eastAsia="Century Gothic" w:hAnsi="Verdana" w:cs="Century Gothic"/>
          <w:sz w:val="20"/>
          <w:szCs w:val="20"/>
          <w:lang w:val="es-ES"/>
        </w:rPr>
      </w:pPr>
      <w:r w:rsidRPr="000C18E8">
        <w:rPr>
          <w:rFonts w:ascii="Verdana" w:eastAsia="Century Gothic" w:hAnsi="Verdana" w:cs="Century Gothic"/>
          <w:sz w:val="20"/>
          <w:szCs w:val="20"/>
          <w:lang w:val="es-ES"/>
        </w:rPr>
        <w:t>3. En el evento en que se contemple este tipo de aportes económicos por parte del proponente, ¿resultaría jurídicamente procedente que el mismo establezca condiciones asociadas a dicho aporte, tales como el reconocimiento de intereses, mecanismos de restitución o garantías a su favor?</w:t>
      </w:r>
    </w:p>
    <w:p w14:paraId="397C1519" w14:textId="77777777" w:rsidR="00DC2088" w:rsidRDefault="00DC2088" w:rsidP="00DC2088">
      <w:pPr>
        <w:spacing w:after="120" w:line="240" w:lineRule="auto"/>
        <w:ind w:left="709" w:right="709"/>
        <w:jc w:val="both"/>
        <w:rPr>
          <w:rFonts w:ascii="Verdana" w:eastAsia="Century Gothic" w:hAnsi="Verdana" w:cs="Century Gothic"/>
          <w:sz w:val="20"/>
          <w:szCs w:val="20"/>
          <w:lang w:val="es-ES"/>
        </w:rPr>
      </w:pPr>
      <w:r w:rsidRPr="000C18E8">
        <w:rPr>
          <w:rFonts w:ascii="Verdana" w:eastAsia="Century Gothic" w:hAnsi="Verdana" w:cs="Century Gothic"/>
          <w:sz w:val="20"/>
          <w:szCs w:val="20"/>
          <w:lang w:val="es-ES"/>
        </w:rPr>
        <w:t>4. En caso de no ser viable la incorporación de este tipo de criterios o esquemas, ¿cuáles serían las razones jurídicas que lo impedirían y qué alternativas contractuales podrían considerarse para estructurar mecanismos de financiación de proyectos por parte de particulares, sin afectar los principios de la contratación estatal?</w:t>
      </w:r>
    </w:p>
    <w:p w14:paraId="68423A12" w14:textId="77777777" w:rsidR="00DC2088" w:rsidRPr="00CE1B84" w:rsidRDefault="00DC2088" w:rsidP="00DC2088">
      <w:pPr>
        <w:spacing w:after="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p>
    <w:p w14:paraId="4FBAA426" w14:textId="77777777" w:rsidR="00DC2088" w:rsidRDefault="00DC2088" w:rsidP="00DC2088">
      <w:pPr>
        <w:spacing w:after="0" w:line="276" w:lineRule="auto"/>
        <w:ind w:firstLine="709"/>
        <w:jc w:val="both"/>
        <w:rPr>
          <w:rFonts w:ascii="Verdana" w:eastAsia="Calibri" w:hAnsi="Verdana" w:cs="Arial"/>
          <w:color w:val="000000"/>
          <w:lang w:val="es-ES" w:eastAsia="es-ES"/>
        </w:rPr>
      </w:pPr>
    </w:p>
    <w:p w14:paraId="463816F4" w14:textId="77777777" w:rsidR="00DC2088" w:rsidRPr="00A652FF" w:rsidRDefault="00DC2088" w:rsidP="00DC2088">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0D55D9D" w14:textId="77777777" w:rsidR="00DC2088" w:rsidRDefault="00DC2088" w:rsidP="00DC2088">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 xml:space="preserve">específicas que la </w:t>
      </w:r>
      <w:r>
        <w:rPr>
          <w:rFonts w:ascii="Verdana" w:eastAsia="Calibri" w:hAnsi="Verdana" w:cs="Arial"/>
          <w:color w:val="000000"/>
          <w:lang w:val="es-ES" w:eastAsia="es-ES"/>
        </w:rPr>
        <w:lastRenderedPageBreak/>
        <w:t>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44753B1C" w14:textId="77777777" w:rsidR="00DC2088" w:rsidRPr="00593A5F" w:rsidRDefault="00DC2088" w:rsidP="00DC2088">
      <w:pPr>
        <w:spacing w:after="0" w:line="276" w:lineRule="auto"/>
        <w:ind w:firstLine="709"/>
        <w:jc w:val="both"/>
        <w:rPr>
          <w:rFonts w:ascii="Verdana" w:eastAsia="Calibri" w:hAnsi="Verdana" w:cs="Arial"/>
          <w:color w:val="000000"/>
          <w:lang w:val="es-ES" w:eastAsia="es-ES"/>
        </w:rPr>
      </w:pPr>
    </w:p>
    <w:p w14:paraId="60696A60" w14:textId="77777777" w:rsidR="00DC2088" w:rsidRPr="00593A5F" w:rsidRDefault="00DC2088" w:rsidP="00DC208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722D079" w14:textId="77777777" w:rsidR="00DC2088" w:rsidRPr="00593A5F" w:rsidRDefault="00DC2088" w:rsidP="00DC2088">
      <w:pPr>
        <w:tabs>
          <w:tab w:val="left" w:pos="426"/>
        </w:tabs>
        <w:spacing w:after="0" w:line="276" w:lineRule="auto"/>
        <w:jc w:val="both"/>
        <w:rPr>
          <w:rFonts w:ascii="Verdana" w:eastAsia="Century Gothic" w:hAnsi="Verdana" w:cs="Century Gothic"/>
          <w:lang w:val="es-ES"/>
        </w:rPr>
      </w:pPr>
    </w:p>
    <w:p w14:paraId="1DA48581" w14:textId="1DDAA2C5" w:rsidR="00DC2088" w:rsidRPr="00593A5F" w:rsidRDefault="00DC2088" w:rsidP="00DC2088">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00E31F80">
        <w:rPr>
          <w:rFonts w:ascii="Verdana" w:eastAsia="Century Gothic" w:hAnsi="Verdana" w:cs="Century Gothic"/>
        </w:rPr>
        <w:t>en</w:t>
      </w:r>
      <w:r>
        <w:rPr>
          <w:rFonts w:ascii="Verdana" w:eastAsia="Century Gothic" w:hAnsi="Verdana" w:cs="Century Gothic"/>
        </w:rPr>
        <w:t xml:space="preserve"> qué condiciones las</w:t>
      </w:r>
      <w:r w:rsidRPr="005D11E7">
        <w:t xml:space="preserve"> </w:t>
      </w:r>
      <w:r w:rsidRPr="005D11E7">
        <w:rPr>
          <w:rFonts w:ascii="Verdana" w:eastAsia="Century Gothic" w:hAnsi="Verdana" w:cs="Century Gothic"/>
        </w:rPr>
        <w:t>sociedades de economía mixta excluidas del EGCAP</w:t>
      </w:r>
      <w:r>
        <w:rPr>
          <w:rFonts w:ascii="Verdana" w:eastAsia="Century Gothic" w:hAnsi="Verdana" w:cs="Century Gothic"/>
        </w:rPr>
        <w:t xml:space="preserve"> pueden incluir criterios de asignación de puntaje </w:t>
      </w:r>
      <w:r w:rsidRPr="006309FA">
        <w:rPr>
          <w:rFonts w:ascii="Verdana" w:eastAsia="Calibri" w:hAnsi="Verdana" w:cs="Arial"/>
          <w:color w:val="000000" w:themeColor="text1"/>
        </w:rPr>
        <w:t xml:space="preserve">distintos </w:t>
      </w:r>
      <w:r>
        <w:rPr>
          <w:rFonts w:ascii="Verdana" w:eastAsia="Calibri" w:hAnsi="Verdana" w:cs="Arial"/>
          <w:color w:val="000000" w:themeColor="text1"/>
        </w:rPr>
        <w:t>a los tradicionales</w:t>
      </w:r>
      <w:r w:rsidRPr="006309FA">
        <w:rPr>
          <w:rFonts w:ascii="Verdana" w:eastAsia="Calibri" w:hAnsi="Verdana" w:cs="Arial"/>
          <w:color w:val="000000" w:themeColor="text1"/>
        </w:rPr>
        <w:t xml:space="preserve"> factores económicos</w:t>
      </w:r>
      <w:r>
        <w:rPr>
          <w:rFonts w:ascii="Verdana" w:eastAsia="Calibri" w:hAnsi="Verdana" w:cs="Arial"/>
          <w:color w:val="000000" w:themeColor="text1"/>
        </w:rPr>
        <w:t xml:space="preserve"> y técnicos?</w:t>
      </w:r>
      <w:r>
        <w:rPr>
          <w:rFonts w:ascii="Verdana" w:eastAsia="Century Gothic" w:hAnsi="Verdana" w:cs="Century Gothic"/>
        </w:rPr>
        <w:t xml:space="preserve"> </w:t>
      </w:r>
    </w:p>
    <w:p w14:paraId="4BA26DA5" w14:textId="77777777" w:rsidR="00DC2088" w:rsidRPr="004B140F" w:rsidRDefault="00DC2088" w:rsidP="00DC2088">
      <w:pPr>
        <w:spacing w:after="0" w:line="276" w:lineRule="auto"/>
        <w:jc w:val="both"/>
        <w:rPr>
          <w:rFonts w:ascii="Verdana" w:eastAsia="Calibri" w:hAnsi="Verdana" w:cs="Arial"/>
          <w:color w:val="7030A0"/>
        </w:rPr>
      </w:pPr>
    </w:p>
    <w:p w14:paraId="31552D3B" w14:textId="77777777" w:rsidR="00DC2088" w:rsidRPr="00593A5F" w:rsidRDefault="00DC2088" w:rsidP="00DC208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BB5058E" w14:textId="77777777" w:rsidR="00DC2088" w:rsidRPr="00593A5F" w:rsidRDefault="00DC2088" w:rsidP="00DC208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C2088" w:rsidRPr="00593A5F" w14:paraId="3AC28966" w14:textId="77777777" w:rsidTr="002A11C0">
        <w:trPr>
          <w:jc w:val="center"/>
        </w:trPr>
        <w:tc>
          <w:tcPr>
            <w:tcW w:w="8828" w:type="dxa"/>
          </w:tcPr>
          <w:p w14:paraId="5AA2D93F" w14:textId="77777777" w:rsidR="00DC2088" w:rsidRDefault="00DC2088" w:rsidP="002A11C0">
            <w:pPr>
              <w:spacing w:after="120" w:line="276" w:lineRule="auto"/>
              <w:jc w:val="both"/>
              <w:rPr>
                <w:rFonts w:ascii="Verdana" w:eastAsia="Calibri" w:hAnsi="Verdana" w:cs="Arial"/>
                <w:color w:val="000000" w:themeColor="text1"/>
                <w:lang w:val="es-ES_tradnl"/>
              </w:rPr>
            </w:pPr>
            <w:bookmarkStart w:id="2"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w:t>
            </w:r>
            <w:r w:rsidRPr="00817382">
              <w:rPr>
                <w:rFonts w:ascii="Verdana" w:eastAsia="Calibri" w:hAnsi="Verdana" w:cs="Arial"/>
                <w:color w:val="000000" w:themeColor="text1"/>
                <w:lang w:val="es-ES_tradnl"/>
              </w:rPr>
              <w:t xml:space="preserve">las entidades estatales que, por disposición legal, cuentan con un régimen especial, exceptuado del Estatuto General de Contratación de la Administración Pública –Leyes 80 de 1993, 1150 de 2007 y normas complementarias– pueden expedir un reglamento interno de contratación –comúnmente denominado </w:t>
            </w:r>
            <w:r w:rsidRPr="00817382">
              <w:rPr>
                <w:rFonts w:ascii="Verdana" w:eastAsia="Calibri" w:hAnsi="Verdana" w:cs="Arial"/>
                <w:i/>
                <w:color w:val="000000" w:themeColor="text1"/>
                <w:lang w:val="es-ES_tradnl"/>
              </w:rPr>
              <w:t>manual de contratación</w:t>
            </w:r>
            <w:r w:rsidRPr="00817382">
              <w:rPr>
                <w:rFonts w:ascii="Verdana" w:eastAsia="Calibri" w:hAnsi="Verdana" w:cs="Arial"/>
                <w:color w:val="000000" w:themeColor="text1"/>
                <w:lang w:val="es-ES_tradnl"/>
              </w:rPr>
              <w:t>–, que regule aspectos asociados a la actividad contractual, como los procedimientos de selección, los requisitos de participación, las condiciones de ejecución del contrato, etc. En otras palabras, el manual de contratación de las entidades exceptuadas es un acto administrativo y, de manera más concreta, un reglamento, pues, además de consistir en una manifestación unilateral de voluntad efectuada por la entidad estatal, en ejercicio de función administrativa, dirigida a producir efectos jurídicos, tiene vocación de permanencia en el tiempo. Esto significa que el manual de contratación despliega sus efectos de manera indefinida en el futuro, no agotándose con una sola aplicación.</w:t>
            </w:r>
          </w:p>
          <w:p w14:paraId="34753CB9" w14:textId="77777777" w:rsidR="00DC2088" w:rsidRDefault="00DC2088" w:rsidP="002A11C0">
            <w:pPr>
              <w:tabs>
                <w:tab w:val="left" w:pos="426"/>
              </w:tabs>
              <w:spacing w:after="120" w:line="276" w:lineRule="auto"/>
              <w:ind w:firstLine="737"/>
              <w:jc w:val="both"/>
              <w:rPr>
                <w:rFonts w:ascii="Verdana" w:eastAsia="Calibri" w:hAnsi="Verdana" w:cs="Arial"/>
                <w:bCs/>
                <w:color w:val="000000" w:themeColor="text1"/>
                <w:lang w:val="es-ES_tradnl"/>
              </w:rPr>
            </w:pPr>
            <w:r w:rsidRPr="00817382">
              <w:rPr>
                <w:rFonts w:ascii="Verdana" w:eastAsia="Calibri" w:hAnsi="Verdana" w:cs="Arial"/>
                <w:color w:val="000000" w:themeColor="text1"/>
                <w:lang w:val="es-ES_tradnl"/>
              </w:rPr>
              <w:t xml:space="preserve">Considerando que las entidades de régimen especial administran recursos públicos, sus manuales de contratación deben ceñirse a unas reglas mínimas que garanticen el cumplimiento de los principios de la función pública, el control fiscal y los principios rectores de la contratación estatal. Dentro de estas reglas deben indicar el contenido de las propuestas y los procedimientos de selección, llevar una descripción precisa del procedimiento, los plazos de las etapas y los criterios de evaluación, y todos los criterios necesarios para garantizar la selección objetiva y la protección del interés general. Lo anterior, sin perjuicio de que algunas de estas reglas se establezcan, complementen o </w:t>
            </w:r>
            <w:r w:rsidRPr="00817382">
              <w:rPr>
                <w:rFonts w:ascii="Verdana" w:eastAsia="Calibri" w:hAnsi="Verdana" w:cs="Arial"/>
                <w:color w:val="000000" w:themeColor="text1"/>
                <w:lang w:val="es-ES_tradnl"/>
              </w:rPr>
              <w:lastRenderedPageBreak/>
              <w:t>detallen en los documentos que se expiden en desarrollo de sus procedimientos contractuales.</w:t>
            </w:r>
          </w:p>
          <w:p w14:paraId="10A76232" w14:textId="77777777" w:rsidR="00DC2088" w:rsidRDefault="00DC2088" w:rsidP="002A11C0">
            <w:pPr>
              <w:spacing w:after="120" w:line="276" w:lineRule="auto"/>
              <w:ind w:firstLine="709"/>
              <w:jc w:val="both"/>
              <w:rPr>
                <w:rFonts w:ascii="Verdana" w:eastAsia="Calibri" w:hAnsi="Verdana" w:cs="Arial"/>
                <w:color w:val="000000" w:themeColor="text1"/>
              </w:rPr>
            </w:pPr>
            <w:r>
              <w:rPr>
                <w:rFonts w:ascii="Verdana" w:eastAsia="Calibri" w:hAnsi="Verdana" w:cs="Arial"/>
                <w:bCs/>
                <w:color w:val="000000" w:themeColor="text1"/>
                <w:lang w:val="es-ES_tradnl"/>
              </w:rPr>
              <w:t xml:space="preserve">Ahora bien, </w:t>
            </w:r>
            <w:r w:rsidRPr="009B6C67">
              <w:rPr>
                <w:rFonts w:ascii="Verdana" w:eastAsia="Calibri" w:hAnsi="Verdana" w:cs="Arial"/>
                <w:color w:val="000000" w:themeColor="text1"/>
              </w:rPr>
              <w:t xml:space="preserve">el régimen contractual de </w:t>
            </w:r>
            <w:r w:rsidRPr="00A22A66">
              <w:rPr>
                <w:rFonts w:ascii="Verdana" w:eastAsia="Calibri" w:hAnsi="Verdana" w:cs="Arial"/>
                <w:color w:val="000000" w:themeColor="text1"/>
              </w:rPr>
              <w:t>las sociedades de economía mixta en las que el Estado tenga participación superior al cincuenta por ciento (50%)</w:t>
            </w:r>
            <w:r w:rsidRPr="009B6C67">
              <w:rPr>
                <w:rFonts w:ascii="Verdana" w:eastAsia="Calibri" w:hAnsi="Verdana" w:cs="Arial"/>
                <w:color w:val="000000" w:themeColor="text1"/>
              </w:rPr>
              <w:t xml:space="preserve"> que estén en competencia o desarrollen su actividad en mercados regulados es el propio de tal actividad, esto es, por regla general, el derecho privado, salvo las excepciones legales. Aunque estos contratos están excluidos de la Ley 80 de 1993, no se rigen exclusivamente por el derecho civil y comercial, pues –conforme al artículo 13 de la Ley 1150 de 2007– aplican tanto los principios de la función administrativa y de la gestión fiscal como el régimen de inhabilidades e incompatibilidades. Por el contrario, aquellas </w:t>
            </w:r>
            <w:r w:rsidRPr="00A22A66">
              <w:rPr>
                <w:rFonts w:ascii="Verdana" w:eastAsia="Calibri" w:hAnsi="Verdana" w:cs="Arial"/>
                <w:color w:val="000000" w:themeColor="text1"/>
              </w:rPr>
              <w:t>sociedades de economía mixta en las que el Estado tenga participación superior al cincuenta por ciento (50%)</w:t>
            </w:r>
            <w:r w:rsidRPr="009B6C67">
              <w:rPr>
                <w:rFonts w:ascii="Verdana" w:eastAsia="Calibri" w:hAnsi="Verdana" w:cs="Arial"/>
                <w:color w:val="000000" w:themeColor="text1"/>
              </w:rPr>
              <w:t xml:space="preserve"> que no estén en competencia ni desarrollen su actividad en mercados regulados están sometidas al Estatuto General de Contratación de la Administración Pública y las normas que lo complementan, como lo dispone el artículo 14 de la Ley 1150 de 2007.</w:t>
            </w:r>
          </w:p>
          <w:p w14:paraId="006EDB9B" w14:textId="77777777" w:rsidR="00DC2088" w:rsidRDefault="00DC2088" w:rsidP="002A11C0">
            <w:pPr>
              <w:spacing w:after="120" w:line="276" w:lineRule="auto"/>
              <w:ind w:firstLine="709"/>
              <w:jc w:val="both"/>
              <w:rPr>
                <w:rFonts w:ascii="Verdana" w:eastAsia="Calibri" w:hAnsi="Verdana" w:cs="Arial"/>
                <w:color w:val="000000" w:themeColor="text1"/>
              </w:rPr>
            </w:pPr>
            <w:r w:rsidRPr="00232807">
              <w:rPr>
                <w:rFonts w:ascii="Verdana" w:eastAsia="Calibri" w:hAnsi="Verdana" w:cs="Arial"/>
                <w:color w:val="000000" w:themeColor="text1"/>
              </w:rPr>
              <w:t>Las sociedades de economía mixta excluidas del EGCAP pueden</w:t>
            </w:r>
            <w:r>
              <w:rPr>
                <w:rFonts w:ascii="Verdana" w:eastAsia="Calibri" w:hAnsi="Verdana" w:cs="Arial"/>
                <w:color w:val="000000" w:themeColor="text1"/>
              </w:rPr>
              <w:t xml:space="preserve"> seleccionar las propuestas conforme a los requisitos que permita desarrollar el manual de contratación en los documentos del proceso. Lo anterior en la medida que, encontrándose en situación de competencia o actuando en mercados regulados, no son destinatarias del artículo 5 de la Ley 1150 de 2007 ni del artículo </w:t>
            </w:r>
            <w:r w:rsidRPr="00045C7B">
              <w:rPr>
                <w:rFonts w:ascii="Verdana" w:eastAsia="Calibri" w:hAnsi="Verdana" w:cs="Arial"/>
                <w:color w:val="000000" w:themeColor="text1"/>
              </w:rPr>
              <w:t>2.2.1.1.2.2.2</w:t>
            </w:r>
            <w:r>
              <w:rPr>
                <w:rFonts w:ascii="Verdana" w:eastAsia="Calibri" w:hAnsi="Verdana" w:cs="Arial"/>
                <w:color w:val="000000" w:themeColor="text1"/>
              </w:rPr>
              <w:t xml:space="preserve"> del Decreto 1082 de 2015 sobre el ofrecimiento más favorable. Luego, si el manual lo permite, es viable la incorporación de criterios evaluables </w:t>
            </w:r>
            <w:r w:rsidRPr="006309FA">
              <w:rPr>
                <w:rFonts w:ascii="Verdana" w:eastAsia="Calibri" w:hAnsi="Verdana" w:cs="Arial"/>
                <w:color w:val="000000" w:themeColor="text1"/>
              </w:rPr>
              <w:t xml:space="preserve">distintos </w:t>
            </w:r>
            <w:r>
              <w:rPr>
                <w:rFonts w:ascii="Verdana" w:eastAsia="Calibri" w:hAnsi="Verdana" w:cs="Arial"/>
                <w:color w:val="000000" w:themeColor="text1"/>
              </w:rPr>
              <w:t>a los tradicionales</w:t>
            </w:r>
            <w:r w:rsidRPr="006309FA">
              <w:rPr>
                <w:rFonts w:ascii="Verdana" w:eastAsia="Calibri" w:hAnsi="Verdana" w:cs="Arial"/>
                <w:color w:val="000000" w:themeColor="text1"/>
              </w:rPr>
              <w:t xml:space="preserve"> factores económicos</w:t>
            </w:r>
            <w:r>
              <w:rPr>
                <w:rFonts w:ascii="Verdana" w:eastAsia="Calibri" w:hAnsi="Verdana" w:cs="Arial"/>
                <w:color w:val="000000" w:themeColor="text1"/>
              </w:rPr>
              <w:t xml:space="preserve"> y técnicos, sin que –bajo este supuesto– existan razones jurídicas que </w:t>
            </w:r>
            <w:r w:rsidRPr="00061F7F">
              <w:rPr>
                <w:rFonts w:ascii="Verdana" w:eastAsia="Calibri" w:hAnsi="Verdana" w:cs="Arial"/>
                <w:i/>
                <w:iCs/>
                <w:color w:val="000000" w:themeColor="text1"/>
              </w:rPr>
              <w:t>a priori</w:t>
            </w:r>
            <w:r>
              <w:rPr>
                <w:rFonts w:ascii="Verdana" w:eastAsia="Calibri" w:hAnsi="Verdana" w:cs="Arial"/>
                <w:color w:val="000000" w:themeColor="text1"/>
              </w:rPr>
              <w:t xml:space="preserve"> impidan asignar puntaje a “[…] </w:t>
            </w:r>
            <w:r w:rsidRPr="00061F7F">
              <w:rPr>
                <w:rFonts w:ascii="Verdana" w:eastAsia="Calibri" w:hAnsi="Verdana" w:cs="Arial"/>
                <w:color w:val="000000" w:themeColor="text1"/>
              </w:rPr>
              <w:t xml:space="preserve">la oferta de una </w:t>
            </w:r>
            <w:r>
              <w:rPr>
                <w:rFonts w:ascii="Verdana" w:eastAsia="Calibri" w:hAnsi="Verdana" w:cs="Arial"/>
                <w:color w:val="000000" w:themeColor="text1"/>
              </w:rPr>
              <w:t>‘</w:t>
            </w:r>
            <w:r w:rsidRPr="00061F7F">
              <w:rPr>
                <w:rFonts w:ascii="Verdana" w:eastAsia="Calibri" w:hAnsi="Verdana" w:cs="Arial"/>
                <w:color w:val="000000" w:themeColor="text1"/>
              </w:rPr>
              <w:t>prima anticipada</w:t>
            </w:r>
            <w:r>
              <w:rPr>
                <w:rFonts w:ascii="Verdana" w:eastAsia="Calibri" w:hAnsi="Verdana" w:cs="Arial"/>
                <w:color w:val="000000" w:themeColor="text1"/>
              </w:rPr>
              <w:t>’</w:t>
            </w:r>
            <w:r w:rsidRPr="00061F7F">
              <w:rPr>
                <w:rFonts w:ascii="Verdana" w:eastAsia="Calibri" w:hAnsi="Verdana" w:cs="Arial"/>
                <w:color w:val="000000" w:themeColor="text1"/>
              </w:rPr>
              <w:t xml:space="preserve"> o aporte económico directo por parte del proponente a favor de la entidad</w:t>
            </w:r>
            <w:r>
              <w:rPr>
                <w:rFonts w:ascii="Verdana" w:eastAsia="Calibri" w:hAnsi="Verdana" w:cs="Arial"/>
                <w:color w:val="000000" w:themeColor="text1"/>
              </w:rPr>
              <w:t xml:space="preserve"> […]” como se indica en la consulta. (Respuesta a la pregunta 1)</w:t>
            </w:r>
          </w:p>
          <w:p w14:paraId="37EB68B4" w14:textId="77777777" w:rsidR="00DC2088" w:rsidRDefault="00DC2088" w:rsidP="002A11C0">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Como este factor no está regulado en la ley, corresponde a los documentos del proceso establecer los límites y requisitos para su  exigibilidad en el trámite contractual, lo cual incluye las condiciones asociadas a dicho aporte. En caso de incluirse, necesario tener en cuenta que la indebida estructuración de este aspecto del negocio compromete la responsabilidad de la entidad contratante. Por ello, exige un riguroso análisis de riesgos para ponderar la conveniencia o no de incluir la prima o aporte en el contrato en </w:t>
            </w:r>
            <w:r>
              <w:rPr>
                <w:rFonts w:ascii="Verdana" w:eastAsia="Calibri" w:hAnsi="Verdana" w:cs="Arial"/>
                <w:color w:val="000000" w:themeColor="text1"/>
              </w:rPr>
              <w:lastRenderedPageBreak/>
              <w:t xml:space="preserve">función de criterios como la tipología, el objeto, el valor, las obligaciones, el plazo, etc. Lo anterior, ya que es una decisión completamente discrecional del Estado y, en ese sentido, no es un derecho adquirido para los interesados. (Respuesta a las preguntas 2 y 3) </w:t>
            </w:r>
          </w:p>
          <w:p w14:paraId="5D1C9F5A" w14:textId="0EDA65FA" w:rsidR="00DC2088" w:rsidRPr="007639AC" w:rsidRDefault="00DC2088" w:rsidP="002A11C0">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No obstante, e</w:t>
            </w:r>
            <w:r w:rsidR="00610A56">
              <w:rPr>
                <w:rFonts w:ascii="Verdana" w:eastAsia="Calibri" w:hAnsi="Verdana" w:cs="Arial"/>
                <w:color w:val="000000" w:themeColor="text1"/>
              </w:rPr>
              <w:t>n la</w:t>
            </w:r>
            <w:r>
              <w:rPr>
                <w:rFonts w:ascii="Verdana" w:eastAsia="Calibri" w:hAnsi="Verdana" w:cs="Arial"/>
                <w:color w:val="000000" w:themeColor="text1"/>
              </w:rPr>
              <w:t xml:space="preserve"> medida</w:t>
            </w:r>
            <w:r w:rsidR="00610A56">
              <w:rPr>
                <w:rFonts w:ascii="Verdana" w:eastAsia="Calibri" w:hAnsi="Verdana" w:cs="Arial"/>
                <w:color w:val="000000" w:themeColor="text1"/>
              </w:rPr>
              <w:t xml:space="preserve"> en</w:t>
            </w:r>
            <w:r>
              <w:rPr>
                <w:rFonts w:ascii="Verdana" w:eastAsia="Calibri" w:hAnsi="Verdana" w:cs="Arial"/>
                <w:color w:val="000000" w:themeColor="text1"/>
              </w:rPr>
              <w:t xml:space="preserve"> que el manual de contratación se limite a factores económicos y técnicos similares a los que dispone el ordenamiento para las entidades sometidas a la Ley 80 de 1993, los documentos del proceso no pueden incluir factores de evaluación distintos a los autorizados. Ello en la medida que, dada la naturaleza reglamentaria de los manuales, rige el principio de inderogabilidad singular, motivo por el que</w:t>
            </w:r>
            <w:r w:rsidRPr="00AC5CC0">
              <w:rPr>
                <w:rFonts w:ascii="Verdana" w:eastAsia="Calibri" w:hAnsi="Verdana" w:cs="Arial"/>
                <w:color w:val="000000" w:themeColor="text1"/>
              </w:rPr>
              <w:t xml:space="preserve"> las disposiciones administrativas </w:t>
            </w:r>
            <w:r>
              <w:rPr>
                <w:rFonts w:ascii="Verdana" w:eastAsia="Calibri" w:hAnsi="Verdana" w:cs="Arial"/>
                <w:color w:val="000000" w:themeColor="text1"/>
              </w:rPr>
              <w:t>particulares no</w:t>
            </w:r>
            <w:r w:rsidRPr="00AC5CC0">
              <w:rPr>
                <w:rFonts w:ascii="Verdana" w:eastAsia="Calibri" w:hAnsi="Verdana" w:cs="Arial"/>
                <w:color w:val="000000" w:themeColor="text1"/>
              </w:rPr>
              <w:t xml:space="preserve"> pued</w:t>
            </w:r>
            <w:r>
              <w:rPr>
                <w:rFonts w:ascii="Verdana" w:eastAsia="Calibri" w:hAnsi="Verdana" w:cs="Arial"/>
                <w:color w:val="000000" w:themeColor="text1"/>
              </w:rPr>
              <w:t>e</w:t>
            </w:r>
            <w:r w:rsidRPr="00AC5CC0">
              <w:rPr>
                <w:rFonts w:ascii="Verdana" w:eastAsia="Calibri" w:hAnsi="Verdana" w:cs="Arial"/>
                <w:color w:val="000000" w:themeColor="text1"/>
              </w:rPr>
              <w:t xml:space="preserve">n </w:t>
            </w:r>
            <w:r>
              <w:rPr>
                <w:rFonts w:ascii="Verdana" w:eastAsia="Calibri" w:hAnsi="Verdana" w:cs="Arial"/>
                <w:color w:val="000000" w:themeColor="text1"/>
              </w:rPr>
              <w:t>excepcionar</w:t>
            </w:r>
            <w:r w:rsidRPr="00AC5CC0">
              <w:rPr>
                <w:rFonts w:ascii="Verdana" w:eastAsia="Calibri" w:hAnsi="Verdana" w:cs="Arial"/>
                <w:color w:val="000000" w:themeColor="text1"/>
              </w:rPr>
              <w:t xml:space="preserve"> normas generales en casos singulares.</w:t>
            </w:r>
            <w:r>
              <w:rPr>
                <w:rFonts w:ascii="Verdana" w:eastAsia="Calibri" w:hAnsi="Verdana" w:cs="Arial"/>
                <w:color w:val="000000" w:themeColor="text1"/>
              </w:rPr>
              <w:t xml:space="preserve"> (Respuesta a la pregunta 4)</w:t>
            </w:r>
            <w:r>
              <w:rPr>
                <w:rFonts w:ascii="Verdana" w:eastAsia="Calibri" w:hAnsi="Verdana" w:cs="Arial"/>
                <w:bCs/>
                <w:color w:val="000000" w:themeColor="text1"/>
                <w:lang w:val="es-ES_tradnl"/>
              </w:rPr>
              <w:t xml:space="preserve">  </w:t>
            </w:r>
          </w:p>
          <w:p w14:paraId="2E1A1C75" w14:textId="77777777" w:rsidR="00DC2088" w:rsidRPr="001941FD" w:rsidRDefault="00DC2088" w:rsidP="002A11C0">
            <w:pPr>
              <w:spacing w:line="276" w:lineRule="auto"/>
              <w:ind w:firstLine="737"/>
              <w:jc w:val="both"/>
              <w:rPr>
                <w:rFonts w:ascii="Verdana" w:eastAsia="Calibri" w:hAnsi="Verdana" w:cs="Arial"/>
                <w:bCs/>
                <w:color w:val="000000" w:themeColor="text1"/>
              </w:rPr>
            </w:pPr>
            <w:r w:rsidRPr="00A47393">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541DE02D" w14:textId="77777777" w:rsidR="00DC2088" w:rsidRPr="00593A5F" w:rsidRDefault="00DC2088" w:rsidP="00DC2088">
      <w:pPr>
        <w:tabs>
          <w:tab w:val="left" w:pos="142"/>
          <w:tab w:val="left" w:pos="284"/>
        </w:tabs>
        <w:spacing w:after="0" w:line="276" w:lineRule="auto"/>
        <w:jc w:val="both"/>
        <w:rPr>
          <w:rFonts w:ascii="Verdana" w:eastAsia="Century Gothic" w:hAnsi="Verdana" w:cs="Century Gothic"/>
          <w:b/>
          <w:bCs/>
          <w:lang w:val="es-ES"/>
        </w:rPr>
      </w:pPr>
    </w:p>
    <w:bookmarkEnd w:id="2"/>
    <w:p w14:paraId="192DFB30" w14:textId="77777777" w:rsidR="00DC2088" w:rsidRPr="00593A5F" w:rsidRDefault="00DC2088" w:rsidP="00DC208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40A15F0" w14:textId="77777777" w:rsidR="00DC2088" w:rsidRPr="00593A5F" w:rsidRDefault="00DC2088" w:rsidP="00DC2088">
      <w:pPr>
        <w:spacing w:after="0" w:line="276" w:lineRule="auto"/>
        <w:jc w:val="both"/>
        <w:rPr>
          <w:rFonts w:ascii="Verdana" w:eastAsia="Calibri" w:hAnsi="Verdana" w:cs="Arial"/>
          <w:color w:val="7030A0"/>
          <w:lang w:val="es-ES"/>
        </w:rPr>
      </w:pPr>
    </w:p>
    <w:p w14:paraId="61F86630" w14:textId="77777777" w:rsidR="00DC2088" w:rsidRDefault="00DC2088" w:rsidP="00DC2088">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11751CA7" w14:textId="77777777" w:rsidR="00DC2088" w:rsidRPr="00415608" w:rsidRDefault="00DC2088" w:rsidP="00DC2088">
      <w:pPr>
        <w:spacing w:after="0" w:line="276" w:lineRule="auto"/>
        <w:jc w:val="both"/>
        <w:rPr>
          <w:rFonts w:ascii="Verdana" w:eastAsia="Calibri" w:hAnsi="Verdana" w:cs="Arial"/>
          <w:lang w:val="es-ES"/>
        </w:rPr>
      </w:pPr>
    </w:p>
    <w:p w14:paraId="54D8E4A5" w14:textId="77777777" w:rsidR="00DC2088" w:rsidRPr="00817382" w:rsidRDefault="00DC2088" w:rsidP="00DC2088">
      <w:pPr>
        <w:spacing w:after="120" w:line="276" w:lineRule="auto"/>
        <w:jc w:val="both"/>
        <w:rPr>
          <w:rFonts w:ascii="Verdana" w:hAnsi="Verdana" w:cs="Arial"/>
          <w:lang w:val="es-ES_tradnl"/>
        </w:rPr>
      </w:pPr>
      <w:r w:rsidRPr="00817382">
        <w:rPr>
          <w:rFonts w:ascii="Verdana" w:hAnsi="Verdana" w:cs="Arial"/>
          <w:lang w:val="es-ES_tradnl"/>
        </w:rPr>
        <w:t xml:space="preserve">i. 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817382">
        <w:rPr>
          <w:rFonts w:ascii="Verdana" w:hAnsi="Verdana" w:cs="Arial"/>
          <w:i/>
          <w:iCs/>
          <w:lang w:val="es-ES_tradnl"/>
        </w:rPr>
        <w:t>entidades estatales</w:t>
      </w:r>
      <w:r w:rsidRPr="00817382">
        <w:rPr>
          <w:rFonts w:ascii="Verdana" w:hAnsi="Verdana" w:cs="Arial"/>
          <w:lang w:val="es-ES_tradnl"/>
        </w:rPr>
        <w:t xml:space="preserve">, esto es, aquellas previstas en los literales a) y b) del numeral 1 del artículo 2 </w:t>
      </w:r>
      <w:r w:rsidRPr="00817382">
        <w:rPr>
          <w:rFonts w:ascii="Verdana" w:hAnsi="Verdana" w:cs="Arial"/>
          <w:i/>
          <w:iCs/>
          <w:lang w:val="es-ES_tradnl"/>
        </w:rPr>
        <w:t>ibidem</w:t>
      </w:r>
      <w:r w:rsidRPr="00817382">
        <w:rPr>
          <w:rFonts w:ascii="Verdana" w:hAnsi="Verdana" w:cs="Arial"/>
          <w:lang w:val="es-ES_tradnl"/>
        </w:rPr>
        <w:t xml:space="preserve">. La norma citada define la competencia contractual en los siguientes términos: </w:t>
      </w:r>
    </w:p>
    <w:p w14:paraId="1FC86DB4" w14:textId="77777777" w:rsidR="00DC2088" w:rsidRPr="00817382" w:rsidRDefault="00DC2088" w:rsidP="00DC2088">
      <w:pPr>
        <w:spacing w:after="120" w:line="276" w:lineRule="auto"/>
        <w:ind w:firstLine="708"/>
        <w:jc w:val="both"/>
        <w:rPr>
          <w:rFonts w:ascii="Verdana" w:hAnsi="Verdana" w:cs="Arial"/>
          <w:lang w:val="es-ES_tradnl"/>
        </w:rPr>
      </w:pPr>
      <w:r w:rsidRPr="00817382">
        <w:rPr>
          <w:rFonts w:ascii="Verdana" w:hAnsi="Verdana" w:cs="Arial"/>
          <w:lang w:val="es-ES_tradnl"/>
        </w:rPr>
        <w:t xml:space="preserve">El literal a) aplica a las entidades con personería jurídica. Alude a la Nación, las regiones, los departamentos, las provincias, el distrito capital y los </w:t>
      </w:r>
      <w:r w:rsidRPr="00817382">
        <w:rPr>
          <w:rFonts w:ascii="Verdana" w:hAnsi="Verdana" w:cs="Arial"/>
          <w:lang w:val="es-ES_tradnl"/>
        </w:rPr>
        <w:lastRenderedPageBreak/>
        <w:t xml:space="preserve">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67254B1C" w14:textId="77777777" w:rsidR="00DC2088" w:rsidRPr="00817382" w:rsidRDefault="00DC2088" w:rsidP="00DC2088">
      <w:pPr>
        <w:spacing w:after="120" w:line="276" w:lineRule="auto"/>
        <w:ind w:firstLine="708"/>
        <w:jc w:val="both"/>
        <w:rPr>
          <w:rFonts w:ascii="Verdana" w:hAnsi="Verdana" w:cs="Arial"/>
          <w:lang w:val="es-ES_tradnl"/>
        </w:rPr>
      </w:pPr>
      <w:r w:rsidRPr="00817382">
        <w:rPr>
          <w:rFonts w:ascii="Verdana" w:hAnsi="Verdana" w:cs="Arial"/>
          <w:lang w:val="es-ES_tradnl"/>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817382">
        <w:rPr>
          <w:rStyle w:val="Refdenotaalpie"/>
          <w:rFonts w:ascii="Verdana" w:hAnsi="Verdana" w:cs="Arial"/>
          <w:lang w:val="es-ES_tradnl"/>
        </w:rPr>
        <w:footnoteReference w:id="1"/>
      </w:r>
      <w:r w:rsidRPr="00817382">
        <w:rPr>
          <w:rFonts w:ascii="Verdana" w:hAnsi="Verdana" w:cs="Arial"/>
          <w:lang w:val="es-ES_tradnl"/>
        </w:rPr>
        <w:t xml:space="preserve">. </w:t>
      </w:r>
    </w:p>
    <w:p w14:paraId="1CBF5E45" w14:textId="77777777" w:rsidR="00DC2088" w:rsidRDefault="00DC2088" w:rsidP="00DC2088">
      <w:pPr>
        <w:tabs>
          <w:tab w:val="left" w:pos="709"/>
        </w:tabs>
        <w:spacing w:after="0" w:line="276" w:lineRule="auto"/>
        <w:jc w:val="both"/>
        <w:rPr>
          <w:rFonts w:ascii="Verdana" w:hAnsi="Verdana" w:cs="Arial"/>
          <w:bCs/>
          <w:lang w:val="es-ES_tradnl"/>
        </w:rPr>
      </w:pPr>
      <w:r>
        <w:rPr>
          <w:rFonts w:ascii="Verdana" w:hAnsi="Verdana" w:cs="Arial"/>
          <w:lang w:val="es-ES_tradnl"/>
        </w:rPr>
        <w:tab/>
      </w:r>
      <w:r w:rsidRPr="00817382">
        <w:rPr>
          <w:rFonts w:ascii="Verdana" w:hAnsi="Verdana" w:cs="Arial"/>
          <w:lang w:val="es-ES_tradnl"/>
        </w:rPr>
        <w:t xml:space="preserve">Para las entidades de los párrafos anteriores, sin perjuicio de las excepciones puntales a la aplicación del EGCAP, los procesos de selección se rigen por el artículo 2 de la Ley 1150 de 2007. El </w:t>
      </w:r>
      <w:r w:rsidRPr="00817382">
        <w:rPr>
          <w:rFonts w:ascii="Verdana" w:hAnsi="Verdana" w:cs="Arial"/>
          <w:bCs/>
          <w:lang w:val="es-ES_tradnl"/>
        </w:rPr>
        <w:t xml:space="preserve">numeral uno, inciso primero, dispone que “La escogencia del contratista se efectuará por </w:t>
      </w:r>
      <w:r w:rsidRPr="00817382">
        <w:rPr>
          <w:rFonts w:ascii="Verdana" w:hAnsi="Verdana" w:cs="Arial"/>
          <w:bCs/>
          <w:i/>
          <w:iCs/>
          <w:lang w:val="es-ES_tradnl"/>
        </w:rPr>
        <w:t>regla general</w:t>
      </w:r>
      <w:r w:rsidRPr="00817382">
        <w:rPr>
          <w:rFonts w:ascii="Verdana" w:hAnsi="Verdana" w:cs="Arial"/>
          <w:bCs/>
          <w:lang w:val="es-ES_tradnl"/>
        </w:rPr>
        <w:t xml:space="preserve"> a través de licitación pública, con las </w:t>
      </w:r>
      <w:r w:rsidRPr="00817382">
        <w:rPr>
          <w:rFonts w:ascii="Verdana" w:hAnsi="Verdana" w:cs="Arial"/>
          <w:bCs/>
          <w:i/>
          <w:iCs/>
          <w:lang w:val="es-ES_tradnl"/>
        </w:rPr>
        <w:t>excepciones</w:t>
      </w:r>
      <w:r w:rsidRPr="00817382">
        <w:rPr>
          <w:rFonts w:ascii="Verdana" w:hAnsi="Verdana" w:cs="Arial"/>
          <w:bCs/>
          <w:lang w:val="es-ES_tradnl"/>
        </w:rPr>
        <w:t xml:space="preserve"> que se señalan en los numerales 2, 3 y 4 del presente artículo” (Énfasis fuera de texto), norma que sustituye el derogado numeral 1 del artículo 24 de la Ley 80 de 1993 sobre el principio de </w:t>
      </w:r>
      <w:r w:rsidRPr="00817382">
        <w:rPr>
          <w:rFonts w:ascii="Verdana" w:hAnsi="Verdana" w:cs="Arial"/>
          <w:bCs/>
          <w:lang w:val="es-ES_tradnl"/>
        </w:rPr>
        <w:lastRenderedPageBreak/>
        <w:t>transparencia</w:t>
      </w:r>
      <w:r w:rsidRPr="00817382">
        <w:rPr>
          <w:rFonts w:ascii="Verdana" w:hAnsi="Verdana" w:cs="Arial"/>
          <w:bCs/>
          <w:vertAlign w:val="superscript"/>
          <w:lang w:val="es-ES_tradnl"/>
        </w:rPr>
        <w:footnoteReference w:id="2"/>
      </w:r>
      <w:r w:rsidRPr="00817382">
        <w:rPr>
          <w:rFonts w:ascii="Verdana" w:hAnsi="Verdana" w:cs="Arial"/>
          <w:bCs/>
          <w:lang w:val="es-ES_tradnl"/>
        </w:rPr>
        <w:t>. En este contexto, salvo norma especial que ordene la celebración del negocio jurídico por selección abreviada, concurso de méritos, mínima cuantía o contratación directa, debe aplicarse la regla general de licitación pública</w:t>
      </w:r>
      <w:r w:rsidRPr="00817382">
        <w:rPr>
          <w:rFonts w:ascii="Verdana" w:hAnsi="Verdana" w:cs="Arial"/>
          <w:bCs/>
          <w:vertAlign w:val="superscript"/>
          <w:lang w:val="es-ES_tradnl"/>
        </w:rPr>
        <w:footnoteReference w:id="3"/>
      </w:r>
      <w:r w:rsidRPr="00817382">
        <w:rPr>
          <w:rFonts w:ascii="Verdana" w:hAnsi="Verdana" w:cs="Arial"/>
          <w:bCs/>
          <w:lang w:val="es-ES_tradnl"/>
        </w:rPr>
        <w:t>.</w:t>
      </w:r>
    </w:p>
    <w:p w14:paraId="74904286" w14:textId="77777777" w:rsidR="00DC2088" w:rsidRDefault="00DC2088" w:rsidP="00DC2088">
      <w:pPr>
        <w:tabs>
          <w:tab w:val="left" w:pos="709"/>
        </w:tabs>
        <w:spacing w:after="0" w:line="276" w:lineRule="auto"/>
        <w:jc w:val="both"/>
        <w:rPr>
          <w:rFonts w:ascii="Verdana" w:hAnsi="Verdana" w:cs="Arial"/>
          <w:bCs/>
          <w:lang w:val="es-ES_tradnl"/>
        </w:rPr>
      </w:pPr>
    </w:p>
    <w:p w14:paraId="5D54F721" w14:textId="77777777" w:rsidR="00DC2088" w:rsidRPr="00817382" w:rsidRDefault="00DC2088" w:rsidP="00DC2088">
      <w:pPr>
        <w:spacing w:after="120" w:line="276" w:lineRule="auto"/>
        <w:jc w:val="both"/>
        <w:rPr>
          <w:rFonts w:ascii="Verdana" w:hAnsi="Verdana" w:cs="Arial"/>
          <w:lang w:val="es-ES"/>
        </w:rPr>
      </w:pPr>
      <w:proofErr w:type="spellStart"/>
      <w:r w:rsidRPr="1BEB4EFE">
        <w:rPr>
          <w:rFonts w:ascii="Verdana" w:hAnsi="Verdana" w:cs="Arial"/>
          <w:lang w:val="es-ES"/>
        </w:rPr>
        <w:t>ii</w:t>
      </w:r>
      <w:proofErr w:type="spellEnd"/>
      <w:r w:rsidRPr="1BEB4EFE">
        <w:rPr>
          <w:rFonts w:ascii="Verdana" w:hAnsi="Verdana" w:cs="Arial"/>
          <w:lang w:val="es-ES"/>
        </w:rPr>
        <w:t xml:space="preserve">. No resulta extraño que el sistema de compras públicas se apoye en normas de derecho civil y comercial, ya que la figura del contrato es transversal a todo el ordenamiento jurídico. Respecto a las </w:t>
      </w:r>
      <w:r w:rsidRPr="1BEB4EFE">
        <w:rPr>
          <w:rFonts w:ascii="Verdana" w:hAnsi="Verdana" w:cs="Arial"/>
          <w:i/>
          <w:lang w:val="es-ES"/>
        </w:rPr>
        <w:t>entidades sometidas a la Ley 80 de 1993</w:t>
      </w:r>
      <w:r w:rsidRPr="1BEB4EFE">
        <w:rPr>
          <w:rFonts w:ascii="Verdana" w:hAnsi="Verdana" w:cs="Arial"/>
          <w:lang w:val="es-ES"/>
        </w:rPr>
        <w:t>, el inciso primero del artículo 13 dispone que “Los contratos que celebren las entidades a que se refiere el artículo 2o. del presente estatuto se regirán por las disposiciones comerciales y civiles pertinentes, salvo en las materias particularmente reguladas en esta ley”. 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y que “Las estipulaciones de los contratos serán las que de acuerdo con las normas civiles, comerciales y las previstas en esta ley, correspondan a su esencia y naturaleza” –art. 40, inciso primero–.</w:t>
      </w:r>
    </w:p>
    <w:p w14:paraId="1F998EC6" w14:textId="77777777" w:rsidR="00DC2088" w:rsidRPr="00817382" w:rsidRDefault="00DC2088" w:rsidP="00DC2088">
      <w:pPr>
        <w:spacing w:after="120" w:line="276" w:lineRule="auto"/>
        <w:ind w:firstLine="708"/>
        <w:jc w:val="both"/>
        <w:rPr>
          <w:rFonts w:ascii="Verdana" w:hAnsi="Verdana" w:cs="Arial"/>
          <w:bCs/>
          <w:lang w:val="es-ES_tradnl"/>
        </w:rPr>
      </w:pPr>
      <w:r w:rsidRPr="00817382">
        <w:rPr>
          <w:rFonts w:ascii="Verdana" w:hAnsi="Verdana" w:cs="Arial"/>
          <w:bCs/>
          <w:lang w:val="es-ES_tradnl"/>
        </w:rPr>
        <w:t xml:space="preserve">No obstante, aunque tenga una influencia limitada, las </w:t>
      </w:r>
      <w:r w:rsidRPr="00817382">
        <w:rPr>
          <w:rFonts w:ascii="Verdana" w:hAnsi="Verdana" w:cs="Arial"/>
          <w:bCs/>
          <w:i/>
          <w:iCs/>
          <w:lang w:val="es-ES_tradnl"/>
        </w:rPr>
        <w:t>entidades del régimen exceptuado</w:t>
      </w:r>
      <w:r w:rsidRPr="00817382">
        <w:rPr>
          <w:rFonts w:ascii="Verdana" w:hAnsi="Verdana" w:cs="Arial"/>
          <w:bCs/>
          <w:lang w:val="es-ES_tradnl"/>
        </w:rPr>
        <w:t xml:space="preserve"> no se deslingan por completo de las normas de derecho </w:t>
      </w:r>
      <w:r w:rsidRPr="00817382">
        <w:rPr>
          <w:rFonts w:ascii="Verdana" w:hAnsi="Verdana" w:cs="Arial"/>
          <w:bCs/>
          <w:lang w:val="es-ES_tradnl"/>
        </w:rPr>
        <w:lastRenderedPageBreak/>
        <w:t>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6106F6FA" w14:textId="77777777" w:rsidR="00DC2088" w:rsidRPr="00817382" w:rsidRDefault="00DC2088" w:rsidP="00DC2088">
      <w:pPr>
        <w:spacing w:after="0" w:line="276" w:lineRule="auto"/>
        <w:ind w:firstLine="709"/>
        <w:jc w:val="both"/>
        <w:rPr>
          <w:rFonts w:ascii="Verdana" w:hAnsi="Verdana" w:cs="Arial"/>
          <w:lang w:val="es-ES"/>
        </w:rPr>
      </w:pPr>
      <w:r w:rsidRPr="1BEB4EFE">
        <w:rPr>
          <w:rFonts w:ascii="Verdana" w:hAnsi="Verdana" w:cs="Arial"/>
          <w:lang w:val="es-ES"/>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1BEB4EFE">
        <w:rPr>
          <w:rFonts w:ascii="Verdana" w:hAnsi="Verdana" w:cs="Arial"/>
          <w:lang w:val="es-ES"/>
        </w:rPr>
        <w:t>ii</w:t>
      </w:r>
      <w:proofErr w:type="spellEnd"/>
      <w:r w:rsidRPr="1BEB4EFE">
        <w:rPr>
          <w:rFonts w:ascii="Verdana" w:hAnsi="Verdana" w:cs="Arial"/>
          <w:lang w:val="es-ES"/>
        </w:rPr>
        <w:t xml:space="preserve">) flexibilizar el ejercicio de la función administrativa –como en los contratos del Banco de la República o los de ciencia y tecnología– o </w:t>
      </w:r>
      <w:proofErr w:type="spellStart"/>
      <w:r w:rsidRPr="1BEB4EFE">
        <w:rPr>
          <w:rFonts w:ascii="Verdana" w:hAnsi="Verdana" w:cs="Arial"/>
          <w:lang w:val="es-ES"/>
        </w:rPr>
        <w:t>iii</w:t>
      </w:r>
      <w:proofErr w:type="spellEnd"/>
      <w:r w:rsidRPr="1BEB4EFE">
        <w:rPr>
          <w:rFonts w:ascii="Verdana" w:hAnsi="Verdana" w:cs="Arial"/>
          <w:lang w:val="es-ES"/>
        </w:rPr>
        <w:t>) establecer un régimen especial sin excluir por completo la aplicación de la Ley 80 de 1993 –como ocurre en la operaciones del crédito público–</w:t>
      </w:r>
      <w:r w:rsidRPr="1BEB4EFE">
        <w:rPr>
          <w:rFonts w:ascii="Verdana" w:hAnsi="Verdana" w:cs="Arial"/>
          <w:vertAlign w:val="superscript"/>
          <w:lang w:val="es-ES"/>
        </w:rPr>
        <w:footnoteReference w:id="4"/>
      </w:r>
      <w:r w:rsidRPr="1BEB4EFE">
        <w:rPr>
          <w:rFonts w:ascii="Verdana" w:hAnsi="Verdana" w:cs="Arial"/>
          <w:lang w:val="es-ES"/>
        </w:rPr>
        <w:t xml:space="preserve">.  Para estos efectos, la doctrina ha identificado 171 entidades y contratos que manejan un régimen excepcional, los cuales se clasifican de acuerdo i) al sector económico, </w:t>
      </w:r>
      <w:proofErr w:type="spellStart"/>
      <w:r w:rsidRPr="1BEB4EFE">
        <w:rPr>
          <w:rFonts w:ascii="Verdana" w:hAnsi="Verdana" w:cs="Arial"/>
          <w:lang w:val="es-ES"/>
        </w:rPr>
        <w:t>ii</w:t>
      </w:r>
      <w:proofErr w:type="spellEnd"/>
      <w:r w:rsidRPr="1BEB4EFE">
        <w:rPr>
          <w:rFonts w:ascii="Verdana" w:hAnsi="Verdana" w:cs="Arial"/>
          <w:lang w:val="es-ES"/>
        </w:rPr>
        <w:t xml:space="preserve">) la asignación de un esquema legal especial, </w:t>
      </w:r>
      <w:proofErr w:type="spellStart"/>
      <w:r w:rsidRPr="1BEB4EFE">
        <w:rPr>
          <w:rFonts w:ascii="Verdana" w:hAnsi="Verdana" w:cs="Arial"/>
          <w:lang w:val="es-ES"/>
        </w:rPr>
        <w:t>iii</w:t>
      </w:r>
      <w:proofErr w:type="spellEnd"/>
      <w:r w:rsidRPr="1BEB4EFE">
        <w:rPr>
          <w:rFonts w:ascii="Verdana" w:hAnsi="Verdana" w:cs="Arial"/>
          <w:lang w:val="es-ES"/>
        </w:rPr>
        <w:t xml:space="preserve">) el objeto del contrato celebrado y </w:t>
      </w:r>
      <w:proofErr w:type="spellStart"/>
      <w:r w:rsidRPr="1BEB4EFE">
        <w:rPr>
          <w:rFonts w:ascii="Verdana" w:hAnsi="Verdana" w:cs="Arial"/>
          <w:lang w:val="es-ES"/>
        </w:rPr>
        <w:t>iv</w:t>
      </w:r>
      <w:proofErr w:type="spellEnd"/>
      <w:r w:rsidRPr="1BEB4EFE">
        <w:rPr>
          <w:rFonts w:ascii="Verdana" w:hAnsi="Verdana" w:cs="Arial"/>
          <w:lang w:val="es-ES"/>
        </w:rPr>
        <w:t>) la existencia de fondos que administran recursos públicos</w:t>
      </w:r>
      <w:r w:rsidRPr="1BEB4EFE">
        <w:rPr>
          <w:rFonts w:ascii="Verdana" w:hAnsi="Verdana" w:cs="Arial"/>
          <w:vertAlign w:val="superscript"/>
          <w:lang w:val="es-ES"/>
        </w:rPr>
        <w:footnoteReference w:id="5"/>
      </w:r>
      <w:r w:rsidRPr="1BEB4EFE">
        <w:rPr>
          <w:rFonts w:ascii="Verdana" w:hAnsi="Verdana" w:cs="Arial"/>
          <w:lang w:val="es-ES"/>
        </w:rPr>
        <w:t>.</w:t>
      </w:r>
    </w:p>
    <w:p w14:paraId="633DC5BC" w14:textId="77777777" w:rsidR="00DC2088" w:rsidRDefault="00DC2088" w:rsidP="00DC2088">
      <w:pPr>
        <w:tabs>
          <w:tab w:val="left" w:pos="709"/>
        </w:tabs>
        <w:spacing w:after="0" w:line="276" w:lineRule="auto"/>
        <w:jc w:val="both"/>
        <w:rPr>
          <w:rFonts w:ascii="Verdana" w:hAnsi="Verdana" w:cs="Arial"/>
          <w:color w:val="000000" w:themeColor="text1"/>
          <w:lang w:val="es-ES_tradnl"/>
        </w:rPr>
      </w:pPr>
    </w:p>
    <w:p w14:paraId="53D7B33C" w14:textId="77777777" w:rsidR="00DC2088" w:rsidRPr="00817382" w:rsidRDefault="00DC2088" w:rsidP="00DC2088">
      <w:pPr>
        <w:tabs>
          <w:tab w:val="left" w:pos="426"/>
        </w:tabs>
        <w:spacing w:line="276" w:lineRule="auto"/>
        <w:jc w:val="both"/>
        <w:rPr>
          <w:rFonts w:ascii="Verdana" w:eastAsia="Calibri" w:hAnsi="Verdana" w:cs="Arial"/>
          <w:b/>
          <w:color w:val="000000" w:themeColor="text1"/>
          <w:lang w:val="es-ES"/>
        </w:rPr>
      </w:pPr>
      <w:proofErr w:type="spellStart"/>
      <w:r w:rsidRPr="1BEB4EFE">
        <w:rPr>
          <w:rFonts w:ascii="Verdana" w:hAnsi="Verdana" w:cs="Arial"/>
          <w:color w:val="000000" w:themeColor="text1"/>
          <w:lang w:val="es-ES"/>
        </w:rPr>
        <w:t>iii</w:t>
      </w:r>
      <w:proofErr w:type="spellEnd"/>
      <w:r w:rsidRPr="1BEB4EFE">
        <w:rPr>
          <w:rFonts w:ascii="Verdana" w:hAnsi="Verdana" w:cs="Arial"/>
          <w:color w:val="000000" w:themeColor="text1"/>
          <w:lang w:val="es-ES"/>
        </w:rPr>
        <w:t xml:space="preserve">. </w:t>
      </w:r>
      <w:r w:rsidRPr="1BEB4EFE">
        <w:rPr>
          <w:rFonts w:ascii="Verdana" w:eastAsia="Calibri" w:hAnsi="Verdana" w:cs="Arial"/>
          <w:color w:val="000000" w:themeColor="text1"/>
          <w:lang w:val="es-ES"/>
        </w:rPr>
        <w:t xml:space="preserve">Las </w:t>
      </w:r>
      <w:r w:rsidRPr="1BEB4EFE">
        <w:rPr>
          <w:rFonts w:ascii="Verdana" w:eastAsia="Calibri" w:hAnsi="Verdana" w:cs="Arial"/>
          <w:i/>
          <w:color w:val="000000" w:themeColor="text1"/>
          <w:lang w:val="es-ES"/>
        </w:rPr>
        <w:t>entidades de régimen especial</w:t>
      </w:r>
      <w:r w:rsidRPr="1BEB4EFE">
        <w:rPr>
          <w:rFonts w:ascii="Verdana" w:eastAsia="Calibri" w:hAnsi="Verdana" w:cs="Arial"/>
          <w:color w:val="000000" w:themeColor="text1"/>
          <w:lang w:val="es-ES"/>
        </w:rPr>
        <w:t xml:space="preserve"> son aquellas que, por expresa disposición legal y por su naturaleza o situación de competencia, tienen condiciones diferenciales respecto de la normativa de contratación pública. Esto quiere decir que no están sometidas al Estatuto General de Contratación de la Administración Pública, y por ende sus procedimientos contractuales tienen su normativa propia para su desarrollo, esto es, el derecho privado, lo cual está determinado en las normas de creación de las entidades de régimen especial y en sus manuales de contratación.</w:t>
      </w:r>
    </w:p>
    <w:p w14:paraId="1503DAE4" w14:textId="77777777" w:rsidR="00DC2088" w:rsidRPr="00817382" w:rsidRDefault="00DC2088" w:rsidP="00DC2088">
      <w:pPr>
        <w:spacing w:before="120" w:after="120" w:line="276" w:lineRule="auto"/>
        <w:jc w:val="both"/>
        <w:rPr>
          <w:rFonts w:ascii="Verdana" w:eastAsia="Calibri" w:hAnsi="Verdana" w:cs="Arial"/>
          <w:color w:val="000000" w:themeColor="text1"/>
          <w:lang w:val="es-ES"/>
        </w:rPr>
      </w:pPr>
      <w:r w:rsidRPr="00817382">
        <w:rPr>
          <w:rFonts w:ascii="Verdana" w:eastAsia="Calibri" w:hAnsi="Verdana" w:cs="Arial"/>
          <w:color w:val="000000" w:themeColor="text1"/>
          <w:lang w:val="es-ES_tradnl"/>
        </w:rPr>
        <w:tab/>
      </w:r>
      <w:r w:rsidRPr="1BEB4EFE">
        <w:rPr>
          <w:rFonts w:ascii="Verdana" w:eastAsia="Calibri" w:hAnsi="Verdana" w:cs="Arial"/>
          <w:color w:val="000000" w:themeColor="text1"/>
          <w:lang w:val="es-ES"/>
        </w:rPr>
        <w:t xml:space="preserve">Teniendo en cuenta que las entidades de régimen especial están facultadas legalmente para aplicar reglas distintas a las establecidas en la Ley 80 de 1993 y sus normas complementarias, su régimen contractual estará </w:t>
      </w:r>
      <w:r w:rsidRPr="1BEB4EFE">
        <w:rPr>
          <w:rFonts w:ascii="Verdana" w:eastAsia="Calibri" w:hAnsi="Verdana" w:cs="Arial"/>
          <w:color w:val="000000" w:themeColor="text1"/>
          <w:lang w:val="es-ES"/>
        </w:rPr>
        <w:lastRenderedPageBreak/>
        <w:t>definido en la noma que crea el régimen especial y será desarrollado en el manual de contratación de la respectiva entidad, con el fin de que se puedan identificar las reglas que aplican en la contratación. La Agencia Nacional de Contratación Pública – Colombia Compra Eficiente expidió la Guía para las entidades estatales con régimen especial de contratación, que las define como aquellas que contratan con un régimen distinto a las Leyes 80 de 1993 y 1150 de 2007</w:t>
      </w:r>
      <w:r w:rsidRPr="1BEB4EFE">
        <w:rPr>
          <w:rStyle w:val="Refdenotaalpie"/>
          <w:rFonts w:ascii="Verdana" w:eastAsia="Calibri" w:hAnsi="Verdana" w:cs="Arial"/>
          <w:color w:val="000000" w:themeColor="text1"/>
          <w:lang w:val="es-ES"/>
        </w:rPr>
        <w:footnoteReference w:id="6"/>
      </w:r>
      <w:r w:rsidRPr="1BEB4EFE">
        <w:rPr>
          <w:rFonts w:ascii="Verdana" w:eastAsia="Calibri" w:hAnsi="Verdana" w:cs="Arial"/>
          <w:color w:val="000000" w:themeColor="text1"/>
          <w:lang w:val="es-ES"/>
        </w:rPr>
        <w:t>.</w:t>
      </w:r>
    </w:p>
    <w:p w14:paraId="4FF12B5A" w14:textId="77777777" w:rsidR="00DC2088" w:rsidRPr="00817382" w:rsidRDefault="00DC2088" w:rsidP="00DC2088">
      <w:pPr>
        <w:spacing w:after="0" w:line="276" w:lineRule="auto"/>
        <w:jc w:val="both"/>
        <w:rPr>
          <w:rFonts w:ascii="Verdana" w:eastAsia="Calibri" w:hAnsi="Verdana" w:cs="Arial"/>
          <w:color w:val="000000" w:themeColor="text1"/>
          <w:lang w:val="es-ES_tradnl"/>
        </w:rPr>
      </w:pPr>
      <w:r w:rsidRPr="00817382">
        <w:rPr>
          <w:rFonts w:ascii="Verdana" w:eastAsia="Calibri" w:hAnsi="Verdana" w:cs="Arial"/>
          <w:color w:val="000000" w:themeColor="text1"/>
          <w:lang w:val="es-ES_tradnl"/>
        </w:rPr>
        <w:tab/>
        <w:t>No obstante, las entidades de régimen especial cumplen una finalidad pública y utilizan recursos públicos para lograrlo, por lo que no son ajenas a los principios de la función administrativa y de la gestión fiscal, entre otras reglas dispuestas en la normativa de contratación pública que son transversales a todas las entidades, sin importar su régimen contractual. Lo anterior es reafirmado por el Consejo de Estado, que destaca las reglas que sigue la contratación de las entidades de régimen especial:</w:t>
      </w:r>
    </w:p>
    <w:p w14:paraId="72190352" w14:textId="77777777" w:rsidR="00DC2088" w:rsidRPr="00817382" w:rsidRDefault="00DC2088" w:rsidP="00DC2088">
      <w:pPr>
        <w:spacing w:after="0" w:line="276" w:lineRule="auto"/>
        <w:jc w:val="both"/>
        <w:rPr>
          <w:rFonts w:ascii="Verdana" w:eastAsia="Calibri" w:hAnsi="Verdana" w:cs="Arial"/>
          <w:color w:val="000000" w:themeColor="text1"/>
          <w:lang w:val="es-ES_tradnl"/>
        </w:rPr>
      </w:pPr>
    </w:p>
    <w:p w14:paraId="44A142A5" w14:textId="77777777" w:rsidR="00DC2088" w:rsidRPr="00DE5519" w:rsidRDefault="00DC2088" w:rsidP="00DC2088">
      <w:pPr>
        <w:spacing w:line="240" w:lineRule="auto"/>
        <w:ind w:left="709" w:right="709"/>
        <w:jc w:val="both"/>
        <w:rPr>
          <w:rFonts w:ascii="Verdana" w:eastAsia="Calibri" w:hAnsi="Verdana" w:cs="Arial"/>
          <w:color w:val="000000" w:themeColor="text1"/>
          <w:sz w:val="20"/>
          <w:szCs w:val="20"/>
          <w:lang w:val="es-ES_tradnl"/>
        </w:rPr>
      </w:pPr>
      <w:r w:rsidRPr="00DE5519">
        <w:rPr>
          <w:rFonts w:ascii="Verdana" w:eastAsia="Calibri" w:hAnsi="Verdana" w:cs="Arial"/>
          <w:color w:val="000000" w:themeColor="text1"/>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79869652" w14:textId="77777777" w:rsidR="00DC2088" w:rsidRPr="00DE5519" w:rsidRDefault="00DC2088" w:rsidP="00DC2088">
      <w:pPr>
        <w:spacing w:line="240" w:lineRule="auto"/>
        <w:ind w:left="709" w:right="709"/>
        <w:jc w:val="both"/>
        <w:rPr>
          <w:rFonts w:ascii="Verdana" w:eastAsia="Calibri" w:hAnsi="Verdana" w:cs="Arial"/>
          <w:color w:val="000000" w:themeColor="text1"/>
          <w:sz w:val="20"/>
          <w:szCs w:val="20"/>
          <w:lang w:val="es-ES"/>
        </w:rPr>
      </w:pPr>
      <w:r w:rsidRPr="1BEB4EFE">
        <w:rPr>
          <w:rFonts w:ascii="Verdana" w:eastAsia="Calibri" w:hAnsi="Verdana" w:cs="Arial"/>
          <w:color w:val="000000" w:themeColor="text1"/>
          <w:sz w:val="20"/>
          <w:szCs w:val="20"/>
          <w:lang w:val="es-ES"/>
        </w:rPr>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14:paraId="3B41B496" w14:textId="77777777" w:rsidR="00DC2088" w:rsidRPr="00DE5519" w:rsidRDefault="00DC2088" w:rsidP="00DC2088">
      <w:pPr>
        <w:spacing w:after="0" w:line="240" w:lineRule="auto"/>
        <w:ind w:left="709" w:right="709"/>
        <w:jc w:val="both"/>
        <w:rPr>
          <w:rFonts w:ascii="Verdana" w:eastAsia="Calibri" w:hAnsi="Verdana" w:cs="Arial"/>
          <w:color w:val="000000" w:themeColor="text1"/>
          <w:sz w:val="20"/>
          <w:szCs w:val="20"/>
          <w:lang w:val="es-ES_tradnl"/>
        </w:rPr>
      </w:pPr>
      <w:r w:rsidRPr="00DE5519">
        <w:rPr>
          <w:rFonts w:ascii="Verdana" w:eastAsia="Calibri" w:hAnsi="Verdana" w:cs="Arial"/>
          <w:color w:val="000000" w:themeColor="text1"/>
          <w:sz w:val="20"/>
          <w:szCs w:val="20"/>
          <w:lang w:val="es-ES_tradnl"/>
        </w:rPr>
        <w:t xml:space="preserve">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w:t>
      </w:r>
      <w:r w:rsidRPr="00DE5519">
        <w:rPr>
          <w:rFonts w:ascii="Verdana" w:eastAsia="Calibri" w:hAnsi="Verdana" w:cs="Arial"/>
          <w:color w:val="000000" w:themeColor="text1"/>
          <w:sz w:val="20"/>
          <w:szCs w:val="20"/>
          <w:lang w:val="es-ES_tradnl"/>
        </w:rPr>
        <w:lastRenderedPageBreak/>
        <w:t>Estado, la trasparencia y en general los demás valores propios de la gestión de lo público”</w:t>
      </w:r>
      <w:r w:rsidRPr="00DE5519">
        <w:rPr>
          <w:rStyle w:val="Refdenotaalpie"/>
          <w:rFonts w:ascii="Verdana" w:eastAsia="Calibri" w:hAnsi="Verdana" w:cs="Arial"/>
          <w:color w:val="000000" w:themeColor="text1"/>
          <w:sz w:val="20"/>
          <w:szCs w:val="20"/>
          <w:lang w:val="es-ES_tradnl"/>
        </w:rPr>
        <w:footnoteReference w:id="7"/>
      </w:r>
      <w:r w:rsidRPr="00DE5519">
        <w:rPr>
          <w:rFonts w:ascii="Verdana" w:eastAsia="Calibri" w:hAnsi="Verdana" w:cs="Arial"/>
          <w:color w:val="000000" w:themeColor="text1"/>
          <w:sz w:val="20"/>
          <w:szCs w:val="20"/>
          <w:lang w:val="es-ES_tradnl"/>
        </w:rPr>
        <w:t>.</w:t>
      </w:r>
    </w:p>
    <w:p w14:paraId="62B9AE70" w14:textId="77777777" w:rsidR="00DC2088" w:rsidRPr="00817382" w:rsidRDefault="00DC2088" w:rsidP="00DC2088">
      <w:pPr>
        <w:spacing w:after="0" w:line="276" w:lineRule="auto"/>
        <w:ind w:left="709" w:right="709"/>
        <w:jc w:val="both"/>
        <w:rPr>
          <w:rFonts w:ascii="Verdana" w:eastAsia="Calibri" w:hAnsi="Verdana" w:cs="Arial"/>
          <w:color w:val="000000" w:themeColor="text1"/>
          <w:lang w:val="es-ES_tradnl"/>
        </w:rPr>
      </w:pPr>
    </w:p>
    <w:p w14:paraId="0865F7A0" w14:textId="77777777" w:rsidR="00DC2088" w:rsidRPr="00817382" w:rsidRDefault="00DC2088" w:rsidP="00DC2088">
      <w:pPr>
        <w:spacing w:line="276" w:lineRule="auto"/>
        <w:ind w:firstLine="708"/>
        <w:jc w:val="both"/>
        <w:rPr>
          <w:rFonts w:ascii="Verdana" w:eastAsia="Calibri" w:hAnsi="Verdana" w:cs="Arial"/>
          <w:color w:val="000000" w:themeColor="text1"/>
          <w:lang w:val="es-ES_tradnl"/>
        </w:rPr>
      </w:pPr>
      <w:r w:rsidRPr="00817382">
        <w:rPr>
          <w:rFonts w:ascii="Verdana" w:eastAsia="Calibri" w:hAnsi="Verdana" w:cs="Arial"/>
          <w:color w:val="000000" w:themeColor="text1"/>
          <w:lang w:val="es-ES_tradnl"/>
        </w:rPr>
        <w:t>Considerando que las entidades de régimen especial administran recursos públicos, sus manuales de contratación deben ceñirse a unas reglas mínimas que garanticen el cumplimiento de los principios de la función pública, el control fiscal y los principios rectores de la contratación estatal. Dentro de estas reglas deben indicar el contenido de las propuestas y los procedimientos de selección, llevar una descripción precisa del procedimiento, los plazos de las etapas y los criterios de evaluación, y todos los criterios necesarios para garantizar la selección objetiva y la protección del interés general. Lo anterior, sin perjuicio de que algunas de estas reglas se establezcan, complementen o detallen en los documentos que se expiden en desarrollo de sus procedimientos contractuales.</w:t>
      </w:r>
    </w:p>
    <w:p w14:paraId="4AD96F0B" w14:textId="77777777" w:rsidR="00DC2088" w:rsidRPr="00817382" w:rsidRDefault="00DC2088" w:rsidP="00DC2088">
      <w:pPr>
        <w:spacing w:before="120" w:after="120" w:line="276" w:lineRule="auto"/>
        <w:ind w:firstLine="708"/>
        <w:jc w:val="both"/>
        <w:rPr>
          <w:rFonts w:ascii="Verdana" w:eastAsia="Calibri" w:hAnsi="Verdana" w:cs="Arial"/>
          <w:color w:val="000000" w:themeColor="text1"/>
          <w:lang w:val="es-ES_tradnl"/>
        </w:rPr>
      </w:pPr>
      <w:r w:rsidRPr="00817382">
        <w:rPr>
          <w:rFonts w:ascii="Verdana" w:eastAsia="Calibri" w:hAnsi="Verdana" w:cs="Arial"/>
          <w:color w:val="000000" w:themeColor="text1"/>
          <w:lang w:val="es-ES_tradnl"/>
        </w:rPr>
        <w:t>Asimismo, estas entidades deben cumplir unas obligaciones transversales a la contratación pública, entre ellas la elaboración del Plan Anual de Adquisiciones, la publicación de sus procedimientos de selección a través de la herramienta SECOP –en la sección Régimen Especial–, hacer uso del clasificador de bienes y servicios de las Naciones Unidas, reportar inhabilidades e incompatibilidades de los proveedores de la entidad y analizar el sector económico de los oferentes, entre otras.</w:t>
      </w:r>
    </w:p>
    <w:p w14:paraId="1285E280" w14:textId="77777777" w:rsidR="00DC2088" w:rsidRDefault="00DC2088" w:rsidP="00DC2088">
      <w:pPr>
        <w:spacing w:after="0" w:line="276" w:lineRule="auto"/>
        <w:ind w:firstLine="709"/>
        <w:jc w:val="both"/>
        <w:rPr>
          <w:rFonts w:ascii="Verdana" w:eastAsia="Calibri" w:hAnsi="Verdana" w:cs="Arial"/>
          <w:color w:val="000000" w:themeColor="text1"/>
          <w:lang w:val="es-ES"/>
        </w:rPr>
      </w:pPr>
      <w:r w:rsidRPr="1BEB4EFE">
        <w:rPr>
          <w:rFonts w:ascii="Verdana" w:eastAsia="Calibri" w:hAnsi="Verdana" w:cs="Arial"/>
          <w:color w:val="000000" w:themeColor="text1"/>
          <w:lang w:val="es-ES"/>
        </w:rPr>
        <w:t>Además, debe tenerse en cuenta que las cláusulas excepcionales no están contempladas en el derecho común. Estas se encuentran limitadas no solo al uso del Estatuto General de Contratación de la Administración Pública sino a algunos tipos de contratos específicos. En ese sentido, la única forma en que una entidad sujeta a un régimen especial pueda usar estas cláusulas es si su norma de creación lo establece. De modo que si una Entidad sujeta al régimen especial requiere sancionar o dar por terminado el contrato, por regla general, debe acudir al juez competente.</w:t>
      </w:r>
    </w:p>
    <w:p w14:paraId="354EF263" w14:textId="77777777" w:rsidR="00DC2088" w:rsidRDefault="00DC2088" w:rsidP="00DC2088">
      <w:pPr>
        <w:tabs>
          <w:tab w:val="left" w:pos="709"/>
        </w:tabs>
        <w:spacing w:after="0" w:line="276" w:lineRule="auto"/>
        <w:jc w:val="both"/>
        <w:rPr>
          <w:rFonts w:ascii="Verdana" w:hAnsi="Verdana" w:cs="Arial"/>
          <w:color w:val="000000" w:themeColor="text1"/>
          <w:lang w:val="es-ES_tradnl"/>
        </w:rPr>
      </w:pPr>
    </w:p>
    <w:p w14:paraId="30B5880C" w14:textId="77777777" w:rsidR="00DC2088" w:rsidRPr="00817382" w:rsidRDefault="00DC2088" w:rsidP="00DC2088">
      <w:pPr>
        <w:spacing w:line="276" w:lineRule="auto"/>
        <w:jc w:val="both"/>
        <w:rPr>
          <w:rFonts w:ascii="Verdana" w:eastAsia="Calibri" w:hAnsi="Verdana" w:cs="Arial"/>
          <w:color w:val="000000" w:themeColor="text1"/>
          <w:lang w:val="es-ES"/>
        </w:rPr>
      </w:pPr>
      <w:proofErr w:type="spellStart"/>
      <w:r w:rsidRPr="1BEB4EFE">
        <w:rPr>
          <w:rFonts w:ascii="Verdana" w:hAnsi="Verdana" w:cs="Arial"/>
          <w:color w:val="000000" w:themeColor="text1"/>
          <w:lang w:val="es-ES"/>
        </w:rPr>
        <w:t>iv</w:t>
      </w:r>
      <w:proofErr w:type="spellEnd"/>
      <w:r w:rsidRPr="1BEB4EFE">
        <w:rPr>
          <w:rFonts w:ascii="Verdana" w:hAnsi="Verdana" w:cs="Arial"/>
          <w:color w:val="000000" w:themeColor="text1"/>
          <w:lang w:val="es-ES"/>
        </w:rPr>
        <w:t xml:space="preserve">. </w:t>
      </w:r>
      <w:r w:rsidRPr="1BEB4EFE">
        <w:rPr>
          <w:rFonts w:ascii="Verdana" w:eastAsia="Calibri" w:hAnsi="Verdana" w:cs="Arial"/>
          <w:color w:val="000000" w:themeColor="text1"/>
          <w:lang w:val="es-ES"/>
        </w:rPr>
        <w:t xml:space="preserve">Como se explicó, el hecho de que algunas entidades estatales se rijan por el derecho privado en materia contractual no puede entenderse como una negación de lo que establece el artículo 13 de la Ley 1150 de 2007. Este enunciado normativo significó un “retorno del derecho administrativo” para las entidades excluidas, al reiterar que deben cumplir los principios constitucionales de la </w:t>
      </w:r>
      <w:r w:rsidRPr="1BEB4EFE">
        <w:rPr>
          <w:rFonts w:ascii="Verdana" w:eastAsia="Calibri" w:hAnsi="Verdana" w:cs="Arial"/>
          <w:color w:val="000000" w:themeColor="text1"/>
          <w:lang w:val="es-ES"/>
        </w:rPr>
        <w:lastRenderedPageBreak/>
        <w:t>función administrativa y de la gestión fiscal, así como el régimen de inhabilidades e incompatibilidades previsto legalmente para la contratación estatal; y ahora también publicar su actividad contractual en el SECOP II, de conformidad con el artículo 53 de la Ley 2195 de 2022</w:t>
      </w:r>
      <w:r w:rsidRPr="1BEB4EFE">
        <w:rPr>
          <w:rStyle w:val="Refdenotaalpie"/>
          <w:rFonts w:ascii="Verdana" w:eastAsia="Calibri" w:hAnsi="Verdana" w:cs="Arial"/>
          <w:color w:val="000000" w:themeColor="text1"/>
          <w:lang w:val="es-ES"/>
        </w:rPr>
        <w:footnoteReference w:id="8"/>
      </w:r>
      <w:r w:rsidRPr="1BEB4EFE">
        <w:rPr>
          <w:rFonts w:ascii="Verdana" w:eastAsia="Calibri" w:hAnsi="Verdana" w:cs="Arial"/>
          <w:color w:val="000000" w:themeColor="text1"/>
          <w:lang w:val="es-ES"/>
        </w:rPr>
        <w:t xml:space="preserve">. </w:t>
      </w:r>
    </w:p>
    <w:p w14:paraId="3F310429" w14:textId="77777777" w:rsidR="00DC2088" w:rsidRDefault="00DC2088" w:rsidP="00DC2088">
      <w:pPr>
        <w:spacing w:before="120" w:line="276" w:lineRule="auto"/>
        <w:ind w:firstLine="709"/>
        <w:jc w:val="both"/>
        <w:rPr>
          <w:rFonts w:ascii="Verdana" w:eastAsia="Calibri" w:hAnsi="Verdana" w:cs="Arial"/>
          <w:color w:val="000000" w:themeColor="text1"/>
          <w:lang w:val="es-ES_tradnl"/>
        </w:rPr>
      </w:pPr>
      <w:r w:rsidRPr="00817382">
        <w:rPr>
          <w:rFonts w:ascii="Verdana" w:eastAsia="Calibri" w:hAnsi="Verdana" w:cs="Arial"/>
          <w:color w:val="000000" w:themeColor="text1"/>
          <w:lang w:val="es-ES_tradnl"/>
        </w:rPr>
        <w:t>Adicionalmente, las entidades estatales que, por disposición legal, cuentan con un régimen especial</w:t>
      </w:r>
      <w:r w:rsidRPr="00817382">
        <w:rPr>
          <w:rStyle w:val="Refdenotaalpie"/>
          <w:rFonts w:ascii="Verdana" w:eastAsia="Calibri" w:hAnsi="Verdana" w:cs="Arial"/>
          <w:color w:val="000000" w:themeColor="text1"/>
          <w:lang w:val="es-ES_tradnl"/>
        </w:rPr>
        <w:footnoteReference w:id="9"/>
      </w:r>
      <w:r w:rsidRPr="00817382">
        <w:rPr>
          <w:rFonts w:ascii="Verdana" w:eastAsia="Calibri" w:hAnsi="Verdana" w:cs="Arial"/>
          <w:color w:val="000000" w:themeColor="text1"/>
          <w:lang w:val="es-ES_tradnl"/>
        </w:rPr>
        <w:t>, exceptuado del Estatuto General de Contratación de la Administración Pública –Leyes 80 de 1993, 1150 de 2007 y normas complementarias</w:t>
      </w:r>
      <w:r w:rsidRPr="00817382">
        <w:rPr>
          <w:rStyle w:val="Refdenotaalpie"/>
          <w:rFonts w:ascii="Verdana" w:eastAsia="Calibri" w:hAnsi="Verdana" w:cs="Arial"/>
          <w:color w:val="000000" w:themeColor="text1"/>
          <w:lang w:val="es-ES_tradnl"/>
        </w:rPr>
        <w:footnoteReference w:id="10"/>
      </w:r>
      <w:r w:rsidRPr="00817382">
        <w:rPr>
          <w:rFonts w:ascii="Verdana" w:eastAsia="Calibri" w:hAnsi="Verdana" w:cs="Arial"/>
          <w:color w:val="000000" w:themeColor="text1"/>
          <w:lang w:val="es-ES_tradnl"/>
        </w:rPr>
        <w:t xml:space="preserve">– pueden expedir un reglamento interno de contratación –comúnmente denominado </w:t>
      </w:r>
      <w:r w:rsidRPr="00817382">
        <w:rPr>
          <w:rFonts w:ascii="Verdana" w:eastAsia="Calibri" w:hAnsi="Verdana" w:cs="Arial"/>
          <w:i/>
          <w:color w:val="000000" w:themeColor="text1"/>
          <w:lang w:val="es-ES_tradnl"/>
        </w:rPr>
        <w:t>manual de contratación</w:t>
      </w:r>
      <w:r w:rsidRPr="00817382">
        <w:rPr>
          <w:rFonts w:ascii="Verdana" w:eastAsia="Calibri" w:hAnsi="Verdana" w:cs="Arial"/>
          <w:color w:val="000000" w:themeColor="text1"/>
          <w:lang w:val="es-ES_tradnl"/>
        </w:rPr>
        <w:t>–, que regule aspectos asociados a la actividad contractual, como los procedimientos de selección, los requisitos de participación, las condiciones de ejecución del contrato, etc. En otras palabras, el manual de contratación de las entidades exceptuadas es un acto administrativo y, de manera más concreta, un reglamento, pues, además de consistir en una manifestación unilateral de voluntad efectuada por la entidad estatal, en ejercicio de función administrativa, dirigida a producir efectos jurídicos, tiene vocación de permanencia en el tiempo. Esto significa que el manual de contratación despliega sus efectos de manera indefinida en el futuro, no agotándose con una sola aplicación.</w:t>
      </w:r>
    </w:p>
    <w:p w14:paraId="56795D87" w14:textId="77777777" w:rsidR="00DC2088" w:rsidRDefault="00DC2088" w:rsidP="00DC2088">
      <w:pPr>
        <w:spacing w:before="120" w:after="0" w:line="276" w:lineRule="auto"/>
        <w:ind w:firstLine="709"/>
        <w:jc w:val="both"/>
        <w:rPr>
          <w:rFonts w:ascii="Verdana" w:eastAsia="Calibri" w:hAnsi="Verdana" w:cs="Arial"/>
          <w:color w:val="000000" w:themeColor="text1"/>
          <w:lang w:val="es-ES"/>
        </w:rPr>
      </w:pPr>
      <w:r w:rsidRPr="1BEB4EFE">
        <w:rPr>
          <w:rFonts w:ascii="Verdana" w:eastAsia="Calibri" w:hAnsi="Verdana" w:cs="Arial"/>
          <w:color w:val="000000" w:themeColor="text1"/>
          <w:lang w:val="es-ES"/>
        </w:rPr>
        <w:t xml:space="preserve">Sin embargo, la libertad de configuración reglamentaria de las entidades estatales, expresada en el manual de contratación, no es absoluta, ya que, a pesar de que están facultadas para regular ciertos temas relacionados con la actividad contractual, deben hacerlo respetando la reserva legal de la que gozan ciertas materias. En tal sentido, asuntos como: i) los requisitos de existencia y validez del contrato, </w:t>
      </w:r>
      <w:proofErr w:type="spellStart"/>
      <w:r w:rsidRPr="1BEB4EFE">
        <w:rPr>
          <w:rFonts w:ascii="Verdana" w:eastAsia="Calibri" w:hAnsi="Verdana" w:cs="Arial"/>
          <w:color w:val="000000" w:themeColor="text1"/>
          <w:lang w:val="es-ES"/>
        </w:rPr>
        <w:t>ii</w:t>
      </w:r>
      <w:proofErr w:type="spellEnd"/>
      <w:r w:rsidRPr="1BEB4EFE">
        <w:rPr>
          <w:rFonts w:ascii="Verdana" w:eastAsia="Calibri" w:hAnsi="Verdana" w:cs="Arial"/>
          <w:color w:val="000000" w:themeColor="text1"/>
          <w:lang w:val="es-ES"/>
        </w:rPr>
        <w:t xml:space="preserve">) sanciones, sin perjuicio de las que pueden pactar de acuerdo con las normas civiles y comerciales, </w:t>
      </w:r>
      <w:proofErr w:type="spellStart"/>
      <w:r w:rsidRPr="1BEB4EFE">
        <w:rPr>
          <w:rFonts w:ascii="Verdana" w:eastAsia="Calibri" w:hAnsi="Verdana" w:cs="Arial"/>
          <w:color w:val="000000" w:themeColor="text1"/>
          <w:lang w:val="es-ES"/>
        </w:rPr>
        <w:t>iii</w:t>
      </w:r>
      <w:proofErr w:type="spellEnd"/>
      <w:r w:rsidRPr="1BEB4EFE">
        <w:rPr>
          <w:rFonts w:ascii="Verdana" w:eastAsia="Calibri" w:hAnsi="Verdana" w:cs="Arial"/>
          <w:color w:val="000000" w:themeColor="text1"/>
          <w:lang w:val="es-ES"/>
        </w:rPr>
        <w:t xml:space="preserve">) procedimientos para su imposición, </w:t>
      </w:r>
      <w:proofErr w:type="spellStart"/>
      <w:r w:rsidRPr="1BEB4EFE">
        <w:rPr>
          <w:rFonts w:ascii="Verdana" w:eastAsia="Calibri" w:hAnsi="Verdana" w:cs="Arial"/>
          <w:color w:val="000000" w:themeColor="text1"/>
          <w:lang w:val="es-ES"/>
        </w:rPr>
        <w:t>iv</w:t>
      </w:r>
      <w:proofErr w:type="spellEnd"/>
      <w:r w:rsidRPr="1BEB4EFE">
        <w:rPr>
          <w:rFonts w:ascii="Verdana" w:eastAsia="Calibri" w:hAnsi="Verdana" w:cs="Arial"/>
          <w:color w:val="000000" w:themeColor="text1"/>
          <w:lang w:val="es-ES"/>
        </w:rPr>
        <w:t xml:space="preserve">) causales de inhabilidad e incompatibilidad, v) el principio de anualidad del gasto, y vi) restricciones al acceso a la administración de justicia </w:t>
      </w:r>
      <w:r w:rsidRPr="1BEB4EFE">
        <w:rPr>
          <w:rFonts w:ascii="Verdana" w:eastAsia="Calibri" w:hAnsi="Verdana" w:cs="Arial"/>
          <w:color w:val="000000" w:themeColor="text1"/>
          <w:lang w:val="es-ES"/>
        </w:rPr>
        <w:lastRenderedPageBreak/>
        <w:t>para discutir las controversias contractuales, son, entre otros, temas cuya regulación está reservada al legislador y que, por tanto, las entidades exceptuadas no pueden reglamentar en su manual de contratación</w:t>
      </w:r>
      <w:r w:rsidRPr="1BEB4EFE">
        <w:rPr>
          <w:rStyle w:val="Refdenotaalpie"/>
          <w:rFonts w:ascii="Verdana" w:eastAsia="Calibri" w:hAnsi="Verdana" w:cs="Arial"/>
          <w:color w:val="000000" w:themeColor="text1"/>
          <w:lang w:val="es-ES"/>
        </w:rPr>
        <w:footnoteReference w:id="11"/>
      </w:r>
      <w:r w:rsidRPr="1BEB4EFE">
        <w:rPr>
          <w:rFonts w:ascii="Verdana" w:eastAsia="Calibri" w:hAnsi="Verdana" w:cs="Arial"/>
          <w:color w:val="000000" w:themeColor="text1"/>
          <w:lang w:val="es-ES"/>
        </w:rPr>
        <w:t>.</w:t>
      </w:r>
    </w:p>
    <w:p w14:paraId="0905EC92" w14:textId="77777777" w:rsidR="00DC2088" w:rsidRDefault="00DC2088" w:rsidP="00DC2088">
      <w:pPr>
        <w:spacing w:after="0" w:line="276" w:lineRule="auto"/>
        <w:ind w:firstLine="709"/>
        <w:jc w:val="both"/>
        <w:rPr>
          <w:rFonts w:ascii="Verdana" w:hAnsi="Verdana" w:cs="Arial"/>
          <w:color w:val="000000" w:themeColor="text1"/>
          <w:lang w:val="es-ES_tradnl"/>
        </w:rPr>
      </w:pPr>
    </w:p>
    <w:p w14:paraId="43515F6D" w14:textId="77777777" w:rsidR="00DC2088" w:rsidRPr="009B6C67" w:rsidRDefault="00DC2088" w:rsidP="00DC2088">
      <w:pPr>
        <w:spacing w:after="120" w:line="276" w:lineRule="auto"/>
        <w:jc w:val="both"/>
        <w:rPr>
          <w:rFonts w:ascii="Verdana" w:eastAsia="Calibri" w:hAnsi="Verdana" w:cs="Arial"/>
          <w:b/>
          <w:bCs/>
          <w:color w:val="000000" w:themeColor="text1"/>
        </w:rPr>
      </w:pPr>
      <w:r>
        <w:rPr>
          <w:rFonts w:ascii="Verdana" w:hAnsi="Verdana" w:cs="Arial"/>
          <w:color w:val="000000" w:themeColor="text1"/>
          <w:lang w:val="es-ES_tradnl"/>
        </w:rPr>
        <w:t xml:space="preserve">v. </w:t>
      </w:r>
      <w:r>
        <w:rPr>
          <w:rFonts w:ascii="Verdana" w:eastAsia="Calibri" w:hAnsi="Verdana" w:cs="Arial"/>
          <w:color w:val="000000" w:themeColor="text1"/>
        </w:rPr>
        <w:t>En l</w:t>
      </w:r>
      <w:r w:rsidRPr="009B6C67">
        <w:rPr>
          <w:rFonts w:ascii="Verdana" w:eastAsia="Calibri" w:hAnsi="Verdana" w:cs="Arial"/>
          <w:color w:val="000000" w:themeColor="text1"/>
        </w:rPr>
        <w:t xml:space="preserve">a estructura de la Administración pública se encuentran las entidades descentralizadas por servicios, y dentro de dicha categoría se ubican las </w:t>
      </w:r>
      <w:r w:rsidRPr="00DF4C6C">
        <w:rPr>
          <w:rFonts w:ascii="Verdana" w:eastAsia="Calibri" w:hAnsi="Verdana" w:cs="Arial"/>
          <w:color w:val="000000" w:themeColor="text1"/>
        </w:rPr>
        <w:t>sociedades de economía mixta</w:t>
      </w:r>
      <w:r w:rsidRPr="009B6C67">
        <w:rPr>
          <w:rFonts w:ascii="Verdana" w:eastAsia="Calibri" w:hAnsi="Verdana" w:cs="Arial"/>
          <w:color w:val="000000" w:themeColor="text1"/>
        </w:rPr>
        <w:t>, las cuales –sin perjuicio del control de tutela– tienen personería jurídica, autonomía administrativa y patrimonio propio.</w:t>
      </w:r>
      <w:r w:rsidRPr="009B6C67">
        <w:rPr>
          <w:rFonts w:ascii="Verdana" w:eastAsia="Calibri" w:hAnsi="Verdana" w:cs="Arial"/>
          <w:b/>
          <w:bCs/>
          <w:color w:val="000000" w:themeColor="text1"/>
        </w:rPr>
        <w:t xml:space="preserve"> </w:t>
      </w:r>
      <w:r>
        <w:rPr>
          <w:rFonts w:ascii="Verdana" w:eastAsia="Calibri" w:hAnsi="Verdana" w:cs="Arial"/>
          <w:color w:val="000000" w:themeColor="text1"/>
        </w:rPr>
        <w:t xml:space="preserve">El inciso primero del artículo 97 de la Ley 489 de 1998 las define como “[…] </w:t>
      </w:r>
      <w:r w:rsidRPr="00DF4C6C">
        <w:rPr>
          <w:rFonts w:ascii="Verdana" w:eastAsia="Calibri" w:hAnsi="Verdana" w:cs="Arial"/>
          <w:color w:val="000000" w:themeColor="text1"/>
        </w:rPr>
        <w:t>organismos autorizados por la ley, constituidos bajo la forma de sociedades comerciales con aportes estatales y de capital privado, que desarrollan actividades de naturaleza industrial o comercial conforme a las reglas de Derecho Privado, salvo las excepciones que consagra la ley</w:t>
      </w:r>
      <w:r>
        <w:rPr>
          <w:rFonts w:ascii="Verdana" w:eastAsia="Calibri" w:hAnsi="Verdana" w:cs="Arial"/>
          <w:color w:val="000000" w:themeColor="text1"/>
        </w:rPr>
        <w:t>”</w:t>
      </w:r>
      <w:r w:rsidRPr="009B6C67">
        <w:rPr>
          <w:rFonts w:ascii="Verdana" w:eastAsia="Calibri" w:hAnsi="Verdana" w:cs="Arial"/>
          <w:color w:val="000000" w:themeColor="text1"/>
        </w:rPr>
        <w:t xml:space="preserve">. Así, por ejemplo, son </w:t>
      </w:r>
      <w:r>
        <w:rPr>
          <w:rFonts w:ascii="Verdana" w:eastAsia="Calibri" w:hAnsi="Verdana" w:cs="Arial"/>
          <w:color w:val="000000" w:themeColor="text1"/>
        </w:rPr>
        <w:t>sociedades de economía mixta la Previsora SA, la Fiduciaria de Comercio Exterior</w:t>
      </w:r>
      <w:r w:rsidRPr="009B6C67">
        <w:rPr>
          <w:rFonts w:ascii="Verdana" w:eastAsia="Calibri" w:hAnsi="Verdana" w:cs="Arial"/>
          <w:color w:val="000000" w:themeColor="text1"/>
        </w:rPr>
        <w:t xml:space="preserve">, </w:t>
      </w:r>
      <w:r>
        <w:rPr>
          <w:rFonts w:ascii="Verdana" w:eastAsia="Calibri" w:hAnsi="Verdana" w:cs="Arial"/>
          <w:color w:val="000000" w:themeColor="text1"/>
        </w:rPr>
        <w:t xml:space="preserve">la </w:t>
      </w:r>
      <w:r w:rsidRPr="00A22A66">
        <w:rPr>
          <w:rFonts w:ascii="Verdana" w:eastAsia="Calibri" w:hAnsi="Verdana" w:cs="Arial"/>
          <w:color w:val="000000" w:themeColor="text1"/>
        </w:rPr>
        <w:t>Corporación de la Industria Aeronáutica Colombiana</w:t>
      </w:r>
      <w:r>
        <w:rPr>
          <w:rFonts w:ascii="Verdana" w:eastAsia="Calibri" w:hAnsi="Verdana" w:cs="Arial"/>
          <w:color w:val="000000" w:themeColor="text1"/>
        </w:rPr>
        <w:t>, la Financiera de Desarrollo Territorial,</w:t>
      </w:r>
      <w:r w:rsidRPr="00A22A66">
        <w:rPr>
          <w:rFonts w:ascii="Verdana" w:eastAsia="Calibri" w:hAnsi="Verdana" w:cs="Arial"/>
          <w:color w:val="000000" w:themeColor="text1"/>
        </w:rPr>
        <w:t xml:space="preserve"> </w:t>
      </w:r>
      <w:r w:rsidRPr="009B6C67">
        <w:rPr>
          <w:rFonts w:ascii="Verdana" w:eastAsia="Calibri" w:hAnsi="Verdana" w:cs="Arial"/>
          <w:color w:val="000000" w:themeColor="text1"/>
        </w:rPr>
        <w:t>entre otras.</w:t>
      </w:r>
    </w:p>
    <w:p w14:paraId="23C6AFE4" w14:textId="77777777" w:rsidR="00DC2088" w:rsidRPr="009B6C67" w:rsidRDefault="00DC2088" w:rsidP="00DC2088">
      <w:pPr>
        <w:spacing w:after="120" w:line="276" w:lineRule="auto"/>
        <w:jc w:val="both"/>
        <w:rPr>
          <w:rFonts w:ascii="Verdana" w:eastAsia="Calibri" w:hAnsi="Verdana" w:cs="Arial"/>
          <w:color w:val="000000" w:themeColor="text1"/>
        </w:rPr>
      </w:pPr>
      <w:r w:rsidRPr="009B6C67">
        <w:rPr>
          <w:rFonts w:ascii="Verdana" w:eastAsia="Calibri" w:hAnsi="Verdana" w:cs="Arial"/>
          <w:color w:val="000000" w:themeColor="text1"/>
        </w:rPr>
        <w:tab/>
        <w:t xml:space="preserve">Considerando la actividad desarrollada, se itera, de carácter industrial o comercial, el régimen jurídico aplicable a estas empresas difiere del que </w:t>
      </w:r>
      <w:r w:rsidRPr="009B6C67">
        <w:rPr>
          <w:rFonts w:ascii="Verdana" w:eastAsia="Calibri" w:hAnsi="Verdana" w:cs="Arial"/>
          <w:color w:val="000000" w:themeColor="text1"/>
        </w:rPr>
        <w:lastRenderedPageBreak/>
        <w:t xml:space="preserve">corresponde a otras entidades descentralizadas funcionalmente o por servicios, como las superintendencias con personería jurídica, los establecimientos públicos o las unidades administrativas especiales, pues la regla general es el derecho privado, salvo excepciones legales.         </w:t>
      </w:r>
    </w:p>
    <w:p w14:paraId="185688C2" w14:textId="77777777" w:rsidR="00DC2088" w:rsidRPr="009B6C67" w:rsidRDefault="00DC2088" w:rsidP="00DC2088">
      <w:pPr>
        <w:spacing w:after="120" w:line="276" w:lineRule="auto"/>
        <w:jc w:val="both"/>
        <w:rPr>
          <w:rFonts w:ascii="Verdana" w:eastAsia="Calibri" w:hAnsi="Verdana" w:cs="Arial"/>
          <w:color w:val="000000" w:themeColor="text1"/>
        </w:rPr>
      </w:pPr>
      <w:r w:rsidRPr="009B6C67">
        <w:rPr>
          <w:rFonts w:ascii="Verdana" w:eastAsia="Calibri" w:hAnsi="Verdana" w:cs="Arial"/>
          <w:color w:val="000000" w:themeColor="text1"/>
        </w:rPr>
        <w:tab/>
        <w:t>Sobre el régimen de contratación, el artículo 2 de la Ley 80 de 1993  incorporó</w:t>
      </w:r>
      <w:r>
        <w:rPr>
          <w:rFonts w:ascii="Verdana" w:eastAsia="Calibri" w:hAnsi="Verdana" w:cs="Arial"/>
          <w:color w:val="000000" w:themeColor="text1"/>
        </w:rPr>
        <w:t xml:space="preserve"> a</w:t>
      </w:r>
      <w:r w:rsidRPr="009B6C67">
        <w:rPr>
          <w:rFonts w:ascii="Verdana" w:eastAsia="Calibri" w:hAnsi="Verdana" w:cs="Arial"/>
          <w:color w:val="000000" w:themeColor="text1"/>
        </w:rPr>
        <w:t xml:space="preserve"> </w:t>
      </w:r>
      <w:r w:rsidRPr="00A22A66">
        <w:rPr>
          <w:rFonts w:ascii="Verdana" w:eastAsia="Calibri" w:hAnsi="Verdana" w:cs="Arial"/>
          <w:color w:val="000000" w:themeColor="text1"/>
        </w:rPr>
        <w:t>las sociedades de economía mixta en las que el Estado tenga participación superior al cincuenta por ciento (50%)</w:t>
      </w:r>
      <w:r w:rsidRPr="009B6C67">
        <w:rPr>
          <w:rFonts w:ascii="Verdana" w:eastAsia="Calibri" w:hAnsi="Verdana" w:cs="Arial"/>
          <w:color w:val="000000" w:themeColor="text1"/>
        </w:rPr>
        <w:t xml:space="preserve"> dentro de la categoría de entidades estatales</w:t>
      </w:r>
      <w:r w:rsidRPr="009B6C67">
        <w:rPr>
          <w:rStyle w:val="Refdenotaalpie"/>
          <w:rFonts w:ascii="Verdana" w:eastAsia="Calibri" w:hAnsi="Verdana" w:cs="Arial"/>
          <w:color w:val="000000" w:themeColor="text1"/>
        </w:rPr>
        <w:footnoteReference w:id="12"/>
      </w:r>
      <w:r w:rsidRPr="009B6C67">
        <w:rPr>
          <w:rFonts w:ascii="Verdana" w:eastAsia="Calibri" w:hAnsi="Verdana" w:cs="Arial"/>
          <w:color w:val="000000" w:themeColor="text1"/>
        </w:rPr>
        <w:t>. Para estos efectos, el numeral 1, literal m), del artículo 24 del Estatuto General –derogado por el artículo 32 de la Ley 1150 de 2007– permitía la contratación directa de los bienes y servicios requeridos para el desarrollo de su objeto social, exceptuado los contratos de obra, consultoría, concesión, encargos fiduciarios y fiducia pública</w:t>
      </w:r>
      <w:r w:rsidRPr="009B6C67">
        <w:rPr>
          <w:rStyle w:val="Refdenotaalpie"/>
          <w:rFonts w:ascii="Verdana" w:eastAsia="Calibri" w:hAnsi="Verdana" w:cs="Arial"/>
          <w:color w:val="000000" w:themeColor="text1"/>
        </w:rPr>
        <w:footnoteReference w:id="13"/>
      </w:r>
      <w:r w:rsidRPr="009B6C67">
        <w:rPr>
          <w:rFonts w:ascii="Verdana" w:eastAsia="Calibri" w:hAnsi="Verdana" w:cs="Arial"/>
          <w:color w:val="000000" w:themeColor="text1"/>
        </w:rPr>
        <w:t xml:space="preserve">. </w:t>
      </w:r>
      <w:r>
        <w:rPr>
          <w:rFonts w:ascii="Verdana" w:eastAsia="Calibri" w:hAnsi="Verdana" w:cs="Arial"/>
          <w:color w:val="000000" w:themeColor="text1"/>
        </w:rPr>
        <w:t xml:space="preserve">Con el literal g) del artículo 2.2 de la Ley 1150 de 2007, dicha circunstancia se convierte en una causal de selección abreviada, la cual se regirá por el procedimiento de la menor cuantía conforme al artículo </w:t>
      </w:r>
      <w:r w:rsidRPr="00E47542">
        <w:rPr>
          <w:rFonts w:ascii="Verdana" w:eastAsia="Calibri" w:hAnsi="Verdana" w:cs="Arial"/>
          <w:color w:val="000000" w:themeColor="text1"/>
        </w:rPr>
        <w:t>2.2.1.2.1.2.24</w:t>
      </w:r>
      <w:r>
        <w:rPr>
          <w:rFonts w:ascii="Verdana" w:eastAsia="Calibri" w:hAnsi="Verdana" w:cs="Arial"/>
          <w:color w:val="000000" w:themeColor="text1"/>
        </w:rPr>
        <w:t xml:space="preserve"> del Decreto 1082 de 2015</w:t>
      </w:r>
      <w:r>
        <w:rPr>
          <w:rStyle w:val="Refdenotaalpie"/>
          <w:rFonts w:ascii="Verdana" w:eastAsia="Calibri" w:hAnsi="Verdana" w:cs="Arial"/>
          <w:color w:val="000000" w:themeColor="text1"/>
        </w:rPr>
        <w:footnoteReference w:id="14"/>
      </w:r>
      <w:r>
        <w:rPr>
          <w:rFonts w:ascii="Verdana" w:eastAsia="Calibri" w:hAnsi="Verdana" w:cs="Arial"/>
          <w:color w:val="000000" w:themeColor="text1"/>
        </w:rPr>
        <w:t xml:space="preserve">.  </w:t>
      </w:r>
    </w:p>
    <w:p w14:paraId="4AC94687" w14:textId="77777777" w:rsidR="00DC2088" w:rsidRPr="009B6C67" w:rsidRDefault="00DC2088" w:rsidP="00DC2088">
      <w:pPr>
        <w:spacing w:after="0" w:line="276" w:lineRule="auto"/>
        <w:jc w:val="both"/>
        <w:rPr>
          <w:rFonts w:ascii="Verdana" w:eastAsia="Calibri" w:hAnsi="Verdana" w:cs="Arial"/>
          <w:color w:val="000000" w:themeColor="text1"/>
        </w:rPr>
      </w:pPr>
      <w:r w:rsidRPr="009B6C67">
        <w:rPr>
          <w:rFonts w:ascii="Verdana" w:eastAsia="Calibri" w:hAnsi="Verdana" w:cs="Arial"/>
          <w:color w:val="000000" w:themeColor="text1"/>
        </w:rPr>
        <w:tab/>
        <w:t xml:space="preserve">Actualmente, el artículo 14 de Ley 1150 de 2007 distingue entre </w:t>
      </w:r>
      <w:r w:rsidRPr="00A22A66">
        <w:rPr>
          <w:rFonts w:ascii="Verdana" w:eastAsia="Calibri" w:hAnsi="Verdana" w:cs="Arial"/>
          <w:color w:val="000000" w:themeColor="text1"/>
        </w:rPr>
        <w:t>las sociedades de economía mixta en las que el Estado tenga participación superior al cincuenta por ciento (50%)</w:t>
      </w:r>
      <w:r w:rsidRPr="009B6C67">
        <w:rPr>
          <w:rFonts w:ascii="Verdana" w:eastAsia="Calibri" w:hAnsi="Verdana" w:cs="Arial"/>
          <w:color w:val="000000" w:themeColor="text1"/>
        </w:rPr>
        <w:t xml:space="preserve"> que desarrollan sus actividades en competencia con los particulares y las que no: mientras los contratos de estas últimas regresan a las normas de la Ley 80 de 1993, los de aquellas permanecen dentro del Código Civil y de Comercio, lo que –respecto al contenido del artículo </w:t>
      </w:r>
      <w:r>
        <w:rPr>
          <w:rFonts w:ascii="Verdana" w:eastAsia="Calibri" w:hAnsi="Verdana" w:cs="Arial"/>
          <w:color w:val="000000" w:themeColor="text1"/>
        </w:rPr>
        <w:t>97</w:t>
      </w:r>
      <w:r w:rsidRPr="009B6C67">
        <w:rPr>
          <w:rFonts w:ascii="Verdana" w:eastAsia="Calibri" w:hAnsi="Verdana" w:cs="Arial"/>
          <w:color w:val="000000" w:themeColor="text1"/>
        </w:rPr>
        <w:t xml:space="preserve"> de </w:t>
      </w:r>
      <w:r w:rsidRPr="009B6C67">
        <w:rPr>
          <w:rFonts w:ascii="Verdana" w:eastAsia="Calibri" w:hAnsi="Verdana" w:cs="Arial"/>
          <w:color w:val="000000" w:themeColor="text1"/>
        </w:rPr>
        <w:lastRenderedPageBreak/>
        <w:t>la Ley 489 de 1998– implica un retorno parcial del derecho administrativo. La norma anteriormente citada dispone lo siguiente:</w:t>
      </w:r>
    </w:p>
    <w:p w14:paraId="26A390E5" w14:textId="77777777" w:rsidR="00DC2088" w:rsidRPr="009B6C67" w:rsidRDefault="00DC2088" w:rsidP="00DC2088">
      <w:pPr>
        <w:spacing w:after="0" w:line="276" w:lineRule="auto"/>
        <w:jc w:val="both"/>
        <w:rPr>
          <w:rFonts w:ascii="Verdana" w:eastAsia="Calibri" w:hAnsi="Verdana" w:cs="Arial"/>
          <w:color w:val="000000" w:themeColor="text1"/>
        </w:rPr>
      </w:pPr>
    </w:p>
    <w:p w14:paraId="6BFA7196" w14:textId="77777777" w:rsidR="00DC2088" w:rsidRPr="008606D3" w:rsidRDefault="00DC2088" w:rsidP="00DC2088">
      <w:pPr>
        <w:spacing w:after="0" w:line="240" w:lineRule="auto"/>
        <w:ind w:left="709" w:right="709"/>
        <w:jc w:val="both"/>
        <w:rPr>
          <w:rFonts w:ascii="Verdana" w:eastAsia="Calibri" w:hAnsi="Verdana" w:cs="Arial"/>
          <w:color w:val="000000" w:themeColor="text1"/>
          <w:sz w:val="20"/>
          <w:szCs w:val="20"/>
        </w:rPr>
      </w:pPr>
      <w:r w:rsidRPr="008606D3">
        <w:rPr>
          <w:rFonts w:ascii="Verdana" w:eastAsia="Calibri" w:hAnsi="Verdana" w:cs="Arial"/>
          <w:color w:val="000000" w:themeColor="text1"/>
          <w:sz w:val="20"/>
          <w:szCs w:val="20"/>
        </w:rPr>
        <w:t>“Artículo 14. Modificado por la Ley 1474 de 2011, artículo 93.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p>
    <w:p w14:paraId="01E483E1" w14:textId="77777777" w:rsidR="00DC2088" w:rsidRPr="009B6C67" w:rsidRDefault="00DC2088" w:rsidP="00DC2088">
      <w:pPr>
        <w:spacing w:after="0" w:line="276" w:lineRule="auto"/>
        <w:ind w:left="709" w:right="709"/>
        <w:jc w:val="both"/>
        <w:rPr>
          <w:rFonts w:ascii="Verdana" w:eastAsia="Calibri" w:hAnsi="Verdana" w:cs="Arial"/>
          <w:color w:val="000000" w:themeColor="text1"/>
        </w:rPr>
      </w:pPr>
    </w:p>
    <w:p w14:paraId="36A3EFEF" w14:textId="77777777" w:rsidR="00DC2088" w:rsidRPr="009B6C67" w:rsidRDefault="00DC2088" w:rsidP="00DC2088">
      <w:pPr>
        <w:spacing w:after="0" w:line="276" w:lineRule="auto"/>
        <w:jc w:val="both"/>
        <w:rPr>
          <w:rFonts w:ascii="Verdana" w:eastAsia="Calibri" w:hAnsi="Verdana" w:cs="Arial"/>
          <w:color w:val="000000" w:themeColor="text1"/>
        </w:rPr>
      </w:pPr>
      <w:r w:rsidRPr="009B6C67">
        <w:rPr>
          <w:rFonts w:ascii="Verdana" w:eastAsia="Calibri" w:hAnsi="Verdana" w:cs="Arial"/>
          <w:color w:val="000000" w:themeColor="text1"/>
        </w:rPr>
        <w:tab/>
        <w:t xml:space="preserve">En esta medida, las </w:t>
      </w:r>
      <w:r w:rsidRPr="00A22A66">
        <w:rPr>
          <w:rFonts w:ascii="Verdana" w:eastAsia="Calibri" w:hAnsi="Verdana" w:cs="Arial"/>
          <w:color w:val="000000" w:themeColor="text1"/>
        </w:rPr>
        <w:t>sociedades de economía mixta en las que el Estado tenga participación superior al cincuenta por ciento (50%)</w:t>
      </w:r>
      <w:r w:rsidRPr="009B6C67">
        <w:rPr>
          <w:rFonts w:ascii="Verdana" w:eastAsia="Calibri" w:hAnsi="Verdana" w:cs="Arial"/>
          <w:color w:val="000000" w:themeColor="text1"/>
        </w:rPr>
        <w:t xml:space="preserve"> que no estén en competencia ni desarrollen su actividad en mercados regulados están sometidas al Estatuto General de Contratación de la Administración Pública y las normas que lo complementan. Conforme al literal g) del artículo 2.2 de la Ley 1150 de 2007, estos contratos siguen las reglas del procedimiento de selección abreviada, exceptuados los del artículo 32 de la Ley 80 de 1993. En contraste, el régimen contractual de </w:t>
      </w:r>
      <w:r w:rsidRPr="00A22A66">
        <w:rPr>
          <w:rFonts w:ascii="Verdana" w:eastAsia="Calibri" w:hAnsi="Verdana" w:cs="Arial"/>
          <w:color w:val="000000" w:themeColor="text1"/>
        </w:rPr>
        <w:t>las sociedades de economía mixta en las que el Estado tenga participación superior al cincuenta por ciento (50%)</w:t>
      </w:r>
      <w:r w:rsidRPr="009B6C67">
        <w:rPr>
          <w:rFonts w:ascii="Verdana" w:eastAsia="Calibri" w:hAnsi="Verdana" w:cs="Arial"/>
          <w:color w:val="000000" w:themeColor="text1"/>
        </w:rPr>
        <w:t xml:space="preserve"> que se encuentren en competencia o en mercados regulados es el propio de tales actividades, esto es, por regla general, el derecho privado. De acuerdo con la jurisprudencia, la exclusión de estas últimas se justifica en el principio de igualdad, ya que si Estado desarrolla actividades de los particulares, debe actuar no solo desprovisto de poderes exorbitantes sino también con la misma eficacia y eficiencia que los sujetos de derecho privado. No en vano:</w:t>
      </w:r>
    </w:p>
    <w:p w14:paraId="4A386936" w14:textId="77777777" w:rsidR="00DC2088" w:rsidRPr="009B6C67" w:rsidRDefault="00DC2088" w:rsidP="00DC2088">
      <w:pPr>
        <w:spacing w:after="0" w:line="276" w:lineRule="auto"/>
        <w:jc w:val="both"/>
        <w:rPr>
          <w:rFonts w:ascii="Verdana" w:eastAsia="Calibri" w:hAnsi="Verdana" w:cs="Arial"/>
          <w:color w:val="000000" w:themeColor="text1"/>
        </w:rPr>
      </w:pPr>
    </w:p>
    <w:p w14:paraId="71290EBC" w14:textId="77777777" w:rsidR="00DC2088" w:rsidRPr="008606D3" w:rsidRDefault="00DC2088" w:rsidP="00DC2088">
      <w:pPr>
        <w:spacing w:after="120" w:line="240" w:lineRule="auto"/>
        <w:ind w:left="709" w:right="709"/>
        <w:jc w:val="both"/>
        <w:rPr>
          <w:rFonts w:ascii="Verdana" w:eastAsia="Calibri" w:hAnsi="Verdana" w:cs="Arial"/>
          <w:color w:val="000000" w:themeColor="text1"/>
          <w:sz w:val="20"/>
          <w:szCs w:val="20"/>
        </w:rPr>
      </w:pPr>
      <w:r w:rsidRPr="008606D3">
        <w:rPr>
          <w:rFonts w:ascii="Verdana" w:eastAsia="Calibri" w:hAnsi="Verdana" w:cs="Arial"/>
          <w:color w:val="000000" w:themeColor="text1"/>
          <w:sz w:val="20"/>
          <w:szCs w:val="20"/>
        </w:rPr>
        <w:t xml:space="preserve">“La razón de ser de la aplicación del régimen de derecho privado a estas entidades radica en la necesidad de que en su actividad industrial y comercial, tradicionalmente ajena al Estado y propia de los particulares, ellas actúen en términos equivalentes a éstos cuando realicen actividades similares, sin tener prerrogativas exorbitantes que atenten contra el derecho a la igualdad ni estar sujetas a procedimientos administrativos </w:t>
      </w:r>
      <w:r w:rsidRPr="008606D3">
        <w:rPr>
          <w:rFonts w:ascii="Verdana" w:eastAsia="Calibri" w:hAnsi="Verdana" w:cs="Arial"/>
          <w:color w:val="000000" w:themeColor="text1"/>
          <w:sz w:val="20"/>
          <w:szCs w:val="20"/>
        </w:rPr>
        <w:lastRenderedPageBreak/>
        <w:t>que entraben sus actuaciones y las pongan en situación de desventaja frente a sus competidores.</w:t>
      </w:r>
    </w:p>
    <w:p w14:paraId="4F27457F" w14:textId="77777777" w:rsidR="00DC2088" w:rsidRPr="008606D3" w:rsidRDefault="00DC2088" w:rsidP="00DC2088">
      <w:pPr>
        <w:spacing w:after="120" w:line="240" w:lineRule="auto"/>
        <w:ind w:left="709" w:right="709"/>
        <w:jc w:val="both"/>
        <w:rPr>
          <w:rFonts w:ascii="Verdana" w:eastAsia="Calibri" w:hAnsi="Verdana" w:cs="Arial"/>
          <w:color w:val="000000" w:themeColor="text1"/>
          <w:sz w:val="20"/>
          <w:szCs w:val="20"/>
        </w:rPr>
      </w:pPr>
      <w:r w:rsidRPr="008606D3">
        <w:rPr>
          <w:rFonts w:ascii="Verdana" w:eastAsia="Calibri" w:hAnsi="Verdana" w:cs="Arial"/>
          <w:color w:val="000000" w:themeColor="text1"/>
          <w:sz w:val="20"/>
          <w:szCs w:val="20"/>
        </w:rPr>
        <w:t>Se trata pues, de que sus actividades de explotación industrial o comercial se desarrollen con las mismas oportunidades y las mismas ventajas o desventajas que las adelantadas por aquellos, sin que influya para nada su investidura de entidad estatal; que puedan actuar como particulares, frente a las exigencias de la economía y del mercado.</w:t>
      </w:r>
    </w:p>
    <w:p w14:paraId="30A1F513" w14:textId="77777777" w:rsidR="00DC2088" w:rsidRPr="008606D3" w:rsidRDefault="00DC2088" w:rsidP="00DC2088">
      <w:pPr>
        <w:spacing w:after="0" w:line="240" w:lineRule="auto"/>
        <w:ind w:left="709" w:right="709"/>
        <w:jc w:val="both"/>
        <w:rPr>
          <w:rFonts w:ascii="Verdana" w:eastAsia="Calibri" w:hAnsi="Verdana" w:cs="Arial"/>
          <w:color w:val="000000" w:themeColor="text1"/>
          <w:sz w:val="20"/>
          <w:szCs w:val="20"/>
        </w:rPr>
      </w:pPr>
      <w:r w:rsidRPr="008606D3">
        <w:rPr>
          <w:rFonts w:ascii="Verdana" w:eastAsia="Calibri" w:hAnsi="Verdana" w:cs="Arial"/>
          <w:color w:val="000000" w:themeColor="text1"/>
          <w:sz w:val="20"/>
          <w:szCs w:val="20"/>
        </w:rPr>
        <w:t>Por ello, la regla general es que en sus actos y contratos rijan las normas de derecho privado, salvo en cuanto a sus relaciones con la Administración y en aquellos casos en los que por expresa disposición legal ejerzan alguna función administrativa, puesto que allí sí deberá dar aplicación a las reglas de derecho público pertinentes”</w:t>
      </w:r>
      <w:r w:rsidRPr="008606D3">
        <w:rPr>
          <w:rStyle w:val="Refdenotaalpie"/>
          <w:rFonts w:ascii="Verdana" w:eastAsia="Calibri" w:hAnsi="Verdana" w:cs="Arial"/>
          <w:color w:val="000000" w:themeColor="text1"/>
          <w:sz w:val="20"/>
          <w:szCs w:val="20"/>
        </w:rPr>
        <w:footnoteReference w:id="15"/>
      </w:r>
      <w:r w:rsidRPr="008606D3">
        <w:rPr>
          <w:rFonts w:ascii="Verdana" w:eastAsia="Calibri" w:hAnsi="Verdana" w:cs="Arial"/>
          <w:color w:val="000000" w:themeColor="text1"/>
          <w:sz w:val="20"/>
          <w:szCs w:val="20"/>
        </w:rPr>
        <w:t>.</w:t>
      </w:r>
    </w:p>
    <w:p w14:paraId="5043AEDF" w14:textId="77777777" w:rsidR="00DC2088" w:rsidRPr="009B6C67" w:rsidRDefault="00DC2088" w:rsidP="00DC2088">
      <w:pPr>
        <w:spacing w:after="0" w:line="276" w:lineRule="auto"/>
        <w:jc w:val="both"/>
        <w:rPr>
          <w:rFonts w:ascii="Verdana" w:eastAsia="Calibri" w:hAnsi="Verdana" w:cs="Arial"/>
          <w:color w:val="000000" w:themeColor="text1"/>
        </w:rPr>
      </w:pPr>
    </w:p>
    <w:p w14:paraId="4F987A1A" w14:textId="77777777" w:rsidR="00DC2088" w:rsidRDefault="00DC2088" w:rsidP="00DC2088">
      <w:pPr>
        <w:spacing w:after="120" w:line="276" w:lineRule="auto"/>
        <w:ind w:firstLine="709"/>
        <w:jc w:val="both"/>
        <w:rPr>
          <w:rFonts w:ascii="Verdana" w:eastAsia="Calibri" w:hAnsi="Verdana" w:cs="Arial"/>
          <w:color w:val="000000" w:themeColor="text1"/>
        </w:rPr>
      </w:pPr>
      <w:r w:rsidRPr="009B6C67">
        <w:rPr>
          <w:rFonts w:ascii="Verdana" w:eastAsia="Calibri" w:hAnsi="Verdana" w:cs="Arial"/>
          <w:color w:val="000000" w:themeColor="text1"/>
        </w:rPr>
        <w:t xml:space="preserve">Por lo tanto, el régimen contractual de </w:t>
      </w:r>
      <w:r w:rsidRPr="00A22A66">
        <w:rPr>
          <w:rFonts w:ascii="Verdana" w:eastAsia="Calibri" w:hAnsi="Verdana" w:cs="Arial"/>
          <w:color w:val="000000" w:themeColor="text1"/>
        </w:rPr>
        <w:t>las sociedades de economía mixta en las que el Estado tenga participación superior al cincuenta por ciento (50%)</w:t>
      </w:r>
      <w:r w:rsidRPr="009B6C67">
        <w:rPr>
          <w:rFonts w:ascii="Verdana" w:eastAsia="Calibri" w:hAnsi="Verdana" w:cs="Arial"/>
          <w:color w:val="000000" w:themeColor="text1"/>
        </w:rPr>
        <w:t xml:space="preserve"> que estén en competencia o desarrollen su actividad en mercados regulados es el propio de tal actividad, esto es, por regla general, el derecho privado, salvo las excepciones legales. Aunque estos contratos están excluidos de la Ley 80 de 1993, no se rigen exclusivamente por el derecho civil y comercial, pues –conforme al artículo 13 de la Ley 1150 de 2007– aplican tanto los principios de la función administrativa y de la gestión fiscal como el régimen de inhabilidades e incompatibilidades. Por el contrario, aquellas </w:t>
      </w:r>
      <w:r w:rsidRPr="00A22A66">
        <w:rPr>
          <w:rFonts w:ascii="Verdana" w:eastAsia="Calibri" w:hAnsi="Verdana" w:cs="Arial"/>
          <w:color w:val="000000" w:themeColor="text1"/>
        </w:rPr>
        <w:t>sociedades de economía mixta en las que el Estado tenga participación superior al cincuenta por ciento (50%)</w:t>
      </w:r>
      <w:r w:rsidRPr="009B6C67">
        <w:rPr>
          <w:rFonts w:ascii="Verdana" w:eastAsia="Calibri" w:hAnsi="Verdana" w:cs="Arial"/>
          <w:color w:val="000000" w:themeColor="text1"/>
        </w:rPr>
        <w:t xml:space="preserve"> que no estén en competencia ni desarrollen su actividad en mercados regulados están sometidas al Estatuto General de Contratación de la Administración Pública y las normas que lo complementan, como lo dispone el artículo 14 de la Ley 1150 de 2007.</w:t>
      </w:r>
    </w:p>
    <w:p w14:paraId="2791102A" w14:textId="77777777" w:rsidR="00DC2088" w:rsidRDefault="00DC2088" w:rsidP="00DC2088">
      <w:pPr>
        <w:spacing w:after="120" w:line="276" w:lineRule="auto"/>
        <w:ind w:firstLine="709"/>
        <w:jc w:val="both"/>
        <w:rPr>
          <w:rFonts w:ascii="Verdana" w:eastAsia="Calibri" w:hAnsi="Verdana" w:cs="Arial"/>
          <w:color w:val="000000" w:themeColor="text1"/>
        </w:rPr>
      </w:pPr>
      <w:r w:rsidRPr="00232807">
        <w:rPr>
          <w:rFonts w:ascii="Verdana" w:eastAsia="Calibri" w:hAnsi="Verdana" w:cs="Arial"/>
          <w:color w:val="000000" w:themeColor="text1"/>
        </w:rPr>
        <w:t>Las sociedades de economía mixta excluidas del EGCAP pueden</w:t>
      </w:r>
      <w:r>
        <w:rPr>
          <w:rFonts w:ascii="Verdana" w:eastAsia="Calibri" w:hAnsi="Verdana" w:cs="Arial"/>
          <w:color w:val="000000" w:themeColor="text1"/>
        </w:rPr>
        <w:t xml:space="preserve"> seleccionar las propuestas conforme a los requisitos que permita desarrollar el manual de contratación en los documentos del proceso. Lo anterior en la medida que, encontrándose en situación de competencia o actuando en mercados regulados, no son destinatarias del artículo 5 de la Ley 1150 de 2007 ni del artículo </w:t>
      </w:r>
      <w:r w:rsidRPr="00045C7B">
        <w:rPr>
          <w:rFonts w:ascii="Verdana" w:eastAsia="Calibri" w:hAnsi="Verdana" w:cs="Arial"/>
          <w:color w:val="000000" w:themeColor="text1"/>
        </w:rPr>
        <w:t>2.2.1.1.2.2.2</w:t>
      </w:r>
      <w:r>
        <w:rPr>
          <w:rFonts w:ascii="Verdana" w:eastAsia="Calibri" w:hAnsi="Verdana" w:cs="Arial"/>
          <w:color w:val="000000" w:themeColor="text1"/>
        </w:rPr>
        <w:t xml:space="preserve"> del Decreto 1082 de 2015 sobre el ofrecimiento más favorable. Luego, si el manual lo permite, es viable la incorporación de criterios evaluables </w:t>
      </w:r>
      <w:r w:rsidRPr="006309FA">
        <w:rPr>
          <w:rFonts w:ascii="Verdana" w:eastAsia="Calibri" w:hAnsi="Verdana" w:cs="Arial"/>
          <w:color w:val="000000" w:themeColor="text1"/>
        </w:rPr>
        <w:t xml:space="preserve">distintos </w:t>
      </w:r>
      <w:r>
        <w:rPr>
          <w:rFonts w:ascii="Verdana" w:eastAsia="Calibri" w:hAnsi="Verdana" w:cs="Arial"/>
          <w:color w:val="000000" w:themeColor="text1"/>
        </w:rPr>
        <w:t>a los tradicionales</w:t>
      </w:r>
      <w:r w:rsidRPr="006309FA">
        <w:rPr>
          <w:rFonts w:ascii="Verdana" w:eastAsia="Calibri" w:hAnsi="Verdana" w:cs="Arial"/>
          <w:color w:val="000000" w:themeColor="text1"/>
        </w:rPr>
        <w:t xml:space="preserve"> factores económicos</w:t>
      </w:r>
      <w:r>
        <w:rPr>
          <w:rFonts w:ascii="Verdana" w:eastAsia="Calibri" w:hAnsi="Verdana" w:cs="Arial"/>
          <w:color w:val="000000" w:themeColor="text1"/>
        </w:rPr>
        <w:t xml:space="preserve"> y técnicos, sin que </w:t>
      </w:r>
      <w:r>
        <w:rPr>
          <w:rFonts w:ascii="Verdana" w:eastAsia="Calibri" w:hAnsi="Verdana" w:cs="Arial"/>
          <w:color w:val="000000" w:themeColor="text1"/>
        </w:rPr>
        <w:lastRenderedPageBreak/>
        <w:t xml:space="preserve">–bajo este supuesto– existan razones jurídicas que </w:t>
      </w:r>
      <w:r w:rsidRPr="00061F7F">
        <w:rPr>
          <w:rFonts w:ascii="Verdana" w:eastAsia="Calibri" w:hAnsi="Verdana" w:cs="Arial"/>
          <w:i/>
          <w:iCs/>
          <w:color w:val="000000" w:themeColor="text1"/>
        </w:rPr>
        <w:t>a priori</w:t>
      </w:r>
      <w:r>
        <w:rPr>
          <w:rFonts w:ascii="Verdana" w:eastAsia="Calibri" w:hAnsi="Verdana" w:cs="Arial"/>
          <w:color w:val="000000" w:themeColor="text1"/>
        </w:rPr>
        <w:t xml:space="preserve"> impidan asignar puntaje a “[…] </w:t>
      </w:r>
      <w:r w:rsidRPr="00061F7F">
        <w:rPr>
          <w:rFonts w:ascii="Verdana" w:eastAsia="Calibri" w:hAnsi="Verdana" w:cs="Arial"/>
          <w:color w:val="000000" w:themeColor="text1"/>
        </w:rPr>
        <w:t xml:space="preserve">la oferta de una </w:t>
      </w:r>
      <w:r>
        <w:rPr>
          <w:rFonts w:ascii="Verdana" w:eastAsia="Calibri" w:hAnsi="Verdana" w:cs="Arial"/>
          <w:color w:val="000000" w:themeColor="text1"/>
        </w:rPr>
        <w:t>‘</w:t>
      </w:r>
      <w:r w:rsidRPr="00061F7F">
        <w:rPr>
          <w:rFonts w:ascii="Verdana" w:eastAsia="Calibri" w:hAnsi="Verdana" w:cs="Arial"/>
          <w:color w:val="000000" w:themeColor="text1"/>
        </w:rPr>
        <w:t>prima anticipada</w:t>
      </w:r>
      <w:r>
        <w:rPr>
          <w:rFonts w:ascii="Verdana" w:eastAsia="Calibri" w:hAnsi="Verdana" w:cs="Arial"/>
          <w:color w:val="000000" w:themeColor="text1"/>
        </w:rPr>
        <w:t>’</w:t>
      </w:r>
      <w:r w:rsidRPr="00061F7F">
        <w:rPr>
          <w:rFonts w:ascii="Verdana" w:eastAsia="Calibri" w:hAnsi="Verdana" w:cs="Arial"/>
          <w:color w:val="000000" w:themeColor="text1"/>
        </w:rPr>
        <w:t xml:space="preserve"> o aporte económico directo por parte del proponente a favor de la entidad</w:t>
      </w:r>
      <w:r>
        <w:rPr>
          <w:rFonts w:ascii="Verdana" w:eastAsia="Calibri" w:hAnsi="Verdana" w:cs="Arial"/>
          <w:color w:val="000000" w:themeColor="text1"/>
        </w:rPr>
        <w:t xml:space="preserve"> […]” como se indica en la consulta. </w:t>
      </w:r>
    </w:p>
    <w:p w14:paraId="0325D123" w14:textId="77777777" w:rsidR="00DC2088" w:rsidRDefault="00DC2088" w:rsidP="00DC2088">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Como este factor no está regulado en la ley, corresponde a los documentos del proceso establecer los límites y requisitos para su  exigibilidad en el trámite contractual, lo cual incluye las condiciones asociadas a dicho aporte. En caso de incluirse, necesario tener en cuenta que la indebida estructuración de este aspecto del negocio compromete la responsabilidad de la entidad contratante. Por ello, exige un riguroso análisis de riesgos para ponderar la conveniencia o no de incluir la prima o aporte en el contrato en función de criterios como la tipología, el objeto, el valor, las obligaciones, el plazo, etc. Lo anterior, ya que es una decisión completamente discrecional del Estado y, en ese sentido, no es un derecho adquirido para los interesados.  </w:t>
      </w:r>
    </w:p>
    <w:p w14:paraId="5CD4CFD4" w14:textId="77777777" w:rsidR="00DC2088" w:rsidRDefault="00DC2088" w:rsidP="00DC2088">
      <w:pPr>
        <w:spacing w:after="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No obstante, el medida que el manual de contratación se limite a factores económicos y técnicos similares a los que dispone el ordenamiento para las entidades sometidas a la Ley 80 de 1993, los documentos del proceso no pueden incluir factores de evaluación distintos a los autorizados. Ello en la medida que, dada la naturaleza reglamentaria de los manuales, rige el principio de inderogabilidad singular, motivo por el que</w:t>
      </w:r>
      <w:r w:rsidRPr="00AC5CC0">
        <w:rPr>
          <w:rFonts w:ascii="Verdana" w:eastAsia="Calibri" w:hAnsi="Verdana" w:cs="Arial"/>
          <w:color w:val="000000" w:themeColor="text1"/>
        </w:rPr>
        <w:t xml:space="preserve"> las disposiciones administrativas </w:t>
      </w:r>
      <w:r>
        <w:rPr>
          <w:rFonts w:ascii="Verdana" w:eastAsia="Calibri" w:hAnsi="Verdana" w:cs="Arial"/>
          <w:color w:val="000000" w:themeColor="text1"/>
        </w:rPr>
        <w:t>particulares no</w:t>
      </w:r>
      <w:r w:rsidRPr="00AC5CC0">
        <w:rPr>
          <w:rFonts w:ascii="Verdana" w:eastAsia="Calibri" w:hAnsi="Verdana" w:cs="Arial"/>
          <w:color w:val="000000" w:themeColor="text1"/>
        </w:rPr>
        <w:t xml:space="preserve"> pued</w:t>
      </w:r>
      <w:r>
        <w:rPr>
          <w:rFonts w:ascii="Verdana" w:eastAsia="Calibri" w:hAnsi="Verdana" w:cs="Arial"/>
          <w:color w:val="000000" w:themeColor="text1"/>
        </w:rPr>
        <w:t>e</w:t>
      </w:r>
      <w:r w:rsidRPr="00AC5CC0">
        <w:rPr>
          <w:rFonts w:ascii="Verdana" w:eastAsia="Calibri" w:hAnsi="Verdana" w:cs="Arial"/>
          <w:color w:val="000000" w:themeColor="text1"/>
        </w:rPr>
        <w:t xml:space="preserve">n </w:t>
      </w:r>
      <w:r>
        <w:rPr>
          <w:rFonts w:ascii="Verdana" w:eastAsia="Calibri" w:hAnsi="Verdana" w:cs="Arial"/>
          <w:color w:val="000000" w:themeColor="text1"/>
        </w:rPr>
        <w:t>excepcionar</w:t>
      </w:r>
      <w:r w:rsidRPr="00AC5CC0">
        <w:rPr>
          <w:rFonts w:ascii="Verdana" w:eastAsia="Calibri" w:hAnsi="Verdana" w:cs="Arial"/>
          <w:color w:val="000000" w:themeColor="text1"/>
        </w:rPr>
        <w:t xml:space="preserve"> normas generales en casos singulares.</w:t>
      </w:r>
      <w:r>
        <w:rPr>
          <w:rFonts w:ascii="Verdana" w:eastAsia="Calibri" w:hAnsi="Verdana" w:cs="Arial"/>
          <w:color w:val="000000" w:themeColor="text1"/>
        </w:rPr>
        <w:t xml:space="preserve"> </w:t>
      </w:r>
    </w:p>
    <w:p w14:paraId="6B35E6FC" w14:textId="77777777" w:rsidR="00DC2088" w:rsidRPr="00066A86" w:rsidRDefault="00DC2088" w:rsidP="00DC2088">
      <w:pPr>
        <w:tabs>
          <w:tab w:val="left" w:pos="709"/>
        </w:tabs>
        <w:spacing w:after="0" w:line="276" w:lineRule="auto"/>
        <w:jc w:val="both"/>
        <w:rPr>
          <w:rFonts w:ascii="Verdana" w:hAnsi="Verdana" w:cs="Arial"/>
          <w:color w:val="000000" w:themeColor="text1"/>
          <w:lang w:val="es-ES_tradnl"/>
        </w:rPr>
      </w:pPr>
    </w:p>
    <w:p w14:paraId="0DEB42C4" w14:textId="77777777" w:rsidR="00DC2088" w:rsidRPr="00A47393" w:rsidRDefault="00DC2088" w:rsidP="00DC2088">
      <w:pPr>
        <w:tabs>
          <w:tab w:val="left" w:pos="709"/>
        </w:tabs>
        <w:spacing w:after="18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vi. </w:t>
      </w:r>
      <w:r w:rsidRPr="00A47393">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56D1E5D" w14:textId="77777777" w:rsidR="00DC2088" w:rsidRPr="00185EE9" w:rsidRDefault="00DC2088" w:rsidP="00DC2088">
      <w:pPr>
        <w:tabs>
          <w:tab w:val="left" w:pos="709"/>
        </w:tabs>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A47393">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w:t>
      </w:r>
      <w:r w:rsidRPr="00A47393">
        <w:rPr>
          <w:rFonts w:ascii="Verdana" w:eastAsia="Calibri" w:hAnsi="Verdana" w:cs="Arial"/>
          <w:bCs/>
          <w:color w:val="000000" w:themeColor="text1"/>
        </w:rPr>
        <w:lastRenderedPageBreak/>
        <w:t xml:space="preserve">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185EE9">
        <w:rPr>
          <w:rFonts w:ascii="Verdana" w:eastAsia="Calibri" w:hAnsi="Verdana" w:cs="Arial"/>
          <w:bCs/>
          <w:color w:val="000000" w:themeColor="text1"/>
        </w:rPr>
        <w:t xml:space="preserve"> </w:t>
      </w:r>
    </w:p>
    <w:p w14:paraId="1632A25D" w14:textId="77777777" w:rsidR="00DC2088" w:rsidRPr="00182C89" w:rsidRDefault="00DC2088" w:rsidP="00DC2088">
      <w:pPr>
        <w:tabs>
          <w:tab w:val="left" w:pos="709"/>
        </w:tabs>
        <w:spacing w:after="0" w:line="276" w:lineRule="auto"/>
        <w:jc w:val="both"/>
        <w:rPr>
          <w:rFonts w:ascii="Verdana" w:eastAsia="Calibri" w:hAnsi="Verdana" w:cs="Arial"/>
          <w:color w:val="000000" w:themeColor="text1"/>
        </w:rPr>
      </w:pPr>
    </w:p>
    <w:p w14:paraId="2F8B95B0" w14:textId="77777777" w:rsidR="00DC2088" w:rsidRPr="00593A5F" w:rsidRDefault="00DC2088" w:rsidP="00DC208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18FA5ADB" w14:textId="77777777" w:rsidR="00DC2088" w:rsidRPr="00593A5F" w:rsidRDefault="00DC2088" w:rsidP="00DC2088">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C2088" w:rsidRPr="002407CE" w14:paraId="20A1A960" w14:textId="77777777" w:rsidTr="002A11C0">
        <w:trPr>
          <w:trHeight w:val="56"/>
          <w:jc w:val="center"/>
        </w:trPr>
        <w:tc>
          <w:tcPr>
            <w:tcW w:w="8647" w:type="dxa"/>
          </w:tcPr>
          <w:p w14:paraId="577C35D6" w14:textId="77777777" w:rsidR="00DC2088" w:rsidRDefault="00DC2088" w:rsidP="00DC208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150, 209, 267 y 352.</w:t>
            </w:r>
          </w:p>
          <w:p w14:paraId="532A2802" w14:textId="77777777" w:rsidR="00DC2088" w:rsidRDefault="00DC2088" w:rsidP="00DC208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D85592">
              <w:rPr>
                <w:rFonts w:ascii="Verdana" w:hAnsi="Verdana" w:cs="Arial"/>
              </w:rPr>
              <w:t xml:space="preserve">Ley 80 de 1993, artículos </w:t>
            </w:r>
            <w:r>
              <w:rPr>
                <w:rFonts w:ascii="Verdana" w:hAnsi="Verdana" w:cs="Arial"/>
              </w:rPr>
              <w:t>2, 13, 24, 32 y 40.</w:t>
            </w:r>
          </w:p>
          <w:p w14:paraId="134DC9B1" w14:textId="77777777" w:rsidR="00DC2088" w:rsidRDefault="00DC2088" w:rsidP="00DC208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489 de 1998, artículo 97.</w:t>
            </w:r>
          </w:p>
          <w:p w14:paraId="2A3F5389" w14:textId="77777777" w:rsidR="00DC2088" w:rsidRDefault="00DC2088" w:rsidP="00DC208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2, 5, 13, 14 y 34.</w:t>
            </w:r>
          </w:p>
          <w:p w14:paraId="5A746624" w14:textId="77777777" w:rsidR="00DC2088" w:rsidRDefault="00DC2088" w:rsidP="00DC208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2195 de 2022, artículo 53.</w:t>
            </w:r>
          </w:p>
          <w:p w14:paraId="3E7F55D6" w14:textId="77777777" w:rsidR="00DC2088" w:rsidRPr="00D85592" w:rsidRDefault="00DC2088" w:rsidP="00DC208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111 de 1996, artículo 110.</w:t>
            </w:r>
          </w:p>
          <w:p w14:paraId="360CB5A7" w14:textId="77777777" w:rsidR="00DC2088" w:rsidRPr="00B87E7A" w:rsidRDefault="00DC2088" w:rsidP="00DC2088">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D85592">
              <w:rPr>
                <w:rFonts w:ascii="Verdana" w:hAnsi="Verdana" w:cs="Arial"/>
                <w:color w:val="000000" w:themeColor="text1"/>
                <w:lang w:val="es-ES_tradnl"/>
              </w:rPr>
              <w:t>Decreto 1082 de 2015</w:t>
            </w:r>
            <w:r>
              <w:rPr>
                <w:rFonts w:ascii="Verdana" w:hAnsi="Verdana" w:cs="Arial"/>
                <w:color w:val="000000" w:themeColor="text1"/>
                <w:lang w:val="es-ES_tradnl"/>
              </w:rPr>
              <w:t>,</w:t>
            </w:r>
            <w:r w:rsidRPr="00D85592">
              <w:rPr>
                <w:rFonts w:ascii="Verdana" w:hAnsi="Verdana" w:cs="Arial"/>
                <w:color w:val="000000" w:themeColor="text1"/>
                <w:lang w:val="es-ES_tradnl"/>
              </w:rPr>
              <w:t xml:space="preserve"> artículo</w:t>
            </w:r>
            <w:r>
              <w:rPr>
                <w:rFonts w:ascii="Verdana" w:hAnsi="Verdana" w:cs="Arial"/>
                <w:color w:val="000000" w:themeColor="text1"/>
                <w:lang w:val="es-ES_tradnl"/>
              </w:rPr>
              <w:t xml:space="preserve"> </w:t>
            </w:r>
            <w:r w:rsidRPr="00E47542">
              <w:rPr>
                <w:rFonts w:ascii="Verdana" w:eastAsia="Calibri" w:hAnsi="Verdana" w:cs="Arial"/>
                <w:color w:val="000000" w:themeColor="text1"/>
              </w:rPr>
              <w:t>2.2.1.2.1.2.24</w:t>
            </w:r>
            <w:r>
              <w:rPr>
                <w:rFonts w:ascii="Verdana" w:hAnsi="Verdana" w:cs="Arial"/>
                <w:color w:val="000000" w:themeColor="text1"/>
                <w:lang w:val="es-ES_tradnl"/>
              </w:rPr>
              <w:t>.</w:t>
            </w:r>
            <w:r>
              <w:rPr>
                <w:rFonts w:ascii="Verdana" w:hAnsi="Verdana" w:cs="Arial"/>
              </w:rPr>
              <w:t xml:space="preserve"> </w:t>
            </w:r>
          </w:p>
        </w:tc>
      </w:tr>
    </w:tbl>
    <w:p w14:paraId="74EB9C51" w14:textId="77777777" w:rsidR="00DC2088" w:rsidRPr="002407CE" w:rsidRDefault="00DC2088" w:rsidP="00DC2088">
      <w:pPr>
        <w:widowControl w:val="0"/>
        <w:autoSpaceDE w:val="0"/>
        <w:autoSpaceDN w:val="0"/>
        <w:spacing w:after="0" w:line="276" w:lineRule="auto"/>
        <w:jc w:val="both"/>
        <w:rPr>
          <w:rFonts w:ascii="Verdana" w:hAnsi="Verdana" w:cs="Arial"/>
        </w:rPr>
      </w:pPr>
    </w:p>
    <w:p w14:paraId="0DD8C478" w14:textId="77777777" w:rsidR="00DC2088" w:rsidRPr="00593A5F" w:rsidRDefault="00DC2088" w:rsidP="00DC208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4FF5D86E" w14:textId="77777777" w:rsidR="00DC2088" w:rsidRPr="00593A5F" w:rsidRDefault="00DC2088" w:rsidP="00DC2088">
      <w:pPr>
        <w:widowControl w:val="0"/>
        <w:autoSpaceDE w:val="0"/>
        <w:autoSpaceDN w:val="0"/>
        <w:spacing w:after="0" w:line="276" w:lineRule="auto"/>
        <w:jc w:val="both"/>
        <w:rPr>
          <w:rFonts w:ascii="Verdana" w:hAnsi="Verdana" w:cs="Arial"/>
        </w:rPr>
      </w:pPr>
    </w:p>
    <w:p w14:paraId="257CCD94" w14:textId="77777777" w:rsidR="00DC2088" w:rsidRPr="00ED0098" w:rsidRDefault="00DC2088" w:rsidP="00DC2088">
      <w:pPr>
        <w:widowControl w:val="0"/>
        <w:autoSpaceDE w:val="0"/>
        <w:autoSpaceDN w:val="0"/>
        <w:spacing w:after="0" w:line="276" w:lineRule="auto"/>
        <w:jc w:val="both"/>
        <w:rPr>
          <w:rStyle w:val="normaltextrun"/>
          <w:rFonts w:ascii="Verdana" w:hAnsi="Verdana" w:cs="Arial"/>
          <w:shd w:val="clear" w:color="auto" w:fill="FFFFFF"/>
        </w:rPr>
      </w:pPr>
      <w:r w:rsidRPr="008E78D9">
        <w:rPr>
          <w:rFonts w:ascii="Verdana" w:hAnsi="Verdana" w:cs="Arial"/>
          <w:shd w:val="clear" w:color="auto" w:fill="FFFFFF"/>
        </w:rPr>
        <w:t>Este y otros conceptos de la Subdirección de Gestión Contractual se encuentran disponibles para consulta en el Sistema de relatoría de la Agencia, al cual puede accederse a través del siguiente enlace:</w:t>
      </w:r>
      <w:r>
        <w:rPr>
          <w:rFonts w:ascii="Verdana" w:hAnsi="Verdana" w:cs="Arial"/>
          <w:shd w:val="clear" w:color="auto" w:fill="FFFFFF"/>
        </w:rPr>
        <w:t xml:space="preserv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3FE76388" w14:textId="77777777" w:rsidR="00DC2088" w:rsidRPr="00096788" w:rsidRDefault="00DC2088" w:rsidP="00DC2088">
      <w:pPr>
        <w:widowControl w:val="0"/>
        <w:autoSpaceDE w:val="0"/>
        <w:autoSpaceDN w:val="0"/>
        <w:spacing w:after="0" w:line="276" w:lineRule="auto"/>
        <w:jc w:val="both"/>
        <w:rPr>
          <w:rFonts w:ascii="Verdana" w:hAnsi="Verdana" w:cs="Arial"/>
          <w:color w:val="000000" w:themeColor="text1"/>
          <w:shd w:val="clear" w:color="auto" w:fill="FFFFFF"/>
        </w:rPr>
      </w:pPr>
    </w:p>
    <w:p w14:paraId="2AE23E29" w14:textId="77777777" w:rsidR="00DC2088" w:rsidRDefault="00DC2088" w:rsidP="00DC2088">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447777FF" w14:textId="77777777" w:rsidR="00DC2088" w:rsidRPr="009A385A" w:rsidRDefault="00DC2088" w:rsidP="00DC2088">
      <w:pPr>
        <w:spacing w:after="0"/>
        <w:jc w:val="both"/>
        <w:rPr>
          <w:rFonts w:ascii="Verdana" w:hAnsi="Verdana"/>
        </w:rPr>
      </w:pPr>
    </w:p>
    <w:p w14:paraId="364347F4" w14:textId="77777777" w:rsidR="00DC2088" w:rsidRDefault="00DC2088" w:rsidP="00DC2088">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 xml:space="preserve">mediante las cuales </w:t>
      </w:r>
      <w:r w:rsidRPr="009A385A">
        <w:rPr>
          <w:rFonts w:ascii="Verdana" w:hAnsi="Verdana"/>
          <w:b/>
          <w:bCs/>
        </w:rPr>
        <w:lastRenderedPageBreak/>
        <w:t>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4E2C3F12" w14:textId="77777777" w:rsidR="00DC2088" w:rsidRDefault="00DC2088" w:rsidP="00DC2088">
      <w:pPr>
        <w:spacing w:after="0"/>
        <w:jc w:val="both"/>
        <w:rPr>
          <w:rFonts w:ascii="Verdana" w:hAnsi="Verdana"/>
        </w:rPr>
      </w:pPr>
    </w:p>
    <w:p w14:paraId="127C70CE" w14:textId="77777777" w:rsidR="00DC2088" w:rsidRPr="008E1CD7" w:rsidRDefault="00DC2088" w:rsidP="00DC2088">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B004B74" w14:textId="77777777" w:rsidR="00DC2088" w:rsidRDefault="00DC2088" w:rsidP="00DC2088">
      <w:pPr>
        <w:shd w:val="clear" w:color="auto" w:fill="FFFFFF"/>
        <w:spacing w:after="0" w:line="276" w:lineRule="auto"/>
        <w:jc w:val="both"/>
        <w:rPr>
          <w:rFonts w:ascii="Verdana" w:hAnsi="Verdana"/>
          <w:color w:val="000000"/>
          <w:u w:val="single"/>
        </w:rPr>
      </w:pPr>
    </w:p>
    <w:p w14:paraId="655B78F4" w14:textId="77777777" w:rsidR="00DC2088" w:rsidRPr="00116940" w:rsidRDefault="00DC2088" w:rsidP="00DC2088">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013C245A" w14:textId="77777777" w:rsidR="00DC2088" w:rsidRPr="00116940" w:rsidRDefault="00DC2088" w:rsidP="00DC2088">
      <w:pPr>
        <w:spacing w:after="0"/>
        <w:jc w:val="both"/>
        <w:rPr>
          <w:rFonts w:ascii="Verdana" w:hAnsi="Verdana"/>
        </w:rPr>
      </w:pPr>
    </w:p>
    <w:p w14:paraId="7B4B3FE6" w14:textId="77777777" w:rsidR="00DC2088" w:rsidRPr="00116940" w:rsidRDefault="00DC2088" w:rsidP="00DC2088">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10DF4508" w14:textId="77777777" w:rsidR="00DC2088" w:rsidRPr="00116940" w:rsidRDefault="00DC2088" w:rsidP="00DC2088">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6068071E" w14:textId="77777777" w:rsidR="00DC2088" w:rsidRPr="00116940" w:rsidRDefault="00DC2088" w:rsidP="00DC2088">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11E5E11E" w14:textId="77777777" w:rsidR="00DC2088" w:rsidRPr="00116940" w:rsidRDefault="00DC2088" w:rsidP="00DC2088">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3AF9FFDC" w14:textId="77777777" w:rsidR="00DC2088" w:rsidRPr="00116940" w:rsidRDefault="00DC2088" w:rsidP="00DC2088">
      <w:pPr>
        <w:spacing w:after="0" w:line="240" w:lineRule="auto"/>
        <w:ind w:left="720"/>
        <w:jc w:val="both"/>
        <w:rPr>
          <w:rFonts w:ascii="Verdana" w:hAnsi="Verdana"/>
        </w:rPr>
      </w:pPr>
    </w:p>
    <w:p w14:paraId="23D96B19" w14:textId="77777777" w:rsidR="00DC2088" w:rsidRPr="00116940" w:rsidRDefault="00DC2088" w:rsidP="00DC2088">
      <w:pPr>
        <w:spacing w:after="0" w:line="240" w:lineRule="auto"/>
        <w:rPr>
          <w:rFonts w:ascii="Verdana" w:hAnsi="Verdana"/>
        </w:rPr>
      </w:pPr>
      <w:r w:rsidRPr="00116940">
        <w:rPr>
          <w:rFonts w:ascii="Verdana" w:hAnsi="Verdana"/>
        </w:rPr>
        <w:lastRenderedPageBreak/>
        <w:t>Evalúa el servicio que ofrece la Agencia por el canal de atención de PQRSD en el siguiente enlace :</w:t>
      </w:r>
      <w:hyperlink r:id="rId18"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66EE5F31" w14:textId="77777777" w:rsidR="00DC2088" w:rsidRPr="00116940" w:rsidRDefault="00DC2088" w:rsidP="00DC2088">
      <w:pPr>
        <w:spacing w:after="0" w:line="240" w:lineRule="auto"/>
        <w:rPr>
          <w:rFonts w:ascii="Verdana" w:hAnsi="Verdana"/>
        </w:rPr>
      </w:pPr>
    </w:p>
    <w:p w14:paraId="61C6D515" w14:textId="77777777" w:rsidR="00DC2088" w:rsidRPr="00116940" w:rsidRDefault="00DC2088" w:rsidP="00DC2088">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23E97141" w14:textId="77777777" w:rsidR="00DC2088" w:rsidRPr="00116940" w:rsidRDefault="00DC2088" w:rsidP="00DC2088">
      <w:pPr>
        <w:spacing w:after="0" w:line="240" w:lineRule="auto"/>
        <w:jc w:val="both"/>
        <w:rPr>
          <w:rFonts w:ascii="Verdana" w:hAnsi="Verdana"/>
        </w:rPr>
      </w:pPr>
    </w:p>
    <w:p w14:paraId="4DAA904C" w14:textId="77777777" w:rsidR="00DC2088" w:rsidRPr="00116940" w:rsidRDefault="00DC2088" w:rsidP="00DC2088">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36E8A9A" w14:textId="77777777" w:rsidR="00DC2088" w:rsidRPr="00116940" w:rsidRDefault="00DC2088" w:rsidP="00DC2088">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2C80B5D" w14:textId="77777777" w:rsidR="00DC2088" w:rsidRPr="00116940" w:rsidRDefault="00DC2088" w:rsidP="00DC2088">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2F68CB53" w14:textId="77777777" w:rsidR="00DC2088" w:rsidRPr="009C4035" w:rsidRDefault="00DC2088" w:rsidP="00DC2088">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624CEF24" w14:textId="77777777" w:rsidR="00DC2088" w:rsidRPr="00593A5F" w:rsidRDefault="00DC2088" w:rsidP="00DC2088">
      <w:pPr>
        <w:widowControl w:val="0"/>
        <w:autoSpaceDE w:val="0"/>
        <w:autoSpaceDN w:val="0"/>
        <w:spacing w:after="0" w:line="276" w:lineRule="auto"/>
        <w:jc w:val="both"/>
        <w:rPr>
          <w:rFonts w:ascii="Verdana" w:hAnsi="Verdana" w:cs="Arial"/>
          <w:lang w:val="es-ES_tradnl"/>
        </w:rPr>
      </w:pPr>
      <w:r w:rsidRPr="0027423E">
        <w:rPr>
          <w:rFonts w:ascii="Verdana" w:hAnsi="Verdana" w:cs="Arial"/>
        </w:rPr>
        <w:t>El presente oficio se expide en cumplimiento de lo ordenado</w:t>
      </w:r>
      <w:r>
        <w:rPr>
          <w:rFonts w:ascii="Verdana" w:hAnsi="Verdana" w:cs="Arial"/>
        </w:rPr>
        <w:t xml:space="preserve"> </w:t>
      </w:r>
      <w:r w:rsidRPr="0027423E">
        <w:rPr>
          <w:rFonts w:ascii="Verdana" w:hAnsi="Verdana" w:cs="Arial"/>
        </w:rPr>
        <w:t>por el Juzgado 017 Administrativo Oral del Circuito de Medellín en el numeral 2 de la Sentencia de Tutela del 22 de mayo de 2026</w:t>
      </w:r>
      <w:r>
        <w:rPr>
          <w:rFonts w:ascii="Verdana" w:hAnsi="Verdana" w:cs="Arial"/>
        </w:rPr>
        <w:t xml:space="preserve">. </w:t>
      </w: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C7F1690" w14:textId="77777777" w:rsidR="00DC2088" w:rsidRPr="00593A5F" w:rsidRDefault="00DC2088" w:rsidP="00DC2088">
      <w:pPr>
        <w:widowControl w:val="0"/>
        <w:autoSpaceDE w:val="0"/>
        <w:autoSpaceDN w:val="0"/>
        <w:spacing w:after="0" w:line="276" w:lineRule="auto"/>
        <w:jc w:val="both"/>
        <w:rPr>
          <w:rFonts w:ascii="Verdana" w:hAnsi="Verdana" w:cs="Arial"/>
        </w:rPr>
      </w:pPr>
    </w:p>
    <w:p w14:paraId="72916E06" w14:textId="77777777" w:rsidR="00DC2088" w:rsidRPr="00593A5F" w:rsidRDefault="00DC2088" w:rsidP="00DC2088">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5036C29B" w14:textId="33546318" w:rsidR="00DC2088" w:rsidRPr="00593A5F" w:rsidRDefault="00D7223A" w:rsidP="00DC2088">
      <w:pPr>
        <w:spacing w:line="276" w:lineRule="auto"/>
        <w:jc w:val="center"/>
        <w:rPr>
          <w:rFonts w:ascii="Verdana" w:hAnsi="Verdana" w:cs="Arial"/>
          <w:color w:val="000000"/>
          <w:lang w:val="es-ES_tradnl" w:eastAsia="es-CO"/>
        </w:rPr>
      </w:pPr>
      <w:r>
        <w:rPr>
          <w:noProof/>
        </w:rPr>
        <w:drawing>
          <wp:inline distT="0" distB="0" distL="0" distR="0" wp14:anchorId="476A5CD2" wp14:editId="5677BA9B">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9"/>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C2088" w:rsidRPr="00593A5F" w14:paraId="3834920D" w14:textId="77777777" w:rsidTr="002A11C0">
        <w:trPr>
          <w:trHeight w:val="315"/>
        </w:trPr>
        <w:tc>
          <w:tcPr>
            <w:tcW w:w="893" w:type="dxa"/>
            <w:vAlign w:val="center"/>
            <w:hideMark/>
          </w:tcPr>
          <w:p w14:paraId="5FD499D6" w14:textId="77777777" w:rsidR="00DC2088" w:rsidRPr="003751C7" w:rsidRDefault="00DC2088" w:rsidP="002A11C0">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A1E854C" w14:textId="77777777" w:rsidR="00DC2088" w:rsidRPr="00254A7A" w:rsidRDefault="00DC2088" w:rsidP="002A11C0">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7FECBDA6" w14:textId="77777777" w:rsidR="00DC2088" w:rsidRPr="00254A7A" w:rsidRDefault="00DC2088" w:rsidP="002A11C0">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DC2088" w:rsidRPr="00593A5F" w14:paraId="3EB8182D" w14:textId="77777777" w:rsidTr="002A11C0">
        <w:trPr>
          <w:trHeight w:val="330"/>
        </w:trPr>
        <w:tc>
          <w:tcPr>
            <w:tcW w:w="893" w:type="dxa"/>
            <w:vAlign w:val="center"/>
            <w:hideMark/>
          </w:tcPr>
          <w:p w14:paraId="53D3C33B" w14:textId="77777777" w:rsidR="00DC2088" w:rsidRPr="003751C7" w:rsidRDefault="00DC2088" w:rsidP="002A11C0">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DF58559" w14:textId="77777777" w:rsidR="00DC2088" w:rsidRPr="00CE1B84" w:rsidRDefault="00DC2088" w:rsidP="002A11C0">
            <w:pPr>
              <w:pStyle w:val="paragraph"/>
              <w:spacing w:after="0"/>
              <w:contextualSpacing/>
              <w:textAlignment w:val="baseline"/>
              <w:rPr>
                <w:rStyle w:val="normaltextrun"/>
                <w:rFonts w:ascii="Verdana" w:hAnsi="Verdana" w:cs="Arial"/>
                <w:sz w:val="16"/>
                <w:szCs w:val="16"/>
                <w:lang w:val="es-ES_tradnl"/>
              </w:rPr>
            </w:pPr>
            <w:r w:rsidRPr="00CE1B84">
              <w:rPr>
                <w:rStyle w:val="normaltextrun"/>
                <w:rFonts w:ascii="Verdana" w:hAnsi="Verdana" w:cs="Arial"/>
                <w:sz w:val="16"/>
                <w:szCs w:val="16"/>
                <w:lang w:val="es-ES_tradnl"/>
              </w:rPr>
              <w:t>Alejandro Sarmiento Cantillo</w:t>
            </w:r>
          </w:p>
          <w:p w14:paraId="4F099C25" w14:textId="77777777" w:rsidR="00DC2088" w:rsidRPr="00A40FD0" w:rsidRDefault="00DC2088" w:rsidP="002A11C0">
            <w:pPr>
              <w:pStyle w:val="paragraph"/>
              <w:spacing w:before="0" w:beforeAutospacing="0" w:after="0" w:afterAutospacing="0"/>
              <w:contextualSpacing/>
              <w:textAlignment w:val="baseline"/>
              <w:rPr>
                <w:rFonts w:ascii="Verdana" w:hAnsi="Verdana" w:cs="Segoe UI"/>
                <w:sz w:val="16"/>
                <w:szCs w:val="16"/>
              </w:rPr>
            </w:pPr>
            <w:r w:rsidRPr="00CE1B84">
              <w:rPr>
                <w:rStyle w:val="normaltextrun"/>
                <w:rFonts w:ascii="Verdana" w:hAnsi="Verdana" w:cs="Arial"/>
                <w:sz w:val="16"/>
                <w:szCs w:val="16"/>
                <w:lang w:val="es-ES_tradnl"/>
              </w:rPr>
              <w:t>Gestor T1 ‒ 15 de la Subdirección de Gestión Contractual</w:t>
            </w:r>
          </w:p>
        </w:tc>
      </w:tr>
      <w:tr w:rsidR="00DC2088" w:rsidRPr="00593A5F" w14:paraId="525BC86D" w14:textId="77777777" w:rsidTr="002A11C0">
        <w:trPr>
          <w:trHeight w:val="300"/>
        </w:trPr>
        <w:tc>
          <w:tcPr>
            <w:tcW w:w="893" w:type="dxa"/>
            <w:vAlign w:val="center"/>
          </w:tcPr>
          <w:p w14:paraId="37843CEE" w14:textId="77777777" w:rsidR="00DC2088" w:rsidRPr="003751C7" w:rsidRDefault="00DC2088" w:rsidP="002A11C0">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7225458" w14:textId="77777777" w:rsidR="00DC2088" w:rsidRPr="00FE00BE" w:rsidRDefault="00DC2088" w:rsidP="002A11C0">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Carolina Quintero Gacharná</w:t>
            </w:r>
          </w:p>
          <w:p w14:paraId="2B0AA4AA" w14:textId="77777777" w:rsidR="00DC2088" w:rsidRPr="00FE00BE" w:rsidRDefault="00DC2088" w:rsidP="002A11C0">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2624E00E" w14:textId="77777777" w:rsidR="00DC2088" w:rsidRDefault="00DC2088" w:rsidP="00DC2088"/>
    <w:p w14:paraId="6FB4467C" w14:textId="77DA00F8" w:rsidR="00DC2088" w:rsidRPr="00543BFE" w:rsidRDefault="00DC2088" w:rsidP="00DC2088"/>
    <w:p w14:paraId="0F293BF4" w14:textId="5AB27502" w:rsidR="00127233" w:rsidRPr="00DC2088" w:rsidRDefault="00127233" w:rsidP="00DC2088"/>
    <w:sectPr w:rsidR="00127233" w:rsidRPr="00DC2088"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51C010" w14:textId="77777777" w:rsidR="00B5453D" w:rsidRDefault="00B5453D" w:rsidP="004A1847">
      <w:pPr>
        <w:spacing w:after="0" w:line="240" w:lineRule="auto"/>
      </w:pPr>
      <w:r>
        <w:separator/>
      </w:r>
    </w:p>
  </w:endnote>
  <w:endnote w:type="continuationSeparator" w:id="0">
    <w:p w14:paraId="4D0F49E2" w14:textId="77777777" w:rsidR="00B5453D" w:rsidRDefault="00B5453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D6520A"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D6520A">
      <w:rPr>
        <w:rFonts w:ascii="Verdana" w:eastAsia="Verdana" w:hAnsi="Verdana" w:cs="Verdana"/>
        <w:b/>
        <w:color w:val="000000" w:themeColor="text1"/>
        <w:sz w:val="18"/>
        <w:szCs w:val="18"/>
        <w:lang w:val="pt-BR" w:eastAsia="es-CO"/>
      </w:rPr>
      <w:t xml:space="preserve">Código: </w:t>
    </w:r>
    <w:r w:rsidRPr="00D6520A">
      <w:rPr>
        <w:rFonts w:ascii="Verdana" w:eastAsia="Verdana" w:hAnsi="Verdana" w:cs="Verdana"/>
        <w:color w:val="000000" w:themeColor="text1"/>
        <w:sz w:val="18"/>
        <w:szCs w:val="18"/>
        <w:lang w:val="pt-BR" w:eastAsia="es-CO"/>
      </w:rPr>
      <w:t xml:space="preserve">CCE-REC-FM-17 </w:t>
    </w:r>
    <w:r w:rsidRPr="00D6520A">
      <w:rPr>
        <w:rFonts w:ascii="Verdana" w:eastAsia="Verdana" w:hAnsi="Verdana" w:cs="Verdana"/>
        <w:b/>
        <w:color w:val="000000" w:themeColor="text1"/>
        <w:sz w:val="18"/>
        <w:szCs w:val="18"/>
        <w:lang w:val="pt-BR" w:eastAsia="es-CO"/>
      </w:rPr>
      <w:t xml:space="preserve">V: </w:t>
    </w:r>
    <w:r w:rsidRPr="00D6520A">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C3BAD9" w14:textId="77777777" w:rsidR="00B5453D" w:rsidRDefault="00B5453D" w:rsidP="004A1847">
      <w:pPr>
        <w:spacing w:after="0" w:line="240" w:lineRule="auto"/>
      </w:pPr>
      <w:r>
        <w:separator/>
      </w:r>
    </w:p>
  </w:footnote>
  <w:footnote w:type="continuationSeparator" w:id="0">
    <w:p w14:paraId="79BBD5C6" w14:textId="77777777" w:rsidR="00B5453D" w:rsidRDefault="00B5453D" w:rsidP="004A1847">
      <w:pPr>
        <w:spacing w:after="0" w:line="240" w:lineRule="auto"/>
      </w:pPr>
      <w:r>
        <w:continuationSeparator/>
      </w:r>
    </w:p>
  </w:footnote>
  <w:footnote w:id="1">
    <w:p w14:paraId="3A3FCDD6" w14:textId="77777777" w:rsidR="00DC2088" w:rsidRPr="001244F3" w:rsidRDefault="00DC2088" w:rsidP="00DC2088">
      <w:pPr>
        <w:pStyle w:val="Textonotapie"/>
        <w:ind w:firstLine="708"/>
        <w:jc w:val="both"/>
        <w:rPr>
          <w:rFonts w:ascii="Verdana" w:hAnsi="Verdana"/>
          <w:sz w:val="16"/>
          <w:szCs w:val="16"/>
        </w:rPr>
      </w:pPr>
      <w:r w:rsidRPr="001244F3">
        <w:rPr>
          <w:rStyle w:val="Refdenotaalpie"/>
          <w:rFonts w:ascii="Verdana" w:hAnsi="Verdana"/>
          <w:sz w:val="16"/>
          <w:szCs w:val="16"/>
        </w:rPr>
        <w:footnoteRef/>
      </w:r>
      <w:r w:rsidRPr="001244F3">
        <w:rPr>
          <w:rFonts w:ascii="Verdana" w:hAnsi="Verdana"/>
          <w:sz w:val="16"/>
          <w:szCs w:val="16"/>
        </w:rPr>
        <w:t xml:space="preserve"> En lo pertinente, la norma prescribe que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14:paraId="3CC867F4" w14:textId="77777777" w:rsidR="00DC2088" w:rsidRPr="001244F3" w:rsidRDefault="00DC2088" w:rsidP="00DC2088">
      <w:pPr>
        <w:pStyle w:val="Textonotapie"/>
        <w:ind w:firstLine="708"/>
        <w:jc w:val="both"/>
        <w:rPr>
          <w:rFonts w:ascii="Verdana" w:hAnsi="Verdana"/>
          <w:sz w:val="16"/>
          <w:szCs w:val="16"/>
        </w:rPr>
      </w:pPr>
      <w:r w:rsidRPr="001244F3">
        <w:rPr>
          <w:rFonts w:ascii="Verdana" w:hAnsi="Verdana"/>
          <w:sz w:val="16"/>
          <w:szCs w:val="16"/>
        </w:rPr>
        <w:t>[…]</w:t>
      </w:r>
    </w:p>
    <w:p w14:paraId="6F48D3FB" w14:textId="77777777" w:rsidR="00DC2088" w:rsidRPr="001244F3" w:rsidRDefault="00DC2088" w:rsidP="00DC2088">
      <w:pPr>
        <w:pStyle w:val="Textonotapie"/>
        <w:ind w:firstLine="708"/>
        <w:jc w:val="both"/>
        <w:rPr>
          <w:rFonts w:ascii="Verdana" w:hAnsi="Verdana"/>
          <w:sz w:val="16"/>
          <w:szCs w:val="16"/>
        </w:rPr>
      </w:pPr>
      <w:r w:rsidRPr="001244F3">
        <w:rPr>
          <w:rFonts w:ascii="Verdana" w:hAnsi="Verdana"/>
          <w:sz w:val="16"/>
          <w:szCs w:val="16"/>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14:paraId="57F923F1" w14:textId="77777777" w:rsidR="00DC2088" w:rsidRPr="001244F3" w:rsidRDefault="00DC2088" w:rsidP="00DC2088">
      <w:pPr>
        <w:pStyle w:val="Textonotapie"/>
        <w:ind w:firstLine="708"/>
        <w:jc w:val="both"/>
        <w:rPr>
          <w:rFonts w:ascii="Verdana" w:hAnsi="Verdana"/>
          <w:sz w:val="16"/>
          <w:szCs w:val="16"/>
        </w:rPr>
      </w:pPr>
      <w:r w:rsidRPr="001244F3">
        <w:rPr>
          <w:rFonts w:ascii="Verdana" w:hAnsi="Verdana"/>
          <w:sz w:val="16"/>
          <w:szCs w:val="16"/>
        </w:rPr>
        <w:t>En todo caso, el Presidente de la República podrá celebrar contratos a nombre de la Nación”.</w:t>
      </w:r>
    </w:p>
  </w:footnote>
  <w:footnote w:id="2">
    <w:p w14:paraId="0BE4B3A3" w14:textId="77777777" w:rsidR="00DC2088" w:rsidRPr="001244F3" w:rsidRDefault="00DC2088" w:rsidP="00DC2088">
      <w:pPr>
        <w:pStyle w:val="Textonotapie"/>
        <w:ind w:firstLine="708"/>
        <w:jc w:val="both"/>
        <w:rPr>
          <w:rFonts w:ascii="Verdana" w:hAnsi="Verdana" w:cs="Arial"/>
          <w:sz w:val="16"/>
          <w:szCs w:val="16"/>
        </w:rPr>
      </w:pPr>
      <w:r w:rsidRPr="001244F3">
        <w:rPr>
          <w:rStyle w:val="Refdenotaalpie"/>
          <w:rFonts w:ascii="Verdana" w:hAnsi="Verdana" w:cs="Arial"/>
          <w:sz w:val="16"/>
          <w:szCs w:val="16"/>
        </w:rPr>
        <w:footnoteRef/>
      </w:r>
      <w:r w:rsidRPr="001244F3">
        <w:rPr>
          <w:rFonts w:ascii="Verdana" w:hAnsi="Verdana" w:cs="Arial"/>
          <w:sz w:val="16"/>
          <w:szCs w:val="16"/>
        </w:rPr>
        <w:t xml:space="preserve"> El inciso primero de norma disponía que, conforme al principio de transparencia, “</w:t>
      </w:r>
      <w:r w:rsidRPr="001244F3">
        <w:rPr>
          <w:rFonts w:ascii="Verdana" w:hAnsi="Verdana" w:cs="Arial"/>
          <w:i/>
          <w:iCs/>
          <w:sz w:val="16"/>
          <w:szCs w:val="16"/>
        </w:rPr>
        <w:t>La escogencia del contratista se efectuará siempre a través de licitación o concurso públicos</w:t>
      </w:r>
      <w:r w:rsidRPr="001244F3">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3">
    <w:p w14:paraId="5FCC3AF2" w14:textId="77777777" w:rsidR="00DC2088" w:rsidRPr="001244F3" w:rsidRDefault="00DC2088" w:rsidP="00DC2088">
      <w:pPr>
        <w:pStyle w:val="Textonotapie"/>
        <w:ind w:firstLine="708"/>
        <w:jc w:val="both"/>
        <w:rPr>
          <w:rFonts w:ascii="Verdana" w:hAnsi="Verdana" w:cs="Arial"/>
          <w:sz w:val="16"/>
          <w:szCs w:val="16"/>
        </w:rPr>
      </w:pPr>
      <w:r w:rsidRPr="001244F3">
        <w:rPr>
          <w:rStyle w:val="Refdenotaalpie"/>
          <w:rFonts w:ascii="Verdana" w:hAnsi="Verdana" w:cs="Arial"/>
          <w:sz w:val="16"/>
          <w:szCs w:val="16"/>
        </w:rPr>
        <w:footnoteRef/>
      </w:r>
      <w:r w:rsidRPr="001244F3">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1244F3">
        <w:rPr>
          <w:rFonts w:ascii="Verdana" w:hAnsi="Verdana" w:cs="Arial"/>
          <w:i/>
          <w:iCs/>
          <w:sz w:val="16"/>
          <w:szCs w:val="16"/>
        </w:rPr>
        <w:t>Presentación de la oferta de manera dinámica</w:t>
      </w:r>
      <w:r w:rsidRPr="001244F3">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4">
    <w:p w14:paraId="38FE41BD" w14:textId="77777777" w:rsidR="00DC2088" w:rsidRPr="001244F3" w:rsidRDefault="00DC2088" w:rsidP="00DC2088">
      <w:pPr>
        <w:pStyle w:val="Textonotapie"/>
        <w:ind w:firstLine="708"/>
        <w:jc w:val="both"/>
        <w:rPr>
          <w:rFonts w:ascii="Verdana" w:hAnsi="Verdana" w:cs="Arial"/>
          <w:sz w:val="16"/>
          <w:szCs w:val="16"/>
        </w:rPr>
      </w:pPr>
      <w:r w:rsidRPr="001244F3">
        <w:rPr>
          <w:rStyle w:val="Refdenotaalpie"/>
          <w:rFonts w:ascii="Verdana" w:hAnsi="Verdana" w:cs="Arial"/>
          <w:sz w:val="16"/>
          <w:szCs w:val="16"/>
        </w:rPr>
        <w:footnoteRef/>
      </w:r>
      <w:r w:rsidRPr="001244F3">
        <w:rPr>
          <w:rFonts w:ascii="Verdana" w:hAnsi="Verdana" w:cs="Arial"/>
          <w:sz w:val="16"/>
          <w:szCs w:val="16"/>
        </w:rPr>
        <w:t xml:space="preserve"> JOJOA BOLAÑOS, Alexander. Los regímenes exceptuados en los contratos estatales. Bogotá: Grupo Editorial Ibáñez, 2012. p. 89.</w:t>
      </w:r>
    </w:p>
  </w:footnote>
  <w:footnote w:id="5">
    <w:p w14:paraId="0D2CB1C0" w14:textId="77777777" w:rsidR="00DC2088" w:rsidRPr="001244F3" w:rsidRDefault="00DC2088" w:rsidP="00DC2088">
      <w:pPr>
        <w:pStyle w:val="Textonotapie"/>
        <w:ind w:firstLine="708"/>
        <w:jc w:val="both"/>
        <w:rPr>
          <w:rFonts w:ascii="Verdana" w:hAnsi="Verdana" w:cs="Arial"/>
          <w:sz w:val="16"/>
          <w:szCs w:val="16"/>
        </w:rPr>
      </w:pPr>
      <w:r w:rsidRPr="001244F3">
        <w:rPr>
          <w:rStyle w:val="Refdenotaalpie"/>
          <w:rFonts w:ascii="Verdana" w:hAnsi="Verdana" w:cs="Arial"/>
          <w:sz w:val="16"/>
          <w:szCs w:val="16"/>
        </w:rPr>
        <w:footnoteRef/>
      </w:r>
      <w:r w:rsidRPr="001244F3">
        <w:rPr>
          <w:rFonts w:ascii="Verdana" w:hAnsi="Verdana" w:cs="Arial"/>
          <w:sz w:val="16"/>
          <w:szCs w:val="16"/>
        </w:rPr>
        <w:t xml:space="preserve"> BARRETO MORENO, Antonio Alejandro. El derecho de la compra pública: estudio jurídico de un mercado imperfecto. Bogotá: Legis, 2019. pp. 281 y ss.</w:t>
      </w:r>
    </w:p>
  </w:footnote>
  <w:footnote w:id="6">
    <w:p w14:paraId="06ABCE2C" w14:textId="77777777" w:rsidR="00DC2088" w:rsidRPr="001244F3" w:rsidRDefault="00DC2088" w:rsidP="00DC2088">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Agencia Nacional de Contratación Pública - Colombia Compra Eficiente. Guía para las Entidades Estatales con régimen especial de contratación: </w:t>
      </w:r>
      <w:r>
        <w:rPr>
          <w:rFonts w:ascii="Verdana" w:hAnsi="Verdana" w:cs="Arial"/>
          <w:color w:val="000000" w:themeColor="text1"/>
          <w:sz w:val="16"/>
          <w:szCs w:val="16"/>
        </w:rPr>
        <w:t>“</w:t>
      </w:r>
      <w:r w:rsidRPr="001244F3">
        <w:rPr>
          <w:rFonts w:ascii="Verdana" w:hAnsi="Verdana" w:cs="Arial"/>
          <w:color w:val="000000" w:themeColor="text1"/>
          <w:sz w:val="16"/>
          <w:szCs w:val="16"/>
        </w:rPr>
        <w:t>Entidad Estatal de régimen especial: Entidad Estatal que realiza sus Procesos de Contratación con un régimen distinto al previsto en las Leyes 80 de 1993 y 1150 de 2007</w:t>
      </w:r>
      <w:r>
        <w:rPr>
          <w:rFonts w:ascii="Verdana" w:hAnsi="Verdana" w:cs="Arial"/>
          <w:color w:val="000000" w:themeColor="text1"/>
          <w:sz w:val="16"/>
          <w:szCs w:val="16"/>
        </w:rPr>
        <w:t>”</w:t>
      </w:r>
      <w:r w:rsidRPr="001244F3">
        <w:rPr>
          <w:rFonts w:ascii="Verdana" w:hAnsi="Verdana" w:cs="Arial"/>
          <w:color w:val="000000" w:themeColor="text1"/>
          <w:sz w:val="16"/>
          <w:szCs w:val="16"/>
        </w:rPr>
        <w:t>.</w:t>
      </w:r>
    </w:p>
  </w:footnote>
  <w:footnote w:id="7">
    <w:p w14:paraId="0811230A" w14:textId="77777777" w:rsidR="00DC2088" w:rsidRPr="001244F3" w:rsidRDefault="00DC2088" w:rsidP="00DC2088">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CONSEJO DE ESTADO. Sección Tercera. Radicado No. 45.607 del 24 de octubre de 2016. Consejera Ponente: María Nubia Velásquez Rico.</w:t>
      </w:r>
    </w:p>
  </w:footnote>
  <w:footnote w:id="8">
    <w:p w14:paraId="1479DAD3" w14:textId="77777777" w:rsidR="00DC2088" w:rsidRPr="001244F3" w:rsidRDefault="00DC2088" w:rsidP="00DC2088">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Este fenómeno también se ha presentado, en los últimos años, en España. Al respecto, ver: SÁNCHEZ MORÓN, Miguel. El retorno del derecho administrativo. En: Revista de Administración Pública. Nº 216 (2018). Disponible en: </w:t>
      </w:r>
      <w:hyperlink r:id="rId1" w:history="1">
        <w:r w:rsidRPr="000C3FF3">
          <w:rPr>
            <w:rStyle w:val="Hipervnculo"/>
            <w:rFonts w:ascii="Verdana" w:hAnsi="Verdana" w:cs="Arial"/>
            <w:sz w:val="16"/>
            <w:szCs w:val="16"/>
          </w:rPr>
          <w:t>https://recyt.fecyt.es/index.php/RAP/article/view/67033</w:t>
        </w:r>
      </w:hyperlink>
      <w:r w:rsidRPr="001244F3">
        <w:rPr>
          <w:rFonts w:ascii="Verdana" w:hAnsi="Verdana" w:cs="Arial"/>
          <w:color w:val="000000" w:themeColor="text1"/>
          <w:sz w:val="16"/>
          <w:szCs w:val="16"/>
        </w:rPr>
        <w:t>.</w:t>
      </w:r>
    </w:p>
  </w:footnote>
  <w:footnote w:id="9">
    <w:p w14:paraId="21CCA03A" w14:textId="77777777" w:rsidR="00DC2088" w:rsidRPr="001244F3" w:rsidRDefault="00DC2088" w:rsidP="00DC2088">
      <w:pPr>
        <w:pStyle w:val="Textonotapie"/>
        <w:ind w:firstLine="708"/>
        <w:jc w:val="both"/>
        <w:rPr>
          <w:rFonts w:ascii="Verdana" w:hAnsi="Verdana" w:cs="Arial"/>
          <w:color w:val="000000" w:themeColor="text1"/>
          <w:sz w:val="16"/>
          <w:szCs w:val="16"/>
          <w:lang w:val="es-ES"/>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w:t>
      </w:r>
      <w:r w:rsidRPr="001244F3">
        <w:rPr>
          <w:rFonts w:ascii="Verdana" w:hAnsi="Verdana" w:cs="Arial"/>
          <w:color w:val="000000" w:themeColor="text1"/>
          <w:sz w:val="16"/>
          <w:szCs w:val="16"/>
          <w:lang w:val="es-ES"/>
        </w:rPr>
        <w:t>Es el caso de: i) las empresas sociales del Estado (art. 195, num. 6, Ley 100/1993), ii) las empresas prestadoras de servicios públicos domiciliarios (arts. 31 y 32, Ley 142/94); iii) las empresas industriales y comerciales del Estado, sociedades públicas y sociedades de economía mixta con capital público mayoritario, siempre que las tres entidades mencionadas anteriormente se encuentren en competencia con el sector público o privado, a nivel nacional o internacional, o ejerzan su actividad en un mercado regulado (art. 14, Ley 1150/07); iv) las universidades públicas (art. 93, Ley 30/92); entre otras.</w:t>
      </w:r>
    </w:p>
  </w:footnote>
  <w:footnote w:id="10">
    <w:p w14:paraId="422BA72A" w14:textId="77777777" w:rsidR="00DC2088" w:rsidRPr="001244F3" w:rsidRDefault="00DC2088" w:rsidP="00DC2088">
      <w:pPr>
        <w:pStyle w:val="Textonotapie"/>
        <w:ind w:firstLine="709"/>
        <w:jc w:val="both"/>
        <w:rPr>
          <w:rFonts w:ascii="Verdana" w:hAnsi="Verdana" w:cs="Arial"/>
          <w:color w:val="000000" w:themeColor="text1"/>
          <w:sz w:val="16"/>
          <w:szCs w:val="16"/>
          <w:lang w:val="es-ES"/>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w:t>
      </w:r>
      <w:r w:rsidRPr="001244F3">
        <w:rPr>
          <w:rFonts w:ascii="Verdana" w:hAnsi="Verdana" w:cs="Arial"/>
          <w:color w:val="000000" w:themeColor="text1"/>
          <w:sz w:val="16"/>
          <w:szCs w:val="16"/>
          <w:lang w:val="es-ES"/>
        </w:rPr>
        <w:t>Leyes que, a su vez, han sido modificadas por otras posteriores, como las Leyes 1474 de 2011 y 1882 de 2018, entre otras. Así mismo, se recuerda que el Estatuto General de Contratación de la Administración Pública se encuentra reglamentado actualmente por el Decreto 1082 de 2015.</w:t>
      </w:r>
    </w:p>
  </w:footnote>
  <w:footnote w:id="11">
    <w:p w14:paraId="1FB8C4C9" w14:textId="77777777" w:rsidR="00DC2088" w:rsidRPr="001244F3" w:rsidRDefault="00DC2088" w:rsidP="00DC2088">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Así lo sostuvo el Consejo de Estado: </w:t>
      </w:r>
      <w:r>
        <w:rPr>
          <w:rFonts w:ascii="Verdana" w:hAnsi="Verdana" w:cs="Arial"/>
          <w:color w:val="000000" w:themeColor="text1"/>
          <w:sz w:val="16"/>
          <w:szCs w:val="16"/>
        </w:rPr>
        <w:t>“</w:t>
      </w:r>
      <w:r w:rsidRPr="001244F3">
        <w:rPr>
          <w:rFonts w:ascii="Verdana" w:hAnsi="Verdana" w:cs="Arial"/>
          <w:color w:val="000000" w:themeColor="text1"/>
          <w:sz w:val="16"/>
          <w:szCs w:val="16"/>
        </w:rPr>
        <w:t xml:space="preserve">Esta Sala, en sentido contrario al del tribunal, recuerda que las normas que establecen la manera como se perfecciona un contrato son de orden público, por tanto indisponibles por las partes, así que para las entidades excluidas de la Ley 80, un contrato existe si cumple las exigencias del ordenamiento privado; ni siquiera las del manual de contratación que expide cada hospital, ni las que prevean las partes en un contrato específico, porque los últimos no pueden reducirlas o adicionarlas, puesto que semejante acuerdo adolecerá de nulidad, al transgredir el derecho público de la nación. </w:t>
      </w:r>
    </w:p>
    <w:p w14:paraId="0E621449" w14:textId="77777777" w:rsidR="00DC2088" w:rsidRPr="001244F3" w:rsidRDefault="00DC2088" w:rsidP="00DC2088">
      <w:pPr>
        <w:pStyle w:val="Textonotapie"/>
        <w:ind w:firstLine="709"/>
        <w:jc w:val="both"/>
        <w:rPr>
          <w:rFonts w:ascii="Verdana" w:hAnsi="Verdana" w:cs="Arial"/>
          <w:color w:val="000000" w:themeColor="text1"/>
          <w:sz w:val="16"/>
          <w:szCs w:val="16"/>
        </w:rPr>
      </w:pPr>
      <w:r w:rsidRPr="001244F3">
        <w:rPr>
          <w:rFonts w:ascii="Verdana" w:hAnsi="Verdana" w:cs="Arial"/>
          <w:color w:val="000000" w:themeColor="text1"/>
          <w:sz w:val="16"/>
          <w:szCs w:val="16"/>
        </w:rPr>
        <w:t>Lo anterior explica por qué en el derecho privado las partes no pueden condicionar la existencia de un contrato, que por ley sea consensual, al hecho de que conste por escrito; ni uno que requiere escritura pública al hecho de que el acuerdo verbal sea suficiente. Esto significa que si la ley impuso formalidades especiales para que exista un contrato, las partes no sólo no pueden obviarlas, sino que tampoco las pueden incrementar o adicionar; y a la inversa, si la ley no estableció formalidades especiales para que exista determinado negocio, las partes no las pueden crear con ese propósito –aunque sí podrían hacerlo para otros efectos, pero no para que exista el acuerdo de voluntades-. Lo expresado hasta ahora debe entenderse en los siguientes sentidos:</w:t>
      </w:r>
    </w:p>
    <w:p w14:paraId="63B0F003" w14:textId="77777777" w:rsidR="00DC2088" w:rsidRPr="001244F3" w:rsidRDefault="00DC2088" w:rsidP="00DC2088">
      <w:pPr>
        <w:pStyle w:val="Textonotapie"/>
        <w:ind w:firstLine="709"/>
        <w:jc w:val="both"/>
        <w:rPr>
          <w:rFonts w:ascii="Verdana" w:hAnsi="Verdana" w:cs="Arial"/>
          <w:color w:val="000000" w:themeColor="text1"/>
          <w:sz w:val="16"/>
          <w:szCs w:val="16"/>
        </w:rPr>
      </w:pPr>
      <w:r w:rsidRPr="001244F3">
        <w:rPr>
          <w:rFonts w:ascii="Verdana" w:hAnsi="Verdana" w:cs="Arial"/>
          <w:color w:val="000000" w:themeColor="text1"/>
          <w:sz w:val="16"/>
          <w:szCs w:val="16"/>
        </w:rPr>
        <w:t>a. Si la norma aplicable al contrato es la Ley 80, los requisitos de perfeccionamiento son los que ella establezca; de manera que las partes, en ejercicio de la autonomía de la voluntad –que autorizan los arts. 13, 32 y 40- no pueden atenuar ni hacer más exigentes los que contempla.</w:t>
      </w:r>
    </w:p>
    <w:p w14:paraId="15F48579" w14:textId="77777777" w:rsidR="00DC2088" w:rsidRPr="001244F3" w:rsidRDefault="00DC2088" w:rsidP="00DC2088">
      <w:pPr>
        <w:pStyle w:val="Textonotapie"/>
        <w:ind w:firstLine="709"/>
        <w:jc w:val="both"/>
        <w:rPr>
          <w:rFonts w:ascii="Verdana" w:hAnsi="Verdana" w:cs="Arial"/>
          <w:color w:val="000000" w:themeColor="text1"/>
          <w:sz w:val="16"/>
          <w:szCs w:val="16"/>
        </w:rPr>
      </w:pPr>
      <w:r w:rsidRPr="001244F3">
        <w:rPr>
          <w:rFonts w:ascii="Verdana" w:hAnsi="Verdana" w:cs="Arial"/>
          <w:color w:val="000000" w:themeColor="text1"/>
          <w:sz w:val="16"/>
          <w:szCs w:val="16"/>
        </w:rPr>
        <w:t>b. Si la norma aplicable al contrato estatal es el derecho privado más los principios de la función administrativa, los requisitos de perfeccionamiento también son los que aquél establezca; por tanto, las partes, en ejercicio de la autonomía de la voluntad, tampoco pueden atenuar ni hacer más exigentes los que contempla.</w:t>
      </w:r>
    </w:p>
    <w:p w14:paraId="60B13963" w14:textId="77777777" w:rsidR="00DC2088" w:rsidRPr="001244F3" w:rsidRDefault="00DC2088" w:rsidP="00DC2088">
      <w:pPr>
        <w:pStyle w:val="Textonotapie"/>
        <w:ind w:firstLine="709"/>
        <w:jc w:val="both"/>
        <w:rPr>
          <w:rFonts w:ascii="Verdana" w:hAnsi="Verdana" w:cs="Arial"/>
          <w:color w:val="000000" w:themeColor="text1"/>
          <w:sz w:val="16"/>
          <w:szCs w:val="16"/>
        </w:rPr>
      </w:pPr>
      <w:r w:rsidRPr="001244F3">
        <w:rPr>
          <w:rFonts w:ascii="Verdana" w:hAnsi="Verdana" w:cs="Arial"/>
          <w:color w:val="000000" w:themeColor="text1"/>
          <w:sz w:val="16"/>
          <w:szCs w:val="16"/>
        </w:rPr>
        <w:t>c. Si la entidad excluida de Ley 80 profirió un reglamento o manual de contratación, para señalar con certidumbre la manera como contratará los bienes, obras y servicios de su interés, los requisitos de perfeccionamiento de sus contratos tampoco son disponibles por ese estatuto, porque esta materia está reservada a la ley. Por tanto, cuándo existe un contrato es un aspecto que define el derecho privado, y la entidad no lo puede alterar, ni para atenuar ni para hacer más exigentes los requisitos</w:t>
      </w:r>
      <w:r>
        <w:rPr>
          <w:rFonts w:ascii="Verdana" w:hAnsi="Verdana" w:cs="Arial"/>
          <w:color w:val="000000" w:themeColor="text1"/>
          <w:sz w:val="16"/>
          <w:szCs w:val="16"/>
        </w:rPr>
        <w:t>”</w:t>
      </w:r>
      <w:r w:rsidRPr="001244F3">
        <w:rPr>
          <w:rFonts w:ascii="Verdana" w:hAnsi="Verdana" w:cs="Arial"/>
          <w:color w:val="000000" w:themeColor="text1"/>
          <w:sz w:val="16"/>
          <w:szCs w:val="16"/>
        </w:rPr>
        <w:t xml:space="preserve"> (CONSEJO DE ESTADO. Sección Tercera. Subsección C. Sentencia del 8 de abril de 2014. Exp. 25.801 C.P. Enrique Gil Botero). </w:t>
      </w:r>
    </w:p>
  </w:footnote>
  <w:footnote w:id="12">
    <w:p w14:paraId="09F38148" w14:textId="77777777" w:rsidR="00DC2088" w:rsidRPr="00D87760" w:rsidRDefault="00DC2088" w:rsidP="00DC2088">
      <w:pPr>
        <w:pStyle w:val="Textonotapie"/>
        <w:ind w:firstLine="708"/>
        <w:jc w:val="both"/>
        <w:rPr>
          <w:rFonts w:ascii="Verdana" w:hAnsi="Verdana" w:cs="Arial"/>
          <w:color w:val="000000" w:themeColor="text1"/>
          <w:sz w:val="16"/>
          <w:szCs w:val="16"/>
        </w:rPr>
      </w:pPr>
      <w:r w:rsidRPr="00D87760">
        <w:rPr>
          <w:rStyle w:val="Refdenotaalpie"/>
          <w:rFonts w:ascii="Verdana" w:hAnsi="Verdana" w:cs="Arial"/>
          <w:color w:val="000000" w:themeColor="text1"/>
          <w:sz w:val="16"/>
          <w:szCs w:val="16"/>
        </w:rPr>
        <w:footnoteRef/>
      </w:r>
      <w:r w:rsidRPr="00D87760">
        <w:rPr>
          <w:rFonts w:ascii="Verdana" w:hAnsi="Verdana" w:cs="Arial"/>
          <w:color w:val="000000" w:themeColor="text1"/>
          <w:sz w:val="16"/>
          <w:szCs w:val="16"/>
        </w:rPr>
        <w:t xml:space="preserve"> Al respecto, el artículo 2, literal a) del numeral 1, del Estatuto General de Contratación denomina como entidades estatales a “La Nación, las regiones, los departamentos, las provincias, el distrito capital y los distritos especiales, las áreas metropolitanas, las asociaciones de municipios, los territorios indígenas y los municipios; los establecimientos públicos, </w:t>
      </w:r>
      <w:r w:rsidRPr="00A22A66">
        <w:rPr>
          <w:rFonts w:ascii="Verdana" w:hAnsi="Verdana" w:cs="Arial"/>
          <w:color w:val="000000" w:themeColor="text1"/>
          <w:sz w:val="16"/>
          <w:szCs w:val="16"/>
        </w:rPr>
        <w:t>las empresas industriales y comerciales del Estado</w:t>
      </w:r>
      <w:r w:rsidRPr="00D87760">
        <w:rPr>
          <w:rFonts w:ascii="Verdana" w:hAnsi="Verdana" w:cs="Arial"/>
          <w:color w:val="000000" w:themeColor="text1"/>
          <w:sz w:val="16"/>
          <w:szCs w:val="16"/>
        </w:rPr>
        <w:t xml:space="preserve">, </w:t>
      </w:r>
      <w:r w:rsidRPr="00A22A66">
        <w:rPr>
          <w:rFonts w:ascii="Verdana" w:hAnsi="Verdana" w:cs="Arial"/>
          <w:i/>
          <w:iCs/>
          <w:color w:val="000000" w:themeColor="text1"/>
          <w:sz w:val="16"/>
          <w:szCs w:val="16"/>
        </w:rPr>
        <w:t>las sociedades de economía mixta en las que el Estado tenga participación superior al cincuenta por ciento (50%)</w:t>
      </w:r>
      <w:r w:rsidRPr="00D87760">
        <w:rPr>
          <w:rFonts w:ascii="Verdana" w:hAnsi="Verdana" w:cs="Arial"/>
          <w:color w:val="000000" w:themeColor="text1"/>
          <w:sz w:val="16"/>
          <w:szCs w:val="16"/>
        </w:rPr>
        <w:t>, así como las entidades descentralizadas indirectas y las demás personas jurídicas en las que exista dicha participación pública mayoritaria, cualquiera sea la denominación que ellas adopten, en todos los órdenes y niveles” (Énfasis fuera de texto).</w:t>
      </w:r>
    </w:p>
  </w:footnote>
  <w:footnote w:id="13">
    <w:p w14:paraId="5DB3535D" w14:textId="77777777" w:rsidR="00DC2088" w:rsidRPr="00D87760" w:rsidRDefault="00DC2088" w:rsidP="00DC2088">
      <w:pPr>
        <w:pStyle w:val="Textonotapie"/>
        <w:ind w:firstLine="708"/>
        <w:jc w:val="both"/>
        <w:rPr>
          <w:rFonts w:ascii="Verdana" w:hAnsi="Verdana" w:cs="Arial"/>
          <w:sz w:val="16"/>
          <w:szCs w:val="16"/>
        </w:rPr>
      </w:pPr>
      <w:r w:rsidRPr="00D87760">
        <w:rPr>
          <w:rStyle w:val="Refdenotaalpie"/>
          <w:rFonts w:ascii="Verdana" w:hAnsi="Verdana" w:cs="Arial"/>
          <w:sz w:val="16"/>
          <w:szCs w:val="16"/>
        </w:rPr>
        <w:footnoteRef/>
      </w:r>
      <w:r w:rsidRPr="00D87760">
        <w:rPr>
          <w:rFonts w:ascii="Verdana" w:hAnsi="Verdana" w:cs="Arial"/>
          <w:sz w:val="16"/>
          <w:szCs w:val="16"/>
        </w:rPr>
        <w:t xml:space="preserve"> El numeral derogado disponía que “La escogencia del contratista se efectuará siempre a través de licitación o concurso públicos, salvo en los siguientes casos en los que se podrá contratar directamente: […] m)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esta ley”.</w:t>
      </w:r>
    </w:p>
  </w:footnote>
  <w:footnote w:id="14">
    <w:p w14:paraId="4391F711" w14:textId="77777777" w:rsidR="00DC2088" w:rsidRPr="00E47542" w:rsidRDefault="00DC2088" w:rsidP="00DC2088">
      <w:pPr>
        <w:pStyle w:val="Textonotapie"/>
        <w:ind w:firstLine="708"/>
        <w:jc w:val="both"/>
        <w:rPr>
          <w:rFonts w:ascii="Verdana" w:hAnsi="Verdana"/>
          <w:sz w:val="16"/>
          <w:szCs w:val="16"/>
          <w:lang w:val="es-CO"/>
        </w:rPr>
      </w:pPr>
      <w:r w:rsidRPr="00E47542">
        <w:rPr>
          <w:rStyle w:val="Refdenotaalpie"/>
          <w:rFonts w:ascii="Verdana" w:hAnsi="Verdana"/>
          <w:sz w:val="16"/>
          <w:szCs w:val="16"/>
        </w:rPr>
        <w:footnoteRef/>
      </w:r>
      <w:r w:rsidRPr="00E47542">
        <w:rPr>
          <w:rFonts w:ascii="Verdana" w:hAnsi="Verdana"/>
          <w:sz w:val="16"/>
          <w:szCs w:val="16"/>
        </w:rPr>
        <w:t xml:space="preserve"> </w:t>
      </w:r>
      <w:r>
        <w:rPr>
          <w:rFonts w:ascii="Verdana" w:hAnsi="Verdana"/>
          <w:sz w:val="16"/>
          <w:szCs w:val="16"/>
        </w:rPr>
        <w:t xml:space="preserve">El </w:t>
      </w:r>
      <w:r w:rsidRPr="00E47542">
        <w:rPr>
          <w:rFonts w:ascii="Verdana" w:hAnsi="Verdana"/>
          <w:sz w:val="16"/>
          <w:szCs w:val="16"/>
        </w:rPr>
        <w:t>artículo 2.2.1.2.1.2.24 del Decreto 1082 de 2015</w:t>
      </w:r>
      <w:r>
        <w:rPr>
          <w:rFonts w:ascii="Verdana" w:hAnsi="Verdana"/>
          <w:sz w:val="16"/>
          <w:szCs w:val="16"/>
        </w:rPr>
        <w:t xml:space="preserve"> precisa lo siguiente: “</w:t>
      </w:r>
      <w:r w:rsidRPr="00E47542">
        <w:rPr>
          <w:rFonts w:ascii="Verdana" w:hAnsi="Verdana"/>
          <w:sz w:val="16"/>
          <w:szCs w:val="16"/>
        </w:rPr>
        <w:t>Las empresas industriales y comerciales del Estado y las sociedades de economía mixta, sus filiales y las empresas en las cuales el Estado tenga más del cincuenta por ciento (50%) del capital social que no se encuentren en situación de competencia, deben utilizar el procedimiento de selección abreviada de menor cuantía para los contratos que tengan como objeto su actividad comercial e industrial, salvo para los contratos de obra pública, consultoría, prestación de servicios, concesión, encargo fiduciario y fiducia pública para los cuales se aplicará la modalidad que corresponda</w:t>
      </w:r>
      <w:r>
        <w:rPr>
          <w:rFonts w:ascii="Verdana" w:hAnsi="Verdana"/>
          <w:sz w:val="16"/>
          <w:szCs w:val="16"/>
        </w:rPr>
        <w:t>”</w:t>
      </w:r>
      <w:r w:rsidRPr="00E47542">
        <w:rPr>
          <w:rFonts w:ascii="Verdana" w:hAnsi="Verdana"/>
          <w:sz w:val="16"/>
          <w:szCs w:val="16"/>
        </w:rPr>
        <w:t>.</w:t>
      </w:r>
    </w:p>
  </w:footnote>
  <w:footnote w:id="15">
    <w:p w14:paraId="51C030AD" w14:textId="77777777" w:rsidR="00DC2088" w:rsidRPr="00D87760" w:rsidRDefault="00DC2088" w:rsidP="00DC2088">
      <w:pPr>
        <w:pStyle w:val="Textonotapie"/>
        <w:ind w:firstLine="708"/>
        <w:jc w:val="both"/>
        <w:rPr>
          <w:rFonts w:ascii="Verdana" w:hAnsi="Verdana" w:cs="Arial"/>
          <w:sz w:val="16"/>
          <w:szCs w:val="16"/>
        </w:rPr>
      </w:pPr>
      <w:r w:rsidRPr="00D87760">
        <w:rPr>
          <w:rStyle w:val="Refdenotaalpie"/>
          <w:rFonts w:ascii="Verdana" w:hAnsi="Verdana" w:cs="Arial"/>
          <w:sz w:val="16"/>
          <w:szCs w:val="16"/>
        </w:rPr>
        <w:footnoteRef/>
      </w:r>
      <w:r w:rsidRPr="00D87760">
        <w:rPr>
          <w:rFonts w:ascii="Verdana" w:hAnsi="Verdana" w:cs="Arial"/>
          <w:sz w:val="16"/>
          <w:szCs w:val="16"/>
        </w:rPr>
        <w:t xml:space="preserve"> CONSEJO DE ESTADO. Sección Tercera. Sentencia del 19 de agosto de 2004. Exp. 12.342. C.P. Ramiro Saavedra Becerra.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1672"/>
    <w:rsid w:val="00046945"/>
    <w:rsid w:val="00061B2A"/>
    <w:rsid w:val="00082362"/>
    <w:rsid w:val="000A683E"/>
    <w:rsid w:val="000B19B9"/>
    <w:rsid w:val="000D0334"/>
    <w:rsid w:val="000D5DA7"/>
    <w:rsid w:val="000F6486"/>
    <w:rsid w:val="00116940"/>
    <w:rsid w:val="00116EFA"/>
    <w:rsid w:val="00125105"/>
    <w:rsid w:val="00127233"/>
    <w:rsid w:val="0015699B"/>
    <w:rsid w:val="001770C6"/>
    <w:rsid w:val="001A33BF"/>
    <w:rsid w:val="001E4177"/>
    <w:rsid w:val="001F0B24"/>
    <w:rsid w:val="001F15FA"/>
    <w:rsid w:val="001F7DC6"/>
    <w:rsid w:val="00213DA1"/>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8539B"/>
    <w:rsid w:val="003A779E"/>
    <w:rsid w:val="003B3759"/>
    <w:rsid w:val="003C35BA"/>
    <w:rsid w:val="003D0F4D"/>
    <w:rsid w:val="003D5B0D"/>
    <w:rsid w:val="003E0499"/>
    <w:rsid w:val="003E4F80"/>
    <w:rsid w:val="003E6439"/>
    <w:rsid w:val="003F3941"/>
    <w:rsid w:val="00406575"/>
    <w:rsid w:val="00414C74"/>
    <w:rsid w:val="0042722E"/>
    <w:rsid w:val="0044528D"/>
    <w:rsid w:val="00466E39"/>
    <w:rsid w:val="004A1847"/>
    <w:rsid w:val="004A305D"/>
    <w:rsid w:val="004A7423"/>
    <w:rsid w:val="004F21C4"/>
    <w:rsid w:val="004F685F"/>
    <w:rsid w:val="00545B9E"/>
    <w:rsid w:val="005566E8"/>
    <w:rsid w:val="00574867"/>
    <w:rsid w:val="00591460"/>
    <w:rsid w:val="005A65E0"/>
    <w:rsid w:val="005B69A7"/>
    <w:rsid w:val="005C3777"/>
    <w:rsid w:val="005C5CDC"/>
    <w:rsid w:val="005D476C"/>
    <w:rsid w:val="00610A56"/>
    <w:rsid w:val="006200BF"/>
    <w:rsid w:val="006219F8"/>
    <w:rsid w:val="006302F7"/>
    <w:rsid w:val="00646B9F"/>
    <w:rsid w:val="00665D70"/>
    <w:rsid w:val="006900D9"/>
    <w:rsid w:val="00706C16"/>
    <w:rsid w:val="00727D4D"/>
    <w:rsid w:val="00734035"/>
    <w:rsid w:val="007340C3"/>
    <w:rsid w:val="00740D8A"/>
    <w:rsid w:val="00745978"/>
    <w:rsid w:val="0075235A"/>
    <w:rsid w:val="00756841"/>
    <w:rsid w:val="007649AB"/>
    <w:rsid w:val="00771D0C"/>
    <w:rsid w:val="007833AC"/>
    <w:rsid w:val="00793622"/>
    <w:rsid w:val="007B268C"/>
    <w:rsid w:val="007B7171"/>
    <w:rsid w:val="007C0C0F"/>
    <w:rsid w:val="007C3DC2"/>
    <w:rsid w:val="007E4B29"/>
    <w:rsid w:val="007E5497"/>
    <w:rsid w:val="008057E6"/>
    <w:rsid w:val="00806F5F"/>
    <w:rsid w:val="00820278"/>
    <w:rsid w:val="008258C9"/>
    <w:rsid w:val="00844AE9"/>
    <w:rsid w:val="00867F95"/>
    <w:rsid w:val="008843B6"/>
    <w:rsid w:val="00885B50"/>
    <w:rsid w:val="00891928"/>
    <w:rsid w:val="008A446D"/>
    <w:rsid w:val="008B25F1"/>
    <w:rsid w:val="008C11D7"/>
    <w:rsid w:val="008D180B"/>
    <w:rsid w:val="008F0EA7"/>
    <w:rsid w:val="00923EEF"/>
    <w:rsid w:val="009419F9"/>
    <w:rsid w:val="0095685E"/>
    <w:rsid w:val="00961B09"/>
    <w:rsid w:val="00965334"/>
    <w:rsid w:val="0097093E"/>
    <w:rsid w:val="009A0DFA"/>
    <w:rsid w:val="009A1C6F"/>
    <w:rsid w:val="009B2D26"/>
    <w:rsid w:val="009C6CFE"/>
    <w:rsid w:val="009C71FA"/>
    <w:rsid w:val="009C72E7"/>
    <w:rsid w:val="009C7F7E"/>
    <w:rsid w:val="009D3058"/>
    <w:rsid w:val="009F3A13"/>
    <w:rsid w:val="00A122D3"/>
    <w:rsid w:val="00A14468"/>
    <w:rsid w:val="00A17F13"/>
    <w:rsid w:val="00A20739"/>
    <w:rsid w:val="00A23AF9"/>
    <w:rsid w:val="00A33C78"/>
    <w:rsid w:val="00A87897"/>
    <w:rsid w:val="00AB0ADB"/>
    <w:rsid w:val="00AC0A64"/>
    <w:rsid w:val="00B00C0E"/>
    <w:rsid w:val="00B01B1A"/>
    <w:rsid w:val="00B0381D"/>
    <w:rsid w:val="00B04D95"/>
    <w:rsid w:val="00B20293"/>
    <w:rsid w:val="00B44A47"/>
    <w:rsid w:val="00B5453D"/>
    <w:rsid w:val="00B72CD3"/>
    <w:rsid w:val="00B72FFF"/>
    <w:rsid w:val="00B8470C"/>
    <w:rsid w:val="00B91623"/>
    <w:rsid w:val="00B94A87"/>
    <w:rsid w:val="00BC3D36"/>
    <w:rsid w:val="00BD54A6"/>
    <w:rsid w:val="00BD7F72"/>
    <w:rsid w:val="00BF05F5"/>
    <w:rsid w:val="00BF7425"/>
    <w:rsid w:val="00C04FB3"/>
    <w:rsid w:val="00C11D8B"/>
    <w:rsid w:val="00C15139"/>
    <w:rsid w:val="00C277CD"/>
    <w:rsid w:val="00C330EB"/>
    <w:rsid w:val="00C50D69"/>
    <w:rsid w:val="00C5365C"/>
    <w:rsid w:val="00C754BE"/>
    <w:rsid w:val="00C76B1C"/>
    <w:rsid w:val="00C925AC"/>
    <w:rsid w:val="00CB6357"/>
    <w:rsid w:val="00CC1B26"/>
    <w:rsid w:val="00D361FD"/>
    <w:rsid w:val="00D423A2"/>
    <w:rsid w:val="00D44E26"/>
    <w:rsid w:val="00D520D8"/>
    <w:rsid w:val="00D63AC2"/>
    <w:rsid w:val="00D6520A"/>
    <w:rsid w:val="00D7223A"/>
    <w:rsid w:val="00D7383B"/>
    <w:rsid w:val="00D7788A"/>
    <w:rsid w:val="00DA231B"/>
    <w:rsid w:val="00DC2088"/>
    <w:rsid w:val="00DC39FC"/>
    <w:rsid w:val="00DF5254"/>
    <w:rsid w:val="00E02524"/>
    <w:rsid w:val="00E16408"/>
    <w:rsid w:val="00E20894"/>
    <w:rsid w:val="00E245AB"/>
    <w:rsid w:val="00E2764C"/>
    <w:rsid w:val="00E27F2E"/>
    <w:rsid w:val="00E31F80"/>
    <w:rsid w:val="00E50AFE"/>
    <w:rsid w:val="00E75C92"/>
    <w:rsid w:val="00E771DC"/>
    <w:rsid w:val="00E80EB4"/>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1BEB4EFE"/>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C208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C2088"/>
    <w:rPr>
      <w:rFonts w:ascii="Geomanist Light" w:hAnsi="Geomanist Light"/>
      <w:lang w:val="es-ES"/>
    </w:rPr>
  </w:style>
  <w:style w:type="character" w:customStyle="1" w:styleId="s15">
    <w:name w:val="s15"/>
    <w:basedOn w:val="Fuentedeprrafopredeter"/>
    <w:rsid w:val="00DC20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erenciacentrologisticojardin@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recyt.fecyt.es/index.php/RAP/article/view/6703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AF86999C-AF98-4668-8013-F0C61E3159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22</Pages>
  <Words>7164</Words>
  <Characters>39405</Characters>
  <Application>Microsoft Office Word</Application>
  <DocSecurity>0</DocSecurity>
  <Lines>328</Lines>
  <Paragraphs>92</Paragraphs>
  <ScaleCrop>false</ScaleCrop>
  <Company/>
  <LinksUpToDate>false</LinksUpToDate>
  <CharactersWithSpaces>46477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2026-05-26T02:13:00Z</dcterms:created>
  <dcterms:modified xsi:type="dcterms:W3CDTF">2026-05-27T20:55:00Z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