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1BC45D5" w14:textId="77777777" w:rsidR="009C1079" w:rsidRPr="009C1079" w:rsidRDefault="009C1079" w:rsidP="009C1079">
      <w:pPr>
        <w:spacing w:after="0" w:line="240" w:lineRule="auto"/>
        <w:jc w:val="both"/>
        <w:rPr>
          <w:rFonts w:ascii="Verdana" w:eastAsia="Calibri" w:hAnsi="Verdana" w:cs="Arial"/>
          <w:b/>
          <w:bCs/>
          <w:lang w:val="es-ES_tradnl"/>
        </w:rPr>
      </w:pPr>
      <w:bookmarkStart w:id="0" w:name="_Hlk143780582"/>
      <w:r w:rsidRPr="009C1079">
        <w:rPr>
          <w:rFonts w:ascii="Verdana" w:eastAsia="Calibri" w:hAnsi="Verdana" w:cs="Arial"/>
          <w:b/>
          <w:bCs/>
          <w:lang w:val="es-ES_tradnl"/>
        </w:rPr>
        <w:t xml:space="preserve">DOCUMENTOS TIPO – Fundamento normativo – Obligatoriedad </w:t>
      </w:r>
    </w:p>
    <w:p w14:paraId="1ECFBF71" w14:textId="77777777" w:rsidR="009C1079" w:rsidRPr="009C1079" w:rsidRDefault="009C1079" w:rsidP="009C1079">
      <w:pPr>
        <w:spacing w:after="0" w:line="240" w:lineRule="auto"/>
        <w:jc w:val="both"/>
        <w:rPr>
          <w:rFonts w:ascii="Verdana" w:eastAsia="Calibri" w:hAnsi="Verdana" w:cs="Arial"/>
          <w:b/>
          <w:bCs/>
          <w:sz w:val="20"/>
          <w:szCs w:val="20"/>
          <w:lang w:val="es-ES_tradnl"/>
        </w:rPr>
      </w:pPr>
    </w:p>
    <w:p w14:paraId="22F01B55" w14:textId="77777777" w:rsidR="009C1079" w:rsidRPr="009C1079" w:rsidRDefault="009C1079" w:rsidP="009C1079">
      <w:pPr>
        <w:spacing w:after="0" w:line="240" w:lineRule="auto"/>
        <w:jc w:val="both"/>
        <w:rPr>
          <w:rFonts w:ascii="Verdana" w:eastAsia="Aptos" w:hAnsi="Verdana" w:cs="Times New Roman"/>
          <w:kern w:val="2"/>
          <w:sz w:val="20"/>
          <w:szCs w:val="20"/>
          <w:lang w:val="es-MX"/>
          <w14:ligatures w14:val="standardContextual"/>
        </w:rPr>
      </w:pPr>
      <w:r w:rsidRPr="009C1079">
        <w:rPr>
          <w:rFonts w:ascii="Verdana" w:eastAsia="Aptos" w:hAnsi="Verdana" w:cs="Times New Roman"/>
          <w:kern w:val="2"/>
          <w:sz w:val="20"/>
          <w:szCs w:val="20"/>
          <w:lang w:val="es-MX"/>
          <w14:ligatures w14:val="standardContextual"/>
        </w:rPr>
        <w:t>El 22 de julio de 2020 se sancionó la Ley 2022, por medio de la cual se modificó el artículo 4 de la Ley 1882 de 2018.</w:t>
      </w:r>
    </w:p>
    <w:p w14:paraId="70555814" w14:textId="77777777" w:rsidR="009C1079" w:rsidRPr="009C1079" w:rsidRDefault="009C1079" w:rsidP="009C1079">
      <w:pPr>
        <w:spacing w:after="0" w:line="240" w:lineRule="auto"/>
        <w:jc w:val="both"/>
        <w:rPr>
          <w:rFonts w:ascii="Verdana" w:eastAsia="Aptos" w:hAnsi="Verdana" w:cs="Times New Roman"/>
          <w:kern w:val="2"/>
          <w:sz w:val="20"/>
          <w:szCs w:val="20"/>
          <w:lang w:val="es-MX"/>
          <w14:ligatures w14:val="standardContextual"/>
        </w:rPr>
      </w:pPr>
    </w:p>
    <w:p w14:paraId="1520ED0E" w14:textId="77777777" w:rsidR="009C1079" w:rsidRPr="009C1079" w:rsidRDefault="009C1079" w:rsidP="009C1079">
      <w:pPr>
        <w:spacing w:after="0" w:line="240" w:lineRule="auto"/>
        <w:jc w:val="both"/>
        <w:rPr>
          <w:rFonts w:ascii="Verdana" w:eastAsia="Aptos" w:hAnsi="Verdana" w:cs="Times New Roman"/>
          <w:kern w:val="2"/>
          <w:sz w:val="20"/>
          <w:szCs w:val="20"/>
          <w:lang w:val="es-MX"/>
          <w14:ligatures w14:val="standardContextual"/>
        </w:rPr>
      </w:pPr>
      <w:r w:rsidRPr="009C1079">
        <w:rPr>
          <w:rFonts w:ascii="Verdana" w:eastAsia="Aptos" w:hAnsi="Verdana" w:cs="Times New Roman"/>
          <w:kern w:val="2"/>
          <w:sz w:val="20"/>
          <w:szCs w:val="20"/>
          <w:lang w:val="es-MX"/>
          <w14:ligatures w14:val="standardContextual"/>
        </w:rPr>
        <w:t>(…)</w:t>
      </w:r>
    </w:p>
    <w:p w14:paraId="2B32FA3E" w14:textId="77777777" w:rsidR="009C1079" w:rsidRPr="009C1079" w:rsidRDefault="009C1079" w:rsidP="009C1079">
      <w:pPr>
        <w:spacing w:after="0" w:line="240" w:lineRule="auto"/>
        <w:jc w:val="both"/>
        <w:rPr>
          <w:rFonts w:ascii="Verdana" w:eastAsia="Calibri" w:hAnsi="Verdana" w:cs="Arial"/>
          <w:b/>
          <w:bCs/>
          <w:sz w:val="20"/>
          <w:szCs w:val="20"/>
          <w:lang w:val="es-ES_tradnl"/>
        </w:rPr>
      </w:pPr>
    </w:p>
    <w:p w14:paraId="5DB6F34A" w14:textId="77777777" w:rsidR="009C1079" w:rsidRPr="009C1079" w:rsidRDefault="009C1079" w:rsidP="009C1079">
      <w:pPr>
        <w:spacing w:after="0" w:line="240" w:lineRule="auto"/>
        <w:jc w:val="both"/>
        <w:rPr>
          <w:rFonts w:ascii="Verdana" w:eastAsia="Calibri" w:hAnsi="Verdana" w:cs="Arial"/>
          <w:color w:val="000000"/>
          <w:kern w:val="2"/>
          <w:sz w:val="20"/>
          <w:szCs w:val="20"/>
          <w:lang w:val="es-MX"/>
          <w14:ligatures w14:val="standardContextual"/>
        </w:rPr>
      </w:pPr>
      <w:r w:rsidRPr="009C1079">
        <w:rPr>
          <w:rFonts w:ascii="Verdana" w:eastAsia="Aptos" w:hAnsi="Verdana" w:cs="Times New Roman"/>
          <w:kern w:val="2"/>
          <w:sz w:val="20"/>
          <w:szCs w:val="20"/>
          <w:lang w:val="es-ES"/>
          <w14:ligatures w14:val="standardContextual"/>
        </w:rPr>
        <w:t xml:space="preserve">La norma </w:t>
      </w:r>
      <w:r w:rsidRPr="009C1079">
        <w:rPr>
          <w:rFonts w:ascii="Verdana" w:eastAsia="Calibri" w:hAnsi="Verdana" w:cs="Arial"/>
          <w:color w:val="000000"/>
          <w:sz w:val="20"/>
          <w:szCs w:val="20"/>
          <w:lang w:val="es-MX"/>
        </w:rPr>
        <w:t>establece que la Agencia Nacional de Contratación Pública – Colombia Compra Eficiente o quien haga sus veces, adoptará documentos tipo que serán de obligatorio cumplimiento en la actividad contractual de todas las entidades sometidas al Estatuto General de Contratación de la Administración Pública. Así mismo, señala que, dentro de estos documentos tipo se establecerán los requisitos habilitantes, factores técnicos, económicos y otros factores de escogencia, así como aquellos requisitos que, previa justificación, representen buenas prácticas contractuales que procuren el adecuado desarrollo de los principios que rigen la contratación pública.</w:t>
      </w:r>
    </w:p>
    <w:p w14:paraId="4EA044C2" w14:textId="77777777" w:rsidR="009C1079" w:rsidRPr="009C1079" w:rsidRDefault="009C1079" w:rsidP="009C1079">
      <w:pPr>
        <w:spacing w:after="0" w:line="240" w:lineRule="auto"/>
        <w:jc w:val="both"/>
        <w:rPr>
          <w:rFonts w:ascii="Aptos" w:eastAsia="Aptos" w:hAnsi="Aptos" w:cs="Times New Roman"/>
          <w:sz w:val="20"/>
          <w:szCs w:val="20"/>
          <w:lang w:val="es-MX"/>
        </w:rPr>
      </w:pPr>
    </w:p>
    <w:p w14:paraId="757AAF60" w14:textId="77777777" w:rsidR="009C1079" w:rsidRPr="009C1079" w:rsidRDefault="009C1079" w:rsidP="009C1079">
      <w:pPr>
        <w:spacing w:after="0" w:line="240" w:lineRule="auto"/>
        <w:jc w:val="both"/>
        <w:rPr>
          <w:rFonts w:ascii="Verdana" w:eastAsia="Calibri" w:hAnsi="Verdana" w:cs="Arial"/>
          <w:b/>
          <w:bCs/>
          <w:kern w:val="2"/>
          <w:sz w:val="24"/>
          <w:szCs w:val="24"/>
          <w:lang w:val="es-ES_tradnl"/>
          <w14:ligatures w14:val="standardContextual"/>
        </w:rPr>
      </w:pPr>
      <w:r w:rsidRPr="009C1079">
        <w:rPr>
          <w:rFonts w:ascii="Verdana" w:eastAsia="Calibri" w:hAnsi="Verdana" w:cs="Arial"/>
          <w:b/>
          <w:bCs/>
          <w:lang w:val="es-ES_tradnl"/>
        </w:rPr>
        <w:t>DOCUMENTOS TIPO – Adopción – Implementación</w:t>
      </w:r>
    </w:p>
    <w:p w14:paraId="7EA6DB1A" w14:textId="77777777" w:rsidR="009C1079" w:rsidRPr="009C1079" w:rsidRDefault="009C1079" w:rsidP="009C1079">
      <w:pPr>
        <w:spacing w:after="0" w:line="240" w:lineRule="auto"/>
        <w:jc w:val="both"/>
        <w:rPr>
          <w:rFonts w:ascii="Verdana" w:eastAsia="Calibri" w:hAnsi="Verdana" w:cs="Arial"/>
          <w:color w:val="000000"/>
          <w:kern w:val="2"/>
          <w:sz w:val="20"/>
          <w:szCs w:val="20"/>
          <w:lang w:val="es-MX"/>
          <w14:ligatures w14:val="standardContextual"/>
        </w:rPr>
      </w:pPr>
    </w:p>
    <w:p w14:paraId="62305D91" w14:textId="77777777" w:rsidR="009C1079" w:rsidRPr="009C1079" w:rsidRDefault="009C1079" w:rsidP="009C1079">
      <w:pPr>
        <w:spacing w:after="0" w:line="240" w:lineRule="auto"/>
        <w:jc w:val="both"/>
        <w:rPr>
          <w:rFonts w:ascii="Verdana" w:eastAsia="Calibri" w:hAnsi="Verdana" w:cs="Arial"/>
          <w:color w:val="000000"/>
          <w:kern w:val="2"/>
          <w:sz w:val="20"/>
          <w:szCs w:val="20"/>
          <w:lang w:val="es-MX"/>
          <w14:ligatures w14:val="standardContextual"/>
        </w:rPr>
      </w:pPr>
      <w:r w:rsidRPr="009C1079">
        <w:rPr>
          <w:rFonts w:ascii="Verdana" w:eastAsia="Calibri" w:hAnsi="Verdana" w:cs="Arial"/>
          <w:color w:val="000000"/>
          <w:sz w:val="20"/>
          <w:szCs w:val="20"/>
          <w:lang w:val="es-MX"/>
        </w:rPr>
        <w:t xml:space="preserve">Además obliga a la Agencia Nacional de Contratación Pública Colombia Compra Eficiente a fijar un cronograma y definir, en coordinación con las entidades técnicas o especializadas correspondientes, el procedimiento para implementar gradualmente los documentos tipo, con el propósito de facilitar su incorporación en el sistema de compra pública, debiendo establecer un procedimiento para recibir y revisar comentarios de los interesados, así como un sistema para la revisión constante de los documentos tipo que expida. </w:t>
      </w:r>
    </w:p>
    <w:p w14:paraId="74827DE2" w14:textId="77777777" w:rsidR="009C1079" w:rsidRPr="009C1079" w:rsidRDefault="009C1079" w:rsidP="009C1079">
      <w:pPr>
        <w:spacing w:after="0" w:line="240" w:lineRule="auto"/>
        <w:jc w:val="both"/>
        <w:rPr>
          <w:rFonts w:ascii="Verdana" w:eastAsia="Calibri" w:hAnsi="Verdana" w:cs="Arial"/>
          <w:color w:val="000000"/>
          <w:sz w:val="20"/>
          <w:szCs w:val="20"/>
          <w:lang w:val="es-MX"/>
        </w:rPr>
      </w:pPr>
    </w:p>
    <w:p w14:paraId="4D242AC1" w14:textId="77777777" w:rsidR="009C1079" w:rsidRPr="009C1079" w:rsidRDefault="009C1079" w:rsidP="009C1079">
      <w:pPr>
        <w:spacing w:after="0" w:line="240" w:lineRule="auto"/>
        <w:jc w:val="both"/>
        <w:rPr>
          <w:rFonts w:ascii="Verdana" w:eastAsia="Calibri" w:hAnsi="Verdana" w:cs="Arial"/>
          <w:b/>
          <w:bCs/>
          <w:kern w:val="2"/>
          <w:lang w:val="es-ES_tradnl"/>
          <w14:ligatures w14:val="standardContextual"/>
        </w:rPr>
      </w:pPr>
      <w:r w:rsidRPr="009C1079">
        <w:rPr>
          <w:rFonts w:ascii="Verdana" w:eastAsia="Calibri" w:hAnsi="Verdana" w:cs="Arial"/>
          <w:b/>
          <w:bCs/>
          <w:lang w:val="es-ES_tradnl"/>
        </w:rPr>
        <w:t>DOCUMENTOS TIPO – Sectores – Vigentes</w:t>
      </w:r>
    </w:p>
    <w:p w14:paraId="7F891E47" w14:textId="77777777" w:rsidR="009C1079" w:rsidRPr="009C1079" w:rsidRDefault="009C1079" w:rsidP="009C1079">
      <w:pPr>
        <w:spacing w:after="0" w:line="276" w:lineRule="auto"/>
        <w:jc w:val="both"/>
        <w:rPr>
          <w:rFonts w:ascii="Verdana" w:eastAsia="Calibri" w:hAnsi="Verdana" w:cs="Arial"/>
          <w:b/>
          <w:bCs/>
          <w:color w:val="000000"/>
          <w:lang w:eastAsia="es-ES_tradnl"/>
        </w:rPr>
      </w:pPr>
    </w:p>
    <w:p w14:paraId="4A5B86C6" w14:textId="77777777" w:rsidR="009C1079" w:rsidRPr="009C1079" w:rsidRDefault="009C1079" w:rsidP="009C1079">
      <w:pPr>
        <w:tabs>
          <w:tab w:val="left" w:pos="709"/>
        </w:tabs>
        <w:spacing w:after="0" w:line="240" w:lineRule="auto"/>
        <w:jc w:val="both"/>
        <w:rPr>
          <w:rFonts w:ascii="Verdana" w:eastAsia="Calibri" w:hAnsi="Verdana" w:cs="Arial"/>
          <w:sz w:val="20"/>
          <w:szCs w:val="20"/>
          <w:lang w:val="es-ES"/>
        </w:rPr>
      </w:pPr>
      <w:r w:rsidRPr="009C1079">
        <w:rPr>
          <w:rFonts w:ascii="Verdana" w:eastAsia="Calibri" w:hAnsi="Verdana" w:cs="Arial"/>
          <w:sz w:val="20"/>
          <w:szCs w:val="20"/>
          <w:lang w:val="es-ES"/>
        </w:rPr>
        <w:t>(…) esta Agencia expidió diversos grupos de Documentos Tipo aplicables principalmente a la contratación de obras públicas de infraestructura de transporte, agua potable y saneamiento básico y social, para interventoría y consultoría de estudios de ingeniería, pero también, para la celebración de convenios solidarios con Juntas de Acción Comunal y para los procesos de gestión catastral con enfoque multipropósito. De conformidad con las modalidades de selección establecidas en el artículo 2 de la Ley 1150 de 2007, estos Documentos Tipo se han expedido para las modalidades de selección de licitación pública, selección abreviada de menor cuantía, mínima cuantía, concurso de méritos y contratación directa.</w:t>
      </w:r>
    </w:p>
    <w:p w14:paraId="344E32DF" w14:textId="77777777" w:rsidR="009C1079" w:rsidRPr="009C1079" w:rsidRDefault="009C1079" w:rsidP="009C1079">
      <w:pPr>
        <w:spacing w:after="0" w:line="276" w:lineRule="auto"/>
        <w:jc w:val="both"/>
        <w:rPr>
          <w:rFonts w:ascii="Verdana" w:eastAsia="Calibri" w:hAnsi="Verdana" w:cs="Arial"/>
          <w:color w:val="000000"/>
          <w:kern w:val="2"/>
          <w:sz w:val="20"/>
          <w:szCs w:val="20"/>
          <w:lang w:val="es-MX"/>
          <w14:ligatures w14:val="standardContextual"/>
        </w:rPr>
      </w:pPr>
    </w:p>
    <w:p w14:paraId="37025FCB" w14:textId="77777777" w:rsidR="009C1079" w:rsidRPr="009C1079" w:rsidRDefault="009C1079" w:rsidP="009C1079">
      <w:pPr>
        <w:spacing w:after="0" w:line="240" w:lineRule="auto"/>
        <w:jc w:val="both"/>
        <w:rPr>
          <w:rFonts w:ascii="Verdana" w:eastAsia="Calibri" w:hAnsi="Verdana" w:cs="Arial"/>
          <w:b/>
          <w:bCs/>
          <w:kern w:val="2"/>
          <w:sz w:val="24"/>
          <w:szCs w:val="24"/>
          <w:lang w:val="es-ES_tradnl"/>
          <w14:ligatures w14:val="standardContextual"/>
        </w:rPr>
      </w:pPr>
      <w:r w:rsidRPr="009C1079">
        <w:rPr>
          <w:rFonts w:ascii="Verdana" w:eastAsia="Calibri" w:hAnsi="Verdana" w:cs="Arial"/>
          <w:b/>
          <w:bCs/>
          <w:lang w:val="es-ES_tradnl"/>
        </w:rPr>
        <w:t xml:space="preserve">DOCUMENTOS TIPO – Colombia Compra Eficiente – Facultad de estandarización </w:t>
      </w:r>
    </w:p>
    <w:p w14:paraId="7121ACDC" w14:textId="77777777" w:rsidR="009C1079" w:rsidRPr="009C1079" w:rsidRDefault="009C1079" w:rsidP="009C1079">
      <w:pPr>
        <w:spacing w:after="0" w:line="276" w:lineRule="auto"/>
        <w:jc w:val="both"/>
        <w:rPr>
          <w:rFonts w:ascii="Verdana" w:eastAsia="Calibri" w:hAnsi="Verdana" w:cs="Arial"/>
          <w:b/>
          <w:bCs/>
          <w:kern w:val="2"/>
          <w:sz w:val="24"/>
          <w:szCs w:val="24"/>
          <w:lang w:val="es-ES_tradnl"/>
          <w14:ligatures w14:val="standardContextual"/>
        </w:rPr>
      </w:pPr>
    </w:p>
    <w:p w14:paraId="33F16404" w14:textId="77777777" w:rsidR="009C1079" w:rsidRPr="009C1079" w:rsidRDefault="009C1079" w:rsidP="009C1079">
      <w:pPr>
        <w:tabs>
          <w:tab w:val="center" w:pos="4419"/>
          <w:tab w:val="right" w:pos="8838"/>
        </w:tabs>
        <w:spacing w:after="0" w:line="240" w:lineRule="auto"/>
        <w:jc w:val="both"/>
        <w:rPr>
          <w:rFonts w:ascii="Verdana" w:eastAsia="Times New Roman" w:hAnsi="Verdana" w:cs="Arial"/>
          <w:kern w:val="2"/>
          <w:sz w:val="20"/>
          <w:szCs w:val="20"/>
          <w:lang w:eastAsia="es-ES"/>
          <w14:ligatures w14:val="standardContextual"/>
        </w:rPr>
      </w:pPr>
      <w:r w:rsidRPr="009C1079">
        <w:rPr>
          <w:rFonts w:ascii="Verdana" w:eastAsia="Times New Roman" w:hAnsi="Verdana" w:cs="Arial"/>
          <w:kern w:val="2"/>
          <w:sz w:val="20"/>
          <w:szCs w:val="20"/>
          <w:lang w:eastAsia="es-ES"/>
          <w14:ligatures w14:val="standardContextual"/>
        </w:rPr>
        <w:lastRenderedPageBreak/>
        <w:t>Conforme con lo anterior, m</w:t>
      </w:r>
      <w:r w:rsidRPr="009C1079">
        <w:rPr>
          <w:rFonts w:ascii="Verdana" w:eastAsia="Times New Roman" w:hAnsi="Verdana" w:cs="Arial"/>
          <w:sz w:val="20"/>
          <w:szCs w:val="20"/>
          <w:lang w:eastAsia="es-ES"/>
        </w:rPr>
        <w:t xml:space="preserve">ediante una interpretación sistemática de la normativa y jurisprudencia citada es posible concluir que </w:t>
      </w:r>
      <w:r w:rsidRPr="009C1079">
        <w:rPr>
          <w:rFonts w:ascii="Verdana" w:eastAsia="Times New Roman" w:hAnsi="Verdana" w:cs="Arial"/>
          <w:kern w:val="2"/>
          <w:sz w:val="20"/>
          <w:szCs w:val="20"/>
          <w:lang w:eastAsia="es-ES"/>
          <w14:ligatures w14:val="standardContextual"/>
        </w:rPr>
        <w:t>la</w:t>
      </w:r>
      <w:r w:rsidRPr="009C1079">
        <w:rPr>
          <w:rFonts w:ascii="Verdana" w:eastAsia="Times New Roman" w:hAnsi="Verdana" w:cs="Arial"/>
          <w:sz w:val="20"/>
          <w:szCs w:val="20"/>
          <w:lang w:eastAsia="es-ES"/>
        </w:rPr>
        <w:t xml:space="preserve"> Agencia</w:t>
      </w:r>
      <w:r w:rsidRPr="009C1079">
        <w:rPr>
          <w:rFonts w:ascii="Verdana" w:eastAsia="Times New Roman" w:hAnsi="Verdana" w:cs="Arial"/>
          <w:kern w:val="2"/>
          <w:sz w:val="20"/>
          <w:szCs w:val="20"/>
          <w:lang w:eastAsia="es-ES"/>
          <w14:ligatures w14:val="standardContextual"/>
        </w:rPr>
        <w:t xml:space="preserve"> Nacional de Contratación Pública – Colombia Compra Eficiente</w:t>
      </w:r>
      <w:r w:rsidRPr="009C1079">
        <w:rPr>
          <w:rFonts w:ascii="Verdana" w:eastAsia="Times New Roman" w:hAnsi="Verdana" w:cs="Arial"/>
          <w:sz w:val="20"/>
          <w:szCs w:val="20"/>
          <w:lang w:eastAsia="es-ES"/>
        </w:rPr>
        <w:t xml:space="preserve"> tiene facultad de regulación de la actividad contractual pública, lo que implica la potestad para expedir normas de carácter técnico subordinadas a la Constitución y a la ley y que los documentos tipo son una manifestación de dicha potestad. En consecuencia, la Agencia Nacional de Contratación Pública – Colombia Compra Eficiente tiene la facultad de adoptar los documentos tipo, con fundamento en la potestad reglamentaria que le asignó el artículo 1º de la Ley 2022 de 2020. </w:t>
      </w:r>
    </w:p>
    <w:p w14:paraId="4E96BD1A" w14:textId="77777777" w:rsidR="009C1079" w:rsidRPr="009C1079" w:rsidRDefault="009C1079" w:rsidP="009C1079">
      <w:pPr>
        <w:tabs>
          <w:tab w:val="center" w:pos="4419"/>
          <w:tab w:val="right" w:pos="8838"/>
        </w:tabs>
        <w:spacing w:after="0" w:line="240" w:lineRule="auto"/>
        <w:jc w:val="both"/>
        <w:rPr>
          <w:rFonts w:ascii="Verdana" w:eastAsia="MS Mincho" w:hAnsi="Verdana" w:cs="Arial"/>
          <w:sz w:val="20"/>
          <w:szCs w:val="20"/>
          <w:lang w:eastAsia="es-CO"/>
        </w:rPr>
      </w:pPr>
    </w:p>
    <w:p w14:paraId="07E16B83" w14:textId="77777777" w:rsidR="009C1079" w:rsidRPr="009C1079" w:rsidRDefault="009C1079" w:rsidP="009C1079">
      <w:pPr>
        <w:tabs>
          <w:tab w:val="center" w:pos="4419"/>
          <w:tab w:val="right" w:pos="8838"/>
        </w:tabs>
        <w:spacing w:after="0" w:line="240" w:lineRule="auto"/>
        <w:jc w:val="both"/>
        <w:rPr>
          <w:rFonts w:ascii="Verdana" w:eastAsia="Times New Roman" w:hAnsi="Verdana" w:cs="Arial"/>
          <w:kern w:val="2"/>
          <w:sz w:val="20"/>
          <w:szCs w:val="20"/>
          <w:lang w:eastAsia="es-ES"/>
          <w14:ligatures w14:val="standardContextual"/>
        </w:rPr>
      </w:pPr>
      <w:r w:rsidRPr="009C1079">
        <w:rPr>
          <w:rFonts w:ascii="Verdana" w:eastAsia="MS Mincho" w:hAnsi="Verdana" w:cs="Arial"/>
          <w:sz w:val="20"/>
          <w:szCs w:val="20"/>
          <w:lang w:eastAsia="es-CO"/>
        </w:rPr>
        <w:t>I</w:t>
      </w:r>
      <w:r w:rsidRPr="009C1079">
        <w:rPr>
          <w:rFonts w:ascii="Verdana" w:eastAsia="Times New Roman" w:hAnsi="Verdana" w:cs="Arial"/>
          <w:sz w:val="20"/>
          <w:szCs w:val="20"/>
          <w:lang w:eastAsia="es-ES"/>
        </w:rPr>
        <w:t>gualmente, en desarrollo de la función que recae en la Agencia Nacional de Contratación Pública – Colombia Compra Eficiente conforme al artículo 2º del Decreto Ley 4170 de 2011, la Agencia concretará la voluntad del legislador con la implementación, desarrollo, publicación, revisión y actualización de los documentos tipo, según el avance y aplicación que éstos vayan teniendo en los sectores en los cuales vienen siendo adoptados.</w:t>
      </w:r>
    </w:p>
    <w:p w14:paraId="6DE624A1" w14:textId="77777777" w:rsidR="009C1079" w:rsidRPr="009C1079" w:rsidRDefault="009C1079" w:rsidP="009C1079">
      <w:pPr>
        <w:spacing w:after="0" w:line="276" w:lineRule="auto"/>
        <w:jc w:val="both"/>
        <w:rPr>
          <w:rFonts w:ascii="Verdana" w:eastAsia="Calibri" w:hAnsi="Verdana" w:cs="Arial"/>
          <w:b/>
          <w:bCs/>
          <w:highlight w:val="yellow"/>
          <w:lang w:val="es-ES_tradnl"/>
        </w:rPr>
      </w:pPr>
    </w:p>
    <w:p w14:paraId="31181C7D" w14:textId="77777777" w:rsidR="009C1079" w:rsidRPr="009C1079" w:rsidRDefault="009C1079" w:rsidP="009C1079">
      <w:pPr>
        <w:spacing w:after="0" w:line="240" w:lineRule="auto"/>
        <w:rPr>
          <w:rFonts w:ascii="Verdana" w:eastAsia="Calibri" w:hAnsi="Verdana" w:cs="Times New Roman"/>
          <w:b/>
          <w:bCs/>
          <w:lang w:val="es-ES"/>
        </w:rPr>
      </w:pPr>
      <w:r w:rsidRPr="009C1079">
        <w:rPr>
          <w:rFonts w:ascii="Verdana" w:eastAsia="Calibri" w:hAnsi="Verdana" w:cs="Times New Roman"/>
          <w:b/>
          <w:bCs/>
          <w:lang w:val="es-ES"/>
        </w:rPr>
        <w:t>DOCUMENTOS TIPO – Inalterabilidad – Alcance</w:t>
      </w:r>
    </w:p>
    <w:p w14:paraId="0509C5C0" w14:textId="77777777" w:rsidR="009C1079" w:rsidRPr="009C1079" w:rsidRDefault="009C1079" w:rsidP="009C1079">
      <w:pPr>
        <w:spacing w:after="0" w:line="240" w:lineRule="auto"/>
        <w:rPr>
          <w:rFonts w:ascii="Verdana" w:eastAsia="Calibri" w:hAnsi="Verdana" w:cs="Times New Roman"/>
          <w:b/>
          <w:bCs/>
          <w:lang w:val="es-ES"/>
        </w:rPr>
      </w:pPr>
    </w:p>
    <w:p w14:paraId="62F3FE29" w14:textId="77777777" w:rsidR="009C1079" w:rsidRPr="009C1079" w:rsidRDefault="009C1079" w:rsidP="009C1079">
      <w:pPr>
        <w:tabs>
          <w:tab w:val="center" w:pos="4419"/>
          <w:tab w:val="right" w:pos="8838"/>
        </w:tabs>
        <w:spacing w:after="0" w:line="240" w:lineRule="auto"/>
        <w:jc w:val="both"/>
        <w:rPr>
          <w:rFonts w:ascii="Verdana" w:eastAsia="Calibri" w:hAnsi="Verdana" w:cs="Arial"/>
          <w:color w:val="000000"/>
          <w:sz w:val="20"/>
          <w:szCs w:val="20"/>
          <w:lang w:val="es-ES"/>
        </w:rPr>
      </w:pPr>
      <w:r w:rsidRPr="009C1079">
        <w:rPr>
          <w:rFonts w:ascii="Verdana" w:eastAsia="Calibri" w:hAnsi="Verdana" w:cs="Arial"/>
          <w:color w:val="000000"/>
          <w:sz w:val="20"/>
          <w:szCs w:val="20"/>
          <w:lang w:val="es-ES"/>
        </w:rPr>
        <w:t xml:space="preserve">Todas las resoluciones expedidas por la Agencia Nacional de Contratación Pública – Colombia Compra Eficiente, mediante las cuales se adoptaron los documentos tipo, consagran la regla de la inalterabilidad. Esta prohibición consiste en que las entidades estatales no pueden incluir o modificar en los </w:t>
      </w:r>
      <w:r w:rsidRPr="009C1079">
        <w:rPr>
          <w:rFonts w:ascii="Verdana" w:eastAsia="Calibri" w:hAnsi="Verdana" w:cs="Arial"/>
          <w:i/>
          <w:iCs/>
          <w:color w:val="000000"/>
          <w:sz w:val="20"/>
          <w:szCs w:val="20"/>
          <w:lang w:val="es-ES"/>
        </w:rPr>
        <w:t>Documentos del Proceso</w:t>
      </w:r>
      <w:r w:rsidRPr="009C1079">
        <w:rPr>
          <w:rFonts w:ascii="Verdana" w:eastAsia="Calibri" w:hAnsi="Verdana" w:cs="Arial"/>
          <w:color w:val="000000"/>
          <w:sz w:val="20"/>
          <w:szCs w:val="20"/>
          <w:lang w:val="es-ES"/>
        </w:rPr>
        <w:t xml:space="preserve"> las condiciones habilitantes, los factores técnicos y económicos de escogencia y los sistemas de ponderación distintos a los señalados en los documentos tipo. En consecuencia, las condiciones establecidas en los documentos tipo son de obligatorio cumplimiento para las entidades sometidas al Estatuto General de Contratación de la Administración Pública que adelanten procesos que deban regirse por su contenido, y no pueden variarse los requisitos fijados en ellos. Por lo tanto, las entidades estatales, al realizar sus procedimientos de selección, solo podrán modificarlos en los aspectos en que los documentos tipo lo permitan.</w:t>
      </w:r>
    </w:p>
    <w:p w14:paraId="456A5990" w14:textId="77777777" w:rsidR="009C1079" w:rsidRPr="009C1079" w:rsidRDefault="009C1079" w:rsidP="009C1079">
      <w:pPr>
        <w:tabs>
          <w:tab w:val="center" w:pos="4419"/>
          <w:tab w:val="right" w:pos="8838"/>
        </w:tabs>
        <w:spacing w:after="0" w:line="240" w:lineRule="auto"/>
        <w:jc w:val="both"/>
        <w:rPr>
          <w:rFonts w:ascii="Verdana" w:eastAsia="Calibri" w:hAnsi="Verdana" w:cs="Arial"/>
          <w:color w:val="000000"/>
          <w:sz w:val="20"/>
          <w:szCs w:val="20"/>
          <w:lang w:val="es-ES"/>
        </w:rPr>
      </w:pPr>
    </w:p>
    <w:p w14:paraId="1BFACE05" w14:textId="77777777" w:rsidR="009C1079" w:rsidRPr="009C1079" w:rsidRDefault="009C1079" w:rsidP="009C1079">
      <w:pPr>
        <w:spacing w:after="0" w:line="240" w:lineRule="auto"/>
        <w:jc w:val="both"/>
        <w:rPr>
          <w:rFonts w:ascii="Verdana" w:eastAsia="Calibri" w:hAnsi="Verdana" w:cs="Arial"/>
          <w:sz w:val="20"/>
          <w:szCs w:val="20"/>
          <w:lang w:val="es-ES_tradnl"/>
        </w:rPr>
      </w:pPr>
      <w:r w:rsidRPr="009C1079">
        <w:rPr>
          <w:rFonts w:ascii="Verdana" w:eastAsia="Calibri" w:hAnsi="Verdana" w:cs="Arial"/>
          <w:sz w:val="20"/>
          <w:szCs w:val="20"/>
          <w:lang w:val="es-ES_tradnl"/>
        </w:rPr>
        <w:t>(…)</w:t>
      </w:r>
    </w:p>
    <w:p w14:paraId="7FBE4E16" w14:textId="77777777" w:rsidR="009C1079" w:rsidRPr="009C1079" w:rsidRDefault="009C1079" w:rsidP="009C1079">
      <w:pPr>
        <w:spacing w:after="0" w:line="240" w:lineRule="auto"/>
        <w:jc w:val="both"/>
        <w:rPr>
          <w:rFonts w:ascii="Verdana" w:eastAsia="Calibri" w:hAnsi="Verdana" w:cs="Arial"/>
          <w:sz w:val="20"/>
          <w:szCs w:val="20"/>
          <w:lang w:val="es-ES_tradnl"/>
        </w:rPr>
      </w:pPr>
    </w:p>
    <w:p w14:paraId="42C68BA4" w14:textId="77777777" w:rsidR="009C1079" w:rsidRPr="009C1079" w:rsidRDefault="009C1079" w:rsidP="009C1079">
      <w:pPr>
        <w:spacing w:after="0" w:line="240" w:lineRule="auto"/>
        <w:jc w:val="both"/>
        <w:rPr>
          <w:rFonts w:ascii="Verdana" w:eastAsia="Calibri" w:hAnsi="Verdana" w:cs="Arial"/>
          <w:color w:val="000000"/>
          <w:sz w:val="20"/>
          <w:szCs w:val="20"/>
          <w:lang w:val="es-ES"/>
        </w:rPr>
      </w:pPr>
      <w:r w:rsidRPr="009C1079">
        <w:rPr>
          <w:rFonts w:ascii="Verdana" w:eastAsia="Calibri" w:hAnsi="Verdana" w:cs="Arial"/>
          <w:color w:val="000000"/>
          <w:sz w:val="20"/>
          <w:szCs w:val="20"/>
          <w:lang w:val="es-ES"/>
        </w:rPr>
        <w:t xml:space="preserve">Otro aspecto sobre el principio que inalterabilidad que debe destacarse es que, sin mínimos inalterables, los documentos tipo, estándar o normalizados, sencillamente, perderían sus características. Bajo riesgo de señalar una obviedad, se debe decir que la definición del término estándar es “Que sirve como tipo, modelo, norma, patrón o referencia”. Si las autoridades pudiesen agregar, eliminar o modificar todos y cada uno de los aspectos contenidos en los pliegos tipo, estos documentos, llanamente, no podrían ser llamados pliegos tipo. </w:t>
      </w:r>
    </w:p>
    <w:p w14:paraId="55E7F0C3" w14:textId="77777777" w:rsidR="009C1079" w:rsidRPr="009C1079" w:rsidRDefault="009C1079" w:rsidP="009C1079">
      <w:pPr>
        <w:spacing w:after="0" w:line="240" w:lineRule="auto"/>
        <w:jc w:val="both"/>
        <w:rPr>
          <w:rFonts w:ascii="Verdana" w:eastAsia="Calibri" w:hAnsi="Verdana" w:cs="Arial"/>
          <w:color w:val="000000"/>
          <w:sz w:val="20"/>
          <w:szCs w:val="20"/>
          <w:lang w:val="es-ES"/>
        </w:rPr>
      </w:pPr>
    </w:p>
    <w:p w14:paraId="3E0C4F0B" w14:textId="77777777" w:rsidR="009C1079" w:rsidRPr="009C1079" w:rsidRDefault="009C1079" w:rsidP="009C1079">
      <w:pPr>
        <w:spacing w:after="0" w:line="240" w:lineRule="auto"/>
        <w:jc w:val="both"/>
        <w:rPr>
          <w:rFonts w:ascii="Verdana" w:eastAsia="Calibri" w:hAnsi="Verdana" w:cs="Arial"/>
          <w:color w:val="000000"/>
          <w:sz w:val="20"/>
          <w:szCs w:val="20"/>
          <w:lang w:val="es-ES"/>
        </w:rPr>
      </w:pPr>
      <w:r w:rsidRPr="009C1079">
        <w:rPr>
          <w:rFonts w:ascii="Verdana" w:eastAsia="Calibri" w:hAnsi="Verdana" w:cs="Arial"/>
          <w:color w:val="000000"/>
          <w:sz w:val="20"/>
          <w:szCs w:val="20"/>
          <w:lang w:val="es-ES"/>
        </w:rPr>
        <w:t xml:space="preserve">De otra parte, a la luz de los objetivos perseguidos, si la normativa permitiera la alteración de todo el documento tipo, sería imposible verificar en la práctica las ventajas </w:t>
      </w:r>
      <w:r w:rsidRPr="009C1079">
        <w:rPr>
          <w:rFonts w:ascii="Verdana" w:eastAsia="Calibri" w:hAnsi="Verdana" w:cs="Arial"/>
          <w:color w:val="000000"/>
          <w:sz w:val="20"/>
          <w:szCs w:val="20"/>
          <w:lang w:val="es-ES"/>
        </w:rPr>
        <w:lastRenderedPageBreak/>
        <w:t xml:space="preserve">perseguidas por el legislador. Así, por ejemplo, si cada autoridad pudiese rediseñar por completo el documento, la transparencia del sistema de compras públicas no sería mayor con la introducción de la estandarización de documentos. De similar manera, bajo la hipótesis de trabajo referida, las entidades podrían modificar todo el contenido del pliego, retornando a una de las prácticas que se buscó eliminar: la elaboración de “pliegos sastre”, que eliminan la competencia. En ese orden, si se permite ilimitadamente introducir ajustes, las entidades estatales podrían reintroducir los sesgos interpretativos incorrectos que se buscó erradicar con la introducción de la herramienta analizada. </w:t>
      </w:r>
    </w:p>
    <w:p w14:paraId="7941298A" w14:textId="77777777" w:rsidR="009C1079" w:rsidRPr="009C1079" w:rsidRDefault="009C1079" w:rsidP="009C1079">
      <w:pPr>
        <w:spacing w:after="0" w:line="240" w:lineRule="auto"/>
        <w:jc w:val="both"/>
        <w:rPr>
          <w:rFonts w:ascii="Verdana" w:eastAsia="Calibri" w:hAnsi="Verdana" w:cs="Arial"/>
          <w:color w:val="000000"/>
          <w:sz w:val="20"/>
          <w:szCs w:val="20"/>
          <w:lang w:val="es-ES"/>
        </w:rPr>
      </w:pPr>
    </w:p>
    <w:p w14:paraId="53E39D73" w14:textId="77777777" w:rsidR="009C1079" w:rsidRPr="009C1079" w:rsidRDefault="009C1079" w:rsidP="009C1079">
      <w:pPr>
        <w:spacing w:after="0" w:line="240" w:lineRule="auto"/>
        <w:jc w:val="both"/>
        <w:rPr>
          <w:rFonts w:ascii="Verdana" w:eastAsia="Calibri" w:hAnsi="Verdana" w:cs="Arial"/>
          <w:color w:val="000000"/>
          <w:sz w:val="20"/>
          <w:szCs w:val="20"/>
          <w:lang w:val="es-ES"/>
        </w:rPr>
      </w:pPr>
      <w:r w:rsidRPr="009C1079">
        <w:rPr>
          <w:rFonts w:ascii="Verdana" w:eastAsia="Calibri" w:hAnsi="Verdana" w:cs="Arial"/>
          <w:color w:val="000000"/>
          <w:sz w:val="20"/>
          <w:szCs w:val="20"/>
          <w:lang w:val="es-ES"/>
        </w:rPr>
        <w:t>(…)</w:t>
      </w:r>
    </w:p>
    <w:p w14:paraId="5E1C2A74" w14:textId="77777777" w:rsidR="009C1079" w:rsidRPr="009C1079" w:rsidRDefault="009C1079" w:rsidP="009C1079">
      <w:pPr>
        <w:spacing w:after="0" w:line="240" w:lineRule="auto"/>
        <w:jc w:val="both"/>
        <w:rPr>
          <w:rFonts w:ascii="Verdana" w:eastAsia="Calibri" w:hAnsi="Verdana" w:cs="Arial"/>
          <w:color w:val="000000"/>
          <w:sz w:val="20"/>
          <w:szCs w:val="20"/>
          <w:lang w:val="es-ES"/>
        </w:rPr>
      </w:pPr>
    </w:p>
    <w:p w14:paraId="799590A2" w14:textId="77777777" w:rsidR="009C1079" w:rsidRPr="009C1079" w:rsidRDefault="009C1079" w:rsidP="009C1079">
      <w:pPr>
        <w:spacing w:after="0" w:line="240" w:lineRule="auto"/>
        <w:jc w:val="both"/>
        <w:rPr>
          <w:rFonts w:ascii="Verdana" w:eastAsia="Calibri" w:hAnsi="Verdana" w:cs="Arial"/>
          <w:color w:val="000000"/>
          <w:sz w:val="20"/>
          <w:szCs w:val="20"/>
          <w:lang w:val="es-ES"/>
        </w:rPr>
      </w:pPr>
      <w:r w:rsidRPr="009C1079">
        <w:rPr>
          <w:rFonts w:ascii="Verdana" w:eastAsia="Calibri" w:hAnsi="Verdana" w:cs="Arial"/>
          <w:sz w:val="20"/>
          <w:szCs w:val="20"/>
          <w:lang w:val="es-MX"/>
        </w:rPr>
        <w:t xml:space="preserve">No obstante, la parte introductoria de los documentos base de los documentos tipo disponen que los aspectos incluidos en corchetes y resaltados en gris </w:t>
      </w:r>
      <w:r w:rsidRPr="009C1079">
        <w:rPr>
          <w:rFonts w:ascii="Verdana" w:eastAsia="Aptos" w:hAnsi="Verdana" w:cs="Arial"/>
          <w:sz w:val="20"/>
          <w:szCs w:val="20"/>
        </w:rPr>
        <w:t>–[</w:t>
      </w:r>
      <w:r w:rsidRPr="009C1079">
        <w:rPr>
          <w:rFonts w:ascii="Verdana" w:eastAsia="Aptos" w:hAnsi="Verdana" w:cs="Arial"/>
          <w:sz w:val="20"/>
          <w:szCs w:val="20"/>
          <w:highlight w:val="lightGray"/>
        </w:rPr>
        <w:t>texto de ejemplo</w:t>
      </w:r>
      <w:r w:rsidRPr="009C1079">
        <w:rPr>
          <w:rFonts w:ascii="Verdana" w:eastAsia="Aptos" w:hAnsi="Verdana" w:cs="Arial"/>
          <w:sz w:val="20"/>
          <w:szCs w:val="20"/>
        </w:rPr>
        <w:t xml:space="preserve">]– </w:t>
      </w:r>
      <w:r w:rsidRPr="009C1079">
        <w:rPr>
          <w:rFonts w:ascii="Verdana" w:eastAsia="Calibri" w:hAnsi="Verdana" w:cs="Arial"/>
          <w:sz w:val="20"/>
          <w:szCs w:val="20"/>
          <w:lang w:val="es-MX"/>
        </w:rPr>
        <w:t xml:space="preserve">deben ser diligenciados por la entidad. Excepcionalmente le corresponde al proponente consignar la información incluida en corchetes y resaltada en gris, como, por ejemplo, los formatos que requieren de la firma del proponente o su representante legal. De todos modos, en cada acápite que esté resaltado en gris la entidad tendrá la libertad de determinar la información que se diligenciará en los documentos tipo, de acuerdo con su necesidad y las instrucciones de los mismos documentos tipo. </w:t>
      </w:r>
    </w:p>
    <w:p w14:paraId="79DA97A6" w14:textId="77777777" w:rsidR="009C1079" w:rsidRPr="009C1079" w:rsidRDefault="009C1079" w:rsidP="009C1079">
      <w:pPr>
        <w:spacing w:after="0" w:line="240" w:lineRule="auto"/>
        <w:rPr>
          <w:rFonts w:ascii="Verdana" w:eastAsia="Calibri" w:hAnsi="Verdana" w:cs="Times New Roman"/>
          <w:b/>
          <w:bCs/>
          <w:lang w:val="es-ES"/>
        </w:rPr>
      </w:pPr>
    </w:p>
    <w:p w14:paraId="51F8C4CC" w14:textId="77777777" w:rsidR="009C1079" w:rsidRPr="009C1079" w:rsidRDefault="009C1079" w:rsidP="009C1079">
      <w:pPr>
        <w:spacing w:after="0" w:line="240" w:lineRule="auto"/>
        <w:rPr>
          <w:rFonts w:ascii="Verdana" w:eastAsia="Calibri" w:hAnsi="Verdana" w:cs="Times New Roman"/>
          <w:b/>
          <w:bCs/>
          <w:lang w:val="es-ES"/>
        </w:rPr>
      </w:pPr>
      <w:r w:rsidRPr="009C1079">
        <w:rPr>
          <w:rFonts w:ascii="Verdana" w:eastAsia="Calibri" w:hAnsi="Verdana" w:cs="Times New Roman"/>
          <w:b/>
          <w:bCs/>
          <w:lang w:val="es-ES"/>
        </w:rPr>
        <w:t>DECRETO 287 DE 2026 – Incidencia – Documentos tipo</w:t>
      </w:r>
    </w:p>
    <w:p w14:paraId="4FA2ABF0" w14:textId="77777777" w:rsidR="009C1079" w:rsidRPr="009C1079" w:rsidRDefault="009C1079" w:rsidP="009C1079">
      <w:pPr>
        <w:spacing w:after="0" w:line="240" w:lineRule="auto"/>
        <w:rPr>
          <w:rFonts w:ascii="Verdana" w:eastAsia="Calibri" w:hAnsi="Verdana" w:cs="Times New Roman"/>
          <w:b/>
          <w:bCs/>
          <w:lang w:val="es-ES"/>
        </w:rPr>
      </w:pPr>
    </w:p>
    <w:p w14:paraId="2EAAEA42" w14:textId="77777777" w:rsidR="009C1079" w:rsidRPr="009C1079" w:rsidRDefault="009C1079" w:rsidP="009C1079">
      <w:pPr>
        <w:widowControl w:val="0"/>
        <w:autoSpaceDE w:val="0"/>
        <w:autoSpaceDN w:val="0"/>
        <w:spacing w:after="0" w:line="240" w:lineRule="auto"/>
        <w:jc w:val="both"/>
        <w:rPr>
          <w:rFonts w:ascii="Verdana" w:eastAsia="Aptos" w:hAnsi="Verdana" w:cs="Times New Roman"/>
          <w:kern w:val="2"/>
          <w:sz w:val="20"/>
          <w:szCs w:val="20"/>
          <w14:ligatures w14:val="standardContextual"/>
        </w:rPr>
      </w:pPr>
      <w:r w:rsidRPr="009C1079">
        <w:rPr>
          <w:rFonts w:ascii="Verdana" w:eastAsia="Aptos" w:hAnsi="Verdana" w:cs="Times New Roman"/>
          <w:kern w:val="2"/>
          <w:sz w:val="20"/>
          <w:szCs w:val="20"/>
          <w14:ligatures w14:val="standardContextual"/>
        </w:rPr>
        <w:t xml:space="preserve">Esta situación resulta particularmente relevante teniendo en cuenta que, los documentos tipo, al fijar reglas uniformes para las entidades estatales sometidas al estatuto general de contratación de la administración pública y otros sujetos obligados a su aplicación, pueden convertirse en barreras estructurales de acceso cuando no incorporan enfoques diferenciales, afectando la participación de poblaciones históricamente excluidas. </w:t>
      </w:r>
    </w:p>
    <w:p w14:paraId="6DE9B82C" w14:textId="77777777" w:rsidR="009C1079" w:rsidRPr="009C1079" w:rsidRDefault="009C1079" w:rsidP="009C1079">
      <w:pPr>
        <w:widowControl w:val="0"/>
        <w:autoSpaceDE w:val="0"/>
        <w:autoSpaceDN w:val="0"/>
        <w:spacing w:after="0" w:line="240" w:lineRule="auto"/>
        <w:jc w:val="both"/>
        <w:rPr>
          <w:rFonts w:ascii="Verdana" w:eastAsia="Aptos" w:hAnsi="Verdana" w:cs="Times New Roman"/>
          <w:kern w:val="2"/>
          <w:sz w:val="20"/>
          <w:szCs w:val="20"/>
          <w14:ligatures w14:val="standardContextual"/>
        </w:rPr>
      </w:pPr>
    </w:p>
    <w:p w14:paraId="3A4B53CA" w14:textId="77777777" w:rsidR="009C1079" w:rsidRPr="009C1079" w:rsidRDefault="009C1079" w:rsidP="009C1079">
      <w:pPr>
        <w:spacing w:after="0" w:line="240" w:lineRule="auto"/>
        <w:jc w:val="both"/>
        <w:rPr>
          <w:rFonts w:ascii="Verdana" w:eastAsia="Calibri" w:hAnsi="Verdana" w:cs="Times New Roman"/>
          <w:b/>
          <w:bCs/>
          <w:lang w:val="es-ES"/>
        </w:rPr>
      </w:pPr>
      <w:r w:rsidRPr="009C1079">
        <w:rPr>
          <w:rFonts w:ascii="Verdana" w:eastAsia="Calibri" w:hAnsi="Verdana" w:cs="Times New Roman"/>
          <w:b/>
          <w:bCs/>
          <w:lang w:val="es-ES"/>
        </w:rPr>
        <w:t>DECRETO 287 DE 2026 – Documentos tipo – Licitación Pública – Selección abreviada de menor cuantía – Concurso de méritos – Requisitos habilitantes</w:t>
      </w:r>
    </w:p>
    <w:p w14:paraId="76DA441F" w14:textId="77777777" w:rsidR="009C1079" w:rsidRPr="009C1079" w:rsidRDefault="009C1079" w:rsidP="009C1079">
      <w:pPr>
        <w:widowControl w:val="0"/>
        <w:autoSpaceDE w:val="0"/>
        <w:autoSpaceDN w:val="0"/>
        <w:spacing w:after="0" w:line="240" w:lineRule="auto"/>
        <w:jc w:val="both"/>
        <w:rPr>
          <w:rFonts w:ascii="Verdana" w:eastAsia="Aptos" w:hAnsi="Verdana" w:cs="Times New Roman"/>
          <w:kern w:val="2"/>
          <w:sz w:val="20"/>
          <w:szCs w:val="20"/>
          <w14:ligatures w14:val="standardContextual"/>
        </w:rPr>
      </w:pPr>
    </w:p>
    <w:p w14:paraId="2E744E00" w14:textId="77777777" w:rsidR="009C1079" w:rsidRPr="009C1079" w:rsidRDefault="009C1079" w:rsidP="009C1079">
      <w:pPr>
        <w:widowControl w:val="0"/>
        <w:autoSpaceDE w:val="0"/>
        <w:autoSpaceDN w:val="0"/>
        <w:spacing w:after="0" w:line="240" w:lineRule="auto"/>
        <w:jc w:val="both"/>
        <w:rPr>
          <w:rFonts w:ascii="Verdana" w:eastAsia="Aptos" w:hAnsi="Verdana" w:cs="Times New Roman"/>
          <w:kern w:val="2"/>
          <w:sz w:val="20"/>
          <w:szCs w:val="20"/>
          <w14:ligatures w14:val="standardContextual"/>
        </w:rPr>
      </w:pPr>
      <w:r w:rsidRPr="009C1079">
        <w:rPr>
          <w:rFonts w:ascii="Verdana" w:eastAsia="Aptos" w:hAnsi="Verdana" w:cs="Times New Roman"/>
          <w:kern w:val="2"/>
          <w:sz w:val="20"/>
          <w:szCs w:val="20"/>
          <w14:ligatures w14:val="standardContextual"/>
        </w:rPr>
        <w:t xml:space="preserve">Desde el punto de vista jurídico, uno de los aspectos que exige la modificación de los documentos tipo de licitación pública, selección abreviada de menor cuantía y concurso de méritos en los sectores en los que estos han sido adoptados, corresponde a los requisitos habilitantes, los cuales han sido tradicionalmente diseñados bajo parámetros homogéneos que no consideran las condiciones particulares de los emprendimientos y empresas de personas con discapacidad. Tal como se señaló, el Decreto 287 de 2026 reconoce que la rigidez de estos requisitos puede impedir su participación efectiva, al punto de tornar inocuas otras medidas como el otorgamiento de puntajes adicionales. En consecuencia, los documentos tipo en las modalidades señaladas y en los sectores </w:t>
      </w:r>
      <w:r w:rsidRPr="009C1079">
        <w:rPr>
          <w:rFonts w:ascii="Verdana" w:eastAsia="Aptos" w:hAnsi="Verdana" w:cs="Times New Roman"/>
          <w:kern w:val="2"/>
          <w:sz w:val="20"/>
          <w:szCs w:val="20"/>
          <w14:ligatures w14:val="standardContextual"/>
        </w:rPr>
        <w:lastRenderedPageBreak/>
        <w:t>implementados, deben incorporar “(…) requisitos habilitantes diferenciales o ajustados en materia de experiencia, capacidad financiera u organizacional, o el valor de la garantía de seriedad de la oferta, con el fin de promover la participación de emprendimientos y empresas de personas con discapacidad con domicilio en el territorio nacional”, de tal manera que se eliminen barreras de entrada injustificadas sin comprometer la idoneidad del contratista, en aplicación del principio de igualdad material.</w:t>
      </w:r>
    </w:p>
    <w:p w14:paraId="3EE12FB1" w14:textId="77777777" w:rsidR="009C1079" w:rsidRPr="009C1079" w:rsidRDefault="009C1079" w:rsidP="009C1079">
      <w:pPr>
        <w:widowControl w:val="0"/>
        <w:autoSpaceDE w:val="0"/>
        <w:autoSpaceDN w:val="0"/>
        <w:spacing w:after="0" w:line="240" w:lineRule="auto"/>
        <w:jc w:val="both"/>
        <w:rPr>
          <w:rFonts w:ascii="Verdana" w:eastAsia="Aptos" w:hAnsi="Verdana" w:cs="Times New Roman"/>
          <w:kern w:val="2"/>
          <w:sz w:val="20"/>
          <w:szCs w:val="20"/>
          <w14:ligatures w14:val="standardContextual"/>
        </w:rPr>
      </w:pPr>
    </w:p>
    <w:p w14:paraId="5FEF5D09" w14:textId="77777777" w:rsidR="009C1079" w:rsidRPr="009C1079" w:rsidRDefault="009C1079" w:rsidP="009C1079">
      <w:pPr>
        <w:spacing w:after="0" w:line="240" w:lineRule="auto"/>
        <w:jc w:val="both"/>
        <w:rPr>
          <w:rFonts w:ascii="Verdana" w:eastAsia="Calibri" w:hAnsi="Verdana" w:cs="Times New Roman"/>
          <w:b/>
          <w:bCs/>
          <w:lang w:val="es-ES"/>
        </w:rPr>
      </w:pPr>
      <w:r w:rsidRPr="009C1079">
        <w:rPr>
          <w:rFonts w:ascii="Verdana" w:eastAsia="Calibri" w:hAnsi="Verdana" w:cs="Times New Roman"/>
          <w:b/>
          <w:bCs/>
          <w:lang w:val="es-ES"/>
        </w:rPr>
        <w:t>DECRETO 287 DE 2026 – Documentos tipo – Licitación Pública – Concurso de méritos – Factores de evaluación</w:t>
      </w:r>
    </w:p>
    <w:p w14:paraId="7CD103E6" w14:textId="77777777" w:rsidR="009C1079" w:rsidRPr="009C1079" w:rsidRDefault="009C1079" w:rsidP="009C1079">
      <w:pPr>
        <w:widowControl w:val="0"/>
        <w:autoSpaceDE w:val="0"/>
        <w:autoSpaceDN w:val="0"/>
        <w:spacing w:after="0" w:line="240" w:lineRule="auto"/>
        <w:jc w:val="both"/>
        <w:rPr>
          <w:rFonts w:ascii="Verdana" w:eastAsia="Aptos" w:hAnsi="Verdana" w:cs="Times New Roman"/>
          <w:kern w:val="2"/>
          <w:sz w:val="20"/>
          <w:szCs w:val="20"/>
          <w:lang w:val="es-ES"/>
          <w14:ligatures w14:val="standardContextual"/>
        </w:rPr>
      </w:pPr>
    </w:p>
    <w:p w14:paraId="798F8264" w14:textId="77777777" w:rsidR="009C1079" w:rsidRPr="009C1079" w:rsidRDefault="009C1079" w:rsidP="009C1079">
      <w:pPr>
        <w:widowControl w:val="0"/>
        <w:autoSpaceDE w:val="0"/>
        <w:autoSpaceDN w:val="0"/>
        <w:spacing w:after="0" w:line="240" w:lineRule="auto"/>
        <w:jc w:val="both"/>
        <w:rPr>
          <w:rFonts w:ascii="Verdana" w:eastAsia="Aptos" w:hAnsi="Verdana" w:cs="Times New Roman"/>
          <w:kern w:val="2"/>
          <w:sz w:val="20"/>
          <w:szCs w:val="20"/>
          <w14:ligatures w14:val="standardContextual"/>
        </w:rPr>
      </w:pPr>
      <w:r w:rsidRPr="009C1079">
        <w:rPr>
          <w:rFonts w:ascii="Verdana" w:eastAsia="Aptos" w:hAnsi="Verdana" w:cs="Times New Roman"/>
          <w:kern w:val="2"/>
          <w:sz w:val="20"/>
          <w:szCs w:val="20"/>
          <w14:ligatures w14:val="standardContextual"/>
        </w:rPr>
        <w:t xml:space="preserve">De igual forma, resulta necesario ajustar los factores de evaluación para incluir el puntaje adicional previsto en el Decreto 287 de 2026, en favor de los empleadores de personas con discapacidad y de los emprendimientos y empresas conformados por esta población. Esto, considerando que el artículo 2.2.1.2.4.2.7.4 del Decreto 1082 de 2015, modificado por el artículo 1 del Decreto 287 de 2026 establece que “(…) en los procedimientos de licitación pública y concurso de méritos, las Entidades Estatales otorgaran un puntaje adicional máximo del dos por cuento (2%) del valor total de los puntos establecidos en los Pliegos de condiciones o documentos equivalentes” cuando se configuren las situaciones que allí se establecen, pero que “(…) en todo caso el puntaje adicional total y único a otorgar por este criterio será del dos por ciento (2%), sin que sean acumulables a afecto de la evaluación de la oferta (…)”. </w:t>
      </w:r>
    </w:p>
    <w:p w14:paraId="118A2F7E" w14:textId="77777777" w:rsidR="009C1079" w:rsidRPr="009C1079" w:rsidRDefault="009C1079" w:rsidP="009C1079">
      <w:pPr>
        <w:widowControl w:val="0"/>
        <w:autoSpaceDE w:val="0"/>
        <w:autoSpaceDN w:val="0"/>
        <w:spacing w:after="0" w:line="240" w:lineRule="auto"/>
        <w:jc w:val="both"/>
        <w:rPr>
          <w:rFonts w:ascii="Verdana" w:eastAsia="Aptos" w:hAnsi="Verdana" w:cs="Times New Roman"/>
          <w:kern w:val="2"/>
          <w:sz w:val="20"/>
          <w:szCs w:val="20"/>
          <w14:ligatures w14:val="standardContextual"/>
        </w:rPr>
      </w:pPr>
    </w:p>
    <w:p w14:paraId="7D4C9D4E" w14:textId="77777777" w:rsidR="009C1079" w:rsidRPr="009C1079" w:rsidRDefault="009C1079" w:rsidP="009C1079">
      <w:pPr>
        <w:widowControl w:val="0"/>
        <w:autoSpaceDE w:val="0"/>
        <w:autoSpaceDN w:val="0"/>
        <w:spacing w:after="0" w:line="240" w:lineRule="auto"/>
        <w:jc w:val="both"/>
        <w:rPr>
          <w:rFonts w:ascii="Verdana" w:eastAsia="Calibri" w:hAnsi="Verdana" w:cs="Times New Roman"/>
          <w:b/>
          <w:bCs/>
          <w:lang w:val="es-ES"/>
        </w:rPr>
      </w:pPr>
      <w:r w:rsidRPr="009C1079">
        <w:rPr>
          <w:rFonts w:ascii="Verdana" w:eastAsia="Calibri" w:hAnsi="Verdana" w:cs="Times New Roman"/>
          <w:b/>
          <w:bCs/>
          <w:lang w:val="es-ES"/>
        </w:rPr>
        <w:t xml:space="preserve">DECRETO 287 DE 2026 – Documentos tipo – Ejecución contractual </w:t>
      </w:r>
    </w:p>
    <w:p w14:paraId="7F3BC3CD" w14:textId="77777777" w:rsidR="009C1079" w:rsidRPr="009C1079" w:rsidRDefault="009C1079" w:rsidP="009C1079">
      <w:pPr>
        <w:widowControl w:val="0"/>
        <w:autoSpaceDE w:val="0"/>
        <w:autoSpaceDN w:val="0"/>
        <w:spacing w:after="0" w:line="240" w:lineRule="auto"/>
        <w:jc w:val="both"/>
        <w:rPr>
          <w:rFonts w:ascii="Verdana" w:eastAsia="Aptos" w:hAnsi="Verdana" w:cs="Times New Roman"/>
          <w:kern w:val="2"/>
          <w:sz w:val="20"/>
          <w:szCs w:val="20"/>
          <w14:ligatures w14:val="standardContextual"/>
        </w:rPr>
      </w:pPr>
    </w:p>
    <w:p w14:paraId="32D38317" w14:textId="77777777" w:rsidR="009C1079" w:rsidRPr="009C1079" w:rsidRDefault="009C1079" w:rsidP="009C1079">
      <w:pPr>
        <w:widowControl w:val="0"/>
        <w:autoSpaceDE w:val="0"/>
        <w:autoSpaceDN w:val="0"/>
        <w:spacing w:after="0" w:line="240" w:lineRule="auto"/>
        <w:jc w:val="both"/>
        <w:rPr>
          <w:rFonts w:ascii="Verdana" w:eastAsia="Aptos" w:hAnsi="Verdana" w:cs="Times New Roman"/>
          <w:kern w:val="2"/>
          <w:sz w:val="20"/>
          <w:szCs w:val="20"/>
          <w14:ligatures w14:val="standardContextual"/>
        </w:rPr>
      </w:pPr>
      <w:r w:rsidRPr="009C1079">
        <w:rPr>
          <w:rFonts w:ascii="Verdana" w:eastAsia="Aptos" w:hAnsi="Verdana" w:cs="Times New Roman"/>
          <w:kern w:val="2"/>
          <w:sz w:val="20"/>
          <w:szCs w:val="20"/>
          <w14:ligatures w14:val="standardContextual"/>
        </w:rPr>
        <w:t>Adicionalmente, en cuanto a la ejecución contractual, el artículo 2.2.1.2.4.2.7.5 del Decreto 1082 de 2015, modificado por el artículo 1 del Decreto 287 de 2026, prevé la incorporación de condiciones especiales de sujeción orientadas a promover la inclusión laboral y la participación de personas con discapacidad y/o emprendimientos y empresas de estas personas. En consecuencia, los documentos tipo deben contemplar cláusulas contractuales específicas que desarrollen estas obligaciones, previa evaluación de oportunidad y conveniencia, permitiendo que la política pública de inclusión se materialice durante la ejecución del contrato.</w:t>
      </w:r>
    </w:p>
    <w:p w14:paraId="7758C751" w14:textId="77777777" w:rsidR="009C1079" w:rsidRPr="009C1079" w:rsidRDefault="009C1079" w:rsidP="009C1079">
      <w:pPr>
        <w:widowControl w:val="0"/>
        <w:autoSpaceDE w:val="0"/>
        <w:autoSpaceDN w:val="0"/>
        <w:spacing w:after="0" w:line="240" w:lineRule="auto"/>
        <w:jc w:val="both"/>
        <w:rPr>
          <w:rFonts w:ascii="Verdana" w:eastAsia="Aptos" w:hAnsi="Verdana" w:cs="Times New Roman"/>
          <w:kern w:val="2"/>
          <w:sz w:val="20"/>
          <w:szCs w:val="20"/>
          <w14:ligatures w14:val="standardContextual"/>
        </w:rPr>
      </w:pPr>
    </w:p>
    <w:p w14:paraId="23E376F2" w14:textId="77777777" w:rsidR="009C1079" w:rsidRPr="009C1079" w:rsidRDefault="009C1079" w:rsidP="009C1079">
      <w:pPr>
        <w:widowControl w:val="0"/>
        <w:autoSpaceDE w:val="0"/>
        <w:autoSpaceDN w:val="0"/>
        <w:spacing w:after="0" w:line="240" w:lineRule="auto"/>
        <w:jc w:val="both"/>
        <w:rPr>
          <w:rFonts w:ascii="Verdana" w:eastAsia="Aptos" w:hAnsi="Verdana" w:cs="Times New Roman"/>
          <w:kern w:val="2"/>
          <w:sz w:val="20"/>
          <w:szCs w:val="20"/>
          <w14:ligatures w14:val="standardContextual"/>
        </w:rPr>
      </w:pPr>
      <w:r w:rsidRPr="009C1079">
        <w:rPr>
          <w:rFonts w:ascii="Verdana" w:eastAsia="Aptos" w:hAnsi="Verdana" w:cs="Times New Roman"/>
          <w:kern w:val="2"/>
          <w:sz w:val="20"/>
          <w:szCs w:val="20"/>
          <w14:ligatures w14:val="standardContextual"/>
        </w:rPr>
        <w:t>Conforme con lo anterior, la implementación efectiva del Decreto 287 de 2026 depende de la incorporación integral y coherente de sus disposiciones en los documentos tipo por parte de la Agencia Nacional de Contratación Pública – Colombia Compra Eficiente, de manera que las acciones afirmativas previstas se traduzcan en transformaciones reales en el sistema de contratación pública y en la garantía del derecho a la igualdad material de las personas con discapacidad.</w:t>
      </w:r>
    </w:p>
    <w:p w14:paraId="6856F9CE" w14:textId="77777777" w:rsidR="009C1079" w:rsidRPr="009C1079" w:rsidRDefault="009C1079" w:rsidP="009C1079">
      <w:pPr>
        <w:widowControl w:val="0"/>
        <w:autoSpaceDE w:val="0"/>
        <w:autoSpaceDN w:val="0"/>
        <w:spacing w:after="0" w:line="240" w:lineRule="auto"/>
        <w:jc w:val="both"/>
        <w:rPr>
          <w:rFonts w:ascii="Verdana" w:eastAsia="Aptos" w:hAnsi="Verdana" w:cs="Times New Roman"/>
          <w:kern w:val="2"/>
          <w:sz w:val="20"/>
          <w:szCs w:val="20"/>
          <w14:ligatures w14:val="standardContextual"/>
        </w:rPr>
      </w:pPr>
    </w:p>
    <w:p w14:paraId="6BBA3025" w14:textId="77777777" w:rsidR="009C1079" w:rsidRPr="009C1079" w:rsidRDefault="009C1079" w:rsidP="009C1079">
      <w:pPr>
        <w:widowControl w:val="0"/>
        <w:autoSpaceDE w:val="0"/>
        <w:autoSpaceDN w:val="0"/>
        <w:spacing w:after="0" w:line="240" w:lineRule="auto"/>
        <w:jc w:val="both"/>
        <w:rPr>
          <w:rFonts w:ascii="Verdana" w:eastAsia="Calibri" w:hAnsi="Verdana" w:cs="Times New Roman"/>
          <w:b/>
          <w:bCs/>
          <w:lang w:val="es-ES"/>
        </w:rPr>
      </w:pPr>
      <w:r w:rsidRPr="009C1079">
        <w:rPr>
          <w:rFonts w:ascii="Verdana" w:eastAsia="Calibri" w:hAnsi="Verdana" w:cs="Times New Roman"/>
          <w:b/>
          <w:bCs/>
          <w:lang w:val="es-ES"/>
        </w:rPr>
        <w:t xml:space="preserve">DOCUMENTOS TIPO – Decreto 287 de 2026 – Aplicación </w:t>
      </w:r>
    </w:p>
    <w:p w14:paraId="60D5F340" w14:textId="77777777" w:rsidR="009C1079" w:rsidRPr="009C1079" w:rsidRDefault="009C1079" w:rsidP="009C1079">
      <w:pPr>
        <w:widowControl w:val="0"/>
        <w:autoSpaceDE w:val="0"/>
        <w:autoSpaceDN w:val="0"/>
        <w:spacing w:after="0" w:line="240" w:lineRule="auto"/>
        <w:jc w:val="both"/>
        <w:rPr>
          <w:rFonts w:ascii="Verdana" w:eastAsia="Aptos" w:hAnsi="Verdana" w:cs="Times New Roman"/>
          <w:kern w:val="2"/>
          <w:sz w:val="20"/>
          <w:szCs w:val="20"/>
          <w14:ligatures w14:val="standardContextual"/>
        </w:rPr>
      </w:pPr>
    </w:p>
    <w:p w14:paraId="0AE1C92D" w14:textId="77777777" w:rsidR="009C1079" w:rsidRPr="009C1079" w:rsidRDefault="009C1079" w:rsidP="009C1079">
      <w:pPr>
        <w:widowControl w:val="0"/>
        <w:autoSpaceDE w:val="0"/>
        <w:autoSpaceDN w:val="0"/>
        <w:spacing w:after="0" w:line="240" w:lineRule="auto"/>
        <w:jc w:val="both"/>
        <w:rPr>
          <w:rFonts w:ascii="Verdana" w:eastAsia="Aptos" w:hAnsi="Verdana" w:cs="Times New Roman"/>
          <w:kern w:val="2"/>
          <w:sz w:val="20"/>
          <w:szCs w:val="20"/>
          <w14:ligatures w14:val="standardContextual"/>
        </w:rPr>
      </w:pPr>
      <w:r w:rsidRPr="009C1079">
        <w:rPr>
          <w:rFonts w:ascii="Verdana" w:eastAsia="Aptos" w:hAnsi="Verdana" w:cs="Times New Roman"/>
          <w:kern w:val="2"/>
          <w:sz w:val="20"/>
          <w:szCs w:val="20"/>
          <w14:ligatures w14:val="standardContextual"/>
        </w:rPr>
        <w:lastRenderedPageBreak/>
        <w:t>Considerando lo anterior, si bien es cierto que, el Decreto 287 de 2026 establece que rige a partir del día siguiente a su publicación, lo que determina su vigencia inmediata, su aplicación en el ámbito de los procesos sometidos a documentos tipo debe interpretarse de manera sistemática y armónica con el régimen legal que regula dichos instrumentos, esto es, lo señalado en el artículo 1 de la Ley 2022 de 2020 y su desarrollo reglamentario a través de cada una de las Resoluciones expedidas por la Agencia Nacional de Contratación Pública – Colombia Compra Eficiente mediante las cuales, se han implementados documentos tipo. En efecto, dado que los documentos tipo contienen de manera obligatoria los requisitos habilitantes, los factores de evaluación y los criterios de escogencia, las entidades estatales no cuentan con competencia para modificarlos o complementarlos de manera autónoma con el fin de incorporar directamente las disposiciones del Decreto en mención.</w:t>
      </w:r>
    </w:p>
    <w:p w14:paraId="12EF7E8B" w14:textId="77777777" w:rsidR="009C1079" w:rsidRPr="009C1079" w:rsidRDefault="009C1079" w:rsidP="009C1079">
      <w:pPr>
        <w:widowControl w:val="0"/>
        <w:autoSpaceDE w:val="0"/>
        <w:autoSpaceDN w:val="0"/>
        <w:spacing w:after="0" w:line="240" w:lineRule="auto"/>
        <w:jc w:val="both"/>
        <w:rPr>
          <w:rFonts w:ascii="Verdana" w:eastAsia="Aptos" w:hAnsi="Verdana" w:cs="Times New Roman"/>
          <w:kern w:val="2"/>
          <w:sz w:val="20"/>
          <w:szCs w:val="20"/>
          <w14:ligatures w14:val="standardContextual"/>
        </w:rPr>
      </w:pPr>
    </w:p>
    <w:p w14:paraId="08D66102" w14:textId="77777777" w:rsidR="009C1079" w:rsidRPr="009C1079" w:rsidRDefault="009C1079" w:rsidP="009C1079">
      <w:pPr>
        <w:widowControl w:val="0"/>
        <w:autoSpaceDE w:val="0"/>
        <w:autoSpaceDN w:val="0"/>
        <w:spacing w:after="0" w:line="240" w:lineRule="auto"/>
        <w:jc w:val="both"/>
        <w:rPr>
          <w:rFonts w:ascii="Verdana" w:eastAsia="Aptos" w:hAnsi="Verdana" w:cs="Times New Roman"/>
          <w:kern w:val="2"/>
          <w:sz w:val="20"/>
          <w:szCs w:val="20"/>
          <w14:ligatures w14:val="standardContextual"/>
        </w:rPr>
      </w:pPr>
      <w:r w:rsidRPr="009C1079">
        <w:rPr>
          <w:rFonts w:ascii="Verdana" w:eastAsia="Aptos" w:hAnsi="Verdana" w:cs="Times New Roman"/>
          <w:kern w:val="2"/>
          <w:sz w:val="20"/>
          <w:szCs w:val="20"/>
          <w14:ligatures w14:val="standardContextual"/>
        </w:rPr>
        <w:t>Permitir que cada entidad introduzca ajustes a los documentos tipo para dar aplicación inmediata al Decreto 287 de 2026 implicaría desconocer la competencia exclusiva atribuida por el legislador a la Agencia Nacional de Contratación Pública – Colombia Compra Eficiente mediante la expedición de la Ley 2022 de 2020, así como la regla de inalterabilidad que rige estos documentos. Además, generaría una fragmentación del sistema de compra pública, afectando los principios de igualdad, transparencia y selección objetiva, en la medida en que procesos contractuales similares podrían regirse por condiciones distintas, dependiendo de la entidad que los adelante y la forma como incorporó las previsiones contenidas en el Decreto 287 de 2026 a los procesos de selección regidos por documentos tipo.</w:t>
      </w:r>
    </w:p>
    <w:p w14:paraId="23543A48" w14:textId="77777777" w:rsidR="009C1079" w:rsidRPr="009C1079" w:rsidRDefault="009C1079" w:rsidP="009C1079">
      <w:pPr>
        <w:widowControl w:val="0"/>
        <w:autoSpaceDE w:val="0"/>
        <w:autoSpaceDN w:val="0"/>
        <w:spacing w:after="0" w:line="240" w:lineRule="auto"/>
        <w:jc w:val="both"/>
        <w:rPr>
          <w:rFonts w:ascii="Verdana" w:eastAsia="Aptos" w:hAnsi="Verdana" w:cs="Times New Roman"/>
          <w:kern w:val="2"/>
          <w:sz w:val="20"/>
          <w:szCs w:val="20"/>
          <w14:ligatures w14:val="standardContextual"/>
        </w:rPr>
      </w:pPr>
    </w:p>
    <w:p w14:paraId="714CAA9A" w14:textId="77777777" w:rsidR="009C1079" w:rsidRPr="009C1079" w:rsidRDefault="009C1079" w:rsidP="009C1079">
      <w:pPr>
        <w:widowControl w:val="0"/>
        <w:autoSpaceDE w:val="0"/>
        <w:autoSpaceDN w:val="0"/>
        <w:spacing w:after="0" w:line="240" w:lineRule="auto"/>
        <w:jc w:val="both"/>
        <w:rPr>
          <w:rFonts w:ascii="Verdana" w:eastAsia="Aptos" w:hAnsi="Verdana" w:cs="Times New Roman"/>
          <w:kern w:val="2"/>
          <w:sz w:val="20"/>
          <w:szCs w:val="20"/>
          <w14:ligatures w14:val="standardContextual"/>
        </w:rPr>
      </w:pPr>
      <w:r w:rsidRPr="009C1079">
        <w:rPr>
          <w:rFonts w:ascii="Verdana" w:eastAsia="Aptos" w:hAnsi="Verdana" w:cs="Times New Roman"/>
          <w:kern w:val="2"/>
          <w:sz w:val="20"/>
          <w:szCs w:val="20"/>
          <w14:ligatures w14:val="standardContextual"/>
        </w:rPr>
        <w:t>(…)</w:t>
      </w:r>
    </w:p>
    <w:p w14:paraId="2539DCF8" w14:textId="77777777" w:rsidR="009C1079" w:rsidRPr="009C1079" w:rsidRDefault="009C1079" w:rsidP="009C1079">
      <w:pPr>
        <w:widowControl w:val="0"/>
        <w:autoSpaceDE w:val="0"/>
        <w:autoSpaceDN w:val="0"/>
        <w:spacing w:after="0" w:line="240" w:lineRule="auto"/>
        <w:jc w:val="both"/>
        <w:rPr>
          <w:rFonts w:ascii="Verdana" w:eastAsia="Aptos" w:hAnsi="Verdana" w:cs="Times New Roman"/>
          <w:kern w:val="2"/>
          <w:sz w:val="20"/>
          <w:szCs w:val="20"/>
          <w14:ligatures w14:val="standardContextual"/>
        </w:rPr>
      </w:pPr>
    </w:p>
    <w:p w14:paraId="37DED5B5" w14:textId="77777777" w:rsidR="009C1079" w:rsidRPr="009C1079" w:rsidRDefault="009C1079" w:rsidP="009C1079">
      <w:pPr>
        <w:widowControl w:val="0"/>
        <w:autoSpaceDE w:val="0"/>
        <w:autoSpaceDN w:val="0"/>
        <w:spacing w:after="0" w:line="240" w:lineRule="auto"/>
        <w:jc w:val="both"/>
        <w:rPr>
          <w:rFonts w:ascii="Verdana" w:eastAsia="Aptos" w:hAnsi="Verdana" w:cs="Times New Roman"/>
          <w:kern w:val="2"/>
          <w:sz w:val="20"/>
          <w:szCs w:val="20"/>
          <w14:ligatures w14:val="standardContextual"/>
        </w:rPr>
      </w:pPr>
      <w:r w:rsidRPr="009C1079">
        <w:rPr>
          <w:rFonts w:ascii="Verdana" w:eastAsia="Aptos" w:hAnsi="Verdana" w:cs="Times New Roman"/>
          <w:kern w:val="2"/>
          <w:sz w:val="20"/>
          <w:szCs w:val="20"/>
          <w14:ligatures w14:val="standardContextual"/>
        </w:rPr>
        <w:t xml:space="preserve">Adicionalmente, el propio Decreto 287 de 2026 en el artículo 1 que modifica el artículo 2.2.1.2.4.2.7.8 al Decreto 1082 de 2015, reconoce esta necesidad al disponer que la Agencia Nacional de Contratación Pública – Colombia Compra Eficiente “(…) garantizará la adopción permanente de las acciones necesarias para que las medidas señaladas en esta subsección se incorporen a los documentos e instrumentos que genera”, lo cual confirma que la operatividad de dichas disposiciones en el ámbito de los documentos tipo depende de su desarrollo por parte de esta entidad. </w:t>
      </w:r>
    </w:p>
    <w:p w14:paraId="7AB962C2" w14:textId="77777777" w:rsidR="009C1079" w:rsidRPr="009C1079" w:rsidRDefault="009C1079" w:rsidP="009C1079">
      <w:pPr>
        <w:widowControl w:val="0"/>
        <w:autoSpaceDE w:val="0"/>
        <w:autoSpaceDN w:val="0"/>
        <w:spacing w:after="0" w:line="240" w:lineRule="auto"/>
        <w:jc w:val="both"/>
        <w:rPr>
          <w:rFonts w:ascii="Verdana" w:eastAsia="Aptos" w:hAnsi="Verdana" w:cs="Times New Roman"/>
          <w:kern w:val="2"/>
          <w:sz w:val="20"/>
          <w:szCs w:val="20"/>
          <w14:ligatures w14:val="standardContextual"/>
        </w:rPr>
      </w:pPr>
    </w:p>
    <w:p w14:paraId="350E9CCC" w14:textId="77777777" w:rsidR="009C1079" w:rsidRPr="009C1079" w:rsidRDefault="009C1079" w:rsidP="009C1079">
      <w:pPr>
        <w:widowControl w:val="0"/>
        <w:autoSpaceDE w:val="0"/>
        <w:autoSpaceDN w:val="0"/>
        <w:spacing w:after="0" w:line="240" w:lineRule="auto"/>
        <w:jc w:val="both"/>
        <w:rPr>
          <w:rFonts w:ascii="Verdana" w:eastAsia="Aptos" w:hAnsi="Verdana" w:cs="Times New Roman"/>
          <w:kern w:val="2"/>
          <w:sz w:val="20"/>
          <w:szCs w:val="20"/>
          <w14:ligatures w14:val="standardContextual"/>
        </w:rPr>
      </w:pPr>
      <w:r w:rsidRPr="009C1079">
        <w:rPr>
          <w:rFonts w:ascii="Verdana" w:eastAsia="Aptos" w:hAnsi="Verdana" w:cs="Times New Roman"/>
          <w:kern w:val="2"/>
          <w:sz w:val="20"/>
          <w:szCs w:val="20"/>
          <w14:ligatures w14:val="standardContextual"/>
        </w:rPr>
        <w:t xml:space="preserve">Lo anterior es consecuente con lo dispuesto en el ABC del Decreto 0287 de 2026 “Contratación pública inclusiva para personas con discapacidad” en donde se establece que “La aplicación del Decreto 0287 de 2026 en los documentos tipo está sujeta a que Colombia Compra Eficiente realice los ajustes correspondientes en estos instrumentos”, esto considerando que “(…) los documentos tipo requieren una adecuación técnica y normativa previa para incorporar las medidas del sistema de preferencias”. </w:t>
      </w:r>
    </w:p>
    <w:p w14:paraId="0CA1FC61" w14:textId="77777777" w:rsidR="009C1079" w:rsidRPr="009C1079" w:rsidRDefault="009C1079" w:rsidP="009C1079">
      <w:pPr>
        <w:widowControl w:val="0"/>
        <w:autoSpaceDE w:val="0"/>
        <w:autoSpaceDN w:val="0"/>
        <w:spacing w:after="0" w:line="240" w:lineRule="auto"/>
        <w:jc w:val="both"/>
        <w:rPr>
          <w:rFonts w:ascii="Verdana" w:eastAsia="Aptos" w:hAnsi="Verdana" w:cs="Times New Roman"/>
          <w:kern w:val="2"/>
          <w:sz w:val="20"/>
          <w:szCs w:val="20"/>
          <w14:ligatures w14:val="standardContextual"/>
        </w:rPr>
      </w:pPr>
    </w:p>
    <w:p w14:paraId="3D5BC68B" w14:textId="77777777" w:rsidR="009C1079" w:rsidRPr="009C1079" w:rsidRDefault="009C1079" w:rsidP="009C1079">
      <w:pPr>
        <w:widowControl w:val="0"/>
        <w:autoSpaceDE w:val="0"/>
        <w:autoSpaceDN w:val="0"/>
        <w:spacing w:after="0" w:line="240" w:lineRule="auto"/>
        <w:jc w:val="both"/>
        <w:rPr>
          <w:rFonts w:ascii="Verdana" w:eastAsia="Calibri" w:hAnsi="Verdana" w:cs="Times New Roman"/>
          <w:b/>
          <w:bCs/>
          <w:lang w:val="es-ES"/>
        </w:rPr>
      </w:pPr>
      <w:r w:rsidRPr="009C1079">
        <w:rPr>
          <w:rFonts w:ascii="Verdana" w:eastAsia="Calibri" w:hAnsi="Verdana" w:cs="Times New Roman"/>
          <w:b/>
          <w:bCs/>
          <w:lang w:val="es-ES"/>
        </w:rPr>
        <w:t xml:space="preserve">DOCUMENTOS TIPO – Decreto 287 de 2026 – Aplicación – Necesidad de </w:t>
      </w:r>
      <w:r w:rsidRPr="009C1079">
        <w:rPr>
          <w:rFonts w:ascii="Verdana" w:eastAsia="Calibri" w:hAnsi="Verdana" w:cs="Times New Roman"/>
          <w:b/>
          <w:bCs/>
          <w:lang w:val="es-ES"/>
        </w:rPr>
        <w:lastRenderedPageBreak/>
        <w:t xml:space="preserve">modificación – Agencia Nacional de Contratación Pública </w:t>
      </w:r>
    </w:p>
    <w:p w14:paraId="04DC89E8" w14:textId="77777777" w:rsidR="009C1079" w:rsidRPr="009C1079" w:rsidRDefault="009C1079" w:rsidP="009C1079">
      <w:pPr>
        <w:widowControl w:val="0"/>
        <w:autoSpaceDE w:val="0"/>
        <w:autoSpaceDN w:val="0"/>
        <w:spacing w:after="0" w:line="240" w:lineRule="auto"/>
        <w:jc w:val="both"/>
        <w:rPr>
          <w:rFonts w:ascii="Verdana" w:eastAsia="Aptos" w:hAnsi="Verdana" w:cs="Times New Roman"/>
          <w:kern w:val="2"/>
          <w:sz w:val="20"/>
          <w:szCs w:val="20"/>
          <w14:ligatures w14:val="standardContextual"/>
        </w:rPr>
      </w:pPr>
    </w:p>
    <w:p w14:paraId="1BA340BB" w14:textId="77777777" w:rsidR="009C1079" w:rsidRPr="009C1079" w:rsidRDefault="009C1079" w:rsidP="009C1079">
      <w:pPr>
        <w:widowControl w:val="0"/>
        <w:autoSpaceDE w:val="0"/>
        <w:autoSpaceDN w:val="0"/>
        <w:spacing w:after="0" w:line="240" w:lineRule="auto"/>
        <w:jc w:val="both"/>
        <w:rPr>
          <w:rFonts w:ascii="Verdana" w:eastAsia="Aptos" w:hAnsi="Verdana" w:cs="Times New Roman"/>
          <w:kern w:val="2"/>
          <w:sz w:val="20"/>
          <w:szCs w:val="20"/>
          <w14:ligatures w14:val="standardContextual"/>
        </w:rPr>
      </w:pPr>
      <w:r w:rsidRPr="009C1079">
        <w:rPr>
          <w:rFonts w:ascii="Verdana" w:eastAsia="Aptos" w:hAnsi="Verdana" w:cs="Times New Roman"/>
          <w:kern w:val="2"/>
          <w:sz w:val="20"/>
          <w:szCs w:val="20"/>
          <w14:ligatures w14:val="standardContextual"/>
        </w:rPr>
        <w:t>En consecuencia, aunque de acuerdo con el artículo 2 del Decreto 287 de 2026, este “(…) rige a partir del día siguiente a su publicación (…)”, su aplicación en los procesos contracción regidos por documentos tipo se encuentra condicionada a su incorporación formal en dichos instrumentos por parte de la Agencia Nacional de Contratación Pública – Colombia Compra Eficiente. Así, solo a partir de dicha incorporación mediante la modificación a los documentos tipo, es posible garantizar una aplicación uniforme, coherente y jurídicamente válida de las medidas afirmativas previstas, sin desconocer la distribución de competencias establecida por el legislador ni la estructura normativa del sistema de compras y contratación pública.</w:t>
      </w:r>
    </w:p>
    <w:p w14:paraId="60F7094B" w14:textId="77777777" w:rsidR="009C1079" w:rsidRPr="009C1079" w:rsidRDefault="009C1079" w:rsidP="009C1079">
      <w:pPr>
        <w:widowControl w:val="0"/>
        <w:autoSpaceDE w:val="0"/>
        <w:autoSpaceDN w:val="0"/>
        <w:spacing w:after="0" w:line="240" w:lineRule="auto"/>
        <w:jc w:val="both"/>
        <w:rPr>
          <w:rFonts w:ascii="Verdana" w:eastAsia="Aptos" w:hAnsi="Verdana" w:cs="Times New Roman"/>
          <w:kern w:val="2"/>
          <w:sz w:val="20"/>
          <w:szCs w:val="20"/>
          <w14:ligatures w14:val="standardContextual"/>
        </w:rPr>
      </w:pPr>
    </w:p>
    <w:p w14:paraId="002C6767" w14:textId="77777777" w:rsidR="009C1079" w:rsidRPr="009C1079" w:rsidRDefault="009C1079" w:rsidP="009C1079">
      <w:pPr>
        <w:widowControl w:val="0"/>
        <w:autoSpaceDE w:val="0"/>
        <w:autoSpaceDN w:val="0"/>
        <w:spacing w:after="0" w:line="240" w:lineRule="auto"/>
        <w:jc w:val="both"/>
        <w:rPr>
          <w:rFonts w:ascii="Verdana" w:eastAsia="Aptos" w:hAnsi="Verdana" w:cs="Times New Roman"/>
          <w:kern w:val="2"/>
          <w:sz w:val="20"/>
          <w:szCs w:val="20"/>
          <w14:ligatures w14:val="standardContextual"/>
        </w:rPr>
      </w:pPr>
      <w:r w:rsidRPr="009C1079">
        <w:rPr>
          <w:rFonts w:ascii="Verdana" w:eastAsia="Aptos" w:hAnsi="Verdana" w:cs="Times New Roman"/>
          <w:kern w:val="2"/>
          <w:sz w:val="20"/>
          <w:szCs w:val="20"/>
          <w14:ligatures w14:val="standardContextual"/>
        </w:rPr>
        <w:t xml:space="preserve">En conclusión, la implementación de las disposiciones del Decreto 287 de 2026 en relación con los documentos tipo no puede realizarse de manera directa por las entidades estatales que obligatoriamente deben aplicarlos, sino que, requiere necesariamente su desarrollo e incorporación por parte de la Agencia Nacional de Contratación Pública – Colombia Compra Eficiente, en ejercicio de la competencia que le fue atribuida por la Ley 2022 de 2020, garantizando así la coherencia del sistema, el respeto por la jerarquía normativa y la efectividad de las medidas orientadas a la inclusión de las personas con discapacidad en el sistema de compras y contratación pública. </w:t>
      </w:r>
    </w:p>
    <w:p w14:paraId="42879623" w14:textId="77777777" w:rsidR="009C1079" w:rsidRPr="009C1079" w:rsidRDefault="009C1079" w:rsidP="009C1079">
      <w:pPr>
        <w:widowControl w:val="0"/>
        <w:autoSpaceDE w:val="0"/>
        <w:autoSpaceDN w:val="0"/>
        <w:spacing w:after="0" w:line="240" w:lineRule="auto"/>
        <w:jc w:val="both"/>
        <w:rPr>
          <w:rFonts w:ascii="Verdana" w:eastAsia="Aptos" w:hAnsi="Verdana" w:cs="Times New Roman"/>
          <w:kern w:val="2"/>
          <w:sz w:val="20"/>
          <w:szCs w:val="20"/>
          <w14:ligatures w14:val="standardContextual"/>
        </w:rPr>
      </w:pPr>
    </w:p>
    <w:p w14:paraId="66978DA3" w14:textId="77777777" w:rsidR="009C1079" w:rsidRPr="009C1079" w:rsidRDefault="009C1079" w:rsidP="009C1079">
      <w:pPr>
        <w:widowControl w:val="0"/>
        <w:autoSpaceDE w:val="0"/>
        <w:autoSpaceDN w:val="0"/>
        <w:spacing w:after="0" w:line="240" w:lineRule="auto"/>
        <w:jc w:val="both"/>
        <w:rPr>
          <w:rFonts w:ascii="Verdana" w:eastAsia="Calibri" w:hAnsi="Verdana" w:cs="Times New Roman"/>
          <w:b/>
          <w:bCs/>
          <w:lang w:val="es-ES"/>
        </w:rPr>
      </w:pPr>
      <w:r w:rsidRPr="009C1079">
        <w:rPr>
          <w:rFonts w:ascii="Verdana" w:eastAsia="Calibri" w:hAnsi="Verdana" w:cs="Times New Roman"/>
          <w:b/>
          <w:bCs/>
          <w:lang w:val="es-ES"/>
        </w:rPr>
        <w:t>DOCUMENTOS TIPO – Decreto 287 de 2026 – Modificación – Colombia Compra Eficiente</w:t>
      </w:r>
    </w:p>
    <w:p w14:paraId="5F219508" w14:textId="77777777" w:rsidR="009C1079" w:rsidRPr="009C1079" w:rsidRDefault="009C1079" w:rsidP="009C1079">
      <w:pPr>
        <w:widowControl w:val="0"/>
        <w:autoSpaceDE w:val="0"/>
        <w:autoSpaceDN w:val="0"/>
        <w:spacing w:after="0" w:line="240" w:lineRule="auto"/>
        <w:jc w:val="both"/>
        <w:rPr>
          <w:rFonts w:ascii="Verdana" w:eastAsia="Aptos" w:hAnsi="Verdana" w:cs="Times New Roman"/>
          <w:kern w:val="2"/>
          <w:sz w:val="20"/>
          <w:szCs w:val="20"/>
          <w14:ligatures w14:val="standardContextual"/>
        </w:rPr>
      </w:pPr>
    </w:p>
    <w:p w14:paraId="265F468C" w14:textId="77777777" w:rsidR="009C1079" w:rsidRPr="009C1079" w:rsidRDefault="009C1079" w:rsidP="009C1079">
      <w:pPr>
        <w:widowControl w:val="0"/>
        <w:autoSpaceDE w:val="0"/>
        <w:autoSpaceDN w:val="0"/>
        <w:spacing w:after="0" w:line="240" w:lineRule="auto"/>
        <w:jc w:val="both"/>
        <w:rPr>
          <w:rFonts w:ascii="Verdana" w:eastAsia="Aptos" w:hAnsi="Verdana" w:cs="Times New Roman"/>
          <w:kern w:val="2"/>
          <w:sz w:val="20"/>
          <w:szCs w:val="20"/>
          <w14:ligatures w14:val="standardContextual"/>
        </w:rPr>
      </w:pPr>
      <w:r w:rsidRPr="009C1079">
        <w:rPr>
          <w:rFonts w:ascii="Verdana" w:eastAsia="Aptos" w:hAnsi="Verdana" w:cs="Times New Roman"/>
          <w:kern w:val="2"/>
          <w:sz w:val="20"/>
          <w:szCs w:val="20"/>
          <w14:ligatures w14:val="standardContextual"/>
        </w:rPr>
        <w:t>Finalmente, debe indicarse que, la Agencia Nacional de Contratación Pública – Colombia Compra Eficiente se encuentra trabajando en la incorporación de los criterios establecidos en el Decreto 287 de 2026 en los documentos tipo, lo que implica agotar el procedimiento previsto en la Resolución 160 de 2020 que establece el sistema para su revisión de estos documentos y la adopción de las modificaciones a que haya lugar mediante acto administrativo motivado.</w:t>
      </w:r>
    </w:p>
    <w:p w14:paraId="30223F41" w14:textId="77777777" w:rsidR="009C1079" w:rsidRPr="009C1079" w:rsidRDefault="009C1079" w:rsidP="009C1079">
      <w:pPr>
        <w:widowControl w:val="0"/>
        <w:autoSpaceDE w:val="0"/>
        <w:autoSpaceDN w:val="0"/>
        <w:spacing w:after="0" w:line="240" w:lineRule="auto"/>
        <w:jc w:val="both"/>
        <w:rPr>
          <w:rFonts w:ascii="Verdana" w:eastAsia="Aptos" w:hAnsi="Verdana" w:cs="Times New Roman"/>
          <w:kern w:val="2"/>
          <w:sz w:val="20"/>
          <w:szCs w:val="20"/>
          <w14:ligatures w14:val="standardContextual"/>
        </w:rPr>
      </w:pPr>
    </w:p>
    <w:p w14:paraId="2CE164A6" w14:textId="77777777" w:rsidR="009C1079" w:rsidRPr="009C1079" w:rsidRDefault="009C1079" w:rsidP="009C1079">
      <w:pPr>
        <w:widowControl w:val="0"/>
        <w:autoSpaceDE w:val="0"/>
        <w:autoSpaceDN w:val="0"/>
        <w:spacing w:after="0" w:line="240" w:lineRule="auto"/>
        <w:jc w:val="both"/>
        <w:rPr>
          <w:rFonts w:ascii="Verdana" w:eastAsia="Aptos" w:hAnsi="Verdana" w:cs="Times New Roman"/>
          <w:kern w:val="2"/>
          <w:sz w:val="20"/>
          <w:szCs w:val="20"/>
          <w14:ligatures w14:val="standardContextual"/>
        </w:rPr>
      </w:pPr>
      <w:r w:rsidRPr="009C1079">
        <w:rPr>
          <w:rFonts w:ascii="Verdana" w:eastAsia="Aptos" w:hAnsi="Verdana" w:cs="Times New Roman"/>
          <w:kern w:val="2"/>
          <w:sz w:val="20"/>
          <w:szCs w:val="20"/>
          <w14:ligatures w14:val="standardContextual"/>
        </w:rPr>
        <w:t xml:space="preserve">Mediante el agotamiento de una serie de actuaciones que implican, el análisis del Decreto en comento desde un perspectiva técnica, financiera y jurídica, generar versiones previas para comentarios de ciudadanos, entidades y grupos de interés, respuesta a las observaciones y un informe global, entre otras etapas, esta Agencia adoptará las modificaciones a los documentos tipo para adecuarlos al contenido del Decreto 287 de 2026 que modifica el 1082 de 2015. Este trabajo ya fue iniciado por la Agencia Nacional de Contratación Pública – Colombia Compra Eficiente y finalizará con la adopción del acto administrativo que modifica los documentos tipo luego de surtir el procedimiento señalado. </w:t>
      </w:r>
    </w:p>
    <w:p w14:paraId="240E90F9" w14:textId="77777777" w:rsidR="009C1079" w:rsidRDefault="009C1079" w:rsidP="009C1079">
      <w:pPr>
        <w:spacing w:after="0" w:line="240" w:lineRule="auto"/>
        <w:rPr>
          <w:rFonts w:ascii="Verdana" w:eastAsia="Calibri" w:hAnsi="Verdana" w:cs="Times New Roman"/>
          <w:b/>
          <w:bCs/>
          <w:lang w:val="es-ES"/>
        </w:rPr>
      </w:pPr>
    </w:p>
    <w:p w14:paraId="7E27DD77" w14:textId="77777777" w:rsidR="00876B07" w:rsidRPr="009C1079" w:rsidRDefault="00876B07" w:rsidP="009C1079">
      <w:pPr>
        <w:spacing w:after="0" w:line="240" w:lineRule="auto"/>
        <w:rPr>
          <w:rFonts w:ascii="Verdana" w:eastAsia="Calibri" w:hAnsi="Verdana" w:cs="Times New Roman"/>
          <w:b/>
          <w:bCs/>
          <w:lang w:val="es-ES"/>
        </w:rPr>
      </w:pPr>
    </w:p>
    <w:p w14:paraId="5D3DB456" w14:textId="306FF673" w:rsidR="00BE7862" w:rsidRDefault="009C1079" w:rsidP="009C1079">
      <w:pPr>
        <w:spacing w:after="0" w:line="278" w:lineRule="auto"/>
        <w:rPr>
          <w:rFonts w:ascii="Verdana" w:eastAsia="Aptos" w:hAnsi="Verdana" w:cs="Times New Roman"/>
          <w:kern w:val="2"/>
          <w14:ligatures w14:val="standardContextual"/>
        </w:rPr>
      </w:pPr>
      <w:r w:rsidRPr="009C1079">
        <w:rPr>
          <w:rFonts w:ascii="Verdana" w:eastAsia="Aptos" w:hAnsi="Verdana" w:cs="Times New Roman"/>
          <w:kern w:val="2"/>
          <w14:ligatures w14:val="standardContextual"/>
        </w:rPr>
        <w:lastRenderedPageBreak/>
        <w:t xml:space="preserve">Bogotá D.C., </w:t>
      </w:r>
      <w:r w:rsidR="00BE7862">
        <w:rPr>
          <w:rFonts w:ascii="Verdana" w:eastAsia="Aptos" w:hAnsi="Verdana" w:cs="Times New Roman"/>
          <w:kern w:val="2"/>
          <w14:ligatures w14:val="standardContextual"/>
        </w:rPr>
        <w:t>7 de mayo de 2026</w:t>
      </w:r>
    </w:p>
    <w:p w14:paraId="5654E2B6" w14:textId="0895099D" w:rsidR="00BE7862" w:rsidRPr="009C1079" w:rsidRDefault="00BE7862" w:rsidP="009C1079">
      <w:pPr>
        <w:spacing w:after="0" w:line="278" w:lineRule="auto"/>
        <w:rPr>
          <w:rFonts w:ascii="Verdana" w:eastAsia="Aptos" w:hAnsi="Verdana" w:cs="Times New Roman"/>
          <w:kern w:val="2"/>
          <w14:ligatures w14:val="standardContextual"/>
        </w:rPr>
      </w:pPr>
    </w:p>
    <w:p w14:paraId="3273DE47" w14:textId="589E78FE" w:rsidR="009C1079" w:rsidRPr="009C1079" w:rsidRDefault="00A77A04" w:rsidP="009C1079">
      <w:pPr>
        <w:spacing w:after="0" w:line="278" w:lineRule="auto"/>
        <w:rPr>
          <w:rFonts w:ascii="Verdana" w:eastAsia="Aptos" w:hAnsi="Verdana" w:cs="Times New Roman"/>
          <w:kern w:val="2"/>
          <w:sz w:val="24"/>
          <w:szCs w:val="24"/>
          <w14:ligatures w14:val="standardContextual"/>
        </w:rPr>
      </w:pPr>
      <w:r w:rsidRPr="00BE7862">
        <w:rPr>
          <w:rFonts w:ascii="Verdana" w:eastAsia="Aptos" w:hAnsi="Verdana" w:cs="Times New Roman"/>
          <w:noProof/>
          <w:kern w:val="2"/>
          <w14:ligatures w14:val="standardContextual"/>
        </w:rPr>
        <w:drawing>
          <wp:anchor distT="0" distB="0" distL="114300" distR="114300" simplePos="0" relativeHeight="251658240" behindDoc="0" locked="0" layoutInCell="1" allowOverlap="1" wp14:anchorId="0426839D" wp14:editId="52948183">
            <wp:simplePos x="0" y="0"/>
            <wp:positionH relativeFrom="margin">
              <wp:align>right</wp:align>
            </wp:positionH>
            <wp:positionV relativeFrom="paragraph">
              <wp:posOffset>11623</wp:posOffset>
            </wp:positionV>
            <wp:extent cx="2757836" cy="810228"/>
            <wp:effectExtent l="0" t="0" r="4445" b="9525"/>
            <wp:wrapSquare wrapText="bothSides"/>
            <wp:docPr id="1411533950"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1533950" name=""/>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757836" cy="810228"/>
                    </a:xfrm>
                    <a:prstGeom prst="rect">
                      <a:avLst/>
                    </a:prstGeom>
                  </pic:spPr>
                </pic:pic>
              </a:graphicData>
            </a:graphic>
            <wp14:sizeRelH relativeFrom="page">
              <wp14:pctWidth>0</wp14:pctWidth>
            </wp14:sizeRelH>
            <wp14:sizeRelV relativeFrom="page">
              <wp14:pctHeight>0</wp14:pctHeight>
            </wp14:sizeRelV>
          </wp:anchor>
        </w:drawing>
      </w:r>
    </w:p>
    <w:p w14:paraId="22231D0A" w14:textId="77777777" w:rsidR="009C1079" w:rsidRPr="009C1079" w:rsidRDefault="009C1079" w:rsidP="009C1079">
      <w:pPr>
        <w:spacing w:after="0" w:line="240" w:lineRule="auto"/>
        <w:rPr>
          <w:rFonts w:ascii="Verdana" w:eastAsia="Calibri" w:hAnsi="Verdana" w:cs="Arial"/>
          <w:kern w:val="2"/>
          <w:lang w:val="es-ES" w:eastAsia="es-ES"/>
          <w14:ligatures w14:val="standardContextual"/>
        </w:rPr>
      </w:pPr>
      <w:r w:rsidRPr="009C1079">
        <w:rPr>
          <w:rFonts w:ascii="Verdana" w:eastAsia="Calibri" w:hAnsi="Verdana" w:cs="Arial"/>
          <w:kern w:val="2"/>
          <w:lang w:val="es-ES" w:eastAsia="es-ES"/>
          <w14:ligatures w14:val="standardContextual"/>
        </w:rPr>
        <w:t>Señor</w:t>
      </w:r>
    </w:p>
    <w:p w14:paraId="381DDAE8" w14:textId="77777777" w:rsidR="009C1079" w:rsidRPr="009C1079" w:rsidRDefault="009C1079" w:rsidP="009C1079">
      <w:pPr>
        <w:spacing w:after="0" w:line="240" w:lineRule="auto"/>
        <w:rPr>
          <w:rFonts w:ascii="Verdana" w:eastAsia="Calibri" w:hAnsi="Verdana" w:cs="Arial"/>
          <w:b/>
          <w:bCs/>
          <w:kern w:val="2"/>
          <w:lang w:val="es-ES" w:eastAsia="es-ES"/>
          <w14:ligatures w14:val="standardContextual"/>
        </w:rPr>
      </w:pPr>
      <w:r w:rsidRPr="009C1079">
        <w:rPr>
          <w:rFonts w:ascii="Verdana" w:eastAsia="Calibri" w:hAnsi="Verdana" w:cs="Arial"/>
          <w:b/>
          <w:bCs/>
          <w:kern w:val="2"/>
          <w:lang w:val="es-ES" w:eastAsia="es-ES"/>
          <w14:ligatures w14:val="standardContextual"/>
        </w:rPr>
        <w:t>Cesar Augusto Méndez</w:t>
      </w:r>
    </w:p>
    <w:p w14:paraId="6C63BAB0" w14:textId="77777777" w:rsidR="009C1079" w:rsidRPr="009C1079" w:rsidRDefault="009C1079" w:rsidP="009C1079">
      <w:pPr>
        <w:spacing w:after="0" w:line="240" w:lineRule="auto"/>
        <w:rPr>
          <w:rFonts w:ascii="Verdana" w:eastAsia="Calibri" w:hAnsi="Verdana" w:cs="Arial"/>
          <w:kern w:val="2"/>
          <w:lang w:val="es-ES" w:eastAsia="es-ES"/>
          <w14:ligatures w14:val="standardContextual"/>
        </w:rPr>
      </w:pPr>
      <w:r w:rsidRPr="009C1079">
        <w:rPr>
          <w:rFonts w:ascii="Verdana" w:eastAsia="Calibri" w:hAnsi="Verdana" w:cs="Arial"/>
          <w:kern w:val="2"/>
          <w:lang w:val="es-ES" w:eastAsia="es-ES"/>
          <w14:ligatures w14:val="standardContextual"/>
        </w:rPr>
        <w:t>Ciudad</w:t>
      </w:r>
    </w:p>
    <w:p w14:paraId="48FDEBEC" w14:textId="77777777" w:rsidR="009C1079" w:rsidRDefault="009C1079" w:rsidP="009C1079">
      <w:pPr>
        <w:spacing w:after="0" w:line="240" w:lineRule="auto"/>
        <w:rPr>
          <w:rFonts w:ascii="Verdana" w:eastAsia="Calibri" w:hAnsi="Verdana" w:cs="Arial"/>
          <w:b/>
          <w:bCs/>
          <w:lang w:val="es-ES_tradnl" w:eastAsia="es-ES_tradnl"/>
        </w:rPr>
      </w:pPr>
    </w:p>
    <w:p w14:paraId="68A92B61" w14:textId="77777777" w:rsidR="00876B07" w:rsidRPr="009C1079" w:rsidRDefault="00876B07" w:rsidP="009C1079">
      <w:pPr>
        <w:spacing w:after="0" w:line="240" w:lineRule="auto"/>
        <w:rPr>
          <w:rFonts w:ascii="Verdana" w:eastAsia="Calibri" w:hAnsi="Verdana" w:cs="Arial"/>
          <w:b/>
          <w:bCs/>
          <w:lang w:val="es-ES_tradnl" w:eastAsia="es-ES_tradnl"/>
        </w:rPr>
      </w:pPr>
    </w:p>
    <w:tbl>
      <w:tblPr>
        <w:tblStyle w:val="Tablaconcuadrcula1"/>
        <w:tblW w:w="836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1985"/>
        <w:gridCol w:w="6383"/>
      </w:tblGrid>
      <w:tr w:rsidR="009C1079" w:rsidRPr="009C1079" w14:paraId="746DA675" w14:textId="77777777" w:rsidTr="00C80FF3">
        <w:trPr>
          <w:trHeight w:val="229"/>
        </w:trPr>
        <w:tc>
          <w:tcPr>
            <w:tcW w:w="1985" w:type="dxa"/>
          </w:tcPr>
          <w:p w14:paraId="50508B7C" w14:textId="77777777" w:rsidR="009C1079" w:rsidRPr="009C1079" w:rsidRDefault="009C1079" w:rsidP="009C1079">
            <w:pPr>
              <w:spacing w:line="278" w:lineRule="auto"/>
              <w:jc w:val="both"/>
              <w:rPr>
                <w:rFonts w:ascii="Verdana" w:eastAsia="Calibri" w:hAnsi="Verdana" w:cs="Arial"/>
                <w:b/>
                <w:bCs/>
                <w:kern w:val="2"/>
                <w:sz w:val="24"/>
                <w:szCs w:val="24"/>
                <w:lang w:val="es-ES_tradnl" w:eastAsia="es-ES_tradnl"/>
                <w14:ligatures w14:val="standardContextual"/>
              </w:rPr>
            </w:pPr>
          </w:p>
        </w:tc>
        <w:tc>
          <w:tcPr>
            <w:tcW w:w="6383" w:type="dxa"/>
          </w:tcPr>
          <w:p w14:paraId="3D03EA37" w14:textId="77777777" w:rsidR="009C1079" w:rsidRPr="00A77A04" w:rsidRDefault="009C1079" w:rsidP="009C1079">
            <w:pPr>
              <w:spacing w:line="278" w:lineRule="auto"/>
              <w:jc w:val="both"/>
              <w:rPr>
                <w:rFonts w:ascii="Verdana" w:eastAsia="Calibri" w:hAnsi="Verdana" w:cs="Arial"/>
                <w:b/>
                <w:bCs/>
                <w:kern w:val="2"/>
                <w:lang w:val="es-ES" w:eastAsia="es-ES"/>
                <w14:ligatures w14:val="standardContextual"/>
              </w:rPr>
            </w:pPr>
            <w:r w:rsidRPr="00A77A04">
              <w:rPr>
                <w:rFonts w:ascii="Verdana" w:eastAsia="Calibri" w:hAnsi="Verdana" w:cs="Arial"/>
                <w:b/>
                <w:bCs/>
                <w:kern w:val="2"/>
                <w:lang w:val="es-ES" w:eastAsia="es-ES"/>
                <w14:ligatures w14:val="standardContextual"/>
              </w:rPr>
              <w:t>Concepto C–508 de 2026</w:t>
            </w:r>
          </w:p>
          <w:p w14:paraId="3028F2AF" w14:textId="77777777" w:rsidR="00876B07" w:rsidRPr="009C1079" w:rsidRDefault="00876B07" w:rsidP="009C1079">
            <w:pPr>
              <w:spacing w:line="278" w:lineRule="auto"/>
              <w:jc w:val="both"/>
              <w:rPr>
                <w:rFonts w:ascii="Verdana" w:eastAsia="Calibri" w:hAnsi="Verdana" w:cs="Arial"/>
                <w:b/>
                <w:bCs/>
                <w:kern w:val="2"/>
                <w:sz w:val="24"/>
                <w:szCs w:val="24"/>
                <w:lang w:val="es-ES" w:eastAsia="es-ES"/>
                <w14:ligatures w14:val="standardContextual"/>
              </w:rPr>
            </w:pPr>
          </w:p>
          <w:p w14:paraId="5A3D1579" w14:textId="77777777" w:rsidR="009C1079" w:rsidRPr="009C1079" w:rsidRDefault="009C1079" w:rsidP="009C1079">
            <w:pPr>
              <w:spacing w:line="278" w:lineRule="auto"/>
              <w:jc w:val="both"/>
              <w:rPr>
                <w:rFonts w:ascii="Verdana" w:eastAsia="Calibri" w:hAnsi="Verdana" w:cs="Arial"/>
                <w:b/>
                <w:bCs/>
                <w:kern w:val="2"/>
                <w:sz w:val="24"/>
                <w:szCs w:val="24"/>
                <w:lang w:val="es-ES" w:eastAsia="es-ES"/>
                <w14:ligatures w14:val="standardContextual"/>
              </w:rPr>
            </w:pPr>
          </w:p>
        </w:tc>
      </w:tr>
      <w:tr w:rsidR="009C1079" w:rsidRPr="009C1079" w14:paraId="2CBA55BD" w14:textId="77777777" w:rsidTr="00C80FF3">
        <w:trPr>
          <w:trHeight w:val="884"/>
        </w:trPr>
        <w:tc>
          <w:tcPr>
            <w:tcW w:w="1985" w:type="dxa"/>
          </w:tcPr>
          <w:p w14:paraId="2D97DF1A" w14:textId="77777777" w:rsidR="009C1079" w:rsidRPr="009C1079" w:rsidRDefault="009C1079" w:rsidP="009C1079">
            <w:pPr>
              <w:spacing w:line="278" w:lineRule="auto"/>
              <w:jc w:val="both"/>
              <w:rPr>
                <w:rFonts w:ascii="Verdana" w:eastAsia="Calibri" w:hAnsi="Verdana" w:cs="Arial"/>
                <w:kern w:val="2"/>
                <w:sz w:val="24"/>
                <w:szCs w:val="24"/>
                <w:lang w:val="es-ES_tradnl" w:eastAsia="es-ES_tradnl"/>
                <w14:ligatures w14:val="standardContextual"/>
              </w:rPr>
            </w:pPr>
            <w:r w:rsidRPr="009C1079">
              <w:rPr>
                <w:rFonts w:ascii="Verdana" w:eastAsia="Calibri" w:hAnsi="Verdana" w:cs="Arial"/>
                <w:b/>
                <w:kern w:val="2"/>
                <w:sz w:val="24"/>
                <w:szCs w:val="24"/>
                <w:lang w:val="es-ES_tradnl" w:eastAsia="es-ES_tradnl"/>
                <w14:ligatures w14:val="standardContextual"/>
              </w:rPr>
              <w:t>Temas:</w:t>
            </w:r>
            <w:r w:rsidRPr="009C1079">
              <w:rPr>
                <w:rFonts w:ascii="Verdana" w:eastAsia="Calibri" w:hAnsi="Verdana" w:cs="Arial"/>
                <w:kern w:val="2"/>
                <w:sz w:val="24"/>
                <w:szCs w:val="24"/>
                <w:lang w:val="es-ES_tradnl" w:eastAsia="es-ES_tradnl"/>
                <w14:ligatures w14:val="standardContextual"/>
              </w:rPr>
              <w:t xml:space="preserve">                   </w:t>
            </w:r>
          </w:p>
        </w:tc>
        <w:tc>
          <w:tcPr>
            <w:tcW w:w="6383" w:type="dxa"/>
          </w:tcPr>
          <w:p w14:paraId="3656A104" w14:textId="77777777" w:rsidR="009C1079" w:rsidRPr="009C1079" w:rsidRDefault="009C1079" w:rsidP="009C1079">
            <w:pPr>
              <w:widowControl w:val="0"/>
              <w:autoSpaceDE w:val="0"/>
              <w:autoSpaceDN w:val="0"/>
              <w:spacing w:line="278" w:lineRule="auto"/>
              <w:jc w:val="both"/>
              <w:rPr>
                <w:rFonts w:ascii="Verdana" w:eastAsia="Calibri" w:hAnsi="Verdana" w:cs="Times New Roman"/>
                <w:kern w:val="2"/>
                <w:sz w:val="24"/>
                <w:szCs w:val="24"/>
                <w:lang w:val="es-ES"/>
                <w14:ligatures w14:val="standardContextual"/>
              </w:rPr>
            </w:pPr>
            <w:r w:rsidRPr="009C1079">
              <w:rPr>
                <w:rFonts w:ascii="Verdana" w:eastAsia="Calibri" w:hAnsi="Verdana" w:cs="Arial"/>
                <w:kern w:val="2"/>
                <w:sz w:val="24"/>
                <w:szCs w:val="24"/>
                <w:lang w:val="es-ES_tradnl"/>
                <w14:ligatures w14:val="standardContextual"/>
              </w:rPr>
              <w:t xml:space="preserve">DOCUMENTOS TIPO – Fundamento normativo – Obligatoriedad / DOCUMENTOS TIPO – Adopción – Implementación / DOCUMENTOS TIPO – Sectores – Vigentes / DOCUMENTOS TIPO – Colombia Compra Eficiente – Facultad de estandarización / </w:t>
            </w:r>
            <w:r w:rsidRPr="009C1079">
              <w:rPr>
                <w:rFonts w:ascii="Verdana" w:eastAsia="Calibri" w:hAnsi="Verdana" w:cs="Times New Roman"/>
                <w:kern w:val="2"/>
                <w:sz w:val="24"/>
                <w:szCs w:val="24"/>
                <w:lang w:val="es-ES"/>
                <w14:ligatures w14:val="standardContextual"/>
              </w:rPr>
              <w:t>DOCUMENTOS TIPO – Inalterabilidad – Alcance / DECRETO 287 DE 2026 – Incidencia – Documentos tipo / DECRETO 287 DE 2026 – Documentos tipo – Licitación Pública – Selección abreviada de menor cuantía – Concurso de méritos – Requisitos habilitantes / DECRETO 287 DE 2026 – Documentos tipo – Licitación Pública – Concurso de méritos – Factores de evaluación / DECRETO 287 DE 2026 – Documentos tipo – Ejecución contractual / DOCUMENTOS TIPO – Decreto 287 de 2026 – Aplicación / DOCUMENTOS TIPO – Decreto 287 de 2026 – Aplicación – Necesidad de modificación – Agencia Nacional de Contratación Pública / DOCUMENTOS TIPO – Decreto 287 de 2026 – Modificación – Colombia Compra Eficiente</w:t>
            </w:r>
          </w:p>
          <w:p w14:paraId="346BF59D" w14:textId="77777777" w:rsidR="009C1079" w:rsidRPr="009C1079" w:rsidRDefault="009C1079" w:rsidP="009C1079">
            <w:pPr>
              <w:widowControl w:val="0"/>
              <w:autoSpaceDE w:val="0"/>
              <w:autoSpaceDN w:val="0"/>
              <w:spacing w:line="278" w:lineRule="auto"/>
              <w:jc w:val="both"/>
              <w:rPr>
                <w:rFonts w:ascii="Verdana" w:eastAsia="Calibri" w:hAnsi="Verdana" w:cs="Times New Roman"/>
                <w:kern w:val="2"/>
                <w:sz w:val="24"/>
                <w:szCs w:val="24"/>
                <w:highlight w:val="yellow"/>
                <w:lang w:val="es-ES"/>
                <w14:ligatures w14:val="standardContextual"/>
              </w:rPr>
            </w:pPr>
          </w:p>
        </w:tc>
      </w:tr>
      <w:tr w:rsidR="009C1079" w:rsidRPr="009C1079" w14:paraId="679D6420" w14:textId="77777777" w:rsidTr="00C80FF3">
        <w:tc>
          <w:tcPr>
            <w:tcW w:w="1985" w:type="dxa"/>
          </w:tcPr>
          <w:p w14:paraId="0377F500" w14:textId="77777777" w:rsidR="009C1079" w:rsidRPr="009C1079" w:rsidRDefault="009C1079" w:rsidP="009C1079">
            <w:pPr>
              <w:spacing w:line="278" w:lineRule="auto"/>
              <w:jc w:val="both"/>
              <w:rPr>
                <w:rFonts w:ascii="Verdana" w:eastAsia="Calibri" w:hAnsi="Verdana" w:cs="Arial"/>
                <w:b/>
                <w:kern w:val="2"/>
                <w:sz w:val="24"/>
                <w:szCs w:val="24"/>
                <w:lang w:val="es-ES_tradnl" w:eastAsia="es-ES_tradnl"/>
                <w14:ligatures w14:val="standardContextual"/>
              </w:rPr>
            </w:pPr>
            <w:r w:rsidRPr="009C1079">
              <w:rPr>
                <w:rFonts w:ascii="Verdana" w:eastAsia="Calibri" w:hAnsi="Verdana" w:cs="Arial"/>
                <w:b/>
                <w:kern w:val="2"/>
                <w:sz w:val="24"/>
                <w:szCs w:val="24"/>
                <w:lang w:val="es-ES_tradnl" w:eastAsia="es-ES_tradnl"/>
                <w14:ligatures w14:val="standardContextual"/>
              </w:rPr>
              <w:lastRenderedPageBreak/>
              <w:t>Radicación:</w:t>
            </w:r>
            <w:r w:rsidRPr="009C1079">
              <w:rPr>
                <w:rFonts w:ascii="Verdana" w:eastAsia="Calibri" w:hAnsi="Verdana" w:cs="Arial"/>
                <w:kern w:val="2"/>
                <w:sz w:val="24"/>
                <w:szCs w:val="24"/>
                <w:lang w:val="es-ES_tradnl" w:eastAsia="es-ES_tradnl"/>
                <w14:ligatures w14:val="standardContextual"/>
              </w:rPr>
              <w:t xml:space="preserve">               </w:t>
            </w:r>
          </w:p>
        </w:tc>
        <w:tc>
          <w:tcPr>
            <w:tcW w:w="6383" w:type="dxa"/>
          </w:tcPr>
          <w:p w14:paraId="2BFEC377" w14:textId="77777777" w:rsidR="009C1079" w:rsidRPr="009C1079" w:rsidRDefault="009C1079" w:rsidP="009C1079">
            <w:pPr>
              <w:spacing w:line="278" w:lineRule="auto"/>
              <w:ind w:left="3" w:hanging="3"/>
              <w:jc w:val="both"/>
              <w:rPr>
                <w:rFonts w:ascii="Verdana" w:eastAsia="Calibri" w:hAnsi="Verdana" w:cs="Arial"/>
                <w:kern w:val="2"/>
                <w:sz w:val="24"/>
                <w:szCs w:val="24"/>
                <w:lang w:val="es-ES_tradnl" w:eastAsia="es-ES_tradnl"/>
                <w14:ligatures w14:val="standardContextual"/>
              </w:rPr>
            </w:pPr>
            <w:r w:rsidRPr="009C1079">
              <w:rPr>
                <w:rFonts w:ascii="Verdana" w:eastAsia="Calibri" w:hAnsi="Verdana" w:cs="Arial"/>
                <w:kern w:val="2"/>
                <w:sz w:val="24"/>
                <w:szCs w:val="24"/>
                <w:lang w:val="es-ES_tradnl" w:eastAsia="es-ES_tradnl"/>
                <w14:ligatures w14:val="standardContextual"/>
              </w:rPr>
              <w:t>Respuesta a consulta con radicado No. 1_2026_03_26_004226</w:t>
            </w:r>
          </w:p>
        </w:tc>
      </w:tr>
    </w:tbl>
    <w:p w14:paraId="1C170CCC" w14:textId="77777777" w:rsidR="009C1079" w:rsidRPr="009C1079" w:rsidRDefault="009C1079" w:rsidP="009C1079">
      <w:pPr>
        <w:spacing w:after="0" w:line="240" w:lineRule="auto"/>
        <w:jc w:val="both"/>
        <w:rPr>
          <w:rFonts w:ascii="Verdana" w:eastAsia="Calibri" w:hAnsi="Verdana" w:cs="Arial"/>
          <w:lang w:val="es-ES_tradnl" w:eastAsia="es-ES_tradnl"/>
        </w:rPr>
      </w:pPr>
    </w:p>
    <w:p w14:paraId="3B52BA89" w14:textId="77777777" w:rsidR="009C1079" w:rsidRPr="009C1079" w:rsidRDefault="009C1079" w:rsidP="009C1079">
      <w:pPr>
        <w:spacing w:after="0" w:line="276" w:lineRule="auto"/>
        <w:jc w:val="both"/>
        <w:rPr>
          <w:rFonts w:ascii="Verdana" w:eastAsia="Calibri" w:hAnsi="Verdana" w:cs="Arial"/>
          <w:lang w:val="es-ES" w:eastAsia="es-ES"/>
        </w:rPr>
      </w:pPr>
      <w:r w:rsidRPr="009C1079">
        <w:rPr>
          <w:rFonts w:ascii="Verdana" w:eastAsia="Calibri" w:hAnsi="Verdana" w:cs="Arial"/>
          <w:lang w:val="es-ES" w:eastAsia="es-ES"/>
        </w:rPr>
        <w:t>Estimado señor</w:t>
      </w:r>
      <w:r w:rsidRPr="009C1079">
        <w:rPr>
          <w:rFonts w:ascii="Verdana" w:eastAsia="Calibri" w:hAnsi="Verdana" w:cs="Arial"/>
          <w:kern w:val="2"/>
          <w:lang w:val="es-ES" w:eastAsia="es-ES"/>
          <w14:ligatures w14:val="standardContextual"/>
        </w:rPr>
        <w:t xml:space="preserve"> Méndez</w:t>
      </w:r>
      <w:r w:rsidRPr="009C1079">
        <w:rPr>
          <w:rFonts w:ascii="Verdana" w:eastAsia="Calibri" w:hAnsi="Verdana" w:cs="Arial"/>
          <w:kern w:val="2"/>
          <w:lang w:eastAsia="es-ES_tradnl"/>
          <w14:ligatures w14:val="standardContextual"/>
        </w:rPr>
        <w:t>:</w:t>
      </w:r>
      <w:r w:rsidRPr="009C1079">
        <w:rPr>
          <w:rFonts w:ascii="Verdana" w:eastAsia="Calibri" w:hAnsi="Verdana" w:cs="Arial"/>
          <w:lang w:val="es-ES" w:eastAsia="es-ES"/>
        </w:rPr>
        <w:t xml:space="preserve"> </w:t>
      </w:r>
    </w:p>
    <w:p w14:paraId="6FCAFE19" w14:textId="77777777" w:rsidR="009C1079" w:rsidRPr="009C1079" w:rsidRDefault="009C1079" w:rsidP="009C1079">
      <w:pPr>
        <w:tabs>
          <w:tab w:val="left" w:pos="3768"/>
        </w:tabs>
        <w:spacing w:after="0" w:line="276" w:lineRule="auto"/>
        <w:jc w:val="both"/>
        <w:rPr>
          <w:rFonts w:ascii="Verdana" w:eastAsia="Calibri" w:hAnsi="Verdana" w:cs="Arial"/>
          <w:lang w:val="es-ES" w:eastAsia="es-ES"/>
        </w:rPr>
      </w:pPr>
      <w:r w:rsidRPr="009C1079">
        <w:rPr>
          <w:rFonts w:ascii="Verdana" w:eastAsia="Calibri" w:hAnsi="Verdana" w:cs="Arial"/>
          <w:lang w:val="es-ES" w:eastAsia="es-ES"/>
        </w:rPr>
        <w:t xml:space="preserve"> </w:t>
      </w:r>
    </w:p>
    <w:p w14:paraId="5982E73D" w14:textId="77777777" w:rsidR="009C1079" w:rsidRPr="009C1079" w:rsidRDefault="009C1079" w:rsidP="009C1079">
      <w:pPr>
        <w:spacing w:after="0" w:line="276" w:lineRule="auto"/>
        <w:jc w:val="both"/>
        <w:rPr>
          <w:rFonts w:ascii="Verdana" w:eastAsia="Calibri" w:hAnsi="Verdana" w:cs="Arial"/>
          <w:lang w:val="es-ES" w:eastAsia="es-ES"/>
        </w:rPr>
      </w:pPr>
      <w:r w:rsidRPr="009C1079">
        <w:rPr>
          <w:rFonts w:ascii="Verdana" w:eastAsia="Calibri" w:hAnsi="Verdana" w:cs="Arial"/>
          <w:lang w:val="es-ES" w:eastAsia="es-ES"/>
        </w:rPr>
        <w:t>En ejercicio de la competencia otorgada por los artículos 3, numeral 5º, y 11, numeral 8º, del Decreto Ley 4170 de 2011,</w:t>
      </w:r>
      <w:r w:rsidRPr="009C1079">
        <w:rPr>
          <w:rFonts w:ascii="Verdana" w:eastAsia="Arial MT" w:hAnsi="Verdana" w:cs="Arial MT"/>
          <w:lang w:val="es-ES" w:eastAsia="es-ES"/>
        </w:rPr>
        <w:t xml:space="preserve"> </w:t>
      </w:r>
      <w:r w:rsidRPr="009C1079">
        <w:rPr>
          <w:rFonts w:ascii="Verdana" w:eastAsia="Calibri" w:hAnsi="Verdana" w:cs="Arial"/>
        </w:rPr>
        <w:t xml:space="preserve">así como lo establecido en la Resolución No. 469 del 2025 expedida por esta Entidad, </w:t>
      </w:r>
      <w:r w:rsidRPr="009C1079">
        <w:rPr>
          <w:rFonts w:ascii="Verdana" w:eastAsia="Calibri" w:hAnsi="Verdana" w:cs="Arial"/>
          <w:lang w:val="es-ES" w:eastAsia="es-ES"/>
        </w:rPr>
        <w:t>la Agencia Nacional de Contratación Pública – Colombia Compra Eficiente– responde su solicitud de consulta del 26 de marzo de 2026, en la cual manifiesta lo siguiente:</w:t>
      </w:r>
    </w:p>
    <w:p w14:paraId="0DEDE70E" w14:textId="77777777" w:rsidR="009C1079" w:rsidRPr="009C1079" w:rsidRDefault="009C1079" w:rsidP="009C1079">
      <w:pPr>
        <w:spacing w:after="120" w:line="276" w:lineRule="auto"/>
        <w:jc w:val="both"/>
        <w:rPr>
          <w:rFonts w:ascii="Verdana" w:eastAsia="Calibri" w:hAnsi="Verdana" w:cs="Arial"/>
          <w:lang w:val="es-ES" w:eastAsia="es-ES"/>
        </w:rPr>
      </w:pPr>
    </w:p>
    <w:p w14:paraId="7AC5BA08" w14:textId="77777777" w:rsidR="009C1079" w:rsidRPr="009C1079" w:rsidRDefault="009C1079" w:rsidP="009C1079">
      <w:pPr>
        <w:spacing w:after="120" w:line="278" w:lineRule="auto"/>
        <w:ind w:left="709" w:right="709"/>
        <w:jc w:val="both"/>
        <w:rPr>
          <w:rFonts w:ascii="Verdana" w:eastAsia="Aptos" w:hAnsi="Verdana" w:cs="Times New Roman"/>
          <w:kern w:val="2"/>
          <w:sz w:val="20"/>
          <w:szCs w:val="20"/>
          <w14:ligatures w14:val="standardContextual"/>
        </w:rPr>
      </w:pPr>
      <w:r w:rsidRPr="009C1079">
        <w:rPr>
          <w:rFonts w:ascii="Verdana" w:eastAsia="Aptos" w:hAnsi="Verdana" w:cs="Helvetica"/>
          <w:color w:val="000000"/>
          <w:sz w:val="20"/>
          <w:szCs w:val="20"/>
          <w14:ligatures w14:val="standardContextual"/>
        </w:rPr>
        <w:t>“</w:t>
      </w:r>
      <w:r w:rsidRPr="009C1079">
        <w:rPr>
          <w:rFonts w:ascii="Verdana" w:eastAsia="Aptos" w:hAnsi="Verdana" w:cs="Times New Roman"/>
          <w:kern w:val="2"/>
          <w:sz w:val="20"/>
          <w:szCs w:val="20"/>
          <w14:ligatures w14:val="standardContextual"/>
        </w:rPr>
        <w:t>En el marco de la aplicación de los Documentos Tipo de licitación de obra pública de infraestructura de transporte, me permito solicitar aclaración respecto del puntaje que debe otorgarse a los proponentes por la vinculación de personas en condición de discapacidad.</w:t>
      </w:r>
    </w:p>
    <w:p w14:paraId="0E7EBCB8" w14:textId="77777777" w:rsidR="009C1079" w:rsidRPr="009C1079" w:rsidRDefault="009C1079" w:rsidP="009C1079">
      <w:pPr>
        <w:spacing w:after="120" w:line="278" w:lineRule="auto"/>
        <w:ind w:left="709" w:right="709"/>
        <w:jc w:val="both"/>
        <w:rPr>
          <w:rFonts w:ascii="Verdana" w:eastAsia="Aptos" w:hAnsi="Verdana" w:cs="Times New Roman"/>
          <w:kern w:val="2"/>
          <w:sz w:val="20"/>
          <w:szCs w:val="20"/>
          <w14:ligatures w14:val="standardContextual"/>
        </w:rPr>
      </w:pPr>
      <w:r w:rsidRPr="009C1079">
        <w:rPr>
          <w:rFonts w:ascii="Verdana" w:eastAsia="Aptos" w:hAnsi="Verdana" w:cs="Times New Roman"/>
          <w:kern w:val="2"/>
          <w:sz w:val="20"/>
          <w:szCs w:val="20"/>
          <w14:ligatures w14:val="standardContextual"/>
        </w:rPr>
        <w:t>1. El cuadro de evaluación contenido en el Capítulo IV de los pliegos tipo establece un puntaje máximo de 1 punto por vinculación de personas con discapacidad.</w:t>
      </w:r>
    </w:p>
    <w:p w14:paraId="2F1AA368" w14:textId="77777777" w:rsidR="009C1079" w:rsidRPr="009C1079" w:rsidRDefault="009C1079" w:rsidP="009C1079">
      <w:pPr>
        <w:spacing w:after="120" w:line="278" w:lineRule="auto"/>
        <w:ind w:left="709" w:right="709"/>
        <w:jc w:val="both"/>
        <w:rPr>
          <w:rFonts w:ascii="Verdana" w:eastAsia="Aptos" w:hAnsi="Verdana" w:cs="Times New Roman"/>
          <w:kern w:val="2"/>
          <w:sz w:val="20"/>
          <w:szCs w:val="20"/>
          <w14:ligatures w14:val="standardContextual"/>
        </w:rPr>
      </w:pPr>
      <w:r w:rsidRPr="009C1079">
        <w:rPr>
          <w:rFonts w:ascii="Verdana" w:eastAsia="Aptos" w:hAnsi="Verdana" w:cs="Times New Roman"/>
          <w:kern w:val="2"/>
          <w:sz w:val="20"/>
          <w:szCs w:val="20"/>
          <w14:ligatures w14:val="standardContextual"/>
        </w:rPr>
        <w:t>2. Sin embargo, el Decreto 287 de 2026, que modificó el artículo 2.2.1.2.4.2.6 del Decreto 1082 de 2015, dispone que el puntaje adicional en favor de las personas con discapacidad corresponde al 2% del total del proceso de evaluación, lo que equivale a 2 puntos adicionales en un proceso de 100 puntos.</w:t>
      </w:r>
    </w:p>
    <w:p w14:paraId="2BFB87FA" w14:textId="77777777" w:rsidR="009C1079" w:rsidRPr="009C1079" w:rsidRDefault="009C1079" w:rsidP="009C1079">
      <w:pPr>
        <w:spacing w:after="120" w:line="278" w:lineRule="auto"/>
        <w:ind w:left="709" w:right="709"/>
        <w:jc w:val="both"/>
        <w:rPr>
          <w:rFonts w:ascii="Verdana" w:eastAsia="Aptos" w:hAnsi="Verdana" w:cs="Times New Roman"/>
          <w:kern w:val="2"/>
          <w:sz w:val="20"/>
          <w:szCs w:val="20"/>
          <w14:ligatures w14:val="standardContextual"/>
        </w:rPr>
      </w:pPr>
      <w:r w:rsidRPr="009C1079">
        <w:rPr>
          <w:rFonts w:ascii="Verdana" w:eastAsia="Aptos" w:hAnsi="Verdana" w:cs="Times New Roman"/>
          <w:kern w:val="2"/>
          <w:sz w:val="20"/>
          <w:szCs w:val="20"/>
          <w14:ligatures w14:val="standardContextual"/>
        </w:rPr>
        <w:t>3. En aplicación del acápite 1.17 de los pliegos tipo (normas de interpretación del pliego de condiciones), debe prevalecer la norma reglamentaria superior. No obstante, el decreto no derogó expresamente el punto previsto en los pliegos tipo, lo que genera la duda jurídica de si el puntaje aplicable es únicamente 2 puntos (sustitución) o si corresponde a 3 puntos en total (1 del pliego + 2 del decreto).</w:t>
      </w:r>
    </w:p>
    <w:p w14:paraId="6B9C4853" w14:textId="77777777" w:rsidR="009C1079" w:rsidRPr="009C1079" w:rsidRDefault="009C1079" w:rsidP="009C1079">
      <w:pPr>
        <w:spacing w:after="120" w:line="278" w:lineRule="auto"/>
        <w:ind w:left="709" w:right="709"/>
        <w:jc w:val="both"/>
        <w:rPr>
          <w:rFonts w:ascii="Verdana" w:eastAsia="Aptos" w:hAnsi="Verdana" w:cs="Times New Roman"/>
          <w:kern w:val="2"/>
          <w:sz w:val="20"/>
          <w:szCs w:val="20"/>
          <w14:ligatures w14:val="standardContextual"/>
        </w:rPr>
      </w:pPr>
      <w:r w:rsidRPr="009C1079">
        <w:rPr>
          <w:rFonts w:ascii="Verdana" w:eastAsia="Aptos" w:hAnsi="Verdana" w:cs="Times New Roman"/>
          <w:kern w:val="2"/>
          <w:sz w:val="20"/>
          <w:szCs w:val="20"/>
          <w14:ligatures w14:val="standardContextual"/>
        </w:rPr>
        <w:t>Por lo anterior, solicito a Colombia Compra Eficiente emitir una aclaración oficial sobre:</w:t>
      </w:r>
    </w:p>
    <w:p w14:paraId="658F956E" w14:textId="77777777" w:rsidR="009C1079" w:rsidRPr="009C1079" w:rsidRDefault="009C1079" w:rsidP="009C1079">
      <w:pPr>
        <w:spacing w:after="120" w:line="278" w:lineRule="auto"/>
        <w:ind w:left="709" w:right="709"/>
        <w:jc w:val="both"/>
        <w:rPr>
          <w:rFonts w:ascii="Verdana" w:eastAsia="Aptos" w:hAnsi="Verdana" w:cs="Times New Roman"/>
          <w:kern w:val="2"/>
          <w:sz w:val="20"/>
          <w:szCs w:val="20"/>
          <w14:ligatures w14:val="standardContextual"/>
        </w:rPr>
      </w:pPr>
      <w:r w:rsidRPr="009C1079">
        <w:rPr>
          <w:rFonts w:ascii="Verdana" w:eastAsia="Aptos" w:hAnsi="Verdana" w:cs="Times New Roman"/>
          <w:kern w:val="2"/>
          <w:sz w:val="20"/>
          <w:szCs w:val="20"/>
          <w14:ligatures w14:val="standardContextual"/>
        </w:rPr>
        <w:t>- El valor real del puntaje que debe concederse por vinculación de personas con discapacidad en los procesos de licitación pública.</w:t>
      </w:r>
    </w:p>
    <w:p w14:paraId="506491C6" w14:textId="77777777" w:rsidR="009C1079" w:rsidRPr="009C1079" w:rsidRDefault="009C1079" w:rsidP="009C1079">
      <w:pPr>
        <w:spacing w:after="120" w:line="278" w:lineRule="auto"/>
        <w:ind w:left="709" w:right="709"/>
        <w:jc w:val="both"/>
        <w:rPr>
          <w:rFonts w:ascii="Verdana" w:eastAsia="Aptos" w:hAnsi="Verdana" w:cs="Times New Roman"/>
          <w:kern w:val="2"/>
          <w:sz w:val="20"/>
          <w:szCs w:val="20"/>
          <w14:ligatures w14:val="standardContextual"/>
        </w:rPr>
      </w:pPr>
      <w:r w:rsidRPr="009C1079">
        <w:rPr>
          <w:rFonts w:ascii="Verdana" w:eastAsia="Aptos" w:hAnsi="Verdana" w:cs="Times New Roman"/>
          <w:kern w:val="2"/>
          <w:sz w:val="20"/>
          <w:szCs w:val="20"/>
          <w14:ligatures w14:val="standardContextual"/>
        </w:rPr>
        <w:lastRenderedPageBreak/>
        <w:t>- Si el puntaje de 1 punto de los pliegos tipo se entiende derogado o subsumido por el Decreto 287 de 2026, o si debe sumarse al 2% adicional previsto en dicho decreto.</w:t>
      </w:r>
    </w:p>
    <w:p w14:paraId="3D393996" w14:textId="77777777" w:rsidR="009C1079" w:rsidRPr="009C1079" w:rsidRDefault="009C1079" w:rsidP="009C1079">
      <w:pPr>
        <w:spacing w:after="0" w:line="278" w:lineRule="auto"/>
        <w:ind w:left="709" w:right="709"/>
        <w:jc w:val="both"/>
        <w:rPr>
          <w:rFonts w:ascii="Verdana" w:eastAsia="Aptos" w:hAnsi="Verdana" w:cs="Times New Roman"/>
          <w:kern w:val="2"/>
          <w:sz w:val="20"/>
          <w:szCs w:val="20"/>
          <w14:ligatures w14:val="standardContextual"/>
        </w:rPr>
      </w:pPr>
      <w:r w:rsidRPr="009C1079">
        <w:rPr>
          <w:rFonts w:ascii="Verdana" w:eastAsia="Aptos" w:hAnsi="Verdana" w:cs="Times New Roman"/>
          <w:kern w:val="2"/>
          <w:sz w:val="20"/>
          <w:szCs w:val="20"/>
          <w14:ligatures w14:val="standardContextual"/>
        </w:rPr>
        <w:t>Esta aclaración resulta fundamental para garantizar la seguridad jurídica, la igualdad material y la correcta aplicación de las acciones afirmativas en favor de las personas con discapacidad en la contratación pública.”.</w:t>
      </w:r>
    </w:p>
    <w:p w14:paraId="57631578" w14:textId="77777777" w:rsidR="009C1079" w:rsidRPr="009C1079" w:rsidRDefault="009C1079" w:rsidP="009C1079">
      <w:pPr>
        <w:spacing w:after="0" w:line="240" w:lineRule="auto"/>
        <w:ind w:left="709" w:right="709"/>
        <w:jc w:val="both"/>
        <w:rPr>
          <w:rFonts w:ascii="Aptos" w:eastAsia="Aptos" w:hAnsi="Aptos" w:cs="Times New Roman"/>
          <w:kern w:val="2"/>
          <w:sz w:val="24"/>
          <w:szCs w:val="24"/>
          <w14:ligatures w14:val="standardContextual"/>
        </w:rPr>
      </w:pPr>
    </w:p>
    <w:p w14:paraId="0F3B7E9A" w14:textId="77777777" w:rsidR="009C1079" w:rsidRPr="009C1079" w:rsidRDefault="009C1079" w:rsidP="009C1079">
      <w:pPr>
        <w:spacing w:after="120" w:line="276" w:lineRule="auto"/>
        <w:ind w:firstLine="709"/>
        <w:jc w:val="both"/>
        <w:rPr>
          <w:rFonts w:ascii="Verdana" w:eastAsia="Calibri" w:hAnsi="Verdana" w:cs="Arial"/>
          <w:color w:val="000000"/>
          <w:lang w:val="es-ES" w:eastAsia="es-ES"/>
        </w:rPr>
      </w:pPr>
      <w:r w:rsidRPr="009C1079">
        <w:rPr>
          <w:rFonts w:ascii="Verdana" w:eastAsia="Calibri" w:hAnsi="Verdana" w:cs="Arial"/>
          <w:color w:val="000000"/>
          <w:lang w:val="es-ES" w:eastAsia="es-ES"/>
        </w:rPr>
        <w:t xml:space="preserve">De manera preliminar, resulta necesario acotar que esta entidad sólo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p>
    <w:p w14:paraId="7874A3E5" w14:textId="77777777" w:rsidR="009C1079" w:rsidRPr="009C1079" w:rsidRDefault="009C1079" w:rsidP="009C1079">
      <w:pPr>
        <w:spacing w:after="0" w:line="276" w:lineRule="auto"/>
        <w:ind w:firstLine="709"/>
        <w:jc w:val="both"/>
        <w:rPr>
          <w:rFonts w:ascii="Verdana" w:eastAsia="Calibri" w:hAnsi="Verdana" w:cs="Arial"/>
          <w:color w:val="000000"/>
          <w:lang w:val="es-ES" w:eastAsia="es-ES"/>
        </w:rPr>
      </w:pPr>
      <w:r w:rsidRPr="009C1079">
        <w:rPr>
          <w:rFonts w:ascii="Verdana" w:eastAsia="Calibri" w:hAnsi="Verdana" w:cs="Arial"/>
          <w:color w:val="000000"/>
          <w:lang w:val="es-ES" w:eastAsia="es-ES"/>
        </w:rPr>
        <w:t>Conforme lo expuesto, en aras de satisfacer el derecho fundamental de petición se resolverá su consulta dentro de los límites de la referida competencia consultiva, esto es, haciendo abstracción de las circunstancias particulares y concretas que menciona en las preguntas de la solicitud, pero haciendo unas consideraciones sobre las normas generales relacionadas con el</w:t>
      </w:r>
      <w:r w:rsidRPr="009C1079">
        <w:rPr>
          <w:rFonts w:ascii="Verdana" w:eastAsia="Calibri" w:hAnsi="Verdana" w:cs="Arial"/>
          <w:color w:val="7030A0"/>
          <w:lang w:val="es-ES" w:eastAsia="es-ES"/>
        </w:rPr>
        <w:t xml:space="preserve"> </w:t>
      </w:r>
      <w:r w:rsidRPr="009C1079">
        <w:rPr>
          <w:rFonts w:ascii="Verdana" w:eastAsia="Calibri" w:hAnsi="Verdana" w:cs="Arial"/>
          <w:color w:val="000000"/>
          <w:lang w:val="es-ES" w:eastAsia="es-ES"/>
        </w:rPr>
        <w:t>problema</w:t>
      </w:r>
      <w:r w:rsidRPr="009C1079">
        <w:rPr>
          <w:rFonts w:ascii="Verdana" w:eastAsia="Calibri" w:hAnsi="Verdana" w:cs="Arial"/>
          <w:color w:val="7030A0"/>
          <w:lang w:val="es-ES" w:eastAsia="es-ES"/>
        </w:rPr>
        <w:t xml:space="preserve"> </w:t>
      </w:r>
      <w:r w:rsidRPr="009C1079">
        <w:rPr>
          <w:rFonts w:ascii="Verdana" w:eastAsia="Calibri" w:hAnsi="Verdana" w:cs="Arial"/>
          <w:color w:val="000000"/>
          <w:lang w:val="es-ES" w:eastAsia="es-ES"/>
        </w:rPr>
        <w:t>jurídico</w:t>
      </w:r>
      <w:r w:rsidRPr="009C1079">
        <w:rPr>
          <w:rFonts w:ascii="Verdana" w:eastAsia="Calibri" w:hAnsi="Verdana" w:cs="Arial"/>
          <w:color w:val="7030A0"/>
          <w:lang w:val="es-ES" w:eastAsia="es-ES"/>
        </w:rPr>
        <w:t xml:space="preserve"> </w:t>
      </w:r>
      <w:r w:rsidRPr="009C1079">
        <w:rPr>
          <w:rFonts w:ascii="Verdana" w:eastAsia="Calibri" w:hAnsi="Verdana" w:cs="Arial"/>
          <w:color w:val="000000"/>
          <w:lang w:val="es-ES" w:eastAsia="es-ES"/>
        </w:rPr>
        <w:t xml:space="preserve">de su consulta. </w:t>
      </w:r>
    </w:p>
    <w:p w14:paraId="2DC0931C" w14:textId="77777777" w:rsidR="009C1079" w:rsidRPr="009C1079" w:rsidRDefault="009C1079" w:rsidP="009C1079">
      <w:pPr>
        <w:tabs>
          <w:tab w:val="left" w:pos="142"/>
          <w:tab w:val="left" w:pos="284"/>
        </w:tabs>
        <w:spacing w:after="0" w:line="276" w:lineRule="auto"/>
        <w:contextualSpacing/>
        <w:jc w:val="both"/>
        <w:rPr>
          <w:rFonts w:ascii="Verdana" w:eastAsia="Century Gothic" w:hAnsi="Verdana" w:cs="Century Gothic"/>
          <w:b/>
          <w:bCs/>
          <w:lang w:val="es-ES"/>
        </w:rPr>
      </w:pPr>
    </w:p>
    <w:p w14:paraId="4FD869DE" w14:textId="77777777" w:rsidR="009C1079" w:rsidRPr="009C1079" w:rsidRDefault="009C1079" w:rsidP="009C1079">
      <w:pPr>
        <w:tabs>
          <w:tab w:val="left" w:pos="142"/>
          <w:tab w:val="left" w:pos="284"/>
        </w:tabs>
        <w:spacing w:after="0" w:line="276" w:lineRule="auto"/>
        <w:contextualSpacing/>
        <w:jc w:val="both"/>
        <w:rPr>
          <w:rFonts w:ascii="Verdana" w:eastAsia="Century Gothic" w:hAnsi="Verdana" w:cs="Century Gothic"/>
          <w:b/>
          <w:bCs/>
          <w:lang w:val="es-ES"/>
        </w:rPr>
      </w:pPr>
      <w:r w:rsidRPr="009C1079">
        <w:rPr>
          <w:rFonts w:ascii="Verdana" w:eastAsia="Century Gothic" w:hAnsi="Verdana" w:cs="Century Gothic"/>
          <w:b/>
          <w:bCs/>
          <w:lang w:val="es-ES"/>
        </w:rPr>
        <w:t>1. Problema planteado:</w:t>
      </w:r>
    </w:p>
    <w:p w14:paraId="3C625B8A" w14:textId="77777777" w:rsidR="009C1079" w:rsidRPr="009C1079" w:rsidRDefault="009C1079" w:rsidP="009C1079">
      <w:pPr>
        <w:tabs>
          <w:tab w:val="left" w:pos="426"/>
        </w:tabs>
        <w:spacing w:after="0" w:line="276" w:lineRule="auto"/>
        <w:jc w:val="both"/>
        <w:rPr>
          <w:rFonts w:ascii="Verdana" w:eastAsia="Century Gothic" w:hAnsi="Verdana" w:cs="Century Gothic"/>
          <w:lang w:val="es-ES"/>
        </w:rPr>
      </w:pPr>
    </w:p>
    <w:p w14:paraId="245E9A92" w14:textId="77777777" w:rsidR="009C1079" w:rsidRPr="009C1079" w:rsidRDefault="009C1079" w:rsidP="009C1079">
      <w:pPr>
        <w:spacing w:after="0" w:line="276" w:lineRule="auto"/>
        <w:jc w:val="both"/>
        <w:rPr>
          <w:rFonts w:ascii="Verdana" w:eastAsia="Calibri" w:hAnsi="Verdana" w:cs="Arial"/>
          <w:bCs/>
          <w:lang w:val="es-ES_tradnl" w:eastAsia="es-ES_tradnl"/>
        </w:rPr>
      </w:pPr>
      <w:r w:rsidRPr="009C1079">
        <w:rPr>
          <w:rFonts w:ascii="Verdana" w:eastAsia="Century Gothic" w:hAnsi="Verdana" w:cs="Century Gothic"/>
        </w:rPr>
        <w:t xml:space="preserve">De acuerdo con el contenido de su solicitud, esta Agencia resolverá los siguientes problemas jurídicos: i) </w:t>
      </w:r>
      <w:r w:rsidRPr="009C1079">
        <w:rPr>
          <w:rFonts w:ascii="Verdana" w:eastAsia="Calibri" w:hAnsi="Verdana" w:cs="Arial"/>
          <w:bCs/>
          <w:lang w:val="es-ES_tradnl" w:eastAsia="es-ES_tradnl"/>
        </w:rPr>
        <w:t xml:space="preserve">¿Cuál es el alcance de la competencia prevista en el artículo 1 de la Ley 2022 de 2020?, </w:t>
      </w:r>
      <w:proofErr w:type="spellStart"/>
      <w:r w:rsidRPr="009C1079">
        <w:rPr>
          <w:rFonts w:ascii="Verdana" w:eastAsia="Calibri" w:hAnsi="Verdana" w:cs="Arial"/>
          <w:bCs/>
          <w:lang w:val="es-ES_tradnl" w:eastAsia="es-ES_tradnl"/>
        </w:rPr>
        <w:t>ii</w:t>
      </w:r>
      <w:proofErr w:type="spellEnd"/>
      <w:r w:rsidRPr="009C1079">
        <w:rPr>
          <w:rFonts w:ascii="Verdana" w:eastAsia="Calibri" w:hAnsi="Verdana" w:cs="Arial"/>
          <w:bCs/>
          <w:lang w:val="es-ES_tradnl" w:eastAsia="es-ES_tradnl"/>
        </w:rPr>
        <w:t xml:space="preserve">) ¿Cuál es el alcance de la regla de la inalterabilidad que recae sobre los documentos tipo expedidos por la Agencia Nacional de Contratación Pública – Colombia Compra Eficiente?, </w:t>
      </w:r>
      <w:proofErr w:type="spellStart"/>
      <w:r w:rsidRPr="00D30EFC">
        <w:rPr>
          <w:rFonts w:ascii="Verdana" w:eastAsia="Calibri" w:hAnsi="Verdana" w:cs="Arial"/>
          <w:bCs/>
          <w:lang w:val="es-ES_tradnl" w:eastAsia="es-ES_tradnl"/>
        </w:rPr>
        <w:t>iii</w:t>
      </w:r>
      <w:proofErr w:type="spellEnd"/>
      <w:r w:rsidRPr="00D30EFC">
        <w:rPr>
          <w:rFonts w:ascii="Verdana" w:eastAsia="Calibri" w:hAnsi="Verdana" w:cs="Arial"/>
          <w:bCs/>
          <w:lang w:val="es-ES_tradnl" w:eastAsia="es-ES_tradnl"/>
        </w:rPr>
        <w:t xml:space="preserve">) ¿Cuál es el </w:t>
      </w:r>
      <w:r w:rsidRPr="00D30EFC">
        <w:rPr>
          <w:rFonts w:ascii="Verdana" w:eastAsia="Calibri" w:hAnsi="Verdana" w:cs="Arial"/>
          <w:bCs/>
          <w:lang w:val="es-ES_tradnl" w:eastAsia="es-ES_tradnl"/>
        </w:rPr>
        <w:lastRenderedPageBreak/>
        <w:t>alcance del decreto 287 de 2026 en relación con los factores de evaluación en los documentos tipo?</w:t>
      </w:r>
      <w:r w:rsidRPr="00CC4137">
        <w:rPr>
          <w:rFonts w:ascii="Verdana" w:eastAsia="Calibri" w:hAnsi="Verdana" w:cs="Arial"/>
          <w:bCs/>
          <w:lang w:val="es-ES_tradnl" w:eastAsia="es-ES_tradnl"/>
        </w:rPr>
        <w:t xml:space="preserve"> y </w:t>
      </w:r>
      <w:proofErr w:type="spellStart"/>
      <w:r w:rsidRPr="00CC4137">
        <w:rPr>
          <w:rFonts w:ascii="Verdana" w:eastAsia="Calibri" w:hAnsi="Verdana" w:cs="Arial"/>
          <w:bCs/>
          <w:lang w:val="es-ES_tradnl" w:eastAsia="es-ES_tradnl"/>
        </w:rPr>
        <w:t>iv</w:t>
      </w:r>
      <w:proofErr w:type="spellEnd"/>
      <w:r w:rsidRPr="00CC4137">
        <w:rPr>
          <w:rFonts w:ascii="Verdana" w:eastAsia="Calibri" w:hAnsi="Verdana" w:cs="Arial"/>
          <w:bCs/>
          <w:lang w:val="es-ES_tradnl" w:eastAsia="es-ES_tradnl"/>
        </w:rPr>
        <w:t>) ¿Pue</w:t>
      </w:r>
      <w:r w:rsidRPr="009C1079">
        <w:rPr>
          <w:rFonts w:ascii="Verdana" w:eastAsia="Calibri" w:hAnsi="Verdana" w:cs="Arial"/>
          <w:bCs/>
          <w:lang w:val="es-ES_tradnl" w:eastAsia="es-ES_tradnl"/>
        </w:rPr>
        <w:t>den las entidades estatales que adelantan procedimientos de selección con los documentos tipo expedidos por la Agencia Nacional de Contratación Pública – Colombia Compra Eficiente incorporar las previsiones contenidas en el Decreto 287 de 2026 en estos documentos o deben esperar a que la Agencia realice su incorporación?</w:t>
      </w:r>
    </w:p>
    <w:p w14:paraId="5C5C99EB" w14:textId="77777777" w:rsidR="009C1079" w:rsidRPr="009C1079" w:rsidRDefault="009C1079" w:rsidP="009C1079">
      <w:pPr>
        <w:spacing w:after="0" w:line="276" w:lineRule="auto"/>
        <w:jc w:val="both"/>
        <w:rPr>
          <w:rFonts w:ascii="Verdana" w:eastAsia="Century Gothic" w:hAnsi="Verdana" w:cs="Century Gothic"/>
          <w:lang w:val="es-ES_tradnl"/>
        </w:rPr>
      </w:pPr>
    </w:p>
    <w:p w14:paraId="6789C621" w14:textId="77777777" w:rsidR="009C1079" w:rsidRPr="009C1079" w:rsidRDefault="009C1079" w:rsidP="009C1079">
      <w:pPr>
        <w:tabs>
          <w:tab w:val="left" w:pos="142"/>
          <w:tab w:val="left" w:pos="284"/>
        </w:tabs>
        <w:spacing w:after="0" w:line="276" w:lineRule="auto"/>
        <w:contextualSpacing/>
        <w:jc w:val="both"/>
        <w:rPr>
          <w:rFonts w:ascii="Verdana" w:eastAsia="Century Gothic" w:hAnsi="Verdana" w:cs="Century Gothic"/>
          <w:b/>
          <w:bCs/>
          <w:lang w:val="es-ES"/>
        </w:rPr>
      </w:pPr>
      <w:r w:rsidRPr="009C1079">
        <w:rPr>
          <w:rFonts w:ascii="Verdana" w:eastAsia="Century Gothic" w:hAnsi="Verdana" w:cs="Century Gothic"/>
          <w:b/>
          <w:bCs/>
          <w:lang w:val="es-ES"/>
        </w:rPr>
        <w:t>2. Respuestas:</w:t>
      </w:r>
    </w:p>
    <w:p w14:paraId="2B82C033" w14:textId="77777777" w:rsidR="009C1079" w:rsidRPr="009C1079" w:rsidRDefault="009C1079" w:rsidP="009C1079">
      <w:pPr>
        <w:tabs>
          <w:tab w:val="left" w:pos="142"/>
          <w:tab w:val="left" w:pos="284"/>
        </w:tabs>
        <w:spacing w:after="0" w:line="276" w:lineRule="auto"/>
        <w:contextualSpacing/>
        <w:jc w:val="both"/>
        <w:rPr>
          <w:rFonts w:ascii="Verdana" w:eastAsia="Century Gothic" w:hAnsi="Verdana" w:cs="Century Gothic"/>
          <w:b/>
          <w:bCs/>
          <w:lang w:val="es-ES"/>
        </w:rPr>
      </w:pPr>
    </w:p>
    <w:tbl>
      <w:tblPr>
        <w:tblStyle w:val="Tablaconcuadrcula1"/>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9C1079" w:rsidRPr="009C1079" w14:paraId="257C0BD1" w14:textId="77777777" w:rsidTr="00C80FF3">
        <w:trPr>
          <w:trHeight w:val="40"/>
        </w:trPr>
        <w:tc>
          <w:tcPr>
            <w:tcW w:w="8828" w:type="dxa"/>
            <w:tcBorders>
              <w:top w:val="dotted" w:sz="4" w:space="0" w:color="auto"/>
              <w:left w:val="dotted" w:sz="4" w:space="0" w:color="auto"/>
              <w:bottom w:val="dotted" w:sz="4" w:space="0" w:color="auto"/>
              <w:right w:val="dotted" w:sz="4" w:space="0" w:color="auto"/>
            </w:tcBorders>
          </w:tcPr>
          <w:p w14:paraId="521420B2" w14:textId="77777777" w:rsidR="009C1079" w:rsidRPr="009C1079" w:rsidRDefault="009C1079" w:rsidP="009C1079">
            <w:pPr>
              <w:spacing w:line="276" w:lineRule="auto"/>
              <w:jc w:val="both"/>
              <w:rPr>
                <w:rFonts w:ascii="Aptos" w:eastAsia="Aptos" w:hAnsi="Aptos" w:cs="Times New Roman"/>
                <w:kern w:val="2"/>
                <w:sz w:val="24"/>
                <w:szCs w:val="24"/>
                <w:lang w:val="es-MX"/>
                <w14:ligatures w14:val="standardContextual"/>
              </w:rPr>
            </w:pPr>
            <w:r w:rsidRPr="009C1079">
              <w:rPr>
                <w:rFonts w:ascii="Verdana" w:eastAsia="Times New Roman" w:hAnsi="Verdana" w:cs="Arial"/>
                <w:color w:val="000000"/>
                <w:kern w:val="2"/>
                <w:sz w:val="24"/>
                <w:szCs w:val="24"/>
                <w:lang w:val="es-ES_tradnl" w:eastAsia="es-ES_tradnl"/>
                <w14:ligatures w14:val="standardContextual"/>
              </w:rPr>
              <w:t xml:space="preserve">i. </w:t>
            </w:r>
            <w:r w:rsidRPr="009C1079">
              <w:rPr>
                <w:rFonts w:ascii="Verdana" w:eastAsia="Aptos" w:hAnsi="Verdana" w:cs="Times New Roman"/>
                <w:kern w:val="2"/>
                <w:sz w:val="24"/>
                <w:szCs w:val="24"/>
                <w:lang w:val="es-ES"/>
                <w14:ligatures w14:val="standardContextual"/>
              </w:rPr>
              <w:t>El artículo 1 de la Ley 2022 de 20202,</w:t>
            </w:r>
            <w:r w:rsidRPr="009C1079">
              <w:rPr>
                <w:rFonts w:ascii="Aptos" w:eastAsia="Aptos" w:hAnsi="Aptos" w:cs="Times New Roman"/>
                <w:kern w:val="2"/>
                <w:sz w:val="24"/>
                <w:szCs w:val="24"/>
                <w:lang w:val="es-ES"/>
                <w14:ligatures w14:val="standardContextual"/>
              </w:rPr>
              <w:t xml:space="preserve"> </w:t>
            </w:r>
            <w:r w:rsidRPr="009C1079">
              <w:rPr>
                <w:rFonts w:ascii="Verdana" w:eastAsia="Calibri" w:hAnsi="Verdana" w:cs="Arial"/>
                <w:color w:val="000000"/>
                <w:kern w:val="2"/>
                <w:sz w:val="24"/>
                <w:szCs w:val="24"/>
                <w:lang w:val="es-MX"/>
                <w14:ligatures w14:val="standardContextual"/>
              </w:rPr>
              <w:t>establece que la Agencia Nacional de Contratación Pública – Colombia Compra Eficiente o quien haga sus veces, adoptará documentos tipo que serán de obligatorio cumplimiento en la actividad contractual de todas las entidades sometidas al Estatuto General de Contratación de la Administración Pública. Así mismo, señala que, dentro de estos documentos tipo se establecerán los requisitos habilitantes, factores técnicos, económicos y otros factores de escogencia, así como aquellos requisitos que, previa justificación, representen buenas prácticas contractuales que procuren el adecuado desarrollo de los principios que rigen la contratación pública.</w:t>
            </w:r>
          </w:p>
          <w:p w14:paraId="69372108" w14:textId="77777777" w:rsidR="009C1079" w:rsidRPr="009C1079" w:rsidRDefault="009C1079" w:rsidP="009C1079">
            <w:pPr>
              <w:spacing w:before="120" w:after="120" w:line="276" w:lineRule="auto"/>
              <w:ind w:firstLine="360"/>
              <w:jc w:val="both"/>
              <w:rPr>
                <w:rFonts w:ascii="Verdana" w:eastAsia="Calibri" w:hAnsi="Verdana" w:cs="Arial"/>
                <w:color w:val="000000"/>
                <w:kern w:val="2"/>
                <w:sz w:val="24"/>
                <w:szCs w:val="24"/>
                <w:lang w:val="es-MX"/>
                <w14:ligatures w14:val="standardContextual"/>
              </w:rPr>
            </w:pPr>
            <w:r w:rsidRPr="009C1079">
              <w:rPr>
                <w:rFonts w:ascii="Verdana" w:eastAsia="Calibri" w:hAnsi="Verdana" w:cs="Arial"/>
                <w:color w:val="000000"/>
                <w:kern w:val="2"/>
                <w:sz w:val="24"/>
                <w:szCs w:val="24"/>
                <w:lang w:val="es-MX"/>
                <w14:ligatures w14:val="standardContextual"/>
              </w:rPr>
              <w:t xml:space="preserve">  Además obliga a la Agencia Nacional de Contratación Pública Colombia Compra Eficiente a fijar un cronograma y definir, en coordinación con las entidades técnicas o especializadas correspondientes, el procedimiento para implementar gradualmente los documentos tipo, con el propósito de facilitar su incorporación en el sistema de compra pública, debiendo establecer un procedimiento para recibir y revisar comentarios de los interesados, así como un sistema para la revisión constante de los documentos tipo que expida. </w:t>
            </w:r>
          </w:p>
          <w:p w14:paraId="02FB1DFB" w14:textId="77777777" w:rsidR="009C1079" w:rsidRPr="009C1079" w:rsidRDefault="009C1079" w:rsidP="009C1079">
            <w:pPr>
              <w:spacing w:before="120" w:after="120" w:line="276" w:lineRule="auto"/>
              <w:ind w:firstLine="642"/>
              <w:jc w:val="both"/>
              <w:rPr>
                <w:rFonts w:ascii="Verdana" w:eastAsia="Aptos" w:hAnsi="Verdana" w:cs="Arial"/>
                <w:kern w:val="2"/>
                <w:sz w:val="24"/>
                <w:szCs w:val="24"/>
                <w:lang w:val="es-ES"/>
                <w14:ligatures w14:val="standardContextual"/>
              </w:rPr>
            </w:pPr>
            <w:r w:rsidRPr="009C1079">
              <w:rPr>
                <w:rFonts w:ascii="Verdana" w:eastAsia="Calibri" w:hAnsi="Verdana" w:cs="Arial"/>
                <w:color w:val="000000"/>
                <w:kern w:val="2"/>
                <w:sz w:val="24"/>
                <w:szCs w:val="24"/>
                <w:lang w:val="es-MX"/>
                <w14:ligatures w14:val="standardContextual"/>
              </w:rPr>
              <w:t xml:space="preserve">Con la finalidad de realizar un desarrollo armónico y ajustado a la ley que otorga esta competencia, la Agencia Nacional de Contratación Pública expidió la Resolución 160 del 15 de septiembre de 2020 “Por la </w:t>
            </w:r>
            <w:r w:rsidRPr="009C1079">
              <w:rPr>
                <w:rFonts w:ascii="Verdana" w:eastAsia="Calibri" w:hAnsi="Verdana" w:cs="Arial"/>
                <w:color w:val="000000"/>
                <w:kern w:val="2"/>
                <w:sz w:val="24"/>
                <w:szCs w:val="24"/>
                <w:lang w:val="es-MX"/>
                <w14:ligatures w14:val="standardContextual"/>
              </w:rPr>
              <w:lastRenderedPageBreak/>
              <w:t xml:space="preserve">cual se adopta el procedimiento para implementar los documentos tipo y se define el sistema para su revisión”. Asimismo, con fundamento en dicha Ley, se </w:t>
            </w:r>
            <w:r w:rsidRPr="009C1079">
              <w:rPr>
                <w:rFonts w:ascii="Verdana" w:eastAsia="Aptos" w:hAnsi="Verdana" w:cs="Arial"/>
                <w:kern w:val="2"/>
                <w:sz w:val="24"/>
                <w:szCs w:val="24"/>
                <w:lang w:val="es-ES"/>
                <w14:ligatures w14:val="standardContextual"/>
              </w:rPr>
              <w:t>expidió diversos grupos de documentos tipo aplicables principalmente a la contratación de obras públicas de infraestructura de transporte, agua potable y saneamiento básico y social, para interventoría y consultoría de estudios de ingeniería, pero también, para la celebración de convenios solidarios con Juntas de Acción Comunal y para los procesos de gestión catastral con enfoque multipropósito. De conformidad con las modalidades de selección establecidas en el artículo 2 de la Ley 1150 de 2007, estos documentos tipo se han expedido para las modalidades de selección de licitación pública, selección abreviada de menor cuantía, mínima cuantía, concurso de méritos y contratación directa.</w:t>
            </w:r>
          </w:p>
          <w:p w14:paraId="76B9D323" w14:textId="77777777" w:rsidR="009C1079" w:rsidRPr="009C1079" w:rsidRDefault="009C1079" w:rsidP="009C1079">
            <w:pPr>
              <w:spacing w:after="120" w:line="276" w:lineRule="auto"/>
              <w:ind w:firstLine="708"/>
              <w:jc w:val="both"/>
              <w:rPr>
                <w:rFonts w:ascii="Verdana" w:eastAsia="Times New Roman" w:hAnsi="Verdana" w:cs="Arial"/>
                <w:kern w:val="2"/>
                <w:sz w:val="24"/>
                <w:szCs w:val="24"/>
                <w:lang w:eastAsia="es-MX"/>
                <w14:ligatures w14:val="standardContextual"/>
              </w:rPr>
            </w:pPr>
            <w:r w:rsidRPr="009C1079">
              <w:rPr>
                <w:rFonts w:ascii="Verdana" w:eastAsia="Times New Roman" w:hAnsi="Verdana" w:cs="Arial"/>
                <w:kern w:val="2"/>
                <w:sz w:val="24"/>
                <w:szCs w:val="24"/>
                <w:lang w:eastAsia="es-MX"/>
                <w14:ligatures w14:val="standardContextual"/>
              </w:rPr>
              <w:t xml:space="preserve">Ahora bien, como se explicó, la Ley 2022 de 2020 facultó a la Agencia Nacional de Contratación Pública – Colombia Compra Eficiente para adoptar documentos tipo. De este modo, la intención del legislador fue otorgarle esta facultad al ente rector del Sistema de Compra Pública. </w:t>
            </w:r>
          </w:p>
          <w:p w14:paraId="51E5E552" w14:textId="77777777" w:rsidR="009C1079" w:rsidRPr="009C1079" w:rsidRDefault="009C1079" w:rsidP="009C1079">
            <w:pPr>
              <w:spacing w:after="120" w:line="276" w:lineRule="auto"/>
              <w:ind w:firstLine="708"/>
              <w:jc w:val="both"/>
              <w:rPr>
                <w:rFonts w:ascii="Verdana" w:eastAsia="Times New Roman" w:hAnsi="Verdana" w:cs="Arial"/>
                <w:kern w:val="2"/>
                <w:sz w:val="24"/>
                <w:szCs w:val="24"/>
                <w:lang w:eastAsia="es-MX"/>
                <w14:ligatures w14:val="standardContextual"/>
              </w:rPr>
            </w:pPr>
            <w:r w:rsidRPr="009C1079">
              <w:rPr>
                <w:rFonts w:ascii="Verdana" w:eastAsia="Times New Roman" w:hAnsi="Verdana" w:cs="Arial"/>
                <w:kern w:val="2"/>
                <w:sz w:val="24"/>
                <w:szCs w:val="24"/>
                <w:lang w:eastAsia="es-MX"/>
                <w14:ligatures w14:val="standardContextual"/>
              </w:rPr>
              <w:t>Al respecto, la jurisprudencia constitucional ha reconocido a los organismos y a las autoridades que “en la jerarquía administrativa lo suceden al presidente de la República, una cierta competencia regulativa, de carácter residual, accesoria o auxiliar, que los habilita para insertar la voluntad del legislador en las últimas posibilidades de aplicación de la norma general</w:t>
            </w:r>
            <w:r w:rsidRPr="009C1079">
              <w:rPr>
                <w:rFonts w:ascii="Verdana" w:eastAsia="Times New Roman" w:hAnsi="Verdana" w:cs="Arial"/>
                <w:i/>
                <w:iCs/>
                <w:kern w:val="2"/>
                <w:sz w:val="24"/>
                <w:szCs w:val="24"/>
                <w:vertAlign w:val="superscript"/>
                <w:lang w:eastAsia="es-MX"/>
                <w14:ligatures w14:val="standardContextual"/>
              </w:rPr>
              <w:footnoteReference w:id="2"/>
            </w:r>
            <w:r w:rsidRPr="009C1079">
              <w:rPr>
                <w:rFonts w:ascii="Verdana" w:eastAsia="Times New Roman" w:hAnsi="Verdana" w:cs="Arial"/>
                <w:kern w:val="2"/>
                <w:sz w:val="24"/>
                <w:szCs w:val="24"/>
                <w:lang w:eastAsia="es-MX"/>
                <w14:ligatures w14:val="standardContextual"/>
              </w:rPr>
              <w:t>”</w:t>
            </w:r>
            <w:r w:rsidRPr="009C1079">
              <w:rPr>
                <w:rFonts w:ascii="Verdana" w:eastAsia="Times New Roman" w:hAnsi="Verdana" w:cs="Arial"/>
                <w:i/>
                <w:iCs/>
                <w:kern w:val="2"/>
                <w:sz w:val="24"/>
                <w:szCs w:val="24"/>
                <w:lang w:eastAsia="es-MX"/>
                <w14:ligatures w14:val="standardContextual"/>
              </w:rPr>
              <w:t>.</w:t>
            </w:r>
            <w:r w:rsidRPr="009C1079">
              <w:rPr>
                <w:rFonts w:ascii="Verdana" w:eastAsia="Times New Roman" w:hAnsi="Verdana" w:cs="Arial"/>
                <w:kern w:val="2"/>
                <w:sz w:val="24"/>
                <w:szCs w:val="24"/>
                <w:lang w:eastAsia="es-MX"/>
                <w14:ligatures w14:val="standardContextual"/>
              </w:rPr>
              <w:t xml:space="preserve"> Además, el Consejo de Estado, Sección Primera, en la Sentencia del 29 de abril de 2015, expediente 6.096, indicó que es posible que ley atribuya facultades reglamentarias a otras autoridades administrativas, particularmente a los ministerios, </w:t>
            </w:r>
            <w:r w:rsidRPr="009C1079">
              <w:rPr>
                <w:rFonts w:ascii="Verdana" w:eastAsia="Times New Roman" w:hAnsi="Verdana" w:cs="Arial"/>
                <w:kern w:val="2"/>
                <w:sz w:val="24"/>
                <w:szCs w:val="24"/>
                <w:lang w:eastAsia="es-MX"/>
                <w14:ligatures w14:val="standardContextual"/>
              </w:rPr>
              <w:lastRenderedPageBreak/>
              <w:t>sin que se entienda disminuida la potestad reglamentaria del presidente de la República</w:t>
            </w:r>
            <w:r w:rsidRPr="009C1079">
              <w:rPr>
                <w:rFonts w:ascii="Verdana" w:eastAsia="Times New Roman" w:hAnsi="Verdana" w:cs="Arial"/>
                <w:kern w:val="2"/>
                <w:sz w:val="24"/>
                <w:szCs w:val="24"/>
                <w:vertAlign w:val="superscript"/>
                <w:lang w:eastAsia="es-MX"/>
                <w14:ligatures w14:val="standardContextual"/>
              </w:rPr>
              <w:footnoteReference w:id="3"/>
            </w:r>
            <w:r w:rsidRPr="009C1079">
              <w:rPr>
                <w:rFonts w:ascii="Verdana" w:eastAsia="Times New Roman" w:hAnsi="Verdana" w:cs="Arial"/>
                <w:kern w:val="2"/>
                <w:sz w:val="24"/>
                <w:szCs w:val="24"/>
                <w:lang w:eastAsia="es-MX"/>
                <w14:ligatures w14:val="standardContextual"/>
              </w:rPr>
              <w:t xml:space="preserve">. </w:t>
            </w:r>
          </w:p>
          <w:p w14:paraId="7B9B5214" w14:textId="77777777" w:rsidR="009C1079" w:rsidRPr="009C1079" w:rsidRDefault="009C1079" w:rsidP="009C1079">
            <w:pPr>
              <w:spacing w:after="120" w:line="276" w:lineRule="auto"/>
              <w:ind w:firstLine="708"/>
              <w:jc w:val="both"/>
              <w:rPr>
                <w:rFonts w:ascii="Verdana" w:eastAsia="Times New Roman" w:hAnsi="Verdana" w:cs="Arial"/>
                <w:kern w:val="2"/>
                <w:sz w:val="24"/>
                <w:szCs w:val="24"/>
                <w:lang w:eastAsia="es-MX"/>
                <w14:ligatures w14:val="standardContextual"/>
              </w:rPr>
            </w:pPr>
            <w:r w:rsidRPr="009C1079">
              <w:rPr>
                <w:rFonts w:ascii="Verdana" w:eastAsia="Times New Roman" w:hAnsi="Verdana" w:cs="Arial"/>
                <w:kern w:val="2"/>
                <w:sz w:val="24"/>
                <w:szCs w:val="24"/>
                <w:lang w:eastAsia="es-MX"/>
                <w14:ligatures w14:val="standardContextual"/>
              </w:rPr>
              <w:t>En efecto, la Corte Constitucional, en Sentencia C-1005 de 2008, expresó que “la justificación de esta asignación de regulación gradual consiste en que precisamente son los organismos administrativos los depositarios de información relacionada de manera directa e inmediata con el funcionamiento práctico de las herramientas de creación legislativa”</w:t>
            </w:r>
            <w:r w:rsidRPr="009C1079">
              <w:rPr>
                <w:rFonts w:ascii="Verdana" w:eastAsia="Times New Roman" w:hAnsi="Verdana" w:cs="Arial"/>
                <w:kern w:val="2"/>
                <w:sz w:val="24"/>
                <w:szCs w:val="24"/>
                <w:vertAlign w:val="superscript"/>
                <w:lang w:eastAsia="es-MX"/>
                <w14:ligatures w14:val="standardContextual"/>
              </w:rPr>
              <w:footnoteReference w:id="4"/>
            </w:r>
            <w:r w:rsidRPr="009C1079">
              <w:rPr>
                <w:rFonts w:ascii="Verdana" w:eastAsia="Times New Roman" w:hAnsi="Verdana" w:cs="Arial"/>
                <w:kern w:val="2"/>
                <w:sz w:val="24"/>
                <w:szCs w:val="24"/>
                <w:lang w:eastAsia="es-MX"/>
                <w14:ligatures w14:val="standardContextual"/>
              </w:rPr>
              <w:t>, lo que implica que sean estos organismos quienes deban encargarse de aquello que la Corte ha denominado como “micro regulación de la ley”. Así mismo, en la Sentencia C-917 de 2002, señaló que “la imposibilidad de previsión total por parte del órgano legislativo es -para muchos- suficiente sustento de la necesidad de que sea una entidad técnica la que produzca el reglamento correspondiente”</w:t>
            </w:r>
            <w:r w:rsidRPr="009C1079">
              <w:rPr>
                <w:rFonts w:ascii="Verdana" w:eastAsia="Times New Roman" w:hAnsi="Verdana" w:cs="Arial"/>
                <w:kern w:val="2"/>
                <w:sz w:val="24"/>
                <w:szCs w:val="24"/>
                <w:vertAlign w:val="superscript"/>
                <w:lang w:eastAsia="es-MX"/>
                <w14:ligatures w14:val="standardContextual"/>
              </w:rPr>
              <w:footnoteReference w:id="5"/>
            </w:r>
            <w:r w:rsidRPr="009C1079">
              <w:rPr>
                <w:rFonts w:ascii="Verdana" w:eastAsia="Times New Roman" w:hAnsi="Verdana" w:cs="Arial"/>
                <w:kern w:val="2"/>
                <w:sz w:val="24"/>
                <w:szCs w:val="24"/>
                <w:lang w:eastAsia="es-MX"/>
                <w14:ligatures w14:val="standardContextual"/>
              </w:rPr>
              <w:t>.</w:t>
            </w:r>
          </w:p>
          <w:p w14:paraId="10A8BA8F" w14:textId="77777777" w:rsidR="009C1079" w:rsidRPr="009C1079" w:rsidRDefault="009C1079" w:rsidP="009C1079">
            <w:pPr>
              <w:spacing w:line="276" w:lineRule="auto"/>
              <w:ind w:firstLine="708"/>
              <w:jc w:val="both"/>
              <w:rPr>
                <w:rFonts w:ascii="Verdana" w:eastAsia="Times New Roman" w:hAnsi="Verdana" w:cs="Arial"/>
                <w:kern w:val="2"/>
                <w:sz w:val="24"/>
                <w:szCs w:val="24"/>
                <w:lang w:eastAsia="es-CO"/>
                <w14:ligatures w14:val="standardContextual"/>
              </w:rPr>
            </w:pPr>
            <w:r w:rsidRPr="009C1079">
              <w:rPr>
                <w:rFonts w:ascii="Verdana" w:eastAsia="Times New Roman" w:hAnsi="Verdana" w:cs="Arial"/>
                <w:kern w:val="2"/>
                <w:sz w:val="24"/>
                <w:szCs w:val="24"/>
                <w:lang w:eastAsia="es-CO"/>
                <w14:ligatures w14:val="standardContextual"/>
              </w:rPr>
              <w:t xml:space="preserve">En este sentido, atendiendo lo previsto en el artículo 1 la Ley 2022 de 2020, </w:t>
            </w:r>
            <w:r w:rsidRPr="009C1079">
              <w:rPr>
                <w:rFonts w:ascii="Verdana" w:eastAsia="Times New Roman" w:hAnsi="Verdana" w:cs="Arial"/>
                <w:kern w:val="2"/>
                <w:sz w:val="24"/>
                <w:szCs w:val="24"/>
                <w:lang w:eastAsia="es-ES"/>
                <w14:ligatures w14:val="standardContextual"/>
              </w:rPr>
              <w:t>debe señalarse que la Agencia Nacional de Contratación Pública – Colombia Compra Eficiente, es una Unidad Administrativa Especial, descentralizada de la Rama Ejecutiva del orden nacional, con personería jurídica, patrimonio propio y autonomía administrativa y financiera, adscrita al Departamento Nacional de Planeación</w:t>
            </w:r>
            <w:r w:rsidRPr="009C1079">
              <w:rPr>
                <w:rFonts w:ascii="Verdana" w:eastAsia="Calibri" w:hAnsi="Verdana" w:cs="Arial"/>
                <w:kern w:val="2"/>
                <w:sz w:val="24"/>
                <w:szCs w:val="24"/>
                <w:vertAlign w:val="superscript"/>
                <w:lang w:eastAsia="es-CO"/>
                <w14:ligatures w14:val="standardContextual"/>
              </w:rPr>
              <w:footnoteReference w:id="6"/>
            </w:r>
            <w:r w:rsidRPr="009C1079">
              <w:rPr>
                <w:rFonts w:ascii="Verdana" w:eastAsia="Times New Roman" w:hAnsi="Verdana" w:cs="Arial"/>
                <w:kern w:val="2"/>
                <w:sz w:val="24"/>
                <w:szCs w:val="24"/>
                <w:lang w:eastAsia="es-ES"/>
                <w14:ligatures w14:val="standardContextual"/>
              </w:rPr>
              <w:t xml:space="preserve">, que se erige como ente rector en materia de contratación pública en virtud de las funciones atribuidas por el ordenamiento jurídico, en particular en el </w:t>
            </w:r>
            <w:r w:rsidRPr="009C1079">
              <w:rPr>
                <w:rFonts w:ascii="Verdana" w:eastAsia="Times New Roman" w:hAnsi="Verdana" w:cs="Arial"/>
                <w:kern w:val="2"/>
                <w:sz w:val="24"/>
                <w:szCs w:val="24"/>
                <w:lang w:eastAsia="es-ES"/>
                <w14:ligatures w14:val="standardContextual"/>
              </w:rPr>
              <w:lastRenderedPageBreak/>
              <w:t>numeral 2 del artículo 3 del</w:t>
            </w:r>
            <w:r w:rsidRPr="009C1079">
              <w:rPr>
                <w:rFonts w:ascii="Verdana" w:eastAsia="Times New Roman" w:hAnsi="Verdana" w:cs="Arial"/>
                <w:kern w:val="2"/>
                <w:sz w:val="24"/>
                <w:szCs w:val="24"/>
                <w:lang w:eastAsia="es-CO"/>
                <w14:ligatures w14:val="standardContextual"/>
              </w:rPr>
              <w:t xml:space="preserve"> Decreto Ley 4170 de 2011, en el que se otorgó la función de:</w:t>
            </w:r>
          </w:p>
          <w:p w14:paraId="3409CC01" w14:textId="77777777" w:rsidR="009C1079" w:rsidRPr="009C1079" w:rsidRDefault="009C1079" w:rsidP="009C1079">
            <w:pPr>
              <w:spacing w:line="278" w:lineRule="auto"/>
              <w:jc w:val="both"/>
              <w:rPr>
                <w:rFonts w:ascii="Verdana" w:eastAsia="Times New Roman" w:hAnsi="Verdana" w:cs="Arial"/>
                <w:kern w:val="2"/>
                <w:sz w:val="24"/>
                <w:szCs w:val="24"/>
                <w:lang w:eastAsia="es-CO"/>
                <w14:ligatures w14:val="standardContextual"/>
              </w:rPr>
            </w:pPr>
          </w:p>
          <w:p w14:paraId="76E403D9" w14:textId="77777777" w:rsidR="009C1079" w:rsidRPr="009C1079" w:rsidRDefault="009C1079" w:rsidP="009C1079">
            <w:pPr>
              <w:spacing w:line="278" w:lineRule="auto"/>
              <w:ind w:left="709" w:right="709"/>
              <w:jc w:val="both"/>
              <w:rPr>
                <w:rFonts w:ascii="Verdana" w:eastAsia="Times New Roman" w:hAnsi="Verdana" w:cs="Arial"/>
                <w:kern w:val="2"/>
                <w:sz w:val="21"/>
                <w:szCs w:val="21"/>
                <w:lang w:eastAsia="es-CO"/>
                <w14:ligatures w14:val="standardContextual"/>
              </w:rPr>
            </w:pPr>
            <w:r w:rsidRPr="009C1079">
              <w:rPr>
                <w:rFonts w:ascii="Verdana" w:eastAsia="Times New Roman" w:hAnsi="Verdana" w:cs="Arial"/>
                <w:kern w:val="2"/>
                <w:sz w:val="21"/>
                <w:szCs w:val="21"/>
                <w:u w:val="single"/>
                <w:lang w:eastAsia="es-CO"/>
                <w14:ligatures w14:val="standardContextual"/>
              </w:rPr>
              <w:t>“Desarrollar,</w:t>
            </w:r>
            <w:r w:rsidRPr="009C1079">
              <w:rPr>
                <w:rFonts w:ascii="Verdana" w:eastAsia="Times New Roman" w:hAnsi="Verdana" w:cs="Arial"/>
                <w:kern w:val="2"/>
                <w:sz w:val="21"/>
                <w:szCs w:val="21"/>
                <w:lang w:eastAsia="es-CO"/>
                <w14:ligatures w14:val="standardContextual"/>
              </w:rPr>
              <w:t xml:space="preserve"> </w:t>
            </w:r>
            <w:r w:rsidRPr="009C1079">
              <w:rPr>
                <w:rFonts w:ascii="Verdana" w:eastAsia="Times New Roman" w:hAnsi="Verdana" w:cs="Arial"/>
                <w:kern w:val="2"/>
                <w:sz w:val="21"/>
                <w:szCs w:val="21"/>
                <w:u w:val="single"/>
                <w:lang w:eastAsia="es-CO"/>
                <w14:ligatures w14:val="standardContextual"/>
              </w:rPr>
              <w:t>implementar y difundir</w:t>
            </w:r>
            <w:r w:rsidRPr="009C1079">
              <w:rPr>
                <w:rFonts w:ascii="Verdana" w:eastAsia="Times New Roman" w:hAnsi="Verdana" w:cs="Arial"/>
                <w:kern w:val="2"/>
                <w:sz w:val="21"/>
                <w:szCs w:val="21"/>
                <w:lang w:eastAsia="es-CO"/>
                <w14:ligatures w14:val="standardContextual"/>
              </w:rPr>
              <w:t xml:space="preserve"> las políticas públicas, planes, programas, </w:t>
            </w:r>
            <w:r w:rsidRPr="009C1079">
              <w:rPr>
                <w:rFonts w:ascii="Verdana" w:eastAsia="Times New Roman" w:hAnsi="Verdana" w:cs="Arial"/>
                <w:kern w:val="2"/>
                <w:sz w:val="21"/>
                <w:szCs w:val="21"/>
                <w:u w:val="single"/>
                <w:lang w:eastAsia="es-CO"/>
                <w14:ligatures w14:val="standardContextual"/>
              </w:rPr>
              <w:t>normas, instrumentos y herramientas</w:t>
            </w:r>
            <w:r w:rsidRPr="009C1079">
              <w:rPr>
                <w:rFonts w:ascii="Verdana" w:eastAsia="Times New Roman" w:hAnsi="Verdana" w:cs="Arial"/>
                <w:kern w:val="2"/>
                <w:sz w:val="21"/>
                <w:szCs w:val="21"/>
                <w:lang w:eastAsia="es-CO"/>
                <w14:ligatures w14:val="standardContextual"/>
              </w:rPr>
              <w:t xml:space="preserve"> que faciliten las compras y contratación pública del Estado y promuevan las mejores prácticas, la eficiencia, transparencia y competitividad del mismo, a fin de que se cumplan los principios y procesos generales que deben gobernar la actividad contractual de las entidades públicas” (Subrayado fuera del texto).</w:t>
            </w:r>
          </w:p>
          <w:p w14:paraId="24749298" w14:textId="77777777" w:rsidR="009C1079" w:rsidRPr="009C1079" w:rsidRDefault="009C1079" w:rsidP="009C1079">
            <w:pPr>
              <w:spacing w:line="278" w:lineRule="auto"/>
              <w:ind w:left="709" w:right="709"/>
              <w:jc w:val="both"/>
              <w:rPr>
                <w:rFonts w:ascii="Verdana" w:eastAsia="Times New Roman" w:hAnsi="Verdana" w:cs="Arial"/>
                <w:kern w:val="2"/>
                <w:sz w:val="24"/>
                <w:szCs w:val="24"/>
                <w:lang w:eastAsia="es-CO"/>
                <w14:ligatures w14:val="standardContextual"/>
              </w:rPr>
            </w:pPr>
          </w:p>
          <w:p w14:paraId="2728A750" w14:textId="77777777" w:rsidR="009C1079" w:rsidRPr="009C1079" w:rsidRDefault="009C1079" w:rsidP="009C1079">
            <w:pPr>
              <w:spacing w:line="276" w:lineRule="auto"/>
              <w:ind w:firstLine="708"/>
              <w:jc w:val="both"/>
              <w:rPr>
                <w:rFonts w:ascii="Verdana" w:eastAsia="Times New Roman" w:hAnsi="Verdana" w:cs="Arial"/>
                <w:kern w:val="2"/>
                <w:sz w:val="24"/>
                <w:szCs w:val="24"/>
                <w:lang w:eastAsia="es-ES"/>
                <w14:ligatures w14:val="standardContextual"/>
              </w:rPr>
            </w:pPr>
            <w:r w:rsidRPr="009C1079">
              <w:rPr>
                <w:rFonts w:ascii="Verdana" w:eastAsia="Times New Roman" w:hAnsi="Verdana" w:cs="Arial"/>
                <w:kern w:val="2"/>
                <w:sz w:val="24"/>
                <w:szCs w:val="24"/>
                <w:lang w:eastAsia="es-MX"/>
                <w14:ligatures w14:val="standardContextual"/>
              </w:rPr>
              <w:t>Así mismo, el Decreto Ley le otorgó a la Subdirección de Gestión Contractual la función de: “</w:t>
            </w:r>
            <w:r w:rsidRPr="009C1079">
              <w:rPr>
                <w:rFonts w:ascii="Verdana" w:eastAsia="Times New Roman" w:hAnsi="Verdana" w:cs="Arial"/>
                <w:kern w:val="2"/>
                <w:sz w:val="24"/>
                <w:szCs w:val="24"/>
                <w:u w:val="single"/>
                <w:lang w:eastAsia="es-MX"/>
                <w14:ligatures w14:val="standardContextual"/>
              </w:rPr>
              <w:t>Desarrollar e implementar</w:t>
            </w:r>
            <w:r w:rsidRPr="009C1079">
              <w:rPr>
                <w:rFonts w:ascii="Verdana" w:eastAsia="Times New Roman" w:hAnsi="Verdana" w:cs="Arial"/>
                <w:kern w:val="2"/>
                <w:sz w:val="24"/>
                <w:szCs w:val="24"/>
                <w:lang w:eastAsia="es-MX"/>
                <w14:ligatures w14:val="standardContextual"/>
              </w:rPr>
              <w:t xml:space="preserve"> </w:t>
            </w:r>
            <w:r w:rsidRPr="009C1079">
              <w:rPr>
                <w:rFonts w:ascii="Verdana" w:eastAsia="Times New Roman" w:hAnsi="Verdana" w:cs="Arial"/>
                <w:kern w:val="2"/>
                <w:sz w:val="24"/>
                <w:szCs w:val="24"/>
                <w:u w:val="single"/>
                <w:lang w:eastAsia="es-MX"/>
                <w14:ligatures w14:val="standardContextual"/>
              </w:rPr>
              <w:t>estándares y documentos tipo</w:t>
            </w:r>
            <w:r w:rsidRPr="009C1079">
              <w:rPr>
                <w:rFonts w:ascii="Verdana" w:eastAsia="Times New Roman" w:hAnsi="Verdana" w:cs="Arial"/>
                <w:kern w:val="2"/>
                <w:sz w:val="24"/>
                <w:szCs w:val="24"/>
                <w:lang w:eastAsia="es-MX"/>
                <w14:ligatures w14:val="standardContextual"/>
              </w:rPr>
              <w:t xml:space="preserve"> para las diferentes etapas de la gestión contractual </w:t>
            </w:r>
            <w:r w:rsidRPr="009C1079">
              <w:rPr>
                <w:rFonts w:ascii="Verdana" w:eastAsia="Times New Roman" w:hAnsi="Verdana" w:cs="Times New Roman"/>
                <w:kern w:val="2"/>
                <w:sz w:val="24"/>
                <w:szCs w:val="24"/>
                <w:lang w:eastAsia="es-MX"/>
                <w14:ligatures w14:val="standardContextual"/>
              </w:rPr>
              <w:t>pública”</w:t>
            </w:r>
            <w:r w:rsidRPr="009C1079">
              <w:rPr>
                <w:rFonts w:ascii="Verdana" w:eastAsia="Times New Roman" w:hAnsi="Verdana" w:cs="Times New Roman"/>
                <w:kern w:val="2"/>
                <w:sz w:val="24"/>
                <w:szCs w:val="24"/>
                <w:vertAlign w:val="superscript"/>
                <w:lang w:eastAsia="es-MX"/>
                <w14:ligatures w14:val="standardContextual"/>
              </w:rPr>
              <w:footnoteReference w:id="7"/>
            </w:r>
            <w:r w:rsidRPr="009C1079">
              <w:rPr>
                <w:rFonts w:ascii="Verdana" w:eastAsia="Times New Roman" w:hAnsi="Verdana" w:cs="Arial"/>
                <w:i/>
                <w:iCs/>
                <w:kern w:val="2"/>
                <w:sz w:val="24"/>
                <w:szCs w:val="24"/>
                <w:lang w:eastAsia="es-ES"/>
                <w14:ligatures w14:val="standardContextual"/>
              </w:rPr>
              <w:t>.</w:t>
            </w:r>
            <w:r w:rsidRPr="009C1079">
              <w:rPr>
                <w:rFonts w:ascii="Verdana" w:eastAsia="Times New Roman" w:hAnsi="Verdana" w:cs="Arial"/>
                <w:kern w:val="2"/>
                <w:sz w:val="24"/>
                <w:szCs w:val="24"/>
                <w:lang w:eastAsia="es-ES"/>
                <w14:ligatures w14:val="standardContextual"/>
              </w:rPr>
              <w:t>De conformidad con lo anterior, la Agencia Nacional de Contratación Pública – Colombia Compra Eficiente es un ente rector, técnico y especializado en materia de contratación pública. De ahí que el Consejo de Estado le haya reconocido potestad regulatoria, en los siguientes términos:</w:t>
            </w:r>
          </w:p>
          <w:p w14:paraId="5DA77696" w14:textId="77777777" w:rsidR="009C1079" w:rsidRPr="009C1079" w:rsidRDefault="009C1079" w:rsidP="009C1079">
            <w:pPr>
              <w:spacing w:line="278" w:lineRule="auto"/>
              <w:jc w:val="both"/>
              <w:rPr>
                <w:rFonts w:ascii="Verdana" w:eastAsia="Times New Roman" w:hAnsi="Verdana" w:cs="Arial"/>
                <w:kern w:val="2"/>
                <w:sz w:val="24"/>
                <w:szCs w:val="24"/>
                <w:lang w:eastAsia="es-ES"/>
                <w14:ligatures w14:val="standardContextual"/>
              </w:rPr>
            </w:pPr>
          </w:p>
          <w:p w14:paraId="7C7D401D" w14:textId="77777777" w:rsidR="009C1079" w:rsidRPr="009C1079" w:rsidRDefault="009C1079" w:rsidP="009C1079">
            <w:pPr>
              <w:spacing w:line="278" w:lineRule="auto"/>
              <w:ind w:left="709" w:right="709"/>
              <w:jc w:val="both"/>
              <w:rPr>
                <w:rFonts w:ascii="Verdana" w:eastAsia="Times New Roman" w:hAnsi="Verdana" w:cs="Arial"/>
                <w:i/>
                <w:iCs/>
                <w:kern w:val="2"/>
                <w:sz w:val="21"/>
                <w:szCs w:val="21"/>
                <w:lang w:eastAsia="es-ES"/>
                <w14:ligatures w14:val="standardContextual"/>
              </w:rPr>
            </w:pPr>
            <w:r w:rsidRPr="009C1079">
              <w:rPr>
                <w:rFonts w:ascii="Verdana" w:eastAsia="Times New Roman" w:hAnsi="Verdana" w:cs="Arial"/>
                <w:kern w:val="2"/>
                <w:sz w:val="21"/>
                <w:szCs w:val="21"/>
                <w:lang w:eastAsia="es-MX"/>
                <w14:ligatures w14:val="standardContextual"/>
              </w:rPr>
              <w:t>“</w:t>
            </w:r>
            <w:r w:rsidRPr="009C1079">
              <w:rPr>
                <w:rFonts w:ascii="Verdana" w:eastAsia="Times New Roman" w:hAnsi="Verdana" w:cs="Arial"/>
                <w:kern w:val="2"/>
                <w:sz w:val="21"/>
                <w:szCs w:val="21"/>
                <w:lang w:eastAsia="es-ES"/>
                <w14:ligatures w14:val="standardContextual"/>
              </w:rPr>
              <w:t xml:space="preserve">Se cuenta con una base jurídica mínima que apoya la competencia de [Colombia Compra Eficiente] para [la expedición de la Circular] pues se sabe que esa Agencia […] se ubica dentro del sector descentralizado del orden nacional y cuenta dentro de su ámbito funcional con competencias atinentes a la materia de la contratación estatal, esto es, a la actividad administrativa vinculada a la provisión de bienes y/o servicios por cuenta del Estado […] y ejerce una competencia de orientación y coordinación toda vez que tiene a su cargo la formulación de políticas públicas […] y, concretamente, se le ha atribuido la competencia de </w:t>
            </w:r>
            <w:r w:rsidRPr="009C1079">
              <w:rPr>
                <w:rFonts w:ascii="Verdana" w:eastAsia="Times New Roman" w:hAnsi="Verdana" w:cs="Arial"/>
                <w:kern w:val="2"/>
                <w:sz w:val="21"/>
                <w:szCs w:val="21"/>
                <w:lang w:eastAsia="es-MX"/>
                <w14:ligatures w14:val="standardContextual"/>
              </w:rPr>
              <w:t>“</w:t>
            </w:r>
            <w:r w:rsidRPr="009C1079">
              <w:rPr>
                <w:rFonts w:ascii="Verdana" w:eastAsia="Times New Roman" w:hAnsi="Verdana" w:cs="Arial"/>
                <w:kern w:val="2"/>
                <w:sz w:val="21"/>
                <w:szCs w:val="21"/>
                <w:lang w:eastAsia="es-ES"/>
                <w14:ligatures w14:val="standardContextual"/>
              </w:rPr>
              <w:t xml:space="preserve">difundir las normas, reglas, </w:t>
            </w:r>
            <w:r w:rsidRPr="009C1079">
              <w:rPr>
                <w:rFonts w:ascii="Verdana" w:eastAsia="Times New Roman" w:hAnsi="Verdana" w:cs="Arial"/>
                <w:kern w:val="2"/>
                <w:sz w:val="21"/>
                <w:szCs w:val="21"/>
                <w:lang w:eastAsia="es-ES"/>
                <w14:ligatures w14:val="standardContextual"/>
              </w:rPr>
              <w:lastRenderedPageBreak/>
              <w:t>procedimientos, medios tecnológicos y mejores prácticas para las compras y la contratación pública […]</w:t>
            </w:r>
            <w:r w:rsidRPr="009C1079">
              <w:rPr>
                <w:rFonts w:ascii="Verdana" w:eastAsia="Times New Roman" w:hAnsi="Verdana" w:cs="Arial"/>
                <w:kern w:val="2"/>
                <w:sz w:val="21"/>
                <w:szCs w:val="21"/>
                <w:lang w:eastAsia="es-MX"/>
                <w14:ligatures w14:val="standardContextual"/>
              </w:rPr>
              <w:t>”</w:t>
            </w:r>
            <w:r w:rsidRPr="009C1079">
              <w:rPr>
                <w:rFonts w:ascii="Verdana" w:eastAsia="Times New Roman" w:hAnsi="Verdana" w:cs="Arial"/>
                <w:kern w:val="2"/>
                <w:sz w:val="21"/>
                <w:szCs w:val="21"/>
                <w:lang w:eastAsia="es-ES"/>
                <w14:ligatures w14:val="standardContextual"/>
              </w:rPr>
              <w:t xml:space="preserve"> potestad reguladora que, en todo caso, debe ejercerse conforme a la Ley y ajustada a la potestad reglamentaria del Gobierno Nacional</w:t>
            </w:r>
            <w:r w:rsidRPr="009C1079">
              <w:rPr>
                <w:rFonts w:ascii="Verdana" w:eastAsia="Times New Roman" w:hAnsi="Verdana" w:cs="Arial"/>
                <w:kern w:val="2"/>
                <w:sz w:val="21"/>
                <w:szCs w:val="21"/>
                <w:lang w:eastAsia="es-MX"/>
                <w14:ligatures w14:val="standardContextual"/>
              </w:rPr>
              <w:t>”</w:t>
            </w:r>
            <w:r w:rsidRPr="009C1079">
              <w:rPr>
                <w:rFonts w:ascii="Verdana" w:eastAsia="Times New Roman" w:hAnsi="Verdana" w:cs="Arial"/>
                <w:i/>
                <w:iCs/>
                <w:kern w:val="2"/>
                <w:sz w:val="21"/>
                <w:szCs w:val="21"/>
                <w:vertAlign w:val="superscript"/>
                <w:lang w:eastAsia="es-MX"/>
                <w14:ligatures w14:val="standardContextual"/>
              </w:rPr>
              <w:footnoteReference w:id="8"/>
            </w:r>
            <w:r w:rsidRPr="009C1079">
              <w:rPr>
                <w:rFonts w:ascii="Verdana" w:eastAsia="Times New Roman" w:hAnsi="Verdana" w:cs="Arial"/>
                <w:i/>
                <w:iCs/>
                <w:kern w:val="2"/>
                <w:sz w:val="21"/>
                <w:szCs w:val="21"/>
                <w:lang w:eastAsia="es-ES"/>
                <w14:ligatures w14:val="standardContextual"/>
              </w:rPr>
              <w:t xml:space="preserve">. </w:t>
            </w:r>
          </w:p>
          <w:p w14:paraId="6C11A0C1" w14:textId="77777777" w:rsidR="009C1079" w:rsidRPr="009C1079" w:rsidRDefault="009C1079" w:rsidP="009C1079">
            <w:pPr>
              <w:spacing w:line="278" w:lineRule="auto"/>
              <w:ind w:left="709" w:right="709"/>
              <w:jc w:val="both"/>
              <w:rPr>
                <w:rFonts w:ascii="Verdana" w:eastAsia="Times New Roman" w:hAnsi="Verdana" w:cs="Arial"/>
                <w:i/>
                <w:kern w:val="2"/>
                <w:sz w:val="21"/>
                <w:szCs w:val="21"/>
                <w:lang w:eastAsia="es-ES"/>
                <w14:ligatures w14:val="standardContextual"/>
              </w:rPr>
            </w:pPr>
          </w:p>
          <w:p w14:paraId="7B50EE7E" w14:textId="77777777" w:rsidR="009C1079" w:rsidRPr="009C1079" w:rsidRDefault="009C1079" w:rsidP="009C1079">
            <w:pPr>
              <w:spacing w:line="276" w:lineRule="auto"/>
              <w:ind w:firstLine="708"/>
              <w:jc w:val="both"/>
              <w:rPr>
                <w:rFonts w:ascii="Verdana" w:eastAsia="Times New Roman" w:hAnsi="Verdana" w:cs="Arial"/>
                <w:kern w:val="2"/>
                <w:sz w:val="24"/>
                <w:szCs w:val="24"/>
                <w:lang w:eastAsia="es-ES"/>
                <w14:ligatures w14:val="standardContextual"/>
              </w:rPr>
            </w:pPr>
            <w:r w:rsidRPr="009C1079">
              <w:rPr>
                <w:rFonts w:ascii="Verdana" w:eastAsia="Times New Roman" w:hAnsi="Verdana" w:cs="Arial"/>
                <w:kern w:val="2"/>
                <w:sz w:val="24"/>
                <w:szCs w:val="24"/>
                <w:lang w:eastAsia="es-ES"/>
                <w14:ligatures w14:val="standardContextual"/>
              </w:rPr>
              <w:t>Lo anterior fue reiterado por el Consejo de Estado, en la sentencia del 16 de agosto de 2017, en el expediente 56.166, en los siguientes términos:</w:t>
            </w:r>
          </w:p>
          <w:p w14:paraId="6ADA44A4" w14:textId="77777777" w:rsidR="009C1079" w:rsidRPr="009C1079" w:rsidRDefault="009C1079" w:rsidP="009C1079">
            <w:pPr>
              <w:spacing w:line="278" w:lineRule="auto"/>
              <w:jc w:val="both"/>
              <w:rPr>
                <w:rFonts w:ascii="Verdana" w:eastAsia="Times New Roman" w:hAnsi="Verdana" w:cs="Arial"/>
                <w:kern w:val="2"/>
                <w:sz w:val="24"/>
                <w:szCs w:val="24"/>
                <w:lang w:eastAsia="es-ES"/>
                <w14:ligatures w14:val="standardContextual"/>
              </w:rPr>
            </w:pPr>
          </w:p>
          <w:p w14:paraId="528844EF" w14:textId="77777777" w:rsidR="009C1079" w:rsidRPr="009C1079" w:rsidRDefault="009C1079" w:rsidP="009C1079">
            <w:pPr>
              <w:spacing w:line="278" w:lineRule="auto"/>
              <w:ind w:left="709" w:right="709"/>
              <w:jc w:val="both"/>
              <w:rPr>
                <w:rFonts w:ascii="Verdana" w:eastAsia="Times New Roman" w:hAnsi="Verdana" w:cs="Arial"/>
                <w:kern w:val="2"/>
                <w:sz w:val="21"/>
                <w:szCs w:val="21"/>
                <w:lang w:eastAsia="es-ES"/>
                <w14:ligatures w14:val="standardContextual"/>
              </w:rPr>
            </w:pPr>
            <w:r w:rsidRPr="009C1079">
              <w:rPr>
                <w:rFonts w:ascii="Verdana" w:eastAsia="Times New Roman" w:hAnsi="Verdana" w:cs="Arial"/>
                <w:kern w:val="2"/>
                <w:sz w:val="21"/>
                <w:szCs w:val="21"/>
                <w:lang w:eastAsia="es-MX"/>
                <w14:ligatures w14:val="standardContextual"/>
              </w:rPr>
              <w:t>“</w:t>
            </w:r>
            <w:r w:rsidRPr="009C1079">
              <w:rPr>
                <w:rFonts w:ascii="Verdana" w:eastAsia="Times New Roman" w:hAnsi="Verdana" w:cs="Arial"/>
                <w:kern w:val="2"/>
                <w:sz w:val="21"/>
                <w:szCs w:val="21"/>
                <w:lang w:eastAsia="es-ES"/>
                <w14:ligatures w14:val="standardContextual"/>
              </w:rPr>
              <w:t xml:space="preserve">Dígase que ese poder de regulación normativa en cabeza de CCE se ejerce </w:t>
            </w:r>
            <w:proofErr w:type="spellStart"/>
            <w:r w:rsidRPr="009C1079">
              <w:rPr>
                <w:rFonts w:ascii="Verdana" w:eastAsia="Times New Roman" w:hAnsi="Verdana" w:cs="Arial"/>
                <w:i/>
                <w:iCs/>
                <w:kern w:val="2"/>
                <w:sz w:val="21"/>
                <w:szCs w:val="21"/>
                <w:lang w:eastAsia="es-ES"/>
                <w14:ligatures w14:val="standardContextual"/>
              </w:rPr>
              <w:t>secundum</w:t>
            </w:r>
            <w:proofErr w:type="spellEnd"/>
            <w:r w:rsidRPr="009C1079">
              <w:rPr>
                <w:rFonts w:ascii="Verdana" w:eastAsia="Times New Roman" w:hAnsi="Verdana" w:cs="Arial"/>
                <w:i/>
                <w:iCs/>
                <w:kern w:val="2"/>
                <w:sz w:val="21"/>
                <w:szCs w:val="21"/>
                <w:lang w:eastAsia="es-ES"/>
                <w14:ligatures w14:val="standardContextual"/>
              </w:rPr>
              <w:t xml:space="preserve"> </w:t>
            </w:r>
            <w:proofErr w:type="spellStart"/>
            <w:r w:rsidRPr="009C1079">
              <w:rPr>
                <w:rFonts w:ascii="Verdana" w:eastAsia="Times New Roman" w:hAnsi="Verdana" w:cs="Arial"/>
                <w:i/>
                <w:iCs/>
                <w:kern w:val="2"/>
                <w:sz w:val="21"/>
                <w:szCs w:val="21"/>
                <w:lang w:eastAsia="es-ES"/>
                <w14:ligatures w14:val="standardContextual"/>
              </w:rPr>
              <w:t>legem</w:t>
            </w:r>
            <w:proofErr w:type="spellEnd"/>
            <w:r w:rsidRPr="009C1079">
              <w:rPr>
                <w:rFonts w:ascii="Verdana" w:eastAsia="Times New Roman" w:hAnsi="Verdana" w:cs="Arial"/>
                <w:kern w:val="2"/>
                <w:sz w:val="21"/>
                <w:szCs w:val="21"/>
                <w:lang w:eastAsia="es-ES"/>
                <w14:ligatures w14:val="standardContextual"/>
              </w:rPr>
              <w:t xml:space="preserve"> como también subordinado a la potestad reglamentaria del Gobierno Nacional, de suerte que no rivaliza con ésta o aquella, sino que constituye, en puridad, expresión del ejercicio de autoridad administrativa bajo habilitación legal expresa sujeta, entre otras cuestiones, a la concreción de aquellos principios y valores que subyacen a la función administrativa, de una parte, y los propios de la Constitución Económica, de otro tanto, como recién ha sido reiterado por esta Sección en asunto de similar naturaleza al aquí tratado. Con otras palabras, la Sala tiene averiguado que el poder de regulación otorgado a Colombia Compra Eficiente no es ejercicio de potestad reglamentaria constitucional, en los términos expuestos”</w:t>
            </w:r>
            <w:r w:rsidRPr="009C1079">
              <w:rPr>
                <w:rFonts w:ascii="Verdana" w:eastAsia="Times New Roman" w:hAnsi="Verdana" w:cs="Arial"/>
                <w:kern w:val="2"/>
                <w:sz w:val="21"/>
                <w:szCs w:val="21"/>
                <w:vertAlign w:val="superscript"/>
                <w:lang w:eastAsia="es-ES"/>
                <w14:ligatures w14:val="standardContextual"/>
              </w:rPr>
              <w:footnoteReference w:id="9"/>
            </w:r>
            <w:r w:rsidRPr="009C1079">
              <w:rPr>
                <w:rFonts w:ascii="Verdana" w:eastAsia="Times New Roman" w:hAnsi="Verdana" w:cs="Arial"/>
                <w:kern w:val="2"/>
                <w:sz w:val="21"/>
                <w:szCs w:val="21"/>
                <w:lang w:eastAsia="es-ES"/>
                <w14:ligatures w14:val="standardContextual"/>
              </w:rPr>
              <w:t>.</w:t>
            </w:r>
          </w:p>
          <w:p w14:paraId="50C95A51" w14:textId="77777777" w:rsidR="009C1079" w:rsidRPr="009C1079" w:rsidRDefault="009C1079" w:rsidP="009C1079">
            <w:pPr>
              <w:spacing w:line="278" w:lineRule="auto"/>
              <w:ind w:left="709" w:right="709"/>
              <w:jc w:val="both"/>
              <w:rPr>
                <w:rFonts w:ascii="Verdana" w:eastAsia="Times New Roman" w:hAnsi="Verdana" w:cs="Arial"/>
                <w:kern w:val="2"/>
                <w:sz w:val="24"/>
                <w:szCs w:val="24"/>
                <w:lang w:eastAsia="es-ES"/>
                <w14:ligatures w14:val="standardContextual"/>
              </w:rPr>
            </w:pPr>
          </w:p>
          <w:p w14:paraId="579AB8EE" w14:textId="77777777" w:rsidR="009C1079" w:rsidRPr="009C1079" w:rsidRDefault="009C1079" w:rsidP="009C1079">
            <w:pPr>
              <w:tabs>
                <w:tab w:val="center" w:pos="4419"/>
                <w:tab w:val="right" w:pos="8838"/>
              </w:tabs>
              <w:spacing w:after="120" w:line="276" w:lineRule="auto"/>
              <w:ind w:firstLine="709"/>
              <w:jc w:val="both"/>
              <w:rPr>
                <w:rFonts w:ascii="Verdana" w:eastAsia="Times New Roman" w:hAnsi="Verdana" w:cs="Arial"/>
                <w:kern w:val="2"/>
                <w:sz w:val="24"/>
                <w:szCs w:val="24"/>
                <w:lang w:eastAsia="es-ES"/>
                <w14:ligatures w14:val="standardContextual"/>
              </w:rPr>
            </w:pPr>
            <w:r w:rsidRPr="009C1079">
              <w:rPr>
                <w:rFonts w:ascii="Verdana" w:eastAsia="Times New Roman" w:hAnsi="Verdana" w:cs="Arial"/>
                <w:kern w:val="2"/>
                <w:sz w:val="24"/>
                <w:szCs w:val="24"/>
                <w:lang w:eastAsia="es-ES"/>
                <w14:ligatures w14:val="standardContextual"/>
              </w:rPr>
              <w:t xml:space="preserve"> </w:t>
            </w:r>
            <w:r w:rsidRPr="009C1079">
              <w:rPr>
                <w:rFonts w:ascii="Verdana" w:eastAsia="Times New Roman" w:hAnsi="Verdana" w:cs="Arial"/>
                <w:kern w:val="2"/>
                <w:sz w:val="24"/>
                <w:szCs w:val="24"/>
                <w:lang w:eastAsia="es-MX"/>
                <w14:ligatures w14:val="standardContextual"/>
              </w:rPr>
              <w:t xml:space="preserve">En la misma sentencia, el Consejo de Estado señaló la existencia de límites en el ejercicio de la facultad de regulación de las autoridades administrativas, las cuales se encaminan a concretar aspectos residuales y complementarios de la legislación general, sujeta en todo caso, a lo que dispongan los órdenes normativos de más alto rango, es </w:t>
            </w:r>
            <w:r w:rsidRPr="009C1079">
              <w:rPr>
                <w:rFonts w:ascii="Verdana" w:eastAsia="Times New Roman" w:hAnsi="Verdana" w:cs="Arial"/>
                <w:kern w:val="2"/>
                <w:sz w:val="24"/>
                <w:szCs w:val="24"/>
                <w:lang w:eastAsia="es-MX"/>
                <w14:ligatures w14:val="standardContextual"/>
              </w:rPr>
              <w:lastRenderedPageBreak/>
              <w:t>decir, la Constitución y la ley. Esto en la medida que el ejercicio de esta facultad de regulación “en ningún caso implica el reconocimiento de una potestad autónoma y desligada de cualquier límite</w:t>
            </w:r>
            <w:r w:rsidRPr="009C1079">
              <w:rPr>
                <w:rFonts w:ascii="Verdana" w:eastAsia="MS Mincho" w:hAnsi="Verdana" w:cs="Arial"/>
                <w:kern w:val="2"/>
                <w:sz w:val="24"/>
                <w:szCs w:val="24"/>
                <w:vertAlign w:val="superscript"/>
                <w:lang w:eastAsia="es-ES"/>
                <w14:ligatures w14:val="standardContextual"/>
              </w:rPr>
              <w:footnoteReference w:id="10"/>
            </w:r>
            <w:r w:rsidRPr="009C1079">
              <w:rPr>
                <w:rFonts w:ascii="Verdana" w:eastAsia="Times New Roman" w:hAnsi="Verdana" w:cs="Arial"/>
                <w:kern w:val="2"/>
                <w:sz w:val="24"/>
                <w:szCs w:val="24"/>
                <w:lang w:eastAsia="es-ES"/>
                <w14:ligatures w14:val="standardContextual"/>
              </w:rPr>
              <w:t>.</w:t>
            </w:r>
          </w:p>
          <w:p w14:paraId="65B564B1" w14:textId="77777777" w:rsidR="009C1079" w:rsidRPr="009C1079" w:rsidRDefault="009C1079" w:rsidP="009C1079">
            <w:pPr>
              <w:tabs>
                <w:tab w:val="center" w:pos="4419"/>
                <w:tab w:val="right" w:pos="8838"/>
              </w:tabs>
              <w:spacing w:after="120" w:line="276" w:lineRule="auto"/>
              <w:ind w:firstLine="709"/>
              <w:jc w:val="both"/>
              <w:rPr>
                <w:rFonts w:ascii="Verdana" w:eastAsia="MS Mincho" w:hAnsi="Verdana" w:cs="Arial"/>
                <w:kern w:val="2"/>
                <w:sz w:val="24"/>
                <w:szCs w:val="24"/>
                <w:lang w:eastAsia="es-CO"/>
                <w14:ligatures w14:val="standardContextual"/>
              </w:rPr>
            </w:pPr>
            <w:r w:rsidRPr="009C1079">
              <w:rPr>
                <w:rFonts w:ascii="Verdana" w:eastAsia="Times New Roman" w:hAnsi="Verdana" w:cs="Arial"/>
                <w:kern w:val="2"/>
                <w:sz w:val="24"/>
                <w:szCs w:val="24"/>
                <w:lang w:eastAsia="es-ES"/>
                <w14:ligatures w14:val="standardContextual"/>
              </w:rPr>
              <w:t xml:space="preserve">Conforme con lo anterior, mediante una interpretación sistemática de la normativa y jurisprudencia citada es posible concluir que la Agencia Nacional de Contratación Pública – Colombia Compra Eficiente tiene facultad de regulación de la actividad contractual pública, lo que implica la potestad para expedir normas de carácter técnico subordinadas a la Constitución y a la ley y que los documentos tipo son una manifestación de dicha potestad. En consecuencia, la Agencia Nacional de Contratación Pública – Colombia Compra Eficiente tiene la facultad de adoptar los documentos tipo, con fundamento en la potestad reglamentaria que le asignó el artículo 1º de la Ley 2022 de 2020. </w:t>
            </w:r>
          </w:p>
          <w:p w14:paraId="7AE4B928" w14:textId="77777777" w:rsidR="009C1079" w:rsidRPr="009C1079" w:rsidRDefault="009C1079" w:rsidP="009C1079">
            <w:pPr>
              <w:tabs>
                <w:tab w:val="center" w:pos="4419"/>
                <w:tab w:val="right" w:pos="8838"/>
              </w:tabs>
              <w:spacing w:after="120" w:line="276" w:lineRule="auto"/>
              <w:ind w:firstLine="709"/>
              <w:jc w:val="both"/>
              <w:rPr>
                <w:rFonts w:ascii="Verdana" w:eastAsia="Times New Roman" w:hAnsi="Verdana" w:cs="Arial"/>
                <w:kern w:val="2"/>
                <w:sz w:val="24"/>
                <w:szCs w:val="24"/>
                <w:lang w:eastAsia="es-ES"/>
                <w14:ligatures w14:val="standardContextual"/>
              </w:rPr>
            </w:pPr>
            <w:r w:rsidRPr="009C1079">
              <w:rPr>
                <w:rFonts w:ascii="Verdana" w:eastAsia="MS Mincho" w:hAnsi="Verdana" w:cs="Arial"/>
                <w:kern w:val="2"/>
                <w:sz w:val="24"/>
                <w:szCs w:val="24"/>
                <w:lang w:eastAsia="es-CO"/>
                <w14:ligatures w14:val="standardContextual"/>
              </w:rPr>
              <w:t>I</w:t>
            </w:r>
            <w:r w:rsidRPr="009C1079">
              <w:rPr>
                <w:rFonts w:ascii="Verdana" w:eastAsia="Times New Roman" w:hAnsi="Verdana" w:cs="Arial"/>
                <w:kern w:val="2"/>
                <w:sz w:val="24"/>
                <w:szCs w:val="24"/>
                <w:lang w:eastAsia="es-ES"/>
                <w14:ligatures w14:val="standardContextual"/>
              </w:rPr>
              <w:t>gualmente, en desarrollo de la función que recae en la Agencia Nacional de Contratación Pública – Colombia Compra Eficiente conforme al artículo 2º del Decreto Ley 4170 de 2011, la Agencia concretará la voluntad del legislador con la implementación, desarrollo, publicación, revisión y actualización de los documentos tipo, según el avance y aplicación que éstos vayan teniendo en los sectores en los cuales vienen siendo adoptados.</w:t>
            </w:r>
          </w:p>
          <w:p w14:paraId="33A03216" w14:textId="77777777" w:rsidR="009C1079" w:rsidRPr="009C1079" w:rsidRDefault="009C1079" w:rsidP="009C1079">
            <w:pPr>
              <w:tabs>
                <w:tab w:val="center" w:pos="4419"/>
                <w:tab w:val="right" w:pos="8838"/>
              </w:tabs>
              <w:spacing w:line="276" w:lineRule="auto"/>
              <w:ind w:firstLine="709"/>
              <w:jc w:val="both"/>
              <w:rPr>
                <w:rFonts w:ascii="Verdana" w:eastAsia="Times New Roman" w:hAnsi="Verdana" w:cs="Arial"/>
                <w:kern w:val="2"/>
                <w:sz w:val="24"/>
                <w:szCs w:val="24"/>
                <w:lang w:eastAsia="es-ES"/>
                <w14:ligatures w14:val="standardContextual"/>
              </w:rPr>
            </w:pPr>
            <w:r w:rsidRPr="009C1079">
              <w:rPr>
                <w:rFonts w:ascii="Verdana" w:eastAsia="Times New Roman" w:hAnsi="Verdana" w:cs="Arial"/>
                <w:kern w:val="2"/>
                <w:sz w:val="24"/>
                <w:szCs w:val="24"/>
                <w:lang w:eastAsia="es-ES"/>
                <w14:ligatures w14:val="standardContextual"/>
              </w:rPr>
              <w:t xml:space="preserve">En este contexto, la Agencia Nacional de Contratación Pública – Colombia Compra Eficiente, una vez conoció el decreto desde su expedición, inició las labores de análisis y planeación orientadas a la modificación de los documentos tipo vigentes en los diferentes sectores y subsectores. Este proceso implica una importante carga administrativa y presupuestal para lograr su adecuada actualización, por lo cual se tomará un tiempo prudencial que permita dar </w:t>
            </w:r>
            <w:r w:rsidRPr="009C1079">
              <w:rPr>
                <w:rFonts w:ascii="Verdana" w:eastAsia="Times New Roman" w:hAnsi="Verdana" w:cs="Arial"/>
                <w:kern w:val="2"/>
                <w:sz w:val="24"/>
                <w:szCs w:val="24"/>
                <w:lang w:eastAsia="es-ES"/>
                <w14:ligatures w14:val="standardContextual"/>
              </w:rPr>
              <w:lastRenderedPageBreak/>
              <w:t>cumplimiento integral a lo dispuesto en el referido decreto. No obstante, la Agencia dispondrá todos sus esfuerzos para adelantar este trabajo en el menor tiempo posible y garantizará la divulgación oportuna de cada etapa del proceso de modificación, tanto a las entidades estatales como a la ciudadanía en general.</w:t>
            </w:r>
          </w:p>
          <w:p w14:paraId="23AE47E4" w14:textId="77777777" w:rsidR="009C1079" w:rsidRPr="009C1079" w:rsidRDefault="009C1079" w:rsidP="009C1079">
            <w:pPr>
              <w:tabs>
                <w:tab w:val="center" w:pos="4419"/>
                <w:tab w:val="right" w:pos="8838"/>
              </w:tabs>
              <w:spacing w:line="276" w:lineRule="auto"/>
              <w:jc w:val="both"/>
              <w:rPr>
                <w:rFonts w:ascii="Verdana" w:eastAsia="Times New Roman" w:hAnsi="Verdana" w:cs="Arial"/>
                <w:kern w:val="2"/>
                <w:sz w:val="24"/>
                <w:szCs w:val="24"/>
                <w:lang w:eastAsia="es-ES"/>
                <w14:ligatures w14:val="standardContextual"/>
              </w:rPr>
            </w:pPr>
          </w:p>
          <w:p w14:paraId="7008BDC2" w14:textId="77777777" w:rsidR="009C1079" w:rsidRPr="009C1079" w:rsidRDefault="009C1079" w:rsidP="009C1079">
            <w:pPr>
              <w:tabs>
                <w:tab w:val="center" w:pos="4419"/>
                <w:tab w:val="right" w:pos="8838"/>
              </w:tabs>
              <w:spacing w:line="276" w:lineRule="auto"/>
              <w:jc w:val="both"/>
              <w:rPr>
                <w:rFonts w:ascii="Verdana" w:eastAsia="Calibri" w:hAnsi="Verdana" w:cs="Arial"/>
                <w:color w:val="000000"/>
                <w:kern w:val="2"/>
                <w:sz w:val="24"/>
                <w:szCs w:val="24"/>
                <w:lang w:val="es-ES"/>
                <w14:ligatures w14:val="standardContextual"/>
              </w:rPr>
            </w:pPr>
            <w:proofErr w:type="spellStart"/>
            <w:r w:rsidRPr="009C1079">
              <w:rPr>
                <w:rFonts w:ascii="Verdana" w:eastAsia="Times New Roman" w:hAnsi="Verdana" w:cs="Arial"/>
                <w:kern w:val="2"/>
                <w:sz w:val="24"/>
                <w:szCs w:val="24"/>
                <w:lang w:eastAsia="es-ES"/>
                <w14:ligatures w14:val="standardContextual"/>
              </w:rPr>
              <w:t>ii</w:t>
            </w:r>
            <w:proofErr w:type="spellEnd"/>
            <w:r w:rsidRPr="009C1079">
              <w:rPr>
                <w:rFonts w:ascii="Verdana" w:eastAsia="Times New Roman" w:hAnsi="Verdana" w:cs="Arial"/>
                <w:kern w:val="2"/>
                <w:sz w:val="24"/>
                <w:szCs w:val="24"/>
                <w:lang w:eastAsia="es-ES"/>
                <w14:ligatures w14:val="standardContextual"/>
              </w:rPr>
              <w:t xml:space="preserve">. </w:t>
            </w:r>
            <w:r w:rsidRPr="009C1079">
              <w:rPr>
                <w:rFonts w:ascii="Verdana" w:eastAsia="Calibri" w:hAnsi="Verdana" w:cs="Arial"/>
                <w:color w:val="000000"/>
                <w:kern w:val="2"/>
                <w:sz w:val="24"/>
                <w:szCs w:val="24"/>
                <w:lang w:val="es-ES"/>
                <w14:ligatures w14:val="standardContextual"/>
              </w:rPr>
              <w:t xml:space="preserve">Todas las resoluciones expedidas por la Agencia Nacional de Contratación Pública – Colombia Compra Eficiente, mediante las cuales se adoptaron los documentos tipo, consagran la regla de la inalterabilidad. Esta prohibición consiste en que las entidades estatales no pueden incluir o modificar en los </w:t>
            </w:r>
            <w:r w:rsidRPr="009C1079">
              <w:rPr>
                <w:rFonts w:ascii="Verdana" w:eastAsia="Calibri" w:hAnsi="Verdana" w:cs="Arial"/>
                <w:i/>
                <w:iCs/>
                <w:color w:val="000000"/>
                <w:kern w:val="2"/>
                <w:sz w:val="24"/>
                <w:szCs w:val="24"/>
                <w:lang w:val="es-ES"/>
                <w14:ligatures w14:val="standardContextual"/>
              </w:rPr>
              <w:t>Documentos del Proceso</w:t>
            </w:r>
            <w:r w:rsidRPr="009C1079">
              <w:rPr>
                <w:rFonts w:ascii="Verdana" w:eastAsia="Calibri" w:hAnsi="Verdana" w:cs="Arial"/>
                <w:color w:val="000000"/>
                <w:kern w:val="2"/>
                <w:sz w:val="24"/>
                <w:szCs w:val="24"/>
                <w:lang w:val="es-ES"/>
                <w14:ligatures w14:val="standardContextual"/>
              </w:rPr>
              <w:t xml:space="preserve"> las condiciones habilitantes, los factores técnicos y económicos de escogencia y los sistemas de ponderación distintos a los señalados en los documentos tipo. En consecuencia, las condiciones establecidas en los documentos tipo son de obligatorio cumplimiento para las entidades sometidas al Estatuto General de Contratación de la Administración Pública que adelanten procesos que deban regirse por su contenido, y no pueden variarse los requisitos fijados en ellos. Por lo tanto, las entidades estatales, al realizar sus procedimientos de selección, solo podrán modificarlos en los aspectos en que los documentos tipo lo permitan.</w:t>
            </w:r>
          </w:p>
          <w:p w14:paraId="1A64A3B4" w14:textId="77777777" w:rsidR="009C1079" w:rsidRPr="009C1079" w:rsidRDefault="009C1079" w:rsidP="009C1079">
            <w:pPr>
              <w:spacing w:before="120" w:after="120" w:line="276" w:lineRule="auto"/>
              <w:ind w:firstLine="709"/>
              <w:jc w:val="both"/>
              <w:rPr>
                <w:rFonts w:ascii="Verdana" w:eastAsia="Calibri" w:hAnsi="Verdana" w:cs="Arial"/>
                <w:kern w:val="2"/>
                <w:sz w:val="24"/>
                <w:szCs w:val="24"/>
                <w:lang w:val="es-ES_tradnl"/>
                <w14:ligatures w14:val="standardContextual"/>
              </w:rPr>
            </w:pPr>
            <w:r w:rsidRPr="009C1079">
              <w:rPr>
                <w:rFonts w:ascii="Verdana" w:eastAsia="Calibri" w:hAnsi="Verdana" w:cs="Arial"/>
                <w:kern w:val="2"/>
                <w:sz w:val="24"/>
                <w:szCs w:val="24"/>
                <w:lang w:val="es-ES_tradnl"/>
                <w14:ligatures w14:val="standardContextual"/>
              </w:rPr>
              <w:t xml:space="preserve">El fundamento legal vigente de la regla de la inalterabilidad está en el artículo 1 de la Ley 2022 de 2020, según el cual “(…) serán de obligatorio cumplimiento en la actividad contractual de todas las entidades sometidas al Estatuto General de Contratación de la Administración Pública”. En esta línea, las entidades públicas deberán sujetarse de forma irrestricta a las reglas establecidas en los documentos tipo, dispuestas en las diferentes resoluciones expedidas por la Agencia, por lo que no pueden hacer excepciones bajo una supuesta discrecionalidad a estas reglas que son obligatorias. </w:t>
            </w:r>
          </w:p>
          <w:p w14:paraId="21E8FD58" w14:textId="77777777" w:rsidR="009C1079" w:rsidRPr="009C1079" w:rsidRDefault="009C1079" w:rsidP="009C1079">
            <w:pPr>
              <w:spacing w:before="120" w:after="120" w:line="276" w:lineRule="auto"/>
              <w:ind w:firstLine="709"/>
              <w:jc w:val="both"/>
              <w:rPr>
                <w:rFonts w:ascii="Verdana" w:eastAsia="Calibri" w:hAnsi="Verdana" w:cs="Arial"/>
                <w:kern w:val="2"/>
                <w:sz w:val="24"/>
                <w:szCs w:val="24"/>
                <w:lang w:val="es-ES_tradnl"/>
                <w14:ligatures w14:val="standardContextual"/>
              </w:rPr>
            </w:pPr>
            <w:r w:rsidRPr="009C1079">
              <w:rPr>
                <w:rFonts w:ascii="Verdana" w:eastAsia="Calibri" w:hAnsi="Verdana" w:cs="Arial"/>
                <w:kern w:val="2"/>
                <w:sz w:val="24"/>
                <w:szCs w:val="24"/>
                <w:lang w:val="es-ES_tradnl"/>
                <w14:ligatures w14:val="standardContextual"/>
              </w:rPr>
              <w:lastRenderedPageBreak/>
              <w:t xml:space="preserve">La inalterabilidad de los documentos tipo es una manifestación en mayor grado de las potestades regladas, lo cual implica una reducción de la discrecionalidad de la Administración en el momento de tomar una decisión en el proceso de contratación. Cada entidad pública sujeta a los documentos tipo deberá hacer una aplicación o constatación irrestricta de las reglas y condiciones dispuestas en estos, salvo que las mismas posibilitan la discrecionalidad en determinados aspectos. </w:t>
            </w:r>
          </w:p>
          <w:p w14:paraId="024BE15B" w14:textId="77777777" w:rsidR="009C1079" w:rsidRPr="009C1079" w:rsidRDefault="009C1079" w:rsidP="009C1079">
            <w:pPr>
              <w:spacing w:before="120" w:after="120" w:line="276" w:lineRule="auto"/>
              <w:ind w:firstLine="709"/>
              <w:jc w:val="both"/>
              <w:rPr>
                <w:rFonts w:ascii="Verdana" w:eastAsia="Calibri" w:hAnsi="Verdana" w:cs="Arial"/>
                <w:kern w:val="2"/>
                <w:sz w:val="24"/>
                <w:szCs w:val="24"/>
                <w:lang w:val="es-ES"/>
                <w14:ligatures w14:val="standardContextual"/>
              </w:rPr>
            </w:pPr>
            <w:r w:rsidRPr="009C1079">
              <w:rPr>
                <w:rFonts w:ascii="Verdana" w:eastAsia="Calibri" w:hAnsi="Verdana" w:cs="Arial"/>
                <w:kern w:val="2"/>
                <w:sz w:val="24"/>
                <w:szCs w:val="24"/>
                <w:lang w:val="es-ES"/>
                <w14:ligatures w14:val="standardContextual"/>
              </w:rPr>
              <w:t xml:space="preserve">Además, las entidades estatales deben garantizar el </w:t>
            </w:r>
            <w:r w:rsidRPr="009C1079">
              <w:rPr>
                <w:rFonts w:ascii="Verdana" w:eastAsia="Calibri" w:hAnsi="Verdana" w:cs="Arial"/>
                <w:i/>
                <w:iCs/>
                <w:kern w:val="2"/>
                <w:sz w:val="24"/>
                <w:szCs w:val="24"/>
                <w:lang w:val="es-ES"/>
                <w14:ligatures w14:val="standardContextual"/>
              </w:rPr>
              <w:t>principio de economía</w:t>
            </w:r>
            <w:r w:rsidRPr="009C1079">
              <w:rPr>
                <w:rFonts w:ascii="Verdana" w:eastAsia="Calibri" w:hAnsi="Verdana" w:cs="Arial"/>
                <w:kern w:val="2"/>
                <w:sz w:val="24"/>
                <w:szCs w:val="24"/>
                <w:lang w:val="es-ES"/>
                <w14:ligatures w14:val="standardContextual"/>
              </w:rPr>
              <w:t xml:space="preserve">, del cual se desprende que no pueden exigir documentos o requisitos más allá de los que permitan la Constitución, la ley y los reglamentos. Este postulado ha sido recogido no solo en la contratación estatal sino además en la normativa </w:t>
            </w:r>
            <w:proofErr w:type="spellStart"/>
            <w:r w:rsidRPr="009C1079">
              <w:rPr>
                <w:rFonts w:ascii="Verdana" w:eastAsia="Calibri" w:hAnsi="Verdana" w:cs="Arial"/>
                <w:kern w:val="2"/>
                <w:sz w:val="24"/>
                <w:szCs w:val="24"/>
                <w:lang w:val="es-ES"/>
                <w14:ligatures w14:val="standardContextual"/>
              </w:rPr>
              <w:t>antitrámites</w:t>
            </w:r>
            <w:proofErr w:type="spellEnd"/>
            <w:r w:rsidRPr="009C1079">
              <w:rPr>
                <w:rFonts w:ascii="Verdana" w:eastAsia="Calibri" w:hAnsi="Verdana" w:cs="Arial"/>
                <w:kern w:val="2"/>
                <w:sz w:val="24"/>
                <w:szCs w:val="24"/>
                <w:lang w:val="es-ES"/>
                <w14:ligatures w14:val="standardContextual"/>
              </w:rPr>
              <w:t>; pues se inscribe dentro de la tendencia de simplificación y racionalización de los procedimientos administrativos. De ahí que cuando las autoridades solicitan la entrega de documentación innecesaria, desconocen el principio de economía.</w:t>
            </w:r>
          </w:p>
          <w:p w14:paraId="3410FF01" w14:textId="77777777" w:rsidR="009C1079" w:rsidRPr="009C1079" w:rsidRDefault="009C1079" w:rsidP="009C1079">
            <w:pPr>
              <w:spacing w:after="120" w:line="276" w:lineRule="auto"/>
              <w:ind w:firstLine="708"/>
              <w:jc w:val="both"/>
              <w:rPr>
                <w:rFonts w:ascii="Verdana" w:eastAsia="Calibri" w:hAnsi="Verdana" w:cs="Arial"/>
                <w:color w:val="000000"/>
                <w:kern w:val="2"/>
                <w:sz w:val="24"/>
                <w:szCs w:val="24"/>
                <w:lang w:val="es-ES"/>
                <w14:ligatures w14:val="standardContextual"/>
              </w:rPr>
            </w:pPr>
            <w:r w:rsidRPr="009C1079">
              <w:rPr>
                <w:rFonts w:ascii="Verdana" w:eastAsia="Calibri" w:hAnsi="Verdana" w:cs="Arial"/>
                <w:color w:val="000000"/>
                <w:kern w:val="2"/>
                <w:sz w:val="24"/>
                <w:szCs w:val="24"/>
                <w:lang w:val="es-ES"/>
                <w14:ligatures w14:val="standardContextual"/>
              </w:rPr>
              <w:t>Otro aspecto sobre el principio que inalterabilidad que debe destacarse es que, sin mínimos inalterables, los documentos tipo, estándar o normalizados, sencillamente, perderían sus características. Bajo riesgo de señalar una obviedad, se debe decir que la definición del término estándar es “Que sirve como tipo, modelo, norma, patrón o referencia”</w:t>
            </w:r>
            <w:r w:rsidRPr="009C1079">
              <w:rPr>
                <w:rFonts w:ascii="Verdana" w:eastAsia="Calibri" w:hAnsi="Verdana" w:cs="Arial"/>
                <w:color w:val="000000"/>
                <w:kern w:val="2"/>
                <w:sz w:val="24"/>
                <w:szCs w:val="24"/>
                <w:vertAlign w:val="superscript"/>
                <w:lang w:val="es-ES"/>
                <w14:ligatures w14:val="standardContextual"/>
              </w:rPr>
              <w:footnoteReference w:id="11"/>
            </w:r>
            <w:r w:rsidRPr="009C1079">
              <w:rPr>
                <w:rFonts w:ascii="Verdana" w:eastAsia="Calibri" w:hAnsi="Verdana" w:cs="Arial"/>
                <w:color w:val="000000"/>
                <w:kern w:val="2"/>
                <w:sz w:val="24"/>
                <w:szCs w:val="24"/>
                <w:lang w:val="es-ES"/>
                <w14:ligatures w14:val="standardContextual"/>
              </w:rPr>
              <w:t xml:space="preserve">. Si las autoridades pudiesen agregar, eliminar o modificar todos y cada uno de los aspectos contenidos en los pliegos tipo, estos documentos, llanamente, no podrían ser llamados pliegos tipo. </w:t>
            </w:r>
          </w:p>
          <w:p w14:paraId="0B13A3E2" w14:textId="77777777" w:rsidR="009C1079" w:rsidRPr="009C1079" w:rsidRDefault="009C1079" w:rsidP="009C1079">
            <w:pPr>
              <w:spacing w:after="120" w:line="276" w:lineRule="auto"/>
              <w:ind w:firstLine="708"/>
              <w:jc w:val="both"/>
              <w:rPr>
                <w:rFonts w:ascii="Verdana" w:eastAsia="Calibri" w:hAnsi="Verdana" w:cs="Arial"/>
                <w:color w:val="000000"/>
                <w:kern w:val="2"/>
                <w:sz w:val="24"/>
                <w:szCs w:val="24"/>
                <w:lang w:val="es-ES"/>
                <w14:ligatures w14:val="standardContextual"/>
              </w:rPr>
            </w:pPr>
            <w:r w:rsidRPr="009C1079">
              <w:rPr>
                <w:rFonts w:ascii="Verdana" w:eastAsia="Calibri" w:hAnsi="Verdana" w:cs="Arial"/>
                <w:color w:val="000000"/>
                <w:kern w:val="2"/>
                <w:sz w:val="24"/>
                <w:szCs w:val="24"/>
                <w:lang w:val="es-ES"/>
                <w14:ligatures w14:val="standardContextual"/>
              </w:rPr>
              <w:t xml:space="preserve">De otra parte, a la luz de los objetivos perseguidos, si la normativa permitiera la alteración de todo el documento tipo, sería imposible verificar en la práctica las ventajas perseguidas por el legislador. Así, </w:t>
            </w:r>
            <w:r w:rsidRPr="009C1079">
              <w:rPr>
                <w:rFonts w:ascii="Verdana" w:eastAsia="Calibri" w:hAnsi="Verdana" w:cs="Arial"/>
                <w:color w:val="000000"/>
                <w:kern w:val="2"/>
                <w:sz w:val="24"/>
                <w:szCs w:val="24"/>
                <w:lang w:val="es-ES"/>
                <w14:ligatures w14:val="standardContextual"/>
              </w:rPr>
              <w:lastRenderedPageBreak/>
              <w:t xml:space="preserve">por ejemplo, si cada autoridad pudiese rediseñar por completo el documento, la transparencia del sistema de compras públicas no sería mayor con la introducción de la estandarización de documentos. De similar manera, bajo la hipótesis de trabajo referida, las entidades podrían modificar todo el contenido del pliego, retornando a una de las prácticas que se buscó eliminar: la elaboración de “pliegos sastre”, que eliminan la competencia. En ese orden, si se permite ilimitadamente introducir ajustes, las entidades estatales podrían reintroducir los sesgos interpretativos incorrectos que se buscó erradicar con la introducción de la herramienta analizada. </w:t>
            </w:r>
          </w:p>
          <w:p w14:paraId="0B82C968" w14:textId="77777777" w:rsidR="009C1079" w:rsidRPr="009C1079" w:rsidRDefault="009C1079" w:rsidP="009C1079">
            <w:pPr>
              <w:spacing w:after="120" w:line="276" w:lineRule="auto"/>
              <w:ind w:firstLine="708"/>
              <w:jc w:val="both"/>
              <w:rPr>
                <w:rFonts w:ascii="Verdana" w:eastAsia="Calibri" w:hAnsi="Verdana" w:cs="Arial"/>
                <w:color w:val="000000"/>
                <w:kern w:val="2"/>
                <w:sz w:val="24"/>
                <w:szCs w:val="24"/>
                <w:lang w:val="es-ES"/>
                <w14:ligatures w14:val="standardContextual"/>
              </w:rPr>
            </w:pPr>
            <w:r w:rsidRPr="009C1079">
              <w:rPr>
                <w:rFonts w:ascii="Verdana" w:eastAsia="Calibri" w:hAnsi="Verdana" w:cs="Arial"/>
                <w:color w:val="000000"/>
                <w:kern w:val="2"/>
                <w:sz w:val="24"/>
                <w:szCs w:val="24"/>
                <w:lang w:val="es-ES"/>
                <w14:ligatures w14:val="standardContextual"/>
              </w:rPr>
              <w:t>Con base en lo dicho, se observa con toda claridad la necesidad de que existan unos mínimos inalterables que permitan, de un lado, que los pliegos tipo sean propiamente tales y, del otro, que se garanticen los fines expresamente perseguidos por el legislador con su introducción al ordenamiento nacional.</w:t>
            </w:r>
          </w:p>
          <w:p w14:paraId="33754604" w14:textId="77777777" w:rsidR="009C1079" w:rsidRPr="009C1079" w:rsidRDefault="009C1079" w:rsidP="009C1079">
            <w:pPr>
              <w:spacing w:after="120" w:line="276" w:lineRule="auto"/>
              <w:ind w:firstLine="708"/>
              <w:jc w:val="both"/>
              <w:rPr>
                <w:rFonts w:ascii="Verdana" w:eastAsia="Calibri" w:hAnsi="Verdana" w:cs="Arial"/>
                <w:color w:val="000000"/>
                <w:kern w:val="2"/>
                <w:sz w:val="24"/>
                <w:szCs w:val="24"/>
                <w:lang w:val="es-ES"/>
                <w14:ligatures w14:val="standardContextual"/>
              </w:rPr>
            </w:pPr>
            <w:r w:rsidRPr="009C1079">
              <w:rPr>
                <w:rFonts w:ascii="Verdana" w:eastAsia="Calibri" w:hAnsi="Verdana" w:cs="Arial"/>
                <w:kern w:val="2"/>
                <w:sz w:val="24"/>
                <w:szCs w:val="24"/>
                <w:lang w:val="es-MX"/>
                <w14:ligatures w14:val="standardContextual"/>
              </w:rPr>
              <w:t xml:space="preserve">No obstante, la parte introductoria de los documentos base de los documentos tipo disponen que los aspectos incluidos en corchetes y resaltados en gris </w:t>
            </w:r>
            <w:r w:rsidRPr="009C1079">
              <w:rPr>
                <w:rFonts w:ascii="Verdana" w:eastAsia="Aptos" w:hAnsi="Verdana" w:cs="Arial"/>
                <w:kern w:val="2"/>
                <w:sz w:val="24"/>
                <w:szCs w:val="24"/>
                <w14:ligatures w14:val="standardContextual"/>
              </w:rPr>
              <w:t>–[</w:t>
            </w:r>
            <w:r w:rsidRPr="009C1079">
              <w:rPr>
                <w:rFonts w:ascii="Verdana" w:eastAsia="Aptos" w:hAnsi="Verdana" w:cs="Arial"/>
                <w:kern w:val="2"/>
                <w:sz w:val="24"/>
                <w:szCs w:val="24"/>
                <w:highlight w:val="lightGray"/>
                <w14:ligatures w14:val="standardContextual"/>
              </w:rPr>
              <w:t>texto de ejemplo</w:t>
            </w:r>
            <w:r w:rsidRPr="009C1079">
              <w:rPr>
                <w:rFonts w:ascii="Verdana" w:eastAsia="Aptos" w:hAnsi="Verdana" w:cs="Arial"/>
                <w:kern w:val="2"/>
                <w:sz w:val="24"/>
                <w:szCs w:val="24"/>
                <w14:ligatures w14:val="standardContextual"/>
              </w:rPr>
              <w:t xml:space="preserve">]– </w:t>
            </w:r>
            <w:r w:rsidRPr="009C1079">
              <w:rPr>
                <w:rFonts w:ascii="Verdana" w:eastAsia="Calibri" w:hAnsi="Verdana" w:cs="Arial"/>
                <w:kern w:val="2"/>
                <w:sz w:val="24"/>
                <w:szCs w:val="24"/>
                <w:lang w:val="es-MX"/>
                <w14:ligatures w14:val="standardContextual"/>
              </w:rPr>
              <w:t xml:space="preserve">deben ser diligenciados por la entidad. Excepcionalmente le corresponde al proponente consignar la información incluida en corchetes y resaltada en gris, como, por ejemplo, los formatos que requieren de la firma del proponente o su representante legal. De todos modos, en cada acápite que esté resaltado en gris la entidad tendrá la libertad de determinar la información que se diligenciará en los documentos tipo, de acuerdo con su necesidad y las instrucciones de los mismos documentos tipo. </w:t>
            </w:r>
          </w:p>
          <w:p w14:paraId="350BD9E0" w14:textId="77777777" w:rsidR="009C1079" w:rsidRPr="009C1079" w:rsidRDefault="009C1079" w:rsidP="009C1079">
            <w:pPr>
              <w:spacing w:line="276" w:lineRule="auto"/>
              <w:ind w:firstLine="709"/>
              <w:jc w:val="both"/>
              <w:rPr>
                <w:rFonts w:ascii="Verdana" w:eastAsia="Calibri" w:hAnsi="Verdana" w:cs="Arial"/>
                <w:bCs/>
                <w:kern w:val="2"/>
                <w:sz w:val="24"/>
                <w:szCs w:val="24"/>
                <w:lang w:val="es-MX"/>
                <w14:ligatures w14:val="standardContextual"/>
              </w:rPr>
            </w:pPr>
            <w:r w:rsidRPr="009C1079">
              <w:rPr>
                <w:rFonts w:ascii="Verdana" w:eastAsia="Calibri" w:hAnsi="Verdana" w:cs="Arial"/>
                <w:bCs/>
                <w:kern w:val="2"/>
                <w:sz w:val="24"/>
                <w:szCs w:val="24"/>
                <w:lang w:val="es-MX"/>
                <w14:ligatures w14:val="standardContextual"/>
              </w:rPr>
              <w:t xml:space="preserve">En suma, la regla general frente la aplicación de los documentos tipo es su inalterabilidad, y no podrán incluirse o modificarse en los documentos del proceso las condiciones habilitantes, los factores técnicos y económicos de escogencia y los sistemas de ponderación </w:t>
            </w:r>
            <w:r w:rsidRPr="009C1079">
              <w:rPr>
                <w:rFonts w:ascii="Verdana" w:eastAsia="Calibri" w:hAnsi="Verdana" w:cs="Arial"/>
                <w:bCs/>
                <w:kern w:val="2"/>
                <w:sz w:val="24"/>
                <w:szCs w:val="24"/>
                <w:lang w:val="es-MX"/>
                <w14:ligatures w14:val="standardContextual"/>
              </w:rPr>
              <w:lastRenderedPageBreak/>
              <w:t>distintos a los señalados en los documentos tipo. En tal sentido, estos solo se podrán modificar respecto a aquellos contenidos que el mismo documento tipo lo permita.</w:t>
            </w:r>
          </w:p>
          <w:p w14:paraId="22B238B9" w14:textId="77777777" w:rsidR="009C1079" w:rsidRPr="009C1079" w:rsidRDefault="009C1079" w:rsidP="009C1079">
            <w:pPr>
              <w:spacing w:line="276" w:lineRule="auto"/>
              <w:ind w:firstLine="709"/>
              <w:jc w:val="both"/>
              <w:rPr>
                <w:rFonts w:ascii="Verdana" w:eastAsia="Calibri" w:hAnsi="Verdana" w:cs="Arial"/>
                <w:bCs/>
                <w:kern w:val="2"/>
                <w:sz w:val="24"/>
                <w:szCs w:val="24"/>
                <w:lang w:val="es-MX"/>
                <w14:ligatures w14:val="standardContextual"/>
              </w:rPr>
            </w:pPr>
          </w:p>
          <w:p w14:paraId="2A36DC96" w14:textId="77777777" w:rsidR="009C1079" w:rsidRPr="00D30EFC" w:rsidRDefault="009C1079" w:rsidP="009C1079">
            <w:pPr>
              <w:widowControl w:val="0"/>
              <w:autoSpaceDE w:val="0"/>
              <w:autoSpaceDN w:val="0"/>
              <w:spacing w:after="120" w:line="276" w:lineRule="auto"/>
              <w:jc w:val="both"/>
              <w:rPr>
                <w:rFonts w:ascii="Verdana" w:eastAsia="Calibri" w:hAnsi="Verdana" w:cs="Arial"/>
              </w:rPr>
            </w:pPr>
            <w:proofErr w:type="spellStart"/>
            <w:r w:rsidRPr="00D30EFC">
              <w:rPr>
                <w:rFonts w:ascii="Verdana" w:eastAsia="Aptos" w:hAnsi="Verdana" w:cs="Times New Roman"/>
                <w:kern w:val="2"/>
                <w14:ligatures w14:val="standardContextual"/>
              </w:rPr>
              <w:t>iii</w:t>
            </w:r>
            <w:proofErr w:type="spellEnd"/>
            <w:r w:rsidRPr="00D30EFC">
              <w:rPr>
                <w:rFonts w:ascii="Verdana" w:eastAsia="Aptos" w:hAnsi="Verdana" w:cs="Times New Roman"/>
                <w:kern w:val="2"/>
                <w14:ligatures w14:val="standardContextual"/>
              </w:rPr>
              <w:t>. U</w:t>
            </w:r>
            <w:r w:rsidRPr="00D30EFC">
              <w:rPr>
                <w:rFonts w:ascii="Verdana" w:eastAsiaTheme="minorEastAsia" w:hAnsi="Verdana"/>
              </w:rPr>
              <w:t xml:space="preserve">no de los cambios que trajo el Decreto 287 de 2026 incide en los factores de evaluación de los documentos tipo para incluir el puntaje adicional previsto en el Decreto 287 de 2026, en favor de los empleadores de personas con discapacidad y de los emprendimientos y empresas conformados por esta población. Esto, considerando que el artículo 2.2.1.2.4.2.7.4 del Decreto 1082 de 2015, modificado por el artículo 1 del Decreto 287 de 2026 establece que “(…) en los procedimientos de licitación pública y concurso de méritos, las Entidades Estatales otorgaran un puntaje adicional máximo del dos por ciento (2%) del valor total de los puntos establecidos en los Pliegos de condiciones o documentos equivalentes” cuando se configuren las situaciones que allí se establecen, pero que “(…) en todo caso el puntaje adicional total y único a otorgar por este criterio será del dos por ciento (2%), sin que sean acumulables a afecto de la evaluación de la oferta (…)”. </w:t>
            </w:r>
          </w:p>
          <w:p w14:paraId="15B935FE" w14:textId="77777777" w:rsidR="009C1079" w:rsidRPr="00D30EFC" w:rsidRDefault="009C1079" w:rsidP="009C1079">
            <w:pPr>
              <w:widowControl w:val="0"/>
              <w:autoSpaceDE w:val="0"/>
              <w:autoSpaceDN w:val="0"/>
              <w:spacing w:after="120" w:line="276" w:lineRule="auto"/>
              <w:ind w:firstLine="708"/>
              <w:jc w:val="both"/>
              <w:rPr>
                <w:rFonts w:ascii="Verdana" w:eastAsia="Calibri" w:hAnsi="Verdana" w:cs="Arial"/>
              </w:rPr>
            </w:pPr>
            <w:r w:rsidRPr="00D30EFC">
              <w:rPr>
                <w:rFonts w:ascii="Verdana" w:eastAsiaTheme="minorEastAsia" w:hAnsi="Verdana"/>
              </w:rPr>
              <w:t xml:space="preserve">Esta incorporación debe realizarse de manera estandarizada en los documentos tipo de licitación pública y concurso de méritos en los sectores en los que estos han sido adoptados por parte de la Agencia Nacional de Contratación Pública – Colombia Compra Eficiente, considerando que, actualmente en estos se señala como factor de ponderación un puntaje máximo de un (1) punto por la vinculación de personas con discapacidad, evento este que, con la modificación realizada por el Decreto 287 de 2026 debe ajustarse. </w:t>
            </w:r>
          </w:p>
          <w:p w14:paraId="7D592065" w14:textId="295659EC" w:rsidR="009C1079" w:rsidRPr="00D30EFC" w:rsidRDefault="009C1079" w:rsidP="009C1079">
            <w:pPr>
              <w:widowControl w:val="0"/>
              <w:autoSpaceDE w:val="0"/>
              <w:autoSpaceDN w:val="0"/>
              <w:spacing w:line="276" w:lineRule="auto"/>
              <w:ind w:firstLine="708"/>
              <w:jc w:val="both"/>
              <w:rPr>
                <w:rFonts w:ascii="Verdana" w:eastAsia="Calibri" w:hAnsi="Verdana" w:cs="Arial"/>
              </w:rPr>
            </w:pPr>
            <w:r w:rsidRPr="00D30EFC">
              <w:rPr>
                <w:rFonts w:ascii="Verdana" w:eastAsiaTheme="minorEastAsia" w:hAnsi="Verdana"/>
              </w:rPr>
              <w:t>De esta forma, la modificación del artículo 1 del Decreto 287 de 2026 al artículo 2.2.1.2.4.2.7.4 del Decreto 1082 de 2015, incide en el ajuste del puntaje que se otorga en los documentos tipo de licitación pública y concurso de méritos por la incorporación de personas con discapacidad, en donde</w:t>
            </w:r>
            <w:r w:rsidR="131F96CA" w:rsidRPr="00D30EFC">
              <w:rPr>
                <w:rFonts w:ascii="Verdana" w:eastAsiaTheme="minorEastAsia" w:hAnsi="Verdana"/>
              </w:rPr>
              <w:t>,</w:t>
            </w:r>
            <w:r w:rsidRPr="00D30EFC">
              <w:rPr>
                <w:rFonts w:ascii="Verdana" w:eastAsiaTheme="minorEastAsia" w:hAnsi="Verdana"/>
              </w:rPr>
              <w:t xml:space="preserve"> además, se amplía el ámbito de aplicación a emprendimientos y empresas de personas con discapacidad. Además, la modificación señalada incide en el formato que actualmente se encuentra previsto en los documentos tipo para </w:t>
            </w:r>
            <w:r w:rsidRPr="00D30EFC">
              <w:rPr>
                <w:rFonts w:ascii="Verdana" w:eastAsiaTheme="minorEastAsia" w:hAnsi="Verdana"/>
              </w:rPr>
              <w:lastRenderedPageBreak/>
              <w:t xml:space="preserve">acreditar esta condición, por lo que se debe definir con claridad los mecanismos de acreditación y verificación, con el fin de evitar discrecionalidades y garantizar la transparencia del proceso. </w:t>
            </w:r>
          </w:p>
          <w:p w14:paraId="5F3CBBB3" w14:textId="77777777" w:rsidR="009C1079" w:rsidRPr="00D30EFC" w:rsidRDefault="009C1079" w:rsidP="009C1079">
            <w:pPr>
              <w:widowControl w:val="0"/>
              <w:autoSpaceDE w:val="0"/>
              <w:autoSpaceDN w:val="0"/>
              <w:spacing w:line="276" w:lineRule="auto"/>
              <w:ind w:firstLine="708"/>
              <w:jc w:val="both"/>
              <w:rPr>
                <w:rFonts w:ascii="Verdana" w:eastAsia="Calibri" w:hAnsi="Verdana" w:cs="Arial"/>
              </w:rPr>
            </w:pPr>
          </w:p>
          <w:p w14:paraId="37F9A95B" w14:textId="77777777" w:rsidR="009C1079" w:rsidRPr="00D30EFC" w:rsidRDefault="009C1079" w:rsidP="009C1079">
            <w:pPr>
              <w:widowControl w:val="0"/>
              <w:autoSpaceDE w:val="0"/>
              <w:autoSpaceDN w:val="0"/>
              <w:spacing w:line="276" w:lineRule="auto"/>
              <w:jc w:val="both"/>
              <w:rPr>
                <w:rFonts w:ascii="Verdana" w:eastAsia="Aptos" w:hAnsi="Verdana" w:cs="Times New Roman"/>
                <w:kern w:val="2"/>
                <w14:ligatures w14:val="standardContextual"/>
              </w:rPr>
            </w:pPr>
            <w:proofErr w:type="spellStart"/>
            <w:r w:rsidRPr="00D30EFC">
              <w:rPr>
                <w:rFonts w:ascii="Verdana" w:eastAsiaTheme="minorEastAsia" w:hAnsi="Verdana"/>
              </w:rPr>
              <w:t>iv</w:t>
            </w:r>
            <w:proofErr w:type="spellEnd"/>
            <w:r w:rsidRPr="00D30EFC">
              <w:rPr>
                <w:rFonts w:ascii="Verdana" w:eastAsiaTheme="minorEastAsia" w:hAnsi="Verdana"/>
              </w:rPr>
              <w:t xml:space="preserve">. La Ley 2022 de 2020 no solo atribuye la competencia a la Agencia Nacional de Contratación Pública – Colombia Compra Eficiente para adoptar documentos tipo, sino que define expresamente su contenido, al disponer que en estos “(…) se establecerán los requisitos habilitantes, factores técnicos, económicos y otros factores de escogencia, así como aquellos requisitos que, previa justificación, representen buenas prácticas contractuales”. De esta manera, el legislador concentró en la Agencia Nacional de Contratación Pública – Colombia Compra Eficiente la definición de los </w:t>
            </w:r>
            <w:r w:rsidRPr="00D30EFC">
              <w:rPr>
                <w:rFonts w:ascii="Verdana" w:eastAsia="Aptos" w:hAnsi="Verdana" w:cs="Times New Roman"/>
                <w:kern w:val="2"/>
                <w14:ligatures w14:val="standardContextual"/>
              </w:rPr>
              <w:t xml:space="preserve">elementos estructurales de los procesos de selección, con el propósito de garantizar la estandarización, la transparencia, la selección objetiva y la eficiencia en el uso de los recursos públicos. </w:t>
            </w:r>
          </w:p>
          <w:p w14:paraId="7FE2CE0A" w14:textId="77777777" w:rsidR="009C1079" w:rsidRPr="00D30EFC" w:rsidRDefault="009C1079" w:rsidP="009C1079">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D30EFC">
              <w:rPr>
                <w:rFonts w:ascii="Verdana" w:eastAsia="Aptos" w:hAnsi="Verdana" w:cs="Times New Roman"/>
                <w:kern w:val="2"/>
                <w14:ligatures w14:val="standardContextual"/>
              </w:rPr>
              <w:t xml:space="preserve">Concretamente, la competencia prevista en el artículo 1 de la Ley 2022 de 2020, se ejerció mediante la expedición de la Resolución 160 de 2020 del 15 de septiembre de 2020 “Por la cual se adopta el procedimiento para implementar los documentos tipo y se define el sistema para su revisión”, así como con la expedición de múltiples resoluciones –señaladas en el numeral i de este concepto– mediante las cuales se adoptaron documentos tipo por parte de la Agencia Nacional de Contratación Pública – Colombia Compra Eficiente en diferentes modalidades de selección y sectores, en las cuales, además, se reitera el carácter obligatorio de estos documentos y se establecen reglas específicas para su aplicación. </w:t>
            </w:r>
          </w:p>
          <w:p w14:paraId="3B074880" w14:textId="77777777" w:rsidR="009C1079" w:rsidRPr="00D30EFC" w:rsidRDefault="009C1079" w:rsidP="009C1079">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D30EFC">
              <w:rPr>
                <w:rFonts w:ascii="Verdana" w:eastAsia="Aptos" w:hAnsi="Verdana" w:cs="Times New Roman"/>
                <w:kern w:val="2"/>
                <w14:ligatures w14:val="standardContextual"/>
              </w:rPr>
              <w:t>En este sentido, las resoluciones mediante las cuales la Agencia Nacional de Contratación Pública – Colombia Compra Eficiente adoptó documentos tipo, consolidan un sistema de contratación estandarizado –en las modalidades y sectores adoptados– en el que las entidades estatales obligadas a la aplicación deben sujetarse de manera estricta a las condiciones definidas en dichos instrumentos, particularmente en lo relacionado con requisitos habilitantes, factores de evaluación y sistemas de ponderación.</w:t>
            </w:r>
          </w:p>
          <w:p w14:paraId="21751B83" w14:textId="77777777" w:rsidR="009C1079" w:rsidRPr="00D30EFC" w:rsidRDefault="009C1079" w:rsidP="009C1079">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D30EFC">
              <w:rPr>
                <w:rFonts w:ascii="Verdana" w:eastAsia="Aptos" w:hAnsi="Verdana" w:cs="Times New Roman"/>
                <w:kern w:val="2"/>
                <w14:ligatures w14:val="standardContextual"/>
              </w:rPr>
              <w:t xml:space="preserve">Lo dispuesto en el párrafo precedente, es consecuente con lo </w:t>
            </w:r>
            <w:r w:rsidRPr="00D30EFC">
              <w:rPr>
                <w:rFonts w:ascii="Verdana" w:eastAsia="Aptos" w:hAnsi="Verdana" w:cs="Times New Roman"/>
                <w:kern w:val="2"/>
                <w14:ligatures w14:val="standardContextual"/>
              </w:rPr>
              <w:lastRenderedPageBreak/>
              <w:t>desarrollado en el punto tres (</w:t>
            </w:r>
            <w:proofErr w:type="spellStart"/>
            <w:r w:rsidRPr="00D30EFC">
              <w:rPr>
                <w:rFonts w:ascii="Verdana" w:eastAsia="Aptos" w:hAnsi="Verdana" w:cs="Times New Roman"/>
                <w:kern w:val="2"/>
                <w14:ligatures w14:val="standardContextual"/>
              </w:rPr>
              <w:t>iii</w:t>
            </w:r>
            <w:proofErr w:type="spellEnd"/>
            <w:r w:rsidRPr="00D30EFC">
              <w:rPr>
                <w:rFonts w:ascii="Verdana" w:eastAsia="Aptos" w:hAnsi="Verdana" w:cs="Times New Roman"/>
                <w:kern w:val="2"/>
                <w14:ligatures w14:val="standardContextual"/>
              </w:rPr>
              <w:t>) de la parte considerativa de este concepto. En este se indicó que, sobre los documentos tipo expedidos por la Agencia Nacional de Contratación Pública – Colombia Compra Eficiente, recae la regla de inalterabilidad.</w:t>
            </w:r>
          </w:p>
          <w:p w14:paraId="24AD2F3B" w14:textId="77777777" w:rsidR="009C1079" w:rsidRPr="00D30EFC" w:rsidRDefault="009C1079" w:rsidP="009C1079">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D30EFC">
              <w:rPr>
                <w:rFonts w:ascii="Verdana" w:eastAsia="Aptos" w:hAnsi="Verdana" w:cs="Times New Roman"/>
                <w:kern w:val="2"/>
                <w14:ligatures w14:val="standardContextual"/>
              </w:rPr>
              <w:t>Considerando lo anterior, si bien es cierto que, el Decreto 287 de 2026 establece que rige a partir del día siguiente a su publicación, lo que determina su vigencia inmediata, su aplicación en el ámbito de los procesos sometidos a documentos tipo debe interpretarse de manera sistemática y armónica con el régimen legal que regula dichos instrumentos, esto es, lo señalado en el artículo 1 de la Ley 2022 de 2020 y su desarrollo reglamentario a través de cada una de las Resoluciones expedidas por la Agencia Nacional de Contratación Pública – Colombia Compra Eficiente mediante las cuales, se han implementados documentos tipo. En efecto, dado que los documentos tipo contienen de manera obligatoria los requisitos habilitantes, los factores de evaluación y los criterios de escogencia, las entidades estatales no cuentan con competencia para modificarlos o complementarlos de manera autónoma con el fin de incorporar directamente las disposiciones del Decreto en mención.</w:t>
            </w:r>
          </w:p>
          <w:p w14:paraId="22F9BE95" w14:textId="77777777" w:rsidR="009C1079" w:rsidRPr="00D30EFC" w:rsidRDefault="009C1079" w:rsidP="009C1079">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D30EFC">
              <w:rPr>
                <w:rFonts w:ascii="Verdana" w:eastAsia="Aptos" w:hAnsi="Verdana" w:cs="Times New Roman"/>
                <w:kern w:val="2"/>
                <w14:ligatures w14:val="standardContextual"/>
              </w:rPr>
              <w:t>Permitir que cada entidad introduzca ajustes a los documentos tipo para dar aplicación inmediata al Decreto 287 de 2026 implicaría desconocer la competencia exclusiva atribuida por el legislador a la Agencia Nacional de Contratación Pública – Colombia Compra Eficiente mediante la expedición de la Ley 2022 de 2020, así como la regla de inalterabilidad que rige estos documentos. Además, generaría una fragmentación del sistema de compra pública, afectando los principios de igualdad, transparencia y selección objetiva, en la medida en que procesos contractuales similares podrían regirse por condiciones distintas, dependiendo de la entidad que los adelante y la forma como incorporó las previsiones contenidas en el Decreto 287 de 2026 a los procesos de selección regidos por documentos tipo.</w:t>
            </w:r>
          </w:p>
          <w:p w14:paraId="62110CEE" w14:textId="77777777" w:rsidR="009C1079" w:rsidRPr="00D30EFC" w:rsidRDefault="009C1079" w:rsidP="009C1079">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D30EFC">
              <w:rPr>
                <w:rFonts w:ascii="Verdana" w:eastAsia="Aptos" w:hAnsi="Verdana" w:cs="Times New Roman"/>
                <w:kern w:val="2"/>
                <w14:ligatures w14:val="standardContextual"/>
              </w:rPr>
              <w:t xml:space="preserve">Desde una perspectiva técnica, los documentos tipo constituyen un sistema integral y articulado, en el cual los requisitos habilitantes, los factores de evaluación y las condiciones contractuales se encuentran interrelacionados. En consecuencia, la incorporación aislada de modificaciones podría generar </w:t>
            </w:r>
            <w:r w:rsidRPr="00D30EFC">
              <w:rPr>
                <w:rFonts w:ascii="Verdana" w:eastAsia="Aptos" w:hAnsi="Verdana" w:cs="Times New Roman"/>
                <w:kern w:val="2"/>
                <w14:ligatures w14:val="standardContextual"/>
              </w:rPr>
              <w:lastRenderedPageBreak/>
              <w:t xml:space="preserve">inconsistencias o desajustes en su aplicación, afectando la coherencia del proceso contractual. Por esta razón, la Ley 2022 de 2020 prevé que su adopción y actualización se realice mediante procedimientos estructurados, coordinados y participativos, a cargo de la Agencia Nacional de Contratación Pública – Colombia Compra Eficiente, quien cuenta con la capacidad técnica para garantizar la adecuada integración de las nuevas disposiciones, como por ejemplo el Decreto 287 de 2026. </w:t>
            </w:r>
          </w:p>
          <w:p w14:paraId="4329E625" w14:textId="77777777" w:rsidR="009C1079" w:rsidRPr="00D30EFC" w:rsidRDefault="009C1079" w:rsidP="009C1079">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D30EFC">
              <w:rPr>
                <w:rFonts w:ascii="Verdana" w:eastAsia="Aptos" w:hAnsi="Verdana" w:cs="Times New Roman"/>
                <w:kern w:val="2"/>
                <w14:ligatures w14:val="standardContextual"/>
              </w:rPr>
              <w:t xml:space="preserve">Adicionalmente, el propio Decreto 287 de 2026 en el artículo 1 que modifica el artículo 2.2.1.2.4.2.7.8 al Decreto 1082 de 2015, reconoce esta necesidad al disponer que la Agencia Nacional de Contratación Pública – Colombia Compra Eficiente “(…) garantizará la adopción permanente de las acciones necesarias para que las medidas señaladas en esta subsección se incorporen a los documentos e instrumentos que genera”, lo cual confirma que la operatividad de dichas disposiciones en el ámbito de los documentos tipo depende de su desarrollo por parte de esta entidad. </w:t>
            </w:r>
          </w:p>
          <w:p w14:paraId="396EF18F" w14:textId="77777777" w:rsidR="009C1079" w:rsidRPr="00D30EFC" w:rsidRDefault="009C1079" w:rsidP="009C1079">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D30EFC">
              <w:rPr>
                <w:rFonts w:ascii="Verdana" w:eastAsia="Aptos" w:hAnsi="Verdana" w:cs="Times New Roman"/>
                <w:kern w:val="2"/>
                <w14:ligatures w14:val="standardContextual"/>
              </w:rPr>
              <w:t xml:space="preserve">Lo anterior es consecuente con lo dispuesto en el ABC del Decreto 0287 de 2026 “Contratación pública inclusiva para personas con discapacidad” en donde se establece que “La aplicación del Decreto 0287 de 2026 en los documentos tipo está sujeta a que Colombia Compra Eficiente realice los ajustes correspondientes en estos instrumentos”, esto considerando que “(…) los documentos tipo requieren una adecuación técnica y normativa previa para incorporar las medidas del sistema de preferencias”. </w:t>
            </w:r>
          </w:p>
          <w:p w14:paraId="7035C5CD" w14:textId="77777777" w:rsidR="009C1079" w:rsidRPr="00D30EFC" w:rsidRDefault="009C1079" w:rsidP="009C1079">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D30EFC">
              <w:rPr>
                <w:rFonts w:ascii="Verdana" w:eastAsia="Aptos" w:hAnsi="Verdana" w:cs="Times New Roman"/>
                <w:kern w:val="2"/>
                <w14:ligatures w14:val="standardContextual"/>
              </w:rPr>
              <w:t>En consecuencia, aunque de acuerdo con el artículo 2 del Decreto 287 de 2026, este “(…) rige a partir del día siguiente a su publicación (…)”, su aplicación en los procesos contracción regidos por documentos tipo se encuentra condicionada a su incorporación formal en dichos instrumentos por parte de la Agencia Nacional de Contratación Pública – Colombia Compra Eficiente. Así, solo a partir de dicha incorporación mediante la modificación a los documentos tipo, es posible garantizar una aplicación uniforme, coherente y jurídicamente válida de las medidas afirmativas previstas, sin desconocer la distribución de competencias establecida por el legislador ni la estructura normativa del sistema de compras y contratación pública.</w:t>
            </w:r>
          </w:p>
          <w:p w14:paraId="59F234EB" w14:textId="77777777" w:rsidR="009C1079" w:rsidRPr="00D30EFC" w:rsidRDefault="009C1079" w:rsidP="009C1079">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D30EFC">
              <w:rPr>
                <w:rFonts w:ascii="Verdana" w:eastAsia="Aptos" w:hAnsi="Verdana" w:cs="Times New Roman"/>
                <w:kern w:val="2"/>
                <w14:ligatures w14:val="standardContextual"/>
              </w:rPr>
              <w:lastRenderedPageBreak/>
              <w:t xml:space="preserve">En conclusión, la implementación de las disposiciones del Decreto 287 de 2026 en relación con los documentos tipo no puede realizarse de manera directa por las entidades estatales que obligatoriamente deben aplicarlos, sino que, requiere necesariamente su desarrollo e incorporación por parte de la Agencia Nacional de Contratación Pública – Colombia Compra Eficiente, en ejercicio de la competencia que le fue atribuida por la Ley 2022 de 2020, garantizando así la coherencia del sistema, el respeto por la jerarquía normativa y la efectividad de las medidas orientadas a la inclusión de las personas con discapacidad en el sistema de compras y contratación pública. </w:t>
            </w:r>
          </w:p>
          <w:p w14:paraId="3BE50758" w14:textId="77777777" w:rsidR="009C1079" w:rsidRPr="00D30EFC" w:rsidRDefault="009C1079" w:rsidP="009C1079">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D30EFC">
              <w:rPr>
                <w:rFonts w:ascii="Verdana" w:eastAsia="Aptos" w:hAnsi="Verdana" w:cs="Times New Roman"/>
                <w:kern w:val="2"/>
                <w14:ligatures w14:val="standardContextual"/>
              </w:rPr>
              <w:t>Finalmente, debe indicarse que, la Agencia Nacional de Contratación Pública – Colombia Compra Eficiente se encuentra trabajando en la incorporación de los criterios establecidos en el Decreto 287 de 2026 en los documentos tipo, lo que implica agotar el procedimiento previsto en la Resolución 160 de 2020 que establece el sistema para su revisión de estos documentos y la adopción de las modificaciones a que haya lugar mediante acto administrativo motivado.</w:t>
            </w:r>
          </w:p>
          <w:p w14:paraId="5C578AFE" w14:textId="77777777" w:rsidR="009C1079" w:rsidRPr="009C1079" w:rsidRDefault="009C1079" w:rsidP="009C1079">
            <w:pPr>
              <w:widowControl w:val="0"/>
              <w:autoSpaceDE w:val="0"/>
              <w:autoSpaceDN w:val="0"/>
              <w:spacing w:line="276" w:lineRule="auto"/>
              <w:ind w:firstLine="708"/>
              <w:jc w:val="both"/>
              <w:rPr>
                <w:rFonts w:ascii="Verdana" w:eastAsia="Aptos" w:hAnsi="Verdana" w:cs="Times New Roman"/>
                <w:kern w:val="2"/>
                <w:sz w:val="24"/>
                <w:szCs w:val="24"/>
                <w14:ligatures w14:val="standardContextual"/>
              </w:rPr>
            </w:pPr>
            <w:r w:rsidRPr="00D30EFC">
              <w:rPr>
                <w:rFonts w:ascii="Verdana" w:eastAsia="Aptos" w:hAnsi="Verdana" w:cs="Times New Roman"/>
                <w:kern w:val="2"/>
                <w14:ligatures w14:val="standardContextual"/>
              </w:rPr>
              <w:t>Mediante el agotamiento de una serie de actuaciones que implican, el análisis del Decreto en comento desde un perspectiva técnica, financiera y jurídica, generar versiones previas para comentarios de ciudadanos, entidades y grupos de interés, respuesta a las observaciones y un informe global, entre otras etapas, esta Agencia adoptará las modificaciones a los documentos tipo para adecuarlos al contenido del Decreto 287 de 2026 que modifica el 1082 de 2015. Este trabajo ya fue iniciado por la Agencia Nacional de Contratación Pública – Colombia Compra Eficiente y finalizará con la adopción del acto administrativo que modifica los documentos tipo luego de surtir el procedimiento señalado.</w:t>
            </w:r>
            <w:r w:rsidRPr="009C1079">
              <w:rPr>
                <w:rFonts w:ascii="Verdana" w:eastAsia="Aptos" w:hAnsi="Verdana" w:cs="Times New Roman"/>
                <w:kern w:val="2"/>
                <w:sz w:val="24"/>
                <w:szCs w:val="24"/>
                <w14:ligatures w14:val="standardContextual"/>
              </w:rPr>
              <w:t xml:space="preserve"> </w:t>
            </w:r>
          </w:p>
        </w:tc>
      </w:tr>
    </w:tbl>
    <w:p w14:paraId="22DE06BA" w14:textId="77777777" w:rsidR="009C1079" w:rsidRPr="009C1079" w:rsidRDefault="009C1079" w:rsidP="009C1079">
      <w:pPr>
        <w:tabs>
          <w:tab w:val="left" w:pos="142"/>
          <w:tab w:val="left" w:pos="284"/>
        </w:tabs>
        <w:spacing w:after="0" w:line="276" w:lineRule="auto"/>
        <w:jc w:val="both"/>
        <w:rPr>
          <w:rFonts w:ascii="Verdana" w:eastAsia="Century Gothic" w:hAnsi="Verdana" w:cs="Century Gothic"/>
          <w:b/>
          <w:bCs/>
          <w:lang w:val="es-ES"/>
        </w:rPr>
      </w:pPr>
    </w:p>
    <w:p w14:paraId="3AB4D115" w14:textId="77777777" w:rsidR="009C1079" w:rsidRPr="009C1079" w:rsidRDefault="009C1079" w:rsidP="009C1079">
      <w:pPr>
        <w:tabs>
          <w:tab w:val="left" w:pos="142"/>
          <w:tab w:val="left" w:pos="284"/>
        </w:tabs>
        <w:spacing w:after="0" w:line="276" w:lineRule="auto"/>
        <w:jc w:val="both"/>
        <w:rPr>
          <w:rFonts w:ascii="Verdana" w:eastAsia="Century Gothic" w:hAnsi="Verdana" w:cs="Century Gothic"/>
          <w:b/>
          <w:bCs/>
          <w:lang w:val="es-ES"/>
        </w:rPr>
      </w:pPr>
      <w:r w:rsidRPr="009C1079">
        <w:rPr>
          <w:rFonts w:ascii="Verdana" w:eastAsia="Century Gothic" w:hAnsi="Verdana" w:cs="Century Gothic"/>
          <w:b/>
          <w:bCs/>
          <w:lang w:val="es-ES"/>
        </w:rPr>
        <w:t>3. Razones de la respuesta:</w:t>
      </w:r>
    </w:p>
    <w:p w14:paraId="45C5DF5B" w14:textId="77777777" w:rsidR="009C1079" w:rsidRPr="009C1079" w:rsidRDefault="009C1079" w:rsidP="009C1079">
      <w:pPr>
        <w:spacing w:after="0" w:line="276" w:lineRule="auto"/>
        <w:jc w:val="both"/>
        <w:rPr>
          <w:rFonts w:ascii="Verdana" w:eastAsia="Calibri" w:hAnsi="Verdana" w:cs="Arial"/>
          <w:lang w:val="es-ES"/>
        </w:rPr>
      </w:pPr>
    </w:p>
    <w:p w14:paraId="53167FE6" w14:textId="77777777" w:rsidR="009C1079" w:rsidRPr="009C1079" w:rsidRDefault="009C1079" w:rsidP="009C1079">
      <w:pPr>
        <w:spacing w:after="0" w:line="276" w:lineRule="auto"/>
        <w:jc w:val="both"/>
        <w:rPr>
          <w:rFonts w:ascii="Verdana" w:eastAsia="Calibri" w:hAnsi="Verdana" w:cs="Arial"/>
          <w:lang w:val="es-ES"/>
        </w:rPr>
      </w:pPr>
      <w:r w:rsidRPr="009C1079">
        <w:rPr>
          <w:rFonts w:ascii="Verdana" w:eastAsia="Calibri" w:hAnsi="Verdana" w:cs="Arial"/>
          <w:lang w:val="es-ES"/>
        </w:rPr>
        <w:t xml:space="preserve">Lo anterior se sustenta en las siguientes consideraciones: </w:t>
      </w:r>
    </w:p>
    <w:p w14:paraId="21356C3B" w14:textId="77777777" w:rsidR="009C1079" w:rsidRPr="009C1079" w:rsidRDefault="009C1079" w:rsidP="009C1079">
      <w:pPr>
        <w:widowControl w:val="0"/>
        <w:autoSpaceDE w:val="0"/>
        <w:autoSpaceDN w:val="0"/>
        <w:spacing w:after="0" w:line="276" w:lineRule="auto"/>
        <w:jc w:val="both"/>
        <w:rPr>
          <w:rFonts w:ascii="Verdana" w:eastAsia="Calibri" w:hAnsi="Verdana" w:cs="Times New Roman"/>
          <w:lang w:val="es-ES"/>
        </w:rPr>
      </w:pPr>
      <w:bookmarkStart w:id="1" w:name="_Hlk113022941"/>
    </w:p>
    <w:p w14:paraId="1985C676" w14:textId="77777777" w:rsidR="009C1079" w:rsidRPr="009C1079" w:rsidRDefault="009C1079" w:rsidP="009C1079">
      <w:pPr>
        <w:spacing w:after="0" w:line="240" w:lineRule="auto"/>
        <w:jc w:val="both"/>
        <w:rPr>
          <w:rFonts w:ascii="Aptos" w:eastAsia="Aptos" w:hAnsi="Aptos" w:cs="Times New Roman"/>
          <w:kern w:val="2"/>
          <w:sz w:val="24"/>
          <w:szCs w:val="24"/>
          <w:lang w:val="es-MX"/>
          <w14:ligatures w14:val="standardContextual"/>
        </w:rPr>
      </w:pPr>
      <w:r w:rsidRPr="009C1079">
        <w:rPr>
          <w:rFonts w:ascii="Aptos" w:eastAsia="Aptos" w:hAnsi="Aptos" w:cs="Times New Roman"/>
          <w:kern w:val="2"/>
          <w:sz w:val="24"/>
          <w:szCs w:val="24"/>
          <w:lang w:val="es-ES"/>
          <w14:ligatures w14:val="standardContextual"/>
        </w:rPr>
        <w:t xml:space="preserve">i. </w:t>
      </w:r>
      <w:r w:rsidRPr="009C1079">
        <w:rPr>
          <w:rFonts w:ascii="Verdana" w:eastAsia="Aptos" w:hAnsi="Verdana" w:cs="Times New Roman"/>
          <w:kern w:val="2"/>
          <w:lang w:val="es-MX"/>
          <w14:ligatures w14:val="standardContextual"/>
        </w:rPr>
        <w:t xml:space="preserve">El 22 de julio de 2020 se sancionó la Ley 2022, por medio de la cual se modificó el artículo 4 de la Ley 1882 de 2018. El objetivo de la modificación consiste en </w:t>
      </w:r>
      <w:r w:rsidRPr="009C1079">
        <w:rPr>
          <w:rFonts w:ascii="Verdana" w:eastAsia="Aptos" w:hAnsi="Verdana" w:cs="Times New Roman"/>
          <w:kern w:val="2"/>
          <w:lang w:val="es-MX"/>
          <w14:ligatures w14:val="standardContextual"/>
        </w:rPr>
        <w:lastRenderedPageBreak/>
        <w:t>que los documentos tipo sean un referente obligatorio en la elaboración de cualquier pliego de condiciones y no solo en los relacionados con procesos de obra pública. De igual manera, busca que el contrato estatal pueda ser utilizado racionalmente como instrumento de ejecución de los recursos públicos, para garantizar el cumplimiento de los fines del Estado y la satisfacción de las necesidades de la comunidad</w:t>
      </w:r>
      <w:r w:rsidRPr="009C1079">
        <w:rPr>
          <w:rFonts w:ascii="Verdana" w:eastAsia="Aptos" w:hAnsi="Verdana" w:cs="Times New Roman"/>
          <w:kern w:val="2"/>
          <w:vertAlign w:val="superscript"/>
          <w:lang w:val="es-MX"/>
          <w14:ligatures w14:val="standardContextual"/>
        </w:rPr>
        <w:footnoteReference w:id="12"/>
      </w:r>
      <w:r w:rsidRPr="009C1079">
        <w:rPr>
          <w:rFonts w:ascii="Verdana" w:eastAsia="Aptos" w:hAnsi="Verdana" w:cs="Times New Roman"/>
          <w:kern w:val="2"/>
          <w:lang w:val="es-MX"/>
          <w14:ligatures w14:val="standardContextual"/>
        </w:rPr>
        <w:t>.</w:t>
      </w:r>
      <w:r w:rsidRPr="009C1079">
        <w:rPr>
          <w:rFonts w:ascii="Aptos" w:eastAsia="Aptos" w:hAnsi="Aptos" w:cs="Times New Roman"/>
          <w:kern w:val="2"/>
          <w:sz w:val="24"/>
          <w:szCs w:val="24"/>
          <w:lang w:val="es-MX"/>
          <w14:ligatures w14:val="standardContextual"/>
        </w:rPr>
        <w:t xml:space="preserve"> </w:t>
      </w:r>
    </w:p>
    <w:p w14:paraId="3C1B6B18" w14:textId="77777777" w:rsidR="009C1079" w:rsidRPr="009C1079" w:rsidRDefault="009C1079" w:rsidP="009C1079">
      <w:pPr>
        <w:tabs>
          <w:tab w:val="left" w:pos="709"/>
        </w:tabs>
        <w:spacing w:before="120" w:after="120" w:line="276" w:lineRule="auto"/>
        <w:ind w:firstLine="642"/>
        <w:jc w:val="both"/>
        <w:rPr>
          <w:rFonts w:ascii="Verdana" w:eastAsia="Calibri" w:hAnsi="Verdana" w:cs="Arial"/>
          <w:color w:val="000000"/>
          <w:lang w:val="es-MX"/>
        </w:rPr>
      </w:pPr>
      <w:r w:rsidRPr="009C1079">
        <w:rPr>
          <w:rFonts w:ascii="Verdana" w:eastAsia="Calibri" w:hAnsi="Verdana" w:cs="Arial"/>
          <w:color w:val="000000"/>
          <w:lang w:val="es-MX"/>
        </w:rPr>
        <w:t>La norma establece que la Agencia Nacional de Contratación Pública – Colombia Compra Eficiente o quien haga sus veces, adoptará documentos tipo que serán de obligatorio cumplimiento en la actividad contractual de todas las entidades sometidas al Estatuto General de Contratación de la Administración Pública</w:t>
      </w:r>
      <w:r w:rsidRPr="009C1079">
        <w:rPr>
          <w:rFonts w:ascii="Verdana" w:eastAsia="Calibri" w:hAnsi="Verdana" w:cs="Arial"/>
          <w:color w:val="000000"/>
          <w:vertAlign w:val="superscript"/>
          <w:lang w:val="es-MX"/>
        </w:rPr>
        <w:footnoteReference w:id="13"/>
      </w:r>
      <w:r w:rsidRPr="009C1079">
        <w:rPr>
          <w:rFonts w:ascii="Verdana" w:eastAsia="Calibri" w:hAnsi="Verdana" w:cs="Arial"/>
          <w:color w:val="000000"/>
          <w:lang w:val="es-MX"/>
        </w:rPr>
        <w:t xml:space="preserve">. Así mismo, señala que, dentro de estos documentos tipo se </w:t>
      </w:r>
      <w:r w:rsidRPr="009C1079">
        <w:rPr>
          <w:rFonts w:ascii="Verdana" w:eastAsia="Calibri" w:hAnsi="Verdana" w:cs="Arial"/>
          <w:color w:val="000000"/>
          <w:lang w:val="es-MX"/>
        </w:rPr>
        <w:lastRenderedPageBreak/>
        <w:t>establecerán los requisitos habilitantes, factores técnicos, económicos y otros factores de escogencia, así como aquellos requisitos que, previa justificación, representen buenas prácticas contractuales que procuren el adecuado desarrollo de los principios que rigen la contratación pública.</w:t>
      </w:r>
    </w:p>
    <w:p w14:paraId="02E8437A" w14:textId="77777777" w:rsidR="009C1079" w:rsidRPr="009C1079" w:rsidRDefault="009C1079" w:rsidP="009C1079">
      <w:pPr>
        <w:spacing w:before="120" w:after="120" w:line="276" w:lineRule="auto"/>
        <w:ind w:firstLine="642"/>
        <w:jc w:val="both"/>
        <w:rPr>
          <w:rFonts w:ascii="Verdana" w:eastAsia="Calibri" w:hAnsi="Verdana" w:cs="Arial"/>
          <w:color w:val="000000"/>
          <w:lang w:val="es-MX"/>
        </w:rPr>
      </w:pPr>
      <w:r w:rsidRPr="009C1079">
        <w:rPr>
          <w:rFonts w:ascii="Verdana" w:eastAsia="Calibri" w:hAnsi="Verdana" w:cs="Arial"/>
          <w:color w:val="000000"/>
          <w:lang w:val="es-MX"/>
        </w:rPr>
        <w:t xml:space="preserve">Por su parte, indica que, con el ánimo de promover la descentralización, el empleo local, el desarrollo, los servicios e industria local, en la adopción de los documentos tipo, se tendrán en cuenta las características propias de las regiones, la cuantía, el fomento de la economía local y la naturaleza y especialidad de la contratación. Para tal efecto se deberá llevar a cabo un proceso de capacitación para los municipios. </w:t>
      </w:r>
    </w:p>
    <w:p w14:paraId="237144F0" w14:textId="77777777" w:rsidR="009C1079" w:rsidRPr="009C1079" w:rsidRDefault="009C1079" w:rsidP="009C1079">
      <w:pPr>
        <w:spacing w:before="120" w:after="120" w:line="276" w:lineRule="auto"/>
        <w:ind w:firstLine="360"/>
        <w:jc w:val="both"/>
        <w:rPr>
          <w:rFonts w:ascii="Verdana" w:eastAsia="Calibri" w:hAnsi="Verdana" w:cs="Arial"/>
          <w:color w:val="000000"/>
          <w:lang w:val="es-MX"/>
        </w:rPr>
      </w:pPr>
      <w:r w:rsidRPr="009C1079">
        <w:rPr>
          <w:rFonts w:ascii="Verdana" w:eastAsia="Calibri" w:hAnsi="Verdana" w:cs="Arial"/>
          <w:color w:val="000000"/>
          <w:lang w:val="es-MX"/>
        </w:rPr>
        <w:t xml:space="preserve"> Además obliga a la Agencia Nacional de Contratación Pública Colombia Compra Eficiente a fijar un cronograma y definir, en coordinación con las entidades técnicas o especializadas correspondientes, el procedimiento para implementar gradualmente los documentos tipo, con el propósito de facilitar su incorporación en el sistema de compra pública, debiendo establecer un procedimiento para recibir y revisar comentarios de los interesados, así como un sistema para la revisión constante de los documentos tipo que expida. </w:t>
      </w:r>
    </w:p>
    <w:p w14:paraId="4B6E65B5" w14:textId="77777777" w:rsidR="009C1079" w:rsidRPr="009C1079" w:rsidRDefault="009C1079" w:rsidP="009C1079">
      <w:pPr>
        <w:spacing w:before="120" w:after="120" w:line="276" w:lineRule="auto"/>
        <w:ind w:firstLine="642"/>
        <w:jc w:val="both"/>
        <w:rPr>
          <w:rFonts w:ascii="Verdana" w:eastAsia="Calibri" w:hAnsi="Verdana" w:cs="Arial"/>
          <w:color w:val="000000"/>
          <w:lang w:val="es-MX"/>
        </w:rPr>
      </w:pPr>
      <w:r w:rsidRPr="009C1079">
        <w:rPr>
          <w:rFonts w:ascii="Verdana" w:eastAsia="Calibri" w:hAnsi="Verdana" w:cs="Arial"/>
          <w:color w:val="000000"/>
          <w:lang w:val="es-MX"/>
        </w:rPr>
        <w:t xml:space="preserve">La norma señala que, en todo caso, serán de uso obligatorio los documentos tipo para los pliegos de condiciones de los procesos de selección de obras públicas, interventoría para las obras públicas, interventoría para consultoría de estudios y diseños para obras públicas, consultoría e ingeniería para obras, que llevan a cabo todas las entidades sometidas al Estatuto General de Contratación de la Administración Pública, es decir, aquellas entidades </w:t>
      </w:r>
      <w:r w:rsidRPr="009C1079">
        <w:rPr>
          <w:rFonts w:ascii="Verdana" w:eastAsia="Calibri" w:hAnsi="Verdana" w:cs="Arial"/>
          <w:color w:val="000000"/>
          <w:lang w:val="es-MX"/>
        </w:rPr>
        <w:lastRenderedPageBreak/>
        <w:t>estatales mencionadas en el artículo 2º de la Ley 80 de 1993</w:t>
      </w:r>
      <w:r w:rsidRPr="009C1079">
        <w:rPr>
          <w:rFonts w:ascii="Verdana" w:eastAsia="Calibri" w:hAnsi="Verdana" w:cs="Arial"/>
          <w:color w:val="000000"/>
          <w:vertAlign w:val="superscript"/>
          <w:lang w:val="es-MX"/>
        </w:rPr>
        <w:footnoteReference w:id="14"/>
      </w:r>
      <w:r w:rsidRPr="009C1079">
        <w:rPr>
          <w:rFonts w:ascii="Verdana" w:eastAsia="Calibri" w:hAnsi="Verdana" w:cs="Arial"/>
          <w:color w:val="000000"/>
          <w:lang w:val="es-MX"/>
        </w:rPr>
        <w:t>. Esto significa, de una parte, que dichos documentos tipo tienen como fin servir como fuente obligatoria para la elaboración de los pliegos de condiciones y, de otra, que los documentos tipo adoptados por la Agencia son obligatorios por expreso mandato del legislador para las entidades sometidas a la Ley 80 de 1993.</w:t>
      </w:r>
    </w:p>
    <w:p w14:paraId="6540BC46" w14:textId="77777777" w:rsidR="009C1079" w:rsidRPr="009C1079" w:rsidRDefault="009C1079" w:rsidP="009C1079">
      <w:pPr>
        <w:spacing w:before="120" w:after="120" w:line="276" w:lineRule="auto"/>
        <w:ind w:firstLine="642"/>
        <w:jc w:val="both"/>
        <w:rPr>
          <w:rFonts w:ascii="Verdana" w:eastAsia="Aptos" w:hAnsi="Verdana" w:cs="Arial"/>
          <w:kern w:val="2"/>
          <w:lang w:val="es-ES"/>
          <w14:ligatures w14:val="standardContextual"/>
        </w:rPr>
      </w:pPr>
      <w:r w:rsidRPr="009C1079">
        <w:rPr>
          <w:rFonts w:ascii="Verdana" w:eastAsia="Calibri" w:hAnsi="Verdana" w:cs="Arial"/>
          <w:color w:val="000000"/>
          <w:lang w:val="es-MX"/>
        </w:rPr>
        <w:t xml:space="preserve">Con la finalidad de realizar un desarrollo armónico y ajustado a la ley que otorga esta competencia, la Agencia Nacional de Contratación Pública expidió la Resolución 160 del 15 de septiembre de 2020 “Por la cual se adopta el procedimiento para implementar los documentos tipo y se define el sistema para su revisión”. Asimismo, con fundamento en dicha Ley, se </w:t>
      </w:r>
      <w:r w:rsidRPr="009C1079">
        <w:rPr>
          <w:rFonts w:ascii="Verdana" w:eastAsia="Aptos" w:hAnsi="Verdana" w:cs="Arial"/>
          <w:kern w:val="2"/>
          <w:lang w:val="es-ES"/>
          <w14:ligatures w14:val="standardContextual"/>
        </w:rPr>
        <w:t xml:space="preserve">expidió diversos grupos de documentos tipo aplicables principalmente a la contratación de obras públicas de infraestructura de transporte, agua potable y saneamiento básico y social, para interventoría y consultoría de estudios de ingeniería, pero también, para la celebración de convenios solidarios con Juntas de Acción Comunal y para los procesos de gestión catastral con enfoque multipropósito. De conformidad con las modalidades de selección establecidas en el artículo 2 de la Ley 1150 de 2007, estos documentos tipo se han expedido para las modalidades de selección </w:t>
      </w:r>
      <w:r w:rsidRPr="009C1079">
        <w:rPr>
          <w:rFonts w:ascii="Verdana" w:eastAsia="Aptos" w:hAnsi="Verdana" w:cs="Arial"/>
          <w:kern w:val="2"/>
          <w:lang w:val="es-ES"/>
          <w14:ligatures w14:val="standardContextual"/>
        </w:rPr>
        <w:lastRenderedPageBreak/>
        <w:t>de licitación pública, selección abreviada de menor cuantía, mínima cuantía, concurso de méritos y contratación directa.</w:t>
      </w:r>
    </w:p>
    <w:p w14:paraId="7F83BC5E" w14:textId="77777777" w:rsidR="009C1079" w:rsidRPr="009C1079" w:rsidRDefault="009C1079" w:rsidP="009C1079">
      <w:pPr>
        <w:spacing w:after="120" w:line="276" w:lineRule="auto"/>
        <w:ind w:firstLine="708"/>
        <w:jc w:val="both"/>
        <w:rPr>
          <w:rFonts w:ascii="Verdana" w:eastAsia="Calibri" w:hAnsi="Verdana" w:cs="Arial"/>
          <w:kern w:val="2"/>
          <w14:ligatures w14:val="standardContextual"/>
        </w:rPr>
      </w:pPr>
      <w:r w:rsidRPr="009C1079">
        <w:rPr>
          <w:rFonts w:ascii="Verdana" w:eastAsia="Aptos" w:hAnsi="Verdana" w:cs="Arial"/>
          <w:kern w:val="2"/>
          <w14:ligatures w14:val="standardContextual"/>
        </w:rPr>
        <w:t xml:space="preserve">Concretamente, con fundamento en el artículo 1 de la Ley 2022 de 2020, </w:t>
      </w:r>
      <w:r w:rsidRPr="009C1079">
        <w:rPr>
          <w:rFonts w:ascii="Verdana" w:eastAsia="Calibri" w:hAnsi="Verdana" w:cs="Arial"/>
          <w:kern w:val="2"/>
          <w:lang w:val="es-MX"/>
          <w14:ligatures w14:val="standardContextual"/>
        </w:rPr>
        <w:t xml:space="preserve">la Agencia Nacional de Contratación Pública – Colombia Compra </w:t>
      </w:r>
      <w:r w:rsidRPr="009C1079">
        <w:rPr>
          <w:rFonts w:ascii="Verdana" w:eastAsia="Calibri" w:hAnsi="Verdana" w:cs="Arial"/>
          <w:kern w:val="2"/>
          <w14:ligatures w14:val="standardContextual"/>
        </w:rPr>
        <w:t>Eficiente expidió los siguientes documentos tipo que se encuentran vigentes:</w:t>
      </w:r>
    </w:p>
    <w:p w14:paraId="7BDE5469" w14:textId="77777777" w:rsidR="009C1079" w:rsidRPr="009C1079" w:rsidRDefault="009C1079" w:rsidP="009C1079">
      <w:pPr>
        <w:spacing w:after="120" w:line="276" w:lineRule="auto"/>
        <w:ind w:firstLine="708"/>
        <w:jc w:val="both"/>
        <w:rPr>
          <w:rFonts w:ascii="Verdana" w:eastAsia="Aptos" w:hAnsi="Verdana" w:cs="Arial"/>
          <w:kern w:val="2"/>
          <w14:ligatures w14:val="standardContextual"/>
        </w:rPr>
      </w:pPr>
      <w:r w:rsidRPr="009C1079">
        <w:rPr>
          <w:rFonts w:ascii="Verdana" w:eastAsia="Aptos" w:hAnsi="Verdana" w:cs="Arial"/>
          <w:kern w:val="2"/>
          <w14:ligatures w14:val="standardContextual"/>
        </w:rPr>
        <w:t>i. Sector de Infraestructura de Transporte:</w:t>
      </w:r>
    </w:p>
    <w:p w14:paraId="1B594080" w14:textId="77777777" w:rsidR="009C1079" w:rsidRPr="009C1079" w:rsidRDefault="009C1079" w:rsidP="009C1079">
      <w:pPr>
        <w:spacing w:after="120" w:line="276" w:lineRule="auto"/>
        <w:ind w:firstLine="708"/>
        <w:jc w:val="both"/>
        <w:rPr>
          <w:rFonts w:ascii="Verdana" w:eastAsia="Aptos" w:hAnsi="Verdana" w:cs="Arial"/>
          <w:kern w:val="2"/>
          <w14:ligatures w14:val="standardContextual"/>
        </w:rPr>
      </w:pPr>
      <w:r w:rsidRPr="009C1079">
        <w:rPr>
          <w:rFonts w:ascii="Verdana" w:eastAsia="Aptos" w:hAnsi="Verdana" w:cs="Arial"/>
          <w:kern w:val="2"/>
          <w14:ligatures w14:val="standardContextual"/>
        </w:rPr>
        <w:t>Resolución 456 del 10 de septiembre de 2024: “Por la cual se adopta la versión 4 de los documentos tipo para los procesos de selección de licitación de obra pública de infraestructura de transporte y se deroga la Resolución 240 de 2020”.</w:t>
      </w:r>
    </w:p>
    <w:p w14:paraId="4A0C27D2" w14:textId="77777777" w:rsidR="009C1079" w:rsidRPr="009C1079" w:rsidRDefault="009C1079" w:rsidP="009C1079">
      <w:pPr>
        <w:spacing w:after="120" w:line="276" w:lineRule="auto"/>
        <w:ind w:firstLine="708"/>
        <w:jc w:val="both"/>
        <w:rPr>
          <w:rFonts w:ascii="Verdana" w:eastAsia="Aptos" w:hAnsi="Verdana" w:cs="Arial"/>
          <w:kern w:val="2"/>
          <w14:ligatures w14:val="standardContextual"/>
        </w:rPr>
      </w:pPr>
      <w:r w:rsidRPr="009C1079">
        <w:rPr>
          <w:rFonts w:ascii="Verdana" w:eastAsia="Aptos" w:hAnsi="Verdana" w:cs="Arial"/>
          <w:kern w:val="2"/>
          <w14:ligatures w14:val="standardContextual"/>
        </w:rPr>
        <w:t>Resolución 463 del 10 de septiembre de 2024: “Por la cual se adopta la versión 3 de los documentos tipo para los procesos de selección abreviada de menor cuantía de obra pública de infraestructura de transporte y se deroga la Resolución 241 de 2020”.</w:t>
      </w:r>
    </w:p>
    <w:p w14:paraId="4F607B67" w14:textId="77777777" w:rsidR="009C1079" w:rsidRPr="009C1079" w:rsidRDefault="009C1079" w:rsidP="009C1079">
      <w:pPr>
        <w:spacing w:after="120" w:line="276" w:lineRule="auto"/>
        <w:ind w:firstLine="708"/>
        <w:jc w:val="both"/>
        <w:rPr>
          <w:rFonts w:ascii="Verdana" w:eastAsia="Aptos" w:hAnsi="Verdana" w:cs="Arial"/>
          <w:kern w:val="2"/>
          <w14:ligatures w14:val="standardContextual"/>
        </w:rPr>
      </w:pPr>
      <w:r w:rsidRPr="009C1079">
        <w:rPr>
          <w:rFonts w:ascii="Verdana" w:eastAsia="Aptos" w:hAnsi="Verdana" w:cs="Arial"/>
          <w:kern w:val="2"/>
          <w14:ligatures w14:val="standardContextual"/>
        </w:rPr>
        <w:t xml:space="preserve">Resolución 464 del 10 de septiembre de 2024: “Por la cual se actualizan los documentos tipo para los procesos de obra pública de infraestructura de transporte adelantados bajo la modalidad de mínima cuantía”. </w:t>
      </w:r>
    </w:p>
    <w:p w14:paraId="436B0FA2" w14:textId="77777777" w:rsidR="009C1079" w:rsidRPr="009C1079" w:rsidRDefault="009C1079" w:rsidP="009C1079">
      <w:pPr>
        <w:spacing w:after="120" w:line="276" w:lineRule="auto"/>
        <w:ind w:firstLine="708"/>
        <w:jc w:val="both"/>
        <w:rPr>
          <w:rFonts w:ascii="Verdana" w:eastAsia="Aptos" w:hAnsi="Verdana" w:cs="Arial"/>
          <w:kern w:val="2"/>
          <w14:ligatures w14:val="standardContextual"/>
        </w:rPr>
      </w:pPr>
      <w:r w:rsidRPr="009C1079">
        <w:rPr>
          <w:rFonts w:ascii="Verdana" w:eastAsia="Aptos" w:hAnsi="Verdana" w:cs="Arial"/>
          <w:kern w:val="2"/>
          <w14:ligatures w14:val="standardContextual"/>
        </w:rPr>
        <w:t>Resolución 725 del 19 de diciembre de 2024: “Por la cual se adopta la versión 3 de los documentos tipo para los procesos de selección de concurso de méritos para contratar la interventoría de obras públicas de infraestructura de transporte y se deroga la Resolución 326 de 2022”.</w:t>
      </w:r>
    </w:p>
    <w:p w14:paraId="7D43A54C" w14:textId="77777777" w:rsidR="009C1079" w:rsidRPr="009C1079" w:rsidRDefault="009C1079" w:rsidP="009C1079">
      <w:pPr>
        <w:spacing w:after="120" w:line="276" w:lineRule="auto"/>
        <w:ind w:firstLine="708"/>
        <w:jc w:val="both"/>
        <w:rPr>
          <w:rFonts w:ascii="Verdana" w:eastAsia="Aptos" w:hAnsi="Verdana" w:cs="Arial"/>
          <w:kern w:val="2"/>
          <w14:ligatures w14:val="standardContextual"/>
        </w:rPr>
      </w:pPr>
      <w:r w:rsidRPr="009C1079">
        <w:rPr>
          <w:rFonts w:ascii="Verdana" w:eastAsia="Aptos" w:hAnsi="Verdana" w:cs="Arial"/>
          <w:kern w:val="2"/>
          <w14:ligatures w14:val="standardContextual"/>
        </w:rPr>
        <w:t>Resolución 726 del 19 de diciembre de 2024: “Por la cual se adopta la versión 2 de los documentos tipo para los procesos de selección de concurso de méritos para contratar la consultoría de ingeniería de infraestructura de transporte y se deroga la Resolución 193 de 2021”.</w:t>
      </w:r>
    </w:p>
    <w:p w14:paraId="27294095" w14:textId="77777777" w:rsidR="009C1079" w:rsidRPr="009C1079" w:rsidRDefault="009C1079" w:rsidP="009C1079">
      <w:pPr>
        <w:spacing w:after="120" w:line="276" w:lineRule="auto"/>
        <w:ind w:firstLine="708"/>
        <w:jc w:val="both"/>
        <w:rPr>
          <w:rFonts w:ascii="Verdana" w:eastAsia="Aptos" w:hAnsi="Verdana" w:cs="Arial"/>
          <w:kern w:val="2"/>
          <w14:ligatures w14:val="standardContextual"/>
        </w:rPr>
      </w:pPr>
      <w:proofErr w:type="spellStart"/>
      <w:r w:rsidRPr="009C1079">
        <w:rPr>
          <w:rFonts w:ascii="Verdana" w:eastAsia="Aptos" w:hAnsi="Verdana" w:cs="Arial"/>
          <w:kern w:val="2"/>
          <w14:ligatures w14:val="standardContextual"/>
        </w:rPr>
        <w:t>ii</w:t>
      </w:r>
      <w:proofErr w:type="spellEnd"/>
      <w:r w:rsidRPr="009C1079">
        <w:rPr>
          <w:rFonts w:ascii="Verdana" w:eastAsia="Aptos" w:hAnsi="Verdana" w:cs="Arial"/>
          <w:kern w:val="2"/>
          <w14:ligatures w14:val="standardContextual"/>
        </w:rPr>
        <w:t>. Sector de Infraestructura de Agua Potable y Saneamiento Básico:</w:t>
      </w:r>
    </w:p>
    <w:p w14:paraId="749F6439" w14:textId="77777777" w:rsidR="009C1079" w:rsidRPr="009C1079" w:rsidRDefault="009C1079" w:rsidP="009C1079">
      <w:pPr>
        <w:spacing w:after="120" w:line="276" w:lineRule="auto"/>
        <w:ind w:firstLine="708"/>
        <w:jc w:val="both"/>
        <w:rPr>
          <w:rFonts w:ascii="Verdana" w:eastAsia="Aptos" w:hAnsi="Verdana" w:cs="Arial"/>
          <w:kern w:val="2"/>
          <w14:ligatures w14:val="standardContextual"/>
        </w:rPr>
      </w:pPr>
      <w:r w:rsidRPr="009C1079">
        <w:rPr>
          <w:rFonts w:ascii="Verdana" w:eastAsia="Aptos" w:hAnsi="Verdana" w:cs="Arial"/>
          <w:kern w:val="2"/>
          <w14:ligatures w14:val="standardContextual"/>
        </w:rPr>
        <w:t>Resolución 248 del 1 de diciembre de 2020: "Por la cual se adoptan los documentos tipo para los procesos de licitación pública para obras de infraestructura de agua potable y saneamiento básico"</w:t>
      </w:r>
    </w:p>
    <w:p w14:paraId="21D4E595" w14:textId="77777777" w:rsidR="009C1079" w:rsidRPr="009C1079" w:rsidRDefault="009C1079" w:rsidP="009C1079">
      <w:pPr>
        <w:spacing w:after="120" w:line="276" w:lineRule="auto"/>
        <w:ind w:firstLine="708"/>
        <w:jc w:val="both"/>
        <w:rPr>
          <w:rFonts w:ascii="Verdana" w:eastAsia="Aptos" w:hAnsi="Verdana" w:cs="Arial"/>
          <w:kern w:val="2"/>
          <w14:ligatures w14:val="standardContextual"/>
        </w:rPr>
      </w:pPr>
      <w:r w:rsidRPr="009C1079">
        <w:rPr>
          <w:rFonts w:ascii="Verdana" w:eastAsia="Aptos" w:hAnsi="Verdana" w:cs="Arial"/>
          <w:kern w:val="2"/>
          <w14:ligatures w14:val="standardContextual"/>
        </w:rPr>
        <w:lastRenderedPageBreak/>
        <w:t xml:space="preserve"> Resolución 249 del 1 de diciembre de 2020: “"Por la cual se adoptan los documentos tipo para los procesos de licitación pública para obras de infraestructura de agua potable y saneamiento básico en la modalidad de llave en mano".</w:t>
      </w:r>
    </w:p>
    <w:p w14:paraId="7F7836CE" w14:textId="77777777" w:rsidR="009C1079" w:rsidRPr="009C1079" w:rsidRDefault="009C1079" w:rsidP="009C1079">
      <w:pPr>
        <w:spacing w:after="120" w:line="276" w:lineRule="auto"/>
        <w:ind w:firstLine="708"/>
        <w:jc w:val="both"/>
        <w:rPr>
          <w:rFonts w:ascii="Verdana" w:eastAsia="Aptos" w:hAnsi="Verdana" w:cs="Arial"/>
          <w:kern w:val="2"/>
          <w14:ligatures w14:val="standardContextual"/>
        </w:rPr>
      </w:pPr>
      <w:r w:rsidRPr="009C1079">
        <w:rPr>
          <w:rFonts w:ascii="Verdana" w:eastAsia="Aptos" w:hAnsi="Verdana" w:cs="Arial"/>
          <w:kern w:val="2"/>
          <w14:ligatures w14:val="standardContextual"/>
        </w:rPr>
        <w:t xml:space="preserve">Resolución 333 del 27 de julio de 2022: “Por la cual se adoptan los documentos tipo para los procesos de selección de concurso de méritos para contratar la interventoría de obras públicas de infraestructura de agua potable y saneamiento básico”.  </w:t>
      </w:r>
    </w:p>
    <w:p w14:paraId="41DB6716" w14:textId="77777777" w:rsidR="009C1079" w:rsidRPr="009C1079" w:rsidRDefault="009C1079" w:rsidP="009C1079">
      <w:pPr>
        <w:spacing w:after="120" w:line="276" w:lineRule="auto"/>
        <w:ind w:firstLine="708"/>
        <w:jc w:val="both"/>
        <w:rPr>
          <w:rFonts w:ascii="Verdana" w:eastAsia="Aptos" w:hAnsi="Verdana" w:cs="Arial"/>
          <w:kern w:val="2"/>
          <w14:ligatures w14:val="standardContextual"/>
        </w:rPr>
      </w:pPr>
      <w:proofErr w:type="spellStart"/>
      <w:r w:rsidRPr="009C1079">
        <w:rPr>
          <w:rFonts w:ascii="Verdana" w:eastAsia="Aptos" w:hAnsi="Verdana" w:cs="Arial"/>
          <w:kern w:val="2"/>
          <w14:ligatures w14:val="standardContextual"/>
        </w:rPr>
        <w:t>iii</w:t>
      </w:r>
      <w:proofErr w:type="spellEnd"/>
      <w:r w:rsidRPr="009C1079">
        <w:rPr>
          <w:rFonts w:ascii="Verdana" w:eastAsia="Aptos" w:hAnsi="Verdana" w:cs="Arial"/>
          <w:kern w:val="2"/>
          <w14:ligatures w14:val="standardContextual"/>
        </w:rPr>
        <w:t xml:space="preserve">. Sector de Infraestructura Social: </w:t>
      </w:r>
    </w:p>
    <w:p w14:paraId="190E8033" w14:textId="77777777" w:rsidR="009C1079" w:rsidRPr="009C1079" w:rsidRDefault="009C1079" w:rsidP="009C1079">
      <w:pPr>
        <w:spacing w:after="120" w:line="276" w:lineRule="auto"/>
        <w:ind w:firstLine="708"/>
        <w:jc w:val="both"/>
        <w:rPr>
          <w:rFonts w:ascii="Verdana" w:eastAsia="Aptos" w:hAnsi="Verdana" w:cs="Arial"/>
          <w:kern w:val="2"/>
          <w14:ligatures w14:val="standardContextual"/>
        </w:rPr>
      </w:pPr>
      <w:r w:rsidRPr="009C1079">
        <w:rPr>
          <w:rFonts w:ascii="Verdana" w:eastAsia="Aptos" w:hAnsi="Verdana" w:cs="Arial"/>
          <w:kern w:val="2"/>
          <w14:ligatures w14:val="standardContextual"/>
        </w:rPr>
        <w:t>i) Resolución 539 del 21 de agosto de 2015 "Por la cual se adopta la versión -2- de los documentos tipo para los procesos de selección de licitación de obra pública del sector de infraestructura social y se deroga la Resolución 219 de 2021; se adoptan los documentos tipo complementarios para los procesos de licitación de obra pública de infraestructura social relacionados con los sectores de educación, salud, cultura, recreación y deporte - versión 2 y se derogan las Resoluciones 220, 392 у 454 de 2021; y se adoptan los documentos tipo complementarios para los procesos de licitación de obra pública de infraestructura social relacionados con los sectores institucional y vivienda".</w:t>
      </w:r>
    </w:p>
    <w:p w14:paraId="5C58E9C2" w14:textId="77777777" w:rsidR="009C1079" w:rsidRPr="009C1079" w:rsidRDefault="009C1079" w:rsidP="009C1079">
      <w:pPr>
        <w:spacing w:after="120" w:line="276" w:lineRule="auto"/>
        <w:ind w:firstLine="708"/>
        <w:jc w:val="both"/>
        <w:rPr>
          <w:rFonts w:ascii="Verdana" w:eastAsia="Aptos" w:hAnsi="Verdana" w:cs="Arial"/>
          <w:kern w:val="2"/>
          <w14:ligatures w14:val="standardContextual"/>
        </w:rPr>
      </w:pPr>
      <w:r w:rsidRPr="009C1079">
        <w:rPr>
          <w:rFonts w:ascii="Verdana" w:eastAsia="Aptos" w:hAnsi="Verdana" w:cs="Arial"/>
          <w:kern w:val="2"/>
          <w14:ligatures w14:val="standardContextual"/>
        </w:rPr>
        <w:t xml:space="preserve"> </w:t>
      </w:r>
      <w:proofErr w:type="spellStart"/>
      <w:r w:rsidRPr="009C1079">
        <w:rPr>
          <w:rFonts w:ascii="Verdana" w:eastAsia="Aptos" w:hAnsi="Verdana" w:cs="Arial"/>
          <w:kern w:val="2"/>
          <w14:ligatures w14:val="standardContextual"/>
        </w:rPr>
        <w:t>ii</w:t>
      </w:r>
      <w:proofErr w:type="spellEnd"/>
      <w:r w:rsidRPr="009C1079">
        <w:rPr>
          <w:rFonts w:ascii="Verdana" w:eastAsia="Aptos" w:hAnsi="Verdana" w:cs="Arial"/>
          <w:kern w:val="2"/>
          <w14:ligatures w14:val="standardContextual"/>
        </w:rPr>
        <w:t>) Resolución 540 del 21 de agosto de 2025 "Por la cual se adoptan los documentos tipo para los procesos de selección abreviada de menor cuantía de obra pública de infraestructura social; y los documentos tipo complementarios para los procesos de selección abreviada de menor cuantía de obra pública de infraestructura social relacionados con los sectores educación, salud, cultura, recreación y deporte, institucional y vivienda".</w:t>
      </w:r>
    </w:p>
    <w:p w14:paraId="5A0CB162" w14:textId="77777777" w:rsidR="009C1079" w:rsidRPr="009C1079" w:rsidRDefault="009C1079" w:rsidP="009C1079">
      <w:pPr>
        <w:spacing w:after="120" w:line="276" w:lineRule="auto"/>
        <w:ind w:firstLine="708"/>
        <w:jc w:val="both"/>
        <w:rPr>
          <w:rFonts w:ascii="Verdana" w:eastAsia="Aptos" w:hAnsi="Verdana" w:cs="Arial"/>
          <w:kern w:val="2"/>
          <w14:ligatures w14:val="standardContextual"/>
        </w:rPr>
      </w:pPr>
      <w:proofErr w:type="spellStart"/>
      <w:r w:rsidRPr="009C1079">
        <w:rPr>
          <w:rFonts w:ascii="Verdana" w:eastAsia="Aptos" w:hAnsi="Verdana" w:cs="Arial"/>
          <w:kern w:val="2"/>
          <w14:ligatures w14:val="standardContextual"/>
        </w:rPr>
        <w:t>iii</w:t>
      </w:r>
      <w:proofErr w:type="spellEnd"/>
      <w:r w:rsidRPr="009C1079">
        <w:rPr>
          <w:rFonts w:ascii="Verdana" w:eastAsia="Aptos" w:hAnsi="Verdana" w:cs="Arial"/>
          <w:kern w:val="2"/>
          <w14:ligatures w14:val="standardContextual"/>
        </w:rPr>
        <w:t xml:space="preserve">) Resolución 541 del 21 de agosto de 2025 “Por la cual se adoptan los documentos tipo para los procesos de mínima cuantía de obra pública de infraestructura social; y los documentos tipo complementarios para los procesos de mínima cuantía de obra pública de infraestructura social relacionados con los sectores educación, salud, cultura, recreación y deporte, institucional y vivienda”. </w:t>
      </w:r>
    </w:p>
    <w:p w14:paraId="33FDEABF" w14:textId="77777777" w:rsidR="009C1079" w:rsidRPr="009C1079" w:rsidRDefault="009C1079" w:rsidP="009C1079">
      <w:pPr>
        <w:spacing w:after="120" w:line="276" w:lineRule="auto"/>
        <w:ind w:firstLine="708"/>
        <w:jc w:val="both"/>
        <w:rPr>
          <w:rFonts w:ascii="Verdana" w:eastAsia="Aptos" w:hAnsi="Verdana" w:cs="Arial"/>
          <w:kern w:val="2"/>
          <w14:ligatures w14:val="standardContextual"/>
        </w:rPr>
      </w:pPr>
      <w:proofErr w:type="spellStart"/>
      <w:r w:rsidRPr="009C1079">
        <w:rPr>
          <w:rFonts w:ascii="Verdana" w:eastAsia="Aptos" w:hAnsi="Verdana" w:cs="Arial"/>
          <w:kern w:val="2"/>
          <w14:ligatures w14:val="standardContextual"/>
        </w:rPr>
        <w:lastRenderedPageBreak/>
        <w:t>iv</w:t>
      </w:r>
      <w:proofErr w:type="spellEnd"/>
      <w:r w:rsidRPr="009C1079">
        <w:rPr>
          <w:rFonts w:ascii="Verdana" w:eastAsia="Aptos" w:hAnsi="Verdana" w:cs="Arial"/>
          <w:kern w:val="2"/>
          <w14:ligatures w14:val="standardContextual"/>
        </w:rPr>
        <w:t>) Resolución 952 del 15 de diciembre de 2025 “Por la cual se adoptan los documentos tipo para los procesos de selección de concurso de méritos, para contratar la consultoría de estudios de ingeniería de infraestructura social; que agrupa los sectores de educación, salud, cultura, recreación y deporte, institucional y vivienda”.</w:t>
      </w:r>
    </w:p>
    <w:p w14:paraId="2F237BAD" w14:textId="77777777" w:rsidR="009C1079" w:rsidRPr="009C1079" w:rsidRDefault="009C1079" w:rsidP="009C1079">
      <w:pPr>
        <w:spacing w:after="120" w:line="276" w:lineRule="auto"/>
        <w:ind w:firstLine="708"/>
        <w:jc w:val="both"/>
        <w:rPr>
          <w:rFonts w:ascii="Verdana" w:eastAsia="Aptos" w:hAnsi="Verdana" w:cs="Arial"/>
          <w:kern w:val="2"/>
          <w14:ligatures w14:val="standardContextual"/>
        </w:rPr>
      </w:pPr>
      <w:r w:rsidRPr="009C1079">
        <w:rPr>
          <w:rFonts w:ascii="Verdana" w:eastAsia="Aptos" w:hAnsi="Verdana" w:cs="Arial"/>
          <w:kern w:val="2"/>
          <w14:ligatures w14:val="standardContextual"/>
        </w:rPr>
        <w:t xml:space="preserve">v) Resolución 953 del 15 de diciembre de 2025 “Por la cual se adopta la versión - 2 de los documentos tipo transversales para los procesos de concurso de méritos para contratar la interventoría de obras públicas de infraestructura social, los documentos tipo complementarios para los procesos de concurso de méritos para contratar la interventoría de obras públicas de infraestructura social relacionados con el sector educación, salud, cultura, recreación y deporte, institucional y vivienda y se deroga la Resolución 798 del 29 de diciembre de 2023". </w:t>
      </w:r>
    </w:p>
    <w:p w14:paraId="7F4C70F6" w14:textId="77777777" w:rsidR="009C1079" w:rsidRPr="009C1079" w:rsidRDefault="009C1079" w:rsidP="009C1079">
      <w:pPr>
        <w:spacing w:after="120" w:line="276" w:lineRule="auto"/>
        <w:ind w:firstLine="708"/>
        <w:jc w:val="both"/>
        <w:rPr>
          <w:rFonts w:ascii="Verdana" w:eastAsia="Aptos" w:hAnsi="Verdana" w:cs="Arial"/>
          <w:kern w:val="2"/>
          <w14:ligatures w14:val="standardContextual"/>
        </w:rPr>
      </w:pPr>
      <w:proofErr w:type="spellStart"/>
      <w:r w:rsidRPr="009C1079">
        <w:rPr>
          <w:rFonts w:ascii="Verdana" w:eastAsia="Aptos" w:hAnsi="Verdana" w:cs="Arial"/>
          <w:kern w:val="2"/>
          <w14:ligatures w14:val="standardContextual"/>
        </w:rPr>
        <w:t>iv</w:t>
      </w:r>
      <w:proofErr w:type="spellEnd"/>
      <w:r w:rsidRPr="009C1079">
        <w:rPr>
          <w:rFonts w:ascii="Verdana" w:eastAsia="Aptos" w:hAnsi="Verdana" w:cs="Arial"/>
          <w:kern w:val="2"/>
          <w14:ligatures w14:val="standardContextual"/>
        </w:rPr>
        <w:t>. Documentos tipo para la contratación directa de convenios solidarios:</w:t>
      </w:r>
    </w:p>
    <w:p w14:paraId="32969AC2" w14:textId="77777777" w:rsidR="009C1079" w:rsidRPr="009C1079" w:rsidRDefault="009C1079" w:rsidP="009C1079">
      <w:pPr>
        <w:spacing w:after="120" w:line="276" w:lineRule="auto"/>
        <w:ind w:firstLine="708"/>
        <w:jc w:val="both"/>
        <w:rPr>
          <w:rFonts w:ascii="Verdana" w:eastAsia="Aptos" w:hAnsi="Verdana" w:cs="Times New Roman"/>
          <w:kern w:val="2"/>
          <w14:ligatures w14:val="standardContextual"/>
        </w:rPr>
      </w:pPr>
      <w:r w:rsidRPr="009C1079">
        <w:rPr>
          <w:rFonts w:ascii="Verdana" w:eastAsia="Aptos" w:hAnsi="Verdana" w:cs="Arial"/>
          <w:kern w:val="2"/>
          <w14:ligatures w14:val="standardContextual"/>
        </w:rPr>
        <w:t>Resolución 358 del 30 de junio de 2023 “</w:t>
      </w:r>
      <w:r w:rsidRPr="009C1079">
        <w:rPr>
          <w:rFonts w:ascii="Verdana" w:eastAsia="Aptos" w:hAnsi="Verdana" w:cs="Times New Roman"/>
          <w:kern w:val="2"/>
          <w14:ligatures w14:val="standardContextual"/>
        </w:rPr>
        <w:t xml:space="preserve">Por la cual se adopta el documento tipo para la contratación directa de convenios solidarios para la ejecución de obras hasta la menor cuantía con organismos de acción comunal”. </w:t>
      </w:r>
    </w:p>
    <w:p w14:paraId="56BBD506" w14:textId="77777777" w:rsidR="009C1079" w:rsidRPr="009C1079" w:rsidRDefault="009C1079" w:rsidP="009C1079">
      <w:pPr>
        <w:spacing w:after="120" w:line="276" w:lineRule="auto"/>
        <w:ind w:firstLine="708"/>
        <w:jc w:val="both"/>
        <w:rPr>
          <w:rFonts w:ascii="Verdana" w:eastAsia="Aptos" w:hAnsi="Verdana" w:cs="Times New Roman"/>
          <w:kern w:val="2"/>
          <w14:ligatures w14:val="standardContextual"/>
        </w:rPr>
      </w:pPr>
      <w:r w:rsidRPr="009C1079">
        <w:rPr>
          <w:rFonts w:ascii="Verdana" w:eastAsia="Aptos" w:hAnsi="Verdana" w:cs="Times New Roman"/>
          <w:kern w:val="2"/>
          <w14:ligatures w14:val="standardContextual"/>
        </w:rPr>
        <w:t xml:space="preserve">v. Documentos tipo de gestión catastral: </w:t>
      </w:r>
    </w:p>
    <w:p w14:paraId="7EE82B21" w14:textId="77777777" w:rsidR="009C1079" w:rsidRPr="009C1079" w:rsidRDefault="009C1079" w:rsidP="009C1079">
      <w:pPr>
        <w:spacing w:after="120" w:line="276" w:lineRule="auto"/>
        <w:ind w:firstLine="708"/>
        <w:jc w:val="both"/>
        <w:rPr>
          <w:rFonts w:ascii="Verdana" w:eastAsia="Aptos" w:hAnsi="Verdana" w:cs="Arial"/>
          <w:kern w:val="2"/>
          <w14:ligatures w14:val="standardContextual"/>
        </w:rPr>
      </w:pPr>
      <w:r w:rsidRPr="009C1079">
        <w:rPr>
          <w:rFonts w:ascii="Verdana" w:eastAsia="Aptos" w:hAnsi="Verdana" w:cs="Arial"/>
          <w:kern w:val="2"/>
          <w14:ligatures w14:val="standardContextual"/>
        </w:rPr>
        <w:t xml:space="preserve">Resolución 269 del 16 de diciembre de 2020 “Por la cual se adopta el documento tipo para los procesos de gestión catastral con enfoque multipropósito que se celebren a través de contratos interadministrativos”. </w:t>
      </w:r>
    </w:p>
    <w:p w14:paraId="2BCB9D08" w14:textId="77777777" w:rsidR="009C1079" w:rsidRPr="009C1079" w:rsidRDefault="009C1079" w:rsidP="009C1079">
      <w:pPr>
        <w:spacing w:after="0" w:line="276" w:lineRule="auto"/>
        <w:ind w:firstLine="708"/>
        <w:jc w:val="both"/>
        <w:rPr>
          <w:rFonts w:ascii="Verdana" w:eastAsia="Aptos" w:hAnsi="Verdana" w:cs="Arial"/>
          <w:kern w:val="2"/>
          <w14:ligatures w14:val="standardContextual"/>
        </w:rPr>
      </w:pPr>
      <w:r w:rsidRPr="009C1079">
        <w:rPr>
          <w:rFonts w:ascii="Verdana" w:eastAsia="Aptos" w:hAnsi="Verdana" w:cs="Arial"/>
          <w:kern w:val="2"/>
          <w14:ligatures w14:val="standardContextual"/>
        </w:rPr>
        <w:t>Las resoluciones señaladas reiteran el alcance de la obligatoriedad de los documentos tipo en la materia y establecen parámetros obligatorios para las entidades estatales obligadas a su aplicación, siempre que las actividades que se contraten estén incluidas en la “Matriz – Experiencia”, de acuerdo con el documento tipo a aplicar. Así, para determinar el ámbito de aplicación de los documentos tipo debe acudirse a la “Matriz – Experiencia”, en la que se contemplan las clases de obra aplicables al sector, sean de infraestructura de transporte, agua potable y saneamiento básico o infraestructura social.</w:t>
      </w:r>
    </w:p>
    <w:p w14:paraId="3D54021D" w14:textId="77777777" w:rsidR="009C1079" w:rsidRPr="009C1079" w:rsidRDefault="009C1079" w:rsidP="009C1079">
      <w:pPr>
        <w:spacing w:after="0" w:line="276" w:lineRule="auto"/>
        <w:ind w:firstLine="708"/>
        <w:jc w:val="both"/>
        <w:rPr>
          <w:rFonts w:ascii="Verdana" w:eastAsia="Aptos" w:hAnsi="Verdana" w:cs="Arial"/>
          <w:kern w:val="2"/>
          <w14:ligatures w14:val="standardContextual"/>
        </w:rPr>
      </w:pPr>
    </w:p>
    <w:p w14:paraId="5AE1F3F1" w14:textId="77777777" w:rsidR="009C1079" w:rsidRPr="009C1079" w:rsidRDefault="009C1079" w:rsidP="009C1079">
      <w:pPr>
        <w:spacing w:after="0" w:line="276" w:lineRule="auto"/>
        <w:jc w:val="both"/>
        <w:rPr>
          <w:rFonts w:ascii="Verdana" w:eastAsia="Calibri" w:hAnsi="Verdana" w:cs="Arial"/>
          <w:color w:val="000000"/>
          <w:lang w:val="es-MX"/>
        </w:rPr>
      </w:pPr>
      <w:proofErr w:type="spellStart"/>
      <w:r w:rsidRPr="009C1079">
        <w:rPr>
          <w:rFonts w:ascii="Verdana" w:eastAsia="Aptos" w:hAnsi="Verdana" w:cs="Times New Roman"/>
          <w:color w:val="000000"/>
          <w:kern w:val="2"/>
          <w:szCs w:val="24"/>
          <w14:ligatures w14:val="standardContextual"/>
        </w:rPr>
        <w:lastRenderedPageBreak/>
        <w:t>ii</w:t>
      </w:r>
      <w:proofErr w:type="spellEnd"/>
      <w:r w:rsidRPr="009C1079">
        <w:rPr>
          <w:rFonts w:ascii="Verdana" w:eastAsia="Aptos" w:hAnsi="Verdana" w:cs="Times New Roman"/>
          <w:color w:val="000000"/>
          <w:kern w:val="2"/>
          <w:szCs w:val="24"/>
          <w14:ligatures w14:val="standardContextual"/>
        </w:rPr>
        <w:t>. La jurisprudencia de la Corte Constitucional</w:t>
      </w:r>
      <w:r w:rsidRPr="009C1079">
        <w:rPr>
          <w:rFonts w:ascii="Verdana" w:eastAsia="Aptos" w:hAnsi="Verdana" w:cs="Times New Roman"/>
          <w:color w:val="000000"/>
          <w:kern w:val="2"/>
          <w:szCs w:val="24"/>
          <w:vertAlign w:val="superscript"/>
          <w14:ligatures w14:val="standardContextual"/>
        </w:rPr>
        <w:footnoteReference w:id="15"/>
      </w:r>
      <w:r w:rsidRPr="009C1079">
        <w:rPr>
          <w:rFonts w:ascii="Verdana" w:eastAsia="Aptos" w:hAnsi="Verdana" w:cs="Times New Roman"/>
          <w:color w:val="000000"/>
          <w:kern w:val="2"/>
          <w:szCs w:val="24"/>
          <w14:ligatures w14:val="standardContextual"/>
        </w:rPr>
        <w:t xml:space="preserve"> y el Consejo de Estado</w:t>
      </w:r>
      <w:r w:rsidRPr="009C1079">
        <w:rPr>
          <w:rFonts w:ascii="Verdana" w:eastAsia="Aptos" w:hAnsi="Verdana" w:cs="Times New Roman"/>
          <w:color w:val="000000"/>
          <w:kern w:val="2"/>
          <w:szCs w:val="24"/>
          <w:vertAlign w:val="superscript"/>
          <w14:ligatures w14:val="standardContextual"/>
        </w:rPr>
        <w:footnoteReference w:id="16"/>
      </w:r>
      <w:r w:rsidRPr="009C1079">
        <w:rPr>
          <w:rFonts w:ascii="Verdana" w:eastAsia="Aptos" w:hAnsi="Verdana" w:cs="Times New Roman"/>
          <w:color w:val="000000"/>
          <w:kern w:val="2"/>
          <w:szCs w:val="24"/>
          <w14:ligatures w14:val="standardContextual"/>
        </w:rPr>
        <w:t xml:space="preserve"> coinciden en afirmar que la potestad reglamentaria no recae exclusivamente en el presidente de la República y que en Colombia opera un </w:t>
      </w:r>
      <w:r w:rsidRPr="009C1079">
        <w:rPr>
          <w:rFonts w:ascii="Verdana" w:eastAsia="Aptos" w:hAnsi="Verdana" w:cs="Times New Roman"/>
          <w:color w:val="000000"/>
          <w:kern w:val="2"/>
          <w:szCs w:val="24"/>
          <w:lang w:eastAsia="es-CO"/>
          <w14:ligatures w14:val="standardContextual"/>
        </w:rPr>
        <w:t>“</w:t>
      </w:r>
      <w:r w:rsidRPr="009C1079">
        <w:rPr>
          <w:rFonts w:ascii="Verdana" w:eastAsia="Aptos" w:hAnsi="Verdana" w:cs="Times New Roman"/>
          <w:color w:val="000000"/>
          <w:kern w:val="2"/>
          <w:szCs w:val="24"/>
          <w14:ligatures w14:val="standardContextual"/>
        </w:rPr>
        <w:t>sistema difuso</w:t>
      </w:r>
      <w:r w:rsidRPr="009C1079">
        <w:rPr>
          <w:rFonts w:ascii="Verdana" w:eastAsia="Aptos" w:hAnsi="Verdana" w:cs="Times New Roman"/>
          <w:color w:val="000000"/>
          <w:kern w:val="2"/>
          <w:szCs w:val="24"/>
          <w:lang w:eastAsia="es-CO"/>
          <w14:ligatures w14:val="standardContextual"/>
        </w:rPr>
        <w:t>”</w:t>
      </w:r>
      <w:r w:rsidRPr="009C1079">
        <w:rPr>
          <w:rFonts w:ascii="Verdana" w:eastAsia="Aptos" w:hAnsi="Verdana" w:cs="Times New Roman"/>
          <w:color w:val="000000"/>
          <w:kern w:val="2"/>
          <w:szCs w:val="24"/>
          <w14:ligatures w14:val="standardContextual"/>
        </w:rPr>
        <w:t xml:space="preserve"> de producción normativa de carácter general. </w:t>
      </w:r>
      <w:r w:rsidRPr="009C1079">
        <w:rPr>
          <w:rFonts w:ascii="Verdana" w:eastAsia="Aptos" w:hAnsi="Verdana" w:cs="Times New Roman"/>
          <w:color w:val="000000"/>
          <w:kern w:val="2"/>
          <w:szCs w:val="24"/>
          <w:lang w:eastAsia="es-CO"/>
          <w14:ligatures w14:val="standardContextual"/>
        </w:rPr>
        <w:t>Además, señalan que son dos los elementos fundamentales de la potestad reglamentaria, a saber:</w:t>
      </w:r>
    </w:p>
    <w:p w14:paraId="2958437D" w14:textId="77777777" w:rsidR="009C1079" w:rsidRPr="009C1079" w:rsidRDefault="009C1079" w:rsidP="009C1079">
      <w:pPr>
        <w:spacing w:after="0" w:line="276" w:lineRule="auto"/>
        <w:ind w:right="51"/>
        <w:jc w:val="both"/>
        <w:rPr>
          <w:rFonts w:ascii="Verdana" w:eastAsia="Times New Roman" w:hAnsi="Verdana" w:cs="Arial"/>
          <w:szCs w:val="24"/>
          <w:lang w:eastAsia="es-MX"/>
        </w:rPr>
      </w:pPr>
    </w:p>
    <w:p w14:paraId="3A21CB35" w14:textId="77777777" w:rsidR="009C1079" w:rsidRPr="009C1079" w:rsidRDefault="009C1079" w:rsidP="009C1079">
      <w:pPr>
        <w:numPr>
          <w:ilvl w:val="0"/>
          <w:numId w:val="19"/>
        </w:numPr>
        <w:spacing w:after="0" w:line="276" w:lineRule="auto"/>
        <w:ind w:right="51"/>
        <w:contextualSpacing/>
        <w:jc w:val="both"/>
        <w:rPr>
          <w:rFonts w:ascii="Verdana" w:eastAsia="Times New Roman" w:hAnsi="Verdana" w:cs="Arial"/>
          <w:szCs w:val="24"/>
          <w:lang w:eastAsia="es-MX"/>
        </w:rPr>
      </w:pPr>
      <w:r w:rsidRPr="009C1079">
        <w:rPr>
          <w:rFonts w:ascii="Verdana" w:eastAsia="Times New Roman" w:hAnsi="Verdana" w:cs="Arial"/>
          <w:b/>
          <w:bCs/>
          <w:szCs w:val="24"/>
          <w:lang w:eastAsia="es-MX"/>
        </w:rPr>
        <w:t>Necesidad:</w:t>
      </w:r>
      <w:r w:rsidRPr="009C1079">
        <w:rPr>
          <w:rFonts w:ascii="Verdana" w:eastAsia="Times New Roman" w:hAnsi="Verdana" w:cs="Arial"/>
          <w:szCs w:val="24"/>
          <w:lang w:eastAsia="es-MX"/>
        </w:rPr>
        <w:t xml:space="preserve"> consiste en que el ejercicio de la potestad reglamentaria se justifica en la medida en que la ley deje espacios de regulación que necesitan llenarse para la ejecución de esta mediante la expedición de actos jurídicos de contenido normativo, pues el legislador puede, en virtud del principio de libertad de configuración legislativa, determinar libremente hasta dónde regula la materia respectiva</w:t>
      </w:r>
      <w:r w:rsidRPr="009C1079">
        <w:rPr>
          <w:rFonts w:ascii="Verdana" w:eastAsia="Times New Roman" w:hAnsi="Verdana" w:cs="Arial"/>
          <w:szCs w:val="24"/>
          <w:vertAlign w:val="superscript"/>
          <w:lang w:eastAsia="es-MX"/>
        </w:rPr>
        <w:footnoteReference w:id="17"/>
      </w:r>
      <w:r w:rsidRPr="009C1079">
        <w:rPr>
          <w:rFonts w:ascii="Verdana" w:eastAsia="Times New Roman" w:hAnsi="Verdana" w:cs="Arial"/>
          <w:szCs w:val="24"/>
          <w:vertAlign w:val="superscript"/>
          <w:lang w:eastAsia="es-MX"/>
        </w:rPr>
        <w:t>;</w:t>
      </w:r>
    </w:p>
    <w:p w14:paraId="3D7D7DF4" w14:textId="77777777" w:rsidR="009C1079" w:rsidRPr="009C1079" w:rsidRDefault="009C1079" w:rsidP="009C1079">
      <w:pPr>
        <w:spacing w:after="0" w:line="276" w:lineRule="auto"/>
        <w:ind w:right="51"/>
        <w:jc w:val="both"/>
        <w:rPr>
          <w:rFonts w:ascii="Verdana" w:eastAsia="Times New Roman" w:hAnsi="Verdana" w:cs="Arial"/>
          <w:szCs w:val="24"/>
          <w:lang w:eastAsia="es-MX"/>
        </w:rPr>
      </w:pPr>
      <w:r w:rsidRPr="009C1079">
        <w:rPr>
          <w:rFonts w:ascii="Verdana" w:eastAsia="Times New Roman" w:hAnsi="Verdana" w:cs="Arial"/>
          <w:szCs w:val="24"/>
          <w:lang w:eastAsia="es-MX"/>
        </w:rPr>
        <w:t xml:space="preserve"> </w:t>
      </w:r>
    </w:p>
    <w:p w14:paraId="1255E158" w14:textId="77777777" w:rsidR="009C1079" w:rsidRPr="009C1079" w:rsidRDefault="009C1079" w:rsidP="009C1079">
      <w:pPr>
        <w:numPr>
          <w:ilvl w:val="0"/>
          <w:numId w:val="19"/>
        </w:numPr>
        <w:spacing w:after="0" w:line="276" w:lineRule="auto"/>
        <w:ind w:right="51"/>
        <w:contextualSpacing/>
        <w:jc w:val="both"/>
        <w:rPr>
          <w:rFonts w:ascii="Verdana" w:eastAsia="Times New Roman" w:hAnsi="Verdana" w:cs="Arial"/>
          <w:szCs w:val="24"/>
          <w:lang w:eastAsia="es-MX"/>
        </w:rPr>
      </w:pPr>
      <w:r w:rsidRPr="009C1079">
        <w:rPr>
          <w:rFonts w:ascii="Verdana" w:eastAsia="Times New Roman" w:hAnsi="Verdana" w:cs="Arial"/>
          <w:b/>
          <w:bCs/>
          <w:szCs w:val="24"/>
          <w:lang w:eastAsia="es-MX"/>
        </w:rPr>
        <w:t>Finalidad:</w:t>
      </w:r>
      <w:r w:rsidRPr="009C1079">
        <w:rPr>
          <w:rFonts w:ascii="Verdana" w:eastAsia="Times New Roman" w:hAnsi="Verdana" w:cs="Arial"/>
          <w:szCs w:val="24"/>
          <w:lang w:eastAsia="es-MX"/>
        </w:rPr>
        <w:t xml:space="preserve"> tiene que ver con el contenido material de los actos que se dicten en ejercicio de la potestad reglamentaria, pues los decretos y resoluciones expedidos por el Gobierno nacional en ejercicio de dicha potestad están subordinados a la ley, de manera que el reglamento no puede modificarla, ampliarla o restringir sus efectos. Este último elemento, está asociado al respeto del principio de supremacía normativa </w:t>
      </w:r>
      <w:r w:rsidRPr="009C1079">
        <w:rPr>
          <w:rFonts w:ascii="Verdana" w:eastAsia="Times New Roman" w:hAnsi="Verdana" w:cs="Arial"/>
          <w:szCs w:val="24"/>
          <w:lang w:eastAsia="es-MX"/>
        </w:rPr>
        <w:lastRenderedPageBreak/>
        <w:t>pues, el ordenamiento jurídico colombiano supone una jerarquía que emana de la propia Constitución</w:t>
      </w:r>
      <w:r w:rsidRPr="009C1079">
        <w:rPr>
          <w:rFonts w:ascii="Verdana" w:eastAsia="Times New Roman" w:hAnsi="Verdana" w:cs="Arial"/>
          <w:szCs w:val="24"/>
          <w:vertAlign w:val="superscript"/>
          <w:lang w:eastAsia="es-MX"/>
        </w:rPr>
        <w:footnoteReference w:id="18"/>
      </w:r>
      <w:r w:rsidRPr="009C1079">
        <w:rPr>
          <w:rFonts w:ascii="Verdana" w:eastAsia="Times New Roman" w:hAnsi="Verdana" w:cs="Arial"/>
          <w:szCs w:val="24"/>
          <w:lang w:eastAsia="es-MX"/>
        </w:rPr>
        <w:t>.</w:t>
      </w:r>
    </w:p>
    <w:p w14:paraId="03B2AF6F" w14:textId="77777777" w:rsidR="009C1079" w:rsidRPr="009C1079" w:rsidRDefault="009C1079" w:rsidP="009C1079">
      <w:pPr>
        <w:spacing w:after="0" w:line="240" w:lineRule="auto"/>
        <w:ind w:left="357" w:right="51"/>
        <w:jc w:val="both"/>
        <w:rPr>
          <w:rFonts w:ascii="Verdana" w:eastAsia="Times New Roman" w:hAnsi="Verdana" w:cs="Arial"/>
          <w:szCs w:val="24"/>
          <w:lang w:eastAsia="es-MX"/>
        </w:rPr>
      </w:pPr>
    </w:p>
    <w:p w14:paraId="7900ED38" w14:textId="77777777" w:rsidR="009C1079" w:rsidRPr="009C1079" w:rsidRDefault="009C1079" w:rsidP="009C1079">
      <w:pPr>
        <w:spacing w:after="0" w:line="276" w:lineRule="auto"/>
        <w:ind w:right="50" w:firstLine="708"/>
        <w:jc w:val="both"/>
        <w:rPr>
          <w:rFonts w:ascii="Verdana" w:eastAsia="Times New Roman" w:hAnsi="Verdana" w:cs="Arial"/>
          <w:szCs w:val="24"/>
          <w:lang w:eastAsia="es-MX"/>
        </w:rPr>
      </w:pPr>
      <w:r w:rsidRPr="009C1079">
        <w:rPr>
          <w:rFonts w:ascii="Verdana" w:eastAsia="Times New Roman" w:hAnsi="Verdana" w:cs="Arial"/>
          <w:szCs w:val="24"/>
          <w:lang w:eastAsia="es-ES"/>
        </w:rPr>
        <w:t>En efecto, el desarrollo de la potestad reglamentaria exige que la ley haya configurado una materialidad legislativa básica, pues busca convertir en realidad un enunciado normativo abstracto. Los límites de esta facultad han sido desarrollados por la jurisprudencia de las Altas Cortes, en especial por la Corte Constitucional, quien a modo de subreglas</w:t>
      </w:r>
      <w:r w:rsidRPr="009C1079">
        <w:rPr>
          <w:rFonts w:ascii="Verdana" w:eastAsia="Times New Roman" w:hAnsi="Verdana" w:cs="Arial"/>
          <w:szCs w:val="24"/>
          <w:vertAlign w:val="superscript"/>
          <w:lang w:eastAsia="es-MX"/>
        </w:rPr>
        <w:footnoteReference w:id="19"/>
      </w:r>
      <w:r w:rsidRPr="009C1079">
        <w:rPr>
          <w:rFonts w:ascii="Verdana" w:eastAsia="Times New Roman" w:hAnsi="Verdana" w:cs="Arial"/>
          <w:szCs w:val="24"/>
          <w:lang w:eastAsia="es-ES"/>
        </w:rPr>
        <w:t xml:space="preserve"> explica ciertas limitaciones en el ejercicio de esta competencia</w:t>
      </w:r>
      <w:r w:rsidRPr="009C1079">
        <w:rPr>
          <w:rFonts w:ascii="Verdana" w:eastAsia="Times New Roman" w:hAnsi="Verdana" w:cs="Arial"/>
          <w:szCs w:val="24"/>
          <w:lang w:eastAsia="es-MX"/>
        </w:rPr>
        <w:t>:</w:t>
      </w:r>
    </w:p>
    <w:p w14:paraId="33996A84" w14:textId="77777777" w:rsidR="009C1079" w:rsidRPr="009C1079" w:rsidRDefault="009C1079" w:rsidP="009C1079">
      <w:pPr>
        <w:spacing w:after="0" w:line="276" w:lineRule="auto"/>
        <w:ind w:right="50"/>
        <w:jc w:val="both"/>
        <w:rPr>
          <w:rFonts w:ascii="Verdana" w:eastAsia="Times New Roman" w:hAnsi="Verdana" w:cs="Arial"/>
          <w:szCs w:val="24"/>
          <w:lang w:eastAsia="es-MX"/>
        </w:rPr>
      </w:pPr>
    </w:p>
    <w:p w14:paraId="1F981675" w14:textId="77777777" w:rsidR="009C1079" w:rsidRPr="009C1079" w:rsidRDefault="009C1079" w:rsidP="009C1079">
      <w:pPr>
        <w:numPr>
          <w:ilvl w:val="0"/>
          <w:numId w:val="18"/>
        </w:numPr>
        <w:spacing w:before="100" w:beforeAutospacing="1" w:after="120" w:line="276" w:lineRule="auto"/>
        <w:ind w:left="709" w:right="51" w:hanging="567"/>
        <w:contextualSpacing/>
        <w:jc w:val="both"/>
        <w:rPr>
          <w:rFonts w:ascii="Verdana" w:eastAsia="Times New Roman" w:hAnsi="Verdana" w:cs="Arial"/>
          <w:szCs w:val="24"/>
          <w:lang w:eastAsia="es-MX"/>
        </w:rPr>
      </w:pPr>
      <w:r w:rsidRPr="009C1079">
        <w:rPr>
          <w:rFonts w:ascii="Verdana" w:eastAsia="Times New Roman" w:hAnsi="Verdana" w:cs="Arial"/>
          <w:szCs w:val="24"/>
          <w:lang w:eastAsia="es-MX"/>
        </w:rPr>
        <w:t xml:space="preserve">La potestad reglamentaria se restringe en la medida en que el Congreso de la República utilice en mayor o menor grado sus poderes jurídicos. Tanto así, que se ha manifestado que la misma es inversamente proporcional a la extensión de la ley. </w:t>
      </w:r>
    </w:p>
    <w:p w14:paraId="28A24B71" w14:textId="77777777" w:rsidR="009C1079" w:rsidRPr="009C1079" w:rsidRDefault="009C1079" w:rsidP="009C1079">
      <w:pPr>
        <w:numPr>
          <w:ilvl w:val="0"/>
          <w:numId w:val="18"/>
        </w:numPr>
        <w:spacing w:before="100" w:beforeAutospacing="1" w:after="120" w:line="276" w:lineRule="auto"/>
        <w:ind w:left="709" w:right="51" w:hanging="567"/>
        <w:contextualSpacing/>
        <w:jc w:val="both"/>
        <w:rPr>
          <w:rFonts w:ascii="Verdana" w:eastAsia="Times New Roman" w:hAnsi="Verdana" w:cs="Arial"/>
          <w:szCs w:val="24"/>
          <w:lang w:eastAsia="es-MX"/>
        </w:rPr>
      </w:pPr>
      <w:r w:rsidRPr="009C1079">
        <w:rPr>
          <w:rFonts w:ascii="Verdana" w:eastAsia="Times New Roman" w:hAnsi="Verdana" w:cs="Arial"/>
          <w:szCs w:val="24"/>
          <w:lang w:eastAsia="es-MX"/>
        </w:rPr>
        <w:t xml:space="preserve">El presidente no podrá establecer por vía de decreto reglamentario una excepción, aun cuando la misma fuera supuestamente temporal, sin que previa y expresamente el legislador lo hubiere autorizado para ello y fijado un límite temporal específico. </w:t>
      </w:r>
    </w:p>
    <w:p w14:paraId="7534E5B8" w14:textId="77777777" w:rsidR="009C1079" w:rsidRPr="009C1079" w:rsidRDefault="009C1079" w:rsidP="009C1079">
      <w:pPr>
        <w:numPr>
          <w:ilvl w:val="0"/>
          <w:numId w:val="18"/>
        </w:numPr>
        <w:spacing w:before="100" w:beforeAutospacing="1" w:after="120" w:line="276" w:lineRule="auto"/>
        <w:ind w:left="709" w:right="51" w:hanging="567"/>
        <w:contextualSpacing/>
        <w:jc w:val="both"/>
        <w:rPr>
          <w:rFonts w:ascii="Verdana" w:eastAsia="Times New Roman" w:hAnsi="Verdana" w:cs="Arial"/>
          <w:szCs w:val="24"/>
          <w:lang w:eastAsia="es-MX"/>
        </w:rPr>
      </w:pPr>
      <w:r w:rsidRPr="009C1079">
        <w:rPr>
          <w:rFonts w:ascii="Verdana" w:eastAsia="Times New Roman" w:hAnsi="Verdana" w:cs="Arial"/>
          <w:szCs w:val="24"/>
          <w:lang w:eastAsia="es-MX"/>
        </w:rPr>
        <w:t xml:space="preserve">Cualquier determinación sobre la vigencia de las leyes sólo puede definirla el propio legislador. </w:t>
      </w:r>
    </w:p>
    <w:p w14:paraId="095DC27A" w14:textId="77777777" w:rsidR="009C1079" w:rsidRPr="009C1079" w:rsidRDefault="009C1079" w:rsidP="009C1079">
      <w:pPr>
        <w:numPr>
          <w:ilvl w:val="0"/>
          <w:numId w:val="18"/>
        </w:numPr>
        <w:spacing w:before="100" w:beforeAutospacing="1" w:after="0" w:line="276" w:lineRule="auto"/>
        <w:ind w:left="709" w:right="51" w:hanging="567"/>
        <w:contextualSpacing/>
        <w:jc w:val="both"/>
        <w:rPr>
          <w:rFonts w:ascii="Verdana" w:eastAsia="Times New Roman" w:hAnsi="Verdana" w:cs="Arial"/>
          <w:szCs w:val="24"/>
          <w:lang w:eastAsia="es-MX"/>
        </w:rPr>
      </w:pPr>
      <w:r w:rsidRPr="009C1079">
        <w:rPr>
          <w:rFonts w:ascii="Verdana" w:eastAsia="Times New Roman" w:hAnsi="Verdana" w:cs="Arial"/>
          <w:szCs w:val="24"/>
          <w:lang w:eastAsia="es-MX"/>
        </w:rPr>
        <w:t xml:space="preserve">El ejercicio de la potestad reglamentaria no debe sobrepasar ni invadir la competencia del Congreso de la República, en el sentido de que el </w:t>
      </w:r>
      <w:r w:rsidRPr="009C1079">
        <w:rPr>
          <w:rFonts w:ascii="Verdana" w:eastAsia="Times New Roman" w:hAnsi="Verdana" w:cs="Arial"/>
          <w:szCs w:val="24"/>
          <w:lang w:eastAsia="es-MX"/>
        </w:rPr>
        <w:lastRenderedPageBreak/>
        <w:t>reglamento no puede desfigurar la situación regulada por la ley ni hacerla nugatoria.</w:t>
      </w:r>
    </w:p>
    <w:p w14:paraId="6CFA74BF" w14:textId="77777777" w:rsidR="009C1079" w:rsidRPr="009C1079" w:rsidRDefault="009C1079" w:rsidP="009C1079">
      <w:pPr>
        <w:numPr>
          <w:ilvl w:val="0"/>
          <w:numId w:val="18"/>
        </w:numPr>
        <w:spacing w:after="0" w:line="276" w:lineRule="auto"/>
        <w:ind w:left="709" w:right="51" w:hanging="567"/>
        <w:jc w:val="both"/>
        <w:rPr>
          <w:rFonts w:ascii="Verdana" w:eastAsia="Times New Roman" w:hAnsi="Verdana" w:cs="Arial"/>
          <w:szCs w:val="24"/>
          <w:lang w:eastAsia="es-MX"/>
        </w:rPr>
      </w:pPr>
      <w:r w:rsidRPr="009C1079">
        <w:rPr>
          <w:rFonts w:ascii="Verdana" w:eastAsia="Times New Roman" w:hAnsi="Verdana" w:cs="Arial"/>
          <w:szCs w:val="24"/>
          <w:lang w:eastAsia="es-MX"/>
        </w:rPr>
        <w:t>La potestad reglamentaria no puede incluir requisitos adicionales a los previstos en la ley, y el Gobierno no puede desconocer la Constitución ni el contenido o las pautas trazadas en la ley ni reglamentar normas que no ejecuta la administración.</w:t>
      </w:r>
    </w:p>
    <w:p w14:paraId="5F5DA697" w14:textId="77777777" w:rsidR="009C1079" w:rsidRPr="009C1079" w:rsidRDefault="009C1079" w:rsidP="009C1079">
      <w:pPr>
        <w:spacing w:after="0" w:line="240" w:lineRule="auto"/>
        <w:jc w:val="both"/>
        <w:rPr>
          <w:rFonts w:ascii="Verdana" w:eastAsia="Times New Roman" w:hAnsi="Verdana" w:cs="Arial"/>
          <w:lang w:eastAsia="es-MX"/>
        </w:rPr>
      </w:pPr>
    </w:p>
    <w:p w14:paraId="26CCDB94" w14:textId="77777777" w:rsidR="009C1079" w:rsidRPr="009C1079" w:rsidRDefault="009C1079" w:rsidP="009C1079">
      <w:pPr>
        <w:spacing w:after="120" w:line="276" w:lineRule="auto"/>
        <w:ind w:firstLine="708"/>
        <w:jc w:val="both"/>
        <w:rPr>
          <w:rFonts w:ascii="Verdana" w:eastAsia="Times New Roman" w:hAnsi="Verdana" w:cs="Arial"/>
          <w:szCs w:val="24"/>
          <w:lang w:eastAsia="es-MX"/>
        </w:rPr>
      </w:pPr>
      <w:r w:rsidRPr="009C1079">
        <w:rPr>
          <w:rFonts w:ascii="Verdana" w:eastAsia="Times New Roman" w:hAnsi="Verdana" w:cs="Arial"/>
          <w:szCs w:val="24"/>
          <w:lang w:eastAsia="es-MX"/>
        </w:rPr>
        <w:t xml:space="preserve">Como se explicó en acápites anteriores, la Ley 2022 de 2020 facultó a la Agencia Nacional de Contratación Pública – Colombia Compra Eficiente para adoptar documentos tipo que serán de obligatorio cumplimiento en la actividad contractual de las entidades sometidas al Estatuto General de Contratación de la Administración Pública. De este modo, la intención del legislador fue otorgarle esta facultad al ente rector del Sistema de Compra Pública. </w:t>
      </w:r>
    </w:p>
    <w:p w14:paraId="1C1085C0" w14:textId="77777777" w:rsidR="009C1079" w:rsidRPr="009C1079" w:rsidRDefault="009C1079" w:rsidP="009C1079">
      <w:pPr>
        <w:spacing w:after="120" w:line="276" w:lineRule="auto"/>
        <w:ind w:firstLine="708"/>
        <w:jc w:val="both"/>
        <w:rPr>
          <w:rFonts w:ascii="Verdana" w:eastAsia="Times New Roman" w:hAnsi="Verdana" w:cs="Arial"/>
          <w:lang w:eastAsia="es-MX"/>
        </w:rPr>
      </w:pPr>
      <w:r w:rsidRPr="009C1079">
        <w:rPr>
          <w:rFonts w:ascii="Verdana" w:eastAsia="Times New Roman" w:hAnsi="Verdana" w:cs="Arial"/>
          <w:szCs w:val="24"/>
          <w:lang w:eastAsia="es-MX"/>
        </w:rPr>
        <w:t>Al respecto, la jurisprudencia constitucional ha reconocido a los organismos y a las autoridades que “en la jerarquía administrativa lo suceden al presidente de la República, una cierta competencia regulativa, de carácter residual, accesoria o auxiliar, que los habilita para insertar la voluntad del legislador en las últimas posibilidades de aplicación de la norma general</w:t>
      </w:r>
      <w:r w:rsidRPr="009C1079">
        <w:rPr>
          <w:rFonts w:ascii="Verdana" w:eastAsia="Times New Roman" w:hAnsi="Verdana" w:cs="Arial"/>
          <w:i/>
          <w:iCs/>
          <w:szCs w:val="24"/>
          <w:vertAlign w:val="superscript"/>
          <w:lang w:eastAsia="es-MX"/>
        </w:rPr>
        <w:footnoteReference w:id="20"/>
      </w:r>
      <w:r w:rsidRPr="009C1079">
        <w:rPr>
          <w:rFonts w:ascii="Verdana" w:eastAsia="Times New Roman" w:hAnsi="Verdana" w:cs="Arial"/>
          <w:szCs w:val="24"/>
          <w:lang w:eastAsia="es-MX"/>
        </w:rPr>
        <w:t>”</w:t>
      </w:r>
      <w:r w:rsidRPr="009C1079">
        <w:rPr>
          <w:rFonts w:ascii="Verdana" w:eastAsia="Times New Roman" w:hAnsi="Verdana" w:cs="Arial"/>
          <w:i/>
          <w:iCs/>
          <w:szCs w:val="24"/>
          <w:lang w:eastAsia="es-MX"/>
        </w:rPr>
        <w:t>.</w:t>
      </w:r>
      <w:r w:rsidRPr="009C1079">
        <w:rPr>
          <w:rFonts w:ascii="Verdana" w:eastAsia="Times New Roman" w:hAnsi="Verdana" w:cs="Arial"/>
          <w:szCs w:val="24"/>
          <w:lang w:eastAsia="es-MX"/>
        </w:rPr>
        <w:t xml:space="preserve"> Además, el Consejo de Estado, Sección Primera, en la Sentencia del 29 de abril </w:t>
      </w:r>
      <w:r w:rsidRPr="009C1079">
        <w:rPr>
          <w:rFonts w:ascii="Verdana" w:eastAsia="Times New Roman" w:hAnsi="Verdana" w:cs="Arial"/>
          <w:lang w:eastAsia="es-MX"/>
        </w:rPr>
        <w:t>de 2015, expediente 6.096, indicó que es posible que ley atribuya facultades reglamentarias a otras autoridades administrativas, particularmente a los ministerios, sin que se entienda disminuida la potestad reglamentaria del presidente de la República</w:t>
      </w:r>
      <w:r w:rsidRPr="009C1079">
        <w:rPr>
          <w:rFonts w:ascii="Verdana" w:eastAsia="Times New Roman" w:hAnsi="Verdana" w:cs="Arial"/>
          <w:vertAlign w:val="superscript"/>
          <w:lang w:eastAsia="es-MX"/>
        </w:rPr>
        <w:footnoteReference w:id="21"/>
      </w:r>
      <w:r w:rsidRPr="009C1079">
        <w:rPr>
          <w:rFonts w:ascii="Verdana" w:eastAsia="Times New Roman" w:hAnsi="Verdana" w:cs="Arial"/>
          <w:lang w:eastAsia="es-MX"/>
        </w:rPr>
        <w:t xml:space="preserve">. </w:t>
      </w:r>
    </w:p>
    <w:p w14:paraId="40E7C714" w14:textId="77777777" w:rsidR="009C1079" w:rsidRPr="009C1079" w:rsidRDefault="009C1079" w:rsidP="009C1079">
      <w:pPr>
        <w:spacing w:after="120" w:line="276" w:lineRule="auto"/>
        <w:ind w:firstLine="708"/>
        <w:jc w:val="both"/>
        <w:rPr>
          <w:rFonts w:ascii="Verdana" w:eastAsia="Times New Roman" w:hAnsi="Verdana" w:cs="Arial"/>
          <w:lang w:eastAsia="es-MX"/>
        </w:rPr>
      </w:pPr>
      <w:r w:rsidRPr="009C1079">
        <w:rPr>
          <w:rFonts w:ascii="Verdana" w:eastAsia="Times New Roman" w:hAnsi="Verdana" w:cs="Arial"/>
          <w:lang w:eastAsia="es-MX"/>
        </w:rPr>
        <w:t xml:space="preserve">En efecto, la Corte Constitucional, en Sentencia C-1005 de 2008, expresó que “la justificación de esta asignación de regulación gradual consiste en que precisamente son los organismos administrativos los depositarios de información relacionada de manera directa e inmediata con el funcionamiento práctico de las </w:t>
      </w:r>
      <w:r w:rsidRPr="009C1079">
        <w:rPr>
          <w:rFonts w:ascii="Verdana" w:eastAsia="Times New Roman" w:hAnsi="Verdana" w:cs="Arial"/>
          <w:lang w:eastAsia="es-MX"/>
        </w:rPr>
        <w:lastRenderedPageBreak/>
        <w:t>herramientas de creación legislativa”</w:t>
      </w:r>
      <w:r w:rsidRPr="009C1079">
        <w:rPr>
          <w:rFonts w:ascii="Verdana" w:eastAsia="Times New Roman" w:hAnsi="Verdana" w:cs="Arial"/>
          <w:vertAlign w:val="superscript"/>
          <w:lang w:eastAsia="es-MX"/>
        </w:rPr>
        <w:footnoteReference w:id="22"/>
      </w:r>
      <w:r w:rsidRPr="009C1079">
        <w:rPr>
          <w:rFonts w:ascii="Verdana" w:eastAsia="Times New Roman" w:hAnsi="Verdana" w:cs="Arial"/>
          <w:lang w:eastAsia="es-MX"/>
        </w:rPr>
        <w:t>, lo que implica que sean estos organismos quienes deban encargarse de aquello que la Corte ha denominado como “micro regulación de la ley”. Así mismo, en la Sentencia C-917 de 2002, señaló que “la imposibilidad de previsión total por parte del órgano legislativo es -para muchos- suficiente sustento de la necesidad de que sea una entidad técnica la que produzca el reglamento correspondiente”</w:t>
      </w:r>
      <w:r w:rsidRPr="009C1079">
        <w:rPr>
          <w:rFonts w:ascii="Verdana" w:eastAsia="Times New Roman" w:hAnsi="Verdana" w:cs="Arial"/>
          <w:vertAlign w:val="superscript"/>
          <w:lang w:eastAsia="es-MX"/>
        </w:rPr>
        <w:footnoteReference w:id="23"/>
      </w:r>
      <w:r w:rsidRPr="009C1079">
        <w:rPr>
          <w:rFonts w:ascii="Verdana" w:eastAsia="Times New Roman" w:hAnsi="Verdana" w:cs="Arial"/>
          <w:lang w:eastAsia="es-MX"/>
        </w:rPr>
        <w:t>.</w:t>
      </w:r>
    </w:p>
    <w:p w14:paraId="16CD2A2D" w14:textId="77777777" w:rsidR="009C1079" w:rsidRPr="009C1079" w:rsidRDefault="009C1079" w:rsidP="009C1079">
      <w:pPr>
        <w:spacing w:after="0" w:line="276" w:lineRule="auto"/>
        <w:ind w:firstLine="708"/>
        <w:jc w:val="both"/>
        <w:rPr>
          <w:rFonts w:ascii="Verdana" w:eastAsia="Times New Roman" w:hAnsi="Verdana" w:cs="Arial"/>
          <w:lang w:eastAsia="es-CO"/>
        </w:rPr>
      </w:pPr>
      <w:r w:rsidRPr="009C1079">
        <w:rPr>
          <w:rFonts w:ascii="Verdana" w:eastAsia="Times New Roman" w:hAnsi="Verdana" w:cs="Arial"/>
          <w:lang w:eastAsia="es-CO"/>
        </w:rPr>
        <w:t xml:space="preserve">En este sentido, atendiendo lo previsto en el artículo 1 la Ley 2022 de 2020, </w:t>
      </w:r>
      <w:r w:rsidRPr="009C1079">
        <w:rPr>
          <w:rFonts w:ascii="Verdana" w:eastAsia="Times New Roman" w:hAnsi="Verdana" w:cs="Arial"/>
          <w:lang w:eastAsia="es-ES"/>
        </w:rPr>
        <w:t>debe señalarse que la Agencia Nacional de Contratación Pública – Colombia Compra Eficiente, es una Unidad Administrativa Especial, descentralizada de la Rama Ejecutiva del orden nacional, con personería jurídica, patrimonio propio y autonomía administrativa y financiera, adscrita al Departamento Nacional de Planeación</w:t>
      </w:r>
      <w:r w:rsidRPr="009C1079">
        <w:rPr>
          <w:rFonts w:ascii="Verdana" w:eastAsia="Calibri" w:hAnsi="Verdana" w:cs="Arial"/>
          <w:vertAlign w:val="superscript"/>
          <w:lang w:eastAsia="es-CO"/>
        </w:rPr>
        <w:footnoteReference w:id="24"/>
      </w:r>
      <w:r w:rsidRPr="009C1079">
        <w:rPr>
          <w:rFonts w:ascii="Verdana" w:eastAsia="Times New Roman" w:hAnsi="Verdana" w:cs="Arial"/>
          <w:lang w:eastAsia="es-ES"/>
        </w:rPr>
        <w:t>, que se erige como ente rector en materia de contratación pública en virtud de las funciones atribuidas por el ordenamiento jurídico, en particular en el numeral 2 del artículo 3 del</w:t>
      </w:r>
      <w:r w:rsidRPr="009C1079">
        <w:rPr>
          <w:rFonts w:ascii="Verdana" w:eastAsia="Times New Roman" w:hAnsi="Verdana" w:cs="Arial"/>
          <w:lang w:eastAsia="es-CO"/>
        </w:rPr>
        <w:t xml:space="preserve"> Decreto Ley 4170 de 2011, en el que se otorgó la función de:</w:t>
      </w:r>
    </w:p>
    <w:p w14:paraId="57D7C701" w14:textId="77777777" w:rsidR="009C1079" w:rsidRPr="009C1079" w:rsidRDefault="009C1079" w:rsidP="009C1079">
      <w:pPr>
        <w:spacing w:after="0" w:line="240" w:lineRule="auto"/>
        <w:jc w:val="both"/>
        <w:rPr>
          <w:rFonts w:ascii="Verdana" w:eastAsia="Times New Roman" w:hAnsi="Verdana" w:cs="Arial"/>
          <w:lang w:eastAsia="es-CO"/>
        </w:rPr>
      </w:pPr>
    </w:p>
    <w:p w14:paraId="0BFA5638" w14:textId="77777777" w:rsidR="009C1079" w:rsidRPr="009C1079" w:rsidRDefault="009C1079" w:rsidP="009C1079">
      <w:pPr>
        <w:spacing w:after="0" w:line="240" w:lineRule="auto"/>
        <w:ind w:left="709" w:right="709"/>
        <w:jc w:val="both"/>
        <w:rPr>
          <w:rFonts w:ascii="Verdana" w:eastAsia="Times New Roman" w:hAnsi="Verdana" w:cs="Arial"/>
          <w:sz w:val="21"/>
          <w:szCs w:val="21"/>
          <w:lang w:eastAsia="es-CO"/>
        </w:rPr>
      </w:pPr>
      <w:r w:rsidRPr="009C1079">
        <w:rPr>
          <w:rFonts w:ascii="Verdana" w:eastAsia="Times New Roman" w:hAnsi="Verdana" w:cs="Arial"/>
          <w:sz w:val="21"/>
          <w:szCs w:val="21"/>
          <w:u w:val="single"/>
          <w:lang w:eastAsia="es-CO"/>
        </w:rPr>
        <w:t>“Desarrollar,</w:t>
      </w:r>
      <w:r w:rsidRPr="009C1079">
        <w:rPr>
          <w:rFonts w:ascii="Verdana" w:eastAsia="Times New Roman" w:hAnsi="Verdana" w:cs="Arial"/>
          <w:sz w:val="21"/>
          <w:szCs w:val="21"/>
          <w:lang w:eastAsia="es-CO"/>
        </w:rPr>
        <w:t xml:space="preserve"> </w:t>
      </w:r>
      <w:r w:rsidRPr="009C1079">
        <w:rPr>
          <w:rFonts w:ascii="Verdana" w:eastAsia="Times New Roman" w:hAnsi="Verdana" w:cs="Arial"/>
          <w:sz w:val="21"/>
          <w:szCs w:val="21"/>
          <w:u w:val="single"/>
          <w:lang w:eastAsia="es-CO"/>
        </w:rPr>
        <w:t>implementar y difundir</w:t>
      </w:r>
      <w:r w:rsidRPr="009C1079">
        <w:rPr>
          <w:rFonts w:ascii="Verdana" w:eastAsia="Times New Roman" w:hAnsi="Verdana" w:cs="Arial"/>
          <w:sz w:val="21"/>
          <w:szCs w:val="21"/>
          <w:lang w:eastAsia="es-CO"/>
        </w:rPr>
        <w:t xml:space="preserve"> las políticas públicas, planes, programas, </w:t>
      </w:r>
      <w:r w:rsidRPr="009C1079">
        <w:rPr>
          <w:rFonts w:ascii="Verdana" w:eastAsia="Times New Roman" w:hAnsi="Verdana" w:cs="Arial"/>
          <w:sz w:val="21"/>
          <w:szCs w:val="21"/>
          <w:u w:val="single"/>
          <w:lang w:eastAsia="es-CO"/>
        </w:rPr>
        <w:t>normas, instrumentos y herramientas</w:t>
      </w:r>
      <w:r w:rsidRPr="009C1079">
        <w:rPr>
          <w:rFonts w:ascii="Verdana" w:eastAsia="Times New Roman" w:hAnsi="Verdana" w:cs="Arial"/>
          <w:sz w:val="21"/>
          <w:szCs w:val="21"/>
          <w:lang w:eastAsia="es-CO"/>
        </w:rPr>
        <w:t xml:space="preserve"> que faciliten las compras y contratación pública del Estado y promuevan las mejores prácticas, la eficiencia, transparencia y competitividad del mismo, a fin de que se cumplan los principios y procesos generales que deben gobernar la actividad contractual de las entidades públicas” (Subrayado fuera del texto).</w:t>
      </w:r>
    </w:p>
    <w:p w14:paraId="1DCA688E" w14:textId="77777777" w:rsidR="009C1079" w:rsidRPr="009C1079" w:rsidRDefault="009C1079" w:rsidP="009C1079">
      <w:pPr>
        <w:spacing w:after="0" w:line="240" w:lineRule="auto"/>
        <w:ind w:left="709" w:right="709"/>
        <w:jc w:val="both"/>
        <w:rPr>
          <w:rFonts w:ascii="Verdana" w:eastAsia="Times New Roman" w:hAnsi="Verdana" w:cs="Arial"/>
          <w:lang w:eastAsia="es-CO"/>
        </w:rPr>
      </w:pPr>
    </w:p>
    <w:p w14:paraId="7919CAA0" w14:textId="77777777" w:rsidR="009C1079" w:rsidRPr="009C1079" w:rsidRDefault="009C1079" w:rsidP="009C1079">
      <w:pPr>
        <w:spacing w:after="0" w:line="276" w:lineRule="auto"/>
        <w:ind w:firstLine="708"/>
        <w:jc w:val="both"/>
        <w:rPr>
          <w:rFonts w:ascii="Verdana" w:eastAsia="Times New Roman" w:hAnsi="Verdana" w:cs="Arial"/>
          <w:lang w:eastAsia="es-ES"/>
        </w:rPr>
      </w:pPr>
      <w:r w:rsidRPr="009C1079">
        <w:rPr>
          <w:rFonts w:ascii="Verdana" w:eastAsia="Times New Roman" w:hAnsi="Verdana" w:cs="Arial"/>
          <w:lang w:eastAsia="es-MX"/>
        </w:rPr>
        <w:t>Así mismo, el Decreto Ley le otorgó a la Subdirección de Gestión Contractual la función de: “</w:t>
      </w:r>
      <w:r w:rsidRPr="009C1079">
        <w:rPr>
          <w:rFonts w:ascii="Verdana" w:eastAsia="Times New Roman" w:hAnsi="Verdana" w:cs="Arial"/>
          <w:u w:val="single"/>
          <w:lang w:eastAsia="es-MX"/>
        </w:rPr>
        <w:t>Desarrollar e implementar</w:t>
      </w:r>
      <w:r w:rsidRPr="009C1079">
        <w:rPr>
          <w:rFonts w:ascii="Verdana" w:eastAsia="Times New Roman" w:hAnsi="Verdana" w:cs="Arial"/>
          <w:lang w:eastAsia="es-MX"/>
        </w:rPr>
        <w:t xml:space="preserve"> </w:t>
      </w:r>
      <w:r w:rsidRPr="009C1079">
        <w:rPr>
          <w:rFonts w:ascii="Verdana" w:eastAsia="Times New Roman" w:hAnsi="Verdana" w:cs="Arial"/>
          <w:u w:val="single"/>
          <w:lang w:eastAsia="es-MX"/>
        </w:rPr>
        <w:t>estándares y documentos tipo</w:t>
      </w:r>
      <w:r w:rsidRPr="009C1079">
        <w:rPr>
          <w:rFonts w:ascii="Verdana" w:eastAsia="Times New Roman" w:hAnsi="Verdana" w:cs="Arial"/>
          <w:lang w:eastAsia="es-MX"/>
        </w:rPr>
        <w:t xml:space="preserve"> para las diferentes etapas de la gestión contractual </w:t>
      </w:r>
      <w:r w:rsidRPr="009C1079">
        <w:rPr>
          <w:rFonts w:ascii="Verdana" w:eastAsia="Times New Roman" w:hAnsi="Verdana" w:cs="Times New Roman"/>
          <w:lang w:eastAsia="es-MX"/>
        </w:rPr>
        <w:t>pública”</w:t>
      </w:r>
      <w:r w:rsidRPr="009C1079">
        <w:rPr>
          <w:rFonts w:ascii="Verdana" w:eastAsia="Times New Roman" w:hAnsi="Verdana" w:cs="Times New Roman"/>
          <w:vertAlign w:val="superscript"/>
          <w:lang w:eastAsia="es-MX"/>
        </w:rPr>
        <w:footnoteReference w:id="25"/>
      </w:r>
      <w:r w:rsidRPr="009C1079">
        <w:rPr>
          <w:rFonts w:ascii="Verdana" w:eastAsia="Times New Roman" w:hAnsi="Verdana" w:cs="Arial"/>
          <w:i/>
          <w:iCs/>
          <w:lang w:eastAsia="es-ES"/>
        </w:rPr>
        <w:t>.</w:t>
      </w:r>
      <w:r w:rsidRPr="009C1079">
        <w:rPr>
          <w:rFonts w:ascii="Verdana" w:eastAsia="Times New Roman" w:hAnsi="Verdana" w:cs="Arial"/>
          <w:lang w:eastAsia="es-ES"/>
        </w:rPr>
        <w:t xml:space="preserve">De conformidad con lo anterior, la Agencia Nacional de Contratación Pública – </w:t>
      </w:r>
      <w:r w:rsidRPr="009C1079">
        <w:rPr>
          <w:rFonts w:ascii="Verdana" w:eastAsia="Times New Roman" w:hAnsi="Verdana" w:cs="Arial"/>
          <w:lang w:eastAsia="es-ES"/>
        </w:rPr>
        <w:lastRenderedPageBreak/>
        <w:t>Colombia Compra Eficiente es un ente rector, técnico y especializado en materia de contratación pública. De ahí que el Consejo de Estado le haya reconocido potestad regulatoria, en los siguientes términos:</w:t>
      </w:r>
    </w:p>
    <w:p w14:paraId="6D7F616C" w14:textId="77777777" w:rsidR="009C1079" w:rsidRPr="009C1079" w:rsidRDefault="009C1079" w:rsidP="009C1079">
      <w:pPr>
        <w:spacing w:after="0" w:line="240" w:lineRule="auto"/>
        <w:jc w:val="both"/>
        <w:rPr>
          <w:rFonts w:ascii="Verdana" w:eastAsia="Times New Roman" w:hAnsi="Verdana" w:cs="Arial"/>
          <w:lang w:eastAsia="es-ES"/>
        </w:rPr>
      </w:pPr>
    </w:p>
    <w:p w14:paraId="4AC94B78" w14:textId="77777777" w:rsidR="009C1079" w:rsidRPr="009C1079" w:rsidRDefault="009C1079" w:rsidP="009C1079">
      <w:pPr>
        <w:spacing w:after="240" w:line="240" w:lineRule="auto"/>
        <w:ind w:left="709" w:right="709"/>
        <w:jc w:val="both"/>
        <w:rPr>
          <w:rFonts w:ascii="Verdana" w:eastAsia="Times New Roman" w:hAnsi="Verdana" w:cs="Arial"/>
          <w:i/>
          <w:sz w:val="21"/>
          <w:szCs w:val="21"/>
          <w:lang w:eastAsia="es-ES"/>
        </w:rPr>
      </w:pPr>
      <w:r w:rsidRPr="009C1079">
        <w:rPr>
          <w:rFonts w:ascii="Verdana" w:eastAsia="Times New Roman" w:hAnsi="Verdana" w:cs="Arial"/>
          <w:sz w:val="21"/>
          <w:szCs w:val="21"/>
          <w:lang w:eastAsia="es-MX"/>
        </w:rPr>
        <w:t>“</w:t>
      </w:r>
      <w:r w:rsidRPr="009C1079">
        <w:rPr>
          <w:rFonts w:ascii="Verdana" w:eastAsia="Times New Roman" w:hAnsi="Verdana" w:cs="Arial"/>
          <w:sz w:val="21"/>
          <w:szCs w:val="21"/>
          <w:lang w:eastAsia="es-ES"/>
        </w:rPr>
        <w:t xml:space="preserve">Se cuenta con una base jurídica mínima que apoya la competencia de [Colombia Compra Eficiente] para [la expedición de la Circular] pues se sabe que esa Agencia […] se ubica dentro del sector descentralizado del orden nacional y cuenta dentro de su ámbito funcional con competencias atinentes a la materia de la contratación estatal, esto es, a la actividad administrativa vinculada a la provisión de bienes y/o servicios por cuenta del Estado […] y ejerce una competencia de orientación y coordinación toda vez que tiene a su cargo la formulación de políticas públicas […] y, concretamente, se le ha atribuido la competencia de </w:t>
      </w:r>
      <w:r w:rsidRPr="009C1079">
        <w:rPr>
          <w:rFonts w:ascii="Verdana" w:eastAsia="Times New Roman" w:hAnsi="Verdana" w:cs="Arial"/>
          <w:sz w:val="21"/>
          <w:szCs w:val="21"/>
          <w:lang w:eastAsia="es-MX"/>
        </w:rPr>
        <w:t>“</w:t>
      </w:r>
      <w:r w:rsidRPr="009C1079">
        <w:rPr>
          <w:rFonts w:ascii="Verdana" w:eastAsia="Times New Roman" w:hAnsi="Verdana" w:cs="Arial"/>
          <w:sz w:val="21"/>
          <w:szCs w:val="21"/>
          <w:lang w:eastAsia="es-ES"/>
        </w:rPr>
        <w:t>difundir las normas, reglas, procedimientos, medios tecnológicos y mejores prácticas para las compras y la contratación pública […]</w:t>
      </w:r>
      <w:r w:rsidRPr="009C1079">
        <w:rPr>
          <w:rFonts w:ascii="Verdana" w:eastAsia="Times New Roman" w:hAnsi="Verdana" w:cs="Arial"/>
          <w:sz w:val="21"/>
          <w:szCs w:val="21"/>
          <w:lang w:eastAsia="es-MX"/>
        </w:rPr>
        <w:t>”</w:t>
      </w:r>
      <w:r w:rsidRPr="009C1079">
        <w:rPr>
          <w:rFonts w:ascii="Verdana" w:eastAsia="Times New Roman" w:hAnsi="Verdana" w:cs="Arial"/>
          <w:sz w:val="21"/>
          <w:szCs w:val="21"/>
          <w:lang w:eastAsia="es-ES"/>
        </w:rPr>
        <w:t xml:space="preserve"> potestad reguladora que, en todo caso, debe ejercerse conforme a la Ley y ajustada a la potestad reglamentaria del Gobierno Nacional</w:t>
      </w:r>
      <w:r w:rsidRPr="009C1079">
        <w:rPr>
          <w:rFonts w:ascii="Verdana" w:eastAsia="Times New Roman" w:hAnsi="Verdana" w:cs="Arial"/>
          <w:sz w:val="21"/>
          <w:szCs w:val="21"/>
          <w:lang w:eastAsia="es-MX"/>
        </w:rPr>
        <w:t>”</w:t>
      </w:r>
      <w:r w:rsidRPr="009C1079">
        <w:rPr>
          <w:rFonts w:ascii="Verdana" w:eastAsia="Times New Roman" w:hAnsi="Verdana" w:cs="Arial"/>
          <w:i/>
          <w:iCs/>
          <w:sz w:val="21"/>
          <w:szCs w:val="21"/>
          <w:vertAlign w:val="superscript"/>
          <w:lang w:eastAsia="es-MX"/>
        </w:rPr>
        <w:footnoteReference w:id="26"/>
      </w:r>
      <w:r w:rsidRPr="009C1079">
        <w:rPr>
          <w:rFonts w:ascii="Verdana" w:eastAsia="Times New Roman" w:hAnsi="Verdana" w:cs="Arial"/>
          <w:i/>
          <w:iCs/>
          <w:sz w:val="21"/>
          <w:szCs w:val="21"/>
          <w:lang w:eastAsia="es-ES"/>
        </w:rPr>
        <w:t xml:space="preserve">. </w:t>
      </w:r>
    </w:p>
    <w:p w14:paraId="27610F57" w14:textId="77777777" w:rsidR="009C1079" w:rsidRPr="009C1079" w:rsidRDefault="009C1079" w:rsidP="009C1079">
      <w:pPr>
        <w:spacing w:after="0" w:line="276" w:lineRule="auto"/>
        <w:ind w:firstLine="708"/>
        <w:jc w:val="both"/>
        <w:rPr>
          <w:rFonts w:ascii="Verdana" w:eastAsia="Times New Roman" w:hAnsi="Verdana" w:cs="Arial"/>
          <w:lang w:eastAsia="es-ES"/>
        </w:rPr>
      </w:pPr>
      <w:r w:rsidRPr="009C1079">
        <w:rPr>
          <w:rFonts w:ascii="Verdana" w:eastAsia="Times New Roman" w:hAnsi="Verdana" w:cs="Arial"/>
          <w:lang w:eastAsia="es-ES"/>
        </w:rPr>
        <w:t>Lo anterior fue reiterado por el Consejo de Estado, en la sentencia del 16 de agosto de 2017, en el expediente 56.166, en los siguientes términos:</w:t>
      </w:r>
    </w:p>
    <w:p w14:paraId="519640CA" w14:textId="77777777" w:rsidR="009C1079" w:rsidRPr="009C1079" w:rsidRDefault="009C1079" w:rsidP="009C1079">
      <w:pPr>
        <w:spacing w:after="0" w:line="240" w:lineRule="auto"/>
        <w:jc w:val="both"/>
        <w:rPr>
          <w:rFonts w:ascii="Verdana" w:eastAsia="Times New Roman" w:hAnsi="Verdana" w:cs="Arial"/>
          <w:lang w:eastAsia="es-ES"/>
        </w:rPr>
      </w:pPr>
    </w:p>
    <w:p w14:paraId="0C406A77" w14:textId="77777777" w:rsidR="009C1079" w:rsidRPr="009C1079" w:rsidRDefault="009C1079" w:rsidP="009C1079">
      <w:pPr>
        <w:spacing w:after="0" w:line="240" w:lineRule="auto"/>
        <w:ind w:left="709" w:right="709"/>
        <w:jc w:val="both"/>
        <w:rPr>
          <w:rFonts w:ascii="Verdana" w:eastAsia="Times New Roman" w:hAnsi="Verdana" w:cs="Arial"/>
          <w:sz w:val="21"/>
          <w:szCs w:val="21"/>
          <w:lang w:eastAsia="es-ES"/>
        </w:rPr>
      </w:pPr>
      <w:r w:rsidRPr="009C1079">
        <w:rPr>
          <w:rFonts w:ascii="Verdana" w:eastAsia="Times New Roman" w:hAnsi="Verdana" w:cs="Arial"/>
          <w:sz w:val="21"/>
          <w:szCs w:val="21"/>
          <w:lang w:eastAsia="es-MX"/>
        </w:rPr>
        <w:t>“</w:t>
      </w:r>
      <w:r w:rsidRPr="009C1079">
        <w:rPr>
          <w:rFonts w:ascii="Verdana" w:eastAsia="Times New Roman" w:hAnsi="Verdana" w:cs="Arial"/>
          <w:sz w:val="21"/>
          <w:szCs w:val="21"/>
          <w:lang w:eastAsia="es-ES"/>
        </w:rPr>
        <w:t xml:space="preserve">Dígase que ese poder de regulación normativa en cabeza de CCE se ejerce </w:t>
      </w:r>
      <w:proofErr w:type="spellStart"/>
      <w:r w:rsidRPr="009C1079">
        <w:rPr>
          <w:rFonts w:ascii="Verdana" w:eastAsia="Times New Roman" w:hAnsi="Verdana" w:cs="Arial"/>
          <w:i/>
          <w:iCs/>
          <w:sz w:val="21"/>
          <w:szCs w:val="21"/>
          <w:lang w:eastAsia="es-ES"/>
        </w:rPr>
        <w:t>secundum</w:t>
      </w:r>
      <w:proofErr w:type="spellEnd"/>
      <w:r w:rsidRPr="009C1079">
        <w:rPr>
          <w:rFonts w:ascii="Verdana" w:eastAsia="Times New Roman" w:hAnsi="Verdana" w:cs="Arial"/>
          <w:i/>
          <w:iCs/>
          <w:sz w:val="21"/>
          <w:szCs w:val="21"/>
          <w:lang w:eastAsia="es-ES"/>
        </w:rPr>
        <w:t xml:space="preserve"> </w:t>
      </w:r>
      <w:proofErr w:type="spellStart"/>
      <w:r w:rsidRPr="009C1079">
        <w:rPr>
          <w:rFonts w:ascii="Verdana" w:eastAsia="Times New Roman" w:hAnsi="Verdana" w:cs="Arial"/>
          <w:i/>
          <w:iCs/>
          <w:sz w:val="21"/>
          <w:szCs w:val="21"/>
          <w:lang w:eastAsia="es-ES"/>
        </w:rPr>
        <w:t>legem</w:t>
      </w:r>
      <w:proofErr w:type="spellEnd"/>
      <w:r w:rsidRPr="009C1079">
        <w:rPr>
          <w:rFonts w:ascii="Verdana" w:eastAsia="Times New Roman" w:hAnsi="Verdana" w:cs="Arial"/>
          <w:sz w:val="21"/>
          <w:szCs w:val="21"/>
          <w:lang w:eastAsia="es-ES"/>
        </w:rPr>
        <w:t xml:space="preserve"> como también subordinado a la potestad reglamentaria del Gobierno Nacional, de suerte que no rivaliza con ésta o aquella, sino que constituye, en puridad, expresión del ejercicio de autoridad administrativa bajo habilitación legal expresa sujeta, entre otras cuestiones, a la concreción de aquellos principios y valores que subyacen a la función administrativa, de una parte, y los propios de la Constitución Económica, de otro tanto, como recién ha sido reiterado por esta Sección en asunto de similar naturaleza al aquí tratado. Con otras palabras, la Sala tiene averiguado que el poder de regulación otorgado a Colombia Compra Eficiente no es ejercicio de potestad reglamentaria constitucional, en los términos expuestos”</w:t>
      </w:r>
      <w:r w:rsidRPr="009C1079">
        <w:rPr>
          <w:rFonts w:ascii="Verdana" w:eastAsia="Times New Roman" w:hAnsi="Verdana" w:cs="Arial"/>
          <w:sz w:val="21"/>
          <w:szCs w:val="21"/>
          <w:vertAlign w:val="superscript"/>
          <w:lang w:eastAsia="es-ES"/>
        </w:rPr>
        <w:footnoteReference w:id="27"/>
      </w:r>
      <w:r w:rsidRPr="009C1079">
        <w:rPr>
          <w:rFonts w:ascii="Verdana" w:eastAsia="Times New Roman" w:hAnsi="Verdana" w:cs="Arial"/>
          <w:sz w:val="21"/>
          <w:szCs w:val="21"/>
          <w:lang w:eastAsia="es-ES"/>
        </w:rPr>
        <w:t>.</w:t>
      </w:r>
    </w:p>
    <w:p w14:paraId="1E410BFB" w14:textId="77777777" w:rsidR="009C1079" w:rsidRPr="009C1079" w:rsidRDefault="009C1079" w:rsidP="009C1079">
      <w:pPr>
        <w:spacing w:after="0" w:line="240" w:lineRule="auto"/>
        <w:ind w:left="709" w:right="709"/>
        <w:jc w:val="both"/>
        <w:rPr>
          <w:rFonts w:ascii="Verdana" w:eastAsia="Times New Roman" w:hAnsi="Verdana" w:cs="Arial"/>
          <w:lang w:eastAsia="es-ES"/>
        </w:rPr>
      </w:pPr>
    </w:p>
    <w:p w14:paraId="4075713A" w14:textId="77777777" w:rsidR="009C1079" w:rsidRPr="009C1079" w:rsidRDefault="009C1079" w:rsidP="009C1079">
      <w:pPr>
        <w:tabs>
          <w:tab w:val="center" w:pos="4419"/>
          <w:tab w:val="right" w:pos="8838"/>
        </w:tabs>
        <w:spacing w:after="120" w:line="276" w:lineRule="auto"/>
        <w:ind w:firstLine="709"/>
        <w:jc w:val="both"/>
        <w:rPr>
          <w:rFonts w:ascii="Verdana" w:eastAsia="Times New Roman" w:hAnsi="Verdana" w:cs="Arial"/>
          <w:lang w:eastAsia="es-ES"/>
        </w:rPr>
      </w:pPr>
      <w:r w:rsidRPr="009C1079">
        <w:rPr>
          <w:rFonts w:ascii="Verdana" w:eastAsia="Times New Roman" w:hAnsi="Verdana" w:cs="Arial"/>
          <w:lang w:eastAsia="es-ES"/>
        </w:rPr>
        <w:t xml:space="preserve"> </w:t>
      </w:r>
      <w:r w:rsidRPr="009C1079">
        <w:rPr>
          <w:rFonts w:ascii="Verdana" w:eastAsia="Times New Roman" w:hAnsi="Verdana" w:cs="Arial"/>
          <w:lang w:eastAsia="es-MX"/>
        </w:rPr>
        <w:t>En la misma sentencia, el Consejo de Estado señaló la existencia de límites en el ejercicio de la facultad de regulación de las autoridades administrativas, las cuales se encaminan a concretar aspectos residuales y complementarios de la legislación general, sujeta en todo caso, a lo que dispongan los órdenes normativos de más alto rango, es decir, la Constitución y la ley. Esto en la medida que el ejercicio de esta facultad de regulación “en ningún caso implica el reconocimiento de una potestad autónoma y desligada de cualquier límite</w:t>
      </w:r>
      <w:r w:rsidRPr="009C1079">
        <w:rPr>
          <w:rFonts w:ascii="Verdana" w:eastAsia="MS Mincho" w:hAnsi="Verdana" w:cs="Arial"/>
          <w:vertAlign w:val="superscript"/>
          <w:lang w:eastAsia="es-ES"/>
        </w:rPr>
        <w:footnoteReference w:id="28"/>
      </w:r>
      <w:r w:rsidRPr="009C1079">
        <w:rPr>
          <w:rFonts w:ascii="Verdana" w:eastAsia="Times New Roman" w:hAnsi="Verdana" w:cs="Arial"/>
          <w:lang w:eastAsia="es-ES"/>
        </w:rPr>
        <w:t>.</w:t>
      </w:r>
    </w:p>
    <w:p w14:paraId="74859E20" w14:textId="77777777" w:rsidR="009C1079" w:rsidRPr="009C1079" w:rsidRDefault="009C1079" w:rsidP="009C1079">
      <w:pPr>
        <w:tabs>
          <w:tab w:val="center" w:pos="4419"/>
          <w:tab w:val="right" w:pos="8838"/>
        </w:tabs>
        <w:spacing w:after="0" w:line="276" w:lineRule="auto"/>
        <w:ind w:firstLine="709"/>
        <w:jc w:val="both"/>
        <w:rPr>
          <w:rFonts w:ascii="Verdana" w:eastAsia="Times New Roman" w:hAnsi="Verdana" w:cs="Arial"/>
          <w:lang w:eastAsia="es-ES"/>
        </w:rPr>
      </w:pPr>
      <w:r w:rsidRPr="009C1079">
        <w:rPr>
          <w:rFonts w:ascii="Verdana" w:eastAsia="Times New Roman" w:hAnsi="Verdana" w:cs="Arial"/>
          <w:lang w:eastAsia="es-ES"/>
        </w:rPr>
        <w:t>Conviene reiterar que, conforme con lo manifestado por el Consejo de Estado</w:t>
      </w:r>
      <w:r w:rsidRPr="009C1079">
        <w:rPr>
          <w:rFonts w:ascii="Verdana" w:eastAsia="Times New Roman" w:hAnsi="Verdana" w:cs="Arial"/>
          <w:vertAlign w:val="superscript"/>
          <w:lang w:eastAsia="es-ES"/>
        </w:rPr>
        <w:footnoteReference w:id="29"/>
      </w:r>
      <w:r w:rsidRPr="009C1079">
        <w:rPr>
          <w:rFonts w:ascii="Verdana" w:eastAsia="Times New Roman" w:hAnsi="Verdana" w:cs="Arial"/>
          <w:lang w:eastAsia="es-ES"/>
        </w:rPr>
        <w:t>, la facultad que recae en la Agencia Nacional de Contratación Pública – Colombia Compra Eficiente para regular aspectos técnicos en el marco de las competencias que le fueron otorgadas por el Decreto Ley 4170 de 2011, como es el caso del desarrollo e implementación de documentos tipo, no implica modificar el esquema constitucional establecido para el ejercicio de la potestad reglamentaria en cabeza del Gobierno Nacional:</w:t>
      </w:r>
    </w:p>
    <w:p w14:paraId="45102C95" w14:textId="77777777" w:rsidR="009C1079" w:rsidRPr="009C1079" w:rsidRDefault="009C1079" w:rsidP="009C1079">
      <w:pPr>
        <w:tabs>
          <w:tab w:val="center" w:pos="4419"/>
          <w:tab w:val="right" w:pos="8838"/>
        </w:tabs>
        <w:spacing w:after="0" w:line="240" w:lineRule="auto"/>
        <w:jc w:val="both"/>
        <w:rPr>
          <w:rFonts w:ascii="Verdana" w:eastAsia="Times New Roman" w:hAnsi="Verdana" w:cs="Arial"/>
          <w:lang w:eastAsia="es-ES"/>
        </w:rPr>
      </w:pPr>
    </w:p>
    <w:p w14:paraId="188B2CD1" w14:textId="77777777" w:rsidR="009C1079" w:rsidRPr="009C1079" w:rsidRDefault="009C1079" w:rsidP="009C1079">
      <w:pPr>
        <w:spacing w:after="0" w:line="240" w:lineRule="auto"/>
        <w:ind w:left="709" w:right="709"/>
        <w:jc w:val="both"/>
        <w:rPr>
          <w:rFonts w:ascii="Verdana" w:eastAsia="Times New Roman" w:hAnsi="Verdana" w:cs="Arial"/>
          <w:sz w:val="21"/>
          <w:szCs w:val="21"/>
          <w:lang w:eastAsia="es-ES"/>
        </w:rPr>
      </w:pPr>
      <w:r w:rsidRPr="009C1079">
        <w:rPr>
          <w:rFonts w:ascii="Verdana" w:eastAsia="Times New Roman" w:hAnsi="Verdana" w:cs="Arial"/>
          <w:sz w:val="21"/>
          <w:szCs w:val="21"/>
          <w:lang w:eastAsia="es-MX"/>
        </w:rPr>
        <w:t>“</w:t>
      </w:r>
      <w:r w:rsidRPr="009C1079">
        <w:rPr>
          <w:rFonts w:ascii="Verdana" w:eastAsia="Times New Roman" w:hAnsi="Verdana" w:cs="Arial"/>
          <w:sz w:val="21"/>
          <w:szCs w:val="21"/>
          <w:lang w:eastAsia="es-ES"/>
        </w:rPr>
        <w:t xml:space="preserve">(…) para la Sala resulta claro que con el Decreto-Ley 4170 de 2011 el legislador extraordinario no quiso modificar –como en efecto no lo hizo– el esquema de producción normativa establecido en la Constitución Política y, por lo mismo, las funciones asignadas a Colombia Compra Eficiente guardan una estricta lógica de jerarquía normativa respecto de las facultades reglamentarias reservadas al presidente de la República y, por supuesto, respecto de los lineamientos legislativos. No podría considerarse que con el Decreto-Ley mencionado se distribuyeron las competencias reglamentarias entre el presidente de la República y la nueva agencia, asignando a esta última todo aquello relativo a la contratación del Estado. Por el contrario, lo que resulta evidente es que </w:t>
      </w:r>
      <w:r w:rsidRPr="009C1079">
        <w:rPr>
          <w:rFonts w:ascii="Verdana" w:eastAsia="Times New Roman" w:hAnsi="Verdana" w:cs="Arial"/>
          <w:sz w:val="21"/>
          <w:szCs w:val="21"/>
          <w:u w:val="single"/>
          <w:lang w:eastAsia="es-ES"/>
        </w:rPr>
        <w:t>el presidente de la República cuenta ahora con una entidad especializada que lo apoya técnicamente</w:t>
      </w:r>
      <w:r w:rsidRPr="009C1079">
        <w:rPr>
          <w:rFonts w:ascii="Verdana" w:eastAsia="Times New Roman" w:hAnsi="Verdana" w:cs="Arial"/>
          <w:sz w:val="21"/>
          <w:szCs w:val="21"/>
          <w:lang w:eastAsia="es-ES"/>
        </w:rPr>
        <w:t xml:space="preserve"> tanto en la formulación de una política pública en materia de compras y contratación pública, </w:t>
      </w:r>
      <w:r w:rsidRPr="009C1079">
        <w:rPr>
          <w:rFonts w:ascii="Verdana" w:eastAsia="Times New Roman" w:hAnsi="Verdana" w:cs="Arial"/>
          <w:sz w:val="21"/>
          <w:szCs w:val="21"/>
          <w:u w:val="single"/>
          <w:lang w:eastAsia="es-ES"/>
        </w:rPr>
        <w:t xml:space="preserve">como en su labor de producción normativa, sin que por ello se desprenda de las normas pertinentes alguna suerte de </w:t>
      </w:r>
      <w:r w:rsidRPr="009C1079">
        <w:rPr>
          <w:rFonts w:ascii="Verdana" w:eastAsia="Times New Roman" w:hAnsi="Verdana" w:cs="Arial"/>
          <w:sz w:val="21"/>
          <w:szCs w:val="21"/>
          <w:u w:val="single"/>
          <w:lang w:eastAsia="es-ES"/>
        </w:rPr>
        <w:lastRenderedPageBreak/>
        <w:t>escisión de las facultades</w:t>
      </w:r>
      <w:r w:rsidRPr="009C1079">
        <w:rPr>
          <w:rFonts w:ascii="Verdana" w:eastAsia="Times New Roman" w:hAnsi="Verdana" w:cs="Arial"/>
          <w:b/>
          <w:bCs/>
          <w:sz w:val="21"/>
          <w:szCs w:val="21"/>
          <w:lang w:eastAsia="es-ES"/>
        </w:rPr>
        <w:t>.</w:t>
      </w:r>
      <w:r w:rsidRPr="009C1079">
        <w:rPr>
          <w:rFonts w:ascii="Verdana" w:eastAsia="Times New Roman" w:hAnsi="Verdana" w:cs="Arial"/>
          <w:sz w:val="21"/>
          <w:szCs w:val="21"/>
          <w:lang w:eastAsia="es-ES"/>
        </w:rPr>
        <w:t xml:space="preserve"> Adicionalmente, las funciones asignadas a la Agencia, si bien pueden comportar una facultad de regulación de la actividad contractual pública, ella debe ser ejercida con sometimiento al esquema jerárquico normativo del sistema jurídico, por lo que deberá sujetarse, como consecuencia, a los dictados constitucionales, legales y a la reglamentación expedida por el presidente de la República”</w:t>
      </w:r>
      <w:r w:rsidRPr="009C1079">
        <w:rPr>
          <w:rFonts w:ascii="Verdana" w:eastAsia="Times New Roman" w:hAnsi="Verdana" w:cs="Arial"/>
          <w:sz w:val="21"/>
          <w:szCs w:val="21"/>
          <w:vertAlign w:val="superscript"/>
          <w:lang w:eastAsia="es-ES"/>
        </w:rPr>
        <w:footnoteReference w:id="30"/>
      </w:r>
      <w:r w:rsidRPr="009C1079">
        <w:rPr>
          <w:rFonts w:ascii="Verdana" w:eastAsia="Times New Roman" w:hAnsi="Verdana" w:cs="Arial"/>
          <w:i/>
          <w:iCs/>
          <w:sz w:val="21"/>
          <w:szCs w:val="21"/>
          <w:lang w:eastAsia="es-ES"/>
        </w:rPr>
        <w:t>.</w:t>
      </w:r>
      <w:r w:rsidRPr="009C1079">
        <w:rPr>
          <w:rFonts w:ascii="Verdana" w:eastAsia="Times New Roman" w:hAnsi="Verdana" w:cs="Arial"/>
          <w:sz w:val="21"/>
          <w:szCs w:val="21"/>
          <w:lang w:eastAsia="es-ES"/>
        </w:rPr>
        <w:t xml:space="preserve"> (Subrayado fuera del texto) </w:t>
      </w:r>
    </w:p>
    <w:p w14:paraId="2E431BDA" w14:textId="77777777" w:rsidR="009C1079" w:rsidRPr="009C1079" w:rsidRDefault="009C1079" w:rsidP="009C1079">
      <w:pPr>
        <w:tabs>
          <w:tab w:val="center" w:pos="4419"/>
          <w:tab w:val="right" w:pos="8838"/>
        </w:tabs>
        <w:spacing w:after="0" w:line="240" w:lineRule="auto"/>
        <w:jc w:val="both"/>
        <w:rPr>
          <w:rFonts w:ascii="Verdana" w:eastAsia="Times New Roman" w:hAnsi="Verdana" w:cs="Arial"/>
          <w:lang w:eastAsia="es-ES"/>
        </w:rPr>
      </w:pPr>
    </w:p>
    <w:p w14:paraId="5F905070" w14:textId="77777777" w:rsidR="009C1079" w:rsidRPr="009C1079" w:rsidRDefault="009C1079" w:rsidP="009C1079">
      <w:pPr>
        <w:tabs>
          <w:tab w:val="center" w:pos="4419"/>
          <w:tab w:val="right" w:pos="8838"/>
        </w:tabs>
        <w:spacing w:after="120" w:line="276" w:lineRule="auto"/>
        <w:ind w:firstLine="709"/>
        <w:jc w:val="both"/>
        <w:rPr>
          <w:rFonts w:ascii="Verdana" w:eastAsia="MS Mincho" w:hAnsi="Verdana" w:cs="Arial"/>
          <w:lang w:eastAsia="es-CO"/>
        </w:rPr>
      </w:pPr>
      <w:r w:rsidRPr="009C1079">
        <w:rPr>
          <w:rFonts w:ascii="Verdana" w:eastAsia="Times New Roman" w:hAnsi="Verdana" w:cs="Arial"/>
          <w:lang w:eastAsia="es-ES"/>
        </w:rPr>
        <w:t xml:space="preserve"> El anterior pronunciamiento fue proferido por parte del Consejo de Estado al estudiar la legalidad del artículo 159 del Decreto 1510 de 2013, respecto de la competencia de la Agencia Nacional de Contratación Pública - Colombia Compra Eficiente para el diseño e implementación de documentos estandarizados y especializados, dentro de los cuales se encuentran, entre otros, los documentos tipo. Al respecto, el Alto Tribunal consideró que esta competencia carecía de sustento normativo desde el punto de vista reglamentario por cuanto el artículo 2 de la Ley 1150 de 2007 confirió al Gobierno Nacional la facultad de fijar con fuerza vinculante, </w:t>
      </w:r>
      <w:r w:rsidRPr="009C1079">
        <w:rPr>
          <w:rFonts w:ascii="Verdana" w:eastAsia="MS Mincho" w:hAnsi="Verdana" w:cs="Arial"/>
          <w:lang w:eastAsia="es-CO"/>
        </w:rPr>
        <w:t>“</w:t>
      </w:r>
      <w:r w:rsidRPr="009C1079">
        <w:rPr>
          <w:rFonts w:ascii="Verdana" w:eastAsia="Times New Roman" w:hAnsi="Verdana" w:cs="Arial"/>
          <w:iCs/>
          <w:lang w:eastAsia="es-ES"/>
        </w:rPr>
        <w:t>las condiciones generales de los pliegos de condiciones y los contratos de las entidades estatales</w:t>
      </w:r>
      <w:r w:rsidRPr="009C1079">
        <w:rPr>
          <w:rFonts w:ascii="Verdana" w:eastAsia="MS Mincho" w:hAnsi="Verdana" w:cs="Arial"/>
          <w:lang w:eastAsia="es-CO"/>
        </w:rPr>
        <w:t>”</w:t>
      </w:r>
      <w:r w:rsidRPr="009C1079">
        <w:rPr>
          <w:rFonts w:ascii="Verdana" w:eastAsia="Times New Roman" w:hAnsi="Verdana" w:cs="Arial"/>
          <w:lang w:eastAsia="es-ES"/>
        </w:rPr>
        <w:t xml:space="preserve"> para la adquisición de bienes y servicios de características técnicas uniformes y de común utilización, sin hacer referencia a la adopción de otro tipo de contratos o modalidades. </w:t>
      </w:r>
    </w:p>
    <w:p w14:paraId="3E6AB526" w14:textId="77777777" w:rsidR="009C1079" w:rsidRPr="009C1079" w:rsidRDefault="009C1079" w:rsidP="009C1079">
      <w:pPr>
        <w:tabs>
          <w:tab w:val="center" w:pos="4419"/>
          <w:tab w:val="right" w:pos="8838"/>
        </w:tabs>
        <w:spacing w:after="120" w:line="276" w:lineRule="auto"/>
        <w:ind w:firstLine="709"/>
        <w:jc w:val="both"/>
        <w:rPr>
          <w:rFonts w:ascii="Verdana" w:eastAsia="MS Mincho" w:hAnsi="Verdana" w:cs="Arial"/>
          <w:lang w:eastAsia="es-CO"/>
        </w:rPr>
      </w:pPr>
      <w:r w:rsidRPr="009C1079">
        <w:rPr>
          <w:rFonts w:ascii="Verdana" w:eastAsia="Times New Roman" w:hAnsi="Verdana" w:cs="Arial"/>
          <w:lang w:eastAsia="es-ES"/>
        </w:rPr>
        <w:t xml:space="preserve">De igual manera, aclaró que en el marco normativo en el cual fue expedido el Decreto 1510 de 2013 no se contaba con la facultad legal por parte de la Agencia Nacional de Contratación Pública - Colombia Compra Eficiente para el diseño e implementación de documentos estandarizados para ninguna modalidad de contratación con efectos obligatorios para las entidades públicas, salvo el evento señalado en el parágrafo 3 del artículo 2 de la Ley 1150 de 2007.  No obstante, la expedición de la presente resolución se fundamenta en el artículo 1 de la Ley 2022 de 2020 que brinda el sustento normativo para la adopción de los documentos tipo. Esto con el fin de que la Agencia, como entidad administrativa especializada, los desarrolle e implemente dentro de los límites </w:t>
      </w:r>
      <w:r w:rsidRPr="009C1079">
        <w:rPr>
          <w:rFonts w:ascii="Verdana" w:eastAsia="Times New Roman" w:hAnsi="Verdana" w:cs="Arial"/>
          <w:lang w:eastAsia="es-ES"/>
        </w:rPr>
        <w:lastRenderedPageBreak/>
        <w:t>establecidos en la ley citada acorde con las funciones, objeto y misión de la entidad.</w:t>
      </w:r>
    </w:p>
    <w:p w14:paraId="1EB45231" w14:textId="77777777" w:rsidR="009C1079" w:rsidRPr="009C1079" w:rsidRDefault="009C1079" w:rsidP="009C1079">
      <w:pPr>
        <w:tabs>
          <w:tab w:val="center" w:pos="4419"/>
          <w:tab w:val="right" w:pos="8838"/>
        </w:tabs>
        <w:spacing w:after="120" w:line="276" w:lineRule="auto"/>
        <w:ind w:firstLine="709"/>
        <w:jc w:val="both"/>
        <w:rPr>
          <w:rFonts w:ascii="Verdana" w:eastAsia="MS Mincho" w:hAnsi="Verdana" w:cs="Arial"/>
          <w:lang w:eastAsia="es-CO"/>
        </w:rPr>
      </w:pPr>
      <w:r w:rsidRPr="009C1079">
        <w:rPr>
          <w:rFonts w:ascii="Verdana" w:eastAsia="Times New Roman" w:hAnsi="Verdana" w:cs="Arial"/>
          <w:lang w:eastAsia="es-ES"/>
        </w:rPr>
        <w:t>Por lo tanto, a diferencia de lo establecido en el numeral 3 del artículo 159 del Decreto 1510 de 2013, esta reglamentación cuenta con un sustento jurídico suficiente, dado en el artículo 1 de la Ley 2022 de 2020 y permite a la Agencia Nacional de Contratación Pública – Colombia Compra Eficiente concretar y aterrizar la voluntad del legislador mediante el ejercicio de la potestad reglamentaria.</w:t>
      </w:r>
      <w:r w:rsidRPr="009C1079">
        <w:rPr>
          <w:rFonts w:ascii="Verdana" w:eastAsia="MS Mincho" w:hAnsi="Verdana" w:cs="Arial"/>
          <w:lang w:eastAsia="es-CO"/>
        </w:rPr>
        <w:t xml:space="preserve"> </w:t>
      </w:r>
    </w:p>
    <w:p w14:paraId="06C1DE0C" w14:textId="77777777" w:rsidR="009C1079" w:rsidRPr="009C1079" w:rsidRDefault="009C1079" w:rsidP="009C1079">
      <w:pPr>
        <w:tabs>
          <w:tab w:val="center" w:pos="4419"/>
          <w:tab w:val="right" w:pos="8838"/>
        </w:tabs>
        <w:spacing w:after="120" w:line="276" w:lineRule="auto"/>
        <w:ind w:firstLine="709"/>
        <w:jc w:val="both"/>
        <w:rPr>
          <w:rFonts w:ascii="Verdana" w:eastAsia="MS Mincho" w:hAnsi="Verdana" w:cs="Arial"/>
          <w:lang w:eastAsia="es-CO"/>
        </w:rPr>
      </w:pPr>
      <w:r w:rsidRPr="009C1079">
        <w:rPr>
          <w:rFonts w:ascii="Verdana" w:eastAsia="Times New Roman" w:hAnsi="Verdana" w:cs="Arial"/>
          <w:lang w:eastAsia="es-ES"/>
        </w:rPr>
        <w:t xml:space="preserve">Mediante una interpretación sistemática de la normativa y jurisprudencia citada es posible concluir que esta Agencia tiene facultad de regulación de la actividad contractual pública, lo que implica la potestad para expedir normas de carácter técnico subordinadas a la Constitución y a la ley y que los documentos tipo son una manifestación de dicha potestad. En consecuencia, la Agencia Nacional de Contratación Pública – Colombia Compra Eficiente tiene la facultad de adoptar los documentos tipo, con fundamento en la potestad reglamentaria que le asignó el artículo 1º de la Ley 2022 de 2020. </w:t>
      </w:r>
    </w:p>
    <w:p w14:paraId="56702755" w14:textId="77777777" w:rsidR="009C1079" w:rsidRPr="009C1079" w:rsidRDefault="009C1079" w:rsidP="009C1079">
      <w:pPr>
        <w:tabs>
          <w:tab w:val="center" w:pos="4419"/>
          <w:tab w:val="right" w:pos="8838"/>
        </w:tabs>
        <w:spacing w:after="0" w:line="240" w:lineRule="auto"/>
        <w:ind w:firstLine="709"/>
        <w:jc w:val="both"/>
        <w:rPr>
          <w:rFonts w:ascii="Verdana" w:eastAsia="Aptos" w:hAnsi="Verdana" w:cs="Times New Roman"/>
          <w:kern w:val="2"/>
          <w:sz w:val="24"/>
          <w:szCs w:val="24"/>
          <w14:ligatures w14:val="standardContextual"/>
        </w:rPr>
      </w:pPr>
      <w:r w:rsidRPr="009C1079">
        <w:rPr>
          <w:rFonts w:ascii="Verdana" w:eastAsia="MS Mincho" w:hAnsi="Verdana" w:cs="Arial"/>
          <w:lang w:eastAsia="es-CO"/>
        </w:rPr>
        <w:t>I</w:t>
      </w:r>
      <w:r w:rsidRPr="009C1079">
        <w:rPr>
          <w:rFonts w:ascii="Verdana" w:eastAsia="Times New Roman" w:hAnsi="Verdana" w:cs="Arial"/>
          <w:lang w:eastAsia="es-ES"/>
        </w:rPr>
        <w:t>gualmente, en desarrollo de la función que recae en la Agencia Nacional de Contratación Pública – Colombia Compra Eficiente conforme al artículo 2º del Decreto Ley 4170 de 2011, la Agencia concretará la voluntad del legislador con la implementación, desarrollo, publicación, revisión y actualización de los documentos tipo, según el avance y aplicación que éstos vayan teniendo en los sectores en los cuales vienen siendo adoptados.</w:t>
      </w:r>
    </w:p>
    <w:p w14:paraId="27A1D1D4" w14:textId="77777777" w:rsidR="009C1079" w:rsidRPr="009C1079" w:rsidRDefault="009C1079" w:rsidP="009C1079">
      <w:pPr>
        <w:tabs>
          <w:tab w:val="center" w:pos="4419"/>
          <w:tab w:val="right" w:pos="8838"/>
        </w:tabs>
        <w:spacing w:after="0" w:line="240" w:lineRule="auto"/>
        <w:ind w:firstLine="709"/>
        <w:jc w:val="both"/>
        <w:rPr>
          <w:rFonts w:ascii="Verdana" w:eastAsia="Aptos" w:hAnsi="Verdana" w:cs="Times New Roman"/>
          <w:kern w:val="2"/>
          <w:sz w:val="24"/>
          <w:szCs w:val="24"/>
          <w14:ligatures w14:val="standardContextual"/>
        </w:rPr>
      </w:pPr>
    </w:p>
    <w:p w14:paraId="05FB85B7" w14:textId="77777777" w:rsidR="009C1079" w:rsidRPr="009C1079" w:rsidRDefault="009C1079" w:rsidP="009C1079">
      <w:pPr>
        <w:tabs>
          <w:tab w:val="center" w:pos="4419"/>
          <w:tab w:val="right" w:pos="8838"/>
        </w:tabs>
        <w:spacing w:after="0" w:line="276" w:lineRule="auto"/>
        <w:jc w:val="both"/>
        <w:rPr>
          <w:rFonts w:ascii="Verdana" w:eastAsia="Calibri" w:hAnsi="Verdana" w:cs="Arial"/>
          <w:color w:val="000000"/>
          <w:lang w:val="es-ES"/>
        </w:rPr>
      </w:pPr>
      <w:proofErr w:type="spellStart"/>
      <w:r w:rsidRPr="009C1079">
        <w:rPr>
          <w:rFonts w:ascii="Verdana" w:eastAsia="Aptos" w:hAnsi="Verdana" w:cs="Times New Roman"/>
          <w:kern w:val="2"/>
          <w:sz w:val="24"/>
          <w:szCs w:val="24"/>
          <w14:ligatures w14:val="standardContextual"/>
        </w:rPr>
        <w:t>iii</w:t>
      </w:r>
      <w:proofErr w:type="spellEnd"/>
      <w:r w:rsidRPr="009C1079">
        <w:rPr>
          <w:rFonts w:ascii="Verdana" w:eastAsia="Aptos" w:hAnsi="Verdana" w:cs="Times New Roman"/>
          <w:kern w:val="2"/>
          <w:sz w:val="24"/>
          <w:szCs w:val="24"/>
          <w14:ligatures w14:val="standardContextual"/>
        </w:rPr>
        <w:t xml:space="preserve">. </w:t>
      </w:r>
      <w:r w:rsidRPr="009C1079">
        <w:rPr>
          <w:rFonts w:ascii="Verdana" w:eastAsia="Calibri" w:hAnsi="Verdana" w:cs="Arial"/>
          <w:color w:val="000000"/>
          <w:lang w:val="es-ES"/>
        </w:rPr>
        <w:t>Todas las resoluciones</w:t>
      </w:r>
      <w:r w:rsidRPr="009C1079">
        <w:rPr>
          <w:rFonts w:ascii="Verdana" w:eastAsia="Calibri" w:hAnsi="Verdana" w:cs="Arial"/>
          <w:color w:val="000000"/>
          <w:vertAlign w:val="superscript"/>
          <w:lang w:val="es-ES"/>
        </w:rPr>
        <w:footnoteReference w:id="31"/>
      </w:r>
      <w:r w:rsidRPr="009C1079">
        <w:rPr>
          <w:rFonts w:ascii="Verdana" w:eastAsia="Calibri" w:hAnsi="Verdana" w:cs="Arial"/>
          <w:color w:val="000000"/>
          <w:lang w:val="es-ES"/>
        </w:rPr>
        <w:t xml:space="preserve"> expedidas por la Agencia Nacional de Contratación Pública – Colombia Compra Eficiente, mediante las cuales se adoptaron los documentos tipo, consagran la regla de la inalterabilidad. Esta prohibición consiste en que las entidades estatales no pueden incluir o modificar en los </w:t>
      </w:r>
      <w:r w:rsidRPr="009C1079">
        <w:rPr>
          <w:rFonts w:ascii="Verdana" w:eastAsia="Calibri" w:hAnsi="Verdana" w:cs="Arial"/>
          <w:i/>
          <w:iCs/>
          <w:color w:val="000000"/>
          <w:lang w:val="es-ES"/>
        </w:rPr>
        <w:t>Documentos del Proceso</w:t>
      </w:r>
      <w:r w:rsidRPr="009C1079">
        <w:rPr>
          <w:rFonts w:ascii="Verdana" w:eastAsia="Calibri" w:hAnsi="Verdana" w:cs="Arial"/>
          <w:color w:val="000000"/>
          <w:lang w:val="es-ES"/>
        </w:rPr>
        <w:t xml:space="preserve"> las condiciones habilitantes, los factores técnicos y </w:t>
      </w:r>
      <w:r w:rsidRPr="009C1079">
        <w:rPr>
          <w:rFonts w:ascii="Verdana" w:eastAsia="Calibri" w:hAnsi="Verdana" w:cs="Arial"/>
          <w:color w:val="000000"/>
          <w:lang w:val="es-ES"/>
        </w:rPr>
        <w:lastRenderedPageBreak/>
        <w:t>económicos de escogencia y los sistemas de ponderación distintos a los señalados en los documentos tipo. En consecuencia, las condiciones establecidas en los documentos tipo son de obligatorio cumplimiento para las entidades sometidas al Estatuto General de Contratación de la Administración Pública que adelanten procesos que deban regirse por su contenido, y no pueden variarse los requisitos fijados en ellos. Por lo tanto, las entidades estatales, al realizar sus procedimientos de selección, solo podrán modificarlos en los aspectos en que los documentos tipo lo permitan.</w:t>
      </w:r>
    </w:p>
    <w:p w14:paraId="1D456CD6" w14:textId="77777777" w:rsidR="009C1079" w:rsidRPr="009C1079" w:rsidRDefault="009C1079" w:rsidP="009C1079">
      <w:pPr>
        <w:spacing w:before="120" w:after="120" w:line="276" w:lineRule="auto"/>
        <w:ind w:firstLine="709"/>
        <w:jc w:val="both"/>
        <w:rPr>
          <w:rFonts w:ascii="Verdana" w:eastAsia="Calibri" w:hAnsi="Verdana" w:cs="Arial"/>
          <w:lang w:val="es-ES_tradnl"/>
        </w:rPr>
      </w:pPr>
      <w:r w:rsidRPr="009C1079">
        <w:rPr>
          <w:rFonts w:ascii="Verdana" w:eastAsia="Calibri" w:hAnsi="Verdana" w:cs="Arial"/>
          <w:lang w:val="es-ES_tradnl"/>
        </w:rPr>
        <w:t xml:space="preserve">El fundamento legal vigente de la regla de la inalterabilidad está en el artículo 1 de la Ley 2022 de 2020, según el cual “(…) serán de obligatorio cumplimiento en la actividad contractual de todas las entidades sometidas al Estatuto General de Contratación de la Administración Pública”. Pero eso no significa que antes no rigiera, pues así también lo disponía el artículo 4 de la Ley 1882 de 2018. Por vía reglamentaria, también quedó consignado en su momento el carácter inmodificable de los pliegos tipo en el artículo 1 de los Decretos 342 de 2019, Decreto 2096 de 2019 y 594 de 2020, que adicionaron, respectivamente, los artículos 2.2.1.2.6.1.4, 2.2.1.2.6.2.3 y 2.2.1.2.6.3.4 al Decreto 1082 de 2015. En esta línea, las entidades públicas deberán sujetarse de forma irrestricta a las reglas establecidas en los documentos tipo, dispuestas en las diferentes resoluciones expedidas por la Agencia, por lo que no pueden hacer excepciones bajo una supuesta discrecionalidad a estas reglas que son obligatorias. </w:t>
      </w:r>
    </w:p>
    <w:p w14:paraId="0B6D1FCB" w14:textId="77777777" w:rsidR="009C1079" w:rsidRPr="009C1079" w:rsidRDefault="009C1079" w:rsidP="009C1079">
      <w:pPr>
        <w:spacing w:before="120" w:after="120" w:line="276" w:lineRule="auto"/>
        <w:ind w:firstLine="709"/>
        <w:jc w:val="both"/>
        <w:rPr>
          <w:rFonts w:ascii="Verdana" w:eastAsia="Calibri" w:hAnsi="Verdana" w:cs="Arial"/>
          <w:lang w:val="es-ES_tradnl"/>
        </w:rPr>
      </w:pPr>
      <w:r w:rsidRPr="009C1079">
        <w:rPr>
          <w:rFonts w:ascii="Verdana" w:eastAsia="Calibri" w:hAnsi="Verdana" w:cs="Arial"/>
          <w:lang w:val="es-ES_tradnl"/>
        </w:rPr>
        <w:t>La inalterabilidad de los documentos tipo es una manifestación en mayor grado de las potestades regladas, lo cual implica una reducción de la discrecionalidad de la Administración en el momento de tomar una decisión en el proceso de contratación</w:t>
      </w:r>
      <w:r w:rsidRPr="009C1079">
        <w:rPr>
          <w:rFonts w:ascii="Verdana" w:eastAsia="Calibri" w:hAnsi="Verdana" w:cs="Arial"/>
          <w:vertAlign w:val="superscript"/>
          <w:lang w:val="es-ES_tradnl"/>
        </w:rPr>
        <w:footnoteReference w:id="32"/>
      </w:r>
      <w:r w:rsidRPr="009C1079">
        <w:rPr>
          <w:rFonts w:ascii="Verdana" w:eastAsia="Calibri" w:hAnsi="Verdana" w:cs="Arial"/>
          <w:lang w:val="es-ES_tradnl"/>
        </w:rPr>
        <w:t xml:space="preserve">. Cada entidad pública sujeta a los documentos tipo </w:t>
      </w:r>
      <w:r w:rsidRPr="009C1079">
        <w:rPr>
          <w:rFonts w:ascii="Verdana" w:eastAsia="Calibri" w:hAnsi="Verdana" w:cs="Arial"/>
          <w:lang w:val="es-ES_tradnl"/>
        </w:rPr>
        <w:lastRenderedPageBreak/>
        <w:t xml:space="preserve">deberá hacer una aplicación o constatación irrestricta de las reglas y condiciones dispuestas en estos, salvo que las mismas posibilitan la discrecionalidad en determinados aspectos. </w:t>
      </w:r>
    </w:p>
    <w:p w14:paraId="74695E3F" w14:textId="77777777" w:rsidR="009C1079" w:rsidRPr="009C1079" w:rsidRDefault="009C1079" w:rsidP="009C1079">
      <w:pPr>
        <w:spacing w:before="120" w:after="120" w:line="276" w:lineRule="auto"/>
        <w:ind w:firstLine="709"/>
        <w:jc w:val="both"/>
        <w:rPr>
          <w:rFonts w:ascii="Verdana" w:eastAsia="Calibri" w:hAnsi="Verdana" w:cs="Arial"/>
          <w:lang w:val="es-ES"/>
        </w:rPr>
      </w:pPr>
      <w:r w:rsidRPr="009C1079">
        <w:rPr>
          <w:rFonts w:ascii="Verdana" w:eastAsia="Calibri" w:hAnsi="Verdana" w:cs="Arial"/>
          <w:lang w:val="es-ES"/>
        </w:rPr>
        <w:t xml:space="preserve">Además, las entidades estatales deben garantizar el </w:t>
      </w:r>
      <w:r w:rsidRPr="009C1079">
        <w:rPr>
          <w:rFonts w:ascii="Verdana" w:eastAsia="Calibri" w:hAnsi="Verdana" w:cs="Arial"/>
          <w:i/>
          <w:iCs/>
          <w:lang w:val="es-ES"/>
        </w:rPr>
        <w:t>principio de economía</w:t>
      </w:r>
      <w:r w:rsidRPr="009C1079">
        <w:rPr>
          <w:rFonts w:ascii="Verdana" w:eastAsia="Calibri" w:hAnsi="Verdana" w:cs="Arial"/>
          <w:lang w:val="es-ES"/>
        </w:rPr>
        <w:t>, del cual se desprende que no pueden exigir documentos o requisitos más allá de los que permitan la Constitución, la ley y los reglamentos. Este postulado ha sido recogido no solo en la contratación estatal</w:t>
      </w:r>
      <w:r w:rsidRPr="009C1079">
        <w:rPr>
          <w:rFonts w:ascii="Verdana" w:eastAsia="Calibri" w:hAnsi="Verdana" w:cs="Arial"/>
          <w:vertAlign w:val="superscript"/>
          <w:lang w:val="es-ES"/>
        </w:rPr>
        <w:footnoteReference w:id="33"/>
      </w:r>
      <w:r w:rsidRPr="009C1079">
        <w:rPr>
          <w:rFonts w:ascii="Verdana" w:eastAsia="Calibri" w:hAnsi="Verdana" w:cs="Arial"/>
          <w:lang w:val="es-ES"/>
        </w:rPr>
        <w:t xml:space="preserve"> sino además en la normativa </w:t>
      </w:r>
      <w:proofErr w:type="spellStart"/>
      <w:r w:rsidRPr="009C1079">
        <w:rPr>
          <w:rFonts w:ascii="Verdana" w:eastAsia="Calibri" w:hAnsi="Verdana" w:cs="Arial"/>
          <w:lang w:val="es-ES"/>
        </w:rPr>
        <w:t>antitrámites</w:t>
      </w:r>
      <w:proofErr w:type="spellEnd"/>
      <w:r w:rsidRPr="009C1079">
        <w:rPr>
          <w:rFonts w:ascii="Verdana" w:eastAsia="Calibri" w:hAnsi="Verdana" w:cs="Arial"/>
          <w:vertAlign w:val="superscript"/>
          <w:lang w:val="es-ES"/>
        </w:rPr>
        <w:footnoteReference w:id="34"/>
      </w:r>
      <w:r w:rsidRPr="009C1079">
        <w:rPr>
          <w:rFonts w:ascii="Verdana" w:eastAsia="Calibri" w:hAnsi="Verdana" w:cs="Arial"/>
          <w:lang w:val="es-ES"/>
        </w:rPr>
        <w:t>; pues se inscribe dentro de la tendencia de simplificación y racionalización de los procedimientos administrativos. De ahí que cuando las autoridades solicitan la entrega de documentación innecesaria, desconocen el principio de economía.</w:t>
      </w:r>
    </w:p>
    <w:p w14:paraId="09519D3D" w14:textId="77777777" w:rsidR="009C1079" w:rsidRPr="009C1079" w:rsidRDefault="009C1079" w:rsidP="009C1079">
      <w:pPr>
        <w:spacing w:after="120" w:line="276" w:lineRule="auto"/>
        <w:ind w:firstLine="708"/>
        <w:jc w:val="both"/>
        <w:rPr>
          <w:rFonts w:ascii="Verdana" w:eastAsia="Calibri" w:hAnsi="Verdana" w:cs="Arial"/>
          <w:color w:val="000000"/>
          <w:lang w:val="es-ES"/>
        </w:rPr>
      </w:pPr>
      <w:r w:rsidRPr="009C1079">
        <w:rPr>
          <w:rFonts w:ascii="Verdana" w:eastAsia="Calibri" w:hAnsi="Verdana" w:cs="Arial"/>
          <w:color w:val="000000"/>
          <w:lang w:val="es-ES"/>
        </w:rPr>
        <w:t xml:space="preserve">Otro aspecto sobre el principio que inalterabilidad que debe destacarse es que, sin mínimos inalterables, los documentos tipo, estándar o normalizados, sencillamente, perderían sus características. Bajo riesgo de señalar una obviedad, se debe decir que la definición del término estándar es “Que sirve </w:t>
      </w:r>
      <w:r w:rsidRPr="009C1079">
        <w:rPr>
          <w:rFonts w:ascii="Verdana" w:eastAsia="Calibri" w:hAnsi="Verdana" w:cs="Arial"/>
          <w:color w:val="000000"/>
          <w:lang w:val="es-ES"/>
        </w:rPr>
        <w:lastRenderedPageBreak/>
        <w:t>como tipo, modelo, norma, patrón o referencia”</w:t>
      </w:r>
      <w:r w:rsidRPr="009C1079">
        <w:rPr>
          <w:rFonts w:ascii="Verdana" w:eastAsia="Calibri" w:hAnsi="Verdana" w:cs="Arial"/>
          <w:color w:val="000000"/>
          <w:vertAlign w:val="superscript"/>
          <w:lang w:val="es-ES"/>
        </w:rPr>
        <w:footnoteReference w:id="35"/>
      </w:r>
      <w:r w:rsidRPr="009C1079">
        <w:rPr>
          <w:rFonts w:ascii="Verdana" w:eastAsia="Calibri" w:hAnsi="Verdana" w:cs="Arial"/>
          <w:color w:val="000000"/>
          <w:lang w:val="es-ES"/>
        </w:rPr>
        <w:t xml:space="preserve">. Si las autoridades pudiesen agregar, eliminar o modificar todos y cada uno de los aspectos contenidos en los pliegos tipo, estos documentos, llanamente, no podrían ser llamados pliegos tipo. </w:t>
      </w:r>
    </w:p>
    <w:p w14:paraId="1B09D480" w14:textId="77777777" w:rsidR="009C1079" w:rsidRPr="009C1079" w:rsidRDefault="009C1079" w:rsidP="009C1079">
      <w:pPr>
        <w:spacing w:after="120" w:line="276" w:lineRule="auto"/>
        <w:ind w:firstLine="708"/>
        <w:jc w:val="both"/>
        <w:rPr>
          <w:rFonts w:ascii="Verdana" w:eastAsia="Calibri" w:hAnsi="Verdana" w:cs="Arial"/>
          <w:color w:val="000000"/>
          <w:lang w:val="es-ES"/>
        </w:rPr>
      </w:pPr>
      <w:r w:rsidRPr="009C1079">
        <w:rPr>
          <w:rFonts w:ascii="Verdana" w:eastAsia="Calibri" w:hAnsi="Verdana" w:cs="Arial"/>
          <w:color w:val="000000"/>
          <w:lang w:val="es-ES"/>
        </w:rPr>
        <w:t xml:space="preserve">De otra parte, a la luz de los objetivos perseguidos, si la normativa permitiera la alteración de todo el documento tipo, sería imposible verificar en la práctica las ventajas perseguidas por el legislador. Así, por ejemplo, si cada autoridad pudiese rediseñar por completo el documento, la transparencia del sistema de compras públicas no sería mayor con la introducción de la estandarización de documentos. De similar manera, bajo la hipótesis de trabajo referida, las entidades podrían modificar todo el contenido del pliego, retornando a una de las prácticas que se buscó eliminar: la elaboración de “pliegos sastre”, que eliminan la competencia. En ese orden, si se permite ilimitadamente introducir ajustes, las entidades estatales podrían reintroducir los sesgos interpretativos incorrectos que se buscó erradicar con la introducción de la herramienta analizada. </w:t>
      </w:r>
    </w:p>
    <w:p w14:paraId="6329F3D6" w14:textId="77777777" w:rsidR="009C1079" w:rsidRPr="009C1079" w:rsidRDefault="009C1079" w:rsidP="009C1079">
      <w:pPr>
        <w:spacing w:after="120" w:line="276" w:lineRule="auto"/>
        <w:ind w:firstLine="708"/>
        <w:jc w:val="both"/>
        <w:rPr>
          <w:rFonts w:ascii="Verdana" w:eastAsia="Calibri" w:hAnsi="Verdana" w:cs="Arial"/>
          <w:color w:val="000000"/>
          <w:lang w:val="es-ES"/>
        </w:rPr>
      </w:pPr>
      <w:r w:rsidRPr="009C1079">
        <w:rPr>
          <w:rFonts w:ascii="Verdana" w:eastAsia="Calibri" w:hAnsi="Verdana" w:cs="Arial"/>
          <w:color w:val="000000"/>
          <w:lang w:val="es-ES"/>
        </w:rPr>
        <w:t>Con base en lo dicho, se observa con toda claridad la necesidad de que existan unos mínimos inalterables que permitan, de un lado, que los pliegos tipo sean propiamente tales y, del otro, que se garanticen los fines expresamente perseguidos por el legislador con su introducción al ordenamiento nacional.</w:t>
      </w:r>
    </w:p>
    <w:p w14:paraId="5B7C4191" w14:textId="77777777" w:rsidR="009C1079" w:rsidRPr="009C1079" w:rsidRDefault="009C1079" w:rsidP="009C1079">
      <w:pPr>
        <w:spacing w:after="120" w:line="276" w:lineRule="auto"/>
        <w:ind w:firstLine="708"/>
        <w:jc w:val="both"/>
        <w:rPr>
          <w:rFonts w:ascii="Verdana" w:eastAsia="Calibri" w:hAnsi="Verdana" w:cs="Arial"/>
          <w:color w:val="000000"/>
          <w:lang w:val="es-ES"/>
        </w:rPr>
      </w:pPr>
      <w:r w:rsidRPr="009C1079">
        <w:rPr>
          <w:rFonts w:ascii="Verdana" w:eastAsia="Calibri" w:hAnsi="Verdana" w:cs="Arial"/>
          <w:lang w:val="es-MX"/>
        </w:rPr>
        <w:t xml:space="preserve">No obstante, la parte introductoria de los documentos base de los documentos tipo disponen que los aspectos incluidos en corchetes y resaltados en gris </w:t>
      </w:r>
      <w:r w:rsidRPr="009C1079">
        <w:rPr>
          <w:rFonts w:ascii="Verdana" w:eastAsia="Aptos" w:hAnsi="Verdana" w:cs="Arial"/>
        </w:rPr>
        <w:t>–[</w:t>
      </w:r>
      <w:r w:rsidRPr="009C1079">
        <w:rPr>
          <w:rFonts w:ascii="Verdana" w:eastAsia="Aptos" w:hAnsi="Verdana" w:cs="Arial"/>
          <w:highlight w:val="lightGray"/>
        </w:rPr>
        <w:t>texto de ejemplo</w:t>
      </w:r>
      <w:r w:rsidRPr="009C1079">
        <w:rPr>
          <w:rFonts w:ascii="Verdana" w:eastAsia="Aptos" w:hAnsi="Verdana" w:cs="Arial"/>
        </w:rPr>
        <w:t xml:space="preserve">]– </w:t>
      </w:r>
      <w:r w:rsidRPr="009C1079">
        <w:rPr>
          <w:rFonts w:ascii="Verdana" w:eastAsia="Calibri" w:hAnsi="Verdana" w:cs="Arial"/>
          <w:lang w:val="es-MX"/>
        </w:rPr>
        <w:t xml:space="preserve">deben ser diligenciados por la entidad. Excepcionalmente le corresponde al proponente consignar la información incluida en corchetes y resaltada en gris, como, por ejemplo, los formatos que requieren de la firma del proponente o su representante legal. De todos modos, en cada acápite que esté resaltado en gris la entidad tendrá la libertad de determinar la información que se diligenciará en los documentos tipo, de acuerdo con su necesidad y las instrucciones de los mismos documentos tipo. </w:t>
      </w:r>
    </w:p>
    <w:p w14:paraId="48EC35EF" w14:textId="77777777" w:rsidR="009C1079" w:rsidRPr="009C1079" w:rsidRDefault="009C1079" w:rsidP="009C1079">
      <w:pPr>
        <w:spacing w:line="276" w:lineRule="auto"/>
        <w:ind w:firstLine="708"/>
        <w:jc w:val="both"/>
        <w:rPr>
          <w:rFonts w:ascii="Aptos" w:eastAsia="Aptos" w:hAnsi="Aptos" w:cs="Times New Roman"/>
          <w:kern w:val="2"/>
          <w:sz w:val="24"/>
          <w:szCs w:val="24"/>
          <w:lang w:val="es-MX"/>
          <w14:ligatures w14:val="standardContextual"/>
        </w:rPr>
      </w:pPr>
      <w:r w:rsidRPr="009C1079">
        <w:rPr>
          <w:rFonts w:ascii="Verdana" w:eastAsia="Calibri" w:hAnsi="Verdana" w:cs="Arial"/>
          <w:lang w:val="es-MX"/>
        </w:rPr>
        <w:lastRenderedPageBreak/>
        <w:t xml:space="preserve">Debe indicarse que, la regla de inalterabilidad que recae sobre los documentos tipo, también se encuentra consagrada de forma expresa en el documento base. Así, en el aparte sobre las normas de interpretación del pliego de condiciones, el literal I del numeral 1.17 del pliego tipo de los documentos tipo de licitación de obra pública de infraestructura de transporte dispone lo siguiente: </w:t>
      </w:r>
      <w:r w:rsidRPr="009C1079">
        <w:rPr>
          <w:rFonts w:ascii="Verdana" w:eastAsia="Calibri" w:hAnsi="Verdana" w:cs="Arial"/>
          <w:i/>
          <w:iCs/>
          <w:lang w:val="es-MX"/>
        </w:rPr>
        <w:t>“</w:t>
      </w:r>
      <w:r w:rsidRPr="009C1079">
        <w:rPr>
          <w:rFonts w:ascii="Verdana" w:eastAsia="Aptos" w:hAnsi="Verdana" w:cs="Times New Roman"/>
          <w:i/>
          <w:iCs/>
          <w:kern w:val="2"/>
          <w:lang w:val="es-MX"/>
          <w14:ligatures w14:val="standardContextual"/>
        </w:rPr>
        <w:t>Los Documentos Tipo son inalterables y no se podrán incluir o modificar los Anexos, Formatos y Formularios, ni exigir soportes o requisitos adicionales; salvo cuando se permita en forma expresa, es decir, en los aspectos incluidos en corchetes y resaltados en gris”.</w:t>
      </w:r>
      <w:r w:rsidRPr="009C1079">
        <w:rPr>
          <w:rFonts w:ascii="Aptos" w:eastAsia="Aptos" w:hAnsi="Aptos" w:cs="Times New Roman"/>
          <w:kern w:val="2"/>
          <w:sz w:val="24"/>
          <w:szCs w:val="24"/>
          <w:lang w:val="es-MX"/>
          <w14:ligatures w14:val="standardContextual"/>
        </w:rPr>
        <w:t xml:space="preserve"> </w:t>
      </w:r>
    </w:p>
    <w:p w14:paraId="28DDFEFF" w14:textId="77777777" w:rsidR="009C1079" w:rsidRPr="009C1079" w:rsidRDefault="009C1079" w:rsidP="009C1079">
      <w:pPr>
        <w:spacing w:before="120" w:after="120" w:line="276" w:lineRule="auto"/>
        <w:ind w:firstLine="709"/>
        <w:jc w:val="both"/>
        <w:rPr>
          <w:rFonts w:ascii="Verdana" w:eastAsia="Calibri" w:hAnsi="Verdana" w:cs="Arial"/>
          <w:bCs/>
          <w:lang w:val="es-MX"/>
        </w:rPr>
      </w:pPr>
      <w:r w:rsidRPr="009C1079">
        <w:rPr>
          <w:rFonts w:ascii="Verdana" w:eastAsia="Calibri" w:hAnsi="Verdana" w:cs="Arial"/>
          <w:bCs/>
          <w:lang w:val="es-MX"/>
        </w:rPr>
        <w:t>En suma, la regla general frente la aplicación de los documentos tipo es su inalterabilidad, y no podrán incluirse o modificarse en los documentos del proceso las condiciones habilitantes, los factores técnicos y económicos de escogencia y los sistemas de ponderación distintos a los señalados en los documentos tipo. En tal sentido, estos solo se podrán modificar respecto a aquellos contenidos que el mismo documento tipo lo permita.</w:t>
      </w:r>
    </w:p>
    <w:p w14:paraId="678C4910" w14:textId="77777777" w:rsidR="009C1079" w:rsidRPr="009C1079" w:rsidRDefault="009C1079" w:rsidP="009C1079">
      <w:pPr>
        <w:spacing w:before="120" w:after="120" w:line="276" w:lineRule="auto"/>
        <w:ind w:firstLine="709"/>
        <w:jc w:val="both"/>
        <w:rPr>
          <w:rFonts w:ascii="Verdana" w:eastAsia="Calibri" w:hAnsi="Verdana" w:cs="Arial"/>
          <w:bCs/>
          <w:lang w:val="es-MX"/>
        </w:rPr>
      </w:pPr>
      <w:r w:rsidRPr="009C1079">
        <w:rPr>
          <w:rFonts w:ascii="Verdana" w:eastAsia="Calibri" w:hAnsi="Verdana" w:cs="Arial"/>
          <w:bCs/>
          <w:lang w:val="es-MX"/>
        </w:rPr>
        <w:t xml:space="preserve">Esta regla de inalterabilidad </w:t>
      </w:r>
      <w:r w:rsidRPr="009C1079">
        <w:rPr>
          <w:rFonts w:ascii="Verdana" w:eastAsia="Calibri" w:hAnsi="Verdana" w:cs="Arial"/>
          <w:bCs/>
          <w:i/>
          <w:iCs/>
          <w:lang w:val="es-MX"/>
        </w:rPr>
        <w:t>también aplica a los formatos, formularios, anexos y matrices</w:t>
      </w:r>
      <w:r w:rsidRPr="009C1079">
        <w:rPr>
          <w:rFonts w:ascii="Verdana" w:eastAsia="Calibri" w:hAnsi="Verdana" w:cs="Arial"/>
          <w:bCs/>
          <w:lang w:val="es-MX"/>
        </w:rPr>
        <w:t xml:space="preserve"> implementados junto con el “Documento Base”, los cuales deben usarse en el procedimiento de contratación. Estos, al igual que el “Documento Base”, contienen apartes entre corchetes y resaltados en gris, los cuales deben ser diligenciados por la entidad, al igual que otros aspectos relativos a información que debe ser completada por los oferentes al hacer uso del formato. </w:t>
      </w:r>
    </w:p>
    <w:p w14:paraId="0BDBCF25" w14:textId="77777777" w:rsidR="009C1079" w:rsidRPr="009C1079" w:rsidRDefault="009C1079" w:rsidP="009C1079">
      <w:pPr>
        <w:spacing w:before="120" w:after="120" w:line="276" w:lineRule="auto"/>
        <w:ind w:firstLine="709"/>
        <w:jc w:val="both"/>
        <w:rPr>
          <w:rFonts w:ascii="Verdana" w:eastAsia="Calibri" w:hAnsi="Verdana" w:cs="Arial"/>
          <w:lang w:val="es-MX"/>
        </w:rPr>
      </w:pPr>
      <w:r w:rsidRPr="009C1079">
        <w:rPr>
          <w:rFonts w:ascii="Verdana" w:eastAsia="Calibri" w:hAnsi="Verdana" w:cs="Arial"/>
          <w:lang w:val="es-MX"/>
        </w:rPr>
        <w:t xml:space="preserve">Con todo, la regla de inalterabilidad de los documentos tipo debe armonizarse con principios de orden constitucional, especialmente con el de prevalencia del derecho sustancial, consagrado en el artículo 228 de la Constitución Política. La interpretación armónica de tales principios, a juicio de la Agencia Nacional de Contratación Pública, impide que la entidad que adelanta el proceso contractual le rinda culto a las “formas”, pues, en últimas, el deber que le asiste es el de tener en cuenta y aplicar los aspectos sustanciales de los documentos tipo, sin distingo de la formalidad de la que se sirva para ello los actores de la contratación pública. </w:t>
      </w:r>
    </w:p>
    <w:p w14:paraId="0AA67A3D" w14:textId="77777777" w:rsidR="009C1079" w:rsidRPr="009C1079" w:rsidRDefault="009C1079" w:rsidP="009C1079">
      <w:pPr>
        <w:spacing w:before="120" w:line="276" w:lineRule="auto"/>
        <w:ind w:firstLine="709"/>
        <w:jc w:val="both"/>
        <w:rPr>
          <w:rFonts w:ascii="Verdana" w:eastAsia="Aptos" w:hAnsi="Verdana" w:cs="Arial"/>
        </w:rPr>
      </w:pPr>
      <w:r w:rsidRPr="009C1079">
        <w:rPr>
          <w:rFonts w:ascii="Verdana" w:eastAsia="Aptos" w:hAnsi="Verdana" w:cs="Arial"/>
        </w:rPr>
        <w:lastRenderedPageBreak/>
        <w:t xml:space="preserve">En relación con el principio constitucional </w:t>
      </w:r>
      <w:r w:rsidRPr="009C1079">
        <w:rPr>
          <w:rFonts w:ascii="Verdana" w:eastAsia="Aptos" w:hAnsi="Verdana" w:cs="Arial"/>
          <w:i/>
          <w:iCs/>
        </w:rPr>
        <w:t>sub examine</w:t>
      </w:r>
      <w:r w:rsidRPr="009C1079">
        <w:rPr>
          <w:rFonts w:ascii="Verdana" w:eastAsia="Aptos" w:hAnsi="Verdana" w:cs="Arial"/>
        </w:rPr>
        <w:t>, la Corte Constitucional explica que “(…) por disposición del artículo 228 Superior, las formas no deben convertirse en un obstáculo para la efectividad del derecho sustancial, sino que deben propender por su realización. Es decir, que las normas procesales son un medio para lograr la efectividad de los derechos subjetivos y no fines en sí mismas”</w:t>
      </w:r>
      <w:r w:rsidRPr="009C1079">
        <w:rPr>
          <w:rFonts w:ascii="Verdana" w:eastAsia="Aptos" w:hAnsi="Verdana" w:cs="Arial"/>
          <w:vertAlign w:val="superscript"/>
        </w:rPr>
        <w:footnoteReference w:id="36"/>
      </w:r>
      <w:r w:rsidRPr="009C1079">
        <w:rPr>
          <w:rFonts w:ascii="Verdana" w:eastAsia="Aptos" w:hAnsi="Verdana" w:cs="Arial"/>
        </w:rPr>
        <w:t xml:space="preserve">. </w:t>
      </w:r>
    </w:p>
    <w:p w14:paraId="2FAC27B0" w14:textId="77777777" w:rsidR="009C1079" w:rsidRPr="009C1079" w:rsidRDefault="009C1079" w:rsidP="009C1079">
      <w:pPr>
        <w:spacing w:after="0" w:line="276" w:lineRule="auto"/>
        <w:ind w:firstLine="709"/>
        <w:jc w:val="both"/>
        <w:rPr>
          <w:rFonts w:ascii="Verdana" w:eastAsia="Calibri" w:hAnsi="Verdana" w:cs="Arial"/>
          <w:lang w:val="es-MX"/>
        </w:rPr>
      </w:pPr>
      <w:r w:rsidRPr="009C1079">
        <w:rPr>
          <w:rFonts w:ascii="Verdana" w:eastAsia="Calibri" w:hAnsi="Verdana" w:cs="Arial"/>
          <w:lang w:val="es-MX"/>
        </w:rPr>
        <w:t>El carácter inalterable de los documentos tipo no puede, por tanto, hacerse extensivo a los aspectos meramente formales de tales documentos, esto es, el tamaño y tipo de letra, las márgenes o las expresiones que pretenden hacer más comprensible el documento, como es el caso de aquellas que informan que una expresión larga será referida con otra similar pero más corta. Lo anterior considerando que estos aspectos en nada afectan la aplicación y alcance de los documentos tipos, es decir, no afectan su contenido esencial y, mucho menos, las obligaciones, deberes y derechos que se derivan para las partes contratantes.</w:t>
      </w:r>
    </w:p>
    <w:p w14:paraId="7A7B673F" w14:textId="77777777" w:rsidR="009C1079" w:rsidRPr="009C1079" w:rsidRDefault="009C1079" w:rsidP="009C1079">
      <w:pPr>
        <w:widowControl w:val="0"/>
        <w:autoSpaceDE w:val="0"/>
        <w:autoSpaceDN w:val="0"/>
        <w:spacing w:after="0" w:line="276" w:lineRule="auto"/>
        <w:jc w:val="both"/>
        <w:rPr>
          <w:rFonts w:ascii="Verdana" w:eastAsia="Aptos" w:hAnsi="Verdana" w:cs="Times New Roman"/>
          <w:kern w:val="2"/>
          <w:sz w:val="24"/>
          <w:szCs w:val="24"/>
          <w14:ligatures w14:val="standardContextual"/>
        </w:rPr>
      </w:pPr>
    </w:p>
    <w:p w14:paraId="6B34D3B2" w14:textId="77777777" w:rsidR="009C1079" w:rsidRPr="009C1079" w:rsidRDefault="009C1079" w:rsidP="009C1079">
      <w:pPr>
        <w:widowControl w:val="0"/>
        <w:autoSpaceDE w:val="0"/>
        <w:autoSpaceDN w:val="0"/>
        <w:spacing w:after="120" w:line="276" w:lineRule="auto"/>
        <w:jc w:val="both"/>
        <w:rPr>
          <w:rFonts w:ascii="Verdana" w:eastAsia="Aptos" w:hAnsi="Verdana" w:cs="Times New Roman"/>
          <w:kern w:val="2"/>
          <w14:ligatures w14:val="standardContextual"/>
        </w:rPr>
      </w:pPr>
      <w:proofErr w:type="spellStart"/>
      <w:r w:rsidRPr="009C1079">
        <w:rPr>
          <w:rFonts w:ascii="Verdana" w:eastAsia="Aptos" w:hAnsi="Verdana" w:cs="Times New Roman"/>
          <w:kern w:val="2"/>
          <w14:ligatures w14:val="standardContextual"/>
        </w:rPr>
        <w:t>iv</w:t>
      </w:r>
      <w:proofErr w:type="spellEnd"/>
      <w:r w:rsidRPr="009C1079">
        <w:rPr>
          <w:rFonts w:ascii="Verdana" w:eastAsia="Aptos" w:hAnsi="Verdana" w:cs="Times New Roman"/>
          <w:kern w:val="2"/>
          <w14:ligatures w14:val="standardContextual"/>
        </w:rPr>
        <w:t>. De acuerdo con la memoria justificativa del Decreto 287 del 19 de marzo de 2026</w:t>
      </w:r>
      <w:r w:rsidRPr="009C1079">
        <w:rPr>
          <w:rFonts w:ascii="Verdana" w:eastAsia="Aptos" w:hAnsi="Verdana" w:cs="Times New Roman"/>
          <w:kern w:val="2"/>
          <w:vertAlign w:val="superscript"/>
          <w14:ligatures w14:val="standardContextual"/>
        </w:rPr>
        <w:footnoteReference w:id="37"/>
      </w:r>
      <w:r w:rsidRPr="009C1079">
        <w:rPr>
          <w:rFonts w:ascii="Verdana" w:eastAsia="Aptos" w:hAnsi="Verdana" w:cs="Times New Roman"/>
          <w:kern w:val="2"/>
          <w14:ligatures w14:val="standardContextual"/>
        </w:rPr>
        <w:t>, históricamente las Personas con Discapacidad han enfrentado mayores tasas de desempleo y barreras de acceso al mercado. Aunque leyes previas como la Ley 1618 de 2013, ordenaban un sistema de preferencias para estas personas, la regulación anterior –el Decreto 392 de 2018–, se limitaba a medidas aisladas de puntaje que no garantizaban una participación equitativa desde el inicio de los procesos contractuales. Esto fue ratificado por el Consejo de Estado</w:t>
      </w:r>
      <w:r w:rsidRPr="009C1079">
        <w:rPr>
          <w:rFonts w:ascii="Verdana" w:eastAsia="Aptos" w:hAnsi="Verdana" w:cs="Times New Roman"/>
          <w:kern w:val="2"/>
          <w:vertAlign w:val="superscript"/>
          <w14:ligatures w14:val="standardContextual"/>
        </w:rPr>
        <w:footnoteReference w:id="38"/>
      </w:r>
      <w:r w:rsidRPr="009C1079">
        <w:rPr>
          <w:rFonts w:ascii="Verdana" w:eastAsia="Aptos" w:hAnsi="Verdana" w:cs="Times New Roman"/>
          <w:kern w:val="2"/>
          <w14:ligatures w14:val="standardContextual"/>
        </w:rPr>
        <w:t xml:space="preserve"> que mediante una acción de cumplimiento declaró el incumplimiento del deber de reglamentar integralmente el artículo 13 de la Ley 1618 de 2013 y ordenó al </w:t>
      </w:r>
      <w:r w:rsidRPr="009C1079">
        <w:rPr>
          <w:rFonts w:ascii="Verdana" w:eastAsia="Aptos" w:hAnsi="Verdana" w:cs="Times New Roman"/>
          <w:kern w:val="2"/>
          <w14:ligatures w14:val="standardContextual"/>
        </w:rPr>
        <w:lastRenderedPageBreak/>
        <w:t>Gobierno Nacional expedir la regulación necesaria para hacer efectivo el sistema de preferencias en favor de las personas con discapacidad, sus emprendimientos y empresas que las contratan.</w:t>
      </w:r>
    </w:p>
    <w:p w14:paraId="64AA3E96" w14:textId="77777777" w:rsidR="009C1079" w:rsidRPr="009C1079" w:rsidRDefault="009C1079" w:rsidP="009C1079">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9C1079">
        <w:rPr>
          <w:rFonts w:ascii="Verdana" w:eastAsia="Aptos" w:hAnsi="Verdana" w:cs="Times New Roman"/>
          <w:kern w:val="2"/>
          <w14:ligatures w14:val="standardContextual"/>
        </w:rPr>
        <w:t xml:space="preserve">En este sentido, la parte considerativa del Decreto 287 de 2026, indica que la Ley Estatutaria 1618 del 2013 establece un conjunto de medidas en favor de las personas con discapacidad, “(…) dentro de las que se destacan las contenidas en el numeral 1, que establece el deber del Gobierno Nacional de reglamentar una puntuación adicional en procesos de licitación pública, concurso de méritos y contratación directa para i) las empresas que tengan personas con discapacidad y para </w:t>
      </w:r>
      <w:proofErr w:type="spellStart"/>
      <w:r w:rsidRPr="009C1079">
        <w:rPr>
          <w:rFonts w:ascii="Verdana" w:eastAsia="Aptos" w:hAnsi="Verdana" w:cs="Times New Roman"/>
          <w:kern w:val="2"/>
          <w14:ligatures w14:val="standardContextual"/>
        </w:rPr>
        <w:t>ii</w:t>
      </w:r>
      <w:proofErr w:type="spellEnd"/>
      <w:r w:rsidRPr="009C1079">
        <w:rPr>
          <w:rFonts w:ascii="Verdana" w:eastAsia="Aptos" w:hAnsi="Verdana" w:cs="Times New Roman"/>
          <w:kern w:val="2"/>
          <w14:ligatures w14:val="standardContextual"/>
        </w:rPr>
        <w:t xml:space="preserve">) las empresas de personas con discapacidad, familiares y tutores, así como también la contenida en el numeral 7, que demanda del Gobierno Nacional reglamentar la implementación de un sistema de preferencias en favor de empleadores de personas con discapacidad aplicable a procesos de selección y celebración de contratos; y la consagrada en el numeral 8, que demanda de los gobiernos nacional, departamentales, distritales y municipales fijar mediante decreto reglamentario la implementación de un sistema de preferencias en favor de las personas con discapacidad aplicable a procesos de selección de contratistas (…)”. </w:t>
      </w:r>
    </w:p>
    <w:p w14:paraId="722FE21F" w14:textId="77777777" w:rsidR="009C1079" w:rsidRPr="009C1079" w:rsidRDefault="009C1079" w:rsidP="009C1079">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9C1079">
        <w:rPr>
          <w:rFonts w:ascii="Verdana" w:eastAsia="Aptos" w:hAnsi="Verdana" w:cs="Times New Roman"/>
          <w:kern w:val="2"/>
          <w14:ligatures w14:val="standardContextual"/>
        </w:rPr>
        <w:t>En virtud de lo exigido por los numerales uno (1), siete (7) y ocho (8) del artículo 13 de la Ley Estatutaria 1618 del 2013, fue expedido el Decreto 392 del 26 de febrero de 2018</w:t>
      </w:r>
      <w:r w:rsidRPr="009C1079">
        <w:rPr>
          <w:rFonts w:ascii="Verdana" w:eastAsia="Aptos" w:hAnsi="Verdana" w:cs="Times New Roman"/>
          <w:kern w:val="2"/>
          <w:vertAlign w:val="superscript"/>
          <w14:ligatures w14:val="standardContextual"/>
        </w:rPr>
        <w:footnoteReference w:id="39"/>
      </w:r>
      <w:r w:rsidRPr="009C1079">
        <w:rPr>
          <w:rFonts w:ascii="Verdana" w:eastAsia="Aptos" w:hAnsi="Verdana" w:cs="Times New Roman"/>
          <w:kern w:val="2"/>
          <w14:ligatures w14:val="standardContextual"/>
        </w:rPr>
        <w:t xml:space="preserve">, mediante el cual se adicionan los artículos 2.2.1.2.4.2.6., 2.2.1.2.4.2.7. y 2.2.1.2.4.2.8. al Decreto 1082 de 2015. El primero de estos artículos, reglamenta parcialmente el numeral 1 del artículo 13 de la Ley Estatutaria 1618 del 2013, estableciendo que, las entidades estatales deberán otorgar el uno por ciento (1 %) del total de los puntos establecidos en el pliego de condiciones en los procesos de licitación pública y concurso de méritos, a los proponentes que acrediten la vinculación de trabajadores con discapacidad en su planta de personal. Sin embargo, de acuerdo con la parte considerativa del Decreto 287 de 2026 esta regulación favorece “(…) única y exclusivamente a las empresas que vinculan personas con discapacidad en su </w:t>
      </w:r>
      <w:r w:rsidRPr="009C1079">
        <w:rPr>
          <w:rFonts w:ascii="Verdana" w:eastAsia="Aptos" w:hAnsi="Verdana" w:cs="Times New Roman"/>
          <w:kern w:val="2"/>
          <w14:ligatures w14:val="standardContextual"/>
        </w:rPr>
        <w:lastRenderedPageBreak/>
        <w:t>planta de personal, omitiendo el favorecimiento que debía reglamentarse en favor de las empresas de personas con discapacidad, familiares y tutores, tal y como lo dispuso el numeral 1 de la norma referida”.</w:t>
      </w:r>
    </w:p>
    <w:p w14:paraId="3202B31A" w14:textId="77777777" w:rsidR="009C1079" w:rsidRPr="009C1079" w:rsidRDefault="009C1079" w:rsidP="009C1079">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9C1079">
        <w:rPr>
          <w:rFonts w:ascii="Verdana" w:eastAsia="Aptos" w:hAnsi="Verdana" w:cs="Times New Roman"/>
          <w:kern w:val="2"/>
          <w14:ligatures w14:val="standardContextual"/>
        </w:rPr>
        <w:t>Por su parte, el artículo 2.2.1.2.4.2.8. del Decreto 1082 de 2015, de acuerdo con su literalidad, reglamenta los numerales 7 y 8 del artículo 13 de la Ley Estatutaria 1618 del 2013, en la medida en que establece los sistemas de preferencias a los que hacen referencia dichos numerales, pero los reduce a la aplicación de la metodología de desempate consagrada en el artículo 2.2.1.2.4.2.8. de ese mismo Decreto. No obstante, de acuerdo con la parte motiva del Decreto 287 de 2026 “(…) se omite el favorecimiento de las propuestas presentadas por los oferentes que sean personas con discapacidad, como lo exige el numeral 8 del artículo 13 de la Ley Estatutaria 1618 del 2013.</w:t>
      </w:r>
    </w:p>
    <w:p w14:paraId="2C9DBF3E" w14:textId="77777777" w:rsidR="009C1079" w:rsidRPr="009C1079" w:rsidRDefault="009C1079" w:rsidP="009C1079">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9C1079">
        <w:rPr>
          <w:rFonts w:ascii="Verdana" w:eastAsia="Aptos" w:hAnsi="Verdana" w:cs="Times New Roman"/>
          <w:kern w:val="2"/>
          <w14:ligatures w14:val="standardContextual"/>
        </w:rPr>
        <w:t xml:space="preserve">En consecuencia, de acuerdo con las consideraciones desarrolladas en el Decreto 287 de 2026, la Ley 1618 de 2013 carece de reglamentación concreta sobre los aspectos señalados, que no fueron cubiertos por las disposiciones que para el efecto desarrolló el Decreto 392 del 26 de febrero de 2018. Por lo tanto, mediante la expedición del mencionado decreto, en aplicación directa de la Constitución Política y para que exista una igualdad material para las personas con discapacidad, este pretende subsanar la falta de acciones afirmativas del Decreto 392 de 2018, modificando los artículos 2.2.1.2.4.2.6, 2.2.1.2.4.2.7. y 2.2.1.2.4.2.8. del Decreto 1082 de 2015. Entre otros, para efectos de este concepto, resulta pertinente referirse a las siguientes modificaciones: </w:t>
      </w:r>
    </w:p>
    <w:p w14:paraId="3ABE7C59" w14:textId="77777777" w:rsidR="009C1079" w:rsidRPr="009C1079" w:rsidRDefault="009C1079" w:rsidP="009C1079">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9C1079">
        <w:rPr>
          <w:rFonts w:ascii="Verdana" w:eastAsia="Aptos" w:hAnsi="Verdana" w:cs="Times New Roman"/>
          <w:kern w:val="2"/>
          <w14:ligatures w14:val="standardContextual"/>
        </w:rPr>
        <w:t xml:space="preserve"> i). El artículo 1, modifica el artículo 2.2.1.2.4.2.6. Del Decreto 1082 de 2015, incorporando la definición de emprendimientos y empresas de personas con discapacidad, con el propósito de adoptar medidas afirmativas que incentiven las personas en condición de discapacidad en el sistema de compras y contratación pública.</w:t>
      </w:r>
    </w:p>
    <w:p w14:paraId="38B53F78" w14:textId="77777777" w:rsidR="009C1079" w:rsidRPr="009C1079" w:rsidRDefault="009C1079" w:rsidP="009C1079">
      <w:pPr>
        <w:widowControl w:val="0"/>
        <w:autoSpaceDE w:val="0"/>
        <w:autoSpaceDN w:val="0"/>
        <w:spacing w:after="120" w:line="276" w:lineRule="auto"/>
        <w:ind w:firstLine="708"/>
        <w:jc w:val="both"/>
        <w:rPr>
          <w:rFonts w:ascii="Verdana" w:eastAsia="Aptos" w:hAnsi="Verdana" w:cs="Times New Roman"/>
          <w:kern w:val="2"/>
          <w14:ligatures w14:val="standardContextual"/>
        </w:rPr>
      </w:pPr>
      <w:proofErr w:type="spellStart"/>
      <w:r w:rsidRPr="009C1079">
        <w:rPr>
          <w:rFonts w:ascii="Verdana" w:eastAsia="Aptos" w:hAnsi="Verdana" w:cs="Times New Roman"/>
          <w:kern w:val="2"/>
          <w14:ligatures w14:val="standardContextual"/>
        </w:rPr>
        <w:t>ii</w:t>
      </w:r>
      <w:proofErr w:type="spellEnd"/>
      <w:r w:rsidRPr="009C1079">
        <w:rPr>
          <w:rFonts w:ascii="Verdana" w:eastAsia="Aptos" w:hAnsi="Verdana" w:cs="Times New Roman"/>
          <w:kern w:val="2"/>
          <w14:ligatures w14:val="standardContextual"/>
        </w:rPr>
        <w:t xml:space="preserve">). El artículo 1, modifica el artículo 2.2.1.2.4.2.7. del Decreto 1082 de 2015, estableciendo un Sistema de Preferencias en Favor de las Personas con Discapacidad en el Sistema de Compras y Contratación Pública, mediante medidas afirmativas, que deben adoptar las Entidades Estatales en sus Procesos de Contratación, para promover condiciones efectivas de igualdad para estas </w:t>
      </w:r>
      <w:r w:rsidRPr="009C1079">
        <w:rPr>
          <w:rFonts w:ascii="Verdana" w:eastAsia="Aptos" w:hAnsi="Verdana" w:cs="Times New Roman"/>
          <w:kern w:val="2"/>
          <w14:ligatures w14:val="standardContextual"/>
        </w:rPr>
        <w:lastRenderedPageBreak/>
        <w:t xml:space="preserve">personas, corregir barreras estructurales de acceso y fomentar su participación como proponentes, contratistas o integrantes de la cadena de valor. </w:t>
      </w:r>
    </w:p>
    <w:p w14:paraId="1C50AFF8" w14:textId="77777777" w:rsidR="009C1079" w:rsidRPr="009C1079" w:rsidRDefault="009C1079" w:rsidP="009C1079">
      <w:pPr>
        <w:widowControl w:val="0"/>
        <w:autoSpaceDE w:val="0"/>
        <w:autoSpaceDN w:val="0"/>
        <w:spacing w:after="120" w:line="276" w:lineRule="auto"/>
        <w:ind w:firstLine="708"/>
        <w:jc w:val="both"/>
        <w:rPr>
          <w:rFonts w:ascii="Verdana" w:eastAsia="Aptos" w:hAnsi="Verdana" w:cs="Times New Roman"/>
          <w:kern w:val="2"/>
          <w14:ligatures w14:val="standardContextual"/>
        </w:rPr>
      </w:pPr>
      <w:proofErr w:type="spellStart"/>
      <w:r w:rsidRPr="009C1079">
        <w:rPr>
          <w:rFonts w:ascii="Verdana" w:eastAsia="Aptos" w:hAnsi="Verdana" w:cs="Times New Roman"/>
          <w:kern w:val="2"/>
          <w14:ligatures w14:val="standardContextual"/>
        </w:rPr>
        <w:t>iii</w:t>
      </w:r>
      <w:proofErr w:type="spellEnd"/>
      <w:r w:rsidRPr="009C1079">
        <w:rPr>
          <w:rFonts w:ascii="Verdana" w:eastAsia="Aptos" w:hAnsi="Verdana" w:cs="Times New Roman"/>
          <w:kern w:val="2"/>
          <w14:ligatures w14:val="standardContextual"/>
        </w:rPr>
        <w:t xml:space="preserve">). El artículo 1, modifica el artículo 2.2.1.2.4.2.7.1. del Decreto 1082 de 2015, disponiendo que todas las entidades que manejen recursos públicos están obligadas a garantizar la accesibilidad para personas con discapacidad en sus procesos de contratación. </w:t>
      </w:r>
    </w:p>
    <w:p w14:paraId="5E7B7A9C" w14:textId="77777777" w:rsidR="009C1079" w:rsidRPr="009C1079" w:rsidRDefault="009C1079" w:rsidP="009C1079">
      <w:pPr>
        <w:widowControl w:val="0"/>
        <w:autoSpaceDE w:val="0"/>
        <w:autoSpaceDN w:val="0"/>
        <w:spacing w:after="120" w:line="276" w:lineRule="auto"/>
        <w:ind w:firstLine="708"/>
        <w:jc w:val="both"/>
        <w:rPr>
          <w:rFonts w:ascii="Verdana" w:eastAsia="Aptos" w:hAnsi="Verdana" w:cs="Times New Roman"/>
          <w:kern w:val="2"/>
          <w14:ligatures w14:val="standardContextual"/>
        </w:rPr>
      </w:pPr>
      <w:proofErr w:type="spellStart"/>
      <w:r w:rsidRPr="009C1079">
        <w:rPr>
          <w:rFonts w:ascii="Aptos" w:eastAsia="Aptos" w:hAnsi="Aptos" w:cs="Times New Roman"/>
          <w:kern w:val="2"/>
          <w:sz w:val="24"/>
          <w:szCs w:val="24"/>
          <w14:ligatures w14:val="standardContextual"/>
        </w:rPr>
        <w:t>iv</w:t>
      </w:r>
      <w:proofErr w:type="spellEnd"/>
      <w:r w:rsidRPr="009C1079">
        <w:rPr>
          <w:rFonts w:ascii="Aptos" w:eastAsia="Aptos" w:hAnsi="Aptos" w:cs="Times New Roman"/>
          <w:kern w:val="2"/>
          <w:sz w:val="24"/>
          <w:szCs w:val="24"/>
          <w14:ligatures w14:val="standardContextual"/>
        </w:rPr>
        <w:t xml:space="preserve">). </w:t>
      </w:r>
      <w:r w:rsidRPr="009C1079">
        <w:rPr>
          <w:rFonts w:ascii="Verdana" w:eastAsia="Aptos" w:hAnsi="Verdana" w:cs="Times New Roman"/>
          <w:kern w:val="2"/>
          <w14:ligatures w14:val="standardContextual"/>
        </w:rPr>
        <w:t>El artículo 1, modifica el 2.2.1.2.4.2.7.2. del Decreto 1082 de 2015. De esta forma, se consagra que, en la planeación contractual, las Entidades Estatales deben implementar acciones concretas para promover la participación de emprendimientos y empresas de personas con discapacidad, asegurando igualdad de oportunidades en los procesos de contratación pública. Esto implica diseñar mecanismos que eliminen barreras de acceso y fomenten una participación más inclusiva desde las etapas iniciales del proceso.</w:t>
      </w:r>
    </w:p>
    <w:p w14:paraId="421B9162" w14:textId="77777777" w:rsidR="009C1079" w:rsidRPr="009C1079" w:rsidRDefault="009C1079" w:rsidP="009C1079">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9C1079">
        <w:rPr>
          <w:rFonts w:ascii="Verdana" w:eastAsia="Aptos" w:hAnsi="Verdana" w:cs="Times New Roman"/>
          <w:kern w:val="2"/>
          <w14:ligatures w14:val="standardContextual"/>
        </w:rPr>
        <w:t>v). El artículo 1, modifica el artículo 2.2.1.2.4.2.7.3. del Decreto 1082 de 2015, incorporando criterios diferenciales en favor de los emprendimientos y empresas de personas con discapacidad en la habilitación, como parte del sistema de preferencias para esta población en la contratación pública que impone reglamentar la Ley 1618 de 2013. Este aspecto considerando que “(…) es necesario flexibilizar los requisitos habilitantes de los procesos de contratación para facilitar la participación de las personas con discapacidad, debido a que sin esto el puntaje que también regula el presente Decreto (287 de 2026) se vuelve inocuo porque no se podría aplicar si las personas con discapacidad no superan el primer filtro, que resulta de la aplicación de los requisitos habilitantes que pueden resultar un impedimento para la posterior evaluación de su oferta y que pueda tener efectividad el puntaje”</w:t>
      </w:r>
      <w:r w:rsidRPr="009C1079">
        <w:rPr>
          <w:rFonts w:ascii="Verdana" w:eastAsia="Aptos" w:hAnsi="Verdana" w:cs="Times New Roman"/>
          <w:kern w:val="2"/>
          <w:vertAlign w:val="superscript"/>
          <w14:ligatures w14:val="standardContextual"/>
        </w:rPr>
        <w:footnoteReference w:id="40"/>
      </w:r>
      <w:r w:rsidRPr="009C1079">
        <w:rPr>
          <w:rFonts w:ascii="Verdana" w:eastAsia="Aptos" w:hAnsi="Verdana" w:cs="Times New Roman"/>
          <w:kern w:val="2"/>
          <w14:ligatures w14:val="standardContextual"/>
        </w:rPr>
        <w:t xml:space="preserve">. </w:t>
      </w:r>
    </w:p>
    <w:p w14:paraId="36A526DB" w14:textId="77777777" w:rsidR="009C1079" w:rsidRPr="009C1079" w:rsidRDefault="009C1079" w:rsidP="009C1079">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9C1079">
        <w:rPr>
          <w:rFonts w:ascii="Verdana" w:eastAsia="Aptos" w:hAnsi="Verdana" w:cs="Times New Roman"/>
          <w:kern w:val="2"/>
          <w14:ligatures w14:val="standardContextual"/>
        </w:rPr>
        <w:t xml:space="preserve">vi) El artículo 1, modifica el artículo 2.1.2.4.2.7.4 del Decreto 1082 de 2015. Así, se establece un puntaje adicional en favor de los empleadores de personas con discapacidad y de los emprendimientos y empresas de personas con discapacidad del dos por ciento (2%) del valor total de los puntos establecidos en el pliego de condiciones o documentos equivalentes, para </w:t>
      </w:r>
      <w:r w:rsidRPr="009C1079">
        <w:rPr>
          <w:rFonts w:ascii="Verdana" w:eastAsia="Aptos" w:hAnsi="Verdana" w:cs="Times New Roman"/>
          <w:kern w:val="2"/>
          <w14:ligatures w14:val="standardContextual"/>
        </w:rPr>
        <w:lastRenderedPageBreak/>
        <w:t xml:space="preserve">promover la inclusión laboral de personas con discapacidad en los procedimientos de licitación pública y concurso de méritos que adelanten las entidades estatales, cuando se configuren las situaciones previstas en ese artículo. </w:t>
      </w:r>
    </w:p>
    <w:p w14:paraId="78D0799F" w14:textId="77777777" w:rsidR="009C1079" w:rsidRPr="009C1079" w:rsidRDefault="009C1079" w:rsidP="009C1079">
      <w:pPr>
        <w:widowControl w:val="0"/>
        <w:autoSpaceDE w:val="0"/>
        <w:autoSpaceDN w:val="0"/>
        <w:spacing w:after="120" w:line="276" w:lineRule="auto"/>
        <w:ind w:firstLine="708"/>
        <w:jc w:val="both"/>
        <w:rPr>
          <w:rFonts w:ascii="Verdana" w:eastAsia="Aptos" w:hAnsi="Verdana" w:cs="Times New Roman"/>
          <w:kern w:val="2"/>
          <w14:ligatures w14:val="standardContextual"/>
        </w:rPr>
      </w:pPr>
      <w:proofErr w:type="spellStart"/>
      <w:r w:rsidRPr="009C1079">
        <w:rPr>
          <w:rFonts w:ascii="Verdana" w:eastAsia="Aptos" w:hAnsi="Verdana" w:cs="Times New Roman"/>
          <w:kern w:val="2"/>
          <w14:ligatures w14:val="standardContextual"/>
        </w:rPr>
        <w:t>vii</w:t>
      </w:r>
      <w:proofErr w:type="spellEnd"/>
      <w:r w:rsidRPr="009C1079">
        <w:rPr>
          <w:rFonts w:ascii="Verdana" w:eastAsia="Aptos" w:hAnsi="Verdana" w:cs="Times New Roman"/>
          <w:kern w:val="2"/>
          <w14:ligatures w14:val="standardContextual"/>
        </w:rPr>
        <w:t xml:space="preserve">)El artículo 1, modifica el artículo 2.2.1.2.4.2.7.5. del Decreto 1082 de 2015, indicando condiciones especiales de sujeción en favor de personas con discapacidad, que deberán incluir las entidades estatales como obligación contractual en los documentos del proceso, previo análisis de oportunidad y conveniencia. </w:t>
      </w:r>
    </w:p>
    <w:p w14:paraId="70D6AF56" w14:textId="77777777" w:rsidR="009C1079" w:rsidRPr="009C1079" w:rsidRDefault="009C1079" w:rsidP="009C1079">
      <w:pPr>
        <w:widowControl w:val="0"/>
        <w:autoSpaceDE w:val="0"/>
        <w:autoSpaceDN w:val="0"/>
        <w:spacing w:after="120" w:line="276" w:lineRule="auto"/>
        <w:ind w:firstLine="708"/>
        <w:jc w:val="both"/>
        <w:rPr>
          <w:rFonts w:ascii="Verdana" w:eastAsia="Aptos" w:hAnsi="Verdana" w:cs="Times New Roman"/>
          <w:kern w:val="2"/>
          <w14:ligatures w14:val="standardContextual"/>
        </w:rPr>
      </w:pPr>
      <w:proofErr w:type="spellStart"/>
      <w:r w:rsidRPr="009C1079">
        <w:rPr>
          <w:rFonts w:ascii="Verdana" w:eastAsia="Aptos" w:hAnsi="Verdana" w:cs="Times New Roman"/>
          <w:kern w:val="2"/>
          <w14:ligatures w14:val="standardContextual"/>
        </w:rPr>
        <w:t>viii</w:t>
      </w:r>
      <w:proofErr w:type="spellEnd"/>
      <w:r w:rsidRPr="009C1079">
        <w:rPr>
          <w:rFonts w:ascii="Verdana" w:eastAsia="Aptos" w:hAnsi="Verdana" w:cs="Times New Roman"/>
          <w:kern w:val="2"/>
          <w14:ligatures w14:val="standardContextual"/>
        </w:rPr>
        <w:t>) El artículo 1, modifica el artículo 2.2.1.2.4.2.7.6. del Decreto 1082 de 2015, incluyendo que, las Entidades Estatales propenderán por la contratación de personas con discapacidad mediante la celebración de contratos de prestación de servicios profesionales y/o de apoyo a la gestión, de acuerdo con su planeación contractual, disponibilidad presupuestal y las necesidades del servicio.</w:t>
      </w:r>
    </w:p>
    <w:p w14:paraId="771169B4" w14:textId="77777777" w:rsidR="009C1079" w:rsidRPr="009C1079" w:rsidRDefault="009C1079" w:rsidP="009C1079">
      <w:pPr>
        <w:widowControl w:val="0"/>
        <w:autoSpaceDE w:val="0"/>
        <w:autoSpaceDN w:val="0"/>
        <w:spacing w:after="120" w:line="276" w:lineRule="auto"/>
        <w:ind w:firstLine="708"/>
        <w:jc w:val="both"/>
        <w:rPr>
          <w:rFonts w:ascii="Verdana" w:eastAsia="Aptos" w:hAnsi="Verdana" w:cs="Times New Roman"/>
          <w:kern w:val="2"/>
          <w14:ligatures w14:val="standardContextual"/>
        </w:rPr>
      </w:pPr>
      <w:proofErr w:type="spellStart"/>
      <w:r w:rsidRPr="009C1079">
        <w:rPr>
          <w:rFonts w:ascii="Verdana" w:eastAsia="Aptos" w:hAnsi="Verdana" w:cs="Times New Roman"/>
          <w:kern w:val="2"/>
          <w14:ligatures w14:val="standardContextual"/>
        </w:rPr>
        <w:t>ix</w:t>
      </w:r>
      <w:proofErr w:type="spellEnd"/>
      <w:r w:rsidRPr="009C1079">
        <w:rPr>
          <w:rFonts w:ascii="Verdana" w:eastAsia="Aptos" w:hAnsi="Verdana" w:cs="Times New Roman"/>
          <w:kern w:val="2"/>
          <w14:ligatures w14:val="standardContextual"/>
        </w:rPr>
        <w:t xml:space="preserve">). El artículo 1, modifica el artículo 2.2.1.2.4.2.7.8 del Decreto 1082 de 2015. La modificación dispone que, la Agencia Nacional de Contratación Pública –Colombia Compra Eficiente garantizará la adopción permanente de las acciones necesarias para que las medidas señaladas en favor de las Personas con Discapacidad se incorporen a los documentos e instrumentos que genera. </w:t>
      </w:r>
    </w:p>
    <w:p w14:paraId="72111B25" w14:textId="77777777" w:rsidR="009C1079" w:rsidRPr="009C1079" w:rsidRDefault="009C1079" w:rsidP="009C1079">
      <w:pPr>
        <w:widowControl w:val="0"/>
        <w:autoSpaceDE w:val="0"/>
        <w:autoSpaceDN w:val="0"/>
        <w:spacing w:after="12" w:line="276" w:lineRule="auto"/>
        <w:ind w:firstLine="708"/>
        <w:jc w:val="both"/>
        <w:rPr>
          <w:rFonts w:ascii="Verdana" w:eastAsia="Aptos" w:hAnsi="Verdana" w:cs="Times New Roman"/>
          <w:kern w:val="2"/>
          <w14:ligatures w14:val="standardContextual"/>
        </w:rPr>
      </w:pPr>
      <w:r w:rsidRPr="009C1079">
        <w:rPr>
          <w:rFonts w:ascii="Verdana" w:eastAsia="Aptos" w:hAnsi="Verdana" w:cs="Times New Roman"/>
          <w:kern w:val="2"/>
          <w14:ligatures w14:val="standardContextual"/>
        </w:rPr>
        <w:t>Finalmente, el artículo 2 del Decreto 287 de 2026 establece las vigencias y derogatorias, en los siguientes términos: “El presente Decreto rige a partir del día siguiente a su publicación, modifica los artículos 2.2.1.2.4.2.6., 2.2.1 .2.4.2.7. Y 2.2.1.2.4.2.8. de la Subsección 2 de la Sección 4 del Capítulo 2 del Título 1 de la Parte 2 del Libro 2 del Decreto 1082 de 2015, Único Reglamentario del Sector Administrativo de Planeación, y deroga todas las disposiciones que le sean contrarias”.</w:t>
      </w:r>
    </w:p>
    <w:p w14:paraId="154B44EB" w14:textId="77777777" w:rsidR="009C1079" w:rsidRPr="009C1079" w:rsidRDefault="009C1079" w:rsidP="009C1079">
      <w:pPr>
        <w:widowControl w:val="0"/>
        <w:autoSpaceDE w:val="0"/>
        <w:autoSpaceDN w:val="0"/>
        <w:spacing w:after="12" w:line="276" w:lineRule="auto"/>
        <w:ind w:firstLine="708"/>
        <w:jc w:val="both"/>
        <w:rPr>
          <w:rFonts w:ascii="Verdana" w:eastAsia="Aptos" w:hAnsi="Verdana" w:cs="Times New Roman"/>
          <w:kern w:val="2"/>
          <w14:ligatures w14:val="standardContextual"/>
        </w:rPr>
      </w:pPr>
    </w:p>
    <w:p w14:paraId="039FA332" w14:textId="77777777" w:rsidR="009C1079" w:rsidRPr="009C1079" w:rsidRDefault="009C1079" w:rsidP="009C1079">
      <w:pPr>
        <w:widowControl w:val="0"/>
        <w:autoSpaceDE w:val="0"/>
        <w:autoSpaceDN w:val="0"/>
        <w:spacing w:after="120" w:line="276" w:lineRule="auto"/>
        <w:jc w:val="both"/>
        <w:rPr>
          <w:rFonts w:ascii="Verdana" w:eastAsia="Aptos" w:hAnsi="Verdana" w:cs="Times New Roman"/>
          <w:kern w:val="2"/>
          <w14:ligatures w14:val="standardContextual"/>
        </w:rPr>
      </w:pPr>
      <w:r w:rsidRPr="009C1079">
        <w:rPr>
          <w:rFonts w:ascii="Verdana" w:eastAsia="Aptos" w:hAnsi="Verdana" w:cs="Times New Roman"/>
          <w:kern w:val="2"/>
          <w14:ligatures w14:val="standardContextual"/>
        </w:rPr>
        <w:t xml:space="preserve">v. De acuerdo con el desarrollo del numeral precedente, </w:t>
      </w:r>
      <w:r w:rsidRPr="009C1079">
        <w:rPr>
          <w:rFonts w:ascii="Verdana" w:eastAsia="Aptos" w:hAnsi="Verdana" w:cs="AppleSystemUIFont"/>
          <w:lang w:val="es-MX"/>
          <w14:ligatures w14:val="standardContextual"/>
        </w:rPr>
        <w:t xml:space="preserve">la expedición del Decreto 287 de 2026 introduce un conjunto de prerrogativas dirigidas a garantizar la igualdad material de las personas con discapacidad, en desarrollo de la Ley 1618 de 2013 y del mandato constitucional de no discriminación, lo </w:t>
      </w:r>
      <w:r w:rsidRPr="009C1079">
        <w:rPr>
          <w:rFonts w:ascii="Verdana" w:eastAsia="Aptos" w:hAnsi="Verdana" w:cs="AppleSystemUIFont"/>
          <w:lang w:val="es-MX"/>
          <w14:ligatures w14:val="standardContextual"/>
        </w:rPr>
        <w:lastRenderedPageBreak/>
        <w:t xml:space="preserve">que impone la necesidad de una adecuación de los documentos tipo expedidos por la Agencia Nacional </w:t>
      </w:r>
      <w:r w:rsidRPr="009C1079">
        <w:rPr>
          <w:rFonts w:ascii="Verdana" w:eastAsia="Aptos" w:hAnsi="Verdana" w:cs="Times New Roman"/>
          <w:kern w:val="2"/>
          <w14:ligatures w14:val="standardContextual"/>
        </w:rPr>
        <w:t>de Contratación Pública – Colombia Compra Eficiente.</w:t>
      </w:r>
    </w:p>
    <w:p w14:paraId="1E447501" w14:textId="77777777" w:rsidR="009C1079" w:rsidRPr="009C1079" w:rsidRDefault="009C1079" w:rsidP="009C1079">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9C1079">
        <w:rPr>
          <w:rFonts w:ascii="Verdana" w:eastAsia="Aptos" w:hAnsi="Verdana" w:cs="Times New Roman"/>
          <w:kern w:val="2"/>
          <w14:ligatures w14:val="standardContextual"/>
        </w:rPr>
        <w:t xml:space="preserve">Esta situación resulta particularmente relevante teniendo en cuenta que, los documentos tipo, al fijar reglas uniformes para las entidades estatales sometidas al estatuto general de contratación de la administración pública y otros sujetos obligados a su aplicación, pueden convertirse en barreras estructurales de acceso cuando no incorporan enfoques diferenciales, afectando la participación de poblaciones históricamente excluidas. </w:t>
      </w:r>
    </w:p>
    <w:p w14:paraId="434977E9" w14:textId="77777777" w:rsidR="009C1079" w:rsidRPr="009C1079" w:rsidRDefault="009C1079" w:rsidP="009C1079">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9C1079">
        <w:rPr>
          <w:rFonts w:ascii="Verdana" w:eastAsia="Aptos" w:hAnsi="Verdana" w:cs="Times New Roman"/>
          <w:kern w:val="2"/>
          <w14:ligatures w14:val="standardContextual"/>
        </w:rPr>
        <w:t>Desde el punto de vista jurídico, uno de los aspectos que exige la modificación de los documentos tipo de licitación pública, selección abreviada de menor cuantía y concurso de méritos en los sectores en los que estos han sido adoptados, corresponde a los requisitos habilitantes, los cuales han sido tradicionalmente diseñados bajo parámetros homogéneos que no consideran las condiciones particulares de los emprendimientos y empresas de personas con discapacidad. Tal como se señaló, el Decreto 287 de 2026 reconoce que la rigidez de estos requisitos puede impedir su participación efectiva, al punto de tornar inocuas otras medidas como el otorgamiento de puntajes adicionales. En consecuencia, los documentos tipo en las modalidades señaladas y en los sectores implementados, deben incorporar “(…) requisitos habilitantes diferenciales o ajustados en materia de experiencia, capacidad financiera u organizacional, o el valor de la garantía de seriedad de la oferta, con el fin de promover la participación de emprendimientos y empresas de personas con discapacidad con domicilio en el territorio nacional”</w:t>
      </w:r>
      <w:r w:rsidRPr="009C1079">
        <w:rPr>
          <w:rFonts w:ascii="Verdana" w:eastAsia="Aptos" w:hAnsi="Verdana" w:cs="Times New Roman"/>
          <w:kern w:val="2"/>
          <w:vertAlign w:val="superscript"/>
          <w14:ligatures w14:val="standardContextual"/>
        </w:rPr>
        <w:footnoteReference w:id="41"/>
      </w:r>
      <w:r w:rsidRPr="009C1079">
        <w:rPr>
          <w:rFonts w:ascii="Verdana" w:eastAsia="Aptos" w:hAnsi="Verdana" w:cs="Times New Roman"/>
          <w:kern w:val="2"/>
          <w14:ligatures w14:val="standardContextual"/>
        </w:rPr>
        <w:t xml:space="preserve">, de tal manera que se </w:t>
      </w:r>
      <w:r w:rsidRPr="009C1079">
        <w:rPr>
          <w:rFonts w:ascii="Verdana" w:eastAsia="Aptos" w:hAnsi="Verdana" w:cs="Times New Roman"/>
          <w:kern w:val="2"/>
          <w14:ligatures w14:val="standardContextual"/>
        </w:rPr>
        <w:lastRenderedPageBreak/>
        <w:t>eliminen barreras de entrada injustificadas sin comprometer la idoneidad del contratista, en aplicación del principio de igualdad material.</w:t>
      </w:r>
    </w:p>
    <w:p w14:paraId="748A0999" w14:textId="77777777" w:rsidR="009C1079" w:rsidRPr="009C1079" w:rsidRDefault="009C1079" w:rsidP="009C1079">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9C1079">
        <w:rPr>
          <w:rFonts w:ascii="Verdana" w:eastAsia="Aptos" w:hAnsi="Verdana" w:cs="Times New Roman"/>
          <w:kern w:val="2"/>
          <w14:ligatures w14:val="standardContextual"/>
        </w:rPr>
        <w:t xml:space="preserve">Así, los documentos tipo de licitación pública, selección abreviada de menor cuantía y concurso de méritos deben ser modificados por la Agencia Nacional de Contratación Pública – Colombia Compra Eficiente para incluir la reciente modificación al artículo 2.2.1.2.4.2.7.3 del Decreto 1082 de 2015. Lo anterior implica que, además de los requisitos habilitantes diferenciales previstos para </w:t>
      </w:r>
      <w:proofErr w:type="spellStart"/>
      <w:r w:rsidRPr="009C1079">
        <w:rPr>
          <w:rFonts w:ascii="Verdana" w:eastAsia="Aptos" w:hAnsi="Verdana" w:cs="Times New Roman"/>
          <w:kern w:val="2"/>
          <w14:ligatures w14:val="standardContextual"/>
        </w:rPr>
        <w:t>Mipymes</w:t>
      </w:r>
      <w:proofErr w:type="spellEnd"/>
      <w:r w:rsidRPr="009C1079">
        <w:rPr>
          <w:rFonts w:ascii="Verdana" w:eastAsia="Aptos" w:hAnsi="Verdana" w:cs="Times New Roman"/>
          <w:kern w:val="2"/>
          <w14:ligatures w14:val="standardContextual"/>
        </w:rPr>
        <w:t xml:space="preserve"> y emprendimientos y empresas de mujeres, se incluyan los dispuestos en el Decreto 287 de 2026 en favor de los emprendimientos y empresas de personas con discapacidad.</w:t>
      </w:r>
    </w:p>
    <w:p w14:paraId="6E9F1842" w14:textId="77777777" w:rsidR="009C1079" w:rsidRPr="009C1079" w:rsidRDefault="009C1079" w:rsidP="009C1079">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9C1079">
        <w:rPr>
          <w:rFonts w:ascii="Verdana" w:eastAsia="Aptos" w:hAnsi="Verdana" w:cs="Times New Roman"/>
          <w:kern w:val="2"/>
          <w14:ligatures w14:val="standardContextual"/>
        </w:rPr>
        <w:t xml:space="preserve">De igual forma, resulta necesario ajustar los factores de evaluación para incluir el puntaje adicional previsto en el Decreto 287 de 2026, en favor de los empleadores de personas con discapacidad y de los emprendimientos y empresas conformados por esta población. Esto, considerando que el artículo 2.2.1.2.4.2.7.4 del Decreto 1082 de 2015, modificado por el artículo 1 del Decreto 287 de 2026 establece que “(…) en los procedimientos de licitación pública y concurso de méritos, las Entidades Estatales otorgaran un puntaje adicional máximo del dos por ciento (2%) del valor total de los puntos establecidos en los Pliegos de condiciones o documentos equivalentes” cuando se configuren las situaciones que allí se establecen, pero que “(…) en todo caso el puntaje adicional total y único a otorgar por este criterio será del dos por ciento (2%), sin que sean acumulables a afecto de la evaluación de la oferta (…)”. </w:t>
      </w:r>
    </w:p>
    <w:p w14:paraId="6872888C" w14:textId="77777777" w:rsidR="009C1079" w:rsidRPr="009C1079" w:rsidRDefault="009C1079" w:rsidP="009C1079">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9C1079">
        <w:rPr>
          <w:rFonts w:ascii="Verdana" w:eastAsia="Aptos" w:hAnsi="Verdana" w:cs="Times New Roman"/>
          <w:kern w:val="2"/>
          <w14:ligatures w14:val="standardContextual"/>
        </w:rPr>
        <w:t xml:space="preserve">Esta incorporación debe realizarse de manera estandarizada en los documentos tipo de licitación pública y concurso de méritos en los sectores en los que estos han sido adoptados por parte de la Agencia Nacional de </w:t>
      </w:r>
      <w:r w:rsidRPr="009C1079">
        <w:rPr>
          <w:rFonts w:ascii="Verdana" w:eastAsia="Aptos" w:hAnsi="Verdana" w:cs="Times New Roman"/>
          <w:kern w:val="2"/>
          <w14:ligatures w14:val="standardContextual"/>
        </w:rPr>
        <w:lastRenderedPageBreak/>
        <w:t xml:space="preserve">Contratación Pública – Colombia Compra Eficiente, considerando que, actualmente en estos se señala como factor de ponderación un puntaje máximo de un (1) punto por la vinculación de personas con discapacidad, evento este que, con la modificación realizada por el Decreto 287 de 2026 debe ajustarse. </w:t>
      </w:r>
    </w:p>
    <w:p w14:paraId="0CED4458" w14:textId="77777777" w:rsidR="009C1079" w:rsidRPr="009C1079" w:rsidRDefault="009C1079" w:rsidP="009C1079">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9C1079">
        <w:rPr>
          <w:rFonts w:ascii="Verdana" w:eastAsia="Aptos" w:hAnsi="Verdana" w:cs="Times New Roman"/>
          <w:kern w:val="2"/>
          <w14:ligatures w14:val="standardContextual"/>
        </w:rPr>
        <w:t xml:space="preserve">De esta forma, la modificación del artículo 1 del Decreto 287 de 2026 al artículo 2.2.1.2.4.2.7.4 del Decreto 1082 de 2015, incide en el ajuste del puntaje que se otorga en los documentos tipo de licitación pública y concurso de méritos por la incorporación de personas con discapacidad, en donde además, se amplía el ámbito de aplicación a emprendimientos y empresas de personas con discapacidad. Además, la modificación señalada incide en el formato que actualmente se encuentra previsto en los documentos tipo para acreditar esta condición, por lo que se debe definir con claridad los mecanismos de acreditación y verificación, con el fin de evitar discrecionalidades y garantizar la transparencia del proceso. </w:t>
      </w:r>
    </w:p>
    <w:p w14:paraId="0563A383" w14:textId="77777777" w:rsidR="009C1079" w:rsidRPr="009C1079" w:rsidRDefault="009C1079" w:rsidP="009C1079">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9C1079">
        <w:rPr>
          <w:rFonts w:ascii="Verdana" w:eastAsia="Aptos" w:hAnsi="Verdana" w:cs="Times New Roman"/>
          <w:kern w:val="2"/>
          <w14:ligatures w14:val="standardContextual"/>
        </w:rPr>
        <w:t>Adicionalmente, en cuanto a la ejecución contractual, el artículo 2.2.1.2.4.2.7.5 del Decreto 1082 de 2015, modificado por el artículo 1 del Decreto 287 de 2026, prevé la incorporación de condiciones especiales de sujeción orientadas a promover la inclusión laboral y la participación de personas con discapacidad y/o emprendimientos y empresas de estas personas. En consecuencia, los documentos tipo deben contemplar cláusulas contractuales específicas que desarrollen estas obligaciones, previa evaluación de oportunidad y conveniencia, permitiendo que la política pública de inclusión se materialice durante la ejecución del contrato.</w:t>
      </w:r>
    </w:p>
    <w:p w14:paraId="5A848D43" w14:textId="77777777" w:rsidR="009C1079" w:rsidRPr="009C1079" w:rsidRDefault="009C1079" w:rsidP="009C1079">
      <w:pPr>
        <w:widowControl w:val="0"/>
        <w:autoSpaceDE w:val="0"/>
        <w:autoSpaceDN w:val="0"/>
        <w:spacing w:after="0" w:line="276" w:lineRule="auto"/>
        <w:ind w:firstLine="708"/>
        <w:jc w:val="both"/>
        <w:rPr>
          <w:rFonts w:ascii="Verdana" w:eastAsia="Aptos" w:hAnsi="Verdana" w:cs="Times New Roman"/>
          <w:kern w:val="2"/>
          <w14:ligatures w14:val="standardContextual"/>
        </w:rPr>
      </w:pPr>
      <w:r w:rsidRPr="009C1079">
        <w:rPr>
          <w:rFonts w:ascii="Verdana" w:eastAsia="Aptos" w:hAnsi="Verdana" w:cs="Times New Roman"/>
          <w:kern w:val="2"/>
          <w14:ligatures w14:val="standardContextual"/>
        </w:rPr>
        <w:t>Conforme con lo anterior, la implementación efectiva del Decreto 287 de 2026 depende de la incorporación integral y coherente de sus disposiciones en los documentos tipo por parte de la Agencia Nacional de Contratación Pública – Colombia Compra Eficiente, de manera que las acciones afirmativas previstas se traduzcan en transformaciones reales en el sistema de contratación pública y en la garantía del derecho a la igualdad material de las personas con discapacidad.</w:t>
      </w:r>
    </w:p>
    <w:p w14:paraId="2A2C37C8" w14:textId="77777777" w:rsidR="009C1079" w:rsidRPr="009C1079" w:rsidRDefault="009C1079" w:rsidP="009C1079">
      <w:pPr>
        <w:widowControl w:val="0"/>
        <w:autoSpaceDE w:val="0"/>
        <w:autoSpaceDN w:val="0"/>
        <w:spacing w:after="0" w:line="276" w:lineRule="auto"/>
        <w:ind w:firstLine="708"/>
        <w:jc w:val="both"/>
        <w:rPr>
          <w:rFonts w:ascii="Verdana" w:eastAsia="Aptos" w:hAnsi="Verdana" w:cs="Times New Roman"/>
          <w:kern w:val="2"/>
          <w14:ligatures w14:val="standardContextual"/>
        </w:rPr>
      </w:pPr>
    </w:p>
    <w:p w14:paraId="7D64B178" w14:textId="77777777" w:rsidR="009C1079" w:rsidRPr="009C1079" w:rsidRDefault="009C1079" w:rsidP="009C1079">
      <w:pPr>
        <w:widowControl w:val="0"/>
        <w:autoSpaceDE w:val="0"/>
        <w:autoSpaceDN w:val="0"/>
        <w:spacing w:after="120" w:line="276" w:lineRule="auto"/>
        <w:jc w:val="both"/>
        <w:rPr>
          <w:rFonts w:ascii="Verdana" w:eastAsia="Aptos" w:hAnsi="Verdana" w:cs="Times New Roman"/>
          <w:kern w:val="2"/>
          <w14:ligatures w14:val="standardContextual"/>
        </w:rPr>
      </w:pPr>
      <w:r w:rsidRPr="009C1079">
        <w:rPr>
          <w:rFonts w:ascii="Verdana" w:eastAsia="Aptos" w:hAnsi="Verdana" w:cs="Times New Roman"/>
          <w:kern w:val="2"/>
          <w14:ligatures w14:val="standardContextual"/>
        </w:rPr>
        <w:t xml:space="preserve">vi. Los documentos tipo expedidos por la Agencia Nacional de Contratación Pública – Colombia Compra Eficiente constituyen instrumentos de obligatorio </w:t>
      </w:r>
      <w:r w:rsidRPr="009C1079">
        <w:rPr>
          <w:rFonts w:ascii="Verdana" w:eastAsia="Aptos" w:hAnsi="Verdana" w:cs="Times New Roman"/>
          <w:kern w:val="2"/>
          <w14:ligatures w14:val="standardContextual"/>
        </w:rPr>
        <w:lastRenderedPageBreak/>
        <w:t>cumplimiento que estructuran de manera integral los procesos de selección contractual. Tal como se estableció en el punto i. de este concepto, esta naturaleza vinculante tiene fundamento directo en el artículo 1 de la Ley 2022 de 2020, en la que se establece que, los documentos tipo serán obligatorios para las entidades estatales sometidas al Estatuto General de Contratación de la Administración Pública – EGCAP.</w:t>
      </w:r>
    </w:p>
    <w:p w14:paraId="1AF9432E" w14:textId="77777777" w:rsidR="009C1079" w:rsidRPr="009C1079" w:rsidRDefault="009C1079" w:rsidP="009C1079">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9C1079">
        <w:rPr>
          <w:rFonts w:ascii="Verdana" w:eastAsia="Aptos" w:hAnsi="Verdana" w:cs="Times New Roman"/>
          <w:kern w:val="2"/>
          <w14:ligatures w14:val="standardContextual"/>
        </w:rPr>
        <w:t xml:space="preserve">En este sentido, la Ley 2022 de 2020 no solo atribuye la competencia a la Agencia Nacional de Contratación Pública – Colombia Compra Eficiente para adoptar documentos tipo, sino que define expresamente su contenido, al disponer que en estos </w:t>
      </w:r>
      <w:r w:rsidRPr="009C1079">
        <w:rPr>
          <w:rFonts w:ascii="Verdana" w:eastAsia="Aptos" w:hAnsi="Verdana" w:cs="Times New Roman"/>
          <w:i/>
          <w:iCs/>
          <w:kern w:val="2"/>
          <w14:ligatures w14:val="standardContextual"/>
        </w:rPr>
        <w:t>“(…) se establecerán los requisitos habilitantes, factores técnicos, económicos y otros factores de escogencia, así como aquellos requisitos que, previa justificación, representen buenas prácticas contractuales”.</w:t>
      </w:r>
      <w:r w:rsidRPr="009C1079">
        <w:rPr>
          <w:rFonts w:ascii="Verdana" w:eastAsia="Aptos" w:hAnsi="Verdana" w:cs="Times New Roman"/>
          <w:kern w:val="2"/>
          <w14:ligatures w14:val="standardContextual"/>
        </w:rPr>
        <w:t xml:space="preserve"> De esta manera, el legislador concentró en la Agencia Nacional de Contratación Pública – Colombia Compra Eficiente la definición de los elementos estructurales de los procesos de selección, con el propósito de garantizar la estandarización, la transparencia, la selección objetiva y la eficiencia en el uso de los recursos públicos. Esta competencia se ejerce mediante la expedición de actos administrativos de carácter general –resoluciones– a través de las cuales, la Agencia Nacional de Contratación Pública – Colombia Compra Eficiente adopta los documentos tipo.</w:t>
      </w:r>
    </w:p>
    <w:p w14:paraId="6792F57B" w14:textId="77777777" w:rsidR="009C1079" w:rsidRPr="009C1079" w:rsidRDefault="009C1079" w:rsidP="009C1079">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9C1079">
        <w:rPr>
          <w:rFonts w:ascii="Verdana" w:eastAsia="Aptos" w:hAnsi="Verdana" w:cs="Times New Roman"/>
          <w:kern w:val="2"/>
          <w14:ligatures w14:val="standardContextual"/>
        </w:rPr>
        <w:t>Conforme con el contenido de la Ley 2022 de 202, la jurisprudencia ha determinado que, la Agencia Nacional de Contratación Pública – Colombia Compra Eficiente ejerce una potestad regulatoria de naturaleza subordinada (</w:t>
      </w:r>
      <w:proofErr w:type="spellStart"/>
      <w:r w:rsidRPr="009C1079">
        <w:rPr>
          <w:rFonts w:ascii="Verdana" w:eastAsia="Aptos" w:hAnsi="Verdana" w:cs="Times New Roman"/>
          <w:kern w:val="2"/>
          <w14:ligatures w14:val="standardContextual"/>
        </w:rPr>
        <w:t>secundum</w:t>
      </w:r>
      <w:proofErr w:type="spellEnd"/>
      <w:r w:rsidRPr="009C1079">
        <w:rPr>
          <w:rFonts w:ascii="Verdana" w:eastAsia="Aptos" w:hAnsi="Verdana" w:cs="Times New Roman"/>
          <w:kern w:val="2"/>
          <w14:ligatures w14:val="standardContextual"/>
        </w:rPr>
        <w:t xml:space="preserve"> </w:t>
      </w:r>
      <w:proofErr w:type="spellStart"/>
      <w:r w:rsidRPr="009C1079">
        <w:rPr>
          <w:rFonts w:ascii="Verdana" w:eastAsia="Aptos" w:hAnsi="Verdana" w:cs="Times New Roman"/>
          <w:kern w:val="2"/>
          <w14:ligatures w14:val="standardContextual"/>
        </w:rPr>
        <w:t>legem</w:t>
      </w:r>
      <w:proofErr w:type="spellEnd"/>
      <w:r w:rsidRPr="009C1079">
        <w:rPr>
          <w:rFonts w:ascii="Verdana" w:eastAsia="Aptos" w:hAnsi="Verdana" w:cs="Times New Roman"/>
          <w:kern w:val="2"/>
          <w14:ligatures w14:val="standardContextual"/>
        </w:rPr>
        <w:t>) de carácter técnico especializado, que le permite desarrollar, implementar y actualizar instrumentos como los documentos tipo, con el fin de concretar la voluntad del legislador en aspectos técnicos de la contratación pública. No obstante, dicha potestad debe ejercerse en armonía con la Constitución, la ley y los decretos reglamentarios, sin invadir competencias superiores ni desbordar los límites de la regulación técnica.</w:t>
      </w:r>
    </w:p>
    <w:p w14:paraId="0BE04B40" w14:textId="77777777" w:rsidR="009C1079" w:rsidRPr="009C1079" w:rsidRDefault="009C1079" w:rsidP="009C1079">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9C1079">
        <w:rPr>
          <w:rFonts w:ascii="Verdana" w:eastAsia="Aptos" w:hAnsi="Verdana" w:cs="Times New Roman"/>
          <w:kern w:val="2"/>
          <w14:ligatures w14:val="standardContextual"/>
        </w:rPr>
        <w:t xml:space="preserve">Concretamente, la competencia prevista en el artículo 1 de la Ley 2022 de 2020, se ejerció mediante la expedición de la Resolución 160 de 2020 del 15 de septiembre de 2020 “Por la cual se adopta el procedimiento para implementar </w:t>
      </w:r>
      <w:r w:rsidRPr="009C1079">
        <w:rPr>
          <w:rFonts w:ascii="Verdana" w:eastAsia="Aptos" w:hAnsi="Verdana" w:cs="Times New Roman"/>
          <w:kern w:val="2"/>
          <w14:ligatures w14:val="standardContextual"/>
        </w:rPr>
        <w:lastRenderedPageBreak/>
        <w:t xml:space="preserve">los documentos tipo y se define el sistema para su revisión”, así como con la expedición de múltiples resoluciones –señaladas en el numeral i de este concepto– mediante las cuales se adoptaron documentos tipo por parte de la Agencia Nacional de Contratación Pública – Colombia Compra Eficiente en diferentes modalidades de selección y sectores, en las cuales, además, se reitera el carácter obligatorio de estos documentos y se establecen reglas específicas para su aplicación. </w:t>
      </w:r>
    </w:p>
    <w:p w14:paraId="36B38861" w14:textId="77777777" w:rsidR="009C1079" w:rsidRPr="009C1079" w:rsidRDefault="009C1079" w:rsidP="009C1079">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9C1079">
        <w:rPr>
          <w:rFonts w:ascii="Verdana" w:eastAsia="Aptos" w:hAnsi="Verdana" w:cs="Times New Roman"/>
          <w:kern w:val="2"/>
          <w14:ligatures w14:val="standardContextual"/>
        </w:rPr>
        <w:t>En este sentido, las resoluciones mediante las cuales la Agencia Nacional de Contratación Pública – Colombia Compra Eficiente adoptó documentos tipo, consolidan un sistema de contratación estandarizado –en las modalidades y sectores adoptados– en el que las entidades estatales obligadas a la aplicación deben sujetarse de manera estricta a las condiciones definidas en dichos instrumentos, particularmente en lo relacionado con requisitos habilitantes, factores de evaluación y sistemas de ponderación.</w:t>
      </w:r>
    </w:p>
    <w:p w14:paraId="2083B892" w14:textId="77777777" w:rsidR="009C1079" w:rsidRPr="009C1079" w:rsidRDefault="009C1079" w:rsidP="009C1079">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9C1079">
        <w:rPr>
          <w:rFonts w:ascii="Verdana" w:eastAsia="Aptos" w:hAnsi="Verdana" w:cs="Times New Roman"/>
          <w:kern w:val="2"/>
          <w14:ligatures w14:val="standardContextual"/>
        </w:rPr>
        <w:t>Lo dispuesto en el párrafo precedente, es consecuente con lo desarrollado en el punto tres (</w:t>
      </w:r>
      <w:proofErr w:type="spellStart"/>
      <w:r w:rsidRPr="009C1079">
        <w:rPr>
          <w:rFonts w:ascii="Verdana" w:eastAsia="Aptos" w:hAnsi="Verdana" w:cs="Times New Roman"/>
          <w:kern w:val="2"/>
          <w14:ligatures w14:val="standardContextual"/>
        </w:rPr>
        <w:t>iii</w:t>
      </w:r>
      <w:proofErr w:type="spellEnd"/>
      <w:r w:rsidRPr="009C1079">
        <w:rPr>
          <w:rFonts w:ascii="Verdana" w:eastAsia="Aptos" w:hAnsi="Verdana" w:cs="Times New Roman"/>
          <w:kern w:val="2"/>
          <w14:ligatures w14:val="standardContextual"/>
        </w:rPr>
        <w:t>) de este concepto. En este se indicó que, sobre los documentos tipo expedidos por la Agencia Nacional de Contratación Pública – Colombia Compra Eficiente, recae la regla de inalterabilidad, en virtud de la cual, las entidades estatales obligadas a su aplicación no pueden modificar ni adicionar los requisitos habilitantes, los factores técnicos y económicos de escogencia ni los criterios de evaluación previstos en ellos, salvo en aquellos aspectos expresamente habilitados entre corchetes y resaltados en gris. Esta regla encuentra sustento tanto en el mandato legal de obligatoriedad contenido en la Ley 2022 de 2020, como en su desarrollo reglamentario y en las disposiciones contenidas en los propios documentos tipo, y constituye una manifestación del carácter reglado de la actividad contractual, limitando la discrecionalidad de las entidades con el fin de evitar prácticas restrictivas de la competencia, como los denominados “pliegos sastre”, y garantizar la uniformidad del sistema.</w:t>
      </w:r>
    </w:p>
    <w:p w14:paraId="784C8FE1" w14:textId="77777777" w:rsidR="009C1079" w:rsidRPr="009C1079" w:rsidRDefault="009C1079" w:rsidP="009C1079">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9C1079">
        <w:rPr>
          <w:rFonts w:ascii="Verdana" w:eastAsia="Aptos" w:hAnsi="Verdana" w:cs="Times New Roman"/>
          <w:kern w:val="2"/>
          <w14:ligatures w14:val="standardContextual"/>
        </w:rPr>
        <w:t xml:space="preserve">Considerando lo anterior, si bien es cierto que, el Decreto 287 de 2026 establece que rige a partir del día siguiente a su publicación, lo que determina su vigencia inmediata, su aplicación en el ámbito de los procesos sometidos a documentos tipo debe interpretarse de manera sistemática y armónica con el </w:t>
      </w:r>
      <w:r w:rsidRPr="009C1079">
        <w:rPr>
          <w:rFonts w:ascii="Verdana" w:eastAsia="Aptos" w:hAnsi="Verdana" w:cs="Times New Roman"/>
          <w:kern w:val="2"/>
          <w14:ligatures w14:val="standardContextual"/>
        </w:rPr>
        <w:lastRenderedPageBreak/>
        <w:t>régimen legal que regula dichos instrumentos, esto es, lo señalado en el artículo 1 de la Ley 2022 de 2020 y su desarrollo reglamentario a través de cada una de las Resoluciones expedidas por la Agencia Nacional de Contratación Pública – Colombia Compra Eficiente mediante las cuales, se han implementados documentos tipo. En efecto, dado que los documentos tipo contienen de manera obligatoria los requisitos habilitantes, los factores de evaluación y los criterios de escogencia, las entidades estatales no cuentan con competencia para modificarlos o complementarlos de manera autónoma con el fin de incorporar directamente las disposiciones del Decreto en mención.</w:t>
      </w:r>
    </w:p>
    <w:p w14:paraId="2C389896" w14:textId="77777777" w:rsidR="009C1079" w:rsidRPr="009C1079" w:rsidRDefault="009C1079" w:rsidP="009C1079">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9C1079">
        <w:rPr>
          <w:rFonts w:ascii="Verdana" w:eastAsia="Aptos" w:hAnsi="Verdana" w:cs="Times New Roman"/>
          <w:kern w:val="2"/>
          <w14:ligatures w14:val="standardContextual"/>
        </w:rPr>
        <w:t>Permitir que cada entidad introduzca ajustes a los documentos tipo para dar aplicación inmediata al Decreto 287 de 2026 implicaría desconocer la competencia exclusiva atribuida por el legislador a la Agencia Nacional de Contratación Pública – Colombia Compra Eficiente mediante la expedición de la Ley 2022 de 2020, así como la regla de inalterabilidad que rige estos documentos. Además, generaría una fragmentación del sistema de compra pública, afectando los principios de igualdad, transparencia y selección objetiva, en la medida en que procesos contractuales similares podrían regirse por condiciones distintas, dependiendo de la entidad que los adelante y la forma como incorporó las previsiones contenidas en el Decreto 287 de 2026 a los procesos de selección regidos por documentos tipo.</w:t>
      </w:r>
    </w:p>
    <w:p w14:paraId="124270E9" w14:textId="77777777" w:rsidR="009C1079" w:rsidRPr="009C1079" w:rsidRDefault="009C1079" w:rsidP="009C1079">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9C1079">
        <w:rPr>
          <w:rFonts w:ascii="Verdana" w:eastAsia="Aptos" w:hAnsi="Verdana" w:cs="Times New Roman"/>
          <w:kern w:val="2"/>
          <w14:ligatures w14:val="standardContextual"/>
        </w:rPr>
        <w:t>Desde una perspectiva técnica, los documentos tipo constituyen un sistema integral y articulado, en el cual los requisitos habilitantes, los factores de evaluación y las condiciones contractuales se encuentran interrelacionados. En consecuencia, la incorporación aislada de modificaciones podría generar inconsistencias o desajustes en su aplicación, afectando la coherencia del proceso contractual. Por esta razón, la Ley 2022 de 2020 prevé que su adopción y actualización se realice mediante procedimientos estructurados, coordinados y participativos, a cargo de la Agencia Nacional de Contratación Pública – Colombia Compra Eficiente</w:t>
      </w:r>
      <w:r w:rsidRPr="009C1079">
        <w:rPr>
          <w:rFonts w:ascii="Verdana" w:eastAsia="Aptos" w:hAnsi="Verdana" w:cs="Times New Roman"/>
          <w:kern w:val="2"/>
          <w:vertAlign w:val="superscript"/>
          <w14:ligatures w14:val="standardContextual"/>
        </w:rPr>
        <w:footnoteReference w:id="42"/>
      </w:r>
      <w:r w:rsidRPr="009C1079">
        <w:rPr>
          <w:rFonts w:ascii="Verdana" w:eastAsia="Aptos" w:hAnsi="Verdana" w:cs="Times New Roman"/>
          <w:kern w:val="2"/>
          <w14:ligatures w14:val="standardContextual"/>
        </w:rPr>
        <w:t xml:space="preserve">, quien cuenta con la capacidad técnica para garantizar la </w:t>
      </w:r>
      <w:r w:rsidRPr="009C1079">
        <w:rPr>
          <w:rFonts w:ascii="Verdana" w:eastAsia="Aptos" w:hAnsi="Verdana" w:cs="Times New Roman"/>
          <w:kern w:val="2"/>
          <w14:ligatures w14:val="standardContextual"/>
        </w:rPr>
        <w:lastRenderedPageBreak/>
        <w:t xml:space="preserve">adecuada integración de las nuevas disposiciones, como por ejemplo el Decreto 287 de 2026. </w:t>
      </w:r>
    </w:p>
    <w:p w14:paraId="19F259E3" w14:textId="77777777" w:rsidR="009C1079" w:rsidRPr="009C1079" w:rsidRDefault="009C1079" w:rsidP="009C1079">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9C1079">
        <w:rPr>
          <w:rFonts w:ascii="Verdana" w:eastAsia="Aptos" w:hAnsi="Verdana" w:cs="Times New Roman"/>
          <w:kern w:val="2"/>
          <w14:ligatures w14:val="standardContextual"/>
        </w:rPr>
        <w:t>Adicionalmente, el propio Decreto 287 de 2026 en el artículo 1 que modifica el artículo 2.2.1.2.4.2.7.8 al Decreto 1082 de 2015</w:t>
      </w:r>
      <w:r w:rsidRPr="009C1079">
        <w:rPr>
          <w:rFonts w:ascii="Verdana" w:eastAsia="Aptos" w:hAnsi="Verdana" w:cs="Times New Roman"/>
          <w:kern w:val="2"/>
          <w:vertAlign w:val="superscript"/>
          <w14:ligatures w14:val="standardContextual"/>
        </w:rPr>
        <w:footnoteReference w:id="43"/>
      </w:r>
      <w:r w:rsidRPr="009C1079">
        <w:rPr>
          <w:rFonts w:ascii="Verdana" w:eastAsia="Aptos" w:hAnsi="Verdana" w:cs="Times New Roman"/>
          <w:kern w:val="2"/>
          <w14:ligatures w14:val="standardContextual"/>
        </w:rPr>
        <w:t>, reconoce esta necesidad al disponer que la Agencia Nacional de Contratación Pública – Colombia Compra Eficiente “(…) garantizará la adopción permanente de las acciones necesarias para que las medidas señaladas en esta subsección se incorporen a los documentos e instrumentos que genera</w:t>
      </w:r>
      <w:r w:rsidRPr="009C1079">
        <w:rPr>
          <w:rFonts w:ascii="Aptos" w:eastAsia="Aptos" w:hAnsi="Aptos" w:cs="Times New Roman"/>
          <w:kern w:val="2"/>
          <w:sz w:val="24"/>
          <w:szCs w:val="24"/>
          <w14:ligatures w14:val="standardContextual"/>
        </w:rPr>
        <w:t>”</w:t>
      </w:r>
      <w:r w:rsidRPr="009C1079">
        <w:rPr>
          <w:rFonts w:ascii="Aptos" w:eastAsia="Aptos" w:hAnsi="Aptos" w:cs="Times New Roman"/>
          <w:kern w:val="2"/>
          <w:sz w:val="24"/>
          <w:szCs w:val="24"/>
          <w:vertAlign w:val="superscript"/>
          <w14:ligatures w14:val="standardContextual"/>
        </w:rPr>
        <w:footnoteReference w:id="44"/>
      </w:r>
      <w:r w:rsidRPr="009C1079">
        <w:rPr>
          <w:rFonts w:ascii="Verdana" w:eastAsia="Aptos" w:hAnsi="Verdana" w:cs="Times New Roman"/>
          <w:kern w:val="2"/>
          <w14:ligatures w14:val="standardContextual"/>
        </w:rPr>
        <w:t xml:space="preserve">, lo cual confirma que la operatividad de dichas disposiciones en el ámbito de los documentos tipo depende de su desarrollo por parte de esta entidad. </w:t>
      </w:r>
    </w:p>
    <w:p w14:paraId="016F18A2" w14:textId="77777777" w:rsidR="009C1079" w:rsidRPr="009C1079" w:rsidRDefault="009C1079" w:rsidP="009C1079">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9C1079">
        <w:rPr>
          <w:rFonts w:ascii="Verdana" w:eastAsia="Aptos" w:hAnsi="Verdana" w:cs="Times New Roman"/>
          <w:kern w:val="2"/>
          <w14:ligatures w14:val="standardContextual"/>
        </w:rPr>
        <w:t>Lo anterior es consecuente con lo dispuesto en el ABC del Decreto 0287 de 2026 “Contratación pública inclusiva para personas con discapacidad”</w:t>
      </w:r>
      <w:r w:rsidRPr="009C1079">
        <w:rPr>
          <w:rFonts w:ascii="Verdana" w:eastAsia="Aptos" w:hAnsi="Verdana" w:cs="Times New Roman"/>
          <w:kern w:val="2"/>
          <w:vertAlign w:val="superscript"/>
          <w14:ligatures w14:val="standardContextual"/>
        </w:rPr>
        <w:footnoteReference w:id="45"/>
      </w:r>
      <w:r w:rsidRPr="009C1079">
        <w:rPr>
          <w:rFonts w:ascii="Verdana" w:eastAsia="Aptos" w:hAnsi="Verdana" w:cs="Times New Roman"/>
          <w:kern w:val="2"/>
          <w14:ligatures w14:val="standardContextual"/>
        </w:rPr>
        <w:t xml:space="preserve"> en donde se establece que “La aplicación del Decreto 0287 de 2026 en los documentos tipo está sujeta a que Colombia Compra Eficiente realice los ajustes correspondientes en estos instrumentos”, esto considerando que “(…) los documentos tipo requieren una adecuación técnica y normativa previa para incorporar las medidas del sistema de preferencias”. </w:t>
      </w:r>
    </w:p>
    <w:p w14:paraId="1E10B70D" w14:textId="77777777" w:rsidR="009C1079" w:rsidRPr="009C1079" w:rsidRDefault="009C1079" w:rsidP="009C1079">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9C1079">
        <w:rPr>
          <w:rFonts w:ascii="Verdana" w:eastAsia="Aptos" w:hAnsi="Verdana" w:cs="Times New Roman"/>
          <w:kern w:val="2"/>
          <w14:ligatures w14:val="standardContextual"/>
        </w:rPr>
        <w:t xml:space="preserve">En consecuencia, aunque de acuerdo con el artículo 2 del Decreto 287 de </w:t>
      </w:r>
      <w:r w:rsidRPr="009C1079">
        <w:rPr>
          <w:rFonts w:ascii="Verdana" w:eastAsia="Aptos" w:hAnsi="Verdana" w:cs="Times New Roman"/>
          <w:kern w:val="2"/>
          <w14:ligatures w14:val="standardContextual"/>
        </w:rPr>
        <w:lastRenderedPageBreak/>
        <w:t>2026, este “(…) rige a partir del día siguiente a su publicación (…)”, su aplicación en los procesos contracción regidos por documentos tipo se encuentra condicionada a su incorporación formal en dichos instrumentos por parte de la Agencia Nacional de Contratación Pública – Colombia Compra Eficiente. Así, solo a partir de dicha incorporación mediante la modificación a los documentos tipo, es posible garantizar una aplicación uniforme, coherente y jurídicamente válida de las medidas afirmativas previstas, sin desconocer la distribución de competencias establecida por el legislador ni la estructura normativa del sistema de compras y contratación pública.</w:t>
      </w:r>
    </w:p>
    <w:p w14:paraId="024B2A0C" w14:textId="77777777" w:rsidR="009C1079" w:rsidRPr="009C1079" w:rsidRDefault="009C1079" w:rsidP="009C1079">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9C1079">
        <w:rPr>
          <w:rFonts w:ascii="Verdana" w:eastAsia="Aptos" w:hAnsi="Verdana" w:cs="Times New Roman"/>
          <w:kern w:val="2"/>
          <w14:ligatures w14:val="standardContextual"/>
        </w:rPr>
        <w:t xml:space="preserve">En conclusión, la implementación de las disposiciones del Decreto 287 de 2026 en relación con los documentos tipo no puede realizarse de manera directa por las entidades estatales que obligatoriamente deben aplicarlos, sino que, requiere necesariamente su desarrollo e incorporación por parte de la Agencia Nacional de Contratación Pública – Colombia Compra Eficiente, en ejercicio de la competencia que le fue atribuida por la Ley 2022 de 2020, garantizando así la coherencia del sistema, el respeto por la jerarquía normativa y la efectividad de las medidas orientadas a la inclusión de las personas con discapacidad en el sistema de compras y contratación pública. </w:t>
      </w:r>
    </w:p>
    <w:p w14:paraId="1898AF71" w14:textId="77777777" w:rsidR="009C1079" w:rsidRPr="009C1079" w:rsidRDefault="009C1079" w:rsidP="009C1079">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9C1079">
        <w:rPr>
          <w:rFonts w:ascii="Verdana" w:eastAsia="Aptos" w:hAnsi="Verdana" w:cs="Times New Roman"/>
          <w:kern w:val="2"/>
          <w14:ligatures w14:val="standardContextual"/>
        </w:rPr>
        <w:t>Finalmente, debe indicarse que, la Agencia Nacional de Contratación Pública – Colombia Compra Eficiente se encuentra trabajando en la incorporación de los criterios establecidos en el Decreto 287 de 2026 en los documentos tipo, lo que implica agotar el procedimiento previsto en la Resolución 160 de 2020 que establece el sistema para su revisión de estos documentos y la adopción de las modificaciones a que haya lugar mediante acto administrativo motivado.</w:t>
      </w:r>
    </w:p>
    <w:p w14:paraId="348F502B" w14:textId="77777777" w:rsidR="009C1079" w:rsidRPr="009C1079" w:rsidRDefault="009C1079" w:rsidP="009C1079">
      <w:pPr>
        <w:widowControl w:val="0"/>
        <w:autoSpaceDE w:val="0"/>
        <w:autoSpaceDN w:val="0"/>
        <w:spacing w:after="0" w:line="276" w:lineRule="auto"/>
        <w:ind w:firstLine="708"/>
        <w:jc w:val="both"/>
        <w:rPr>
          <w:rFonts w:ascii="Verdana" w:eastAsia="Aptos" w:hAnsi="Verdana" w:cs="Times New Roman"/>
          <w:kern w:val="2"/>
          <w14:ligatures w14:val="standardContextual"/>
        </w:rPr>
      </w:pPr>
      <w:r w:rsidRPr="009C1079">
        <w:rPr>
          <w:rFonts w:ascii="Verdana" w:eastAsia="Aptos" w:hAnsi="Verdana" w:cs="Times New Roman"/>
          <w:kern w:val="2"/>
          <w14:ligatures w14:val="standardContextual"/>
        </w:rPr>
        <w:t xml:space="preserve">Mediante el agotamiento de una serie de actuaciones que implican, el análisis del Decreto en comento desde un perspectiva técnica, financiera y jurídica, generar versiones previas para comentarios de ciudadanos, entidades y grupos de interés, respuesta a las observaciones y un informe global, entre otras etapas, esta Agencia adoptará las modificaciones a los documentos tipo para adecuarlos al contenido del Decreto 287 de 2026 que modifica el 1082 de 2015. Este trabajo ya fue iniciado por la Agencia Nacional de Contratación Pública – Colombia Compra Eficiente y finalizará con la adopción del acto </w:t>
      </w:r>
      <w:r w:rsidRPr="009C1079">
        <w:rPr>
          <w:rFonts w:ascii="Verdana" w:eastAsia="Aptos" w:hAnsi="Verdana" w:cs="Times New Roman"/>
          <w:kern w:val="2"/>
          <w14:ligatures w14:val="standardContextual"/>
        </w:rPr>
        <w:lastRenderedPageBreak/>
        <w:t xml:space="preserve">administrativo que modifica los documentos tipo luego de surtir el procedimiento señalado. </w:t>
      </w:r>
    </w:p>
    <w:bookmarkEnd w:id="1"/>
    <w:p w14:paraId="790346BD" w14:textId="77777777" w:rsidR="009C1079" w:rsidRPr="009C1079" w:rsidRDefault="009C1079" w:rsidP="009C1079">
      <w:pPr>
        <w:tabs>
          <w:tab w:val="left" w:pos="142"/>
          <w:tab w:val="left" w:pos="284"/>
        </w:tabs>
        <w:spacing w:after="0" w:line="276" w:lineRule="auto"/>
        <w:jc w:val="both"/>
        <w:rPr>
          <w:rFonts w:ascii="Verdana" w:eastAsia="Century Gothic" w:hAnsi="Verdana" w:cs="Century Gothic"/>
          <w:lang w:val="es-ES_tradnl"/>
        </w:rPr>
      </w:pPr>
    </w:p>
    <w:p w14:paraId="0DBDC34D" w14:textId="77777777" w:rsidR="009C1079" w:rsidRPr="009C1079" w:rsidRDefault="009C1079" w:rsidP="009C1079">
      <w:pPr>
        <w:tabs>
          <w:tab w:val="left" w:pos="142"/>
          <w:tab w:val="left" w:pos="284"/>
        </w:tabs>
        <w:spacing w:after="0" w:line="276" w:lineRule="auto"/>
        <w:jc w:val="both"/>
        <w:rPr>
          <w:rFonts w:ascii="Verdana" w:eastAsia="Century Gothic" w:hAnsi="Verdana" w:cs="Century Gothic"/>
          <w:b/>
          <w:bCs/>
          <w:lang w:val="es-ES_tradnl"/>
        </w:rPr>
      </w:pPr>
      <w:r w:rsidRPr="009C1079">
        <w:rPr>
          <w:rFonts w:ascii="Verdana" w:eastAsia="Century Gothic" w:hAnsi="Verdana" w:cs="Century Gothic"/>
          <w:b/>
          <w:bCs/>
          <w:lang w:val="es-ES_tradnl"/>
        </w:rPr>
        <w:t>4. Referencias normativas, jurisprudenciales y otras fuentes:</w:t>
      </w:r>
    </w:p>
    <w:p w14:paraId="43FA1BCB" w14:textId="77777777" w:rsidR="009C1079" w:rsidRPr="009C1079" w:rsidRDefault="009C1079" w:rsidP="009C1079">
      <w:pPr>
        <w:spacing w:after="0"/>
        <w:ind w:left="-15840"/>
        <w:jc w:val="both"/>
        <w:rPr>
          <w:rFonts w:ascii="Verdana" w:eastAsia="Calibri" w:hAnsi="Verdana" w:cs="Arial"/>
          <w:b/>
          <w:bCs/>
        </w:rPr>
      </w:pPr>
      <w:r w:rsidRPr="009C1079">
        <w:rPr>
          <w:rFonts w:ascii="Verdana" w:eastAsia="Calibri" w:hAnsi="Verdana" w:cs="Arial"/>
          <w:b/>
          <w:bCs/>
        </w:rPr>
        <w:t>4. Referencias normativas, jurisprudenciales y otras fuentes:</w:t>
      </w:r>
    </w:p>
    <w:tbl>
      <w:tblPr>
        <w:tblStyle w:val="Tablaconcuadrcula1"/>
        <w:tblW w:w="8640"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0"/>
      </w:tblGrid>
      <w:tr w:rsidR="009C1079" w:rsidRPr="009C1079" w14:paraId="7AD6FA30" w14:textId="77777777" w:rsidTr="00C80FF3">
        <w:trPr>
          <w:trHeight w:val="870"/>
        </w:trPr>
        <w:tc>
          <w:tcPr>
            <w:tcW w:w="8647" w:type="dxa"/>
            <w:tcBorders>
              <w:top w:val="dotted" w:sz="4" w:space="0" w:color="auto"/>
              <w:left w:val="dotted" w:sz="4" w:space="0" w:color="auto"/>
              <w:bottom w:val="dotted" w:sz="4" w:space="0" w:color="auto"/>
              <w:right w:val="dotted" w:sz="4" w:space="0" w:color="auto"/>
            </w:tcBorders>
          </w:tcPr>
          <w:p w14:paraId="6D0904C6" w14:textId="77777777" w:rsidR="009C1079" w:rsidRPr="009C1079" w:rsidRDefault="009C1079" w:rsidP="009C1079">
            <w:pPr>
              <w:widowControl w:val="0"/>
              <w:autoSpaceDE w:val="0"/>
              <w:autoSpaceDN w:val="0"/>
              <w:spacing w:line="276" w:lineRule="auto"/>
              <w:contextualSpacing/>
              <w:jc w:val="both"/>
              <w:rPr>
                <w:rFonts w:ascii="Verdana" w:eastAsia="Aptos" w:hAnsi="Verdana" w:cs="Arial"/>
                <w:kern w:val="2"/>
                <w:sz w:val="24"/>
                <w:szCs w:val="24"/>
                <w14:ligatures w14:val="standardContextual"/>
              </w:rPr>
            </w:pPr>
          </w:p>
          <w:p w14:paraId="0E090B75" w14:textId="77777777" w:rsidR="009C1079" w:rsidRPr="009C1079" w:rsidRDefault="009C1079" w:rsidP="009C1079">
            <w:pPr>
              <w:widowControl w:val="0"/>
              <w:numPr>
                <w:ilvl w:val="0"/>
                <w:numId w:val="17"/>
              </w:numPr>
              <w:autoSpaceDE w:val="0"/>
              <w:autoSpaceDN w:val="0"/>
              <w:spacing w:line="276" w:lineRule="auto"/>
              <w:contextualSpacing/>
              <w:jc w:val="both"/>
              <w:rPr>
                <w:rFonts w:ascii="Verdana" w:eastAsia="Aptos" w:hAnsi="Verdana" w:cs="Arial"/>
                <w:kern w:val="2"/>
                <w:sz w:val="24"/>
                <w:szCs w:val="24"/>
                <w:lang w:val="it-IT"/>
                <w14:ligatures w14:val="standardContextual"/>
              </w:rPr>
            </w:pPr>
            <w:r w:rsidRPr="009C1079">
              <w:rPr>
                <w:rFonts w:ascii="Verdana" w:eastAsia="Aptos" w:hAnsi="Verdana" w:cs="Arial"/>
                <w:kern w:val="2"/>
                <w:sz w:val="24"/>
                <w:szCs w:val="24"/>
                <w:lang w:val="pt-BR"/>
                <w14:ligatures w14:val="standardContextual"/>
              </w:rPr>
              <w:t xml:space="preserve">Corte Constitucional, Sentencia C–1005 de 2008. </w:t>
            </w:r>
            <w:r w:rsidRPr="009C1079">
              <w:rPr>
                <w:rFonts w:ascii="Verdana" w:eastAsia="Aptos" w:hAnsi="Verdana" w:cs="Arial"/>
                <w:kern w:val="2"/>
                <w:sz w:val="24"/>
                <w:szCs w:val="24"/>
                <w:lang w:val="it-IT"/>
                <w14:ligatures w14:val="standardContextual"/>
              </w:rPr>
              <w:t>M.P.: Humberto Antonio Sierra Porto.</w:t>
            </w:r>
          </w:p>
          <w:p w14:paraId="0C092DCC" w14:textId="77777777" w:rsidR="009C1079" w:rsidRPr="009C1079" w:rsidRDefault="009C1079" w:rsidP="009C1079">
            <w:pPr>
              <w:widowControl w:val="0"/>
              <w:numPr>
                <w:ilvl w:val="0"/>
                <w:numId w:val="17"/>
              </w:numPr>
              <w:autoSpaceDE w:val="0"/>
              <w:autoSpaceDN w:val="0"/>
              <w:spacing w:line="276" w:lineRule="auto"/>
              <w:contextualSpacing/>
              <w:jc w:val="both"/>
              <w:rPr>
                <w:rFonts w:ascii="Verdana" w:eastAsia="Aptos" w:hAnsi="Verdana" w:cs="Arial"/>
                <w:kern w:val="2"/>
                <w:sz w:val="24"/>
                <w:szCs w:val="24"/>
                <w14:ligatures w14:val="standardContextual"/>
              </w:rPr>
            </w:pPr>
            <w:r w:rsidRPr="009C1079">
              <w:rPr>
                <w:rFonts w:ascii="Verdana" w:eastAsia="Aptos" w:hAnsi="Verdana" w:cs="Arial"/>
                <w:kern w:val="2"/>
                <w:sz w:val="24"/>
                <w:szCs w:val="24"/>
                <w:lang w:val="it-IT"/>
                <w14:ligatures w14:val="standardContextual"/>
              </w:rPr>
              <w:t xml:space="preserve">Consejo de Estado, Sala de lo Contencioso Administrativo, Sección Primera. Consejero ponente: Juan Alberto Polo Figueroa. Bogotá D.C., 24 de agosto de 2000. </w:t>
            </w:r>
            <w:r w:rsidRPr="009C1079">
              <w:rPr>
                <w:rFonts w:ascii="Verdana" w:eastAsia="Aptos" w:hAnsi="Verdana" w:cs="Arial"/>
                <w:kern w:val="2"/>
                <w:sz w:val="24"/>
                <w:szCs w:val="24"/>
                <w14:ligatures w14:val="standardContextual"/>
              </w:rPr>
              <w:t>Radicación número 6096.</w:t>
            </w:r>
          </w:p>
          <w:p w14:paraId="572E979E" w14:textId="77777777" w:rsidR="009C1079" w:rsidRPr="009C1079" w:rsidRDefault="009C1079" w:rsidP="009C1079">
            <w:pPr>
              <w:widowControl w:val="0"/>
              <w:numPr>
                <w:ilvl w:val="0"/>
                <w:numId w:val="17"/>
              </w:numPr>
              <w:autoSpaceDE w:val="0"/>
              <w:autoSpaceDN w:val="0"/>
              <w:spacing w:line="276" w:lineRule="auto"/>
              <w:contextualSpacing/>
              <w:jc w:val="both"/>
              <w:rPr>
                <w:rFonts w:ascii="Verdana" w:eastAsia="Aptos" w:hAnsi="Verdana" w:cs="Arial"/>
                <w:kern w:val="2"/>
                <w:sz w:val="24"/>
                <w:szCs w:val="24"/>
                <w14:ligatures w14:val="standardContextual"/>
              </w:rPr>
            </w:pPr>
            <w:r w:rsidRPr="009C1079">
              <w:rPr>
                <w:rFonts w:ascii="Verdana" w:eastAsia="Aptos" w:hAnsi="Verdana" w:cs="Arial"/>
                <w:kern w:val="2"/>
                <w:sz w:val="24"/>
                <w:szCs w:val="24"/>
                <w:lang w:val="pt-BR"/>
                <w14:ligatures w14:val="standardContextual"/>
              </w:rPr>
              <w:t xml:space="preserve">Corte Constitucional, Sentencia C-917 de 2002. </w:t>
            </w:r>
            <w:r w:rsidRPr="009C1079">
              <w:rPr>
                <w:rFonts w:ascii="Verdana" w:eastAsia="Aptos" w:hAnsi="Verdana" w:cs="Arial"/>
                <w:kern w:val="2"/>
                <w:sz w:val="24"/>
                <w:szCs w:val="24"/>
                <w14:ligatures w14:val="standardContextual"/>
              </w:rPr>
              <w:t xml:space="preserve">M.P.: Marco Gerardo Monroy Cabra. </w:t>
            </w:r>
          </w:p>
          <w:p w14:paraId="317B5E31" w14:textId="77777777" w:rsidR="009C1079" w:rsidRPr="009C1079" w:rsidRDefault="009C1079" w:rsidP="009C1079">
            <w:pPr>
              <w:widowControl w:val="0"/>
              <w:numPr>
                <w:ilvl w:val="0"/>
                <w:numId w:val="17"/>
              </w:numPr>
              <w:autoSpaceDE w:val="0"/>
              <w:autoSpaceDN w:val="0"/>
              <w:spacing w:line="276" w:lineRule="auto"/>
              <w:contextualSpacing/>
              <w:jc w:val="both"/>
              <w:rPr>
                <w:rFonts w:ascii="Verdana" w:eastAsia="Aptos" w:hAnsi="Verdana" w:cs="Arial"/>
                <w:kern w:val="2"/>
                <w:sz w:val="24"/>
                <w:szCs w:val="24"/>
                <w14:ligatures w14:val="standardContextual"/>
              </w:rPr>
            </w:pPr>
            <w:r w:rsidRPr="009C1079">
              <w:rPr>
                <w:rFonts w:ascii="Verdana" w:eastAsia="Aptos" w:hAnsi="Verdana" w:cs="Arial"/>
                <w:kern w:val="2"/>
                <w:sz w:val="24"/>
                <w:szCs w:val="24"/>
                <w14:ligatures w14:val="standardContextual"/>
              </w:rPr>
              <w:t>Consejo de Estado. Sección Tercera. Auto del 14 de agosto de 2017. Rad. 58820.</w:t>
            </w:r>
          </w:p>
          <w:p w14:paraId="64D956D0" w14:textId="77777777" w:rsidR="009C1079" w:rsidRPr="009C1079" w:rsidRDefault="009C1079" w:rsidP="009C1079">
            <w:pPr>
              <w:widowControl w:val="0"/>
              <w:numPr>
                <w:ilvl w:val="0"/>
                <w:numId w:val="17"/>
              </w:numPr>
              <w:autoSpaceDE w:val="0"/>
              <w:autoSpaceDN w:val="0"/>
              <w:spacing w:line="276" w:lineRule="auto"/>
              <w:contextualSpacing/>
              <w:jc w:val="both"/>
              <w:rPr>
                <w:rFonts w:ascii="Verdana" w:eastAsia="Aptos" w:hAnsi="Verdana" w:cs="Arial"/>
                <w:kern w:val="2"/>
                <w:sz w:val="24"/>
                <w:szCs w:val="24"/>
                <w14:ligatures w14:val="standardContextual"/>
              </w:rPr>
            </w:pPr>
            <w:r w:rsidRPr="009C1079">
              <w:rPr>
                <w:rFonts w:ascii="Verdana" w:eastAsia="Aptos" w:hAnsi="Verdana" w:cs="Arial"/>
                <w:kern w:val="2"/>
                <w:sz w:val="24"/>
                <w:szCs w:val="24"/>
                <w14:ligatures w14:val="standardContextual"/>
              </w:rPr>
              <w:t>Consejo de Estado. Sección Tercera. Sentencia del 16 de agosto de 2017. Rad.56166.</w:t>
            </w:r>
          </w:p>
          <w:p w14:paraId="00E461AD" w14:textId="77777777" w:rsidR="009C1079" w:rsidRPr="009C1079" w:rsidRDefault="009C1079" w:rsidP="009C1079">
            <w:pPr>
              <w:widowControl w:val="0"/>
              <w:numPr>
                <w:ilvl w:val="0"/>
                <w:numId w:val="17"/>
              </w:numPr>
              <w:autoSpaceDE w:val="0"/>
              <w:autoSpaceDN w:val="0"/>
              <w:spacing w:line="276" w:lineRule="auto"/>
              <w:contextualSpacing/>
              <w:jc w:val="both"/>
              <w:rPr>
                <w:rFonts w:ascii="Verdana" w:eastAsia="Aptos" w:hAnsi="Verdana" w:cs="Arial"/>
                <w:kern w:val="2"/>
                <w:sz w:val="24"/>
                <w:szCs w:val="24"/>
                <w14:ligatures w14:val="standardContextual"/>
              </w:rPr>
            </w:pPr>
            <w:r w:rsidRPr="009C1079">
              <w:rPr>
                <w:rFonts w:ascii="Verdana" w:eastAsia="Aptos" w:hAnsi="Verdana" w:cs="Arial"/>
                <w:kern w:val="2"/>
                <w:sz w:val="24"/>
                <w:szCs w:val="24"/>
                <w14:ligatures w14:val="standardContextual"/>
              </w:rPr>
              <w:t>Consejo de Estado. Sección Tercera. Sentencia de 11 de abril de 2019. Rad. 52.055.</w:t>
            </w:r>
          </w:p>
          <w:p w14:paraId="5483E3D7" w14:textId="77777777" w:rsidR="009C1079" w:rsidRPr="009C1079" w:rsidRDefault="009C1079" w:rsidP="009C1079">
            <w:pPr>
              <w:widowControl w:val="0"/>
              <w:numPr>
                <w:ilvl w:val="0"/>
                <w:numId w:val="17"/>
              </w:numPr>
              <w:autoSpaceDE w:val="0"/>
              <w:autoSpaceDN w:val="0"/>
              <w:spacing w:line="276" w:lineRule="auto"/>
              <w:contextualSpacing/>
              <w:jc w:val="both"/>
              <w:rPr>
                <w:rFonts w:ascii="Verdana" w:eastAsia="Aptos" w:hAnsi="Verdana" w:cs="Arial"/>
                <w:kern w:val="2"/>
                <w:sz w:val="24"/>
                <w:szCs w:val="24"/>
                <w14:ligatures w14:val="standardContextual"/>
              </w:rPr>
            </w:pPr>
            <w:r w:rsidRPr="009C1079">
              <w:rPr>
                <w:rFonts w:ascii="Verdana" w:eastAsia="Aptos" w:hAnsi="Verdana" w:cs="Arial"/>
                <w:kern w:val="2"/>
                <w:sz w:val="24"/>
                <w:szCs w:val="24"/>
                <w14:ligatures w14:val="standardContextual"/>
              </w:rPr>
              <w:t>Consejo de Estado, Sección Quinta, del 12 de diciembre de 2024 (Rad. 05001-23-33-000-2024-00847-01, M.P. Omar Joaquín Barreto Suárez)</w:t>
            </w:r>
          </w:p>
          <w:p w14:paraId="62C89F92" w14:textId="77777777" w:rsidR="009C1079" w:rsidRPr="009C1079" w:rsidRDefault="009C1079" w:rsidP="009C1079">
            <w:pPr>
              <w:widowControl w:val="0"/>
              <w:numPr>
                <w:ilvl w:val="0"/>
                <w:numId w:val="17"/>
              </w:numPr>
              <w:autoSpaceDE w:val="0"/>
              <w:autoSpaceDN w:val="0"/>
              <w:spacing w:line="276" w:lineRule="auto"/>
              <w:contextualSpacing/>
              <w:jc w:val="both"/>
              <w:rPr>
                <w:rFonts w:ascii="Verdana" w:eastAsia="Aptos" w:hAnsi="Verdana" w:cs="Arial"/>
                <w:kern w:val="2"/>
                <w:sz w:val="24"/>
                <w:szCs w:val="24"/>
                <w14:ligatures w14:val="standardContextual"/>
              </w:rPr>
            </w:pPr>
            <w:r w:rsidRPr="009C1079">
              <w:rPr>
                <w:rFonts w:ascii="Verdana" w:eastAsia="Aptos" w:hAnsi="Verdana" w:cs="Arial"/>
                <w:kern w:val="2"/>
                <w:sz w:val="24"/>
                <w:szCs w:val="24"/>
                <w14:ligatures w14:val="standardContextual"/>
              </w:rPr>
              <w:t>Ley 80 de 1993: artículo 2.</w:t>
            </w:r>
          </w:p>
          <w:p w14:paraId="459EA1FE" w14:textId="77777777" w:rsidR="009C1079" w:rsidRPr="009C1079" w:rsidRDefault="009C1079" w:rsidP="009C1079">
            <w:pPr>
              <w:widowControl w:val="0"/>
              <w:numPr>
                <w:ilvl w:val="0"/>
                <w:numId w:val="16"/>
              </w:numPr>
              <w:autoSpaceDE w:val="0"/>
              <w:autoSpaceDN w:val="0"/>
              <w:spacing w:line="276" w:lineRule="auto"/>
              <w:ind w:left="714" w:hanging="357"/>
              <w:jc w:val="both"/>
              <w:rPr>
                <w:rFonts w:ascii="Verdana" w:eastAsia="Calibri" w:hAnsi="Verdana" w:cs="Arial"/>
                <w:kern w:val="2"/>
                <w:sz w:val="24"/>
                <w:szCs w:val="24"/>
                <w:lang w:val="es-ES_tradnl"/>
                <w14:ligatures w14:val="standardContextual"/>
              </w:rPr>
            </w:pPr>
            <w:r w:rsidRPr="009C1079">
              <w:rPr>
                <w:rFonts w:ascii="Verdana" w:eastAsia="Calibri" w:hAnsi="Verdana" w:cs="Arial"/>
                <w:kern w:val="2"/>
                <w:sz w:val="24"/>
                <w:szCs w:val="24"/>
                <w:lang w:val="es-ES_tradnl"/>
                <w14:ligatures w14:val="standardContextual"/>
              </w:rPr>
              <w:t xml:space="preserve">Ley 2022 de 2020, artículo 1. </w:t>
            </w:r>
          </w:p>
          <w:p w14:paraId="71B97413" w14:textId="77777777" w:rsidR="009C1079" w:rsidRPr="009C1079" w:rsidRDefault="009C1079" w:rsidP="009C1079">
            <w:pPr>
              <w:widowControl w:val="0"/>
              <w:numPr>
                <w:ilvl w:val="0"/>
                <w:numId w:val="16"/>
              </w:numPr>
              <w:autoSpaceDE w:val="0"/>
              <w:autoSpaceDN w:val="0"/>
              <w:spacing w:line="276" w:lineRule="auto"/>
              <w:contextualSpacing/>
              <w:jc w:val="both"/>
              <w:rPr>
                <w:rFonts w:ascii="Verdana" w:eastAsia="Calibri" w:hAnsi="Verdana" w:cs="Arial"/>
                <w:kern w:val="2"/>
                <w:sz w:val="24"/>
                <w:szCs w:val="24"/>
                <w14:ligatures w14:val="standardContextual"/>
              </w:rPr>
            </w:pPr>
            <w:r w:rsidRPr="009C1079">
              <w:rPr>
                <w:rFonts w:ascii="Verdana" w:eastAsia="Calibri" w:hAnsi="Verdana" w:cs="Arial"/>
                <w:kern w:val="2"/>
                <w:sz w:val="24"/>
                <w:szCs w:val="24"/>
                <w:lang w:val="es-ES_tradnl"/>
                <w14:ligatures w14:val="standardContextual"/>
              </w:rPr>
              <w:t xml:space="preserve">Documentos Tipo. Disponibles en: </w:t>
            </w:r>
            <w:hyperlink r:id="rId11" w:history="1">
              <w:r w:rsidRPr="009C1079">
                <w:rPr>
                  <w:rFonts w:ascii="Verdana" w:eastAsia="Calibri" w:hAnsi="Verdana" w:cs="Arial"/>
                  <w:color w:val="0000FF"/>
                  <w:kern w:val="2"/>
                  <w:sz w:val="24"/>
                  <w:szCs w:val="24"/>
                  <w:u w:val="single"/>
                  <w:lang w:val="es-ES_tradnl"/>
                  <w14:ligatures w14:val="standardContextual"/>
                </w:rPr>
                <w:t>https://www.colombiacompra.gov.co/documentos-tipo/documentos-tipo</w:t>
              </w:r>
            </w:hyperlink>
            <w:r w:rsidRPr="009C1079">
              <w:rPr>
                <w:rFonts w:ascii="Verdana" w:eastAsia="Calibri" w:hAnsi="Verdana" w:cs="Arial"/>
                <w:kern w:val="2"/>
                <w:sz w:val="24"/>
                <w:szCs w:val="24"/>
                <w:lang w:val="es-ES_tradnl"/>
                <w14:ligatures w14:val="standardContextual"/>
              </w:rPr>
              <w:t>.</w:t>
            </w:r>
          </w:p>
          <w:p w14:paraId="72A6DED5" w14:textId="77777777" w:rsidR="009C1079" w:rsidRPr="009C1079" w:rsidRDefault="009C1079" w:rsidP="009C1079">
            <w:pPr>
              <w:widowControl w:val="0"/>
              <w:numPr>
                <w:ilvl w:val="0"/>
                <w:numId w:val="16"/>
              </w:numPr>
              <w:autoSpaceDE w:val="0"/>
              <w:autoSpaceDN w:val="0"/>
              <w:spacing w:line="276" w:lineRule="auto"/>
              <w:contextualSpacing/>
              <w:jc w:val="both"/>
              <w:rPr>
                <w:rFonts w:ascii="Verdana" w:eastAsia="Calibri" w:hAnsi="Verdana" w:cs="Arial"/>
                <w:kern w:val="2"/>
                <w:sz w:val="24"/>
                <w:szCs w:val="24"/>
                <w14:ligatures w14:val="standardContextual"/>
              </w:rPr>
            </w:pPr>
            <w:r w:rsidRPr="009C1079">
              <w:rPr>
                <w:rFonts w:ascii="Verdana" w:eastAsia="Aptos" w:hAnsi="Verdana" w:cs="Arial"/>
                <w:kern w:val="2"/>
                <w:sz w:val="24"/>
                <w:szCs w:val="24"/>
                <w14:ligatures w14:val="standardContextual"/>
              </w:rPr>
              <w:t>Decreto Ley 4170 de 2011: artículo 1, artículo 11</w:t>
            </w:r>
          </w:p>
          <w:p w14:paraId="06BF7ACF" w14:textId="77777777" w:rsidR="009C1079" w:rsidRPr="009C1079" w:rsidRDefault="009C1079" w:rsidP="009C1079">
            <w:pPr>
              <w:widowControl w:val="0"/>
              <w:numPr>
                <w:ilvl w:val="0"/>
                <w:numId w:val="16"/>
              </w:numPr>
              <w:autoSpaceDE w:val="0"/>
              <w:autoSpaceDN w:val="0"/>
              <w:spacing w:line="276" w:lineRule="auto"/>
              <w:contextualSpacing/>
              <w:jc w:val="both"/>
              <w:rPr>
                <w:rFonts w:ascii="Verdana" w:eastAsia="Calibri" w:hAnsi="Verdana" w:cs="Arial"/>
                <w:kern w:val="2"/>
                <w:sz w:val="24"/>
                <w:szCs w:val="24"/>
                <w14:ligatures w14:val="standardContextual"/>
              </w:rPr>
            </w:pPr>
            <w:r w:rsidRPr="009C1079">
              <w:rPr>
                <w:rFonts w:ascii="Verdana" w:eastAsia="Calibri" w:hAnsi="Verdana" w:cs="Arial"/>
                <w:kern w:val="2"/>
                <w:sz w:val="24"/>
                <w:szCs w:val="24"/>
                <w:lang w:val="es-ES_tradnl"/>
                <w14:ligatures w14:val="standardContextual"/>
              </w:rPr>
              <w:t>Decreto 287 de 2026: Artículo 1 y artículo 2.</w:t>
            </w:r>
          </w:p>
        </w:tc>
      </w:tr>
    </w:tbl>
    <w:p w14:paraId="2448FCF9" w14:textId="77777777" w:rsidR="009C1079" w:rsidRPr="009C1079" w:rsidRDefault="009C1079" w:rsidP="009C1079">
      <w:pPr>
        <w:tabs>
          <w:tab w:val="left" w:pos="142"/>
          <w:tab w:val="left" w:pos="284"/>
        </w:tabs>
        <w:spacing w:after="0" w:line="276" w:lineRule="auto"/>
        <w:jc w:val="both"/>
        <w:rPr>
          <w:rFonts w:ascii="Verdana" w:eastAsia="Calibri" w:hAnsi="Verdana" w:cs="Arial"/>
        </w:rPr>
      </w:pPr>
    </w:p>
    <w:p w14:paraId="1F1DA7C3" w14:textId="77777777" w:rsidR="009C1079" w:rsidRPr="009C1079" w:rsidRDefault="009C1079" w:rsidP="009C1079">
      <w:pPr>
        <w:tabs>
          <w:tab w:val="left" w:pos="142"/>
          <w:tab w:val="left" w:pos="284"/>
        </w:tabs>
        <w:spacing w:after="0" w:line="276" w:lineRule="auto"/>
        <w:jc w:val="both"/>
        <w:rPr>
          <w:rFonts w:ascii="Verdana" w:eastAsia="Century Gothic" w:hAnsi="Verdana" w:cs="Century Gothic"/>
          <w:b/>
          <w:bCs/>
          <w:lang w:val="es-ES"/>
        </w:rPr>
      </w:pPr>
      <w:r w:rsidRPr="009C1079">
        <w:rPr>
          <w:rFonts w:ascii="Verdana" w:eastAsia="Calibri" w:hAnsi="Verdana" w:cs="Arial"/>
          <w:b/>
          <w:bCs/>
        </w:rPr>
        <w:lastRenderedPageBreak/>
        <w:t>5</w:t>
      </w:r>
      <w:r w:rsidRPr="009C1079">
        <w:rPr>
          <w:rFonts w:ascii="Verdana" w:eastAsia="Calibri" w:hAnsi="Verdana" w:cs="Arial"/>
        </w:rPr>
        <w:t>.</w:t>
      </w:r>
      <w:r w:rsidRPr="009C1079">
        <w:rPr>
          <w:rFonts w:ascii="Verdana" w:eastAsia="Century Gothic" w:hAnsi="Verdana" w:cs="Century Gothic"/>
          <w:b/>
          <w:bCs/>
          <w:lang w:val="es-ES"/>
        </w:rPr>
        <w:t>Doctrina de la Agencia Nacional de Contratación Pública:</w:t>
      </w:r>
    </w:p>
    <w:p w14:paraId="4FB9AC5F" w14:textId="77777777" w:rsidR="009C1079" w:rsidRPr="009C1079" w:rsidRDefault="009C1079" w:rsidP="009C1079">
      <w:pPr>
        <w:widowControl w:val="0"/>
        <w:autoSpaceDE w:val="0"/>
        <w:autoSpaceDN w:val="0"/>
        <w:spacing w:after="0" w:line="276" w:lineRule="auto"/>
        <w:jc w:val="both"/>
        <w:rPr>
          <w:rFonts w:ascii="Verdana" w:eastAsia="Calibri" w:hAnsi="Verdana" w:cs="Arial"/>
        </w:rPr>
      </w:pPr>
    </w:p>
    <w:p w14:paraId="21168BC2" w14:textId="77777777" w:rsidR="009C1079" w:rsidRPr="009C1079" w:rsidRDefault="009C1079" w:rsidP="009C1079">
      <w:pPr>
        <w:widowControl w:val="0"/>
        <w:autoSpaceDE w:val="0"/>
        <w:autoSpaceDN w:val="0"/>
        <w:spacing w:after="0" w:line="276" w:lineRule="auto"/>
        <w:jc w:val="both"/>
        <w:rPr>
          <w:rFonts w:ascii="Verdana" w:eastAsia="Times New Roman" w:hAnsi="Verdana" w:cs="Arial"/>
          <w:kern w:val="2"/>
          <w:shd w:val="clear" w:color="auto" w:fill="FFFFFF"/>
          <w:lang w:val="es-ES"/>
          <w14:ligatures w14:val="standardContextual"/>
        </w:rPr>
      </w:pPr>
      <w:r w:rsidRPr="009C1079">
        <w:rPr>
          <w:rFonts w:ascii="Verdana" w:eastAsia="Calibri" w:hAnsi="Verdana" w:cs="Arial"/>
          <w:kern w:val="2"/>
          <w:shd w:val="clear" w:color="auto" w:fill="FFFFFF"/>
          <w14:ligatures w14:val="standardContextual"/>
        </w:rPr>
        <w:t>L</w:t>
      </w:r>
      <w:r w:rsidRPr="009C1079">
        <w:rPr>
          <w:rFonts w:ascii="Verdana" w:eastAsia="Calibri" w:hAnsi="Verdana" w:cs="Arial"/>
          <w:kern w:val="2"/>
          <w:shd w:val="clear" w:color="auto" w:fill="FFFFFF"/>
          <w:lang w:val="es-ES"/>
          <w14:ligatures w14:val="standardContextual"/>
        </w:rPr>
        <w:t>a Agencia Nacional de Contratación Pública – Colombia Compra Eficiente, se ha pronunciado sobre la regla de la inalterabilidad de los documentos tipo en los siguiente conceptos:C-058 del 8 de marzo de 2022, C-657 del 11 de octubre de 2022, C-051 del 28 de abril de 2023</w:t>
      </w:r>
      <w:r w:rsidRPr="009C1079">
        <w:rPr>
          <w:rFonts w:ascii="Verdana" w:eastAsia="Times New Roman" w:hAnsi="Verdana" w:cs="Arial"/>
          <w:kern w:val="2"/>
          <w:shd w:val="clear" w:color="auto" w:fill="FFFFFF"/>
          <w:lang w:val="es-ES"/>
          <w14:ligatures w14:val="standardContextual"/>
        </w:rPr>
        <w:t xml:space="preserve">, </w:t>
      </w:r>
      <w:r w:rsidRPr="009C1079">
        <w:rPr>
          <w:rFonts w:ascii="Verdana" w:eastAsia="Calibri" w:hAnsi="Verdana" w:cs="Arial"/>
          <w:kern w:val="2"/>
          <w:shd w:val="clear" w:color="auto" w:fill="FFFFFF"/>
          <w:lang w:val="es-ES"/>
          <w14:ligatures w14:val="standardContextual"/>
        </w:rPr>
        <w:t>C-513 del 7 de octubre de 2024, C-730 del 27 de noviembre de 2024, C-870 del 15 de diciembre de 2024, C-092 del 4 de marzo de 2025, C-110 del 7 de marzo de 2025, C-133 del 10 de marzo de 2025, C-241 del 14 de marzo de 2025, C-283 del 14 de abril de 2025, C-302 del 21 de abril de 2025, C-386 del 22 de abril de 2025, C-322 del 25 de abril de 2025, C-325 del 25 de abril de 2025, C-342 del 25 de abril de 2025, C-365 del 2 de mayo de 2025, C-382 del 6 de mayo de 2025, C497 del 5 de junio de 2025, C-522 del 9 de junio de 2025, C-562 del 19 de junio de 2025, C-582 del 25 de junio de 2025</w:t>
      </w:r>
      <w:r w:rsidRPr="009C1079">
        <w:rPr>
          <w:rFonts w:ascii="Verdana" w:eastAsia="Calibri" w:hAnsi="Verdana" w:cs="Arial"/>
          <w:shd w:val="clear" w:color="auto" w:fill="FFFFFF"/>
          <w:lang w:val="es-ES"/>
        </w:rPr>
        <w:t xml:space="preserve">, C-043 del 13 de febrero de 2026 y C-246 del 12 de marzo de 2026, entre otros. </w:t>
      </w:r>
    </w:p>
    <w:p w14:paraId="78FC63BF" w14:textId="77777777" w:rsidR="009C1079" w:rsidRPr="009C1079" w:rsidRDefault="009C1079" w:rsidP="009C1079">
      <w:pPr>
        <w:widowControl w:val="0"/>
        <w:autoSpaceDE w:val="0"/>
        <w:autoSpaceDN w:val="0"/>
        <w:spacing w:after="0" w:line="276" w:lineRule="auto"/>
        <w:jc w:val="both"/>
        <w:rPr>
          <w:rFonts w:ascii="Verdana" w:eastAsia="Times New Roman" w:hAnsi="Verdana" w:cs="Arial"/>
          <w:shd w:val="clear" w:color="auto" w:fill="FFFFFF"/>
          <w:lang w:val="es-ES"/>
        </w:rPr>
      </w:pPr>
    </w:p>
    <w:p w14:paraId="058B812A" w14:textId="77777777" w:rsidR="009C1079" w:rsidRPr="009C1079" w:rsidRDefault="009C1079" w:rsidP="009C1079">
      <w:pPr>
        <w:widowControl w:val="0"/>
        <w:autoSpaceDE w:val="0"/>
        <w:autoSpaceDN w:val="0"/>
        <w:spacing w:after="0" w:line="276" w:lineRule="auto"/>
        <w:jc w:val="both"/>
        <w:rPr>
          <w:rFonts w:ascii="Verdana" w:eastAsia="Times New Roman" w:hAnsi="Verdana" w:cs="Arial"/>
          <w:shd w:val="clear" w:color="auto" w:fill="FFFFFF"/>
          <w:lang w:val="es-ES"/>
        </w:rPr>
      </w:pPr>
      <w:r w:rsidRPr="009C1079">
        <w:rPr>
          <w:rFonts w:ascii="Verdana" w:eastAsia="Times New Roman" w:hAnsi="Verdana" w:cs="Arial"/>
          <w:shd w:val="clear" w:color="auto" w:fill="FFFFFF"/>
          <w:lang w:val="es-ES"/>
        </w:rPr>
        <w:t>Por otra parte, la Agencia Nacional de Contratación Pública – Colombia Compra Eficiente se pronunció sobre el ámbito de aplicación del Decreto 287 de 2026 en los documentos tipo, en el concepto C-467 del 21 de abril de 2026.</w:t>
      </w:r>
    </w:p>
    <w:p w14:paraId="53E6D597" w14:textId="77777777" w:rsidR="009C1079" w:rsidRPr="009C1079" w:rsidRDefault="009C1079" w:rsidP="009C1079">
      <w:pPr>
        <w:widowControl w:val="0"/>
        <w:autoSpaceDE w:val="0"/>
        <w:autoSpaceDN w:val="0"/>
        <w:spacing w:after="0" w:line="276" w:lineRule="auto"/>
        <w:jc w:val="both"/>
        <w:rPr>
          <w:rFonts w:ascii="Verdana" w:eastAsia="Times New Roman" w:hAnsi="Verdana" w:cs="Arial"/>
          <w:shd w:val="clear" w:color="auto" w:fill="FFFFFF"/>
          <w:lang w:val="es-ES"/>
        </w:rPr>
      </w:pPr>
    </w:p>
    <w:p w14:paraId="599CD792" w14:textId="77777777" w:rsidR="009C1079" w:rsidRPr="009C1079" w:rsidRDefault="009C1079" w:rsidP="009C1079">
      <w:pPr>
        <w:widowControl w:val="0"/>
        <w:autoSpaceDE w:val="0"/>
        <w:autoSpaceDN w:val="0"/>
        <w:spacing w:after="0" w:line="276" w:lineRule="auto"/>
        <w:jc w:val="both"/>
        <w:rPr>
          <w:rFonts w:ascii="Verdana" w:eastAsia="Times New Roman" w:hAnsi="Verdana" w:cs="Arial"/>
          <w:shd w:val="clear" w:color="auto" w:fill="FFFFFF"/>
          <w:lang w:val="es-ES"/>
        </w:rPr>
      </w:pPr>
      <w:r w:rsidRPr="009C1079">
        <w:rPr>
          <w:rFonts w:ascii="Verdana" w:eastAsia="Calibri" w:hAnsi="Verdana" w:cs="Arial"/>
          <w:color w:val="000000"/>
          <w:shd w:val="clear" w:color="auto" w:fill="FFFFFF"/>
        </w:rPr>
        <w:t xml:space="preserve">Estos y otros conceptos 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 </w:t>
      </w:r>
      <w:hyperlink r:id="rId12" w:history="1">
        <w:r w:rsidRPr="009C1079">
          <w:rPr>
            <w:rFonts w:ascii="Verdana" w:eastAsia="Aptos" w:hAnsi="Verdana" w:cs="Arial"/>
            <w:color w:val="0000FF"/>
            <w:kern w:val="2"/>
            <w:u w:val="single"/>
            <w:shd w:val="clear" w:color="auto" w:fill="FFFFFF"/>
            <w14:ligatures w14:val="standardContextual"/>
          </w:rPr>
          <w:t>https://relatoria.colombiacompra.gov.co/busqueda/conceptos</w:t>
        </w:r>
      </w:hyperlink>
      <w:r w:rsidRPr="009C1079">
        <w:rPr>
          <w:rFonts w:ascii="Verdana" w:eastAsia="Aptos" w:hAnsi="Verdana" w:cs="Arial"/>
          <w:kern w:val="2"/>
          <w:shd w:val="clear" w:color="auto" w:fill="FFFFFF"/>
          <w14:ligatures w14:val="standardContextual"/>
        </w:rPr>
        <w:t xml:space="preserve">. </w:t>
      </w:r>
      <w:r w:rsidRPr="009C1079">
        <w:rPr>
          <w:rFonts w:ascii="Verdana" w:eastAsia="Aptos" w:hAnsi="Verdana" w:cs="Arial"/>
          <w:color w:val="FF0000"/>
          <w:kern w:val="2"/>
          <w:shd w:val="clear" w:color="auto" w:fill="FFFFFF"/>
          <w:lang w:val="es-ES"/>
          <w14:ligatures w14:val="standardContextual"/>
        </w:rPr>
        <w:t xml:space="preserve">  </w:t>
      </w:r>
    </w:p>
    <w:p w14:paraId="7106F472" w14:textId="77777777" w:rsidR="009C1079" w:rsidRPr="009C1079" w:rsidRDefault="009C1079" w:rsidP="009C1079">
      <w:pPr>
        <w:spacing w:after="0" w:line="240" w:lineRule="auto"/>
        <w:jc w:val="both"/>
        <w:rPr>
          <w:rFonts w:ascii="Verdana" w:eastAsia="Calibri" w:hAnsi="Verdana" w:cs="Arial"/>
          <w:color w:val="000000"/>
          <w:shd w:val="clear" w:color="auto" w:fill="FFFFFF"/>
        </w:rPr>
      </w:pPr>
    </w:p>
    <w:p w14:paraId="32DCB5A5" w14:textId="77777777" w:rsidR="009C1079" w:rsidRPr="009C1079" w:rsidRDefault="009C1079" w:rsidP="009C1079">
      <w:pPr>
        <w:spacing w:after="0" w:line="276" w:lineRule="auto"/>
        <w:jc w:val="both"/>
        <w:rPr>
          <w:rFonts w:ascii="Verdana" w:eastAsia="Times New Roman" w:hAnsi="Verdana" w:cs="Arial"/>
          <w:lang w:eastAsia="es-MX"/>
        </w:rPr>
      </w:pPr>
      <w:r w:rsidRPr="009C1079">
        <w:rPr>
          <w:rFonts w:ascii="Verdana" w:eastAsia="Times New Roman" w:hAnsi="Verdana" w:cs="Arial"/>
          <w:lang w:eastAsia="es-MX"/>
        </w:rPr>
        <w:t xml:space="preserve">La sostenibilidad no es una opción, es una obligación. Por ello, la Agencia Nacional de Contratación Pública –Colombia Compra Eficiente– te invita a realizar el </w:t>
      </w:r>
      <w:r w:rsidRPr="009C1079">
        <w:rPr>
          <w:rFonts w:ascii="Verdana" w:eastAsia="Times New Roman" w:hAnsi="Verdana" w:cs="Arial"/>
          <w:b/>
          <w:bCs/>
          <w:lang w:eastAsia="es-MX"/>
        </w:rPr>
        <w:t>Curso de Contratación Pública Sostenible y Socialmente Responsable</w:t>
      </w:r>
      <w:r w:rsidRPr="009C1079">
        <w:rPr>
          <w:rFonts w:ascii="Verdana" w:eastAsia="Times New Roman" w:hAnsi="Verdana" w:cs="Arial"/>
          <w:lang w:eastAsia="es-MX"/>
        </w:rPr>
        <w:t xml:space="preserve">, una herramienta clave para fortalecer las capacidades de todos los compradores públicos, proveedores, servidores públicos y para generar mayor valor público. Accede al curso y aprende como implementar criterios </w:t>
      </w:r>
      <w:r w:rsidRPr="009C1079">
        <w:rPr>
          <w:rFonts w:ascii="Verdana" w:eastAsia="Times New Roman" w:hAnsi="Verdana" w:cs="Arial"/>
          <w:lang w:eastAsia="es-MX"/>
        </w:rPr>
        <w:lastRenderedPageBreak/>
        <w:t>sociales y ambientales en las diferentes etapas del proceso de contratación:</w:t>
      </w:r>
      <w:r w:rsidRPr="009C1079">
        <w:rPr>
          <w:rFonts w:ascii="Verdana" w:eastAsia="Times New Roman" w:hAnsi="Verdana" w:cs="Arial"/>
          <w:lang w:eastAsia="es-MX"/>
        </w:rPr>
        <w:br/>
      </w:r>
      <w:hyperlink r:id="rId13" w:tgtFrame="_new" w:history="1">
        <w:r w:rsidRPr="009C1079">
          <w:rPr>
            <w:rFonts w:ascii="Verdana" w:eastAsia="Times New Roman" w:hAnsi="Verdana" w:cs="Arial"/>
            <w:color w:val="0000FF"/>
            <w:u w:val="single"/>
            <w:lang w:eastAsia="es-MX"/>
          </w:rPr>
          <w:t>https://formacionvirtual.colombiacompra.gov.co/mod/page/view.php?id=3718</w:t>
        </w:r>
      </w:hyperlink>
    </w:p>
    <w:p w14:paraId="58315AEC" w14:textId="77777777" w:rsidR="009C1079" w:rsidRPr="009C1079" w:rsidRDefault="009C1079" w:rsidP="009C1079">
      <w:pPr>
        <w:spacing w:after="0" w:line="276" w:lineRule="auto"/>
        <w:jc w:val="both"/>
        <w:rPr>
          <w:rFonts w:ascii="Verdana" w:eastAsia="Times New Roman" w:hAnsi="Verdana" w:cs="Arial"/>
          <w:lang w:eastAsia="es-MX"/>
        </w:rPr>
      </w:pPr>
      <w:r w:rsidRPr="009C1079">
        <w:rPr>
          <w:rFonts w:ascii="Verdana" w:eastAsia="Times New Roman" w:hAnsi="Verdana" w:cs="Arial"/>
          <w:lang w:eastAsia="es-MX"/>
        </w:rPr>
        <w:t xml:space="preserve">De otro lado, te contamos que esta Agencia ha da un paso decisivo en la estandarización y modernización del </w:t>
      </w:r>
      <w:r w:rsidRPr="009C1079">
        <w:rPr>
          <w:rFonts w:ascii="Verdana" w:eastAsia="Times New Roman" w:hAnsi="Verdana" w:cs="Arial"/>
          <w:b/>
          <w:bCs/>
          <w:lang w:eastAsia="es-MX"/>
        </w:rPr>
        <w:t>sector  social</w:t>
      </w:r>
      <w:r w:rsidRPr="009C1079">
        <w:rPr>
          <w:rFonts w:ascii="Verdana" w:eastAsia="Times New Roman" w:hAnsi="Verdana" w:cs="Arial"/>
          <w:lang w:eastAsia="es-MX"/>
        </w:rPr>
        <w:t xml:space="preserve"> con la expedición de las </w:t>
      </w:r>
      <w:r w:rsidRPr="009C1079">
        <w:rPr>
          <w:rFonts w:ascii="Verdana" w:eastAsia="Times New Roman" w:hAnsi="Verdana" w:cs="Arial"/>
          <w:b/>
          <w:bCs/>
          <w:lang w:eastAsia="es-MX"/>
        </w:rPr>
        <w:t>Resoluciones 539, 540, 541, 952 y 953 de 2025</w:t>
      </w:r>
      <w:r w:rsidRPr="009C1079">
        <w:rPr>
          <w:rFonts w:ascii="Verdana" w:eastAsia="Times New Roman" w:hAnsi="Verdana" w:cs="Arial"/>
          <w:lang w:eastAsia="es-MX"/>
        </w:rPr>
        <w:t xml:space="preserve">, </w:t>
      </w:r>
      <w:r w:rsidRPr="009C1079">
        <w:rPr>
          <w:rFonts w:ascii="Verdana" w:eastAsia="Times New Roman" w:hAnsi="Verdana" w:cs="Arial"/>
          <w:b/>
          <w:bCs/>
          <w:lang w:eastAsia="es-MX"/>
        </w:rPr>
        <w:t>mediante las cuales adoptó Documentos Tipo</w:t>
      </w:r>
      <w:r w:rsidRPr="009C1079">
        <w:rPr>
          <w:rFonts w:ascii="Verdana" w:eastAsia="Times New Roman" w:hAnsi="Verdana" w:cs="Arial"/>
          <w:lang w:eastAsia="es-MX"/>
        </w:rPr>
        <w:t xml:space="preserve"> para las modalidades de selección de</w:t>
      </w:r>
      <w:r w:rsidRPr="009C1079">
        <w:rPr>
          <w:rFonts w:ascii="Verdana" w:eastAsia="Times New Roman" w:hAnsi="Verdana" w:cs="Arial"/>
          <w:b/>
          <w:bCs/>
          <w:lang w:eastAsia="es-MX"/>
        </w:rPr>
        <w:t xml:space="preserve"> licitación pública (versión 2), selección abreviada de menor cuantía, mínima cuantía, consultoría e interventoría</w:t>
      </w:r>
      <w:r w:rsidRPr="009C1079">
        <w:rPr>
          <w:rFonts w:ascii="Verdana" w:eastAsia="Times New Roman" w:hAnsi="Verdana" w:cs="Arial"/>
          <w:lang w:eastAsia="es-MX"/>
        </w:rPr>
        <w:t xml:space="preserve">, promoviendo procesos más transparentes, eficientes  competitivos y sostenibles en sectores estratégicos como educación, salud, cultura, recreación, deporte, institucional y vivienda. Consulta y descarga los documentos aquí: </w:t>
      </w:r>
      <w:hyperlink r:id="rId14" w:tgtFrame="_new" w:history="1">
        <w:r w:rsidRPr="009C1079">
          <w:rPr>
            <w:rFonts w:ascii="Verdana" w:eastAsia="Times New Roman" w:hAnsi="Verdana" w:cs="Arial"/>
            <w:color w:val="0000FF"/>
            <w:u w:val="single"/>
            <w:lang w:eastAsia="es-MX"/>
          </w:rPr>
          <w:t>https://www.colombiacompra.gov.co/normativa-y-relatoria/documentos-tipo</w:t>
        </w:r>
      </w:hyperlink>
    </w:p>
    <w:p w14:paraId="787A03B8" w14:textId="77777777" w:rsidR="009C1079" w:rsidRPr="009C1079" w:rsidRDefault="009C1079" w:rsidP="009C1079">
      <w:pPr>
        <w:spacing w:after="0" w:line="276" w:lineRule="auto"/>
        <w:jc w:val="both"/>
        <w:rPr>
          <w:rFonts w:ascii="Verdana" w:eastAsia="Times New Roman" w:hAnsi="Verdana" w:cs="Arial"/>
          <w:lang w:eastAsia="es-MX"/>
        </w:rPr>
      </w:pPr>
    </w:p>
    <w:p w14:paraId="7BEDB0F0" w14:textId="77777777" w:rsidR="009C1079" w:rsidRPr="009C1079" w:rsidRDefault="009C1079" w:rsidP="009C1079">
      <w:pPr>
        <w:spacing w:after="0" w:line="276" w:lineRule="auto"/>
        <w:jc w:val="both"/>
        <w:rPr>
          <w:rFonts w:ascii="Verdana" w:eastAsia="Times New Roman" w:hAnsi="Verdana" w:cs="Arial"/>
          <w:lang w:eastAsia="es-MX"/>
        </w:rPr>
      </w:pPr>
      <w:r w:rsidRPr="009C1079">
        <w:rPr>
          <w:rFonts w:ascii="Verdana" w:eastAsia="Times New Roman" w:hAnsi="Verdana" w:cs="Arial"/>
          <w:lang w:eastAsia="es-MX"/>
        </w:rPr>
        <w:t xml:space="preserve">Si quieres conocer más sobre la aplicación de Documentos Tipo puedes consultar la última versión de la </w:t>
      </w:r>
      <w:r w:rsidRPr="009C1079">
        <w:rPr>
          <w:rFonts w:ascii="Verdana" w:eastAsia="Times New Roman" w:hAnsi="Verdana" w:cs="Arial"/>
          <w:b/>
          <w:bCs/>
          <w:lang w:eastAsia="es-MX"/>
        </w:rPr>
        <w:t>Guía para la comprensión e implementación de los Documentos Tipo de obra pública de infraestructura de transporte</w:t>
      </w:r>
      <w:r w:rsidRPr="009C1079">
        <w:rPr>
          <w:rFonts w:ascii="Verdana" w:eastAsia="Times New Roman" w:hAnsi="Verdana" w:cs="Arial"/>
          <w:lang w:eastAsia="es-MX"/>
        </w:rPr>
        <w:t>. En esta actualización se incorporaron orientaciones prácticas dirigidas a entidades públicas, proveedores, organismos de control y demás interesados, con el propósito de facilitar la adecuada implementación de estos instrumentos en los procesos contractuales. Además se incluyeron lineamientos que orientan la implementación de los criterios ambientales y sociales incluidos en los documentos tipo: Consulta la guía aquí:</w:t>
      </w:r>
      <w:r w:rsidRPr="009C1079">
        <w:rPr>
          <w:rFonts w:ascii="Verdana" w:eastAsia="Times New Roman" w:hAnsi="Verdana" w:cs="Arial"/>
          <w:lang w:eastAsia="es-MX"/>
        </w:rPr>
        <w:br/>
      </w:r>
      <w:hyperlink r:id="rId15" w:tgtFrame="_new" w:history="1">
        <w:r w:rsidRPr="009C1079">
          <w:rPr>
            <w:rFonts w:ascii="Verdana" w:eastAsia="Times New Roman" w:hAnsi="Verdana" w:cs="Arial"/>
            <w:color w:val="0000FF"/>
            <w:u w:val="single"/>
            <w:lang w:eastAsia="es-MX"/>
          </w:rPr>
          <w:t>https://www.colombiacompra.gov.co/archivos/manual/guia-para-la-comprension-e-implementacion-de-los-documentos-tipo-de-obra-publica-de-infraestructura-de-transporte-bajo-las-diferentes-modalidades-de-contratacion-vigentes</w:t>
        </w:r>
      </w:hyperlink>
    </w:p>
    <w:p w14:paraId="68A9D435" w14:textId="77777777" w:rsidR="009C1079" w:rsidRPr="009C1079" w:rsidRDefault="009C1079" w:rsidP="009C1079">
      <w:pPr>
        <w:spacing w:after="0"/>
        <w:jc w:val="both"/>
        <w:rPr>
          <w:rFonts w:ascii="Verdana" w:eastAsia="Aptos" w:hAnsi="Verdana" w:cs="Times New Roman"/>
          <w:color w:val="212121"/>
          <w:lang w:eastAsia="es-MX"/>
        </w:rPr>
      </w:pPr>
    </w:p>
    <w:p w14:paraId="563EDA2E" w14:textId="77777777" w:rsidR="009C1079" w:rsidRPr="009C1079" w:rsidRDefault="009C1079" w:rsidP="009C1079">
      <w:pPr>
        <w:spacing w:after="0" w:line="240" w:lineRule="auto"/>
        <w:jc w:val="both"/>
        <w:rPr>
          <w:rFonts w:ascii="Verdana" w:eastAsia="Calibri" w:hAnsi="Verdana" w:cs="Times New Roman"/>
          <w:lang w:eastAsia="es-MX"/>
        </w:rPr>
      </w:pPr>
      <w:r w:rsidRPr="009C1079">
        <w:rPr>
          <w:rFonts w:ascii="Verdana" w:eastAsia="Aptos" w:hAnsi="Verdana" w:cs="Times New Roman"/>
          <w:lang w:eastAsia="es-MX"/>
        </w:rPr>
        <w:t xml:space="preserve">Por último, lo invitamos a seguirnos en las redes sociales en las cuales se difunde información institucional: </w:t>
      </w:r>
    </w:p>
    <w:p w14:paraId="44450A40" w14:textId="77777777" w:rsidR="009C1079" w:rsidRPr="009C1079" w:rsidRDefault="009C1079" w:rsidP="009C1079">
      <w:pPr>
        <w:spacing w:after="0" w:line="240" w:lineRule="auto"/>
        <w:jc w:val="both"/>
        <w:rPr>
          <w:rFonts w:ascii="Verdana" w:eastAsia="Aptos" w:hAnsi="Verdana" w:cs="Times New Roman"/>
          <w:lang w:eastAsia="es-MX"/>
        </w:rPr>
      </w:pPr>
    </w:p>
    <w:p w14:paraId="27A7168A" w14:textId="77777777" w:rsidR="009C1079" w:rsidRPr="009C1079" w:rsidRDefault="009C1079" w:rsidP="009C1079">
      <w:pPr>
        <w:spacing w:after="0" w:line="240" w:lineRule="auto"/>
        <w:jc w:val="both"/>
        <w:rPr>
          <w:rFonts w:ascii="Verdana" w:eastAsia="Aptos" w:hAnsi="Verdana" w:cs="Times New Roman"/>
          <w:lang w:eastAsia="es-MX"/>
        </w:rPr>
      </w:pPr>
      <w:r w:rsidRPr="009C1079">
        <w:rPr>
          <w:rFonts w:ascii="Verdana" w:eastAsia="Aptos" w:hAnsi="Verdana" w:cs="Times New Roman"/>
          <w:lang w:eastAsia="es-MX"/>
        </w:rPr>
        <w:t xml:space="preserve">Twitter: </w:t>
      </w:r>
      <w:r w:rsidRPr="009C1079">
        <w:rPr>
          <w:rFonts w:ascii="Verdana" w:eastAsia="Calibri" w:hAnsi="Verdana" w:cs="Times New Roman"/>
          <w:color w:val="156082"/>
          <w:u w:val="single"/>
          <w:lang w:eastAsia="es-MX"/>
        </w:rPr>
        <w:t>@colombiacompra</w:t>
      </w:r>
      <w:r w:rsidRPr="009C1079">
        <w:rPr>
          <w:rFonts w:ascii="Verdana" w:eastAsia="Calibri" w:hAnsi="Verdana" w:cs="Times New Roman"/>
          <w:color w:val="156082"/>
          <w:lang w:eastAsia="es-MX"/>
        </w:rPr>
        <w:t xml:space="preserve"> </w:t>
      </w:r>
    </w:p>
    <w:p w14:paraId="50186514" w14:textId="77777777" w:rsidR="009C1079" w:rsidRPr="009C1079" w:rsidRDefault="009C1079" w:rsidP="009C1079">
      <w:pPr>
        <w:spacing w:after="0" w:line="240" w:lineRule="auto"/>
        <w:jc w:val="both"/>
        <w:rPr>
          <w:rFonts w:ascii="Verdana" w:eastAsia="Aptos" w:hAnsi="Verdana" w:cs="Times New Roman"/>
          <w:lang w:eastAsia="es-MX"/>
        </w:rPr>
      </w:pPr>
      <w:r w:rsidRPr="009C1079">
        <w:rPr>
          <w:rFonts w:ascii="Verdana" w:eastAsia="Aptos" w:hAnsi="Verdana" w:cs="Times New Roman"/>
          <w:lang w:eastAsia="es-MX"/>
        </w:rPr>
        <w:t xml:space="preserve">Facebook: </w:t>
      </w:r>
      <w:proofErr w:type="spellStart"/>
      <w:r w:rsidRPr="009C1079">
        <w:rPr>
          <w:rFonts w:ascii="Verdana" w:eastAsia="Calibri" w:hAnsi="Verdana" w:cs="Times New Roman"/>
          <w:color w:val="156082"/>
          <w:u w:val="single"/>
          <w:lang w:eastAsia="es-MX"/>
        </w:rPr>
        <w:t>ColombiaCompraEficiente</w:t>
      </w:r>
      <w:proofErr w:type="spellEnd"/>
    </w:p>
    <w:p w14:paraId="52EA8BE7" w14:textId="77777777" w:rsidR="009C1079" w:rsidRPr="009C1079" w:rsidRDefault="009C1079" w:rsidP="009C1079">
      <w:pPr>
        <w:spacing w:after="0" w:line="240" w:lineRule="auto"/>
        <w:jc w:val="both"/>
        <w:rPr>
          <w:rFonts w:ascii="Verdana" w:eastAsia="Aptos" w:hAnsi="Verdana" w:cs="Times New Roman"/>
          <w:lang w:eastAsia="es-MX"/>
        </w:rPr>
      </w:pPr>
      <w:r w:rsidRPr="009C1079">
        <w:rPr>
          <w:rFonts w:ascii="Verdana" w:eastAsia="Aptos" w:hAnsi="Verdana" w:cs="Times New Roman"/>
          <w:lang w:eastAsia="es-MX"/>
        </w:rPr>
        <w:t xml:space="preserve">LinkedIn: </w:t>
      </w:r>
      <w:r w:rsidRPr="009C1079">
        <w:rPr>
          <w:rFonts w:ascii="Verdana" w:eastAsia="Calibri" w:hAnsi="Verdana" w:cs="Times New Roman"/>
          <w:color w:val="156082"/>
          <w:u w:val="single"/>
          <w:lang w:eastAsia="es-MX"/>
        </w:rPr>
        <w:t>Agencia Nacional de Contratación Pública - Colombia Compra Eficiente</w:t>
      </w:r>
      <w:r w:rsidRPr="009C1079">
        <w:rPr>
          <w:rFonts w:ascii="Verdana" w:eastAsia="Calibri" w:hAnsi="Verdana" w:cs="Times New Roman"/>
          <w:color w:val="156082"/>
          <w:lang w:eastAsia="es-MX"/>
        </w:rPr>
        <w:t xml:space="preserve"> </w:t>
      </w:r>
      <w:r w:rsidRPr="009C1079">
        <w:rPr>
          <w:rFonts w:ascii="Verdana" w:eastAsia="Aptos" w:hAnsi="Verdana" w:cs="Times New Roman"/>
          <w:lang w:eastAsia="es-MX"/>
        </w:rPr>
        <w:t xml:space="preserve">Instagram: </w:t>
      </w:r>
      <w:r w:rsidRPr="009C1079">
        <w:rPr>
          <w:rFonts w:ascii="Verdana" w:eastAsia="Calibri" w:hAnsi="Verdana" w:cs="Times New Roman"/>
          <w:color w:val="156082"/>
          <w:u w:val="single"/>
          <w:lang w:eastAsia="es-MX"/>
        </w:rPr>
        <w:t>@colombiacompraeficiente_cce</w:t>
      </w:r>
    </w:p>
    <w:p w14:paraId="0B05FC61" w14:textId="77777777" w:rsidR="009C1079" w:rsidRPr="009C1079" w:rsidRDefault="009C1079" w:rsidP="009C1079">
      <w:pPr>
        <w:spacing w:after="0" w:line="276" w:lineRule="auto"/>
        <w:jc w:val="both"/>
        <w:rPr>
          <w:rFonts w:ascii="Verdana" w:eastAsia="Aptos" w:hAnsi="Verdana" w:cs="Times New Roman"/>
          <w:lang w:eastAsia="es-MX"/>
        </w:rPr>
      </w:pPr>
    </w:p>
    <w:p w14:paraId="7FAFD872" w14:textId="77777777" w:rsidR="009C1079" w:rsidRPr="009C1079" w:rsidRDefault="009C1079" w:rsidP="009C1079">
      <w:pPr>
        <w:spacing w:after="0" w:line="276" w:lineRule="auto"/>
        <w:jc w:val="both"/>
        <w:rPr>
          <w:rFonts w:ascii="Verdana" w:eastAsia="Calibri" w:hAnsi="Verdana" w:cs="Times New Roman"/>
          <w:bCs/>
          <w:lang w:val="es-ES_tradnl" w:eastAsia="es-MX"/>
        </w:rPr>
      </w:pPr>
      <w:r w:rsidRPr="009C1079">
        <w:rPr>
          <w:rFonts w:ascii="Verdana" w:eastAsia="Calibri" w:hAnsi="Verdana" w:cs="Times New Roman"/>
          <w:lang w:val="es-ES_tradnl" w:eastAsia="es-MX"/>
        </w:rPr>
        <w:lastRenderedPageBreak/>
        <w:t>Este concepto tiene el alcance previsto en el artículo 28 del Código de Procedimiento Administrativo y de lo Contencioso Administrativo y las expresiones utilizadas con mayúscula inicial deben ser entendidas con el significado que les otorga el artículo 2.2.1.1.1.3.1 del Decreto 1082 de 2015.</w:t>
      </w:r>
    </w:p>
    <w:p w14:paraId="180F8AFF" w14:textId="77777777" w:rsidR="009C1079" w:rsidRPr="009C1079" w:rsidRDefault="009C1079" w:rsidP="009C1079">
      <w:pPr>
        <w:spacing w:after="0" w:line="276" w:lineRule="auto"/>
        <w:jc w:val="both"/>
        <w:rPr>
          <w:rFonts w:ascii="Verdana" w:eastAsia="Calibri" w:hAnsi="Verdana" w:cs="Times New Roman"/>
          <w:lang w:eastAsia="es-MX"/>
        </w:rPr>
      </w:pPr>
    </w:p>
    <w:p w14:paraId="27541C99" w14:textId="77777777" w:rsidR="009C1079" w:rsidRPr="009C1079" w:rsidRDefault="009C1079" w:rsidP="009C1079">
      <w:pPr>
        <w:spacing w:after="0" w:line="276" w:lineRule="auto"/>
        <w:jc w:val="both"/>
        <w:rPr>
          <w:rFonts w:ascii="Verdana" w:eastAsia="Calibri" w:hAnsi="Verdana" w:cs="Times New Roman"/>
          <w:lang w:eastAsia="es-MX"/>
        </w:rPr>
      </w:pPr>
      <w:r w:rsidRPr="009C1079">
        <w:rPr>
          <w:rFonts w:ascii="Verdana" w:eastAsia="Calibri" w:hAnsi="Verdana" w:cs="Times New Roman"/>
          <w:lang w:eastAsia="es-MX"/>
        </w:rPr>
        <w:t>Atentamente,</w:t>
      </w:r>
    </w:p>
    <w:p w14:paraId="60D9E9C1" w14:textId="3E105625" w:rsidR="009C1079" w:rsidRPr="009C1079" w:rsidRDefault="00F625E7" w:rsidP="009C1079">
      <w:pPr>
        <w:tabs>
          <w:tab w:val="left" w:pos="1320"/>
        </w:tabs>
        <w:spacing w:after="0"/>
        <w:jc w:val="center"/>
        <w:rPr>
          <w:rFonts w:ascii="Verdana" w:eastAsia="Calibri" w:hAnsi="Verdana" w:cs="Times New Roman"/>
          <w:lang w:eastAsia="es-MX"/>
        </w:rPr>
      </w:pPr>
      <w:r w:rsidRPr="004D5C25">
        <w:rPr>
          <w:rFonts w:ascii="Century Gothic" w:hAnsi="Century Gothic"/>
          <w:noProof/>
        </w:rPr>
        <w:drawing>
          <wp:inline distT="0" distB="0" distL="0" distR="0" wp14:anchorId="13C5B08C" wp14:editId="22129BF1">
            <wp:extent cx="2337473" cy="1003490"/>
            <wp:effectExtent l="0" t="0" r="0" b="0"/>
            <wp:docPr id="1822740040"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2740040" name="Imagen 1" descr="Texto&#10;&#10;Descripción generada automáticamente"/>
                    <pic:cNvPicPr/>
                  </pic:nvPicPr>
                  <pic:blipFill>
                    <a:blip r:embed="rId16"/>
                    <a:stretch>
                      <a:fillRect/>
                    </a:stretch>
                  </pic:blipFill>
                  <pic:spPr>
                    <a:xfrm>
                      <a:off x="0" y="0"/>
                      <a:ext cx="2422596" cy="1040034"/>
                    </a:xfrm>
                    <a:prstGeom prst="rect">
                      <a:avLst/>
                    </a:prstGeom>
                  </pic:spPr>
                </pic:pic>
              </a:graphicData>
            </a:graphic>
          </wp:inline>
        </w:drawing>
      </w:r>
    </w:p>
    <w:p w14:paraId="22E97897" w14:textId="77777777" w:rsidR="009C1079" w:rsidRPr="009C1079" w:rsidRDefault="009C1079" w:rsidP="009C1079">
      <w:pPr>
        <w:tabs>
          <w:tab w:val="left" w:pos="1320"/>
        </w:tabs>
        <w:spacing w:after="0"/>
        <w:jc w:val="center"/>
        <w:rPr>
          <w:rFonts w:ascii="Verdana" w:eastAsia="Calibri" w:hAnsi="Verdana" w:cs="Times New Roman"/>
          <w:lang w:eastAsia="es-MX"/>
        </w:rPr>
      </w:pPr>
    </w:p>
    <w:tbl>
      <w:tblPr>
        <w:tblStyle w:val="Tablaconcuadrcula2"/>
        <w:tblW w:w="760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41"/>
        <w:gridCol w:w="6561"/>
      </w:tblGrid>
      <w:tr w:rsidR="009C1079" w:rsidRPr="009C1079" w14:paraId="26D123C3" w14:textId="77777777" w:rsidTr="00C80FF3">
        <w:trPr>
          <w:trHeight w:val="323"/>
        </w:trPr>
        <w:tc>
          <w:tcPr>
            <w:tcW w:w="1041" w:type="dxa"/>
            <w:vAlign w:val="center"/>
            <w:hideMark/>
          </w:tcPr>
          <w:p w14:paraId="71C40CC6" w14:textId="77777777" w:rsidR="009C1079" w:rsidRPr="009C1079" w:rsidRDefault="009C1079" w:rsidP="009C1079">
            <w:pPr>
              <w:spacing w:line="278" w:lineRule="auto"/>
              <w:rPr>
                <w:rFonts w:ascii="Verdana" w:eastAsia="Calibri" w:hAnsi="Verdana" w:cs="Arial"/>
                <w:kern w:val="2"/>
                <w:sz w:val="16"/>
                <w:szCs w:val="16"/>
                <w:lang w:val="es-ES_tradnl" w:eastAsia="es-ES"/>
                <w14:ligatures w14:val="standardContextual"/>
              </w:rPr>
            </w:pPr>
            <w:r w:rsidRPr="009C1079">
              <w:rPr>
                <w:rFonts w:ascii="Verdana" w:eastAsia="Calibri" w:hAnsi="Verdana" w:cs="Arial"/>
                <w:kern w:val="2"/>
                <w:sz w:val="16"/>
                <w:szCs w:val="16"/>
                <w:lang w:val="es-ES_tradnl" w:eastAsia="es-ES"/>
                <w14:ligatures w14:val="standardContextual"/>
              </w:rPr>
              <w:t>Elaboró:</w:t>
            </w:r>
          </w:p>
        </w:tc>
        <w:tc>
          <w:tcPr>
            <w:tcW w:w="6561" w:type="dxa"/>
            <w:tcBorders>
              <w:top w:val="nil"/>
              <w:left w:val="nil"/>
              <w:bottom w:val="dotted" w:sz="4" w:space="0" w:color="7F7F7F"/>
              <w:right w:val="nil"/>
            </w:tcBorders>
            <w:vAlign w:val="center"/>
            <w:hideMark/>
          </w:tcPr>
          <w:p w14:paraId="092AF28E" w14:textId="77777777" w:rsidR="009C1079" w:rsidRPr="009C1079" w:rsidRDefault="009C1079" w:rsidP="009C1079">
            <w:pPr>
              <w:spacing w:line="278" w:lineRule="auto"/>
              <w:rPr>
                <w:rFonts w:ascii="Verdana" w:eastAsia="Arial" w:hAnsi="Verdana" w:cs="Arial"/>
                <w:kern w:val="2"/>
                <w:sz w:val="16"/>
                <w:szCs w:val="16"/>
                <w:lang w:val="es-ES" w:eastAsia="es-MX"/>
                <w14:ligatures w14:val="standardContextual"/>
              </w:rPr>
            </w:pPr>
            <w:r w:rsidRPr="009C1079">
              <w:rPr>
                <w:rFonts w:ascii="Verdana" w:eastAsia="Arial" w:hAnsi="Verdana" w:cs="Arial"/>
                <w:kern w:val="2"/>
                <w:sz w:val="16"/>
                <w:szCs w:val="16"/>
                <w:lang w:val="es-ES" w:eastAsia="es-MX"/>
                <w14:ligatures w14:val="standardContextual"/>
              </w:rPr>
              <w:t xml:space="preserve">Carlos Mario Castrillón Endo </w:t>
            </w:r>
          </w:p>
          <w:p w14:paraId="4FA7F758" w14:textId="77777777" w:rsidR="009C1079" w:rsidRPr="009C1079" w:rsidRDefault="009C1079" w:rsidP="009C1079">
            <w:pPr>
              <w:spacing w:line="278" w:lineRule="auto"/>
              <w:rPr>
                <w:rFonts w:ascii="Verdana" w:eastAsia="Arial" w:hAnsi="Verdana" w:cs="Arial"/>
                <w:kern w:val="2"/>
                <w:sz w:val="16"/>
                <w:szCs w:val="16"/>
                <w:lang w:val="es-ES_tradnl" w:eastAsia="es-MX"/>
                <w14:ligatures w14:val="standardContextual"/>
              </w:rPr>
            </w:pPr>
            <w:r w:rsidRPr="009C1079">
              <w:rPr>
                <w:rFonts w:ascii="Verdana" w:eastAsia="Arial" w:hAnsi="Verdana" w:cs="Arial"/>
                <w:kern w:val="2"/>
                <w:sz w:val="16"/>
                <w:szCs w:val="16"/>
                <w:lang w:val="es-ES_tradnl" w:eastAsia="es-MX"/>
                <w14:ligatures w14:val="standardContextual"/>
              </w:rPr>
              <w:t>Contratista de la Subdirección de Gestión Contractual</w:t>
            </w:r>
          </w:p>
          <w:p w14:paraId="79C8C8ED" w14:textId="77777777" w:rsidR="009C1079" w:rsidRPr="009C1079" w:rsidRDefault="009C1079" w:rsidP="009C1079">
            <w:pPr>
              <w:spacing w:line="278" w:lineRule="auto"/>
              <w:rPr>
                <w:rFonts w:ascii="Verdana" w:eastAsia="Arial" w:hAnsi="Verdana" w:cs="Arial"/>
                <w:kern w:val="2"/>
                <w:sz w:val="16"/>
                <w:szCs w:val="16"/>
                <w:lang w:val="es-ES_tradnl" w:eastAsia="es-MX"/>
                <w14:ligatures w14:val="standardContextual"/>
              </w:rPr>
            </w:pPr>
          </w:p>
        </w:tc>
      </w:tr>
      <w:tr w:rsidR="009C1079" w:rsidRPr="009C1079" w14:paraId="71B8DCB2" w14:textId="77777777" w:rsidTr="00C80FF3">
        <w:trPr>
          <w:trHeight w:val="338"/>
        </w:trPr>
        <w:tc>
          <w:tcPr>
            <w:tcW w:w="1041" w:type="dxa"/>
            <w:vAlign w:val="center"/>
            <w:hideMark/>
          </w:tcPr>
          <w:p w14:paraId="4055A676" w14:textId="77777777" w:rsidR="009C1079" w:rsidRPr="009C1079" w:rsidRDefault="009C1079" w:rsidP="009C1079">
            <w:pPr>
              <w:spacing w:line="278" w:lineRule="auto"/>
              <w:rPr>
                <w:rFonts w:ascii="Verdana" w:eastAsia="Calibri" w:hAnsi="Verdana" w:cs="Arial"/>
                <w:kern w:val="2"/>
                <w:sz w:val="16"/>
                <w:szCs w:val="16"/>
                <w:lang w:val="es-ES_tradnl" w:eastAsia="es-ES"/>
                <w14:ligatures w14:val="standardContextual"/>
              </w:rPr>
            </w:pPr>
            <w:r w:rsidRPr="009C1079">
              <w:rPr>
                <w:rFonts w:ascii="Verdana" w:eastAsia="Calibri" w:hAnsi="Verdana" w:cs="Arial"/>
                <w:kern w:val="2"/>
                <w:sz w:val="16"/>
                <w:szCs w:val="16"/>
                <w:lang w:val="es-ES_tradnl" w:eastAsia="es-ES"/>
                <w14:ligatures w14:val="standardContextual"/>
              </w:rPr>
              <w:t>Revisó:</w:t>
            </w:r>
          </w:p>
        </w:tc>
        <w:tc>
          <w:tcPr>
            <w:tcW w:w="6561" w:type="dxa"/>
            <w:tcBorders>
              <w:top w:val="dotted" w:sz="4" w:space="0" w:color="7F7F7F"/>
              <w:left w:val="nil"/>
              <w:bottom w:val="dotted" w:sz="4" w:space="0" w:color="7F7F7F"/>
              <w:right w:val="nil"/>
            </w:tcBorders>
            <w:vAlign w:val="center"/>
            <w:hideMark/>
          </w:tcPr>
          <w:p w14:paraId="30DFE6AB" w14:textId="77777777" w:rsidR="009C1079" w:rsidRPr="009C1079" w:rsidRDefault="009C1079" w:rsidP="009C1079">
            <w:pPr>
              <w:spacing w:line="278" w:lineRule="auto"/>
              <w:rPr>
                <w:rFonts w:ascii="Verdana" w:eastAsia="Arial" w:hAnsi="Verdana" w:cs="Arial"/>
                <w:kern w:val="2"/>
                <w:sz w:val="16"/>
                <w:szCs w:val="16"/>
                <w:lang w:val="es-ES" w:eastAsia="es-MX"/>
                <w14:ligatures w14:val="standardContextual"/>
              </w:rPr>
            </w:pPr>
            <w:r w:rsidRPr="009C1079">
              <w:rPr>
                <w:rFonts w:ascii="Verdana" w:eastAsia="Arial" w:hAnsi="Verdana" w:cs="Arial"/>
                <w:kern w:val="2"/>
                <w:sz w:val="16"/>
                <w:szCs w:val="16"/>
                <w:lang w:val="es-ES" w:eastAsia="es-MX"/>
                <w14:ligatures w14:val="standardContextual"/>
              </w:rPr>
              <w:t>Martha Alicia Romero Vargas</w:t>
            </w:r>
          </w:p>
          <w:p w14:paraId="18A0F3E2" w14:textId="77777777" w:rsidR="009C1079" w:rsidRPr="009C1079" w:rsidRDefault="009C1079" w:rsidP="009C1079">
            <w:pPr>
              <w:spacing w:line="278" w:lineRule="auto"/>
              <w:rPr>
                <w:rFonts w:ascii="Verdana" w:eastAsia="Arial" w:hAnsi="Verdana" w:cs="Arial"/>
                <w:kern w:val="2"/>
                <w:sz w:val="16"/>
                <w:szCs w:val="16"/>
                <w:lang w:val="es-ES_tradnl" w:eastAsia="es-MX"/>
                <w14:ligatures w14:val="standardContextual"/>
              </w:rPr>
            </w:pPr>
            <w:r w:rsidRPr="009C1079">
              <w:rPr>
                <w:rFonts w:ascii="Verdana" w:eastAsia="Arial" w:hAnsi="Verdana" w:cs="Arial"/>
                <w:kern w:val="2"/>
                <w:sz w:val="16"/>
                <w:szCs w:val="16"/>
                <w:lang w:val="es-ES_tradnl" w:eastAsia="es-MX"/>
                <w14:ligatures w14:val="standardContextual"/>
              </w:rPr>
              <w:t>Gestor T1-15 de la Subdirección de Gestión Contractual</w:t>
            </w:r>
          </w:p>
        </w:tc>
      </w:tr>
      <w:tr w:rsidR="009C1079" w:rsidRPr="009C1079" w14:paraId="6EB55AB5" w14:textId="77777777" w:rsidTr="00C80FF3">
        <w:trPr>
          <w:trHeight w:val="308"/>
        </w:trPr>
        <w:tc>
          <w:tcPr>
            <w:tcW w:w="1041" w:type="dxa"/>
            <w:vAlign w:val="center"/>
          </w:tcPr>
          <w:p w14:paraId="5BF79053" w14:textId="77777777" w:rsidR="009C1079" w:rsidRPr="009C1079" w:rsidRDefault="009C1079" w:rsidP="009C1079">
            <w:pPr>
              <w:spacing w:line="278" w:lineRule="auto"/>
              <w:rPr>
                <w:rFonts w:ascii="Verdana" w:eastAsia="Calibri" w:hAnsi="Verdana" w:cs="Arial"/>
                <w:kern w:val="2"/>
                <w:sz w:val="16"/>
                <w:szCs w:val="16"/>
                <w:lang w:val="es-ES_tradnl" w:eastAsia="es-ES"/>
                <w14:ligatures w14:val="standardContextual"/>
              </w:rPr>
            </w:pPr>
            <w:r w:rsidRPr="009C1079">
              <w:rPr>
                <w:rFonts w:ascii="Verdana" w:eastAsia="Calibri" w:hAnsi="Verdana" w:cs="Arial"/>
                <w:kern w:val="2"/>
                <w:sz w:val="16"/>
                <w:szCs w:val="16"/>
                <w:lang w:val="es-ES_tradnl" w:eastAsia="es-ES"/>
                <w14:ligatures w14:val="standardContextual"/>
              </w:rPr>
              <w:t>Aprobó:</w:t>
            </w:r>
          </w:p>
        </w:tc>
        <w:tc>
          <w:tcPr>
            <w:tcW w:w="6561" w:type="dxa"/>
            <w:tcBorders>
              <w:top w:val="dotted" w:sz="4" w:space="0" w:color="7F7F7F"/>
              <w:left w:val="nil"/>
              <w:bottom w:val="dotted" w:sz="4" w:space="0" w:color="7F7F7F"/>
              <w:right w:val="nil"/>
            </w:tcBorders>
            <w:vAlign w:val="center"/>
          </w:tcPr>
          <w:p w14:paraId="43689D23" w14:textId="77777777" w:rsidR="009C1079" w:rsidRPr="009C1079" w:rsidRDefault="009C1079" w:rsidP="009C1079">
            <w:pPr>
              <w:spacing w:line="278" w:lineRule="auto"/>
              <w:rPr>
                <w:rFonts w:ascii="Verdana" w:eastAsia="Calibri" w:hAnsi="Verdana" w:cs="Arial"/>
                <w:kern w:val="2"/>
                <w:sz w:val="16"/>
                <w:szCs w:val="16"/>
                <w:lang w:val="es-ES" w:eastAsia="es-ES"/>
                <w14:ligatures w14:val="standardContextual"/>
              </w:rPr>
            </w:pPr>
            <w:r w:rsidRPr="009C1079">
              <w:rPr>
                <w:rFonts w:ascii="Verdana" w:eastAsia="Calibri" w:hAnsi="Verdana" w:cs="Arial"/>
                <w:kern w:val="2"/>
                <w:sz w:val="16"/>
                <w:szCs w:val="16"/>
                <w:lang w:val="es-ES" w:eastAsia="es-ES"/>
                <w14:ligatures w14:val="standardContextual"/>
              </w:rPr>
              <w:t>Carolina Quintero Gacharná</w:t>
            </w:r>
          </w:p>
          <w:p w14:paraId="1F613184" w14:textId="77777777" w:rsidR="009C1079" w:rsidRPr="009C1079" w:rsidRDefault="009C1079" w:rsidP="009C1079">
            <w:pPr>
              <w:spacing w:line="278" w:lineRule="auto"/>
              <w:rPr>
                <w:rFonts w:ascii="Verdana" w:eastAsia="Calibri" w:hAnsi="Verdana" w:cs="Arial"/>
                <w:kern w:val="2"/>
                <w:sz w:val="16"/>
                <w:szCs w:val="16"/>
                <w:lang w:val="es-ES_tradnl" w:eastAsia="es-ES"/>
                <w14:ligatures w14:val="standardContextual"/>
              </w:rPr>
            </w:pPr>
            <w:r w:rsidRPr="009C1079">
              <w:rPr>
                <w:rFonts w:ascii="Verdana" w:eastAsia="Calibri" w:hAnsi="Verdana" w:cs="Arial"/>
                <w:kern w:val="2"/>
                <w:sz w:val="16"/>
                <w:szCs w:val="16"/>
                <w:lang w:val="es-ES_tradnl" w:eastAsia="es-ES"/>
                <w14:ligatures w14:val="standardContextual"/>
              </w:rPr>
              <w:t>Subdirectora de Gestión Contractual ANCP – CCE</w:t>
            </w:r>
          </w:p>
        </w:tc>
      </w:tr>
    </w:tbl>
    <w:p w14:paraId="1006A388" w14:textId="77777777" w:rsidR="00C15139" w:rsidRPr="000E2B93" w:rsidRDefault="00C15139" w:rsidP="30821638">
      <w:pPr>
        <w:spacing w:after="0" w:line="240" w:lineRule="auto"/>
        <w:jc w:val="both"/>
        <w:textAlignment w:val="baseline"/>
        <w:rPr>
          <w:rFonts w:ascii="Verdana" w:eastAsia="Verdana" w:hAnsi="Verdana" w:cs="Verdana"/>
          <w:lang w:eastAsia="es-CO"/>
        </w:rPr>
      </w:pPr>
    </w:p>
    <w:p w14:paraId="69BC4D14" w14:textId="741E8A0D" w:rsidR="00C15139" w:rsidRPr="000E2B93" w:rsidRDefault="00C15139" w:rsidP="30821638">
      <w:pPr>
        <w:spacing w:after="0" w:line="240" w:lineRule="auto"/>
        <w:textAlignment w:val="baseline"/>
        <w:rPr>
          <w:rFonts w:ascii="Verdana" w:eastAsia="Verdana" w:hAnsi="Verdana" w:cs="Verdana"/>
          <w:lang w:eastAsia="es-CO"/>
        </w:rPr>
      </w:pPr>
      <w:r w:rsidRPr="30821638">
        <w:rPr>
          <w:rFonts w:ascii="Verdana" w:eastAsia="Verdana" w:hAnsi="Verdana" w:cs="Verdana"/>
          <w:lang w:eastAsia="es-CO"/>
        </w:rPr>
        <w:t> </w:t>
      </w:r>
      <w:bookmarkEnd w:id="0"/>
    </w:p>
    <w:sectPr w:rsidR="00C15139" w:rsidRPr="000E2B93" w:rsidSect="007C0C0F">
      <w:headerReference w:type="default" r:id="rId17"/>
      <w:footerReference w:type="default" r:id="rId18"/>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0B3BF4D" w14:textId="77777777" w:rsidR="00B358A5" w:rsidRDefault="00B358A5" w:rsidP="004A1847">
      <w:pPr>
        <w:spacing w:after="0" w:line="240" w:lineRule="auto"/>
      </w:pPr>
      <w:r>
        <w:separator/>
      </w:r>
    </w:p>
  </w:endnote>
  <w:endnote w:type="continuationSeparator" w:id="0">
    <w:p w14:paraId="0193859F" w14:textId="77777777" w:rsidR="00B358A5" w:rsidRDefault="00B358A5" w:rsidP="004A1847">
      <w:pPr>
        <w:spacing w:after="0" w:line="240" w:lineRule="auto"/>
      </w:pPr>
      <w:r>
        <w:continuationSeparator/>
      </w:r>
    </w:p>
  </w:endnote>
  <w:endnote w:type="continuationNotice" w:id="1">
    <w:p w14:paraId="43DF740A" w14:textId="77777777" w:rsidR="00B358A5" w:rsidRDefault="00B358A5">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ptos">
    <w:charset w:val="00"/>
    <w:family w:val="swiss"/>
    <w:pitch w:val="variable"/>
    <w:sig w:usb0="20000287" w:usb1="00000003" w:usb2="00000000" w:usb3="00000000" w:csb0="0000019F" w:csb1="00000000"/>
  </w:font>
  <w:font w:name="MS Mincho">
    <w:panose1 w:val="02020609040205080304"/>
    <w:charset w:val="80"/>
    <w:family w:val="modern"/>
    <w:pitch w:val="fixed"/>
    <w:sig w:usb0="E00002FF" w:usb1="6AC7FDFB" w:usb2="08000012" w:usb3="00000000" w:csb0="0002009F" w:csb1="00000000"/>
  </w:font>
  <w:font w:name="Arial MT">
    <w:altName w:val="Arial"/>
    <w:charset w:val="01"/>
    <w:family w:val="swiss"/>
    <w:pitch w:val="variable"/>
  </w:font>
  <w:font w:name="Helvetica">
    <w:panose1 w:val="020B0604020202020204"/>
    <w:charset w:val="00"/>
    <w:family w:val="auto"/>
    <w:pitch w:val="variable"/>
    <w:sig w:usb0="E00002FF" w:usb1="5000785B" w:usb2="00000000" w:usb3="00000000" w:csb0="0000019F" w:csb1="00000000"/>
  </w:font>
  <w:font w:name="Century Gothic">
    <w:panose1 w:val="020B0502020202020204"/>
    <w:charset w:val="00"/>
    <w:family w:val="swiss"/>
    <w:pitch w:val="variable"/>
    <w:sig w:usb0="00000287" w:usb1="00000000" w:usb2="00000000" w:usb3="00000000" w:csb0="0000009F" w:csb1="00000000"/>
  </w:font>
  <w:font w:name="AppleSystemUIFont">
    <w:altName w:val="Calibri"/>
    <w:panose1 w:val="00000000000000000000"/>
    <w:charset w:val="00"/>
    <w:family w:val="auto"/>
    <w:notTrueType/>
    <w:pitch w:val="default"/>
    <w:sig w:usb0="00000003" w:usb1="00000000" w:usb2="00000000" w:usb3="00000000" w:csb0="00000001"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423FF678" w14:textId="77777777" w:rsidR="00876B07" w:rsidRDefault="00876B0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imes New Roman"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09C1079">
      <w:rPr>
        <w:rFonts w:ascii="Verdana" w:eastAsia="Verdana" w:hAnsi="Verdana" w:cs="Verdana"/>
        <w:b/>
        <w:bCs/>
        <w:color w:val="000000"/>
        <w:sz w:val="18"/>
        <w:szCs w:val="18"/>
        <w:lang w:eastAsia="es-CO"/>
      </w:rPr>
      <w:t xml:space="preserve">Código: </w:t>
    </w:r>
    <w:r w:rsidRPr="009C1079">
      <w:rPr>
        <w:rFonts w:ascii="Verdana" w:eastAsia="Verdana" w:hAnsi="Verdana" w:cs="Verdana"/>
        <w:color w:val="000000"/>
        <w:sz w:val="18"/>
        <w:szCs w:val="18"/>
        <w:lang w:eastAsia="es-CO"/>
      </w:rPr>
      <w:t xml:space="preserve">CCE-REC-FM-17 </w:t>
    </w:r>
    <w:r w:rsidRPr="009C1079">
      <w:rPr>
        <w:rFonts w:ascii="Verdana" w:eastAsia="Verdana" w:hAnsi="Verdana" w:cs="Verdana"/>
        <w:b/>
        <w:bCs/>
        <w:color w:val="000000"/>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5A5CD5E" w14:textId="77777777" w:rsidR="00B358A5" w:rsidRDefault="00B358A5" w:rsidP="004A1847">
      <w:pPr>
        <w:spacing w:after="0" w:line="240" w:lineRule="auto"/>
      </w:pPr>
      <w:r>
        <w:separator/>
      </w:r>
    </w:p>
  </w:footnote>
  <w:footnote w:type="continuationSeparator" w:id="0">
    <w:p w14:paraId="3329A7F7" w14:textId="77777777" w:rsidR="00B358A5" w:rsidRDefault="00B358A5" w:rsidP="004A1847">
      <w:pPr>
        <w:spacing w:after="0" w:line="240" w:lineRule="auto"/>
      </w:pPr>
      <w:r>
        <w:continuationSeparator/>
      </w:r>
    </w:p>
  </w:footnote>
  <w:footnote w:type="continuationNotice" w:id="1">
    <w:p w14:paraId="64FF3DE3" w14:textId="77777777" w:rsidR="00B358A5" w:rsidRDefault="00B358A5">
      <w:pPr>
        <w:spacing w:after="0" w:line="240" w:lineRule="auto"/>
      </w:pPr>
    </w:p>
  </w:footnote>
  <w:footnote w:id="2">
    <w:p w14:paraId="3BF32846" w14:textId="77777777" w:rsidR="009C1079" w:rsidRPr="00F16D67" w:rsidRDefault="009C1079" w:rsidP="009C1079">
      <w:pPr>
        <w:pStyle w:val="Textonotapie"/>
        <w:ind w:firstLine="708"/>
        <w:jc w:val="both"/>
        <w:rPr>
          <w:rFonts w:ascii="Verdana" w:hAnsi="Verdana" w:cs="Arial"/>
          <w:sz w:val="19"/>
          <w:szCs w:val="19"/>
          <w:lang w:val="it-IT"/>
        </w:rPr>
      </w:pPr>
      <w:r w:rsidRPr="00C80FF3">
        <w:rPr>
          <w:rStyle w:val="Refdenotaalpie"/>
          <w:rFonts w:ascii="Verdana" w:hAnsi="Verdana" w:cs="Arial"/>
          <w:sz w:val="19"/>
          <w:szCs w:val="19"/>
        </w:rPr>
        <w:footnoteRef/>
      </w:r>
      <w:r w:rsidRPr="00F16D67">
        <w:rPr>
          <w:rFonts w:ascii="Verdana" w:hAnsi="Verdana" w:cs="Arial"/>
          <w:sz w:val="19"/>
          <w:szCs w:val="19"/>
          <w:lang w:val="pt-BR"/>
        </w:rPr>
        <w:t xml:space="preserve"> Corte Constitucional, Sentencia C–1005 de 2008. </w:t>
      </w:r>
      <w:r w:rsidRPr="00F16D67">
        <w:rPr>
          <w:rFonts w:ascii="Verdana" w:hAnsi="Verdana" w:cs="Arial"/>
          <w:sz w:val="19"/>
          <w:szCs w:val="19"/>
          <w:lang w:val="it-IT"/>
        </w:rPr>
        <w:t xml:space="preserve">M.P.: Humberto Antonio Sierra Porto. </w:t>
      </w:r>
    </w:p>
    <w:p w14:paraId="7A5CE662" w14:textId="77777777" w:rsidR="009C1079" w:rsidRPr="00F16D67" w:rsidRDefault="009C1079" w:rsidP="009C1079">
      <w:pPr>
        <w:pStyle w:val="Textonotapie"/>
        <w:ind w:firstLine="708"/>
        <w:jc w:val="both"/>
        <w:rPr>
          <w:rFonts w:ascii="Verdana" w:hAnsi="Verdana" w:cs="Arial"/>
          <w:sz w:val="19"/>
          <w:szCs w:val="19"/>
          <w:lang w:val="it-IT"/>
        </w:rPr>
      </w:pPr>
    </w:p>
  </w:footnote>
  <w:footnote w:id="3">
    <w:p w14:paraId="58FF3F73" w14:textId="77777777" w:rsidR="009C1079" w:rsidRPr="00F16D67" w:rsidRDefault="009C1079" w:rsidP="009C1079">
      <w:pPr>
        <w:pStyle w:val="Textonotapie"/>
        <w:ind w:firstLine="708"/>
        <w:jc w:val="both"/>
        <w:rPr>
          <w:rFonts w:ascii="Verdana" w:hAnsi="Verdana" w:cs="Arial"/>
          <w:sz w:val="19"/>
          <w:szCs w:val="19"/>
          <w:lang w:val="pt-BR"/>
        </w:rPr>
      </w:pPr>
      <w:r w:rsidRPr="00C80FF3">
        <w:rPr>
          <w:rStyle w:val="Refdenotaalpie"/>
          <w:rFonts w:ascii="Verdana" w:hAnsi="Verdana" w:cs="Arial"/>
          <w:sz w:val="19"/>
          <w:szCs w:val="19"/>
        </w:rPr>
        <w:footnoteRef/>
      </w:r>
      <w:r w:rsidRPr="00F16D67">
        <w:rPr>
          <w:rFonts w:ascii="Verdana" w:hAnsi="Verdana" w:cs="Arial"/>
          <w:sz w:val="19"/>
          <w:szCs w:val="19"/>
          <w:lang w:val="pt-BR"/>
        </w:rPr>
        <w:t xml:space="preserve"> Consejo de Estado, Sala de lo Contencioso Administrativo, Sección Primera. Consejero ponente: Juan Alberto Polo Figueroa. Bogotá D.C., 24 de agosto de 2000. Radicación número 6096.</w:t>
      </w:r>
    </w:p>
    <w:p w14:paraId="533216BD" w14:textId="77777777" w:rsidR="009C1079" w:rsidRPr="00F16D67" w:rsidRDefault="009C1079" w:rsidP="009C1079">
      <w:pPr>
        <w:pStyle w:val="Textonotapie"/>
        <w:ind w:firstLine="708"/>
        <w:jc w:val="both"/>
        <w:rPr>
          <w:rFonts w:ascii="Verdana" w:hAnsi="Verdana" w:cs="Arial"/>
          <w:sz w:val="19"/>
          <w:szCs w:val="19"/>
          <w:lang w:val="pt-BR"/>
        </w:rPr>
      </w:pPr>
    </w:p>
  </w:footnote>
  <w:footnote w:id="4">
    <w:p w14:paraId="439F2315" w14:textId="77777777" w:rsidR="009C1079" w:rsidRPr="00F16D67" w:rsidRDefault="009C1079" w:rsidP="009C1079">
      <w:pPr>
        <w:pStyle w:val="Textonotapie"/>
        <w:ind w:firstLine="708"/>
        <w:jc w:val="both"/>
        <w:rPr>
          <w:rFonts w:ascii="Verdana" w:hAnsi="Verdana"/>
          <w:sz w:val="19"/>
          <w:szCs w:val="19"/>
          <w:lang w:val="pt-BR"/>
        </w:rPr>
      </w:pPr>
      <w:r w:rsidRPr="00C80FF3">
        <w:rPr>
          <w:rStyle w:val="Refdenotaalpie"/>
          <w:rFonts w:ascii="Verdana" w:hAnsi="Verdana"/>
          <w:sz w:val="19"/>
          <w:szCs w:val="19"/>
        </w:rPr>
        <w:footnoteRef/>
      </w:r>
      <w:r w:rsidRPr="00F16D67">
        <w:rPr>
          <w:rFonts w:ascii="Verdana" w:hAnsi="Verdana"/>
          <w:sz w:val="19"/>
          <w:szCs w:val="19"/>
          <w:lang w:val="pt-BR"/>
        </w:rPr>
        <w:t xml:space="preserve"> Ibidem </w:t>
      </w:r>
    </w:p>
    <w:p w14:paraId="4B11AEFA" w14:textId="77777777" w:rsidR="009C1079" w:rsidRPr="00F16D67" w:rsidRDefault="009C1079" w:rsidP="009C1079">
      <w:pPr>
        <w:pStyle w:val="Textonotapie"/>
        <w:ind w:firstLine="708"/>
        <w:jc w:val="both"/>
        <w:rPr>
          <w:rFonts w:ascii="Verdana" w:hAnsi="Verdana"/>
          <w:sz w:val="19"/>
          <w:szCs w:val="19"/>
          <w:lang w:val="pt-BR"/>
        </w:rPr>
      </w:pPr>
    </w:p>
  </w:footnote>
  <w:footnote w:id="5">
    <w:p w14:paraId="00727834" w14:textId="77777777" w:rsidR="009C1079" w:rsidRPr="00F16D67" w:rsidRDefault="009C1079" w:rsidP="009C1079">
      <w:pPr>
        <w:pStyle w:val="Textonotapie"/>
        <w:ind w:firstLine="708"/>
        <w:jc w:val="both"/>
        <w:rPr>
          <w:rFonts w:ascii="Verdana" w:hAnsi="Verdana"/>
          <w:color w:val="333333"/>
          <w:sz w:val="19"/>
          <w:szCs w:val="19"/>
          <w:shd w:val="clear" w:color="auto" w:fill="FFFFFF"/>
          <w:lang w:val="pt-BR"/>
        </w:rPr>
      </w:pPr>
      <w:r w:rsidRPr="00C80FF3">
        <w:rPr>
          <w:rStyle w:val="Refdenotaalpie"/>
          <w:rFonts w:ascii="Verdana" w:hAnsi="Verdana"/>
          <w:sz w:val="19"/>
          <w:szCs w:val="19"/>
        </w:rPr>
        <w:footnoteRef/>
      </w:r>
      <w:r w:rsidRPr="00F16D67">
        <w:rPr>
          <w:rFonts w:ascii="Verdana" w:hAnsi="Verdana"/>
          <w:sz w:val="19"/>
          <w:szCs w:val="19"/>
          <w:lang w:val="pt-BR"/>
        </w:rPr>
        <w:t xml:space="preserve"> </w:t>
      </w:r>
      <w:r w:rsidRPr="00F16D67">
        <w:rPr>
          <w:rFonts w:ascii="Verdana" w:hAnsi="Verdana" w:cs="Arial"/>
          <w:sz w:val="19"/>
          <w:szCs w:val="19"/>
          <w:lang w:val="pt-BR"/>
        </w:rPr>
        <w:t xml:space="preserve">Corte Constitucional, Sentencia </w:t>
      </w:r>
      <w:r w:rsidRPr="00F16D67">
        <w:rPr>
          <w:rFonts w:ascii="Verdana" w:eastAsia="Times New Roman" w:hAnsi="Verdana" w:cs="Arial"/>
          <w:sz w:val="19"/>
          <w:szCs w:val="19"/>
          <w:lang w:val="pt-BR" w:eastAsia="es-MX"/>
        </w:rPr>
        <w:t>C-917 de 2002</w:t>
      </w:r>
      <w:r w:rsidRPr="00F16D67">
        <w:rPr>
          <w:rFonts w:ascii="Verdana" w:hAnsi="Verdana" w:cs="Arial"/>
          <w:sz w:val="19"/>
          <w:szCs w:val="19"/>
          <w:lang w:val="pt-BR"/>
        </w:rPr>
        <w:t xml:space="preserve">. M.P.: </w:t>
      </w:r>
      <w:r w:rsidRPr="00F16D67">
        <w:rPr>
          <w:rFonts w:ascii="Verdana" w:hAnsi="Verdana"/>
          <w:color w:val="333333"/>
          <w:sz w:val="19"/>
          <w:szCs w:val="19"/>
          <w:shd w:val="clear" w:color="auto" w:fill="FFFFFF"/>
          <w:lang w:val="pt-BR"/>
        </w:rPr>
        <w:t>Marco Gerardo Monroy Cabra.</w:t>
      </w:r>
    </w:p>
    <w:p w14:paraId="427A0C07" w14:textId="77777777" w:rsidR="009C1079" w:rsidRPr="00F16D67" w:rsidRDefault="009C1079" w:rsidP="009C1079">
      <w:pPr>
        <w:pStyle w:val="Textonotapie"/>
        <w:ind w:firstLine="708"/>
        <w:jc w:val="both"/>
        <w:rPr>
          <w:rFonts w:ascii="Verdana" w:hAnsi="Verdana"/>
          <w:sz w:val="19"/>
          <w:szCs w:val="19"/>
          <w:lang w:val="pt-BR"/>
        </w:rPr>
      </w:pPr>
    </w:p>
  </w:footnote>
  <w:footnote w:id="6">
    <w:p w14:paraId="5F2C37AB" w14:textId="77777777" w:rsidR="009C1079" w:rsidRDefault="009C1079" w:rsidP="009C1079">
      <w:pPr>
        <w:pStyle w:val="Textonotapie"/>
        <w:ind w:firstLine="708"/>
        <w:jc w:val="both"/>
        <w:rPr>
          <w:rFonts w:ascii="Verdana" w:hAnsi="Verdana" w:cs="Arial"/>
          <w:sz w:val="19"/>
          <w:szCs w:val="19"/>
        </w:rPr>
      </w:pPr>
      <w:r w:rsidRPr="00C80FF3">
        <w:rPr>
          <w:rStyle w:val="Refdenotaalpie"/>
          <w:rFonts w:ascii="Verdana" w:hAnsi="Verdana" w:cs="Arial"/>
          <w:sz w:val="19"/>
          <w:szCs w:val="19"/>
        </w:rPr>
        <w:footnoteRef/>
      </w:r>
      <w:r w:rsidRPr="00C80FF3">
        <w:rPr>
          <w:rFonts w:ascii="Verdana" w:hAnsi="Verdana" w:cs="Arial"/>
          <w:sz w:val="19"/>
          <w:szCs w:val="19"/>
        </w:rPr>
        <w:t xml:space="preserve"> Artículo 1º del Decreto Ley 4170 de 2011.</w:t>
      </w:r>
    </w:p>
    <w:p w14:paraId="3E60793B" w14:textId="77777777" w:rsidR="009C1079" w:rsidRPr="00C80FF3" w:rsidRDefault="009C1079" w:rsidP="009C1079">
      <w:pPr>
        <w:pStyle w:val="Textonotapie"/>
        <w:ind w:firstLine="708"/>
        <w:jc w:val="both"/>
        <w:rPr>
          <w:rFonts w:ascii="Verdana" w:hAnsi="Verdana" w:cs="Arial"/>
          <w:sz w:val="19"/>
          <w:szCs w:val="19"/>
        </w:rPr>
      </w:pPr>
    </w:p>
  </w:footnote>
  <w:footnote w:id="7">
    <w:p w14:paraId="1617ABAC" w14:textId="77777777" w:rsidR="009C1079" w:rsidRPr="00C80FF3" w:rsidRDefault="009C1079" w:rsidP="009C1079">
      <w:pPr>
        <w:pStyle w:val="Textonotapie"/>
        <w:ind w:firstLine="708"/>
        <w:jc w:val="both"/>
        <w:rPr>
          <w:rFonts w:ascii="Verdana" w:hAnsi="Verdana" w:cs="Arial"/>
          <w:sz w:val="19"/>
          <w:szCs w:val="19"/>
        </w:rPr>
      </w:pPr>
      <w:r w:rsidRPr="00C80FF3">
        <w:rPr>
          <w:rStyle w:val="Refdenotaalpie"/>
          <w:rFonts w:ascii="Verdana" w:hAnsi="Verdana"/>
          <w:sz w:val="19"/>
          <w:szCs w:val="19"/>
        </w:rPr>
        <w:footnoteRef/>
      </w:r>
      <w:r w:rsidRPr="00C80FF3">
        <w:rPr>
          <w:rFonts w:ascii="Verdana" w:hAnsi="Verdana"/>
          <w:sz w:val="19"/>
          <w:szCs w:val="19"/>
        </w:rPr>
        <w:t xml:space="preserve"> </w:t>
      </w:r>
      <w:r w:rsidRPr="00C80FF3">
        <w:rPr>
          <w:rFonts w:ascii="Verdana" w:hAnsi="Verdana" w:cs="Arial"/>
          <w:sz w:val="19"/>
          <w:szCs w:val="19"/>
        </w:rPr>
        <w:t>Ver el Artículo 11 numeral 12 del Decreto Ley 4170 de 2011.</w:t>
      </w:r>
    </w:p>
    <w:p w14:paraId="252193CB" w14:textId="77777777" w:rsidR="009C1079" w:rsidRPr="00C80FF3" w:rsidRDefault="009C1079" w:rsidP="009C1079">
      <w:pPr>
        <w:pStyle w:val="Textonotapie"/>
        <w:ind w:firstLine="708"/>
        <w:jc w:val="both"/>
        <w:rPr>
          <w:rFonts w:ascii="Verdana" w:hAnsi="Verdana"/>
          <w:sz w:val="19"/>
          <w:szCs w:val="19"/>
        </w:rPr>
      </w:pPr>
    </w:p>
  </w:footnote>
  <w:footnote w:id="8">
    <w:p w14:paraId="142F8FF7" w14:textId="77777777" w:rsidR="009C1079" w:rsidRDefault="009C1079" w:rsidP="009C1079">
      <w:pPr>
        <w:pStyle w:val="Textonotapie"/>
        <w:ind w:firstLine="708"/>
        <w:jc w:val="both"/>
        <w:rPr>
          <w:rFonts w:ascii="Verdana" w:hAnsi="Verdana" w:cs="Arial"/>
          <w:sz w:val="19"/>
          <w:szCs w:val="19"/>
        </w:rPr>
      </w:pPr>
      <w:r w:rsidRPr="00C80FF3">
        <w:rPr>
          <w:rStyle w:val="Refdenotaalpie"/>
          <w:rFonts w:ascii="Verdana" w:hAnsi="Verdana" w:cs="Arial"/>
          <w:sz w:val="19"/>
          <w:szCs w:val="19"/>
        </w:rPr>
        <w:footnoteRef/>
      </w:r>
      <w:r w:rsidRPr="00C80FF3">
        <w:rPr>
          <w:rStyle w:val="Refdenotaalpie"/>
          <w:rFonts w:ascii="Verdana" w:hAnsi="Verdana" w:cs="Arial"/>
          <w:sz w:val="19"/>
          <w:szCs w:val="19"/>
        </w:rPr>
        <w:t xml:space="preserve"> </w:t>
      </w:r>
      <w:r w:rsidRPr="00C80FF3">
        <w:rPr>
          <w:rFonts w:ascii="Verdana" w:hAnsi="Verdana" w:cs="Arial"/>
          <w:sz w:val="19"/>
          <w:szCs w:val="19"/>
        </w:rPr>
        <w:t>Consejo de Estado. Sección Tercera. Auto del 14 de agosto de 2017. Rad. 58820.</w:t>
      </w:r>
    </w:p>
    <w:p w14:paraId="7FB2B990" w14:textId="77777777" w:rsidR="009C1079" w:rsidRPr="00C80FF3" w:rsidRDefault="009C1079" w:rsidP="009C1079">
      <w:pPr>
        <w:pStyle w:val="Textonotapie"/>
        <w:ind w:firstLine="708"/>
        <w:jc w:val="both"/>
        <w:rPr>
          <w:rFonts w:ascii="Verdana" w:hAnsi="Verdana" w:cs="Arial"/>
          <w:sz w:val="19"/>
          <w:szCs w:val="19"/>
        </w:rPr>
      </w:pPr>
    </w:p>
  </w:footnote>
  <w:footnote w:id="9">
    <w:p w14:paraId="0685CA6B" w14:textId="77777777" w:rsidR="009C1079" w:rsidRPr="00C80FF3" w:rsidRDefault="009C1079" w:rsidP="009C1079">
      <w:pPr>
        <w:pStyle w:val="Textonotapie"/>
        <w:ind w:firstLine="708"/>
        <w:jc w:val="both"/>
        <w:rPr>
          <w:rFonts w:ascii="Verdana" w:hAnsi="Verdana"/>
          <w:sz w:val="19"/>
          <w:szCs w:val="19"/>
        </w:rPr>
      </w:pPr>
      <w:r w:rsidRPr="00C80FF3">
        <w:rPr>
          <w:rStyle w:val="Refdenotaalpie"/>
          <w:rFonts w:ascii="Verdana" w:hAnsi="Verdana"/>
          <w:sz w:val="19"/>
          <w:szCs w:val="19"/>
        </w:rPr>
        <w:footnoteRef/>
      </w:r>
      <w:r w:rsidRPr="00C80FF3">
        <w:rPr>
          <w:rFonts w:ascii="Verdana" w:hAnsi="Verdana"/>
          <w:sz w:val="19"/>
          <w:szCs w:val="19"/>
        </w:rPr>
        <w:t xml:space="preserve"> Consejo de Estado. Sección Tercera. Sentencia del 16 de agosto de 2017. Rad. 56166.</w:t>
      </w:r>
    </w:p>
    <w:p w14:paraId="55B31D26" w14:textId="77777777" w:rsidR="009C1079" w:rsidRPr="00C80FF3" w:rsidRDefault="009C1079" w:rsidP="009C1079">
      <w:pPr>
        <w:pStyle w:val="Textonotapie"/>
        <w:ind w:firstLine="708"/>
        <w:jc w:val="both"/>
        <w:rPr>
          <w:rFonts w:ascii="Verdana" w:hAnsi="Verdana"/>
          <w:sz w:val="19"/>
          <w:szCs w:val="19"/>
        </w:rPr>
      </w:pPr>
    </w:p>
  </w:footnote>
  <w:footnote w:id="10">
    <w:p w14:paraId="53721012" w14:textId="77777777" w:rsidR="009C1079" w:rsidRPr="00C80FF3" w:rsidRDefault="009C1079" w:rsidP="009C1079">
      <w:pPr>
        <w:pStyle w:val="Textonotapie"/>
        <w:ind w:firstLine="708"/>
        <w:jc w:val="both"/>
        <w:rPr>
          <w:rFonts w:ascii="Verdana" w:hAnsi="Verdana" w:cs="Arial"/>
          <w:sz w:val="19"/>
          <w:szCs w:val="19"/>
        </w:rPr>
      </w:pPr>
      <w:r w:rsidRPr="00C80FF3">
        <w:rPr>
          <w:rStyle w:val="Refdenotaalpie"/>
          <w:rFonts w:ascii="Verdana" w:hAnsi="Verdana" w:cs="Arial"/>
          <w:sz w:val="19"/>
          <w:szCs w:val="19"/>
        </w:rPr>
        <w:footnoteRef/>
      </w:r>
      <w:r w:rsidRPr="00C80FF3">
        <w:rPr>
          <w:rFonts w:ascii="Verdana" w:hAnsi="Verdana" w:cs="Arial"/>
          <w:sz w:val="19"/>
          <w:szCs w:val="19"/>
        </w:rPr>
        <w:t xml:space="preserve">Ibídem. </w:t>
      </w:r>
    </w:p>
    <w:p w14:paraId="59DF7780" w14:textId="77777777" w:rsidR="009C1079" w:rsidRPr="00C80FF3" w:rsidRDefault="009C1079" w:rsidP="009C1079">
      <w:pPr>
        <w:pStyle w:val="Textonotapie"/>
        <w:ind w:firstLine="708"/>
        <w:jc w:val="both"/>
        <w:rPr>
          <w:rFonts w:ascii="Verdana" w:hAnsi="Verdana" w:cs="Arial"/>
          <w:sz w:val="19"/>
          <w:szCs w:val="19"/>
        </w:rPr>
      </w:pPr>
    </w:p>
  </w:footnote>
  <w:footnote w:id="11">
    <w:p w14:paraId="6CF85817" w14:textId="77777777" w:rsidR="009C1079" w:rsidRPr="00C80FF3" w:rsidRDefault="009C1079" w:rsidP="009C1079">
      <w:pPr>
        <w:pStyle w:val="Textonotapie"/>
        <w:ind w:firstLine="708"/>
        <w:jc w:val="both"/>
        <w:rPr>
          <w:rFonts w:ascii="Verdana" w:hAnsi="Verdana" w:cs="Arial"/>
          <w:sz w:val="19"/>
          <w:szCs w:val="19"/>
          <w:lang w:val="es-ES"/>
        </w:rPr>
      </w:pPr>
      <w:r w:rsidRPr="00C80FF3">
        <w:rPr>
          <w:rStyle w:val="Refdenotaalpie"/>
          <w:rFonts w:ascii="Verdana" w:hAnsi="Verdana" w:cs="Arial"/>
          <w:sz w:val="19"/>
          <w:szCs w:val="19"/>
        </w:rPr>
        <w:footnoteRef/>
      </w:r>
      <w:r w:rsidRPr="00C80FF3">
        <w:rPr>
          <w:rFonts w:ascii="Verdana" w:hAnsi="Verdana" w:cs="Arial"/>
          <w:sz w:val="19"/>
          <w:szCs w:val="19"/>
        </w:rPr>
        <w:t xml:space="preserve"> Diccionario de la Real Academia Española, versión online disponible en: </w:t>
      </w:r>
      <w:hyperlink r:id="rId1" w:history="1">
        <w:r w:rsidRPr="00C80FF3">
          <w:rPr>
            <w:rStyle w:val="Hipervnculo"/>
            <w:rFonts w:ascii="Verdana" w:hAnsi="Verdana" w:cs="Arial"/>
            <w:sz w:val="19"/>
            <w:szCs w:val="19"/>
          </w:rPr>
          <w:t>https://dle.rae.es/est%C3%A1ndar</w:t>
        </w:r>
      </w:hyperlink>
      <w:r w:rsidRPr="00C80FF3">
        <w:rPr>
          <w:rFonts w:ascii="Verdana" w:hAnsi="Verdana" w:cs="Arial"/>
          <w:sz w:val="19"/>
          <w:szCs w:val="19"/>
        </w:rPr>
        <w:t xml:space="preserve">, consultado el 2 de junio de 2020. </w:t>
      </w:r>
    </w:p>
  </w:footnote>
  <w:footnote w:id="12">
    <w:p w14:paraId="0E586E75" w14:textId="77777777" w:rsidR="009C1079" w:rsidRPr="00861BF3" w:rsidRDefault="009C1079" w:rsidP="009C1079">
      <w:pPr>
        <w:pStyle w:val="Textonotapie"/>
        <w:ind w:firstLine="708"/>
        <w:jc w:val="both"/>
        <w:rPr>
          <w:rFonts w:ascii="Verdana" w:hAnsi="Verdana"/>
          <w:sz w:val="19"/>
          <w:szCs w:val="19"/>
        </w:rPr>
      </w:pPr>
      <w:r w:rsidRPr="00861BF3">
        <w:rPr>
          <w:rStyle w:val="Refdenotaalpie"/>
          <w:rFonts w:ascii="Verdana" w:hAnsi="Verdana"/>
          <w:sz w:val="19"/>
          <w:szCs w:val="19"/>
        </w:rPr>
        <w:footnoteRef/>
      </w:r>
      <w:r w:rsidRPr="00861BF3">
        <w:rPr>
          <w:rFonts w:ascii="Verdana" w:hAnsi="Verdana"/>
          <w:sz w:val="19"/>
          <w:szCs w:val="19"/>
        </w:rPr>
        <w:t xml:space="preserve"> </w:t>
      </w:r>
      <w:r w:rsidRPr="00861BF3">
        <w:rPr>
          <w:rFonts w:ascii="Verdana" w:hAnsi="Verdana" w:cs="Arial"/>
          <w:sz w:val="19"/>
          <w:szCs w:val="19"/>
        </w:rPr>
        <w:t>Gaceta del Congreso No. 733 del 2018. Pág. 19</w:t>
      </w:r>
    </w:p>
    <w:p w14:paraId="71923AF8" w14:textId="77777777" w:rsidR="009C1079" w:rsidRPr="00861BF3" w:rsidRDefault="009C1079" w:rsidP="009C1079">
      <w:pPr>
        <w:pStyle w:val="Textonotapie"/>
        <w:jc w:val="both"/>
        <w:rPr>
          <w:rFonts w:ascii="Verdana" w:hAnsi="Verdana"/>
          <w:sz w:val="19"/>
          <w:szCs w:val="19"/>
          <w:lang w:val="es-CO"/>
        </w:rPr>
      </w:pPr>
    </w:p>
  </w:footnote>
  <w:footnote w:id="13">
    <w:p w14:paraId="11ED2C57" w14:textId="77777777" w:rsidR="009C1079" w:rsidRPr="00861BF3" w:rsidRDefault="009C1079" w:rsidP="009C1079">
      <w:pPr>
        <w:pStyle w:val="Textonotapie"/>
        <w:ind w:firstLine="708"/>
        <w:jc w:val="both"/>
        <w:rPr>
          <w:rFonts w:ascii="Verdana" w:hAnsi="Verdana" w:cs="Arial"/>
          <w:sz w:val="19"/>
          <w:szCs w:val="19"/>
        </w:rPr>
      </w:pPr>
      <w:r w:rsidRPr="00861BF3">
        <w:rPr>
          <w:rStyle w:val="Refdenotaalpie"/>
          <w:rFonts w:ascii="Verdana" w:hAnsi="Verdana"/>
          <w:sz w:val="19"/>
          <w:szCs w:val="19"/>
        </w:rPr>
        <w:footnoteRef/>
      </w:r>
      <w:r w:rsidRPr="00861BF3">
        <w:rPr>
          <w:rFonts w:ascii="Verdana" w:hAnsi="Verdana"/>
          <w:sz w:val="19"/>
          <w:szCs w:val="19"/>
        </w:rPr>
        <w:t xml:space="preserve"> </w:t>
      </w:r>
      <w:r w:rsidRPr="00861BF3">
        <w:rPr>
          <w:rFonts w:ascii="Verdana" w:hAnsi="Verdana" w:cs="Arial"/>
          <w:sz w:val="19"/>
          <w:szCs w:val="19"/>
        </w:rPr>
        <w:t xml:space="preserve">Ley 2022 de 2020: “Artículo 1. Modifíquese el artículo </w:t>
      </w:r>
      <w:hyperlink r:id="rId2" w:anchor="4" w:history="1">
        <w:r w:rsidRPr="00861BF3">
          <w:rPr>
            <w:rFonts w:ascii="Verdana" w:hAnsi="Verdana" w:cs="Arial"/>
            <w:sz w:val="19"/>
            <w:szCs w:val="19"/>
          </w:rPr>
          <w:t>4</w:t>
        </w:r>
      </w:hyperlink>
      <w:r w:rsidRPr="00861BF3">
        <w:rPr>
          <w:rFonts w:ascii="Verdana" w:hAnsi="Verdana" w:cs="Arial"/>
          <w:sz w:val="19"/>
          <w:szCs w:val="19"/>
        </w:rPr>
        <w:t xml:space="preserve">º de la Ley 1882 de 2018, el cual quedará así: </w:t>
      </w:r>
    </w:p>
    <w:p w14:paraId="52CABCD4" w14:textId="77777777" w:rsidR="009C1079" w:rsidRPr="00861BF3" w:rsidRDefault="009C1079" w:rsidP="009C1079">
      <w:pPr>
        <w:pStyle w:val="Textonotapie"/>
        <w:ind w:firstLine="708"/>
        <w:jc w:val="both"/>
        <w:rPr>
          <w:rFonts w:ascii="Verdana" w:hAnsi="Verdana" w:cs="Arial"/>
          <w:sz w:val="19"/>
          <w:szCs w:val="19"/>
        </w:rPr>
      </w:pPr>
    </w:p>
    <w:p w14:paraId="46BAE5D6" w14:textId="77777777" w:rsidR="009C1079" w:rsidRPr="00861BF3" w:rsidRDefault="009C1079" w:rsidP="009C1079">
      <w:pPr>
        <w:pStyle w:val="Textonotapie"/>
        <w:ind w:firstLine="708"/>
        <w:jc w:val="both"/>
        <w:rPr>
          <w:rFonts w:ascii="Verdana" w:hAnsi="Verdana" w:cs="Arial"/>
          <w:sz w:val="19"/>
          <w:szCs w:val="19"/>
        </w:rPr>
      </w:pPr>
      <w:r w:rsidRPr="00861BF3">
        <w:rPr>
          <w:rFonts w:ascii="Verdana" w:hAnsi="Verdana" w:cs="Arial"/>
          <w:sz w:val="19"/>
          <w:szCs w:val="19"/>
        </w:rPr>
        <w:t xml:space="preserve">“Artículo 4º. Adiciónese el siguiente </w:t>
      </w:r>
      <w:r w:rsidRPr="00861BF3">
        <w:rPr>
          <w:rFonts w:ascii="Verdana" w:hAnsi="Verdana"/>
          <w:sz w:val="19"/>
          <w:szCs w:val="19"/>
        </w:rPr>
        <w:t xml:space="preserve"> </w:t>
      </w:r>
      <w:r w:rsidRPr="00861BF3">
        <w:rPr>
          <w:rFonts w:ascii="Verdana" w:hAnsi="Verdana" w:cs="Arial"/>
          <w:sz w:val="19"/>
          <w:szCs w:val="19"/>
        </w:rPr>
        <w:t>al artículo 2º de la Ley 1150 de 2007.</w:t>
      </w:r>
    </w:p>
    <w:p w14:paraId="0B100DE6" w14:textId="77777777" w:rsidR="009C1079" w:rsidRPr="00861BF3" w:rsidRDefault="009C1079" w:rsidP="009C1079">
      <w:pPr>
        <w:pStyle w:val="Textonotapie"/>
        <w:ind w:firstLine="708"/>
        <w:jc w:val="both"/>
        <w:rPr>
          <w:rFonts w:ascii="Verdana" w:hAnsi="Verdana" w:cs="Arial"/>
          <w:sz w:val="19"/>
          <w:szCs w:val="19"/>
        </w:rPr>
      </w:pPr>
    </w:p>
    <w:p w14:paraId="01F1EB27" w14:textId="77777777" w:rsidR="009C1079" w:rsidRPr="00861BF3" w:rsidRDefault="009C1079" w:rsidP="009C1079">
      <w:pPr>
        <w:pStyle w:val="Textonotapie"/>
        <w:ind w:firstLine="708"/>
        <w:jc w:val="both"/>
        <w:rPr>
          <w:rFonts w:ascii="Verdana" w:hAnsi="Verdana" w:cs="Arial"/>
          <w:sz w:val="19"/>
          <w:szCs w:val="19"/>
        </w:rPr>
      </w:pPr>
      <w:r w:rsidRPr="00861BF3">
        <w:rPr>
          <w:rFonts w:ascii="Verdana" w:hAnsi="Verdana" w:cs="Arial"/>
          <w:sz w:val="19"/>
          <w:szCs w:val="19"/>
        </w:rPr>
        <w:t>Parágrafo 7º. La Agencia Nacional de Contratación Pública Colombia Compra Eficiente o quien haga sus veces, adoptará documentos tipo que serán de obligatorio cumplimiento en la actividad contractual de todas las entidades sometidas al Estatuto General de Contratación de la Administración Pública.</w:t>
      </w:r>
    </w:p>
    <w:p w14:paraId="38D6EC4B" w14:textId="77777777" w:rsidR="009C1079" w:rsidRPr="00861BF3" w:rsidRDefault="009C1079" w:rsidP="009C1079">
      <w:pPr>
        <w:pStyle w:val="Textonotapie"/>
        <w:ind w:firstLine="708"/>
        <w:jc w:val="both"/>
        <w:rPr>
          <w:rFonts w:ascii="Verdana" w:hAnsi="Verdana" w:cs="Arial"/>
          <w:sz w:val="19"/>
          <w:szCs w:val="19"/>
        </w:rPr>
      </w:pPr>
    </w:p>
    <w:p w14:paraId="2833CAC6" w14:textId="77777777" w:rsidR="009C1079" w:rsidRPr="00861BF3" w:rsidRDefault="009C1079" w:rsidP="009C1079">
      <w:pPr>
        <w:pStyle w:val="Textonotapie"/>
        <w:ind w:firstLine="708"/>
        <w:jc w:val="both"/>
        <w:rPr>
          <w:rFonts w:ascii="Verdana" w:hAnsi="Verdana" w:cs="Arial"/>
          <w:sz w:val="19"/>
          <w:szCs w:val="19"/>
        </w:rPr>
      </w:pPr>
      <w:r w:rsidRPr="00861BF3">
        <w:rPr>
          <w:rFonts w:ascii="Verdana" w:hAnsi="Verdana" w:cs="Arial"/>
          <w:sz w:val="19"/>
          <w:szCs w:val="19"/>
        </w:rPr>
        <w:t>Dentro de estos documentos tipo, se establecerán los requisitos habilitantes, factores técnicos, económicos y otros factores de escogencia, así como aquellos requisitos que, previa justificación, representen buenas prácticas contractuales que procuren el adecuado desarrollo de los principios que rigen la contratación pública.</w:t>
      </w:r>
    </w:p>
    <w:p w14:paraId="65F6CA05" w14:textId="77777777" w:rsidR="009C1079" w:rsidRPr="00861BF3" w:rsidRDefault="009C1079" w:rsidP="009C1079">
      <w:pPr>
        <w:pStyle w:val="Textonotapie"/>
        <w:ind w:firstLine="708"/>
        <w:jc w:val="both"/>
        <w:rPr>
          <w:rFonts w:ascii="Verdana" w:hAnsi="Verdana" w:cs="Arial"/>
          <w:sz w:val="19"/>
          <w:szCs w:val="19"/>
        </w:rPr>
      </w:pPr>
    </w:p>
    <w:p w14:paraId="47B11595" w14:textId="77777777" w:rsidR="009C1079" w:rsidRPr="00861BF3" w:rsidRDefault="009C1079" w:rsidP="009C1079">
      <w:pPr>
        <w:pStyle w:val="Textonotapie"/>
        <w:ind w:firstLine="708"/>
        <w:jc w:val="both"/>
        <w:rPr>
          <w:rFonts w:ascii="Verdana" w:hAnsi="Verdana" w:cs="Arial"/>
          <w:sz w:val="19"/>
          <w:szCs w:val="19"/>
        </w:rPr>
      </w:pPr>
      <w:r w:rsidRPr="00861BF3">
        <w:rPr>
          <w:rFonts w:ascii="Verdana" w:hAnsi="Verdana" w:cs="Arial"/>
          <w:sz w:val="19"/>
          <w:szCs w:val="19"/>
        </w:rPr>
        <w:t>Con el ánimo de promover la descentralización, el empleo local el desarrollo, los servicios e industria local, en la adopción de los documentos tipo, se tendrá en cuenta las características propias de las regiones, la cuantía, el fomento de la economía local y la naturaleza y especialidad de la contratación. Para tal efecto se deberá llevar a cabo un proceso de capacitación para los municipios.</w:t>
      </w:r>
    </w:p>
    <w:p w14:paraId="6F95C0F4" w14:textId="77777777" w:rsidR="009C1079" w:rsidRPr="00861BF3" w:rsidRDefault="009C1079" w:rsidP="009C1079">
      <w:pPr>
        <w:pStyle w:val="Textonotapie"/>
        <w:ind w:firstLine="708"/>
        <w:jc w:val="both"/>
        <w:rPr>
          <w:rFonts w:ascii="Verdana" w:hAnsi="Verdana" w:cs="Arial"/>
          <w:sz w:val="19"/>
          <w:szCs w:val="19"/>
        </w:rPr>
      </w:pPr>
    </w:p>
    <w:p w14:paraId="5F1849F3" w14:textId="77777777" w:rsidR="009C1079" w:rsidRPr="00861BF3" w:rsidRDefault="009C1079" w:rsidP="009C1079">
      <w:pPr>
        <w:pStyle w:val="Textonotapie"/>
        <w:ind w:firstLine="708"/>
        <w:jc w:val="both"/>
        <w:rPr>
          <w:rFonts w:ascii="Verdana" w:hAnsi="Verdana" w:cs="Arial"/>
          <w:sz w:val="19"/>
          <w:szCs w:val="19"/>
        </w:rPr>
      </w:pPr>
      <w:r w:rsidRPr="00861BF3">
        <w:rPr>
          <w:rFonts w:ascii="Verdana" w:hAnsi="Verdana" w:cs="Arial"/>
          <w:sz w:val="19"/>
          <w:szCs w:val="19"/>
        </w:rPr>
        <w:t>La Agencia Nacional de Contratación Pública Colombia Compra Eficiente fijará un cronograma, y definirá en coordinación con las entidades técnicas o especializadas correspondientes el procedimiento para implementar gradualmente los documentos tipo, con el propósito de facilitar la incorporación de estos en el sistema de compra pública y deberá establecer el procedimiento para recibir y revisar comentarios de los interesados, así como un sistema para la revisión constante de los documentos tipo que expida.</w:t>
      </w:r>
    </w:p>
    <w:p w14:paraId="41D9CC1D" w14:textId="77777777" w:rsidR="009C1079" w:rsidRPr="00861BF3" w:rsidRDefault="009C1079" w:rsidP="009C1079">
      <w:pPr>
        <w:pStyle w:val="Textonotapie"/>
        <w:ind w:firstLine="708"/>
        <w:jc w:val="both"/>
        <w:rPr>
          <w:rFonts w:ascii="Verdana" w:hAnsi="Verdana" w:cs="Arial"/>
          <w:sz w:val="19"/>
          <w:szCs w:val="19"/>
        </w:rPr>
      </w:pPr>
    </w:p>
    <w:p w14:paraId="5B785065" w14:textId="77777777" w:rsidR="009C1079" w:rsidRPr="00861BF3" w:rsidRDefault="009C1079" w:rsidP="009C1079">
      <w:pPr>
        <w:pStyle w:val="Textonotapie"/>
        <w:ind w:firstLine="708"/>
        <w:jc w:val="both"/>
        <w:rPr>
          <w:rFonts w:ascii="Verdana" w:hAnsi="Verdana" w:cs="Arial"/>
          <w:sz w:val="19"/>
          <w:szCs w:val="19"/>
        </w:rPr>
      </w:pPr>
      <w:r w:rsidRPr="00861BF3">
        <w:rPr>
          <w:rFonts w:ascii="Verdana" w:hAnsi="Verdana" w:cs="Arial"/>
          <w:sz w:val="19"/>
          <w:szCs w:val="19"/>
        </w:rPr>
        <w:t>En todo caso, serán de uso obligatorio los documentos tipo para los pliegos de condiciones de los procesos de selección de obras públicas, interventoría para las obras públicas, interventoría para consultoría de estudios y diseños para obras públicas, consultoría en ingeniería para obras, que lleven a cabo todas las entidades sometidas al Estatuto General de Contratación de la Administración Pública, en los términos fijados mediante la reglamentación correspondiente”.</w:t>
      </w:r>
    </w:p>
    <w:p w14:paraId="31B1270E" w14:textId="77777777" w:rsidR="009C1079" w:rsidRPr="00861BF3" w:rsidRDefault="009C1079" w:rsidP="009C1079">
      <w:pPr>
        <w:pStyle w:val="Textonotapie"/>
        <w:ind w:firstLine="708"/>
        <w:jc w:val="both"/>
        <w:rPr>
          <w:rFonts w:ascii="Verdana" w:hAnsi="Verdana" w:cs="Arial"/>
          <w:sz w:val="19"/>
          <w:szCs w:val="19"/>
        </w:rPr>
      </w:pPr>
      <w:r w:rsidRPr="00861BF3">
        <w:rPr>
          <w:rFonts w:ascii="Verdana" w:hAnsi="Verdana" w:cs="Arial"/>
          <w:sz w:val="19"/>
          <w:szCs w:val="19"/>
        </w:rPr>
        <w:t xml:space="preserve"> </w:t>
      </w:r>
    </w:p>
  </w:footnote>
  <w:footnote w:id="14">
    <w:p w14:paraId="7434214B" w14:textId="77777777" w:rsidR="009C1079" w:rsidRPr="00861BF3" w:rsidRDefault="009C1079" w:rsidP="009C1079">
      <w:pPr>
        <w:pStyle w:val="Textonotapie"/>
        <w:ind w:firstLine="708"/>
        <w:jc w:val="both"/>
        <w:rPr>
          <w:rFonts w:ascii="Verdana" w:hAnsi="Verdana" w:cs="Arial"/>
          <w:sz w:val="19"/>
          <w:szCs w:val="19"/>
        </w:rPr>
      </w:pPr>
      <w:r w:rsidRPr="00861BF3">
        <w:rPr>
          <w:rStyle w:val="Refdenotaalpie"/>
          <w:rFonts w:ascii="Verdana" w:hAnsi="Verdana" w:cs="Arial"/>
          <w:sz w:val="19"/>
          <w:szCs w:val="19"/>
        </w:rPr>
        <w:footnoteRef/>
      </w:r>
      <w:r w:rsidRPr="00861BF3">
        <w:rPr>
          <w:rFonts w:ascii="Verdana" w:hAnsi="Verdana" w:cs="Arial"/>
          <w:sz w:val="19"/>
          <w:szCs w:val="19"/>
        </w:rPr>
        <w:t xml:space="preserve"> Ley 80 de 1993. “Artículo 2. De la definición de entidades, servidores y servicios públicos. Para los solos efectos de esta ley:</w:t>
      </w:r>
    </w:p>
    <w:p w14:paraId="0EEE38F4" w14:textId="77777777" w:rsidR="009C1079" w:rsidRPr="00861BF3" w:rsidRDefault="009C1079" w:rsidP="009C1079">
      <w:pPr>
        <w:pStyle w:val="Textonotapie"/>
        <w:ind w:firstLine="708"/>
        <w:jc w:val="both"/>
        <w:rPr>
          <w:rFonts w:ascii="Verdana" w:hAnsi="Verdana" w:cs="Arial"/>
          <w:sz w:val="19"/>
          <w:szCs w:val="19"/>
        </w:rPr>
      </w:pPr>
    </w:p>
    <w:p w14:paraId="640BA21C" w14:textId="77777777" w:rsidR="009C1079" w:rsidRPr="00861BF3" w:rsidRDefault="009C1079" w:rsidP="009C1079">
      <w:pPr>
        <w:pStyle w:val="Textonotapie"/>
        <w:ind w:firstLine="708"/>
        <w:jc w:val="both"/>
        <w:rPr>
          <w:rFonts w:ascii="Verdana" w:hAnsi="Verdana" w:cs="Arial"/>
          <w:sz w:val="19"/>
          <w:szCs w:val="19"/>
        </w:rPr>
      </w:pPr>
      <w:r w:rsidRPr="00861BF3">
        <w:rPr>
          <w:rFonts w:ascii="Verdana" w:hAnsi="Verdana" w:cs="Arial"/>
          <w:sz w:val="19"/>
          <w:szCs w:val="19"/>
        </w:rPr>
        <w:t>1o. Se denominan entidades estatales:</w:t>
      </w:r>
    </w:p>
    <w:p w14:paraId="2D56F23A" w14:textId="77777777" w:rsidR="009C1079" w:rsidRPr="00861BF3" w:rsidRDefault="009C1079" w:rsidP="009C1079">
      <w:pPr>
        <w:pStyle w:val="Textonotapie"/>
        <w:ind w:firstLine="708"/>
        <w:jc w:val="both"/>
        <w:rPr>
          <w:rFonts w:ascii="Verdana" w:hAnsi="Verdana" w:cs="Arial"/>
          <w:sz w:val="19"/>
          <w:szCs w:val="19"/>
        </w:rPr>
      </w:pPr>
    </w:p>
    <w:p w14:paraId="7B975DAE" w14:textId="77777777" w:rsidR="009C1079" w:rsidRPr="00861BF3" w:rsidRDefault="009C1079" w:rsidP="009C1079">
      <w:pPr>
        <w:pStyle w:val="Textonotapie"/>
        <w:ind w:firstLine="708"/>
        <w:jc w:val="both"/>
        <w:rPr>
          <w:rFonts w:ascii="Verdana" w:hAnsi="Verdana" w:cs="Arial"/>
          <w:sz w:val="19"/>
          <w:szCs w:val="19"/>
        </w:rPr>
      </w:pPr>
      <w:r w:rsidRPr="00861BF3">
        <w:rPr>
          <w:rFonts w:ascii="Verdana" w:hAnsi="Verdana" w:cs="Arial"/>
          <w:sz w:val="19"/>
          <w:szCs w:val="19"/>
        </w:rPr>
        <w:t>a) La Nación, las regiones, los departamentos, las provincias, el distrito capital y los distritos especiales, las áreas metropolitanas, las asociaciones de municipios, los territorios indígenas y los municipios; los establecimientos públicos, las empresas industriales y comerciales del Estado, las sociedades de economía mixta en las que el Estado tenga participación superior al cincuenta por ciento (50%), así como las entidades descentralizadas indirectas y las demás personas jurídicas en las que exista dicha participación pública mayoritaria, cualquiera sea la denominación que ellas adopten, en todos los órdenes y niveles.</w:t>
      </w:r>
    </w:p>
    <w:p w14:paraId="78F1C867" w14:textId="77777777" w:rsidR="009C1079" w:rsidRPr="00861BF3" w:rsidRDefault="009C1079" w:rsidP="009C1079">
      <w:pPr>
        <w:pStyle w:val="Textonotapie"/>
        <w:ind w:firstLine="708"/>
        <w:jc w:val="both"/>
        <w:rPr>
          <w:rFonts w:ascii="Verdana" w:hAnsi="Verdana" w:cs="Arial"/>
          <w:sz w:val="19"/>
          <w:szCs w:val="19"/>
        </w:rPr>
      </w:pPr>
    </w:p>
    <w:p w14:paraId="6EA222B5" w14:textId="77777777" w:rsidR="009C1079" w:rsidRPr="00861BF3" w:rsidRDefault="009C1079" w:rsidP="009C1079">
      <w:pPr>
        <w:pStyle w:val="Textonotapie"/>
        <w:ind w:firstLine="708"/>
        <w:jc w:val="both"/>
        <w:rPr>
          <w:rFonts w:ascii="Verdana" w:hAnsi="Verdana" w:cs="Arial"/>
          <w:i/>
          <w:sz w:val="19"/>
          <w:szCs w:val="19"/>
        </w:rPr>
      </w:pPr>
      <w:r w:rsidRPr="00861BF3">
        <w:rPr>
          <w:rFonts w:ascii="Verdana" w:hAnsi="Verdana" w:cs="Arial"/>
          <w:sz w:val="19"/>
          <w:szCs w:val="19"/>
        </w:rPr>
        <w:t>b) El Senado de la República, la Cámara de Representantes, el Consejo Superior de la Judicatura, la Fiscalía General de la Nación, la Contraloría General de la República, las contralorías departamentales, distritales y municipales, la Procuraduría General de la Nación, la Registraduría Nacional del Estado Civil, los ministerios, los departamentos administrativos, las superintendencias, las unidades administrativas especiales y, en general, los organismos o dependencias del Estado a los que la ley otorgue capacidad para celebrar contratos […]”.</w:t>
      </w:r>
    </w:p>
  </w:footnote>
  <w:footnote w:id="15">
    <w:p w14:paraId="5D1A6D5E" w14:textId="77777777" w:rsidR="009C1079" w:rsidRPr="00F16D67" w:rsidRDefault="009C1079" w:rsidP="009C1079">
      <w:pPr>
        <w:pStyle w:val="Textonotapie"/>
        <w:ind w:firstLine="708"/>
        <w:jc w:val="both"/>
        <w:rPr>
          <w:rFonts w:ascii="Verdana" w:hAnsi="Verdana" w:cs="Arial"/>
          <w:sz w:val="19"/>
          <w:szCs w:val="19"/>
          <w:lang w:val="it-IT"/>
        </w:rPr>
      </w:pPr>
      <w:r w:rsidRPr="00861BF3">
        <w:rPr>
          <w:rStyle w:val="Refdenotaalpie"/>
          <w:rFonts w:ascii="Verdana" w:hAnsi="Verdana" w:cs="Arial"/>
          <w:sz w:val="19"/>
          <w:szCs w:val="19"/>
        </w:rPr>
        <w:footnoteRef/>
      </w:r>
      <w:r w:rsidRPr="00F16D67">
        <w:rPr>
          <w:rFonts w:ascii="Verdana" w:hAnsi="Verdana" w:cs="Arial"/>
          <w:sz w:val="19"/>
          <w:szCs w:val="19"/>
          <w:lang w:val="pt-BR"/>
        </w:rPr>
        <w:t xml:space="preserve"> Corte Constitucional. Sentencia C-1005 de 2008. </w:t>
      </w:r>
      <w:r w:rsidRPr="00F16D67">
        <w:rPr>
          <w:rFonts w:ascii="Verdana" w:hAnsi="Verdana" w:cs="Arial"/>
          <w:sz w:val="19"/>
          <w:szCs w:val="19"/>
          <w:lang w:val="it-IT"/>
        </w:rPr>
        <w:t>M.P.: Humberto Sierra Porto.</w:t>
      </w:r>
    </w:p>
    <w:p w14:paraId="59E2937A" w14:textId="77777777" w:rsidR="009C1079" w:rsidRPr="00F16D67" w:rsidRDefault="009C1079" w:rsidP="009C1079">
      <w:pPr>
        <w:pStyle w:val="Textonotapie"/>
        <w:ind w:firstLine="708"/>
        <w:jc w:val="both"/>
        <w:rPr>
          <w:rFonts w:ascii="Verdana" w:hAnsi="Verdana" w:cs="Arial"/>
          <w:sz w:val="19"/>
          <w:szCs w:val="19"/>
          <w:lang w:val="it-IT"/>
        </w:rPr>
      </w:pPr>
    </w:p>
  </w:footnote>
  <w:footnote w:id="16">
    <w:p w14:paraId="64409179" w14:textId="77777777" w:rsidR="009C1079" w:rsidRPr="00861BF3" w:rsidRDefault="009C1079" w:rsidP="009C1079">
      <w:pPr>
        <w:pStyle w:val="Textonotapie"/>
        <w:ind w:firstLine="708"/>
        <w:jc w:val="both"/>
        <w:rPr>
          <w:rFonts w:ascii="Verdana" w:hAnsi="Verdana" w:cs="Arial"/>
          <w:sz w:val="19"/>
          <w:szCs w:val="19"/>
        </w:rPr>
      </w:pPr>
      <w:r w:rsidRPr="00861BF3">
        <w:rPr>
          <w:rStyle w:val="Refdenotaalpie"/>
          <w:rFonts w:ascii="Verdana" w:hAnsi="Verdana" w:cs="Arial"/>
          <w:sz w:val="19"/>
          <w:szCs w:val="19"/>
        </w:rPr>
        <w:footnoteRef/>
      </w:r>
      <w:r w:rsidRPr="00861BF3">
        <w:rPr>
          <w:rFonts w:ascii="Verdana" w:hAnsi="Verdana" w:cs="Arial"/>
          <w:sz w:val="19"/>
          <w:szCs w:val="19"/>
        </w:rPr>
        <w:t xml:space="preserve"> Consejo de Estado. Sección Primera. Sentencia del 20 de noviembre de 2014. Rad. 1101-03-24-000-2010-00119-00. C.P.: Guillermo Vargas Ayala. </w:t>
      </w:r>
    </w:p>
    <w:p w14:paraId="1C19CD37" w14:textId="77777777" w:rsidR="009C1079" w:rsidRPr="00861BF3" w:rsidRDefault="009C1079" w:rsidP="009C1079">
      <w:pPr>
        <w:pStyle w:val="Textonotapie"/>
        <w:ind w:firstLine="708"/>
        <w:jc w:val="both"/>
        <w:rPr>
          <w:rFonts w:ascii="Verdana" w:hAnsi="Verdana" w:cs="Arial"/>
          <w:sz w:val="19"/>
          <w:szCs w:val="19"/>
        </w:rPr>
      </w:pPr>
    </w:p>
  </w:footnote>
  <w:footnote w:id="17">
    <w:p w14:paraId="24E26CEE" w14:textId="77777777" w:rsidR="009C1079" w:rsidRPr="00861BF3" w:rsidRDefault="009C1079" w:rsidP="009C1079">
      <w:pPr>
        <w:spacing w:after="0" w:line="240" w:lineRule="auto"/>
        <w:ind w:firstLine="708"/>
        <w:jc w:val="both"/>
        <w:rPr>
          <w:rFonts w:ascii="Verdana" w:hAnsi="Verdana" w:cs="Arial"/>
          <w:sz w:val="19"/>
          <w:szCs w:val="19"/>
        </w:rPr>
      </w:pPr>
      <w:r w:rsidRPr="00861BF3">
        <w:rPr>
          <w:rStyle w:val="Refdenotaalpie"/>
          <w:rFonts w:ascii="Verdana" w:hAnsi="Verdana" w:cs="Arial"/>
          <w:sz w:val="19"/>
          <w:szCs w:val="19"/>
        </w:rPr>
        <w:footnoteRef/>
      </w:r>
      <w:r w:rsidRPr="00861BF3">
        <w:rPr>
          <w:rFonts w:ascii="Verdana" w:hAnsi="Verdana" w:cs="Arial"/>
          <w:sz w:val="19"/>
          <w:szCs w:val="19"/>
        </w:rPr>
        <w:t xml:space="preserve"> Al respecto, el Congreso puede dictar normas minuciosamente detalladas, en cuyo caso no será necesaria la expedición de decretos reglamentarios; o puede limitarse a dictar una ley de contenidos generales y dejar al Gobierno nacional la potestad de completar todos los aspectos que sean necesarios para su correcta ejecución. Por su parte, no puede el presidente saturar el ordenamiento, reglamentando lo que ya ha sido objeto de reglamentación por el legislador, pues si se repite con exactitud el contenido de las normas reglamentadas se violaría el principio conocido como “prohibición de tautología legal”. Ver Consejo de Estado. Sección Cuarta. Sentencia del 11 de febrero de 2014. Rad. 11001-03-27-000-2011-00023-00(18973). C.P. Carmen Teresa Ortiz De Rodríguez. </w:t>
      </w:r>
    </w:p>
    <w:p w14:paraId="1D79B7E9" w14:textId="77777777" w:rsidR="009C1079" w:rsidRPr="00861BF3" w:rsidRDefault="009C1079" w:rsidP="009C1079">
      <w:pPr>
        <w:spacing w:after="0" w:line="240" w:lineRule="auto"/>
        <w:ind w:firstLine="708"/>
        <w:jc w:val="both"/>
        <w:rPr>
          <w:rFonts w:ascii="Verdana" w:hAnsi="Verdana" w:cs="Arial"/>
          <w:sz w:val="19"/>
          <w:szCs w:val="19"/>
        </w:rPr>
      </w:pPr>
    </w:p>
  </w:footnote>
  <w:footnote w:id="18">
    <w:p w14:paraId="61912A21" w14:textId="77777777" w:rsidR="009C1079" w:rsidRPr="00861BF3" w:rsidRDefault="009C1079" w:rsidP="009C1079">
      <w:pPr>
        <w:pStyle w:val="Textonotapie"/>
        <w:ind w:firstLine="708"/>
        <w:jc w:val="both"/>
        <w:rPr>
          <w:rFonts w:ascii="Verdana" w:hAnsi="Verdana" w:cs="Arial"/>
          <w:sz w:val="19"/>
          <w:szCs w:val="19"/>
        </w:rPr>
      </w:pPr>
      <w:r w:rsidRPr="00861BF3">
        <w:rPr>
          <w:rStyle w:val="Refdenotaalpie"/>
          <w:rFonts w:ascii="Verdana" w:hAnsi="Verdana" w:cs="Arial"/>
          <w:sz w:val="19"/>
          <w:szCs w:val="19"/>
        </w:rPr>
        <w:footnoteRef/>
      </w:r>
      <w:r w:rsidRPr="00861BF3">
        <w:rPr>
          <w:rFonts w:ascii="Verdana" w:hAnsi="Verdana" w:cs="Arial"/>
          <w:sz w:val="19"/>
          <w:szCs w:val="19"/>
        </w:rPr>
        <w:t xml:space="preserve"> De acuerdo con la Sentencia C–037 de 2000, si bien la Constitución Política no contiene disposición expresa que determine dicho orden, de su articulado puede deducirse su existencia, así no siempre resulte sencilla esta tarea. En efecto, diversas disposiciones superiores se refieren a la sujeción de cierto rango de normas frente a otras. Además de ser evidente que las normas constitucionales ocupan, sin discusión, el primer lugar dentro de la jerarquía del ordenamiento jurídico, dentro de la propia Carta, no todas las normas son igualmente prevalentes.</w:t>
      </w:r>
    </w:p>
    <w:p w14:paraId="190A0E94" w14:textId="77777777" w:rsidR="009C1079" w:rsidRPr="00861BF3" w:rsidRDefault="009C1079" w:rsidP="009C1079">
      <w:pPr>
        <w:pStyle w:val="Textonotapie"/>
        <w:ind w:firstLine="708"/>
        <w:jc w:val="both"/>
        <w:rPr>
          <w:rFonts w:ascii="Verdana" w:hAnsi="Verdana" w:cs="Arial"/>
          <w:sz w:val="19"/>
          <w:szCs w:val="19"/>
        </w:rPr>
      </w:pPr>
    </w:p>
  </w:footnote>
  <w:footnote w:id="19">
    <w:p w14:paraId="31DE0E65" w14:textId="77777777" w:rsidR="009C1079" w:rsidRPr="00861BF3" w:rsidRDefault="009C1079" w:rsidP="009C1079">
      <w:pPr>
        <w:pStyle w:val="Textonotapie"/>
        <w:ind w:firstLine="708"/>
        <w:jc w:val="both"/>
        <w:rPr>
          <w:rFonts w:ascii="Verdana" w:hAnsi="Verdana" w:cs="Arial"/>
          <w:sz w:val="19"/>
          <w:szCs w:val="19"/>
        </w:rPr>
      </w:pPr>
      <w:r w:rsidRPr="00861BF3">
        <w:rPr>
          <w:rStyle w:val="Refdenotaalpie"/>
          <w:rFonts w:ascii="Verdana" w:hAnsi="Verdana" w:cs="Arial"/>
          <w:sz w:val="19"/>
          <w:szCs w:val="19"/>
        </w:rPr>
        <w:footnoteRef/>
      </w:r>
      <w:r w:rsidRPr="00861BF3">
        <w:rPr>
          <w:rFonts w:ascii="Verdana" w:hAnsi="Verdana" w:cs="Arial"/>
          <w:sz w:val="19"/>
          <w:szCs w:val="19"/>
        </w:rPr>
        <w:t xml:space="preserve"> Ver entre otras, las Sentencias de la Corte Constitucional C–162 de 2008; C–823 de 2011; C–810 de 2014. Consejo de Estado. Sección Segunda. Sentencia del 21 de octubre de 2010. Rad. 11001-03-25-000-2005-00125-00(5242-05). C.P. Alfonso Vargas Rincón; Consejo de Estado. Sección Tercera. Subsección B. Sentencia del 29 de abril de 2015. Rad. 11001-03-26-000-2004-00044-00(28615). C.P. Stella Conto Díaz del Castillo.</w:t>
      </w:r>
    </w:p>
    <w:p w14:paraId="2EDB0F3C" w14:textId="77777777" w:rsidR="009C1079" w:rsidRPr="00861BF3" w:rsidRDefault="009C1079" w:rsidP="009C1079">
      <w:pPr>
        <w:pStyle w:val="Textonotapie"/>
        <w:ind w:firstLine="708"/>
        <w:jc w:val="both"/>
        <w:rPr>
          <w:rFonts w:ascii="Verdana" w:hAnsi="Verdana" w:cs="Arial"/>
          <w:sz w:val="19"/>
          <w:szCs w:val="19"/>
        </w:rPr>
      </w:pPr>
    </w:p>
  </w:footnote>
  <w:footnote w:id="20">
    <w:p w14:paraId="24E442C5" w14:textId="77777777" w:rsidR="009C1079" w:rsidRPr="00F16D67" w:rsidRDefault="009C1079" w:rsidP="009C1079">
      <w:pPr>
        <w:pStyle w:val="Textonotapie"/>
        <w:ind w:firstLine="708"/>
        <w:jc w:val="both"/>
        <w:rPr>
          <w:rFonts w:ascii="Verdana" w:hAnsi="Verdana" w:cs="Arial"/>
          <w:sz w:val="19"/>
          <w:szCs w:val="19"/>
          <w:lang w:val="it-IT"/>
        </w:rPr>
      </w:pPr>
      <w:r w:rsidRPr="00861BF3">
        <w:rPr>
          <w:rStyle w:val="Refdenotaalpie"/>
          <w:rFonts w:ascii="Verdana" w:hAnsi="Verdana" w:cs="Arial"/>
          <w:sz w:val="19"/>
          <w:szCs w:val="19"/>
        </w:rPr>
        <w:footnoteRef/>
      </w:r>
      <w:r w:rsidRPr="00F16D67">
        <w:rPr>
          <w:rFonts w:ascii="Verdana" w:hAnsi="Verdana" w:cs="Arial"/>
          <w:sz w:val="19"/>
          <w:szCs w:val="19"/>
          <w:lang w:val="pt-BR"/>
        </w:rPr>
        <w:t xml:space="preserve"> Corte Constitucional, Sentencia C–1005 de 2008. </w:t>
      </w:r>
      <w:r w:rsidRPr="00F16D67">
        <w:rPr>
          <w:rFonts w:ascii="Verdana" w:hAnsi="Verdana" w:cs="Arial"/>
          <w:sz w:val="19"/>
          <w:szCs w:val="19"/>
          <w:lang w:val="it-IT"/>
        </w:rPr>
        <w:t xml:space="preserve">M.P.: Humberto Antonio Sierra Porto. </w:t>
      </w:r>
    </w:p>
    <w:p w14:paraId="63E24E77" w14:textId="77777777" w:rsidR="009C1079" w:rsidRPr="00F16D67" w:rsidRDefault="009C1079" w:rsidP="009C1079">
      <w:pPr>
        <w:pStyle w:val="Textonotapie"/>
        <w:ind w:firstLine="708"/>
        <w:jc w:val="both"/>
        <w:rPr>
          <w:rFonts w:ascii="Verdana" w:hAnsi="Verdana" w:cs="Arial"/>
          <w:sz w:val="19"/>
          <w:szCs w:val="19"/>
          <w:lang w:val="it-IT"/>
        </w:rPr>
      </w:pPr>
    </w:p>
  </w:footnote>
  <w:footnote w:id="21">
    <w:p w14:paraId="7BE90F55" w14:textId="77777777" w:rsidR="009C1079" w:rsidRPr="00F16D67" w:rsidRDefault="009C1079" w:rsidP="009C1079">
      <w:pPr>
        <w:pStyle w:val="Textonotapie"/>
        <w:ind w:firstLine="708"/>
        <w:jc w:val="both"/>
        <w:rPr>
          <w:rFonts w:ascii="Verdana" w:hAnsi="Verdana" w:cs="Arial"/>
          <w:sz w:val="19"/>
          <w:szCs w:val="19"/>
          <w:lang w:val="pt-BR"/>
        </w:rPr>
      </w:pPr>
      <w:r w:rsidRPr="00861BF3">
        <w:rPr>
          <w:rStyle w:val="Refdenotaalpie"/>
          <w:rFonts w:ascii="Verdana" w:hAnsi="Verdana" w:cs="Arial"/>
          <w:sz w:val="19"/>
          <w:szCs w:val="19"/>
        </w:rPr>
        <w:footnoteRef/>
      </w:r>
      <w:r w:rsidRPr="00F16D67">
        <w:rPr>
          <w:rFonts w:ascii="Verdana" w:hAnsi="Verdana" w:cs="Arial"/>
          <w:sz w:val="19"/>
          <w:szCs w:val="19"/>
          <w:lang w:val="pt-BR"/>
        </w:rPr>
        <w:t xml:space="preserve"> Consejo de Estado, Sala de lo Contencioso Administrativo, Sección Primera. Consejero ponente: Juan Alberto Polo Figueroa. Bogotá D.C., 24 de agosto de 2000. Radicación número 6096.</w:t>
      </w:r>
    </w:p>
    <w:p w14:paraId="36FE237F" w14:textId="77777777" w:rsidR="009C1079" w:rsidRPr="00F16D67" w:rsidRDefault="009C1079" w:rsidP="009C1079">
      <w:pPr>
        <w:pStyle w:val="Textonotapie"/>
        <w:ind w:firstLine="708"/>
        <w:jc w:val="both"/>
        <w:rPr>
          <w:rFonts w:ascii="Verdana" w:hAnsi="Verdana" w:cs="Arial"/>
          <w:sz w:val="19"/>
          <w:szCs w:val="19"/>
          <w:lang w:val="pt-BR"/>
        </w:rPr>
      </w:pPr>
    </w:p>
  </w:footnote>
  <w:footnote w:id="22">
    <w:p w14:paraId="4EA47D1A" w14:textId="77777777" w:rsidR="009C1079" w:rsidRPr="00F16D67" w:rsidRDefault="009C1079" w:rsidP="009C1079">
      <w:pPr>
        <w:pStyle w:val="Textonotapie"/>
        <w:ind w:firstLine="708"/>
        <w:jc w:val="both"/>
        <w:rPr>
          <w:rFonts w:ascii="Verdana" w:hAnsi="Verdana"/>
          <w:sz w:val="19"/>
          <w:szCs w:val="19"/>
          <w:lang w:val="pt-BR"/>
        </w:rPr>
      </w:pPr>
      <w:r w:rsidRPr="00861BF3">
        <w:rPr>
          <w:rStyle w:val="Refdenotaalpie"/>
          <w:rFonts w:ascii="Verdana" w:hAnsi="Verdana"/>
          <w:sz w:val="19"/>
          <w:szCs w:val="19"/>
        </w:rPr>
        <w:footnoteRef/>
      </w:r>
      <w:r w:rsidRPr="00F16D67">
        <w:rPr>
          <w:rFonts w:ascii="Verdana" w:hAnsi="Verdana"/>
          <w:sz w:val="19"/>
          <w:szCs w:val="19"/>
          <w:lang w:val="pt-BR"/>
        </w:rPr>
        <w:t xml:space="preserve"> Ibidem </w:t>
      </w:r>
    </w:p>
    <w:p w14:paraId="1760309B" w14:textId="77777777" w:rsidR="009C1079" w:rsidRPr="00F16D67" w:rsidRDefault="009C1079" w:rsidP="009C1079">
      <w:pPr>
        <w:pStyle w:val="Textonotapie"/>
        <w:ind w:firstLine="708"/>
        <w:jc w:val="both"/>
        <w:rPr>
          <w:rFonts w:ascii="Verdana" w:hAnsi="Verdana"/>
          <w:sz w:val="19"/>
          <w:szCs w:val="19"/>
          <w:lang w:val="pt-BR"/>
        </w:rPr>
      </w:pPr>
    </w:p>
  </w:footnote>
  <w:footnote w:id="23">
    <w:p w14:paraId="60355BD6" w14:textId="77777777" w:rsidR="009C1079" w:rsidRPr="00F16D67" w:rsidRDefault="009C1079" w:rsidP="009C1079">
      <w:pPr>
        <w:pStyle w:val="Textonotapie"/>
        <w:ind w:firstLine="708"/>
        <w:jc w:val="both"/>
        <w:rPr>
          <w:rFonts w:ascii="Verdana" w:hAnsi="Verdana"/>
          <w:color w:val="333333"/>
          <w:sz w:val="19"/>
          <w:szCs w:val="19"/>
          <w:shd w:val="clear" w:color="auto" w:fill="FFFFFF"/>
          <w:lang w:val="pt-BR"/>
        </w:rPr>
      </w:pPr>
      <w:r w:rsidRPr="00861BF3">
        <w:rPr>
          <w:rStyle w:val="Refdenotaalpie"/>
          <w:rFonts w:ascii="Verdana" w:hAnsi="Verdana"/>
          <w:sz w:val="19"/>
          <w:szCs w:val="19"/>
        </w:rPr>
        <w:footnoteRef/>
      </w:r>
      <w:r w:rsidRPr="00F16D67">
        <w:rPr>
          <w:rFonts w:ascii="Verdana" w:hAnsi="Verdana"/>
          <w:sz w:val="19"/>
          <w:szCs w:val="19"/>
          <w:lang w:val="pt-BR"/>
        </w:rPr>
        <w:t xml:space="preserve"> </w:t>
      </w:r>
      <w:r w:rsidRPr="00F16D67">
        <w:rPr>
          <w:rFonts w:ascii="Verdana" w:hAnsi="Verdana" w:cs="Arial"/>
          <w:sz w:val="19"/>
          <w:szCs w:val="19"/>
          <w:lang w:val="pt-BR"/>
        </w:rPr>
        <w:t xml:space="preserve">Corte Constitucional, Sentencia </w:t>
      </w:r>
      <w:r w:rsidRPr="00F16D67">
        <w:rPr>
          <w:rFonts w:ascii="Verdana" w:eastAsia="Times New Roman" w:hAnsi="Verdana" w:cs="Arial"/>
          <w:sz w:val="19"/>
          <w:szCs w:val="19"/>
          <w:lang w:val="pt-BR" w:eastAsia="es-MX"/>
        </w:rPr>
        <w:t>C-917 de 2002</w:t>
      </w:r>
      <w:r w:rsidRPr="00F16D67">
        <w:rPr>
          <w:rFonts w:ascii="Verdana" w:hAnsi="Verdana" w:cs="Arial"/>
          <w:sz w:val="19"/>
          <w:szCs w:val="19"/>
          <w:lang w:val="pt-BR"/>
        </w:rPr>
        <w:t xml:space="preserve">. M.P.: </w:t>
      </w:r>
      <w:r w:rsidRPr="00F16D67">
        <w:rPr>
          <w:rFonts w:ascii="Verdana" w:hAnsi="Verdana"/>
          <w:color w:val="333333"/>
          <w:sz w:val="19"/>
          <w:szCs w:val="19"/>
          <w:shd w:val="clear" w:color="auto" w:fill="FFFFFF"/>
          <w:lang w:val="pt-BR"/>
        </w:rPr>
        <w:t>Marco Gerardo Monroy Cabra.</w:t>
      </w:r>
    </w:p>
    <w:p w14:paraId="7A10FD0D" w14:textId="77777777" w:rsidR="009C1079" w:rsidRPr="00F16D67" w:rsidRDefault="009C1079" w:rsidP="009C1079">
      <w:pPr>
        <w:pStyle w:val="Textonotapie"/>
        <w:ind w:firstLine="708"/>
        <w:jc w:val="both"/>
        <w:rPr>
          <w:rFonts w:ascii="Verdana" w:hAnsi="Verdana"/>
          <w:sz w:val="19"/>
          <w:szCs w:val="19"/>
          <w:lang w:val="pt-BR"/>
        </w:rPr>
      </w:pPr>
    </w:p>
  </w:footnote>
  <w:footnote w:id="24">
    <w:p w14:paraId="78C8D388" w14:textId="77777777" w:rsidR="009C1079" w:rsidRDefault="009C1079" w:rsidP="009C1079">
      <w:pPr>
        <w:pStyle w:val="Textonotapie"/>
        <w:ind w:firstLine="708"/>
        <w:jc w:val="both"/>
        <w:rPr>
          <w:rFonts w:ascii="Verdana" w:hAnsi="Verdana" w:cs="Arial"/>
          <w:sz w:val="19"/>
          <w:szCs w:val="19"/>
        </w:rPr>
      </w:pPr>
      <w:r w:rsidRPr="00861BF3">
        <w:rPr>
          <w:rStyle w:val="Refdenotaalpie"/>
          <w:rFonts w:ascii="Verdana" w:hAnsi="Verdana" w:cs="Arial"/>
          <w:sz w:val="19"/>
          <w:szCs w:val="19"/>
        </w:rPr>
        <w:footnoteRef/>
      </w:r>
      <w:r w:rsidRPr="00861BF3">
        <w:rPr>
          <w:rFonts w:ascii="Verdana" w:hAnsi="Verdana" w:cs="Arial"/>
          <w:sz w:val="19"/>
          <w:szCs w:val="19"/>
        </w:rPr>
        <w:t xml:space="preserve"> Artículo 1º del Decreto Ley 4170 de 2011.</w:t>
      </w:r>
    </w:p>
    <w:p w14:paraId="4B67F354" w14:textId="77777777" w:rsidR="009C1079" w:rsidRPr="00861BF3" w:rsidRDefault="009C1079" w:rsidP="009C1079">
      <w:pPr>
        <w:pStyle w:val="Textonotapie"/>
        <w:ind w:firstLine="708"/>
        <w:jc w:val="both"/>
        <w:rPr>
          <w:rFonts w:ascii="Verdana" w:hAnsi="Verdana" w:cs="Arial"/>
          <w:sz w:val="19"/>
          <w:szCs w:val="19"/>
        </w:rPr>
      </w:pPr>
    </w:p>
  </w:footnote>
  <w:footnote w:id="25">
    <w:p w14:paraId="6DEEBF25" w14:textId="77777777" w:rsidR="009C1079" w:rsidRPr="00861BF3" w:rsidRDefault="009C1079" w:rsidP="009C1079">
      <w:pPr>
        <w:pStyle w:val="Textonotapie"/>
        <w:ind w:firstLine="708"/>
        <w:jc w:val="both"/>
        <w:rPr>
          <w:rFonts w:ascii="Verdana" w:hAnsi="Verdana" w:cs="Arial"/>
          <w:sz w:val="19"/>
          <w:szCs w:val="19"/>
        </w:rPr>
      </w:pPr>
      <w:r w:rsidRPr="00861BF3">
        <w:rPr>
          <w:rStyle w:val="Refdenotaalpie"/>
          <w:rFonts w:ascii="Verdana" w:hAnsi="Verdana"/>
          <w:sz w:val="19"/>
          <w:szCs w:val="19"/>
        </w:rPr>
        <w:footnoteRef/>
      </w:r>
      <w:r w:rsidRPr="00861BF3">
        <w:rPr>
          <w:rFonts w:ascii="Verdana" w:hAnsi="Verdana"/>
          <w:sz w:val="19"/>
          <w:szCs w:val="19"/>
        </w:rPr>
        <w:t xml:space="preserve"> </w:t>
      </w:r>
      <w:r w:rsidRPr="00861BF3">
        <w:rPr>
          <w:rFonts w:ascii="Verdana" w:hAnsi="Verdana" w:cs="Arial"/>
          <w:sz w:val="19"/>
          <w:szCs w:val="19"/>
        </w:rPr>
        <w:t>Ver el Artículo 11 numeral 12 del Decreto Ley 4170 de 2011.</w:t>
      </w:r>
    </w:p>
    <w:p w14:paraId="7B27E247" w14:textId="77777777" w:rsidR="009C1079" w:rsidRPr="00861BF3" w:rsidRDefault="009C1079" w:rsidP="009C1079">
      <w:pPr>
        <w:pStyle w:val="Textonotapie"/>
        <w:ind w:firstLine="708"/>
        <w:jc w:val="both"/>
        <w:rPr>
          <w:rFonts w:ascii="Verdana" w:hAnsi="Verdana"/>
          <w:sz w:val="19"/>
          <w:szCs w:val="19"/>
        </w:rPr>
      </w:pPr>
    </w:p>
  </w:footnote>
  <w:footnote w:id="26">
    <w:p w14:paraId="4420B6F4" w14:textId="77777777" w:rsidR="009C1079" w:rsidRDefault="009C1079" w:rsidP="009C1079">
      <w:pPr>
        <w:pStyle w:val="Textonotapie"/>
        <w:ind w:firstLine="708"/>
        <w:jc w:val="both"/>
        <w:rPr>
          <w:rFonts w:ascii="Verdana" w:hAnsi="Verdana" w:cs="Arial"/>
          <w:sz w:val="19"/>
          <w:szCs w:val="19"/>
        </w:rPr>
      </w:pPr>
      <w:r w:rsidRPr="00861BF3">
        <w:rPr>
          <w:rStyle w:val="Refdenotaalpie"/>
          <w:rFonts w:ascii="Verdana" w:hAnsi="Verdana" w:cs="Arial"/>
          <w:sz w:val="19"/>
          <w:szCs w:val="19"/>
        </w:rPr>
        <w:footnoteRef/>
      </w:r>
      <w:r w:rsidRPr="00861BF3">
        <w:rPr>
          <w:rStyle w:val="Refdenotaalpie"/>
          <w:rFonts w:ascii="Verdana" w:hAnsi="Verdana" w:cs="Arial"/>
          <w:sz w:val="19"/>
          <w:szCs w:val="19"/>
        </w:rPr>
        <w:t xml:space="preserve"> </w:t>
      </w:r>
      <w:r w:rsidRPr="00861BF3">
        <w:rPr>
          <w:rFonts w:ascii="Verdana" w:hAnsi="Verdana" w:cs="Arial"/>
          <w:sz w:val="19"/>
          <w:szCs w:val="19"/>
        </w:rPr>
        <w:t>Consejo de Estado. Sección Tercera. Auto del 14 de agosto de 2017. Rad. 58820.</w:t>
      </w:r>
    </w:p>
    <w:p w14:paraId="36177D8B" w14:textId="77777777" w:rsidR="009C1079" w:rsidRPr="00861BF3" w:rsidRDefault="009C1079" w:rsidP="009C1079">
      <w:pPr>
        <w:pStyle w:val="Textonotapie"/>
        <w:ind w:firstLine="708"/>
        <w:jc w:val="both"/>
        <w:rPr>
          <w:rFonts w:ascii="Verdana" w:hAnsi="Verdana" w:cs="Arial"/>
          <w:sz w:val="19"/>
          <w:szCs w:val="19"/>
        </w:rPr>
      </w:pPr>
    </w:p>
  </w:footnote>
  <w:footnote w:id="27">
    <w:p w14:paraId="3E37FB3D" w14:textId="77777777" w:rsidR="009C1079" w:rsidRPr="00861BF3" w:rsidRDefault="009C1079" w:rsidP="009C1079">
      <w:pPr>
        <w:pStyle w:val="Textonotapie"/>
        <w:ind w:firstLine="708"/>
        <w:jc w:val="both"/>
        <w:rPr>
          <w:rFonts w:ascii="Verdana" w:hAnsi="Verdana"/>
          <w:sz w:val="19"/>
          <w:szCs w:val="19"/>
        </w:rPr>
      </w:pPr>
      <w:r w:rsidRPr="00861BF3">
        <w:rPr>
          <w:rStyle w:val="Refdenotaalpie"/>
          <w:rFonts w:ascii="Verdana" w:hAnsi="Verdana"/>
          <w:sz w:val="19"/>
          <w:szCs w:val="19"/>
        </w:rPr>
        <w:footnoteRef/>
      </w:r>
      <w:r w:rsidRPr="00861BF3">
        <w:rPr>
          <w:rFonts w:ascii="Verdana" w:hAnsi="Verdana"/>
          <w:sz w:val="19"/>
          <w:szCs w:val="19"/>
        </w:rPr>
        <w:t xml:space="preserve"> Consejo de Estado. Sección Tercera. Sentencia del 16 de agosto de 2017. Rad. 56166.</w:t>
      </w:r>
    </w:p>
    <w:p w14:paraId="04AE206A" w14:textId="77777777" w:rsidR="009C1079" w:rsidRPr="00861BF3" w:rsidRDefault="009C1079" w:rsidP="009C1079">
      <w:pPr>
        <w:pStyle w:val="Textonotapie"/>
        <w:ind w:firstLine="708"/>
        <w:jc w:val="both"/>
        <w:rPr>
          <w:rFonts w:ascii="Verdana" w:hAnsi="Verdana"/>
          <w:sz w:val="19"/>
          <w:szCs w:val="19"/>
        </w:rPr>
      </w:pPr>
    </w:p>
  </w:footnote>
  <w:footnote w:id="28">
    <w:p w14:paraId="271E4067" w14:textId="77777777" w:rsidR="009C1079" w:rsidRPr="00861BF3" w:rsidRDefault="009C1079" w:rsidP="009C1079">
      <w:pPr>
        <w:pStyle w:val="Textonotapie"/>
        <w:ind w:firstLine="708"/>
        <w:jc w:val="both"/>
        <w:rPr>
          <w:rFonts w:ascii="Verdana" w:hAnsi="Verdana" w:cs="Arial"/>
          <w:sz w:val="19"/>
          <w:szCs w:val="19"/>
        </w:rPr>
      </w:pPr>
      <w:r w:rsidRPr="00861BF3">
        <w:rPr>
          <w:rStyle w:val="Refdenotaalpie"/>
          <w:rFonts w:ascii="Verdana" w:hAnsi="Verdana" w:cs="Arial"/>
          <w:sz w:val="19"/>
          <w:szCs w:val="19"/>
        </w:rPr>
        <w:footnoteRef/>
      </w:r>
      <w:r w:rsidRPr="00861BF3">
        <w:rPr>
          <w:rFonts w:ascii="Verdana" w:hAnsi="Verdana" w:cs="Arial"/>
          <w:sz w:val="19"/>
          <w:szCs w:val="19"/>
        </w:rPr>
        <w:t xml:space="preserve">Ibídem. </w:t>
      </w:r>
    </w:p>
    <w:p w14:paraId="4E99643E" w14:textId="77777777" w:rsidR="009C1079" w:rsidRPr="00861BF3" w:rsidRDefault="009C1079" w:rsidP="009C1079">
      <w:pPr>
        <w:pStyle w:val="Textonotapie"/>
        <w:ind w:firstLine="708"/>
        <w:jc w:val="both"/>
        <w:rPr>
          <w:rFonts w:ascii="Verdana" w:hAnsi="Verdana" w:cs="Arial"/>
          <w:sz w:val="19"/>
          <w:szCs w:val="19"/>
        </w:rPr>
      </w:pPr>
    </w:p>
  </w:footnote>
  <w:footnote w:id="29">
    <w:p w14:paraId="6DA77A88" w14:textId="77777777" w:rsidR="009C1079" w:rsidRPr="00861BF3" w:rsidRDefault="009C1079" w:rsidP="009C1079">
      <w:pPr>
        <w:pStyle w:val="Textonotapie"/>
        <w:ind w:firstLine="708"/>
        <w:jc w:val="both"/>
        <w:rPr>
          <w:rFonts w:ascii="Verdana" w:hAnsi="Verdana" w:cs="Arial"/>
          <w:sz w:val="19"/>
          <w:szCs w:val="19"/>
        </w:rPr>
      </w:pPr>
      <w:r w:rsidRPr="00861BF3">
        <w:rPr>
          <w:rStyle w:val="Refdenotaalpie"/>
          <w:rFonts w:ascii="Verdana" w:hAnsi="Verdana" w:cs="Arial"/>
          <w:sz w:val="19"/>
          <w:szCs w:val="19"/>
        </w:rPr>
        <w:footnoteRef/>
      </w:r>
      <w:r w:rsidRPr="00861BF3">
        <w:rPr>
          <w:rStyle w:val="Refdenotaalpie"/>
          <w:rFonts w:ascii="Verdana" w:hAnsi="Verdana" w:cs="Arial"/>
          <w:sz w:val="19"/>
          <w:szCs w:val="19"/>
        </w:rPr>
        <w:t xml:space="preserve"> </w:t>
      </w:r>
      <w:r w:rsidRPr="00861BF3">
        <w:rPr>
          <w:rFonts w:ascii="Verdana" w:hAnsi="Verdana" w:cs="Arial"/>
          <w:sz w:val="19"/>
          <w:szCs w:val="19"/>
        </w:rPr>
        <w:t>Consejo de Estado. Sección Tercera. Sentencia de 11 de abril de 2019. Rad. 52.055.</w:t>
      </w:r>
    </w:p>
  </w:footnote>
  <w:footnote w:id="30">
    <w:p w14:paraId="4D14B5B5" w14:textId="77777777" w:rsidR="009C1079" w:rsidRPr="00861BF3" w:rsidRDefault="009C1079" w:rsidP="009C1079">
      <w:pPr>
        <w:pStyle w:val="Textonotapie"/>
        <w:ind w:firstLine="708"/>
        <w:jc w:val="both"/>
        <w:rPr>
          <w:rFonts w:ascii="Verdana" w:hAnsi="Verdana"/>
          <w:sz w:val="19"/>
          <w:szCs w:val="19"/>
        </w:rPr>
      </w:pPr>
      <w:r w:rsidRPr="00861BF3">
        <w:rPr>
          <w:rStyle w:val="Refdenotaalpie"/>
          <w:rFonts w:ascii="Verdana" w:hAnsi="Verdana"/>
          <w:sz w:val="19"/>
          <w:szCs w:val="19"/>
        </w:rPr>
        <w:footnoteRef/>
      </w:r>
      <w:r w:rsidRPr="00861BF3">
        <w:rPr>
          <w:rFonts w:ascii="Verdana" w:hAnsi="Verdana"/>
          <w:sz w:val="19"/>
          <w:szCs w:val="19"/>
        </w:rPr>
        <w:t xml:space="preserve"> Ibidem.</w:t>
      </w:r>
    </w:p>
  </w:footnote>
  <w:footnote w:id="31">
    <w:p w14:paraId="2E8BB5CD" w14:textId="77777777" w:rsidR="009C1079" w:rsidRPr="00861BF3" w:rsidRDefault="009C1079" w:rsidP="009C1079">
      <w:pPr>
        <w:pStyle w:val="Textonotapie"/>
        <w:ind w:firstLine="709"/>
        <w:jc w:val="both"/>
        <w:rPr>
          <w:rFonts w:ascii="Verdana" w:hAnsi="Verdana" w:cs="Arial"/>
          <w:color w:val="000000"/>
          <w:sz w:val="19"/>
          <w:szCs w:val="19"/>
        </w:rPr>
      </w:pPr>
    </w:p>
    <w:p w14:paraId="40CA332B" w14:textId="77777777" w:rsidR="009C1079" w:rsidRPr="00861BF3" w:rsidRDefault="009C1079" w:rsidP="009C1079">
      <w:pPr>
        <w:pStyle w:val="Textonotapie"/>
        <w:ind w:firstLine="709"/>
        <w:jc w:val="both"/>
        <w:rPr>
          <w:rFonts w:ascii="Verdana" w:hAnsi="Verdana" w:cs="Arial"/>
          <w:color w:val="000000"/>
          <w:sz w:val="19"/>
          <w:szCs w:val="19"/>
          <w:lang w:val="es-ES"/>
        </w:rPr>
      </w:pPr>
      <w:r w:rsidRPr="00861BF3">
        <w:rPr>
          <w:rStyle w:val="Refdenotaalpie"/>
          <w:rFonts w:ascii="Verdana" w:hAnsi="Verdana" w:cs="Arial"/>
          <w:color w:val="000000"/>
          <w:sz w:val="19"/>
          <w:szCs w:val="19"/>
        </w:rPr>
        <w:footnoteRef/>
      </w:r>
      <w:r w:rsidRPr="00861BF3">
        <w:rPr>
          <w:rFonts w:ascii="Verdana" w:hAnsi="Verdana" w:cs="Arial"/>
          <w:color w:val="000000"/>
          <w:sz w:val="19"/>
          <w:szCs w:val="19"/>
        </w:rPr>
        <w:t xml:space="preserve"> </w:t>
      </w:r>
      <w:r w:rsidRPr="00861BF3">
        <w:rPr>
          <w:rFonts w:ascii="Verdana" w:hAnsi="Verdana" w:cs="Arial"/>
          <w:color w:val="000000"/>
          <w:sz w:val="19"/>
          <w:szCs w:val="19"/>
          <w:lang w:val="es-ES"/>
        </w:rPr>
        <w:t>En cuanto a las resoluciones vigentes, dicha regla se observa en el artículo 3 de las Resoluciones</w:t>
      </w:r>
      <w:bookmarkStart w:id="2" w:name="_Hlk82363077"/>
      <w:r w:rsidRPr="00861BF3">
        <w:rPr>
          <w:rFonts w:ascii="Verdana" w:hAnsi="Verdana" w:cs="Arial"/>
          <w:color w:val="000000"/>
          <w:sz w:val="19"/>
          <w:szCs w:val="19"/>
          <w:lang w:val="es-ES"/>
        </w:rPr>
        <w:t xml:space="preserve"> 248 de 2020, 249 de 2020, 269 de 2020, 219 de 2021, 220 de 2021, 392 de 2021, 454 de 2021, 333 de 2022, 358 de 2023, 798 de 2023, 456 de 2024, 463 de 2024, 464 de 2024, 725 de 2024, 726 de 2024, entre otras</w:t>
      </w:r>
      <w:bookmarkEnd w:id="2"/>
      <w:r w:rsidRPr="00861BF3">
        <w:rPr>
          <w:rFonts w:ascii="Verdana" w:hAnsi="Verdana" w:cs="Arial"/>
          <w:color w:val="000000"/>
          <w:sz w:val="19"/>
          <w:szCs w:val="19"/>
          <w:lang w:val="es-ES"/>
        </w:rPr>
        <w:t xml:space="preserve">. </w:t>
      </w:r>
    </w:p>
    <w:p w14:paraId="2819CD38" w14:textId="77777777" w:rsidR="009C1079" w:rsidRPr="00861BF3" w:rsidRDefault="009C1079" w:rsidP="009C1079">
      <w:pPr>
        <w:pStyle w:val="Textonotapie"/>
        <w:ind w:firstLine="709"/>
        <w:jc w:val="both"/>
        <w:rPr>
          <w:rFonts w:ascii="Verdana" w:hAnsi="Verdana" w:cs="Arial"/>
          <w:color w:val="000000"/>
          <w:sz w:val="19"/>
          <w:szCs w:val="19"/>
          <w:lang w:val="es-ES"/>
        </w:rPr>
      </w:pPr>
    </w:p>
  </w:footnote>
  <w:footnote w:id="32">
    <w:p w14:paraId="00E29399" w14:textId="77777777" w:rsidR="009C1079" w:rsidRPr="00861BF3" w:rsidRDefault="009C1079" w:rsidP="009C1079">
      <w:pPr>
        <w:pStyle w:val="Textonotapie"/>
        <w:ind w:firstLine="708"/>
        <w:jc w:val="both"/>
        <w:rPr>
          <w:rFonts w:ascii="Verdana" w:hAnsi="Verdana" w:cs="Arial"/>
          <w:color w:val="000000"/>
          <w:sz w:val="19"/>
          <w:szCs w:val="19"/>
        </w:rPr>
      </w:pPr>
      <w:r w:rsidRPr="00861BF3">
        <w:rPr>
          <w:rStyle w:val="Refdenotaalpie"/>
          <w:rFonts w:ascii="Verdana" w:hAnsi="Verdana" w:cs="Arial"/>
          <w:color w:val="000000"/>
          <w:sz w:val="19"/>
          <w:szCs w:val="19"/>
        </w:rPr>
        <w:footnoteRef/>
      </w:r>
      <w:r w:rsidRPr="00861BF3">
        <w:rPr>
          <w:rFonts w:ascii="Verdana" w:hAnsi="Verdana" w:cs="Arial"/>
          <w:color w:val="000000"/>
          <w:sz w:val="19"/>
          <w:szCs w:val="19"/>
        </w:rPr>
        <w:t xml:space="preserve"> En torno a las potestades regladas, García de Enterría y Ramón Fernández manifiestan: “El ejercicio de las potestades regladas reduce a la Administración a la constatación (accertamento, en el expresivo concepto italiano) del supuesto de hecho legalmente definido de manera completa y aplicar en presencia del mismo lo que la propia Ley ha determinado también agotadoramente […] La decisión en que consista el ejercicio de la potestad es obligatoria en presencia de dicho supuesto y su contenido no puede ser configurado libremente por la Administración, sino que ha de limitarse a lo que la propia Ley ha previsto sobre ese contenido de modo preciso y completo” (GARCÍA DE ENTERRÍA, Eduardo; y RAMÓN FERNÁNDEZ, Tomas. Curso de derecho administrativo. Tomo I. Madrid: Civitas, 1997. pp. 444-445)</w:t>
      </w:r>
    </w:p>
    <w:p w14:paraId="0F44F52E" w14:textId="77777777" w:rsidR="009C1079" w:rsidRPr="00861BF3" w:rsidRDefault="009C1079" w:rsidP="009C1079">
      <w:pPr>
        <w:pStyle w:val="Textonotapie"/>
        <w:ind w:firstLine="708"/>
        <w:jc w:val="both"/>
        <w:rPr>
          <w:rFonts w:ascii="Verdana" w:hAnsi="Verdana" w:cs="Arial"/>
          <w:color w:val="000000"/>
          <w:sz w:val="19"/>
          <w:szCs w:val="19"/>
        </w:rPr>
      </w:pPr>
    </w:p>
  </w:footnote>
  <w:footnote w:id="33">
    <w:p w14:paraId="637E99B6" w14:textId="77777777" w:rsidR="009C1079" w:rsidRPr="00861BF3" w:rsidRDefault="009C1079" w:rsidP="009C1079">
      <w:pPr>
        <w:pStyle w:val="Textonotapie"/>
        <w:ind w:firstLine="709"/>
        <w:jc w:val="both"/>
        <w:rPr>
          <w:rFonts w:ascii="Verdana" w:hAnsi="Verdana" w:cs="Arial"/>
          <w:color w:val="000000"/>
          <w:sz w:val="19"/>
          <w:szCs w:val="19"/>
        </w:rPr>
      </w:pPr>
      <w:r w:rsidRPr="00861BF3">
        <w:rPr>
          <w:rStyle w:val="Refdenotaalpie"/>
          <w:rFonts w:ascii="Verdana" w:hAnsi="Verdana" w:cs="Arial"/>
          <w:color w:val="000000"/>
          <w:sz w:val="19"/>
          <w:szCs w:val="19"/>
        </w:rPr>
        <w:footnoteRef/>
      </w:r>
      <w:r w:rsidRPr="00861BF3">
        <w:rPr>
          <w:rFonts w:ascii="Verdana" w:hAnsi="Verdana" w:cs="Arial"/>
          <w:color w:val="000000"/>
          <w:sz w:val="19"/>
          <w:szCs w:val="19"/>
        </w:rPr>
        <w:t xml:space="preserve"> El artículo 25, numeral 1º de la Ley 80 de 1993 establece que “En las normas de selección y en los pliegos de condiciones para la escogencia de contratistas, se cumplirán y establecerán los procedimientos y etapas estrictamente necesarios para asegurar la selección objetiva de la propuesta más favorable. Para este propósito, se señalarán términos preclusivos y perentorios para las diferentes etapas de la selección y las autoridades darán impulso oficioso a las actuaciones”.</w:t>
      </w:r>
    </w:p>
    <w:p w14:paraId="0ADBC2B6" w14:textId="77777777" w:rsidR="009C1079" w:rsidRPr="00861BF3" w:rsidRDefault="009C1079" w:rsidP="009C1079">
      <w:pPr>
        <w:pStyle w:val="Textonotapie"/>
        <w:ind w:firstLine="709"/>
        <w:jc w:val="both"/>
        <w:rPr>
          <w:rFonts w:ascii="Verdana" w:hAnsi="Verdana" w:cs="Arial"/>
          <w:color w:val="000000"/>
          <w:sz w:val="19"/>
          <w:szCs w:val="19"/>
        </w:rPr>
      </w:pPr>
    </w:p>
  </w:footnote>
  <w:footnote w:id="34">
    <w:p w14:paraId="2BC964FC" w14:textId="77777777" w:rsidR="009C1079" w:rsidRDefault="009C1079" w:rsidP="009C1079">
      <w:pPr>
        <w:spacing w:after="0" w:line="240" w:lineRule="auto"/>
        <w:ind w:firstLine="709"/>
        <w:jc w:val="both"/>
        <w:rPr>
          <w:rFonts w:ascii="Verdana" w:hAnsi="Verdana" w:cs="Arial"/>
          <w:color w:val="000000"/>
          <w:sz w:val="19"/>
          <w:szCs w:val="19"/>
          <w:lang w:val="es-ES"/>
        </w:rPr>
      </w:pPr>
      <w:r w:rsidRPr="00861BF3">
        <w:rPr>
          <w:rStyle w:val="Refdenotaalpie"/>
          <w:rFonts w:ascii="Verdana" w:hAnsi="Verdana" w:cs="Arial"/>
          <w:color w:val="000000"/>
          <w:sz w:val="19"/>
          <w:szCs w:val="19"/>
        </w:rPr>
        <w:footnoteRef/>
      </w:r>
      <w:r w:rsidRPr="00861BF3">
        <w:rPr>
          <w:rFonts w:ascii="Verdana" w:hAnsi="Verdana" w:cs="Arial"/>
          <w:color w:val="000000"/>
          <w:sz w:val="19"/>
          <w:szCs w:val="19"/>
        </w:rPr>
        <w:t xml:space="preserve"> </w:t>
      </w:r>
      <w:r w:rsidRPr="00861BF3">
        <w:rPr>
          <w:rFonts w:ascii="Verdana" w:hAnsi="Verdana" w:cs="Arial"/>
          <w:color w:val="000000"/>
          <w:sz w:val="19"/>
          <w:szCs w:val="19"/>
          <w:lang w:val="es-ES"/>
        </w:rPr>
        <w:t>En efecto, el artículo 5 del Decreto 019 de 2012 prevé lo siguiente: “Las normas de procedimiento administrativo deben ser utilizadas para agilizar las decisiones; los procedimientos se deben adelantar en el menor tiempo y con la menor cantidad de gastos de quienes intervienen en ellos; las autoridades administrativas y los particulares que cumplen funciones administrativas no deben exigir más documentos y copias que los estrictamente necesarios, ni autenticaciones ni notas de presentación personal sino cuando la ley lo ordene en forma expresa, o tratándose de poderes especiales. En tal virtud, las autoridades deberán proceder con austeridad y eficiencia, optimizar el uso del tiempo y de los demás recursos, procurando el más alto nivel de calidad en sus actuaciones y la protección de los derechos de las personas”.</w:t>
      </w:r>
    </w:p>
    <w:p w14:paraId="6833D91B" w14:textId="77777777" w:rsidR="009C1079" w:rsidRPr="00861BF3" w:rsidRDefault="009C1079" w:rsidP="009C1079">
      <w:pPr>
        <w:spacing w:after="0" w:line="240" w:lineRule="auto"/>
        <w:ind w:firstLine="709"/>
        <w:jc w:val="both"/>
        <w:rPr>
          <w:rFonts w:ascii="Verdana" w:hAnsi="Verdana" w:cs="Arial"/>
          <w:color w:val="000000"/>
          <w:sz w:val="19"/>
          <w:szCs w:val="19"/>
          <w:lang w:val="es-ES"/>
        </w:rPr>
      </w:pPr>
    </w:p>
  </w:footnote>
  <w:footnote w:id="35">
    <w:p w14:paraId="281CDE8A" w14:textId="77777777" w:rsidR="009C1079" w:rsidRPr="00861BF3" w:rsidRDefault="009C1079" w:rsidP="009C1079">
      <w:pPr>
        <w:pStyle w:val="Textonotapie"/>
        <w:ind w:firstLine="708"/>
        <w:jc w:val="both"/>
        <w:rPr>
          <w:rFonts w:ascii="Verdana" w:hAnsi="Verdana" w:cs="Arial"/>
          <w:sz w:val="19"/>
          <w:szCs w:val="19"/>
          <w:lang w:val="es-ES"/>
        </w:rPr>
      </w:pPr>
      <w:r w:rsidRPr="00861BF3">
        <w:rPr>
          <w:rStyle w:val="Refdenotaalpie"/>
          <w:rFonts w:ascii="Verdana" w:hAnsi="Verdana" w:cs="Arial"/>
          <w:sz w:val="19"/>
          <w:szCs w:val="19"/>
        </w:rPr>
        <w:footnoteRef/>
      </w:r>
      <w:r w:rsidRPr="00861BF3">
        <w:rPr>
          <w:rFonts w:ascii="Verdana" w:hAnsi="Verdana" w:cs="Arial"/>
          <w:sz w:val="19"/>
          <w:szCs w:val="19"/>
        </w:rPr>
        <w:t xml:space="preserve"> Diccionario de la Real Academia Española, versión online disponible en: </w:t>
      </w:r>
      <w:hyperlink r:id="rId3" w:history="1">
        <w:r w:rsidRPr="00861BF3">
          <w:rPr>
            <w:rStyle w:val="Hipervnculo"/>
            <w:rFonts w:ascii="Verdana" w:hAnsi="Verdana" w:cs="Arial"/>
            <w:sz w:val="19"/>
            <w:szCs w:val="19"/>
          </w:rPr>
          <w:t>https://dle.rae.es/est%C3%A1ndar</w:t>
        </w:r>
      </w:hyperlink>
      <w:r w:rsidRPr="00861BF3">
        <w:rPr>
          <w:rFonts w:ascii="Verdana" w:hAnsi="Verdana" w:cs="Arial"/>
          <w:sz w:val="19"/>
          <w:szCs w:val="19"/>
        </w:rPr>
        <w:t xml:space="preserve">, consultado el 2 de junio de 2020. </w:t>
      </w:r>
    </w:p>
  </w:footnote>
  <w:footnote w:id="36">
    <w:p w14:paraId="76922607" w14:textId="77777777" w:rsidR="009C1079" w:rsidRPr="00861BF3" w:rsidRDefault="009C1079" w:rsidP="009C1079">
      <w:pPr>
        <w:spacing w:after="0" w:line="240" w:lineRule="auto"/>
        <w:ind w:firstLine="708"/>
        <w:jc w:val="both"/>
        <w:rPr>
          <w:rFonts w:ascii="Verdana" w:hAnsi="Verdana" w:cs="Arial"/>
          <w:color w:val="000000"/>
          <w:sz w:val="19"/>
          <w:szCs w:val="19"/>
        </w:rPr>
      </w:pPr>
      <w:r w:rsidRPr="00861BF3">
        <w:rPr>
          <w:rStyle w:val="Refdenotaalpie"/>
          <w:rFonts w:ascii="Verdana" w:hAnsi="Verdana" w:cs="Arial"/>
          <w:color w:val="000000"/>
          <w:sz w:val="19"/>
          <w:szCs w:val="19"/>
        </w:rPr>
        <w:footnoteRef/>
      </w:r>
      <w:r w:rsidRPr="00861BF3">
        <w:rPr>
          <w:rFonts w:ascii="Verdana" w:hAnsi="Verdana" w:cs="Arial"/>
          <w:color w:val="000000"/>
          <w:sz w:val="19"/>
          <w:szCs w:val="19"/>
        </w:rPr>
        <w:t xml:space="preserve"> Cita tomada de la providencia del 20 de febrero de 2020, dictada por el Consejo de Estado. Sección Tercera. Subsección A, dentro del expediente 47001-23-33-000-2018-00035-01 (63.854), cuya ponente fue Marta Nubia Velásquez Rico.</w:t>
      </w:r>
    </w:p>
    <w:p w14:paraId="5FC9C8D6" w14:textId="77777777" w:rsidR="009C1079" w:rsidRPr="00861BF3" w:rsidRDefault="009C1079" w:rsidP="009C1079">
      <w:pPr>
        <w:spacing w:after="0" w:line="240" w:lineRule="auto"/>
        <w:ind w:firstLine="708"/>
        <w:jc w:val="both"/>
        <w:rPr>
          <w:rFonts w:ascii="Verdana" w:hAnsi="Verdana" w:cs="Arial"/>
          <w:color w:val="000000"/>
          <w:sz w:val="19"/>
          <w:szCs w:val="19"/>
        </w:rPr>
      </w:pPr>
    </w:p>
  </w:footnote>
  <w:footnote w:id="37">
    <w:p w14:paraId="5B2AA1F7" w14:textId="77777777" w:rsidR="009C1079" w:rsidRPr="00861BF3" w:rsidRDefault="009C1079" w:rsidP="009C1079">
      <w:pPr>
        <w:pStyle w:val="Textonotapie"/>
        <w:ind w:firstLine="708"/>
        <w:jc w:val="both"/>
        <w:rPr>
          <w:rFonts w:ascii="Verdana" w:hAnsi="Verdana"/>
          <w:sz w:val="19"/>
          <w:szCs w:val="19"/>
        </w:rPr>
      </w:pPr>
      <w:r w:rsidRPr="00861BF3">
        <w:rPr>
          <w:rStyle w:val="Refdenotaalpie"/>
          <w:rFonts w:ascii="Verdana" w:hAnsi="Verdana"/>
          <w:sz w:val="19"/>
          <w:szCs w:val="19"/>
        </w:rPr>
        <w:footnoteRef/>
      </w:r>
      <w:r w:rsidRPr="00861BF3">
        <w:rPr>
          <w:rFonts w:ascii="Verdana" w:hAnsi="Verdana"/>
          <w:sz w:val="19"/>
          <w:szCs w:val="19"/>
        </w:rPr>
        <w:t xml:space="preserve"> Por el cual se modifican los artículos 2.2.1.2.4.2.6.,2.2.1.2.4.2.7. Y 2.2.1.2.4.2.8. del Decreto 1082 de 2015, Único Reglamentario del Sector Administrativo de Planeación".</w:t>
      </w:r>
    </w:p>
    <w:p w14:paraId="0D9473F9" w14:textId="77777777" w:rsidR="009C1079" w:rsidRPr="00861BF3" w:rsidRDefault="009C1079" w:rsidP="009C1079">
      <w:pPr>
        <w:pStyle w:val="Textonotapie"/>
        <w:ind w:firstLine="708"/>
        <w:jc w:val="both"/>
        <w:rPr>
          <w:rFonts w:ascii="Verdana" w:hAnsi="Verdana"/>
          <w:sz w:val="19"/>
          <w:szCs w:val="19"/>
          <w:lang w:val="es-ES_tradnl"/>
        </w:rPr>
      </w:pPr>
    </w:p>
  </w:footnote>
  <w:footnote w:id="38">
    <w:p w14:paraId="1331D8DF" w14:textId="77777777" w:rsidR="009C1079" w:rsidRPr="00861BF3" w:rsidRDefault="009C1079" w:rsidP="009C1079">
      <w:pPr>
        <w:pStyle w:val="Textonotapie"/>
        <w:ind w:firstLine="708"/>
        <w:jc w:val="both"/>
        <w:rPr>
          <w:rFonts w:ascii="Verdana" w:hAnsi="Verdana"/>
          <w:sz w:val="19"/>
          <w:szCs w:val="19"/>
        </w:rPr>
      </w:pPr>
      <w:r w:rsidRPr="00861BF3">
        <w:rPr>
          <w:rStyle w:val="Refdenotaalpie"/>
          <w:rFonts w:ascii="Verdana" w:hAnsi="Verdana"/>
          <w:sz w:val="19"/>
          <w:szCs w:val="19"/>
        </w:rPr>
        <w:footnoteRef/>
      </w:r>
      <w:r w:rsidRPr="00861BF3">
        <w:rPr>
          <w:rFonts w:ascii="Verdana" w:hAnsi="Verdana"/>
          <w:sz w:val="19"/>
          <w:szCs w:val="19"/>
        </w:rPr>
        <w:t xml:space="preserve"> Consejo de Estado, Sección Quinta, del 12 de diciembre de 2024 (Rad. 05001-23-33-000-2024-00847-01, M.P. Omar Joaquín Barreto Suárez)</w:t>
      </w:r>
    </w:p>
    <w:p w14:paraId="7A59AC70" w14:textId="77777777" w:rsidR="009C1079" w:rsidRPr="00861BF3" w:rsidRDefault="009C1079" w:rsidP="009C1079">
      <w:pPr>
        <w:pStyle w:val="Textonotapie"/>
        <w:ind w:firstLine="708"/>
        <w:jc w:val="both"/>
        <w:rPr>
          <w:rFonts w:ascii="Verdana" w:hAnsi="Verdana"/>
          <w:sz w:val="19"/>
          <w:szCs w:val="19"/>
          <w:lang w:val="es-ES_tradnl"/>
        </w:rPr>
      </w:pPr>
    </w:p>
  </w:footnote>
  <w:footnote w:id="39">
    <w:p w14:paraId="5D394530" w14:textId="77777777" w:rsidR="009C1079" w:rsidRPr="00861BF3" w:rsidRDefault="009C1079" w:rsidP="009C1079">
      <w:pPr>
        <w:pStyle w:val="Textonotapie"/>
        <w:ind w:firstLine="708"/>
        <w:jc w:val="both"/>
        <w:rPr>
          <w:rFonts w:ascii="Verdana" w:hAnsi="Verdana"/>
          <w:sz w:val="19"/>
          <w:szCs w:val="19"/>
          <w:lang w:val="es-ES_tradnl"/>
        </w:rPr>
      </w:pPr>
      <w:r w:rsidRPr="00861BF3">
        <w:rPr>
          <w:rStyle w:val="Refdenotaalpie"/>
          <w:rFonts w:ascii="Verdana" w:hAnsi="Verdana"/>
          <w:sz w:val="19"/>
          <w:szCs w:val="19"/>
        </w:rPr>
        <w:footnoteRef/>
      </w:r>
      <w:r w:rsidRPr="00861BF3">
        <w:rPr>
          <w:rFonts w:ascii="Verdana" w:hAnsi="Verdana"/>
          <w:sz w:val="19"/>
          <w:szCs w:val="19"/>
        </w:rPr>
        <w:t xml:space="preserve"> "Por el cual se reglamentan los numerales 1 y 8 del artículo 13 de la Ley 1618 de 2013, sobre incentivos en Procesos de Contratación en favor de personas con discapacidad”. </w:t>
      </w:r>
    </w:p>
  </w:footnote>
  <w:footnote w:id="40">
    <w:p w14:paraId="7920300E" w14:textId="77777777" w:rsidR="009C1079" w:rsidRPr="00861BF3" w:rsidRDefault="009C1079" w:rsidP="009C1079">
      <w:pPr>
        <w:pStyle w:val="Textonotapie"/>
        <w:ind w:firstLine="708"/>
        <w:jc w:val="both"/>
        <w:rPr>
          <w:rFonts w:ascii="Verdana" w:hAnsi="Verdana"/>
          <w:sz w:val="19"/>
          <w:szCs w:val="19"/>
          <w:lang w:val="es-ES_tradnl"/>
        </w:rPr>
      </w:pPr>
      <w:r w:rsidRPr="00861BF3">
        <w:rPr>
          <w:rStyle w:val="Refdenotaalpie"/>
          <w:rFonts w:ascii="Verdana" w:hAnsi="Verdana"/>
          <w:sz w:val="19"/>
          <w:szCs w:val="19"/>
        </w:rPr>
        <w:footnoteRef/>
      </w:r>
      <w:r w:rsidRPr="00861BF3">
        <w:rPr>
          <w:rFonts w:ascii="Verdana" w:hAnsi="Verdana"/>
          <w:sz w:val="19"/>
          <w:szCs w:val="19"/>
        </w:rPr>
        <w:t xml:space="preserve"> Parte considerativa del Decreto 287 de 2026.</w:t>
      </w:r>
    </w:p>
  </w:footnote>
  <w:footnote w:id="41">
    <w:p w14:paraId="62E07F52" w14:textId="77777777" w:rsidR="009C1079" w:rsidRPr="00861BF3" w:rsidRDefault="009C1079" w:rsidP="009C1079">
      <w:pPr>
        <w:pStyle w:val="Textonotapie"/>
        <w:ind w:firstLine="708"/>
        <w:jc w:val="both"/>
        <w:rPr>
          <w:rFonts w:ascii="Verdana" w:hAnsi="Verdana"/>
          <w:sz w:val="19"/>
          <w:szCs w:val="19"/>
        </w:rPr>
      </w:pPr>
      <w:r w:rsidRPr="00861BF3">
        <w:rPr>
          <w:rStyle w:val="Refdenotaalpie"/>
          <w:rFonts w:ascii="Verdana" w:hAnsi="Verdana"/>
          <w:sz w:val="19"/>
          <w:szCs w:val="19"/>
        </w:rPr>
        <w:footnoteRef/>
      </w:r>
      <w:r w:rsidRPr="00861BF3">
        <w:rPr>
          <w:rFonts w:ascii="Verdana" w:hAnsi="Verdana"/>
          <w:sz w:val="19"/>
          <w:szCs w:val="19"/>
        </w:rPr>
        <w:t xml:space="preserve"> Artículo 2.2.1.2.4.2.7.3. del Decreto 1082 de 2015, modificado por el artículo 1 del Decreto 287 de 2026: “Incorporación de criterios habilitantes diferenciales en favor de los emprendimientos y empresas de personas con discapacidad. En los procesos de licitación pública, selección abreviada y concurso de méritos, así como en los procesos competitivos adelantados por entidades no sometidas al Estatuto General de Contratación de la Administración Pública, deberán establecer requisitos habilitantes diferenciales o ajustados en materia de experiencia, capacidad financiera u organizacional, o el valor de la garantía de seriedad de la oferta, con el fin de promover la participación de emprendimientos y empresas de personas con discapacidad con domicilio en el territorio nacional. </w:t>
      </w:r>
    </w:p>
    <w:p w14:paraId="59815EC1" w14:textId="77777777" w:rsidR="009C1079" w:rsidRPr="00861BF3" w:rsidRDefault="009C1079" w:rsidP="009C1079">
      <w:pPr>
        <w:pStyle w:val="Textonotapie"/>
        <w:ind w:firstLine="708"/>
        <w:jc w:val="both"/>
        <w:rPr>
          <w:rFonts w:ascii="Verdana" w:hAnsi="Verdana"/>
          <w:sz w:val="19"/>
          <w:szCs w:val="19"/>
        </w:rPr>
      </w:pPr>
    </w:p>
    <w:p w14:paraId="531CF684" w14:textId="77777777" w:rsidR="009C1079" w:rsidRPr="00861BF3" w:rsidRDefault="009C1079" w:rsidP="009C1079">
      <w:pPr>
        <w:pStyle w:val="Textonotapie"/>
        <w:ind w:firstLine="708"/>
        <w:jc w:val="both"/>
        <w:rPr>
          <w:rFonts w:ascii="Verdana" w:hAnsi="Verdana"/>
          <w:sz w:val="19"/>
          <w:szCs w:val="19"/>
        </w:rPr>
      </w:pPr>
      <w:r w:rsidRPr="00861BF3">
        <w:rPr>
          <w:rFonts w:ascii="Verdana" w:hAnsi="Verdana"/>
          <w:sz w:val="19"/>
          <w:szCs w:val="19"/>
        </w:rPr>
        <w:t>Estos requisitos deberán estructurarse garantizando el cumplimiento adecuado del objeto contractual, teniendo en cuenta el alcance de las obligaciones y el principio de proporcionalidad. En desarrollo de lo anterior, se deberán establecer condiciones habilitantes diferenciadas o ajustadas que, sin comprometer los fines del contrato, faciliten el acceso de los emprendimientos y empresas de personas con discapacidad.</w:t>
      </w:r>
    </w:p>
    <w:p w14:paraId="192A0F15" w14:textId="77777777" w:rsidR="009C1079" w:rsidRPr="00861BF3" w:rsidRDefault="009C1079" w:rsidP="009C1079">
      <w:pPr>
        <w:pStyle w:val="Textonotapie"/>
        <w:ind w:firstLine="708"/>
        <w:jc w:val="both"/>
        <w:rPr>
          <w:rFonts w:ascii="Verdana" w:hAnsi="Verdana"/>
          <w:sz w:val="19"/>
          <w:szCs w:val="19"/>
        </w:rPr>
      </w:pPr>
    </w:p>
    <w:p w14:paraId="7D914608" w14:textId="77777777" w:rsidR="009C1079" w:rsidRPr="00861BF3" w:rsidRDefault="009C1079" w:rsidP="009C1079">
      <w:pPr>
        <w:pStyle w:val="Textonotapie"/>
        <w:ind w:firstLine="708"/>
        <w:jc w:val="both"/>
        <w:rPr>
          <w:rFonts w:ascii="Verdana" w:hAnsi="Verdana"/>
          <w:sz w:val="19"/>
          <w:szCs w:val="19"/>
          <w:lang w:val="es-ES_tradnl"/>
        </w:rPr>
      </w:pPr>
      <w:r w:rsidRPr="00861BF3">
        <w:rPr>
          <w:rFonts w:ascii="Verdana" w:hAnsi="Verdana"/>
          <w:sz w:val="19"/>
          <w:szCs w:val="19"/>
        </w:rPr>
        <w:t xml:space="preserve">(…)”. </w:t>
      </w:r>
    </w:p>
  </w:footnote>
  <w:footnote w:id="42">
    <w:p w14:paraId="4938A3F5" w14:textId="77777777" w:rsidR="009C1079" w:rsidRPr="00861BF3" w:rsidRDefault="009C1079" w:rsidP="009C1079">
      <w:pPr>
        <w:shd w:val="clear" w:color="auto" w:fill="FFFFFF"/>
        <w:spacing w:after="0" w:line="240" w:lineRule="auto"/>
        <w:ind w:firstLine="708"/>
        <w:jc w:val="both"/>
        <w:rPr>
          <w:rFonts w:ascii="Verdana" w:eastAsia="Times New Roman" w:hAnsi="Verdana" w:cs="Times New Roman"/>
          <w:color w:val="333333"/>
          <w:sz w:val="19"/>
          <w:szCs w:val="19"/>
          <w:lang w:eastAsia="es-MX"/>
        </w:rPr>
      </w:pPr>
      <w:r w:rsidRPr="00861BF3">
        <w:rPr>
          <w:rStyle w:val="Refdenotaalpie"/>
          <w:rFonts w:ascii="Verdana" w:hAnsi="Verdana"/>
          <w:sz w:val="19"/>
          <w:szCs w:val="19"/>
        </w:rPr>
        <w:footnoteRef/>
      </w:r>
      <w:r w:rsidRPr="00861BF3">
        <w:rPr>
          <w:rFonts w:ascii="Verdana" w:hAnsi="Verdana"/>
          <w:sz w:val="19"/>
          <w:szCs w:val="19"/>
        </w:rPr>
        <w:t xml:space="preserve"> Al respecto el artículo 1 de la Ley 2022 de 2020 señala: “(…) </w:t>
      </w:r>
      <w:r w:rsidRPr="00861BF3">
        <w:rPr>
          <w:rFonts w:ascii="Verdana" w:eastAsia="Times New Roman" w:hAnsi="Verdana" w:cs="Times New Roman"/>
          <w:color w:val="333333"/>
          <w:sz w:val="19"/>
          <w:szCs w:val="19"/>
          <w:lang w:eastAsia="es-MX"/>
        </w:rPr>
        <w:t>La Agencia Nacional de Contratación Pública Colombia Compra Eficiente fijará un cronograma, y definirá en coordinación con las entidades técnicas o especializadas correspondientes el procedimiento para implementar gradualmente los documentos tipo, con el propósito de facilitar la incorporación de estos en el sistema de compra pública y deberá establecer el procedimiento para recibir y revisar comentarios de los interesados, así como un sistema para la revisión constante de los documentos tipo que expida”.</w:t>
      </w:r>
    </w:p>
    <w:p w14:paraId="1CF6BC02" w14:textId="77777777" w:rsidR="009C1079" w:rsidRPr="00861BF3" w:rsidRDefault="009C1079" w:rsidP="009C1079">
      <w:pPr>
        <w:pStyle w:val="Textonotapie"/>
        <w:jc w:val="both"/>
        <w:rPr>
          <w:rFonts w:ascii="Verdana" w:hAnsi="Verdana"/>
          <w:sz w:val="19"/>
          <w:szCs w:val="19"/>
          <w:lang w:val="es-CO"/>
        </w:rPr>
      </w:pPr>
    </w:p>
  </w:footnote>
  <w:footnote w:id="43">
    <w:p w14:paraId="40974F93" w14:textId="77777777" w:rsidR="009C1079" w:rsidRPr="00861BF3" w:rsidRDefault="009C1079" w:rsidP="009C1079">
      <w:pPr>
        <w:pStyle w:val="Textonotapie"/>
        <w:ind w:firstLine="708"/>
        <w:jc w:val="both"/>
        <w:rPr>
          <w:rFonts w:ascii="Verdana" w:hAnsi="Verdana"/>
          <w:sz w:val="19"/>
          <w:szCs w:val="19"/>
        </w:rPr>
      </w:pPr>
      <w:r w:rsidRPr="00861BF3">
        <w:rPr>
          <w:rStyle w:val="Refdenotaalpie"/>
          <w:rFonts w:ascii="Verdana" w:hAnsi="Verdana"/>
          <w:sz w:val="19"/>
          <w:szCs w:val="19"/>
        </w:rPr>
        <w:footnoteRef/>
      </w:r>
      <w:r w:rsidRPr="00861BF3">
        <w:rPr>
          <w:rFonts w:ascii="Verdana" w:hAnsi="Verdana"/>
          <w:sz w:val="19"/>
          <w:szCs w:val="19"/>
        </w:rPr>
        <w:t xml:space="preserve"> Artículo 1 Decreto 287 de 2026: “Artículo 2.2.1.2.4.2.7.8. Pliegos tipo, instrumentos de agregación de demanda y acuerdos marco de precios. La Agencia Nacional de Contratación Pública - Colombia Compra Eficiente garantizará la adopción permanente de las acciones necesarias para que las medidas señaladas en esta subsección se incorporen a los documentos e instrumentos que genera”. </w:t>
      </w:r>
    </w:p>
    <w:p w14:paraId="07D492BF" w14:textId="77777777" w:rsidR="009C1079" w:rsidRPr="00861BF3" w:rsidRDefault="009C1079" w:rsidP="009C1079">
      <w:pPr>
        <w:pStyle w:val="Textonotapie"/>
        <w:ind w:firstLine="708"/>
        <w:jc w:val="both"/>
        <w:rPr>
          <w:rFonts w:ascii="Verdana" w:hAnsi="Verdana"/>
          <w:sz w:val="19"/>
          <w:szCs w:val="19"/>
          <w:lang w:val="es-ES_tradnl"/>
        </w:rPr>
      </w:pPr>
    </w:p>
  </w:footnote>
  <w:footnote w:id="44">
    <w:p w14:paraId="010E62C9" w14:textId="77777777" w:rsidR="009C1079" w:rsidRPr="00861BF3" w:rsidRDefault="009C1079" w:rsidP="009C1079">
      <w:pPr>
        <w:pStyle w:val="Textonotapie"/>
        <w:ind w:firstLine="708"/>
        <w:jc w:val="both"/>
        <w:rPr>
          <w:rFonts w:ascii="Verdana" w:hAnsi="Verdana"/>
          <w:sz w:val="19"/>
          <w:szCs w:val="19"/>
        </w:rPr>
      </w:pPr>
      <w:r w:rsidRPr="00861BF3">
        <w:rPr>
          <w:rStyle w:val="Refdenotaalpie"/>
          <w:rFonts w:ascii="Verdana" w:hAnsi="Verdana"/>
          <w:sz w:val="19"/>
          <w:szCs w:val="19"/>
        </w:rPr>
        <w:footnoteRef/>
      </w:r>
      <w:r w:rsidRPr="00861BF3">
        <w:rPr>
          <w:rFonts w:ascii="Verdana" w:hAnsi="Verdana"/>
          <w:sz w:val="19"/>
          <w:szCs w:val="19"/>
        </w:rPr>
        <w:t xml:space="preserve"> Artículo 2.2.1.2.4.2.7.8. del Decreto 1082 de 2015, modificado por el artículo 1 del Decreto 287 de 2026.</w:t>
      </w:r>
    </w:p>
    <w:p w14:paraId="1FF071BE" w14:textId="77777777" w:rsidR="009C1079" w:rsidRPr="00861BF3" w:rsidRDefault="009C1079" w:rsidP="009C1079">
      <w:pPr>
        <w:pStyle w:val="Textonotapie"/>
        <w:ind w:firstLine="708"/>
        <w:jc w:val="both"/>
        <w:rPr>
          <w:rFonts w:ascii="Verdana" w:hAnsi="Verdana"/>
          <w:sz w:val="19"/>
          <w:szCs w:val="19"/>
          <w:lang w:val="es-ES_tradnl"/>
        </w:rPr>
      </w:pPr>
    </w:p>
  </w:footnote>
  <w:footnote w:id="45">
    <w:p w14:paraId="66484CC1" w14:textId="77777777" w:rsidR="009C1079" w:rsidRPr="00861BF3" w:rsidRDefault="009C1079" w:rsidP="009C1079">
      <w:pPr>
        <w:pStyle w:val="Textonotapie"/>
        <w:ind w:firstLine="708"/>
        <w:jc w:val="both"/>
        <w:rPr>
          <w:rFonts w:ascii="Verdana" w:hAnsi="Verdana"/>
          <w:sz w:val="19"/>
          <w:szCs w:val="19"/>
          <w:lang w:val="es-ES_tradnl"/>
        </w:rPr>
      </w:pPr>
      <w:r w:rsidRPr="00861BF3">
        <w:rPr>
          <w:rStyle w:val="Refdenotaalpie"/>
          <w:rFonts w:ascii="Verdana" w:hAnsi="Verdana"/>
          <w:sz w:val="19"/>
          <w:szCs w:val="19"/>
        </w:rPr>
        <w:footnoteRef/>
      </w:r>
      <w:r w:rsidRPr="00861BF3">
        <w:rPr>
          <w:rFonts w:ascii="Verdana" w:hAnsi="Verdana"/>
          <w:sz w:val="19"/>
          <w:szCs w:val="19"/>
        </w:rPr>
        <w:t xml:space="preserve"> Documento disponible en el siguiente enlace: </w:t>
      </w:r>
      <w:hyperlink r:id="rId4" w:history="1">
        <w:r w:rsidRPr="00861BF3">
          <w:rPr>
            <w:rStyle w:val="Hipervnculo"/>
            <w:rFonts w:ascii="Verdana" w:hAnsi="Verdana"/>
            <w:sz w:val="19"/>
            <w:szCs w:val="19"/>
          </w:rPr>
          <w:t>https://www.colombiacompra.gov.co/wp-content/uploads/2026/04/ABC-Decreto-0287-de-2026-1.pdf</w:t>
        </w:r>
      </w:hyperlink>
      <w:r w:rsidRPr="00861BF3">
        <w:rPr>
          <w:rFonts w:ascii="Verdana" w:hAnsi="Verdana"/>
          <w:sz w:val="19"/>
          <w:szCs w:val="19"/>
        </w:rP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p w14:paraId="51DE82D0" w14:textId="77777777" w:rsidR="00876B07" w:rsidRPr="00C925AC" w:rsidRDefault="00876B07" w:rsidP="000D5DA7">
    <w:pPr>
      <w:spacing w:after="0" w:line="480" w:lineRule="auto"/>
      <w:rPr>
        <w:rFonts w:ascii="Verdana" w:hAnsi="Verdana"/>
        <w:b/>
        <w:bCs/>
        <w:sz w:val="24"/>
        <w:szCs w:val="24"/>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9pt;height:11.9pt" o:bullet="t">
        <v:imagedata r:id="rId1" o:title="mso1B13"/>
      </v:shape>
    </w:pict>
  </w:numPicBullet>
  <w:abstractNum w:abstractNumId="0"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2" w15:restartNumberingAfterBreak="0">
    <w:nsid w:val="1A6D018E"/>
    <w:multiLevelType w:val="hybridMultilevel"/>
    <w:tmpl w:val="0B4CAD0C"/>
    <w:lvl w:ilvl="0" w:tplc="173EFC84">
      <w:start w:val="1"/>
      <w:numFmt w:val="decimal"/>
      <w:lvlText w:val="%1."/>
      <w:lvlJc w:val="left"/>
      <w:pPr>
        <w:ind w:left="720" w:hanging="360"/>
      </w:pPr>
      <w:rPr>
        <w:rFonts w:hint="default"/>
        <w:b/>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4AE7336F"/>
    <w:multiLevelType w:val="hybridMultilevel"/>
    <w:tmpl w:val="0C4E6BFA"/>
    <w:lvl w:ilvl="0" w:tplc="080A0001">
      <w:start w:val="1"/>
      <w:numFmt w:val="bullet"/>
      <w:lvlText w:val=""/>
      <w:lvlJc w:val="left"/>
      <w:pPr>
        <w:ind w:left="720" w:hanging="360"/>
      </w:pPr>
      <w:rPr>
        <w:rFonts w:ascii="Symbol" w:hAnsi="Symbol"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1" w15:restartNumberingAfterBreak="0">
    <w:nsid w:val="504C2A5F"/>
    <w:multiLevelType w:val="hybridMultilevel"/>
    <w:tmpl w:val="622ED3F6"/>
    <w:lvl w:ilvl="0" w:tplc="240A000F">
      <w:start w:val="1"/>
      <w:numFmt w:val="decimal"/>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2"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3"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1"/>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1"/>
  </w:num>
  <w:num w:numId="6" w16cid:durableId="316692925">
    <w:abstractNumId w:val="15"/>
  </w:num>
  <w:num w:numId="7" w16cid:durableId="1946422806">
    <w:abstractNumId w:val="5"/>
  </w:num>
  <w:num w:numId="8" w16cid:durableId="152644682">
    <w:abstractNumId w:val="14"/>
  </w:num>
  <w:num w:numId="9" w16cid:durableId="1317221377">
    <w:abstractNumId w:val="7"/>
  </w:num>
  <w:num w:numId="10" w16cid:durableId="1471245386">
    <w:abstractNumId w:val="13"/>
  </w:num>
  <w:num w:numId="11" w16cid:durableId="289172385">
    <w:abstractNumId w:val="8"/>
  </w:num>
  <w:num w:numId="12" w16cid:durableId="1470781324">
    <w:abstractNumId w:val="0"/>
  </w:num>
  <w:num w:numId="13" w16cid:durableId="1512908409">
    <w:abstractNumId w:val="3"/>
  </w:num>
  <w:num w:numId="14" w16cid:durableId="895897244">
    <w:abstractNumId w:val="16"/>
  </w:num>
  <w:num w:numId="15" w16cid:durableId="390349800">
    <w:abstractNumId w:val="12"/>
  </w:num>
  <w:num w:numId="16" w16cid:durableId="679089576">
    <w:abstractNumId w:val="9"/>
  </w:num>
  <w:num w:numId="17" w16cid:durableId="1300108123">
    <w:abstractNumId w:val="10"/>
  </w:num>
  <w:num w:numId="18" w16cid:durableId="1069183687">
    <w:abstractNumId w:val="11"/>
  </w:num>
  <w:num w:numId="19" w16cid:durableId="186590453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82362"/>
    <w:rsid w:val="000A683E"/>
    <w:rsid w:val="000B19B9"/>
    <w:rsid w:val="000D0334"/>
    <w:rsid w:val="000D5DA7"/>
    <w:rsid w:val="000F6486"/>
    <w:rsid w:val="00116940"/>
    <w:rsid w:val="00125105"/>
    <w:rsid w:val="00127233"/>
    <w:rsid w:val="0015699B"/>
    <w:rsid w:val="001A33BF"/>
    <w:rsid w:val="001E4177"/>
    <w:rsid w:val="001F0B24"/>
    <w:rsid w:val="001F7DC6"/>
    <w:rsid w:val="0022400B"/>
    <w:rsid w:val="002421BB"/>
    <w:rsid w:val="0025796E"/>
    <w:rsid w:val="002707A2"/>
    <w:rsid w:val="00275B22"/>
    <w:rsid w:val="002951A0"/>
    <w:rsid w:val="002962BC"/>
    <w:rsid w:val="002A093D"/>
    <w:rsid w:val="002A0DD0"/>
    <w:rsid w:val="002A49AC"/>
    <w:rsid w:val="002A64FD"/>
    <w:rsid w:val="002C32CF"/>
    <w:rsid w:val="002C7A84"/>
    <w:rsid w:val="002E2BF8"/>
    <w:rsid w:val="002E4FD9"/>
    <w:rsid w:val="0030657A"/>
    <w:rsid w:val="00322A85"/>
    <w:rsid w:val="00324168"/>
    <w:rsid w:val="00330834"/>
    <w:rsid w:val="003448F4"/>
    <w:rsid w:val="00374F5E"/>
    <w:rsid w:val="00377E3E"/>
    <w:rsid w:val="003A779E"/>
    <w:rsid w:val="003D0F4D"/>
    <w:rsid w:val="003D5B0D"/>
    <w:rsid w:val="003E0499"/>
    <w:rsid w:val="003E4F80"/>
    <w:rsid w:val="003E6439"/>
    <w:rsid w:val="003F3941"/>
    <w:rsid w:val="00406575"/>
    <w:rsid w:val="00414C74"/>
    <w:rsid w:val="0042722E"/>
    <w:rsid w:val="0044528D"/>
    <w:rsid w:val="0045474B"/>
    <w:rsid w:val="00466E39"/>
    <w:rsid w:val="004A1847"/>
    <w:rsid w:val="004A305D"/>
    <w:rsid w:val="004F21C4"/>
    <w:rsid w:val="004F685F"/>
    <w:rsid w:val="005566E8"/>
    <w:rsid w:val="00574867"/>
    <w:rsid w:val="00591460"/>
    <w:rsid w:val="005953B1"/>
    <w:rsid w:val="005A65E0"/>
    <w:rsid w:val="005C3777"/>
    <w:rsid w:val="005C5CDC"/>
    <w:rsid w:val="005D476C"/>
    <w:rsid w:val="006200BF"/>
    <w:rsid w:val="006219F8"/>
    <w:rsid w:val="006302F7"/>
    <w:rsid w:val="00646B9F"/>
    <w:rsid w:val="00665D70"/>
    <w:rsid w:val="006900D9"/>
    <w:rsid w:val="006C02EE"/>
    <w:rsid w:val="00706C16"/>
    <w:rsid w:val="007340C3"/>
    <w:rsid w:val="0075235A"/>
    <w:rsid w:val="00756841"/>
    <w:rsid w:val="007649AB"/>
    <w:rsid w:val="00771D0C"/>
    <w:rsid w:val="007833AC"/>
    <w:rsid w:val="007B268C"/>
    <w:rsid w:val="007B7171"/>
    <w:rsid w:val="007C0C0F"/>
    <w:rsid w:val="007C3DC2"/>
    <w:rsid w:val="007E5497"/>
    <w:rsid w:val="00806F5F"/>
    <w:rsid w:val="00820278"/>
    <w:rsid w:val="008258C9"/>
    <w:rsid w:val="00844AE9"/>
    <w:rsid w:val="00867F95"/>
    <w:rsid w:val="00876B07"/>
    <w:rsid w:val="008843B6"/>
    <w:rsid w:val="00891928"/>
    <w:rsid w:val="008A446D"/>
    <w:rsid w:val="008B25F1"/>
    <w:rsid w:val="008D180B"/>
    <w:rsid w:val="008F0EA7"/>
    <w:rsid w:val="00923EEF"/>
    <w:rsid w:val="009419F9"/>
    <w:rsid w:val="0095685E"/>
    <w:rsid w:val="00961B09"/>
    <w:rsid w:val="00965334"/>
    <w:rsid w:val="0097093E"/>
    <w:rsid w:val="009A0DFA"/>
    <w:rsid w:val="009A1C6F"/>
    <w:rsid w:val="009B2D26"/>
    <w:rsid w:val="009C1079"/>
    <w:rsid w:val="009C71FA"/>
    <w:rsid w:val="009C72E7"/>
    <w:rsid w:val="009C7F7E"/>
    <w:rsid w:val="009D3058"/>
    <w:rsid w:val="009E4E8F"/>
    <w:rsid w:val="009F3A13"/>
    <w:rsid w:val="00A122D3"/>
    <w:rsid w:val="00A14468"/>
    <w:rsid w:val="00A17F13"/>
    <w:rsid w:val="00A20739"/>
    <w:rsid w:val="00A23AF9"/>
    <w:rsid w:val="00A33C78"/>
    <w:rsid w:val="00A77A04"/>
    <w:rsid w:val="00AB0ADB"/>
    <w:rsid w:val="00B00C0E"/>
    <w:rsid w:val="00B01B1A"/>
    <w:rsid w:val="00B0381D"/>
    <w:rsid w:val="00B358A5"/>
    <w:rsid w:val="00B44A47"/>
    <w:rsid w:val="00B72CD3"/>
    <w:rsid w:val="00B72FFF"/>
    <w:rsid w:val="00BC3D36"/>
    <w:rsid w:val="00BD54A6"/>
    <w:rsid w:val="00BD7F72"/>
    <w:rsid w:val="00BE7862"/>
    <w:rsid w:val="00BF7425"/>
    <w:rsid w:val="00C04FB3"/>
    <w:rsid w:val="00C11D8B"/>
    <w:rsid w:val="00C15139"/>
    <w:rsid w:val="00C330EB"/>
    <w:rsid w:val="00C50D69"/>
    <w:rsid w:val="00C5365C"/>
    <w:rsid w:val="00C754BE"/>
    <w:rsid w:val="00C76B1C"/>
    <w:rsid w:val="00C82C87"/>
    <w:rsid w:val="00C925AC"/>
    <w:rsid w:val="00C97E3A"/>
    <w:rsid w:val="00CB6357"/>
    <w:rsid w:val="00CC1B26"/>
    <w:rsid w:val="00CC4137"/>
    <w:rsid w:val="00D30EFC"/>
    <w:rsid w:val="00D361FD"/>
    <w:rsid w:val="00D423A2"/>
    <w:rsid w:val="00D44E26"/>
    <w:rsid w:val="00D520D8"/>
    <w:rsid w:val="00D63AC2"/>
    <w:rsid w:val="00D7383B"/>
    <w:rsid w:val="00D7788A"/>
    <w:rsid w:val="00DA231B"/>
    <w:rsid w:val="00DC39FC"/>
    <w:rsid w:val="00DF5254"/>
    <w:rsid w:val="00E02524"/>
    <w:rsid w:val="00E04679"/>
    <w:rsid w:val="00E16408"/>
    <w:rsid w:val="00E20894"/>
    <w:rsid w:val="00E245AB"/>
    <w:rsid w:val="00E2764C"/>
    <w:rsid w:val="00E27F2E"/>
    <w:rsid w:val="00E50AFE"/>
    <w:rsid w:val="00E75C92"/>
    <w:rsid w:val="00E771DC"/>
    <w:rsid w:val="00E80DA5"/>
    <w:rsid w:val="00E8772A"/>
    <w:rsid w:val="00E90F6B"/>
    <w:rsid w:val="00E92C27"/>
    <w:rsid w:val="00EA0E3D"/>
    <w:rsid w:val="00EC38A7"/>
    <w:rsid w:val="00EE1AA8"/>
    <w:rsid w:val="00F23FEA"/>
    <w:rsid w:val="00F31EDC"/>
    <w:rsid w:val="00F40A03"/>
    <w:rsid w:val="00F462B3"/>
    <w:rsid w:val="00F5664F"/>
    <w:rsid w:val="00F625E7"/>
    <w:rsid w:val="00F666C4"/>
    <w:rsid w:val="00F76AFC"/>
    <w:rsid w:val="00FA47C0"/>
    <w:rsid w:val="00FB5DD1"/>
    <w:rsid w:val="00FC2B5D"/>
    <w:rsid w:val="00FF1449"/>
    <w:rsid w:val="00FF7963"/>
    <w:rsid w:val="071B8F93"/>
    <w:rsid w:val="07C73DD1"/>
    <w:rsid w:val="09908A09"/>
    <w:rsid w:val="0EFE6349"/>
    <w:rsid w:val="0FF4CCA8"/>
    <w:rsid w:val="131F96CA"/>
    <w:rsid w:val="13CFC91B"/>
    <w:rsid w:val="19A2EC2C"/>
    <w:rsid w:val="1DCEDB9D"/>
    <w:rsid w:val="21779BE6"/>
    <w:rsid w:val="2859CA1B"/>
    <w:rsid w:val="2C4D2425"/>
    <w:rsid w:val="2EE1E026"/>
    <w:rsid w:val="2F44F38F"/>
    <w:rsid w:val="30821638"/>
    <w:rsid w:val="32A4F9CF"/>
    <w:rsid w:val="33A1FF93"/>
    <w:rsid w:val="356CEDFD"/>
    <w:rsid w:val="3C591AFD"/>
    <w:rsid w:val="3E6B15A3"/>
    <w:rsid w:val="42183F0A"/>
    <w:rsid w:val="545B112A"/>
    <w:rsid w:val="5BEB1497"/>
    <w:rsid w:val="69614A15"/>
    <w:rsid w:val="74BA017B"/>
    <w:rsid w:val="7677286E"/>
    <w:rsid w:val="79A64A20"/>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table" w:customStyle="1" w:styleId="Tablaconcuadrcula1">
    <w:name w:val="Tabla con cuadrícula1"/>
    <w:basedOn w:val="Tablanormal"/>
    <w:next w:val="Tablaconcuadrcula"/>
    <w:uiPriority w:val="39"/>
    <w:qFormat/>
    <w:rsid w:val="009C107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ppelnotedebasde">
    <w:name w:val="Appel note de bas de..."/>
    <w:basedOn w:val="Normal"/>
    <w:link w:val="Refdenotaalpie"/>
    <w:rsid w:val="009C1079"/>
    <w:pPr>
      <w:spacing w:line="240" w:lineRule="exact"/>
    </w:pPr>
    <w:rPr>
      <w:vertAlign w:val="superscript"/>
    </w:rPr>
  </w:style>
  <w:style w:type="table" w:customStyle="1" w:styleId="Tablaconcuadrcula2">
    <w:name w:val="Tabla con cuadrícula2"/>
    <w:basedOn w:val="Tablanormal"/>
    <w:next w:val="Tablaconcuadrcula"/>
    <w:uiPriority w:val="39"/>
    <w:qFormat/>
    <w:rsid w:val="009C107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formacionvirtual.colombiacompra.gov.co/mod/page/view.php?id=3718" TargetMode="External"/><Relationship Id="rId18"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relatoria.colombiacompra.gov.co/busqueda/conceptos" TargetMode="Externa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image" Target="media/image3.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colombiacompra.gov.co/documentos-tipo/documentos-tipo" TargetMode="External"/><Relationship Id="rId5" Type="http://schemas.openxmlformats.org/officeDocument/2006/relationships/styles" Target="styles.xml"/><Relationship Id="rId15"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10" Type="http://schemas.openxmlformats.org/officeDocument/2006/relationships/image" Target="media/image2.png"/><Relationship Id="rId19"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colombiacompra.gov.co/normativa-y-relatoria/documentos-tipo" TargetMode="External"/></Relationships>
</file>

<file path=word/_rels/footnotes.xml.rels><?xml version="1.0" encoding="UTF-8" standalone="yes"?>
<Relationships xmlns="http://schemas.openxmlformats.org/package/2006/relationships"><Relationship Id="rId3" Type="http://schemas.openxmlformats.org/officeDocument/2006/relationships/hyperlink" Target="https://dle.rae.es/est%C3%A1ndar" TargetMode="External"/><Relationship Id="rId2" Type="http://schemas.openxmlformats.org/officeDocument/2006/relationships/hyperlink" Target="https://www.funcionpublica.gov.co/eva/gestornormativo/norma.php?i=84899" TargetMode="External"/><Relationship Id="rId1" Type="http://schemas.openxmlformats.org/officeDocument/2006/relationships/hyperlink" Target="https://dle.rae.es/est%C3%A1ndar" TargetMode="External"/><Relationship Id="rId4" Type="http://schemas.openxmlformats.org/officeDocument/2006/relationships/hyperlink" Target="https://www.colombiacompra.gov.co/wp-content/uploads/2026/04/ABC-Decreto-0287-de-2026-1.pdf"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CE4B2AFB-8735-483C-BE38-8BC25DE4946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2</TotalTime>
  <Pages>58</Pages>
  <Words>17317</Words>
  <Characters>95245</Characters>
  <Application>Microsoft Office Word</Application>
  <DocSecurity>0</DocSecurity>
  <Lines>793</Lines>
  <Paragraphs>224</Paragraphs>
  <ScaleCrop>false</ScaleCrop>
  <Company/>
  <LinksUpToDate>false</LinksUpToDate>
  <CharactersWithSpaces>112338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6</cp:revision>
  <cp:lastPrinted>2023-01-10T21:18:00Z</cp:lastPrinted>
  <dcterms:created xsi:type="dcterms:W3CDTF">2026-05-07T15:46:00Z</dcterms:created>
  <dcterms:modified xsi:type="dcterms:W3CDTF">2026-05-07T20:54:00Z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