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0E3F" w14:textId="77777777" w:rsidR="00806E47" w:rsidRPr="00137132" w:rsidRDefault="00806E47" w:rsidP="00806E47">
      <w:pPr>
        <w:spacing w:after="0" w:line="240" w:lineRule="auto"/>
        <w:jc w:val="both"/>
        <w:rPr>
          <w:rFonts w:ascii="Verdana" w:eastAsia="Calibri" w:hAnsi="Verdana" w:cs="Arial"/>
          <w:b/>
          <w:bCs/>
          <w:color w:val="000000" w:themeColor="text1"/>
          <w:lang w:val="es-ES"/>
        </w:rPr>
      </w:pPr>
      <w:bookmarkStart w:id="0" w:name="_Hlk143780582"/>
      <w:r w:rsidRPr="58ED0EA4">
        <w:rPr>
          <w:rFonts w:ascii="Verdana" w:eastAsia="Calibri" w:hAnsi="Verdana" w:cs="Arial"/>
          <w:b/>
          <w:bCs/>
          <w:color w:val="000000" w:themeColor="text1"/>
          <w:lang w:val="es-ES"/>
        </w:rPr>
        <w:t>CAPACIDAD – Personas jurídicas - C</w:t>
      </w:r>
      <w:r w:rsidRPr="00137132">
        <w:rPr>
          <w:rFonts w:ascii="Verdana" w:eastAsia="Calibri" w:hAnsi="Verdana" w:cs="Arial"/>
          <w:b/>
          <w:color w:val="000000" w:themeColor="text1"/>
        </w:rPr>
        <w:t>ertificado de existencia y representación legal</w:t>
      </w:r>
      <w:r>
        <w:rPr>
          <w:rFonts w:ascii="Verdana" w:eastAsia="Calibri" w:hAnsi="Verdana" w:cs="Arial"/>
          <w:b/>
          <w:color w:val="000000" w:themeColor="text1"/>
        </w:rPr>
        <w:t xml:space="preserve"> - </w:t>
      </w:r>
      <w:r w:rsidRPr="58ED0EA4">
        <w:rPr>
          <w:rFonts w:ascii="Verdana" w:eastAsia="Calibri" w:hAnsi="Verdana" w:cs="Arial"/>
          <w:b/>
          <w:bCs/>
          <w:color w:val="000000" w:themeColor="text1"/>
        </w:rPr>
        <w:t>Registro Único de Proponentes (RUP)</w:t>
      </w:r>
    </w:p>
    <w:p w14:paraId="20645FAE" w14:textId="77777777" w:rsidR="00806E47" w:rsidRDefault="00806E47" w:rsidP="00806E47">
      <w:pPr>
        <w:widowControl w:val="0"/>
        <w:autoSpaceDE w:val="0"/>
        <w:autoSpaceDN w:val="0"/>
        <w:spacing w:after="120" w:line="240" w:lineRule="auto"/>
        <w:jc w:val="both"/>
        <w:rPr>
          <w:rFonts w:ascii="Verdana" w:eastAsia="Calibri" w:hAnsi="Verdana" w:cs="Arial"/>
          <w:color w:val="000000" w:themeColor="text1"/>
          <w:sz w:val="20"/>
          <w:szCs w:val="20"/>
        </w:rPr>
      </w:pPr>
    </w:p>
    <w:p w14:paraId="45B7530D" w14:textId="77777777" w:rsidR="00806E47" w:rsidRDefault="00806E47" w:rsidP="00806E47">
      <w:pPr>
        <w:widowControl w:val="0"/>
        <w:autoSpaceDE w:val="0"/>
        <w:autoSpaceDN w:val="0"/>
        <w:spacing w:after="120" w:line="240" w:lineRule="auto"/>
        <w:jc w:val="both"/>
        <w:rPr>
          <w:rFonts w:ascii="Verdana" w:eastAsia="Aptos" w:hAnsi="Verdana" w:cs="Times New Roman"/>
          <w:color w:val="000000" w:themeColor="text1"/>
          <w:sz w:val="20"/>
          <w:szCs w:val="20"/>
          <w:lang w:val="es-ES"/>
        </w:rPr>
      </w:pPr>
      <w:r w:rsidRPr="00315097">
        <w:rPr>
          <w:rFonts w:ascii="Verdana" w:eastAsia="Aptos" w:hAnsi="Verdana" w:cs="Times New Roman"/>
          <w:color w:val="000000" w:themeColor="text1"/>
          <w:sz w:val="20"/>
          <w:szCs w:val="20"/>
        </w:rPr>
        <w:t xml:space="preserve">El certificado de existencia y representación legal cumple un papel fundamental respecto de la acreditación de la capacidad jurídica de las personas jurídicas, en tanto constituye el medio idóneo para demostrar tanto la existencia de la sociedad como las facultades de representación de quienes actúan en su nombre. De conformidad con el artículo 117 del Código de Comercio, tanto la existencia de la sociedad como las cláusulas del contrato social se acreditan mediante la “[…] certificación de la cámara de comercio del domicilio principal, en la que constará el número, fecha y notaría de la escritura de constitución y de las reformas del contrato, si las hubiere”. </w:t>
      </w:r>
      <w:r w:rsidRPr="00315097">
        <w:rPr>
          <w:rFonts w:ascii="Verdana" w:eastAsia="Aptos" w:hAnsi="Verdana" w:cs="Times New Roman"/>
          <w:color w:val="000000" w:themeColor="text1"/>
          <w:sz w:val="20"/>
          <w:szCs w:val="20"/>
          <w:lang w:val="es-ES"/>
        </w:rPr>
        <w:t>Por su parte, el Registro Único de Proponentes (RUP) tiene como finalidad acreditar las condiciones habilitantes de los proponentes, particularmente aquellas relacionadas con su capacidad jurídica, capacidad financiera, capacidad organizacional y experiencia, constituyéndose en un instrumento que permite a las entidades estatales verificar de manera ágil y objetiva el cumplimiento de los requisitos exigidos para participar en procesos de contratación pública</w:t>
      </w:r>
      <w:r>
        <w:rPr>
          <w:rFonts w:ascii="Verdana" w:eastAsia="Aptos" w:hAnsi="Verdana" w:cs="Times New Roman"/>
          <w:color w:val="000000" w:themeColor="text1"/>
          <w:sz w:val="20"/>
          <w:szCs w:val="20"/>
          <w:lang w:val="es-ES"/>
        </w:rPr>
        <w:t>.</w:t>
      </w:r>
    </w:p>
    <w:p w14:paraId="24FA0672" w14:textId="77777777" w:rsidR="00806E47" w:rsidRPr="00315097" w:rsidRDefault="00806E47" w:rsidP="00806E47">
      <w:pPr>
        <w:widowControl w:val="0"/>
        <w:autoSpaceDE w:val="0"/>
        <w:autoSpaceDN w:val="0"/>
        <w:spacing w:after="120" w:line="240" w:lineRule="auto"/>
        <w:jc w:val="both"/>
        <w:rPr>
          <w:rFonts w:ascii="Verdana" w:eastAsia="Aptos" w:hAnsi="Verdana" w:cs="Times New Roman"/>
          <w:color w:val="000000" w:themeColor="text1"/>
          <w:sz w:val="20"/>
          <w:szCs w:val="20"/>
          <w:lang w:val="es-ES"/>
        </w:rPr>
      </w:pPr>
    </w:p>
    <w:p w14:paraId="26D60C65" w14:textId="77777777" w:rsidR="00806E47" w:rsidRDefault="00806E47" w:rsidP="00806E47">
      <w:pPr>
        <w:spacing w:after="0" w:line="240" w:lineRule="auto"/>
        <w:jc w:val="both"/>
        <w:rPr>
          <w:rFonts w:ascii="Verdana" w:eastAsia="Calibri" w:hAnsi="Verdana" w:cs="Arial"/>
          <w:b/>
          <w:bCs/>
          <w:color w:val="000000" w:themeColor="text1"/>
          <w:lang w:val="es-ES_tradnl"/>
        </w:rPr>
      </w:pPr>
      <w:r w:rsidRPr="00253AE2">
        <w:rPr>
          <w:rFonts w:ascii="Verdana" w:hAnsi="Verdana" w:cs="Arial"/>
          <w:b/>
          <w:bCs/>
          <w:color w:val="000000" w:themeColor="text1"/>
        </w:rPr>
        <w:t xml:space="preserve">DOCUMENTOS TIPO - </w:t>
      </w:r>
      <w:r w:rsidRPr="00253AE2">
        <w:rPr>
          <w:rFonts w:ascii="Verdana" w:eastAsia="Calibri" w:hAnsi="Verdana" w:cs="Arial"/>
          <w:b/>
          <w:bCs/>
          <w:color w:val="000000" w:themeColor="text1"/>
          <w:lang w:val="es-ES_tradnl"/>
        </w:rPr>
        <w:t>C</w:t>
      </w:r>
      <w:r w:rsidRPr="00253AE2">
        <w:rPr>
          <w:rFonts w:ascii="Verdana" w:eastAsia="Calibri" w:hAnsi="Verdana" w:cs="Arial"/>
          <w:b/>
          <w:bCs/>
          <w:color w:val="000000" w:themeColor="text1"/>
        </w:rPr>
        <w:t xml:space="preserve">ertificado de existencia y representación -– término de expedición– cierre del proceso </w:t>
      </w:r>
    </w:p>
    <w:p w14:paraId="7CA65561" w14:textId="77777777" w:rsidR="00806E47" w:rsidRPr="00CF1010" w:rsidRDefault="00806E47" w:rsidP="00806E47">
      <w:pPr>
        <w:spacing w:after="0" w:line="240" w:lineRule="auto"/>
        <w:jc w:val="both"/>
        <w:rPr>
          <w:rFonts w:ascii="Verdana" w:eastAsia="Calibri" w:hAnsi="Verdana" w:cs="Arial"/>
          <w:b/>
          <w:bCs/>
          <w:color w:val="000000" w:themeColor="text1"/>
          <w:lang w:val="es-ES_tradnl"/>
        </w:rPr>
      </w:pPr>
    </w:p>
    <w:p w14:paraId="14267083" w14:textId="77777777" w:rsidR="00806E47" w:rsidRDefault="00806E47" w:rsidP="00806E47">
      <w:pPr>
        <w:spacing w:after="120" w:line="240" w:lineRule="auto"/>
        <w:jc w:val="both"/>
        <w:rPr>
          <w:rFonts w:ascii="Verdana" w:eastAsia="Calibri" w:hAnsi="Verdana" w:cs="Arial"/>
          <w:color w:val="000000"/>
          <w:sz w:val="20"/>
          <w:szCs w:val="20"/>
          <w:lang w:eastAsia="es-ES_tradnl"/>
        </w:rPr>
      </w:pPr>
      <w:r w:rsidRPr="00315097">
        <w:rPr>
          <w:rFonts w:ascii="Verdana" w:eastAsia="Calibri" w:hAnsi="Verdana" w:cs="Arial"/>
          <w:color w:val="000000"/>
          <w:sz w:val="20"/>
          <w:szCs w:val="20"/>
          <w:lang w:eastAsia="es-ES_tradnl"/>
        </w:rPr>
        <w:t>En esa medida, como ocurre en los documentos tipo de licitación para obra pública de infraestructura de transporte, la Agencia Nacional de Contratación Pública – Colombia Compra Eficiente adoptó un término de expedición del certificado de existencia y representación legal de máximo 30 días antes del cierre del proceso. Esta regla garantiza que la entidades estatales puedan identificar con plena certeza la identidad de la persona jurídica, además de evitar circunstancias como las indicadas en el párrafo anterior, de manera que no se materialicen las consecuencias negativas que se pudieren derivar de la presentación de certificados de existencia y representación legal que no sean recientes. En tal sentido, se consideró que el término de 30 días calendario al cierre del proceso constituye un término razonable que suelen utilizar muchas entidades estatales en su práctica contractual. Por tanto, salvo que el proceso de selección se rija por el artículo 1 de la Ley 2022 de 2020 o el artículo 56 de la Ley 2195 de 2022, las entidades tienen discrecionalidad para acoger dicho plazo de vigencia o establecer uno distinto en los pliegos de condiciones.</w:t>
      </w:r>
    </w:p>
    <w:p w14:paraId="21B71840" w14:textId="77777777" w:rsidR="00806E47" w:rsidRPr="00CF1010" w:rsidRDefault="00806E47" w:rsidP="00806E47">
      <w:pPr>
        <w:spacing w:after="120" w:line="240" w:lineRule="auto"/>
        <w:jc w:val="both"/>
        <w:rPr>
          <w:rFonts w:ascii="Verdana" w:eastAsia="Calibri" w:hAnsi="Verdana" w:cs="Arial"/>
          <w:color w:val="000000"/>
          <w:sz w:val="20"/>
          <w:szCs w:val="20"/>
          <w:lang w:eastAsia="es-ES_tradnl"/>
        </w:rPr>
      </w:pPr>
    </w:p>
    <w:p w14:paraId="082A0DBE" w14:textId="77777777" w:rsidR="00806E47" w:rsidRPr="00315097" w:rsidRDefault="00806E47" w:rsidP="00806E47">
      <w:pPr>
        <w:widowControl w:val="0"/>
        <w:autoSpaceDE w:val="0"/>
        <w:autoSpaceDN w:val="0"/>
        <w:spacing w:after="120" w:line="240" w:lineRule="auto"/>
        <w:jc w:val="both"/>
        <w:rPr>
          <w:rFonts w:ascii="Verdana" w:hAnsi="Verdana" w:cs="Arial"/>
          <w:color w:val="000000" w:themeColor="text1"/>
        </w:rPr>
      </w:pPr>
      <w:r w:rsidRPr="00253AE2">
        <w:rPr>
          <w:rFonts w:ascii="Verdana" w:hAnsi="Verdana" w:cs="Arial"/>
          <w:b/>
          <w:bCs/>
          <w:color w:val="000000" w:themeColor="text1"/>
        </w:rPr>
        <w:t xml:space="preserve">DOCUMENTOS TIPO - </w:t>
      </w:r>
      <w:r w:rsidRPr="00253AE2">
        <w:rPr>
          <w:rFonts w:ascii="Verdana" w:eastAsia="Calibri" w:hAnsi="Verdana" w:cs="Arial"/>
          <w:b/>
          <w:bCs/>
          <w:color w:val="000000" w:themeColor="text1"/>
        </w:rPr>
        <w:t>Registro Único de Proponentes (RUP)</w:t>
      </w:r>
      <w:r>
        <w:rPr>
          <w:rFonts w:ascii="Verdana" w:hAnsi="Verdana" w:cs="Arial"/>
          <w:color w:val="000000" w:themeColor="text1"/>
        </w:rPr>
        <w:t xml:space="preserve"> </w:t>
      </w:r>
      <w:r w:rsidRPr="00253AE2">
        <w:rPr>
          <w:rFonts w:ascii="Verdana" w:eastAsia="Calibri" w:hAnsi="Verdana" w:cs="Arial"/>
          <w:b/>
          <w:bCs/>
          <w:color w:val="000000" w:themeColor="text1"/>
        </w:rPr>
        <w:t>– término de expedición</w:t>
      </w:r>
      <w:r>
        <w:rPr>
          <w:rFonts w:ascii="Verdana" w:eastAsia="Calibri" w:hAnsi="Verdana" w:cs="Arial"/>
          <w:b/>
          <w:bCs/>
          <w:color w:val="000000" w:themeColor="text1"/>
        </w:rPr>
        <w:t xml:space="preserve"> </w:t>
      </w:r>
      <w:r w:rsidRPr="00253AE2">
        <w:rPr>
          <w:rFonts w:ascii="Verdana" w:eastAsia="Calibri" w:hAnsi="Verdana" w:cs="Arial"/>
          <w:b/>
          <w:bCs/>
          <w:color w:val="000000" w:themeColor="text1"/>
        </w:rPr>
        <w:t xml:space="preserve">– cierre del proceso </w:t>
      </w:r>
    </w:p>
    <w:p w14:paraId="505DF83B" w14:textId="77777777" w:rsidR="00806E47" w:rsidRDefault="00806E47" w:rsidP="00806E47">
      <w:pPr>
        <w:spacing w:after="120" w:line="240" w:lineRule="auto"/>
        <w:jc w:val="both"/>
        <w:rPr>
          <w:rFonts w:ascii="Verdana" w:eastAsia="Calibri" w:hAnsi="Verdana" w:cs="Arial"/>
          <w:sz w:val="20"/>
          <w:szCs w:val="20"/>
        </w:rPr>
      </w:pPr>
      <w:r w:rsidRPr="00CF1010">
        <w:rPr>
          <w:rFonts w:ascii="Verdana" w:eastAsia="Calibri" w:hAnsi="Verdana" w:cs="Arial"/>
          <w:sz w:val="20"/>
          <w:szCs w:val="20"/>
        </w:rPr>
        <w:t xml:space="preserve">Al igual que ocurre con el certificado de existencia y representación legal, el literal D) del numeral 3.1.1 del pliego de condiciones </w:t>
      </w:r>
      <w:r w:rsidRPr="00CF1010">
        <w:rPr>
          <w:rFonts w:ascii="Verdana" w:eastAsia="Calibri" w:hAnsi="Verdana" w:cs="Arial"/>
          <w:color w:val="000000"/>
          <w:sz w:val="20"/>
          <w:szCs w:val="20"/>
          <w:lang w:eastAsia="es-ES_tradnl"/>
        </w:rPr>
        <w:t>de los “Documentos Tipo – Versión 4” de licitación de obra pública de infraestructura de transporte</w:t>
      </w:r>
      <w:r w:rsidRPr="00CF1010">
        <w:rPr>
          <w:rFonts w:ascii="Verdana" w:eastAsia="Calibri" w:hAnsi="Verdana" w:cs="Arial"/>
          <w:sz w:val="20"/>
          <w:szCs w:val="20"/>
        </w:rPr>
        <w:t xml:space="preserve"> establece lo siguiente: “Los proponentes obligados a estar inscritos en el Registro Único de Proponentes (RUP), </w:t>
      </w:r>
      <w:r w:rsidRPr="00CF1010">
        <w:rPr>
          <w:rFonts w:ascii="Verdana" w:eastAsia="Calibri" w:hAnsi="Verdana" w:cs="Arial"/>
          <w:sz w:val="20"/>
          <w:szCs w:val="20"/>
        </w:rPr>
        <w:lastRenderedPageBreak/>
        <w:t>deben aportar certificado con fecha de expedición no mayor a treinta (30) días calendario anteriores a la fecha de cierre del Proceso de Contratación. En caso de modificarse la fecha de cierre del proceso, se tendrá como referencia para establecer el plazo de vigencia del certificado la fecha originalmente establecida en el pliego de condiciones definitivo”.</w:t>
      </w:r>
    </w:p>
    <w:p w14:paraId="03B543D0" w14:textId="77777777" w:rsidR="00806E47" w:rsidRDefault="00806E47" w:rsidP="00806E47">
      <w:pPr>
        <w:spacing w:after="120" w:line="240" w:lineRule="auto"/>
        <w:jc w:val="both"/>
        <w:rPr>
          <w:rFonts w:ascii="Verdana" w:eastAsia="Calibri" w:hAnsi="Verdana" w:cs="Arial"/>
          <w:sz w:val="20"/>
          <w:szCs w:val="20"/>
        </w:rPr>
      </w:pPr>
    </w:p>
    <w:p w14:paraId="34AA7D46" w14:textId="77777777" w:rsidR="00806E47" w:rsidRDefault="00806E47" w:rsidP="00806E47">
      <w:pPr>
        <w:spacing w:after="120" w:line="240" w:lineRule="auto"/>
        <w:jc w:val="both"/>
        <w:rPr>
          <w:rFonts w:ascii="Verdana" w:eastAsia="Calibri" w:hAnsi="Verdana" w:cs="Arial"/>
          <w:sz w:val="20"/>
          <w:szCs w:val="20"/>
        </w:rPr>
      </w:pPr>
    </w:p>
    <w:p w14:paraId="624543E5" w14:textId="77777777" w:rsidR="00806E47" w:rsidRDefault="00806E47" w:rsidP="00806E47">
      <w:pPr>
        <w:spacing w:after="120" w:line="240" w:lineRule="auto"/>
        <w:jc w:val="both"/>
        <w:rPr>
          <w:rFonts w:ascii="Verdana" w:eastAsia="Calibri" w:hAnsi="Verdana" w:cs="Arial"/>
          <w:sz w:val="20"/>
          <w:szCs w:val="20"/>
        </w:rPr>
      </w:pPr>
    </w:p>
    <w:p w14:paraId="46901A5E" w14:textId="77777777" w:rsidR="00806E47" w:rsidRDefault="00806E47" w:rsidP="00806E47">
      <w:pPr>
        <w:spacing w:after="120" w:line="240" w:lineRule="auto"/>
        <w:jc w:val="both"/>
        <w:rPr>
          <w:rFonts w:ascii="Verdana" w:eastAsia="Calibri" w:hAnsi="Verdana" w:cs="Arial"/>
          <w:sz w:val="20"/>
          <w:szCs w:val="20"/>
        </w:rPr>
      </w:pPr>
    </w:p>
    <w:p w14:paraId="2347BE88" w14:textId="77777777" w:rsidR="00806E47" w:rsidRDefault="00806E47" w:rsidP="00806E47">
      <w:pPr>
        <w:spacing w:after="120" w:line="240" w:lineRule="auto"/>
        <w:jc w:val="both"/>
        <w:rPr>
          <w:rFonts w:ascii="Verdana" w:eastAsia="Calibri" w:hAnsi="Verdana" w:cs="Arial"/>
          <w:sz w:val="20"/>
          <w:szCs w:val="20"/>
        </w:rPr>
      </w:pPr>
    </w:p>
    <w:p w14:paraId="511D6437" w14:textId="77777777" w:rsidR="00806E47" w:rsidRDefault="00806E47" w:rsidP="00806E47">
      <w:pPr>
        <w:spacing w:after="120" w:line="240" w:lineRule="auto"/>
        <w:jc w:val="both"/>
        <w:rPr>
          <w:rFonts w:ascii="Verdana" w:eastAsia="Calibri" w:hAnsi="Verdana" w:cs="Arial"/>
          <w:sz w:val="20"/>
          <w:szCs w:val="20"/>
        </w:rPr>
      </w:pPr>
    </w:p>
    <w:p w14:paraId="11527289" w14:textId="77777777" w:rsidR="00806E47" w:rsidRDefault="00806E47" w:rsidP="00806E47">
      <w:pPr>
        <w:spacing w:after="120" w:line="240" w:lineRule="auto"/>
        <w:jc w:val="both"/>
        <w:rPr>
          <w:rFonts w:ascii="Verdana" w:eastAsia="Calibri" w:hAnsi="Verdana" w:cs="Arial"/>
          <w:sz w:val="20"/>
          <w:szCs w:val="20"/>
        </w:rPr>
      </w:pPr>
    </w:p>
    <w:p w14:paraId="6A7437B2" w14:textId="77777777" w:rsidR="00806E47" w:rsidRDefault="00806E47" w:rsidP="00806E47">
      <w:pPr>
        <w:spacing w:after="120" w:line="240" w:lineRule="auto"/>
        <w:jc w:val="both"/>
        <w:rPr>
          <w:rFonts w:ascii="Verdana" w:eastAsia="Calibri" w:hAnsi="Verdana" w:cs="Arial"/>
          <w:sz w:val="20"/>
          <w:szCs w:val="20"/>
        </w:rPr>
      </w:pPr>
    </w:p>
    <w:p w14:paraId="43ACA758" w14:textId="77777777" w:rsidR="00806E47" w:rsidRDefault="00806E47" w:rsidP="00806E47">
      <w:pPr>
        <w:spacing w:after="120" w:line="240" w:lineRule="auto"/>
        <w:jc w:val="both"/>
        <w:rPr>
          <w:rFonts w:ascii="Verdana" w:eastAsia="Calibri" w:hAnsi="Verdana" w:cs="Arial"/>
          <w:sz w:val="20"/>
          <w:szCs w:val="20"/>
        </w:rPr>
      </w:pPr>
    </w:p>
    <w:p w14:paraId="0158D754" w14:textId="77777777" w:rsidR="00806E47" w:rsidRDefault="00806E47" w:rsidP="00806E47">
      <w:pPr>
        <w:spacing w:after="120" w:line="240" w:lineRule="auto"/>
        <w:jc w:val="both"/>
        <w:rPr>
          <w:rFonts w:ascii="Verdana" w:eastAsia="Calibri" w:hAnsi="Verdana" w:cs="Arial"/>
          <w:sz w:val="20"/>
          <w:szCs w:val="20"/>
        </w:rPr>
      </w:pPr>
    </w:p>
    <w:p w14:paraId="40868F09" w14:textId="77777777" w:rsidR="00806E47" w:rsidRDefault="00806E47" w:rsidP="00806E47">
      <w:pPr>
        <w:spacing w:after="120" w:line="240" w:lineRule="auto"/>
        <w:jc w:val="both"/>
        <w:rPr>
          <w:rFonts w:ascii="Verdana" w:eastAsia="Calibri" w:hAnsi="Verdana" w:cs="Arial"/>
          <w:sz w:val="20"/>
          <w:szCs w:val="20"/>
        </w:rPr>
      </w:pPr>
    </w:p>
    <w:p w14:paraId="3DBFA970" w14:textId="77777777" w:rsidR="00806E47" w:rsidRDefault="00806E47" w:rsidP="00806E47">
      <w:pPr>
        <w:spacing w:after="120" w:line="240" w:lineRule="auto"/>
        <w:jc w:val="both"/>
        <w:rPr>
          <w:rFonts w:ascii="Verdana" w:eastAsia="Calibri" w:hAnsi="Verdana" w:cs="Arial"/>
          <w:sz w:val="20"/>
          <w:szCs w:val="20"/>
        </w:rPr>
      </w:pPr>
    </w:p>
    <w:p w14:paraId="6D3A3753" w14:textId="77777777" w:rsidR="00806E47" w:rsidRDefault="00806E47" w:rsidP="00806E47">
      <w:pPr>
        <w:spacing w:after="120" w:line="240" w:lineRule="auto"/>
        <w:jc w:val="both"/>
        <w:rPr>
          <w:rFonts w:ascii="Verdana" w:eastAsia="Calibri" w:hAnsi="Verdana" w:cs="Arial"/>
          <w:sz w:val="20"/>
          <w:szCs w:val="20"/>
        </w:rPr>
      </w:pPr>
    </w:p>
    <w:p w14:paraId="7E5FA9CA" w14:textId="77777777" w:rsidR="00806E47" w:rsidRDefault="00806E47" w:rsidP="00806E47">
      <w:pPr>
        <w:spacing w:after="120" w:line="240" w:lineRule="auto"/>
        <w:jc w:val="both"/>
        <w:rPr>
          <w:rFonts w:ascii="Verdana" w:eastAsia="Calibri" w:hAnsi="Verdana" w:cs="Arial"/>
          <w:sz w:val="20"/>
          <w:szCs w:val="20"/>
        </w:rPr>
      </w:pPr>
    </w:p>
    <w:p w14:paraId="52B873BE" w14:textId="77777777" w:rsidR="00806E47" w:rsidRDefault="00806E47" w:rsidP="00806E47">
      <w:pPr>
        <w:spacing w:after="120" w:line="240" w:lineRule="auto"/>
        <w:jc w:val="both"/>
        <w:rPr>
          <w:rFonts w:ascii="Verdana" w:eastAsia="Calibri" w:hAnsi="Verdana" w:cs="Arial"/>
          <w:sz w:val="20"/>
          <w:szCs w:val="20"/>
        </w:rPr>
      </w:pPr>
    </w:p>
    <w:p w14:paraId="09F04F9F" w14:textId="77777777" w:rsidR="00806E47" w:rsidRDefault="00806E47" w:rsidP="00806E47">
      <w:pPr>
        <w:spacing w:after="120" w:line="240" w:lineRule="auto"/>
        <w:jc w:val="both"/>
        <w:rPr>
          <w:rFonts w:ascii="Verdana" w:eastAsia="Calibri" w:hAnsi="Verdana" w:cs="Arial"/>
          <w:sz w:val="20"/>
          <w:szCs w:val="20"/>
        </w:rPr>
      </w:pPr>
    </w:p>
    <w:p w14:paraId="0DEA1660" w14:textId="77777777" w:rsidR="00806E47" w:rsidRDefault="00806E47" w:rsidP="00806E47">
      <w:pPr>
        <w:spacing w:after="120" w:line="240" w:lineRule="auto"/>
        <w:jc w:val="both"/>
        <w:rPr>
          <w:rFonts w:ascii="Verdana" w:eastAsia="Calibri" w:hAnsi="Verdana" w:cs="Arial"/>
          <w:sz w:val="20"/>
          <w:szCs w:val="20"/>
        </w:rPr>
      </w:pPr>
    </w:p>
    <w:p w14:paraId="250A522B" w14:textId="77777777" w:rsidR="00806E47" w:rsidRDefault="00806E47" w:rsidP="00806E47">
      <w:pPr>
        <w:spacing w:after="120" w:line="240" w:lineRule="auto"/>
        <w:jc w:val="both"/>
        <w:rPr>
          <w:rFonts w:ascii="Verdana" w:eastAsia="Calibri" w:hAnsi="Verdana" w:cs="Arial"/>
          <w:sz w:val="20"/>
          <w:szCs w:val="20"/>
        </w:rPr>
      </w:pPr>
    </w:p>
    <w:p w14:paraId="2B88F3D9" w14:textId="77777777" w:rsidR="00806E47" w:rsidRDefault="00806E47" w:rsidP="00806E47">
      <w:pPr>
        <w:spacing w:after="120" w:line="240" w:lineRule="auto"/>
        <w:jc w:val="both"/>
        <w:rPr>
          <w:rFonts w:ascii="Verdana" w:eastAsia="Calibri" w:hAnsi="Verdana" w:cs="Arial"/>
          <w:sz w:val="20"/>
          <w:szCs w:val="20"/>
        </w:rPr>
      </w:pPr>
    </w:p>
    <w:p w14:paraId="4C38F807" w14:textId="77777777" w:rsidR="00806E47" w:rsidRDefault="00806E47" w:rsidP="00806E47">
      <w:pPr>
        <w:spacing w:after="120" w:line="240" w:lineRule="auto"/>
        <w:jc w:val="both"/>
        <w:rPr>
          <w:rFonts w:ascii="Verdana" w:eastAsia="Calibri" w:hAnsi="Verdana" w:cs="Arial"/>
          <w:sz w:val="20"/>
          <w:szCs w:val="20"/>
        </w:rPr>
      </w:pPr>
    </w:p>
    <w:p w14:paraId="7115D0A4" w14:textId="77777777" w:rsidR="00806E47" w:rsidRDefault="00806E47" w:rsidP="00806E47">
      <w:pPr>
        <w:spacing w:after="120" w:line="240" w:lineRule="auto"/>
        <w:jc w:val="both"/>
        <w:rPr>
          <w:rFonts w:ascii="Verdana" w:eastAsia="Calibri" w:hAnsi="Verdana" w:cs="Arial"/>
          <w:sz w:val="20"/>
          <w:szCs w:val="20"/>
        </w:rPr>
      </w:pPr>
    </w:p>
    <w:p w14:paraId="1BAA9700" w14:textId="77777777" w:rsidR="00806E47" w:rsidRDefault="00806E47" w:rsidP="00806E47">
      <w:pPr>
        <w:spacing w:after="120" w:line="240" w:lineRule="auto"/>
        <w:jc w:val="both"/>
        <w:rPr>
          <w:rFonts w:ascii="Verdana" w:eastAsia="Calibri" w:hAnsi="Verdana" w:cs="Arial"/>
          <w:sz w:val="20"/>
          <w:szCs w:val="20"/>
        </w:rPr>
      </w:pPr>
    </w:p>
    <w:p w14:paraId="28010A3B" w14:textId="77777777" w:rsidR="00806E47" w:rsidRDefault="00806E47" w:rsidP="00806E47">
      <w:pPr>
        <w:spacing w:after="120" w:line="240" w:lineRule="auto"/>
        <w:jc w:val="both"/>
        <w:rPr>
          <w:rFonts w:ascii="Verdana" w:eastAsia="Calibri" w:hAnsi="Verdana" w:cs="Arial"/>
          <w:sz w:val="20"/>
          <w:szCs w:val="20"/>
        </w:rPr>
      </w:pPr>
    </w:p>
    <w:p w14:paraId="1C05126D" w14:textId="77777777" w:rsidR="00806E47" w:rsidRDefault="00806E47" w:rsidP="00806E47">
      <w:pPr>
        <w:spacing w:after="120" w:line="240" w:lineRule="auto"/>
        <w:jc w:val="both"/>
        <w:rPr>
          <w:rFonts w:ascii="Verdana" w:eastAsia="Calibri" w:hAnsi="Verdana" w:cs="Arial"/>
          <w:sz w:val="20"/>
          <w:szCs w:val="20"/>
        </w:rPr>
      </w:pPr>
    </w:p>
    <w:p w14:paraId="067A6BB5" w14:textId="77777777" w:rsidR="00806E47" w:rsidRDefault="00806E47" w:rsidP="00806E47">
      <w:pPr>
        <w:spacing w:after="120" w:line="240" w:lineRule="auto"/>
        <w:jc w:val="both"/>
        <w:rPr>
          <w:rFonts w:ascii="Verdana" w:eastAsia="Calibri" w:hAnsi="Verdana" w:cs="Arial"/>
          <w:sz w:val="20"/>
          <w:szCs w:val="20"/>
        </w:rPr>
      </w:pPr>
    </w:p>
    <w:p w14:paraId="2A2B6F82" w14:textId="77777777" w:rsidR="00806E47" w:rsidRDefault="00806E47" w:rsidP="00806E47">
      <w:pPr>
        <w:spacing w:after="120" w:line="240" w:lineRule="auto"/>
        <w:jc w:val="both"/>
        <w:rPr>
          <w:rFonts w:ascii="Verdana" w:eastAsia="Calibri" w:hAnsi="Verdana" w:cs="Arial"/>
          <w:sz w:val="20"/>
          <w:szCs w:val="20"/>
        </w:rPr>
      </w:pPr>
    </w:p>
    <w:p w14:paraId="3E9F1B30" w14:textId="77777777" w:rsidR="00806E47" w:rsidRDefault="00806E47" w:rsidP="00806E47">
      <w:pPr>
        <w:spacing w:after="120" w:line="240" w:lineRule="auto"/>
        <w:jc w:val="both"/>
        <w:rPr>
          <w:rFonts w:ascii="Verdana" w:eastAsia="Calibri" w:hAnsi="Verdana" w:cs="Arial"/>
          <w:sz w:val="20"/>
          <w:szCs w:val="20"/>
        </w:rPr>
      </w:pPr>
    </w:p>
    <w:p w14:paraId="5FD4ABE3" w14:textId="7E1378DA" w:rsidR="00A31155" w:rsidRPr="00D40955" w:rsidRDefault="00FC3DD5" w:rsidP="00A31155">
      <w:pPr>
        <w:widowControl w:val="0"/>
        <w:autoSpaceDE w:val="0"/>
        <w:autoSpaceDN w:val="0"/>
        <w:spacing w:after="120" w:line="240" w:lineRule="auto"/>
        <w:jc w:val="both"/>
        <w:rPr>
          <w:rFonts w:ascii="Verdana" w:eastAsia="Aptos" w:hAnsi="Verdana" w:cs="Times New Roman"/>
          <w:kern w:val="2"/>
          <w:sz w:val="20"/>
          <w:szCs w:val="20"/>
          <w14:ligatures w14:val="standardContextual"/>
        </w:rPr>
      </w:pPr>
      <w:r w:rsidRPr="00550ACD">
        <w:rPr>
          <w:rFonts w:ascii="Verdana" w:eastAsia="Calibri" w:hAnsi="Verdana" w:cs="Arial"/>
          <w:noProof/>
          <w:kern w:val="2"/>
          <w:lang w:eastAsia="es-ES"/>
          <w14:ligatures w14:val="standardContextual"/>
        </w:rPr>
        <w:lastRenderedPageBreak/>
        <w:drawing>
          <wp:anchor distT="0" distB="0" distL="114300" distR="114300" simplePos="0" relativeHeight="251659264" behindDoc="0" locked="0" layoutInCell="1" allowOverlap="1" wp14:anchorId="71945AC2" wp14:editId="01F30D43">
            <wp:simplePos x="0" y="0"/>
            <wp:positionH relativeFrom="margin">
              <wp:posOffset>3607435</wp:posOffset>
            </wp:positionH>
            <wp:positionV relativeFrom="margin">
              <wp:posOffset>217170</wp:posOffset>
            </wp:positionV>
            <wp:extent cx="2174875" cy="716915"/>
            <wp:effectExtent l="0" t="0" r="0" b="6985"/>
            <wp:wrapSquare wrapText="bothSides"/>
            <wp:docPr id="20553033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03391" name=""/>
                    <pic:cNvPicPr/>
                  </pic:nvPicPr>
                  <pic:blipFill>
                    <a:blip r:embed="rId11">
                      <a:extLst>
                        <a:ext uri="{28A0092B-C50C-407E-A947-70E740481C1C}">
                          <a14:useLocalDpi xmlns:a14="http://schemas.microsoft.com/office/drawing/2010/main" val="0"/>
                        </a:ext>
                      </a:extLst>
                    </a:blip>
                    <a:stretch>
                      <a:fillRect/>
                    </a:stretch>
                  </pic:blipFill>
                  <pic:spPr>
                    <a:xfrm>
                      <a:off x="0" y="0"/>
                      <a:ext cx="2174875" cy="716915"/>
                    </a:xfrm>
                    <a:prstGeom prst="rect">
                      <a:avLst/>
                    </a:prstGeom>
                  </pic:spPr>
                </pic:pic>
              </a:graphicData>
            </a:graphic>
            <wp14:sizeRelH relativeFrom="margin">
              <wp14:pctWidth>0</wp14:pctWidth>
            </wp14:sizeRelH>
            <wp14:sizeRelV relativeFrom="margin">
              <wp14:pctHeight>0</wp14:pctHeight>
            </wp14:sizeRelV>
          </wp:anchor>
        </w:drawing>
      </w:r>
      <w:r w:rsidR="00A31155" w:rsidRPr="00F949C0">
        <w:rPr>
          <w:rFonts w:ascii="Verdana" w:eastAsia="Aptos" w:hAnsi="Verdana" w:cs="Times New Roman"/>
          <w:kern w:val="2"/>
          <w14:ligatures w14:val="standardContextual"/>
        </w:rPr>
        <w:t xml:space="preserve">Bogotá D.C., </w:t>
      </w:r>
      <w:r w:rsidRPr="00FC3DD5">
        <w:rPr>
          <w:rFonts w:ascii="Verdana" w:eastAsia="Aptos" w:hAnsi="Verdana" w:cs="Times New Roman"/>
          <w:kern w:val="2"/>
          <w14:ligatures w14:val="standardContextual"/>
        </w:rPr>
        <w:t>11 Junio 2026</w:t>
      </w:r>
    </w:p>
    <w:p w14:paraId="24A383C4" w14:textId="3853B354" w:rsidR="00550ACD" w:rsidRDefault="00550ACD" w:rsidP="00A31155">
      <w:pPr>
        <w:spacing w:after="0" w:line="240" w:lineRule="auto"/>
        <w:rPr>
          <w:rFonts w:ascii="Verdana" w:eastAsia="Calibri" w:hAnsi="Verdana" w:cs="Arial"/>
          <w:kern w:val="2"/>
          <w:lang w:eastAsia="es-ES"/>
          <w14:ligatures w14:val="standardContextual"/>
        </w:rPr>
      </w:pPr>
    </w:p>
    <w:p w14:paraId="4A7C6F42" w14:textId="1F4EAED4" w:rsidR="00A31155" w:rsidRPr="008A749C" w:rsidRDefault="00A31155" w:rsidP="00A31155">
      <w:pPr>
        <w:spacing w:after="0" w:line="240" w:lineRule="auto"/>
        <w:rPr>
          <w:rFonts w:ascii="Verdana" w:eastAsia="Calibri" w:hAnsi="Verdana" w:cs="Arial"/>
          <w:b/>
          <w:bCs/>
          <w:kern w:val="2"/>
          <w:lang w:eastAsia="es-ES"/>
          <w14:ligatures w14:val="standardContextual"/>
        </w:rPr>
      </w:pPr>
      <w:r w:rsidRPr="008A749C">
        <w:rPr>
          <w:rFonts w:ascii="Verdana" w:eastAsia="Calibri" w:hAnsi="Verdana" w:cs="Arial"/>
          <w:kern w:val="2"/>
          <w:lang w:eastAsia="es-ES"/>
          <w14:ligatures w14:val="standardContextual"/>
        </w:rPr>
        <w:t>Señor</w:t>
      </w:r>
    </w:p>
    <w:p w14:paraId="22C51E9B" w14:textId="77777777" w:rsidR="00A31155" w:rsidRPr="00A1559E" w:rsidRDefault="00A31155" w:rsidP="00A31155">
      <w:pPr>
        <w:spacing w:after="0" w:line="240" w:lineRule="auto"/>
        <w:rPr>
          <w:rFonts w:ascii="Verdana" w:eastAsia="Calibri" w:hAnsi="Verdana" w:cs="Arial"/>
          <w:b/>
          <w:bCs/>
          <w:kern w:val="2"/>
          <w:lang w:eastAsia="es-ES"/>
          <w14:ligatures w14:val="standardContextual"/>
        </w:rPr>
      </w:pPr>
      <w:r>
        <w:rPr>
          <w:rFonts w:ascii="Verdana" w:eastAsia="Calibri" w:hAnsi="Verdana" w:cs="Arial"/>
          <w:b/>
          <w:bCs/>
          <w:kern w:val="2"/>
          <w:lang w:eastAsia="es-ES"/>
          <w14:ligatures w14:val="standardContextual"/>
        </w:rPr>
        <w:t>Carlos Arturo Corzo López</w:t>
      </w:r>
    </w:p>
    <w:p w14:paraId="7F33DBCC" w14:textId="77777777" w:rsidR="00A31155" w:rsidRPr="00C03160" w:rsidRDefault="00A31155" w:rsidP="00A31155">
      <w:pPr>
        <w:spacing w:after="0" w:line="240" w:lineRule="auto"/>
        <w:rPr>
          <w:rFonts w:ascii="Verdana" w:hAnsi="Verdana"/>
        </w:rPr>
      </w:pPr>
      <w:hyperlink r:id="rId12" w:history="1">
        <w:r w:rsidRPr="00C03160">
          <w:rPr>
            <w:rStyle w:val="Hipervnculo"/>
            <w:rFonts w:ascii="Verdana" w:hAnsi="Verdana"/>
          </w:rPr>
          <w:t>carlosacorzo@gmail.com</w:t>
        </w:r>
      </w:hyperlink>
    </w:p>
    <w:p w14:paraId="038429DC" w14:textId="77777777" w:rsidR="00A31155" w:rsidRPr="00C03160" w:rsidRDefault="00A31155" w:rsidP="00A31155">
      <w:pPr>
        <w:spacing w:after="0" w:line="240" w:lineRule="auto"/>
        <w:rPr>
          <w:rFonts w:ascii="Verdana" w:eastAsia="Calibri" w:hAnsi="Verdana" w:cs="Arial"/>
          <w:kern w:val="2"/>
          <w:lang w:val="es-ES" w:eastAsia="es-ES"/>
          <w14:ligatures w14:val="standardContextual"/>
        </w:rPr>
      </w:pPr>
      <w:r w:rsidRPr="00C03160">
        <w:rPr>
          <w:rFonts w:ascii="Verdana" w:eastAsia="Calibri" w:hAnsi="Verdana" w:cs="Arial"/>
          <w:kern w:val="2"/>
          <w:lang w:val="es-ES" w:eastAsia="es-ES"/>
          <w14:ligatures w14:val="standardContextual"/>
        </w:rPr>
        <w:t>Bogotá D.C.</w:t>
      </w:r>
    </w:p>
    <w:p w14:paraId="00467D12" w14:textId="77777777" w:rsidR="00A31155" w:rsidRPr="00C518CE" w:rsidRDefault="00A31155" w:rsidP="00A31155">
      <w:pPr>
        <w:spacing w:after="0" w:line="240" w:lineRule="auto"/>
        <w:rPr>
          <w:rFonts w:ascii="Verdana" w:eastAsia="Calibri" w:hAnsi="Verdana" w:cs="Arial"/>
          <w:b/>
          <w:bCs/>
          <w:color w:val="6699FF"/>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A31155" w:rsidRPr="00C24A9D" w14:paraId="39CE88A8" w14:textId="77777777" w:rsidTr="002D73D6">
        <w:trPr>
          <w:trHeight w:val="229"/>
        </w:trPr>
        <w:tc>
          <w:tcPr>
            <w:tcW w:w="1985" w:type="dxa"/>
          </w:tcPr>
          <w:p w14:paraId="2B38CC18" w14:textId="77777777" w:rsidR="00A31155" w:rsidRPr="00C03160" w:rsidRDefault="00A31155" w:rsidP="002D73D6">
            <w:pPr>
              <w:jc w:val="both"/>
              <w:rPr>
                <w:rFonts w:ascii="Verdana" w:eastAsia="Calibri" w:hAnsi="Verdana" w:cs="Arial"/>
                <w:b/>
                <w:bCs/>
                <w:lang w:val="es-ES_tradnl" w:eastAsia="es-ES_tradnl"/>
              </w:rPr>
            </w:pPr>
          </w:p>
        </w:tc>
        <w:tc>
          <w:tcPr>
            <w:tcW w:w="6383" w:type="dxa"/>
          </w:tcPr>
          <w:p w14:paraId="7186F7AA" w14:textId="2540D969" w:rsidR="00A31155" w:rsidRPr="00C03160" w:rsidRDefault="00A31155" w:rsidP="002D73D6">
            <w:pPr>
              <w:jc w:val="both"/>
              <w:rPr>
                <w:rFonts w:ascii="Verdana" w:eastAsia="Calibri" w:hAnsi="Verdana" w:cs="Arial"/>
                <w:b/>
                <w:bCs/>
                <w:lang w:val="es-ES" w:eastAsia="es-ES"/>
              </w:rPr>
            </w:pPr>
            <w:r w:rsidRPr="086DB1EB">
              <w:rPr>
                <w:rFonts w:ascii="Verdana" w:eastAsia="Calibri" w:hAnsi="Verdana" w:cs="Arial"/>
                <w:b/>
                <w:bCs/>
                <w:lang w:val="es-ES" w:eastAsia="es-ES"/>
              </w:rPr>
              <w:t>Con</w:t>
            </w:r>
            <w:r w:rsidRPr="00FD6A62">
              <w:rPr>
                <w:rFonts w:ascii="Verdana" w:eastAsia="Calibri" w:hAnsi="Verdana" w:cs="Arial"/>
                <w:b/>
                <w:bCs/>
                <w:lang w:val="es-ES" w:eastAsia="es-ES"/>
              </w:rPr>
              <w:t>cepto C–389 de 2026</w:t>
            </w:r>
          </w:p>
          <w:p w14:paraId="61D815F0" w14:textId="77777777" w:rsidR="00A31155" w:rsidRPr="00C03160" w:rsidRDefault="00A31155" w:rsidP="002D73D6">
            <w:pPr>
              <w:jc w:val="both"/>
              <w:rPr>
                <w:rFonts w:ascii="Verdana" w:eastAsia="Calibri" w:hAnsi="Verdana" w:cs="Arial"/>
                <w:b/>
                <w:bCs/>
                <w:lang w:val="es-ES" w:eastAsia="es-ES"/>
              </w:rPr>
            </w:pPr>
          </w:p>
        </w:tc>
      </w:tr>
      <w:tr w:rsidR="00A31155" w:rsidRPr="00C24A9D" w14:paraId="74168AF8" w14:textId="77777777" w:rsidTr="002D73D6">
        <w:trPr>
          <w:trHeight w:val="884"/>
        </w:trPr>
        <w:tc>
          <w:tcPr>
            <w:tcW w:w="1985" w:type="dxa"/>
          </w:tcPr>
          <w:p w14:paraId="435D6129" w14:textId="77777777" w:rsidR="00A31155" w:rsidRPr="00C24A9D" w:rsidRDefault="00A31155" w:rsidP="002D73D6">
            <w:pPr>
              <w:jc w:val="both"/>
              <w:rPr>
                <w:rFonts w:ascii="Verdana" w:eastAsia="Calibri" w:hAnsi="Verdana" w:cs="Arial"/>
                <w:color w:val="99CCFF"/>
                <w:lang w:val="es-ES_tradnl" w:eastAsia="es-ES_tradnl"/>
              </w:rPr>
            </w:pPr>
            <w:r w:rsidRPr="00D760F2">
              <w:rPr>
                <w:rFonts w:ascii="Verdana" w:eastAsia="Calibri" w:hAnsi="Verdana" w:cs="Arial"/>
                <w:b/>
                <w:lang w:val="es-ES_tradnl" w:eastAsia="es-ES_tradnl"/>
              </w:rPr>
              <w:t>Temas:</w:t>
            </w:r>
            <w:r w:rsidRPr="00D760F2">
              <w:rPr>
                <w:rFonts w:ascii="Verdana" w:eastAsia="Calibri" w:hAnsi="Verdana" w:cs="Arial"/>
                <w:lang w:val="es-ES_tradnl" w:eastAsia="es-ES_tradnl"/>
              </w:rPr>
              <w:t xml:space="preserve">                   </w:t>
            </w:r>
          </w:p>
        </w:tc>
        <w:tc>
          <w:tcPr>
            <w:tcW w:w="6383" w:type="dxa"/>
          </w:tcPr>
          <w:p w14:paraId="70652A59" w14:textId="77777777" w:rsidR="00A31155" w:rsidRPr="00CF1010" w:rsidRDefault="00A31155" w:rsidP="002D73D6">
            <w:pPr>
              <w:spacing w:after="120"/>
              <w:jc w:val="both"/>
              <w:rPr>
                <w:rFonts w:ascii="Verdana" w:eastAsia="Calibri" w:hAnsi="Verdana" w:cs="Arial"/>
                <w:color w:val="000000"/>
                <w:sz w:val="20"/>
                <w:szCs w:val="20"/>
                <w:lang w:eastAsia="es-ES_tradnl"/>
              </w:rPr>
            </w:pPr>
            <w:r w:rsidRPr="00AF5C56">
              <w:rPr>
                <w:rFonts w:ascii="Verdana" w:eastAsia="Calibri" w:hAnsi="Verdana" w:cs="Arial"/>
                <w:bCs/>
                <w:color w:val="000000" w:themeColor="text1"/>
                <w:lang w:val="es-ES_tradnl"/>
              </w:rPr>
              <w:t>CAPACIDAD – Personas jurídicas - C</w:t>
            </w:r>
            <w:r w:rsidRPr="00AF5C56">
              <w:rPr>
                <w:rFonts w:ascii="Verdana" w:eastAsia="Calibri" w:hAnsi="Verdana" w:cs="Arial"/>
                <w:bCs/>
                <w:color w:val="000000" w:themeColor="text1"/>
              </w:rPr>
              <w:t xml:space="preserve">ertificado de existencia y representación legal / </w:t>
            </w:r>
            <w:r w:rsidRPr="00AF5C56">
              <w:rPr>
                <w:rFonts w:ascii="Verdana" w:hAnsi="Verdana" w:cs="Arial"/>
                <w:bCs/>
                <w:color w:val="000000" w:themeColor="text1"/>
              </w:rPr>
              <w:t xml:space="preserve">DOCUMENTOS TIPO - </w:t>
            </w:r>
            <w:r w:rsidRPr="00AF5C56">
              <w:rPr>
                <w:rFonts w:ascii="Verdana" w:eastAsia="Calibri" w:hAnsi="Verdana" w:cs="Arial"/>
                <w:bCs/>
                <w:color w:val="000000" w:themeColor="text1"/>
                <w:lang w:val="es-ES_tradnl"/>
              </w:rPr>
              <w:t>C</w:t>
            </w:r>
            <w:r w:rsidRPr="00AF5C56">
              <w:rPr>
                <w:rFonts w:ascii="Verdana" w:eastAsia="Calibri" w:hAnsi="Verdana" w:cs="Arial"/>
                <w:bCs/>
                <w:color w:val="000000" w:themeColor="text1"/>
              </w:rPr>
              <w:t xml:space="preserve">ertificado de existencia y representación – </w:t>
            </w:r>
            <w:r>
              <w:rPr>
                <w:rFonts w:ascii="Verdana" w:eastAsia="Calibri" w:hAnsi="Verdana" w:cs="Arial"/>
                <w:bCs/>
                <w:color w:val="000000" w:themeColor="text1"/>
              </w:rPr>
              <w:t>T</w:t>
            </w:r>
            <w:r w:rsidRPr="00AF5C56">
              <w:rPr>
                <w:rFonts w:ascii="Verdana" w:eastAsia="Calibri" w:hAnsi="Verdana" w:cs="Arial"/>
                <w:bCs/>
                <w:color w:val="000000" w:themeColor="text1"/>
              </w:rPr>
              <w:t xml:space="preserve">érmino de expedición– </w:t>
            </w:r>
            <w:r>
              <w:rPr>
                <w:rFonts w:ascii="Verdana" w:eastAsia="Calibri" w:hAnsi="Verdana" w:cs="Arial"/>
                <w:bCs/>
                <w:color w:val="000000" w:themeColor="text1"/>
              </w:rPr>
              <w:t>C</w:t>
            </w:r>
            <w:r w:rsidRPr="00AF5C56">
              <w:rPr>
                <w:rFonts w:ascii="Verdana" w:eastAsia="Calibri" w:hAnsi="Verdana" w:cs="Arial"/>
                <w:bCs/>
                <w:color w:val="000000" w:themeColor="text1"/>
              </w:rPr>
              <w:t xml:space="preserve">ierre del proceso </w:t>
            </w:r>
            <w:r>
              <w:rPr>
                <w:rFonts w:ascii="Verdana" w:eastAsia="Calibri" w:hAnsi="Verdana" w:cs="Arial"/>
                <w:bCs/>
                <w:color w:val="000000" w:themeColor="text1"/>
              </w:rPr>
              <w:t xml:space="preserve">/ </w:t>
            </w:r>
            <w:r w:rsidRPr="00CF1010">
              <w:rPr>
                <w:rFonts w:ascii="Verdana" w:hAnsi="Verdana" w:cs="Arial"/>
                <w:color w:val="000000" w:themeColor="text1"/>
              </w:rPr>
              <w:t xml:space="preserve">DOCUMENTOS TIPO - </w:t>
            </w:r>
            <w:r w:rsidRPr="00CF1010">
              <w:rPr>
                <w:rFonts w:ascii="Verdana" w:eastAsia="Calibri" w:hAnsi="Verdana" w:cs="Arial"/>
                <w:color w:val="000000" w:themeColor="text1"/>
              </w:rPr>
              <w:t>Registro Único de Proponentes (RUP)</w:t>
            </w:r>
            <w:r w:rsidRPr="00CF1010">
              <w:rPr>
                <w:rFonts w:ascii="Verdana" w:hAnsi="Verdana" w:cs="Arial"/>
                <w:color w:val="000000" w:themeColor="text1"/>
              </w:rPr>
              <w:t xml:space="preserve"> </w:t>
            </w:r>
            <w:r w:rsidRPr="00CF1010">
              <w:rPr>
                <w:rFonts w:ascii="Verdana" w:eastAsia="Calibri" w:hAnsi="Verdana" w:cs="Arial"/>
                <w:color w:val="000000" w:themeColor="text1"/>
              </w:rPr>
              <w:t>– Término</w:t>
            </w:r>
            <w:r>
              <w:rPr>
                <w:rFonts w:ascii="Verdana" w:eastAsia="Calibri" w:hAnsi="Verdana" w:cs="Arial"/>
                <w:color w:val="000000" w:themeColor="text1"/>
              </w:rPr>
              <w:t xml:space="preserve"> </w:t>
            </w:r>
            <w:r w:rsidRPr="00CF1010">
              <w:rPr>
                <w:rFonts w:ascii="Verdana" w:eastAsia="Calibri" w:hAnsi="Verdana" w:cs="Arial"/>
                <w:color w:val="000000" w:themeColor="text1"/>
              </w:rPr>
              <w:t>de expedición – cierre del proceso</w:t>
            </w:r>
            <w:r>
              <w:rPr>
                <w:rFonts w:ascii="Verdana" w:eastAsia="Calibri" w:hAnsi="Verdana" w:cs="Arial"/>
                <w:color w:val="000000" w:themeColor="text1"/>
              </w:rPr>
              <w:t>.</w:t>
            </w:r>
          </w:p>
        </w:tc>
      </w:tr>
      <w:tr w:rsidR="00A31155" w:rsidRPr="00C24A9D" w14:paraId="6A5419A5" w14:textId="77777777" w:rsidTr="002D73D6">
        <w:tc>
          <w:tcPr>
            <w:tcW w:w="1985" w:type="dxa"/>
          </w:tcPr>
          <w:p w14:paraId="1FDE48DA" w14:textId="77777777" w:rsidR="00A31155" w:rsidRPr="001B05A5" w:rsidRDefault="00A31155" w:rsidP="002D73D6">
            <w:pPr>
              <w:jc w:val="both"/>
              <w:rPr>
                <w:rFonts w:ascii="Verdana" w:eastAsia="Calibri" w:hAnsi="Verdana" w:cs="Arial"/>
                <w:b/>
                <w:lang w:val="es-ES_tradnl" w:eastAsia="es-ES_tradnl"/>
              </w:rPr>
            </w:pPr>
            <w:r w:rsidRPr="001B05A5">
              <w:rPr>
                <w:rFonts w:ascii="Verdana" w:eastAsia="Calibri" w:hAnsi="Verdana" w:cs="Arial"/>
                <w:b/>
                <w:lang w:val="es-ES_tradnl" w:eastAsia="es-ES_tradnl"/>
              </w:rPr>
              <w:t>Radicación:</w:t>
            </w:r>
            <w:r w:rsidRPr="001B05A5">
              <w:rPr>
                <w:rFonts w:ascii="Verdana" w:eastAsia="Calibri" w:hAnsi="Verdana" w:cs="Arial"/>
                <w:lang w:val="es-ES_tradnl" w:eastAsia="es-ES_tradnl"/>
              </w:rPr>
              <w:t xml:space="preserve">               </w:t>
            </w:r>
          </w:p>
        </w:tc>
        <w:tc>
          <w:tcPr>
            <w:tcW w:w="6383" w:type="dxa"/>
          </w:tcPr>
          <w:p w14:paraId="2D9D974E" w14:textId="77777777" w:rsidR="00A31155" w:rsidRPr="001B05A5" w:rsidRDefault="00A31155" w:rsidP="002D73D6">
            <w:pPr>
              <w:ind w:left="3" w:hanging="3"/>
              <w:jc w:val="both"/>
              <w:rPr>
                <w:rFonts w:ascii="Verdana" w:eastAsia="Calibri" w:hAnsi="Verdana" w:cs="Arial"/>
                <w:lang w:val="es-ES_tradnl" w:eastAsia="es-ES_tradnl"/>
              </w:rPr>
            </w:pPr>
            <w:r w:rsidRPr="001B05A5">
              <w:rPr>
                <w:rFonts w:ascii="Verdana" w:eastAsia="Calibri" w:hAnsi="Verdana" w:cs="Arial"/>
                <w:lang w:val="es-ES_tradnl" w:eastAsia="es-ES_tradnl"/>
              </w:rPr>
              <w:t>Respuesta a consulta con radicado No. 1_2026_04_30_005955</w:t>
            </w:r>
          </w:p>
          <w:p w14:paraId="11C26973" w14:textId="77777777" w:rsidR="00A31155" w:rsidRPr="001B05A5" w:rsidRDefault="00A31155" w:rsidP="002D73D6">
            <w:pPr>
              <w:ind w:left="3" w:hanging="3"/>
              <w:jc w:val="both"/>
              <w:rPr>
                <w:rFonts w:ascii="Verdana" w:eastAsia="Calibri" w:hAnsi="Verdana" w:cs="Arial"/>
                <w:lang w:eastAsia="es-ES_tradnl"/>
              </w:rPr>
            </w:pPr>
          </w:p>
        </w:tc>
      </w:tr>
    </w:tbl>
    <w:p w14:paraId="3768C9F9" w14:textId="77777777" w:rsidR="00A31155" w:rsidRPr="00EA679B" w:rsidRDefault="00A31155" w:rsidP="00A31155">
      <w:pPr>
        <w:spacing w:after="0" w:line="240" w:lineRule="auto"/>
        <w:rPr>
          <w:rFonts w:ascii="Verdana" w:eastAsia="Calibri" w:hAnsi="Verdana" w:cs="Arial"/>
          <w:kern w:val="2"/>
          <w:lang w:eastAsia="es-ES"/>
          <w14:ligatures w14:val="standardContextual"/>
        </w:rPr>
      </w:pPr>
      <w:r w:rsidRPr="00EA679B">
        <w:rPr>
          <w:rFonts w:ascii="Verdana" w:eastAsia="Calibri" w:hAnsi="Verdana" w:cs="Arial"/>
          <w:lang w:val="es-ES" w:eastAsia="es-ES"/>
        </w:rPr>
        <w:t>Estimado Señor Carlos Arturo</w:t>
      </w:r>
      <w:r w:rsidRPr="00EA679B">
        <w:rPr>
          <w:rFonts w:ascii="Verdana" w:eastAsia="Calibri" w:hAnsi="Verdana" w:cs="Arial"/>
          <w:kern w:val="2"/>
          <w:lang w:eastAsia="es-ES_tradnl"/>
          <w14:ligatures w14:val="standardContextual"/>
        </w:rPr>
        <w:t>:</w:t>
      </w:r>
      <w:r w:rsidRPr="00EA679B">
        <w:rPr>
          <w:rFonts w:ascii="Verdana" w:eastAsia="Calibri" w:hAnsi="Verdana" w:cs="Arial"/>
          <w:lang w:val="es-ES" w:eastAsia="es-ES"/>
        </w:rPr>
        <w:t xml:space="preserve"> </w:t>
      </w:r>
    </w:p>
    <w:p w14:paraId="4A193909" w14:textId="77777777" w:rsidR="00A31155" w:rsidRPr="00EA679B" w:rsidRDefault="00A31155" w:rsidP="00A31155">
      <w:pPr>
        <w:tabs>
          <w:tab w:val="left" w:pos="3768"/>
        </w:tabs>
        <w:spacing w:after="0" w:line="276" w:lineRule="auto"/>
        <w:jc w:val="both"/>
        <w:rPr>
          <w:rFonts w:ascii="Verdana" w:eastAsia="Calibri" w:hAnsi="Verdana" w:cs="Arial"/>
          <w:lang w:val="es-ES" w:eastAsia="es-ES"/>
        </w:rPr>
      </w:pPr>
      <w:r w:rsidRPr="00EA679B">
        <w:rPr>
          <w:rFonts w:ascii="Verdana" w:eastAsia="Calibri" w:hAnsi="Verdana" w:cs="Arial"/>
          <w:lang w:val="es-ES" w:eastAsia="es-ES"/>
        </w:rPr>
        <w:t xml:space="preserve"> </w:t>
      </w:r>
    </w:p>
    <w:p w14:paraId="44ADF778" w14:textId="77777777" w:rsidR="00A31155" w:rsidRPr="00EA679B" w:rsidRDefault="00A31155" w:rsidP="00A31155">
      <w:pPr>
        <w:spacing w:after="0" w:line="276" w:lineRule="auto"/>
        <w:jc w:val="both"/>
        <w:rPr>
          <w:rFonts w:ascii="Verdana" w:eastAsia="Calibri" w:hAnsi="Verdana" w:cs="Arial"/>
          <w:lang w:val="es-ES" w:eastAsia="es-ES"/>
        </w:rPr>
      </w:pPr>
      <w:r w:rsidRPr="00EA679B">
        <w:rPr>
          <w:rFonts w:ascii="Verdana" w:eastAsia="Calibri" w:hAnsi="Verdana" w:cs="Arial"/>
          <w:lang w:val="es-ES" w:eastAsia="es-ES"/>
        </w:rPr>
        <w:t>En ejercicio de la competencia otorgada por los artículos 3, numeral 5º, y 11, numeral 8º, del Decreto Ley 4170 de 2011,</w:t>
      </w:r>
      <w:r w:rsidRPr="00EA679B">
        <w:rPr>
          <w:rFonts w:ascii="Verdana" w:eastAsia="Arial MT" w:hAnsi="Verdana" w:cs="Arial MT"/>
          <w:lang w:val="es-ES" w:eastAsia="es-ES"/>
        </w:rPr>
        <w:t xml:space="preserve"> </w:t>
      </w:r>
      <w:r w:rsidRPr="00EA679B">
        <w:rPr>
          <w:rFonts w:ascii="Verdana" w:eastAsia="Calibri" w:hAnsi="Verdana" w:cs="Arial"/>
        </w:rPr>
        <w:t xml:space="preserve">así como lo establecido en la Resolución No. 469 del 2025 expedida por esta Entidad, </w:t>
      </w:r>
      <w:r w:rsidRPr="00EA679B">
        <w:rPr>
          <w:rFonts w:ascii="Verdana" w:eastAsia="Calibri" w:hAnsi="Verdana" w:cs="Arial"/>
          <w:lang w:val="es-ES" w:eastAsia="es-ES"/>
        </w:rPr>
        <w:t>la Agencia Nacional de Contratación Pública – Colombia Compra Eficiente– responde su solicitud de consulta del 30 de abril de 2026, en la cuales manifiesta lo siguiente:</w:t>
      </w:r>
    </w:p>
    <w:p w14:paraId="60FB9155" w14:textId="77777777" w:rsidR="00A31155" w:rsidRPr="00C24A9D" w:rsidRDefault="00A31155" w:rsidP="00A31155">
      <w:pPr>
        <w:spacing w:after="0" w:line="276" w:lineRule="auto"/>
        <w:jc w:val="both"/>
        <w:rPr>
          <w:rFonts w:ascii="Verdana" w:eastAsia="Calibri" w:hAnsi="Verdana" w:cs="Arial"/>
          <w:color w:val="99CCFF"/>
          <w:lang w:val="es-ES" w:eastAsia="es-ES"/>
        </w:rPr>
      </w:pPr>
    </w:p>
    <w:p w14:paraId="2E034272" w14:textId="77777777" w:rsidR="00A31155" w:rsidRPr="00A5657C" w:rsidRDefault="00A31155" w:rsidP="00A31155">
      <w:pPr>
        <w:spacing w:after="0" w:line="240" w:lineRule="auto"/>
        <w:ind w:left="709" w:right="709"/>
        <w:jc w:val="both"/>
        <w:rPr>
          <w:rFonts w:ascii="Verdana" w:eastAsia="Aptos" w:hAnsi="Verdana" w:cs="Helvetica"/>
          <w:i/>
          <w:iCs/>
          <w:sz w:val="20"/>
          <w:szCs w:val="20"/>
          <w14:ligatures w14:val="standardContextual"/>
        </w:rPr>
      </w:pPr>
      <w:r w:rsidRPr="00A5657C">
        <w:rPr>
          <w:rFonts w:ascii="Verdana" w:eastAsia="Aptos" w:hAnsi="Verdana" w:cs="Helvetica"/>
          <w:i/>
          <w:iCs/>
          <w:sz w:val="20"/>
          <w:szCs w:val="20"/>
          <w14:ligatures w14:val="standardContextual"/>
        </w:rPr>
        <w:t>“ (…)</w:t>
      </w:r>
    </w:p>
    <w:p w14:paraId="4E18DDB7" w14:textId="77777777" w:rsidR="00A31155" w:rsidRPr="00A5657C" w:rsidRDefault="00A31155" w:rsidP="00A31155">
      <w:pPr>
        <w:spacing w:after="0" w:line="240" w:lineRule="auto"/>
        <w:ind w:left="709" w:right="709"/>
        <w:jc w:val="both"/>
        <w:rPr>
          <w:rFonts w:ascii="Verdana" w:eastAsia="Aptos" w:hAnsi="Verdana" w:cs="Helvetica"/>
          <w:i/>
          <w:iCs/>
          <w:sz w:val="20"/>
          <w:szCs w:val="20"/>
          <w14:ligatures w14:val="standardContextual"/>
        </w:rPr>
      </w:pPr>
    </w:p>
    <w:p w14:paraId="2AFE8834" w14:textId="77777777" w:rsidR="00A31155" w:rsidRPr="00A5657C" w:rsidRDefault="00A31155" w:rsidP="00A31155">
      <w:pPr>
        <w:spacing w:after="0" w:line="240" w:lineRule="auto"/>
        <w:ind w:left="709" w:right="709"/>
        <w:jc w:val="both"/>
        <w:rPr>
          <w:rFonts w:ascii="Verdana" w:eastAsia="Aptos" w:hAnsi="Verdana" w:cs="Helvetica"/>
          <w:i/>
          <w:iCs/>
          <w:sz w:val="20"/>
          <w:szCs w:val="20"/>
          <w14:ligatures w14:val="standardContextual"/>
        </w:rPr>
      </w:pPr>
      <w:r w:rsidRPr="00A5657C">
        <w:rPr>
          <w:rFonts w:ascii="Verdana" w:eastAsia="Aptos" w:hAnsi="Verdana" w:cs="Helvetica"/>
          <w:i/>
          <w:iCs/>
          <w:sz w:val="20"/>
          <w:szCs w:val="20"/>
          <w14:ligatures w14:val="standardContextual"/>
        </w:rPr>
        <w:t xml:space="preserve">El documento base de los pliegos tipo, requieren la presentación del registro </w:t>
      </w:r>
      <w:proofErr w:type="spellStart"/>
      <w:r w:rsidRPr="00A5657C">
        <w:rPr>
          <w:rFonts w:ascii="Verdana" w:eastAsia="Aptos" w:hAnsi="Verdana" w:cs="Helvetica"/>
          <w:i/>
          <w:iCs/>
          <w:sz w:val="20"/>
          <w:szCs w:val="20"/>
          <w14:ligatures w14:val="standardContextual"/>
        </w:rPr>
        <w:t>Unico</w:t>
      </w:r>
      <w:proofErr w:type="spellEnd"/>
      <w:r w:rsidRPr="00A5657C">
        <w:rPr>
          <w:rFonts w:ascii="Verdana" w:eastAsia="Aptos" w:hAnsi="Verdana" w:cs="Helvetica"/>
          <w:i/>
          <w:iCs/>
          <w:sz w:val="20"/>
          <w:szCs w:val="20"/>
          <w14:ligatures w14:val="standardContextual"/>
        </w:rPr>
        <w:t xml:space="preserve"> de proponentes y del certificado de existencia y representación legal expedido por la cámara de comercio y deben tener una fecha de expedición de máximo treinta (30) días. sírvase precisar y/o aclarar si tengo un certificado de la cámara de comercio expedido el 15 de abril, su vigencia es hasta el 15 de mayo o hasta el 16 de mayo? Favor aclarar con un ejemplo hasta cuando son los 30 </w:t>
      </w:r>
      <w:proofErr w:type="spellStart"/>
      <w:r w:rsidRPr="00A5657C">
        <w:rPr>
          <w:rFonts w:ascii="Verdana" w:eastAsia="Aptos" w:hAnsi="Verdana" w:cs="Helvetica"/>
          <w:i/>
          <w:iCs/>
          <w:sz w:val="20"/>
          <w:szCs w:val="20"/>
          <w14:ligatures w14:val="standardContextual"/>
        </w:rPr>
        <w:t>dias</w:t>
      </w:r>
      <w:proofErr w:type="spellEnd"/>
      <w:r w:rsidRPr="00A5657C">
        <w:rPr>
          <w:rFonts w:ascii="Verdana" w:eastAsia="Aptos" w:hAnsi="Verdana" w:cs="Helvetica"/>
          <w:i/>
          <w:iCs/>
          <w:sz w:val="20"/>
          <w:szCs w:val="20"/>
          <w14:ligatures w14:val="standardContextual"/>
        </w:rPr>
        <w:t xml:space="preserve"> de vigencia??</w:t>
      </w:r>
    </w:p>
    <w:p w14:paraId="01BBFAC0" w14:textId="77777777" w:rsidR="00A31155" w:rsidRPr="00A5657C" w:rsidRDefault="00A31155" w:rsidP="00A31155">
      <w:pPr>
        <w:spacing w:after="0" w:line="240" w:lineRule="auto"/>
        <w:ind w:left="709" w:right="709"/>
        <w:jc w:val="both"/>
        <w:rPr>
          <w:rFonts w:ascii="Verdana" w:eastAsia="Aptos" w:hAnsi="Verdana" w:cs="Helvetica"/>
          <w:i/>
          <w:iCs/>
          <w:sz w:val="20"/>
          <w:szCs w:val="20"/>
          <w14:ligatures w14:val="standardContextual"/>
        </w:rPr>
      </w:pPr>
    </w:p>
    <w:p w14:paraId="238F52A5" w14:textId="77777777" w:rsidR="00A31155" w:rsidRPr="00A5657C" w:rsidRDefault="00A31155" w:rsidP="00A31155">
      <w:pPr>
        <w:spacing w:after="0" w:line="240" w:lineRule="auto"/>
        <w:ind w:left="709" w:right="709"/>
        <w:jc w:val="both"/>
        <w:rPr>
          <w:rFonts w:ascii="Verdana" w:eastAsia="Aptos" w:hAnsi="Verdana" w:cs="Helvetica"/>
          <w:i/>
          <w:iCs/>
          <w:sz w:val="20"/>
          <w:szCs w:val="20"/>
          <w14:ligatures w14:val="standardContextual"/>
        </w:rPr>
      </w:pPr>
      <w:r w:rsidRPr="00A5657C">
        <w:rPr>
          <w:rFonts w:ascii="Verdana" w:eastAsia="Aptos" w:hAnsi="Verdana" w:cs="Helvetica"/>
          <w:i/>
          <w:iCs/>
          <w:sz w:val="20"/>
          <w:szCs w:val="20"/>
          <w14:ligatures w14:val="standardContextual"/>
        </w:rPr>
        <w:t>. (…)¨</w:t>
      </w:r>
    </w:p>
    <w:p w14:paraId="4C6254F1" w14:textId="77777777" w:rsidR="00A31155" w:rsidRPr="00C24A9D" w:rsidRDefault="00A31155" w:rsidP="00A31155">
      <w:pPr>
        <w:spacing w:after="0" w:line="276" w:lineRule="auto"/>
        <w:ind w:hanging="283"/>
        <w:jc w:val="both"/>
        <w:rPr>
          <w:rFonts w:ascii="Verdana" w:eastAsia="Calibri" w:hAnsi="Verdana" w:cs="Arial"/>
          <w:color w:val="99CCFF"/>
          <w:lang w:val="es-ES" w:eastAsia="es-ES"/>
        </w:rPr>
      </w:pPr>
    </w:p>
    <w:p w14:paraId="73617997" w14:textId="77777777" w:rsidR="00A31155" w:rsidRPr="00A5657C" w:rsidRDefault="00A31155" w:rsidP="00A31155">
      <w:pPr>
        <w:spacing w:after="120" w:line="276" w:lineRule="auto"/>
        <w:ind w:firstLine="709"/>
        <w:jc w:val="both"/>
        <w:rPr>
          <w:rFonts w:ascii="Verdana" w:eastAsia="Calibri" w:hAnsi="Verdana" w:cs="Arial"/>
          <w:lang w:val="es-ES" w:eastAsia="es-ES"/>
        </w:rPr>
      </w:pPr>
      <w:r w:rsidRPr="00A5657C">
        <w:rPr>
          <w:rFonts w:ascii="Verdana" w:eastAsia="Calibri" w:hAnsi="Verdana" w:cs="Arial"/>
          <w:lang w:val="es-ES" w:eastAsia="es-ES"/>
        </w:rPr>
        <w:t xml:space="preserve">De manera preliminar, resulta necesario acotar que esta entidad sólo tiene competencia para responder consultas sobre la aplicación de normas de carácter </w:t>
      </w:r>
      <w:r w:rsidRPr="00A5657C">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D82801A" w14:textId="77777777" w:rsidR="00A31155" w:rsidRPr="00A5657C" w:rsidRDefault="00A31155" w:rsidP="00A31155">
      <w:pPr>
        <w:spacing w:after="0" w:line="276" w:lineRule="auto"/>
        <w:ind w:firstLine="709"/>
        <w:jc w:val="both"/>
        <w:rPr>
          <w:rFonts w:ascii="Verdana" w:eastAsia="Calibri" w:hAnsi="Verdana" w:cs="Arial"/>
          <w:lang w:val="es-ES" w:eastAsia="es-ES"/>
        </w:rPr>
      </w:pPr>
      <w:r w:rsidRPr="00A5657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 problema jurídico de su consulta. </w:t>
      </w:r>
    </w:p>
    <w:p w14:paraId="12795504" w14:textId="77777777" w:rsidR="00A31155" w:rsidRPr="0058533C" w:rsidRDefault="00A31155" w:rsidP="00A31155">
      <w:pPr>
        <w:tabs>
          <w:tab w:val="left" w:pos="142"/>
          <w:tab w:val="left" w:pos="284"/>
        </w:tabs>
        <w:spacing w:after="0" w:line="276" w:lineRule="auto"/>
        <w:contextualSpacing/>
        <w:jc w:val="both"/>
        <w:rPr>
          <w:rFonts w:ascii="Verdana" w:eastAsia="Century Gothic" w:hAnsi="Verdana" w:cs="Century Gothic"/>
          <w:b/>
          <w:bCs/>
          <w:lang w:val="es-ES"/>
        </w:rPr>
      </w:pPr>
    </w:p>
    <w:p w14:paraId="53BF3FC3" w14:textId="77777777" w:rsidR="00A31155" w:rsidRPr="0058533C" w:rsidRDefault="00A31155" w:rsidP="00A31155">
      <w:pPr>
        <w:tabs>
          <w:tab w:val="left" w:pos="142"/>
          <w:tab w:val="left" w:pos="284"/>
        </w:tabs>
        <w:spacing w:after="0" w:line="276" w:lineRule="auto"/>
        <w:contextualSpacing/>
        <w:jc w:val="both"/>
        <w:rPr>
          <w:rFonts w:ascii="Verdana" w:eastAsia="Century Gothic" w:hAnsi="Verdana" w:cs="Century Gothic"/>
          <w:b/>
          <w:bCs/>
          <w:lang w:val="es-ES"/>
        </w:rPr>
      </w:pPr>
      <w:r w:rsidRPr="0058533C">
        <w:rPr>
          <w:rFonts w:ascii="Verdana" w:eastAsia="Century Gothic" w:hAnsi="Verdana" w:cs="Century Gothic"/>
          <w:b/>
          <w:bCs/>
          <w:lang w:val="es-ES"/>
        </w:rPr>
        <w:t>1. Problema planteado:</w:t>
      </w:r>
    </w:p>
    <w:p w14:paraId="6AFDF65A" w14:textId="77777777" w:rsidR="00A31155" w:rsidRPr="0058533C" w:rsidRDefault="00A31155" w:rsidP="00A31155">
      <w:pPr>
        <w:tabs>
          <w:tab w:val="left" w:pos="426"/>
        </w:tabs>
        <w:spacing w:after="0" w:line="276" w:lineRule="auto"/>
        <w:jc w:val="both"/>
        <w:rPr>
          <w:rFonts w:ascii="Verdana" w:eastAsia="Century Gothic" w:hAnsi="Verdana" w:cs="Century Gothic"/>
          <w:lang w:val="es-ES"/>
        </w:rPr>
      </w:pPr>
    </w:p>
    <w:p w14:paraId="2BE0C4B8" w14:textId="77777777" w:rsidR="00A31155" w:rsidRPr="008C22EE" w:rsidRDefault="00A31155" w:rsidP="6704C97F">
      <w:pPr>
        <w:spacing w:after="0" w:line="276" w:lineRule="auto"/>
        <w:jc w:val="both"/>
        <w:rPr>
          <w:rFonts w:ascii="Verdana" w:eastAsia="Calibri" w:hAnsi="Verdana" w:cs="Arial"/>
          <w:lang w:val="es-ES" w:eastAsia="es-ES"/>
        </w:rPr>
      </w:pPr>
      <w:r w:rsidRPr="6704C97F">
        <w:rPr>
          <w:rFonts w:ascii="Verdana" w:eastAsia="Century Gothic" w:hAnsi="Verdana" w:cs="Century Gothic"/>
        </w:rPr>
        <w:t xml:space="preserve">De acuerdo con el contenido de su solicitud, esta Agencia resolverá los siguientes problemas jurídicos: I) </w:t>
      </w:r>
      <w:r w:rsidRPr="6704C97F">
        <w:rPr>
          <w:rFonts w:ascii="Verdana" w:eastAsia="Calibri" w:hAnsi="Verdana" w:cs="Arial"/>
          <w:lang w:eastAsia="es-ES"/>
        </w:rPr>
        <w:t>¿De qué manera debe contabilizarse el término de treinta (30) días previsto en los Documentos Tipo en relación con la expedición del Registro Único de Proponentes y del certificado de existencia y representación legal</w:t>
      </w:r>
      <w:r w:rsidRPr="6704C97F">
        <w:rPr>
          <w:rFonts w:ascii="Verdana" w:eastAsia="Calibri" w:hAnsi="Verdana" w:cs="Arial"/>
          <w:lang w:val="es-ES" w:eastAsia="es-ES"/>
        </w:rPr>
        <w:t xml:space="preserve">? </w:t>
      </w:r>
    </w:p>
    <w:p w14:paraId="68E7A194" w14:textId="77777777" w:rsidR="00A31155" w:rsidRPr="00C24A9D" w:rsidRDefault="00A31155" w:rsidP="00A31155">
      <w:pPr>
        <w:spacing w:after="0" w:line="276" w:lineRule="auto"/>
        <w:jc w:val="both"/>
        <w:rPr>
          <w:rFonts w:ascii="Verdana" w:eastAsia="Century Gothic" w:hAnsi="Verdana" w:cs="Century Gothic"/>
          <w:color w:val="99CCFF"/>
        </w:rPr>
      </w:pPr>
    </w:p>
    <w:p w14:paraId="192EA9B2" w14:textId="77777777" w:rsidR="00A31155" w:rsidRPr="00C13670" w:rsidRDefault="00A31155" w:rsidP="00A31155">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sidRPr="00C13670">
        <w:rPr>
          <w:rFonts w:ascii="Verdana" w:eastAsia="Century Gothic" w:hAnsi="Verdana" w:cs="Century Gothic"/>
          <w:b/>
          <w:bCs/>
          <w:color w:val="000000" w:themeColor="text1"/>
          <w:lang w:val="es-ES"/>
        </w:rPr>
        <w:t>2. Respuestas:</w:t>
      </w:r>
    </w:p>
    <w:p w14:paraId="2E30DFF7" w14:textId="77777777" w:rsidR="00A31155" w:rsidRPr="00C24A9D" w:rsidRDefault="00A31155" w:rsidP="00A31155">
      <w:pPr>
        <w:tabs>
          <w:tab w:val="left" w:pos="142"/>
          <w:tab w:val="left" w:pos="284"/>
        </w:tabs>
        <w:spacing w:after="0" w:line="276" w:lineRule="auto"/>
        <w:contextualSpacing/>
        <w:jc w:val="both"/>
        <w:rPr>
          <w:rFonts w:ascii="Verdana" w:eastAsia="Century Gothic" w:hAnsi="Verdana" w:cs="Century Gothic"/>
          <w:b/>
          <w:bCs/>
          <w:color w:val="99CCFF"/>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1155" w:rsidRPr="00C24A9D" w14:paraId="7EB247D4" w14:textId="77777777" w:rsidTr="002D73D6">
        <w:trPr>
          <w:trHeight w:val="40"/>
        </w:trPr>
        <w:tc>
          <w:tcPr>
            <w:tcW w:w="8828" w:type="dxa"/>
            <w:tcBorders>
              <w:top w:val="dotted" w:sz="4" w:space="0" w:color="auto"/>
              <w:left w:val="dotted" w:sz="4" w:space="0" w:color="auto"/>
              <w:bottom w:val="dotted" w:sz="4" w:space="0" w:color="auto"/>
              <w:right w:val="dotted" w:sz="4" w:space="0" w:color="auto"/>
            </w:tcBorders>
          </w:tcPr>
          <w:p w14:paraId="240CD974" w14:textId="77777777" w:rsidR="00A31155" w:rsidRPr="00E610EA" w:rsidRDefault="00A31155" w:rsidP="002D73D6">
            <w:pPr>
              <w:spacing w:after="120" w:line="276" w:lineRule="auto"/>
              <w:jc w:val="both"/>
              <w:rPr>
                <w:rFonts w:ascii="Verdana" w:eastAsia="Aptos" w:hAnsi="Verdana" w:cs="Times New Roman"/>
                <w:color w:val="000000" w:themeColor="text1"/>
                <w:lang w:val="es-ES"/>
              </w:rPr>
            </w:pPr>
            <w:r w:rsidRPr="008D4C15">
              <w:rPr>
                <w:rFonts w:ascii="Verdana" w:eastAsia="Aptos" w:hAnsi="Verdana" w:cs="Times New Roman"/>
                <w:color w:val="000000" w:themeColor="text1"/>
              </w:rPr>
              <w:t xml:space="preserve">El certificado de existencia y representación legal cumple un papel fundamental respecto de la acreditación de la capacidad jurídica de las personas jurídicas, en tanto constituye el medio idóneo para demostrar tanto la existencia de la sociedad como las facultades de representación de quienes actúan en su nombre. De conformidad con el artículo 117 del Código de Comercio, tanto la existencia de la sociedad como las cláusulas del contrato social se acreditan mediante la “[…] certificación de la cámara de comercio del domicilio principal, en la que constará el número, fecha y notaría de la escritura de constitución y de las reformas del contrato, si las hubiere”. </w:t>
            </w:r>
            <w:r w:rsidRPr="00E610EA">
              <w:rPr>
                <w:rFonts w:ascii="Verdana" w:eastAsia="Aptos" w:hAnsi="Verdana" w:cs="Times New Roman"/>
                <w:color w:val="000000" w:themeColor="text1"/>
                <w:lang w:val="es-ES"/>
              </w:rPr>
              <w:t xml:space="preserve">Por su </w:t>
            </w:r>
            <w:r w:rsidRPr="00E610EA">
              <w:rPr>
                <w:rFonts w:ascii="Verdana" w:eastAsia="Aptos" w:hAnsi="Verdana" w:cs="Times New Roman"/>
                <w:color w:val="000000" w:themeColor="text1"/>
                <w:lang w:val="es-ES"/>
              </w:rPr>
              <w:lastRenderedPageBreak/>
              <w:t>parte, el Registro Único de Proponentes (RUP) tiene como finalidad acreditar las condiciones habilitantes de los proponentes, particularmente aquellas relacionadas con su capacidad jurídica, capacidad financiera, capacidad organizacional y experiencia, constituyéndose en un instrumento que permite a las entidades estatales verificar de manera ágil y objetiva el cumplimiento de los requisitos exigidos para participar en procesos de contratación pública.</w:t>
            </w:r>
          </w:p>
          <w:p w14:paraId="1BFEFF00" w14:textId="77777777" w:rsidR="00A31155" w:rsidRDefault="00A31155" w:rsidP="002D73D6">
            <w:pPr>
              <w:spacing w:after="120" w:line="276" w:lineRule="auto"/>
              <w:ind w:firstLine="709"/>
              <w:jc w:val="both"/>
              <w:rPr>
                <w:rFonts w:ascii="Verdana" w:eastAsia="Aptos" w:hAnsi="Verdana" w:cs="Times New Roman"/>
                <w:color w:val="000000" w:themeColor="text1"/>
                <w:lang w:val="es-ES"/>
              </w:rPr>
            </w:pPr>
            <w:r>
              <w:rPr>
                <w:rFonts w:ascii="Verdana" w:eastAsia="Aptos" w:hAnsi="Verdana" w:cs="Times New Roman"/>
                <w:color w:val="000000" w:themeColor="text1"/>
                <w:lang w:val="es-ES"/>
              </w:rPr>
              <w:t>E</w:t>
            </w:r>
            <w:r w:rsidRPr="00961DEE">
              <w:rPr>
                <w:rFonts w:ascii="Verdana" w:eastAsia="Aptos" w:hAnsi="Verdana" w:cs="Times New Roman"/>
                <w:color w:val="000000" w:themeColor="text1"/>
                <w:lang w:val="es-ES"/>
              </w:rPr>
              <w:t>n ese contexto, en los Documentos Tipo de licitación para obra pública de infraestructura de transporte, la Agencia Nacional de Contratación Pública – Colombia Compra Eficiente adoptó un término máximo de expedición del certificado de existencia y representación legal y del certificado del Registro Único de Proponentes (RUP) de treinta (30) días calendario anteriores al cierre del proceso de contratación. Esta exigencia busca garantizar que las entidades estatales cuenten con información actualizada y puedan verificar con certeza tanto la identidad, existencia y capacidad jurídica de la persona jurídica proponente como los requisitos habilitantes acreditados mediante el RUP.</w:t>
            </w:r>
          </w:p>
          <w:p w14:paraId="20895DE5" w14:textId="77777777" w:rsidR="00A31155" w:rsidRPr="00F9671E" w:rsidRDefault="00A31155" w:rsidP="002D73D6">
            <w:pPr>
              <w:spacing w:after="120" w:line="276" w:lineRule="auto"/>
              <w:ind w:firstLine="709"/>
              <w:jc w:val="both"/>
              <w:rPr>
                <w:rFonts w:ascii="Verdana" w:eastAsia="Aptos" w:hAnsi="Verdana" w:cs="Times New Roman"/>
                <w:color w:val="000000" w:themeColor="text1"/>
                <w:lang w:val="es-ES"/>
              </w:rPr>
            </w:pPr>
            <w:r w:rsidRPr="00F9671E">
              <w:rPr>
                <w:rFonts w:ascii="Verdana" w:eastAsia="Aptos" w:hAnsi="Verdana" w:cs="Times New Roman"/>
                <w:color w:val="000000" w:themeColor="text1"/>
                <w:lang w:val="es-ES"/>
              </w:rPr>
              <w:t>En tal sentido, el término de treinta (30) días previsto en los Documentos Tipo debe contabilizarse de manera retrospectiva, esto es, hacia atrás desde la fecha de cierre del proceso de contratación originalmente establecida en el pliego de condiciones definitivo. En consecuencia, la entidad estatal debe verificar que tanto el certificado del RUP como el certificado de existencia y representación legal hayan sido expedidos dentro de los treinta (30) días calendario anteriores a dicha fecha.</w:t>
            </w:r>
          </w:p>
          <w:p w14:paraId="50E3EB30" w14:textId="77777777" w:rsidR="00A31155" w:rsidRPr="00F9671E" w:rsidRDefault="00A31155" w:rsidP="002D73D6">
            <w:pPr>
              <w:spacing w:after="120" w:line="276" w:lineRule="auto"/>
              <w:ind w:firstLine="709"/>
              <w:jc w:val="both"/>
              <w:rPr>
                <w:rFonts w:ascii="Verdana" w:eastAsia="Aptos" w:hAnsi="Verdana" w:cs="Times New Roman"/>
                <w:color w:val="000000" w:themeColor="text1"/>
                <w:lang w:val="es-ES"/>
              </w:rPr>
            </w:pPr>
            <w:r w:rsidRPr="00F9671E">
              <w:rPr>
                <w:rFonts w:ascii="Verdana" w:eastAsia="Aptos" w:hAnsi="Verdana" w:cs="Times New Roman"/>
                <w:color w:val="000000" w:themeColor="text1"/>
                <w:lang w:val="es-ES"/>
              </w:rPr>
              <w:t>Ahora bien, esta exigencia debe diferenciarse de la vigencia o firmeza del RUP, pues el término de treinta (30) días hace referencia exclusivamente a la fecha de expedición del certificado y no a la vigencia anual del registro ni al cumplimiento de la obligación de renovación. En consecuencia, aun cuando el RUP se encuentre vigente, el requisito documental podría no satisfacerse si el certificado aportado fue expedido por fuera del término establecido.</w:t>
            </w:r>
          </w:p>
          <w:p w14:paraId="52C277D6" w14:textId="77777777" w:rsidR="00A31155" w:rsidRPr="00F9671E" w:rsidRDefault="00A31155" w:rsidP="002D73D6">
            <w:pPr>
              <w:spacing w:after="120" w:line="276" w:lineRule="auto"/>
              <w:ind w:firstLine="709"/>
              <w:jc w:val="both"/>
              <w:rPr>
                <w:rFonts w:ascii="Verdana" w:eastAsia="Aptos" w:hAnsi="Verdana" w:cs="Times New Roman"/>
                <w:color w:val="000000" w:themeColor="text1"/>
                <w:lang w:val="es-ES"/>
              </w:rPr>
            </w:pPr>
            <w:r w:rsidRPr="00F9671E">
              <w:rPr>
                <w:rFonts w:ascii="Verdana" w:eastAsia="Aptos" w:hAnsi="Verdana" w:cs="Times New Roman"/>
                <w:color w:val="000000" w:themeColor="text1"/>
                <w:lang w:val="es-ES"/>
              </w:rPr>
              <w:t xml:space="preserve">La necesidad de contar con certificados de reciente expedición responde a que la situación jurídica y habilitante de un proponente puede variar con el tiempo. Así, podría ocurrir que una sociedad hubiera modificado su objeto social hacia actividades incompatibles con la ejecución del contrato estatal, restringido las facultades de su representante legal para contraer obligaciones o designado un nuevo representante, sin que tales circunstancias fueran advertidas por la entidad contratante. Del mismo modo, la información </w:t>
            </w:r>
            <w:r w:rsidRPr="00F9671E">
              <w:rPr>
                <w:rFonts w:ascii="Verdana" w:eastAsia="Aptos" w:hAnsi="Verdana" w:cs="Times New Roman"/>
                <w:color w:val="000000" w:themeColor="text1"/>
                <w:lang w:val="es-ES"/>
              </w:rPr>
              <w:lastRenderedPageBreak/>
              <w:t>registrada en el RUP podría haber sido objeto de actualización, renovación o modificación relevante para la verificación de los requisitos habilitantes. En estos escenarios, podrían materializarse consecuencias negativas para el proceso de contratación, tales como la suscripción de un contrato inoponible frente a la sociedad o la verificación incompleta de las condiciones del proponente.</w:t>
            </w:r>
          </w:p>
          <w:p w14:paraId="097C400F" w14:textId="77777777" w:rsidR="00A31155" w:rsidRPr="00961DEE" w:rsidRDefault="00A31155" w:rsidP="002D73D6">
            <w:pPr>
              <w:spacing w:after="120" w:line="276" w:lineRule="auto"/>
              <w:ind w:firstLine="709"/>
              <w:jc w:val="both"/>
              <w:rPr>
                <w:rFonts w:ascii="Verdana" w:eastAsia="Aptos" w:hAnsi="Verdana" w:cs="Times New Roman"/>
                <w:color w:val="000000" w:themeColor="text1"/>
                <w:lang w:val="es-ES"/>
              </w:rPr>
            </w:pPr>
            <w:r w:rsidRPr="00915CEB">
              <w:rPr>
                <w:rFonts w:ascii="Verdana" w:eastAsia="Aptos" w:hAnsi="Verdana" w:cs="Times New Roman"/>
                <w:color w:val="000000" w:themeColor="text1"/>
              </w:rPr>
              <w:t>Por esta razón, el término de treinta (30) días calendario anteriores al cierre del proceso se ha considerado un plazo razonable y ampliamente utilizado por las entidades estatales en su práctica contractual. No obstante, salvo en aquellos procesos sometidos al artículo 1 de la Ley 2022 de 2020 o al artículo 56 de la Ley 2195 de 2022, las entidades estatales conservan discrecionalidad para adoptar dicho término o establecer uno distinto en los pliegos de condiciones, atendiendo a las particularidades del proceso de selección</w:t>
            </w:r>
            <w:r>
              <w:rPr>
                <w:rFonts w:ascii="Verdana" w:eastAsia="Aptos" w:hAnsi="Verdana" w:cs="Times New Roman"/>
                <w:color w:val="000000" w:themeColor="text1"/>
              </w:rPr>
              <w:t>.</w:t>
            </w:r>
          </w:p>
        </w:tc>
      </w:tr>
    </w:tbl>
    <w:p w14:paraId="187A7BB1" w14:textId="77777777" w:rsidR="00A31155" w:rsidRPr="00187857" w:rsidRDefault="00A31155" w:rsidP="00A31155">
      <w:pPr>
        <w:tabs>
          <w:tab w:val="left" w:pos="142"/>
          <w:tab w:val="left" w:pos="284"/>
        </w:tabs>
        <w:spacing w:after="0" w:line="276" w:lineRule="auto"/>
        <w:jc w:val="both"/>
        <w:rPr>
          <w:rFonts w:ascii="Verdana" w:eastAsia="Century Gothic" w:hAnsi="Verdana" w:cs="Century Gothic"/>
          <w:b/>
          <w:bCs/>
          <w:lang w:val="es-ES"/>
        </w:rPr>
      </w:pPr>
    </w:p>
    <w:p w14:paraId="2DE7E987" w14:textId="77777777" w:rsidR="00A31155" w:rsidRPr="00187857" w:rsidRDefault="00A31155" w:rsidP="00A31155">
      <w:pPr>
        <w:tabs>
          <w:tab w:val="left" w:pos="142"/>
          <w:tab w:val="left" w:pos="284"/>
        </w:tabs>
        <w:spacing w:after="0" w:line="276" w:lineRule="auto"/>
        <w:jc w:val="both"/>
        <w:rPr>
          <w:rFonts w:ascii="Verdana" w:eastAsia="Century Gothic" w:hAnsi="Verdana" w:cs="Century Gothic"/>
          <w:b/>
          <w:bCs/>
          <w:lang w:val="es-ES"/>
        </w:rPr>
      </w:pPr>
      <w:r w:rsidRPr="00187857">
        <w:rPr>
          <w:rFonts w:ascii="Verdana" w:eastAsia="Century Gothic" w:hAnsi="Verdana" w:cs="Century Gothic"/>
          <w:b/>
          <w:bCs/>
          <w:lang w:val="es-ES"/>
        </w:rPr>
        <w:t>3. Razones de la respuesta:</w:t>
      </w:r>
    </w:p>
    <w:p w14:paraId="34F6AAAC" w14:textId="77777777" w:rsidR="00A31155" w:rsidRPr="00187857" w:rsidRDefault="00A31155" w:rsidP="00A31155">
      <w:pPr>
        <w:spacing w:after="0" w:line="276" w:lineRule="auto"/>
        <w:jc w:val="both"/>
        <w:rPr>
          <w:rFonts w:ascii="Verdana" w:eastAsia="Calibri" w:hAnsi="Verdana" w:cs="Arial"/>
          <w:lang w:val="es-ES"/>
        </w:rPr>
      </w:pPr>
    </w:p>
    <w:p w14:paraId="75FE5F06" w14:textId="77777777" w:rsidR="00A31155" w:rsidRPr="00187857" w:rsidRDefault="00A31155" w:rsidP="00A31155">
      <w:pPr>
        <w:spacing w:after="0" w:line="276" w:lineRule="auto"/>
        <w:jc w:val="both"/>
        <w:rPr>
          <w:rFonts w:ascii="Verdana" w:eastAsia="Calibri" w:hAnsi="Verdana" w:cs="Arial"/>
          <w:lang w:val="es-ES"/>
        </w:rPr>
      </w:pPr>
      <w:r w:rsidRPr="00187857">
        <w:rPr>
          <w:rFonts w:ascii="Verdana" w:eastAsia="Calibri" w:hAnsi="Verdana" w:cs="Arial"/>
          <w:lang w:val="es-ES"/>
        </w:rPr>
        <w:t xml:space="preserve">Lo anterior se sustenta en las siguientes consideraciones: </w:t>
      </w:r>
    </w:p>
    <w:p w14:paraId="3A906184" w14:textId="77777777" w:rsidR="00A31155" w:rsidRPr="00187857" w:rsidRDefault="00A31155" w:rsidP="00A31155">
      <w:pPr>
        <w:widowControl w:val="0"/>
        <w:autoSpaceDE w:val="0"/>
        <w:autoSpaceDN w:val="0"/>
        <w:spacing w:after="0" w:line="276" w:lineRule="auto"/>
        <w:jc w:val="both"/>
        <w:rPr>
          <w:rFonts w:ascii="Verdana" w:eastAsia="Calibri" w:hAnsi="Verdana" w:cs="Times New Roman"/>
          <w:lang w:val="es-ES"/>
        </w:rPr>
      </w:pPr>
      <w:bookmarkStart w:id="1" w:name="_Hlk113022941"/>
    </w:p>
    <w:p w14:paraId="4FF9D3DA" w14:textId="77777777" w:rsidR="00A31155" w:rsidRPr="00187857" w:rsidRDefault="00A31155" w:rsidP="00A31155">
      <w:pPr>
        <w:spacing w:after="0" w:line="276" w:lineRule="auto"/>
        <w:jc w:val="both"/>
        <w:rPr>
          <w:rFonts w:ascii="Aptos" w:eastAsia="Aptos" w:hAnsi="Aptos" w:cs="Times New Roman"/>
          <w:kern w:val="2"/>
          <w:sz w:val="24"/>
          <w:szCs w:val="24"/>
          <w:lang w:val="es-MX"/>
          <w14:ligatures w14:val="standardContextual"/>
        </w:rPr>
      </w:pPr>
      <w:r w:rsidRPr="00187857">
        <w:rPr>
          <w:rFonts w:ascii="Aptos" w:eastAsia="Aptos" w:hAnsi="Aptos" w:cs="Times New Roman"/>
          <w:kern w:val="2"/>
          <w:sz w:val="24"/>
          <w:szCs w:val="24"/>
          <w:lang w:val="es-ES"/>
          <w14:ligatures w14:val="standardContextual"/>
        </w:rPr>
        <w:t xml:space="preserve">I). </w:t>
      </w:r>
      <w:r w:rsidRPr="00187857">
        <w:rPr>
          <w:rFonts w:ascii="Verdana" w:eastAsia="Aptos" w:hAnsi="Verdana" w:cs="Times New Roman"/>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187857">
        <w:rPr>
          <w:rFonts w:ascii="Verdana" w:eastAsia="Aptos" w:hAnsi="Verdana" w:cs="Times New Roman"/>
          <w:kern w:val="2"/>
          <w:vertAlign w:val="superscript"/>
          <w:lang w:val="es-MX"/>
          <w14:ligatures w14:val="standardContextual"/>
        </w:rPr>
        <w:footnoteReference w:id="1"/>
      </w:r>
      <w:r w:rsidRPr="00187857">
        <w:rPr>
          <w:rFonts w:ascii="Verdana" w:eastAsia="Aptos" w:hAnsi="Verdana" w:cs="Times New Roman"/>
          <w:kern w:val="2"/>
          <w:lang w:val="es-MX"/>
          <w14:ligatures w14:val="standardContextual"/>
        </w:rPr>
        <w:t>.</w:t>
      </w:r>
      <w:r w:rsidRPr="00187857">
        <w:rPr>
          <w:rFonts w:ascii="Aptos" w:eastAsia="Aptos" w:hAnsi="Aptos" w:cs="Times New Roman"/>
          <w:kern w:val="2"/>
          <w:sz w:val="24"/>
          <w:szCs w:val="24"/>
          <w:lang w:val="es-MX"/>
          <w14:ligatures w14:val="standardContextual"/>
        </w:rPr>
        <w:t xml:space="preserve"> </w:t>
      </w:r>
    </w:p>
    <w:bookmarkEnd w:id="1"/>
    <w:p w14:paraId="3E41364D" w14:textId="77777777" w:rsidR="00A31155" w:rsidRPr="00187857" w:rsidRDefault="00A31155" w:rsidP="00A31155">
      <w:pPr>
        <w:tabs>
          <w:tab w:val="left" w:pos="709"/>
        </w:tabs>
        <w:spacing w:before="120" w:after="120" w:line="276" w:lineRule="auto"/>
        <w:ind w:firstLine="642"/>
        <w:jc w:val="both"/>
        <w:rPr>
          <w:rFonts w:ascii="Verdana" w:eastAsia="Calibri" w:hAnsi="Verdana" w:cs="Arial"/>
          <w:lang w:val="es-MX"/>
        </w:rPr>
      </w:pPr>
      <w:r w:rsidRPr="00187857">
        <w:rPr>
          <w:rFonts w:ascii="Verdana" w:eastAsia="Calibri" w:hAnsi="Verdana" w:cs="Arial"/>
          <w:lang w:val="es-MX"/>
        </w:rPr>
        <w:t xml:space="preserve">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w:t>
      </w:r>
      <w:r w:rsidRPr="00187857">
        <w:rPr>
          <w:rFonts w:ascii="Verdana" w:eastAsia="Calibri" w:hAnsi="Verdana" w:cs="Arial"/>
          <w:lang w:val="es-MX"/>
        </w:rPr>
        <w:lastRenderedPageBreak/>
        <w:t>Pública</w:t>
      </w:r>
      <w:r w:rsidRPr="00187857">
        <w:rPr>
          <w:rFonts w:ascii="Verdana" w:eastAsia="Calibri" w:hAnsi="Verdana" w:cs="Arial"/>
          <w:vertAlign w:val="superscript"/>
          <w:lang w:val="es-MX"/>
        </w:rPr>
        <w:footnoteReference w:id="2"/>
      </w:r>
      <w:r w:rsidRPr="00187857">
        <w:rPr>
          <w:rFonts w:ascii="Verdana" w:eastAsia="Calibri" w:hAnsi="Verdana" w:cs="Arial"/>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6CCF539" w14:textId="77777777" w:rsidR="00A31155" w:rsidRPr="00187857" w:rsidRDefault="00A31155" w:rsidP="00A31155">
      <w:pPr>
        <w:spacing w:before="120" w:after="120" w:line="276" w:lineRule="auto"/>
        <w:ind w:firstLine="642"/>
        <w:jc w:val="both"/>
        <w:rPr>
          <w:rFonts w:ascii="Verdana" w:eastAsia="Calibri" w:hAnsi="Verdana" w:cs="Arial"/>
          <w:lang w:val="es-MX"/>
        </w:rPr>
      </w:pPr>
      <w:r w:rsidRPr="00187857">
        <w:rPr>
          <w:rFonts w:ascii="Verdana" w:eastAsia="Calibri" w:hAnsi="Verdana" w:cs="Arial"/>
          <w:lang w:val="es-MX"/>
        </w:rPr>
        <w:t xml:space="preserve">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w:t>
      </w:r>
      <w:r w:rsidRPr="00187857">
        <w:rPr>
          <w:rFonts w:ascii="Verdana" w:eastAsia="Calibri" w:hAnsi="Verdana" w:cs="Arial"/>
          <w:lang w:val="es-MX"/>
        </w:rPr>
        <w:lastRenderedPageBreak/>
        <w:t>para obras, que llevan a cabo todas las entidades sometidas al Estatuto General de Contratación de la Administración Pública, es decir, aquellas entidades estatales mencionadas en el artículo 2º de la Ley 80 de 1993</w:t>
      </w:r>
      <w:r w:rsidRPr="00187857">
        <w:rPr>
          <w:rFonts w:ascii="Verdana" w:eastAsia="Calibri" w:hAnsi="Verdana" w:cs="Arial"/>
          <w:vertAlign w:val="superscript"/>
          <w:lang w:val="es-MX"/>
        </w:rPr>
        <w:footnoteReference w:id="3"/>
      </w:r>
      <w:r w:rsidRPr="00187857">
        <w:rPr>
          <w:rFonts w:ascii="Verdana" w:eastAsia="Calibri" w:hAnsi="Verdana" w:cs="Arial"/>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5FE86FF6" w14:textId="77777777" w:rsidR="00A31155" w:rsidRPr="00187857" w:rsidRDefault="00A31155" w:rsidP="00A31155">
      <w:pPr>
        <w:spacing w:before="120" w:after="120" w:line="276" w:lineRule="auto"/>
        <w:ind w:firstLine="642"/>
        <w:jc w:val="both"/>
        <w:rPr>
          <w:rFonts w:ascii="Verdana" w:eastAsia="Aptos" w:hAnsi="Verdana" w:cs="Arial"/>
          <w:kern w:val="2"/>
          <w:lang w:val="es-ES"/>
          <w14:ligatures w14:val="standardContextual"/>
        </w:rPr>
      </w:pPr>
      <w:r w:rsidRPr="00187857">
        <w:rPr>
          <w:rFonts w:ascii="Verdana" w:eastAsia="Calibri" w:hAnsi="Verdana" w:cs="Arial"/>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87857">
        <w:rPr>
          <w:rFonts w:ascii="Verdana" w:eastAsia="Aptos" w:hAnsi="Verdana" w:cs="Arial"/>
          <w:kern w:val="2"/>
          <w:lang w:val="es-ES"/>
          <w14:ligatures w14:val="standardContextual"/>
        </w:rPr>
        <w:t xml:space="preserve">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w:t>
      </w:r>
      <w:r w:rsidRPr="00187857">
        <w:rPr>
          <w:rFonts w:ascii="Verdana" w:eastAsia="Aptos" w:hAnsi="Verdana" w:cs="Arial"/>
          <w:kern w:val="2"/>
          <w:lang w:val="es-ES"/>
          <w14:ligatures w14:val="standardContextual"/>
        </w:rPr>
        <w:lastRenderedPageBreak/>
        <w:t>de licitación pública, selección abreviada de menor cuantía, mínima cuantía, concurso de méritos y contratación directa.</w:t>
      </w:r>
    </w:p>
    <w:p w14:paraId="731C0B8D" w14:textId="77777777" w:rsidR="00A31155" w:rsidRPr="00187857" w:rsidRDefault="00A31155" w:rsidP="00A31155">
      <w:pPr>
        <w:spacing w:before="120" w:after="120" w:line="276" w:lineRule="auto"/>
        <w:ind w:firstLine="642"/>
        <w:jc w:val="both"/>
        <w:rPr>
          <w:rFonts w:ascii="Verdana" w:eastAsia="Aptos" w:hAnsi="Verdana" w:cs="Arial"/>
          <w:kern w:val="2"/>
          <w:lang w:val="es-ES"/>
          <w14:ligatures w14:val="standardContextual"/>
        </w:rPr>
      </w:pPr>
      <w:r w:rsidRPr="00187857">
        <w:rPr>
          <w:rFonts w:ascii="Verdana" w:eastAsia="Calibri" w:hAnsi="Verdana" w:cs="Arial"/>
          <w:lang w:val="es-ES"/>
        </w:rPr>
        <w:t>Todas las resoluciones</w:t>
      </w:r>
      <w:r w:rsidRPr="00187857">
        <w:rPr>
          <w:rFonts w:ascii="Verdana" w:eastAsia="Calibri" w:hAnsi="Verdana" w:cs="Arial"/>
          <w:vertAlign w:val="superscript"/>
          <w:lang w:val="es-ES"/>
        </w:rPr>
        <w:footnoteReference w:id="4"/>
      </w:r>
      <w:r w:rsidRPr="00187857">
        <w:rPr>
          <w:rFonts w:ascii="Verdana" w:eastAsia="Calibri" w:hAnsi="Verdana" w:cs="Arial"/>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87857">
        <w:rPr>
          <w:rFonts w:ascii="Verdana" w:eastAsia="Calibri" w:hAnsi="Verdana" w:cs="Arial"/>
          <w:i/>
          <w:iCs/>
          <w:lang w:val="es-ES"/>
        </w:rPr>
        <w:t>Documentos del Proceso</w:t>
      </w:r>
      <w:r w:rsidRPr="00187857">
        <w:rPr>
          <w:rFonts w:ascii="Verdana" w:eastAsia="Calibri" w:hAnsi="Verdana" w:cs="Arial"/>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5F4229A" w14:textId="77777777" w:rsidR="00A31155" w:rsidRPr="00187857" w:rsidRDefault="00A31155" w:rsidP="00A31155">
      <w:pPr>
        <w:spacing w:before="120" w:after="120" w:line="276" w:lineRule="auto"/>
        <w:ind w:firstLine="709"/>
        <w:jc w:val="both"/>
        <w:rPr>
          <w:rFonts w:ascii="Verdana" w:eastAsia="Calibri" w:hAnsi="Verdana" w:cs="Arial"/>
          <w:lang w:val="es-ES_tradnl"/>
        </w:rPr>
      </w:pPr>
      <w:r w:rsidRPr="00187857">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51E02385" w14:textId="77777777" w:rsidR="00A31155" w:rsidRPr="00187857" w:rsidRDefault="00A31155" w:rsidP="00A31155">
      <w:pPr>
        <w:spacing w:before="120" w:after="120" w:line="276" w:lineRule="auto"/>
        <w:ind w:firstLine="709"/>
        <w:jc w:val="both"/>
        <w:rPr>
          <w:rFonts w:ascii="Verdana" w:eastAsia="Calibri" w:hAnsi="Verdana" w:cs="Arial"/>
          <w:lang w:val="es-ES"/>
        </w:rPr>
      </w:pPr>
      <w:r w:rsidRPr="00187857">
        <w:rPr>
          <w:rFonts w:ascii="Verdana" w:eastAsia="Calibri" w:hAnsi="Verdana" w:cs="Arial"/>
          <w:lang w:val="es-ES"/>
        </w:rPr>
        <w:lastRenderedPageBreak/>
        <w:t xml:space="preserve">Además, las entidades estatales deben garantizar el </w:t>
      </w:r>
      <w:r w:rsidRPr="00187857">
        <w:rPr>
          <w:rFonts w:ascii="Verdana" w:eastAsia="Calibri" w:hAnsi="Verdana" w:cs="Arial"/>
          <w:i/>
          <w:iCs/>
          <w:lang w:val="es-ES"/>
        </w:rPr>
        <w:t>principio de economía</w:t>
      </w:r>
      <w:r w:rsidRPr="00187857">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87857">
        <w:rPr>
          <w:rFonts w:ascii="Verdana" w:eastAsia="Calibri" w:hAnsi="Verdana" w:cs="Arial"/>
          <w:vertAlign w:val="superscript"/>
          <w:lang w:val="es-ES"/>
        </w:rPr>
        <w:footnoteReference w:id="5"/>
      </w:r>
      <w:r w:rsidRPr="00187857">
        <w:rPr>
          <w:rFonts w:ascii="Verdana" w:eastAsia="Calibri" w:hAnsi="Verdana" w:cs="Arial"/>
          <w:lang w:val="es-ES"/>
        </w:rPr>
        <w:t xml:space="preserve"> sino además en la normativa </w:t>
      </w:r>
      <w:proofErr w:type="spellStart"/>
      <w:r w:rsidRPr="00187857">
        <w:rPr>
          <w:rFonts w:ascii="Verdana" w:eastAsia="Calibri" w:hAnsi="Verdana" w:cs="Arial"/>
          <w:lang w:val="es-ES"/>
        </w:rPr>
        <w:t>antitrámites</w:t>
      </w:r>
      <w:proofErr w:type="spellEnd"/>
      <w:r w:rsidRPr="00187857">
        <w:rPr>
          <w:rFonts w:ascii="Verdana" w:eastAsia="Calibri" w:hAnsi="Verdana" w:cs="Arial"/>
          <w:vertAlign w:val="superscript"/>
          <w:lang w:val="es-ES"/>
        </w:rPr>
        <w:footnoteReference w:id="6"/>
      </w:r>
      <w:r w:rsidRPr="00187857">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1EBF7A4A" w14:textId="77777777" w:rsidR="00A31155" w:rsidRPr="00187857" w:rsidRDefault="00A31155" w:rsidP="00A31155">
      <w:pPr>
        <w:spacing w:after="120" w:line="276" w:lineRule="auto"/>
        <w:ind w:firstLine="708"/>
        <w:jc w:val="both"/>
        <w:rPr>
          <w:rFonts w:ascii="Verdana" w:eastAsia="Calibri" w:hAnsi="Verdana" w:cs="Arial"/>
          <w:lang w:val="es-ES"/>
        </w:rPr>
      </w:pPr>
      <w:r w:rsidRPr="00187857">
        <w:rPr>
          <w:rFonts w:ascii="Verdana" w:eastAsia="Calibri" w:hAnsi="Verdana" w:cs="Arial"/>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87857">
        <w:rPr>
          <w:rFonts w:ascii="Verdana" w:eastAsia="Calibri" w:hAnsi="Verdana" w:cs="Arial"/>
          <w:vertAlign w:val="superscript"/>
          <w:lang w:val="es-ES"/>
        </w:rPr>
        <w:footnoteReference w:id="7"/>
      </w:r>
      <w:r w:rsidRPr="00187857">
        <w:rPr>
          <w:rFonts w:ascii="Verdana" w:eastAsia="Calibri" w:hAnsi="Verdana" w:cs="Arial"/>
          <w:lang w:val="es-ES"/>
        </w:rPr>
        <w:t xml:space="preserve">. Si las autoridades pudiesen agregar, eliminar o modificar todos y cada uno de los aspectos contenidos en los pliegos tipo, estos documentos, llanamente, no podrían ser llamados pliegos tipo. </w:t>
      </w:r>
    </w:p>
    <w:p w14:paraId="32C31B9C" w14:textId="77777777" w:rsidR="00A31155" w:rsidRPr="00187857" w:rsidRDefault="00A31155" w:rsidP="00A31155">
      <w:pPr>
        <w:spacing w:after="120" w:line="276" w:lineRule="auto"/>
        <w:ind w:firstLine="708"/>
        <w:jc w:val="both"/>
        <w:rPr>
          <w:rFonts w:ascii="Verdana" w:eastAsia="Calibri" w:hAnsi="Verdana" w:cs="Arial"/>
          <w:lang w:val="es-ES"/>
        </w:rPr>
      </w:pPr>
      <w:r w:rsidRPr="00187857">
        <w:rPr>
          <w:rFonts w:ascii="Verdana" w:eastAsia="Calibri" w:hAnsi="Verdana" w:cs="Arial"/>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02070864" w14:textId="77777777" w:rsidR="00A31155" w:rsidRPr="00187857" w:rsidRDefault="00A31155" w:rsidP="00A31155">
      <w:pPr>
        <w:spacing w:after="120" w:line="276" w:lineRule="auto"/>
        <w:ind w:firstLine="708"/>
        <w:jc w:val="both"/>
        <w:rPr>
          <w:rFonts w:ascii="Verdana" w:eastAsia="Calibri" w:hAnsi="Verdana" w:cs="Arial"/>
          <w:lang w:val="es-ES"/>
        </w:rPr>
      </w:pPr>
      <w:r w:rsidRPr="00187857">
        <w:rPr>
          <w:rFonts w:ascii="Verdana" w:eastAsia="Calibri" w:hAnsi="Verdana" w:cs="Arial"/>
          <w:lang w:val="es-MX"/>
        </w:rPr>
        <w:t xml:space="preserve">No obstante, la parte introductoria de los documentos base de los documentos tipo disponen que los aspectos incluidos en corchetes y resaltados en gris </w:t>
      </w:r>
      <w:r w:rsidRPr="00187857">
        <w:rPr>
          <w:rFonts w:ascii="Verdana" w:eastAsia="Aptos" w:hAnsi="Verdana" w:cs="Arial"/>
          <w:highlight w:val="lightGray"/>
        </w:rPr>
        <w:t>–[texto de ejemplo]–</w:t>
      </w:r>
      <w:r w:rsidRPr="00187857">
        <w:rPr>
          <w:rFonts w:ascii="Verdana" w:eastAsia="Aptos" w:hAnsi="Verdana" w:cs="Arial"/>
        </w:rPr>
        <w:t xml:space="preserve"> </w:t>
      </w:r>
      <w:r w:rsidRPr="00187857">
        <w:rPr>
          <w:rFonts w:ascii="Verdana" w:eastAsia="Calibri" w:hAnsi="Verdana" w:cs="Arial"/>
          <w:lang w:val="es-MX"/>
        </w:rPr>
        <w:t xml:space="preserve">deben ser diligenciados por la entidad. </w:t>
      </w:r>
      <w:r w:rsidRPr="00187857">
        <w:rPr>
          <w:rFonts w:ascii="Verdana" w:eastAsia="Calibri" w:hAnsi="Verdana" w:cs="Arial"/>
          <w:lang w:val="es-MX"/>
        </w:rPr>
        <w:lastRenderedPageBreak/>
        <w:t xml:space="preserve">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2D99A33" w14:textId="77777777" w:rsidR="00A31155" w:rsidRPr="004B4DB6" w:rsidRDefault="00A31155" w:rsidP="00A31155">
      <w:pPr>
        <w:spacing w:line="276" w:lineRule="auto"/>
        <w:ind w:firstLine="708"/>
        <w:jc w:val="both"/>
        <w:rPr>
          <w:rFonts w:ascii="Aptos" w:eastAsia="Aptos" w:hAnsi="Aptos" w:cs="Times New Roman"/>
          <w:kern w:val="2"/>
          <w:sz w:val="24"/>
          <w:szCs w:val="24"/>
          <w:lang w:val="es-MX"/>
          <w14:ligatures w14:val="standardContextual"/>
        </w:rPr>
      </w:pPr>
      <w:r w:rsidRPr="004B4DB6">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4B4DB6">
        <w:rPr>
          <w:rFonts w:ascii="Verdana" w:eastAsia="Calibri" w:hAnsi="Verdana" w:cs="Arial"/>
          <w:i/>
          <w:iCs/>
          <w:lang w:val="es-MX"/>
        </w:rPr>
        <w:t>“</w:t>
      </w:r>
      <w:r w:rsidRPr="004B4DB6">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4B4DB6">
        <w:rPr>
          <w:rFonts w:ascii="Aptos" w:eastAsia="Aptos" w:hAnsi="Aptos" w:cs="Times New Roman"/>
          <w:kern w:val="2"/>
          <w:sz w:val="24"/>
          <w:szCs w:val="24"/>
          <w:lang w:val="es-MX"/>
          <w14:ligatures w14:val="standardContextual"/>
        </w:rPr>
        <w:t xml:space="preserve"> </w:t>
      </w:r>
    </w:p>
    <w:p w14:paraId="50FD875F" w14:textId="77777777" w:rsidR="00A31155" w:rsidRPr="004B4DB6" w:rsidRDefault="00A31155" w:rsidP="00A31155">
      <w:pPr>
        <w:spacing w:before="120" w:after="120" w:line="276" w:lineRule="auto"/>
        <w:ind w:firstLine="709"/>
        <w:jc w:val="both"/>
        <w:rPr>
          <w:rFonts w:ascii="Verdana" w:eastAsia="Calibri" w:hAnsi="Verdana" w:cs="Arial"/>
          <w:bCs/>
          <w:lang w:val="es-MX"/>
        </w:rPr>
      </w:pPr>
      <w:r w:rsidRPr="004B4DB6">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93F271F" w14:textId="77777777" w:rsidR="00A31155" w:rsidRDefault="00A31155" w:rsidP="00A31155">
      <w:pPr>
        <w:spacing w:after="0" w:line="276" w:lineRule="auto"/>
        <w:jc w:val="both"/>
        <w:rPr>
          <w:rFonts w:ascii="Verdana" w:eastAsia="Calibri" w:hAnsi="Verdana" w:cs="Arial"/>
          <w:lang w:val="es-MX"/>
        </w:rPr>
      </w:pPr>
      <w:r>
        <w:rPr>
          <w:rFonts w:ascii="Verdana" w:eastAsia="Calibri" w:hAnsi="Verdana" w:cs="Arial"/>
          <w:lang w:val="es-MX"/>
        </w:rPr>
        <w:t xml:space="preserve">II). </w:t>
      </w:r>
      <w:r w:rsidRPr="00336E85">
        <w:rPr>
          <w:rFonts w:ascii="Verdana" w:eastAsia="Calibri" w:hAnsi="Verdana" w:cs="Arial"/>
        </w:rPr>
        <w:t>Ahora bien, dentro de los Documentos Tipo se regulan, entre otros aspectos, las condiciones habilitantes, respecto de las cuales resulta pertinente precisar su alcance, en tanto cumplen finalidades distintas dentro del procedimiento de selección.</w:t>
      </w:r>
    </w:p>
    <w:p w14:paraId="76CCA168" w14:textId="77777777" w:rsidR="00A31155" w:rsidRPr="003E63EC" w:rsidRDefault="00A31155" w:rsidP="00A31155">
      <w:pPr>
        <w:widowControl w:val="0"/>
        <w:autoSpaceDE w:val="0"/>
        <w:autoSpaceDN w:val="0"/>
        <w:spacing w:after="120" w:line="276" w:lineRule="auto"/>
        <w:ind w:firstLine="708"/>
        <w:jc w:val="both"/>
        <w:rPr>
          <w:rFonts w:ascii="Verdana" w:eastAsia="Aptos" w:hAnsi="Verdana" w:cs="Times New Roman"/>
          <w:kern w:val="2"/>
          <w:lang w:val="es-ES_tradnl"/>
          <w14:ligatures w14:val="standardContextual"/>
        </w:rPr>
      </w:pPr>
      <w:r w:rsidRPr="003E63EC">
        <w:rPr>
          <w:rFonts w:ascii="Verdana" w:eastAsia="Aptos" w:hAnsi="Verdana" w:cs="Times New Roman"/>
          <w:kern w:val="2"/>
          <w:lang w:val="es-ES_tradnl"/>
          <w14:ligatures w14:val="standardContextual"/>
        </w:rPr>
        <w:t xml:space="preserve">Los </w:t>
      </w:r>
      <w:r w:rsidRPr="003E63EC">
        <w:rPr>
          <w:rFonts w:ascii="Verdana" w:eastAsia="Aptos" w:hAnsi="Verdana" w:cs="Times New Roman"/>
          <w:i/>
          <w:iCs/>
          <w:kern w:val="2"/>
          <w:lang w:val="es-ES_tradnl"/>
          <w14:ligatures w14:val="standardContextual"/>
        </w:rPr>
        <w:t>requisitos habilitantes</w:t>
      </w:r>
      <w:r w:rsidRPr="003E63EC">
        <w:rPr>
          <w:rFonts w:ascii="Verdana" w:eastAsia="Aptos" w:hAnsi="Verdana" w:cs="Times New Roman"/>
          <w:kern w:val="2"/>
          <w:lang w:val="es-ES_tradnl"/>
          <w14:ligatures w14:val="standardContextua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w:t>
      </w:r>
    </w:p>
    <w:p w14:paraId="2359081F" w14:textId="77777777" w:rsidR="00A31155" w:rsidRDefault="00A31155" w:rsidP="00A31155">
      <w:pPr>
        <w:widowControl w:val="0"/>
        <w:autoSpaceDE w:val="0"/>
        <w:autoSpaceDN w:val="0"/>
        <w:spacing w:after="120" w:line="276" w:lineRule="auto"/>
        <w:ind w:firstLine="708"/>
        <w:jc w:val="both"/>
        <w:rPr>
          <w:rFonts w:ascii="Verdana" w:eastAsia="Aptos" w:hAnsi="Verdana" w:cs="Times New Roman"/>
          <w:kern w:val="2"/>
          <w:lang w:val="es-ES"/>
          <w14:ligatures w14:val="standardContextual"/>
        </w:rPr>
      </w:pPr>
      <w:r w:rsidRPr="003E63EC">
        <w:rPr>
          <w:rFonts w:ascii="Verdana" w:eastAsia="Aptos" w:hAnsi="Verdana" w:cs="Times New Roman"/>
          <w:kern w:val="2"/>
          <w:lang w:val="es-ES"/>
          <w14:ligatures w14:val="standardContextual"/>
        </w:rPr>
        <w:t>A partir de lo dicho se deduce que los requisitos habilitantes, si bien constituyen obligaciones que los proponentes deben cumplir y acreditar para participar en el procedimiento de selección, no se valoran con un puntaje que determine el orden de escogencia</w:t>
      </w:r>
      <w:r>
        <w:rPr>
          <w:rFonts w:ascii="Verdana" w:eastAsia="Aptos" w:hAnsi="Verdana" w:cs="Times New Roman"/>
          <w:kern w:val="2"/>
          <w:lang w:val="es-ES"/>
          <w14:ligatures w14:val="standardContextual"/>
        </w:rPr>
        <w:t xml:space="preserve"> como es el caso de los </w:t>
      </w:r>
      <w:r w:rsidRPr="00771359">
        <w:rPr>
          <w:rFonts w:ascii="Verdana" w:eastAsia="Aptos" w:hAnsi="Verdana" w:cs="Times New Roman"/>
          <w:i/>
          <w:iCs/>
          <w:kern w:val="2"/>
          <w:lang w:val="es-ES"/>
          <w14:ligatures w14:val="standardContextual"/>
        </w:rPr>
        <w:t xml:space="preserve">criterios de calificación </w:t>
      </w:r>
      <w:r w:rsidRPr="00771359">
        <w:rPr>
          <w:rFonts w:ascii="Verdana" w:eastAsia="Aptos" w:hAnsi="Verdana" w:cs="Times New Roman"/>
          <w:i/>
          <w:iCs/>
          <w:kern w:val="2"/>
          <w:lang w:val="es-ES"/>
          <w14:ligatures w14:val="standardContextual"/>
        </w:rPr>
        <w:lastRenderedPageBreak/>
        <w:t>o evaluación</w:t>
      </w:r>
      <w:r>
        <w:rPr>
          <w:rStyle w:val="Refdenotaalpie"/>
          <w:rFonts w:ascii="Verdana" w:eastAsia="Aptos" w:hAnsi="Verdana" w:cs="Times New Roman"/>
          <w:kern w:val="2"/>
          <w:lang w:val="es-ES"/>
          <w14:ligatures w14:val="standardContextual"/>
        </w:rPr>
        <w:footnoteReference w:id="8"/>
      </w:r>
      <w:r w:rsidRPr="003E63EC">
        <w:rPr>
          <w:rFonts w:ascii="Verdana" w:eastAsia="Aptos" w:hAnsi="Verdana" w:cs="Times New Roman"/>
          <w:kern w:val="2"/>
          <w:lang w:val="es-ES"/>
          <w14:ligatures w14:val="standardContextual"/>
        </w:rPr>
        <w:t>,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99951F9" w14:textId="77777777" w:rsidR="00A31155" w:rsidRPr="00886F14" w:rsidRDefault="00A31155" w:rsidP="00A31155">
      <w:pPr>
        <w:spacing w:after="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26496D74">
        <w:rPr>
          <w:rFonts w:ascii="Verdana" w:hAnsi="Verdana" w:cs="Arial"/>
          <w:i/>
          <w:color w:val="000000" w:themeColor="text1"/>
          <w:lang w:val="es-ES"/>
        </w:rPr>
        <w:t>.</w:t>
      </w:r>
      <w:r w:rsidRPr="26496D74">
        <w:rPr>
          <w:rFonts w:ascii="Verdana" w:hAnsi="Verdana" w:cs="Arial"/>
          <w:color w:val="000000" w:themeColor="text1"/>
          <w:lang w:val="es-ES"/>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26496D74">
        <w:rPr>
          <w:rFonts w:ascii="Verdana" w:hAnsi="Verdana" w:cs="Arial"/>
          <w:i/>
          <w:color w:val="000000" w:themeColor="text1"/>
          <w:lang w:val="es-ES"/>
        </w:rPr>
        <w:t>entre otros</w:t>
      </w:r>
      <w:r w:rsidRPr="26496D74">
        <w:rPr>
          <w:rFonts w:ascii="Verdana" w:hAnsi="Verdana" w:cs="Arial"/>
          <w:color w:val="000000" w:themeColor="text1"/>
          <w:lang w:val="es-ES"/>
        </w:rPr>
        <w:t xml:space="preserve">, los siguientes: i) la capacidad jurídica; </w:t>
      </w:r>
      <w:proofErr w:type="spellStart"/>
      <w:r w:rsidRPr="26496D74">
        <w:rPr>
          <w:rFonts w:ascii="Verdana" w:hAnsi="Verdana" w:cs="Arial"/>
          <w:color w:val="000000" w:themeColor="text1"/>
          <w:lang w:val="es-ES"/>
        </w:rPr>
        <w:t>ii</w:t>
      </w:r>
      <w:proofErr w:type="spellEnd"/>
      <w:r w:rsidRPr="26496D74">
        <w:rPr>
          <w:rFonts w:ascii="Verdana" w:hAnsi="Verdana" w:cs="Arial"/>
          <w:color w:val="000000" w:themeColor="text1"/>
          <w:lang w:val="es-ES"/>
        </w:rPr>
        <w:t xml:space="preserve">) la experiencia; </w:t>
      </w:r>
      <w:proofErr w:type="spellStart"/>
      <w:r w:rsidRPr="26496D74">
        <w:rPr>
          <w:rFonts w:ascii="Verdana" w:hAnsi="Verdana" w:cs="Arial"/>
          <w:color w:val="000000" w:themeColor="text1"/>
          <w:lang w:val="es-ES"/>
        </w:rPr>
        <w:t>iii</w:t>
      </w:r>
      <w:proofErr w:type="spellEnd"/>
      <w:r w:rsidRPr="26496D74">
        <w:rPr>
          <w:rFonts w:ascii="Verdana" w:hAnsi="Verdana" w:cs="Arial"/>
          <w:color w:val="000000" w:themeColor="text1"/>
          <w:lang w:val="es-ES"/>
        </w:rPr>
        <w:t xml:space="preserve">) la capacidad financiera y </w:t>
      </w:r>
      <w:proofErr w:type="spellStart"/>
      <w:r w:rsidRPr="26496D74">
        <w:rPr>
          <w:rFonts w:ascii="Verdana" w:hAnsi="Verdana" w:cs="Arial"/>
          <w:color w:val="000000" w:themeColor="text1"/>
          <w:lang w:val="es-ES"/>
        </w:rPr>
        <w:t>iv</w:t>
      </w:r>
      <w:proofErr w:type="spellEnd"/>
      <w:r w:rsidRPr="26496D74">
        <w:rPr>
          <w:rFonts w:ascii="Verdana" w:hAnsi="Verdana" w:cs="Arial"/>
          <w:color w:val="000000" w:themeColor="text1"/>
          <w:lang w:val="es-ES"/>
        </w:rPr>
        <w:t xml:space="preserve">) la capacidad de organización. En efecto, la normativa citada prescribe lo siguiente: </w:t>
      </w:r>
    </w:p>
    <w:p w14:paraId="79EA8695" w14:textId="77777777" w:rsidR="00A31155" w:rsidRPr="00886F14" w:rsidRDefault="00A31155" w:rsidP="00A31155">
      <w:pPr>
        <w:spacing w:after="0" w:line="276" w:lineRule="auto"/>
        <w:ind w:firstLine="708"/>
        <w:jc w:val="both"/>
        <w:rPr>
          <w:rFonts w:ascii="Verdana" w:hAnsi="Verdana" w:cs="Arial"/>
          <w:color w:val="000000" w:themeColor="text1"/>
          <w:lang w:val="es-ES_tradnl"/>
        </w:rPr>
      </w:pPr>
    </w:p>
    <w:p w14:paraId="353A0D1F" w14:textId="77777777" w:rsidR="00A31155" w:rsidRPr="00886F14" w:rsidRDefault="00A31155" w:rsidP="00A31155">
      <w:pPr>
        <w:spacing w:after="0" w:line="240" w:lineRule="auto"/>
        <w:ind w:left="709" w:right="709"/>
        <w:rPr>
          <w:rFonts w:ascii="Verdana" w:hAnsi="Verdana" w:cs="Arial"/>
          <w:color w:val="000000" w:themeColor="text1"/>
          <w:sz w:val="21"/>
          <w:szCs w:val="21"/>
          <w:lang w:val="es-ES_tradnl"/>
        </w:rPr>
      </w:pPr>
      <w:r w:rsidRPr="00886F14">
        <w:rPr>
          <w:rFonts w:ascii="Verdana" w:hAnsi="Verdana" w:cs="Arial"/>
          <w:i/>
          <w:iCs/>
          <w:color w:val="000000" w:themeColor="text1"/>
          <w:sz w:val="21"/>
          <w:szCs w:val="21"/>
          <w:lang w:val="es-ES_tradnl"/>
        </w:rPr>
        <w:t>“</w:t>
      </w:r>
      <w:r w:rsidRPr="00886F14">
        <w:rPr>
          <w:rFonts w:ascii="Verdana" w:hAnsi="Verdana" w:cs="Arial"/>
          <w:color w:val="000000" w:themeColor="text1"/>
          <w:sz w:val="21"/>
          <w:szCs w:val="21"/>
          <w:lang w:val="es-ES_tradnl"/>
        </w:rPr>
        <w:t xml:space="preserve">Artículo 5. De la Selección Objetiva. </w:t>
      </w:r>
    </w:p>
    <w:p w14:paraId="0F163602" w14:textId="77777777" w:rsidR="00A31155" w:rsidRPr="00886F14" w:rsidRDefault="00A31155" w:rsidP="00A31155">
      <w:pPr>
        <w:spacing w:after="120" w:line="240" w:lineRule="auto"/>
        <w:ind w:left="709" w:right="709"/>
        <w:rPr>
          <w:rFonts w:ascii="Verdana" w:hAnsi="Verdana" w:cs="Arial"/>
          <w:color w:val="000000" w:themeColor="text1"/>
          <w:sz w:val="21"/>
          <w:szCs w:val="21"/>
          <w:lang w:val="es-ES_tradnl"/>
        </w:rPr>
      </w:pPr>
      <w:r w:rsidRPr="00886F14">
        <w:rPr>
          <w:rFonts w:ascii="Verdana" w:hAnsi="Verdana" w:cs="Arial"/>
          <w:color w:val="000000" w:themeColor="text1"/>
          <w:sz w:val="21"/>
          <w:szCs w:val="21"/>
          <w:lang w:val="es-ES_tradnl"/>
        </w:rPr>
        <w:t>[…]</w:t>
      </w:r>
    </w:p>
    <w:p w14:paraId="622292BD" w14:textId="77777777" w:rsidR="00A31155" w:rsidRPr="00886F14" w:rsidRDefault="00A31155" w:rsidP="00A31155">
      <w:pPr>
        <w:pStyle w:val="Prrafodelista"/>
        <w:spacing w:after="0"/>
        <w:ind w:left="709" w:right="709"/>
        <w:jc w:val="both"/>
        <w:rPr>
          <w:rFonts w:ascii="Verdana" w:eastAsia="Calibri" w:hAnsi="Verdana" w:cs="Arial"/>
          <w:color w:val="000000" w:themeColor="text1"/>
          <w:sz w:val="21"/>
          <w:szCs w:val="21"/>
        </w:rPr>
      </w:pPr>
      <w:r w:rsidRPr="26496D74">
        <w:rPr>
          <w:rFonts w:ascii="Verdana" w:eastAsia="Calibri" w:hAnsi="Verdana" w:cs="Arial"/>
          <w:color w:val="000000" w:themeColor="text1"/>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26496D74">
        <w:rPr>
          <w:rFonts w:ascii="Verdana" w:eastAsia="Calibri" w:hAnsi="Verdana" w:cs="Arial"/>
          <w:i/>
          <w:color w:val="000000" w:themeColor="text1"/>
          <w:sz w:val="21"/>
          <w:szCs w:val="21"/>
        </w:rPr>
        <w:t>”</w:t>
      </w:r>
      <w:r w:rsidRPr="26496D74">
        <w:rPr>
          <w:rFonts w:ascii="Verdana" w:eastAsia="Calibri" w:hAnsi="Verdana" w:cs="Arial"/>
          <w:color w:val="000000" w:themeColor="text1"/>
          <w:sz w:val="21"/>
          <w:szCs w:val="21"/>
        </w:rPr>
        <w:t>.</w:t>
      </w:r>
    </w:p>
    <w:p w14:paraId="63643659" w14:textId="77777777" w:rsidR="00A31155" w:rsidRPr="00886F14" w:rsidRDefault="00A31155" w:rsidP="00A31155">
      <w:pPr>
        <w:spacing w:after="0" w:line="276" w:lineRule="auto"/>
        <w:ind w:right="709"/>
        <w:jc w:val="both"/>
        <w:rPr>
          <w:rFonts w:ascii="Verdana" w:eastAsia="Calibri" w:hAnsi="Verdana" w:cs="Arial"/>
          <w:color w:val="000000" w:themeColor="text1"/>
          <w:sz w:val="21"/>
          <w:szCs w:val="21"/>
          <w:lang w:val="es-ES_tradnl"/>
        </w:rPr>
      </w:pPr>
    </w:p>
    <w:p w14:paraId="1685DE6F" w14:textId="77777777" w:rsidR="00A31155" w:rsidRDefault="00A31155" w:rsidP="00A31155">
      <w:pPr>
        <w:spacing w:after="0" w:line="276" w:lineRule="auto"/>
        <w:jc w:val="both"/>
        <w:rPr>
          <w:rFonts w:ascii="Verdana" w:hAnsi="Verdana" w:cs="Arial"/>
          <w:color w:val="000000" w:themeColor="text1"/>
          <w:lang w:val="es-ES_tradnl"/>
        </w:rPr>
      </w:pPr>
      <w:r w:rsidRPr="00886F14">
        <w:rPr>
          <w:rFonts w:ascii="Verdana" w:hAnsi="Verdana" w:cs="Arial"/>
          <w:color w:val="000000" w:themeColor="text1"/>
          <w:lang w:val="es-ES_tradnl"/>
        </w:rPr>
        <w:lastRenderedPageBreak/>
        <w:tab/>
      </w:r>
      <w:r w:rsidRPr="00886F14">
        <w:rPr>
          <w:rFonts w:ascii="Verdana" w:hAnsi="Verdana" w:cs="Arial"/>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sidRPr="00886F14">
        <w:rPr>
          <w:rStyle w:val="Refdenotaalpie"/>
          <w:rFonts w:ascii="Verdana" w:hAnsi="Verdana" w:cs="Arial"/>
          <w:color w:val="000000" w:themeColor="text1"/>
          <w:lang w:val="es-ES_tradnl"/>
        </w:rPr>
        <w:footnoteReference w:id="9"/>
      </w:r>
      <w:r w:rsidRPr="00886F14">
        <w:rPr>
          <w:rFonts w:ascii="Verdana" w:hAnsi="Verdana" w:cs="Arial"/>
        </w:rPr>
        <w:t>. 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886F14">
        <w:rPr>
          <w:rStyle w:val="Refdenotaalpie"/>
          <w:rFonts w:ascii="Verdana" w:hAnsi="Verdana" w:cs="Arial"/>
          <w:color w:val="000000" w:themeColor="text1"/>
          <w:lang w:val="es-ES_tradnl"/>
        </w:rPr>
        <w:footnoteReference w:id="10"/>
      </w:r>
      <w:r w:rsidRPr="00886F14">
        <w:rPr>
          <w:rFonts w:ascii="Verdana" w:hAnsi="Verdana" w:cs="Arial"/>
          <w:color w:val="000000" w:themeColor="text1"/>
          <w:lang w:val="es-ES_tradnl"/>
        </w:rPr>
        <w:t>.</w:t>
      </w:r>
    </w:p>
    <w:p w14:paraId="28B30398" w14:textId="77777777" w:rsidR="00A31155" w:rsidRPr="00B308D4" w:rsidRDefault="00A31155" w:rsidP="00A31155">
      <w:pPr>
        <w:spacing w:after="0" w:line="276" w:lineRule="auto"/>
        <w:jc w:val="both"/>
        <w:rPr>
          <w:rFonts w:ascii="Verdana" w:hAnsi="Verdana" w:cs="Arial"/>
          <w:color w:val="000000" w:themeColor="text1"/>
          <w:lang w:val="es-ES_tradnl"/>
        </w:rPr>
      </w:pPr>
    </w:p>
    <w:p w14:paraId="769DABB1" w14:textId="77777777" w:rsidR="00A31155" w:rsidRPr="00B308D4" w:rsidRDefault="00A31155" w:rsidP="00A31155">
      <w:pPr>
        <w:spacing w:after="0" w:line="276" w:lineRule="auto"/>
        <w:jc w:val="both"/>
        <w:rPr>
          <w:rFonts w:ascii="Verdana" w:hAnsi="Verdana" w:cs="Arial"/>
          <w:color w:val="000000" w:themeColor="text1"/>
        </w:rPr>
      </w:pPr>
      <w:r w:rsidRPr="00B308D4">
        <w:rPr>
          <w:rFonts w:ascii="Verdana" w:hAnsi="Verdana" w:cs="Arial"/>
          <w:color w:val="000000" w:themeColor="text1"/>
          <w:lang w:val="es-ES_tradnl"/>
        </w:rPr>
        <w:t xml:space="preserve">III). </w:t>
      </w:r>
      <w:r w:rsidRPr="00B308D4">
        <w:rPr>
          <w:rFonts w:ascii="Verdana" w:hAnsi="Verdana" w:cs="Arial"/>
          <w:i/>
          <w:iCs/>
          <w:color w:val="000000" w:themeColor="text1"/>
        </w:rPr>
        <w:t>Respecto a la capacidad jurídica</w:t>
      </w:r>
      <w:r w:rsidRPr="00B308D4">
        <w:rPr>
          <w:rFonts w:ascii="Verdana" w:hAnsi="Verdana" w:cs="Arial"/>
          <w:color w:val="000000" w:themeColor="text1"/>
        </w:rPr>
        <w:t>, ésta es un presupuesto de la validez de contrato. No en vano, en concordancia con el numeral 1 del artículo 1502 del Código Civil</w:t>
      </w:r>
      <w:r w:rsidRPr="00B308D4">
        <w:rPr>
          <w:rFonts w:ascii="Verdana" w:hAnsi="Verdana" w:cs="Arial"/>
          <w:color w:val="000000" w:themeColor="text1"/>
          <w:vertAlign w:val="superscript"/>
        </w:rPr>
        <w:footnoteReference w:id="11"/>
      </w:r>
      <w:r w:rsidRPr="00B308D4">
        <w:rPr>
          <w:rFonts w:ascii="Verdana" w:hAnsi="Verdana" w:cs="Arial"/>
          <w:color w:val="000000" w:themeColor="text1"/>
        </w:rPr>
        <w:t xml:space="preserve">, el artículo 6 de la Ley 80 de 1993 dispone que “Pueden celebrar contratos con las entidades estatales las personas consideradas legalmente capaces en las disposiciones vigentes […]”. Para estos efectos, tratándose de </w:t>
      </w:r>
      <w:r w:rsidRPr="00B308D4">
        <w:rPr>
          <w:rFonts w:ascii="Verdana" w:hAnsi="Verdana" w:cs="Arial"/>
          <w:i/>
          <w:iCs/>
          <w:color w:val="000000" w:themeColor="text1"/>
        </w:rPr>
        <w:t>personas naturales</w:t>
      </w:r>
      <w:r w:rsidRPr="00B308D4">
        <w:rPr>
          <w:rFonts w:ascii="Verdana" w:hAnsi="Verdana" w:cs="Arial"/>
          <w:color w:val="000000" w:themeColor="text1"/>
        </w:rPr>
        <w:t xml:space="preserve">, si bien todos los seres humanos, por el hecho de gozar de </w:t>
      </w:r>
      <w:r w:rsidRPr="00B308D4">
        <w:rPr>
          <w:rFonts w:ascii="Verdana" w:hAnsi="Verdana" w:cs="Arial"/>
          <w:color w:val="000000" w:themeColor="text1"/>
        </w:rPr>
        <w:lastRenderedPageBreak/>
        <w:t xml:space="preserve">personalidad jurídica, son sujetos de derechos y obligaciones, algunas no pueden ejercerlos por sí mismos, sino a través de interpuesta persona. Lo anterior significa que, si bien todas las personas tienen </w:t>
      </w:r>
      <w:r w:rsidRPr="00B308D4">
        <w:rPr>
          <w:rFonts w:ascii="Verdana" w:hAnsi="Verdana" w:cs="Arial"/>
          <w:i/>
          <w:color w:val="000000" w:themeColor="text1"/>
        </w:rPr>
        <w:t>capacidad de goce</w:t>
      </w:r>
      <w:r w:rsidRPr="00B308D4">
        <w:rPr>
          <w:rFonts w:ascii="Verdana" w:hAnsi="Verdana" w:cs="Arial"/>
          <w:color w:val="000000" w:themeColor="text1"/>
        </w:rPr>
        <w:t xml:space="preserve">, no todas tienen </w:t>
      </w:r>
      <w:r w:rsidRPr="00B308D4">
        <w:rPr>
          <w:rFonts w:ascii="Verdana" w:hAnsi="Verdana" w:cs="Arial"/>
          <w:i/>
          <w:color w:val="000000" w:themeColor="text1"/>
        </w:rPr>
        <w:t>capacidad de ejercicio</w:t>
      </w:r>
      <w:r w:rsidRPr="00B308D4">
        <w:rPr>
          <w:rFonts w:ascii="Verdana" w:hAnsi="Verdana" w:cs="Arial"/>
          <w:color w:val="000000" w:themeColor="text1"/>
        </w:rPr>
        <w:t xml:space="preserve">. En efecto, la primera es reconocida por el artículo 14 de la Constitución Política de 1991, en el sentido que “Toda persona tiene derecho al reconocimiento de su personalidad jurídica”. Adicionalmente, el artículo 74 del Código Civil prescribe que “Son personas todos los individuos de la especie humana, cualquiera que sea su edad, sexo, estirpe o condición”. </w:t>
      </w:r>
    </w:p>
    <w:p w14:paraId="19D09E76" w14:textId="77777777" w:rsidR="00A31155" w:rsidRPr="00B308D4" w:rsidRDefault="00A31155" w:rsidP="00A31155">
      <w:pPr>
        <w:spacing w:after="0" w:line="276" w:lineRule="auto"/>
        <w:jc w:val="both"/>
        <w:rPr>
          <w:rFonts w:ascii="Verdana" w:hAnsi="Verdana" w:cs="Arial"/>
          <w:color w:val="000000" w:themeColor="text1"/>
        </w:rPr>
      </w:pPr>
    </w:p>
    <w:p w14:paraId="735BE3C4" w14:textId="77777777" w:rsidR="00A31155" w:rsidRPr="00B308D4" w:rsidRDefault="00A31155" w:rsidP="00A31155">
      <w:pPr>
        <w:spacing w:after="0" w:line="276" w:lineRule="auto"/>
        <w:ind w:firstLine="708"/>
        <w:jc w:val="both"/>
        <w:rPr>
          <w:rFonts w:ascii="Verdana" w:hAnsi="Verdana" w:cs="Arial"/>
          <w:color w:val="000000" w:themeColor="text1"/>
          <w:lang w:val="es-ES_tradnl"/>
        </w:rPr>
      </w:pPr>
      <w:r w:rsidRPr="00B308D4">
        <w:rPr>
          <w:rFonts w:ascii="Verdana" w:hAnsi="Verdana" w:cs="Arial"/>
          <w:color w:val="000000" w:themeColor="text1"/>
        </w:rPr>
        <w:t xml:space="preserve">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w:t>
      </w:r>
      <w:proofErr w:type="spellStart"/>
      <w:r w:rsidRPr="00B308D4">
        <w:rPr>
          <w:rFonts w:ascii="Verdana" w:hAnsi="Verdana" w:cs="Arial"/>
          <w:color w:val="000000" w:themeColor="text1"/>
        </w:rPr>
        <w:t>iter</w:t>
      </w:r>
      <w:proofErr w:type="spellEnd"/>
      <w:r w:rsidRPr="00B308D4">
        <w:rPr>
          <w:rFonts w:ascii="Verdana" w:hAnsi="Verdana" w:cs="Arial"/>
          <w:color w:val="000000" w:themeColor="text1"/>
        </w:rPr>
        <w:t xml:space="preserve"> contractual”</w:t>
      </w:r>
      <w:r w:rsidRPr="00B308D4">
        <w:rPr>
          <w:rFonts w:ascii="Verdana" w:hAnsi="Verdana" w:cs="Arial"/>
          <w:color w:val="000000" w:themeColor="text1"/>
          <w:vertAlign w:val="superscript"/>
        </w:rPr>
        <w:footnoteReference w:id="12"/>
      </w:r>
      <w:r w:rsidRPr="00B308D4">
        <w:rPr>
          <w:rFonts w:ascii="Verdana" w:hAnsi="Verdana" w:cs="Arial"/>
          <w:color w:val="000000" w:themeColor="text1"/>
        </w:rPr>
        <w:t>. Si bien las inhabilidades y las incompatibilidades guardan relación con las incapacidades particulares que consisten en la prohibición que la ley ha impuesto a ciertas personas para ejecutar ciertos actos</w:t>
      </w:r>
      <w:r w:rsidRPr="00B308D4">
        <w:rPr>
          <w:rFonts w:ascii="Verdana" w:hAnsi="Verdana" w:cs="Arial"/>
          <w:color w:val="000000" w:themeColor="text1"/>
          <w:vertAlign w:val="superscript"/>
        </w:rPr>
        <w:footnoteReference w:id="13"/>
      </w:r>
      <w:r w:rsidRPr="00B308D4">
        <w:rPr>
          <w:rFonts w:ascii="Verdana" w:hAnsi="Verdana" w:cs="Arial"/>
          <w:color w:val="000000" w:themeColor="text1"/>
        </w:rPr>
        <w:t>, para efectos de la capacidad de ejercicio, es necesario estarse a lo dispuesto en inciso 1 del artículo 34 del Código Civil.</w:t>
      </w:r>
      <w:r w:rsidRPr="00B308D4">
        <w:rPr>
          <w:rFonts w:ascii="Verdana" w:hAnsi="Verdana" w:cs="Arial"/>
          <w:color w:val="000000" w:themeColor="text1"/>
          <w:lang w:val="es-ES_tradnl"/>
        </w:rPr>
        <w:t xml:space="preserve"> </w:t>
      </w:r>
    </w:p>
    <w:p w14:paraId="273DBA4F" w14:textId="77777777" w:rsidR="00A31155" w:rsidRPr="00A96EB3" w:rsidRDefault="00A31155" w:rsidP="00A31155">
      <w:pPr>
        <w:spacing w:after="0" w:line="276" w:lineRule="auto"/>
        <w:jc w:val="both"/>
        <w:rPr>
          <w:rFonts w:ascii="Verdana" w:hAnsi="Verdana" w:cs="Arial"/>
          <w:color w:val="0070C0"/>
          <w:lang w:val="es-ES_tradnl"/>
        </w:rPr>
      </w:pPr>
    </w:p>
    <w:p w14:paraId="062135F4" w14:textId="77777777" w:rsidR="00A31155" w:rsidRPr="00A96EB3" w:rsidRDefault="00A31155" w:rsidP="00A31155">
      <w:pPr>
        <w:pBdr>
          <w:top w:val="nil"/>
          <w:left w:val="nil"/>
          <w:bottom w:val="nil"/>
          <w:right w:val="nil"/>
          <w:between w:val="nil"/>
        </w:pBdr>
        <w:spacing w:after="120" w:line="276" w:lineRule="auto"/>
        <w:jc w:val="both"/>
        <w:rPr>
          <w:rFonts w:ascii="Verdana" w:eastAsia="Calibri" w:hAnsi="Verdana" w:cs="Arial"/>
          <w:color w:val="0070C0"/>
        </w:rPr>
      </w:pPr>
      <w:r w:rsidRPr="00EB2AAC">
        <w:rPr>
          <w:rFonts w:ascii="Verdana" w:hAnsi="Verdana" w:cs="Arial"/>
          <w:color w:val="000000" w:themeColor="text1"/>
          <w:lang w:val="es-ES_tradnl"/>
        </w:rPr>
        <w:lastRenderedPageBreak/>
        <w:t xml:space="preserve">IV). En relación con las </w:t>
      </w:r>
      <w:r w:rsidRPr="00EB2AAC">
        <w:rPr>
          <w:rFonts w:ascii="Verdana" w:hAnsi="Verdana" w:cs="Arial"/>
          <w:i/>
          <w:iCs/>
          <w:color w:val="000000" w:themeColor="text1"/>
          <w:lang w:val="es-ES_tradnl"/>
        </w:rPr>
        <w:t>personas jurídicas</w:t>
      </w:r>
      <w:r w:rsidRPr="00EB2AAC">
        <w:rPr>
          <w:rFonts w:ascii="Verdana" w:hAnsi="Verdana" w:cs="Arial"/>
          <w:color w:val="000000" w:themeColor="text1"/>
          <w:lang w:val="es-ES_tradnl"/>
        </w:rPr>
        <w:t xml:space="preserve">, su </w:t>
      </w:r>
      <w:r w:rsidRPr="00EB2AAC">
        <w:rPr>
          <w:rFonts w:ascii="Verdana" w:eastAsia="Calibri" w:hAnsi="Verdana" w:cs="Arial"/>
          <w:color w:val="000000" w:themeColor="text1"/>
          <w:lang w:val="es-ES_tradnl"/>
        </w:rPr>
        <w:t>existencia es independiente de quienes la integran. S</w:t>
      </w:r>
      <w:proofErr w:type="spellStart"/>
      <w:r w:rsidRPr="00EB2AAC">
        <w:rPr>
          <w:rFonts w:ascii="Verdana" w:eastAsia="Calibri" w:hAnsi="Verdana" w:cs="Arial"/>
          <w:color w:val="000000" w:themeColor="text1"/>
          <w:lang w:val="es-ES"/>
        </w:rPr>
        <w:t>on</w:t>
      </w:r>
      <w:proofErr w:type="spellEnd"/>
      <w:r w:rsidRPr="00EB2AAC">
        <w:rPr>
          <w:rFonts w:ascii="Verdana" w:eastAsia="Calibri" w:hAnsi="Verdana" w:cs="Arial"/>
          <w:color w:val="000000" w:themeColor="text1"/>
          <w:lang w:val="es-ES"/>
        </w:rPr>
        <w:t xml:space="preserve"> entes ficticios con capacidad autónoma para ejercer derechos y contraer obligaciones –</w:t>
      </w:r>
      <w:r w:rsidRPr="00EB2AAC">
        <w:rPr>
          <w:rFonts w:ascii="Verdana" w:eastAsia="Calibri" w:hAnsi="Verdana" w:cs="Arial"/>
          <w:color w:val="000000" w:themeColor="text1"/>
        </w:rPr>
        <w:t>art. 633 del Código Civil–</w:t>
      </w:r>
      <w:r w:rsidRPr="00EB2AAC">
        <w:rPr>
          <w:rStyle w:val="Refdenotaalpie"/>
          <w:rFonts w:ascii="Verdana" w:eastAsia="Calibri" w:hAnsi="Verdana" w:cs="Arial"/>
          <w:color w:val="000000" w:themeColor="text1"/>
        </w:rPr>
        <w:footnoteReference w:id="14"/>
      </w:r>
      <w:r w:rsidRPr="00EB2AAC">
        <w:rPr>
          <w:rFonts w:ascii="Verdana" w:eastAsia="Calibri" w:hAnsi="Verdana" w:cs="Arial"/>
          <w:color w:val="000000" w:themeColor="text1"/>
        </w:rPr>
        <w:t>; razón por la cual, aunque la participación corresponda a otros sujetos de derecho, dichos entes tienen personería jurídica diferente de los socios individualmente considerados –art. 98, inc. 2, del Código de Comercio–</w:t>
      </w:r>
      <w:r w:rsidRPr="00EB2AAC">
        <w:rPr>
          <w:rStyle w:val="Refdenotaalpie"/>
          <w:rFonts w:ascii="Verdana" w:eastAsia="Calibri" w:hAnsi="Verdana" w:cs="Arial"/>
          <w:color w:val="000000" w:themeColor="text1"/>
        </w:rPr>
        <w:footnoteReference w:id="15"/>
      </w:r>
      <w:r w:rsidRPr="00EB2AAC">
        <w:rPr>
          <w:rFonts w:ascii="Verdana" w:eastAsia="Calibri" w:hAnsi="Verdana" w:cs="Arial"/>
          <w:color w:val="000000" w:themeColor="text1"/>
        </w:rPr>
        <w:t>. De esta manera, “[…] todas estas colectividades se presentan como independientes y distintas de los seres humanos que las constituyen; desaparece en cierta medida la individualidad de estos; y se forma un ser jurídico distinto de ellos con vida propia […]”</w:t>
      </w:r>
      <w:r w:rsidRPr="00EB2AAC">
        <w:rPr>
          <w:rStyle w:val="Refdenotaalpie"/>
          <w:rFonts w:ascii="Verdana" w:eastAsia="Calibri" w:hAnsi="Verdana" w:cs="Arial"/>
          <w:color w:val="000000" w:themeColor="text1"/>
        </w:rPr>
        <w:footnoteReference w:id="16"/>
      </w:r>
      <w:r w:rsidRPr="00EB2AAC">
        <w:rPr>
          <w:rFonts w:ascii="Verdana" w:eastAsia="Calibri" w:hAnsi="Verdana" w:cs="Arial"/>
          <w:color w:val="000000" w:themeColor="text1"/>
        </w:rPr>
        <w:t xml:space="preserve">. </w:t>
      </w:r>
    </w:p>
    <w:p w14:paraId="431F8F88" w14:textId="77777777" w:rsidR="00A31155" w:rsidRPr="00FD6A62" w:rsidRDefault="00A31155" w:rsidP="00A31155">
      <w:pPr>
        <w:pBdr>
          <w:top w:val="nil"/>
          <w:left w:val="nil"/>
          <w:bottom w:val="nil"/>
          <w:right w:val="nil"/>
          <w:between w:val="nil"/>
        </w:pBdr>
        <w:spacing w:after="120" w:line="276" w:lineRule="auto"/>
        <w:jc w:val="both"/>
        <w:rPr>
          <w:rFonts w:ascii="Verdana" w:eastAsia="Calibri" w:hAnsi="Verdana" w:cs="Arial"/>
          <w:color w:val="0070C0"/>
        </w:rPr>
      </w:pPr>
      <w:r w:rsidRPr="00A96EB3">
        <w:rPr>
          <w:rFonts w:ascii="Verdana" w:eastAsia="Calibri" w:hAnsi="Verdana" w:cs="Arial"/>
          <w:color w:val="0070C0"/>
        </w:rPr>
        <w:tab/>
      </w:r>
      <w:r w:rsidRPr="00FD6A62">
        <w:rPr>
          <w:rFonts w:ascii="Verdana" w:eastAsia="Calibri" w:hAnsi="Verdana" w:cs="Arial"/>
          <w:color w:val="000000" w:themeColor="text1"/>
        </w:rPr>
        <w:t xml:space="preserve">Conforme al “Manual para Determinar y Verificar los Requisitos Habilitantes en los Procesos De Contratación” expedido por la Agencia, la capacidad de las personas jurídicas está relacionada con los siguientes aspectos: i) la posibilidad de adelantar actividades en el marco de su objeto social; </w:t>
      </w:r>
      <w:proofErr w:type="spellStart"/>
      <w:r w:rsidRPr="00FD6A62">
        <w:rPr>
          <w:rFonts w:ascii="Verdana" w:eastAsia="Calibri" w:hAnsi="Verdana" w:cs="Arial"/>
          <w:color w:val="000000" w:themeColor="text1"/>
        </w:rPr>
        <w:t>ii</w:t>
      </w:r>
      <w:proofErr w:type="spellEnd"/>
      <w:r w:rsidRPr="00FD6A62">
        <w:rPr>
          <w:rFonts w:ascii="Verdana" w:eastAsia="Calibri" w:hAnsi="Verdana" w:cs="Arial"/>
          <w:color w:val="000000" w:themeColor="text1"/>
        </w:rPr>
        <w:t xml:space="preserve">) las facultades de su representante legal y la autorización del órgano social competente cuando esto es necesario de acuerdo con sus estatutos; y </w:t>
      </w:r>
      <w:proofErr w:type="spellStart"/>
      <w:r w:rsidRPr="00FD6A62">
        <w:rPr>
          <w:rFonts w:ascii="Verdana" w:eastAsia="Calibri" w:hAnsi="Verdana" w:cs="Arial"/>
          <w:color w:val="000000" w:themeColor="text1"/>
        </w:rPr>
        <w:t>iii</w:t>
      </w:r>
      <w:proofErr w:type="spellEnd"/>
      <w:r w:rsidRPr="00FD6A62">
        <w:rPr>
          <w:rFonts w:ascii="Verdana" w:eastAsia="Calibri" w:hAnsi="Verdana" w:cs="Arial"/>
          <w:color w:val="000000" w:themeColor="text1"/>
        </w:rPr>
        <w:t>) la ausencia de inhabilidades, incompatibilidades, conflicto de intereses o prohibiciones para contratar, derivadas de la ley.</w:t>
      </w:r>
    </w:p>
    <w:p w14:paraId="2CD22F98" w14:textId="77777777" w:rsidR="00A31155" w:rsidRPr="00FD6A62" w:rsidRDefault="00A31155" w:rsidP="00A31155">
      <w:pPr>
        <w:pBdr>
          <w:top w:val="nil"/>
          <w:left w:val="nil"/>
          <w:bottom w:val="nil"/>
          <w:right w:val="nil"/>
          <w:between w:val="nil"/>
        </w:pBdr>
        <w:spacing w:after="120" w:line="276" w:lineRule="auto"/>
        <w:jc w:val="both"/>
        <w:rPr>
          <w:rFonts w:ascii="Verdana" w:eastAsia="Calibri" w:hAnsi="Verdana" w:cs="Arial"/>
          <w:color w:val="000000" w:themeColor="text1"/>
        </w:rPr>
      </w:pPr>
      <w:r w:rsidRPr="00FD6A62">
        <w:rPr>
          <w:rFonts w:ascii="Verdana" w:eastAsia="Calibri" w:hAnsi="Verdana" w:cs="Arial"/>
          <w:color w:val="0070C0"/>
        </w:rPr>
        <w:tab/>
      </w:r>
      <w:r w:rsidRPr="00FD6A62">
        <w:rPr>
          <w:rFonts w:ascii="Verdana" w:eastAsia="Calibri" w:hAnsi="Verdana" w:cs="Arial"/>
          <w:color w:val="000000" w:themeColor="text1"/>
        </w:rPr>
        <w:t xml:space="preserve">Respecto a la acreditación de la capacidad de las personas jurídicas, el certificado de existencia y representación legal juega un papel importante. </w:t>
      </w:r>
      <w:r w:rsidRPr="00FD6A62">
        <w:rPr>
          <w:rFonts w:ascii="Verdana" w:hAnsi="Verdana" w:cs="Arial"/>
          <w:color w:val="000000" w:themeColor="text1"/>
        </w:rPr>
        <w:t xml:space="preserve">Conforme al artículo 117 del Código de Comercio, tanto la existencia de la sociedad como las cláusulas del contrato se probarán mediante “[…] certificación de la cámara de comercio del domicilio principal, en la que constará el número, </w:t>
      </w:r>
      <w:r w:rsidRPr="00FD6A62">
        <w:rPr>
          <w:rFonts w:ascii="Verdana" w:hAnsi="Verdana" w:cs="Arial"/>
          <w:color w:val="000000" w:themeColor="text1"/>
        </w:rPr>
        <w:lastRenderedPageBreak/>
        <w:t>fecha y notaría de la escritura de constitución y de las reformas del contrato, si las hubiere”. Dicho documento también tiene la función de acreditar la representación de la sociedad, por lo que además deberá señalar los nombres de los representantes, las facultades conferidas a cada uno de ellos y las limitaciones que eventualmente se les impongan</w:t>
      </w:r>
      <w:r w:rsidRPr="00FD6A62">
        <w:rPr>
          <w:rFonts w:ascii="Verdana" w:hAnsi="Verdana" w:cs="Arial"/>
          <w:color w:val="000000" w:themeColor="text1"/>
          <w:vertAlign w:val="superscript"/>
        </w:rPr>
        <w:footnoteReference w:id="17"/>
      </w:r>
      <w:r w:rsidRPr="00FD6A62">
        <w:rPr>
          <w:rFonts w:ascii="Verdana" w:hAnsi="Verdana" w:cs="Arial"/>
          <w:color w:val="000000" w:themeColor="text1"/>
        </w:rPr>
        <w:t>. </w:t>
      </w:r>
    </w:p>
    <w:p w14:paraId="1678B63C" w14:textId="77777777" w:rsidR="00A31155" w:rsidRPr="00FD6A62" w:rsidRDefault="00A31155" w:rsidP="00A31155">
      <w:pPr>
        <w:spacing w:after="120" w:line="276" w:lineRule="auto"/>
        <w:jc w:val="both"/>
        <w:rPr>
          <w:rFonts w:ascii="Verdana" w:eastAsia="Calibri" w:hAnsi="Verdana" w:cs="Arial"/>
          <w:color w:val="000000" w:themeColor="text1"/>
          <w:szCs w:val="24"/>
          <w:lang w:eastAsia="es-ES_tradnl"/>
        </w:rPr>
      </w:pPr>
      <w:r w:rsidRPr="00FD6A62">
        <w:rPr>
          <w:rFonts w:ascii="Verdana" w:eastAsia="Calibri" w:hAnsi="Verdana" w:cs="Arial"/>
          <w:color w:val="000000" w:themeColor="text1"/>
          <w:szCs w:val="24"/>
          <w:lang w:eastAsia="es-ES_tradnl"/>
        </w:rPr>
        <w:tab/>
        <w:t>En concordancia con esta disposición, las entidades estatales al adelantar sus procesos de contratación exigen certificados de existencia y representación con un tiempo de expedición determinado, para verificar tanto la identidad de sus eventuales contratistas que tengan la condición de personas jurídicas como las atribuciones de sus representantes legales. Por ejemplo, tratándose de los “Documentos Tipo – Versión 4” de licitación de obra pública de infraestructura de transporte, éste se solicita para verificar el requisito habilitante de capacidad; razón por la cual, de acuerdo con el numeral 3.2.2 de documento base, debe tener una “Fecha de expedición […] no mayor a treinta (30) días calendario anteriores a la fecha de cierre del Proceso de Contratación. En caso de modificarse la fecha de cierre del proceso, se tendrá como referencia para establecer el plazo de vigencia del certificado de existencia y representación legal la fecha originalmente establecida en el pliego de condiciones definitivo”.</w:t>
      </w:r>
    </w:p>
    <w:p w14:paraId="2FF3D15F" w14:textId="77777777" w:rsidR="00A31155" w:rsidRPr="00FD6A62" w:rsidRDefault="00A31155" w:rsidP="00A31155">
      <w:pPr>
        <w:spacing w:after="120" w:line="276" w:lineRule="auto"/>
        <w:jc w:val="both"/>
        <w:rPr>
          <w:rFonts w:ascii="Verdana" w:eastAsia="Calibri" w:hAnsi="Verdana" w:cs="Arial"/>
          <w:color w:val="000000" w:themeColor="text1"/>
          <w:szCs w:val="24"/>
          <w:lang w:eastAsia="es-ES_tradnl"/>
        </w:rPr>
      </w:pPr>
      <w:r w:rsidRPr="00FD6A62">
        <w:rPr>
          <w:rFonts w:ascii="Verdana" w:eastAsia="Calibri" w:hAnsi="Verdana" w:cs="Arial"/>
          <w:color w:val="0070C0"/>
          <w:szCs w:val="24"/>
          <w:lang w:eastAsia="es-ES_tradnl"/>
        </w:rPr>
        <w:tab/>
      </w:r>
      <w:r w:rsidRPr="00FD6A62">
        <w:rPr>
          <w:rFonts w:ascii="Verdana" w:eastAsia="Calibri" w:hAnsi="Verdana" w:cs="Arial"/>
          <w:color w:val="000000" w:themeColor="text1"/>
          <w:szCs w:val="24"/>
          <w:lang w:eastAsia="es-ES_tradnl"/>
        </w:rPr>
        <w:t xml:space="preserve">Asimismo, para efectos de las convocatorias de que trata el artículo 12 de la Ley 1150 de 2007, el parágrafo segundo del artículo 2.2.1.2.4.2.4 del Decreto 1082 de 2015 dispone lo siguiente: “Para efectos de la limitación a </w:t>
      </w:r>
      <w:proofErr w:type="spellStart"/>
      <w:r w:rsidRPr="00FD6A62">
        <w:rPr>
          <w:rFonts w:ascii="Verdana" w:eastAsia="Calibri" w:hAnsi="Verdana" w:cs="Arial"/>
          <w:color w:val="000000" w:themeColor="text1"/>
          <w:szCs w:val="24"/>
          <w:lang w:eastAsia="es-ES_tradnl"/>
        </w:rPr>
        <w:t>Mipyme</w:t>
      </w:r>
      <w:proofErr w:type="spellEnd"/>
      <w:r w:rsidRPr="00FD6A62">
        <w:rPr>
          <w:rFonts w:ascii="Verdana" w:eastAsia="Calibri" w:hAnsi="Verdana" w:cs="Arial"/>
          <w:color w:val="000000" w:themeColor="text1"/>
          <w:szCs w:val="24"/>
          <w:lang w:eastAsia="es-ES_tradnl"/>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37B3FE7B" w14:textId="77777777" w:rsidR="00A31155" w:rsidRPr="00FD6A62" w:rsidRDefault="00A31155" w:rsidP="00A31155">
      <w:pPr>
        <w:spacing w:after="0" w:line="276" w:lineRule="auto"/>
        <w:jc w:val="both"/>
        <w:rPr>
          <w:rFonts w:ascii="Verdana" w:eastAsia="Calibri" w:hAnsi="Verdana" w:cs="Arial"/>
          <w:color w:val="000000" w:themeColor="text1"/>
          <w:szCs w:val="24"/>
          <w:lang w:eastAsia="es-ES_tradnl"/>
        </w:rPr>
      </w:pPr>
      <w:r w:rsidRPr="00FD6A62">
        <w:rPr>
          <w:rFonts w:ascii="Verdana" w:eastAsia="Calibri" w:hAnsi="Verdana" w:cs="Arial"/>
          <w:color w:val="000000" w:themeColor="text1"/>
          <w:szCs w:val="24"/>
          <w:lang w:eastAsia="es-ES_tradnl"/>
        </w:rPr>
        <w:tab/>
        <w:t xml:space="preserve">Los plazos indicados en los párrafos precedentes no se derivan de una regulación de orden legal, pues –pues aunque el artículo 33 del Código de </w:t>
      </w:r>
      <w:r w:rsidRPr="00FD6A62">
        <w:rPr>
          <w:rFonts w:ascii="Verdana" w:eastAsia="Calibri" w:hAnsi="Verdana" w:cs="Arial"/>
          <w:color w:val="000000" w:themeColor="text1"/>
          <w:szCs w:val="24"/>
          <w:lang w:eastAsia="es-ES_tradnl"/>
        </w:rPr>
        <w:lastRenderedPageBreak/>
        <w:t xml:space="preserve">Comercio prescribe que las personas que tengan la calidad de comerciantes deben renovar matrícula mercantil dentro de los tres primeros meses de cada año– no existe un término de vigencia para la certificación. Por ello, salvo norma que disponga algún plazo especial, dicho aspecto debe clarificarse en los documentos del proceso, pues ni el Código de Comercio ni ninguna otra norma del ordenamiento jurídico colombiano regulan la materia. Al respecto, en Oficio 16-136493 del 5 de julio de 2016, la Superintendencia de Industria y Comercio estima que: </w:t>
      </w:r>
    </w:p>
    <w:p w14:paraId="0F368DC7" w14:textId="77777777" w:rsidR="00A31155" w:rsidRPr="00FD6A62" w:rsidRDefault="00A31155" w:rsidP="00A31155">
      <w:pPr>
        <w:spacing w:after="0" w:line="276" w:lineRule="auto"/>
        <w:jc w:val="both"/>
        <w:rPr>
          <w:rFonts w:ascii="Verdana" w:hAnsi="Verdana" w:cs="Arial"/>
          <w:color w:val="0070C0"/>
        </w:rPr>
      </w:pPr>
    </w:p>
    <w:p w14:paraId="3AE9BDA5" w14:textId="77777777" w:rsidR="00A31155" w:rsidRPr="00FD6A62" w:rsidRDefault="00A31155" w:rsidP="00A31155">
      <w:pPr>
        <w:spacing w:after="120" w:line="240" w:lineRule="auto"/>
        <w:ind w:left="709" w:right="709"/>
        <w:jc w:val="both"/>
        <w:rPr>
          <w:rFonts w:ascii="Verdana" w:eastAsia="Calibri" w:hAnsi="Verdana" w:cs="Arial"/>
          <w:color w:val="000000"/>
          <w:sz w:val="21"/>
          <w:szCs w:val="21"/>
          <w:lang w:eastAsia="es-ES_tradnl"/>
        </w:rPr>
      </w:pPr>
      <w:r w:rsidRPr="00FD6A62">
        <w:rPr>
          <w:rFonts w:ascii="Verdana" w:eastAsia="Calibri" w:hAnsi="Verdana" w:cs="Arial"/>
          <w:color w:val="000000"/>
          <w:sz w:val="21"/>
          <w:szCs w:val="21"/>
          <w:lang w:eastAsia="es-ES_tradnl"/>
        </w:rPr>
        <w:t xml:space="preserve">“[…] la ley no ha señalado un término de vigencia para el certificado de existencia y representación legal que expiden las cámaras de comercio. </w:t>
      </w:r>
    </w:p>
    <w:p w14:paraId="341D3F2E" w14:textId="77777777" w:rsidR="00A31155" w:rsidRPr="00FD6A62" w:rsidRDefault="00A31155" w:rsidP="00A31155">
      <w:pPr>
        <w:spacing w:after="120" w:line="240" w:lineRule="auto"/>
        <w:ind w:left="709" w:right="709"/>
        <w:jc w:val="both"/>
        <w:rPr>
          <w:rFonts w:ascii="Verdana" w:eastAsia="Calibri" w:hAnsi="Verdana" w:cs="Arial"/>
          <w:color w:val="000000"/>
          <w:sz w:val="21"/>
          <w:szCs w:val="21"/>
          <w:lang w:eastAsia="es-ES_tradnl"/>
        </w:rPr>
      </w:pPr>
      <w:r w:rsidRPr="00FD6A62">
        <w:rPr>
          <w:rFonts w:ascii="Verdana" w:eastAsia="Calibri" w:hAnsi="Verdana" w:cs="Arial"/>
          <w:color w:val="000000"/>
          <w:sz w:val="21"/>
          <w:szCs w:val="21"/>
          <w:lang w:eastAsia="es-ES_tradnl"/>
        </w:rPr>
        <w:t>En relación con este punto, es pertinente advertir que teniendo en cuenta que los actos y documentos sujetos a inscripción pueden ser modificados en cualquier momento y las cámaras de comercio deben proceder a su registro siempre que se cumplan los requisitos previstos para dicha inscripción, los certificados de existencia y representación legal no tienen una vigencia temporal específica. En consecuencia, mientras no se presenten otros actos y documentos que alteren las inscripciones previas, tales certificados corresponderán exactamente a lo que se encuentre inscrito.</w:t>
      </w:r>
    </w:p>
    <w:p w14:paraId="610D9230" w14:textId="77777777" w:rsidR="00A31155" w:rsidRPr="00FD6A62" w:rsidRDefault="00A31155" w:rsidP="00A31155">
      <w:pPr>
        <w:spacing w:after="0" w:line="240" w:lineRule="auto"/>
        <w:ind w:left="709" w:right="709"/>
        <w:jc w:val="both"/>
        <w:rPr>
          <w:rFonts w:ascii="Verdana" w:eastAsia="Calibri" w:hAnsi="Verdana" w:cs="Arial"/>
          <w:color w:val="000000"/>
          <w:sz w:val="21"/>
          <w:szCs w:val="21"/>
          <w:lang w:eastAsia="es-ES_tradnl"/>
        </w:rPr>
      </w:pPr>
      <w:r w:rsidRPr="00FD6A62">
        <w:rPr>
          <w:rFonts w:ascii="Verdana" w:eastAsia="Calibri" w:hAnsi="Verdana" w:cs="Arial"/>
          <w:color w:val="000000"/>
          <w:sz w:val="21"/>
          <w:szCs w:val="21"/>
          <w:lang w:eastAsia="es-ES_tradnl"/>
        </w:rPr>
        <w:t xml:space="preserve">De acuerdo con lo anterior, se debe señalar que </w:t>
      </w:r>
      <w:r w:rsidRPr="00FD6A62">
        <w:rPr>
          <w:rFonts w:ascii="Verdana" w:eastAsia="Calibri" w:hAnsi="Verdana" w:cs="Arial"/>
          <w:i/>
          <w:iCs/>
          <w:color w:val="000000"/>
          <w:sz w:val="21"/>
          <w:szCs w:val="21"/>
          <w:lang w:eastAsia="es-ES_tradnl"/>
        </w:rPr>
        <w:t>en caso de que se requiera conocer con plena certeza los actos y documentos inscritos en la cámara de comercio de una sociedad determinada, es necesario obtener certificados de existencia y representación legal recientemente expedidos por la cámara de comercio respectiva</w:t>
      </w:r>
      <w:r w:rsidRPr="00FD6A62">
        <w:rPr>
          <w:rFonts w:ascii="Verdana" w:eastAsia="Calibri" w:hAnsi="Verdana" w:cs="Arial"/>
          <w:color w:val="000000"/>
          <w:sz w:val="21"/>
          <w:szCs w:val="21"/>
          <w:lang w:eastAsia="es-ES_tradnl"/>
        </w:rPr>
        <w:t>”. (Énfasis fuera de texto)</w:t>
      </w:r>
    </w:p>
    <w:p w14:paraId="60AE2A68" w14:textId="77777777" w:rsidR="00A31155" w:rsidRPr="00FD6A62" w:rsidRDefault="00A31155" w:rsidP="00A31155">
      <w:pPr>
        <w:spacing w:after="0" w:line="276" w:lineRule="auto"/>
        <w:jc w:val="both"/>
        <w:rPr>
          <w:rFonts w:ascii="Verdana" w:hAnsi="Verdana" w:cs="Arial"/>
          <w:color w:val="0070C0"/>
        </w:rPr>
      </w:pPr>
    </w:p>
    <w:p w14:paraId="149DB1FF" w14:textId="77777777" w:rsidR="00A31155" w:rsidRDefault="00A31155" w:rsidP="00A31155">
      <w:pPr>
        <w:spacing w:after="120" w:line="276" w:lineRule="auto"/>
        <w:ind w:firstLine="708"/>
        <w:jc w:val="both"/>
        <w:rPr>
          <w:rFonts w:ascii="Verdana" w:eastAsia="Calibri" w:hAnsi="Verdana" w:cs="Arial"/>
          <w:color w:val="000000"/>
          <w:szCs w:val="24"/>
          <w:lang w:eastAsia="es-ES_tradnl"/>
        </w:rPr>
      </w:pPr>
      <w:r w:rsidRPr="00FD6A62">
        <w:rPr>
          <w:rFonts w:ascii="Verdana" w:eastAsia="Calibri" w:hAnsi="Verdana" w:cs="Arial"/>
          <w:color w:val="000000"/>
          <w:szCs w:val="24"/>
          <w:lang w:eastAsia="es-ES_tradnl"/>
        </w:rPr>
        <w:t xml:space="preserve">En esta perspectiva, no incluir un término para la expedición del certificado de existencia y representación en el pliego de condiciones podría generar consecuencias negativas que afectan el proceso de contratación. Por ejemplo, si no se estableciera un término máximo de expedición del certificado de existencia y representación, podría ocurrir que las personas jurídicas hubieren modificado su objeto social a actividades que no permiten ejecutar el contrato estatal, sin que la Entidad Estatal tenga conocimiento de esta situación, al no contar con un certificado reciente. De igual forma, si una sociedad restringe la capacidad del representante legal para contraer obligaciones y esta restricción no se ve reflejada en el certificado de existencia y representación, al no ser reciente, la entidad estatal podría terminar suscribiendo un contrato inoponible </w:t>
      </w:r>
      <w:r w:rsidRPr="00FD6A62">
        <w:rPr>
          <w:rFonts w:ascii="Verdana" w:eastAsia="Calibri" w:hAnsi="Verdana" w:cs="Arial"/>
          <w:color w:val="000000"/>
          <w:szCs w:val="24"/>
          <w:lang w:eastAsia="es-ES_tradnl"/>
        </w:rPr>
        <w:lastRenderedPageBreak/>
        <w:t>frente a la sociedad, en cuanto el representante legal no tendría la capacidad jurídica para que esta contraiga obligaciones</w:t>
      </w:r>
      <w:r w:rsidRPr="00FD6A62">
        <w:rPr>
          <w:rFonts w:ascii="Arial" w:eastAsia="Times New Roman" w:hAnsi="Arial" w:cs="Arial"/>
          <w:color w:val="000000" w:themeColor="text1"/>
          <w:vertAlign w:val="superscript"/>
          <w:lang w:eastAsia="es-ES"/>
        </w:rPr>
        <w:footnoteReference w:id="18"/>
      </w:r>
      <w:r w:rsidRPr="00FD6A62">
        <w:rPr>
          <w:rFonts w:ascii="Verdana" w:eastAsia="Calibri" w:hAnsi="Verdana" w:cs="Arial"/>
          <w:color w:val="000000"/>
          <w:szCs w:val="24"/>
          <w:lang w:eastAsia="es-ES_tradnl"/>
        </w:rPr>
        <w:t>. Además, es posible que la sociedad hubiera realizado modificaciones respecto a su representante legal u otras modificaciones que justifican que se aporte un certificado de existencia y representación legal de reciente expedición.</w:t>
      </w:r>
      <w:r>
        <w:rPr>
          <w:rFonts w:ascii="Verdana" w:eastAsia="Calibri" w:hAnsi="Verdana" w:cs="Arial"/>
          <w:color w:val="000000"/>
          <w:szCs w:val="24"/>
          <w:lang w:eastAsia="es-ES_tradnl"/>
        </w:rPr>
        <w:t xml:space="preserve"> </w:t>
      </w:r>
    </w:p>
    <w:p w14:paraId="00C251CB" w14:textId="77777777" w:rsidR="00A31155" w:rsidRDefault="00A31155" w:rsidP="00A31155">
      <w:pPr>
        <w:spacing w:after="120" w:line="276" w:lineRule="auto"/>
        <w:ind w:firstLine="708"/>
        <w:jc w:val="both"/>
        <w:rPr>
          <w:rFonts w:ascii="Verdana" w:eastAsia="Calibri" w:hAnsi="Verdana" w:cs="Arial"/>
          <w:color w:val="000000"/>
          <w:szCs w:val="24"/>
          <w:lang w:eastAsia="es-ES_tradnl"/>
        </w:rPr>
      </w:pPr>
      <w:r w:rsidRPr="003B354F">
        <w:rPr>
          <w:rFonts w:ascii="Verdana" w:eastAsia="Calibri" w:hAnsi="Verdana" w:cs="Arial"/>
          <w:color w:val="000000"/>
          <w:szCs w:val="24"/>
          <w:lang w:eastAsia="es-ES_tradnl"/>
        </w:rPr>
        <w:t>En esa medida,</w:t>
      </w:r>
      <w:r>
        <w:rPr>
          <w:rFonts w:ascii="Verdana" w:eastAsia="Calibri" w:hAnsi="Verdana" w:cs="Arial"/>
          <w:color w:val="000000"/>
          <w:szCs w:val="24"/>
          <w:lang w:eastAsia="es-ES_tradnl"/>
        </w:rPr>
        <w:t xml:space="preserve"> como ocurre en</w:t>
      </w:r>
      <w:r w:rsidRPr="003B354F">
        <w:rPr>
          <w:rFonts w:ascii="Verdana" w:eastAsia="Calibri" w:hAnsi="Verdana" w:cs="Arial"/>
          <w:color w:val="000000"/>
          <w:szCs w:val="24"/>
          <w:lang w:eastAsia="es-ES_tradnl"/>
        </w:rPr>
        <w:t xml:space="preserve"> los documentos tipo de </w:t>
      </w:r>
      <w:r>
        <w:rPr>
          <w:rFonts w:ascii="Verdana" w:eastAsia="Calibri" w:hAnsi="Verdana" w:cs="Arial"/>
          <w:color w:val="000000"/>
          <w:szCs w:val="24"/>
          <w:lang w:eastAsia="es-ES_tradnl"/>
        </w:rPr>
        <w:t>licitación para obra pública</w:t>
      </w:r>
      <w:r w:rsidRPr="003B354F">
        <w:rPr>
          <w:rFonts w:ascii="Verdana" w:eastAsia="Calibri" w:hAnsi="Verdana" w:cs="Arial"/>
          <w:color w:val="000000"/>
          <w:szCs w:val="24"/>
          <w:lang w:eastAsia="es-ES_tradnl"/>
        </w:rPr>
        <w:t xml:space="preserve"> de infraestructura de transporte, la Agencia Nacional de Contratación Pública – Colombia Compra Eficiente adoptó un término de expedición del certificado de existencia y representación legal de máximo 30 días antes del cierre del proceso</w:t>
      </w:r>
      <w:r>
        <w:rPr>
          <w:rFonts w:ascii="Verdana" w:eastAsia="Calibri" w:hAnsi="Verdana" w:cs="Arial"/>
          <w:color w:val="000000"/>
          <w:szCs w:val="24"/>
          <w:lang w:eastAsia="es-ES_tradnl"/>
        </w:rPr>
        <w:t>. E</w:t>
      </w:r>
      <w:r w:rsidRPr="003B354F">
        <w:rPr>
          <w:rFonts w:ascii="Verdana" w:eastAsia="Calibri" w:hAnsi="Verdana" w:cs="Arial"/>
          <w:color w:val="000000"/>
          <w:szCs w:val="24"/>
          <w:lang w:eastAsia="es-ES_tradnl"/>
        </w:rPr>
        <w:t xml:space="preserve">sta regla </w:t>
      </w:r>
      <w:r>
        <w:rPr>
          <w:rFonts w:ascii="Verdana" w:eastAsia="Calibri" w:hAnsi="Verdana" w:cs="Arial"/>
          <w:color w:val="000000"/>
          <w:szCs w:val="24"/>
          <w:lang w:eastAsia="es-ES_tradnl"/>
        </w:rPr>
        <w:t>garantiza</w:t>
      </w:r>
      <w:r w:rsidRPr="003B354F">
        <w:rPr>
          <w:rFonts w:ascii="Verdana" w:eastAsia="Calibri" w:hAnsi="Verdana" w:cs="Arial"/>
          <w:color w:val="000000"/>
          <w:szCs w:val="24"/>
          <w:lang w:eastAsia="es-ES_tradnl"/>
        </w:rPr>
        <w:t xml:space="preserve"> que la entidades estatales puedan identificar con plena certeza la identidad de la persona jurídica, además de evitar circunstancias como las indicadas en el párrafo anterior, de manera que no se materialicen las consecuencias negativas que se pudieren derivar de la presentación de certificados de existencia y representación legal que no </w:t>
      </w:r>
      <w:r>
        <w:rPr>
          <w:rFonts w:ascii="Verdana" w:eastAsia="Calibri" w:hAnsi="Verdana" w:cs="Arial"/>
          <w:color w:val="000000"/>
          <w:szCs w:val="24"/>
          <w:lang w:eastAsia="es-ES_tradnl"/>
        </w:rPr>
        <w:t>sean</w:t>
      </w:r>
      <w:r w:rsidRPr="003B354F">
        <w:rPr>
          <w:rFonts w:ascii="Verdana" w:eastAsia="Calibri" w:hAnsi="Verdana" w:cs="Arial"/>
          <w:color w:val="000000"/>
          <w:szCs w:val="24"/>
          <w:lang w:eastAsia="es-ES_tradnl"/>
        </w:rPr>
        <w:t xml:space="preserve"> recientes. En tal sentido, se consideró que el término de 30 días calendario al cierre del proceso constitu</w:t>
      </w:r>
      <w:r>
        <w:rPr>
          <w:rFonts w:ascii="Verdana" w:eastAsia="Calibri" w:hAnsi="Verdana" w:cs="Arial"/>
          <w:color w:val="000000"/>
          <w:szCs w:val="24"/>
          <w:lang w:eastAsia="es-ES_tradnl"/>
        </w:rPr>
        <w:t>ye</w:t>
      </w:r>
      <w:r w:rsidRPr="003B354F">
        <w:rPr>
          <w:rFonts w:ascii="Verdana" w:eastAsia="Calibri" w:hAnsi="Verdana" w:cs="Arial"/>
          <w:color w:val="000000"/>
          <w:szCs w:val="24"/>
          <w:lang w:eastAsia="es-ES_tradnl"/>
        </w:rPr>
        <w:t xml:space="preserve"> un término razonable que suelen utilizar muchas entidades estatales en su práctica contractual.</w:t>
      </w:r>
      <w:r>
        <w:rPr>
          <w:rFonts w:ascii="Verdana" w:eastAsia="Calibri" w:hAnsi="Verdana" w:cs="Arial"/>
          <w:color w:val="000000"/>
          <w:szCs w:val="24"/>
          <w:lang w:eastAsia="es-ES_tradnl"/>
        </w:rPr>
        <w:t xml:space="preserve"> Por tanto, salvo que el proceso de selección se rija por el artículo 1 de la Ley 2022 de 2020 o el artículo 56 de la Ley 2195 de 2022, las entidades tienen discrecionalidad para acoger dicho plazo de vigencia o establecer uno distinto en los pliegos de condiciones.</w:t>
      </w:r>
    </w:p>
    <w:p w14:paraId="39C8772B" w14:textId="77777777" w:rsidR="00A31155" w:rsidRPr="006E7F2B" w:rsidRDefault="00A31155" w:rsidP="00A31155">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L</w:t>
      </w:r>
      <w:r w:rsidRPr="00E347D3">
        <w:rPr>
          <w:rFonts w:ascii="Verdana" w:eastAsia="Calibri" w:hAnsi="Verdana" w:cs="Arial"/>
        </w:rPr>
        <w:t xml:space="preserve">as cámaras de comercio, de acuerdo con el artículo 6.1 de la Ley 1150 de 2007 y con el artículo 2.2.1.1.1.5.3 del Decreto 1082 de 2015, verificarán y certificarán los requisitos habilitantes de experiencia, capacidad jurídica, capacidad financiera y de organización. Conforme al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E347D3">
        <w:rPr>
          <w:rFonts w:ascii="Verdana" w:eastAsia="Calibri" w:hAnsi="Verdana" w:cs="Arial"/>
          <w:i/>
          <w:iCs/>
        </w:rPr>
        <w:t>inscripción, renovación o actualización–</w:t>
      </w:r>
      <w:r w:rsidRPr="00E347D3">
        <w:rPr>
          <w:rFonts w:ascii="Verdana" w:eastAsia="Calibri" w:hAnsi="Verdana" w:cs="Arial"/>
          <w:vertAlign w:val="superscript"/>
        </w:rPr>
        <w:footnoteReference w:id="19"/>
      </w:r>
      <w:r w:rsidRPr="00E347D3">
        <w:rPr>
          <w:rFonts w:ascii="Verdana" w:eastAsia="Calibri" w:hAnsi="Verdana" w:cs="Arial"/>
        </w:rPr>
        <w:t xml:space="preserve">. En </w:t>
      </w:r>
      <w:r w:rsidRPr="00E347D3">
        <w:rPr>
          <w:rFonts w:ascii="Verdana" w:eastAsia="Calibri" w:hAnsi="Verdana" w:cs="Arial"/>
        </w:rPr>
        <w:lastRenderedPageBreak/>
        <w:t>firme el acto administrativo que realiza la inscripción en el Registro Único de Proponentes se podrá demandar su nulidad sin que la presentación de la demanda suspenda la inscripción del RUP.</w:t>
      </w:r>
    </w:p>
    <w:p w14:paraId="5A907CB8" w14:textId="77777777" w:rsidR="00A31155" w:rsidRPr="002139D9" w:rsidRDefault="00A31155" w:rsidP="00A31155">
      <w:pPr>
        <w:spacing w:after="0" w:line="276" w:lineRule="auto"/>
        <w:ind w:firstLine="708"/>
        <w:jc w:val="both"/>
        <w:rPr>
          <w:rFonts w:ascii="Verdana" w:eastAsia="Calibri" w:hAnsi="Verdana" w:cs="Arial"/>
        </w:rPr>
      </w:pPr>
      <w:r>
        <w:rPr>
          <w:rFonts w:ascii="Verdana" w:eastAsia="Calibri" w:hAnsi="Verdana" w:cs="Arial"/>
        </w:rPr>
        <w:t>E</w:t>
      </w:r>
      <w:r w:rsidRPr="002139D9">
        <w:rPr>
          <w:rFonts w:ascii="Verdana" w:eastAsia="Calibri" w:hAnsi="Verdana" w:cs="Arial"/>
        </w:rPr>
        <w:t>l artículo 2.2.1.1.1.5.1 del Decreto 1082 de 2015 señala que las personas inscritas en el RUP deben presentar la información para renovar su registro a más tardar el quinto día hábil del mes de abril de cada año, de lo contrario cesan los efectos del RUP</w:t>
      </w:r>
      <w:r w:rsidRPr="002139D9">
        <w:rPr>
          <w:rFonts w:ascii="Verdana" w:eastAsia="Calibri" w:hAnsi="Verdana" w:cs="Arial"/>
          <w:vertAlign w:val="superscript"/>
        </w:rPr>
        <w:footnoteReference w:id="20"/>
      </w:r>
      <w:r w:rsidRPr="002139D9">
        <w:rPr>
          <w:rFonts w:ascii="Verdana" w:eastAsia="Calibri" w:hAnsi="Verdana" w:cs="Arial"/>
        </w:rPr>
        <w:t>. Asimismo, el Consejo de Estado en sentencia del 19 de septiembre de 2019 señaló la finalidad de la renovación del RUP y las consecuencias de no hacerlo en el término previsto:</w:t>
      </w:r>
    </w:p>
    <w:p w14:paraId="740D8AD0" w14:textId="77777777" w:rsidR="00A31155" w:rsidRPr="002139D9" w:rsidRDefault="00A31155" w:rsidP="00A31155">
      <w:pPr>
        <w:spacing w:after="0" w:line="276" w:lineRule="auto"/>
        <w:jc w:val="both"/>
        <w:rPr>
          <w:rFonts w:ascii="Verdana" w:eastAsia="Calibri" w:hAnsi="Verdana" w:cs="Arial"/>
        </w:rPr>
      </w:pPr>
    </w:p>
    <w:p w14:paraId="469343F3" w14:textId="77777777" w:rsidR="00A31155" w:rsidRPr="002139D9" w:rsidRDefault="00A31155" w:rsidP="00A31155">
      <w:pPr>
        <w:tabs>
          <w:tab w:val="left" w:pos="567"/>
        </w:tabs>
        <w:spacing w:after="120" w:line="240" w:lineRule="auto"/>
        <w:ind w:left="709" w:right="709"/>
        <w:jc w:val="both"/>
        <w:rPr>
          <w:rFonts w:ascii="Verdana" w:eastAsia="Calibri" w:hAnsi="Verdana" w:cs="Arial"/>
          <w:sz w:val="21"/>
          <w:szCs w:val="21"/>
        </w:rPr>
      </w:pPr>
      <w:r>
        <w:rPr>
          <w:rFonts w:ascii="Verdana" w:eastAsia="Calibri" w:hAnsi="Verdana" w:cs="Arial"/>
          <w:sz w:val="21"/>
          <w:szCs w:val="21"/>
        </w:rPr>
        <w:t>“</w:t>
      </w:r>
      <w:r w:rsidRPr="002139D9">
        <w:rPr>
          <w:rFonts w:ascii="Verdana" w:eastAsia="Calibri" w:hAnsi="Verdana" w:cs="Arial"/>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1AA29AD2" w14:textId="77777777" w:rsidR="00A31155" w:rsidRPr="002139D9" w:rsidRDefault="00A31155" w:rsidP="00A31155">
      <w:pPr>
        <w:tabs>
          <w:tab w:val="left" w:pos="567"/>
        </w:tabs>
        <w:spacing w:after="0" w:line="240" w:lineRule="auto"/>
        <w:ind w:left="709" w:right="709"/>
        <w:jc w:val="both"/>
        <w:rPr>
          <w:rFonts w:ascii="Verdana" w:eastAsia="Calibri" w:hAnsi="Verdana" w:cs="Arial"/>
          <w:sz w:val="21"/>
          <w:szCs w:val="21"/>
        </w:rPr>
      </w:pPr>
      <w:r w:rsidRPr="002139D9">
        <w:rPr>
          <w:rFonts w:ascii="Verdana" w:eastAsia="Calibri" w:hAnsi="Verdana" w:cs="Arial"/>
          <w:sz w:val="21"/>
          <w:szCs w:val="21"/>
        </w:rPr>
        <w:lastRenderedPageBreak/>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Pr>
          <w:rFonts w:ascii="Verdana" w:eastAsia="Calibri" w:hAnsi="Verdana" w:cs="Arial"/>
          <w:sz w:val="21"/>
          <w:szCs w:val="21"/>
        </w:rPr>
        <w:t>”</w:t>
      </w:r>
      <w:r w:rsidRPr="002139D9">
        <w:rPr>
          <w:rFonts w:ascii="Verdana" w:eastAsia="Calibri" w:hAnsi="Verdana" w:cs="Arial"/>
          <w:sz w:val="21"/>
          <w:szCs w:val="21"/>
          <w:vertAlign w:val="superscript"/>
        </w:rPr>
        <w:footnoteReference w:id="21"/>
      </w:r>
      <w:r w:rsidRPr="002139D9">
        <w:rPr>
          <w:rFonts w:ascii="Verdana" w:eastAsia="Calibri" w:hAnsi="Verdana" w:cs="Arial"/>
          <w:sz w:val="21"/>
          <w:szCs w:val="21"/>
        </w:rPr>
        <w:t xml:space="preserve">. </w:t>
      </w:r>
    </w:p>
    <w:p w14:paraId="6B1A2016" w14:textId="77777777" w:rsidR="00A31155" w:rsidRPr="002139D9" w:rsidRDefault="00A31155" w:rsidP="00A31155">
      <w:pPr>
        <w:spacing w:after="0" w:line="240" w:lineRule="auto"/>
        <w:jc w:val="both"/>
        <w:rPr>
          <w:rFonts w:ascii="Verdana" w:eastAsia="Calibri" w:hAnsi="Verdana" w:cs="Arial"/>
        </w:rPr>
      </w:pPr>
      <w:r w:rsidRPr="002139D9">
        <w:rPr>
          <w:rFonts w:ascii="Verdana" w:eastAsia="Calibri" w:hAnsi="Verdana" w:cs="Arial"/>
        </w:rPr>
        <w:t xml:space="preserve"> </w:t>
      </w:r>
    </w:p>
    <w:p w14:paraId="644DD5DD" w14:textId="77777777" w:rsidR="00A31155" w:rsidRPr="002139D9" w:rsidRDefault="00A31155" w:rsidP="00A31155">
      <w:pPr>
        <w:spacing w:after="120" w:line="276" w:lineRule="auto"/>
        <w:ind w:firstLine="708"/>
        <w:jc w:val="both"/>
        <w:rPr>
          <w:rFonts w:ascii="Verdana" w:eastAsia="Calibri" w:hAnsi="Verdana" w:cs="Arial"/>
        </w:rPr>
      </w:pPr>
      <w:r w:rsidRPr="002139D9">
        <w:rPr>
          <w:rFonts w:ascii="Verdana" w:eastAsia="Calibri" w:hAnsi="Verdana" w:cs="Arial"/>
        </w:rPr>
        <w:t xml:space="preserve">Conforme a lo anterior, en armonía el artículo 2.2.1.1.1.5.1. del Decreto 1082 de 2015, </w:t>
      </w:r>
      <w:r w:rsidRPr="002139D9">
        <w:rPr>
          <w:rFonts w:ascii="Verdana" w:eastAsia="Calibri" w:hAnsi="Verdana" w:cs="Arial"/>
          <w:i/>
        </w:rPr>
        <w:t>si el proponente</w:t>
      </w:r>
      <w:r w:rsidRPr="002139D9">
        <w:rPr>
          <w:rFonts w:ascii="Verdana" w:eastAsia="Calibri" w:hAnsi="Verdana" w:cs="Arial"/>
        </w:rPr>
        <w:t xml:space="preserve"> </w:t>
      </w:r>
      <w:r w:rsidRPr="002139D9">
        <w:rPr>
          <w:rFonts w:ascii="Verdana" w:eastAsia="Calibri" w:hAnsi="Verdana" w:cs="Arial"/>
          <w:i/>
        </w:rPr>
        <w:t>no presenta la información para renovar su registro</w:t>
      </w:r>
      <w:r w:rsidRPr="002139D9">
        <w:rPr>
          <w:rFonts w:ascii="Verdana" w:eastAsia="Calibri" w:hAnsi="Verdana" w:cs="Arial"/>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19127274" w14:textId="77777777" w:rsidR="00A31155" w:rsidRPr="002139D9" w:rsidRDefault="00A31155" w:rsidP="00A31155">
      <w:pPr>
        <w:spacing w:after="120" w:line="276" w:lineRule="auto"/>
        <w:ind w:firstLine="708"/>
        <w:jc w:val="both"/>
        <w:rPr>
          <w:rFonts w:ascii="Verdana" w:eastAsia="Calibri" w:hAnsi="Verdana" w:cs="Arial"/>
        </w:rPr>
      </w:pPr>
      <w:r w:rsidRPr="002139D9">
        <w:rPr>
          <w:rFonts w:ascii="Verdana" w:eastAsia="Calibri" w:hAnsi="Verdana" w:cs="Arial"/>
        </w:rPr>
        <w:t xml:space="preserve">Tratándose del trámite de </w:t>
      </w:r>
      <w:r w:rsidRPr="002139D9">
        <w:rPr>
          <w:rFonts w:ascii="Verdana" w:eastAsia="Calibri" w:hAnsi="Verdana" w:cs="Arial"/>
          <w:i/>
        </w:rPr>
        <w:t>renovación,</w:t>
      </w:r>
      <w:r w:rsidRPr="002139D9">
        <w:rPr>
          <w:rFonts w:ascii="Verdana" w:eastAsia="Calibri" w:hAnsi="Verdana" w:cs="Arial"/>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73BD8695" w14:textId="77777777" w:rsidR="00A31155" w:rsidRPr="002139D9" w:rsidRDefault="00A31155" w:rsidP="00A31155">
      <w:pPr>
        <w:spacing w:after="120" w:line="276" w:lineRule="auto"/>
        <w:ind w:firstLine="708"/>
        <w:jc w:val="both"/>
        <w:rPr>
          <w:rFonts w:ascii="Verdana" w:eastAsia="Calibri" w:hAnsi="Verdana" w:cs="Arial"/>
        </w:rPr>
      </w:pPr>
      <w:r w:rsidRPr="002139D9">
        <w:rPr>
          <w:rFonts w:ascii="Verdana" w:eastAsia="Calibri" w:hAnsi="Verdana" w:cs="Arial"/>
        </w:rPr>
        <w:t>Así las cosas, para verificar que los efectos del RUP no han cesado, es necesario que el certificado contenga la anotación de que el inscrito, a más tardar el quinto día hábil de abril de cada año,</w:t>
      </w:r>
      <w:r w:rsidRPr="002139D9" w:rsidDel="00B14FC4">
        <w:rPr>
          <w:rFonts w:ascii="Verdana" w:eastAsia="Calibri" w:hAnsi="Verdana" w:cs="Arial"/>
        </w:rPr>
        <w:t xml:space="preserve"> </w:t>
      </w:r>
      <w:r w:rsidRPr="002139D9">
        <w:rPr>
          <w:rFonts w:ascii="Verdana" w:eastAsia="Calibri" w:hAnsi="Verdana" w:cs="Arial"/>
        </w:rPr>
        <w:t xml:space="preserve">radicó ante la cámara de comercio los documentos para la renovación. En todo caso, si tal circunstancia no estuviere inscrita en el certificado, podrá acreditarse a través del medio documental expedido por la cámara de comercio correspondiente, por lo que al no existir tarifa legal que permita establecer la forma de acreditar el trámite de </w:t>
      </w:r>
      <w:r w:rsidRPr="002139D9">
        <w:rPr>
          <w:rFonts w:ascii="Verdana" w:eastAsia="Calibri" w:hAnsi="Verdana" w:cs="Arial"/>
        </w:rPr>
        <w:lastRenderedPageBreak/>
        <w:t xml:space="preserve">renovación, la entidad estatal debe validar que el documento aportado por el proponente ofrezca certeza sobre el estado del trámite, verificando que se haya </w:t>
      </w:r>
      <w:r w:rsidRPr="002139D9">
        <w:rPr>
          <w:rFonts w:ascii="Verdana" w:eastAsia="Calibri" w:hAnsi="Verdana" w:cs="Arial"/>
          <w:i/>
        </w:rPr>
        <w:t>presentado la información para renovar su registro</w:t>
      </w:r>
      <w:r w:rsidRPr="002139D9">
        <w:rPr>
          <w:rFonts w:ascii="Verdana" w:eastAsia="Calibri" w:hAnsi="Verdana" w:cs="Arial"/>
        </w:rPr>
        <w:t xml:space="preserve"> antes del quinto día hábil del mes de abril de cada año.</w:t>
      </w:r>
    </w:p>
    <w:p w14:paraId="48E0F60B" w14:textId="77777777" w:rsidR="00A31155" w:rsidRPr="002139D9" w:rsidRDefault="00A31155" w:rsidP="00A31155">
      <w:pPr>
        <w:spacing w:after="120" w:line="276" w:lineRule="auto"/>
        <w:ind w:firstLine="709"/>
        <w:jc w:val="both"/>
        <w:rPr>
          <w:rFonts w:ascii="Verdana" w:eastAsia="Calibri" w:hAnsi="Verdana" w:cs="Arial"/>
        </w:rPr>
      </w:pPr>
      <w:r w:rsidRPr="002139D9">
        <w:rPr>
          <w:rFonts w:ascii="Verdana" w:eastAsia="Calibri"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2139D9">
        <w:rPr>
          <w:rFonts w:ascii="Verdana" w:eastAsia="Calibri" w:hAnsi="Verdana" w:cs="Arial"/>
          <w:vertAlign w:val="superscript"/>
        </w:rPr>
        <w:footnoteReference w:id="22"/>
      </w:r>
      <w:r w:rsidRPr="002139D9">
        <w:rPr>
          <w:rFonts w:ascii="Verdana" w:eastAsia="Calibri" w:hAnsi="Verdana" w:cs="Arial"/>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a celebrar contratos con las entidades estatales, estar inscritas en él, salvo las excepciones establecidas en la ley. </w:t>
      </w:r>
    </w:p>
    <w:p w14:paraId="794BDDD5" w14:textId="77777777" w:rsidR="00A31155" w:rsidRPr="002139D9" w:rsidRDefault="00A31155" w:rsidP="00A31155">
      <w:pPr>
        <w:spacing w:after="120" w:line="276" w:lineRule="auto"/>
        <w:ind w:firstLine="709"/>
        <w:jc w:val="both"/>
        <w:rPr>
          <w:rFonts w:ascii="Verdana" w:eastAsia="Calibri" w:hAnsi="Verdana" w:cs="Arial"/>
        </w:rPr>
      </w:pPr>
      <w:r w:rsidRPr="002139D9">
        <w:rPr>
          <w:rFonts w:ascii="Verdana" w:eastAsia="Calibri"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139D9">
        <w:rPr>
          <w:rFonts w:ascii="Verdana" w:eastAsia="Calibri" w:hAnsi="Verdana" w:cs="Arial"/>
          <w:vertAlign w:val="superscript"/>
        </w:rPr>
        <w:footnoteReference w:id="23"/>
      </w:r>
      <w:r w:rsidRPr="002139D9">
        <w:rPr>
          <w:rFonts w:ascii="Verdana" w:eastAsia="Calibri" w:hAnsi="Verdana" w:cs="Arial"/>
        </w:rPr>
        <w:t xml:space="preserve">. 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6E8A2C69" w14:textId="77777777" w:rsidR="00A31155" w:rsidRDefault="00A31155" w:rsidP="00A31155">
      <w:pPr>
        <w:spacing w:after="120" w:line="276" w:lineRule="auto"/>
        <w:ind w:firstLine="709"/>
        <w:jc w:val="both"/>
        <w:rPr>
          <w:rFonts w:ascii="Verdana" w:eastAsia="Calibri" w:hAnsi="Verdana" w:cs="Arial"/>
        </w:rPr>
      </w:pPr>
      <w:r w:rsidRPr="002139D9">
        <w:rPr>
          <w:rFonts w:ascii="Verdana" w:eastAsia="Calibri" w:hAnsi="Verdana" w:cs="Arial"/>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w:t>
      </w:r>
      <w:r w:rsidRPr="002139D9">
        <w:rPr>
          <w:rFonts w:ascii="Verdana" w:eastAsia="Calibri" w:hAnsi="Verdana" w:cs="Arial"/>
        </w:rPr>
        <w:lastRenderedPageBreak/>
        <w:t>término indicado no se presenten recursos. Si ocurre lo último, para que el acto de inscripción o renovación quede en firme, o que la actualización de la nueva información adquiera firmeza, será necesario que se resuelvan dichos recursos.</w:t>
      </w:r>
    </w:p>
    <w:p w14:paraId="45D6B7E6" w14:textId="77777777" w:rsidR="00A31155" w:rsidRDefault="00A31155" w:rsidP="00A31155">
      <w:pPr>
        <w:spacing w:after="120" w:line="276" w:lineRule="auto"/>
        <w:jc w:val="both"/>
        <w:rPr>
          <w:rFonts w:ascii="Verdana" w:eastAsia="Calibri" w:hAnsi="Verdana" w:cs="Arial"/>
        </w:rPr>
      </w:pPr>
      <w:r>
        <w:rPr>
          <w:rFonts w:ascii="Verdana" w:eastAsia="Calibri" w:hAnsi="Verdana" w:cs="Arial"/>
        </w:rPr>
        <w:tab/>
        <w:t xml:space="preserve">Al igual que ocurre con el certificado de existencia y representación legal, el literal D) del numeral 3.1.1 del pliego de condiciones </w:t>
      </w:r>
      <w:r>
        <w:rPr>
          <w:rFonts w:ascii="Verdana" w:eastAsia="Calibri" w:hAnsi="Verdana" w:cs="Arial"/>
          <w:color w:val="000000"/>
          <w:szCs w:val="24"/>
          <w:lang w:eastAsia="es-ES_tradnl"/>
        </w:rPr>
        <w:t>de los “Documentos Tipo – Versión 4” de licitación de obra pública de infraestructura de transporte</w:t>
      </w:r>
      <w:r>
        <w:rPr>
          <w:rFonts w:ascii="Verdana" w:eastAsia="Calibri" w:hAnsi="Verdana" w:cs="Arial"/>
        </w:rPr>
        <w:t xml:space="preserve"> establece lo siguiente: “</w:t>
      </w:r>
      <w:r w:rsidRPr="0053708D">
        <w:rPr>
          <w:rFonts w:ascii="Verdana" w:eastAsia="Calibri" w:hAnsi="Verdana" w:cs="Arial"/>
        </w:rPr>
        <w:t>Los proponentes obligados a estar inscritos en el Registro Único de Proponentes (RUP), deben aportar certificado con fecha de expedición no mayor a treinta (30) días calendario anteriores a la fecha de cierre del Proceso de Contratación. En caso de modificarse la fecha de cierre del proceso, se tendrá como referencia para establecer el plazo de vigencia del certificado la fecha originalmente establecida en el pliego de condiciones definitivo</w:t>
      </w:r>
      <w:r>
        <w:rPr>
          <w:rFonts w:ascii="Verdana" w:eastAsia="Calibri" w:hAnsi="Verdana" w:cs="Arial"/>
        </w:rPr>
        <w:t>”</w:t>
      </w:r>
      <w:r w:rsidRPr="0053708D">
        <w:rPr>
          <w:rFonts w:ascii="Verdana" w:eastAsia="Calibri" w:hAnsi="Verdana" w:cs="Arial"/>
        </w:rPr>
        <w:t>.</w:t>
      </w:r>
    </w:p>
    <w:p w14:paraId="5959C0DB" w14:textId="77777777" w:rsidR="00A31155" w:rsidRDefault="00A31155" w:rsidP="00A31155">
      <w:pPr>
        <w:spacing w:after="120" w:line="276" w:lineRule="auto"/>
        <w:jc w:val="both"/>
        <w:rPr>
          <w:rFonts w:ascii="Verdana" w:eastAsia="Calibri" w:hAnsi="Verdana" w:cs="Arial"/>
        </w:rPr>
      </w:pPr>
      <w:r>
        <w:rPr>
          <w:rFonts w:ascii="Verdana" w:eastAsia="Calibri" w:hAnsi="Verdana" w:cs="Arial"/>
        </w:rPr>
        <w:tab/>
        <w:t>La fecha de expedición del certificado es distinta al cumplimiento de la obligación de renovar el RUP después de la inscripción. Si bien el registro tiene una vigencia anual, la fecha de expedición del certificado es jurídicamente relevante, porque el dicho periodo pueden haberse presentado actualizaciones en las que varie la información contenida en él. Así, los datos reportados en el registro están vigentes</w:t>
      </w:r>
      <w:r w:rsidRPr="00A62995">
        <w:rPr>
          <w:rFonts w:ascii="Verdana" w:eastAsia="Calibri" w:hAnsi="Verdana" w:cs="Arial"/>
        </w:rPr>
        <w:t xml:space="preserve"> mientras no existan nuevas </w:t>
      </w:r>
      <w:r>
        <w:rPr>
          <w:rFonts w:ascii="Verdana" w:eastAsia="Calibri" w:hAnsi="Verdana" w:cs="Arial"/>
        </w:rPr>
        <w:t>actualizaciones</w:t>
      </w:r>
      <w:r w:rsidRPr="00A62995">
        <w:rPr>
          <w:rFonts w:ascii="Verdana" w:eastAsia="Calibri" w:hAnsi="Verdana" w:cs="Arial"/>
        </w:rPr>
        <w:t xml:space="preserve"> que afecten </w:t>
      </w:r>
      <w:r>
        <w:rPr>
          <w:rFonts w:ascii="Verdana" w:eastAsia="Calibri" w:hAnsi="Verdana" w:cs="Arial"/>
        </w:rPr>
        <w:t xml:space="preserve">el contenido de la información suministrada a la cámara de comercio. Por ello, también se hace necesario que los interesados alleguen una certificación de expedición reciente, por lo que –sin perjuicio de lo establecido en los documentos tipo sobre la materia– las entidades deben establecer la fecha de expedición del certificado en el pliego de condiciones. </w:t>
      </w:r>
    </w:p>
    <w:p w14:paraId="63486447" w14:textId="77777777" w:rsidR="00A31155" w:rsidRDefault="00A31155" w:rsidP="00A31155">
      <w:pPr>
        <w:spacing w:after="120" w:line="276" w:lineRule="auto"/>
        <w:ind w:firstLine="737"/>
        <w:jc w:val="both"/>
        <w:rPr>
          <w:rFonts w:ascii="Verdana" w:eastAsia="Calibri" w:hAnsi="Verdana" w:cs="Arial"/>
        </w:rPr>
      </w:pPr>
      <w:r>
        <w:rPr>
          <w:rFonts w:ascii="Verdana" w:eastAsia="Calibri" w:hAnsi="Verdana" w:cs="Arial"/>
        </w:rPr>
        <w:t xml:space="preserve">Por lo demás, </w:t>
      </w:r>
      <w:r>
        <w:rPr>
          <w:rFonts w:ascii="Verdana" w:eastAsia="Calibri" w:hAnsi="Verdana" w:cs="Arial"/>
          <w:color w:val="000000"/>
          <w:szCs w:val="24"/>
          <w:lang w:eastAsia="es-ES_tradnl"/>
        </w:rPr>
        <w:t>el ordenamiento tampoco regula la frecuencia con la que deben modificarse las certificaciones objeto de consulta, pues depende de los cambios que experimenten los inscritos en sus actividades económicas. Como se dichas variaciones inciden en el cumplimiento de requisitos habilitantes, especialmente, en lo que se refiere a la capacidad jurídica, es</w:t>
      </w:r>
      <w:r w:rsidRPr="00106C39">
        <w:rPr>
          <w:rFonts w:ascii="Verdana" w:eastAsia="Calibri" w:hAnsi="Verdana" w:cs="Arial"/>
          <w:color w:val="000000"/>
          <w:szCs w:val="24"/>
          <w:lang w:eastAsia="es-ES_tradnl"/>
        </w:rPr>
        <w:t xml:space="preserve"> necesario </w:t>
      </w:r>
      <w:r>
        <w:rPr>
          <w:rFonts w:ascii="Verdana" w:eastAsia="Calibri" w:hAnsi="Verdana" w:cs="Arial"/>
          <w:color w:val="000000"/>
          <w:szCs w:val="24"/>
          <w:lang w:eastAsia="es-ES_tradnl"/>
        </w:rPr>
        <w:t>que las certificaciones sean de reciente expedición</w:t>
      </w:r>
      <w:r w:rsidRPr="00106C39">
        <w:rPr>
          <w:rFonts w:ascii="Verdana" w:eastAsia="Calibri" w:hAnsi="Verdana" w:cs="Arial"/>
          <w:color w:val="000000"/>
          <w:szCs w:val="24"/>
          <w:lang w:eastAsia="es-ES_tradnl"/>
        </w:rPr>
        <w:t xml:space="preserve"> para garantizar </w:t>
      </w:r>
      <w:r>
        <w:rPr>
          <w:rFonts w:ascii="Verdana" w:eastAsia="Calibri" w:hAnsi="Verdana" w:cs="Arial"/>
          <w:color w:val="000000"/>
          <w:szCs w:val="24"/>
          <w:lang w:eastAsia="es-ES_tradnl"/>
        </w:rPr>
        <w:t>la</w:t>
      </w:r>
      <w:r w:rsidRPr="00106C39">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 xml:space="preserve">vigencia de la información contenida en éstas, por lo que no basta la ausencia de cambios </w:t>
      </w:r>
      <w:r w:rsidRPr="00106C39">
        <w:rPr>
          <w:rFonts w:ascii="Verdana" w:eastAsia="Calibri" w:hAnsi="Verdana" w:cs="Arial"/>
          <w:color w:val="000000"/>
          <w:szCs w:val="24"/>
          <w:lang w:eastAsia="es-ES_tradnl"/>
        </w:rPr>
        <w:t>en un periodo de tiempo razonable</w:t>
      </w:r>
      <w:r>
        <w:rPr>
          <w:rFonts w:ascii="Verdana" w:eastAsia="Calibri" w:hAnsi="Verdana" w:cs="Arial"/>
          <w:color w:val="000000"/>
          <w:szCs w:val="24"/>
          <w:lang w:eastAsia="es-ES_tradnl"/>
        </w:rPr>
        <w:t>.</w:t>
      </w:r>
    </w:p>
    <w:p w14:paraId="6B3BE603" w14:textId="77777777" w:rsidR="00A31155" w:rsidRPr="00F77BD5" w:rsidRDefault="00A31155" w:rsidP="00A31155">
      <w:pPr>
        <w:spacing w:after="0" w:line="276" w:lineRule="auto"/>
        <w:ind w:firstLine="737"/>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Finalmente, la Agencia estima que la exigencia de certificaciones de reciente expedición no es violatoria de la libre competencia económica ni constituye una barrera burocrática, pues es una condición que se impone por </w:t>
      </w:r>
      <w:r>
        <w:rPr>
          <w:rFonts w:ascii="Verdana" w:eastAsia="Calibri" w:hAnsi="Verdana" w:cs="Arial"/>
          <w:color w:val="000000"/>
          <w:szCs w:val="24"/>
          <w:lang w:eastAsia="es-ES_tradnl"/>
        </w:rPr>
        <w:lastRenderedPageBreak/>
        <w:t xml:space="preserve">igual a todos los interesados en los procesos de selección. En este contexto, no existe alguna norma que, con carácter prevalente o imperativo, establezcan </w:t>
      </w:r>
      <w:r w:rsidRPr="00763D43">
        <w:rPr>
          <w:rFonts w:ascii="Verdana" w:eastAsia="Calibri" w:hAnsi="Verdana" w:cs="Arial"/>
          <w:color w:val="000000"/>
          <w:szCs w:val="24"/>
          <w:lang w:eastAsia="es-ES_tradnl"/>
        </w:rPr>
        <w:t xml:space="preserve">alternativas o medidas que favorezcan a las </w:t>
      </w:r>
      <w:proofErr w:type="spellStart"/>
      <w:r>
        <w:rPr>
          <w:rFonts w:ascii="Verdana" w:eastAsia="Calibri" w:hAnsi="Verdana" w:cs="Arial"/>
          <w:color w:val="000000"/>
          <w:szCs w:val="24"/>
          <w:lang w:eastAsia="es-ES_tradnl"/>
        </w:rPr>
        <w:t>Mipymes</w:t>
      </w:r>
      <w:proofErr w:type="spellEnd"/>
      <w:r>
        <w:rPr>
          <w:rFonts w:ascii="Verdana" w:eastAsia="Calibri" w:hAnsi="Verdana" w:cs="Arial"/>
          <w:color w:val="000000"/>
          <w:szCs w:val="24"/>
          <w:lang w:eastAsia="es-ES_tradnl"/>
        </w:rPr>
        <w:t xml:space="preserve"> en la forma como se aportan los certificados de existencia y representación legal o los certificados del registro único de proponentes.</w:t>
      </w:r>
    </w:p>
    <w:p w14:paraId="73F3E258" w14:textId="77777777" w:rsidR="00A31155" w:rsidRPr="00E347D3" w:rsidRDefault="00A31155" w:rsidP="00A31155">
      <w:pPr>
        <w:spacing w:after="0" w:line="276" w:lineRule="auto"/>
        <w:jc w:val="both"/>
        <w:rPr>
          <w:rFonts w:ascii="Verdana" w:eastAsia="Calibri" w:hAnsi="Verdana" w:cs="Arial"/>
        </w:rPr>
      </w:pPr>
      <w:r>
        <w:rPr>
          <w:rFonts w:ascii="Verdana" w:eastAsia="Calibri" w:hAnsi="Verdana" w:cs="Arial"/>
        </w:rPr>
        <w:t xml:space="preserve">    </w:t>
      </w:r>
      <w:r w:rsidRPr="002139D9">
        <w:rPr>
          <w:rFonts w:ascii="Verdana" w:eastAsia="Calibri" w:hAnsi="Verdana" w:cs="Arial"/>
        </w:rPr>
        <w:t xml:space="preserve"> </w:t>
      </w:r>
    </w:p>
    <w:p w14:paraId="6E3F4154" w14:textId="77777777" w:rsidR="00A31155" w:rsidRDefault="00A31155" w:rsidP="00A31155">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IV).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BBA1AFF" w14:textId="77777777" w:rsidR="00A31155" w:rsidRDefault="00A31155" w:rsidP="00A31155">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DAA5644" w14:textId="77777777" w:rsidR="00A31155" w:rsidRPr="00DA1DB0" w:rsidRDefault="00A31155" w:rsidP="00A31155">
      <w:pPr>
        <w:spacing w:after="0" w:line="276" w:lineRule="auto"/>
        <w:ind w:firstLine="708"/>
        <w:jc w:val="both"/>
        <w:rPr>
          <w:rFonts w:ascii="Verdana" w:eastAsia="Calibri" w:hAnsi="Verdana" w:cs="Arial"/>
          <w:bCs/>
          <w:color w:val="000000" w:themeColor="text1"/>
        </w:rPr>
      </w:pPr>
    </w:p>
    <w:p w14:paraId="0ABC604C" w14:textId="77777777" w:rsidR="00A31155" w:rsidRPr="00C518CE" w:rsidRDefault="00A31155" w:rsidP="00A31155">
      <w:pPr>
        <w:tabs>
          <w:tab w:val="left" w:pos="142"/>
          <w:tab w:val="left" w:pos="284"/>
        </w:tabs>
        <w:spacing w:after="0" w:line="276" w:lineRule="auto"/>
        <w:jc w:val="both"/>
        <w:rPr>
          <w:rFonts w:ascii="Verdana" w:eastAsia="Century Gothic" w:hAnsi="Verdana" w:cs="Century Gothic"/>
          <w:b/>
          <w:bCs/>
          <w:lang w:val="es-ES_tradnl"/>
        </w:rPr>
      </w:pPr>
      <w:r w:rsidRPr="00C518CE">
        <w:rPr>
          <w:rFonts w:ascii="Verdana" w:eastAsia="Century Gothic" w:hAnsi="Verdana" w:cs="Century Gothic"/>
          <w:b/>
          <w:bCs/>
          <w:lang w:val="es-ES_tradnl"/>
        </w:rPr>
        <w:t>4. Referencias normativas, jurisprudenciales y otras fuentes:</w:t>
      </w:r>
    </w:p>
    <w:p w14:paraId="77C7052B" w14:textId="77777777" w:rsidR="00A31155" w:rsidRPr="00C518CE" w:rsidRDefault="00A31155" w:rsidP="00A31155">
      <w:pPr>
        <w:spacing w:after="0"/>
        <w:ind w:left="-15840"/>
        <w:jc w:val="both"/>
        <w:rPr>
          <w:rFonts w:ascii="Verdana" w:eastAsia="Calibri" w:hAnsi="Verdana" w:cs="Arial"/>
          <w:b/>
          <w:bCs/>
        </w:rPr>
      </w:pPr>
      <w:r w:rsidRPr="00C518C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31155" w:rsidRPr="00C518CE" w14:paraId="68248340" w14:textId="77777777" w:rsidTr="002D73D6">
        <w:trPr>
          <w:trHeight w:val="870"/>
        </w:trPr>
        <w:tc>
          <w:tcPr>
            <w:tcW w:w="8647" w:type="dxa"/>
            <w:tcBorders>
              <w:top w:val="dotted" w:sz="4" w:space="0" w:color="auto"/>
              <w:left w:val="dotted" w:sz="4" w:space="0" w:color="auto"/>
              <w:bottom w:val="dotted" w:sz="4" w:space="0" w:color="auto"/>
              <w:right w:val="dotted" w:sz="4" w:space="0" w:color="auto"/>
            </w:tcBorders>
          </w:tcPr>
          <w:p w14:paraId="291E405A" w14:textId="77777777" w:rsidR="00A31155"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14.</w:t>
            </w:r>
          </w:p>
          <w:p w14:paraId="08978E98" w14:textId="77777777" w:rsidR="00A31155"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2, 6 y 25.</w:t>
            </w:r>
          </w:p>
          <w:p w14:paraId="39462527" w14:textId="77777777" w:rsidR="00A31155"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Ley 1150 de 2007, artículo</w:t>
            </w:r>
            <w:r>
              <w:rPr>
                <w:rFonts w:ascii="Verdana" w:hAnsi="Verdana" w:cs="Arial"/>
              </w:rPr>
              <w:t>s</w:t>
            </w:r>
            <w:r w:rsidRPr="00185EE9">
              <w:rPr>
                <w:rFonts w:ascii="Verdana" w:hAnsi="Verdana" w:cs="Arial"/>
              </w:rPr>
              <w:t xml:space="preserve"> </w:t>
            </w:r>
            <w:r>
              <w:rPr>
                <w:rFonts w:ascii="Verdana" w:hAnsi="Verdana" w:cs="Arial"/>
              </w:rPr>
              <w:t>2, 5, 6 y 12</w:t>
            </w:r>
            <w:r w:rsidRPr="00185EE9">
              <w:rPr>
                <w:rFonts w:ascii="Verdana" w:hAnsi="Verdana" w:cs="Arial"/>
              </w:rPr>
              <w:t>.</w:t>
            </w:r>
          </w:p>
          <w:p w14:paraId="530C0B07" w14:textId="77777777" w:rsidR="00A31155"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87.</w:t>
            </w:r>
          </w:p>
          <w:p w14:paraId="100FFEC9" w14:textId="77777777" w:rsidR="00A31155"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2022 de 2020, artículo 1.</w:t>
            </w:r>
          </w:p>
          <w:p w14:paraId="50AE266E" w14:textId="77777777" w:rsidR="00A31155" w:rsidRPr="00185EE9"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2195 de 2022, artículo 56.</w:t>
            </w:r>
            <w:r w:rsidRPr="00185EE9">
              <w:rPr>
                <w:rFonts w:ascii="Verdana" w:hAnsi="Verdana" w:cs="Arial"/>
              </w:rPr>
              <w:t xml:space="preserve"> </w:t>
            </w:r>
          </w:p>
          <w:p w14:paraId="440539C1" w14:textId="77777777" w:rsidR="00A31155" w:rsidRPr="00D1192E"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 xml:space="preserve">Decreto 1082 de 2015, </w:t>
            </w:r>
            <w:r>
              <w:rPr>
                <w:rFonts w:ascii="Verdana" w:hAnsi="Verdana" w:cs="Arial"/>
              </w:rPr>
              <w:t xml:space="preserve">artículos </w:t>
            </w:r>
            <w:r w:rsidRPr="00063920">
              <w:rPr>
                <w:rFonts w:ascii="Verdana" w:eastAsia="Calibri" w:hAnsi="Verdana" w:cs="Arial"/>
                <w:color w:val="000000"/>
                <w:szCs w:val="24"/>
                <w:lang w:eastAsia="es-ES_tradnl"/>
              </w:rPr>
              <w:t>2.2.1.2.4.2.4</w:t>
            </w:r>
            <w:r>
              <w:rPr>
                <w:rFonts w:ascii="Verdana" w:eastAsia="Calibri" w:hAnsi="Verdana" w:cs="Arial"/>
                <w:color w:val="000000"/>
                <w:szCs w:val="24"/>
                <w:lang w:eastAsia="es-ES_tradnl"/>
              </w:rPr>
              <w:t xml:space="preserve">, </w:t>
            </w:r>
            <w:r w:rsidRPr="002139D9">
              <w:rPr>
                <w:rFonts w:ascii="Verdana" w:eastAsia="Calibri" w:hAnsi="Verdana" w:cs="Arial"/>
              </w:rPr>
              <w:t>2.2.1.1.1.5.1</w:t>
            </w:r>
            <w:r>
              <w:rPr>
                <w:rFonts w:ascii="Verdana" w:eastAsia="Calibri" w:hAnsi="Verdana" w:cs="Arial"/>
                <w:color w:val="000000"/>
                <w:szCs w:val="24"/>
                <w:lang w:eastAsia="es-ES_tradnl"/>
              </w:rPr>
              <w:t xml:space="preserve"> y </w:t>
            </w:r>
            <w:r w:rsidRPr="00E347D3">
              <w:rPr>
                <w:rFonts w:ascii="Verdana" w:eastAsia="Calibri" w:hAnsi="Verdana" w:cs="Arial"/>
              </w:rPr>
              <w:t>2.2.1.1.1.5.3</w:t>
            </w:r>
            <w:r>
              <w:rPr>
                <w:rFonts w:ascii="Verdana" w:eastAsia="Calibri" w:hAnsi="Verdana" w:cs="Arial"/>
                <w:color w:val="000000"/>
                <w:szCs w:val="24"/>
                <w:lang w:eastAsia="es-ES_tradnl"/>
              </w:rPr>
              <w:t>.</w:t>
            </w:r>
          </w:p>
          <w:p w14:paraId="17857B41" w14:textId="77777777" w:rsidR="00A31155" w:rsidRPr="00FD575B"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185EE9">
              <w:rPr>
                <w:rFonts w:ascii="Verdana" w:hAnsi="Verdana" w:cs="Arial"/>
              </w:rPr>
              <w:t>Código Civil, artículo</w:t>
            </w:r>
            <w:r>
              <w:rPr>
                <w:rFonts w:ascii="Verdana" w:hAnsi="Verdana" w:cs="Arial"/>
              </w:rPr>
              <w:t>s 34, 74, 633, 1502 y 1503</w:t>
            </w:r>
            <w:r w:rsidRPr="00185EE9">
              <w:rPr>
                <w:rFonts w:ascii="Verdana" w:hAnsi="Verdana" w:cs="Arial"/>
              </w:rPr>
              <w:t>.</w:t>
            </w:r>
          </w:p>
          <w:p w14:paraId="76D633CB" w14:textId="77777777" w:rsidR="00A31155" w:rsidRPr="00FD575B" w:rsidRDefault="00A31155" w:rsidP="002D73D6">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FD575B">
              <w:rPr>
                <w:rFonts w:ascii="Verdana" w:hAnsi="Verdana" w:cs="Arial"/>
              </w:rPr>
              <w:t>Código de Comercio, artículos 33, 98 y 117.</w:t>
            </w:r>
          </w:p>
          <w:p w14:paraId="128DE205" w14:textId="77777777" w:rsidR="00A31155" w:rsidRPr="00DA1DB0" w:rsidRDefault="00A31155" w:rsidP="002D73D6">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 xml:space="preserve">Documentos Tipo. Disponibles en: </w:t>
            </w:r>
            <w:hyperlink r:id="rId13" w:history="1">
              <w:r w:rsidRPr="00C518CE">
                <w:rPr>
                  <w:rFonts w:ascii="Verdana" w:eastAsia="Calibri" w:hAnsi="Verdana" w:cs="Arial"/>
                  <w:color w:val="0000FF"/>
                  <w:u w:val="single"/>
                  <w:lang w:val="es-ES_tradnl"/>
                </w:rPr>
                <w:t>https://www.colombiacompra.gov.co/documentos-tipo/documentos-tipo</w:t>
              </w:r>
            </w:hyperlink>
            <w:r w:rsidRPr="00C518CE">
              <w:rPr>
                <w:rFonts w:ascii="Verdana" w:eastAsia="Calibri" w:hAnsi="Verdana" w:cs="Arial"/>
                <w:lang w:val="es-ES_tradnl"/>
              </w:rPr>
              <w:t>.</w:t>
            </w:r>
          </w:p>
        </w:tc>
      </w:tr>
    </w:tbl>
    <w:p w14:paraId="5BCC193F" w14:textId="77777777" w:rsidR="00A31155" w:rsidRPr="00C518CE" w:rsidRDefault="00A31155" w:rsidP="00A31155">
      <w:pPr>
        <w:tabs>
          <w:tab w:val="left" w:pos="142"/>
          <w:tab w:val="left" w:pos="284"/>
        </w:tabs>
        <w:spacing w:after="0" w:line="276" w:lineRule="auto"/>
        <w:jc w:val="both"/>
        <w:rPr>
          <w:rFonts w:ascii="Verdana" w:eastAsia="Calibri" w:hAnsi="Verdana" w:cs="Arial"/>
        </w:rPr>
      </w:pPr>
    </w:p>
    <w:p w14:paraId="3FF16E69" w14:textId="77777777" w:rsidR="00A31155" w:rsidRPr="00C518CE" w:rsidRDefault="00A31155" w:rsidP="00A31155">
      <w:pPr>
        <w:tabs>
          <w:tab w:val="left" w:pos="142"/>
          <w:tab w:val="left" w:pos="284"/>
        </w:tabs>
        <w:spacing w:after="0" w:line="276" w:lineRule="auto"/>
        <w:jc w:val="both"/>
        <w:rPr>
          <w:rFonts w:ascii="Verdana" w:eastAsia="Century Gothic" w:hAnsi="Verdana" w:cs="Century Gothic"/>
          <w:b/>
          <w:bCs/>
          <w:lang w:val="es-ES"/>
        </w:rPr>
      </w:pPr>
      <w:r w:rsidRPr="00C518CE">
        <w:rPr>
          <w:rFonts w:ascii="Verdana" w:eastAsia="Calibri" w:hAnsi="Verdana" w:cs="Arial"/>
          <w:b/>
          <w:bCs/>
        </w:rPr>
        <w:t>5</w:t>
      </w:r>
      <w:r w:rsidRPr="00C518CE">
        <w:rPr>
          <w:rFonts w:ascii="Verdana" w:eastAsia="Calibri" w:hAnsi="Verdana" w:cs="Arial"/>
        </w:rPr>
        <w:t>.</w:t>
      </w:r>
      <w:r w:rsidRPr="00C518CE">
        <w:rPr>
          <w:rFonts w:ascii="Verdana" w:eastAsia="Century Gothic" w:hAnsi="Verdana" w:cs="Century Gothic"/>
          <w:b/>
          <w:bCs/>
          <w:lang w:val="es-ES"/>
        </w:rPr>
        <w:t>Doctrina de la Agencia Nacional de Contratación Pública:</w:t>
      </w:r>
    </w:p>
    <w:p w14:paraId="2C259AE5" w14:textId="77777777" w:rsidR="00A31155" w:rsidRPr="00DA1DB0" w:rsidRDefault="00A31155" w:rsidP="00A31155">
      <w:pPr>
        <w:widowControl w:val="0"/>
        <w:autoSpaceDE w:val="0"/>
        <w:autoSpaceDN w:val="0"/>
        <w:spacing w:after="0" w:line="276" w:lineRule="auto"/>
        <w:jc w:val="both"/>
        <w:rPr>
          <w:rFonts w:ascii="Verdana" w:eastAsia="Calibri" w:hAnsi="Verdana" w:cs="Arial"/>
        </w:rPr>
      </w:pPr>
    </w:p>
    <w:p w14:paraId="39B41A7C" w14:textId="77777777" w:rsidR="00A31155" w:rsidRPr="00DA1DB0" w:rsidRDefault="00A31155" w:rsidP="00A31155">
      <w:pPr>
        <w:spacing w:after="0" w:line="276" w:lineRule="auto"/>
        <w:jc w:val="both"/>
        <w:rPr>
          <w:rStyle w:val="normaltextrun"/>
          <w:rFonts w:ascii="Verdana" w:eastAsia="Geomanist Light" w:hAnsi="Verdana" w:cs="Arial"/>
          <w:color w:val="201F1E"/>
          <w:lang w:val="es-MX"/>
        </w:rPr>
      </w:pPr>
      <w:r w:rsidRPr="00DA1DB0">
        <w:rPr>
          <w:rFonts w:ascii="Verdana" w:eastAsia="Calibri" w:hAnsi="Verdana" w:cs="Arial"/>
          <w:kern w:val="2"/>
          <w:shd w:val="clear" w:color="auto" w:fill="FFFFFF"/>
          <w14:ligatures w14:val="standardContextual"/>
        </w:rPr>
        <w:t>L</w:t>
      </w:r>
      <w:r w:rsidRPr="00DA1DB0">
        <w:rPr>
          <w:rFonts w:ascii="Verdana" w:eastAsia="Calibri" w:hAnsi="Verdana" w:cs="Arial"/>
          <w:kern w:val="2"/>
          <w:shd w:val="clear" w:color="auto" w:fill="FFFFFF"/>
          <w:lang w:val="es-ES"/>
          <w14:ligatures w14:val="standardContextual"/>
        </w:rPr>
        <w:t xml:space="preserve">a Agencia Nacional de Contratación Pública – Colombia Compra Eficiente, se ha pronunciado </w:t>
      </w:r>
      <w:r w:rsidRPr="00DA1DB0">
        <w:rPr>
          <w:rFonts w:ascii="Verdana" w:hAnsi="Verdana" w:cs="Arial"/>
          <w:shd w:val="clear" w:color="auto" w:fill="FFFFFF"/>
        </w:rPr>
        <w:t>sobre la vigencia del certificado de existencia y representación legal respecto a los procesos regidos por documentos tipo en el Concepto C-511 del 21 de septiembre de 2021</w:t>
      </w:r>
      <w:r w:rsidRPr="00DA1DB0">
        <w:rPr>
          <w:rFonts w:ascii="Verdana" w:hAnsi="Verdana"/>
        </w:rPr>
        <w:t xml:space="preserve">. Igualmente, ha analizado las problemáticas asociadas al RUP en los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2020, C-534 del 12 de agosto de 2020, C-553 del 24 de agosto de 2021, C-576 del 31 de agosto de 2021, C-786 de 2020 del 19 de enero de 2021, C-800 del 1 de febrero de 2021, C-703 del 11 de enero de 2022, C-328 del 22 de julio de 2022 y C-1149 del </w:t>
      </w:r>
      <w:r w:rsidRPr="00DA1DB0">
        <w:rPr>
          <w:rFonts w:ascii="Verdana" w:eastAsia="Geomanist Light" w:hAnsi="Verdana" w:cs="Arial"/>
          <w:color w:val="000000" w:themeColor="text1"/>
          <w:lang w:val="es-MX"/>
        </w:rPr>
        <w:t>28 de Agosto de 2025</w:t>
      </w:r>
      <w:r w:rsidRPr="00DA1DB0">
        <w:rPr>
          <w:rFonts w:ascii="Verdana" w:eastAsia="Geomanist Light" w:hAnsi="Verdana" w:cs="Arial"/>
          <w:color w:val="201F1E"/>
          <w:lang w:val="es-MX"/>
        </w:rPr>
        <w:t xml:space="preserve"> </w:t>
      </w:r>
      <w:r w:rsidRPr="00DA1DB0">
        <w:rPr>
          <w:rFonts w:ascii="Verdana" w:hAnsi="Verdana"/>
        </w:rPr>
        <w:t>entre otros.</w:t>
      </w:r>
      <w:r w:rsidRPr="00DA1DB0">
        <w:rPr>
          <w:rFonts w:ascii="Verdana" w:hAnsi="Verdana" w:cs="Arial"/>
          <w:shd w:val="clear" w:color="auto" w:fill="FFFFFF"/>
        </w:rPr>
        <w:t xml:space="preserve"> Estos y otros </w:t>
      </w:r>
      <w:r w:rsidRPr="00DA1D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4" w:history="1">
        <w:r w:rsidRPr="00DA1DB0">
          <w:rPr>
            <w:rStyle w:val="Hipervnculo"/>
            <w:rFonts w:ascii="Verdana" w:hAnsi="Verdana" w:cs="Arial"/>
            <w:shd w:val="clear" w:color="auto" w:fill="FFFFFF"/>
          </w:rPr>
          <w:t>https://relatoria.colombiacompra.gov.co/busqueda/conceptos</w:t>
        </w:r>
      </w:hyperlink>
      <w:r w:rsidRPr="00DA1DB0">
        <w:rPr>
          <w:rStyle w:val="normaltextrun"/>
          <w:rFonts w:ascii="Verdana" w:hAnsi="Verdana" w:cs="Arial"/>
          <w:shd w:val="clear" w:color="auto" w:fill="FFFFFF"/>
        </w:rPr>
        <w:t xml:space="preserve">. </w:t>
      </w:r>
      <w:r w:rsidRPr="00DA1DB0">
        <w:rPr>
          <w:rStyle w:val="normaltextrun"/>
          <w:rFonts w:ascii="Verdana" w:hAnsi="Verdana" w:cs="Arial"/>
          <w:color w:val="FF0000"/>
          <w:shd w:val="clear" w:color="auto" w:fill="FFFFFF"/>
          <w:lang w:val="es-ES"/>
        </w:rPr>
        <w:t xml:space="preserve"> </w:t>
      </w:r>
    </w:p>
    <w:p w14:paraId="4D68D1FA" w14:textId="77777777" w:rsidR="00A31155" w:rsidRDefault="00A31155" w:rsidP="00A31155">
      <w:pPr>
        <w:spacing w:after="0" w:line="276" w:lineRule="auto"/>
        <w:jc w:val="both"/>
        <w:rPr>
          <w:rFonts w:ascii="Verdana" w:eastAsia="Calibri" w:hAnsi="Verdana" w:cs="Arial"/>
          <w:shd w:val="clear" w:color="auto" w:fill="FFFFFF"/>
          <w:lang w:val="es-ES"/>
        </w:rPr>
      </w:pPr>
    </w:p>
    <w:p w14:paraId="494C2FDF" w14:textId="77777777" w:rsidR="00A31155" w:rsidRPr="003A7A83" w:rsidRDefault="00A31155" w:rsidP="00A31155">
      <w:pPr>
        <w:spacing w:after="0" w:line="276" w:lineRule="auto"/>
        <w:jc w:val="both"/>
        <w:rPr>
          <w:rFonts w:ascii="Verdana" w:eastAsia="Calibri" w:hAnsi="Verdana" w:cs="Times New Roman"/>
        </w:rPr>
      </w:pPr>
      <w:r w:rsidRPr="003A7A83">
        <w:rPr>
          <w:rFonts w:ascii="Verdana" w:hAnsi="Verdana" w:cs="Arial"/>
          <w:shd w:val="clear" w:color="auto" w:fill="FFFFFF"/>
          <w:lang w:val="es-ES"/>
        </w:rPr>
        <w:lastRenderedPageBreak/>
        <w:t>Est</w:t>
      </w:r>
      <w:r>
        <w:rPr>
          <w:rFonts w:ascii="Verdana" w:hAnsi="Verdana" w:cs="Arial"/>
          <w:shd w:val="clear" w:color="auto" w:fill="FFFFFF"/>
          <w:lang w:val="es-ES"/>
        </w:rPr>
        <w:t>os</w:t>
      </w:r>
      <w:r w:rsidRPr="003A7A83">
        <w:rPr>
          <w:rFonts w:ascii="Verdana" w:hAnsi="Verdana"/>
          <w:lang w:val="es-ES"/>
        </w:rPr>
        <w:t xml:space="preserve"> y otros se encuentran disponibles para consulta en el Sistema de relatoría de la Agencia, al cual se puede acceder a través del siguiente enlace:</w:t>
      </w:r>
      <w:r w:rsidRPr="003A7A83">
        <w:rPr>
          <w:rFonts w:ascii="Verdana" w:hAnsi="Verdana" w:cs="Arial"/>
          <w:shd w:val="clear" w:color="auto" w:fill="FFFFFF"/>
          <w:lang w:val="es-ES"/>
        </w:rPr>
        <w:t xml:space="preserve"> </w:t>
      </w:r>
      <w:hyperlink r:id="rId15" w:history="1">
        <w:r w:rsidRPr="003A7A83">
          <w:rPr>
            <w:rStyle w:val="Hipervnculo"/>
            <w:rFonts w:ascii="Verdana" w:hAnsi="Verdana" w:cs="Arial"/>
            <w:shd w:val="clear" w:color="auto" w:fill="FFFFFF"/>
            <w:lang w:val="es-ES"/>
          </w:rPr>
          <w:t>https://relatoria.colombiacompra.gov.co/busqueda/conceptos</w:t>
        </w:r>
      </w:hyperlink>
    </w:p>
    <w:p w14:paraId="0AD565DE" w14:textId="77777777" w:rsidR="00A31155" w:rsidRPr="00C518CE" w:rsidRDefault="00A31155" w:rsidP="00A31155">
      <w:pPr>
        <w:widowControl w:val="0"/>
        <w:autoSpaceDE w:val="0"/>
        <w:autoSpaceDN w:val="0"/>
        <w:spacing w:after="0" w:line="276" w:lineRule="auto"/>
        <w:jc w:val="both"/>
        <w:rPr>
          <w:rFonts w:ascii="Verdana" w:eastAsia="Times New Roman" w:hAnsi="Verdana" w:cs="Arial"/>
          <w:shd w:val="clear" w:color="auto" w:fill="FFFFFF"/>
          <w:lang w:val="es-ES"/>
        </w:rPr>
      </w:pPr>
    </w:p>
    <w:p w14:paraId="37B19FAF" w14:textId="77777777" w:rsidR="00A31155" w:rsidRPr="00C518CE" w:rsidRDefault="00A31155" w:rsidP="00A31155">
      <w:pPr>
        <w:widowControl w:val="0"/>
        <w:autoSpaceDE w:val="0"/>
        <w:autoSpaceDN w:val="0"/>
        <w:spacing w:after="0" w:line="276" w:lineRule="auto"/>
        <w:jc w:val="both"/>
        <w:rPr>
          <w:rFonts w:ascii="Verdana" w:eastAsia="Times New Roman" w:hAnsi="Verdana" w:cs="Arial"/>
          <w:shd w:val="clear" w:color="auto" w:fill="FFFFFF"/>
          <w:lang w:val="es-ES"/>
        </w:rPr>
      </w:pPr>
      <w:r w:rsidRPr="00C518C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history="1">
        <w:r w:rsidRPr="00C518CE">
          <w:rPr>
            <w:rFonts w:ascii="Verdana" w:eastAsia="Aptos" w:hAnsi="Verdana" w:cs="Arial"/>
            <w:color w:val="0000FF"/>
            <w:kern w:val="2"/>
            <w:u w:val="single"/>
            <w:shd w:val="clear" w:color="auto" w:fill="FFFFFF"/>
            <w14:ligatures w14:val="standardContextual"/>
          </w:rPr>
          <w:t>https://relatoria.colombiacompra.gov.co/busqueda/conceptos</w:t>
        </w:r>
      </w:hyperlink>
      <w:r w:rsidRPr="00C518CE">
        <w:rPr>
          <w:rFonts w:ascii="Verdana" w:eastAsia="Aptos" w:hAnsi="Verdana" w:cs="Arial"/>
          <w:kern w:val="2"/>
          <w:shd w:val="clear" w:color="auto" w:fill="FFFFFF"/>
          <w14:ligatures w14:val="standardContextual"/>
        </w:rPr>
        <w:t xml:space="preserve">. </w:t>
      </w:r>
      <w:r w:rsidRPr="00C518CE">
        <w:rPr>
          <w:rFonts w:ascii="Verdana" w:eastAsia="Aptos" w:hAnsi="Verdana" w:cs="Arial"/>
          <w:color w:val="FF0000"/>
          <w:kern w:val="2"/>
          <w:shd w:val="clear" w:color="auto" w:fill="FFFFFF"/>
          <w:lang w:val="es-ES"/>
          <w14:ligatures w14:val="standardContextual"/>
        </w:rPr>
        <w:t xml:space="preserve">  </w:t>
      </w:r>
    </w:p>
    <w:p w14:paraId="3447D298" w14:textId="77777777" w:rsidR="00A31155" w:rsidRPr="00C518CE" w:rsidRDefault="00A31155" w:rsidP="00A31155">
      <w:pPr>
        <w:spacing w:after="0" w:line="240" w:lineRule="auto"/>
        <w:jc w:val="both"/>
        <w:rPr>
          <w:rFonts w:ascii="Verdana" w:eastAsia="Calibri" w:hAnsi="Verdana" w:cs="Arial"/>
          <w:color w:val="000000"/>
          <w:shd w:val="clear" w:color="auto" w:fill="FFFFFF"/>
        </w:rPr>
      </w:pPr>
    </w:p>
    <w:p w14:paraId="4266D8C7" w14:textId="77777777" w:rsidR="00A31155" w:rsidRPr="00C518CE" w:rsidRDefault="00A31155" w:rsidP="00A31155">
      <w:pPr>
        <w:spacing w:after="0" w:line="276" w:lineRule="auto"/>
        <w:jc w:val="both"/>
      </w:pPr>
      <w:r w:rsidRPr="00C518CE">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C518CE">
        <w:rPr>
          <w:rFonts w:ascii="Verdana" w:eastAsia="Times New Roman" w:hAnsi="Verdana" w:cs="Arial"/>
          <w:b/>
          <w:bCs/>
          <w:lang w:eastAsia="es-MX"/>
        </w:rPr>
        <w:t>Curso de Contratación Pública Sostenible y Socialmente Responsable</w:t>
      </w:r>
      <w:r w:rsidRPr="00C518CE">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C518CE">
        <w:rPr>
          <w:rFonts w:ascii="Verdana" w:eastAsia="Times New Roman" w:hAnsi="Verdana" w:cs="Arial"/>
          <w:lang w:eastAsia="es-MX"/>
        </w:rPr>
        <w:br/>
      </w:r>
      <w:hyperlink r:id="rId17" w:tgtFrame="_new" w:history="1">
        <w:r w:rsidRPr="00C518CE">
          <w:rPr>
            <w:rFonts w:ascii="Verdana" w:eastAsia="Times New Roman" w:hAnsi="Verdana" w:cs="Arial"/>
            <w:color w:val="0000FF"/>
            <w:u w:val="single"/>
            <w:lang w:eastAsia="es-MX"/>
          </w:rPr>
          <w:t>https://formacionvirtual.colombiacompra.gov.co/mod/page/view.php?id=3718</w:t>
        </w:r>
      </w:hyperlink>
    </w:p>
    <w:p w14:paraId="7E970FAC" w14:textId="77777777" w:rsidR="00A31155" w:rsidRPr="00C518CE" w:rsidRDefault="00A31155" w:rsidP="00A31155">
      <w:pPr>
        <w:spacing w:after="0" w:line="276" w:lineRule="auto"/>
        <w:jc w:val="both"/>
        <w:rPr>
          <w:rFonts w:ascii="Verdana" w:eastAsia="Times New Roman" w:hAnsi="Verdana" w:cs="Arial"/>
          <w:lang w:eastAsia="es-MX"/>
        </w:rPr>
      </w:pPr>
    </w:p>
    <w:p w14:paraId="04414155" w14:textId="77777777" w:rsidR="00A31155" w:rsidRPr="00C518CE" w:rsidRDefault="00A31155" w:rsidP="00A31155">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De otro lado, te contamos que esta Agencia ha da un paso decisivo en la estandarización y modernización del </w:t>
      </w:r>
      <w:r w:rsidRPr="00C518CE">
        <w:rPr>
          <w:rFonts w:ascii="Verdana" w:eastAsia="Times New Roman" w:hAnsi="Verdana" w:cs="Arial"/>
          <w:b/>
          <w:bCs/>
          <w:lang w:eastAsia="es-MX"/>
        </w:rPr>
        <w:t>sector  social</w:t>
      </w:r>
      <w:r w:rsidRPr="00C518CE">
        <w:rPr>
          <w:rFonts w:ascii="Verdana" w:eastAsia="Times New Roman" w:hAnsi="Verdana" w:cs="Arial"/>
          <w:lang w:eastAsia="es-MX"/>
        </w:rPr>
        <w:t xml:space="preserve"> con la expedición de las </w:t>
      </w:r>
      <w:r w:rsidRPr="00C518CE">
        <w:rPr>
          <w:rFonts w:ascii="Verdana" w:eastAsia="Times New Roman" w:hAnsi="Verdana" w:cs="Arial"/>
          <w:b/>
          <w:bCs/>
          <w:lang w:eastAsia="es-MX"/>
        </w:rPr>
        <w:t>Resoluciones 539, 540, 541, 952 y 953 de 2025</w:t>
      </w:r>
      <w:r w:rsidRPr="00C518CE">
        <w:rPr>
          <w:rFonts w:ascii="Verdana" w:eastAsia="Times New Roman" w:hAnsi="Verdana" w:cs="Arial"/>
          <w:lang w:eastAsia="es-MX"/>
        </w:rPr>
        <w:t xml:space="preserve">, </w:t>
      </w:r>
      <w:r w:rsidRPr="00C518CE">
        <w:rPr>
          <w:rFonts w:ascii="Verdana" w:eastAsia="Times New Roman" w:hAnsi="Verdana" w:cs="Arial"/>
          <w:b/>
          <w:bCs/>
          <w:lang w:eastAsia="es-MX"/>
        </w:rPr>
        <w:t>mediante las cuales adoptó Documentos Tipo</w:t>
      </w:r>
      <w:r w:rsidRPr="00C518CE">
        <w:rPr>
          <w:rFonts w:ascii="Verdana" w:eastAsia="Times New Roman" w:hAnsi="Verdana" w:cs="Arial"/>
          <w:lang w:eastAsia="es-MX"/>
        </w:rPr>
        <w:t xml:space="preserve"> para las modalidades de selección de</w:t>
      </w:r>
      <w:r w:rsidRPr="00C518CE">
        <w:rPr>
          <w:rFonts w:ascii="Verdana" w:eastAsia="Times New Roman" w:hAnsi="Verdana" w:cs="Arial"/>
          <w:b/>
          <w:bCs/>
          <w:lang w:eastAsia="es-MX"/>
        </w:rPr>
        <w:t xml:space="preserve"> licitación pública (versión 2), selección abreviada de menor cuantía, mínima cuantía, consultoría e interventoría</w:t>
      </w:r>
      <w:r w:rsidRPr="00C518CE">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8" w:tgtFrame="_new" w:history="1">
        <w:r w:rsidRPr="00C518CE">
          <w:rPr>
            <w:rFonts w:ascii="Verdana" w:eastAsia="Times New Roman" w:hAnsi="Verdana" w:cs="Arial"/>
            <w:color w:val="0000FF"/>
            <w:u w:val="single"/>
            <w:lang w:eastAsia="es-MX"/>
          </w:rPr>
          <w:t>https://www.colombiacompra.gov.co/normativa-y-relatoria/documentos-tipo</w:t>
        </w:r>
      </w:hyperlink>
    </w:p>
    <w:p w14:paraId="5674197E" w14:textId="77777777" w:rsidR="00A31155" w:rsidRPr="00C518CE" w:rsidRDefault="00A31155" w:rsidP="00A31155">
      <w:pPr>
        <w:spacing w:after="0" w:line="276" w:lineRule="auto"/>
        <w:jc w:val="both"/>
        <w:rPr>
          <w:rFonts w:ascii="Verdana" w:eastAsia="Times New Roman" w:hAnsi="Verdana" w:cs="Arial"/>
          <w:lang w:eastAsia="es-MX"/>
        </w:rPr>
      </w:pPr>
    </w:p>
    <w:p w14:paraId="3F02D8C8" w14:textId="77777777" w:rsidR="00A31155" w:rsidRPr="00C518CE" w:rsidRDefault="00A31155" w:rsidP="00A31155">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Si quieres conocer más sobre la aplicación de Documentos Tipo puedes consultar la última versión de la </w:t>
      </w:r>
      <w:r w:rsidRPr="00C518CE">
        <w:rPr>
          <w:rFonts w:ascii="Verdana" w:eastAsia="Times New Roman" w:hAnsi="Verdana" w:cs="Arial"/>
          <w:b/>
          <w:bCs/>
          <w:lang w:eastAsia="es-MX"/>
        </w:rPr>
        <w:t>Guía para la comprensión e implementación de los Documentos Tipo de obra pública de infraestructura de transporte</w:t>
      </w:r>
      <w:r w:rsidRPr="00C518CE">
        <w:rPr>
          <w:rFonts w:ascii="Verdana" w:eastAsia="Times New Roman" w:hAnsi="Verdana" w:cs="Arial"/>
          <w:lang w:eastAsia="es-MX"/>
        </w:rPr>
        <w:t xml:space="preserve">. En esta actualización se incorporaron orientaciones prácticas dirigidas a entidades públicas, proveedores, organismos de control y demás interesados, con el </w:t>
      </w:r>
      <w:r w:rsidRPr="00C518CE">
        <w:rPr>
          <w:rFonts w:ascii="Verdana" w:eastAsia="Times New Roman" w:hAnsi="Verdana" w:cs="Arial"/>
          <w:lang w:eastAsia="es-MX"/>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518CE">
        <w:rPr>
          <w:rFonts w:ascii="Verdana" w:eastAsia="Times New Roman" w:hAnsi="Verdana" w:cs="Arial"/>
          <w:lang w:eastAsia="es-MX"/>
        </w:rPr>
        <w:br/>
      </w:r>
      <w:hyperlink r:id="rId19" w:tgtFrame="_new" w:history="1">
        <w:r w:rsidRPr="00C518CE">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6B433A9C" w14:textId="77777777" w:rsidR="00A31155" w:rsidRPr="00C518CE" w:rsidRDefault="00A31155" w:rsidP="00A31155">
      <w:pPr>
        <w:spacing w:after="0"/>
        <w:jc w:val="both"/>
        <w:rPr>
          <w:rFonts w:ascii="Verdana" w:eastAsia="Aptos" w:hAnsi="Verdana" w:cs="Times New Roman"/>
          <w:color w:val="212121"/>
          <w:lang w:eastAsia="es-MX"/>
        </w:rPr>
      </w:pPr>
    </w:p>
    <w:p w14:paraId="0D2C573B" w14:textId="77777777" w:rsidR="00A31155" w:rsidRPr="00C518CE" w:rsidRDefault="00A31155" w:rsidP="00A31155">
      <w:pPr>
        <w:spacing w:after="0" w:line="240" w:lineRule="auto"/>
        <w:jc w:val="both"/>
        <w:rPr>
          <w:rFonts w:ascii="Verdana" w:eastAsia="Calibri" w:hAnsi="Verdana" w:cs="Times New Roman"/>
          <w:lang w:eastAsia="es-MX"/>
        </w:rPr>
      </w:pPr>
      <w:r w:rsidRPr="00C518CE">
        <w:rPr>
          <w:rFonts w:ascii="Verdana" w:eastAsia="Aptos" w:hAnsi="Verdana" w:cs="Times New Roman"/>
          <w:lang w:eastAsia="es-MX"/>
        </w:rPr>
        <w:t xml:space="preserve">Por último, lo invitamos a seguirnos en las redes sociales en las cuales se difunde información institucional: </w:t>
      </w:r>
    </w:p>
    <w:p w14:paraId="791B1CC4" w14:textId="77777777" w:rsidR="00A31155" w:rsidRPr="00C518CE" w:rsidRDefault="00A31155" w:rsidP="00A31155">
      <w:pPr>
        <w:spacing w:after="0" w:line="240" w:lineRule="auto"/>
        <w:jc w:val="both"/>
        <w:rPr>
          <w:rFonts w:ascii="Verdana" w:eastAsia="Aptos" w:hAnsi="Verdana" w:cs="Times New Roman"/>
          <w:lang w:eastAsia="es-MX"/>
        </w:rPr>
      </w:pPr>
    </w:p>
    <w:p w14:paraId="202B7D19" w14:textId="77777777" w:rsidR="00A31155" w:rsidRPr="00C518CE" w:rsidRDefault="00A31155" w:rsidP="00A3115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Twitter: </w:t>
      </w:r>
      <w:r w:rsidRPr="00C518CE">
        <w:rPr>
          <w:rFonts w:ascii="Verdana" w:eastAsia="Calibri" w:hAnsi="Verdana" w:cs="Times New Roman"/>
          <w:color w:val="0000FF"/>
          <w:u w:val="single"/>
          <w:lang w:eastAsia="es-MX"/>
        </w:rPr>
        <w:t>@colombiacompra</w:t>
      </w:r>
      <w:r w:rsidRPr="00C518CE">
        <w:rPr>
          <w:rFonts w:ascii="Verdana" w:eastAsia="Calibri" w:hAnsi="Verdana" w:cs="Times New Roman"/>
          <w:color w:val="0000FF"/>
          <w:lang w:eastAsia="es-MX"/>
        </w:rPr>
        <w:t xml:space="preserve"> </w:t>
      </w:r>
    </w:p>
    <w:p w14:paraId="3F6ADF28" w14:textId="77777777" w:rsidR="00A31155" w:rsidRPr="00C518CE" w:rsidRDefault="00A31155" w:rsidP="00A3115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Facebook: </w:t>
      </w:r>
      <w:proofErr w:type="spellStart"/>
      <w:r w:rsidRPr="00C518CE">
        <w:rPr>
          <w:rFonts w:ascii="Verdana" w:eastAsia="Calibri" w:hAnsi="Verdana" w:cs="Times New Roman"/>
          <w:color w:val="0000FF"/>
          <w:u w:val="single"/>
          <w:lang w:eastAsia="es-MX"/>
        </w:rPr>
        <w:t>ColombiaCompraEficiente</w:t>
      </w:r>
      <w:proofErr w:type="spellEnd"/>
    </w:p>
    <w:p w14:paraId="01FFC86B" w14:textId="77777777" w:rsidR="00A31155" w:rsidRPr="00C518CE" w:rsidRDefault="00A31155" w:rsidP="00A3115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LinkedIn: </w:t>
      </w:r>
      <w:r w:rsidRPr="00C518CE">
        <w:rPr>
          <w:rFonts w:ascii="Verdana" w:eastAsia="Calibri" w:hAnsi="Verdana" w:cs="Times New Roman"/>
          <w:color w:val="0000FF"/>
          <w:u w:val="single"/>
          <w:lang w:eastAsia="es-MX"/>
        </w:rPr>
        <w:t>Agencia Nacional de Contratación Pública - Colombia Compra Eficiente</w:t>
      </w:r>
      <w:r w:rsidRPr="00C518CE">
        <w:rPr>
          <w:rFonts w:ascii="Verdana" w:eastAsia="Calibri" w:hAnsi="Verdana" w:cs="Times New Roman"/>
          <w:color w:val="0000FF"/>
          <w:lang w:eastAsia="es-MX"/>
        </w:rPr>
        <w:t xml:space="preserve"> </w:t>
      </w:r>
      <w:r w:rsidRPr="00C518CE">
        <w:rPr>
          <w:rFonts w:ascii="Verdana" w:eastAsia="Aptos" w:hAnsi="Verdana" w:cs="Times New Roman"/>
          <w:lang w:eastAsia="es-MX"/>
        </w:rPr>
        <w:t xml:space="preserve">Instagram: </w:t>
      </w:r>
      <w:r w:rsidRPr="00C518CE">
        <w:rPr>
          <w:rFonts w:ascii="Verdana" w:eastAsia="Calibri" w:hAnsi="Verdana" w:cs="Times New Roman"/>
          <w:color w:val="0000FF"/>
          <w:u w:val="single"/>
          <w:lang w:eastAsia="es-MX"/>
        </w:rPr>
        <w:t>@colombiacompraeficiente_cce</w:t>
      </w:r>
    </w:p>
    <w:p w14:paraId="4CB85DE7" w14:textId="77777777" w:rsidR="00A31155" w:rsidRPr="00C518CE" w:rsidRDefault="00A31155" w:rsidP="00A31155">
      <w:pPr>
        <w:spacing w:after="0" w:line="276" w:lineRule="auto"/>
        <w:jc w:val="both"/>
        <w:rPr>
          <w:rFonts w:ascii="Verdana" w:eastAsia="Aptos" w:hAnsi="Verdana" w:cs="Times New Roman"/>
          <w:color w:val="0000FF"/>
          <w:lang w:eastAsia="es-MX"/>
        </w:rPr>
      </w:pPr>
    </w:p>
    <w:p w14:paraId="57F74721" w14:textId="77777777" w:rsidR="00A31155" w:rsidRPr="00C518CE" w:rsidRDefault="00A31155" w:rsidP="00A31155">
      <w:pPr>
        <w:spacing w:after="0" w:line="276" w:lineRule="auto"/>
        <w:jc w:val="both"/>
        <w:rPr>
          <w:rFonts w:ascii="Verdana" w:eastAsia="Calibri" w:hAnsi="Verdana" w:cs="Times New Roman"/>
          <w:bCs/>
          <w:lang w:val="es-ES_tradnl" w:eastAsia="es-MX"/>
        </w:rPr>
      </w:pPr>
      <w:r w:rsidRPr="00C518CE">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4709029" w14:textId="343110B4" w:rsidR="00A31155" w:rsidRPr="00C518CE" w:rsidRDefault="00A31155" w:rsidP="00A31155">
      <w:pPr>
        <w:spacing w:after="0" w:line="276" w:lineRule="auto"/>
        <w:jc w:val="both"/>
        <w:rPr>
          <w:rFonts w:ascii="Verdana" w:eastAsia="Calibri" w:hAnsi="Verdana" w:cs="Times New Roman"/>
          <w:lang w:eastAsia="es-MX"/>
        </w:rPr>
      </w:pPr>
    </w:p>
    <w:p w14:paraId="2D574033" w14:textId="13F8045C" w:rsidR="00A31155" w:rsidRPr="00C518CE" w:rsidRDefault="00A31155" w:rsidP="00A31155">
      <w:pPr>
        <w:spacing w:after="0" w:line="276" w:lineRule="auto"/>
        <w:jc w:val="both"/>
        <w:rPr>
          <w:rFonts w:ascii="Verdana" w:eastAsia="Calibri" w:hAnsi="Verdana" w:cs="Times New Roman"/>
          <w:lang w:eastAsia="es-MX"/>
        </w:rPr>
      </w:pPr>
      <w:r w:rsidRPr="00C518CE">
        <w:rPr>
          <w:noProof/>
        </w:rPr>
        <w:drawing>
          <wp:anchor distT="0" distB="0" distL="114300" distR="114300" simplePos="0" relativeHeight="251658240" behindDoc="0" locked="0" layoutInCell="1" allowOverlap="1" wp14:anchorId="140BBCC1" wp14:editId="162C52B5">
            <wp:simplePos x="0" y="0"/>
            <wp:positionH relativeFrom="margin">
              <wp:posOffset>1367790</wp:posOffset>
            </wp:positionH>
            <wp:positionV relativeFrom="margin">
              <wp:posOffset>4212590</wp:posOffset>
            </wp:positionV>
            <wp:extent cx="3004185" cy="1181100"/>
            <wp:effectExtent l="0" t="0" r="5715" b="0"/>
            <wp:wrapSquare wrapText="bothSides"/>
            <wp:docPr id="1534229790" name="Imagen 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que contiene Diagrama&#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4185"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18CE">
        <w:rPr>
          <w:rFonts w:ascii="Verdana" w:eastAsia="Calibri" w:hAnsi="Verdana" w:cs="Times New Roman"/>
          <w:lang w:eastAsia="es-MX"/>
        </w:rPr>
        <w:t>Cordialmente,</w:t>
      </w:r>
    </w:p>
    <w:p w14:paraId="0746AD10" w14:textId="3F2254E2" w:rsidR="00A31155" w:rsidRPr="00C518CE" w:rsidRDefault="00A31155" w:rsidP="00A31155">
      <w:pPr>
        <w:tabs>
          <w:tab w:val="left" w:pos="1320"/>
        </w:tabs>
        <w:spacing w:after="0"/>
        <w:jc w:val="center"/>
        <w:rPr>
          <w:rFonts w:ascii="Verdana" w:eastAsia="Calibri" w:hAnsi="Verdana" w:cs="Times New Roman"/>
          <w:lang w:eastAsia="es-MX"/>
        </w:rPr>
      </w:pPr>
    </w:p>
    <w:p w14:paraId="3D69EBB2" w14:textId="7FE875B1" w:rsidR="00A31155" w:rsidRPr="00C518CE" w:rsidRDefault="00A31155" w:rsidP="00A31155">
      <w:pPr>
        <w:tabs>
          <w:tab w:val="left" w:pos="1320"/>
        </w:tabs>
        <w:spacing w:after="0"/>
        <w:jc w:val="center"/>
        <w:rPr>
          <w:rFonts w:ascii="Century Gothic" w:hAnsi="Century Gothic"/>
          <w:noProof/>
        </w:rPr>
      </w:pPr>
    </w:p>
    <w:p w14:paraId="2383DDF0" w14:textId="77777777" w:rsidR="00A31155" w:rsidRPr="00C518CE" w:rsidRDefault="00A31155" w:rsidP="00A31155">
      <w:pPr>
        <w:spacing w:after="0"/>
        <w:jc w:val="both"/>
        <w:rPr>
          <w:rFonts w:ascii="Verdana" w:hAnsi="Verdana"/>
          <w:sz w:val="16"/>
          <w:szCs w:val="16"/>
          <w:lang w:val="es-MX"/>
        </w:rPr>
      </w:pPr>
    </w:p>
    <w:p w14:paraId="14E6049A" w14:textId="77777777" w:rsidR="00A31155" w:rsidRPr="00C518CE" w:rsidRDefault="00A31155" w:rsidP="00A31155">
      <w:pPr>
        <w:spacing w:after="0"/>
        <w:jc w:val="both"/>
        <w:rPr>
          <w:rFonts w:ascii="Verdana" w:hAnsi="Verdana"/>
          <w:sz w:val="16"/>
          <w:szCs w:val="16"/>
          <w:lang w:val="es-MX"/>
        </w:rPr>
      </w:pPr>
    </w:p>
    <w:p w14:paraId="574B3533" w14:textId="77777777" w:rsidR="00A31155" w:rsidRPr="00C518CE" w:rsidRDefault="00A31155" w:rsidP="00A31155">
      <w:pPr>
        <w:spacing w:after="0"/>
        <w:jc w:val="both"/>
        <w:rPr>
          <w:rFonts w:ascii="Verdana" w:hAnsi="Verdana"/>
          <w:sz w:val="16"/>
          <w:szCs w:val="16"/>
          <w:lang w:val="es-MX"/>
        </w:rPr>
      </w:pPr>
    </w:p>
    <w:p w14:paraId="7B44DAA3" w14:textId="77777777" w:rsidR="00A31155" w:rsidRPr="00C518CE" w:rsidRDefault="00A31155" w:rsidP="00A31155">
      <w:pPr>
        <w:spacing w:after="0"/>
        <w:jc w:val="both"/>
        <w:rPr>
          <w:rFonts w:ascii="Verdana" w:hAnsi="Verdana"/>
          <w:sz w:val="16"/>
          <w:szCs w:val="16"/>
          <w:lang w:val="es-MX"/>
        </w:rPr>
      </w:pPr>
    </w:p>
    <w:p w14:paraId="1B849BC0" w14:textId="77777777" w:rsidR="00A31155" w:rsidRDefault="00A31155" w:rsidP="00A31155">
      <w:pPr>
        <w:spacing w:after="0"/>
        <w:jc w:val="both"/>
        <w:rPr>
          <w:rFonts w:ascii="Verdana" w:hAnsi="Verdana"/>
          <w:sz w:val="16"/>
          <w:szCs w:val="16"/>
          <w:lang w:val="es-MX"/>
        </w:rPr>
      </w:pPr>
    </w:p>
    <w:p w14:paraId="4957C3E1" w14:textId="77777777" w:rsidR="00A31155" w:rsidRPr="00C518CE" w:rsidRDefault="00A31155" w:rsidP="00A31155">
      <w:pPr>
        <w:spacing w:after="0"/>
        <w:jc w:val="both"/>
        <w:rPr>
          <w:rFonts w:ascii="Verdana" w:hAnsi="Verdana"/>
          <w:sz w:val="16"/>
          <w:szCs w:val="16"/>
          <w:lang w:val="es-MX"/>
        </w:rPr>
      </w:pPr>
    </w:p>
    <w:p w14:paraId="4702723E" w14:textId="77777777" w:rsidR="00A31155" w:rsidRPr="00C518CE" w:rsidRDefault="00A31155" w:rsidP="00A31155">
      <w:pPr>
        <w:spacing w:after="0"/>
        <w:jc w:val="both"/>
        <w:rPr>
          <w:rFonts w:ascii="Verdana" w:hAnsi="Verdana"/>
          <w:sz w:val="16"/>
          <w:szCs w:val="16"/>
          <w:lang w:val="es-MX"/>
        </w:rPr>
      </w:pPr>
    </w:p>
    <w:tbl>
      <w:tblPr>
        <w:tblW w:w="65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6"/>
        <w:gridCol w:w="5126"/>
      </w:tblGrid>
      <w:tr w:rsidR="00A31155" w:rsidRPr="00C518CE" w14:paraId="24EBC221" w14:textId="77777777" w:rsidTr="002D73D6">
        <w:trPr>
          <w:trHeight w:val="193"/>
        </w:trPr>
        <w:tc>
          <w:tcPr>
            <w:tcW w:w="1456" w:type="dxa"/>
            <w:tcBorders>
              <w:top w:val="nil"/>
              <w:left w:val="nil"/>
              <w:bottom w:val="nil"/>
              <w:right w:val="nil"/>
            </w:tcBorders>
            <w:vAlign w:val="center"/>
          </w:tcPr>
          <w:p w14:paraId="43E596C1"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Elaboró:          </w:t>
            </w:r>
          </w:p>
        </w:tc>
        <w:tc>
          <w:tcPr>
            <w:tcW w:w="5126" w:type="dxa"/>
            <w:tcBorders>
              <w:top w:val="dotted" w:sz="6" w:space="0" w:color="7F7F7F" w:themeColor="text1" w:themeTint="80"/>
              <w:left w:val="nil"/>
              <w:bottom w:val="dotted" w:sz="6" w:space="0" w:color="7F7F7F" w:themeColor="text1" w:themeTint="80"/>
              <w:right w:val="nil"/>
            </w:tcBorders>
            <w:vAlign w:val="center"/>
          </w:tcPr>
          <w:p w14:paraId="59D548F9"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Denis Andrea Cárdenas Hernández</w:t>
            </w:r>
          </w:p>
          <w:p w14:paraId="665D50A5"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Analista T2-1 de la Subdirección de Gestión Contractual</w:t>
            </w:r>
          </w:p>
        </w:tc>
      </w:tr>
      <w:tr w:rsidR="00A31155" w:rsidRPr="00C518CE" w14:paraId="2D0F356C" w14:textId="77777777" w:rsidTr="002D73D6">
        <w:trPr>
          <w:trHeight w:val="320"/>
        </w:trPr>
        <w:tc>
          <w:tcPr>
            <w:tcW w:w="1456" w:type="dxa"/>
            <w:tcBorders>
              <w:top w:val="nil"/>
              <w:left w:val="nil"/>
              <w:bottom w:val="nil"/>
              <w:right w:val="nil"/>
            </w:tcBorders>
            <w:vAlign w:val="center"/>
          </w:tcPr>
          <w:p w14:paraId="03832CF5"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Revisó: </w:t>
            </w:r>
          </w:p>
        </w:tc>
        <w:tc>
          <w:tcPr>
            <w:tcW w:w="5126" w:type="dxa"/>
            <w:tcBorders>
              <w:top w:val="dotted" w:sz="6" w:space="0" w:color="7F7F7F" w:themeColor="text1" w:themeTint="80"/>
              <w:left w:val="nil"/>
              <w:bottom w:val="dotted" w:sz="6" w:space="0" w:color="7F7F7F" w:themeColor="text1" w:themeTint="80"/>
              <w:right w:val="nil"/>
            </w:tcBorders>
            <w:vAlign w:val="center"/>
          </w:tcPr>
          <w:p w14:paraId="5A60529F"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Martha Alicia Romero Vargas</w:t>
            </w:r>
          </w:p>
          <w:p w14:paraId="3C4E90A1"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Gestor T1-15 de la Subdirección de Gestión Contractual</w:t>
            </w:r>
          </w:p>
        </w:tc>
      </w:tr>
      <w:tr w:rsidR="00A31155" w:rsidRPr="007877F2" w14:paraId="2BED1154" w14:textId="77777777" w:rsidTr="002D73D6">
        <w:trPr>
          <w:trHeight w:val="239"/>
        </w:trPr>
        <w:tc>
          <w:tcPr>
            <w:tcW w:w="1456" w:type="dxa"/>
            <w:tcBorders>
              <w:top w:val="nil"/>
              <w:left w:val="nil"/>
              <w:bottom w:val="nil"/>
              <w:right w:val="nil"/>
            </w:tcBorders>
            <w:vAlign w:val="center"/>
          </w:tcPr>
          <w:p w14:paraId="3B814E45"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Aprobó: </w:t>
            </w:r>
          </w:p>
        </w:tc>
        <w:tc>
          <w:tcPr>
            <w:tcW w:w="5126" w:type="dxa"/>
            <w:tcBorders>
              <w:top w:val="dotted" w:sz="6" w:space="0" w:color="7F7F7F" w:themeColor="text1" w:themeTint="80"/>
              <w:left w:val="nil"/>
              <w:bottom w:val="dotted" w:sz="6" w:space="0" w:color="7F7F7F" w:themeColor="text1" w:themeTint="80"/>
              <w:right w:val="nil"/>
            </w:tcBorders>
            <w:vAlign w:val="center"/>
          </w:tcPr>
          <w:p w14:paraId="6AA48554" w14:textId="77777777" w:rsidR="00A31155" w:rsidRPr="00C518CE"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Carolina Quintero Gacharna</w:t>
            </w:r>
          </w:p>
          <w:p w14:paraId="449BE6AB" w14:textId="77777777" w:rsidR="00A31155" w:rsidRPr="007877F2" w:rsidRDefault="00A31155" w:rsidP="002D73D6">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Subdirectora de Gestión Contractual ANCP – CCE</w:t>
            </w:r>
            <w:r>
              <w:rPr>
                <w:rFonts w:ascii="Verdana" w:eastAsia="Times New Roman" w:hAnsi="Verdana" w:cs="Arial"/>
                <w:sz w:val="16"/>
                <w:szCs w:val="16"/>
                <w:lang w:eastAsia="es-CO"/>
              </w:rPr>
              <w:t xml:space="preserve"> </w:t>
            </w:r>
          </w:p>
        </w:tc>
      </w:tr>
    </w:tbl>
    <w:p w14:paraId="40BE89E0" w14:textId="77777777" w:rsidR="00A31155" w:rsidRDefault="00A31155" w:rsidP="00A31155">
      <w:pPr>
        <w:spacing w:after="0"/>
        <w:jc w:val="both"/>
        <w:rPr>
          <w:rStyle w:val="Hipervnculo"/>
          <w:rFonts w:ascii="Verdana" w:hAnsi="Verdana"/>
        </w:rPr>
      </w:pPr>
    </w:p>
    <w:p w14:paraId="68BC1F5A" w14:textId="3DA26191" w:rsidR="00A31155" w:rsidRPr="00D40955" w:rsidRDefault="00A31155" w:rsidP="00A31155">
      <w:pPr>
        <w:spacing w:after="0"/>
        <w:jc w:val="both"/>
        <w:rPr>
          <w:rFonts w:ascii="Verdana" w:hAnsi="Verdana"/>
          <w:color w:val="0000FF"/>
          <w:u w:val="single"/>
        </w:rPr>
      </w:pPr>
    </w:p>
    <w:bookmarkEnd w:id="0"/>
    <w:p w14:paraId="0F293BF4" w14:textId="5FE920FB" w:rsidR="00127233" w:rsidRPr="00A31155" w:rsidRDefault="00127233" w:rsidP="00A31155">
      <w:pPr>
        <w:spacing w:after="0" w:line="240" w:lineRule="auto"/>
        <w:jc w:val="both"/>
        <w:rPr>
          <w:rFonts w:ascii="Verdana" w:eastAsia="Verdana" w:hAnsi="Verdana" w:cs="Verdana"/>
          <w:b/>
          <w:bCs/>
          <w:lang w:val="es-MX"/>
        </w:rPr>
      </w:pPr>
    </w:p>
    <w:sectPr w:rsidR="00127233" w:rsidRPr="00A31155" w:rsidSect="00A31155">
      <w:headerReference w:type="default" r:id="rId21"/>
      <w:footerReference w:type="default" r:id="rId22"/>
      <w:pgSz w:w="12240" w:h="15840" w:code="1"/>
      <w:pgMar w:top="1319"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6F47E" w14:textId="77777777" w:rsidR="00DF38F9" w:rsidRDefault="00DF38F9" w:rsidP="004A1847">
      <w:pPr>
        <w:spacing w:after="0" w:line="240" w:lineRule="auto"/>
      </w:pPr>
      <w:r>
        <w:separator/>
      </w:r>
    </w:p>
  </w:endnote>
  <w:endnote w:type="continuationSeparator" w:id="0">
    <w:p w14:paraId="0711204C" w14:textId="77777777" w:rsidR="00DF38F9" w:rsidRDefault="00DF38F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swiss"/>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22EC" w14:textId="77777777" w:rsidR="00DF38F9" w:rsidRDefault="00DF38F9" w:rsidP="004A1847">
      <w:pPr>
        <w:spacing w:after="0" w:line="240" w:lineRule="auto"/>
      </w:pPr>
      <w:r>
        <w:separator/>
      </w:r>
    </w:p>
  </w:footnote>
  <w:footnote w:type="continuationSeparator" w:id="0">
    <w:p w14:paraId="34A65DCD" w14:textId="77777777" w:rsidR="00DF38F9" w:rsidRDefault="00DF38F9" w:rsidP="004A1847">
      <w:pPr>
        <w:spacing w:after="0" w:line="240" w:lineRule="auto"/>
      </w:pPr>
      <w:r>
        <w:continuationSeparator/>
      </w:r>
    </w:p>
  </w:footnote>
  <w:footnote w:id="1">
    <w:p w14:paraId="217E2DFA" w14:textId="77777777" w:rsidR="00A31155" w:rsidRPr="00861BF3" w:rsidRDefault="00A31155" w:rsidP="00A31155">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14:paraId="00B68ADE" w14:textId="77777777" w:rsidR="00A31155" w:rsidRPr="00861BF3" w:rsidRDefault="00A31155" w:rsidP="00A31155">
      <w:pPr>
        <w:pStyle w:val="Textonotapie"/>
        <w:jc w:val="both"/>
        <w:rPr>
          <w:rFonts w:ascii="Verdana" w:hAnsi="Verdana"/>
          <w:sz w:val="19"/>
          <w:szCs w:val="19"/>
          <w:lang w:val="es-CO"/>
        </w:rPr>
      </w:pPr>
    </w:p>
  </w:footnote>
  <w:footnote w:id="2">
    <w:p w14:paraId="75FA1F37" w14:textId="77777777" w:rsidR="00A31155" w:rsidRPr="00861BF3" w:rsidRDefault="00A31155" w:rsidP="00A31155">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r:id="rId1" w:anchor="4" w:history="1">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14:paraId="178C8682" w14:textId="77777777" w:rsidR="00A31155" w:rsidRPr="00861BF3" w:rsidRDefault="00A31155" w:rsidP="00A31155">
      <w:pPr>
        <w:pStyle w:val="Textonotapie"/>
        <w:ind w:firstLine="708"/>
        <w:jc w:val="both"/>
        <w:rPr>
          <w:rFonts w:ascii="Verdana" w:hAnsi="Verdana" w:cs="Arial"/>
          <w:sz w:val="19"/>
          <w:szCs w:val="19"/>
        </w:rPr>
      </w:pPr>
    </w:p>
    <w:p w14:paraId="0510DC1B"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siguiente </w:t>
      </w:r>
      <w:r w:rsidRPr="00861BF3">
        <w:rPr>
          <w:rFonts w:ascii="Verdana" w:hAnsi="Verdana"/>
          <w:sz w:val="19"/>
          <w:szCs w:val="19"/>
        </w:rPr>
        <w:t xml:space="preserve"> </w:t>
      </w:r>
      <w:r w:rsidRPr="00861BF3">
        <w:rPr>
          <w:rFonts w:ascii="Verdana" w:hAnsi="Verdana" w:cs="Arial"/>
          <w:sz w:val="19"/>
          <w:szCs w:val="19"/>
        </w:rPr>
        <w:t>al artículo 2º de la Ley 1150 de 2007.</w:t>
      </w:r>
    </w:p>
    <w:p w14:paraId="72D8B818" w14:textId="77777777" w:rsidR="00A31155" w:rsidRPr="00861BF3" w:rsidRDefault="00A31155" w:rsidP="00A31155">
      <w:pPr>
        <w:pStyle w:val="Textonotapie"/>
        <w:ind w:firstLine="708"/>
        <w:jc w:val="both"/>
        <w:rPr>
          <w:rFonts w:ascii="Verdana" w:hAnsi="Verdana" w:cs="Arial"/>
          <w:sz w:val="19"/>
          <w:szCs w:val="19"/>
        </w:rPr>
      </w:pPr>
    </w:p>
    <w:p w14:paraId="7F1B6B13"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9E7A991" w14:textId="77777777" w:rsidR="00A31155" w:rsidRPr="00861BF3" w:rsidRDefault="00A31155" w:rsidP="00A31155">
      <w:pPr>
        <w:pStyle w:val="Textonotapie"/>
        <w:ind w:firstLine="708"/>
        <w:jc w:val="both"/>
        <w:rPr>
          <w:rFonts w:ascii="Verdana" w:hAnsi="Verdana" w:cs="Arial"/>
          <w:sz w:val="19"/>
          <w:szCs w:val="19"/>
        </w:rPr>
      </w:pPr>
    </w:p>
    <w:p w14:paraId="27610EA5"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17BAA28" w14:textId="77777777" w:rsidR="00A31155" w:rsidRPr="00861BF3" w:rsidRDefault="00A31155" w:rsidP="00A31155">
      <w:pPr>
        <w:pStyle w:val="Textonotapie"/>
        <w:ind w:firstLine="708"/>
        <w:jc w:val="both"/>
        <w:rPr>
          <w:rFonts w:ascii="Verdana" w:hAnsi="Verdana" w:cs="Arial"/>
          <w:sz w:val="19"/>
          <w:szCs w:val="19"/>
        </w:rPr>
      </w:pPr>
    </w:p>
    <w:p w14:paraId="103B8EAF"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7DD945B" w14:textId="77777777" w:rsidR="00A31155" w:rsidRPr="00861BF3" w:rsidRDefault="00A31155" w:rsidP="00A31155">
      <w:pPr>
        <w:pStyle w:val="Textonotapie"/>
        <w:ind w:firstLine="708"/>
        <w:jc w:val="both"/>
        <w:rPr>
          <w:rFonts w:ascii="Verdana" w:hAnsi="Verdana" w:cs="Arial"/>
          <w:sz w:val="19"/>
          <w:szCs w:val="19"/>
        </w:rPr>
      </w:pPr>
    </w:p>
    <w:p w14:paraId="6A915D85"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5BD97D2" w14:textId="77777777" w:rsidR="00A31155" w:rsidRPr="00861BF3" w:rsidRDefault="00A31155" w:rsidP="00A31155">
      <w:pPr>
        <w:pStyle w:val="Textonotapie"/>
        <w:ind w:firstLine="708"/>
        <w:jc w:val="both"/>
        <w:rPr>
          <w:rFonts w:ascii="Verdana" w:hAnsi="Verdana" w:cs="Arial"/>
          <w:sz w:val="19"/>
          <w:szCs w:val="19"/>
        </w:rPr>
      </w:pPr>
    </w:p>
    <w:p w14:paraId="357651B2"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1728DD8D"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3">
    <w:p w14:paraId="15C8336E" w14:textId="77777777" w:rsidR="00A31155" w:rsidRPr="00861BF3" w:rsidRDefault="00A31155" w:rsidP="00A31155">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14:paraId="3C69C832" w14:textId="77777777" w:rsidR="00A31155" w:rsidRPr="00861BF3" w:rsidRDefault="00A31155" w:rsidP="00A31155">
      <w:pPr>
        <w:pStyle w:val="Textonotapie"/>
        <w:ind w:firstLine="708"/>
        <w:jc w:val="both"/>
        <w:rPr>
          <w:rFonts w:ascii="Verdana" w:hAnsi="Verdana" w:cs="Arial"/>
          <w:sz w:val="19"/>
          <w:szCs w:val="19"/>
        </w:rPr>
      </w:pPr>
    </w:p>
    <w:p w14:paraId="4131F9B6"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14:paraId="354582E6" w14:textId="77777777" w:rsidR="00A31155" w:rsidRPr="00861BF3" w:rsidRDefault="00A31155" w:rsidP="00A31155">
      <w:pPr>
        <w:pStyle w:val="Textonotapie"/>
        <w:ind w:firstLine="708"/>
        <w:jc w:val="both"/>
        <w:rPr>
          <w:rFonts w:ascii="Verdana" w:hAnsi="Verdana" w:cs="Arial"/>
          <w:sz w:val="19"/>
          <w:szCs w:val="19"/>
        </w:rPr>
      </w:pPr>
    </w:p>
    <w:p w14:paraId="46BB8BD8" w14:textId="77777777" w:rsidR="00A31155" w:rsidRPr="00861BF3" w:rsidRDefault="00A31155" w:rsidP="00A31155">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3F0B297" w14:textId="77777777" w:rsidR="00A31155" w:rsidRPr="00861BF3" w:rsidRDefault="00A31155" w:rsidP="00A31155">
      <w:pPr>
        <w:pStyle w:val="Textonotapie"/>
        <w:ind w:firstLine="708"/>
        <w:jc w:val="both"/>
        <w:rPr>
          <w:rFonts w:ascii="Verdana" w:hAnsi="Verdana" w:cs="Arial"/>
          <w:sz w:val="19"/>
          <w:szCs w:val="19"/>
        </w:rPr>
      </w:pPr>
    </w:p>
    <w:p w14:paraId="64000B84" w14:textId="77777777" w:rsidR="00A31155" w:rsidRPr="00861BF3" w:rsidRDefault="00A31155" w:rsidP="00A31155">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4">
    <w:p w14:paraId="70C6BDC9" w14:textId="77777777" w:rsidR="00A31155" w:rsidRPr="00861BF3" w:rsidRDefault="00A31155" w:rsidP="00A31155">
      <w:pPr>
        <w:pStyle w:val="Textonotapie"/>
        <w:ind w:firstLine="709"/>
        <w:jc w:val="both"/>
        <w:rPr>
          <w:rFonts w:ascii="Verdana" w:hAnsi="Verdana" w:cs="Arial"/>
          <w:color w:val="000000"/>
          <w:sz w:val="19"/>
          <w:szCs w:val="19"/>
        </w:rPr>
      </w:pPr>
    </w:p>
    <w:p w14:paraId="136BCB5F" w14:textId="77777777" w:rsidR="00A31155" w:rsidRPr="00861BF3" w:rsidRDefault="00A31155" w:rsidP="00A31155">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id="2" w:name="_Hlk82363077"/>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14:paraId="2965BF06" w14:textId="77777777" w:rsidR="00A31155" w:rsidRPr="00861BF3" w:rsidRDefault="00A31155" w:rsidP="00A31155">
      <w:pPr>
        <w:pStyle w:val="Textonotapie"/>
        <w:ind w:firstLine="709"/>
        <w:jc w:val="both"/>
        <w:rPr>
          <w:rFonts w:ascii="Verdana" w:hAnsi="Verdana" w:cs="Arial"/>
          <w:color w:val="000000"/>
          <w:sz w:val="19"/>
          <w:szCs w:val="19"/>
          <w:lang w:val="es-ES"/>
        </w:rPr>
      </w:pPr>
    </w:p>
  </w:footnote>
  <w:footnote w:id="5">
    <w:p w14:paraId="3F5E15E8" w14:textId="77777777" w:rsidR="00A31155" w:rsidRPr="007542BD" w:rsidRDefault="00A31155" w:rsidP="00A31155">
      <w:pPr>
        <w:pStyle w:val="Textonotapie"/>
        <w:ind w:firstLine="709"/>
        <w:jc w:val="both"/>
        <w:rPr>
          <w:rFonts w:ascii="Verdana" w:hAnsi="Verdana" w:cs="Arial"/>
          <w:color w:val="000000"/>
          <w:sz w:val="16"/>
          <w:szCs w:val="16"/>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77B3F20" w14:textId="77777777" w:rsidR="00A31155" w:rsidRPr="007542BD" w:rsidRDefault="00A31155" w:rsidP="00A31155">
      <w:pPr>
        <w:pStyle w:val="Textonotapie"/>
        <w:ind w:firstLine="709"/>
        <w:jc w:val="both"/>
        <w:rPr>
          <w:rFonts w:ascii="Verdana" w:hAnsi="Verdana" w:cs="Arial"/>
          <w:color w:val="000000"/>
          <w:sz w:val="16"/>
          <w:szCs w:val="16"/>
        </w:rPr>
      </w:pPr>
    </w:p>
  </w:footnote>
  <w:footnote w:id="6">
    <w:p w14:paraId="6E3159EE" w14:textId="77777777" w:rsidR="00A31155" w:rsidRPr="007542BD" w:rsidRDefault="00A31155" w:rsidP="00A31155">
      <w:pPr>
        <w:spacing w:after="0" w:line="240" w:lineRule="auto"/>
        <w:ind w:firstLine="709"/>
        <w:jc w:val="both"/>
        <w:rPr>
          <w:rFonts w:ascii="Verdana" w:hAnsi="Verdana" w:cs="Arial"/>
          <w:color w:val="000000"/>
          <w:sz w:val="16"/>
          <w:szCs w:val="16"/>
          <w:lang w:val="es-ES"/>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w:t>
      </w:r>
      <w:r w:rsidRPr="007542BD">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653FF36" w14:textId="77777777" w:rsidR="00A31155" w:rsidRPr="007542BD" w:rsidRDefault="00A31155" w:rsidP="00A31155">
      <w:pPr>
        <w:spacing w:after="0" w:line="240" w:lineRule="auto"/>
        <w:ind w:firstLine="709"/>
        <w:jc w:val="both"/>
        <w:rPr>
          <w:rFonts w:ascii="Verdana" w:hAnsi="Verdana" w:cs="Arial"/>
          <w:color w:val="000000"/>
          <w:sz w:val="16"/>
          <w:szCs w:val="16"/>
          <w:lang w:val="es-ES"/>
        </w:rPr>
      </w:pPr>
    </w:p>
  </w:footnote>
  <w:footnote w:id="7">
    <w:p w14:paraId="0F72AF49" w14:textId="77777777" w:rsidR="00A31155" w:rsidRPr="007542BD" w:rsidRDefault="00A31155" w:rsidP="00A31155">
      <w:pPr>
        <w:pStyle w:val="Textonotapie"/>
        <w:ind w:firstLine="708"/>
        <w:jc w:val="both"/>
        <w:rPr>
          <w:rFonts w:ascii="Verdana" w:hAnsi="Verdana" w:cs="Arial"/>
          <w:sz w:val="16"/>
          <w:szCs w:val="16"/>
          <w:lang w:val="es-ES"/>
        </w:rPr>
      </w:pPr>
      <w:r w:rsidRPr="007542BD">
        <w:rPr>
          <w:rStyle w:val="Refdenotaalpie"/>
          <w:rFonts w:ascii="Verdana" w:hAnsi="Verdana" w:cs="Arial"/>
          <w:sz w:val="16"/>
          <w:szCs w:val="16"/>
        </w:rPr>
        <w:footnoteRef/>
      </w:r>
      <w:r w:rsidRPr="007542BD">
        <w:rPr>
          <w:rFonts w:ascii="Verdana" w:hAnsi="Verdana" w:cs="Arial"/>
          <w:sz w:val="16"/>
          <w:szCs w:val="16"/>
        </w:rPr>
        <w:t xml:space="preserve"> Diccionario de la Real Academia Española, versión online disponible en: </w:t>
      </w:r>
      <w:hyperlink r:id="rId2" w:history="1">
        <w:r w:rsidRPr="007542BD">
          <w:rPr>
            <w:rStyle w:val="Hipervnculo"/>
            <w:rFonts w:ascii="Verdana" w:hAnsi="Verdana" w:cs="Arial"/>
            <w:sz w:val="16"/>
            <w:szCs w:val="16"/>
          </w:rPr>
          <w:t>https://dle.rae.es/est%C3%A1ndar</w:t>
        </w:r>
      </w:hyperlink>
      <w:r w:rsidRPr="007542BD">
        <w:rPr>
          <w:rFonts w:ascii="Verdana" w:hAnsi="Verdana" w:cs="Arial"/>
          <w:sz w:val="16"/>
          <w:szCs w:val="16"/>
        </w:rPr>
        <w:t xml:space="preserve">, consultado el 2 de junio de 2020. </w:t>
      </w:r>
    </w:p>
  </w:footnote>
  <w:footnote w:id="8">
    <w:p w14:paraId="3DBB2FF4" w14:textId="77777777" w:rsidR="00A31155" w:rsidRPr="00904DD8" w:rsidRDefault="00A31155" w:rsidP="00A31155">
      <w:pPr>
        <w:pStyle w:val="Textonotapie"/>
        <w:ind w:firstLine="708"/>
        <w:jc w:val="both"/>
        <w:rPr>
          <w:rFonts w:ascii="Verdana" w:hAnsi="Verdana"/>
          <w:sz w:val="16"/>
          <w:szCs w:val="16"/>
          <w:lang w:val="es-ES_tradnl"/>
        </w:rPr>
      </w:pPr>
      <w:r w:rsidRPr="00904DD8">
        <w:rPr>
          <w:rStyle w:val="Refdenotaalpie"/>
          <w:rFonts w:ascii="Verdana" w:hAnsi="Verdana"/>
          <w:sz w:val="16"/>
          <w:szCs w:val="16"/>
        </w:rPr>
        <w:footnoteRef/>
      </w:r>
      <w:r w:rsidRPr="00904DD8">
        <w:rPr>
          <w:rFonts w:ascii="Verdana" w:hAnsi="Verdana"/>
          <w:sz w:val="16"/>
          <w:szCs w:val="16"/>
        </w:rPr>
        <w:t xml:space="preserve"> </w:t>
      </w:r>
      <w:r>
        <w:rPr>
          <w:rFonts w:ascii="Verdana" w:hAnsi="Verdana"/>
          <w:sz w:val="16"/>
          <w:szCs w:val="16"/>
        </w:rPr>
        <w:tab/>
      </w:r>
      <w:r w:rsidRPr="00904DD8">
        <w:rPr>
          <w:rFonts w:ascii="Verdana" w:hAnsi="Verdana"/>
          <w:sz w:val="16"/>
          <w:szCs w:val="16"/>
        </w:rPr>
        <w:t>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footnote>
  <w:footnote w:id="9">
    <w:p w14:paraId="512B7277" w14:textId="77777777" w:rsidR="00A31155" w:rsidRDefault="00A31155" w:rsidP="00A31155">
      <w:pPr>
        <w:pStyle w:val="NormalWeb"/>
        <w:spacing w:before="0" w:beforeAutospacing="0" w:after="0" w:afterAutospacing="0"/>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w:t>
      </w:r>
      <w:r w:rsidRPr="00E347D3">
        <w:rPr>
          <w:rFonts w:ascii="Verdana" w:hAnsi="Verdana" w:cs="Arial"/>
          <w:color w:val="000000" w:themeColor="text1"/>
          <w:sz w:val="16"/>
          <w:szCs w:val="16"/>
          <w:lang w:val="es-ES"/>
        </w:rPr>
        <w:t xml:space="preserve">Art. 6 Ley 1150 de 2007 </w:t>
      </w:r>
      <w:r w:rsidRPr="00E347D3">
        <w:rPr>
          <w:rFonts w:ascii="Verdana" w:eastAsia="Calibri" w:hAnsi="Verdana" w:cs="Arial"/>
          <w:i/>
          <w:iCs/>
          <w:color w:val="000000" w:themeColor="text1"/>
          <w:sz w:val="16"/>
          <w:szCs w:val="16"/>
          <w:lang w:val="es-ES_tradnl"/>
        </w:rPr>
        <w:t>“</w:t>
      </w:r>
      <w:r w:rsidRPr="00E347D3">
        <w:rPr>
          <w:rFonts w:ascii="Verdana" w:hAnsi="Verdana" w:cs="Arial"/>
          <w:color w:val="000000" w:themeColor="text1"/>
          <w:sz w:val="16"/>
          <w:szCs w:val="16"/>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AD31C5F" w14:textId="77777777" w:rsidR="00A31155" w:rsidRPr="00E347D3" w:rsidRDefault="00A31155" w:rsidP="00A31155">
      <w:pPr>
        <w:pStyle w:val="NormalWeb"/>
        <w:spacing w:before="0" w:beforeAutospacing="0" w:after="0" w:afterAutospacing="0"/>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w:t>
      </w:r>
    </w:p>
    <w:p w14:paraId="5FF41385" w14:textId="77777777" w:rsidR="00A31155" w:rsidRPr="00E347D3" w:rsidRDefault="00A31155" w:rsidP="00A31155">
      <w:pPr>
        <w:pStyle w:val="NormalWeb"/>
        <w:spacing w:before="0" w:beforeAutospacing="0" w:after="0" w:afterAutospacing="0"/>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En dicho registro constará la información relacionada con la experiencia, capacidad jurídica, financiera y de organización del proponente y su clasificación</w:t>
      </w:r>
      <w:r w:rsidRPr="00E347D3">
        <w:rPr>
          <w:rFonts w:ascii="Verdana" w:eastAsia="Calibri" w:hAnsi="Verdana" w:cs="Arial"/>
          <w:i/>
          <w:iCs/>
          <w:color w:val="000000" w:themeColor="text1"/>
          <w:sz w:val="16"/>
          <w:szCs w:val="16"/>
          <w:lang w:val="es-ES_tradnl"/>
        </w:rPr>
        <w:t>”</w:t>
      </w:r>
      <w:r w:rsidRPr="00E347D3">
        <w:rPr>
          <w:rFonts w:ascii="Verdana" w:hAnsi="Verdana" w:cs="Arial"/>
          <w:color w:val="000000" w:themeColor="text1"/>
          <w:sz w:val="16"/>
          <w:szCs w:val="16"/>
        </w:rPr>
        <w:t>.</w:t>
      </w:r>
    </w:p>
  </w:footnote>
  <w:footnote w:id="10">
    <w:p w14:paraId="319DB932" w14:textId="77777777" w:rsidR="00A31155" w:rsidRPr="00E347D3" w:rsidRDefault="00A31155" w:rsidP="00A31155">
      <w:pPr>
        <w:spacing w:after="0" w:line="240" w:lineRule="auto"/>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w:t>
      </w:r>
      <w:r w:rsidRPr="00E347D3">
        <w:rPr>
          <w:rFonts w:ascii="Verdana" w:hAnsi="Verdana" w:cs="Arial"/>
          <w:i/>
          <w:iCs/>
          <w:color w:val="000000" w:themeColor="text1"/>
          <w:sz w:val="16"/>
          <w:szCs w:val="16"/>
          <w:lang w:val="es-ES_tradnl"/>
        </w:rPr>
        <w:t>“</w:t>
      </w:r>
      <w:r w:rsidRPr="00E347D3">
        <w:rPr>
          <w:rFonts w:ascii="Verdana" w:hAnsi="Verdana" w:cs="Arial"/>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E347D3">
        <w:rPr>
          <w:rFonts w:ascii="Verdana" w:hAnsi="Verdana" w:cs="Arial"/>
          <w:i/>
          <w:iCs/>
          <w:sz w:val="16"/>
          <w:szCs w:val="16"/>
        </w:rPr>
        <w:t>”</w:t>
      </w:r>
      <w:r w:rsidRPr="00E347D3">
        <w:rPr>
          <w:rFonts w:ascii="Verdana" w:hAnsi="Verdana" w:cs="Arial"/>
          <w:color w:val="000000" w:themeColor="text1"/>
          <w:sz w:val="16"/>
          <w:szCs w:val="16"/>
        </w:rPr>
        <w:t xml:space="preserve">. </w:t>
      </w:r>
    </w:p>
  </w:footnote>
  <w:footnote w:id="11">
    <w:p w14:paraId="0AD691E1"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Esta norma prescribe que “Para que una persona se obligue a otra por un acto o declaración de voluntad, es necesario:</w:t>
      </w:r>
    </w:p>
    <w:p w14:paraId="64A708A1"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1o.) que sea legalmente capaz;</w:t>
      </w:r>
    </w:p>
    <w:p w14:paraId="7702E28D"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2o.) que consienta en dicho acto o declaración y su consentimiento no adolezca de vicio;</w:t>
      </w:r>
    </w:p>
    <w:p w14:paraId="44BA21CD"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3o.) que recaiga sobre un objeto lícito;</w:t>
      </w:r>
    </w:p>
    <w:p w14:paraId="33AF8293"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4o.) que tenga una causa lícita.</w:t>
      </w:r>
    </w:p>
    <w:p w14:paraId="6F3117B8"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La capacidad legal de una persona consiste en poderse obligar por sí misma, y sin el ministerio o la autorización de otra”.</w:t>
      </w:r>
    </w:p>
  </w:footnote>
  <w:footnote w:id="12">
    <w:p w14:paraId="4967D146" w14:textId="77777777" w:rsidR="00A31155" w:rsidRPr="00E347D3" w:rsidRDefault="00A31155" w:rsidP="00A31155">
      <w:pPr>
        <w:pStyle w:val="Textonotapie"/>
        <w:ind w:firstLine="708"/>
        <w:jc w:val="both"/>
        <w:rPr>
          <w:rFonts w:ascii="Verdana" w:hAnsi="Verdana"/>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CONSEJO DE ESTADO. Sección Tercera. Sentencia del 26 de enero de 2011. Rad. 36.408. C.P. Jaime Orlando Santofimio Gamboa.</w:t>
      </w:r>
      <w:r w:rsidRPr="00E347D3">
        <w:rPr>
          <w:rFonts w:ascii="Verdana" w:hAnsi="Verdana"/>
          <w:color w:val="000000" w:themeColor="text1"/>
          <w:sz w:val="16"/>
          <w:szCs w:val="16"/>
        </w:rPr>
        <w:t xml:space="preserve">  </w:t>
      </w:r>
    </w:p>
  </w:footnote>
  <w:footnote w:id="13">
    <w:p w14:paraId="2ED445C5"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Para estos efectos, la doctrina considera que “[…] la incapacidad especial afecta únicamente a ciertas personas, impidiéndoles que puedan ejecutar actos específicos que la ley señala en cada caso; de modo que, para que sea aplicable, se requieren dos condiciones: la persona misma y el acto.</w:t>
      </w:r>
    </w:p>
    <w:p w14:paraId="20855A27"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Si esas personas, que, por otra parte, son plenamente capaces para celebrar o ejecutar válidamente cualquier acto o contrato de la vida civil, celebran uno, para el cual son capaces, el acto o contrato es válido, porque la incapacidad sólo dice relación con el acto o contrato específico que la ley señala.</w:t>
      </w:r>
    </w:p>
    <w:p w14:paraId="36E05DDD"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Igualmente, el acto o contrato para cuya ejecución o celebración la ley considera incapaz a ciertas y determinadas personas no tiene en sí nada de reprobable, y puede, por lo general, ser ejecutado por cualquier individuo, estando las más de las veces expresamente reglamentado por la legislación. Pero si es ejecutado por aquellas personas, la ley no permite su subsistencia y autoriza su anulación, porque no quiere que esas personas, que están en situaciones especiales, celebren o ejecuten tales actos o contratos.</w:t>
      </w:r>
    </w:p>
    <w:p w14:paraId="587DBD01"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En consecuencia, en las incapacidades especiales existe una relación íntima entre la calidad o estado de que está revestida una persona, y el acto específico que realiza. Por tal motivo, tratándose de una persona que no reúna esa calidad o estado, el acto puede ejecutarse sin ningún inconveniente; y en igual forma, tratándose de otro acto diverso, la persona que tenga esa calidad puede ejecutarlo válidamente. La incapacidad especial se produce, pues, por la conjunción de dos circunstancias, que deben coexistir: persona que reúna ciertas condiciones o que tenga un estado especial determinado por la ley, y acto cuya celebración sea prohibida a esa persona” (</w:t>
      </w:r>
      <w:bookmarkStart w:id="3" w:name="_Hlk35615848"/>
      <w:r w:rsidRPr="00E347D3">
        <w:rPr>
          <w:rFonts w:ascii="Verdana" w:hAnsi="Verdana" w:cs="Arial"/>
          <w:color w:val="000000" w:themeColor="text1"/>
          <w:sz w:val="16"/>
          <w:szCs w:val="16"/>
        </w:rPr>
        <w:t>ALESSADRI BESA, Arturo. La nulidad y la rescisión en el derecho civil chileno. Tomo I. Santiago de Chile: Ediar Editores LTDA, 1949. p. 471</w:t>
      </w:r>
      <w:bookmarkEnd w:id="3"/>
      <w:r w:rsidRPr="00E347D3">
        <w:rPr>
          <w:rFonts w:ascii="Verdana" w:hAnsi="Verdana" w:cs="Arial"/>
          <w:color w:val="000000" w:themeColor="text1"/>
          <w:sz w:val="16"/>
          <w:szCs w:val="16"/>
        </w:rPr>
        <w:t xml:space="preserve">). </w:t>
      </w:r>
    </w:p>
  </w:footnote>
  <w:footnote w:id="14">
    <w:p w14:paraId="6AC8A168" w14:textId="77777777" w:rsidR="00A31155" w:rsidRPr="00E347D3" w:rsidRDefault="00A31155" w:rsidP="00A31155">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Al respecto, “Se ha considerado […] que, respecto de la colectividad, la personificación no es un hecho natural, porque la colectividad no puede existir como persona </w:t>
      </w:r>
      <w:r w:rsidRPr="00E347D3">
        <w:rPr>
          <w:rFonts w:ascii="Verdana" w:hAnsi="Verdana" w:cs="Arial"/>
          <w:i/>
          <w:iCs/>
          <w:sz w:val="16"/>
          <w:szCs w:val="16"/>
        </w:rPr>
        <w:t>jure propio</w:t>
      </w:r>
      <w:r w:rsidRPr="00E347D3">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E347D3">
        <w:rPr>
          <w:rFonts w:ascii="Verdana" w:hAnsi="Verdana" w:cs="Arial"/>
          <w:i/>
          <w:iCs/>
          <w:sz w:val="16"/>
          <w:szCs w:val="16"/>
        </w:rPr>
        <w:t>jure propio</w:t>
      </w:r>
      <w:r w:rsidRPr="00E347D3">
        <w:rPr>
          <w:rFonts w:ascii="Verdana" w:hAnsi="Verdana" w:cs="Arial"/>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footnote>
  <w:footnote w:id="15">
    <w:p w14:paraId="2DE50F04" w14:textId="77777777" w:rsidR="00A31155" w:rsidRPr="00E347D3" w:rsidRDefault="00A31155" w:rsidP="00A31155">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 </w:t>
      </w:r>
    </w:p>
    <w:p w14:paraId="477DC613" w14:textId="77777777" w:rsidR="00A31155" w:rsidRPr="00E347D3" w:rsidRDefault="00A31155" w:rsidP="00A31155">
      <w:pPr>
        <w:pStyle w:val="Textonotapie"/>
        <w:ind w:firstLine="708"/>
        <w:jc w:val="both"/>
        <w:rPr>
          <w:rFonts w:ascii="Verdana" w:hAnsi="Verdana" w:cs="Arial"/>
          <w:sz w:val="16"/>
          <w:szCs w:val="16"/>
        </w:rPr>
      </w:pPr>
      <w:r w:rsidRPr="00E347D3">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footnote>
  <w:footnote w:id="16">
    <w:p w14:paraId="3F249487" w14:textId="77777777" w:rsidR="00A31155" w:rsidRPr="00E347D3" w:rsidRDefault="00A31155" w:rsidP="00A31155">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CLARO SOLAR, Luis. Explicaciones de derecho civil chileno y comparado. Volumen II. Tomo V. Santiago: Editorial Jurídica de Chile, 2013. p. 353.</w:t>
      </w:r>
    </w:p>
  </w:footnote>
  <w:footnote w:id="17">
    <w:p w14:paraId="7962DFC6"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“Artículo 117.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sociedad no se halla disuelta. </w:t>
      </w:r>
    </w:p>
    <w:p w14:paraId="612F9BE0" w14:textId="77777777" w:rsidR="00A31155" w:rsidRPr="00E347D3" w:rsidRDefault="00A31155" w:rsidP="00A31155">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 xml:space="preserve">Para probar la representación de una sociedad bastará la certificación de la cámara respectiva, con indicación del nombre de los representantes, de las facultades conferidas a cada uno de ellos en el contrato y de las limitaciones acordadas a dichas facultades, en su caso”. </w:t>
      </w:r>
    </w:p>
  </w:footnote>
  <w:footnote w:id="18">
    <w:p w14:paraId="7A7BBE42" w14:textId="77777777" w:rsidR="00A31155" w:rsidRPr="00E347D3" w:rsidRDefault="00A31155" w:rsidP="00A31155">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De acuerdo con la Corte Constitucional en la Sentencia C-305 de 2019, con ponencia de la Magistrada Cristina Pardo Schlesinger, “[…] la indebida representación negocial no da lugar a la nulidad del contrato, ni relativa ni absoluta, sino a la inoponibilidad del mismo frente a terceros, específicamente frente a la persona jurídica”.</w:t>
      </w:r>
    </w:p>
  </w:footnote>
  <w:footnote w:id="19">
    <w:p w14:paraId="783EDAAA" w14:textId="77777777" w:rsidR="00A31155" w:rsidRPr="00E347D3" w:rsidRDefault="00A31155" w:rsidP="00A31155">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1E57B328" w14:textId="77777777" w:rsidR="00A31155" w:rsidRPr="00E347D3" w:rsidRDefault="00A31155" w:rsidP="00A31155">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2580C1B3" w14:textId="77777777" w:rsidR="00A31155" w:rsidRPr="00E347D3" w:rsidRDefault="00A31155" w:rsidP="00A31155">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5793C465" w14:textId="77777777" w:rsidR="00A31155" w:rsidRPr="00E347D3" w:rsidRDefault="00A31155" w:rsidP="00A31155">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5AE244C2" w14:textId="77777777" w:rsidR="00A31155" w:rsidRPr="00E347D3" w:rsidRDefault="00A31155" w:rsidP="00A31155">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3574C029" w14:textId="77777777" w:rsidR="00A31155" w:rsidRPr="00E347D3" w:rsidRDefault="00A31155" w:rsidP="00A31155">
      <w:pPr>
        <w:pStyle w:val="NormalWeb"/>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Las mismas sanciones previstas en el inciso anterior se predicarán en el evento en que el Juez de lo Contencioso Administrativa declare la nulidad del acto de inscripción.</w:t>
      </w:r>
    </w:p>
    <w:p w14:paraId="5AFCBE22" w14:textId="77777777" w:rsidR="00A31155" w:rsidRPr="00E347D3" w:rsidRDefault="00A31155" w:rsidP="00A31155">
      <w:pPr>
        <w:pStyle w:val="NormalWeb"/>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 información contenida en el registro es pública y su consulta será gratuita”.</w:t>
      </w:r>
    </w:p>
  </w:footnote>
  <w:footnote w:id="20">
    <w:p w14:paraId="2D170501" w14:textId="77777777" w:rsidR="00A31155" w:rsidRPr="00E347D3" w:rsidRDefault="00A31155" w:rsidP="00A31155">
      <w:pPr>
        <w:pStyle w:val="Textonotapie"/>
        <w:ind w:firstLine="708"/>
        <w:jc w:val="both"/>
        <w:rPr>
          <w:rFonts w:ascii="Verdana" w:eastAsia="Times New Roman" w:hAnsi="Verdana" w:cs="Arial"/>
          <w:color w:val="000000"/>
          <w:sz w:val="16"/>
          <w:szCs w:val="16"/>
          <w:lang w:eastAsia="es-CO"/>
        </w:rPr>
      </w:pPr>
      <w:r w:rsidRPr="00E347D3">
        <w:rPr>
          <w:rStyle w:val="Refdenotaalpie"/>
          <w:rFonts w:ascii="Verdana" w:hAnsi="Verdana" w:cs="Arial"/>
          <w:color w:val="000000"/>
          <w:sz w:val="16"/>
          <w:szCs w:val="16"/>
        </w:rPr>
        <w:footnoteRef/>
      </w:r>
      <w:r w:rsidRPr="00E347D3">
        <w:rPr>
          <w:rFonts w:ascii="Verdana" w:eastAsia="Times New Roman" w:hAnsi="Verdana" w:cs="Arial"/>
          <w:color w:val="000000"/>
          <w:sz w:val="16"/>
          <w:szCs w:val="16"/>
          <w:lang w:eastAsia="es-CO"/>
        </w:rPr>
        <w:t xml:space="preserve"> “Artículo 2.2.1.1.1.5.1. Inscripción, renovación, actualización y cancelación del RUP.</w:t>
      </w:r>
    </w:p>
    <w:p w14:paraId="6727CB5B" w14:textId="77777777" w:rsidR="00A31155" w:rsidRPr="00E347D3" w:rsidRDefault="00A31155" w:rsidP="00A31155">
      <w:pPr>
        <w:pStyle w:val="Textonotapie"/>
        <w:ind w:firstLine="708"/>
        <w:jc w:val="both"/>
        <w:rPr>
          <w:rFonts w:ascii="Verdana" w:eastAsia="Times New Roman" w:hAnsi="Verdana" w:cs="Arial"/>
          <w:color w:val="000000"/>
          <w:sz w:val="16"/>
          <w:szCs w:val="16"/>
          <w:lang w:eastAsia="es-CO"/>
        </w:rPr>
      </w:pPr>
      <w:r w:rsidRPr="00E347D3">
        <w:rPr>
          <w:rFonts w:ascii="Verdana" w:eastAsia="Times New Roman" w:hAnsi="Verdana" w:cs="Arial"/>
          <w:color w:val="000000"/>
          <w:sz w:val="16"/>
          <w:szCs w:val="16"/>
          <w:lang w:eastAsia="es-CO"/>
        </w:rPr>
        <w:t>[…]</w:t>
      </w:r>
    </w:p>
    <w:p w14:paraId="7CB153A6" w14:textId="77777777" w:rsidR="00A31155" w:rsidRPr="00E347D3" w:rsidRDefault="00A31155" w:rsidP="00A31155">
      <w:pPr>
        <w:pStyle w:val="Textonotapie"/>
        <w:ind w:firstLine="708"/>
        <w:jc w:val="both"/>
        <w:rPr>
          <w:rFonts w:ascii="Verdana" w:eastAsia="Times New Roman" w:hAnsi="Verdana" w:cs="Arial"/>
          <w:color w:val="000000"/>
          <w:sz w:val="16"/>
          <w:szCs w:val="16"/>
          <w:lang w:eastAsia="es-CO"/>
        </w:rPr>
      </w:pPr>
      <w:r w:rsidRPr="00E347D3">
        <w:rPr>
          <w:rFonts w:ascii="Verdana" w:eastAsia="Times New Roman" w:hAnsi="Verdana" w:cs="Arial"/>
          <w:color w:val="000000"/>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21">
    <w:p w14:paraId="39E2EF3B" w14:textId="77777777" w:rsidR="00A31155" w:rsidRPr="00E347D3" w:rsidRDefault="00A31155" w:rsidP="00A31155">
      <w:pPr>
        <w:pStyle w:val="Textonotapie"/>
        <w:ind w:firstLine="708"/>
        <w:jc w:val="both"/>
        <w:rPr>
          <w:rFonts w:ascii="Verdana" w:eastAsia="Times New Roman" w:hAnsi="Verdana" w:cs="Arial"/>
          <w:color w:val="000000"/>
          <w:sz w:val="16"/>
          <w:szCs w:val="16"/>
          <w:lang w:eastAsia="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eastAsia="Times New Roman" w:hAnsi="Verdana" w:cs="Arial"/>
          <w:color w:val="000000"/>
          <w:sz w:val="16"/>
          <w:szCs w:val="16"/>
          <w:lang w:eastAsia="es-CO"/>
        </w:rPr>
        <w:t>Consejo de Estado. Sección Tercera. Subsección A. Sentencia del 19 de septiembre de 2019. Exp. 59.432. C.P. Marta Nubia Velásquez Rico.</w:t>
      </w:r>
    </w:p>
  </w:footnote>
  <w:footnote w:id="22">
    <w:p w14:paraId="520081E0" w14:textId="77777777" w:rsidR="00A31155" w:rsidRPr="00E347D3" w:rsidRDefault="00A31155" w:rsidP="00A31155">
      <w:pPr>
        <w:pStyle w:val="Textonotapie"/>
        <w:ind w:firstLine="709"/>
        <w:jc w:val="both"/>
        <w:rPr>
          <w:rFonts w:ascii="Verdana" w:hAnsi="Verdana" w:cs="Arial"/>
          <w:color w:val="000000"/>
          <w:sz w:val="16"/>
          <w:szCs w:val="16"/>
          <w:lang w:val="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hAnsi="Verdana" w:cs="Arial"/>
          <w:color w:val="000000"/>
          <w:sz w:val="16"/>
          <w:szCs w:val="16"/>
          <w:lang w:val="es-CO"/>
        </w:rPr>
        <w:t xml:space="preserve">“Artículo 87. Firmeza de los actos administrativos. Los actos administrativos quedarán en firme: </w:t>
      </w:r>
    </w:p>
    <w:p w14:paraId="7883473D" w14:textId="77777777" w:rsidR="00A31155" w:rsidRPr="00E347D3" w:rsidRDefault="00A31155" w:rsidP="00A31155">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1. Cuando contra ellos no proceda ningún recurso, desde el día siguiente al de su notificación, comunicación o publicación según el caso. </w:t>
      </w:r>
    </w:p>
    <w:p w14:paraId="5F50D955" w14:textId="77777777" w:rsidR="00A31155" w:rsidRPr="00E347D3" w:rsidRDefault="00A31155" w:rsidP="00A31155">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2. Desde el día siguiente a la publicación, comunicación o notificación de la decisión sobre los recursos interpuestos. </w:t>
      </w:r>
    </w:p>
    <w:p w14:paraId="3BAE7A8E" w14:textId="77777777" w:rsidR="00A31155" w:rsidRPr="00E347D3" w:rsidRDefault="00A31155" w:rsidP="00A31155">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3. Desde el día siguiente al del vencimiento del término para interponer los recursos, si estos no fueron interpuestos, o se hubiere renunciado expresamente a ellos.</w:t>
      </w:r>
    </w:p>
    <w:p w14:paraId="2FA069E9" w14:textId="77777777" w:rsidR="00A31155" w:rsidRPr="00E347D3" w:rsidRDefault="00A31155" w:rsidP="00A31155">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4. Desde el día siguiente al de la notificación de la aceptación del desistimiento de los recursos. </w:t>
      </w:r>
    </w:p>
    <w:p w14:paraId="380BDEB2" w14:textId="77777777" w:rsidR="00A31155" w:rsidRPr="00E347D3" w:rsidRDefault="00A31155" w:rsidP="00A31155">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5. Desde el día siguiente al de la protocolización a que alude el artículo 85 para el silencio administrativo positivo”.</w:t>
      </w:r>
    </w:p>
  </w:footnote>
  <w:footnote w:id="23">
    <w:p w14:paraId="3A6B1E58" w14:textId="77777777" w:rsidR="00A31155" w:rsidRPr="00E347D3" w:rsidRDefault="00A31155" w:rsidP="00A31155">
      <w:pPr>
        <w:pStyle w:val="Textonotapie"/>
        <w:ind w:firstLine="709"/>
        <w:jc w:val="both"/>
        <w:rPr>
          <w:rFonts w:ascii="Verdana" w:hAnsi="Verdana" w:cs="Arial"/>
          <w:color w:val="000000"/>
          <w:sz w:val="16"/>
          <w:szCs w:val="16"/>
          <w:lang w:val="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hAnsi="Verdana" w:cs="Arial"/>
          <w:color w:val="000000"/>
          <w:sz w:val="16"/>
          <w:szCs w:val="16"/>
          <w:lang w:val="es-CO"/>
        </w:rPr>
        <w:t>Consejo de Estado. Sección Cuarta. Sentencia del 19 de noviembre de 1999. Exp. 9.453. CP. Daniel Manrique Guzmán.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568301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4437"/>
    <w:rsid w:val="0015699B"/>
    <w:rsid w:val="001A33BF"/>
    <w:rsid w:val="001B7CEE"/>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73D6"/>
    <w:rsid w:val="002E2BF8"/>
    <w:rsid w:val="002E4FD9"/>
    <w:rsid w:val="0030657A"/>
    <w:rsid w:val="00317130"/>
    <w:rsid w:val="00322A85"/>
    <w:rsid w:val="00324168"/>
    <w:rsid w:val="00330834"/>
    <w:rsid w:val="003448F4"/>
    <w:rsid w:val="00374F5E"/>
    <w:rsid w:val="00377E3E"/>
    <w:rsid w:val="003A779E"/>
    <w:rsid w:val="003D0F4D"/>
    <w:rsid w:val="003D5B0D"/>
    <w:rsid w:val="003D7980"/>
    <w:rsid w:val="003E0499"/>
    <w:rsid w:val="003E4F80"/>
    <w:rsid w:val="003E6439"/>
    <w:rsid w:val="003F3941"/>
    <w:rsid w:val="00406575"/>
    <w:rsid w:val="00414C74"/>
    <w:rsid w:val="00426CDB"/>
    <w:rsid w:val="0042722E"/>
    <w:rsid w:val="0044528D"/>
    <w:rsid w:val="00446C2F"/>
    <w:rsid w:val="00466E39"/>
    <w:rsid w:val="004A1847"/>
    <w:rsid w:val="004A305D"/>
    <w:rsid w:val="004F21C4"/>
    <w:rsid w:val="004F685F"/>
    <w:rsid w:val="00550ACD"/>
    <w:rsid w:val="005566E8"/>
    <w:rsid w:val="00574867"/>
    <w:rsid w:val="00591460"/>
    <w:rsid w:val="00593043"/>
    <w:rsid w:val="005A65E0"/>
    <w:rsid w:val="005B7064"/>
    <w:rsid w:val="005C3777"/>
    <w:rsid w:val="005C4113"/>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E47"/>
    <w:rsid w:val="00806F5F"/>
    <w:rsid w:val="00820278"/>
    <w:rsid w:val="008258C9"/>
    <w:rsid w:val="00844AE9"/>
    <w:rsid w:val="00867F95"/>
    <w:rsid w:val="008843B6"/>
    <w:rsid w:val="00891928"/>
    <w:rsid w:val="008A446D"/>
    <w:rsid w:val="008B25F1"/>
    <w:rsid w:val="008D180B"/>
    <w:rsid w:val="008F0EA7"/>
    <w:rsid w:val="00912653"/>
    <w:rsid w:val="00923EEF"/>
    <w:rsid w:val="009419F9"/>
    <w:rsid w:val="0095685E"/>
    <w:rsid w:val="00961B09"/>
    <w:rsid w:val="00965334"/>
    <w:rsid w:val="0097093E"/>
    <w:rsid w:val="009A0DFA"/>
    <w:rsid w:val="009A1C6F"/>
    <w:rsid w:val="009B2D26"/>
    <w:rsid w:val="009C55D6"/>
    <w:rsid w:val="009C71FA"/>
    <w:rsid w:val="009C72E7"/>
    <w:rsid w:val="009C7F7E"/>
    <w:rsid w:val="009D3058"/>
    <w:rsid w:val="009F3A13"/>
    <w:rsid w:val="00A122D3"/>
    <w:rsid w:val="00A14468"/>
    <w:rsid w:val="00A15D36"/>
    <w:rsid w:val="00A17F13"/>
    <w:rsid w:val="00A20739"/>
    <w:rsid w:val="00A23AF9"/>
    <w:rsid w:val="00A31155"/>
    <w:rsid w:val="00A33C78"/>
    <w:rsid w:val="00A845D9"/>
    <w:rsid w:val="00AB0ADB"/>
    <w:rsid w:val="00B00C0E"/>
    <w:rsid w:val="00B01B1A"/>
    <w:rsid w:val="00B0381D"/>
    <w:rsid w:val="00B44A47"/>
    <w:rsid w:val="00B72CD3"/>
    <w:rsid w:val="00B72FFF"/>
    <w:rsid w:val="00BC3D36"/>
    <w:rsid w:val="00BD54A6"/>
    <w:rsid w:val="00BD7F72"/>
    <w:rsid w:val="00BF7425"/>
    <w:rsid w:val="00C04FB3"/>
    <w:rsid w:val="00C05998"/>
    <w:rsid w:val="00C11D8B"/>
    <w:rsid w:val="00C15139"/>
    <w:rsid w:val="00C2033E"/>
    <w:rsid w:val="00C26058"/>
    <w:rsid w:val="00C330EB"/>
    <w:rsid w:val="00C50D69"/>
    <w:rsid w:val="00C5365C"/>
    <w:rsid w:val="00C754BE"/>
    <w:rsid w:val="00C76B1C"/>
    <w:rsid w:val="00C925AC"/>
    <w:rsid w:val="00CB6357"/>
    <w:rsid w:val="00CC1B26"/>
    <w:rsid w:val="00D01B04"/>
    <w:rsid w:val="00D14CDF"/>
    <w:rsid w:val="00D361FD"/>
    <w:rsid w:val="00D423A2"/>
    <w:rsid w:val="00D44E26"/>
    <w:rsid w:val="00D520D8"/>
    <w:rsid w:val="00D63AC2"/>
    <w:rsid w:val="00D7383B"/>
    <w:rsid w:val="00D7788A"/>
    <w:rsid w:val="00DA231B"/>
    <w:rsid w:val="00DC39FC"/>
    <w:rsid w:val="00DF38F9"/>
    <w:rsid w:val="00DF5254"/>
    <w:rsid w:val="00E02524"/>
    <w:rsid w:val="00E16408"/>
    <w:rsid w:val="00E20894"/>
    <w:rsid w:val="00E245AB"/>
    <w:rsid w:val="00E2764C"/>
    <w:rsid w:val="00E27F2E"/>
    <w:rsid w:val="00E50AFE"/>
    <w:rsid w:val="00E607F1"/>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C3DD5"/>
    <w:rsid w:val="00FF1449"/>
    <w:rsid w:val="00FF7963"/>
    <w:rsid w:val="071B8F93"/>
    <w:rsid w:val="07C73DD1"/>
    <w:rsid w:val="09908A09"/>
    <w:rsid w:val="0EFE6349"/>
    <w:rsid w:val="0FF4CCA8"/>
    <w:rsid w:val="13CFC91B"/>
    <w:rsid w:val="19A2EC2C"/>
    <w:rsid w:val="21779BE6"/>
    <w:rsid w:val="260A7588"/>
    <w:rsid w:val="2859CA1B"/>
    <w:rsid w:val="2C4D2425"/>
    <w:rsid w:val="2EE1E026"/>
    <w:rsid w:val="2F44F38F"/>
    <w:rsid w:val="30821638"/>
    <w:rsid w:val="32A4F9CF"/>
    <w:rsid w:val="33A1FF93"/>
    <w:rsid w:val="356CEDFD"/>
    <w:rsid w:val="3C591AFD"/>
    <w:rsid w:val="3EC6265D"/>
    <w:rsid w:val="40C6EA3D"/>
    <w:rsid w:val="42183F0A"/>
    <w:rsid w:val="42DE0668"/>
    <w:rsid w:val="545B112A"/>
    <w:rsid w:val="5BEB1497"/>
    <w:rsid w:val="6704C97F"/>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6C7E2BB-C02E-467A-B494-64C61024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A31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3115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1155"/>
    <w:rPr>
      <w:rFonts w:ascii="Geomanist Light" w:hAnsi="Geomanist Light"/>
      <w:lang w:val="es-ES"/>
    </w:rPr>
  </w:style>
  <w:style w:type="character" w:customStyle="1" w:styleId="NormalWebCar">
    <w:name w:val="Normal (Web) Car"/>
    <w:link w:val="NormalWeb"/>
    <w:uiPriority w:val="99"/>
    <w:rsid w:val="00A31155"/>
    <w:rPr>
      <w:rFonts w:ascii="Times New Roman" w:eastAsia="Times New Roman" w:hAnsi="Times New Roman" w:cs="Times New Roman"/>
      <w:sz w:val="24"/>
      <w:szCs w:val="24"/>
      <w:lang w:eastAsia="es-CO"/>
    </w:rPr>
  </w:style>
  <w:style w:type="paragraph" w:customStyle="1" w:styleId="CommentText">
    <w:name w:val="Comment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Fuentedeprrafopredeter"/>
    <w:link w:val="CommentText"/>
    <w:uiPriority w:val="99"/>
    <w:semiHidden/>
    <w:rPr>
      <w:sz w:val="20"/>
      <w:szCs w:val="20"/>
    </w:rPr>
  </w:style>
  <w:style w:type="character" w:customStyle="1" w:styleId="CommentReference">
    <w:name w:val="Comment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hyperlink" Target="https://www.colombiacompra.gov.co/normativa-y-relatoria/documentos-tip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carlosacorzo@gmail.com" TargetMode="External"/><Relationship Id="rId17" Type="http://schemas.openxmlformats.org/officeDocument/2006/relationships/hyperlink" Target="https://formacionvirtual.colombiacompra.gov.co/mod/page/view.php?id=3718"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funcionpublica.gov.co/eva/gestornormativo/norma.php?i=8489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4F9678A-EB21-45EA-AE4F-AFBF533AE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9BC56-1086-4B7C-8E41-25CD4EEE82A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26</Pages>
  <Words>7701</Words>
  <Characters>42357</Characters>
  <Application>Microsoft Office Word</Application>
  <DocSecurity>0</DocSecurity>
  <Lines>352</Lines>
  <Paragraphs>99</Paragraphs>
  <ScaleCrop>false</ScaleCrop>
  <Company/>
  <LinksUpToDate>false</LinksUpToDate>
  <CharactersWithSpaces>49959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9</cp:revision>
  <cp:lastPrinted>2023-01-11T00:18:00Z</cp:lastPrinted>
  <dcterms:created xsi:type="dcterms:W3CDTF">2026-06-18T19:36:00Z</dcterms:created>
  <dcterms:modified xsi:type="dcterms:W3CDTF">2026-06-18T20:53:00Z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