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89129B"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Sistema Integral de Preferencias ‒ Contratación pública inclusiva ‒ Personas con discapacidad</w:t>
      </w:r>
    </w:p>
    <w:p w14:paraId="549BBE24"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75DA5267"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R</w:t>
      </w:r>
      <w:r w:rsidRPr="000A5E13">
        <w:rPr>
          <w:rFonts w:ascii="Verdana" w:eastAsia="Calibri" w:hAnsi="Verdana" w:cs="Arial"/>
          <w:sz w:val="20"/>
          <w:szCs w:val="20"/>
          <w:lang w:eastAsia="es-ES"/>
        </w:rPr>
        <w:t xml:space="preserve">especto al alcance del Decreto 0287 de 2026, es necesario indicar que este reglamenta los numerales 1, 7 y 8 del artículo 13 de la Ley 1618 de 2013, acción que fue ordenada por el Consejo de Estado, Sección Quinta de la Sala de lo Contencioso Administrativo, mediante sentencia de acción de cumplimiento del 12 de diciembre de 2024, radicación </w:t>
      </w:r>
      <w:proofErr w:type="spellStart"/>
      <w:r w:rsidRPr="000A5E13">
        <w:rPr>
          <w:rFonts w:ascii="Verdana" w:eastAsia="Calibri" w:hAnsi="Verdana" w:cs="Arial"/>
          <w:sz w:val="20"/>
          <w:szCs w:val="20"/>
          <w:lang w:eastAsia="es-ES"/>
        </w:rPr>
        <w:t>N.°</w:t>
      </w:r>
      <w:proofErr w:type="spellEnd"/>
      <w:r w:rsidRPr="000A5E13">
        <w:rPr>
          <w:rFonts w:ascii="Verdana" w:eastAsia="Calibri" w:hAnsi="Verdana" w:cs="Arial"/>
          <w:sz w:val="20"/>
          <w:szCs w:val="20"/>
          <w:lang w:eastAsia="es-ES"/>
        </w:rPr>
        <w:t xml:space="preserve">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w:t>
      </w:r>
      <w:proofErr w:type="spellStart"/>
      <w:r w:rsidRPr="000A5E13">
        <w:rPr>
          <w:rFonts w:ascii="Verdana" w:eastAsia="Calibri" w:hAnsi="Verdana" w:cs="Arial"/>
          <w:sz w:val="20"/>
          <w:szCs w:val="20"/>
          <w:lang w:eastAsia="es-ES"/>
        </w:rPr>
        <w:t>PcD</w:t>
      </w:r>
      <w:proofErr w:type="spellEnd"/>
      <w:r w:rsidRPr="000A5E13">
        <w:rPr>
          <w:rFonts w:ascii="Verdana" w:eastAsia="Calibri" w:hAnsi="Verdana" w:cs="Arial"/>
          <w:sz w:val="20"/>
          <w:szCs w:val="20"/>
          <w:lang w:eastAsia="es-ES"/>
        </w:rPr>
        <w:t>)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p>
    <w:p w14:paraId="539825C3"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EED9CDC"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Antecedentes normativos ‒ Decreto 392 de 2018 ‒ Omisiones reglamentarias ‒ Sentencia de acción de cumplimiento</w:t>
      </w:r>
    </w:p>
    <w:p w14:paraId="4CA7506E"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9C561C1"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La insuficiencia del Decreto 392 de 2018 fue constatada judicialmente. La Sección Quinta del Consejo de Estado, mediante sentencia de acción de cumplimiento del 12 de diciembre de 2024, radicación </w:t>
      </w:r>
      <w:proofErr w:type="spellStart"/>
      <w:r w:rsidRPr="007C6F9B">
        <w:rPr>
          <w:rFonts w:ascii="Verdana" w:eastAsia="Calibri" w:hAnsi="Verdana" w:cs="Arial"/>
          <w:sz w:val="20"/>
          <w:szCs w:val="20"/>
          <w:lang w:eastAsia="es-ES"/>
        </w:rPr>
        <w:t>n.°</w:t>
      </w:r>
      <w:proofErr w:type="spellEnd"/>
      <w:r w:rsidRPr="007C6F9B">
        <w:rPr>
          <w:rFonts w:ascii="Verdana" w:eastAsia="Calibri" w:hAnsi="Verdana" w:cs="Arial"/>
          <w:sz w:val="20"/>
          <w:szCs w:val="20"/>
          <w:lang w:eastAsia="es-ES"/>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34440221"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30127DBD"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506E75A7"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38A47823"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definidos en el artículo 2.2.1.2.4.2.6. del Decreto 1082 de 2015 (modificado) según cuatro categorías: personas naturales con discapacidad que ejerzan una profesión liberal; </w:t>
      </w:r>
      <w:r w:rsidRPr="007C6F9B">
        <w:rPr>
          <w:rFonts w:ascii="Verdana" w:eastAsia="Calibri" w:hAnsi="Verdana" w:cs="Arial"/>
          <w:sz w:val="20"/>
          <w:szCs w:val="20"/>
          <w:lang w:eastAsia="es-ES"/>
        </w:rPr>
        <w:lastRenderedPageBreak/>
        <w:t xml:space="preserve">personas naturales con discapacidad que realicen actividades comerciales a través de establecimiento de comercio con al menos un año de antigüedad; personas jurídicas en las que más del 50% de las acciones o cuotas pertenezcan a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por al menos un año; y personas jurídicas con al menos una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vinculada laboralmente en un cargo de nivel directivo por al menos un año. El segundo sujeto son los empleadores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r w:rsidRPr="007B5AD4">
        <w:rPr>
          <w:rFonts w:ascii="Verdana" w:eastAsia="Calibri" w:hAnsi="Verdana" w:cs="Arial"/>
          <w:sz w:val="20"/>
          <w:szCs w:val="20"/>
          <w:lang w:eastAsia="es-ES"/>
        </w:rPr>
        <w:t>.</w:t>
      </w:r>
    </w:p>
    <w:p w14:paraId="18A1A2D8"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BF100EE"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Puntaje adicional del 2% ‒ No acumulabilidad ‒ Acreditación simultánea de condiciones ‒ Modalidades de selección aplicables</w:t>
      </w:r>
    </w:p>
    <w:p w14:paraId="37BD5060"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74C14944"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artículo 2.2.1.2.4.2.7.4. del Decreto 0287 de 2026 es explícito al disponer que, aunque el proponente acredite simultáneamente ser emprendimiento o empresa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y ser empleador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el puntaje máximo a otorgar por este criterio es siempre el 2% del total de los puntos del pliego, sin que las condiciones acreditadas sean sumables para efectos de la evaluación de la oferta, y tampoco es posible disminuir ese porcentaje de puntos ya que siempre será el 2% como lo establece el decreto. Este puntaje aplica únicamente en entidades regidas por el Estatuto General de Contratación Pública, en las modalidades de licitación pública y concurso de méritos; no aplica en régimen especial, ni en selección abreviada, mínima cuantía ni contratación directa</w:t>
      </w:r>
      <w:r w:rsidRPr="007B5AD4">
        <w:rPr>
          <w:rFonts w:ascii="Verdana" w:eastAsia="Calibri" w:hAnsi="Verdana" w:cs="Arial"/>
          <w:sz w:val="20"/>
          <w:szCs w:val="20"/>
          <w:lang w:eastAsia="es-ES"/>
        </w:rPr>
        <w:t>.</w:t>
      </w:r>
    </w:p>
    <w:p w14:paraId="3624A01A" w14:textId="77777777" w:rsidR="00F51D39" w:rsidRDefault="00F51D39" w:rsidP="00F51D39">
      <w:pPr>
        <w:spacing w:after="0" w:line="240" w:lineRule="auto"/>
        <w:contextualSpacing/>
        <w:jc w:val="both"/>
        <w:rPr>
          <w:rFonts w:ascii="Verdana" w:eastAsia="Calibri" w:hAnsi="Verdana" w:cs="Arial"/>
          <w:b/>
          <w:bCs/>
          <w:sz w:val="20"/>
          <w:szCs w:val="20"/>
          <w:lang w:eastAsia="es-ES"/>
        </w:rPr>
      </w:pPr>
    </w:p>
    <w:p w14:paraId="361EDC96"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Puntaje adicional del 2% ‒ Vinculación de personas con discapacidad ‒ Planillas de seguridad social ‒ Período de tres meses ‒ Vinculaciones recientes</w:t>
      </w:r>
    </w:p>
    <w:p w14:paraId="590149D9"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217ADE21"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C820EF">
        <w:rPr>
          <w:rFonts w:ascii="Verdana" w:eastAsia="Calibri" w:hAnsi="Verdana" w:cs="Arial"/>
          <w:sz w:val="20"/>
          <w:szCs w:val="20"/>
          <w:lang w:eastAsia="es-ES"/>
        </w:rPr>
        <w:t xml:space="preserve">Ahora bien, la documentación para la acreditación de las condiciones bajo las cuales se otorga el puntaje depende del sujeto de que se trate, en la condición de empleador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los documentos están dispuestos en el artículo 2.2.1.2.4.2.7.4, el cual exige, entre otros documentos, los certificados de aportes a seguridad social de los tres (3) meses anteriores a la presentación de la oferta respecto de cada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cuyas planillas no alcancen ese período, pudiendo el proponente acreditar el puntaje con base en las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que sí cumplen el requisito temporal y participar en el proceso sin el puntaje en caso de no alcanzar ninguna. El término de tres (3) </w:t>
      </w:r>
      <w:proofErr w:type="gramStart"/>
      <w:r w:rsidRPr="00C820EF">
        <w:rPr>
          <w:rFonts w:ascii="Verdana" w:eastAsia="Calibri" w:hAnsi="Verdana" w:cs="Arial"/>
          <w:sz w:val="20"/>
          <w:szCs w:val="20"/>
          <w:lang w:eastAsia="es-ES"/>
        </w:rPr>
        <w:t>meses aquí mencionado</w:t>
      </w:r>
      <w:proofErr w:type="gramEnd"/>
      <w:r w:rsidRPr="00C820EF">
        <w:rPr>
          <w:rFonts w:ascii="Verdana" w:eastAsia="Calibri" w:hAnsi="Verdana" w:cs="Arial"/>
          <w:sz w:val="20"/>
          <w:szCs w:val="20"/>
          <w:lang w:eastAsia="es-ES"/>
        </w:rPr>
        <w:t xml:space="preserve"> es diferente al término de un (1) año mencionado en el artículo 2.2.1.2.4.2.6 respecto de los emprendimientos y empresas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w:t>
      </w:r>
    </w:p>
    <w:p w14:paraId="01A858BB" w14:textId="77777777" w:rsidR="00F51D39" w:rsidRPr="00C820EF" w:rsidRDefault="00F51D39" w:rsidP="00F51D39">
      <w:pPr>
        <w:spacing w:after="0" w:line="240" w:lineRule="auto"/>
        <w:contextualSpacing/>
        <w:jc w:val="both"/>
        <w:rPr>
          <w:rFonts w:ascii="Verdana" w:eastAsia="Calibri" w:hAnsi="Verdana" w:cs="Arial"/>
          <w:sz w:val="20"/>
          <w:szCs w:val="20"/>
          <w:lang w:eastAsia="es-ES"/>
        </w:rPr>
      </w:pPr>
    </w:p>
    <w:p w14:paraId="3260AF03" w14:textId="77777777" w:rsidR="00F51D39" w:rsidRPr="003C64A5" w:rsidRDefault="00F51D39" w:rsidP="00F51D39">
      <w:pPr>
        <w:spacing w:after="0" w:line="240" w:lineRule="auto"/>
        <w:contextualSpacing/>
        <w:jc w:val="both"/>
        <w:rPr>
          <w:rFonts w:ascii="Verdana" w:eastAsia="Calibri" w:hAnsi="Verdana" w:cs="Arial"/>
          <w:sz w:val="20"/>
          <w:szCs w:val="20"/>
          <w:lang w:eastAsia="es-ES"/>
        </w:rPr>
      </w:pPr>
      <w:r w:rsidRPr="00C820EF">
        <w:rPr>
          <w:rFonts w:ascii="Verdana" w:eastAsia="Calibri" w:hAnsi="Verdana" w:cs="Arial"/>
          <w:sz w:val="20"/>
          <w:szCs w:val="20"/>
          <w:lang w:eastAsia="es-ES"/>
        </w:rPr>
        <w:lastRenderedPageBreak/>
        <w:t xml:space="preserve">Para efectos de determinar el número mínimo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que el proponente debe tener vinculadas en su planta de personal para acceder al puntaje, el artículo 2.2.1.2.4.2.7.4. del Decreto 0287 de 2026 establece una tabla, que ya incorpora los mínimos exigidos por la Ley 2466 de 2025 (Reforma Laboral), de modo que el puntaje solo se otorga a quien cumpla lo indicado en la tabla. La vinculación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a las plantas de personal de posibles proveedores, debe ser a través de contrato laboral con dedicación exclusiva, cuya definición le corresponde al Ministerio del Trabajo. Por otra parte, los documentos para acreditar la otra condición que es ser emprendimiento o empresa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son los indicados en el artículo 2.2.1.2.4.2.6 y no los del artículo 2.2.1.2.4.2.7.4</w:t>
      </w:r>
      <w:r w:rsidRPr="003C64A5">
        <w:rPr>
          <w:rFonts w:ascii="Verdana" w:eastAsia="Calibri" w:hAnsi="Verdana" w:cs="Arial"/>
          <w:sz w:val="20"/>
          <w:szCs w:val="20"/>
          <w:lang w:eastAsia="es-ES"/>
        </w:rPr>
        <w:t>.</w:t>
      </w:r>
    </w:p>
    <w:p w14:paraId="4226DEF5"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68442C50"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Criterios habilitantes diferenciales ‒ Ajustados ‒ Obligatoriedad ‒ Proporcionalidad ‒ Proponentes plurales ‒ Consorcios y uniones temporales</w:t>
      </w:r>
    </w:p>
    <w:p w14:paraId="1A64F05A" w14:textId="77777777" w:rsidR="00F51D39" w:rsidRPr="00206556" w:rsidRDefault="00F51D39" w:rsidP="00F51D39">
      <w:pPr>
        <w:spacing w:after="0" w:line="240" w:lineRule="auto"/>
        <w:contextualSpacing/>
        <w:jc w:val="both"/>
        <w:rPr>
          <w:rFonts w:ascii="Verdana" w:eastAsia="Calibri" w:hAnsi="Verdana" w:cs="Arial"/>
          <w:b/>
          <w:bCs/>
          <w:sz w:val="20"/>
          <w:szCs w:val="20"/>
          <w:lang w:eastAsia="es-ES"/>
        </w:rPr>
      </w:pPr>
    </w:p>
    <w:p w14:paraId="2D6566C4"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A1940">
        <w:rPr>
          <w:rFonts w:ascii="Verdana" w:eastAsia="Calibri" w:hAnsi="Verdana" w:cs="Arial"/>
          <w:sz w:val="20"/>
          <w:szCs w:val="20"/>
          <w:lang w:eastAsia="es-ES"/>
        </w:rPr>
        <w:t xml:space="preserve">Sobre los criterios habilitantes diferenciales, estos constituyen una obligación para las entidades contratantes en los procesos de licitación pública, selección abreviada y concurso de méritos, tanto bajo el régimen del Estatuto General de Contratación Pública como en los procesos competitivos de entidades con régimen especial. Esta obligación consiste en establecer requisitos habilitantes ajustados o reducidos, palabras que se deben entender en el mismo significado de diferencial, en materia de experiencia, capacidad financiera, capacidad organizacional o valor de la garantía de seriedad de la oferta, con el propósito de facilitar la participación de emprendimientos y empresas de </w:t>
      </w:r>
      <w:proofErr w:type="spellStart"/>
      <w:r w:rsidRPr="00DA1940">
        <w:rPr>
          <w:rFonts w:ascii="Verdana" w:eastAsia="Calibri" w:hAnsi="Verdana" w:cs="Arial"/>
          <w:sz w:val="20"/>
          <w:szCs w:val="20"/>
          <w:lang w:eastAsia="es-ES"/>
        </w:rPr>
        <w:t>PcD</w:t>
      </w:r>
      <w:proofErr w:type="spellEnd"/>
      <w:r w:rsidRPr="00DA1940">
        <w:rPr>
          <w:rFonts w:ascii="Verdana" w:eastAsia="Calibri" w:hAnsi="Verdana" w:cs="Arial"/>
          <w:sz w:val="20"/>
          <w:szCs w:val="20"/>
          <w:lang w:eastAsia="es-ES"/>
        </w:rPr>
        <w:t xml:space="preserve"> con domicilio en el territorio nacional. La entidad contratante debe flexibilizar la mayor cantidad posible de estos requisitos, de acuerdo con lo que resulte justificado en sus estudios y documentos previos para el proceso específico de que se trate, garantizando en todo caso que los requisitos ajustados sean suficientes para acreditar la idoneidad del proponente y asegurar el adecuado cumplimiento del objeto contractual. El límite de ese ajuste es el principio de proporcionalidad, que impide tanto requisitos tan exigentes que tornen nugatorio el beneficio como requisitos tan laxos que pongan en riesgo la ejecución del contrato.</w:t>
      </w:r>
    </w:p>
    <w:p w14:paraId="26243E47" w14:textId="77777777" w:rsidR="00F51D39" w:rsidRPr="00DA1940" w:rsidRDefault="00F51D39" w:rsidP="00F51D39">
      <w:pPr>
        <w:spacing w:after="0" w:line="240" w:lineRule="auto"/>
        <w:contextualSpacing/>
        <w:jc w:val="both"/>
        <w:rPr>
          <w:rFonts w:ascii="Verdana" w:eastAsia="Calibri" w:hAnsi="Verdana" w:cs="Arial"/>
          <w:sz w:val="20"/>
          <w:szCs w:val="20"/>
          <w:lang w:eastAsia="es-ES"/>
        </w:rPr>
      </w:pPr>
    </w:p>
    <w:p w14:paraId="5775F1CC"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A1940">
        <w:rPr>
          <w:rFonts w:ascii="Verdana" w:eastAsia="Calibri" w:hAnsi="Verdana" w:cs="Arial"/>
          <w:sz w:val="20"/>
          <w:szCs w:val="20"/>
          <w:lang w:eastAsia="es-ES"/>
        </w:rPr>
        <w:t xml:space="preserve">Estos criterios aplican exclusivamente para el primer sujeto del sistema, es decir, los emprendimientos y empresas de </w:t>
      </w:r>
      <w:proofErr w:type="spellStart"/>
      <w:r w:rsidRPr="00DA1940">
        <w:rPr>
          <w:rFonts w:ascii="Verdana" w:eastAsia="Calibri" w:hAnsi="Verdana" w:cs="Arial"/>
          <w:sz w:val="20"/>
          <w:szCs w:val="20"/>
          <w:lang w:eastAsia="es-ES"/>
        </w:rPr>
        <w:t>PcD</w:t>
      </w:r>
      <w:proofErr w:type="spellEnd"/>
      <w:r w:rsidRPr="00DA1940">
        <w:rPr>
          <w:rFonts w:ascii="Verdana" w:eastAsia="Calibri" w:hAnsi="Verdana" w:cs="Arial"/>
          <w:sz w:val="20"/>
          <w:szCs w:val="20"/>
          <w:lang w:eastAsia="es-ES"/>
        </w:rPr>
        <w:t xml:space="preserve">, y no para los empleadores de </w:t>
      </w:r>
      <w:proofErr w:type="spellStart"/>
      <w:r w:rsidRPr="00DA1940">
        <w:rPr>
          <w:rFonts w:ascii="Verdana" w:eastAsia="Calibri" w:hAnsi="Verdana" w:cs="Arial"/>
          <w:sz w:val="20"/>
          <w:szCs w:val="20"/>
          <w:lang w:eastAsia="es-ES"/>
        </w:rPr>
        <w:t>PcD</w:t>
      </w:r>
      <w:proofErr w:type="spellEnd"/>
      <w:r w:rsidRPr="00DA1940">
        <w:rPr>
          <w:rFonts w:ascii="Verdana" w:eastAsia="Calibri" w:hAnsi="Verdana" w:cs="Arial"/>
          <w:sz w:val="20"/>
          <w:szCs w:val="20"/>
          <w:lang w:eastAsia="es-ES"/>
        </w:rPr>
        <w:t>. Esta medida no aplica en mínima cuantía ni en contratación directa. En tratándose de proponentes plurales, la medida opera cuando al menos uno de los integrantes del consorcio o unión temporal cumple las condiciones del artículo 2.2.1.2.4.2.6. del Decreto 1082 de 2015 (modificado), con una participación no inferior al 10% en el proponente plural y aportando la experiencia requerida en una proporción equivalente a su participación; de modo que, si ese integrante participa con el 15%, debe aportar al menos el 15% de la experiencia exigida en el pliego.</w:t>
      </w:r>
    </w:p>
    <w:p w14:paraId="62CA0E4D"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7C938F17"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Condiciones especiales de ejecución ‒ Subcontratación inclusiva ‒ Integración del equipo de trabajo ‒ Obligatoriedad ‒ Justificación de omisión</w:t>
      </w:r>
    </w:p>
    <w:p w14:paraId="43E54D82"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EDB3A49"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lastRenderedPageBreak/>
        <w:t xml:space="preserve">(…) </w:t>
      </w:r>
      <w:r w:rsidRPr="007A1BCB">
        <w:rPr>
          <w:rFonts w:ascii="Verdana" w:eastAsia="Calibri" w:hAnsi="Verdana" w:cs="Arial"/>
          <w:sz w:val="20"/>
          <w:szCs w:val="20"/>
          <w:lang w:eastAsia="es-ES"/>
        </w:rPr>
        <w:t xml:space="preserve">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w:t>
      </w:r>
      <w:proofErr w:type="spellStart"/>
      <w:r w:rsidRPr="007A1BCB">
        <w:rPr>
          <w:rFonts w:ascii="Verdana" w:eastAsia="Calibri" w:hAnsi="Verdana" w:cs="Arial"/>
          <w:sz w:val="20"/>
          <w:szCs w:val="20"/>
          <w:lang w:eastAsia="es-ES"/>
        </w:rPr>
        <w:t>PcD</w:t>
      </w:r>
      <w:proofErr w:type="spellEnd"/>
      <w:r w:rsidRPr="007A1BCB">
        <w:rPr>
          <w:rFonts w:ascii="Verdana" w:eastAsia="Calibri" w:hAnsi="Verdana" w:cs="Arial"/>
          <w:sz w:val="20"/>
          <w:szCs w:val="20"/>
          <w:lang w:eastAsia="es-ES"/>
        </w:rPr>
        <w:t xml:space="preserve"> y a emprendimientos y empresas de </w:t>
      </w:r>
      <w:proofErr w:type="spellStart"/>
      <w:r w:rsidRPr="007A1BCB">
        <w:rPr>
          <w:rFonts w:ascii="Verdana" w:eastAsia="Calibri" w:hAnsi="Verdana" w:cs="Arial"/>
          <w:sz w:val="20"/>
          <w:szCs w:val="20"/>
          <w:lang w:eastAsia="es-ES"/>
        </w:rPr>
        <w:t>PcD</w:t>
      </w:r>
      <w:proofErr w:type="spellEnd"/>
      <w:r w:rsidRPr="007A1BCB">
        <w:rPr>
          <w:rFonts w:ascii="Verdana" w:eastAsia="Calibri" w:hAnsi="Verdana" w:cs="Arial"/>
          <w:sz w:val="20"/>
          <w:szCs w:val="20"/>
          <w:lang w:eastAsia="es-ES"/>
        </w:rPr>
        <w:t xml:space="preserve">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w:t>
      </w:r>
      <w:proofErr w:type="spellStart"/>
      <w:r w:rsidRPr="007A1BCB">
        <w:rPr>
          <w:rFonts w:ascii="Verdana" w:eastAsia="Calibri" w:hAnsi="Verdana" w:cs="Arial"/>
          <w:sz w:val="20"/>
          <w:szCs w:val="20"/>
          <w:lang w:eastAsia="es-ES"/>
        </w:rPr>
        <w:t>PcD</w:t>
      </w:r>
      <w:proofErr w:type="spellEnd"/>
      <w:r w:rsidRPr="007A1BCB">
        <w:rPr>
          <w:rFonts w:ascii="Verdana" w:eastAsia="Calibri" w:hAnsi="Verdana" w:cs="Arial"/>
          <w:sz w:val="20"/>
          <w:szCs w:val="20"/>
          <w:lang w:eastAsia="es-ES"/>
        </w:rPr>
        <w:t xml:space="preserve"> y sus empresas tengan preferencia cuando existan en el mercado y sea factible su vinculación. Esta medida aplica en entidades sometidas al Estatuto General de Contratación Pública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r w:rsidRPr="00792D67">
        <w:rPr>
          <w:rFonts w:ascii="Verdana" w:eastAsia="Calibri" w:hAnsi="Verdana" w:cs="Arial"/>
          <w:sz w:val="20"/>
          <w:szCs w:val="20"/>
          <w:lang w:eastAsia="es-ES"/>
        </w:rPr>
        <w:t>.</w:t>
      </w:r>
    </w:p>
    <w:p w14:paraId="4B57D5FD"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3B93217"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Documentos tipo ‒ Principio de inalterabilidad ‒ Régimen de transición ‒ Actualización ‒ Colombia Compra Eficiente</w:t>
      </w:r>
    </w:p>
    <w:p w14:paraId="72C35466"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A89C829"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sidRPr="00015670">
        <w:rPr>
          <w:rFonts w:ascii="Verdana" w:eastAsia="Calibri" w:hAnsi="Verdana" w:cs="Arial"/>
          <w:sz w:val="20"/>
          <w:szCs w:val="20"/>
          <w:lang w:eastAsia="es-ES"/>
        </w:rPr>
        <w:t>En cuanto a los documentos tipo, el artículo 2.2.1.2.4.2.7.8. del Decreto 0287 de 2026 dispone que Colombia Compra Eficiente garantizará la incorporación permanente de las medidas del sistema en los documentos tipo que genera. Mientras esa actualización no se produzca, el principio de inalterabilidad impide que las entidades los modifiquen unilateralmente para incorporar las medidas del decreto, incluida la obligación de compras públicas accesibles, dado que los estudios previos, el pliego de condiciones y el contrato deben guardar coherencia entre sí</w:t>
      </w:r>
      <w:r w:rsidRPr="007B5AD4">
        <w:rPr>
          <w:rFonts w:ascii="Verdana" w:eastAsia="Calibri" w:hAnsi="Verdana" w:cs="Arial"/>
          <w:sz w:val="20"/>
          <w:szCs w:val="20"/>
          <w:lang w:eastAsia="es-ES"/>
        </w:rPr>
        <w:t xml:space="preserve">. </w:t>
      </w:r>
    </w:p>
    <w:p w14:paraId="22D0B785"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3C1D2F00"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Contratos de prestación de servicios ‒ personas con discapacidad ‒ Carácter potestativo ‒ Contratación directa</w:t>
      </w:r>
    </w:p>
    <w:p w14:paraId="46A0E9FE"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263D8AB2"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w:t>
      </w:r>
      <w:r w:rsidRPr="00015670">
        <w:rPr>
          <w:rFonts w:ascii="Verdana" w:eastAsia="Calibri" w:hAnsi="Verdana" w:cs="Arial"/>
          <w:sz w:val="20"/>
          <w:szCs w:val="20"/>
          <w:lang w:eastAsia="es-ES"/>
        </w:rPr>
        <w:t xml:space="preserve"> la inclusión de </w:t>
      </w:r>
      <w:proofErr w:type="spellStart"/>
      <w:r w:rsidRPr="00015670">
        <w:rPr>
          <w:rFonts w:ascii="Verdana" w:eastAsia="Calibri" w:hAnsi="Verdana" w:cs="Arial"/>
          <w:sz w:val="20"/>
          <w:szCs w:val="20"/>
          <w:lang w:eastAsia="es-ES"/>
        </w:rPr>
        <w:t>PcD</w:t>
      </w:r>
      <w:proofErr w:type="spellEnd"/>
      <w:r w:rsidRPr="00015670">
        <w:rPr>
          <w:rFonts w:ascii="Verdana" w:eastAsia="Calibri" w:hAnsi="Verdana" w:cs="Arial"/>
          <w:sz w:val="20"/>
          <w:szCs w:val="20"/>
          <w:lang w:eastAsia="es-ES"/>
        </w:rPr>
        <w:t xml:space="preserve"> en contratos de prestación de servicios profesionales y/o de apoyo a la gestión, regulada en el artículo 2.2.1.2.4.2.7.6. del Decreto 1082 de 2015 (modificado), que opera en la modalidad de contratación directa y tiene carácter potestativo: las entidades sometidas al Estatuto General de Contratación Pública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w:t>
      </w:r>
      <w:proofErr w:type="spellStart"/>
      <w:r w:rsidRPr="00015670">
        <w:rPr>
          <w:rFonts w:ascii="Verdana" w:eastAsia="Calibri" w:hAnsi="Verdana" w:cs="Arial"/>
          <w:sz w:val="20"/>
          <w:szCs w:val="20"/>
          <w:lang w:eastAsia="es-ES"/>
        </w:rPr>
        <w:t>PcD</w:t>
      </w:r>
      <w:proofErr w:type="spellEnd"/>
      <w:r w:rsidRPr="00015670">
        <w:rPr>
          <w:rFonts w:ascii="Verdana" w:eastAsia="Calibri" w:hAnsi="Verdana" w:cs="Arial"/>
          <w:sz w:val="20"/>
          <w:szCs w:val="20"/>
          <w:lang w:eastAsia="es-ES"/>
        </w:rPr>
        <w:t xml:space="preserve">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w:t>
      </w:r>
      <w:r w:rsidRPr="00015670">
        <w:rPr>
          <w:rFonts w:ascii="Verdana" w:eastAsia="Calibri" w:hAnsi="Verdana" w:cs="Arial"/>
          <w:sz w:val="20"/>
          <w:szCs w:val="20"/>
          <w:lang w:eastAsia="es-ES"/>
        </w:rPr>
        <w:lastRenderedPageBreak/>
        <w:t>esta medida a través del SECOP, evaluando pertinencia, duración, objeto y nivel de especialización de cada contrato</w:t>
      </w:r>
      <w:r w:rsidRPr="00A54668">
        <w:rPr>
          <w:rFonts w:ascii="Verdana" w:eastAsia="Calibri" w:hAnsi="Verdana" w:cs="Arial"/>
          <w:sz w:val="20"/>
          <w:szCs w:val="20"/>
          <w:lang w:eastAsia="es-ES"/>
        </w:rPr>
        <w:t>.</w:t>
      </w:r>
    </w:p>
    <w:p w14:paraId="21FE84D7"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3C3AEC18"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Puntaje adicional del 2% ‒ Compatibilidad ‒ Incentivos MiPymes ‒ Empresas de mujeres ‒ Criterio de desempate ‒ Ley 2069 de 2020</w:t>
      </w:r>
    </w:p>
    <w:p w14:paraId="3B803334"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0392D9A"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sidRPr="000542B4">
        <w:rPr>
          <w:rFonts w:ascii="Verdana" w:eastAsia="Calibri" w:hAnsi="Verdana" w:cs="Arial"/>
          <w:sz w:val="20"/>
          <w:szCs w:val="20"/>
          <w:lang w:eastAsia="es-ES"/>
        </w:rPr>
        <w:t xml:space="preserve">El puntaje adicional del 2% es plenamente compatible con los incentivos para MiPymes y para empresas y emprendimientos de mujeres, pudiendo todos estos instrumentos aplicarse simultáneamente en el mismo proceso de contratación sin exclusión recíproca. Sin perjuicio de lo anterior, es necesario distinguirlo con precisión del criterio de desempate del artículo 35, numeral 3, de la Ley 2069 de 2020, que son instrumentos jurídicamente distintos: el puntaje del 2% beneficia a los dos sujetos del sistema y opera en la evaluación de propuestas antes de la adjudicación; el criterio de desempate beneficia exclusivamente a los empleadores de </w:t>
      </w:r>
      <w:proofErr w:type="spellStart"/>
      <w:r w:rsidRPr="000542B4">
        <w:rPr>
          <w:rFonts w:ascii="Verdana" w:eastAsia="Calibri" w:hAnsi="Verdana" w:cs="Arial"/>
          <w:sz w:val="20"/>
          <w:szCs w:val="20"/>
          <w:lang w:eastAsia="es-ES"/>
        </w:rPr>
        <w:t>PcD</w:t>
      </w:r>
      <w:proofErr w:type="spellEnd"/>
      <w:r w:rsidRPr="000542B4">
        <w:rPr>
          <w:rFonts w:ascii="Verdana" w:eastAsia="Calibri" w:hAnsi="Verdana" w:cs="Arial"/>
          <w:sz w:val="20"/>
          <w:szCs w:val="20"/>
          <w:lang w:eastAsia="es-ES"/>
        </w:rPr>
        <w:t xml:space="preserve">, no a los emprendimientos y empresas de </w:t>
      </w:r>
      <w:proofErr w:type="spellStart"/>
      <w:r w:rsidRPr="000542B4">
        <w:rPr>
          <w:rFonts w:ascii="Verdana" w:eastAsia="Calibri" w:hAnsi="Verdana" w:cs="Arial"/>
          <w:sz w:val="20"/>
          <w:szCs w:val="20"/>
          <w:lang w:eastAsia="es-ES"/>
        </w:rPr>
        <w:t>PcD</w:t>
      </w:r>
      <w:proofErr w:type="spellEnd"/>
      <w:r w:rsidRPr="000542B4">
        <w:rPr>
          <w:rFonts w:ascii="Verdana" w:eastAsia="Calibri" w:hAnsi="Verdana" w:cs="Arial"/>
          <w:sz w:val="20"/>
          <w:szCs w:val="20"/>
          <w:lang w:eastAsia="es-ES"/>
        </w:rPr>
        <w:t>, dicha norma exige que al menos el 10% de la nómina esté en condición de discapacidad y opera únicamente cuando hay empate entre dos o más ofertas</w:t>
      </w:r>
      <w:r w:rsidRPr="007B5AD4">
        <w:rPr>
          <w:rFonts w:ascii="Verdana" w:eastAsia="Calibri" w:hAnsi="Verdana" w:cs="Arial"/>
          <w:sz w:val="20"/>
          <w:szCs w:val="20"/>
          <w:lang w:eastAsia="es-ES"/>
        </w:rPr>
        <w:t>.</w:t>
      </w:r>
    </w:p>
    <w:p w14:paraId="6C97535F"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46648F8"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Compras públicas accesibles ‒ Obligación transversal ‒ Ausencia de normas técnicas ‒ Ficha técnica de accesibilidad ‒ Categorías de discapacidad</w:t>
      </w:r>
    </w:p>
    <w:p w14:paraId="630A0378"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12340756"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Ahora, en cuanto a la obligación de compras públicas accesibles, esta es transversal a todos los entes del Estado y aplica en todos los contratos en los que se adquieran bienes, obras o servicios. La inexistencia de normas técnicas, reglamentarias o legales aplicables al objeto del contrato no exonera a la entidad de esta obligación: ante esa circunstancia, el artículo 2.2.1.2.4.2.7.1. del Decreto 0287 de 2026 impone a la entidad el deber de elaborar una ficha técnica propia con criterios de accesibilidad determinados desde los estudios previos,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w:t>
      </w:r>
      <w:r w:rsidRPr="007B5AD4">
        <w:rPr>
          <w:rFonts w:ascii="Verdana" w:eastAsia="Calibri" w:hAnsi="Verdana" w:cs="Arial"/>
          <w:sz w:val="20"/>
          <w:szCs w:val="20"/>
          <w:lang w:eastAsia="es-ES"/>
        </w:rPr>
        <w:t>.</w:t>
      </w:r>
    </w:p>
    <w:p w14:paraId="710A2191"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2CB6A1C7"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Ejecución contractual ‒ Permanencia de condiciones ‒ Reducción de personas con discapacidad vinculadas ‒ Incumplimiento contractual</w:t>
      </w:r>
    </w:p>
    <w:p w14:paraId="75690A8F"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59C703CA" w14:textId="77777777" w:rsidR="00F51D39" w:rsidRPr="00D33696"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w:t>
      </w:r>
      <w:r w:rsidRPr="00206556">
        <w:rPr>
          <w:rFonts w:ascii="Verdana" w:eastAsia="Calibri" w:hAnsi="Verdana" w:cs="Arial"/>
          <w:sz w:val="20"/>
          <w:szCs w:val="20"/>
          <w:lang w:eastAsia="es-ES"/>
        </w:rPr>
        <w:t>…</w:t>
      </w:r>
      <w:r>
        <w:rPr>
          <w:rFonts w:ascii="Verdana" w:eastAsia="Calibri" w:hAnsi="Verdana" w:cs="Arial"/>
          <w:sz w:val="20"/>
          <w:szCs w:val="20"/>
          <w:lang w:eastAsia="es-ES"/>
        </w:rPr>
        <w:t xml:space="preserve">) </w:t>
      </w:r>
      <w:r w:rsidRPr="00D33696">
        <w:rPr>
          <w:rFonts w:ascii="Verdana" w:eastAsia="Calibri" w:hAnsi="Verdana" w:cs="Arial"/>
          <w:sz w:val="20"/>
          <w:szCs w:val="20"/>
          <w:lang w:eastAsia="es-ES"/>
        </w:rPr>
        <w:t>El parágrafo 3 del artículo 2.2.1.2.4.2.7.4. del Decreto 0287 de 2026 establece que el contratista debe presentar con cada solicitud de pago la documentación que acredite la permanencia de las condiciones que dieron lugar al puntaje adicional, y que:</w:t>
      </w:r>
    </w:p>
    <w:p w14:paraId="42E92F54" w14:textId="77777777" w:rsidR="00F51D39" w:rsidRPr="00D33696"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 xml:space="preserve"> </w:t>
      </w:r>
    </w:p>
    <w:p w14:paraId="06C98648"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 xml:space="preserve">"la inobservancia de estas medidas y el incumplimiento injustificado en la reducción del número de trabajadores con discapacidad de la planta de personal acreditado para </w:t>
      </w:r>
      <w:r w:rsidRPr="00D33696">
        <w:rPr>
          <w:rFonts w:ascii="Verdana" w:eastAsia="Calibri" w:hAnsi="Verdana" w:cs="Arial"/>
          <w:sz w:val="20"/>
          <w:szCs w:val="20"/>
          <w:lang w:eastAsia="es-ES"/>
        </w:rPr>
        <w:lastRenderedPageBreak/>
        <w:t>obtener el puntaje adicional podrá constituir causal de incumplimiento contractual y se tramitará conforme a la normatividad vigente".</w:t>
      </w:r>
    </w:p>
    <w:p w14:paraId="7C3126AF" w14:textId="77777777" w:rsidR="00F51D39" w:rsidRPr="00D33696" w:rsidRDefault="00F51D39" w:rsidP="00F51D39">
      <w:pPr>
        <w:spacing w:after="0" w:line="240" w:lineRule="auto"/>
        <w:contextualSpacing/>
        <w:jc w:val="both"/>
        <w:rPr>
          <w:rFonts w:ascii="Verdana" w:eastAsia="Calibri" w:hAnsi="Verdana" w:cs="Arial"/>
          <w:sz w:val="20"/>
          <w:szCs w:val="20"/>
          <w:lang w:eastAsia="es-ES"/>
        </w:rPr>
      </w:pPr>
    </w:p>
    <w:p w14:paraId="04A60010"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 xml:space="preserve">El término "podrá" indica que la entidad tiene discrecionalidad para declarar o no el incumplimiento, valorando la justificación del contratista, el impacto real en el objeto del contrato y la posibilidad de subsanación. Solo queda exonerado quien demuestre fuerza mayor o caso fortuito. El parágrafo 4 del mismo artículo añade que las medidas deben observar las garantías constitucionales de la estabilidad laboral reforzada de las </w:t>
      </w:r>
      <w:proofErr w:type="spellStart"/>
      <w:r w:rsidRPr="00D33696">
        <w:rPr>
          <w:rFonts w:ascii="Verdana" w:eastAsia="Calibri" w:hAnsi="Verdana" w:cs="Arial"/>
          <w:sz w:val="20"/>
          <w:szCs w:val="20"/>
          <w:lang w:eastAsia="es-ES"/>
        </w:rPr>
        <w:t>PcD</w:t>
      </w:r>
      <w:proofErr w:type="spellEnd"/>
      <w:r w:rsidRPr="00D33696">
        <w:rPr>
          <w:rFonts w:ascii="Verdana" w:eastAsia="Calibri" w:hAnsi="Verdana" w:cs="Arial"/>
          <w:sz w:val="20"/>
          <w:szCs w:val="20"/>
          <w:lang w:eastAsia="es-ES"/>
        </w:rPr>
        <w:t xml:space="preserve">, reconocida por la Corte Constitucional como una protección especial frente a la terminación del vínculo laboral sin autorización del Ministerio del Trabajo. Esto significa que la entidad contratante no puede presionar al contratista a mantener vinculaciones laborales desconociendo derechos laborales de las </w:t>
      </w:r>
      <w:proofErr w:type="spellStart"/>
      <w:r w:rsidRPr="00D33696">
        <w:rPr>
          <w:rFonts w:ascii="Verdana" w:eastAsia="Calibri" w:hAnsi="Verdana" w:cs="Arial"/>
          <w:sz w:val="20"/>
          <w:szCs w:val="20"/>
          <w:lang w:eastAsia="es-ES"/>
        </w:rPr>
        <w:t>PcD</w:t>
      </w:r>
      <w:proofErr w:type="spellEnd"/>
      <w:r w:rsidRPr="00D33696">
        <w:rPr>
          <w:rFonts w:ascii="Verdana" w:eastAsia="Calibri" w:hAnsi="Verdana" w:cs="Arial"/>
          <w:sz w:val="20"/>
          <w:szCs w:val="20"/>
          <w:lang w:eastAsia="es-ES"/>
        </w:rPr>
        <w:t>: la norma busca estabilidad real y no meramente nominal, de modo que el contratista debe adoptar las medidas de permanencia compatibles con el ordenamiento laboral vigente.</w:t>
      </w:r>
    </w:p>
    <w:p w14:paraId="6F5D1C48"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6212F861"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 xml:space="preserve">DECRETO 0287 DE 2026 ‒ </w:t>
      </w:r>
      <w:r>
        <w:rPr>
          <w:rFonts w:ascii="Verdana" w:eastAsia="Calibri" w:hAnsi="Verdana" w:cs="Arial"/>
          <w:b/>
          <w:bCs/>
          <w:lang w:eastAsia="es-ES"/>
        </w:rPr>
        <w:t>Entidades de r</w:t>
      </w:r>
      <w:r w:rsidRPr="004C046B">
        <w:rPr>
          <w:rFonts w:ascii="Verdana" w:eastAsia="Calibri" w:hAnsi="Verdana" w:cs="Arial"/>
          <w:b/>
          <w:bCs/>
          <w:lang w:eastAsia="es-ES"/>
        </w:rPr>
        <w:t>égimen especial ‒ Aplicación</w:t>
      </w:r>
    </w:p>
    <w:p w14:paraId="0CCF95C1"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12B0D1E7"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E910FB">
        <w:rPr>
          <w:rFonts w:ascii="Verdana" w:eastAsia="Calibri" w:hAnsi="Verdana" w:cs="Arial"/>
          <w:sz w:val="20"/>
          <w:szCs w:val="20"/>
          <w:lang w:eastAsia="es-ES"/>
        </w:rPr>
        <w:t xml:space="preserve">En cuanto a la aplicación de las medidas afirmativas en entidades con régimen especial de contratación, el decreto diferencia el alcance de las medidas según el régimen contractual de la entidad. Las medidas que aplican a ambos regímenes —Estatuto General de Contratación Pública y régimen especial— son los criterios habilitantes diferenciales y las compras públicas accesibles. Las medidas que aplican exclusivamente a entidades regidas por el Estatuto General de Contratación Pública son las herramientas de planeación, el puntaje adicional del 2%, las condiciones especiales de ejecución y los contratos de prestación de servicios con </w:t>
      </w:r>
      <w:proofErr w:type="spellStart"/>
      <w:r w:rsidRPr="00E910FB">
        <w:rPr>
          <w:rFonts w:ascii="Verdana" w:eastAsia="Calibri" w:hAnsi="Verdana" w:cs="Arial"/>
          <w:sz w:val="20"/>
          <w:szCs w:val="20"/>
          <w:lang w:eastAsia="es-ES"/>
        </w:rPr>
        <w:t>PcD</w:t>
      </w:r>
      <w:proofErr w:type="spellEnd"/>
      <w:r w:rsidRPr="00E910FB">
        <w:rPr>
          <w:rFonts w:ascii="Verdana" w:eastAsia="Calibri" w:hAnsi="Verdana" w:cs="Arial"/>
          <w:sz w:val="20"/>
          <w:szCs w:val="20"/>
          <w:lang w:eastAsia="es-ES"/>
        </w:rPr>
        <w:t>. En consecuencia, una entidad con régimen especial que adelante procesos competitivos está obligada a establecer criterios habilitantes diferenciales y a garantizar compras públicas accesibles, pero no está obligada a otorgar el puntaje adicional del 2% ni a incluir condiciones especiales de ejecución, pues estas últimas medidas están previstas exclusivamente para el Estatuto General de Contratación Pública.</w:t>
      </w:r>
    </w:p>
    <w:p w14:paraId="247134A8"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25FDCB2D"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Vigencia ‒ Derogatoria ‒ Decreto 392 de 2018 ‒ Régimen de transición ‒ Resolución de apertura</w:t>
      </w:r>
    </w:p>
    <w:p w14:paraId="14685564"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01A0A138"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A54668">
        <w:rPr>
          <w:rFonts w:ascii="Verdana" w:eastAsia="Calibri" w:hAnsi="Verdana" w:cs="Arial"/>
          <w:sz w:val="20"/>
          <w:szCs w:val="20"/>
          <w:lang w:eastAsia="es-ES"/>
        </w:rPr>
        <w:t xml:space="preserve">(…) </w:t>
      </w:r>
      <w:r w:rsidRPr="004C046B">
        <w:rPr>
          <w:rFonts w:ascii="Verdana" w:eastAsia="Calibri" w:hAnsi="Verdana" w:cs="Arial"/>
          <w:sz w:val="20"/>
          <w:szCs w:val="20"/>
          <w:lang w:eastAsia="es-ES"/>
        </w:rPr>
        <w:t>para la aplicación del Decreto 287 de 2026, se debe tener en cuenta que se expidió el 19 de marzo de 2026, y rige a partir del día siguiente a su publicación en el Diario Oficial, derogando todas las disposiciones contrarias, incluidas las versiones anteriores de los artículos 2.2.1.2.4.2.6., 2.2.1.2.4.2.7. y 2.2.1.2.4.2.8. del Decreto 1082 de 2015. Se aclara que la numeración del Decreto 392 de 2018 se mantuvo, pero su contenido fue modificado en su integridad, por lo que no hubo derogatoria sino modificación total para conservar la numeración del mencionado decreto, pero lo señalado en este concepto debe entenderse de acuerdo con la nueva redacción de los artículos enlistados, y no recurrir a la antigua redacción.</w:t>
      </w:r>
    </w:p>
    <w:p w14:paraId="0A558430" w14:textId="77777777" w:rsidR="00F51D39" w:rsidRPr="004C046B" w:rsidRDefault="00F51D39" w:rsidP="00F51D39">
      <w:pPr>
        <w:spacing w:after="0" w:line="240" w:lineRule="auto"/>
        <w:contextualSpacing/>
        <w:jc w:val="both"/>
        <w:rPr>
          <w:rFonts w:ascii="Verdana" w:eastAsia="Calibri" w:hAnsi="Verdana" w:cs="Arial"/>
          <w:sz w:val="20"/>
          <w:szCs w:val="20"/>
          <w:lang w:eastAsia="es-ES"/>
        </w:rPr>
      </w:pPr>
    </w:p>
    <w:p w14:paraId="0DBCEAAD"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lastRenderedPageBreak/>
        <w:t xml:space="preserve">La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w:t>
      </w:r>
      <w:proofErr w:type="spellStart"/>
      <w:r w:rsidRPr="004C046B">
        <w:rPr>
          <w:rFonts w:ascii="Verdana" w:eastAsia="Calibri" w:hAnsi="Verdana" w:cs="Arial"/>
          <w:sz w:val="20"/>
          <w:szCs w:val="20"/>
          <w:lang w:eastAsia="es-ES"/>
        </w:rPr>
        <w:t>ii</w:t>
      </w:r>
      <w:proofErr w:type="spellEnd"/>
      <w:r w:rsidRPr="004C046B">
        <w:rPr>
          <w:rFonts w:ascii="Verdana" w:eastAsia="Calibri" w:hAnsi="Verdana" w:cs="Arial"/>
          <w:sz w:val="20"/>
          <w:szCs w:val="20"/>
          <w:lang w:eastAsia="es-ES"/>
        </w:rPr>
        <w:t>) La resolución de apertura no existe, o fue expedida el 20 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2383A788" w14:textId="77777777" w:rsidR="00F51D39" w:rsidRPr="004C046B" w:rsidRDefault="00F51D39" w:rsidP="00F51D39">
      <w:pPr>
        <w:spacing w:after="0" w:line="240" w:lineRule="auto"/>
        <w:contextualSpacing/>
        <w:jc w:val="both"/>
        <w:rPr>
          <w:rFonts w:ascii="Verdana" w:eastAsia="Calibri" w:hAnsi="Verdana" w:cs="Arial"/>
          <w:sz w:val="20"/>
          <w:szCs w:val="20"/>
          <w:lang w:eastAsia="es-ES"/>
        </w:rPr>
      </w:pPr>
    </w:p>
    <w:p w14:paraId="0CBEE2D7" w14:textId="5A42484B" w:rsidR="00F51D39" w:rsidRDefault="00F51D39" w:rsidP="00F51D39">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t xml:space="preserve">Para los procesos de contratación con proyecto de pliego </w:t>
      </w:r>
      <w:r w:rsidR="00244CEE" w:rsidRPr="004C046B">
        <w:rPr>
          <w:rFonts w:ascii="Verdana" w:eastAsia="Calibri" w:hAnsi="Verdana" w:cs="Arial"/>
          <w:sz w:val="20"/>
          <w:szCs w:val="20"/>
          <w:lang w:eastAsia="es-ES"/>
        </w:rPr>
        <w:t>publicado,</w:t>
      </w:r>
      <w:r w:rsidRPr="004C046B">
        <w:rPr>
          <w:rFonts w:ascii="Verdana" w:eastAsia="Calibri" w:hAnsi="Verdana" w:cs="Arial"/>
          <w:sz w:val="20"/>
          <w:szCs w:val="20"/>
          <w:lang w:eastAsia="es-ES"/>
        </w:rPr>
        <w:t xml:space="preserve"> pero sin apertura al 19 de marzo de 2026, se recomienda que se incorporen las medidas del Decreto 287 de 2026 antes de publicar los pliegos definitivos. En esa etapa aún es posible realizar ajustes sin afectar derechos adquiridos de los proponentes.</w:t>
      </w:r>
    </w:p>
    <w:p w14:paraId="12110672"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482AA94E"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556192AB"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2E7326F2"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A47CDFD"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91AF368"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0EDA3021"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BFC3C78"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4B29E45D" w14:textId="77777777" w:rsidR="008D5774" w:rsidRPr="00206556" w:rsidRDefault="008D5774" w:rsidP="008D5774">
      <w:pPr>
        <w:spacing w:after="0" w:line="240" w:lineRule="auto"/>
        <w:contextualSpacing/>
        <w:jc w:val="both"/>
        <w:rPr>
          <w:rFonts w:ascii="Verdana" w:eastAsia="Calibri" w:hAnsi="Verdana" w:cs="Arial"/>
          <w:sz w:val="20"/>
          <w:szCs w:val="20"/>
          <w:lang w:val="es-ES" w:eastAsia="es-ES"/>
        </w:rPr>
      </w:pPr>
    </w:p>
    <w:p w14:paraId="212A9250" w14:textId="77777777" w:rsidR="008D5774" w:rsidRPr="00206556" w:rsidRDefault="008D5774" w:rsidP="008D5774">
      <w:pPr>
        <w:spacing w:after="0" w:line="240" w:lineRule="auto"/>
        <w:contextualSpacing/>
        <w:jc w:val="both"/>
        <w:rPr>
          <w:rFonts w:ascii="Verdana" w:eastAsia="Calibri" w:hAnsi="Verdana" w:cs="Arial"/>
          <w:sz w:val="20"/>
          <w:szCs w:val="20"/>
          <w:lang w:val="es-ES" w:eastAsia="es-ES"/>
        </w:rPr>
      </w:pPr>
    </w:p>
    <w:p w14:paraId="793BC852" w14:textId="77777777" w:rsidR="008D5774" w:rsidRPr="00206556" w:rsidRDefault="008D5774"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1A6A7E64" w14:textId="77777777" w:rsidR="006B694D" w:rsidRDefault="006B694D" w:rsidP="001B064E">
      <w:pPr>
        <w:spacing w:after="0"/>
        <w:rPr>
          <w:rFonts w:ascii="Verdana" w:hAnsi="Verdana"/>
          <w:lang w:val="es-ES_tradnl"/>
        </w:rPr>
      </w:pPr>
    </w:p>
    <w:p w14:paraId="7232AAD6" w14:textId="77777777" w:rsidR="006B694D" w:rsidRDefault="006B694D" w:rsidP="001B064E">
      <w:pPr>
        <w:spacing w:after="0"/>
        <w:rPr>
          <w:rFonts w:ascii="Verdana" w:hAnsi="Verdana"/>
          <w:lang w:val="es-ES_tradnl"/>
        </w:rPr>
      </w:pPr>
    </w:p>
    <w:p w14:paraId="119F3C55" w14:textId="77777777" w:rsidR="006B694D" w:rsidRDefault="006B694D" w:rsidP="001B064E">
      <w:pPr>
        <w:spacing w:after="0"/>
        <w:rPr>
          <w:rFonts w:ascii="Verdana" w:hAnsi="Verdana"/>
          <w:lang w:val="es-ES_tradnl"/>
        </w:rPr>
      </w:pPr>
    </w:p>
    <w:p w14:paraId="640AD810" w14:textId="77777777" w:rsidR="006B694D" w:rsidRDefault="006B694D" w:rsidP="001B064E">
      <w:pPr>
        <w:spacing w:after="0"/>
        <w:rPr>
          <w:rFonts w:ascii="Verdana" w:hAnsi="Verdana"/>
          <w:lang w:val="es-ES_tradnl"/>
        </w:rPr>
      </w:pPr>
    </w:p>
    <w:p w14:paraId="6D917EF6" w14:textId="77777777" w:rsidR="006B694D" w:rsidRDefault="006B694D" w:rsidP="001B064E">
      <w:pPr>
        <w:spacing w:after="0"/>
        <w:rPr>
          <w:rFonts w:ascii="Verdana" w:hAnsi="Verdana"/>
          <w:lang w:val="es-ES_tradnl"/>
        </w:rPr>
      </w:pPr>
    </w:p>
    <w:p w14:paraId="53562C22" w14:textId="77777777" w:rsidR="006B694D" w:rsidRDefault="006B694D" w:rsidP="001B064E">
      <w:pPr>
        <w:spacing w:after="0"/>
        <w:rPr>
          <w:rFonts w:ascii="Verdana" w:hAnsi="Verdana"/>
          <w:lang w:val="es-ES_tradnl"/>
        </w:rPr>
      </w:pPr>
    </w:p>
    <w:p w14:paraId="7A9E6280" w14:textId="77777777" w:rsidR="006B694D" w:rsidRDefault="006B694D" w:rsidP="001B064E">
      <w:pPr>
        <w:spacing w:after="0"/>
        <w:rPr>
          <w:rFonts w:ascii="Verdana" w:hAnsi="Verdana"/>
          <w:lang w:val="es-ES_tradnl"/>
        </w:rPr>
      </w:pPr>
    </w:p>
    <w:p w14:paraId="0DE60436" w14:textId="77777777" w:rsidR="006B694D" w:rsidRDefault="006B694D" w:rsidP="001B064E">
      <w:pPr>
        <w:spacing w:after="0"/>
        <w:rPr>
          <w:rFonts w:ascii="Verdana" w:hAnsi="Verdana"/>
          <w:lang w:val="es-ES_tradnl"/>
        </w:rPr>
      </w:pPr>
    </w:p>
    <w:p w14:paraId="404FD63E" w14:textId="77777777" w:rsidR="006B694D" w:rsidRDefault="006B694D" w:rsidP="001B064E">
      <w:pPr>
        <w:spacing w:after="0"/>
        <w:rPr>
          <w:rFonts w:ascii="Verdana" w:hAnsi="Verdana"/>
          <w:lang w:val="es-ES_tradnl"/>
        </w:rPr>
      </w:pPr>
    </w:p>
    <w:p w14:paraId="53C94B5D" w14:textId="77777777" w:rsidR="006B694D" w:rsidRDefault="006B694D" w:rsidP="001B064E">
      <w:pPr>
        <w:spacing w:after="0"/>
        <w:rPr>
          <w:rFonts w:ascii="Verdana" w:hAnsi="Verdana"/>
          <w:lang w:val="es-ES_tradnl"/>
        </w:rPr>
      </w:pPr>
    </w:p>
    <w:p w14:paraId="4948C67A" w14:textId="77777777" w:rsidR="006B694D" w:rsidRDefault="006B694D" w:rsidP="001B064E">
      <w:pPr>
        <w:spacing w:after="0"/>
        <w:rPr>
          <w:rFonts w:ascii="Verdana" w:hAnsi="Verdana"/>
          <w:lang w:val="es-ES_tradnl"/>
        </w:rPr>
      </w:pPr>
    </w:p>
    <w:p w14:paraId="12528B7C" w14:textId="77777777" w:rsidR="006B694D" w:rsidRDefault="006B694D" w:rsidP="001B064E">
      <w:pPr>
        <w:spacing w:after="0"/>
        <w:rPr>
          <w:rFonts w:ascii="Verdana" w:hAnsi="Verdana"/>
          <w:lang w:val="es-ES_tradnl"/>
        </w:rPr>
      </w:pPr>
    </w:p>
    <w:p w14:paraId="2303ACB3" w14:textId="77777777" w:rsidR="006B694D" w:rsidRDefault="006B694D" w:rsidP="001B064E">
      <w:pPr>
        <w:spacing w:after="0"/>
        <w:rPr>
          <w:rFonts w:ascii="Verdana" w:hAnsi="Verdana"/>
          <w:lang w:val="es-ES_tradnl"/>
        </w:rPr>
      </w:pPr>
    </w:p>
    <w:p w14:paraId="5EF01884" w14:textId="77777777" w:rsidR="006B694D" w:rsidRDefault="006B694D" w:rsidP="001B064E">
      <w:pPr>
        <w:spacing w:after="0"/>
        <w:rPr>
          <w:rFonts w:ascii="Verdana" w:hAnsi="Verdana"/>
          <w:lang w:val="es-ES_tradnl"/>
        </w:rPr>
      </w:pPr>
    </w:p>
    <w:p w14:paraId="04097CB2" w14:textId="77777777" w:rsidR="006B694D" w:rsidRDefault="006B694D" w:rsidP="001B064E">
      <w:pPr>
        <w:spacing w:after="0"/>
        <w:rPr>
          <w:rFonts w:ascii="Verdana" w:hAnsi="Verdana"/>
          <w:lang w:val="es-ES_tradnl"/>
        </w:rPr>
      </w:pPr>
    </w:p>
    <w:p w14:paraId="004836A2" w14:textId="77777777" w:rsidR="006B694D" w:rsidRDefault="006B694D" w:rsidP="001B064E">
      <w:pPr>
        <w:spacing w:after="0"/>
        <w:rPr>
          <w:rFonts w:ascii="Verdana" w:hAnsi="Verdana"/>
          <w:lang w:val="es-ES_tradnl"/>
        </w:rPr>
      </w:pPr>
    </w:p>
    <w:p w14:paraId="75C6C21E" w14:textId="77777777" w:rsidR="00960D60" w:rsidRDefault="00960D60" w:rsidP="001B064E">
      <w:pPr>
        <w:spacing w:after="0"/>
        <w:rPr>
          <w:rFonts w:ascii="Verdana" w:hAnsi="Verdana"/>
          <w:lang w:val="es-ES_tradnl"/>
        </w:rPr>
      </w:pPr>
    </w:p>
    <w:p w14:paraId="62D221C9" w14:textId="78BB8D4F" w:rsidR="001B064E" w:rsidRPr="00777292" w:rsidRDefault="00AC1085" w:rsidP="001B064E">
      <w:pPr>
        <w:spacing w:after="0"/>
        <w:rPr>
          <w:rFonts w:ascii="Verdana" w:hAnsi="Verdana"/>
          <w:lang w:val="es-ES_tradnl"/>
        </w:rPr>
      </w:pPr>
      <w:r w:rsidRPr="00AC1085">
        <w:rPr>
          <w:rFonts w:ascii="Verdana" w:hAnsi="Verdana"/>
        </w:rPr>
        <w:lastRenderedPageBreak/>
        <w:t xml:space="preserve">Bogotá D.C., 28 de </w:t>
      </w:r>
      <w:r w:rsidR="00244CEE" w:rsidRPr="00AC1085">
        <w:rPr>
          <w:rFonts w:ascii="Verdana" w:hAnsi="Verdana"/>
        </w:rPr>
        <w:t>mayo</w:t>
      </w:r>
      <w:r w:rsidRPr="00AC1085">
        <w:rPr>
          <w:rFonts w:ascii="Verdana" w:hAnsi="Verdana"/>
        </w:rPr>
        <w:t xml:space="preserve"> de 2026</w:t>
      </w:r>
    </w:p>
    <w:p w14:paraId="5DF4E0A1" w14:textId="4E290F3A" w:rsidR="008D5774" w:rsidRPr="00777292" w:rsidRDefault="00244CEE" w:rsidP="008D5774">
      <w:pPr>
        <w:spacing w:after="0"/>
        <w:rPr>
          <w:rFonts w:ascii="Verdana" w:hAnsi="Verdana"/>
          <w:lang w:val="es-ES_tradnl"/>
        </w:rPr>
      </w:pPr>
      <w:r w:rsidRPr="00AC1085">
        <w:rPr>
          <w:rFonts w:ascii="Verdana" w:hAnsi="Verdana"/>
          <w:noProof/>
        </w:rPr>
        <w:drawing>
          <wp:anchor distT="0" distB="0" distL="114300" distR="114300" simplePos="0" relativeHeight="251658240" behindDoc="1" locked="0" layoutInCell="1" allowOverlap="1" wp14:anchorId="54236120" wp14:editId="742B3AE8">
            <wp:simplePos x="0" y="0"/>
            <wp:positionH relativeFrom="margin">
              <wp:align>right</wp:align>
            </wp:positionH>
            <wp:positionV relativeFrom="paragraph">
              <wp:posOffset>9305</wp:posOffset>
            </wp:positionV>
            <wp:extent cx="2525395" cy="858520"/>
            <wp:effectExtent l="0" t="0" r="8255" b="0"/>
            <wp:wrapSquare wrapText="bothSides"/>
            <wp:docPr id="15782141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214117"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25395" cy="858520"/>
                    </a:xfrm>
                    <a:prstGeom prst="rect">
                      <a:avLst/>
                    </a:prstGeom>
                  </pic:spPr>
                </pic:pic>
              </a:graphicData>
            </a:graphic>
            <wp14:sizeRelH relativeFrom="page">
              <wp14:pctWidth>0</wp14:pctWidth>
            </wp14:sizeRelH>
            <wp14:sizeRelV relativeFrom="page">
              <wp14:pctHeight>0</wp14:pctHeight>
            </wp14:sizeRelV>
          </wp:anchor>
        </w:drawing>
      </w:r>
    </w:p>
    <w:p w14:paraId="165A5F33" w14:textId="78C00815" w:rsidR="008D5774" w:rsidRPr="00777292" w:rsidRDefault="008D5774" w:rsidP="008D5774">
      <w:pPr>
        <w:spacing w:after="0" w:line="240" w:lineRule="auto"/>
        <w:rPr>
          <w:rFonts w:ascii="Verdana" w:hAnsi="Verdana"/>
          <w:lang w:val="es-ES"/>
        </w:rPr>
      </w:pPr>
      <w:bookmarkStart w:id="0" w:name="_Hlk143780582"/>
      <w:r w:rsidRPr="00777292">
        <w:rPr>
          <w:rFonts w:ascii="Verdana" w:eastAsia="Calibri" w:hAnsi="Verdana" w:cs="Arial"/>
          <w:lang w:val="es-ES" w:eastAsia="es-ES"/>
        </w:rPr>
        <w:t>Señor</w:t>
      </w:r>
      <w:r w:rsidR="00F51D39">
        <w:rPr>
          <w:rFonts w:ascii="Verdana" w:eastAsia="Calibri" w:hAnsi="Verdana" w:cs="Arial"/>
          <w:lang w:val="es-ES" w:eastAsia="es-ES"/>
        </w:rPr>
        <w:t>a</w:t>
      </w:r>
    </w:p>
    <w:p w14:paraId="2402F1C9" w14:textId="2395E010" w:rsidR="008D5774" w:rsidRPr="006B694D" w:rsidRDefault="00377CDF" w:rsidP="008D5774">
      <w:pPr>
        <w:spacing w:after="0"/>
        <w:rPr>
          <w:rFonts w:ascii="Verdana" w:eastAsia="Calibri" w:hAnsi="Verdana" w:cs="Arial"/>
          <w:b/>
          <w:bCs/>
          <w:lang w:val="es-ES" w:eastAsia="es-ES"/>
        </w:rPr>
      </w:pPr>
      <w:r>
        <w:rPr>
          <w:rFonts w:ascii="Verdana" w:eastAsia="Calibri" w:hAnsi="Verdana" w:cs="Arial"/>
          <w:b/>
          <w:bCs/>
          <w:lang w:val="es-ES" w:eastAsia="es-ES"/>
        </w:rPr>
        <w:t>Pedro Alejandro Ariza Rubiano</w:t>
      </w:r>
    </w:p>
    <w:p w14:paraId="161EFC6C" w14:textId="1329CA9F" w:rsidR="008D5774" w:rsidRPr="006B694D" w:rsidRDefault="00377CDF" w:rsidP="008D5774">
      <w:pPr>
        <w:spacing w:after="0"/>
        <w:rPr>
          <w:rStyle w:val="Hipervnculo"/>
          <w:rFonts w:ascii="Verdana" w:hAnsi="Verdana"/>
          <w:color w:val="ED7D31" w:themeColor="accent2"/>
        </w:rPr>
      </w:pPr>
      <w:r>
        <w:rPr>
          <w:rFonts w:ascii="Verdana" w:hAnsi="Verdana"/>
        </w:rPr>
        <w:t>Pedaleja@hotmail.com</w:t>
      </w:r>
    </w:p>
    <w:p w14:paraId="61203DA3" w14:textId="5961C601" w:rsidR="001B6C7C" w:rsidRPr="00777292" w:rsidRDefault="00377CDF" w:rsidP="001B6C7C">
      <w:pPr>
        <w:spacing w:after="0"/>
        <w:rPr>
          <w:rFonts w:ascii="Verdana" w:eastAsia="Calibri" w:hAnsi="Verdana" w:cs="Arial"/>
          <w:lang w:eastAsia="es-ES"/>
        </w:rPr>
      </w:pPr>
      <w:r>
        <w:rPr>
          <w:rFonts w:ascii="Verdana" w:eastAsia="Calibri" w:hAnsi="Verdana" w:cs="Arial"/>
          <w:lang w:eastAsia="es-ES"/>
        </w:rPr>
        <w:t>Bucaramanga, Santander</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B6C7C" w:rsidRPr="00777292" w14:paraId="085D21A1" w14:textId="77777777">
        <w:trPr>
          <w:trHeight w:val="190"/>
        </w:trPr>
        <w:tc>
          <w:tcPr>
            <w:tcW w:w="2689" w:type="dxa"/>
          </w:tcPr>
          <w:p w14:paraId="2CE989D5" w14:textId="77777777" w:rsidR="001B6C7C" w:rsidRPr="00777292" w:rsidRDefault="001B6C7C">
            <w:pPr>
              <w:jc w:val="both"/>
              <w:rPr>
                <w:rFonts w:ascii="Verdana" w:eastAsia="Calibri" w:hAnsi="Verdana" w:cs="Arial"/>
                <w:b/>
                <w:bCs/>
                <w:lang w:eastAsia="es-ES_tradnl"/>
              </w:rPr>
            </w:pPr>
          </w:p>
        </w:tc>
        <w:tc>
          <w:tcPr>
            <w:tcW w:w="6100" w:type="dxa"/>
          </w:tcPr>
          <w:p w14:paraId="16596E46" w14:textId="4A09BC16" w:rsidR="001B6C7C" w:rsidRPr="00777292" w:rsidRDefault="001B6C7C">
            <w:pPr>
              <w:jc w:val="both"/>
              <w:rPr>
                <w:rFonts w:ascii="Verdana" w:eastAsia="Calibri" w:hAnsi="Verdana" w:cs="Arial"/>
                <w:b/>
                <w:bCs/>
                <w:lang w:eastAsia="es-ES"/>
              </w:rPr>
            </w:pPr>
            <w:r w:rsidRPr="00777292">
              <w:rPr>
                <w:rFonts w:ascii="Verdana" w:eastAsia="Calibri" w:hAnsi="Verdana" w:cs="Arial"/>
                <w:b/>
                <w:bCs/>
                <w:lang w:eastAsia="es-ES"/>
              </w:rPr>
              <w:t>Concepto C-</w:t>
            </w:r>
            <w:r w:rsidR="006B694D">
              <w:rPr>
                <w:rFonts w:ascii="Verdana" w:eastAsia="Calibri" w:hAnsi="Verdana" w:cs="Arial"/>
                <w:b/>
                <w:bCs/>
                <w:lang w:eastAsia="es-ES"/>
              </w:rPr>
              <w:t xml:space="preserve"> </w:t>
            </w:r>
            <w:r w:rsidR="00377CDF">
              <w:rPr>
                <w:rFonts w:ascii="Verdana" w:eastAsia="Calibri" w:hAnsi="Verdana" w:cs="Arial"/>
                <w:b/>
                <w:bCs/>
                <w:lang w:eastAsia="es-ES"/>
              </w:rPr>
              <w:t>416</w:t>
            </w:r>
            <w:r w:rsidRPr="00777292">
              <w:rPr>
                <w:rFonts w:ascii="Verdana" w:eastAsia="Calibri" w:hAnsi="Verdana" w:cs="Arial"/>
                <w:b/>
                <w:bCs/>
                <w:lang w:eastAsia="es-ES"/>
              </w:rPr>
              <w:t xml:space="preserve"> de 2026</w:t>
            </w:r>
          </w:p>
          <w:p w14:paraId="7FE82840" w14:textId="77777777" w:rsidR="001B6C7C" w:rsidRPr="00777292" w:rsidRDefault="001B6C7C">
            <w:pPr>
              <w:jc w:val="both"/>
              <w:rPr>
                <w:rFonts w:ascii="Verdana" w:eastAsia="Calibri" w:hAnsi="Verdana" w:cs="Arial"/>
                <w:b/>
                <w:bCs/>
                <w:lang w:eastAsia="es-ES"/>
              </w:rPr>
            </w:pPr>
          </w:p>
        </w:tc>
      </w:tr>
      <w:tr w:rsidR="00D37910" w:rsidRPr="00777292" w14:paraId="63A5AB9D" w14:textId="77777777">
        <w:trPr>
          <w:trHeight w:val="884"/>
        </w:trPr>
        <w:tc>
          <w:tcPr>
            <w:tcW w:w="2689" w:type="dxa"/>
          </w:tcPr>
          <w:p w14:paraId="77DFD30F" w14:textId="77777777" w:rsidR="00D37910" w:rsidRPr="00777292" w:rsidRDefault="00D37910" w:rsidP="00D37910">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07B71920" w14:textId="77777777" w:rsidR="00D37910" w:rsidRDefault="00D37910" w:rsidP="00D37910">
            <w:pPr>
              <w:contextualSpacing/>
              <w:jc w:val="both"/>
              <w:rPr>
                <w:rFonts w:ascii="Verdana" w:eastAsia="Calibri" w:hAnsi="Verdana" w:cs="Arial"/>
                <w:lang w:eastAsia="es-ES"/>
              </w:rPr>
            </w:pPr>
            <w:r w:rsidRPr="00777292">
              <w:rPr>
                <w:rFonts w:ascii="Verdana" w:eastAsia="Calibri" w:hAnsi="Verdana" w:cs="Arial"/>
                <w:lang w:eastAsia="es-ES"/>
              </w:rPr>
              <w:t>DECRETO 0287 DE 2026 ‒ Sistema Integral de Preferencias ‒ Contratación pública inclusiva ‒ Personas con discapacidad</w:t>
            </w:r>
            <w:r>
              <w:rPr>
                <w:rFonts w:ascii="Verdana" w:eastAsia="Calibri" w:hAnsi="Verdana" w:cs="Arial"/>
                <w:lang w:eastAsia="es-ES"/>
              </w:rPr>
              <w:t xml:space="preserve"> / </w:t>
            </w:r>
            <w:r w:rsidRPr="00777292">
              <w:rPr>
                <w:rFonts w:ascii="Verdana" w:eastAsia="Calibri" w:hAnsi="Verdana" w:cs="Arial"/>
                <w:lang w:eastAsia="es-ES"/>
              </w:rPr>
              <w:t>DECRETO 0287 DE 2026 ‒ Antecedentes normativos ‒ Decreto 392 de 2018 ‒ Omisiones reglamentarias ‒ Sentencia de acción de cumplimiento</w:t>
            </w:r>
            <w:r>
              <w:rPr>
                <w:rFonts w:ascii="Verdana" w:eastAsia="Calibri" w:hAnsi="Verdana" w:cs="Arial"/>
                <w:lang w:eastAsia="es-ES"/>
              </w:rPr>
              <w:t xml:space="preserve"> / </w:t>
            </w:r>
            <w:r w:rsidRPr="00777292">
              <w:rPr>
                <w:rFonts w:ascii="Verdana" w:eastAsia="Calibri" w:hAnsi="Verdana" w:cs="Arial"/>
                <w:lang w:eastAsia="es-ES"/>
              </w:rPr>
              <w:t>DECRETO 0287 DE 2026 ‒ Sujetos del sistema ‒ Emprendimientos y empresas de personas con discapacidad ‒ Empleadores de personas con discapacidad ‒ Definición y diferenciación</w:t>
            </w:r>
            <w:r>
              <w:rPr>
                <w:rFonts w:ascii="Verdana" w:eastAsia="Calibri" w:hAnsi="Verdana" w:cs="Arial"/>
                <w:lang w:eastAsia="es-ES"/>
              </w:rPr>
              <w:t xml:space="preserve"> / </w:t>
            </w:r>
            <w:r w:rsidRPr="00777292">
              <w:rPr>
                <w:rFonts w:ascii="Verdana" w:eastAsia="Calibri" w:hAnsi="Verdana" w:cs="Arial"/>
                <w:lang w:eastAsia="es-ES"/>
              </w:rPr>
              <w:t>DECRETO 0287 DE 2026 ‒ Puntaje adicional del 2% ‒ No acumulabilidad ‒ Acreditación simultánea de condiciones ‒ Modalidades de selección aplicables</w:t>
            </w:r>
            <w:r>
              <w:rPr>
                <w:rFonts w:ascii="Verdana" w:eastAsia="Calibri" w:hAnsi="Verdana" w:cs="Arial"/>
                <w:lang w:eastAsia="es-ES"/>
              </w:rPr>
              <w:t xml:space="preserve"> / </w:t>
            </w:r>
            <w:r w:rsidRPr="00777292">
              <w:rPr>
                <w:rFonts w:ascii="Verdana" w:eastAsia="Calibri" w:hAnsi="Verdana" w:cs="Arial"/>
                <w:lang w:eastAsia="es-ES"/>
              </w:rPr>
              <w:t>DECRETO 0287 DE 2026 ‒ Puntaje adicional del 2% ‒ Vinculación de personas con discapacidad ‒ Planillas de seguridad social ‒ Período de tres meses ‒ Vinculaciones recientes</w:t>
            </w:r>
            <w:r>
              <w:rPr>
                <w:rFonts w:ascii="Verdana" w:eastAsia="Calibri" w:hAnsi="Verdana" w:cs="Arial"/>
                <w:lang w:eastAsia="es-ES"/>
              </w:rPr>
              <w:t xml:space="preserve"> / </w:t>
            </w:r>
            <w:r w:rsidRPr="00777292">
              <w:rPr>
                <w:rFonts w:ascii="Verdana" w:eastAsia="Calibri" w:hAnsi="Verdana" w:cs="Arial"/>
                <w:lang w:eastAsia="es-ES"/>
              </w:rPr>
              <w:t>DECRETO 0287 DE 2026 ‒ Criterios habilitantes diferenciales ‒ Ajustados ‒ Obligatoriedad ‒ Proporcionalidad ‒ Proponentes plurales ‒ Consorcios y uniones temporales</w:t>
            </w:r>
            <w:r>
              <w:rPr>
                <w:rFonts w:ascii="Verdana" w:eastAsia="Calibri" w:hAnsi="Verdana" w:cs="Arial"/>
                <w:lang w:eastAsia="es-ES"/>
              </w:rPr>
              <w:t xml:space="preserve"> / </w:t>
            </w:r>
            <w:r w:rsidRPr="00777292">
              <w:rPr>
                <w:rFonts w:ascii="Verdana" w:eastAsia="Calibri" w:hAnsi="Verdana" w:cs="Arial"/>
                <w:lang w:eastAsia="es-ES"/>
              </w:rPr>
              <w:t>DECRETO 0287 DE 2026 ‒ Condiciones especiales de ejecución ‒ Subcontratación inclusiva ‒ Integración del equipo de trabajo ‒ Obligatoriedad ‒ Justificación de omisión</w:t>
            </w:r>
            <w:r>
              <w:rPr>
                <w:rFonts w:ascii="Verdana" w:eastAsia="Calibri" w:hAnsi="Verdana" w:cs="Arial"/>
                <w:lang w:eastAsia="es-ES"/>
              </w:rPr>
              <w:t xml:space="preserve"> / </w:t>
            </w:r>
            <w:r w:rsidRPr="00777292">
              <w:rPr>
                <w:rFonts w:ascii="Verdana" w:eastAsia="Calibri" w:hAnsi="Verdana" w:cs="Arial"/>
                <w:lang w:eastAsia="es-ES"/>
              </w:rPr>
              <w:t>DECRETO 0287 DE 2026 ‒ Documentos tipo ‒ Principio de inalterabilidad ‒ Régimen de transición ‒ Actualización ‒ Colombia Compra Eficiente</w:t>
            </w:r>
            <w:r>
              <w:rPr>
                <w:rFonts w:ascii="Verdana" w:eastAsia="Calibri" w:hAnsi="Verdana" w:cs="Arial"/>
                <w:lang w:eastAsia="es-ES"/>
              </w:rPr>
              <w:t xml:space="preserve"> / </w:t>
            </w:r>
            <w:r w:rsidRPr="00777292">
              <w:rPr>
                <w:rFonts w:ascii="Verdana" w:eastAsia="Calibri" w:hAnsi="Verdana" w:cs="Arial"/>
                <w:lang w:eastAsia="es-ES"/>
              </w:rPr>
              <w:t>DECRETO 0287 DE 2026 ‒ Contratos de prestación de servicios ‒ personas con discapacidad ‒ Carácter potestativo ‒ Contratación directa</w:t>
            </w:r>
            <w:r>
              <w:rPr>
                <w:rFonts w:ascii="Verdana" w:eastAsia="Calibri" w:hAnsi="Verdana" w:cs="Arial"/>
                <w:lang w:eastAsia="es-ES"/>
              </w:rPr>
              <w:t xml:space="preserve"> / </w:t>
            </w:r>
            <w:r w:rsidRPr="00777292">
              <w:rPr>
                <w:rFonts w:ascii="Verdana" w:eastAsia="Calibri" w:hAnsi="Verdana" w:cs="Arial"/>
                <w:lang w:eastAsia="es-ES"/>
              </w:rPr>
              <w:t>DECRETO 0287 DE 2026 ‒ Puntaje adicional del 2% ‒ Compatibilidad ‒ Incentivos MiPymes ‒ Empresas de mujeres ‒ Criterio de desempate ‒ Ley 2069 de 2020</w:t>
            </w:r>
            <w:r>
              <w:rPr>
                <w:rFonts w:ascii="Verdana" w:eastAsia="Calibri" w:hAnsi="Verdana" w:cs="Arial"/>
                <w:lang w:eastAsia="es-ES"/>
              </w:rPr>
              <w:t xml:space="preserve"> / </w:t>
            </w:r>
            <w:r w:rsidRPr="00777292">
              <w:rPr>
                <w:rFonts w:ascii="Verdana" w:eastAsia="Calibri" w:hAnsi="Verdana" w:cs="Arial"/>
                <w:lang w:eastAsia="es-ES"/>
              </w:rPr>
              <w:t xml:space="preserve">DECRETO 0287 DE 2026 ‒ Compras públicas accesibles ‒ Obligación transversal ‒ Ausencia de normas técnicas ‒ Ficha </w:t>
            </w:r>
            <w:r w:rsidRPr="00777292">
              <w:rPr>
                <w:rFonts w:ascii="Verdana" w:eastAsia="Calibri" w:hAnsi="Verdana" w:cs="Arial"/>
                <w:lang w:eastAsia="es-ES"/>
              </w:rPr>
              <w:lastRenderedPageBreak/>
              <w:t>técnica de accesibilidad ‒ Categorías de discapacidad</w:t>
            </w:r>
            <w:r>
              <w:rPr>
                <w:rFonts w:ascii="Verdana" w:eastAsia="Calibri" w:hAnsi="Verdana" w:cs="Arial"/>
                <w:lang w:eastAsia="es-ES"/>
              </w:rPr>
              <w:t xml:space="preserve"> /</w:t>
            </w:r>
            <w:r>
              <w:t xml:space="preserve"> </w:t>
            </w:r>
            <w:r w:rsidRPr="00777292">
              <w:rPr>
                <w:rFonts w:ascii="Verdana" w:eastAsia="Calibri" w:hAnsi="Verdana" w:cs="Arial"/>
                <w:lang w:eastAsia="es-ES"/>
              </w:rPr>
              <w:t>DECRETO 0287 DE 2026 ‒ Ejecución contractual ‒ Permanencia de condiciones ‒ Reducción de personas con discapacidad vinculadas ‒ Incumplimiento contractual</w:t>
            </w:r>
            <w:r>
              <w:rPr>
                <w:rFonts w:ascii="Verdana" w:eastAsia="Calibri" w:hAnsi="Verdana" w:cs="Arial"/>
                <w:lang w:eastAsia="es-ES"/>
              </w:rPr>
              <w:t xml:space="preserve"> / </w:t>
            </w:r>
            <w:r w:rsidRPr="00777292">
              <w:rPr>
                <w:rFonts w:ascii="Verdana" w:eastAsia="Calibri" w:hAnsi="Verdana" w:cs="Arial"/>
                <w:lang w:eastAsia="es-ES"/>
              </w:rPr>
              <w:t>DECRETO 0287 DE 2026 ‒ Entidades de régimen especial ‒ Aplicación</w:t>
            </w:r>
            <w:r>
              <w:rPr>
                <w:rFonts w:ascii="Verdana" w:eastAsia="Calibri" w:hAnsi="Verdana" w:cs="Arial"/>
                <w:lang w:eastAsia="es-ES"/>
              </w:rPr>
              <w:t xml:space="preserve"> / </w:t>
            </w:r>
            <w:r w:rsidRPr="00777292">
              <w:rPr>
                <w:rFonts w:ascii="Verdana" w:eastAsia="Calibri" w:hAnsi="Verdana" w:cs="Arial"/>
                <w:lang w:eastAsia="es-ES"/>
              </w:rPr>
              <w:t>DECRETO 0287 DE 2026 ‒ Vigencia ‒ Derogatoria ‒ Decreto 392 de 2018 ‒ Régimen de transición ‒ Resolución de apertura</w:t>
            </w:r>
          </w:p>
          <w:p w14:paraId="34C0CDD8" w14:textId="7D0BA071" w:rsidR="00D37910" w:rsidRPr="00777292" w:rsidRDefault="00D37910" w:rsidP="00D37910">
            <w:pPr>
              <w:contextualSpacing/>
              <w:jc w:val="both"/>
              <w:rPr>
                <w:rFonts w:ascii="Verdana" w:eastAsia="Calibri" w:hAnsi="Verdana" w:cs="Arial"/>
                <w:lang w:eastAsia="es-ES"/>
              </w:rPr>
            </w:pPr>
          </w:p>
        </w:tc>
      </w:tr>
      <w:tr w:rsidR="00D37910" w:rsidRPr="00777292" w14:paraId="18649ABC" w14:textId="77777777">
        <w:tc>
          <w:tcPr>
            <w:tcW w:w="2689" w:type="dxa"/>
          </w:tcPr>
          <w:p w14:paraId="65B57F33" w14:textId="77777777" w:rsidR="00D37910" w:rsidRPr="00777292" w:rsidRDefault="00D37910" w:rsidP="00D37910">
            <w:pPr>
              <w:jc w:val="both"/>
              <w:rPr>
                <w:rFonts w:ascii="Verdana" w:eastAsia="Calibri" w:hAnsi="Verdana" w:cs="Arial"/>
                <w:b/>
                <w:lang w:eastAsia="es-ES_tradnl"/>
              </w:rPr>
            </w:pPr>
            <w:r w:rsidRPr="00777292">
              <w:rPr>
                <w:rFonts w:ascii="Verdana" w:eastAsia="Calibri" w:hAnsi="Verdana" w:cs="Arial"/>
                <w:b/>
                <w:lang w:eastAsia="es-ES_tradnl"/>
              </w:rPr>
              <w:lastRenderedPageBreak/>
              <w:t>Radicación:</w:t>
            </w:r>
            <w:r w:rsidRPr="00777292">
              <w:rPr>
                <w:rFonts w:ascii="Verdana" w:eastAsia="Calibri" w:hAnsi="Verdana" w:cs="Arial"/>
                <w:lang w:eastAsia="es-ES_tradnl"/>
              </w:rPr>
              <w:t xml:space="preserve">               </w:t>
            </w:r>
          </w:p>
        </w:tc>
        <w:tc>
          <w:tcPr>
            <w:tcW w:w="6100" w:type="dxa"/>
          </w:tcPr>
          <w:p w14:paraId="7EDDA735" w14:textId="212AE387" w:rsidR="00D37910" w:rsidRPr="00777292" w:rsidRDefault="00D37910" w:rsidP="00D37910">
            <w:pPr>
              <w:jc w:val="both"/>
              <w:rPr>
                <w:rFonts w:ascii="Verdana" w:eastAsia="Calibri" w:hAnsi="Verdana" w:cs="Arial"/>
                <w:lang w:eastAsia="es-ES_tradnl"/>
              </w:rPr>
            </w:pPr>
            <w:r w:rsidRPr="00777292">
              <w:rPr>
                <w:rFonts w:ascii="Verdana" w:eastAsia="Calibri" w:hAnsi="Verdana" w:cs="Arial"/>
                <w:lang w:eastAsia="es-ES_tradnl"/>
              </w:rPr>
              <w:t>Respuesta a consulta con radicado No.</w:t>
            </w:r>
            <w:r w:rsidRPr="00777292">
              <w:rPr>
                <w:rFonts w:ascii="Verdana" w:hAnsi="Verdana" w:cs="Segoe UI"/>
                <w:color w:val="2B2B2B"/>
                <w:shd w:val="clear" w:color="auto" w:fill="FFFFFF"/>
              </w:rPr>
              <w:t xml:space="preserve"> </w:t>
            </w:r>
            <w:r w:rsidRPr="00F51D39">
              <w:rPr>
                <w:rFonts w:ascii="Verdana" w:hAnsi="Verdana" w:cs="Segoe UI"/>
                <w:color w:val="2B2B2B"/>
                <w:shd w:val="clear" w:color="auto" w:fill="FFFFFF"/>
              </w:rPr>
              <w:t>1_2026_04_10_004894</w:t>
            </w:r>
          </w:p>
        </w:tc>
      </w:tr>
    </w:tbl>
    <w:p w14:paraId="7B20ECE9" w14:textId="77777777" w:rsidR="008D5774" w:rsidRPr="00206556" w:rsidRDefault="008D5774" w:rsidP="008D5774">
      <w:pPr>
        <w:spacing w:after="0" w:line="276" w:lineRule="auto"/>
        <w:jc w:val="both"/>
        <w:rPr>
          <w:rFonts w:ascii="Verdana" w:eastAsia="Calibri" w:hAnsi="Verdana" w:cs="Arial"/>
          <w:color w:val="ED7D31" w:themeColor="accent2"/>
          <w:lang w:val="es-ES" w:eastAsia="es-ES"/>
        </w:rPr>
      </w:pPr>
    </w:p>
    <w:p w14:paraId="392D9012" w14:textId="61D2FEFC" w:rsidR="008D5774" w:rsidRPr="00206556" w:rsidRDefault="008D5774" w:rsidP="008D5774">
      <w:pPr>
        <w:spacing w:after="0" w:line="276" w:lineRule="auto"/>
        <w:jc w:val="both"/>
        <w:rPr>
          <w:rFonts w:ascii="Verdana" w:eastAsia="Calibri" w:hAnsi="Verdana" w:cs="Arial"/>
          <w:lang w:val="es-ES" w:eastAsia="es-ES"/>
        </w:rPr>
      </w:pPr>
      <w:r w:rsidRPr="006B694D">
        <w:rPr>
          <w:rFonts w:ascii="Verdana" w:eastAsia="Calibri" w:hAnsi="Verdana" w:cs="Arial"/>
          <w:lang w:val="es-ES" w:eastAsia="es-ES"/>
        </w:rPr>
        <w:t>Estimad</w:t>
      </w:r>
      <w:r w:rsidR="00C622DE" w:rsidRPr="006B694D">
        <w:rPr>
          <w:rFonts w:ascii="Verdana" w:eastAsia="Calibri" w:hAnsi="Verdana" w:cs="Arial"/>
          <w:lang w:val="es-ES" w:eastAsia="es-ES"/>
        </w:rPr>
        <w:t>o</w:t>
      </w:r>
      <w:r w:rsidRPr="006B694D">
        <w:rPr>
          <w:rFonts w:ascii="Verdana" w:eastAsia="Calibri" w:hAnsi="Verdana" w:cs="Arial"/>
          <w:lang w:val="es-ES" w:eastAsia="es-ES"/>
        </w:rPr>
        <w:t xml:space="preserve"> </w:t>
      </w:r>
      <w:r w:rsidR="00F51D39">
        <w:rPr>
          <w:rFonts w:ascii="Verdana" w:eastAsia="Calibri" w:hAnsi="Verdana" w:cs="Arial"/>
          <w:lang w:val="es-ES" w:eastAsia="es-ES"/>
        </w:rPr>
        <w:t>señ</w:t>
      </w:r>
      <w:r w:rsidR="00377CDF">
        <w:rPr>
          <w:rFonts w:ascii="Verdana" w:eastAsia="Calibri" w:hAnsi="Verdana" w:cs="Arial"/>
          <w:lang w:val="es-ES" w:eastAsia="es-ES"/>
        </w:rPr>
        <w:t>or Ariza</w:t>
      </w:r>
      <w:r w:rsidRPr="006B694D">
        <w:rPr>
          <w:rFonts w:ascii="Verdana" w:eastAsia="Calibri" w:hAnsi="Verdana" w:cs="Arial"/>
          <w:lang w:val="es-ES" w:eastAsia="es-ES"/>
        </w:rPr>
        <w:t>,</w:t>
      </w:r>
    </w:p>
    <w:p w14:paraId="23FCCBE5" w14:textId="77777777" w:rsidR="008D5774" w:rsidRPr="00206556" w:rsidRDefault="008D5774" w:rsidP="008D5774">
      <w:pPr>
        <w:tabs>
          <w:tab w:val="left" w:pos="3768"/>
        </w:tabs>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ab/>
      </w:r>
    </w:p>
    <w:p w14:paraId="3426E35D" w14:textId="194658BF" w:rsidR="008D5774" w:rsidRPr="00206556" w:rsidRDefault="008D5774" w:rsidP="008D5774">
      <w:pPr>
        <w:spacing w:after="0" w:line="276" w:lineRule="auto"/>
        <w:jc w:val="both"/>
        <w:rPr>
          <w:rFonts w:ascii="Verdana" w:eastAsia="Calibri" w:hAnsi="Verdana" w:cs="Arial"/>
          <w:lang w:val="es-ES" w:eastAsia="es-ES"/>
        </w:rPr>
      </w:pPr>
      <w:r w:rsidRPr="006B694D">
        <w:rPr>
          <w:rFonts w:ascii="Verdana" w:eastAsia="Calibri" w:hAnsi="Verdana" w:cs="Arial"/>
          <w:lang w:val="es-ES" w:eastAsia="es-ES"/>
        </w:rPr>
        <w:t>En ejercicio de la competencia otorgada por los artículos 3, numeral 5º, y 11, numeral 8º, del Decreto Ley 4170 de 2011,</w:t>
      </w:r>
      <w:r w:rsidRPr="006B694D">
        <w:rPr>
          <w:rFonts w:ascii="Verdana" w:eastAsia="Arial MT" w:hAnsi="Verdana" w:cs="Arial MT"/>
          <w:lang w:val="es-ES" w:eastAsia="es-ES"/>
        </w:rPr>
        <w:t xml:space="preserve"> </w:t>
      </w:r>
      <w:r w:rsidRPr="006B694D">
        <w:rPr>
          <w:rFonts w:ascii="Verdana" w:hAnsi="Verdana" w:cs="Arial"/>
          <w:lang w:val="es-ES"/>
        </w:rPr>
        <w:t xml:space="preserve">así como lo establecido en </w:t>
      </w:r>
      <w:r w:rsidR="00995967" w:rsidRPr="006B694D">
        <w:rPr>
          <w:rFonts w:ascii="Verdana" w:hAnsi="Verdana" w:cs="Arial"/>
          <w:lang w:val="es-ES"/>
        </w:rPr>
        <w:t xml:space="preserve">la Resolución 469 de 2025 </w:t>
      </w:r>
      <w:r w:rsidRPr="006B694D">
        <w:rPr>
          <w:rFonts w:ascii="Verdana" w:hAnsi="Verdana" w:cs="Arial"/>
          <w:lang w:val="es-ES"/>
        </w:rPr>
        <w:t xml:space="preserve">expedida por esta Entidad, </w:t>
      </w:r>
      <w:r w:rsidRPr="006B694D">
        <w:rPr>
          <w:rFonts w:ascii="Verdana" w:eastAsia="Calibri" w:hAnsi="Verdana" w:cs="Arial"/>
          <w:lang w:val="es-ES" w:eastAsia="es-ES"/>
        </w:rPr>
        <w:t xml:space="preserve">la Agencia Nacional de Contratación Pública – Colombia Compra Eficiente– responde su solicitud de consulta de fecha </w:t>
      </w:r>
      <w:r w:rsidR="00F51D39">
        <w:rPr>
          <w:rFonts w:ascii="Verdana" w:eastAsia="Calibri" w:hAnsi="Verdana" w:cs="Arial"/>
          <w:lang w:val="es-ES" w:eastAsia="es-ES"/>
        </w:rPr>
        <w:t>1</w:t>
      </w:r>
      <w:r w:rsidR="00377CDF">
        <w:rPr>
          <w:rFonts w:ascii="Verdana" w:eastAsia="Calibri" w:hAnsi="Verdana" w:cs="Arial"/>
          <w:lang w:val="es-ES" w:eastAsia="es-ES"/>
        </w:rPr>
        <w:t>6</w:t>
      </w:r>
      <w:r w:rsidRPr="006B694D">
        <w:rPr>
          <w:rFonts w:ascii="Verdana" w:eastAsia="Calibri" w:hAnsi="Verdana" w:cs="Arial"/>
          <w:lang w:val="es-ES" w:eastAsia="es-ES"/>
        </w:rPr>
        <w:t xml:space="preserve"> de </w:t>
      </w:r>
      <w:r w:rsidR="00F51D39">
        <w:rPr>
          <w:rFonts w:ascii="Verdana" w:eastAsia="Calibri" w:hAnsi="Verdana" w:cs="Arial"/>
          <w:lang w:val="es-ES" w:eastAsia="es-ES"/>
        </w:rPr>
        <w:t>abril</w:t>
      </w:r>
      <w:r w:rsidRPr="006B694D">
        <w:rPr>
          <w:rFonts w:ascii="Verdana" w:eastAsia="Calibri" w:hAnsi="Verdana" w:cs="Arial"/>
          <w:lang w:val="es-ES" w:eastAsia="es-ES"/>
        </w:rPr>
        <w:t xml:space="preserve"> de 202</w:t>
      </w:r>
      <w:r w:rsidR="0006693F" w:rsidRPr="006B694D">
        <w:rPr>
          <w:rFonts w:ascii="Verdana" w:eastAsia="Calibri" w:hAnsi="Verdana" w:cs="Arial"/>
          <w:lang w:val="es-ES" w:eastAsia="es-ES"/>
        </w:rPr>
        <w:t>6</w:t>
      </w:r>
      <w:r w:rsidRPr="006B694D">
        <w:rPr>
          <w:rFonts w:ascii="Verdana" w:eastAsia="Calibri" w:hAnsi="Verdana" w:cs="Arial"/>
          <w:lang w:val="es-ES" w:eastAsia="es-ES"/>
        </w:rPr>
        <w:t>, en la cual manifiesta lo siguiente</w:t>
      </w:r>
      <w:r w:rsidRPr="00206556">
        <w:rPr>
          <w:rFonts w:ascii="Verdana" w:eastAsia="Calibri" w:hAnsi="Verdana" w:cs="Arial"/>
          <w:lang w:val="es-ES" w:eastAsia="es-ES"/>
        </w:rPr>
        <w:t xml:space="preserve">: </w:t>
      </w:r>
    </w:p>
    <w:p w14:paraId="64073759" w14:textId="0A86B783" w:rsidR="009948E7" w:rsidRDefault="009948E7" w:rsidP="00346FE0">
      <w:pPr>
        <w:spacing w:before="120" w:after="120" w:line="240" w:lineRule="auto"/>
        <w:ind w:right="709"/>
        <w:contextualSpacing/>
        <w:jc w:val="both"/>
        <w:rPr>
          <w:rFonts w:ascii="Verdana" w:eastAsia="Century Gothic" w:hAnsi="Verdana" w:cs="Century Gothic"/>
          <w:i/>
          <w:iCs/>
          <w:sz w:val="20"/>
          <w:szCs w:val="20"/>
          <w:lang w:val="es-ES"/>
        </w:rPr>
      </w:pPr>
    </w:p>
    <w:p w14:paraId="07A0E538" w14:textId="2B70339D" w:rsidR="008D5774" w:rsidRPr="00377CDF" w:rsidRDefault="00377CDF" w:rsidP="00377CDF">
      <w:pPr>
        <w:spacing w:before="120" w:after="120" w:line="240" w:lineRule="auto"/>
        <w:ind w:left="709" w:right="709"/>
        <w:contextualSpacing/>
        <w:jc w:val="both"/>
        <w:rPr>
          <w:rFonts w:ascii="Verdana" w:eastAsia="Century Gothic" w:hAnsi="Verdana" w:cs="Century Gothic"/>
          <w:sz w:val="20"/>
          <w:szCs w:val="20"/>
        </w:rPr>
      </w:pPr>
      <w:r w:rsidRPr="00377CDF">
        <w:rPr>
          <w:rFonts w:ascii="Verdana" w:eastAsia="Century Gothic" w:hAnsi="Verdana" w:cs="Century Gothic"/>
          <w:sz w:val="20"/>
          <w:szCs w:val="20"/>
        </w:rPr>
        <w:t xml:space="preserve">“Según el ABC del Decreto 287/2026 pagina 3, señala que uno de los beneficiarios del decreto son personas naturales con profesión liberal y personas naturales con establecimiento de comercio. </w:t>
      </w:r>
      <w:proofErr w:type="gramStart"/>
      <w:r w:rsidRPr="00377CDF">
        <w:rPr>
          <w:rFonts w:ascii="Verdana" w:eastAsia="Century Gothic" w:hAnsi="Verdana" w:cs="Century Gothic"/>
          <w:sz w:val="20"/>
          <w:szCs w:val="20"/>
        </w:rPr>
        <w:t>En este orden de ideas, para una persona con profesión liberal que no sea discapacitada, puede acreditar el requisito si cuenta con un establecimiento de comercio y en ella contrata a una persona en condición de discapacidad?</w:t>
      </w:r>
      <w:proofErr w:type="gramEnd"/>
      <w:r w:rsidRPr="00377CDF">
        <w:rPr>
          <w:rFonts w:ascii="Verdana" w:eastAsia="Century Gothic" w:hAnsi="Verdana" w:cs="Century Gothic"/>
          <w:sz w:val="20"/>
          <w:szCs w:val="20"/>
        </w:rPr>
        <w:t xml:space="preserve"> </w:t>
      </w:r>
      <w:r w:rsidR="008D5774" w:rsidRPr="00377CDF">
        <w:rPr>
          <w:rFonts w:ascii="Verdana" w:eastAsia="Calibri" w:hAnsi="Verdana" w:cs="Arial"/>
          <w:sz w:val="20"/>
          <w:szCs w:val="2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w:t>
      </w:r>
      <w:r w:rsidR="008A5E24" w:rsidRPr="00377CDF">
        <w:rPr>
          <w:rFonts w:ascii="Verdana" w:eastAsia="Calibri" w:hAnsi="Verdana" w:cs="Arial"/>
          <w:sz w:val="20"/>
          <w:szCs w:val="20"/>
          <w:lang w:val="es-ES" w:eastAsia="es-ES"/>
        </w:rPr>
        <w:t xml:space="preserve"> al</w:t>
      </w:r>
      <w:r w:rsidR="008D5774" w:rsidRPr="00377CDF">
        <w:rPr>
          <w:rFonts w:ascii="Verdana" w:eastAsia="Calibri" w:hAnsi="Verdana" w:cs="Arial"/>
          <w:sz w:val="20"/>
          <w:szCs w:val="20"/>
          <w:lang w:val="es-ES" w:eastAsia="es-ES"/>
        </w:rPr>
        <w:t xml:space="preserve"> </w:t>
      </w:r>
      <w:r w:rsidR="008A5E24" w:rsidRPr="00377CDF">
        <w:rPr>
          <w:rFonts w:ascii="Verdana" w:hAnsi="Verdana"/>
          <w:sz w:val="20"/>
          <w:szCs w:val="20"/>
        </w:rPr>
        <w:t>Estatuto General de Contratación Pública</w:t>
      </w:r>
      <w:r w:rsidR="008A5E24" w:rsidRPr="00377CDF">
        <w:rPr>
          <w:rFonts w:ascii="Verdana" w:eastAsia="Calibri" w:hAnsi="Verdana" w:cs="Arial"/>
          <w:sz w:val="20"/>
          <w:szCs w:val="20"/>
          <w:lang w:val="es-ES" w:eastAsia="es-ES"/>
        </w:rPr>
        <w:t xml:space="preserve"> </w:t>
      </w:r>
      <w:r w:rsidR="008D5774" w:rsidRPr="00377CDF">
        <w:rPr>
          <w:rFonts w:ascii="Verdana" w:eastAsia="Calibri" w:hAnsi="Verdana" w:cs="Arial"/>
          <w:sz w:val="20"/>
          <w:szCs w:val="20"/>
          <w:lang w:val="es-ES" w:eastAsia="es-ES"/>
        </w:rPr>
        <w:t>o de los demás participantes de la contratación pública. Esta competencia de interpretación de normas generales, por definición, no puede extenderse a la resolución de controversias, ni a brindar asesorías sobre casos puntuales.</w:t>
      </w:r>
      <w:r w:rsidRPr="00377CDF">
        <w:rPr>
          <w:rFonts w:ascii="Verdana" w:eastAsia="Calibri" w:hAnsi="Verdana" w:cs="Arial"/>
          <w:sz w:val="20"/>
          <w:szCs w:val="20"/>
          <w:lang w:val="es-ES" w:eastAsia="es-ES"/>
        </w:rPr>
        <w:t>”</w:t>
      </w:r>
      <w:r w:rsidR="008D5774" w:rsidRPr="00377CDF">
        <w:rPr>
          <w:rFonts w:ascii="Verdana" w:eastAsia="Calibri" w:hAnsi="Verdana" w:cs="Arial"/>
          <w:sz w:val="20"/>
          <w:szCs w:val="20"/>
          <w:lang w:val="es-ES" w:eastAsia="es-ES"/>
        </w:rPr>
        <w:t xml:space="preserve"> </w:t>
      </w:r>
      <w:r w:rsidR="008D5774" w:rsidRPr="00377CDF">
        <w:rPr>
          <w:rFonts w:ascii="Verdana" w:hAnsi="Verdana"/>
          <w:sz w:val="20"/>
          <w:szCs w:val="20"/>
          <w:lang w:val="es-ES"/>
        </w:rPr>
        <w:tab/>
      </w:r>
    </w:p>
    <w:p w14:paraId="622FBB80" w14:textId="77777777" w:rsidR="00F51D39" w:rsidRDefault="00F51D39" w:rsidP="008D5774">
      <w:pPr>
        <w:spacing w:after="0" w:line="276" w:lineRule="auto"/>
        <w:ind w:firstLine="709"/>
        <w:jc w:val="both"/>
        <w:rPr>
          <w:rFonts w:ascii="Verdana" w:eastAsia="Calibri" w:hAnsi="Verdana" w:cs="Arial"/>
          <w:lang w:val="es-ES" w:eastAsia="es-ES"/>
        </w:rPr>
      </w:pPr>
    </w:p>
    <w:p w14:paraId="428652EF" w14:textId="1951622B" w:rsidR="008D5774" w:rsidRPr="00206556" w:rsidRDefault="008D5774" w:rsidP="008D5774">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lastRenderedPageBreak/>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6288081" w14:textId="77777777" w:rsidR="008D5774" w:rsidRPr="00206556" w:rsidRDefault="008D5774" w:rsidP="008D5774">
      <w:pPr>
        <w:spacing w:after="0" w:line="276" w:lineRule="auto"/>
        <w:ind w:firstLine="709"/>
        <w:jc w:val="both"/>
        <w:rPr>
          <w:rFonts w:ascii="Verdana" w:eastAsia="Calibri" w:hAnsi="Verdana" w:cs="Arial"/>
          <w:lang w:val="es-ES" w:eastAsia="es-ES"/>
        </w:rPr>
      </w:pPr>
    </w:p>
    <w:p w14:paraId="4AD69AFF" w14:textId="77777777" w:rsidR="008D5774" w:rsidRPr="00206556" w:rsidRDefault="008D5774" w:rsidP="008D5774">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 planteado:</w:t>
      </w:r>
    </w:p>
    <w:p w14:paraId="26050314" w14:textId="77777777" w:rsidR="008D5774" w:rsidRPr="00206556" w:rsidRDefault="008D5774" w:rsidP="008D5774">
      <w:pPr>
        <w:tabs>
          <w:tab w:val="left" w:pos="426"/>
        </w:tabs>
        <w:spacing w:after="0" w:line="276" w:lineRule="auto"/>
        <w:jc w:val="both"/>
        <w:rPr>
          <w:rFonts w:ascii="Verdana" w:eastAsia="Century Gothic" w:hAnsi="Verdana" w:cs="Century Gothic"/>
          <w:color w:val="ED7D31" w:themeColor="accent2"/>
          <w:lang w:val="es-ES"/>
        </w:rPr>
      </w:pPr>
    </w:p>
    <w:p w14:paraId="2953D2F6" w14:textId="55702181" w:rsidR="008D5774" w:rsidRDefault="008D5774" w:rsidP="008D5774">
      <w:pPr>
        <w:spacing w:after="0" w:line="276" w:lineRule="auto"/>
        <w:jc w:val="both"/>
        <w:rPr>
          <w:rFonts w:ascii="Verdana" w:eastAsia="Century Gothic" w:hAnsi="Verdana" w:cs="Century Gothic"/>
        </w:rPr>
      </w:pPr>
      <w:r w:rsidRPr="00206556">
        <w:rPr>
          <w:rFonts w:ascii="Verdana" w:eastAsia="Century Gothic" w:hAnsi="Verdana" w:cs="Century Gothic"/>
          <w:lang w:val="es-ES"/>
        </w:rPr>
        <w:t xml:space="preserve">De acuerdo con el contenido de su solicitud, esta Agencia resolverá el siguiente problema jurídico: </w:t>
      </w:r>
      <w:r w:rsidR="00377CDF" w:rsidRPr="00377CDF">
        <w:rPr>
          <w:rFonts w:ascii="Verdana" w:eastAsia="Century Gothic" w:hAnsi="Verdana" w:cs="Century Gothic"/>
        </w:rPr>
        <w:t>¿Cuál es el alcance de los beneficios previstos en el Decreto 0287 de 2026 para las personas naturales con profesión liberal y las personas naturales con establecimiento de comercio, particularmente respecto de la posibilidad de acreditar la vinculación de personas en condición de discapacidad a través de un establecimiento de comercio de propiedad de una persona natural con profesión liberal que no se encuentra en condición de discapacidad, así como las condiciones y documentación requeridas para acceder a dichos incentivos en el marco de la contratación pública?</w:t>
      </w:r>
    </w:p>
    <w:p w14:paraId="0FD0DFCB" w14:textId="77777777" w:rsidR="008D5774" w:rsidRPr="00206556" w:rsidRDefault="008D5774" w:rsidP="008D5774">
      <w:pPr>
        <w:spacing w:after="0" w:line="276" w:lineRule="auto"/>
        <w:jc w:val="both"/>
        <w:rPr>
          <w:rFonts w:ascii="Verdana" w:eastAsia="Century Gothic" w:hAnsi="Verdana" w:cs="Century Gothic"/>
          <w:color w:val="ED7D31" w:themeColor="accent2"/>
        </w:rPr>
      </w:pPr>
    </w:p>
    <w:p w14:paraId="5B26199B" w14:textId="77777777" w:rsidR="008D5774" w:rsidRPr="00206556" w:rsidRDefault="008D5774" w:rsidP="008D5774">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p>
    <w:p w14:paraId="3CFFB6C2"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510BC" w:rsidRPr="00206556" w14:paraId="098CF388" w14:textId="77777777" w:rsidTr="00AD17AD">
        <w:tc>
          <w:tcPr>
            <w:tcW w:w="8828" w:type="dxa"/>
          </w:tcPr>
          <w:p w14:paraId="3912F2A4" w14:textId="77777777" w:rsidR="005510BC" w:rsidRPr="00073658" w:rsidRDefault="005510BC" w:rsidP="00AD17AD">
            <w:pPr>
              <w:spacing w:before="120" w:after="120" w:line="276" w:lineRule="auto"/>
              <w:jc w:val="both"/>
              <w:rPr>
                <w:rFonts w:ascii="Verdana" w:eastAsia="Calibri" w:hAnsi="Verdana" w:cs="Arial"/>
              </w:rPr>
            </w:pPr>
            <w:r>
              <w:rPr>
                <w:rFonts w:ascii="Verdana" w:eastAsia="Calibri" w:hAnsi="Verdana" w:cs="Arial"/>
              </w:rPr>
              <w:t>En atención al problema jurídico planteado y respecto al alcance de</w:t>
            </w:r>
            <w:r w:rsidRPr="00E54F30">
              <w:rPr>
                <w:rFonts w:ascii="Verdana" w:eastAsia="Calibri" w:hAnsi="Verdana" w:cs="Arial"/>
              </w:rPr>
              <w:t>l Decreto 0287 de 2026</w:t>
            </w:r>
            <w:r>
              <w:rPr>
                <w:rFonts w:ascii="Verdana" w:eastAsia="Calibri" w:hAnsi="Verdana" w:cs="Arial"/>
              </w:rPr>
              <w:t>, es necesario indicar que este</w:t>
            </w:r>
            <w:r w:rsidRPr="00E54F30">
              <w:rPr>
                <w:rFonts w:ascii="Verdana" w:eastAsia="Calibri" w:hAnsi="Verdana" w:cs="Arial"/>
              </w:rPr>
              <w:t xml:space="preserve"> reglamenta </w:t>
            </w:r>
            <w:r>
              <w:rPr>
                <w:rFonts w:ascii="Verdana" w:eastAsia="Calibri" w:hAnsi="Verdana" w:cs="Arial"/>
              </w:rPr>
              <w:t>los numerales 1, 7 y 8</w:t>
            </w:r>
            <w:r w:rsidRPr="00E54F30">
              <w:rPr>
                <w:rFonts w:ascii="Verdana" w:eastAsia="Calibri" w:hAnsi="Verdana" w:cs="Arial"/>
              </w:rPr>
              <w:t xml:space="preserve"> </w:t>
            </w:r>
            <w:r>
              <w:rPr>
                <w:rFonts w:ascii="Verdana" w:eastAsia="Calibri" w:hAnsi="Verdana" w:cs="Arial"/>
              </w:rPr>
              <w:t>d</w:t>
            </w:r>
            <w:r w:rsidRPr="00E54F30">
              <w:rPr>
                <w:rFonts w:ascii="Verdana" w:eastAsia="Calibri" w:hAnsi="Verdana" w:cs="Arial"/>
              </w:rPr>
              <w:t xml:space="preserve">el artículo 13 de la Ley 1618 de 2013, acción que fue ordenada por el Consejo de Estado, Sección Quinta de la Sala de lo Contencioso Administrativo, mediante sentencia de acción de cumplimiento del 12 de diciembre de 2024, radicación </w:t>
            </w:r>
            <w:proofErr w:type="spellStart"/>
            <w:r>
              <w:rPr>
                <w:rFonts w:ascii="Verdana" w:eastAsia="Calibri" w:hAnsi="Verdana" w:cs="Arial"/>
              </w:rPr>
              <w:t>N</w:t>
            </w:r>
            <w:r w:rsidRPr="00E54F30">
              <w:rPr>
                <w:rFonts w:ascii="Verdana" w:eastAsia="Calibri" w:hAnsi="Verdana" w:cs="Arial"/>
              </w:rPr>
              <w:t>.°</w:t>
            </w:r>
            <w:proofErr w:type="spellEnd"/>
            <w:r>
              <w:rPr>
                <w:rFonts w:ascii="Verdana" w:eastAsia="Calibri" w:hAnsi="Verdana" w:cs="Arial"/>
              </w:rPr>
              <w:t xml:space="preserve"> </w:t>
            </w:r>
            <w:r w:rsidRPr="00E54F30">
              <w:rPr>
                <w:rFonts w:ascii="Verdana" w:eastAsia="Calibri" w:hAnsi="Verdana" w:cs="Arial"/>
              </w:rPr>
              <w:t>05001-23-33-000-2024-00847-01, con ponencia del magistrado Omar Joaquín Barreto Suárez</w:t>
            </w:r>
            <w:r w:rsidRPr="00206556">
              <w:rPr>
                <w:rFonts w:ascii="Verdana" w:eastAsia="Calibri" w:hAnsi="Verdana" w:cs="Arial"/>
              </w:rPr>
              <w:t>,</w:t>
            </w:r>
            <w:r w:rsidRPr="00073658">
              <w:rPr>
                <w:rFonts w:ascii="Verdana" w:eastAsia="Calibri" w:hAnsi="Verdana" w:cs="Arial"/>
              </w:rPr>
              <w:t xml:space="preserve">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w:t>
            </w:r>
            <w:proofErr w:type="spellStart"/>
            <w:r w:rsidRPr="00073658">
              <w:rPr>
                <w:rFonts w:ascii="Verdana" w:eastAsia="Calibri" w:hAnsi="Verdana" w:cs="Arial"/>
              </w:rPr>
              <w:t>PcD</w:t>
            </w:r>
            <w:proofErr w:type="spellEnd"/>
            <w:r w:rsidRPr="00073658">
              <w:rPr>
                <w:rFonts w:ascii="Verdana" w:eastAsia="Calibri" w:hAnsi="Verdana" w:cs="Arial"/>
              </w:rPr>
              <w:t xml:space="preserve">) en contratos de prestación de servicios. A estas medidas se suma, de manera transversal e </w:t>
            </w:r>
            <w:r w:rsidRPr="00073658">
              <w:rPr>
                <w:rFonts w:ascii="Verdana" w:eastAsia="Calibri" w:hAnsi="Verdana" w:cs="Arial"/>
              </w:rPr>
              <w:lastRenderedPageBreak/>
              <w:t>independiente de las anteriores, la obligación de compras públicas accesibles, cuya aplicación recae sobre todos los entes del Estado con independencia de su régimen de contratación y en todas las modalidades de selección, incluida la contratación directa</w:t>
            </w:r>
            <w:r>
              <w:rPr>
                <w:rFonts w:ascii="Verdana" w:eastAsia="Calibri" w:hAnsi="Verdana" w:cs="Arial"/>
              </w:rPr>
              <w:t>, irradiando la fase de planeación ya que es allí donde la compra debe plantearse con criterios de accesibilidad</w:t>
            </w:r>
            <w:r w:rsidRPr="00073658">
              <w:rPr>
                <w:rFonts w:ascii="Verdana" w:eastAsia="Calibri" w:hAnsi="Verdana" w:cs="Arial"/>
              </w:rPr>
              <w:t>.</w:t>
            </w:r>
          </w:p>
          <w:p w14:paraId="26F33FF7" w14:textId="77777777" w:rsidR="005510BC" w:rsidRPr="00073658" w:rsidRDefault="005510BC" w:rsidP="00AD17AD">
            <w:pPr>
              <w:spacing w:before="120" w:after="120" w:line="276" w:lineRule="auto"/>
              <w:ind w:firstLine="709"/>
              <w:jc w:val="both"/>
              <w:rPr>
                <w:rFonts w:ascii="Verdana" w:eastAsia="Calibri" w:hAnsi="Verdana" w:cs="Arial"/>
              </w:rPr>
            </w:pPr>
            <w:r w:rsidRPr="00073658">
              <w:rPr>
                <w:rFonts w:ascii="Verdana" w:eastAsia="Calibri" w:hAnsi="Verdana" w:cs="Arial"/>
              </w:rPr>
              <w:t xml:space="preserve">El sistema beneficia a dos sujetos diferenciados cuyas medidas no son idénticas ni intercambiables. El primer sujeto son los emprendimientos y empresas de </w:t>
            </w:r>
            <w:proofErr w:type="spellStart"/>
            <w:r w:rsidRPr="00073658">
              <w:rPr>
                <w:rFonts w:ascii="Verdana" w:eastAsia="Calibri" w:hAnsi="Verdana" w:cs="Arial"/>
              </w:rPr>
              <w:t>PcD</w:t>
            </w:r>
            <w:proofErr w:type="spellEnd"/>
            <w:r w:rsidRPr="00073658">
              <w:rPr>
                <w:rFonts w:ascii="Verdana" w:eastAsia="Calibri" w:hAnsi="Verdana" w:cs="Arial"/>
              </w:rPr>
              <w:t xml:space="preserve">, definidos en el artículo 2.2.1.2.4.2.6. del Decreto 1082 de 2015 (modificado) según cuatro categorías: personas naturales con discapacidad que ejerzan una profesión liberal; personas naturales con discapacidad que realicen actividades comerciales a través de establecimiento de comercio con al menos un año de antigüedad; personas jurídicas en las que más del 50% de las acciones o cuotas pertenezcan a </w:t>
            </w:r>
            <w:proofErr w:type="spellStart"/>
            <w:r w:rsidRPr="00073658">
              <w:rPr>
                <w:rFonts w:ascii="Verdana" w:eastAsia="Calibri" w:hAnsi="Verdana" w:cs="Arial"/>
              </w:rPr>
              <w:t>PcD</w:t>
            </w:r>
            <w:proofErr w:type="spellEnd"/>
            <w:r w:rsidRPr="00073658">
              <w:rPr>
                <w:rFonts w:ascii="Verdana" w:eastAsia="Calibri" w:hAnsi="Verdana" w:cs="Arial"/>
              </w:rPr>
              <w:t xml:space="preserve"> por al menos un año; y personas jurídicas con al menos una </w:t>
            </w:r>
            <w:proofErr w:type="spellStart"/>
            <w:r w:rsidRPr="00073658">
              <w:rPr>
                <w:rFonts w:ascii="Verdana" w:eastAsia="Calibri" w:hAnsi="Verdana" w:cs="Arial"/>
              </w:rPr>
              <w:t>PcD</w:t>
            </w:r>
            <w:proofErr w:type="spellEnd"/>
            <w:r w:rsidRPr="00073658">
              <w:rPr>
                <w:rFonts w:ascii="Verdana" w:eastAsia="Calibri" w:hAnsi="Verdana" w:cs="Arial"/>
              </w:rPr>
              <w:t xml:space="preserve"> vinculada laboralmente en un cargo de nivel directivo por al menos un año. El segundo sujeto son los empleadores de </w:t>
            </w:r>
            <w:proofErr w:type="spellStart"/>
            <w:r w:rsidRPr="00073658">
              <w:rPr>
                <w:rFonts w:ascii="Verdana" w:eastAsia="Calibri" w:hAnsi="Verdana" w:cs="Arial"/>
              </w:rPr>
              <w:t>PcD</w:t>
            </w:r>
            <w:proofErr w:type="spellEnd"/>
            <w:r w:rsidRPr="00073658">
              <w:rPr>
                <w:rFonts w:ascii="Verdana" w:eastAsia="Calibri" w:hAnsi="Verdana" w:cs="Arial"/>
              </w:rPr>
              <w:t>,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5CE9BE05" w14:textId="77777777" w:rsidR="005510BC"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Respecto de las medidas del sistema, una de estas es e</w:t>
            </w:r>
            <w:r w:rsidRPr="00073658">
              <w:rPr>
                <w:rFonts w:ascii="Verdana" w:eastAsia="Calibri" w:hAnsi="Verdana" w:cs="Arial"/>
              </w:rPr>
              <w:t>l puntaje adicional del dos por ciento (2%)</w:t>
            </w:r>
            <w:r>
              <w:rPr>
                <w:rFonts w:ascii="Verdana" w:eastAsia="Calibri" w:hAnsi="Verdana" w:cs="Arial"/>
              </w:rPr>
              <w:t>, el cual</w:t>
            </w:r>
            <w:r w:rsidRPr="00073658">
              <w:rPr>
                <w:rFonts w:ascii="Verdana" w:eastAsia="Calibri" w:hAnsi="Verdana" w:cs="Arial"/>
              </w:rPr>
              <w:t xml:space="preserve"> es único, total </w:t>
            </w:r>
            <w:r w:rsidRPr="00206556">
              <w:rPr>
                <w:rFonts w:ascii="Verdana" w:eastAsia="Calibri" w:hAnsi="Verdana" w:cs="Arial"/>
              </w:rPr>
              <w:t>y no acumulable</w:t>
            </w:r>
            <w:r w:rsidRPr="00073658">
              <w:rPr>
                <w:rFonts w:ascii="Verdana" w:eastAsia="Calibri" w:hAnsi="Verdana" w:cs="Arial"/>
              </w:rPr>
              <w:t xml:space="preserve">. El artículo 2.2.1.2.4.2.7.4. del Decreto 0287 de 2026 es explícito al disponer que, aunque el proponente acredite simultáneamente ser emprendimiento o empresa de </w:t>
            </w:r>
            <w:proofErr w:type="spellStart"/>
            <w:r w:rsidRPr="00073658">
              <w:rPr>
                <w:rFonts w:ascii="Verdana" w:eastAsia="Calibri" w:hAnsi="Verdana" w:cs="Arial"/>
              </w:rPr>
              <w:t>PcD</w:t>
            </w:r>
            <w:proofErr w:type="spellEnd"/>
            <w:r w:rsidRPr="00073658">
              <w:rPr>
                <w:rFonts w:ascii="Verdana" w:eastAsia="Calibri" w:hAnsi="Verdana" w:cs="Arial"/>
              </w:rPr>
              <w:t xml:space="preserve"> y ser empleador de </w:t>
            </w:r>
            <w:proofErr w:type="spellStart"/>
            <w:r w:rsidRPr="00073658">
              <w:rPr>
                <w:rFonts w:ascii="Verdana" w:eastAsia="Calibri" w:hAnsi="Verdana" w:cs="Arial"/>
              </w:rPr>
              <w:t>PcD</w:t>
            </w:r>
            <w:proofErr w:type="spellEnd"/>
            <w:r w:rsidRPr="00073658">
              <w:rPr>
                <w:rFonts w:ascii="Verdana" w:eastAsia="Calibri" w:hAnsi="Verdana" w:cs="Arial"/>
              </w:rPr>
              <w:t>, el puntaje máximo a otorgar por este criterio es siempre el 2% del total de los puntos del pliego, sin que las condiciones acreditadas sean sumables para efectos de la evaluación de la oferta</w:t>
            </w:r>
            <w:r>
              <w:rPr>
                <w:rFonts w:ascii="Verdana" w:eastAsia="Calibri" w:hAnsi="Verdana" w:cs="Arial"/>
              </w:rPr>
              <w:t>, y tampoco es posible disminuir ese porcentaje de puntos ya que siempre será el 2% como lo establece el decreto</w:t>
            </w:r>
            <w:r w:rsidRPr="00073658">
              <w:rPr>
                <w:rFonts w:ascii="Verdana" w:eastAsia="Calibri" w:hAnsi="Verdana" w:cs="Arial"/>
              </w:rPr>
              <w:t xml:space="preserve">. Este puntaje aplica únicamente en entidades regidas por </w:t>
            </w:r>
            <w:r>
              <w:rPr>
                <w:rFonts w:ascii="Verdana" w:eastAsia="Calibri" w:hAnsi="Verdana" w:cs="Arial"/>
              </w:rPr>
              <w:t xml:space="preserve">el </w:t>
            </w:r>
            <w:r>
              <w:rPr>
                <w:rFonts w:ascii="Verdana" w:hAnsi="Verdana"/>
              </w:rPr>
              <w:t>Estatuto General de Contratación Pública</w:t>
            </w:r>
            <w:r w:rsidRPr="00073658">
              <w:rPr>
                <w:rFonts w:ascii="Verdana" w:eastAsia="Calibri" w:hAnsi="Verdana" w:cs="Arial"/>
              </w:rPr>
              <w:t>, en las modalidades de licitación pública y concurso de méritos; no aplica en régimen especial, ni en selección abreviada, mínima cuantía ni contratación directa</w:t>
            </w:r>
            <w:r>
              <w:rPr>
                <w:rFonts w:ascii="Verdana" w:eastAsia="Calibri" w:hAnsi="Verdana" w:cs="Arial"/>
              </w:rPr>
              <w:t>.</w:t>
            </w:r>
          </w:p>
          <w:p w14:paraId="0E2BB71D" w14:textId="77777777" w:rsidR="005510BC" w:rsidRPr="00A97194"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lastRenderedPageBreak/>
              <w:t xml:space="preserve">La aplicación del puntaje para proponentes plurales </w:t>
            </w:r>
            <w:r w:rsidRPr="00A97194">
              <w:rPr>
                <w:rFonts w:ascii="Verdana" w:eastAsia="Calibri" w:hAnsi="Verdana" w:cs="Arial"/>
              </w:rPr>
              <w:t xml:space="preserve">respecto de los empleadores de </w:t>
            </w:r>
            <w:proofErr w:type="spellStart"/>
            <w:r w:rsidRPr="00A97194">
              <w:rPr>
                <w:rFonts w:ascii="Verdana" w:eastAsia="Calibri" w:hAnsi="Verdana" w:cs="Arial"/>
              </w:rPr>
              <w:t>PcD</w:t>
            </w:r>
            <w:proofErr w:type="spellEnd"/>
            <w:r w:rsidRPr="00A97194">
              <w:rPr>
                <w:rFonts w:ascii="Verdana" w:eastAsia="Calibri" w:hAnsi="Verdana" w:cs="Arial"/>
              </w:rPr>
              <w:t xml:space="preserve"> no exige un mínimo de experiencia sino una participación mayoritaria en el proponente plural, y a ese miembro será al que se le revise su planta de personal con el fin de determinar si cumple con el número mínimo de </w:t>
            </w:r>
            <w:proofErr w:type="spellStart"/>
            <w:r w:rsidRPr="00A97194">
              <w:rPr>
                <w:rFonts w:ascii="Verdana" w:eastAsia="Calibri" w:hAnsi="Verdana" w:cs="Arial"/>
              </w:rPr>
              <w:t>PcD</w:t>
            </w:r>
            <w:proofErr w:type="spellEnd"/>
            <w:r w:rsidRPr="00A97194">
              <w:rPr>
                <w:rFonts w:ascii="Verdana" w:eastAsia="Calibri" w:hAnsi="Verdana" w:cs="Arial"/>
              </w:rPr>
              <w:t xml:space="preserve"> contratadas para acceder al puntaje. </w:t>
            </w:r>
          </w:p>
          <w:p w14:paraId="3E1C7939" w14:textId="77777777" w:rsidR="005510BC" w:rsidRPr="00073658" w:rsidRDefault="005510BC" w:rsidP="00AD17AD">
            <w:pPr>
              <w:spacing w:before="120" w:after="120" w:line="276" w:lineRule="auto"/>
              <w:ind w:firstLine="709"/>
              <w:jc w:val="both"/>
              <w:rPr>
                <w:rFonts w:ascii="Verdana" w:eastAsia="Calibri" w:hAnsi="Verdana" w:cs="Arial"/>
              </w:rPr>
            </w:pPr>
            <w:r w:rsidRPr="00A97194">
              <w:rPr>
                <w:rFonts w:ascii="Verdana" w:eastAsia="Calibri" w:hAnsi="Verdana" w:cs="Arial"/>
              </w:rPr>
              <w:t xml:space="preserve">No obstante, para emprendimientos y empresas </w:t>
            </w:r>
            <w:proofErr w:type="spellStart"/>
            <w:r w:rsidRPr="00A97194">
              <w:rPr>
                <w:rFonts w:ascii="Verdana" w:eastAsia="Calibri" w:hAnsi="Verdana" w:cs="Arial"/>
              </w:rPr>
              <w:t>PcD</w:t>
            </w:r>
            <w:proofErr w:type="spellEnd"/>
            <w:r w:rsidRPr="00A97194">
              <w:rPr>
                <w:rFonts w:ascii="Verdana" w:eastAsia="Calibri" w:hAnsi="Verdana" w:cs="Arial"/>
              </w:rPr>
              <w:t xml:space="preserve"> es necesario hacer una remisión al artículo 2.2.1.2.4.2.7.3 puesto que cuando el proponente plural tenga a este sujeto como miembro, la participación a exigir no es una participación mayoritaria sino una participación no inferior al 10% y en la misma proporción de su participación debe aportar su experiencia. De esta manera, si el proponente plural tiene como miembro a empleadores de </w:t>
            </w:r>
            <w:proofErr w:type="spellStart"/>
            <w:r w:rsidRPr="00A97194">
              <w:rPr>
                <w:rFonts w:ascii="Verdana" w:eastAsia="Calibri" w:hAnsi="Verdana" w:cs="Arial"/>
              </w:rPr>
              <w:t>PcD</w:t>
            </w:r>
            <w:proofErr w:type="spellEnd"/>
            <w:r w:rsidRPr="00A97194">
              <w:rPr>
                <w:rFonts w:ascii="Verdana" w:eastAsia="Calibri" w:hAnsi="Verdana" w:cs="Arial"/>
              </w:rPr>
              <w:t xml:space="preserve">, para obtener el puntaje este debe tener una mayor participación en el proponente plural sin que se requiera aporte de experiencia; pero cuando se trata de emprendimientos o empresas de </w:t>
            </w:r>
            <w:proofErr w:type="spellStart"/>
            <w:r w:rsidRPr="00A97194">
              <w:rPr>
                <w:rFonts w:ascii="Verdana" w:eastAsia="Calibri" w:hAnsi="Verdana" w:cs="Arial"/>
              </w:rPr>
              <w:t>PcD</w:t>
            </w:r>
            <w:proofErr w:type="spellEnd"/>
            <w:r w:rsidRPr="00A97194">
              <w:rPr>
                <w:rFonts w:ascii="Verdana" w:eastAsia="Calibri" w:hAnsi="Verdana" w:cs="Arial"/>
              </w:rPr>
              <w:t>, si se exige un mínimo de participación de estos en el proponente plural, que es el 10% y en la misma proporción se debe aportar experiencia, por lo que no se exige que tengan participación mayoritaria.</w:t>
            </w:r>
          </w:p>
          <w:p w14:paraId="6563678E" w14:textId="77777777" w:rsidR="005510BC"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Ahora bien, la documentación para la acreditación de las condiciones bajo las cuales se otorga </w:t>
            </w:r>
            <w:r w:rsidRPr="00073658">
              <w:rPr>
                <w:rFonts w:ascii="Verdana" w:eastAsia="Calibri" w:hAnsi="Verdana" w:cs="Arial"/>
              </w:rPr>
              <w:t>el puntaje</w:t>
            </w:r>
            <w:r>
              <w:rPr>
                <w:rFonts w:ascii="Verdana" w:eastAsia="Calibri" w:hAnsi="Verdana" w:cs="Arial"/>
              </w:rPr>
              <w:t xml:space="preserve"> depende del sujeto de que se trate,</w:t>
            </w:r>
            <w:r w:rsidRPr="00073658">
              <w:rPr>
                <w:rFonts w:ascii="Verdana" w:eastAsia="Calibri" w:hAnsi="Verdana" w:cs="Arial"/>
              </w:rPr>
              <w:t xml:space="preserve"> en la condición de empleador de </w:t>
            </w:r>
            <w:proofErr w:type="spellStart"/>
            <w:r w:rsidRPr="00073658">
              <w:rPr>
                <w:rFonts w:ascii="Verdana" w:eastAsia="Calibri" w:hAnsi="Verdana" w:cs="Arial"/>
              </w:rPr>
              <w:t>PcD</w:t>
            </w:r>
            <w:proofErr w:type="spellEnd"/>
            <w:r>
              <w:rPr>
                <w:rFonts w:ascii="Verdana" w:eastAsia="Calibri" w:hAnsi="Verdana" w:cs="Arial"/>
              </w:rPr>
              <w:t>, los documentos están dispuestos en el artículo 2.2.1.2.4.2.7.4, el cual</w:t>
            </w:r>
            <w:r w:rsidRPr="00073658">
              <w:rPr>
                <w:rFonts w:ascii="Verdana" w:eastAsia="Calibri" w:hAnsi="Verdana" w:cs="Arial"/>
              </w:rPr>
              <w:t xml:space="preserve"> exige, entre otros documentos, los certificados de aportes a seguridad social de los tres (3) meses anteriores a la presentación de la oferta respecto de cada </w:t>
            </w:r>
            <w:proofErr w:type="spellStart"/>
            <w:r w:rsidRPr="00073658">
              <w:rPr>
                <w:rFonts w:ascii="Verdana" w:eastAsia="Calibri" w:hAnsi="Verdana" w:cs="Arial"/>
              </w:rPr>
              <w:t>PcD</w:t>
            </w:r>
            <w:proofErr w:type="spellEnd"/>
            <w:r w:rsidRPr="00073658">
              <w:rPr>
                <w:rFonts w:ascii="Verdana" w:eastAsia="Calibri" w:hAnsi="Verdana" w:cs="Arial"/>
              </w:rPr>
              <w:t xml:space="preserve">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w:t>
            </w:r>
            <w:proofErr w:type="spellStart"/>
            <w:r w:rsidRPr="00073658">
              <w:rPr>
                <w:rFonts w:ascii="Verdana" w:eastAsia="Calibri" w:hAnsi="Verdana" w:cs="Arial"/>
              </w:rPr>
              <w:t>PcD</w:t>
            </w:r>
            <w:proofErr w:type="spellEnd"/>
            <w:r w:rsidRPr="00073658">
              <w:rPr>
                <w:rFonts w:ascii="Verdana" w:eastAsia="Calibri" w:hAnsi="Verdana" w:cs="Arial"/>
              </w:rPr>
              <w:t xml:space="preserve"> cuyas planillas no alcancen ese período, pudiendo el proponente acreditar el puntaje con base en las </w:t>
            </w:r>
            <w:proofErr w:type="spellStart"/>
            <w:r w:rsidRPr="00073658">
              <w:rPr>
                <w:rFonts w:ascii="Verdana" w:eastAsia="Calibri" w:hAnsi="Verdana" w:cs="Arial"/>
              </w:rPr>
              <w:t>PcD</w:t>
            </w:r>
            <w:proofErr w:type="spellEnd"/>
            <w:r w:rsidRPr="00073658">
              <w:rPr>
                <w:rFonts w:ascii="Verdana" w:eastAsia="Calibri" w:hAnsi="Verdana" w:cs="Arial"/>
              </w:rPr>
              <w:t xml:space="preserve"> que sí cumplen el requisito temporal y participar en el proceso sin el puntaje en caso de no alcanzar ninguna.</w:t>
            </w:r>
            <w:r>
              <w:rPr>
                <w:rFonts w:ascii="Verdana" w:eastAsia="Calibri" w:hAnsi="Verdana" w:cs="Arial"/>
              </w:rPr>
              <w:t xml:space="preserve"> El término de tres (3) </w:t>
            </w:r>
            <w:proofErr w:type="gramStart"/>
            <w:r>
              <w:rPr>
                <w:rFonts w:ascii="Verdana" w:eastAsia="Calibri" w:hAnsi="Verdana" w:cs="Arial"/>
              </w:rPr>
              <w:t>meses aquí mencionado</w:t>
            </w:r>
            <w:proofErr w:type="gramEnd"/>
            <w:r>
              <w:rPr>
                <w:rFonts w:ascii="Verdana" w:eastAsia="Calibri" w:hAnsi="Verdana" w:cs="Arial"/>
              </w:rPr>
              <w:t xml:space="preserve"> es diferente al término de un (1) año mencionado en el artículo 2.2.1.2.4.2.6 respecto de los emprendimientos y empresas de </w:t>
            </w:r>
            <w:proofErr w:type="spellStart"/>
            <w:r>
              <w:rPr>
                <w:rFonts w:ascii="Verdana" w:eastAsia="Calibri" w:hAnsi="Verdana" w:cs="Arial"/>
              </w:rPr>
              <w:t>PcD</w:t>
            </w:r>
            <w:proofErr w:type="spellEnd"/>
            <w:r>
              <w:rPr>
                <w:rFonts w:ascii="Verdana" w:eastAsia="Calibri" w:hAnsi="Verdana" w:cs="Arial"/>
              </w:rPr>
              <w:t>.</w:t>
            </w:r>
          </w:p>
          <w:p w14:paraId="3188A959" w14:textId="77777777" w:rsidR="005510BC" w:rsidRDefault="005510BC" w:rsidP="00AD17AD">
            <w:pPr>
              <w:spacing w:before="120" w:after="120" w:line="276" w:lineRule="auto"/>
              <w:ind w:firstLine="709"/>
              <w:jc w:val="both"/>
              <w:rPr>
                <w:rFonts w:ascii="Verdana" w:eastAsia="Times New Roman" w:hAnsi="Verdana" w:cs="Times New Roman"/>
              </w:rPr>
            </w:pPr>
            <w:r w:rsidRPr="00502309">
              <w:rPr>
                <w:rFonts w:ascii="Verdana" w:eastAsia="Times New Roman" w:hAnsi="Verdana" w:cs="Times New Roman"/>
              </w:rPr>
              <w:t xml:space="preserve">Para efectos de determinar el número mínimo de </w:t>
            </w:r>
            <w:proofErr w:type="spellStart"/>
            <w:r w:rsidRPr="00502309">
              <w:rPr>
                <w:rFonts w:ascii="Verdana" w:eastAsia="Times New Roman" w:hAnsi="Verdana" w:cs="Times New Roman"/>
              </w:rPr>
              <w:t>PcD</w:t>
            </w:r>
            <w:proofErr w:type="spellEnd"/>
            <w:r w:rsidRPr="00502309">
              <w:rPr>
                <w:rFonts w:ascii="Verdana" w:eastAsia="Times New Roman" w:hAnsi="Verdana" w:cs="Times New Roman"/>
              </w:rPr>
              <w:t xml:space="preserve"> que el proponente debe tener vinculadas en su planta de personal para acceder al puntaje, el </w:t>
            </w:r>
            <w:r w:rsidRPr="00502309">
              <w:rPr>
                <w:rFonts w:ascii="Verdana" w:eastAsia="Times New Roman" w:hAnsi="Verdana" w:cs="Times New Roman"/>
              </w:rPr>
              <w:lastRenderedPageBreak/>
              <w:t xml:space="preserve">artículo 2.2.1.2.4.2.7.4. del Decreto 0287 de 2026 establece </w:t>
            </w:r>
            <w:r>
              <w:rPr>
                <w:rFonts w:ascii="Verdana" w:eastAsia="Times New Roman" w:hAnsi="Verdana" w:cs="Times New Roman"/>
              </w:rPr>
              <w:t>una</w:t>
            </w:r>
            <w:r w:rsidRPr="00502309">
              <w:rPr>
                <w:rFonts w:ascii="Verdana" w:eastAsia="Times New Roman" w:hAnsi="Verdana" w:cs="Times New Roman"/>
              </w:rPr>
              <w:t xml:space="preserve"> tabla, que ya incorpora los mínimos exigidos por la Ley 2466 de 2025 (Reforma Laboral), de modo que el puntaje solo se otorga a quien </w:t>
            </w:r>
            <w:r>
              <w:rPr>
                <w:rFonts w:ascii="Verdana" w:eastAsia="Times New Roman" w:hAnsi="Verdana" w:cs="Times New Roman"/>
              </w:rPr>
              <w:t xml:space="preserve">cumpla lo indicado en la tabla. La vinculación de </w:t>
            </w:r>
            <w:proofErr w:type="spellStart"/>
            <w:r>
              <w:rPr>
                <w:rFonts w:ascii="Verdana" w:eastAsia="Times New Roman" w:hAnsi="Verdana" w:cs="Times New Roman"/>
              </w:rPr>
              <w:t>PcD</w:t>
            </w:r>
            <w:proofErr w:type="spellEnd"/>
            <w:r>
              <w:rPr>
                <w:rFonts w:ascii="Verdana" w:eastAsia="Times New Roman" w:hAnsi="Verdana" w:cs="Times New Roman"/>
              </w:rPr>
              <w:t xml:space="preserve"> a las plantas de personal de posibles proveedores, debe ser a través de contrato laboral con dedicación exclusiva, cuya definición le corresponde al Ministerio del Trabajo. Por otra parte, los documentos para acreditar la otra condición que es ser emprendimiento o empresa de </w:t>
            </w:r>
            <w:proofErr w:type="spellStart"/>
            <w:r>
              <w:rPr>
                <w:rFonts w:ascii="Verdana" w:eastAsia="Times New Roman" w:hAnsi="Verdana" w:cs="Times New Roman"/>
              </w:rPr>
              <w:t>PcD</w:t>
            </w:r>
            <w:proofErr w:type="spellEnd"/>
            <w:r>
              <w:rPr>
                <w:rFonts w:ascii="Verdana" w:eastAsia="Times New Roman" w:hAnsi="Verdana" w:cs="Times New Roman"/>
              </w:rPr>
              <w:t xml:space="preserve"> son los indicados en el artículo 2.2.1.2.4.2.6 y no los del artículo </w:t>
            </w:r>
            <w:r w:rsidRPr="00502309">
              <w:rPr>
                <w:rFonts w:ascii="Verdana" w:eastAsia="Times New Roman" w:hAnsi="Verdana" w:cs="Times New Roman"/>
              </w:rPr>
              <w:t xml:space="preserve">2.2.1.2.4.2.7.4. </w:t>
            </w:r>
            <w:r>
              <w:rPr>
                <w:rFonts w:ascii="Verdana" w:eastAsia="Times New Roman" w:hAnsi="Verdana" w:cs="Times New Roman"/>
              </w:rPr>
              <w:t xml:space="preserve"> </w:t>
            </w:r>
          </w:p>
          <w:p w14:paraId="62D59159" w14:textId="77777777" w:rsidR="005510BC" w:rsidRDefault="005510BC" w:rsidP="00AD17AD">
            <w:pPr>
              <w:spacing w:after="120" w:line="276" w:lineRule="auto"/>
              <w:ind w:firstLine="709"/>
              <w:jc w:val="both"/>
              <w:rPr>
                <w:rFonts w:ascii="Verdana" w:eastAsia="Calibri" w:hAnsi="Verdana" w:cs="Arial"/>
              </w:rPr>
            </w:pPr>
            <w:r w:rsidRPr="00073658">
              <w:rPr>
                <w:rFonts w:ascii="Verdana" w:eastAsia="Calibri" w:hAnsi="Verdana" w:cs="Arial"/>
              </w:rPr>
              <w:t xml:space="preserve">El puntaje adicional del 2% es plenamente compatible con los incentivos para MiPymes y para empresas y emprendimientos de mujeres, pudiendo todos estos instrumentos aplicarse simultáneamente en el mismo proceso de contratación sin exclusión recíproca. Sin perjuicio de lo anterior, es necesario distinguirlo con precisión del criterio de desempate del artículo 35, numeral 3, de la Ley 2069 de 2020, que son instrumentos jurídicamente distintos: el puntaje del 2% beneficia a los dos sujetos del sistema y opera en la evaluación de propuestas antes de la adjudicación; el criterio de desempate beneficia exclusivamente a los empleadores de </w:t>
            </w:r>
            <w:proofErr w:type="spellStart"/>
            <w:r w:rsidRPr="00073658">
              <w:rPr>
                <w:rFonts w:ascii="Verdana" w:eastAsia="Calibri" w:hAnsi="Verdana" w:cs="Arial"/>
              </w:rPr>
              <w:t>PcD</w:t>
            </w:r>
            <w:proofErr w:type="spellEnd"/>
            <w:r w:rsidRPr="00206556">
              <w:rPr>
                <w:rFonts w:ascii="Verdana" w:eastAsia="Calibri" w:hAnsi="Verdana" w:cs="Arial"/>
              </w:rPr>
              <w:t xml:space="preserve">, </w:t>
            </w:r>
            <w:r w:rsidRPr="00073658">
              <w:rPr>
                <w:rFonts w:ascii="Verdana" w:eastAsia="Calibri" w:hAnsi="Verdana" w:cs="Arial"/>
              </w:rPr>
              <w:t xml:space="preserve">no a los emprendimientos y empresas de </w:t>
            </w:r>
            <w:proofErr w:type="spellStart"/>
            <w:r w:rsidRPr="00073658">
              <w:rPr>
                <w:rFonts w:ascii="Verdana" w:eastAsia="Calibri" w:hAnsi="Verdana" w:cs="Arial"/>
              </w:rPr>
              <w:t>PcD</w:t>
            </w:r>
            <w:proofErr w:type="spellEnd"/>
            <w:r w:rsidRPr="00073658">
              <w:rPr>
                <w:rFonts w:ascii="Verdana" w:eastAsia="Calibri" w:hAnsi="Verdana" w:cs="Arial"/>
              </w:rPr>
              <w:t xml:space="preserve">, </w:t>
            </w:r>
            <w:r w:rsidRPr="00206556">
              <w:rPr>
                <w:rFonts w:ascii="Verdana" w:eastAsia="Calibri" w:hAnsi="Verdana" w:cs="Arial"/>
              </w:rPr>
              <w:t xml:space="preserve">dicha norma </w:t>
            </w:r>
            <w:r w:rsidRPr="00073658">
              <w:rPr>
                <w:rFonts w:ascii="Verdana" w:eastAsia="Calibri" w:hAnsi="Verdana" w:cs="Arial"/>
              </w:rPr>
              <w:t>exige que al menos el 10% de la nómina esté en condición de discapacidad y opera únicamente cuando hay empate entre dos o más ofertas. El Decreto 0287 de 2026 no modificó el criterio de desempate de la Ley 2069 de 2020, que por ser norma de rango legal no puede ser alterada por decreto reglamentario, y la diferencia en las exigencias de vinculación entre los dos instrumentos responde precisamente a que son mecanismos distintos que no deben interpretarse extensivamente el uno respecto del otro.</w:t>
            </w:r>
          </w:p>
          <w:p w14:paraId="3635F141" w14:textId="77777777" w:rsidR="005510BC" w:rsidRDefault="005510BC" w:rsidP="00AD17AD">
            <w:pPr>
              <w:spacing w:after="120" w:line="276" w:lineRule="auto"/>
              <w:ind w:firstLine="709"/>
              <w:jc w:val="both"/>
              <w:rPr>
                <w:rFonts w:ascii="Verdana" w:eastAsia="Calibri" w:hAnsi="Verdana" w:cs="Arial"/>
              </w:rPr>
            </w:pPr>
            <w:r w:rsidRPr="00E55CFA">
              <w:rPr>
                <w:rFonts w:ascii="Verdana" w:eastAsia="Calibri" w:hAnsi="Verdana" w:cs="Arial"/>
              </w:rPr>
              <w:t>En cuanto a los documentos tipo, el artículo 2.2.1.2.4.2.7.8. del Decreto 0287 de 2026 dispone que Colombia Compra Eficiente garantizará la incorporación permanente de las medidas del sistema en los documentos tipo que genera. Mientras esa actualización no se produzca, el principio de inalterabilidad impide que las entidades los modifiquen unilateralmente para incorporar las medidas del decreto, incluida la obligación de compras públicas accesibles, dado que los estudios previos, el pliego de condiciones y el contrato deben guardar coherencia entre sí.</w:t>
            </w:r>
            <w:r>
              <w:rPr>
                <w:rFonts w:ascii="Verdana" w:eastAsia="Calibri" w:hAnsi="Verdana" w:cs="Arial"/>
              </w:rPr>
              <w:t xml:space="preserve"> </w:t>
            </w:r>
          </w:p>
          <w:p w14:paraId="4E750FFF" w14:textId="77777777" w:rsidR="005510BC" w:rsidRPr="0077201E" w:rsidRDefault="005510BC" w:rsidP="00AD17AD">
            <w:pPr>
              <w:spacing w:after="120" w:line="276" w:lineRule="auto"/>
              <w:ind w:firstLine="709"/>
              <w:jc w:val="both"/>
              <w:rPr>
                <w:rFonts w:ascii="Verdana" w:eastAsia="Calibri" w:hAnsi="Verdana" w:cs="Arial"/>
              </w:rPr>
            </w:pPr>
            <w:r>
              <w:rPr>
                <w:rFonts w:ascii="Verdana" w:eastAsia="Calibri" w:hAnsi="Verdana" w:cs="Arial"/>
              </w:rPr>
              <w:t>Sobre l</w:t>
            </w:r>
            <w:r w:rsidRPr="0077201E">
              <w:rPr>
                <w:rFonts w:ascii="Verdana" w:eastAsia="Calibri" w:hAnsi="Verdana" w:cs="Arial"/>
              </w:rPr>
              <w:t>os criterios habilitantes diferenciales</w:t>
            </w:r>
            <w:r>
              <w:rPr>
                <w:rFonts w:ascii="Verdana" w:eastAsia="Calibri" w:hAnsi="Verdana" w:cs="Arial"/>
              </w:rPr>
              <w:t>, estos</w:t>
            </w:r>
            <w:r w:rsidRPr="0077201E">
              <w:rPr>
                <w:rFonts w:ascii="Verdana" w:eastAsia="Calibri" w:hAnsi="Verdana" w:cs="Arial"/>
              </w:rPr>
              <w:t xml:space="preserve"> constituyen una obligación para las entidades contratantes en los procesos de licitación pública, </w:t>
            </w:r>
            <w:r w:rsidRPr="0077201E">
              <w:rPr>
                <w:rFonts w:ascii="Verdana" w:eastAsia="Calibri" w:hAnsi="Verdana" w:cs="Arial"/>
              </w:rPr>
              <w:lastRenderedPageBreak/>
              <w:t>selección abreviada y concurso de méritos, tanto bajo el régimen</w:t>
            </w:r>
            <w:r>
              <w:rPr>
                <w:rFonts w:ascii="Verdana" w:eastAsia="Calibri" w:hAnsi="Verdana" w:cs="Arial"/>
              </w:rPr>
              <w:t xml:space="preserve"> del</w:t>
            </w:r>
            <w:r w:rsidRPr="0077201E">
              <w:rPr>
                <w:rFonts w:ascii="Verdana" w:eastAsia="Calibri" w:hAnsi="Verdana" w:cs="Arial"/>
              </w:rPr>
              <w:t xml:space="preserve"> </w:t>
            </w:r>
            <w:r>
              <w:rPr>
                <w:rFonts w:ascii="Verdana" w:hAnsi="Verdana"/>
              </w:rPr>
              <w:t>Estatuto General de Contratación Pública</w:t>
            </w:r>
            <w:r w:rsidRPr="0077201E">
              <w:rPr>
                <w:rFonts w:ascii="Verdana" w:eastAsia="Calibri" w:hAnsi="Verdana" w:cs="Arial"/>
              </w:rPr>
              <w:t xml:space="preserve"> como en los procesos competitivos de entidades con régimen especial. Esta obligación consiste en establecer requisitos habilitantes ajustados o reducidos</w:t>
            </w:r>
            <w:r>
              <w:rPr>
                <w:rFonts w:ascii="Verdana" w:eastAsia="Calibri" w:hAnsi="Verdana" w:cs="Arial"/>
              </w:rPr>
              <w:t>, palabras que se deben entender en el mismo significado de diferencial,</w:t>
            </w:r>
            <w:r w:rsidRPr="0077201E">
              <w:rPr>
                <w:rFonts w:ascii="Verdana" w:eastAsia="Calibri" w:hAnsi="Verdana" w:cs="Arial"/>
              </w:rPr>
              <w:t xml:space="preserve"> en materia de experiencia, capacidad financiera, capacidad organizacional o valor de la garantía de seriedad de la oferta, con el propósito de facilitar la participación de emprendimientos y empresas de </w:t>
            </w:r>
            <w:proofErr w:type="spellStart"/>
            <w:r w:rsidRPr="0077201E">
              <w:rPr>
                <w:rFonts w:ascii="Verdana" w:eastAsia="Calibri" w:hAnsi="Verdana" w:cs="Arial"/>
              </w:rPr>
              <w:t>PcD</w:t>
            </w:r>
            <w:proofErr w:type="spellEnd"/>
            <w:r w:rsidRPr="0077201E">
              <w:rPr>
                <w:rFonts w:ascii="Verdana" w:eastAsia="Calibri" w:hAnsi="Verdana" w:cs="Arial"/>
              </w:rPr>
              <w:t xml:space="preserve"> con domicilio en el territorio nacional. La entidad contratante debe </w:t>
            </w:r>
            <w:r w:rsidRPr="00206556">
              <w:rPr>
                <w:rFonts w:ascii="Verdana" w:eastAsia="Calibri" w:hAnsi="Verdana" w:cs="Arial"/>
              </w:rPr>
              <w:t xml:space="preserve">flexibilizar </w:t>
            </w:r>
            <w:r w:rsidRPr="0077201E">
              <w:rPr>
                <w:rFonts w:ascii="Verdana" w:eastAsia="Calibri" w:hAnsi="Verdana" w:cs="Arial"/>
              </w:rPr>
              <w:t>la mayor cantidad posible de estos requisitos, de acuerdo con lo que resulte justificado en sus estudios y documentos previos para el proceso específico de que se trate, garantizando en todo caso que los requisitos ajustados sean suficientes para acreditar la idoneidad del proponente y asegurar el adecuado cumplimiento del objeto contractual. El límite de ese ajuste es el principio de proporcionalidad, que impide tanto requisitos tan exigentes que tornen nugatorio el beneficio como requisitos tan laxos que pongan en riesgo la ejecución del contrato.</w:t>
            </w:r>
          </w:p>
          <w:p w14:paraId="7BF38B1D" w14:textId="77777777" w:rsidR="005510BC" w:rsidRPr="00206556" w:rsidRDefault="005510BC" w:rsidP="00AD17AD">
            <w:pPr>
              <w:spacing w:before="120" w:after="120" w:line="276" w:lineRule="auto"/>
              <w:ind w:firstLine="709"/>
              <w:jc w:val="both"/>
              <w:rPr>
                <w:rFonts w:ascii="Verdana" w:eastAsia="Calibri" w:hAnsi="Verdana" w:cs="Arial"/>
              </w:rPr>
            </w:pPr>
            <w:r w:rsidRPr="0077201E">
              <w:rPr>
                <w:rFonts w:ascii="Verdana" w:eastAsia="Calibri" w:hAnsi="Verdana" w:cs="Arial"/>
              </w:rPr>
              <w:t>Estos criterios aplican exclusivamente para el primer sujeto del sistema</w:t>
            </w:r>
            <w:r w:rsidRPr="00206556">
              <w:rPr>
                <w:rFonts w:ascii="Verdana" w:eastAsia="Calibri" w:hAnsi="Verdana" w:cs="Arial"/>
              </w:rPr>
              <w:t xml:space="preserve">, es decir, </w:t>
            </w:r>
            <w:r w:rsidRPr="0077201E">
              <w:rPr>
                <w:rFonts w:ascii="Verdana" w:eastAsia="Calibri" w:hAnsi="Verdana" w:cs="Arial"/>
              </w:rPr>
              <w:t xml:space="preserve">los emprendimientos y empresas de </w:t>
            </w:r>
            <w:proofErr w:type="spellStart"/>
            <w:r w:rsidRPr="0077201E">
              <w:rPr>
                <w:rFonts w:ascii="Verdana" w:eastAsia="Calibri" w:hAnsi="Verdana" w:cs="Arial"/>
              </w:rPr>
              <w:t>PcD</w:t>
            </w:r>
            <w:proofErr w:type="spellEnd"/>
            <w:r w:rsidRPr="00206556">
              <w:rPr>
                <w:rFonts w:ascii="Verdana" w:eastAsia="Calibri" w:hAnsi="Verdana" w:cs="Arial"/>
              </w:rPr>
              <w:t>,</w:t>
            </w:r>
            <w:r w:rsidRPr="0077201E">
              <w:rPr>
                <w:rFonts w:ascii="Verdana" w:eastAsia="Calibri" w:hAnsi="Verdana" w:cs="Arial"/>
              </w:rPr>
              <w:t xml:space="preserve"> y no para los empleadores de </w:t>
            </w:r>
            <w:proofErr w:type="spellStart"/>
            <w:r w:rsidRPr="0077201E">
              <w:rPr>
                <w:rFonts w:ascii="Verdana" w:eastAsia="Calibri" w:hAnsi="Verdana" w:cs="Arial"/>
              </w:rPr>
              <w:t>PcD</w:t>
            </w:r>
            <w:proofErr w:type="spellEnd"/>
            <w:r w:rsidRPr="0077201E">
              <w:rPr>
                <w:rFonts w:ascii="Verdana" w:eastAsia="Calibri" w:hAnsi="Verdana" w:cs="Arial"/>
              </w:rPr>
              <w:t>. Esta medida no aplica en mínima cuantía ni en contratación directa. En tratándose de proponentes plurales, la medida opera cuando al menos uno de los integrantes del consorcio o unión temporal cumple las condiciones del artículo 2.2.1.2.4.2.6. del Decreto 1082 de 2015 (modificado), con una participación no inferior al 10% en el proponente plural y aportando la experiencia requerida en una proporción equivalente a su participación; de modo que</w:t>
            </w:r>
            <w:r w:rsidRPr="00206556">
              <w:rPr>
                <w:rFonts w:ascii="Verdana" w:eastAsia="Calibri" w:hAnsi="Verdana" w:cs="Arial"/>
              </w:rPr>
              <w:t>,</w:t>
            </w:r>
            <w:r w:rsidRPr="0077201E">
              <w:rPr>
                <w:rFonts w:ascii="Verdana" w:eastAsia="Calibri" w:hAnsi="Verdana" w:cs="Arial"/>
              </w:rPr>
              <w:t xml:space="preserve"> si ese integrante participa con el 15%, debe aportar al menos el 15% de la experiencia exigida en el pliego.</w:t>
            </w:r>
          </w:p>
          <w:p w14:paraId="492CE3CD" w14:textId="77777777" w:rsidR="005510BC" w:rsidRPr="00073658"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Referente a l</w:t>
            </w:r>
            <w:r w:rsidRPr="00073658">
              <w:rPr>
                <w:rFonts w:ascii="Verdana" w:eastAsia="Calibri" w:hAnsi="Verdana" w:cs="Arial"/>
              </w:rPr>
              <w:t>as condiciones especiales de ejecución</w:t>
            </w:r>
            <w:r w:rsidRPr="00206556">
              <w:rPr>
                <w:rFonts w:ascii="Verdana" w:eastAsia="Calibri" w:hAnsi="Verdana" w:cs="Arial"/>
              </w:rPr>
              <w:t xml:space="preserve">, </w:t>
            </w:r>
            <w:r w:rsidRPr="00073658">
              <w:rPr>
                <w:rFonts w:ascii="Verdana" w:eastAsia="Calibri" w:hAnsi="Verdana" w:cs="Arial"/>
              </w:rPr>
              <w:t>subcontratación inclusiva e integración del equipo de trabajo</w:t>
            </w:r>
            <w:r w:rsidRPr="00206556">
              <w:rPr>
                <w:rFonts w:ascii="Verdana" w:eastAsia="Calibri" w:hAnsi="Verdana" w:cs="Arial"/>
              </w:rPr>
              <w:t xml:space="preserve">, </w:t>
            </w:r>
            <w:r>
              <w:rPr>
                <w:rFonts w:ascii="Verdana" w:eastAsia="Calibri" w:hAnsi="Verdana" w:cs="Arial"/>
              </w:rPr>
              <w:t>es</w:t>
            </w:r>
            <w:r w:rsidRPr="00073658">
              <w:rPr>
                <w:rFonts w:ascii="Verdana" w:eastAsia="Calibri" w:hAnsi="Verdana" w:cs="Arial"/>
              </w:rPr>
              <w:t xml:space="preserve"> obligatori</w:t>
            </w:r>
            <w:r>
              <w:rPr>
                <w:rFonts w:ascii="Verdana" w:eastAsia="Calibri" w:hAnsi="Verdana" w:cs="Arial"/>
              </w:rPr>
              <w:t>o incluir al menos una,</w:t>
            </w:r>
            <w:r w:rsidRPr="00073658">
              <w:rPr>
                <w:rFonts w:ascii="Verdana" w:eastAsia="Calibri" w:hAnsi="Verdana" w:cs="Arial"/>
              </w:rPr>
              <w:t xml:space="preserve"> para las entidades regidas </w:t>
            </w:r>
            <w:r>
              <w:rPr>
                <w:rFonts w:ascii="Verdana" w:eastAsia="Calibri" w:hAnsi="Verdana" w:cs="Arial"/>
              </w:rPr>
              <w:t>por el Estatuto General de Contratación Pública</w:t>
            </w:r>
            <w:r w:rsidRPr="00073658">
              <w:rPr>
                <w:rFonts w:ascii="Verdana" w:eastAsia="Calibri" w:hAnsi="Verdana" w:cs="Arial"/>
              </w:rPr>
              <w:t xml:space="preserve"> en todas las modalidades de selección, incluida la contratación directa. Solo puede omitirse su inclusión cuando la entidad lo justifique expresamente en los estudios previos mediante argumentos objetivos que expliquen por qué, dadas las características del contrato específico, ninguna de las dos condiciones resulta aplicable o conveniente. Esta justificación no es una formalidad, sino una verdadera carga argumentativa a cargo de la entidad.</w:t>
            </w:r>
          </w:p>
          <w:p w14:paraId="5A2C0A82" w14:textId="77777777" w:rsidR="005510BC" w:rsidRPr="00073658"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lastRenderedPageBreak/>
              <w:t>Seguidamente, l</w:t>
            </w:r>
            <w:r w:rsidRPr="00073658">
              <w:rPr>
                <w:rFonts w:ascii="Verdana" w:eastAsia="Calibri" w:hAnsi="Verdana" w:cs="Arial"/>
              </w:rPr>
              <w:t xml:space="preserve">a contratación de </w:t>
            </w:r>
            <w:proofErr w:type="spellStart"/>
            <w:r w:rsidRPr="00073658">
              <w:rPr>
                <w:rFonts w:ascii="Verdana" w:eastAsia="Calibri" w:hAnsi="Verdana" w:cs="Arial"/>
              </w:rPr>
              <w:t>PcD</w:t>
            </w:r>
            <w:proofErr w:type="spellEnd"/>
            <w:r w:rsidRPr="00073658">
              <w:rPr>
                <w:rFonts w:ascii="Verdana" w:eastAsia="Calibri" w:hAnsi="Verdana" w:cs="Arial"/>
              </w:rPr>
              <w:t xml:space="preserve"> a través de contratos de prestación de servicios profesionales y/o de apoyo a la gestión es potestativa y no obligatoria. El artículo 2.2.1.2.4.2.7.6. del Decreto 0287 de 2026 utiliza el verbo "propenderán" para referirse a esta medida, lo que en técnica legislativa colombiana implica un mandato de medios y no de resultado, condicionado expresamente a la planeación institucional, la disponibilidad presupuestal y las necesidades del servicio. No obstante</w:t>
            </w:r>
            <w:r w:rsidRPr="00206556">
              <w:rPr>
                <w:rFonts w:ascii="Verdana" w:eastAsia="Calibri" w:hAnsi="Verdana" w:cs="Arial"/>
              </w:rPr>
              <w:t>,</w:t>
            </w:r>
            <w:r w:rsidRPr="00073658">
              <w:rPr>
                <w:rFonts w:ascii="Verdana" w:eastAsia="Calibri" w:hAnsi="Verdana" w:cs="Arial"/>
              </w:rPr>
              <w:t xml:space="preserve"> su carácter voluntario, esta medida tiene un sustento cuantitativo de enorme relevancia: en el año 2024 se celebraron 747.942 contratos de prestación de servicios por un valor de $16 billones de pesos, universo que representa una oportunidad concreta y progresiva de inclusión laboral de las </w:t>
            </w:r>
            <w:proofErr w:type="spellStart"/>
            <w:r w:rsidRPr="00073658">
              <w:rPr>
                <w:rFonts w:ascii="Verdana" w:eastAsia="Calibri" w:hAnsi="Verdana" w:cs="Arial"/>
              </w:rPr>
              <w:t>PcD</w:t>
            </w:r>
            <w:proofErr w:type="spellEnd"/>
            <w:r w:rsidRPr="00073658">
              <w:rPr>
                <w:rFonts w:ascii="Verdana" w:eastAsia="Calibri" w:hAnsi="Verdana" w:cs="Arial"/>
              </w:rPr>
              <w:t xml:space="preserve"> en el Estado.</w:t>
            </w:r>
          </w:p>
          <w:p w14:paraId="669C11AA" w14:textId="77777777" w:rsidR="005510BC"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Ahora, en cuanto a </w:t>
            </w:r>
            <w:r w:rsidRPr="00073658">
              <w:rPr>
                <w:rFonts w:ascii="Verdana" w:eastAsia="Calibri" w:hAnsi="Verdana" w:cs="Arial"/>
              </w:rPr>
              <w:t>la obligación de compras públicas accesibles</w:t>
            </w:r>
            <w:r>
              <w:rPr>
                <w:rFonts w:ascii="Verdana" w:eastAsia="Calibri" w:hAnsi="Verdana" w:cs="Arial"/>
              </w:rPr>
              <w:t>,</w:t>
            </w:r>
            <w:r w:rsidRPr="00073658">
              <w:rPr>
                <w:rFonts w:ascii="Verdana" w:eastAsia="Calibri" w:hAnsi="Verdana" w:cs="Arial"/>
              </w:rPr>
              <w:t xml:space="preserve"> </w:t>
            </w:r>
            <w:r>
              <w:rPr>
                <w:rFonts w:ascii="Verdana" w:eastAsia="Calibri" w:hAnsi="Verdana" w:cs="Arial"/>
              </w:rPr>
              <w:t>esta es</w:t>
            </w:r>
            <w:r w:rsidRPr="00073658">
              <w:rPr>
                <w:rFonts w:ascii="Verdana" w:eastAsia="Calibri" w:hAnsi="Verdana" w:cs="Arial"/>
              </w:rPr>
              <w:t xml:space="preserve"> transversal a todos los entes del Estado y aplica en todos los contratos en </w:t>
            </w:r>
            <w:r>
              <w:rPr>
                <w:rFonts w:ascii="Verdana" w:eastAsia="Calibri" w:hAnsi="Verdana" w:cs="Arial"/>
              </w:rPr>
              <w:t>los que se adquieran</w:t>
            </w:r>
            <w:r w:rsidRPr="00073658">
              <w:rPr>
                <w:rFonts w:ascii="Verdana" w:eastAsia="Calibri" w:hAnsi="Verdana" w:cs="Arial"/>
              </w:rPr>
              <w:t xml:space="preserve"> bien</w:t>
            </w:r>
            <w:r>
              <w:rPr>
                <w:rFonts w:ascii="Verdana" w:eastAsia="Calibri" w:hAnsi="Verdana" w:cs="Arial"/>
              </w:rPr>
              <w:t>es</w:t>
            </w:r>
            <w:r w:rsidRPr="00073658">
              <w:rPr>
                <w:rFonts w:ascii="Verdana" w:eastAsia="Calibri" w:hAnsi="Verdana" w:cs="Arial"/>
              </w:rPr>
              <w:t>, obra</w:t>
            </w:r>
            <w:r>
              <w:rPr>
                <w:rFonts w:ascii="Verdana" w:eastAsia="Calibri" w:hAnsi="Verdana" w:cs="Arial"/>
              </w:rPr>
              <w:t>s</w:t>
            </w:r>
            <w:r w:rsidRPr="00073658">
              <w:rPr>
                <w:rFonts w:ascii="Verdana" w:eastAsia="Calibri" w:hAnsi="Verdana" w:cs="Arial"/>
              </w:rPr>
              <w:t xml:space="preserve"> o servicio</w:t>
            </w:r>
            <w:r>
              <w:rPr>
                <w:rFonts w:ascii="Verdana" w:eastAsia="Calibri" w:hAnsi="Verdana" w:cs="Arial"/>
              </w:rPr>
              <w:t>s</w:t>
            </w:r>
            <w:r w:rsidRPr="00073658">
              <w:rPr>
                <w:rFonts w:ascii="Verdana" w:eastAsia="Calibri" w:hAnsi="Verdana" w:cs="Arial"/>
              </w:rPr>
              <w:t>. La inexistencia de normas técnicas, reglamentarias o legales aplicables al objeto del contrato no exonera a la entidad de esta obligación: ante esa circunstancia, el artículo 2.2.1.2.4.2.7.1. del Decreto 0287 de 2026 impone a la entidad el deber de elaborar una ficha técnica propia con criterios de accesibilidad determinados desde los estudios previos, teniendo en cuenta las siete categorías de discapacidad definidas por el Ministerio de Salud y Protección Social</w:t>
            </w:r>
            <w:r w:rsidRPr="00206556">
              <w:rPr>
                <w:rFonts w:ascii="Verdana" w:eastAsia="Calibri" w:hAnsi="Verdana" w:cs="Arial"/>
              </w:rPr>
              <w:t xml:space="preserve">, </w:t>
            </w:r>
            <w:r w:rsidRPr="00073658">
              <w:rPr>
                <w:rFonts w:ascii="Verdana" w:eastAsia="Calibri" w:hAnsi="Verdana" w:cs="Arial"/>
              </w:rPr>
              <w:t>visual, física, psicosocial (mental), auditiva, sordoceguera, intelectual y múltiple</w:t>
            </w:r>
            <w:r w:rsidRPr="00206556">
              <w:rPr>
                <w:rFonts w:ascii="Verdana" w:eastAsia="Calibri" w:hAnsi="Verdana" w:cs="Arial"/>
              </w:rPr>
              <w:t>,</w:t>
            </w:r>
            <w:r w:rsidRPr="00073658">
              <w:rPr>
                <w:rFonts w:ascii="Verdana" w:eastAsia="Calibri" w:hAnsi="Verdana" w:cs="Arial"/>
              </w:rPr>
              <w:t xml:space="preserve"> y los principios de accesibilidad universal, diseño universal y ajustes razonables consagrados en la Ley 1346 de 2009 y la Ley 1618 de 2013</w:t>
            </w:r>
            <w:r>
              <w:rPr>
                <w:rFonts w:ascii="Verdana" w:eastAsia="Calibri" w:hAnsi="Verdana" w:cs="Arial"/>
              </w:rPr>
              <w:t>.</w:t>
            </w:r>
          </w:p>
          <w:p w14:paraId="0C5E8AF1" w14:textId="77777777" w:rsidR="005510BC" w:rsidRDefault="005510BC" w:rsidP="00AD17AD">
            <w:pPr>
              <w:spacing w:before="120" w:after="120" w:line="276" w:lineRule="auto"/>
              <w:ind w:firstLine="709"/>
              <w:jc w:val="both"/>
              <w:rPr>
                <w:rFonts w:ascii="Verdana" w:eastAsia="Calibri" w:hAnsi="Verdana" w:cs="Arial"/>
              </w:rPr>
            </w:pPr>
            <w:r w:rsidRPr="00670CFB">
              <w:rPr>
                <w:rFonts w:ascii="Verdana" w:eastAsia="Calibri" w:hAnsi="Verdana" w:cs="Arial"/>
              </w:rPr>
              <w:t>Finalmente, en lo que concierne a las cinco medidas que componen el Sistema Integral de Preferencias y su forma de aplicación, estas operan de manera articulada a lo largo de todo el ciclo contractual: la primera, las herramientas de planeación, se activan antes de la apertura del proceso mediante ferias de negocios inclusivas, criterios sociales en los pliegos y división en lotes</w:t>
            </w:r>
            <w:r>
              <w:rPr>
                <w:rFonts w:ascii="Verdana" w:eastAsia="Calibri" w:hAnsi="Verdana" w:cs="Arial"/>
              </w:rPr>
              <w:t xml:space="preserve"> o segmentos</w:t>
            </w:r>
            <w:r w:rsidRPr="00670CFB">
              <w:rPr>
                <w:rFonts w:ascii="Verdana" w:eastAsia="Calibri" w:hAnsi="Verdana" w:cs="Arial"/>
              </w:rPr>
              <w:t xml:space="preserve">; la segunda, los criterios habilitantes diferenciales operan en la etapa de selección flexibilizando los requisitos de experiencia, capacidad financiera, capacidad organizacional o garantía de seriedad para los emprendimientos y empresas de </w:t>
            </w:r>
            <w:proofErr w:type="spellStart"/>
            <w:r w:rsidRPr="00670CFB">
              <w:rPr>
                <w:rFonts w:ascii="Verdana" w:eastAsia="Calibri" w:hAnsi="Verdana" w:cs="Arial"/>
              </w:rPr>
              <w:t>PcD</w:t>
            </w:r>
            <w:proofErr w:type="spellEnd"/>
            <w:r w:rsidRPr="00670CFB">
              <w:rPr>
                <w:rFonts w:ascii="Verdana" w:eastAsia="Calibri" w:hAnsi="Verdana" w:cs="Arial"/>
              </w:rPr>
              <w:t xml:space="preserve">, con el límite del principio de proporcionalidad; la tercera, el puntaje adicional del 2% opera en la evaluación de propuestas en licitación pública y concurso de méritos otorgando una ventaja real en la calificación de la oferta; la cuarta, las </w:t>
            </w:r>
            <w:r w:rsidRPr="00670CFB">
              <w:rPr>
                <w:rFonts w:ascii="Verdana" w:eastAsia="Calibri" w:hAnsi="Verdana" w:cs="Arial"/>
              </w:rPr>
              <w:lastRenderedPageBreak/>
              <w:t xml:space="preserve">condiciones especiales de ejecución obligan al contratista durante la ejecución a priorizar a las </w:t>
            </w:r>
            <w:proofErr w:type="spellStart"/>
            <w:r w:rsidRPr="00670CFB">
              <w:rPr>
                <w:rFonts w:ascii="Verdana" w:eastAsia="Calibri" w:hAnsi="Verdana" w:cs="Arial"/>
              </w:rPr>
              <w:t>PcD</w:t>
            </w:r>
            <w:proofErr w:type="spellEnd"/>
            <w:r w:rsidRPr="00670CFB">
              <w:rPr>
                <w:rFonts w:ascii="Verdana" w:eastAsia="Calibri" w:hAnsi="Verdana" w:cs="Arial"/>
              </w:rPr>
              <w:t xml:space="preserve"> y sus empresas en la subcontratación </w:t>
            </w:r>
            <w:r>
              <w:rPr>
                <w:rFonts w:ascii="Verdana" w:eastAsia="Calibri" w:hAnsi="Verdana" w:cs="Arial"/>
              </w:rPr>
              <w:t>y/o</w:t>
            </w:r>
            <w:r w:rsidRPr="00670CFB">
              <w:rPr>
                <w:rFonts w:ascii="Verdana" w:eastAsia="Calibri" w:hAnsi="Verdana" w:cs="Arial"/>
              </w:rPr>
              <w:t xml:space="preserve"> en la conformación del equipo de trabajo; y la quinta, la inclusión potestativa de </w:t>
            </w:r>
            <w:proofErr w:type="spellStart"/>
            <w:r w:rsidRPr="00670CFB">
              <w:rPr>
                <w:rFonts w:ascii="Verdana" w:eastAsia="Calibri" w:hAnsi="Verdana" w:cs="Arial"/>
              </w:rPr>
              <w:t>PcD</w:t>
            </w:r>
            <w:proofErr w:type="spellEnd"/>
            <w:r w:rsidRPr="00670CFB">
              <w:rPr>
                <w:rFonts w:ascii="Verdana" w:eastAsia="Calibri" w:hAnsi="Verdana" w:cs="Arial"/>
              </w:rPr>
              <w:t xml:space="preserve"> en contratos de prestación de servicios, permite a las entidades </w:t>
            </w:r>
            <w:r>
              <w:rPr>
                <w:rFonts w:ascii="Verdana" w:eastAsia="Calibri" w:hAnsi="Verdana" w:cs="Arial"/>
              </w:rPr>
              <w:t>sometidas al Estatuto General de Contratación Pública</w:t>
            </w:r>
            <w:r w:rsidRPr="00670CFB">
              <w:rPr>
                <w:rFonts w:ascii="Verdana" w:eastAsia="Calibri" w:hAnsi="Verdana" w:cs="Arial"/>
              </w:rPr>
              <w:t xml:space="preserve"> vincular directamente personas con discapacidad en la modalidad de contratación directa. El incumplimiento de cualquiera de estas medidas tiene consecuencias jurídicas concretas que van desde la invalidez de los documentos del proceso hasta la configuración de causales de incumplimiento contractual, según la fase en que se produzca la omisión</w:t>
            </w:r>
            <w:r>
              <w:rPr>
                <w:rFonts w:ascii="Verdana" w:eastAsia="Calibri" w:hAnsi="Verdana" w:cs="Arial"/>
              </w:rPr>
              <w:t>, así como sanciones por los entes de control por la celebración de contratos sin el cumplimiento de requisitos legales</w:t>
            </w:r>
            <w:r w:rsidRPr="00670CFB">
              <w:rPr>
                <w:rFonts w:ascii="Verdana" w:eastAsia="Calibri" w:hAnsi="Verdana" w:cs="Arial"/>
              </w:rPr>
              <w:t>.</w:t>
            </w:r>
          </w:p>
          <w:p w14:paraId="2204ED69" w14:textId="77777777" w:rsidR="005510BC" w:rsidRPr="00D851ED"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Por último, respecto del régimen de transición para la aplicación del Decreto 287 de 2026, se debe tener en cuenta que </w:t>
            </w:r>
            <w:r w:rsidRPr="00D851ED">
              <w:rPr>
                <w:rFonts w:ascii="Verdana" w:eastAsia="Calibri" w:hAnsi="Verdana" w:cs="Arial"/>
              </w:rPr>
              <w:t>se expidió el 19 de marzo de 2026, y rige a partir del día siguiente a su publicación en el Diario Oficial, derogando todas las disposiciones contrarias, incluidas las versiones anteriores de los artículos 2.2.1.2.4.2.6., 2.2.1.2.4.2.7. y 2.2.1.2.4.2.8. del Decreto 1082 de 2015. Se aclara que la numeración del Decreto 392 de 2018 se mantuvo, pero su contenido fue modificado en su integridad, por lo que no hubo derogatoria sino modificación total para conservar la numeración del mencionado decreto</w:t>
            </w:r>
            <w:r>
              <w:rPr>
                <w:rFonts w:ascii="Verdana" w:eastAsia="Calibri" w:hAnsi="Verdana" w:cs="Arial"/>
              </w:rPr>
              <w:t>, pero lo señalado en este concepto debe entenderse de acuerdo con la nueva redacción de los artículos enlistados, y no recurrir a la antigua redacción</w:t>
            </w:r>
            <w:r w:rsidRPr="00D851ED">
              <w:rPr>
                <w:rFonts w:ascii="Verdana" w:eastAsia="Calibri" w:hAnsi="Verdana" w:cs="Arial"/>
              </w:rPr>
              <w:t>.</w:t>
            </w:r>
          </w:p>
          <w:p w14:paraId="32148EEA" w14:textId="77777777" w:rsidR="005510BC" w:rsidRPr="00D851ED" w:rsidRDefault="005510BC" w:rsidP="00AD17AD">
            <w:pPr>
              <w:spacing w:before="120" w:after="120" w:line="276" w:lineRule="auto"/>
              <w:ind w:firstLine="709"/>
              <w:jc w:val="both"/>
              <w:rPr>
                <w:rFonts w:ascii="Verdana" w:eastAsia="Calibri" w:hAnsi="Verdana" w:cs="Arial"/>
              </w:rPr>
            </w:pPr>
            <w:r w:rsidRPr="00D851ED">
              <w:rPr>
                <w:rFonts w:ascii="Verdana" w:eastAsia="Calibri" w:hAnsi="Verdana" w:cs="Arial"/>
              </w:rPr>
              <w:t xml:space="preserve">La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w:t>
            </w:r>
            <w:proofErr w:type="spellStart"/>
            <w:r w:rsidRPr="00D851ED">
              <w:rPr>
                <w:rFonts w:ascii="Verdana" w:eastAsia="Calibri" w:hAnsi="Verdana" w:cs="Arial"/>
              </w:rPr>
              <w:t>ii</w:t>
            </w:r>
            <w:proofErr w:type="spellEnd"/>
            <w:r w:rsidRPr="00D851ED">
              <w:rPr>
                <w:rFonts w:ascii="Verdana" w:eastAsia="Calibri" w:hAnsi="Verdana" w:cs="Arial"/>
              </w:rPr>
              <w:t>) La resolución de apertura no existe, o fue expedida el 20 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59BB8292" w14:textId="77777777" w:rsidR="005510BC" w:rsidRPr="00670CFB" w:rsidRDefault="005510BC" w:rsidP="00AD17AD">
            <w:pPr>
              <w:spacing w:before="120" w:after="120" w:line="276" w:lineRule="auto"/>
              <w:ind w:firstLine="709"/>
              <w:jc w:val="both"/>
              <w:rPr>
                <w:rFonts w:ascii="Verdana" w:eastAsia="Calibri" w:hAnsi="Verdana" w:cs="Arial"/>
              </w:rPr>
            </w:pPr>
            <w:r w:rsidRPr="00D851ED">
              <w:rPr>
                <w:rFonts w:ascii="Verdana" w:eastAsia="Calibri" w:hAnsi="Verdana" w:cs="Arial"/>
              </w:rPr>
              <w:t xml:space="preserve">Para los procesos de contratación con proyecto de pliego </w:t>
            </w:r>
            <w:proofErr w:type="gramStart"/>
            <w:r w:rsidRPr="00D851ED">
              <w:rPr>
                <w:rFonts w:ascii="Verdana" w:eastAsia="Calibri" w:hAnsi="Verdana" w:cs="Arial"/>
              </w:rPr>
              <w:t>publicado</w:t>
            </w:r>
            <w:proofErr w:type="gramEnd"/>
            <w:r w:rsidRPr="00D851ED">
              <w:rPr>
                <w:rFonts w:ascii="Verdana" w:eastAsia="Calibri" w:hAnsi="Verdana" w:cs="Arial"/>
              </w:rPr>
              <w:t xml:space="preserve"> pero sin apertura al 19 de marzo de 2026, se recomienda que se incorporen las medidas del Decreto 287 de 2026 antes de publicar los pliegos definitivos. En </w:t>
            </w:r>
            <w:r w:rsidRPr="00D851ED">
              <w:rPr>
                <w:rFonts w:ascii="Verdana" w:eastAsia="Calibri" w:hAnsi="Verdana" w:cs="Arial"/>
              </w:rPr>
              <w:lastRenderedPageBreak/>
              <w:t>esa etapa aún es posible realizar ajustes sin afectar derechos adquiridos de los proponentes</w:t>
            </w:r>
            <w:r>
              <w:rPr>
                <w:rFonts w:ascii="Verdana" w:eastAsia="Calibri" w:hAnsi="Verdana" w:cs="Arial"/>
              </w:rPr>
              <w:t>.</w:t>
            </w:r>
          </w:p>
        </w:tc>
      </w:tr>
    </w:tbl>
    <w:p w14:paraId="7F676FBC"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3E367C81"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 respuesta:</w:t>
      </w:r>
    </w:p>
    <w:p w14:paraId="4B53286B"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color w:val="ED7D31" w:themeColor="accent2"/>
          <w:lang w:val="es-ES"/>
        </w:rPr>
      </w:pPr>
    </w:p>
    <w:p w14:paraId="50427C9E" w14:textId="77777777" w:rsidR="005510BC" w:rsidRPr="00206556" w:rsidRDefault="005510BC" w:rsidP="005510BC">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21B39AE2" w14:textId="77777777" w:rsidR="005510BC" w:rsidRPr="00206556" w:rsidRDefault="005510BC" w:rsidP="005510BC">
      <w:pPr>
        <w:spacing w:after="0" w:line="276" w:lineRule="auto"/>
        <w:jc w:val="both"/>
        <w:rPr>
          <w:rFonts w:ascii="Verdana" w:eastAsia="Calibri" w:hAnsi="Verdana" w:cs="Arial"/>
          <w:lang w:val="es-ES"/>
        </w:rPr>
      </w:pPr>
    </w:p>
    <w:p w14:paraId="02498FA5" w14:textId="77777777" w:rsidR="005510BC" w:rsidRPr="00206556" w:rsidRDefault="005510BC" w:rsidP="005510BC">
      <w:pPr>
        <w:spacing w:after="120" w:line="276" w:lineRule="auto"/>
        <w:jc w:val="both"/>
        <w:rPr>
          <w:rFonts w:ascii="Verdana" w:hAnsi="Verdana"/>
        </w:rPr>
      </w:pPr>
      <w:r w:rsidRPr="00206556">
        <w:rPr>
          <w:rFonts w:ascii="Verdana" w:eastAsia="Calibri" w:hAnsi="Verdana" w:cs="Arial"/>
          <w:lang w:val="es-ES"/>
        </w:rPr>
        <w:t xml:space="preserve">(i) </w:t>
      </w:r>
      <w:r w:rsidRPr="00206556">
        <w:rPr>
          <w:rFonts w:ascii="Verdana" w:eastAsia="Calibri" w:hAnsi="Verdana" w:cs="Arial"/>
        </w:rPr>
        <w:t xml:space="preserve">Para resolver el problema jurídico planteado, esta Agencia considera necesario partir de los antecedentes normativos que explican el origen, la finalidad y el alcance del Sistema Integral de Preferencias establecido por el Decreto 0287 de 2026, pues solo a partir de ese contexto es posible comprender las obligaciones concretas que dicho decreto impone a las entidades estatales y a los demás partícipes de la contratación pública. </w:t>
      </w:r>
      <w:r w:rsidRPr="00206556">
        <w:rPr>
          <w:rFonts w:ascii="Verdana" w:eastAsia="Times New Roman" w:hAnsi="Verdana" w:cs="Times New Roman"/>
        </w:rPr>
        <w:t xml:space="preserve">El fundamento del Sistema de Preferencias para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la contratación pública es el principio de igualdad real y efectiva consagrado en el artículo 13 de la Constitución Política de 1991</w:t>
      </w:r>
      <w:r w:rsidRPr="00206556">
        <w:rPr>
          <w:rStyle w:val="Refdenotaalpie"/>
          <w:rFonts w:ascii="Verdana" w:eastAsia="Times New Roman" w:hAnsi="Verdana" w:cs="Times New Roman"/>
        </w:rPr>
        <w:footnoteReference w:id="1"/>
      </w:r>
      <w:r>
        <w:rPr>
          <w:rFonts w:ascii="Verdana" w:eastAsia="Times New Roman" w:hAnsi="Verdana" w:cs="Times New Roman"/>
        </w:rPr>
        <w:t>,</w:t>
      </w:r>
      <w:r w:rsidRPr="00206556">
        <w:rPr>
          <w:rFonts w:ascii="Verdana" w:eastAsia="Times New Roman" w:hAnsi="Verdana" w:cs="Times New Roman"/>
        </w:rPr>
        <w:t xml:space="preserve"> que impone al Estado el deber positivo de adoptar </w:t>
      </w:r>
      <w:r w:rsidRPr="00206556">
        <w:rPr>
          <w:rFonts w:ascii="Verdana" w:eastAsia="Times New Roman" w:hAnsi="Verdana" w:cs="Times New Roman"/>
          <w:i/>
          <w:iCs/>
        </w:rPr>
        <w:t>acciones afirmativas</w:t>
      </w:r>
      <w:r w:rsidRPr="00206556">
        <w:rPr>
          <w:rFonts w:ascii="Verdana" w:eastAsia="Times New Roman" w:hAnsi="Verdana" w:cs="Times New Roman"/>
        </w:rPr>
        <w:t xml:space="preserve">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w:t>
      </w:r>
      <w:proofErr w:type="spellStart"/>
      <w:r w:rsidRPr="00206556">
        <w:rPr>
          <w:rFonts w:ascii="Verdana" w:eastAsia="Times New Roman" w:hAnsi="Verdana" w:cs="Times New Roman"/>
        </w:rPr>
        <w:t>PcD</w:t>
      </w:r>
      <w:proofErr w:type="spellEnd"/>
      <w:r w:rsidRPr="00206556">
        <w:rPr>
          <w:rStyle w:val="Refdenotaalpie"/>
          <w:rFonts w:ascii="Verdana" w:eastAsia="Times New Roman" w:hAnsi="Verdana" w:cs="Times New Roman"/>
        </w:rPr>
        <w:footnoteReference w:id="2"/>
      </w:r>
      <w:r>
        <w:rPr>
          <w:rFonts w:ascii="Verdana" w:eastAsia="Times New Roman" w:hAnsi="Verdana" w:cs="Times New Roman"/>
        </w:rPr>
        <w:t>.</w:t>
      </w:r>
    </w:p>
    <w:p w14:paraId="5B18619D" w14:textId="77777777" w:rsidR="005510BC" w:rsidRPr="00206556" w:rsidRDefault="005510BC" w:rsidP="005510BC">
      <w:pPr>
        <w:spacing w:after="120" w:line="276" w:lineRule="auto"/>
        <w:ind w:firstLine="708"/>
        <w:jc w:val="both"/>
        <w:rPr>
          <w:rFonts w:ascii="Verdana" w:hAnsi="Verdana"/>
        </w:rPr>
      </w:pPr>
      <w:r w:rsidRPr="00206556">
        <w:rPr>
          <w:rFonts w:ascii="Verdana" w:eastAsia="Times New Roman" w:hAnsi="Verdana" w:cs="Times New Roman"/>
        </w:rPr>
        <w:t>En el plano internacional, Colombia es Estado Parte de instrumentos que conforman el Bloque de Constitucionalidad en virtud del artículo 93 superior. La Convención sobre los Derechos de las Personas con Discapacidad de la ONU</w:t>
      </w:r>
      <w:r w:rsidRPr="00206556">
        <w:rPr>
          <w:rStyle w:val="Refdenotaalpie"/>
          <w:rFonts w:ascii="Verdana" w:eastAsia="Times New Roman" w:hAnsi="Verdana" w:cs="Times New Roman"/>
        </w:rPr>
        <w:footnoteReference w:id="3"/>
      </w:r>
      <w:r w:rsidRPr="00206556">
        <w:rPr>
          <w:rFonts w:ascii="Verdana" w:eastAsia="Times New Roman" w:hAnsi="Verdana" w:cs="Times New Roman"/>
        </w:rPr>
        <w:t xml:space="preserve"> reconoce el derecho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a trabajar en igualdad de condiciones y exige programas de acción afirmativa. La Convención Interamericana para la </w:t>
      </w:r>
      <w:r w:rsidRPr="00206556">
        <w:rPr>
          <w:rFonts w:ascii="Verdana" w:eastAsia="Times New Roman" w:hAnsi="Verdana" w:cs="Times New Roman"/>
        </w:rPr>
        <w:lastRenderedPageBreak/>
        <w:t>Eliminación de todas las Formas de Discriminación</w:t>
      </w:r>
      <w:r w:rsidRPr="00206556">
        <w:rPr>
          <w:rStyle w:val="Refdenotaalpie"/>
          <w:rFonts w:ascii="Verdana" w:eastAsia="Times New Roman" w:hAnsi="Verdana" w:cs="Times New Roman"/>
        </w:rPr>
        <w:footnoteReference w:id="4"/>
      </w:r>
      <w:r w:rsidRPr="00206556">
        <w:rPr>
          <w:rFonts w:ascii="Verdana" w:eastAsia="Times New Roman" w:hAnsi="Verdana" w:cs="Times New Roman"/>
        </w:rPr>
        <w:t xml:space="preserve"> ordena eliminar progresivamente la discriminación en la prestación de servicios, incluido el empleo. El Convenio 159 de la OIT</w:t>
      </w:r>
      <w:r w:rsidRPr="00206556">
        <w:rPr>
          <w:rStyle w:val="Refdenotaalpie"/>
          <w:rFonts w:ascii="Verdana" w:eastAsia="Times New Roman" w:hAnsi="Verdana" w:cs="Times New Roman"/>
        </w:rPr>
        <w:footnoteReference w:id="5"/>
      </w:r>
      <w:r w:rsidRPr="00206556">
        <w:rPr>
          <w:rFonts w:ascii="Verdana" w:eastAsia="Times New Roman" w:hAnsi="Verdana" w:cs="Times New Roman"/>
        </w:rPr>
        <w:t xml:space="preserve"> exige medidas orientadas a garantizar la igualdad de oportunidades de todas las categorías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materia de empleo.</w:t>
      </w:r>
    </w:p>
    <w:p w14:paraId="5165B87A" w14:textId="77777777" w:rsidR="005510BC" w:rsidRPr="00206556" w:rsidRDefault="005510BC" w:rsidP="005510BC">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 xml:space="preserve">La Ley 361 de 1997 estableció los primeros mecanismos de integración social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Su artículo 24 introdujo una preferencia en igualdad de condiciones en licitaciones y adjudicaciones de contratos para los empleadores que tuvieran al menos el 10% de su nómina compuesta por </w:t>
      </w:r>
      <w:proofErr w:type="spellStart"/>
      <w:r w:rsidRPr="00206556">
        <w:rPr>
          <w:rFonts w:ascii="Verdana" w:eastAsia="Times New Roman" w:hAnsi="Verdana" w:cs="Times New Roman"/>
        </w:rPr>
        <w:t>PcD</w:t>
      </w:r>
      <w:proofErr w:type="spellEnd"/>
      <w:r w:rsidRPr="00206556">
        <w:rPr>
          <w:rStyle w:val="Refdenotaalpie"/>
          <w:rFonts w:ascii="Verdana" w:eastAsia="Times New Roman" w:hAnsi="Verdana" w:cs="Times New Roman"/>
        </w:rPr>
        <w:footnoteReference w:id="6"/>
      </w:r>
      <w:r>
        <w:rPr>
          <w:rFonts w:ascii="Verdana" w:eastAsia="Times New Roman" w:hAnsi="Verdana" w:cs="Times New Roman"/>
        </w:rPr>
        <w:t>.</w:t>
      </w:r>
      <w:r w:rsidRPr="00206556">
        <w:rPr>
          <w:rFonts w:ascii="Verdana" w:eastAsia="Times New Roman" w:hAnsi="Verdana" w:cs="Times New Roman"/>
        </w:rPr>
        <w:t xml:space="preserve"> Esta norma vinculó por primera vez la contratación pública con la inclusión laboral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pero su alcance era limitado: una preferencia residual aplicable solo en caso de empate, que beneficiaba únicamente a los empleadores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sin considerar a las propias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como proponentes directos.</w:t>
      </w:r>
    </w:p>
    <w:p w14:paraId="4662F524" w14:textId="77777777" w:rsidR="005510BC" w:rsidRPr="00206556" w:rsidRDefault="005510BC" w:rsidP="005510BC">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 xml:space="preserve">La Ley Estatutaria 1618 de 2013 representó un salto cualitativo en el marco jurídico de protección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al definir a estas como </w:t>
      </w:r>
      <w:r w:rsidRPr="00206556">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206556">
        <w:rPr>
          <w:rStyle w:val="Refdenotaalpie"/>
          <w:rFonts w:ascii="Verdana" w:eastAsia="Times New Roman" w:hAnsi="Verdana" w:cs="Times New Roman"/>
          <w:i/>
          <w:iCs/>
        </w:rPr>
        <w:footnoteReference w:id="7"/>
      </w:r>
      <w:r>
        <w:rPr>
          <w:rFonts w:ascii="Verdana" w:eastAsia="Times New Roman" w:hAnsi="Verdana" w:cs="Times New Roman"/>
          <w:i/>
          <w:iCs/>
        </w:rPr>
        <w:t>.</w:t>
      </w:r>
      <w:r w:rsidRPr="00206556">
        <w:rPr>
          <w:rFonts w:ascii="Verdana" w:eastAsia="Times New Roman" w:hAnsi="Verdana" w:cs="Times New Roman"/>
        </w:rPr>
        <w:t xml:space="preserve"> Su artículo 13, en los numerales 1, 7 y 8, ordenó al Gobierno Nacional reglamentar: una puntuación adicional en licitación pública, concurso de méritos y contratación directa para empresas que vinculen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y para empresas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un sistema de preferencias para empleadores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la adjudicación; y un sistema de preferencias en favor de las propias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como </w:t>
      </w:r>
      <w:r w:rsidRPr="00206556">
        <w:rPr>
          <w:rFonts w:ascii="Verdana" w:eastAsia="Times New Roman" w:hAnsi="Verdana" w:cs="Times New Roman"/>
        </w:rPr>
        <w:lastRenderedPageBreak/>
        <w:t>contratistas</w:t>
      </w:r>
      <w:r w:rsidRPr="00206556">
        <w:rPr>
          <w:rStyle w:val="Refdenotaalpie"/>
          <w:rFonts w:ascii="Verdana" w:eastAsia="Times New Roman" w:hAnsi="Verdana" w:cs="Times New Roman"/>
        </w:rPr>
        <w:footnoteReference w:id="8"/>
      </w:r>
      <w:r>
        <w:rPr>
          <w:rFonts w:ascii="Verdana" w:eastAsia="Times New Roman" w:hAnsi="Verdana" w:cs="Times New Roman"/>
        </w:rPr>
        <w:t>.</w:t>
      </w:r>
      <w:r w:rsidRPr="00206556">
        <w:rPr>
          <w:rFonts w:ascii="Verdana" w:eastAsia="Times New Roman" w:hAnsi="Verdana" w:cs="Times New Roman"/>
        </w:rPr>
        <w:t xml:space="preserve"> Este último mandato fue especialmente significativo porque introdujo el concepto de </w:t>
      </w:r>
      <w:r w:rsidRPr="00206556">
        <w:rPr>
          <w:rFonts w:ascii="Verdana" w:eastAsia="Times New Roman" w:hAnsi="Verdana" w:cs="Times New Roman"/>
          <w:i/>
          <w:iCs/>
        </w:rPr>
        <w:t>"sistema de preferencias"</w:t>
      </w:r>
      <w:r w:rsidRPr="00206556">
        <w:rPr>
          <w:rFonts w:ascii="Verdana" w:eastAsia="Times New Roman" w:hAnsi="Verdana" w:cs="Times New Roman"/>
        </w:rPr>
        <w:t xml:space="preserve">, que por definición no puede reducirse a una sola </w:t>
      </w:r>
      <w:proofErr w:type="gramStart"/>
      <w:r w:rsidRPr="00206556">
        <w:rPr>
          <w:rFonts w:ascii="Verdana" w:eastAsia="Times New Roman" w:hAnsi="Verdana" w:cs="Times New Roman"/>
        </w:rPr>
        <w:t>medida</w:t>
      </w:r>
      <w:proofErr w:type="gramEnd"/>
      <w:r w:rsidRPr="00206556">
        <w:rPr>
          <w:rFonts w:ascii="Verdana" w:eastAsia="Times New Roman" w:hAnsi="Verdana" w:cs="Times New Roman"/>
        </w:rPr>
        <w:t xml:space="preserve"> sino que implica un conjunto estructurado de instrumentos que actúen en las distintas fases del proceso contractual.</w:t>
      </w:r>
    </w:p>
    <w:p w14:paraId="485E28D1" w14:textId="796F3B94" w:rsidR="005510BC" w:rsidRPr="00A420A9" w:rsidRDefault="005510BC" w:rsidP="00960D60">
      <w:pPr>
        <w:spacing w:after="120" w:line="276" w:lineRule="auto"/>
        <w:ind w:firstLine="709"/>
        <w:jc w:val="both"/>
        <w:rPr>
          <w:rFonts w:ascii="Verdana" w:hAnsi="Verdana"/>
        </w:rPr>
      </w:pPr>
      <w:r w:rsidRPr="00E727F0">
        <w:rPr>
          <w:rFonts w:ascii="Verdana" w:hAnsi="Verdana"/>
        </w:rPr>
        <w:t xml:space="preserve">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 solo contempló el 1% de puntaje para empleadores de </w:t>
      </w:r>
      <w:proofErr w:type="spellStart"/>
      <w:r w:rsidRPr="00E727F0">
        <w:rPr>
          <w:rFonts w:ascii="Verdana" w:hAnsi="Verdana"/>
        </w:rPr>
        <w:t>PcD</w:t>
      </w:r>
      <w:proofErr w:type="spellEnd"/>
      <w:r w:rsidRPr="00E727F0">
        <w:rPr>
          <w:rFonts w:ascii="Verdana" w:hAnsi="Verdana"/>
        </w:rPr>
        <w:t xml:space="preserve">, sin incluir a las empresas de </w:t>
      </w:r>
      <w:proofErr w:type="spellStart"/>
      <w:r w:rsidRPr="00E727F0">
        <w:rPr>
          <w:rFonts w:ascii="Verdana" w:hAnsi="Verdana"/>
        </w:rPr>
        <w:t>PcD</w:t>
      </w:r>
      <w:proofErr w:type="spellEnd"/>
      <w:r w:rsidRPr="00E727F0">
        <w:rPr>
          <w:rFonts w:ascii="Verdana" w:hAnsi="Verdana"/>
        </w:rPr>
        <w:t>; redujo el "sistema de preferencias" a un único criterio de desempate; y no previó medidas en planeación, criterios habilitantes diferenciales, condiciones especiales de ejecución ni abordó la contratación directa como escenario de inclusión.</w:t>
      </w:r>
      <w:r>
        <w:rPr>
          <w:rFonts w:ascii="Verdana" w:hAnsi="Verdana"/>
        </w:rPr>
        <w:t xml:space="preserve"> </w:t>
      </w:r>
      <w:r w:rsidRPr="00A420A9">
        <w:rPr>
          <w:rFonts w:ascii="Verdana" w:hAnsi="Verdana"/>
        </w:rPr>
        <w:t xml:space="preserve">En consecuencia, desde el punto de vista sustantivo, el Decreto 392 de 2018 reglamentó el numeral 1 de manera parcial y el numeral 7, dejando sin reglamentación material el numeral 8, que era precisamente el que ordenaba el sistema de preferencias en favor de las propias </w:t>
      </w:r>
      <w:proofErr w:type="spellStart"/>
      <w:r w:rsidRPr="00A420A9">
        <w:rPr>
          <w:rFonts w:ascii="Verdana" w:hAnsi="Verdana"/>
        </w:rPr>
        <w:t>PcD</w:t>
      </w:r>
      <w:proofErr w:type="spellEnd"/>
      <w:r w:rsidRPr="00A420A9">
        <w:rPr>
          <w:rFonts w:ascii="Verdana" w:hAnsi="Verdana"/>
        </w:rPr>
        <w:t xml:space="preserve"> como contratistas.</w:t>
      </w:r>
    </w:p>
    <w:p w14:paraId="34CE263B" w14:textId="7EEB223E" w:rsidR="005510BC" w:rsidRDefault="005510BC" w:rsidP="00960D60">
      <w:pPr>
        <w:spacing w:after="120" w:line="276" w:lineRule="auto"/>
        <w:ind w:firstLine="709"/>
        <w:jc w:val="both"/>
        <w:rPr>
          <w:rFonts w:ascii="Verdana" w:hAnsi="Verdana"/>
        </w:rPr>
      </w:pPr>
      <w:r w:rsidRPr="00A420A9">
        <w:rPr>
          <w:rFonts w:ascii="Verdana" w:hAnsi="Verdana"/>
        </w:rPr>
        <w:t xml:space="preserve">La insuficiencia del Decreto 392 de 2018 fue constatada judicialmente. La Sección Quinta del Consejo de Estado, mediante sentencia de acción de cumplimiento del 12 de diciembre de 2024, radicación </w:t>
      </w:r>
      <w:proofErr w:type="spellStart"/>
      <w:r w:rsidRPr="00A420A9">
        <w:rPr>
          <w:rFonts w:ascii="Verdana" w:hAnsi="Verdana"/>
        </w:rPr>
        <w:t>n.°</w:t>
      </w:r>
      <w:proofErr w:type="spellEnd"/>
      <w:r w:rsidRPr="00A420A9">
        <w:rPr>
          <w:rFonts w:ascii="Verdana" w:hAnsi="Verdana"/>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639D7BE6" w14:textId="77777777" w:rsidR="005510BC" w:rsidRDefault="005510BC" w:rsidP="005510BC">
      <w:pPr>
        <w:spacing w:after="120" w:line="276" w:lineRule="auto"/>
        <w:ind w:firstLine="709"/>
        <w:jc w:val="both"/>
        <w:rPr>
          <w:rFonts w:ascii="Verdana" w:hAnsi="Verdana"/>
        </w:rPr>
      </w:pPr>
      <w:r w:rsidRPr="00E727F0">
        <w:rPr>
          <w:rFonts w:ascii="Verdana" w:hAnsi="Verdana"/>
        </w:rPr>
        <w:t>En cumplimiento de esa decisión fue expedido el Decreto 0287 de 2026, el cual, como se indicó en la respuesta, establece un Sistema Integral de Preferencias compuesto por cinco medidas afirmativas que actúan en todas las fases del proceso contractual</w:t>
      </w:r>
      <w:r>
        <w:rPr>
          <w:rFonts w:ascii="Verdana" w:hAnsi="Verdana"/>
        </w:rPr>
        <w:t xml:space="preserve">, </w:t>
      </w:r>
      <w:r w:rsidRPr="00E727F0">
        <w:rPr>
          <w:rFonts w:ascii="Verdana" w:hAnsi="Verdana"/>
        </w:rPr>
        <w:t>planeación, selección, adjudicación y ejecución</w:t>
      </w:r>
      <w:r>
        <w:rPr>
          <w:rFonts w:ascii="Verdana" w:hAnsi="Verdana"/>
        </w:rPr>
        <w:t xml:space="preserve">, </w:t>
      </w:r>
      <w:r w:rsidRPr="00E727F0">
        <w:rPr>
          <w:rFonts w:ascii="Verdana" w:hAnsi="Verdana"/>
        </w:rPr>
        <w:t xml:space="preserve">y </w:t>
      </w:r>
      <w:r w:rsidRPr="00E727F0">
        <w:rPr>
          <w:rFonts w:ascii="Verdana" w:hAnsi="Verdana"/>
        </w:rPr>
        <w:lastRenderedPageBreak/>
        <w:t xml:space="preserve">que benefician a dos sujetos diferenciados: los emprendimientos y empresas de </w:t>
      </w:r>
      <w:proofErr w:type="spellStart"/>
      <w:r w:rsidRPr="00E727F0">
        <w:rPr>
          <w:rFonts w:ascii="Verdana" w:hAnsi="Verdana"/>
        </w:rPr>
        <w:t>PcD</w:t>
      </w:r>
      <w:proofErr w:type="spellEnd"/>
      <w:r w:rsidRPr="00E727F0">
        <w:rPr>
          <w:rFonts w:ascii="Verdana" w:hAnsi="Verdana"/>
        </w:rPr>
        <w:t xml:space="preserve"> y los empleadores de </w:t>
      </w:r>
      <w:proofErr w:type="spellStart"/>
      <w:r w:rsidRPr="00E727F0">
        <w:rPr>
          <w:rFonts w:ascii="Verdana" w:hAnsi="Verdana"/>
        </w:rPr>
        <w:t>PcD</w:t>
      </w:r>
      <w:proofErr w:type="spellEnd"/>
      <w:r w:rsidRPr="00E727F0">
        <w:rPr>
          <w:rFonts w:ascii="Verdana" w:hAnsi="Verdana"/>
        </w:rPr>
        <w:t xml:space="preserve">. A continuación, se desarrolla el alcance de cada aspecto del sistema planteado en los problemas jurídicos. </w:t>
      </w:r>
    </w:p>
    <w:p w14:paraId="2BA717EC" w14:textId="77777777" w:rsidR="005510BC" w:rsidRPr="00E727F0" w:rsidRDefault="005510BC" w:rsidP="005510BC">
      <w:pPr>
        <w:spacing w:after="120" w:line="276" w:lineRule="auto"/>
        <w:ind w:firstLine="708"/>
        <w:jc w:val="both"/>
        <w:rPr>
          <w:rFonts w:ascii="Verdana" w:hAnsi="Verdana"/>
        </w:rPr>
      </w:pPr>
      <w:r w:rsidRPr="00206556">
        <w:rPr>
          <w:rFonts w:ascii="Verdana" w:hAnsi="Verdana"/>
        </w:rPr>
        <w:t>(</w:t>
      </w:r>
      <w:proofErr w:type="spellStart"/>
      <w:r w:rsidRPr="00206556">
        <w:rPr>
          <w:rFonts w:ascii="Verdana" w:hAnsi="Verdana"/>
        </w:rPr>
        <w:t>ii</w:t>
      </w:r>
      <w:proofErr w:type="spellEnd"/>
      <w:r w:rsidRPr="00206556">
        <w:rPr>
          <w:rFonts w:ascii="Verdana" w:hAnsi="Verdana"/>
        </w:rPr>
        <w:t xml:space="preserve">) </w:t>
      </w:r>
      <w:r w:rsidRPr="00E727F0">
        <w:rPr>
          <w:rFonts w:ascii="Verdana" w:eastAsia="Times New Roman" w:hAnsi="Verdana" w:cs="Times New Roman"/>
        </w:rPr>
        <w:t xml:space="preserve">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contempla: ser emprendimiento o empresa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conforme a las categorías del artículo 2.2.1.2.4.2.6., o ser empleador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444D8BC1" w14:textId="77777777" w:rsidR="005510BC" w:rsidRPr="00E727F0" w:rsidRDefault="005510BC" w:rsidP="005510BC">
      <w:pPr>
        <w:spacing w:before="100" w:after="180"/>
        <w:ind w:left="720" w:right="720"/>
        <w:jc w:val="both"/>
        <w:rPr>
          <w:rFonts w:ascii="Verdana" w:hAnsi="Verdana"/>
          <w:sz w:val="20"/>
          <w:szCs w:val="20"/>
        </w:rPr>
      </w:pPr>
      <w:r w:rsidRPr="00E727F0">
        <w:rPr>
          <w:rFonts w:ascii="Verdana" w:eastAsia="Times New Roman" w:hAnsi="Verdana" w:cs="Times New Roman"/>
          <w:i/>
          <w:iCs/>
          <w:sz w:val="20"/>
          <w:szCs w:val="20"/>
        </w:rPr>
        <w:t>"El proponente podrá acreditar alguna de las situaciones mencionadas, y en todo caso el puntaje adicional total y único a otorgar por este criterio será del dos por ciento (2%), sin que sean acumulables a efecto de la evaluación de la oferta."</w:t>
      </w:r>
    </w:p>
    <w:p w14:paraId="6DF74ED7" w14:textId="77777777" w:rsidR="005510BC" w:rsidRPr="00206556" w:rsidRDefault="005510BC" w:rsidP="005510BC">
      <w:pPr>
        <w:spacing w:after="120" w:line="276" w:lineRule="auto"/>
        <w:ind w:firstLine="709"/>
        <w:jc w:val="both"/>
        <w:rPr>
          <w:rFonts w:ascii="Verdana" w:hAnsi="Verdana"/>
        </w:rPr>
      </w:pPr>
      <w:r w:rsidRPr="00E727F0">
        <w:rPr>
          <w:rFonts w:ascii="Verdana" w:eastAsia="Times New Roman" w:hAnsi="Verdana" w:cs="Times New Roman"/>
        </w:rPr>
        <w:t xml:space="preserve">Esta decisión normativa responde a una razón de diseño del sistema: el 2% ya incorpora el estímulo suficiente para promover la inclusión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4D3C6E2B" w14:textId="1D8D9332" w:rsidR="005510BC" w:rsidRPr="00D22B7C" w:rsidRDefault="005510BC" w:rsidP="00960D60">
      <w:pPr>
        <w:spacing w:after="120" w:line="276" w:lineRule="auto"/>
        <w:ind w:firstLine="709"/>
        <w:jc w:val="both"/>
        <w:rPr>
          <w:rFonts w:ascii="Verdana" w:hAnsi="Verdana"/>
        </w:rPr>
      </w:pPr>
      <w:r w:rsidRPr="00206556">
        <w:rPr>
          <w:rFonts w:ascii="Verdana" w:eastAsia="Times New Roman" w:hAnsi="Verdana" w:cs="Times New Roman"/>
        </w:rPr>
        <w:t>(</w:t>
      </w:r>
      <w:proofErr w:type="spellStart"/>
      <w:r w:rsidRPr="00206556">
        <w:rPr>
          <w:rFonts w:ascii="Verdana" w:eastAsia="Times New Roman" w:hAnsi="Verdana" w:cs="Times New Roman"/>
        </w:rPr>
        <w:t>iii</w:t>
      </w:r>
      <w:proofErr w:type="spellEnd"/>
      <w:r w:rsidRPr="00206556">
        <w:rPr>
          <w:rFonts w:ascii="Verdana" w:eastAsia="Times New Roman" w:hAnsi="Verdana" w:cs="Times New Roman"/>
        </w:rPr>
        <w:t xml:space="preserve">) </w:t>
      </w:r>
      <w:r w:rsidRPr="00D22B7C">
        <w:rPr>
          <w:rFonts w:ascii="Verdana" w:eastAsia="Times New Roman" w:hAnsi="Verdana" w:cs="Times New Roman"/>
        </w:rPr>
        <w:t xml:space="preserve">En cuanto a la exigencia del número mínimo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vinculadas y la acreditación mediante planillas de seguridad social</w:t>
      </w:r>
      <w:r>
        <w:rPr>
          <w:rFonts w:ascii="Verdana" w:eastAsia="Times New Roman" w:hAnsi="Verdana" w:cs="Times New Roman"/>
        </w:rPr>
        <w:t>, e</w:t>
      </w:r>
      <w:r w:rsidRPr="006E7113">
        <w:rPr>
          <w:rFonts w:ascii="Verdana" w:eastAsia="Times New Roman" w:hAnsi="Verdana" w:cs="Times New Roman"/>
        </w:rPr>
        <w:t>l artículo 2.2.1.2.4.2.7.4. del Decreto 0287 de 2026 establece que para acceder al</w:t>
      </w:r>
      <w:r w:rsidRPr="00D22B7C">
        <w:rPr>
          <w:rFonts w:ascii="Verdana" w:eastAsia="Times New Roman" w:hAnsi="Verdana" w:cs="Times New Roman"/>
        </w:rPr>
        <w:t xml:space="preserve"> puntaje adicional en la condición de empleador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el proponente debe acreditar dentro de su planta de personal la vinculación de personas con discapacidad mediante contrato laboral con dedicación exclusiva, superando los mínimos que exige la Ley 2466 de 2025 (Reforma Laboral). El número mínimo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requerido varía según el tamaño de la planta de personal del proponente, conforme a la siguiente tabla:</w:t>
      </w: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5510BC" w:rsidRPr="00960D60" w14:paraId="6F151AF3"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225B4EE0"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b/>
                <w:bCs/>
                <w:sz w:val="20"/>
                <w:szCs w:val="20"/>
              </w:rPr>
              <w:lastRenderedPageBreak/>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23EDA664"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b/>
                <w:bCs/>
                <w:sz w:val="20"/>
                <w:szCs w:val="20"/>
              </w:rPr>
              <w:t>Número mínimo de trabajadores con discapacidad requerido</w:t>
            </w:r>
          </w:p>
        </w:tc>
      </w:tr>
      <w:tr w:rsidR="005510BC" w:rsidRPr="00960D60" w14:paraId="43A1DF5F"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7B7C734"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061D12A"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2</w:t>
            </w:r>
          </w:p>
        </w:tc>
      </w:tr>
      <w:tr w:rsidR="005510BC" w:rsidRPr="00960D60" w14:paraId="266DEBF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403124F"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4E23DE8"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3</w:t>
            </w:r>
          </w:p>
        </w:tc>
      </w:tr>
      <w:tr w:rsidR="005510BC" w:rsidRPr="00960D60" w14:paraId="315FE4DC"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2030261"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87F294B"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4</w:t>
            </w:r>
          </w:p>
        </w:tc>
      </w:tr>
      <w:tr w:rsidR="005510BC" w:rsidRPr="00960D60" w14:paraId="19B7392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6DB91C1"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0737E0A"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5</w:t>
            </w:r>
          </w:p>
        </w:tc>
      </w:tr>
      <w:tr w:rsidR="005510BC" w:rsidRPr="00960D60" w14:paraId="4BDEAA4B"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5192A6C"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17D381E"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7</w:t>
            </w:r>
          </w:p>
        </w:tc>
      </w:tr>
      <w:tr w:rsidR="005510BC" w:rsidRPr="00960D60" w14:paraId="37BE65DB"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837DF74"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28447AC"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10</w:t>
            </w:r>
          </w:p>
        </w:tc>
      </w:tr>
      <w:tr w:rsidR="005510BC" w:rsidRPr="00960D60" w14:paraId="19644D6C"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E564A44"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F6BE605"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12</w:t>
            </w:r>
          </w:p>
        </w:tc>
      </w:tr>
      <w:tr w:rsidR="005510BC" w:rsidRPr="00960D60" w14:paraId="101991F8"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7FAE899"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FBA108C"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14</w:t>
            </w:r>
          </w:p>
        </w:tc>
      </w:tr>
      <w:tr w:rsidR="005510BC" w:rsidRPr="00960D60" w14:paraId="1A5BF868"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0019908"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8589BC1"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16</w:t>
            </w:r>
          </w:p>
        </w:tc>
      </w:tr>
      <w:tr w:rsidR="005510BC" w:rsidRPr="00960D60" w14:paraId="16E0E71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5557796"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AD98C1C" w14:textId="77777777" w:rsidR="005510BC" w:rsidRPr="00960D60" w:rsidRDefault="005510BC" w:rsidP="00960D60">
            <w:pPr>
              <w:spacing w:after="0"/>
              <w:jc w:val="center"/>
              <w:rPr>
                <w:rFonts w:ascii="Verdana" w:hAnsi="Verdana"/>
                <w:sz w:val="20"/>
                <w:szCs w:val="20"/>
              </w:rPr>
            </w:pPr>
            <w:r w:rsidRPr="00960D60">
              <w:rPr>
                <w:rFonts w:ascii="Verdana" w:eastAsia="Times New Roman" w:hAnsi="Verdana" w:cs="Times New Roman"/>
                <w:sz w:val="20"/>
                <w:szCs w:val="20"/>
              </w:rPr>
              <w:t>Por cada 100 trabajadores adicionales, se suman 2 trabajadores con discapacidad</w:t>
            </w:r>
          </w:p>
        </w:tc>
      </w:tr>
    </w:tbl>
    <w:p w14:paraId="4D0F0E50" w14:textId="77777777" w:rsidR="005510BC" w:rsidRPr="00D22B7C" w:rsidRDefault="005510BC" w:rsidP="005510BC">
      <w:pPr>
        <w:spacing w:after="0" w:line="276" w:lineRule="auto"/>
        <w:rPr>
          <w:rFonts w:ascii="Verdana" w:hAnsi="Verdana"/>
        </w:rPr>
      </w:pPr>
    </w:p>
    <w:p w14:paraId="55A4F78A" w14:textId="77777777" w:rsidR="005510BC" w:rsidRPr="00D22B7C" w:rsidRDefault="005510BC" w:rsidP="005510BC">
      <w:pPr>
        <w:spacing w:after="120" w:line="276" w:lineRule="auto"/>
        <w:ind w:firstLine="709"/>
        <w:jc w:val="both"/>
        <w:rPr>
          <w:rFonts w:ascii="Verdana" w:hAnsi="Verdana"/>
        </w:rPr>
      </w:pPr>
      <w:r w:rsidRPr="00D22B7C">
        <w:rPr>
          <w:rFonts w:ascii="Verdana" w:eastAsia="Times New Roman" w:hAnsi="Verdana" w:cs="Times New Roman"/>
        </w:rPr>
        <w:t xml:space="preserve">El puntaje no se otorga por cumplir la ley sino por superarla: solo el proponente que acredite un número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w:t>
      </w:r>
      <w:r>
        <w:rPr>
          <w:rFonts w:ascii="Verdana" w:eastAsia="Times New Roman" w:hAnsi="Verdana" w:cs="Times New Roman"/>
        </w:rPr>
        <w:t>, sin que se exija el aporte de experiencia</w:t>
      </w:r>
      <w:r w:rsidRPr="00D22B7C">
        <w:rPr>
          <w:rFonts w:ascii="Verdana" w:eastAsia="Times New Roman" w:hAnsi="Verdana" w:cs="Times New Roman"/>
        </w:rPr>
        <w:t>.</w:t>
      </w:r>
    </w:p>
    <w:p w14:paraId="34B9593A" w14:textId="77777777" w:rsidR="005510BC" w:rsidRPr="00D22B7C" w:rsidRDefault="005510BC" w:rsidP="005510BC">
      <w:pPr>
        <w:spacing w:after="120" w:line="276" w:lineRule="auto"/>
        <w:ind w:firstLine="709"/>
        <w:jc w:val="both"/>
        <w:rPr>
          <w:rFonts w:ascii="Verdana" w:hAnsi="Verdana"/>
        </w:rPr>
      </w:pPr>
      <w:r w:rsidRPr="00D22B7C">
        <w:rPr>
          <w:rFonts w:ascii="Verdana" w:eastAsia="Times New Roman" w:hAnsi="Verdana" w:cs="Times New Roman"/>
        </w:rPr>
        <w:t xml:space="preserve">Acreditada esa vinculación, el decreto exige adicionalmente los certificados de aportes a seguridad social de los tres (3) meses anteriores a la presentación de la oferta respecto de cada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incluida en el cómputo, sin distinción entre vinculaciones iniciales e incrementos posteriores, junto con el certificado que expide el Ministerio de</w:t>
      </w:r>
      <w:r>
        <w:rPr>
          <w:rFonts w:ascii="Verdana" w:eastAsia="Times New Roman" w:hAnsi="Verdana" w:cs="Times New Roman"/>
        </w:rPr>
        <w:t>l</w:t>
      </w:r>
      <w:r w:rsidRPr="00D22B7C">
        <w:rPr>
          <w:rFonts w:ascii="Verdana" w:eastAsia="Times New Roman" w:hAnsi="Verdana" w:cs="Times New Roman"/>
        </w:rPr>
        <w:t xml:space="preserve"> Trabajo</w:t>
      </w:r>
      <w:r>
        <w:rPr>
          <w:rFonts w:ascii="Verdana" w:eastAsia="Times New Roman" w:hAnsi="Verdana" w:cs="Times New Roman"/>
        </w:rPr>
        <w:t>, entre otros documentos</w:t>
      </w:r>
      <w:r w:rsidRPr="00D22B7C">
        <w:rPr>
          <w:rFonts w:ascii="Verdana" w:eastAsia="Times New Roman" w:hAnsi="Verdana" w:cs="Times New Roman"/>
        </w:rPr>
        <w:t xml:space="preserve">. La razón de este requisito es garantizar que la vinculación sea real, estable y verificable, y no meramente instrumental para un proceso contractual específico. </w:t>
      </w:r>
      <w:r w:rsidRPr="00D22B7C">
        <w:rPr>
          <w:rFonts w:ascii="Verdana" w:eastAsia="Times New Roman" w:hAnsi="Verdana" w:cs="Times New Roman"/>
        </w:rPr>
        <w:lastRenderedPageBreak/>
        <w:t>La Circular Externa de Colombia Compra Eficiente sobre la aplicación del Decreto 287 de 2026 aclara que:</w:t>
      </w:r>
    </w:p>
    <w:p w14:paraId="45A0D5B8" w14:textId="77777777" w:rsidR="005510BC" w:rsidRPr="003C3B8B" w:rsidRDefault="005510BC" w:rsidP="005510BC">
      <w:pPr>
        <w:spacing w:before="100" w:after="180" w:line="240" w:lineRule="auto"/>
        <w:ind w:left="720" w:right="720"/>
        <w:jc w:val="both"/>
        <w:rPr>
          <w:rFonts w:ascii="Verdana" w:hAnsi="Verdana"/>
          <w:sz w:val="21"/>
          <w:szCs w:val="21"/>
        </w:rPr>
      </w:pPr>
      <w:r w:rsidRPr="003C3B8B">
        <w:rPr>
          <w:rFonts w:ascii="Verdana" w:eastAsia="Times New Roman" w:hAnsi="Verdana" w:cs="Times New Roman"/>
          <w:i/>
          <w:iCs/>
          <w:sz w:val="21"/>
          <w:szCs w:val="21"/>
        </w:rPr>
        <w:t xml:space="preserve">"no se exige vinculación de las </w:t>
      </w:r>
      <w:proofErr w:type="spellStart"/>
      <w:r w:rsidRPr="003C3B8B">
        <w:rPr>
          <w:rFonts w:ascii="Verdana" w:eastAsia="Times New Roman" w:hAnsi="Verdana" w:cs="Times New Roman"/>
          <w:i/>
          <w:iCs/>
          <w:sz w:val="21"/>
          <w:szCs w:val="21"/>
        </w:rPr>
        <w:t>PcD</w:t>
      </w:r>
      <w:proofErr w:type="spellEnd"/>
      <w:r w:rsidRPr="003C3B8B">
        <w:rPr>
          <w:rFonts w:ascii="Verdana" w:eastAsia="Times New Roman" w:hAnsi="Verdana" w:cs="Times New Roman"/>
          <w:i/>
          <w:iCs/>
          <w:sz w:val="21"/>
          <w:szCs w:val="21"/>
        </w:rPr>
        <w:t xml:space="preserve"> durante un (1) año antes del proceso contractual, ya que el Decreto 392 de 2018 no lo exigía así, y la nueva regulación exige solo tres (3) meses anteriores a la celebración del proceso"</w:t>
      </w:r>
      <w:r>
        <w:rPr>
          <w:rFonts w:ascii="Verdana" w:eastAsia="Times New Roman" w:hAnsi="Verdana" w:cs="Times New Roman"/>
          <w:i/>
          <w:iCs/>
          <w:sz w:val="21"/>
          <w:szCs w:val="21"/>
        </w:rPr>
        <w:t>.</w:t>
      </w:r>
    </w:p>
    <w:p w14:paraId="4CE21EAF" w14:textId="118618DD" w:rsidR="005510BC" w:rsidRDefault="005510BC" w:rsidP="00960D60">
      <w:pPr>
        <w:spacing w:after="120" w:line="276" w:lineRule="auto"/>
        <w:ind w:firstLine="708"/>
        <w:jc w:val="both"/>
        <w:rPr>
          <w:rFonts w:ascii="Verdana" w:eastAsia="Times New Roman" w:hAnsi="Verdana" w:cs="Times New Roman"/>
        </w:rPr>
      </w:pPr>
      <w:r w:rsidRPr="00D22B7C">
        <w:rPr>
          <w:rFonts w:ascii="Verdana" w:eastAsia="Times New Roman" w:hAnsi="Verdana" w:cs="Times New Roman"/>
        </w:rPr>
        <w:t xml:space="preserve">El período de tres meses es el umbral mínimo de estabilidad laboral que diferencia un compromiso genuino con la inclusión de una vinculación oportunista. La norma aplica este requisito para cada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incluida en la acreditación, independientemente de si es una vinculación original o una nueva incorporación. Si una empresa ha incrementado recientemente su planta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y alguna de estas vinculaciones no alcanza el período requerido, el proponente puede participar en el proceso utilizando únicamente las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que sí cumplan el requisito temporal. La consecuencia de no alcanzar el período no es la exclusión del proceso sino la imposibilidad de obtener el puntaje adicional respecto de esas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específicas, lo que es coherente con los principios de participación y pluralidad de oferentes.</w:t>
      </w:r>
    </w:p>
    <w:p w14:paraId="19C00794" w14:textId="77777777" w:rsidR="005510BC" w:rsidRDefault="005510BC" w:rsidP="005510BC">
      <w:pPr>
        <w:spacing w:after="120" w:line="276" w:lineRule="auto"/>
        <w:ind w:firstLine="708"/>
        <w:jc w:val="both"/>
        <w:rPr>
          <w:rFonts w:ascii="Verdana" w:eastAsia="Times New Roman" w:hAnsi="Verdana" w:cs="Times New Roman"/>
        </w:rPr>
      </w:pPr>
      <w:r w:rsidRPr="007B01BA">
        <w:rPr>
          <w:rFonts w:ascii="Verdana" w:eastAsia="Times New Roman" w:hAnsi="Verdana" w:cs="Times New Roman"/>
        </w:rPr>
        <w:t xml:space="preserve">Es importante precisar que la vinculación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a las plantas de personal debe realizarse mediante contrato laboral con dedicación exclusiva, cuya definición le corresponde al Ministerio del Trabajo. Adicionalmente, debe destacarse la diferencia entre los documentos exigidos según el sujeto que acredita el puntaje: cuando se trata de un empleador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los documentos requeridos son los establecidos en el artículo 2.2.1.2.4.2.7.4., que incluye las planillas de seguridad social de los últimos tres (3) meses y el certificado del Ministerio del Trabajo</w:t>
      </w:r>
      <w:r>
        <w:rPr>
          <w:rFonts w:ascii="Verdana" w:eastAsia="Times New Roman" w:hAnsi="Verdana" w:cs="Times New Roman"/>
        </w:rPr>
        <w:t>, entre otros</w:t>
      </w:r>
      <w:r w:rsidRPr="007B01BA">
        <w:rPr>
          <w:rFonts w:ascii="Verdana" w:eastAsia="Times New Roman" w:hAnsi="Verdana" w:cs="Times New Roman"/>
        </w:rPr>
        <w:t xml:space="preserve">; cuando se trata de un emprendimiento o empresa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los documentos requeridos son los establecidos en el artículo 2.2.1.2.4.2.6., que varían según la categoría que se acredite. En ningún caso los documentos del artículo 2.2.1.2.4.2.7.4. son exigibles a los emprendimientos y empresas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ni viceversa. El término de tres (3) </w:t>
      </w:r>
      <w:proofErr w:type="gramStart"/>
      <w:r w:rsidRPr="007B01BA">
        <w:rPr>
          <w:rFonts w:ascii="Verdana" w:eastAsia="Times New Roman" w:hAnsi="Verdana" w:cs="Times New Roman"/>
        </w:rPr>
        <w:t>meses aquí mencionado</w:t>
      </w:r>
      <w:proofErr w:type="gramEnd"/>
      <w:r w:rsidRPr="007B01BA">
        <w:rPr>
          <w:rFonts w:ascii="Verdana" w:eastAsia="Times New Roman" w:hAnsi="Verdana" w:cs="Times New Roman"/>
        </w:rPr>
        <w:t xml:space="preserve"> es diferente al término de un (1) año exigido en el artículo 2.2.1.2.4.2.6. para la acreditación de las condiciones de los emprendimientos y empresas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por lo que no deben confundirse.</w:t>
      </w:r>
    </w:p>
    <w:p w14:paraId="76EF70BC" w14:textId="77777777" w:rsidR="005510BC" w:rsidRPr="00D22B7C" w:rsidRDefault="005510BC" w:rsidP="005510BC">
      <w:pPr>
        <w:spacing w:after="120" w:line="276" w:lineRule="auto"/>
        <w:ind w:firstLine="709"/>
        <w:jc w:val="both"/>
        <w:rPr>
          <w:rFonts w:ascii="Verdana" w:hAnsi="Verdana"/>
        </w:rPr>
      </w:pPr>
      <w:r w:rsidRPr="00206556">
        <w:rPr>
          <w:rFonts w:ascii="Verdana" w:hAnsi="Verdana"/>
        </w:rPr>
        <w:t>(</w:t>
      </w:r>
      <w:proofErr w:type="spellStart"/>
      <w:r>
        <w:rPr>
          <w:rFonts w:ascii="Verdana" w:hAnsi="Verdana"/>
        </w:rPr>
        <w:t>iv</w:t>
      </w:r>
      <w:proofErr w:type="spellEnd"/>
      <w:r w:rsidRPr="00206556">
        <w:rPr>
          <w:rFonts w:ascii="Verdana" w:hAnsi="Verdana"/>
        </w:rPr>
        <w:t>) En relación, al ámbito de aplicación del puntaje adicional del 2%</w:t>
      </w:r>
      <w:r>
        <w:rPr>
          <w:rFonts w:ascii="Verdana" w:hAnsi="Verdana"/>
        </w:rPr>
        <w:t>, e</w:t>
      </w:r>
      <w:r w:rsidRPr="00206556">
        <w:rPr>
          <w:rFonts w:ascii="Verdana" w:hAnsi="Verdana"/>
        </w:rPr>
        <w:t xml:space="preserve">l artículo 2.2.1.2.4.2.7.4. del Decreto 0287 de 2026 establece este puntaje exclusivamente en los procedimientos de licitación pública y concurso de </w:t>
      </w:r>
      <w:r w:rsidRPr="00206556">
        <w:rPr>
          <w:rFonts w:ascii="Verdana" w:hAnsi="Verdana"/>
        </w:rPr>
        <w:lastRenderedPageBreak/>
        <w:t xml:space="preserve">méritos, para entidades regidas por </w:t>
      </w:r>
      <w:r>
        <w:rPr>
          <w:rFonts w:ascii="Verdana" w:hAnsi="Verdana"/>
        </w:rPr>
        <w:t>el Estatuto General de Contratación Pública</w:t>
      </w:r>
      <w:r w:rsidRPr="00206556">
        <w:rPr>
          <w:rFonts w:ascii="Verdana" w:hAnsi="Verdana"/>
        </w:rPr>
        <w:t xml:space="preserve">.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criterios habilitantes diferenciales aplican en régimen especial; las compras públicas accesibles y las condiciones especiales de ejecución aplican en todas las modalidades </w:t>
      </w:r>
      <w:r>
        <w:rPr>
          <w:rFonts w:ascii="Verdana" w:hAnsi="Verdana"/>
        </w:rPr>
        <w:t>de selección</w:t>
      </w:r>
      <w:r w:rsidRPr="00206556">
        <w:rPr>
          <w:rFonts w:ascii="Verdana" w:hAnsi="Verdana"/>
        </w:rPr>
        <w:t xml:space="preserve">; y la contratación directa tiene su propia medida afirmativa a través de los contratos de prestación de servicios con </w:t>
      </w:r>
      <w:proofErr w:type="spellStart"/>
      <w:r w:rsidRPr="00206556">
        <w:rPr>
          <w:rFonts w:ascii="Verdana" w:hAnsi="Verdana"/>
        </w:rPr>
        <w:t>PcD</w:t>
      </w:r>
      <w:proofErr w:type="spellEnd"/>
      <w:r w:rsidRPr="00206556">
        <w:rPr>
          <w:rFonts w:ascii="Verdana" w:hAnsi="Verdana"/>
        </w:rPr>
        <w:t>.</w:t>
      </w:r>
    </w:p>
    <w:p w14:paraId="5AC4D06F" w14:textId="77777777" w:rsidR="005510BC" w:rsidRPr="00206556" w:rsidRDefault="005510BC" w:rsidP="005510BC">
      <w:pPr>
        <w:spacing w:after="120" w:line="276" w:lineRule="auto"/>
        <w:ind w:firstLine="709"/>
        <w:jc w:val="both"/>
        <w:rPr>
          <w:rFonts w:ascii="Verdana" w:hAnsi="Verdana"/>
          <w:sz w:val="20"/>
          <w:szCs w:val="20"/>
        </w:rPr>
      </w:pPr>
      <w:r w:rsidRPr="00206556">
        <w:rPr>
          <w:rFonts w:ascii="Verdana" w:hAnsi="Verdana"/>
        </w:rPr>
        <w:t xml:space="preserve">(v) Sobre la aplicación del Decreto 0287 de 2026 en los documentos tipo, el artículo 2.2.1.2.4.2.7.8. del Decreto 0287 de 2026 establece que Colombia Compra Eficiente garantizará la incorporación permanente de las medidas del sistema en los documentos e instrumentos que genera. </w:t>
      </w:r>
    </w:p>
    <w:p w14:paraId="4B7D2125" w14:textId="77777777" w:rsidR="005510BC" w:rsidRDefault="005510BC" w:rsidP="005510BC">
      <w:pPr>
        <w:spacing w:after="120" w:line="276" w:lineRule="auto"/>
        <w:ind w:firstLine="708"/>
        <w:jc w:val="both"/>
        <w:rPr>
          <w:rFonts w:ascii="Verdana" w:hAnsi="Verdana"/>
        </w:rPr>
      </w:pPr>
      <w:r w:rsidRPr="007B01BA">
        <w:rPr>
          <w:rFonts w:ascii="Verdana" w:hAnsi="Verdana"/>
        </w:rPr>
        <w:t>El principio de inalterabilidad de los documentos tipo impide modificaciones unilaterales por parte de las entidades, pues ello afectaría la estandarización, la transparencia y la igualdad entre proponentes que dichos documentos buscan garantizar. Colombia Compra Eficiente realizará las actualizaciones necesarias a los documentos tipo en el menor tiempo posible para incorporar las medidas del sistema de preferencias. La aplicación del decreto queda diferenciada según la etapa del proceso: los procesos con resolución de apertura firmada el 19 de marzo de 2026 o antes continúan con las reglas del Decreto 392 de 2018; los procesos con proyecto de pliego publicado pero sin apertura a esa fecha pueden incorporar las nuevas medidas antes de publicar los pliegos definitivos; y los procesos nuevos sujetos a documentos tipo deben esperar las actualizaciones de Colombia Compra Eficiente,</w:t>
      </w:r>
      <w:r>
        <w:rPr>
          <w:rFonts w:ascii="Verdana" w:hAnsi="Verdana"/>
        </w:rPr>
        <w:t xml:space="preserve"> y continuar aplicando el documento tipo vigente sin alterarlo.</w:t>
      </w:r>
    </w:p>
    <w:p w14:paraId="1A6D54B9" w14:textId="77777777" w:rsidR="005510BC" w:rsidRDefault="005510BC" w:rsidP="005510BC">
      <w:pPr>
        <w:spacing w:after="120" w:line="276" w:lineRule="auto"/>
        <w:ind w:firstLine="708"/>
        <w:jc w:val="both"/>
        <w:rPr>
          <w:rFonts w:ascii="Verdana" w:hAnsi="Verdana"/>
        </w:rPr>
      </w:pPr>
    </w:p>
    <w:p w14:paraId="6F57ED3C" w14:textId="77777777" w:rsidR="005510BC" w:rsidRDefault="005510BC" w:rsidP="005510BC">
      <w:pPr>
        <w:spacing w:after="120" w:line="276" w:lineRule="auto"/>
        <w:ind w:firstLine="709"/>
        <w:jc w:val="both"/>
        <w:rPr>
          <w:rFonts w:ascii="Verdana" w:hAnsi="Verdana"/>
        </w:rPr>
      </w:pPr>
      <w:r w:rsidRPr="00206556">
        <w:rPr>
          <w:rFonts w:ascii="Verdana" w:hAnsi="Verdana"/>
        </w:rPr>
        <w:t>(v</w:t>
      </w:r>
      <w:r>
        <w:rPr>
          <w:rFonts w:ascii="Verdana" w:hAnsi="Verdana"/>
        </w:rPr>
        <w:t>i</w:t>
      </w:r>
      <w:r w:rsidRPr="00206556">
        <w:rPr>
          <w:rFonts w:ascii="Verdana" w:hAnsi="Verdana"/>
        </w:rPr>
        <w:t>) En cuanto a los criterios habilitantes diferenciales y los proponentes plurales</w:t>
      </w:r>
      <w:r>
        <w:rPr>
          <w:rFonts w:ascii="Verdana" w:hAnsi="Verdana"/>
        </w:rPr>
        <w:t>, e</w:t>
      </w:r>
      <w:r w:rsidRPr="00206556">
        <w:rPr>
          <w:rFonts w:ascii="Verdana" w:hAnsi="Verdana"/>
        </w:rPr>
        <w:t xml:space="preserve">l artículo 2.2.1.2.4.2.7.3. del Decreto 0287 de 2026 dispone que en los procesos de licitación pública, selección abreviada y concurso de méritos para los procesos regidos por el Estatuto General de Contratación de la Administración Pública, como en régimen especial, las entidades deben establecer requisitos habilitantes diferenciados o ajustados en materia de experiencia, capacidad financiera, capacidad organizacional o garantía de seriedad de la oferta, con el </w:t>
      </w:r>
      <w:r w:rsidRPr="00206556">
        <w:rPr>
          <w:rFonts w:ascii="Verdana" w:hAnsi="Verdana"/>
        </w:rPr>
        <w:lastRenderedPageBreak/>
        <w:t xml:space="preserve">fin de promover la participación de emprendimientos y empresas de </w:t>
      </w:r>
      <w:proofErr w:type="spellStart"/>
      <w:r w:rsidRPr="00206556">
        <w:rPr>
          <w:rFonts w:ascii="Verdana" w:hAnsi="Verdana"/>
        </w:rPr>
        <w:t>PcD</w:t>
      </w:r>
      <w:proofErr w:type="spellEnd"/>
      <w:r w:rsidRPr="00206556">
        <w:rPr>
          <w:rFonts w:ascii="Verdana" w:hAnsi="Verdana"/>
        </w:rPr>
        <w:t xml:space="preserve"> con domicilio en el territorio nacional. Esta medida no aplica en mínima cuantía ni en contratación directa, y está prevista exclusivamente para el Sujeto 1 del sistema, es decir, los emprendimientos y empresas de </w:t>
      </w:r>
      <w:proofErr w:type="spellStart"/>
      <w:r w:rsidRPr="00206556">
        <w:rPr>
          <w:rFonts w:ascii="Verdana" w:hAnsi="Verdana"/>
        </w:rPr>
        <w:t>PcD</w:t>
      </w:r>
      <w:proofErr w:type="spellEnd"/>
      <w:r w:rsidRPr="00206556">
        <w:rPr>
          <w:rFonts w:ascii="Verdana" w:hAnsi="Verdana"/>
        </w:rPr>
        <w:t xml:space="preserve">, y no para los empleadores de </w:t>
      </w:r>
      <w:proofErr w:type="spellStart"/>
      <w:r w:rsidRPr="00206556">
        <w:rPr>
          <w:rFonts w:ascii="Verdana" w:hAnsi="Verdana"/>
        </w:rPr>
        <w:t>PcD</w:t>
      </w:r>
      <w:proofErr w:type="spellEnd"/>
      <w:r w:rsidRPr="00206556">
        <w:rPr>
          <w:rFonts w:ascii="Verdana" w:hAnsi="Verdana"/>
        </w:rPr>
        <w:t xml:space="preserve">. Su establecimiento es obligatorio para la entidad contratante, pero </w:t>
      </w:r>
      <w:r>
        <w:rPr>
          <w:rFonts w:ascii="Verdana" w:hAnsi="Verdana"/>
        </w:rPr>
        <w:t>el</w:t>
      </w:r>
      <w:r w:rsidRPr="00206556">
        <w:rPr>
          <w:rFonts w:ascii="Verdana" w:hAnsi="Verdana"/>
        </w:rPr>
        <w:t xml:space="preserve"> rigor del ajuste es discrecional: la entidad determina, con base en sus estudios previos, qué requisitos ajusta y en qué medida, con el límite del principio de proporcionalidad, sobre el cual esta Agencia ha precisado que debe orientarse a garantizar la idoneidad de las propuestas y la correcta ejecución contractual, sin efectos excluyentes ni discriminatorios</w:t>
      </w:r>
      <w:r w:rsidRPr="00206556">
        <w:rPr>
          <w:rStyle w:val="Refdenotaalpie"/>
          <w:rFonts w:ascii="Verdana" w:hAnsi="Verdana"/>
        </w:rPr>
        <w:footnoteReference w:id="9"/>
      </w:r>
      <w:r>
        <w:rPr>
          <w:rFonts w:ascii="Verdana" w:hAnsi="Verdana"/>
        </w:rPr>
        <w:t>.</w:t>
      </w:r>
      <w:r w:rsidRPr="00206556">
        <w:rPr>
          <w:rFonts w:ascii="Verdana" w:hAnsi="Verdana"/>
        </w:rPr>
        <w:t xml:space="preserve"> </w:t>
      </w:r>
      <w:r w:rsidRPr="00975224">
        <w:rPr>
          <w:rFonts w:ascii="Verdana" w:hAnsi="Verdana"/>
        </w:rPr>
        <w:t>Los términos ajustados, reducidos y diferenciales deben entenderse como sinónimos. La entidad no está obligada a ajustar la totalidad de los requisitos habilitantes: debe flexibilizar la mayor cantidad posible de estos de acuerdo con lo que resulte justificado en sus estudios previos para el proceso específico de que se trate</w:t>
      </w:r>
      <w:r>
        <w:rPr>
          <w:rFonts w:ascii="Verdana" w:hAnsi="Verdana"/>
        </w:rPr>
        <w:t>, sin que se ponga en riesgo el cumplimiento contractual</w:t>
      </w:r>
      <w:r w:rsidRPr="00975224">
        <w:rPr>
          <w:rFonts w:ascii="Verdana" w:hAnsi="Verdana"/>
        </w:rPr>
        <w:t>.</w:t>
      </w:r>
      <w:r>
        <w:rPr>
          <w:rFonts w:ascii="Verdana" w:hAnsi="Verdana"/>
        </w:rPr>
        <w:t xml:space="preserve"> </w:t>
      </w:r>
      <w:r w:rsidRPr="00206556">
        <w:rPr>
          <w:rFonts w:ascii="Verdana" w:hAnsi="Verdana"/>
        </w:rPr>
        <w:t>En cuanto a los proponentes plurales, la medida aplica cuando al menos uno de sus integrantes cumple las condiciones del artículo 2.2.1.2.4.2.6. con una participación no inferior al 10% en el consorcio o unión temporal, debiendo aportar la experiencia requerida en proporción equivalente a su participación. Esta medida es compatible con los criterios diferenciales aplicables a MiPymes y a empresas y emprendimientos de mujeres.</w:t>
      </w:r>
    </w:p>
    <w:p w14:paraId="1B350133" w14:textId="77777777" w:rsidR="005510BC" w:rsidRPr="00206556" w:rsidRDefault="005510BC" w:rsidP="005510BC">
      <w:pPr>
        <w:spacing w:after="120" w:line="276" w:lineRule="auto"/>
        <w:ind w:firstLine="709"/>
        <w:jc w:val="both"/>
        <w:rPr>
          <w:rFonts w:ascii="Verdana" w:hAnsi="Verdana"/>
        </w:rPr>
      </w:pPr>
      <w:r w:rsidRPr="00975224">
        <w:rPr>
          <w:rFonts w:ascii="Verdana" w:hAnsi="Verdana"/>
        </w:rPr>
        <w:t>En cuanto a la aplicación de las medidas afirmativas en entidades con régimen especial de contratación</w:t>
      </w:r>
      <w:r>
        <w:rPr>
          <w:rFonts w:ascii="Verdana" w:hAnsi="Verdana"/>
        </w:rPr>
        <w:t>,</w:t>
      </w:r>
      <w:r w:rsidRPr="00975224">
        <w:rPr>
          <w:rFonts w:ascii="Verdana" w:hAnsi="Verdana"/>
        </w:rPr>
        <w:t xml:space="preserve"> </w:t>
      </w:r>
      <w:r>
        <w:rPr>
          <w:rFonts w:ascii="Verdana" w:hAnsi="Verdana"/>
        </w:rPr>
        <w:t>e</w:t>
      </w:r>
      <w:r w:rsidRPr="00975224">
        <w:rPr>
          <w:rFonts w:ascii="Verdana" w:hAnsi="Verdana"/>
        </w:rPr>
        <w:t xml:space="preserve">l decreto diferencia el alcance de las medidas según el régimen contractual de la entidad. Las medidas que aplican a ambos regímenes —Estatuto General de Contratación Pública y régimen especial— son los criterios habilitantes diferenciales y las compras públicas accesibles. Las medidas que aplican exclusivamente a entidades regidas por el Estatuto General de Contratación Pública son las herramientas de planeación, el puntaje adicional del 2%, las condiciones especiales de ejecución y los contratos de prestación de servicios con </w:t>
      </w:r>
      <w:proofErr w:type="spellStart"/>
      <w:r w:rsidRPr="00975224">
        <w:rPr>
          <w:rFonts w:ascii="Verdana" w:hAnsi="Verdana"/>
        </w:rPr>
        <w:t>PcD</w:t>
      </w:r>
      <w:proofErr w:type="spellEnd"/>
      <w:r w:rsidRPr="00975224">
        <w:rPr>
          <w:rFonts w:ascii="Verdana" w:hAnsi="Verdana"/>
        </w:rPr>
        <w:t xml:space="preserve">. En consecuencia, una entidad con régimen especial que adelante procesos competitivos está obligada a establecer criterios habilitantes diferenciales y a garantizar compras públicas accesibles, pero no está obligada a otorgar el puntaje adicional del 2% ni a incluir condiciones especiales de </w:t>
      </w:r>
      <w:r w:rsidRPr="00975224">
        <w:rPr>
          <w:rFonts w:ascii="Verdana" w:hAnsi="Verdana"/>
        </w:rPr>
        <w:lastRenderedPageBreak/>
        <w:t>ejecución, pues estas últimas medidas están previstas exclusivamente para el Estatuto General de Contratación Pública.</w:t>
      </w:r>
    </w:p>
    <w:p w14:paraId="33743DB1" w14:textId="5B54A394" w:rsidR="005510BC" w:rsidRPr="00206556" w:rsidRDefault="005510BC" w:rsidP="00960D60">
      <w:pPr>
        <w:spacing w:after="120" w:line="276" w:lineRule="auto"/>
        <w:ind w:firstLine="709"/>
        <w:jc w:val="both"/>
        <w:rPr>
          <w:rFonts w:ascii="Verdana" w:hAnsi="Verdana"/>
        </w:rPr>
      </w:pPr>
      <w:r w:rsidRPr="00206556">
        <w:rPr>
          <w:rFonts w:ascii="Verdana" w:hAnsi="Verdana"/>
        </w:rPr>
        <w:t>(</w:t>
      </w:r>
      <w:proofErr w:type="spellStart"/>
      <w:r w:rsidRPr="00206556">
        <w:rPr>
          <w:rFonts w:ascii="Verdana" w:hAnsi="Verdana"/>
        </w:rPr>
        <w:t>vi</w:t>
      </w:r>
      <w:r>
        <w:rPr>
          <w:rFonts w:ascii="Verdana" w:hAnsi="Verdana"/>
        </w:rPr>
        <w:t>i</w:t>
      </w:r>
      <w:proofErr w:type="spellEnd"/>
      <w:r w:rsidRPr="00206556">
        <w:rPr>
          <w:rFonts w:ascii="Verdana" w:hAnsi="Verdana"/>
        </w:rPr>
        <w:t>)</w:t>
      </w:r>
      <w:r w:rsidRPr="00975224">
        <w:t xml:space="preserve"> </w:t>
      </w:r>
      <w:r w:rsidRPr="00975224">
        <w:rPr>
          <w:rFonts w:ascii="Verdana" w:hAnsi="Verdana"/>
        </w:rPr>
        <w:t xml:space="preserve">En lo que respecta a las condiciones especiales de ejecución, el artículo 2.2.1.2.4.2.7.5. del Decreto 0287 de 2026 dispone que las entidades estatales "deberán incluir como obligación contractual, en los Documentos del Proceso, previo análisis de conveniencia y oportunidad, al menos una (1) de las siguientes condiciones especiales de ejecución": la subcontratación inclusiva, que exige priorizar a </w:t>
      </w:r>
      <w:proofErr w:type="spellStart"/>
      <w:r w:rsidRPr="00975224">
        <w:rPr>
          <w:rFonts w:ascii="Verdana" w:hAnsi="Verdana"/>
        </w:rPr>
        <w:t>PcD</w:t>
      </w:r>
      <w:proofErr w:type="spellEnd"/>
      <w:r w:rsidRPr="00975224">
        <w:rPr>
          <w:rFonts w:ascii="Verdana" w:hAnsi="Verdana"/>
        </w:rPr>
        <w:t xml:space="preserve"> o a emprendimientos y empresas de </w:t>
      </w:r>
      <w:proofErr w:type="spellStart"/>
      <w:r w:rsidRPr="00975224">
        <w:rPr>
          <w:rFonts w:ascii="Verdana" w:hAnsi="Verdana"/>
        </w:rPr>
        <w:t>PcD</w:t>
      </w:r>
      <w:proofErr w:type="spellEnd"/>
      <w:r w:rsidRPr="00975224">
        <w:rPr>
          <w:rFonts w:ascii="Verdana" w:hAnsi="Verdana"/>
        </w:rPr>
        <w:t xml:space="preserve"> cuando se requiera subcontratar; y la integración del equipo de trabajo, que exige priorizar personas naturales con discapacidad cuando se requiera conformar equipo para la ejecución. La obligación consiste en incluir al menos una de las dos condiciones, no necesariamente ambas. La palabra "deberán" hace de esta una medida imperativa en cuanto a la obligación de incluir al menos una condición, pero la entidad tiene discrecionalidad para escoger cuál de las dos incorpora o si incorpora ambas. Solo puede omitirse la inclusión de las dos cuando la entidad justifique esa omisión con argumentos objetivos en los estudios previos. La priorización no implica exclusividad; el contratista puede contratar otros proveedores, pero debe procurar que las </w:t>
      </w:r>
      <w:proofErr w:type="spellStart"/>
      <w:r w:rsidRPr="00975224">
        <w:rPr>
          <w:rFonts w:ascii="Verdana" w:hAnsi="Verdana"/>
        </w:rPr>
        <w:t>PcD</w:t>
      </w:r>
      <w:proofErr w:type="spellEnd"/>
      <w:r w:rsidRPr="00975224">
        <w:rPr>
          <w:rFonts w:ascii="Verdana" w:hAnsi="Verdana"/>
        </w:rPr>
        <w:t xml:space="preserve"> y sus empresas tengan preferencia cuando existan en el mercado. El incumplimiento injustificado puede constituir causal de incumplimiento contractual, verificable por el supervisor o interventor con cada solicitud de pago.</w:t>
      </w:r>
      <w:r w:rsidRPr="00206556">
        <w:rPr>
          <w:rFonts w:ascii="Verdana" w:hAnsi="Verdana"/>
        </w:rPr>
        <w:t xml:space="preserve"> </w:t>
      </w:r>
    </w:p>
    <w:p w14:paraId="0D6F8399" w14:textId="77777777" w:rsidR="005510BC" w:rsidRPr="00206556" w:rsidRDefault="005510BC" w:rsidP="005510BC">
      <w:pPr>
        <w:spacing w:after="120" w:line="276" w:lineRule="auto"/>
        <w:ind w:firstLine="709"/>
        <w:jc w:val="both"/>
        <w:rPr>
          <w:rFonts w:ascii="Verdana" w:hAnsi="Verdana"/>
        </w:rPr>
      </w:pPr>
      <w:r w:rsidRPr="00206556">
        <w:rPr>
          <w:rFonts w:ascii="Verdana" w:hAnsi="Verdana"/>
        </w:rPr>
        <w:t>(</w:t>
      </w:r>
      <w:proofErr w:type="spellStart"/>
      <w:r w:rsidRPr="00206556">
        <w:rPr>
          <w:rFonts w:ascii="Verdana" w:hAnsi="Verdana"/>
        </w:rPr>
        <w:t>vii</w:t>
      </w:r>
      <w:r>
        <w:rPr>
          <w:rFonts w:ascii="Verdana" w:hAnsi="Verdana"/>
        </w:rPr>
        <w:t>i</w:t>
      </w:r>
      <w:proofErr w:type="spellEnd"/>
      <w:r w:rsidRPr="00206556">
        <w:rPr>
          <w:rFonts w:ascii="Verdana" w:hAnsi="Verdana"/>
        </w:rPr>
        <w:t>) Sobre la compatibilidad con MiPymes y empresas de mujeres, y la distinción con el criterio de desempate. El parágrafo 2 del artículo 2.2.1.2.4.2.7.4. del Decreto 0287 de 2026 establece que el puntaje adicional "</w:t>
      </w:r>
      <w:r w:rsidRPr="00206556">
        <w:rPr>
          <w:rFonts w:ascii="Verdana" w:hAnsi="Verdana"/>
          <w:i/>
          <w:iCs/>
        </w:rPr>
        <w:t>no excluye la aplicación de incentivos contractuales ni de criterios diferenciales en favor de las MiPymes y/o los emprendimientos y empresas de mujeres".</w:t>
      </w:r>
      <w:r w:rsidRPr="00206556">
        <w:rPr>
          <w:rFonts w:ascii="Verdana" w:hAnsi="Verdana"/>
        </w:rPr>
        <w:t xml:space="preserve"> Del mismo modo, el parágrafo 2 del artículo 2.2.1.2.4.2.7.3</w:t>
      </w:r>
      <w:r>
        <w:rPr>
          <w:rFonts w:ascii="Verdana" w:hAnsi="Verdana"/>
        </w:rPr>
        <w:t>.</w:t>
      </w:r>
      <w:r w:rsidRPr="00206556">
        <w:rPr>
          <w:rFonts w:ascii="Verdana" w:hAnsi="Verdana"/>
        </w:rPr>
        <w:t xml:space="preserve"> establece la compatibilidad de los criterios habilitantes diferenciales con los aplicables a MiPymes y empresas de mujeres. En consecuencia, todos estos instrumentos pueden aplicarse simultáneamente en el mismo proceso de contratación sin exclusión recíproca. En cuanto a la distinción con el criterio de desempate, es indispensable no confundir los dos instrumentos: el puntaje adicional del 2% beneficia a los dos sujetos del sistema y opera en la evaluación de propuestas antes de la adjudicación; el criterio de desempate, regulado por el artículo 35, numeral 3, de la Ley 2069 de 2020 beneficia exclusivamente a los empleadores </w:t>
      </w:r>
      <w:r w:rsidRPr="00206556">
        <w:rPr>
          <w:rFonts w:ascii="Verdana" w:hAnsi="Verdana"/>
        </w:rPr>
        <w:lastRenderedPageBreak/>
        <w:t xml:space="preserve">de </w:t>
      </w:r>
      <w:proofErr w:type="spellStart"/>
      <w:r w:rsidRPr="00206556">
        <w:rPr>
          <w:rFonts w:ascii="Verdana" w:hAnsi="Verdana"/>
        </w:rPr>
        <w:t>PcD</w:t>
      </w:r>
      <w:proofErr w:type="spellEnd"/>
      <w:r w:rsidRPr="00206556">
        <w:rPr>
          <w:rFonts w:ascii="Verdana" w:hAnsi="Verdana"/>
        </w:rPr>
        <w:t xml:space="preserve">, no a los emprendimientos y empresas de </w:t>
      </w:r>
      <w:proofErr w:type="spellStart"/>
      <w:r w:rsidRPr="00206556">
        <w:rPr>
          <w:rFonts w:ascii="Verdana" w:hAnsi="Verdana"/>
        </w:rPr>
        <w:t>PcD</w:t>
      </w:r>
      <w:proofErr w:type="spellEnd"/>
      <w:r w:rsidRPr="00206556">
        <w:rPr>
          <w:rFonts w:ascii="Verdana" w:hAnsi="Verdana"/>
        </w:rPr>
        <w:t xml:space="preserve">, y exige que al menos el 10% de la nómina esté en condición de discapacidad, operando solo cuando hay empate entre dos o más ofertas. </w:t>
      </w:r>
      <w:r>
        <w:rPr>
          <w:rFonts w:ascii="Verdana" w:hAnsi="Verdana"/>
        </w:rPr>
        <w:t>La aplicación del criterio de desempate cuando es un</w:t>
      </w:r>
      <w:r w:rsidRPr="00206556">
        <w:rPr>
          <w:rFonts w:ascii="Verdana" w:hAnsi="Verdana"/>
        </w:rPr>
        <w:t xml:space="preserve"> proponente plural</w:t>
      </w:r>
      <w:r>
        <w:rPr>
          <w:rFonts w:ascii="Verdana" w:hAnsi="Verdana"/>
        </w:rPr>
        <w:t xml:space="preserve"> indica que</w:t>
      </w:r>
      <w:r w:rsidRPr="00206556">
        <w:rPr>
          <w:rFonts w:ascii="Verdana" w:hAnsi="Verdana"/>
        </w:rPr>
        <w:t xml:space="preserve"> el integrante con</w:t>
      </w:r>
      <w:r>
        <w:rPr>
          <w:rFonts w:ascii="Verdana" w:hAnsi="Verdana"/>
        </w:rPr>
        <w:t xml:space="preserve"> su nómina con</w:t>
      </w:r>
      <w:r w:rsidRPr="00206556">
        <w:rPr>
          <w:rFonts w:ascii="Verdana" w:hAnsi="Verdana"/>
        </w:rPr>
        <w:t xml:space="preserve"> </w:t>
      </w:r>
      <w:proofErr w:type="spellStart"/>
      <w:r w:rsidRPr="00206556">
        <w:rPr>
          <w:rFonts w:ascii="Verdana" w:hAnsi="Verdana"/>
        </w:rPr>
        <w:t>PcD</w:t>
      </w:r>
      <w:proofErr w:type="spellEnd"/>
      <w:r w:rsidRPr="00206556">
        <w:rPr>
          <w:rFonts w:ascii="Verdana" w:hAnsi="Verdana"/>
        </w:rPr>
        <w:t xml:space="preserve"> debe tener al menos el 25% de participación y aportar mínimo el 25% de la experiencia. El Decreto 0287 de 2026 no modificó el criterio de desempate de la Ley 2069 de 2020, que como norma de rango legal no puede ser alterada por decreto reglamentario, y la diferencia en las exigencias de vinculación entre las dos normas responde precisamente a que son instrumentos diferentes que no deben interpretarse extensivamente el uno respecto del otro. El Consejo de Estado ha precisado que las normas que establecen beneficios y preferencias deben interpretarse según sus propios términos, sin extensión analógica</w:t>
      </w:r>
      <w:r w:rsidRPr="00206556">
        <w:rPr>
          <w:rStyle w:val="Refdenotaalpie"/>
          <w:rFonts w:ascii="Verdana" w:hAnsi="Verdana"/>
        </w:rPr>
        <w:footnoteReference w:id="10"/>
      </w:r>
      <w:r>
        <w:rPr>
          <w:rFonts w:ascii="Verdana" w:hAnsi="Verdana"/>
        </w:rPr>
        <w:t>.</w:t>
      </w:r>
    </w:p>
    <w:p w14:paraId="0A184553" w14:textId="77777777" w:rsidR="005510BC" w:rsidRPr="00206556" w:rsidRDefault="005510BC" w:rsidP="005510BC">
      <w:pPr>
        <w:spacing w:after="120" w:line="276" w:lineRule="auto"/>
        <w:ind w:firstLine="709"/>
        <w:jc w:val="both"/>
        <w:rPr>
          <w:rFonts w:ascii="Verdana" w:hAnsi="Verdana"/>
        </w:rPr>
      </w:pPr>
      <w:r w:rsidRPr="00206556">
        <w:rPr>
          <w:rFonts w:ascii="Verdana" w:hAnsi="Verdana"/>
        </w:rPr>
        <w:t>(</w:t>
      </w:r>
      <w:proofErr w:type="spellStart"/>
      <w:r>
        <w:rPr>
          <w:rFonts w:ascii="Verdana" w:hAnsi="Verdana"/>
        </w:rPr>
        <w:t>ix</w:t>
      </w:r>
      <w:proofErr w:type="spellEnd"/>
      <w:r w:rsidRPr="00206556">
        <w:rPr>
          <w:rFonts w:ascii="Verdana" w:hAnsi="Verdana"/>
        </w:rPr>
        <w:t xml:space="preserve">) En lo que concierne a la inclusión de personas con discapacidad a través de contratos de prestación de servicios profesionales y/o de apoyo a la gestión, es necesario precisar su naturaleza jurídica, pues esta medida ha generado interpretaciones encontradas en cuanto a si constituye una obligación general para todas las entidades estatales o si, por el contrario, su aplicación queda sujeta a la voluntad de cada entidad. El artículo 2.2.1.2.4.2.7.6. del Decreto 0287 de 2026 despeja esta inquietud al utilizar el verbo "propenderán" para referirse a esta medida, lo que en técnica legislativa colombiana implica un mandato de medios, es decir, realizar todos los esfuerzos necesarios, y no un mandato de resultado, contrario a contratar obligatoriamente en todos los casos. La norma condiciona expresamente la medida a la planeación contractual, la disponibilidad presupuestal y las necesidades del servicio. Aplica exclusivamente en contratación directa mediante contratos de prestación de servicios profesionales y/o de apoyo a la gestión, para entidades sometidas al Estatuto General de la Contratación Pública, sin que aplique a contratos artísticos ni a entidades de régimen especial. La entidad que decida aplicarla debe verificar la idoneidad de la </w:t>
      </w:r>
      <w:proofErr w:type="spellStart"/>
      <w:r w:rsidRPr="00206556">
        <w:rPr>
          <w:rFonts w:ascii="Verdana" w:hAnsi="Verdana"/>
        </w:rPr>
        <w:t>PcD</w:t>
      </w:r>
      <w:proofErr w:type="spellEnd"/>
      <w:r w:rsidRPr="00206556">
        <w:rPr>
          <w:rFonts w:ascii="Verdana" w:hAnsi="Verdana"/>
        </w:rPr>
        <w:t xml:space="preserve"> para cumplir el objeto, acordar los ajustes razonables necesarios, evaluar la no exigencia de garantías, que no son obligatorias para esta tipología, e indicar en el SECOP que el contrato corresponde a esta medida afirmativa. En ningún caso la medida autoriza funciones permanentes ni genera subordinación laboral. La Corte Constitucional ha reconocido que las </w:t>
      </w:r>
      <w:proofErr w:type="spellStart"/>
      <w:r w:rsidRPr="00206556">
        <w:rPr>
          <w:rFonts w:ascii="Verdana" w:hAnsi="Verdana"/>
        </w:rPr>
        <w:t>PcD</w:t>
      </w:r>
      <w:proofErr w:type="spellEnd"/>
      <w:r w:rsidRPr="00206556">
        <w:rPr>
          <w:rFonts w:ascii="Verdana" w:hAnsi="Verdana"/>
        </w:rPr>
        <w:t xml:space="preserve"> gozan </w:t>
      </w:r>
      <w:r w:rsidRPr="00206556">
        <w:rPr>
          <w:rFonts w:ascii="Verdana" w:hAnsi="Verdana"/>
        </w:rPr>
        <w:lastRenderedPageBreak/>
        <w:t>de estabilidad ocupacional reforzada</w:t>
      </w:r>
      <w:r w:rsidRPr="00206556">
        <w:rPr>
          <w:rStyle w:val="Refdenotaalpie"/>
          <w:rFonts w:ascii="Verdana" w:hAnsi="Verdana"/>
        </w:rPr>
        <w:footnoteReference w:id="11"/>
      </w:r>
      <w:r>
        <w:rPr>
          <w:rFonts w:ascii="Verdana" w:hAnsi="Verdana"/>
        </w:rPr>
        <w:t>,</w:t>
      </w:r>
      <w:r w:rsidRPr="00206556">
        <w:rPr>
          <w:rFonts w:ascii="Verdana" w:hAnsi="Verdana"/>
        </w:rPr>
        <w:t xml:space="preserve"> que aplica en el marco de estos contratos sin que ello genere relación laboral. El fundamento cuantitativo de la medida es elocuente: según datos del SECOP en el año 2024 se celebraron 747.942 contratos de prestación de servicios por un valor de $16 billones de pesos, universo que representa una oportunidad concreta de inclusión laboral de las </w:t>
      </w:r>
      <w:proofErr w:type="spellStart"/>
      <w:r w:rsidRPr="00206556">
        <w:rPr>
          <w:rFonts w:ascii="Verdana" w:hAnsi="Verdana"/>
        </w:rPr>
        <w:t>PcD</w:t>
      </w:r>
      <w:proofErr w:type="spellEnd"/>
      <w:r w:rsidRPr="00206556">
        <w:rPr>
          <w:rFonts w:ascii="Verdana" w:hAnsi="Verdana"/>
        </w:rPr>
        <w:t xml:space="preserve"> de manera progresiva y sostenida.</w:t>
      </w:r>
    </w:p>
    <w:p w14:paraId="6028323B" w14:textId="77777777" w:rsidR="005510BC" w:rsidRPr="00206556" w:rsidRDefault="005510BC" w:rsidP="005510BC">
      <w:pPr>
        <w:spacing w:after="120" w:line="276" w:lineRule="auto"/>
        <w:ind w:firstLine="709"/>
        <w:jc w:val="both"/>
        <w:rPr>
          <w:rFonts w:ascii="Verdana" w:hAnsi="Verdana"/>
        </w:rPr>
      </w:pPr>
      <w:r w:rsidRPr="00206556">
        <w:rPr>
          <w:rFonts w:ascii="Verdana" w:hAnsi="Verdana"/>
        </w:rPr>
        <w:t xml:space="preserve">(x) </w:t>
      </w:r>
      <w:r>
        <w:rPr>
          <w:rFonts w:ascii="Verdana" w:hAnsi="Verdana"/>
        </w:rPr>
        <w:t>En cuanto a</w:t>
      </w:r>
      <w:r w:rsidRPr="00206556">
        <w:rPr>
          <w:rFonts w:ascii="Verdana" w:hAnsi="Verdana"/>
        </w:rPr>
        <w:t xml:space="preserve"> la obligación de compras públicas accesibles en ausencia de normas técnicas. El artículo 2.2.1.2.4.2.7.1. del Decreto 0287 de 2026 impone a las entidades, "independientemente de su régimen de contratación", la obligación de incorporar en los contratos criterios que garanticen la accesibilidad de las </w:t>
      </w:r>
      <w:proofErr w:type="spellStart"/>
      <w:r w:rsidRPr="00206556">
        <w:rPr>
          <w:rFonts w:ascii="Verdana" w:hAnsi="Verdana"/>
        </w:rPr>
        <w:t>PcD</w:t>
      </w:r>
      <w:proofErr w:type="spellEnd"/>
      <w:r w:rsidRPr="00206556">
        <w:rPr>
          <w:rFonts w:ascii="Verdana" w:hAnsi="Verdana"/>
        </w:rPr>
        <w:t>, teniendo en cuenta las siete categorías de discapacidad definidas por el Ministerio de Salud y Protección Social: visual, física, psicosocial (mental), auditiva, sordoceguera, intelectual y múltiple. El parágrafo 2 del mismo artículo establece que cuando no se identifiquen normas legales, reglamentarias o técnicas aplicables, la entidad debe fijar una ficha técnica con criterios de accesibilidad propios: la inexistencia de norma técnica no exonera a la entidad, sino que la convierte en autora de sus propios estándares de accesibilidad para ese contrato específico. Los principios guía son los de accesibilidad universal, diseño universal y ajustes razonables, conforme a la Ley 1346 de 2009 y la Ley 1618 de 2013</w:t>
      </w:r>
      <w:r>
        <w:rPr>
          <w:rFonts w:ascii="Verdana" w:hAnsi="Verdana"/>
        </w:rPr>
        <w:t>,</w:t>
      </w:r>
      <w:r w:rsidRPr="00206556">
        <w:rPr>
          <w:rFonts w:ascii="Verdana" w:hAnsi="Verdana"/>
        </w:rPr>
        <w:t xml:space="preserve"> la cual define los ajustes razonables como las modificaciones y adaptaciones necesarias que no impongan una carga desproporcionada, para garantizar a las </w:t>
      </w:r>
      <w:proofErr w:type="spellStart"/>
      <w:r w:rsidRPr="00206556">
        <w:rPr>
          <w:rFonts w:ascii="Verdana" w:hAnsi="Verdana"/>
        </w:rPr>
        <w:t>PcD</w:t>
      </w:r>
      <w:proofErr w:type="spellEnd"/>
      <w:r w:rsidRPr="00206556">
        <w:rPr>
          <w:rFonts w:ascii="Verdana" w:hAnsi="Verdana"/>
        </w:rPr>
        <w:t xml:space="preserve"> el goce de sus derechos en igualdad de condiciones. Los criterios se determinan en los estudios y documentos previos, procurando la mayor cobertura posible de las categorías de discapacidad.</w:t>
      </w:r>
    </w:p>
    <w:p w14:paraId="011BDA4D" w14:textId="77777777" w:rsidR="005510BC" w:rsidRDefault="005510BC" w:rsidP="005510BC">
      <w:pPr>
        <w:spacing w:after="120" w:line="276" w:lineRule="auto"/>
        <w:ind w:firstLine="709"/>
        <w:jc w:val="both"/>
        <w:rPr>
          <w:rFonts w:ascii="Verdana" w:hAnsi="Verdana"/>
        </w:rPr>
      </w:pPr>
      <w:r w:rsidRPr="00206556">
        <w:rPr>
          <w:rFonts w:ascii="Verdana" w:hAnsi="Verdana"/>
        </w:rPr>
        <w:t>(x</w:t>
      </w:r>
      <w:r>
        <w:rPr>
          <w:rFonts w:ascii="Verdana" w:hAnsi="Verdana"/>
        </w:rPr>
        <w:t>i</w:t>
      </w:r>
      <w:r w:rsidRPr="00206556">
        <w:rPr>
          <w:rFonts w:ascii="Verdana" w:hAnsi="Verdana"/>
        </w:rPr>
        <w:t xml:space="preserve">) </w:t>
      </w:r>
      <w:r>
        <w:rPr>
          <w:rFonts w:ascii="Verdana" w:hAnsi="Verdana"/>
        </w:rPr>
        <w:t>Sobre</w:t>
      </w:r>
      <w:r w:rsidRPr="00206556">
        <w:rPr>
          <w:rFonts w:ascii="Verdana" w:hAnsi="Verdana"/>
        </w:rPr>
        <w:t xml:space="preserve"> las consecuencias de la reducción de </w:t>
      </w:r>
      <w:proofErr w:type="spellStart"/>
      <w:r w:rsidRPr="00206556">
        <w:rPr>
          <w:rFonts w:ascii="Verdana" w:hAnsi="Verdana"/>
        </w:rPr>
        <w:t>PcD</w:t>
      </w:r>
      <w:proofErr w:type="spellEnd"/>
      <w:r w:rsidRPr="00206556">
        <w:rPr>
          <w:rFonts w:ascii="Verdana" w:hAnsi="Verdana"/>
        </w:rPr>
        <w:t xml:space="preserve"> durante la ejecución del contrato. El parágrafo 3 del artículo 2.2.1.2.4.2.7.4. del Decreto 0287 de 2026 establece que el contratista debe presentar con cada solicitud de pago la documentación que acredite la permanencia de las condiciones que dieron lugar al puntaje adicional, y que</w:t>
      </w:r>
      <w:r>
        <w:rPr>
          <w:rFonts w:ascii="Verdana" w:hAnsi="Verdana"/>
        </w:rPr>
        <w:t>:</w:t>
      </w:r>
    </w:p>
    <w:p w14:paraId="24927FC9" w14:textId="77777777" w:rsidR="005510BC" w:rsidRPr="00206556" w:rsidRDefault="005510BC" w:rsidP="005510BC">
      <w:pPr>
        <w:spacing w:after="0" w:line="276" w:lineRule="auto"/>
        <w:ind w:firstLine="708"/>
        <w:jc w:val="both"/>
        <w:rPr>
          <w:rFonts w:ascii="Verdana" w:hAnsi="Verdana"/>
        </w:rPr>
      </w:pPr>
      <w:r w:rsidRPr="00206556">
        <w:rPr>
          <w:rFonts w:ascii="Verdana" w:hAnsi="Verdana"/>
        </w:rPr>
        <w:t xml:space="preserve"> </w:t>
      </w:r>
    </w:p>
    <w:p w14:paraId="233D0442" w14:textId="77777777" w:rsidR="005510BC" w:rsidRPr="00206556" w:rsidRDefault="005510BC" w:rsidP="005510BC">
      <w:pPr>
        <w:spacing w:after="200"/>
        <w:ind w:left="851" w:right="1183"/>
        <w:jc w:val="both"/>
        <w:rPr>
          <w:rFonts w:ascii="Verdana" w:hAnsi="Verdana"/>
          <w:sz w:val="20"/>
          <w:szCs w:val="20"/>
        </w:rPr>
      </w:pPr>
      <w:r w:rsidRPr="00206556">
        <w:rPr>
          <w:rFonts w:ascii="Verdana" w:hAnsi="Verdana"/>
          <w:sz w:val="20"/>
          <w:szCs w:val="20"/>
        </w:rPr>
        <w:t xml:space="preserve">"la inobservancia de estas medidas y el incumplimiento injustificado en la reducción del número de trabajadores con discapacidad de la </w:t>
      </w:r>
      <w:r w:rsidRPr="00206556">
        <w:rPr>
          <w:rFonts w:ascii="Verdana" w:hAnsi="Verdana"/>
          <w:sz w:val="20"/>
          <w:szCs w:val="20"/>
        </w:rPr>
        <w:lastRenderedPageBreak/>
        <w:t>planta de personal acreditado para obtener el puntaje adicional podrá constituir causal de incumplimiento contractual y se tramitará conforme a la normatividad vigente"</w:t>
      </w:r>
      <w:r>
        <w:rPr>
          <w:rFonts w:ascii="Verdana" w:hAnsi="Verdana"/>
          <w:sz w:val="20"/>
          <w:szCs w:val="20"/>
        </w:rPr>
        <w:t>.</w:t>
      </w:r>
    </w:p>
    <w:p w14:paraId="76D92CD4" w14:textId="77777777" w:rsidR="005510BC" w:rsidRPr="00206556" w:rsidRDefault="005510BC" w:rsidP="005510BC">
      <w:pPr>
        <w:spacing w:after="200"/>
        <w:ind w:firstLine="708"/>
        <w:jc w:val="both"/>
        <w:rPr>
          <w:rFonts w:ascii="Verdana" w:hAnsi="Verdana"/>
        </w:rPr>
      </w:pPr>
      <w:r w:rsidRPr="00206556">
        <w:rPr>
          <w:rFonts w:ascii="Verdana" w:hAnsi="Verdana"/>
        </w:rPr>
        <w:t xml:space="preserve">El término "podrá" indica que la entidad tiene discrecionalidad para declarar o no el incumplimiento, valorando la justificación del contratista, el impacto real en el objeto del contrato y la posibilidad de subsanación. Solo queda exonerado quien demuestre fuerza mayor o caso fortuito. El parágrafo 4 del mismo artículo añade que las medidas deben observar las garantías constitucionales de la estabilidad laboral reforzada de las </w:t>
      </w:r>
      <w:proofErr w:type="spellStart"/>
      <w:r w:rsidRPr="00206556">
        <w:rPr>
          <w:rFonts w:ascii="Verdana" w:hAnsi="Verdana"/>
        </w:rPr>
        <w:t>PcD</w:t>
      </w:r>
      <w:proofErr w:type="spellEnd"/>
      <w:r w:rsidRPr="00206556">
        <w:rPr>
          <w:rFonts w:ascii="Verdana" w:hAnsi="Verdana"/>
        </w:rPr>
        <w:t xml:space="preserve">, reconocida por la Corte Constitucional como una protección especial frente a la terminación del vínculo laboral sin autorización del Ministerio del Trabajo. Esto significa que la entidad contratante no puede presionar al contratista a mantener vinculaciones laborales desconociendo derechos laborales de las </w:t>
      </w:r>
      <w:proofErr w:type="spellStart"/>
      <w:r w:rsidRPr="00206556">
        <w:rPr>
          <w:rFonts w:ascii="Verdana" w:hAnsi="Verdana"/>
        </w:rPr>
        <w:t>PcD</w:t>
      </w:r>
      <w:proofErr w:type="spellEnd"/>
      <w:r w:rsidRPr="00206556">
        <w:rPr>
          <w:rFonts w:ascii="Verdana" w:hAnsi="Verdana"/>
        </w:rPr>
        <w:t>: la norma busca estabilidad real y no meramente nominal, de modo que el contratista debe adoptar las medidas de permanencia compatibles con el ordenamiento laboral vigente.</w:t>
      </w:r>
    </w:p>
    <w:p w14:paraId="0499C934"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w:t>
      </w:r>
      <w:proofErr w:type="spellStart"/>
      <w:r w:rsidRPr="00670CFB">
        <w:rPr>
          <w:rFonts w:ascii="Verdana" w:hAnsi="Verdana"/>
        </w:rPr>
        <w:t>xi</w:t>
      </w:r>
      <w:r>
        <w:rPr>
          <w:rFonts w:ascii="Verdana" w:hAnsi="Verdana"/>
        </w:rPr>
        <w:t>i</w:t>
      </w:r>
      <w:proofErr w:type="spellEnd"/>
      <w:r w:rsidRPr="00670CFB">
        <w:rPr>
          <w:rFonts w:ascii="Verdana" w:hAnsi="Verdana"/>
        </w:rPr>
        <w:t>)</w:t>
      </w:r>
      <w:r>
        <w:rPr>
          <w:rFonts w:ascii="Verdana" w:hAnsi="Verdana"/>
        </w:rPr>
        <w:t xml:space="preserve"> </w:t>
      </w:r>
      <w:r w:rsidRPr="00670CFB">
        <w:rPr>
          <w:rFonts w:ascii="Verdana" w:hAnsi="Verdana"/>
        </w:rPr>
        <w:t xml:space="preserve">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se derivan de su inobservancia, es necesario precisar que el Decreto 0287 de 2026 no concibe la inclusión de las </w:t>
      </w:r>
      <w:proofErr w:type="spellStart"/>
      <w:r w:rsidRPr="00670CFB">
        <w:rPr>
          <w:rFonts w:ascii="Verdana" w:hAnsi="Verdana"/>
        </w:rPr>
        <w:t>PcD</w:t>
      </w:r>
      <w:proofErr w:type="spellEnd"/>
      <w:r w:rsidRPr="00670CFB">
        <w:rPr>
          <w:rFonts w:ascii="Verdana" w:hAnsi="Verdana"/>
        </w:rPr>
        <w:t xml:space="preserve"> como un momento aislado sino como un compromiso continuo que atraviesa todo el ciclo contractual. Cada medida tiene un momento de activación, unas obligaciones concretas para la entidad y el contratista, y unas consecuencias específicas frente a su incumplimiento, que se exponen a continuación.</w:t>
      </w:r>
    </w:p>
    <w:p w14:paraId="1AC87548"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primera medida son las herramientas de planeación para procesos inclusivos, reguladas en el artículo 2.2.1.2.4.2.7.2. del Decreto 1082 de 2015 (modificado), que se activan en la fase precontractual, antes de la apertura del proceso, y comprenden tres instrumentos. El primero son las ferias de negocios inclusivas, que consisten en reuniones entre la entidad contratante y los emprendimientos y empresas de </w:t>
      </w:r>
      <w:proofErr w:type="spellStart"/>
      <w:r w:rsidRPr="00670CFB">
        <w:rPr>
          <w:rFonts w:ascii="Verdana" w:hAnsi="Verdana"/>
        </w:rPr>
        <w:t>PcD</w:t>
      </w:r>
      <w:proofErr w:type="spellEnd"/>
      <w:r w:rsidRPr="00670CFB">
        <w:rPr>
          <w:rFonts w:ascii="Verdana" w:hAnsi="Verdana"/>
        </w:rPr>
        <w:t xml:space="preserve"> que puedan ofrecer los bienes, obras o servicios requeridos, con el propósito de identificarlos en el mercado y recibir sus observaciones sobre la estructuración del proceso antes de que este sea abierto; estas ferias no son ruedas de negocios ni implican compromisos contractuales, sino un ejercicio de planeación responsable que puede realizarse </w:t>
      </w:r>
      <w:r w:rsidRPr="00670CFB">
        <w:rPr>
          <w:rFonts w:ascii="Verdana" w:hAnsi="Verdana"/>
        </w:rPr>
        <w:lastRenderedPageBreak/>
        <w:t xml:space="preserve">simultáneamente con las ferias previstas para MiPymes. El segundo instrumento es la incorporación de criterios sociales en los pliegos de condiciones, que permite a la entidad establecer exigencias adicionales vinculadas al objeto del contrato que promuevan la integración laboral de las </w:t>
      </w:r>
      <w:proofErr w:type="spellStart"/>
      <w:r w:rsidRPr="00670CFB">
        <w:rPr>
          <w:rFonts w:ascii="Verdana" w:hAnsi="Verdana"/>
        </w:rPr>
        <w:t>PcD</w:t>
      </w:r>
      <w:proofErr w:type="spellEnd"/>
      <w:r w:rsidRPr="00670CFB">
        <w:rPr>
          <w:rFonts w:ascii="Verdana" w:hAnsi="Verdana"/>
        </w:rPr>
        <w:t xml:space="preserve">, más allá de lo que el propio decreto ya exige como mínimo obligatorio. El tercero es la división del proceso en lotes o segmentos, que facilita la participación de emprendimientos de menor capacidad al reducir la escala de las obligaciones contractuales requeridas para cada parte. Estas herramientas aplican a las entidades </w:t>
      </w:r>
      <w:r>
        <w:rPr>
          <w:rFonts w:ascii="Verdana" w:hAnsi="Verdana"/>
        </w:rPr>
        <w:t xml:space="preserve">sometidas al </w:t>
      </w:r>
      <w:r w:rsidRPr="00670CFB">
        <w:rPr>
          <w:rFonts w:ascii="Verdana" w:hAnsi="Verdana"/>
        </w:rPr>
        <w:t>Estatuto</w:t>
      </w:r>
      <w:r>
        <w:rPr>
          <w:rFonts w:ascii="Verdana" w:hAnsi="Verdana"/>
        </w:rPr>
        <w:t xml:space="preserve"> General de Contratación Pública </w:t>
      </w:r>
      <w:r w:rsidRPr="00670CFB">
        <w:rPr>
          <w:rFonts w:ascii="Verdana" w:hAnsi="Verdana"/>
        </w:rPr>
        <w:t>en licitación pública, concurso de méritos, mínima cuantía y selección abreviada, pero no en contratación directa, que tiene su propia medida afirmativa. Su omisión injustificada en los estudios previos puede comprometer la legalidad de la planeación contractual al desconocer una obligación legal expresa.</w:t>
      </w:r>
    </w:p>
    <w:p w14:paraId="17481723"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segunda medida son los criterios habilitantes diferenciales, regulados en el artículo 2.2.1.2.4.2.7.3. del Decreto 1082 de 2015 (modificado), que operan en la fase de selección y consisten en la obligación de establecer requisitos habilitantes ajustados o reducidos en materia de experiencia, capacidad financiera, capacidad organizacional o valor de la garantía de seriedad de la oferta, para facilitar la participación de los emprendimientos y empresas de </w:t>
      </w:r>
      <w:proofErr w:type="spellStart"/>
      <w:r w:rsidRPr="00670CFB">
        <w:rPr>
          <w:rFonts w:ascii="Verdana" w:hAnsi="Verdana"/>
        </w:rPr>
        <w:t>PcD</w:t>
      </w:r>
      <w:proofErr w:type="spellEnd"/>
      <w:r w:rsidRPr="00670CFB">
        <w:rPr>
          <w:rFonts w:ascii="Verdana" w:hAnsi="Verdana"/>
        </w:rPr>
        <w:t xml:space="preserve"> con domicilio en el territorio nacional. La entidad debe flexibilizar la mayor cantidad posible de estos requisitos de acuerdo con lo que resulte justificado en sus estudios previos, garantizando en todo caso que los requisitos ajustados sean suficientes para acreditar la idoneidad del proponente y el adecuado cumplimiento del objeto contractual, con el límite del principio de proporcionalidad. Esta medida aplica en licitación pública, selección abreviada y concurso de méritos, tanto en el régimen de</w:t>
      </w:r>
      <w:r>
        <w:rPr>
          <w:rFonts w:ascii="Verdana" w:hAnsi="Verdana"/>
        </w:rPr>
        <w:t>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como en los procesos competitivos de entidades con régimen especial, pero no en mínima cuantía ni en contratación directa. Aplica exclusivamente para los emprendimientos y empresas de </w:t>
      </w:r>
      <w:proofErr w:type="spellStart"/>
      <w:r w:rsidRPr="00670CFB">
        <w:rPr>
          <w:rFonts w:ascii="Verdana" w:hAnsi="Verdana"/>
        </w:rPr>
        <w:t>PcD</w:t>
      </w:r>
      <w:proofErr w:type="spellEnd"/>
      <w:r w:rsidRPr="00670CFB">
        <w:rPr>
          <w:rFonts w:ascii="Verdana" w:hAnsi="Verdana"/>
        </w:rPr>
        <w:t xml:space="preserve"> y no para los empleadores de </w:t>
      </w:r>
      <w:proofErr w:type="spellStart"/>
      <w:r w:rsidRPr="00670CFB">
        <w:rPr>
          <w:rFonts w:ascii="Verdana" w:hAnsi="Verdana"/>
        </w:rPr>
        <w:t>PcD</w:t>
      </w:r>
      <w:proofErr w:type="spellEnd"/>
      <w:r w:rsidRPr="00670CFB">
        <w:rPr>
          <w:rFonts w:ascii="Verdana" w:hAnsi="Verdana"/>
        </w:rPr>
        <w:t>. En tratándose de proponentes plurales, opera cuando al menos uno de los integrantes cumple las condiciones del artículo 2.2.1.2.4.2.6. con una participación no inferior al 10%, aportando la experiencia en proporción equivalente a su participación. Su omisión injustificada en el pliego de condiciones puede constituir una barrera de acceso contraria a los mandatos del decreto y comprometer la validez del proceso de selección.</w:t>
      </w:r>
    </w:p>
    <w:p w14:paraId="43AC543C"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lastRenderedPageBreak/>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w:t>
      </w:r>
      <w:proofErr w:type="spellStart"/>
      <w:r w:rsidRPr="00670CFB">
        <w:rPr>
          <w:rFonts w:ascii="Verdana" w:hAnsi="Verdana"/>
        </w:rPr>
        <w:t>PcD</w:t>
      </w:r>
      <w:proofErr w:type="spellEnd"/>
      <w:r w:rsidRPr="00670CFB">
        <w:rPr>
          <w:rFonts w:ascii="Verdana" w:hAnsi="Verdana"/>
        </w:rPr>
        <w:t xml:space="preserve"> o ser empleadores de </w:t>
      </w:r>
      <w:proofErr w:type="spellStart"/>
      <w:r w:rsidRPr="00670CFB">
        <w:rPr>
          <w:rFonts w:ascii="Verdana" w:hAnsi="Verdana"/>
        </w:rPr>
        <w:t>PcD</w:t>
      </w:r>
      <w:proofErr w:type="spellEnd"/>
      <w:r w:rsidRPr="00670CFB">
        <w:rPr>
          <w:rFonts w:ascii="Verdana" w:hAnsi="Verdana"/>
        </w:rPr>
        <w:t xml:space="preserve"> que superen los mínimos de vinculación exigidos por la Ley 2466 de 2025. </w:t>
      </w:r>
      <w:r>
        <w:rPr>
          <w:rFonts w:ascii="Verdana" w:hAnsi="Verdana"/>
        </w:rPr>
        <w:t>Como ya se indicó anteriormente, e</w:t>
      </w:r>
      <w:r w:rsidRPr="00670CFB">
        <w:rPr>
          <w:rFonts w:ascii="Verdana" w:hAnsi="Verdana"/>
        </w:rPr>
        <w:t xml:space="preserve">ste puntaje es único </w:t>
      </w:r>
      <w:r>
        <w:rPr>
          <w:rFonts w:ascii="Verdana" w:hAnsi="Verdana"/>
        </w:rPr>
        <w:t xml:space="preserve">y no </w:t>
      </w:r>
      <w:r w:rsidRPr="00670CFB">
        <w:rPr>
          <w:rFonts w:ascii="Verdana" w:hAnsi="Verdana"/>
        </w:rPr>
        <w:t xml:space="preserve">acumulable: aunque el proponente acredite ambas condiciones simultáneamente, el puntaje máximo a otorgar es siempre el 2%, sin que las condiciones sean sumables. Aplica únicamente en entidades </w:t>
      </w:r>
      <w:r>
        <w:rPr>
          <w:rFonts w:ascii="Verdana" w:hAnsi="Verdana"/>
        </w:rPr>
        <w:t>sometidas al Estatuto General de Contratación Pública</w:t>
      </w:r>
      <w:r w:rsidRPr="00670CFB">
        <w:rPr>
          <w:rFonts w:ascii="Verdana" w:hAnsi="Verdana"/>
        </w:rPr>
        <w:t xml:space="preserve">, en licitación pública y concurso de méritos. La acreditación exige, entre otros documentos, los certificados de aportes a seguridad social de los tres (3) meses anteriores a la presentación de la oferta para cada </w:t>
      </w:r>
      <w:proofErr w:type="spellStart"/>
      <w:r w:rsidRPr="00670CFB">
        <w:rPr>
          <w:rFonts w:ascii="Verdana" w:hAnsi="Verdana"/>
        </w:rPr>
        <w:t>PcD</w:t>
      </w:r>
      <w:proofErr w:type="spellEnd"/>
      <w:r w:rsidRPr="00670CFB">
        <w:rPr>
          <w:rFonts w:ascii="Verdana" w:hAnsi="Verdana"/>
        </w:rPr>
        <w:t xml:space="preserve"> incluida en el cómputo, junto con el certificado del Ministerio de Trabajo. La no inclusión de este puntaje 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w:t>
      </w:r>
      <w:proofErr w:type="spellStart"/>
      <w:r w:rsidRPr="00670CFB">
        <w:rPr>
          <w:rFonts w:ascii="Verdana" w:hAnsi="Verdana"/>
        </w:rPr>
        <w:t>PcD</w:t>
      </w:r>
      <w:proofErr w:type="spellEnd"/>
      <w:r w:rsidRPr="00670CFB">
        <w:rPr>
          <w:rFonts w:ascii="Verdana" w:hAnsi="Verdana"/>
        </w:rPr>
        <w:t xml:space="preserve"> vinculadas puede constituir causal de incumplimiento contractual, salvo que se demuestre fuerza mayor o caso fortuito, y en todo caso respetando el derecho a la estabilidad laboral reforzada de las </w:t>
      </w:r>
      <w:proofErr w:type="spellStart"/>
      <w:r w:rsidRPr="00670CFB">
        <w:rPr>
          <w:rFonts w:ascii="Verdana" w:hAnsi="Verdana"/>
        </w:rPr>
        <w:t>PcD</w:t>
      </w:r>
      <w:proofErr w:type="spellEnd"/>
      <w:r w:rsidRPr="00670CFB">
        <w:rPr>
          <w:rFonts w:ascii="Verdana" w:hAnsi="Verdana"/>
        </w:rPr>
        <w:t>.</w:t>
      </w:r>
    </w:p>
    <w:p w14:paraId="45285651"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cuarta medida son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w:t>
      </w:r>
      <w:proofErr w:type="spellStart"/>
      <w:r w:rsidRPr="00670CFB">
        <w:rPr>
          <w:rFonts w:ascii="Verdana" w:hAnsi="Verdana"/>
        </w:rPr>
        <w:t>PcD</w:t>
      </w:r>
      <w:proofErr w:type="spellEnd"/>
      <w:r w:rsidRPr="00670CFB">
        <w:rPr>
          <w:rFonts w:ascii="Verdana" w:hAnsi="Verdana"/>
        </w:rPr>
        <w:t xml:space="preserve"> y a emprendimientos y empresas de </w:t>
      </w:r>
      <w:proofErr w:type="spellStart"/>
      <w:r w:rsidRPr="00670CFB">
        <w:rPr>
          <w:rFonts w:ascii="Verdana" w:hAnsi="Verdana"/>
        </w:rPr>
        <w:t>PcD</w:t>
      </w:r>
      <w:proofErr w:type="spellEnd"/>
      <w:r w:rsidRPr="00670CFB">
        <w:rPr>
          <w:rFonts w:ascii="Verdana" w:hAnsi="Verdana"/>
        </w:rPr>
        <w:t xml:space="preserve">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w:t>
      </w:r>
      <w:proofErr w:type="spellStart"/>
      <w:r w:rsidRPr="00670CFB">
        <w:rPr>
          <w:rFonts w:ascii="Verdana" w:hAnsi="Verdana"/>
        </w:rPr>
        <w:t>PcD</w:t>
      </w:r>
      <w:proofErr w:type="spellEnd"/>
      <w:r w:rsidRPr="00670CFB">
        <w:rPr>
          <w:rFonts w:ascii="Verdana" w:hAnsi="Verdana"/>
        </w:rPr>
        <w:t xml:space="preserve"> y sus empresas tengan preferencia cuando existan en el mercado y sea factible su vinculación. Esta medida aplica en entidades </w:t>
      </w:r>
      <w:r>
        <w:rPr>
          <w:rFonts w:ascii="Verdana" w:hAnsi="Verdana"/>
        </w:rPr>
        <w:t>sometidas al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en todas las modalidades, incluida la contratación directa. Solo puede omitirse su inclusión cuando la entidad justifique expresamente esa decisión en los estudios previos con argumentos objetivos </w:t>
      </w:r>
      <w:r w:rsidRPr="00670CFB">
        <w:rPr>
          <w:rFonts w:ascii="Verdana" w:hAnsi="Verdana"/>
        </w:rPr>
        <w:lastRenderedPageBreak/>
        <w:t>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37843712"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quinta medida es la inclusión de </w:t>
      </w:r>
      <w:proofErr w:type="spellStart"/>
      <w:r w:rsidRPr="00670CFB">
        <w:rPr>
          <w:rFonts w:ascii="Verdana" w:hAnsi="Verdana"/>
        </w:rPr>
        <w:t>PcD</w:t>
      </w:r>
      <w:proofErr w:type="spellEnd"/>
      <w:r w:rsidRPr="00670CFB">
        <w:rPr>
          <w:rFonts w:ascii="Verdana" w:hAnsi="Verdana"/>
        </w:rPr>
        <w:t xml:space="preserve"> en contratos de prestación de servicios profesionales y/o de apoyo a la gestión, regulada en el artículo 2.2.1.2.4.2.7.6. del Decreto 1082 de 2015 (modificado), que opera en la modalidad de contratación directa y tiene carácter potestativo: las entidades </w:t>
      </w:r>
      <w:r>
        <w:rPr>
          <w:rFonts w:ascii="Verdana" w:hAnsi="Verdana"/>
        </w:rPr>
        <w:t>sometidas al Estatuto General de Contratación Pública</w:t>
      </w:r>
      <w:r w:rsidRPr="00670CFB">
        <w:rPr>
          <w:rFonts w:ascii="Verdana" w:hAnsi="Verdana"/>
        </w:rPr>
        <w:t xml:space="preserve">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w:t>
      </w:r>
      <w:proofErr w:type="spellStart"/>
      <w:r w:rsidRPr="00670CFB">
        <w:rPr>
          <w:rFonts w:ascii="Verdana" w:hAnsi="Verdana"/>
        </w:rPr>
        <w:t>PcD</w:t>
      </w:r>
      <w:proofErr w:type="spellEnd"/>
      <w:r w:rsidRPr="00670CFB">
        <w:rPr>
          <w:rFonts w:ascii="Verdana" w:hAnsi="Verdana"/>
        </w:rPr>
        <w:t xml:space="preserve">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esta medida a través del SECOP, evaluando pertinencia, duración, objeto y nivel de especialización de cada contrato.</w:t>
      </w:r>
    </w:p>
    <w:p w14:paraId="6641789D"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A estas cinco medidas se suma, de manera transversal e independiente, la obligación de compras públicas accesibles regulada en el artículo 2.2.1.2.4.2.7.1. del Decreto 1082 de 2015 (modificado), que aplica a todos los entes del Estado con independencia de su régimen de contratación, en todas las modalidades de selección incluida la contratación directa, y en todos los contratos en </w:t>
      </w:r>
      <w:r>
        <w:rPr>
          <w:rFonts w:ascii="Verdana" w:hAnsi="Verdana"/>
        </w:rPr>
        <w:t>los que se adquieran</w:t>
      </w:r>
      <w:r w:rsidRPr="00670CFB">
        <w:rPr>
          <w:rFonts w:ascii="Verdana" w:hAnsi="Verdana"/>
        </w:rPr>
        <w:t xml:space="preserve"> bien</w:t>
      </w:r>
      <w:r>
        <w:rPr>
          <w:rFonts w:ascii="Verdana" w:hAnsi="Verdana"/>
        </w:rPr>
        <w:t>es</w:t>
      </w:r>
      <w:r w:rsidRPr="00670CFB">
        <w:rPr>
          <w:rFonts w:ascii="Verdana" w:hAnsi="Verdana"/>
        </w:rPr>
        <w:t>, obra</w:t>
      </w:r>
      <w:r>
        <w:rPr>
          <w:rFonts w:ascii="Verdana" w:hAnsi="Verdana"/>
        </w:rPr>
        <w:t>s</w:t>
      </w:r>
      <w:r w:rsidRPr="00670CFB">
        <w:rPr>
          <w:rFonts w:ascii="Verdana" w:hAnsi="Verdana"/>
        </w:rPr>
        <w:t xml:space="preserve"> o servicio</w:t>
      </w:r>
      <w:r>
        <w:rPr>
          <w:rFonts w:ascii="Verdana" w:hAnsi="Verdana"/>
        </w:rPr>
        <w:t>s</w:t>
      </w:r>
      <w:r w:rsidRPr="00670CFB">
        <w:rPr>
          <w:rFonts w:ascii="Verdana" w:hAnsi="Verdana"/>
        </w:rPr>
        <w:t xml:space="preserve">. Esta obligación consiste en incorporar en los estudios previos y en los documentos del proceso criterios que garanticen la accesibilidad de las </w:t>
      </w:r>
      <w:proofErr w:type="spellStart"/>
      <w:r w:rsidRPr="00670CFB">
        <w:rPr>
          <w:rFonts w:ascii="Verdana" w:hAnsi="Verdana"/>
        </w:rPr>
        <w:t>PcD</w:t>
      </w:r>
      <w:proofErr w:type="spellEnd"/>
      <w:r w:rsidRPr="00670CFB">
        <w:rPr>
          <w:rFonts w:ascii="Verdana" w:hAnsi="Verdana"/>
        </w:rPr>
        <w:t xml:space="preserve">,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 Cuando no existan normas legales, reglamentarias o técnicas aplicables al objeto del </w:t>
      </w:r>
      <w:r w:rsidRPr="00670CFB">
        <w:rPr>
          <w:rFonts w:ascii="Verdana" w:hAnsi="Verdana"/>
        </w:rPr>
        <w:lastRenderedPageBreak/>
        <w:t xml:space="preserve">contrato, la entidad debe elaborar una ficha técnica propia con criterios de accesibilidad; la inexistencia de norma técnica no exonera a la entidad de esta </w:t>
      </w:r>
      <w:proofErr w:type="gramStart"/>
      <w:r w:rsidRPr="00670CFB">
        <w:rPr>
          <w:rFonts w:ascii="Verdana" w:hAnsi="Verdana"/>
        </w:rPr>
        <w:t>obligación</w:t>
      </w:r>
      <w:proofErr w:type="gramEnd"/>
      <w:r w:rsidRPr="00670CFB">
        <w:rPr>
          <w:rFonts w:ascii="Verdana" w:hAnsi="Verdana"/>
        </w:rPr>
        <w:t xml:space="preserve"> sino que la convierte en autora de sus propios estándares de accesibilidad para ese contrato específico.</w:t>
      </w:r>
    </w:p>
    <w:p w14:paraId="78BD1F62"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0A69F894" w14:textId="77777777" w:rsidR="005510BC" w:rsidRPr="00206556" w:rsidRDefault="005510BC" w:rsidP="005510BC">
      <w:pPr>
        <w:spacing w:after="0" w:line="276" w:lineRule="auto"/>
        <w:jc w:val="both"/>
        <w:rPr>
          <w:rFonts w:ascii="Verdana" w:eastAsia="Calibri" w:hAnsi="Verdana" w:cs="Arial"/>
          <w:lang w:val="es-ES"/>
        </w:rPr>
      </w:pPr>
    </w:p>
    <w:p w14:paraId="1E71F08D" w14:textId="77777777" w:rsidR="005510BC" w:rsidRPr="00206556" w:rsidRDefault="005510BC" w:rsidP="005510BC">
      <w:pPr>
        <w:spacing w:after="120" w:line="276" w:lineRule="auto"/>
        <w:jc w:val="both"/>
        <w:rPr>
          <w:rFonts w:ascii="Verdana" w:eastAsia="Century Gothic" w:hAnsi="Verdana" w:cs="Century Gothic"/>
          <w:b/>
          <w:lang w:val="es-ES"/>
        </w:rPr>
      </w:pPr>
      <w:r w:rsidRPr="00206556">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510BC" w:rsidRPr="00206556" w14:paraId="592A0E63" w14:textId="77777777" w:rsidTr="00AD17AD">
        <w:trPr>
          <w:trHeight w:val="297"/>
        </w:trPr>
        <w:tc>
          <w:tcPr>
            <w:tcW w:w="8647" w:type="dxa"/>
          </w:tcPr>
          <w:p w14:paraId="14262033" w14:textId="77777777" w:rsidR="005510BC" w:rsidRPr="00670CFB"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670CFB">
              <w:rPr>
                <w:rFonts w:ascii="Verdana" w:eastAsia="Arial MT" w:hAnsi="Verdana" w:cs="Arial"/>
                <w:lang w:eastAsia="es-ES" w:bidi="es-ES"/>
              </w:rPr>
              <w:t>Constitución Política de Colombia. Artículos 13, 47, 54 y 93.</w:t>
            </w:r>
          </w:p>
          <w:p w14:paraId="15AE093D"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 de 1967. Por la cual se aprueba el Convenio número 111 Internacional del Trabajo, relativo a la discriminación en materia de empleo y ocupación.</w:t>
            </w:r>
          </w:p>
          <w:p w14:paraId="50A5324A"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82 de 1988. Por la cual se aprueba el Convenio 159 de la OIT sobre readaptación profesional y empleo de personas inválidas.</w:t>
            </w:r>
          </w:p>
          <w:p w14:paraId="6C87258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361 de 1997. Artículo 24.</w:t>
            </w:r>
          </w:p>
          <w:p w14:paraId="17B6EA4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5F45AD8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1346 de 2009. Por medio de la cual se aprueba la Convención sobre los Derechos de las Personas con Discapacidad de la ONU.</w:t>
            </w:r>
          </w:p>
          <w:p w14:paraId="0F1F262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Estatutaria 1618 de 2013. Artículo 13, numerales 1, 7 y 8.</w:t>
            </w:r>
          </w:p>
          <w:p w14:paraId="390787A7"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1996 de 2019. Artículo 62.</w:t>
            </w:r>
          </w:p>
          <w:p w14:paraId="70EBD134"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2069 de 2020. Artículos 34 y 35.</w:t>
            </w:r>
          </w:p>
          <w:p w14:paraId="21C5B94B"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2294 de 2023. Artículos 4, 76 y 79.</w:t>
            </w:r>
          </w:p>
          <w:p w14:paraId="39624066"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2466 de 2025. Artículo 15, numeral 17.</w:t>
            </w:r>
          </w:p>
          <w:p w14:paraId="094D4DD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1082 de 2015. Artículos 2.2.1.2.4.2.6., 2.2.1.2.4.2.7. y siguientes, y 2.2.1.2.4.2.8., modificados por el Decreto 0287 de 2026.</w:t>
            </w:r>
          </w:p>
          <w:p w14:paraId="75B00133"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392 de 2018. Derogado en lo contrario por el Decreto 0287 de 2026.</w:t>
            </w:r>
          </w:p>
          <w:p w14:paraId="7C2B0865"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lastRenderedPageBreak/>
              <w:t>Decreto 1860 de 2021. Artículo 3.</w:t>
            </w:r>
          </w:p>
          <w:p w14:paraId="19EE0919"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0287 de 2026. Por el cual se modifican los artículos 2.2.1.2.4.2.6., 2.2.1.2.4.2.7. y 2.2.1.2.4.2.8. del Decreto 1082 de 2015.</w:t>
            </w:r>
          </w:p>
          <w:p w14:paraId="5BDFC80A"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C-410 de 2001. M.P. Álvaro Tafur Galvis.</w:t>
            </w:r>
          </w:p>
          <w:p w14:paraId="330A1E2C"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SU-049 de 2017. M.P. María Victoria Calle Correa.</w:t>
            </w:r>
          </w:p>
          <w:p w14:paraId="26343F19"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Consejo de Estado. Sala de lo Contencioso Administrativo, Sección Quinta. Sentencia de acción de cumplimiento del 12 de diciembre de 2024. Rad. </w:t>
            </w:r>
            <w:proofErr w:type="spellStart"/>
            <w:r w:rsidRPr="00206556">
              <w:rPr>
                <w:rFonts w:ascii="Verdana" w:eastAsia="Arial MT" w:hAnsi="Verdana" w:cs="Arial"/>
                <w:lang w:eastAsia="es-ES" w:bidi="es-ES"/>
              </w:rPr>
              <w:t>n.°</w:t>
            </w:r>
            <w:proofErr w:type="spellEnd"/>
            <w:r w:rsidRPr="00206556">
              <w:rPr>
                <w:rFonts w:ascii="Verdana" w:eastAsia="Arial MT" w:hAnsi="Verdana" w:cs="Arial"/>
                <w:lang w:eastAsia="es-ES" w:bidi="es-ES"/>
              </w:rPr>
              <w:t xml:space="preserve"> 05001-23-33-000-2024-00847-01. M.P. Omar Joaquín Barreto Suárez.</w:t>
            </w:r>
          </w:p>
          <w:p w14:paraId="3D657601"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Consejo de Estado. Sala de Consulta y Servicio Civil. Concepto del 24 de julio de 2013. Rad. 2166. C.P. Álvaro Namén Vargas.</w:t>
            </w:r>
          </w:p>
          <w:p w14:paraId="786CC89F"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Circular Externa sobre orientaciones para la aplicación del Decreto 287 de 2026. Bogotá, 2026.</w:t>
            </w:r>
          </w:p>
          <w:p w14:paraId="005967D0"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ABC del Decreto 0287 de 2026. Bogotá, 2026.</w:t>
            </w:r>
          </w:p>
          <w:p w14:paraId="00F0475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Memoria Justificativa del Decreto 0287 de 2026. Bogotá, 2026.</w:t>
            </w:r>
          </w:p>
          <w:p w14:paraId="1CEDB7F7"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Guía de Compras Públicas Sostenibles y Socialmente Responsables. Bogotá, 2025.</w:t>
            </w:r>
          </w:p>
          <w:p w14:paraId="66B73B0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C-864 del 14 de diciembre de 2022.</w:t>
            </w:r>
          </w:p>
          <w:p w14:paraId="1E609F30"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C-1519 del 19 de noviembre de 2025.</w:t>
            </w:r>
          </w:p>
          <w:p w14:paraId="7BC7C2E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Departamento Nacional de Planeación. Documento CONPES 166 de 2013. Política Pública Nacional de Discapacidad e Inclusión Social.</w:t>
            </w:r>
          </w:p>
          <w:p w14:paraId="398C5F20" w14:textId="77777777" w:rsidR="005510BC" w:rsidRPr="00206556" w:rsidRDefault="005510BC" w:rsidP="00AD17AD">
            <w:pPr>
              <w:widowControl w:val="0"/>
              <w:autoSpaceDE w:val="0"/>
              <w:autoSpaceDN w:val="0"/>
              <w:spacing w:line="276" w:lineRule="auto"/>
              <w:jc w:val="both"/>
              <w:rPr>
                <w:rFonts w:ascii="Verdana" w:eastAsia="Arial MT" w:hAnsi="Verdana" w:cs="Arial"/>
                <w:lang w:val="es-ES" w:eastAsia="es-ES" w:bidi="es-ES"/>
              </w:rPr>
            </w:pPr>
          </w:p>
        </w:tc>
      </w:tr>
    </w:tbl>
    <w:p w14:paraId="3D76DBE8" w14:textId="77777777" w:rsidR="005510BC" w:rsidRPr="00206556" w:rsidRDefault="005510BC" w:rsidP="005510BC">
      <w:pPr>
        <w:widowControl w:val="0"/>
        <w:autoSpaceDE w:val="0"/>
        <w:autoSpaceDN w:val="0"/>
        <w:spacing w:after="0" w:line="276" w:lineRule="auto"/>
        <w:jc w:val="both"/>
        <w:rPr>
          <w:rFonts w:ascii="Verdana" w:hAnsi="Verdana" w:cs="Arial"/>
          <w:color w:val="ED7D31" w:themeColor="accent2"/>
          <w:lang w:val="es-ES"/>
        </w:rPr>
      </w:pPr>
    </w:p>
    <w:p w14:paraId="13DF3B5C" w14:textId="77777777" w:rsidR="005510BC" w:rsidRDefault="005510BC" w:rsidP="005510BC">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5. Doctrina de la Agencia Nacional de Contratación Pública:</w:t>
      </w:r>
    </w:p>
    <w:p w14:paraId="75F4F75C" w14:textId="77777777" w:rsidR="005510BC" w:rsidRPr="00670CFB" w:rsidRDefault="005510BC" w:rsidP="005510BC">
      <w:pPr>
        <w:tabs>
          <w:tab w:val="left" w:pos="142"/>
          <w:tab w:val="left" w:pos="284"/>
        </w:tabs>
        <w:spacing w:after="0" w:line="276" w:lineRule="auto"/>
        <w:jc w:val="both"/>
        <w:rPr>
          <w:rFonts w:ascii="Verdana" w:eastAsia="Century Gothic" w:hAnsi="Verdana" w:cs="Century Gothic"/>
          <w:b/>
          <w:lang w:val="es-ES"/>
        </w:rPr>
      </w:pPr>
    </w:p>
    <w:p w14:paraId="51C27470" w14:textId="77777777" w:rsidR="005510BC" w:rsidRPr="00206556" w:rsidRDefault="005510BC" w:rsidP="005510BC">
      <w:pPr>
        <w:spacing w:after="0" w:line="276" w:lineRule="auto"/>
        <w:jc w:val="both"/>
        <w:rPr>
          <w:rFonts w:ascii="Verdana" w:hAnsi="Verdana"/>
          <w:color w:val="ED7D31" w:themeColor="accent2"/>
          <w:lang w:val="es-ES"/>
        </w:rPr>
      </w:pPr>
      <w:r w:rsidRPr="00206556">
        <w:rPr>
          <w:rFonts w:ascii="Verdana" w:eastAsia="Calibri" w:hAnsi="Verdana" w:cs="Arial"/>
          <w:lang w:val="es-ES"/>
        </w:rPr>
        <w:lastRenderedPageBreak/>
        <w:t xml:space="preserve">La Agencia Nacional de Contratación Pública – Colombia Compra Eficiente se ha referido </w:t>
      </w:r>
      <w:r w:rsidRPr="00206556">
        <w:rPr>
          <w:rFonts w:ascii="Verdana" w:hAnsi="Verdana" w:cs="Arial"/>
          <w:shd w:val="clear" w:color="auto" w:fill="FFFFFF"/>
          <w:lang w:val="es-ES"/>
        </w:rPr>
        <w:t>sobre el alcance del Decreto 0287 de 2026 en este concepto</w:t>
      </w:r>
      <w:r w:rsidRPr="00206556">
        <w:rPr>
          <w:rFonts w:ascii="Verdana" w:eastAsia="Calibri" w:hAnsi="Verdana" w:cs="Arial"/>
          <w:lang w:val="es-ES_tradnl" w:eastAsia="es-ES"/>
        </w:rPr>
        <w:t>.</w:t>
      </w:r>
      <w:r w:rsidRPr="00206556">
        <w:rPr>
          <w:rFonts w:ascii="Verdana" w:hAnsi="Verdana" w:cs="Arial"/>
          <w:shd w:val="clear" w:color="auto" w:fill="FFFFFF"/>
          <w:lang w:val="es-ES"/>
        </w:rPr>
        <w:t xml:space="preserve"> Est</w:t>
      </w:r>
      <w:r>
        <w:rPr>
          <w:rFonts w:ascii="Verdana" w:hAnsi="Verdana" w:cs="Arial"/>
          <w:shd w:val="clear" w:color="auto" w:fill="FFFFFF"/>
          <w:lang w:val="es-ES"/>
        </w:rPr>
        <w:t>e</w:t>
      </w:r>
      <w:r w:rsidRPr="00206556">
        <w:rPr>
          <w:rFonts w:ascii="Verdana" w:hAnsi="Verdana"/>
          <w:lang w:val="es-ES"/>
        </w:rPr>
        <w:t xml:space="preserve"> y otros se encuentran disponibles para consulta en el Sistema de relatoría de la Agencia, al cual se puede acceder a través del siguiente enlace:</w:t>
      </w:r>
      <w:r w:rsidRPr="00206556">
        <w:rPr>
          <w:rFonts w:ascii="Verdana" w:hAnsi="Verdana" w:cs="Arial"/>
          <w:shd w:val="clear" w:color="auto" w:fill="FFFFFF"/>
          <w:lang w:val="es-ES"/>
        </w:rPr>
        <w:t xml:space="preserve"> </w:t>
      </w:r>
      <w:hyperlink r:id="rId12" w:history="1">
        <w:r w:rsidRPr="00206556">
          <w:rPr>
            <w:rStyle w:val="Hipervnculo"/>
            <w:rFonts w:ascii="Verdana" w:hAnsi="Verdana" w:cs="Arial"/>
            <w:shd w:val="clear" w:color="auto" w:fill="FFFFFF"/>
            <w:lang w:val="es-ES"/>
          </w:rPr>
          <w:t>https://relatoria.colombiacompra.gov.co/busqueda/conceptos</w:t>
        </w:r>
      </w:hyperlink>
    </w:p>
    <w:p w14:paraId="2BF9DBCF" w14:textId="77777777" w:rsidR="005510BC" w:rsidRPr="00206556" w:rsidRDefault="005510BC" w:rsidP="005510BC">
      <w:pPr>
        <w:spacing w:after="0" w:line="276" w:lineRule="auto"/>
        <w:jc w:val="both"/>
        <w:rPr>
          <w:rFonts w:ascii="Verdana" w:hAnsi="Verdana" w:cs="Arial"/>
          <w:color w:val="ED7D31" w:themeColor="accent2"/>
          <w:shd w:val="clear" w:color="auto" w:fill="FFFFFF"/>
          <w:lang w:val="es-ES"/>
        </w:rPr>
      </w:pPr>
    </w:p>
    <w:p w14:paraId="2B7255FD" w14:textId="77777777" w:rsidR="005510BC" w:rsidRPr="00206556" w:rsidRDefault="005510BC" w:rsidP="005510B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3" w:history="1">
        <w:r w:rsidRPr="00206556">
          <w:rPr>
            <w:rStyle w:val="Hipervnculo"/>
            <w:rFonts w:ascii="Verdana" w:hAnsi="Verdana" w:cs="Arial"/>
            <w:shd w:val="clear" w:color="auto" w:fill="FFFFFF"/>
          </w:rPr>
          <w:t>https://formacionvirtual.colombiacompra.gov.co/mod/page/view.php?id=3718</w:t>
        </w:r>
      </w:hyperlink>
      <w:r w:rsidRPr="00206556">
        <w:rPr>
          <w:rFonts w:ascii="Verdana" w:hAnsi="Verdana" w:cs="Arial"/>
          <w:shd w:val="clear" w:color="auto" w:fill="FFFFFF"/>
        </w:rPr>
        <w:t xml:space="preserve"> </w:t>
      </w:r>
    </w:p>
    <w:p w14:paraId="5C5990D1" w14:textId="77777777" w:rsidR="005510BC" w:rsidRPr="00206556" w:rsidRDefault="005510BC" w:rsidP="005510BC">
      <w:pPr>
        <w:spacing w:after="0" w:line="276" w:lineRule="auto"/>
        <w:jc w:val="both"/>
        <w:rPr>
          <w:rFonts w:ascii="Verdana" w:hAnsi="Verdana" w:cs="Arial"/>
          <w:shd w:val="clear" w:color="auto" w:fill="FFFFFF"/>
        </w:rPr>
      </w:pPr>
    </w:p>
    <w:p w14:paraId="73158DD2" w14:textId="77777777" w:rsidR="005510BC" w:rsidRPr="00206556" w:rsidRDefault="005510BC" w:rsidP="005510B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4" w:history="1">
        <w:r w:rsidRPr="00206556">
          <w:rPr>
            <w:rStyle w:val="Hipervnculo"/>
            <w:rFonts w:ascii="Verdana" w:hAnsi="Verdana" w:cs="Arial"/>
            <w:shd w:val="clear" w:color="auto" w:fill="FFFFFF"/>
          </w:rPr>
          <w:t>https://www.colombiacompra.gov.co/normativa-y-relatoria/documentos-tipo</w:t>
        </w:r>
      </w:hyperlink>
    </w:p>
    <w:p w14:paraId="1CEEA0B6" w14:textId="77777777" w:rsidR="005510BC" w:rsidRPr="00206556" w:rsidRDefault="005510BC" w:rsidP="005510BC">
      <w:pPr>
        <w:spacing w:after="0" w:line="276" w:lineRule="auto"/>
        <w:jc w:val="both"/>
        <w:rPr>
          <w:rFonts w:ascii="Verdana" w:hAnsi="Verdana" w:cs="Arial"/>
          <w:shd w:val="clear" w:color="auto" w:fill="FFFFFF"/>
        </w:rPr>
      </w:pPr>
    </w:p>
    <w:p w14:paraId="09981D7E" w14:textId="77777777" w:rsidR="005510BC" w:rsidRPr="00206556" w:rsidRDefault="005510BC" w:rsidP="005510B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206556">
        <w:rPr>
          <w:rFonts w:ascii="Verdana" w:hAnsi="Verdana" w:cs="Arial"/>
          <w:shd w:val="clear" w:color="auto" w:fill="FFFFFF"/>
        </w:rPr>
        <w:t>Además</w:t>
      </w:r>
      <w:proofErr w:type="gramEnd"/>
      <w:r w:rsidRPr="00206556">
        <w:rPr>
          <w:rFonts w:ascii="Verdana" w:hAnsi="Verdana" w:cs="Arial"/>
          <w:shd w:val="clear" w:color="auto" w:fill="FFFFFF"/>
        </w:rPr>
        <w:t xml:space="preserve"> se incluyeron lineamientos que orientan la implementación de los criterios ambientales y sociales incluidos en los documentos tipo: Consulta la guía aquí: https://www.colombiacompra.gov.co/archivos/manual/guia-para-la-</w:t>
      </w:r>
      <w:r w:rsidRPr="00206556">
        <w:rPr>
          <w:rFonts w:ascii="Verdana" w:hAnsi="Verdana" w:cs="Arial"/>
          <w:shd w:val="clear" w:color="auto" w:fill="FFFFFF"/>
        </w:rPr>
        <w:lastRenderedPageBreak/>
        <w:t>comprension-e-implementacion-de-los-documentos-tipo-de-obra-publica-de-infraestructura-de-transporte-bajo-las-diferentes-modalidades-de-contratacion-vigentes</w:t>
      </w:r>
    </w:p>
    <w:p w14:paraId="2BB0272B" w14:textId="77777777" w:rsidR="005510BC" w:rsidRPr="00206556" w:rsidRDefault="005510BC" w:rsidP="005510BC">
      <w:pPr>
        <w:spacing w:after="0" w:line="276" w:lineRule="auto"/>
        <w:jc w:val="both"/>
        <w:rPr>
          <w:rFonts w:ascii="Verdana" w:hAnsi="Verdana" w:cs="Arial"/>
          <w:color w:val="ED7D31" w:themeColor="accent2"/>
          <w:shd w:val="clear" w:color="auto" w:fill="FFFFFF"/>
        </w:rPr>
      </w:pPr>
    </w:p>
    <w:p w14:paraId="1FDB5F89"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 xml:space="preserve">Por último, lo invitamos a seguirnos en las redes sociales en las cuales se difunde información institucional: </w:t>
      </w:r>
    </w:p>
    <w:p w14:paraId="3DECC61D" w14:textId="77777777" w:rsidR="005510BC" w:rsidRPr="00206556" w:rsidRDefault="005510BC" w:rsidP="005510BC">
      <w:pPr>
        <w:spacing w:after="0"/>
        <w:jc w:val="both"/>
        <w:rPr>
          <w:rFonts w:ascii="Verdana" w:hAnsi="Verdana" w:cs="Arial"/>
          <w:shd w:val="clear" w:color="auto" w:fill="FFFFFF"/>
        </w:rPr>
      </w:pPr>
    </w:p>
    <w:p w14:paraId="3F791AFB"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240CDDDC"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1CA81020"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767F4EDF"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0D01CA82" w14:textId="77777777" w:rsidR="005510BC" w:rsidRPr="00206556" w:rsidRDefault="005510BC" w:rsidP="005510BC">
      <w:pPr>
        <w:widowControl w:val="0"/>
        <w:autoSpaceDE w:val="0"/>
        <w:autoSpaceDN w:val="0"/>
        <w:spacing w:after="0" w:line="276" w:lineRule="auto"/>
        <w:jc w:val="both"/>
        <w:rPr>
          <w:rFonts w:ascii="Verdana" w:hAnsi="Verdana" w:cs="Arial"/>
          <w:color w:val="ED7D31" w:themeColor="accent2"/>
          <w:lang w:val="es-ES"/>
        </w:rPr>
      </w:pPr>
    </w:p>
    <w:p w14:paraId="18C29CB2" w14:textId="77777777" w:rsidR="005510BC" w:rsidRPr="00206556" w:rsidRDefault="005510BC" w:rsidP="005510BC">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D02065E" w14:textId="77777777" w:rsidR="005510BC" w:rsidRPr="00206556" w:rsidRDefault="005510BC" w:rsidP="005510BC">
      <w:pPr>
        <w:widowControl w:val="0"/>
        <w:autoSpaceDE w:val="0"/>
        <w:autoSpaceDN w:val="0"/>
        <w:spacing w:after="0" w:line="276" w:lineRule="auto"/>
        <w:jc w:val="both"/>
        <w:rPr>
          <w:rFonts w:ascii="Verdana" w:hAnsi="Verdana" w:cs="Arial"/>
          <w:lang w:val="es-ES"/>
        </w:rPr>
      </w:pPr>
    </w:p>
    <w:p w14:paraId="51BB3CB5" w14:textId="77777777" w:rsidR="005510BC" w:rsidRPr="00206556" w:rsidRDefault="005510BC" w:rsidP="005510BC">
      <w:pPr>
        <w:spacing w:after="0" w:line="276" w:lineRule="auto"/>
        <w:rPr>
          <w:rFonts w:ascii="Verdana" w:hAnsi="Verdana" w:cs="Arial"/>
          <w:lang w:val="es-ES" w:eastAsia="es-CO"/>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13C0EB0F" w14:textId="02E00462" w:rsidR="00A754B1" w:rsidRPr="00206556" w:rsidRDefault="00AC1085" w:rsidP="00A754B1">
      <w:pPr>
        <w:spacing w:after="0" w:line="256" w:lineRule="auto"/>
        <w:jc w:val="center"/>
        <w:rPr>
          <w:rFonts w:ascii="Verdana" w:eastAsia="Times New Roman" w:hAnsi="Verdana" w:cs="Arial"/>
          <w:lang w:eastAsia="es-ES"/>
        </w:rPr>
      </w:pPr>
      <w:r>
        <w:rPr>
          <w:rFonts w:ascii="Verdana" w:eastAsia="Times New Roman" w:hAnsi="Verdana" w:cs="Arial"/>
          <w:noProof/>
          <w:lang w:eastAsia="es-ES"/>
        </w:rPr>
        <w:drawing>
          <wp:inline distT="0" distB="0" distL="0" distR="0" wp14:anchorId="6714DC78" wp14:editId="2E78C209">
            <wp:extent cx="3639058" cy="1343212"/>
            <wp:effectExtent l="0" t="0" r="0" b="0"/>
            <wp:docPr id="92971365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713652"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p w14:paraId="6B064C3A" w14:textId="77777777" w:rsidR="00A754B1" w:rsidRPr="00206556" w:rsidRDefault="00A754B1" w:rsidP="00A754B1">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A754B1" w:rsidRPr="00206556" w14:paraId="5C634FCB" w14:textId="77777777">
        <w:trPr>
          <w:trHeight w:val="322"/>
        </w:trPr>
        <w:tc>
          <w:tcPr>
            <w:tcW w:w="733" w:type="dxa"/>
            <w:tcBorders>
              <w:top w:val="nil"/>
              <w:left w:val="nil"/>
              <w:bottom w:val="nil"/>
              <w:right w:val="nil"/>
            </w:tcBorders>
            <w:vAlign w:val="center"/>
            <w:hideMark/>
          </w:tcPr>
          <w:p w14:paraId="6BA74C99"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76F1BA0" w14:textId="77777777" w:rsidR="00670CFB" w:rsidRPr="00206556" w:rsidRDefault="00670CFB" w:rsidP="00670CFB">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eastAsia="es-CO"/>
              </w:rPr>
              <w:t>Gloria Elizabeth Arango Builes</w:t>
            </w:r>
          </w:p>
          <w:p w14:paraId="0502EDA4" w14:textId="4C8370B0" w:rsidR="00A754B1" w:rsidRPr="00206556" w:rsidRDefault="00670CFB" w:rsidP="00670CFB">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eastAsia="es-ES"/>
              </w:rPr>
              <w:t xml:space="preserve">Contratista </w:t>
            </w:r>
            <w:r w:rsidRPr="00206556">
              <w:rPr>
                <w:rFonts w:ascii="Verdana" w:eastAsia="Times New Roman" w:hAnsi="Verdana" w:cs="Times New Roman"/>
                <w:sz w:val="16"/>
                <w:szCs w:val="16"/>
                <w:lang w:eastAsia="es-CO"/>
              </w:rPr>
              <w:t>de la Subdirección de Gestión Contractual</w:t>
            </w:r>
          </w:p>
        </w:tc>
      </w:tr>
      <w:tr w:rsidR="00A754B1" w:rsidRPr="00206556" w14:paraId="4384CD0E" w14:textId="77777777">
        <w:trPr>
          <w:trHeight w:val="322"/>
        </w:trPr>
        <w:tc>
          <w:tcPr>
            <w:tcW w:w="733" w:type="dxa"/>
            <w:tcBorders>
              <w:top w:val="nil"/>
              <w:left w:val="nil"/>
              <w:bottom w:val="nil"/>
              <w:right w:val="nil"/>
            </w:tcBorders>
            <w:vAlign w:val="center"/>
            <w:hideMark/>
          </w:tcPr>
          <w:p w14:paraId="68F906D2"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F65E976" w14:textId="4CEF34B1" w:rsidR="00670CFB" w:rsidRPr="00206556" w:rsidRDefault="006B694D" w:rsidP="00670CFB">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Diana Lucía Saavedra Castañeda</w:t>
            </w:r>
          </w:p>
          <w:p w14:paraId="53BA1B20" w14:textId="425ECA9A" w:rsidR="00670CFB" w:rsidRPr="00206556" w:rsidRDefault="006B694D" w:rsidP="00670CFB">
            <w:pPr>
              <w:autoSpaceDE w:val="0"/>
              <w:autoSpaceDN w:val="0"/>
              <w:adjustRightInd w:val="0"/>
              <w:spacing w:after="0" w:line="276" w:lineRule="auto"/>
              <w:rPr>
                <w:rFonts w:ascii="Verdana" w:eastAsia="Calibri" w:hAnsi="Verdana" w:cs="Arial"/>
              </w:rPr>
            </w:pPr>
            <w:r>
              <w:rPr>
                <w:rFonts w:ascii="Verdana" w:eastAsia="Times New Roman" w:hAnsi="Verdana" w:cs="Arial"/>
                <w:sz w:val="16"/>
                <w:szCs w:val="16"/>
                <w:lang w:eastAsia="es-ES"/>
              </w:rPr>
              <w:t xml:space="preserve">Contratista </w:t>
            </w:r>
            <w:r w:rsidR="00670CFB" w:rsidRPr="00206556">
              <w:rPr>
                <w:rFonts w:ascii="Verdana" w:eastAsia="Times New Roman" w:hAnsi="Verdana" w:cs="Arial"/>
                <w:sz w:val="16"/>
                <w:szCs w:val="16"/>
                <w:lang w:eastAsia="es-ES"/>
              </w:rPr>
              <w:t>de la Subdirección de Gestión Contractual</w:t>
            </w:r>
          </w:p>
          <w:p w14:paraId="4F030FDF" w14:textId="6BB16468"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p>
        </w:tc>
      </w:tr>
      <w:tr w:rsidR="00A754B1" w:rsidRPr="00206556" w14:paraId="51B53319" w14:textId="77777777">
        <w:trPr>
          <w:trHeight w:val="307"/>
        </w:trPr>
        <w:tc>
          <w:tcPr>
            <w:tcW w:w="733" w:type="dxa"/>
            <w:tcBorders>
              <w:top w:val="nil"/>
              <w:left w:val="nil"/>
              <w:bottom w:val="nil"/>
              <w:right w:val="nil"/>
            </w:tcBorders>
            <w:vAlign w:val="center"/>
            <w:hideMark/>
          </w:tcPr>
          <w:p w14:paraId="58BB7344"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A41E819" w14:textId="77777777" w:rsidR="00A754B1" w:rsidRPr="00206556" w:rsidRDefault="00A754B1" w:rsidP="00A754B1">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3D71CC3E" w14:textId="77777777" w:rsidR="00A754B1" w:rsidRPr="00206556" w:rsidRDefault="00A754B1" w:rsidP="00A754B1">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bookmarkEnd w:id="0"/>
    </w:tbl>
    <w:p w14:paraId="1F1E5D50" w14:textId="77777777" w:rsidR="00A754B1" w:rsidRDefault="00A754B1" w:rsidP="00A754B1">
      <w:pPr>
        <w:autoSpaceDE w:val="0"/>
        <w:autoSpaceDN w:val="0"/>
        <w:adjustRightInd w:val="0"/>
        <w:spacing w:after="0" w:line="276" w:lineRule="auto"/>
        <w:jc w:val="center"/>
        <w:rPr>
          <w:rFonts w:ascii="Verdana" w:eastAsia="Calibri" w:hAnsi="Verdana" w:cs="Arial"/>
        </w:rPr>
      </w:pPr>
    </w:p>
    <w:p w14:paraId="0F8936C8" w14:textId="77777777" w:rsidR="00670CFB" w:rsidRDefault="00670CFB" w:rsidP="00A754B1">
      <w:pPr>
        <w:autoSpaceDE w:val="0"/>
        <w:autoSpaceDN w:val="0"/>
        <w:adjustRightInd w:val="0"/>
        <w:spacing w:after="0" w:line="276" w:lineRule="auto"/>
        <w:jc w:val="center"/>
        <w:rPr>
          <w:rFonts w:ascii="Verdana" w:eastAsia="Calibri" w:hAnsi="Verdana" w:cs="Arial"/>
        </w:rPr>
      </w:pPr>
    </w:p>
    <w:p w14:paraId="179A18B3" w14:textId="5C20A6F1" w:rsidR="00670CFB" w:rsidRPr="00206556" w:rsidRDefault="00670CFB" w:rsidP="00670CFB">
      <w:pPr>
        <w:autoSpaceDE w:val="0"/>
        <w:autoSpaceDN w:val="0"/>
        <w:adjustRightInd w:val="0"/>
        <w:spacing w:after="0" w:line="276" w:lineRule="auto"/>
        <w:jc w:val="center"/>
        <w:rPr>
          <w:rFonts w:ascii="Verdana" w:eastAsia="Calibri" w:hAnsi="Verdana" w:cs="Arial"/>
        </w:rPr>
      </w:pPr>
    </w:p>
    <w:sectPr w:rsidR="00670CFB" w:rsidRPr="0020655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323D0" w14:textId="77777777" w:rsidR="00C77FD8" w:rsidRDefault="00C77FD8" w:rsidP="004A1847">
      <w:pPr>
        <w:spacing w:after="0" w:line="240" w:lineRule="auto"/>
      </w:pPr>
      <w:r>
        <w:separator/>
      </w:r>
    </w:p>
  </w:endnote>
  <w:endnote w:type="continuationSeparator" w:id="0">
    <w:p w14:paraId="69A39B92" w14:textId="77777777" w:rsidR="00C77FD8" w:rsidRDefault="00C77FD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A0F0A0" w14:textId="77777777" w:rsidR="00C77FD8" w:rsidRDefault="00C77FD8" w:rsidP="004A1847">
      <w:pPr>
        <w:spacing w:after="0" w:line="240" w:lineRule="auto"/>
      </w:pPr>
      <w:r>
        <w:separator/>
      </w:r>
    </w:p>
  </w:footnote>
  <w:footnote w:type="continuationSeparator" w:id="0">
    <w:p w14:paraId="0C035A4D" w14:textId="77777777" w:rsidR="00C77FD8" w:rsidRDefault="00C77FD8" w:rsidP="004A1847">
      <w:pPr>
        <w:spacing w:after="0" w:line="240" w:lineRule="auto"/>
      </w:pPr>
      <w:r>
        <w:continuationSeparator/>
      </w:r>
    </w:p>
  </w:footnote>
  <w:footnote w:id="1">
    <w:p w14:paraId="1714CFA3" w14:textId="77777777" w:rsidR="005510BC" w:rsidRPr="00206556" w:rsidRDefault="005510BC" w:rsidP="005510BC">
      <w:pPr>
        <w:spacing w:after="80" w:line="240" w:lineRule="auto"/>
        <w:ind w:firstLine="708"/>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146E5890" w14:textId="77777777" w:rsidR="005510BC" w:rsidRPr="00206556" w:rsidRDefault="005510BC" w:rsidP="005510BC">
      <w:pPr>
        <w:spacing w:after="80" w:line="240" w:lineRule="auto"/>
        <w:ind w:firstLine="708"/>
        <w:jc w:val="both"/>
        <w:rPr>
          <w:rFonts w:ascii="Verdana" w:hAnsi="Verdana"/>
          <w:sz w:val="16"/>
          <w:szCs w:val="16"/>
        </w:rPr>
      </w:pPr>
    </w:p>
  </w:footnote>
  <w:footnote w:id="2">
    <w:p w14:paraId="68485690" w14:textId="77777777" w:rsidR="005510BC" w:rsidRPr="00206556" w:rsidRDefault="005510BC" w:rsidP="005510BC">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3A2DD2BE" w14:textId="77777777" w:rsidR="005510BC" w:rsidRPr="00206556" w:rsidRDefault="005510BC" w:rsidP="005510BC">
      <w:pPr>
        <w:pStyle w:val="Textonotapie"/>
        <w:ind w:firstLine="708"/>
        <w:jc w:val="both"/>
        <w:rPr>
          <w:rFonts w:ascii="Verdana" w:hAnsi="Verdana"/>
          <w:sz w:val="16"/>
          <w:szCs w:val="16"/>
          <w:lang w:val="es-ES"/>
        </w:rPr>
      </w:pPr>
    </w:p>
  </w:footnote>
  <w:footnote w:id="3">
    <w:p w14:paraId="0AFA833E" w14:textId="77777777" w:rsidR="005510BC" w:rsidRPr="00206556" w:rsidRDefault="005510BC" w:rsidP="005510BC">
      <w:pPr>
        <w:spacing w:after="80" w:line="240" w:lineRule="auto"/>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47898830" w14:textId="77777777" w:rsidR="005510BC" w:rsidRPr="00206556" w:rsidRDefault="005510BC" w:rsidP="005510BC">
      <w:pPr>
        <w:spacing w:after="80" w:line="240" w:lineRule="auto"/>
        <w:ind w:firstLine="708"/>
        <w:jc w:val="both"/>
        <w:rPr>
          <w:rFonts w:ascii="Verdana" w:hAnsi="Verdana"/>
          <w:sz w:val="16"/>
          <w:szCs w:val="16"/>
        </w:rPr>
      </w:pPr>
    </w:p>
  </w:footnote>
  <w:footnote w:id="4">
    <w:p w14:paraId="023A68CA" w14:textId="77777777" w:rsidR="005510BC" w:rsidRPr="00206556" w:rsidRDefault="005510BC" w:rsidP="005510BC">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15D2CE93" w14:textId="77777777" w:rsidR="005510BC" w:rsidRPr="00206556" w:rsidRDefault="005510BC" w:rsidP="005510BC">
      <w:pPr>
        <w:pStyle w:val="Textonotapie"/>
        <w:ind w:firstLine="708"/>
        <w:jc w:val="both"/>
        <w:rPr>
          <w:rFonts w:ascii="Verdana" w:hAnsi="Verdana"/>
          <w:sz w:val="16"/>
          <w:szCs w:val="16"/>
          <w:lang w:val="es-ES"/>
        </w:rPr>
      </w:pPr>
    </w:p>
  </w:footnote>
  <w:footnote w:id="5">
    <w:p w14:paraId="534B91EE" w14:textId="77777777" w:rsidR="005510BC" w:rsidRPr="00206556" w:rsidRDefault="005510BC" w:rsidP="005510BC">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152A2E9B" w14:textId="77777777" w:rsidR="005510BC" w:rsidRPr="00206556" w:rsidRDefault="005510BC" w:rsidP="005510BC">
      <w:pPr>
        <w:pStyle w:val="Textonotapie"/>
        <w:ind w:firstLine="708"/>
        <w:jc w:val="both"/>
        <w:rPr>
          <w:rFonts w:ascii="Verdana" w:hAnsi="Verdana"/>
          <w:sz w:val="16"/>
          <w:szCs w:val="16"/>
          <w:lang w:val="es-ES"/>
        </w:rPr>
      </w:pPr>
    </w:p>
  </w:footnote>
  <w:footnote w:id="6">
    <w:p w14:paraId="0E4AAD4E"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61E73744" w14:textId="77777777" w:rsidR="005510BC" w:rsidRPr="00206556" w:rsidRDefault="005510BC" w:rsidP="005510BC">
      <w:pPr>
        <w:pStyle w:val="Textonotapie"/>
        <w:ind w:firstLine="708"/>
        <w:rPr>
          <w:rFonts w:ascii="Verdana" w:hAnsi="Verdana"/>
          <w:sz w:val="16"/>
          <w:szCs w:val="16"/>
          <w:lang w:val="es-ES"/>
        </w:rPr>
      </w:pPr>
    </w:p>
  </w:footnote>
  <w:footnote w:id="7">
    <w:p w14:paraId="7E4012CD"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7B1E4046" w14:textId="77777777" w:rsidR="005510BC" w:rsidRPr="00206556" w:rsidRDefault="005510BC" w:rsidP="005510BC">
      <w:pPr>
        <w:pStyle w:val="Textonotapie"/>
        <w:ind w:firstLine="708"/>
        <w:rPr>
          <w:rFonts w:ascii="Verdana" w:hAnsi="Verdana"/>
          <w:sz w:val="16"/>
          <w:szCs w:val="16"/>
          <w:lang w:val="es-ES"/>
        </w:rPr>
      </w:pPr>
    </w:p>
  </w:footnote>
  <w:footnote w:id="8">
    <w:p w14:paraId="5294BCBB" w14:textId="77777777" w:rsidR="005510BC" w:rsidRPr="00206556" w:rsidRDefault="005510BC" w:rsidP="005510BC">
      <w:pPr>
        <w:pStyle w:val="Textonotapie"/>
        <w:ind w:firstLine="708"/>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 w:id="9">
    <w:p w14:paraId="2F194327"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Agencia Nacional de Contratación Pública – Colombia Compra Eficiente. (2022, diciembre 14). Concepto C-864 de 2022. Bogotá: ANCP-CCE. Disponible en:  https://relatoria.colombiacompra.gov.co/conceptos/c-864-de-2022/</w:t>
      </w:r>
    </w:p>
  </w:footnote>
  <w:footnote w:id="10">
    <w:p w14:paraId="7731F440"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Consejo de Estado de Colombia. Sala de Consulta y Servicio Civil. (2013, julio 24). Concepto radicación n.° 2166. Consejero Ponente: Álvaro Namén Vargas. Bogotá: Consejo de Estado.</w:t>
      </w:r>
    </w:p>
    <w:p w14:paraId="52742739" w14:textId="77777777" w:rsidR="005510BC" w:rsidRPr="00206556" w:rsidRDefault="005510BC" w:rsidP="005510BC">
      <w:pPr>
        <w:pStyle w:val="Textonotapie"/>
        <w:ind w:firstLine="708"/>
        <w:rPr>
          <w:rFonts w:ascii="Verdana" w:hAnsi="Verdana"/>
          <w:sz w:val="16"/>
          <w:szCs w:val="16"/>
          <w:lang w:val="es-ES"/>
        </w:rPr>
      </w:pPr>
    </w:p>
  </w:footnote>
  <w:footnote w:id="11">
    <w:p w14:paraId="4D1185CE" w14:textId="77777777" w:rsidR="005510BC" w:rsidRPr="003F21FF" w:rsidRDefault="005510BC" w:rsidP="005510BC">
      <w:pPr>
        <w:pStyle w:val="Textonotapie"/>
        <w:ind w:firstLine="708"/>
        <w:rPr>
          <w:lang w:val="es-ES"/>
        </w:rPr>
      </w:pPr>
      <w:r w:rsidRPr="00206556">
        <w:rPr>
          <w:rStyle w:val="Refdenotaalpie"/>
          <w:rFonts w:ascii="Verdana" w:hAnsi="Verdana"/>
          <w:sz w:val="16"/>
          <w:szCs w:val="16"/>
        </w:rPr>
        <w:footnoteRef/>
      </w:r>
      <w:r w:rsidRPr="00206556">
        <w:rPr>
          <w:rFonts w:ascii="Verdana" w:hAnsi="Verdana"/>
          <w:sz w:val="16"/>
          <w:szCs w:val="16"/>
        </w:rPr>
        <w:t xml:space="preserve"> Corte Constitucional de Colombia. (2017). Sentencia SU-049 de 2017. Magistrada Ponente: María Victoria Calle Correa. Bogotá: Corte Constitucional</w:t>
      </w:r>
      <w:r w:rsidRPr="003F21FF">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153255849">
    <w:abstractNumId w:val="9"/>
  </w:num>
  <w:num w:numId="17" w16cid:durableId="124564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AF6"/>
    <w:rsid w:val="00015670"/>
    <w:rsid w:val="00016C94"/>
    <w:rsid w:val="00016F78"/>
    <w:rsid w:val="0002168A"/>
    <w:rsid w:val="00021872"/>
    <w:rsid w:val="00022CC8"/>
    <w:rsid w:val="00042A91"/>
    <w:rsid w:val="00046945"/>
    <w:rsid w:val="00046C5F"/>
    <w:rsid w:val="00053563"/>
    <w:rsid w:val="000542B4"/>
    <w:rsid w:val="00055B9D"/>
    <w:rsid w:val="00060428"/>
    <w:rsid w:val="00061B2A"/>
    <w:rsid w:val="0006693F"/>
    <w:rsid w:val="00070BF4"/>
    <w:rsid w:val="00073658"/>
    <w:rsid w:val="00080209"/>
    <w:rsid w:val="00082362"/>
    <w:rsid w:val="000834DD"/>
    <w:rsid w:val="000916EA"/>
    <w:rsid w:val="00092965"/>
    <w:rsid w:val="00094252"/>
    <w:rsid w:val="000A5E13"/>
    <w:rsid w:val="000A683E"/>
    <w:rsid w:val="000A72A9"/>
    <w:rsid w:val="000A7D46"/>
    <w:rsid w:val="000B19B9"/>
    <w:rsid w:val="000B4D47"/>
    <w:rsid w:val="000B6F89"/>
    <w:rsid w:val="000C0C33"/>
    <w:rsid w:val="000C7411"/>
    <w:rsid w:val="000D0334"/>
    <w:rsid w:val="000D2F32"/>
    <w:rsid w:val="000D4B26"/>
    <w:rsid w:val="000D5DA7"/>
    <w:rsid w:val="000E7C7B"/>
    <w:rsid w:val="000F1443"/>
    <w:rsid w:val="000F3D1E"/>
    <w:rsid w:val="000F6486"/>
    <w:rsid w:val="00103BFE"/>
    <w:rsid w:val="001068E1"/>
    <w:rsid w:val="00112DCB"/>
    <w:rsid w:val="00115970"/>
    <w:rsid w:val="00116940"/>
    <w:rsid w:val="00117A5A"/>
    <w:rsid w:val="001228DC"/>
    <w:rsid w:val="00124C21"/>
    <w:rsid w:val="00125105"/>
    <w:rsid w:val="0012666F"/>
    <w:rsid w:val="00127233"/>
    <w:rsid w:val="00134886"/>
    <w:rsid w:val="001406B4"/>
    <w:rsid w:val="00142035"/>
    <w:rsid w:val="0015042F"/>
    <w:rsid w:val="00152F52"/>
    <w:rsid w:val="0015488B"/>
    <w:rsid w:val="0015650E"/>
    <w:rsid w:val="0015699B"/>
    <w:rsid w:val="00163017"/>
    <w:rsid w:val="0016488C"/>
    <w:rsid w:val="00165A70"/>
    <w:rsid w:val="001679AE"/>
    <w:rsid w:val="001726AF"/>
    <w:rsid w:val="0017343D"/>
    <w:rsid w:val="00180418"/>
    <w:rsid w:val="00182010"/>
    <w:rsid w:val="001930C3"/>
    <w:rsid w:val="00196F75"/>
    <w:rsid w:val="001A2C19"/>
    <w:rsid w:val="001A2E74"/>
    <w:rsid w:val="001A33BF"/>
    <w:rsid w:val="001B064E"/>
    <w:rsid w:val="001B3AEB"/>
    <w:rsid w:val="001B6C7C"/>
    <w:rsid w:val="001C2502"/>
    <w:rsid w:val="001C415B"/>
    <w:rsid w:val="001C73B4"/>
    <w:rsid w:val="001E4177"/>
    <w:rsid w:val="001F0B24"/>
    <w:rsid w:val="001F46EB"/>
    <w:rsid w:val="001F7294"/>
    <w:rsid w:val="001F7DC6"/>
    <w:rsid w:val="00203EC3"/>
    <w:rsid w:val="00206556"/>
    <w:rsid w:val="00206F7B"/>
    <w:rsid w:val="0022400B"/>
    <w:rsid w:val="00224979"/>
    <w:rsid w:val="00233946"/>
    <w:rsid w:val="002418DF"/>
    <w:rsid w:val="002421BB"/>
    <w:rsid w:val="00244CEE"/>
    <w:rsid w:val="0024618D"/>
    <w:rsid w:val="002506B7"/>
    <w:rsid w:val="00251EEA"/>
    <w:rsid w:val="0025796E"/>
    <w:rsid w:val="00261EC2"/>
    <w:rsid w:val="002630D9"/>
    <w:rsid w:val="002667E1"/>
    <w:rsid w:val="002676A6"/>
    <w:rsid w:val="002707A2"/>
    <w:rsid w:val="00277337"/>
    <w:rsid w:val="002809EE"/>
    <w:rsid w:val="002951A0"/>
    <w:rsid w:val="002962BC"/>
    <w:rsid w:val="002A00A1"/>
    <w:rsid w:val="002A093D"/>
    <w:rsid w:val="002A0DD0"/>
    <w:rsid w:val="002A49AC"/>
    <w:rsid w:val="002A64FD"/>
    <w:rsid w:val="002B0A25"/>
    <w:rsid w:val="002B3B70"/>
    <w:rsid w:val="002C7A84"/>
    <w:rsid w:val="002D3D4B"/>
    <w:rsid w:val="002E043C"/>
    <w:rsid w:val="002E1E54"/>
    <w:rsid w:val="002E2BF8"/>
    <w:rsid w:val="002E2C06"/>
    <w:rsid w:val="002E410E"/>
    <w:rsid w:val="002E46C5"/>
    <w:rsid w:val="002E4FD9"/>
    <w:rsid w:val="002F04E0"/>
    <w:rsid w:val="002F3F1B"/>
    <w:rsid w:val="002F6EDD"/>
    <w:rsid w:val="00302E7B"/>
    <w:rsid w:val="0030657A"/>
    <w:rsid w:val="003116AA"/>
    <w:rsid w:val="00316B4B"/>
    <w:rsid w:val="0031712D"/>
    <w:rsid w:val="0032249D"/>
    <w:rsid w:val="00322A85"/>
    <w:rsid w:val="00322AC7"/>
    <w:rsid w:val="00324168"/>
    <w:rsid w:val="00327386"/>
    <w:rsid w:val="00330834"/>
    <w:rsid w:val="003348C1"/>
    <w:rsid w:val="00336915"/>
    <w:rsid w:val="00337110"/>
    <w:rsid w:val="003404B1"/>
    <w:rsid w:val="00341D29"/>
    <w:rsid w:val="003448F4"/>
    <w:rsid w:val="00346FE0"/>
    <w:rsid w:val="00351706"/>
    <w:rsid w:val="0035753C"/>
    <w:rsid w:val="00363F8D"/>
    <w:rsid w:val="00366AAB"/>
    <w:rsid w:val="00373B36"/>
    <w:rsid w:val="00374F5E"/>
    <w:rsid w:val="00377CDF"/>
    <w:rsid w:val="00377E3E"/>
    <w:rsid w:val="00395FD0"/>
    <w:rsid w:val="003974B1"/>
    <w:rsid w:val="003A613F"/>
    <w:rsid w:val="003A779E"/>
    <w:rsid w:val="003B4D9D"/>
    <w:rsid w:val="003C3B8B"/>
    <w:rsid w:val="003C64A5"/>
    <w:rsid w:val="003D0F4D"/>
    <w:rsid w:val="003D15AD"/>
    <w:rsid w:val="003D37EE"/>
    <w:rsid w:val="003D3EB2"/>
    <w:rsid w:val="003D45B0"/>
    <w:rsid w:val="003D5B0D"/>
    <w:rsid w:val="003E0499"/>
    <w:rsid w:val="003E4F80"/>
    <w:rsid w:val="003E6439"/>
    <w:rsid w:val="003E68FC"/>
    <w:rsid w:val="003F0D9A"/>
    <w:rsid w:val="003F0E92"/>
    <w:rsid w:val="003F21FF"/>
    <w:rsid w:val="003F3941"/>
    <w:rsid w:val="00406575"/>
    <w:rsid w:val="00414C74"/>
    <w:rsid w:val="00424469"/>
    <w:rsid w:val="0042722E"/>
    <w:rsid w:val="004317A8"/>
    <w:rsid w:val="0043275B"/>
    <w:rsid w:val="0043526E"/>
    <w:rsid w:val="0044528D"/>
    <w:rsid w:val="00445E6C"/>
    <w:rsid w:val="00451BB4"/>
    <w:rsid w:val="00451BBD"/>
    <w:rsid w:val="00454707"/>
    <w:rsid w:val="004566CD"/>
    <w:rsid w:val="004654BF"/>
    <w:rsid w:val="00466E39"/>
    <w:rsid w:val="0047233C"/>
    <w:rsid w:val="00486F02"/>
    <w:rsid w:val="00491868"/>
    <w:rsid w:val="00492EFE"/>
    <w:rsid w:val="004A1847"/>
    <w:rsid w:val="004A305D"/>
    <w:rsid w:val="004B1246"/>
    <w:rsid w:val="004B2ACC"/>
    <w:rsid w:val="004B305D"/>
    <w:rsid w:val="004B4114"/>
    <w:rsid w:val="004C046B"/>
    <w:rsid w:val="004D6D8D"/>
    <w:rsid w:val="004E19DC"/>
    <w:rsid w:val="004E7B1E"/>
    <w:rsid w:val="004F21C4"/>
    <w:rsid w:val="004F2BF5"/>
    <w:rsid w:val="004F5ED9"/>
    <w:rsid w:val="004F685F"/>
    <w:rsid w:val="00502309"/>
    <w:rsid w:val="00516F85"/>
    <w:rsid w:val="005179DF"/>
    <w:rsid w:val="005259F2"/>
    <w:rsid w:val="0053070B"/>
    <w:rsid w:val="00534597"/>
    <w:rsid w:val="00536F7E"/>
    <w:rsid w:val="005510BC"/>
    <w:rsid w:val="005541CB"/>
    <w:rsid w:val="005566E8"/>
    <w:rsid w:val="00556BFA"/>
    <w:rsid w:val="005608AE"/>
    <w:rsid w:val="00574867"/>
    <w:rsid w:val="00577188"/>
    <w:rsid w:val="00580FC8"/>
    <w:rsid w:val="00591460"/>
    <w:rsid w:val="00594718"/>
    <w:rsid w:val="005A65E0"/>
    <w:rsid w:val="005A7A1B"/>
    <w:rsid w:val="005C13BA"/>
    <w:rsid w:val="005C3777"/>
    <w:rsid w:val="005C56B5"/>
    <w:rsid w:val="005C5CDC"/>
    <w:rsid w:val="005C6779"/>
    <w:rsid w:val="005D3CF1"/>
    <w:rsid w:val="005D476C"/>
    <w:rsid w:val="005E2AFD"/>
    <w:rsid w:val="005E492A"/>
    <w:rsid w:val="005E76F5"/>
    <w:rsid w:val="005E7FBC"/>
    <w:rsid w:val="00603D11"/>
    <w:rsid w:val="00607E13"/>
    <w:rsid w:val="00620032"/>
    <w:rsid w:val="006200BF"/>
    <w:rsid w:val="00620BC7"/>
    <w:rsid w:val="00620E38"/>
    <w:rsid w:val="006219F8"/>
    <w:rsid w:val="00622F1C"/>
    <w:rsid w:val="00624038"/>
    <w:rsid w:val="006302F7"/>
    <w:rsid w:val="00630A93"/>
    <w:rsid w:val="00631EDC"/>
    <w:rsid w:val="00635683"/>
    <w:rsid w:val="006378E7"/>
    <w:rsid w:val="0064564D"/>
    <w:rsid w:val="00645740"/>
    <w:rsid w:val="00646B9F"/>
    <w:rsid w:val="006521AC"/>
    <w:rsid w:val="006552C5"/>
    <w:rsid w:val="00665D70"/>
    <w:rsid w:val="00670CFB"/>
    <w:rsid w:val="00671A77"/>
    <w:rsid w:val="006900D9"/>
    <w:rsid w:val="00690862"/>
    <w:rsid w:val="006A64D0"/>
    <w:rsid w:val="006A66C8"/>
    <w:rsid w:val="006A7374"/>
    <w:rsid w:val="006B694D"/>
    <w:rsid w:val="006C00A6"/>
    <w:rsid w:val="006C3CE7"/>
    <w:rsid w:val="006C4B2C"/>
    <w:rsid w:val="006C5EB1"/>
    <w:rsid w:val="006C678A"/>
    <w:rsid w:val="006D595B"/>
    <w:rsid w:val="006D6B3F"/>
    <w:rsid w:val="006E4EC5"/>
    <w:rsid w:val="006E6F85"/>
    <w:rsid w:val="006E7113"/>
    <w:rsid w:val="007009C8"/>
    <w:rsid w:val="0070142E"/>
    <w:rsid w:val="0070233A"/>
    <w:rsid w:val="00703453"/>
    <w:rsid w:val="00706C16"/>
    <w:rsid w:val="00713052"/>
    <w:rsid w:val="00715ED7"/>
    <w:rsid w:val="0071799D"/>
    <w:rsid w:val="00723433"/>
    <w:rsid w:val="00731DFB"/>
    <w:rsid w:val="007340C3"/>
    <w:rsid w:val="00737577"/>
    <w:rsid w:val="00741328"/>
    <w:rsid w:val="0074357A"/>
    <w:rsid w:val="007437DE"/>
    <w:rsid w:val="0075235A"/>
    <w:rsid w:val="0075272A"/>
    <w:rsid w:val="00756841"/>
    <w:rsid w:val="00764624"/>
    <w:rsid w:val="007649AB"/>
    <w:rsid w:val="0076758B"/>
    <w:rsid w:val="00771D0C"/>
    <w:rsid w:val="0077201E"/>
    <w:rsid w:val="00774862"/>
    <w:rsid w:val="00774956"/>
    <w:rsid w:val="00777292"/>
    <w:rsid w:val="00777A45"/>
    <w:rsid w:val="007833AC"/>
    <w:rsid w:val="0078375B"/>
    <w:rsid w:val="00792D67"/>
    <w:rsid w:val="00796E68"/>
    <w:rsid w:val="007A1BCB"/>
    <w:rsid w:val="007A2CE0"/>
    <w:rsid w:val="007B01BA"/>
    <w:rsid w:val="007B268C"/>
    <w:rsid w:val="007B3C5F"/>
    <w:rsid w:val="007B5AD4"/>
    <w:rsid w:val="007B7171"/>
    <w:rsid w:val="007C0C0F"/>
    <w:rsid w:val="007C3DC2"/>
    <w:rsid w:val="007C435B"/>
    <w:rsid w:val="007C6F9B"/>
    <w:rsid w:val="007D3227"/>
    <w:rsid w:val="007D3DBF"/>
    <w:rsid w:val="007D4373"/>
    <w:rsid w:val="007D4B07"/>
    <w:rsid w:val="007E5497"/>
    <w:rsid w:val="007F778E"/>
    <w:rsid w:val="00800B39"/>
    <w:rsid w:val="00806318"/>
    <w:rsid w:val="00806F5F"/>
    <w:rsid w:val="00812D27"/>
    <w:rsid w:val="00816452"/>
    <w:rsid w:val="00816FE1"/>
    <w:rsid w:val="00820278"/>
    <w:rsid w:val="008258C9"/>
    <w:rsid w:val="00831262"/>
    <w:rsid w:val="00835946"/>
    <w:rsid w:val="008403BF"/>
    <w:rsid w:val="00843BB2"/>
    <w:rsid w:val="0084403B"/>
    <w:rsid w:val="00844AE9"/>
    <w:rsid w:val="0084550E"/>
    <w:rsid w:val="00850360"/>
    <w:rsid w:val="00852A3D"/>
    <w:rsid w:val="00864642"/>
    <w:rsid w:val="00867F95"/>
    <w:rsid w:val="00870496"/>
    <w:rsid w:val="00876560"/>
    <w:rsid w:val="008843B6"/>
    <w:rsid w:val="00885772"/>
    <w:rsid w:val="00886133"/>
    <w:rsid w:val="00887E82"/>
    <w:rsid w:val="0089143B"/>
    <w:rsid w:val="008917C7"/>
    <w:rsid w:val="00891928"/>
    <w:rsid w:val="008A3A49"/>
    <w:rsid w:val="008A446D"/>
    <w:rsid w:val="008A5E24"/>
    <w:rsid w:val="008B25F1"/>
    <w:rsid w:val="008C1642"/>
    <w:rsid w:val="008C727F"/>
    <w:rsid w:val="008D10BF"/>
    <w:rsid w:val="008D180B"/>
    <w:rsid w:val="008D55CB"/>
    <w:rsid w:val="008D5774"/>
    <w:rsid w:val="008E1F8B"/>
    <w:rsid w:val="008E3F41"/>
    <w:rsid w:val="008E4A2D"/>
    <w:rsid w:val="008F0EA7"/>
    <w:rsid w:val="008F1293"/>
    <w:rsid w:val="00900AB5"/>
    <w:rsid w:val="00900DB0"/>
    <w:rsid w:val="009032C3"/>
    <w:rsid w:val="0090530F"/>
    <w:rsid w:val="0091370F"/>
    <w:rsid w:val="00917748"/>
    <w:rsid w:val="00920D56"/>
    <w:rsid w:val="00923EEF"/>
    <w:rsid w:val="009252BB"/>
    <w:rsid w:val="00925CA2"/>
    <w:rsid w:val="009363F6"/>
    <w:rsid w:val="009419F9"/>
    <w:rsid w:val="0095685E"/>
    <w:rsid w:val="00960D60"/>
    <w:rsid w:val="00961B09"/>
    <w:rsid w:val="00965055"/>
    <w:rsid w:val="00965334"/>
    <w:rsid w:val="0097093E"/>
    <w:rsid w:val="00973F3B"/>
    <w:rsid w:val="00975224"/>
    <w:rsid w:val="0098182E"/>
    <w:rsid w:val="00982ACA"/>
    <w:rsid w:val="009948E7"/>
    <w:rsid w:val="00995967"/>
    <w:rsid w:val="00996F0C"/>
    <w:rsid w:val="009A0DFA"/>
    <w:rsid w:val="009A1A4B"/>
    <w:rsid w:val="009A1C6F"/>
    <w:rsid w:val="009A5ED3"/>
    <w:rsid w:val="009B0CF4"/>
    <w:rsid w:val="009B2D26"/>
    <w:rsid w:val="009B3626"/>
    <w:rsid w:val="009B7C82"/>
    <w:rsid w:val="009C44A9"/>
    <w:rsid w:val="009C4CA5"/>
    <w:rsid w:val="009C71FA"/>
    <w:rsid w:val="009C72E7"/>
    <w:rsid w:val="009C7F7E"/>
    <w:rsid w:val="009D1B97"/>
    <w:rsid w:val="009D3058"/>
    <w:rsid w:val="009D377E"/>
    <w:rsid w:val="009D40B6"/>
    <w:rsid w:val="009E1A2D"/>
    <w:rsid w:val="009E451E"/>
    <w:rsid w:val="009E593E"/>
    <w:rsid w:val="009E5E98"/>
    <w:rsid w:val="009E6BF4"/>
    <w:rsid w:val="009F05FF"/>
    <w:rsid w:val="009F3A13"/>
    <w:rsid w:val="00A0302B"/>
    <w:rsid w:val="00A122D3"/>
    <w:rsid w:val="00A14468"/>
    <w:rsid w:val="00A150CF"/>
    <w:rsid w:val="00A17F13"/>
    <w:rsid w:val="00A20739"/>
    <w:rsid w:val="00A21CA3"/>
    <w:rsid w:val="00A22B94"/>
    <w:rsid w:val="00A23AF9"/>
    <w:rsid w:val="00A300AA"/>
    <w:rsid w:val="00A31841"/>
    <w:rsid w:val="00A33C78"/>
    <w:rsid w:val="00A420A9"/>
    <w:rsid w:val="00A42C60"/>
    <w:rsid w:val="00A500F1"/>
    <w:rsid w:val="00A51816"/>
    <w:rsid w:val="00A52C8E"/>
    <w:rsid w:val="00A54668"/>
    <w:rsid w:val="00A57140"/>
    <w:rsid w:val="00A709D2"/>
    <w:rsid w:val="00A754B1"/>
    <w:rsid w:val="00A8025C"/>
    <w:rsid w:val="00A87C26"/>
    <w:rsid w:val="00A925AD"/>
    <w:rsid w:val="00A97194"/>
    <w:rsid w:val="00AA0274"/>
    <w:rsid w:val="00AA080B"/>
    <w:rsid w:val="00AB0ADB"/>
    <w:rsid w:val="00AB30D4"/>
    <w:rsid w:val="00AC1085"/>
    <w:rsid w:val="00AC466D"/>
    <w:rsid w:val="00AD6F80"/>
    <w:rsid w:val="00AF1D25"/>
    <w:rsid w:val="00AF5B25"/>
    <w:rsid w:val="00AF7544"/>
    <w:rsid w:val="00B00C0E"/>
    <w:rsid w:val="00B01B1A"/>
    <w:rsid w:val="00B02418"/>
    <w:rsid w:val="00B024CD"/>
    <w:rsid w:val="00B0381D"/>
    <w:rsid w:val="00B0404B"/>
    <w:rsid w:val="00B04D3B"/>
    <w:rsid w:val="00B162DD"/>
    <w:rsid w:val="00B16B28"/>
    <w:rsid w:val="00B22BE8"/>
    <w:rsid w:val="00B443A2"/>
    <w:rsid w:val="00B44A47"/>
    <w:rsid w:val="00B4752F"/>
    <w:rsid w:val="00B53C1C"/>
    <w:rsid w:val="00B5706D"/>
    <w:rsid w:val="00B6113F"/>
    <w:rsid w:val="00B72CD3"/>
    <w:rsid w:val="00B72FFF"/>
    <w:rsid w:val="00B75E25"/>
    <w:rsid w:val="00B9043C"/>
    <w:rsid w:val="00B94F8F"/>
    <w:rsid w:val="00BA1EA8"/>
    <w:rsid w:val="00BA3D9C"/>
    <w:rsid w:val="00BB1DB6"/>
    <w:rsid w:val="00BC3D36"/>
    <w:rsid w:val="00BC5CA2"/>
    <w:rsid w:val="00BC7C68"/>
    <w:rsid w:val="00BD4175"/>
    <w:rsid w:val="00BD4742"/>
    <w:rsid w:val="00BD54A6"/>
    <w:rsid w:val="00BD7F72"/>
    <w:rsid w:val="00BE1819"/>
    <w:rsid w:val="00BE228B"/>
    <w:rsid w:val="00BE732E"/>
    <w:rsid w:val="00BF7425"/>
    <w:rsid w:val="00C00F79"/>
    <w:rsid w:val="00C01610"/>
    <w:rsid w:val="00C03F30"/>
    <w:rsid w:val="00C04FB3"/>
    <w:rsid w:val="00C11D8B"/>
    <w:rsid w:val="00C15139"/>
    <w:rsid w:val="00C17086"/>
    <w:rsid w:val="00C330EB"/>
    <w:rsid w:val="00C34A82"/>
    <w:rsid w:val="00C47291"/>
    <w:rsid w:val="00C50D69"/>
    <w:rsid w:val="00C5146A"/>
    <w:rsid w:val="00C5365C"/>
    <w:rsid w:val="00C53B15"/>
    <w:rsid w:val="00C622DE"/>
    <w:rsid w:val="00C62EF1"/>
    <w:rsid w:val="00C63846"/>
    <w:rsid w:val="00C654FA"/>
    <w:rsid w:val="00C71DE4"/>
    <w:rsid w:val="00C754BE"/>
    <w:rsid w:val="00C75BA3"/>
    <w:rsid w:val="00C76B1C"/>
    <w:rsid w:val="00C76B5F"/>
    <w:rsid w:val="00C77FD8"/>
    <w:rsid w:val="00C820EF"/>
    <w:rsid w:val="00C824BD"/>
    <w:rsid w:val="00C831EC"/>
    <w:rsid w:val="00C91D70"/>
    <w:rsid w:val="00C925AC"/>
    <w:rsid w:val="00C93DAC"/>
    <w:rsid w:val="00C95F94"/>
    <w:rsid w:val="00CA0621"/>
    <w:rsid w:val="00CA2E8A"/>
    <w:rsid w:val="00CB0A50"/>
    <w:rsid w:val="00CB44F3"/>
    <w:rsid w:val="00CB6357"/>
    <w:rsid w:val="00CC1B26"/>
    <w:rsid w:val="00CC29BA"/>
    <w:rsid w:val="00CE2A60"/>
    <w:rsid w:val="00CF24C0"/>
    <w:rsid w:val="00D027C3"/>
    <w:rsid w:val="00D0376A"/>
    <w:rsid w:val="00D05F46"/>
    <w:rsid w:val="00D078C9"/>
    <w:rsid w:val="00D109FE"/>
    <w:rsid w:val="00D11C80"/>
    <w:rsid w:val="00D22B7C"/>
    <w:rsid w:val="00D24AA6"/>
    <w:rsid w:val="00D27B04"/>
    <w:rsid w:val="00D31DC0"/>
    <w:rsid w:val="00D33696"/>
    <w:rsid w:val="00D35983"/>
    <w:rsid w:val="00D361FD"/>
    <w:rsid w:val="00D37660"/>
    <w:rsid w:val="00D37910"/>
    <w:rsid w:val="00D423A2"/>
    <w:rsid w:val="00D44E26"/>
    <w:rsid w:val="00D520D8"/>
    <w:rsid w:val="00D63AC2"/>
    <w:rsid w:val="00D7383B"/>
    <w:rsid w:val="00D7788A"/>
    <w:rsid w:val="00D851ED"/>
    <w:rsid w:val="00D9033C"/>
    <w:rsid w:val="00D92301"/>
    <w:rsid w:val="00DA1940"/>
    <w:rsid w:val="00DA231B"/>
    <w:rsid w:val="00DA71B3"/>
    <w:rsid w:val="00DC051E"/>
    <w:rsid w:val="00DC39FC"/>
    <w:rsid w:val="00DC7D55"/>
    <w:rsid w:val="00DD24B2"/>
    <w:rsid w:val="00DE6C8E"/>
    <w:rsid w:val="00DF021B"/>
    <w:rsid w:val="00DF1C4B"/>
    <w:rsid w:val="00DF32B2"/>
    <w:rsid w:val="00DF3D9A"/>
    <w:rsid w:val="00DF5254"/>
    <w:rsid w:val="00E00882"/>
    <w:rsid w:val="00E02524"/>
    <w:rsid w:val="00E16408"/>
    <w:rsid w:val="00E20894"/>
    <w:rsid w:val="00E245AB"/>
    <w:rsid w:val="00E25712"/>
    <w:rsid w:val="00E26E9D"/>
    <w:rsid w:val="00E2764C"/>
    <w:rsid w:val="00E27F2E"/>
    <w:rsid w:val="00E36715"/>
    <w:rsid w:val="00E425E8"/>
    <w:rsid w:val="00E50AFE"/>
    <w:rsid w:val="00E53EA1"/>
    <w:rsid w:val="00E53FCC"/>
    <w:rsid w:val="00E54F30"/>
    <w:rsid w:val="00E55CFA"/>
    <w:rsid w:val="00E65677"/>
    <w:rsid w:val="00E727F0"/>
    <w:rsid w:val="00E75C92"/>
    <w:rsid w:val="00E771DC"/>
    <w:rsid w:val="00E84734"/>
    <w:rsid w:val="00E85CA7"/>
    <w:rsid w:val="00E8772A"/>
    <w:rsid w:val="00E90F6B"/>
    <w:rsid w:val="00E910FB"/>
    <w:rsid w:val="00E92C27"/>
    <w:rsid w:val="00E92DD0"/>
    <w:rsid w:val="00EA02F5"/>
    <w:rsid w:val="00EA06E6"/>
    <w:rsid w:val="00EA0E3D"/>
    <w:rsid w:val="00EA16FC"/>
    <w:rsid w:val="00EA31C7"/>
    <w:rsid w:val="00EA44A1"/>
    <w:rsid w:val="00EA5D59"/>
    <w:rsid w:val="00EB7308"/>
    <w:rsid w:val="00EC38A7"/>
    <w:rsid w:val="00EC7C37"/>
    <w:rsid w:val="00EE1AA8"/>
    <w:rsid w:val="00EE7A5D"/>
    <w:rsid w:val="00EF41C4"/>
    <w:rsid w:val="00F14CCF"/>
    <w:rsid w:val="00F23FEA"/>
    <w:rsid w:val="00F31EDC"/>
    <w:rsid w:val="00F32723"/>
    <w:rsid w:val="00F33CF5"/>
    <w:rsid w:val="00F37985"/>
    <w:rsid w:val="00F41C3E"/>
    <w:rsid w:val="00F462B3"/>
    <w:rsid w:val="00F47458"/>
    <w:rsid w:val="00F5119A"/>
    <w:rsid w:val="00F51D39"/>
    <w:rsid w:val="00F52E27"/>
    <w:rsid w:val="00F5664F"/>
    <w:rsid w:val="00F579DF"/>
    <w:rsid w:val="00F666C4"/>
    <w:rsid w:val="00F70F3D"/>
    <w:rsid w:val="00F76AC9"/>
    <w:rsid w:val="00F76AFC"/>
    <w:rsid w:val="00F805C5"/>
    <w:rsid w:val="00F82724"/>
    <w:rsid w:val="00F955C6"/>
    <w:rsid w:val="00FA47C0"/>
    <w:rsid w:val="00FA5003"/>
    <w:rsid w:val="00FB16EC"/>
    <w:rsid w:val="00FB3899"/>
    <w:rsid w:val="00FB5DD1"/>
    <w:rsid w:val="00FB7920"/>
    <w:rsid w:val="00FC2B5D"/>
    <w:rsid w:val="00FD1ACE"/>
    <w:rsid w:val="00FD4A49"/>
    <w:rsid w:val="00FE26DE"/>
    <w:rsid w:val="00FF1449"/>
    <w:rsid w:val="00FF2610"/>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03CD496-8D74-491F-B9C0-152AFA3DD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47291"/>
    <w:pPr>
      <w:spacing w:line="240" w:lineRule="exact"/>
    </w:pPr>
    <w:rPr>
      <w:vertAlign w:val="superscript"/>
    </w:rPr>
  </w:style>
  <w:style w:type="character" w:customStyle="1" w:styleId="baj">
    <w:name w:val="b_aj"/>
    <w:basedOn w:val="Fuentedeprrafopredeter"/>
    <w:rsid w:val="00C47291"/>
  </w:style>
  <w:style w:type="character" w:customStyle="1" w:styleId="NormalWebCar">
    <w:name w:val="Normal (Web) Car"/>
    <w:link w:val="NormalWeb"/>
    <w:uiPriority w:val="99"/>
    <w:locked/>
    <w:rsid w:val="00C47291"/>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8D55CB"/>
    <w:rPr>
      <w:sz w:val="16"/>
      <w:szCs w:val="16"/>
    </w:rPr>
  </w:style>
  <w:style w:type="paragraph" w:styleId="Textocomentario">
    <w:name w:val="annotation text"/>
    <w:basedOn w:val="Normal"/>
    <w:link w:val="TextocomentarioCar"/>
    <w:uiPriority w:val="99"/>
    <w:unhideWhenUsed/>
    <w:rsid w:val="008D55CB"/>
    <w:pPr>
      <w:spacing w:line="240" w:lineRule="auto"/>
    </w:pPr>
    <w:rPr>
      <w:sz w:val="20"/>
      <w:szCs w:val="20"/>
    </w:rPr>
  </w:style>
  <w:style w:type="character" w:customStyle="1" w:styleId="TextocomentarioCar">
    <w:name w:val="Texto comentario Car"/>
    <w:basedOn w:val="Fuentedeprrafopredeter"/>
    <w:link w:val="Textocomentario"/>
    <w:uiPriority w:val="99"/>
    <w:rsid w:val="008D55CB"/>
    <w:rPr>
      <w:sz w:val="20"/>
      <w:szCs w:val="20"/>
    </w:rPr>
  </w:style>
  <w:style w:type="paragraph" w:styleId="Asuntodelcomentario">
    <w:name w:val="annotation subject"/>
    <w:basedOn w:val="Textocomentario"/>
    <w:next w:val="Textocomentario"/>
    <w:link w:val="AsuntodelcomentarioCar"/>
    <w:uiPriority w:val="99"/>
    <w:semiHidden/>
    <w:unhideWhenUsed/>
    <w:rsid w:val="008D55CB"/>
    <w:rPr>
      <w:b/>
      <w:bCs/>
    </w:rPr>
  </w:style>
  <w:style w:type="character" w:customStyle="1" w:styleId="AsuntodelcomentarioCar">
    <w:name w:val="Asunto del comentario Car"/>
    <w:basedOn w:val="TextocomentarioCar"/>
    <w:link w:val="Asuntodelcomentario"/>
    <w:uiPriority w:val="99"/>
    <w:semiHidden/>
    <w:rsid w:val="008D55C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9241">
      <w:bodyDiv w:val="1"/>
      <w:marLeft w:val="0"/>
      <w:marRight w:val="0"/>
      <w:marTop w:val="0"/>
      <w:marBottom w:val="0"/>
      <w:divBdr>
        <w:top w:val="none" w:sz="0" w:space="0" w:color="auto"/>
        <w:left w:val="none" w:sz="0" w:space="0" w:color="auto"/>
        <w:bottom w:val="none" w:sz="0" w:space="0" w:color="auto"/>
        <w:right w:val="none" w:sz="0" w:space="0" w:color="auto"/>
      </w:divBdr>
    </w:div>
    <w:div w:id="63797035">
      <w:bodyDiv w:val="1"/>
      <w:marLeft w:val="0"/>
      <w:marRight w:val="0"/>
      <w:marTop w:val="0"/>
      <w:marBottom w:val="0"/>
      <w:divBdr>
        <w:top w:val="none" w:sz="0" w:space="0" w:color="auto"/>
        <w:left w:val="none" w:sz="0" w:space="0" w:color="auto"/>
        <w:bottom w:val="none" w:sz="0" w:space="0" w:color="auto"/>
        <w:right w:val="none" w:sz="0" w:space="0" w:color="auto"/>
      </w:divBdr>
    </w:div>
    <w:div w:id="124738522">
      <w:bodyDiv w:val="1"/>
      <w:marLeft w:val="0"/>
      <w:marRight w:val="0"/>
      <w:marTop w:val="0"/>
      <w:marBottom w:val="0"/>
      <w:divBdr>
        <w:top w:val="none" w:sz="0" w:space="0" w:color="auto"/>
        <w:left w:val="none" w:sz="0" w:space="0" w:color="auto"/>
        <w:bottom w:val="none" w:sz="0" w:space="0" w:color="auto"/>
        <w:right w:val="none" w:sz="0" w:space="0" w:color="auto"/>
      </w:divBdr>
    </w:div>
    <w:div w:id="156120696">
      <w:bodyDiv w:val="1"/>
      <w:marLeft w:val="0"/>
      <w:marRight w:val="0"/>
      <w:marTop w:val="0"/>
      <w:marBottom w:val="0"/>
      <w:divBdr>
        <w:top w:val="none" w:sz="0" w:space="0" w:color="auto"/>
        <w:left w:val="none" w:sz="0" w:space="0" w:color="auto"/>
        <w:bottom w:val="none" w:sz="0" w:space="0" w:color="auto"/>
        <w:right w:val="none" w:sz="0" w:space="0" w:color="auto"/>
      </w:divBdr>
    </w:div>
    <w:div w:id="208539241">
      <w:bodyDiv w:val="1"/>
      <w:marLeft w:val="0"/>
      <w:marRight w:val="0"/>
      <w:marTop w:val="0"/>
      <w:marBottom w:val="0"/>
      <w:divBdr>
        <w:top w:val="none" w:sz="0" w:space="0" w:color="auto"/>
        <w:left w:val="none" w:sz="0" w:space="0" w:color="auto"/>
        <w:bottom w:val="none" w:sz="0" w:space="0" w:color="auto"/>
        <w:right w:val="none" w:sz="0" w:space="0" w:color="auto"/>
      </w:divBdr>
    </w:div>
    <w:div w:id="271012095">
      <w:bodyDiv w:val="1"/>
      <w:marLeft w:val="0"/>
      <w:marRight w:val="0"/>
      <w:marTop w:val="0"/>
      <w:marBottom w:val="0"/>
      <w:divBdr>
        <w:top w:val="none" w:sz="0" w:space="0" w:color="auto"/>
        <w:left w:val="none" w:sz="0" w:space="0" w:color="auto"/>
        <w:bottom w:val="none" w:sz="0" w:space="0" w:color="auto"/>
        <w:right w:val="none" w:sz="0" w:space="0" w:color="auto"/>
      </w:divBdr>
    </w:div>
    <w:div w:id="309529247">
      <w:bodyDiv w:val="1"/>
      <w:marLeft w:val="0"/>
      <w:marRight w:val="0"/>
      <w:marTop w:val="0"/>
      <w:marBottom w:val="0"/>
      <w:divBdr>
        <w:top w:val="none" w:sz="0" w:space="0" w:color="auto"/>
        <w:left w:val="none" w:sz="0" w:space="0" w:color="auto"/>
        <w:bottom w:val="none" w:sz="0" w:space="0" w:color="auto"/>
        <w:right w:val="none" w:sz="0" w:space="0" w:color="auto"/>
      </w:divBdr>
    </w:div>
    <w:div w:id="325669828">
      <w:bodyDiv w:val="1"/>
      <w:marLeft w:val="0"/>
      <w:marRight w:val="0"/>
      <w:marTop w:val="0"/>
      <w:marBottom w:val="0"/>
      <w:divBdr>
        <w:top w:val="none" w:sz="0" w:space="0" w:color="auto"/>
        <w:left w:val="none" w:sz="0" w:space="0" w:color="auto"/>
        <w:bottom w:val="none" w:sz="0" w:space="0" w:color="auto"/>
        <w:right w:val="none" w:sz="0" w:space="0" w:color="auto"/>
      </w:divBdr>
    </w:div>
    <w:div w:id="392658240">
      <w:bodyDiv w:val="1"/>
      <w:marLeft w:val="0"/>
      <w:marRight w:val="0"/>
      <w:marTop w:val="0"/>
      <w:marBottom w:val="0"/>
      <w:divBdr>
        <w:top w:val="none" w:sz="0" w:space="0" w:color="auto"/>
        <w:left w:val="none" w:sz="0" w:space="0" w:color="auto"/>
        <w:bottom w:val="none" w:sz="0" w:space="0" w:color="auto"/>
        <w:right w:val="none" w:sz="0" w:space="0" w:color="auto"/>
      </w:divBdr>
    </w:div>
    <w:div w:id="495611751">
      <w:bodyDiv w:val="1"/>
      <w:marLeft w:val="0"/>
      <w:marRight w:val="0"/>
      <w:marTop w:val="0"/>
      <w:marBottom w:val="0"/>
      <w:divBdr>
        <w:top w:val="none" w:sz="0" w:space="0" w:color="auto"/>
        <w:left w:val="none" w:sz="0" w:space="0" w:color="auto"/>
        <w:bottom w:val="none" w:sz="0" w:space="0" w:color="auto"/>
        <w:right w:val="none" w:sz="0" w:space="0" w:color="auto"/>
      </w:divBdr>
    </w:div>
    <w:div w:id="6110165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19152002">
      <w:bodyDiv w:val="1"/>
      <w:marLeft w:val="0"/>
      <w:marRight w:val="0"/>
      <w:marTop w:val="0"/>
      <w:marBottom w:val="0"/>
      <w:divBdr>
        <w:top w:val="none" w:sz="0" w:space="0" w:color="auto"/>
        <w:left w:val="none" w:sz="0" w:space="0" w:color="auto"/>
        <w:bottom w:val="none" w:sz="0" w:space="0" w:color="auto"/>
        <w:right w:val="none" w:sz="0" w:space="0" w:color="auto"/>
      </w:divBdr>
    </w:div>
    <w:div w:id="105489399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11960701">
      <w:bodyDiv w:val="1"/>
      <w:marLeft w:val="0"/>
      <w:marRight w:val="0"/>
      <w:marTop w:val="0"/>
      <w:marBottom w:val="0"/>
      <w:divBdr>
        <w:top w:val="none" w:sz="0" w:space="0" w:color="auto"/>
        <w:left w:val="none" w:sz="0" w:space="0" w:color="auto"/>
        <w:bottom w:val="none" w:sz="0" w:space="0" w:color="auto"/>
        <w:right w:val="none" w:sz="0" w:space="0" w:color="auto"/>
      </w:divBdr>
    </w:div>
    <w:div w:id="125200626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01055532">
      <w:bodyDiv w:val="1"/>
      <w:marLeft w:val="0"/>
      <w:marRight w:val="0"/>
      <w:marTop w:val="0"/>
      <w:marBottom w:val="0"/>
      <w:divBdr>
        <w:top w:val="none" w:sz="0" w:space="0" w:color="auto"/>
        <w:left w:val="none" w:sz="0" w:space="0" w:color="auto"/>
        <w:bottom w:val="none" w:sz="0" w:space="0" w:color="auto"/>
        <w:right w:val="none" w:sz="0" w:space="0" w:color="auto"/>
      </w:divBdr>
    </w:div>
    <w:div w:id="1414081077">
      <w:bodyDiv w:val="1"/>
      <w:marLeft w:val="0"/>
      <w:marRight w:val="0"/>
      <w:marTop w:val="0"/>
      <w:marBottom w:val="0"/>
      <w:divBdr>
        <w:top w:val="none" w:sz="0" w:space="0" w:color="auto"/>
        <w:left w:val="none" w:sz="0" w:space="0" w:color="auto"/>
        <w:bottom w:val="none" w:sz="0" w:space="0" w:color="auto"/>
        <w:right w:val="none" w:sz="0" w:space="0" w:color="auto"/>
      </w:divBdr>
    </w:div>
    <w:div w:id="1620992496">
      <w:bodyDiv w:val="1"/>
      <w:marLeft w:val="0"/>
      <w:marRight w:val="0"/>
      <w:marTop w:val="0"/>
      <w:marBottom w:val="0"/>
      <w:divBdr>
        <w:top w:val="none" w:sz="0" w:space="0" w:color="auto"/>
        <w:left w:val="none" w:sz="0" w:space="0" w:color="auto"/>
        <w:bottom w:val="none" w:sz="0" w:space="0" w:color="auto"/>
        <w:right w:val="none" w:sz="0" w:space="0" w:color="auto"/>
      </w:divBdr>
    </w:div>
    <w:div w:id="1667980077">
      <w:bodyDiv w:val="1"/>
      <w:marLeft w:val="0"/>
      <w:marRight w:val="0"/>
      <w:marTop w:val="0"/>
      <w:marBottom w:val="0"/>
      <w:divBdr>
        <w:top w:val="none" w:sz="0" w:space="0" w:color="auto"/>
        <w:left w:val="none" w:sz="0" w:space="0" w:color="auto"/>
        <w:bottom w:val="none" w:sz="0" w:space="0" w:color="auto"/>
        <w:right w:val="none" w:sz="0" w:space="0" w:color="auto"/>
      </w:divBdr>
    </w:div>
    <w:div w:id="1701468496">
      <w:bodyDiv w:val="1"/>
      <w:marLeft w:val="0"/>
      <w:marRight w:val="0"/>
      <w:marTop w:val="0"/>
      <w:marBottom w:val="0"/>
      <w:divBdr>
        <w:top w:val="none" w:sz="0" w:space="0" w:color="auto"/>
        <w:left w:val="none" w:sz="0" w:space="0" w:color="auto"/>
        <w:bottom w:val="none" w:sz="0" w:space="0" w:color="auto"/>
        <w:right w:val="none" w:sz="0" w:space="0" w:color="auto"/>
      </w:divBdr>
    </w:div>
    <w:div w:id="1755012375">
      <w:bodyDiv w:val="1"/>
      <w:marLeft w:val="0"/>
      <w:marRight w:val="0"/>
      <w:marTop w:val="0"/>
      <w:marBottom w:val="0"/>
      <w:divBdr>
        <w:top w:val="none" w:sz="0" w:space="0" w:color="auto"/>
        <w:left w:val="none" w:sz="0" w:space="0" w:color="auto"/>
        <w:bottom w:val="none" w:sz="0" w:space="0" w:color="auto"/>
        <w:right w:val="none" w:sz="0" w:space="0" w:color="auto"/>
      </w:divBdr>
    </w:div>
    <w:div w:id="179683000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C09BCFF0-AC09-4665-9ED4-D7FC2A4CEB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CDB8A3B-31BC-41B2-A240-320703FDCCFB}">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31</TotalTime>
  <Pages>35</Pages>
  <Words>12884</Words>
  <Characters>70868</Characters>
  <Application>Microsoft Office Word</Application>
  <DocSecurity>0</DocSecurity>
  <Lines>590</Lines>
  <Paragraphs>167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2026-05-25T00:22:00Z</dcterms:created>
  <dcterms:modified xsi:type="dcterms:W3CDTF">2026-06-01T17:20:00Z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