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2F6A70" w14:textId="77777777" w:rsidR="00E878D3" w:rsidRPr="00E878D3" w:rsidRDefault="00E878D3" w:rsidP="00E878D3">
      <w:pPr>
        <w:spacing w:after="0" w:line="240" w:lineRule="auto"/>
        <w:rPr>
          <w:rFonts w:ascii="Verdana" w:eastAsia="Verdana" w:hAnsi="Verdana" w:cs="Verdana"/>
        </w:rPr>
      </w:pPr>
      <w:bookmarkStart w:id="0" w:name="_Hlk143780582"/>
      <w:r w:rsidRPr="00E878D3">
        <w:rPr>
          <w:rFonts w:ascii="Verdana" w:eastAsia="Times New Roman" w:hAnsi="Verdana" w:cs="Arial"/>
          <w:b/>
          <w:bCs/>
          <w:lang w:eastAsia="es-ES_tradnl"/>
        </w:rPr>
        <w:t xml:space="preserve">DOCUMENTOS TIPO – Fundamento normativo – Obligatoriedad – Ámbito de aplicación – Entidades sometidas  </w:t>
      </w:r>
    </w:p>
    <w:p w14:paraId="63130488" w14:textId="77777777" w:rsidR="00E878D3" w:rsidRPr="00E878D3" w:rsidRDefault="00E878D3" w:rsidP="00E878D3">
      <w:pPr>
        <w:spacing w:after="0" w:line="240" w:lineRule="auto"/>
        <w:jc w:val="both"/>
        <w:rPr>
          <w:rFonts w:ascii="Verdana" w:eastAsia="Times New Roman" w:hAnsi="Verdana" w:cs="Arial"/>
          <w:b/>
          <w:bCs/>
          <w:sz w:val="20"/>
          <w:szCs w:val="20"/>
          <w:lang w:eastAsia="es-ES_tradnl"/>
        </w:rPr>
      </w:pPr>
    </w:p>
    <w:p w14:paraId="6BA1B7EF" w14:textId="77777777" w:rsidR="00E878D3" w:rsidRPr="00E878D3" w:rsidRDefault="00E878D3" w:rsidP="00E878D3">
      <w:pPr>
        <w:spacing w:after="0" w:line="240" w:lineRule="auto"/>
        <w:jc w:val="both"/>
        <w:rPr>
          <w:rFonts w:ascii="Verdana" w:eastAsia="Calibri" w:hAnsi="Verdana" w:cs="Arial"/>
          <w:sz w:val="20"/>
          <w:szCs w:val="20"/>
          <w:lang w:val="es-ES_tradnl" w:eastAsia="es-ES"/>
        </w:rPr>
      </w:pPr>
      <w:r w:rsidRPr="00E878D3">
        <w:rPr>
          <w:rFonts w:ascii="Verdana" w:eastAsia="Calibri" w:hAnsi="Verdana" w:cs="Arial"/>
          <w:sz w:val="20"/>
          <w:szCs w:val="20"/>
          <w:lang w:val="es-ES_tradnl" w:eastAsia="es-ES"/>
        </w:rPr>
        <w:t xml:space="preserve">[…] la Ley 2022 de 2020 […] modificó el contenido del parágrafo 7 del artículo 2 de la Ley 1150 de 2007, que había sido adicionado por la Ley 1882 de 2018. Con esta modificación, si bien se mantuvo el mandato de aplicación obligatoria de los Documentos Tipo por parte de las entidades sometidas al </w:t>
      </w:r>
      <w:r w:rsidRPr="00E878D3">
        <w:rPr>
          <w:rFonts w:ascii="Verdana" w:eastAsia="Calibri" w:hAnsi="Verdana" w:cs="Arial"/>
          <w:bCs/>
          <w:sz w:val="20"/>
          <w:szCs w:val="20"/>
          <w:lang w:val="es-ES_tradnl" w:eastAsia="es-ES_tradnl"/>
        </w:rPr>
        <w:t>EGCAP</w:t>
      </w:r>
      <w:r w:rsidRPr="00E878D3">
        <w:rPr>
          <w:rFonts w:ascii="Verdana" w:eastAsia="Calibri" w:hAnsi="Verdana" w:cs="Arial"/>
          <w:sz w:val="20"/>
          <w:szCs w:val="20"/>
          <w:lang w:val="es-ES_tradnl" w:eastAsia="es-ES"/>
        </w:rPr>
        <w:t xml:space="preserve">, se atribuyó a la </w:t>
      </w:r>
      <w:r w:rsidRPr="00E878D3">
        <w:rPr>
          <w:rFonts w:ascii="Verdana" w:eastAsia="Calibri" w:hAnsi="Verdana" w:cs="Arial"/>
          <w:sz w:val="20"/>
          <w:szCs w:val="20"/>
          <w:lang w:val="es-ES_tradnl" w:eastAsia="es-ES_tradnl"/>
        </w:rPr>
        <w:t xml:space="preserve">Agencia Nacional de Contratación Pública – Colombia Compra Eficiente la competencia para su expedición. </w:t>
      </w:r>
    </w:p>
    <w:p w14:paraId="361A468F" w14:textId="77777777" w:rsidR="00E878D3" w:rsidRPr="00E878D3" w:rsidRDefault="00E878D3" w:rsidP="00E878D3">
      <w:pPr>
        <w:spacing w:after="0" w:line="240" w:lineRule="auto"/>
        <w:jc w:val="both"/>
        <w:rPr>
          <w:rFonts w:ascii="Verdana" w:eastAsia="Calibri" w:hAnsi="Verdana" w:cs="Arial"/>
          <w:sz w:val="20"/>
          <w:szCs w:val="20"/>
          <w:lang w:val="es-ES_tradnl" w:eastAsia="es-ES"/>
        </w:rPr>
      </w:pPr>
    </w:p>
    <w:p w14:paraId="2911A3A8" w14:textId="77777777" w:rsidR="00E878D3" w:rsidRPr="00E878D3" w:rsidRDefault="00E878D3" w:rsidP="00E878D3">
      <w:pPr>
        <w:spacing w:after="0" w:line="240" w:lineRule="auto"/>
        <w:jc w:val="both"/>
        <w:rPr>
          <w:rFonts w:ascii="Verdana" w:eastAsia="Calibri" w:hAnsi="Verdana" w:cs="Arial"/>
          <w:sz w:val="20"/>
          <w:szCs w:val="20"/>
          <w:lang w:eastAsia="es-MX"/>
        </w:rPr>
      </w:pPr>
      <w:r w:rsidRPr="00E878D3">
        <w:rPr>
          <w:rFonts w:ascii="Verdana" w:eastAsia="Calibri" w:hAnsi="Verdana" w:cs="Arial"/>
          <w:sz w:val="20"/>
          <w:szCs w:val="20"/>
          <w:lang w:eastAsia="es-ES_tradnl"/>
        </w:rPr>
        <w:t xml:space="preserve">De acuerdo con lo expuesto, </w:t>
      </w:r>
      <w:r w:rsidRPr="00E878D3">
        <w:rPr>
          <w:rFonts w:ascii="Verdana" w:eastAsia="Calibri" w:hAnsi="Verdana" w:cs="Arial"/>
          <w:sz w:val="20"/>
          <w:szCs w:val="20"/>
          <w:bdr w:val="none" w:sz="0" w:space="0" w:color="auto" w:frame="1"/>
          <w:lang w:eastAsia="es-ES_tradnl"/>
        </w:rPr>
        <w:t xml:space="preserve">los Documentos Tipo adoptados son obligatorios para las Entidades Estatales regidas por el </w:t>
      </w:r>
      <w:r w:rsidRPr="00E878D3">
        <w:rPr>
          <w:rFonts w:ascii="Verdana" w:eastAsia="Calibri" w:hAnsi="Verdana" w:cs="Arial"/>
          <w:bCs/>
          <w:sz w:val="20"/>
          <w:szCs w:val="20"/>
          <w:lang w:val="es-ES_tradnl" w:eastAsia="es-ES_tradnl"/>
        </w:rPr>
        <w:t>EGCAP</w:t>
      </w:r>
      <w:r w:rsidRPr="00E878D3">
        <w:rPr>
          <w:rFonts w:ascii="Verdana" w:eastAsia="Calibri" w:hAnsi="Verdana" w:cs="Arial"/>
          <w:sz w:val="20"/>
          <w:szCs w:val="20"/>
          <w:bdr w:val="none" w:sz="0" w:space="0" w:color="auto" w:frame="1"/>
          <w:lang w:eastAsia="es-ES_tradnl"/>
        </w:rPr>
        <w:t xml:space="preserve"> que adelanten Procesos de Contratación mediante las modalidades de selección y objetos contractuales cobijados por alguno de los Documentos Tipo vigentes en los diferentes sectores. </w:t>
      </w:r>
      <w:r w:rsidRPr="00E878D3">
        <w:rPr>
          <w:rFonts w:ascii="Verdana" w:eastAsia="Calibri" w:hAnsi="Verdana" w:cs="Arial"/>
          <w:sz w:val="20"/>
          <w:szCs w:val="20"/>
          <w:lang w:eastAsia="es-MX"/>
        </w:rPr>
        <w:t>Esta obligatoriedad implica, a su vez, que las Entidades Estatales tengan que adelantar los Procesos de Contratación bajo las condiciones establecidas en los Documentos Tipo que rijan para el objeto a contratar y el procedimiento de selección aplicables, sin que puedan variarse los requisitos fijados en ellos.</w:t>
      </w:r>
    </w:p>
    <w:p w14:paraId="24C0375A" w14:textId="77777777" w:rsidR="00E878D3" w:rsidRPr="00E878D3" w:rsidRDefault="00E878D3" w:rsidP="00E878D3">
      <w:pPr>
        <w:spacing w:after="0" w:line="240" w:lineRule="auto"/>
        <w:jc w:val="both"/>
        <w:rPr>
          <w:rFonts w:ascii="Verdana" w:eastAsia="Times New Roman" w:hAnsi="Verdana" w:cs="Arial"/>
          <w:b/>
          <w:bCs/>
          <w:sz w:val="24"/>
          <w:szCs w:val="24"/>
          <w:lang w:eastAsia="es-ES_tradnl"/>
        </w:rPr>
      </w:pPr>
    </w:p>
    <w:p w14:paraId="7D1850EE" w14:textId="77777777" w:rsidR="00E878D3" w:rsidRPr="00E878D3" w:rsidRDefault="00E878D3" w:rsidP="00E878D3">
      <w:pPr>
        <w:spacing w:after="0" w:line="240" w:lineRule="auto"/>
        <w:jc w:val="both"/>
        <w:rPr>
          <w:rFonts w:ascii="Verdana" w:eastAsia="Calibri" w:hAnsi="Verdana" w:cs="Arial"/>
          <w:b/>
          <w:color w:val="000000"/>
          <w:lang w:val="es-ES_tradnl" w:eastAsia="es-ES_tradnl"/>
        </w:rPr>
      </w:pPr>
      <w:r w:rsidRPr="00E878D3">
        <w:rPr>
          <w:rFonts w:ascii="Verdana" w:eastAsia="Calibri" w:hAnsi="Verdana" w:cs="Arial"/>
          <w:b/>
          <w:color w:val="000000"/>
          <w:lang w:val="es-ES_tradnl" w:eastAsia="es-ES_tradnl"/>
        </w:rPr>
        <w:t>LEY 2195 DE 2022 – Artículo 56 – Personas jurídicas de derecho privado – Documentos tipo – Estatuto General de Contratación de la Administración Pública</w:t>
      </w:r>
    </w:p>
    <w:p w14:paraId="28E5C77A" w14:textId="77777777" w:rsidR="00E878D3" w:rsidRPr="00E878D3" w:rsidRDefault="00E878D3" w:rsidP="00E878D3">
      <w:pPr>
        <w:spacing w:after="0" w:line="240" w:lineRule="auto"/>
        <w:jc w:val="both"/>
        <w:rPr>
          <w:rFonts w:ascii="Verdana" w:eastAsia="Calibri" w:hAnsi="Verdana" w:cs="Arial"/>
          <w:b/>
          <w:color w:val="000000"/>
          <w:sz w:val="24"/>
          <w:szCs w:val="24"/>
          <w:lang w:val="es-ES_tradnl" w:eastAsia="es-ES_tradnl"/>
        </w:rPr>
      </w:pPr>
    </w:p>
    <w:p w14:paraId="12226751" w14:textId="77777777" w:rsidR="00E878D3" w:rsidRPr="00E878D3" w:rsidRDefault="00E878D3" w:rsidP="00E878D3">
      <w:pPr>
        <w:spacing w:after="0" w:line="240" w:lineRule="auto"/>
        <w:jc w:val="both"/>
        <w:rPr>
          <w:rFonts w:ascii="Verdana" w:eastAsia="Times New Roman" w:hAnsi="Verdana" w:cs="Arial"/>
          <w:noProof/>
          <w:color w:val="000000"/>
          <w:sz w:val="20"/>
          <w:szCs w:val="20"/>
          <w:lang w:val="es-ES_tradnl" w:eastAsia="es-ES_tradnl"/>
        </w:rPr>
      </w:pPr>
      <w:r w:rsidRPr="00E878D3">
        <w:rPr>
          <w:rFonts w:ascii="Verdana" w:eastAsia="Calibri" w:hAnsi="Verdana" w:cs="Arial"/>
          <w:sz w:val="20"/>
          <w:szCs w:val="20"/>
          <w:lang w:val="es-ES_tradnl" w:eastAsia="es-ES"/>
        </w:rPr>
        <w:t xml:space="preserve">[…] </w:t>
      </w:r>
      <w:r w:rsidRPr="00E878D3">
        <w:rPr>
          <w:rFonts w:ascii="Verdana" w:eastAsia="Times New Roman" w:hAnsi="Verdana" w:cs="Arial"/>
          <w:noProof/>
          <w:color w:val="000000"/>
          <w:sz w:val="20"/>
          <w:szCs w:val="20"/>
          <w:lang w:val="es-ES_tradnl" w:eastAsia="es-ES_tradnl"/>
        </w:rPr>
        <w:t>el primer inciso del artículo 56 de la Ley 2195 de 2022 surge como una disposición complementaria de la Ley 2022 de 2020, en la medida en que, según se desprende de su texto, de una parte, la norma busca extender la aplicación obligatoria de los documentos tipo a la celebración de contratos o convenios interadministrativos entre entidades regidas por EGCAP y otros sujetos cuyo régimen de contratación prevalente es el derecho privado. Esto de tal forma que cuando una entidad estatal regida por el EGCAP celebre contratos o convenios con otra i) entidad estatal de régimen especial o con ii) patrimonios autónomos o iii) con personas naturales o jurídicas de derecho privado, tenga que hacerlo aplicando documentos tipo. Los efectos del primer inciso del artículo 56 se proyectarían entonces a los contratos o convenios interadministrativos o de cualquier otra índole, que se deban celebrar con estos sujetos, cuyos objetos comprendan la adquisición de bienes, obras o servicios, que, al tenor de lo dispuesto en el apartado normativo bajo examen, deberán celebrarse mediante documentos tipo.</w:t>
      </w:r>
    </w:p>
    <w:p w14:paraId="4CE259A7" w14:textId="77777777" w:rsidR="00E878D3" w:rsidRPr="00E878D3" w:rsidRDefault="00E878D3" w:rsidP="00E878D3">
      <w:pPr>
        <w:spacing w:after="0" w:line="240" w:lineRule="auto"/>
        <w:jc w:val="both"/>
        <w:rPr>
          <w:rFonts w:ascii="Verdana" w:eastAsia="Times New Roman" w:hAnsi="Verdana" w:cs="Arial"/>
          <w:noProof/>
          <w:color w:val="000000"/>
          <w:sz w:val="24"/>
          <w:szCs w:val="24"/>
          <w:lang w:val="es-ES_tradnl" w:eastAsia="es-ES_tradnl"/>
        </w:rPr>
      </w:pPr>
    </w:p>
    <w:p w14:paraId="22964398" w14:textId="77777777" w:rsidR="00E878D3" w:rsidRPr="00E878D3" w:rsidRDefault="00E878D3" w:rsidP="00E878D3">
      <w:pPr>
        <w:tabs>
          <w:tab w:val="left" w:pos="0"/>
        </w:tabs>
        <w:spacing w:after="0" w:line="240" w:lineRule="auto"/>
        <w:jc w:val="both"/>
        <w:rPr>
          <w:rFonts w:ascii="Verdana" w:eastAsia="Calibri" w:hAnsi="Verdana" w:cs="Arial"/>
          <w:b/>
          <w:color w:val="000000"/>
          <w:lang w:val="es-ES_tradnl" w:eastAsia="es-ES_tradnl"/>
        </w:rPr>
      </w:pPr>
      <w:r w:rsidRPr="00E878D3">
        <w:rPr>
          <w:rFonts w:ascii="Verdana" w:eastAsia="Calibri" w:hAnsi="Verdana" w:cs="Arial"/>
          <w:b/>
          <w:color w:val="000000"/>
          <w:lang w:val="es-ES_tradnl" w:eastAsia="es-ES_tradnl"/>
        </w:rPr>
        <w:t xml:space="preserve">LEY 2195 DE 2022 – Artículo 56 – Parágrafo – Alcance </w:t>
      </w:r>
    </w:p>
    <w:p w14:paraId="79ABF595" w14:textId="77777777" w:rsidR="00E878D3" w:rsidRPr="00E878D3" w:rsidRDefault="00E878D3" w:rsidP="00E878D3">
      <w:pPr>
        <w:tabs>
          <w:tab w:val="left" w:pos="0"/>
        </w:tabs>
        <w:spacing w:after="0" w:line="240" w:lineRule="auto"/>
        <w:jc w:val="both"/>
        <w:rPr>
          <w:rFonts w:ascii="Arial" w:eastAsia="Times New Roman" w:hAnsi="Arial" w:cs="Arial"/>
          <w:noProof/>
          <w:color w:val="000000"/>
          <w:sz w:val="24"/>
          <w:szCs w:val="24"/>
          <w:lang w:val="es-ES_tradnl" w:eastAsia="es-ES_tradnl"/>
        </w:rPr>
      </w:pPr>
    </w:p>
    <w:p w14:paraId="54F94D63" w14:textId="77777777" w:rsidR="00E878D3" w:rsidRPr="00E878D3" w:rsidRDefault="00E878D3" w:rsidP="00E878D3">
      <w:pPr>
        <w:tabs>
          <w:tab w:val="left" w:pos="0"/>
        </w:tabs>
        <w:spacing w:after="0" w:line="240" w:lineRule="auto"/>
        <w:jc w:val="both"/>
        <w:rPr>
          <w:rFonts w:ascii="Arial" w:eastAsia="Calibri" w:hAnsi="Arial" w:cs="Arial"/>
          <w:bCs/>
          <w:sz w:val="20"/>
          <w:szCs w:val="20"/>
          <w:lang w:val="es-ES_tradnl" w:eastAsia="es-MX"/>
        </w:rPr>
      </w:pPr>
      <w:r w:rsidRPr="00E878D3">
        <w:rPr>
          <w:rFonts w:ascii="Verdana" w:eastAsia="Times New Roman" w:hAnsi="Verdana" w:cs="Arial"/>
          <w:color w:val="000000"/>
          <w:sz w:val="20"/>
          <w:szCs w:val="20"/>
          <w:lang w:eastAsia="es-MX"/>
        </w:rPr>
        <w:t xml:space="preserve">En este contexto, </w:t>
      </w:r>
      <w:r w:rsidRPr="00E878D3">
        <w:rPr>
          <w:rFonts w:ascii="Verdana" w:eastAsia="Calibri" w:hAnsi="Verdana" w:cs="Arial"/>
          <w:bCs/>
          <w:sz w:val="20"/>
          <w:szCs w:val="20"/>
          <w:lang w:val="es-ES_tradnl" w:eastAsia="es-ES_tradnl"/>
        </w:rPr>
        <w:t>de la lectura conjunta de los incisos primero y segundo</w:t>
      </w:r>
      <w:r w:rsidRPr="00E878D3">
        <w:rPr>
          <w:rFonts w:ascii="Verdana" w:eastAsia="Calibri" w:hAnsi="Verdana" w:cs="Arial"/>
          <w:bCs/>
          <w:sz w:val="20"/>
          <w:szCs w:val="20"/>
          <w:lang w:eastAsia="es-ES_tradnl"/>
        </w:rPr>
        <w:t xml:space="preserve"> del artículo 56 de la Ley 2195 de 2022,</w:t>
      </w:r>
      <w:r w:rsidRPr="00E878D3">
        <w:rPr>
          <w:rFonts w:ascii="Verdana" w:eastAsia="Calibri" w:hAnsi="Verdana" w:cs="Arial"/>
          <w:bCs/>
          <w:sz w:val="20"/>
          <w:szCs w:val="20"/>
          <w:lang w:val="es-ES_tradnl" w:eastAsia="es-ES_tradnl"/>
        </w:rPr>
        <w:t xml:space="preserve"> se desprende que </w:t>
      </w:r>
      <w:r w:rsidRPr="00E878D3">
        <w:rPr>
          <w:rFonts w:ascii="Verdana" w:eastAsia="Calibri" w:hAnsi="Verdana" w:cs="Arial"/>
          <w:bCs/>
          <w:sz w:val="20"/>
          <w:szCs w:val="20"/>
          <w:lang w:eastAsia="es-ES_tradnl"/>
        </w:rPr>
        <w:t>cuando se celebre un contrato o convenio interadministrativo o de cualquier otra índole entre una entidad sometida al EGCAP y los sujetos allí mencionados, del cual se derive la ejecución de objetos contractuales incluidos dentro del ámbito de aplicación de los documentos tipo, su celebración deberá realizarse por parte del ejecutor o de quien tenga a su cargo el deber legal de materializar dicha contratación, haciendo uso obligatorio de dichos documentos</w:t>
      </w:r>
      <w:r w:rsidRPr="00E878D3">
        <w:rPr>
          <w:rFonts w:ascii="Arial" w:eastAsia="Calibri" w:hAnsi="Arial" w:cs="Arial"/>
          <w:bCs/>
          <w:sz w:val="20"/>
          <w:szCs w:val="20"/>
          <w:lang w:val="es-ES_tradnl" w:eastAsia="es-MX"/>
        </w:rPr>
        <w:t xml:space="preserve"> </w:t>
      </w:r>
      <w:r w:rsidRPr="00E878D3">
        <w:rPr>
          <w:rFonts w:ascii="Verdana" w:eastAsia="Calibri" w:hAnsi="Verdana" w:cs="Arial"/>
          <w:bCs/>
          <w:sz w:val="20"/>
          <w:szCs w:val="20"/>
          <w:lang w:val="es-ES_tradnl" w:eastAsia="es-MX"/>
        </w:rPr>
        <w:t xml:space="preserve">siempre </w:t>
      </w:r>
      <w:r w:rsidRPr="00E878D3">
        <w:rPr>
          <w:rFonts w:ascii="Verdana" w:eastAsia="Calibri" w:hAnsi="Verdana" w:cs="Arial"/>
          <w:bCs/>
          <w:sz w:val="20"/>
          <w:szCs w:val="20"/>
          <w:lang w:val="es-ES_tradnl" w:eastAsia="es-MX"/>
        </w:rPr>
        <w:lastRenderedPageBreak/>
        <w:t xml:space="preserve">que exista documento tipo aplicable al objeto contractual que se planea contratar. Esto significa que los contratos no relacionados con los contratos y convenios adquiridos con la entidad sometida al EGCAP no tendrían que aplicar los documentos tipo, salvo que quieran hacerlo como una buena práctica de contratación. </w:t>
      </w:r>
    </w:p>
    <w:p w14:paraId="7B1ABD55" w14:textId="77777777" w:rsidR="00E878D3" w:rsidRPr="00E878D3" w:rsidRDefault="00E878D3" w:rsidP="00E878D3">
      <w:pPr>
        <w:tabs>
          <w:tab w:val="left" w:pos="0"/>
        </w:tabs>
        <w:spacing w:after="0" w:line="240" w:lineRule="auto"/>
        <w:jc w:val="both"/>
        <w:rPr>
          <w:rFonts w:ascii="Verdana" w:eastAsia="Calibri" w:hAnsi="Verdana" w:cs="Arial"/>
          <w:bCs/>
          <w:sz w:val="20"/>
          <w:szCs w:val="20"/>
          <w:lang w:val="es-ES_tradnl" w:eastAsia="es-ES_tradnl"/>
        </w:rPr>
      </w:pPr>
    </w:p>
    <w:p w14:paraId="4BDE5512" w14:textId="77777777" w:rsidR="00E878D3" w:rsidRPr="00E878D3" w:rsidRDefault="00E878D3" w:rsidP="00E878D3">
      <w:pPr>
        <w:tabs>
          <w:tab w:val="left" w:pos="0"/>
        </w:tabs>
        <w:spacing w:after="0" w:line="240" w:lineRule="auto"/>
        <w:jc w:val="both"/>
        <w:rPr>
          <w:rFonts w:ascii="Verdana" w:eastAsia="Calibri" w:hAnsi="Verdana" w:cs="Arial"/>
          <w:bCs/>
          <w:color w:val="000000"/>
          <w:sz w:val="20"/>
          <w:szCs w:val="20"/>
          <w:lang w:val="es-ES_tradnl" w:eastAsia="es-ES_tradnl"/>
        </w:rPr>
      </w:pPr>
      <w:r w:rsidRPr="00E878D3">
        <w:rPr>
          <w:rFonts w:ascii="Verdana" w:eastAsia="Calibri" w:hAnsi="Verdana" w:cs="Arial"/>
          <w:bCs/>
          <w:sz w:val="20"/>
          <w:szCs w:val="20"/>
          <w:lang w:val="es-ES_tradnl" w:eastAsia="es-ES_tradnl"/>
        </w:rPr>
        <w:t>Sin perjuicio de lo anterior</w:t>
      </w:r>
      <w:r w:rsidRPr="00E878D3">
        <w:rPr>
          <w:rFonts w:ascii="Verdana" w:eastAsia="Times New Roman" w:hAnsi="Verdana" w:cs="Arial"/>
          <w:sz w:val="20"/>
          <w:szCs w:val="20"/>
          <w:lang w:eastAsia="es-ES_tradnl"/>
        </w:rPr>
        <w:t xml:space="preserve">, </w:t>
      </w:r>
      <w:r w:rsidRPr="00E878D3">
        <w:rPr>
          <w:rFonts w:ascii="Verdana" w:eastAsia="Calibri" w:hAnsi="Verdana" w:cs="Arial"/>
          <w:bCs/>
          <w:sz w:val="20"/>
          <w:szCs w:val="20"/>
          <w:lang w:val="es-ES_tradnl" w:eastAsia="es-ES_tradnl"/>
        </w:rPr>
        <w:t xml:space="preserve">es necesario precisar el alcance del parágrafo del artículo 56 de la Ley 2195 de 2022 y lo dispuesto en los dos primeros incisos del mencionado artículo, del cual se excluye, a cierto tipo de entidades, en lo relacionado con la contratación de su </w:t>
      </w:r>
      <w:r w:rsidRPr="00E878D3">
        <w:rPr>
          <w:rFonts w:ascii="Verdana" w:eastAsia="Calibri" w:hAnsi="Verdana" w:cs="Arial"/>
          <w:bCs/>
          <w:i/>
          <w:iCs/>
          <w:sz w:val="20"/>
          <w:szCs w:val="20"/>
          <w:lang w:val="es-ES_tradnl" w:eastAsia="es-ES_tradnl"/>
        </w:rPr>
        <w:t>giro ordinario</w:t>
      </w:r>
      <w:r w:rsidRPr="00E878D3">
        <w:rPr>
          <w:rFonts w:ascii="Verdana" w:eastAsia="Calibri" w:hAnsi="Verdana" w:cs="Arial"/>
          <w:bCs/>
          <w:sz w:val="20"/>
          <w:szCs w:val="20"/>
          <w:lang w:val="es-ES_tradnl" w:eastAsia="es-ES_tradnl"/>
        </w:rPr>
        <w:t xml:space="preserve">. Conforme se desprende del texto del referido parágrafo, se exceptúa de lo señalado en los dos primeros incisos a: i) las instituciones de educación superior públicas, </w:t>
      </w:r>
      <w:proofErr w:type="spellStart"/>
      <w:r w:rsidRPr="00E878D3">
        <w:rPr>
          <w:rFonts w:ascii="Verdana" w:eastAsia="Calibri" w:hAnsi="Verdana" w:cs="Arial"/>
          <w:bCs/>
          <w:sz w:val="20"/>
          <w:szCs w:val="20"/>
          <w:lang w:val="es-ES_tradnl" w:eastAsia="es-ES_tradnl"/>
        </w:rPr>
        <w:t>ii</w:t>
      </w:r>
      <w:proofErr w:type="spellEnd"/>
      <w:r w:rsidRPr="00E878D3">
        <w:rPr>
          <w:rFonts w:ascii="Verdana" w:eastAsia="Calibri" w:hAnsi="Verdana" w:cs="Arial"/>
          <w:bCs/>
          <w:sz w:val="20"/>
          <w:szCs w:val="20"/>
          <w:lang w:val="es-ES_tradnl" w:eastAsia="es-ES_tradnl"/>
        </w:rPr>
        <w:t xml:space="preserve">) las </w:t>
      </w:r>
      <w:r w:rsidRPr="00E878D3">
        <w:rPr>
          <w:rFonts w:ascii="Verdana" w:eastAsia="Calibri" w:hAnsi="Verdana" w:cs="Arial"/>
          <w:bCs/>
          <w:i/>
          <w:iCs/>
          <w:sz w:val="20"/>
          <w:szCs w:val="20"/>
          <w:lang w:val="es-ES_tradnl" w:eastAsia="es-ES_tradnl"/>
        </w:rPr>
        <w:t>empresas sociales del Estado</w:t>
      </w:r>
      <w:r w:rsidRPr="00E878D3">
        <w:rPr>
          <w:rFonts w:ascii="Verdana" w:eastAsia="Calibri" w:hAnsi="Verdana" w:cs="Arial"/>
          <w:bCs/>
          <w:sz w:val="20"/>
          <w:szCs w:val="20"/>
          <w:lang w:val="es-ES_tradnl" w:eastAsia="es-ES_tradnl"/>
        </w:rPr>
        <w:t xml:space="preserve">, </w:t>
      </w:r>
      <w:proofErr w:type="spellStart"/>
      <w:r w:rsidRPr="00E878D3">
        <w:rPr>
          <w:rFonts w:ascii="Verdana" w:eastAsia="Calibri" w:hAnsi="Verdana" w:cs="Arial"/>
          <w:bCs/>
          <w:sz w:val="20"/>
          <w:szCs w:val="20"/>
          <w:lang w:val="es-ES_tradnl" w:eastAsia="es-ES_tradnl"/>
        </w:rPr>
        <w:t>iii</w:t>
      </w:r>
      <w:proofErr w:type="spellEnd"/>
      <w:r w:rsidRPr="00E878D3">
        <w:rPr>
          <w:rFonts w:ascii="Verdana" w:eastAsia="Calibri" w:hAnsi="Verdana" w:cs="Arial"/>
          <w:bCs/>
          <w:sz w:val="20"/>
          <w:szCs w:val="20"/>
          <w:lang w:val="es-ES_tradnl" w:eastAsia="es-ES_tradnl"/>
        </w:rPr>
        <w:t xml:space="preserve">) las sociedades de economía mixta y </w:t>
      </w:r>
      <w:proofErr w:type="spellStart"/>
      <w:r w:rsidRPr="00E878D3">
        <w:rPr>
          <w:rFonts w:ascii="Verdana" w:eastAsia="Calibri" w:hAnsi="Verdana" w:cs="Arial"/>
          <w:bCs/>
          <w:sz w:val="20"/>
          <w:szCs w:val="20"/>
          <w:lang w:val="es-ES_tradnl" w:eastAsia="es-ES_tradnl"/>
        </w:rPr>
        <w:t>iv</w:t>
      </w:r>
      <w:proofErr w:type="spellEnd"/>
      <w:r w:rsidRPr="00E878D3">
        <w:rPr>
          <w:rFonts w:ascii="Verdana" w:eastAsia="Calibri" w:hAnsi="Verdana" w:cs="Arial"/>
          <w:bCs/>
          <w:sz w:val="20"/>
          <w:szCs w:val="20"/>
          <w:lang w:val="es-ES_tradnl" w:eastAsia="es-ES_tradnl"/>
        </w:rPr>
        <w:t xml:space="preserve">) las empresas industriales y comerciales del Estado, únicamente, en la contratación relacionada con el </w:t>
      </w:r>
      <w:r w:rsidRPr="00E878D3">
        <w:rPr>
          <w:rFonts w:ascii="Verdana" w:eastAsia="Calibri" w:hAnsi="Verdana" w:cs="Arial"/>
          <w:bCs/>
          <w:i/>
          <w:iCs/>
          <w:sz w:val="20"/>
          <w:szCs w:val="20"/>
          <w:lang w:val="es-ES_tradnl" w:eastAsia="es-ES_tradnl"/>
        </w:rPr>
        <w:t>giro ordinario.</w:t>
      </w:r>
      <w:r w:rsidRPr="00E878D3">
        <w:rPr>
          <w:rFonts w:ascii="Verdana" w:eastAsia="Calibri" w:hAnsi="Verdana" w:cs="Arial"/>
          <w:bCs/>
          <w:sz w:val="20"/>
          <w:szCs w:val="20"/>
          <w:lang w:val="es-ES_tradnl" w:eastAsia="es-ES_tradnl"/>
        </w:rPr>
        <w:t xml:space="preserve"> Esto significa que, en la contratación asociada a su </w:t>
      </w:r>
      <w:r w:rsidRPr="00E878D3">
        <w:rPr>
          <w:rFonts w:ascii="Verdana" w:eastAsia="Calibri" w:hAnsi="Verdana" w:cs="Arial"/>
          <w:bCs/>
          <w:i/>
          <w:iCs/>
          <w:sz w:val="20"/>
          <w:szCs w:val="20"/>
          <w:lang w:val="es-ES_tradnl" w:eastAsia="es-ES_tradnl"/>
        </w:rPr>
        <w:t xml:space="preserve">giro ordinario, </w:t>
      </w:r>
      <w:r w:rsidRPr="00E878D3">
        <w:rPr>
          <w:rFonts w:ascii="Verdana" w:eastAsia="Calibri" w:hAnsi="Verdana" w:cs="Arial"/>
          <w:bCs/>
          <w:sz w:val="20"/>
          <w:szCs w:val="20"/>
          <w:lang w:val="es-ES_tradnl" w:eastAsia="es-ES_tradnl"/>
        </w:rPr>
        <w:t>estos tipos de entidades no tendrían que aplicar, de manera obligatoria, los Documentos Tipo, ni tampoco el EGCAP.</w:t>
      </w:r>
      <w:r w:rsidRPr="00E878D3">
        <w:rPr>
          <w:rFonts w:ascii="Verdana" w:eastAsia="Times New Roman" w:hAnsi="Verdana" w:cs="Arial"/>
          <w:sz w:val="20"/>
          <w:szCs w:val="20"/>
          <w:lang w:eastAsia="es-ES_tradnl"/>
        </w:rPr>
        <w:t xml:space="preserve"> </w:t>
      </w:r>
      <w:r w:rsidRPr="00E878D3">
        <w:rPr>
          <w:rFonts w:ascii="Verdana" w:eastAsia="Calibri" w:hAnsi="Verdana" w:cs="Arial"/>
          <w:bCs/>
          <w:sz w:val="20"/>
          <w:szCs w:val="20"/>
          <w:lang w:val="es-ES_tradnl" w:eastAsia="es-ES_tradnl"/>
        </w:rPr>
        <w:t>En este caso, la norma se limita a fomentar la implementación de Documentos Tipo a modo de buena práctica contractual, en los casos en los que se estime conveniente.</w:t>
      </w:r>
      <w:r w:rsidRPr="00E878D3">
        <w:rPr>
          <w:rFonts w:ascii="Verdana" w:eastAsia="Calibri" w:hAnsi="Verdana" w:cs="Arial"/>
          <w:bCs/>
          <w:color w:val="000000"/>
          <w:sz w:val="20"/>
          <w:szCs w:val="20"/>
          <w:lang w:val="es-ES_tradnl" w:eastAsia="es-ES_tradnl"/>
        </w:rPr>
        <w:t xml:space="preserve"> </w:t>
      </w:r>
    </w:p>
    <w:p w14:paraId="2B7282A9" w14:textId="77777777" w:rsidR="00E878D3" w:rsidRPr="00E878D3" w:rsidRDefault="00E878D3" w:rsidP="00E878D3">
      <w:pPr>
        <w:spacing w:after="0" w:line="240" w:lineRule="auto"/>
        <w:jc w:val="both"/>
        <w:rPr>
          <w:rFonts w:ascii="Verdana" w:eastAsia="Calibri" w:hAnsi="Verdana" w:cs="Arial"/>
          <w:b/>
          <w:bCs/>
          <w:lang w:val="es-ES_tradnl" w:eastAsia="es-MX"/>
        </w:rPr>
      </w:pPr>
    </w:p>
    <w:p w14:paraId="630B4F2E" w14:textId="77777777" w:rsidR="00E878D3" w:rsidRPr="00E878D3" w:rsidRDefault="00E878D3" w:rsidP="00E878D3">
      <w:pPr>
        <w:tabs>
          <w:tab w:val="left" w:pos="840"/>
        </w:tabs>
        <w:spacing w:after="0" w:line="240" w:lineRule="auto"/>
        <w:jc w:val="both"/>
        <w:rPr>
          <w:rFonts w:ascii="Verdana" w:eastAsia="Calibri" w:hAnsi="Verdana" w:cs="Arial"/>
          <w:b/>
          <w:bCs/>
          <w:color w:val="000000"/>
          <w:kern w:val="2"/>
          <w:lang w:val="es-ES_tradnl"/>
          <w14:ligatures w14:val="standardContextual"/>
        </w:rPr>
      </w:pPr>
      <w:r w:rsidRPr="00E878D3">
        <w:rPr>
          <w:rFonts w:ascii="Verdana" w:eastAsia="Calibri" w:hAnsi="Verdana" w:cs="Arial"/>
          <w:b/>
          <w:bCs/>
          <w:color w:val="000000"/>
          <w:kern w:val="2"/>
          <w:lang w:val="es-ES_tradnl"/>
          <w14:ligatures w14:val="standardContextual"/>
        </w:rPr>
        <w:t>FIDUCIA MERCANTIL ― Concepto ― Características</w:t>
      </w:r>
    </w:p>
    <w:p w14:paraId="43E983FB" w14:textId="77777777" w:rsidR="00E878D3" w:rsidRPr="00E878D3" w:rsidRDefault="00E878D3" w:rsidP="00E878D3">
      <w:pPr>
        <w:spacing w:after="0" w:line="240" w:lineRule="auto"/>
        <w:jc w:val="both"/>
        <w:rPr>
          <w:rFonts w:ascii="Verdana" w:eastAsia="Calibri" w:hAnsi="Verdana" w:cs="Arial"/>
          <w:b/>
          <w:bCs/>
          <w:color w:val="000000"/>
          <w:kern w:val="2"/>
          <w:sz w:val="20"/>
          <w:szCs w:val="20"/>
          <w:lang w:val="es-ES_tradnl"/>
          <w14:ligatures w14:val="standardContextual"/>
        </w:rPr>
      </w:pPr>
    </w:p>
    <w:p w14:paraId="70792014" w14:textId="77777777" w:rsidR="00E878D3" w:rsidRPr="00E878D3" w:rsidRDefault="00E878D3" w:rsidP="00E878D3">
      <w:pPr>
        <w:tabs>
          <w:tab w:val="left" w:pos="709"/>
        </w:tabs>
        <w:spacing w:after="0" w:line="240" w:lineRule="auto"/>
        <w:jc w:val="both"/>
        <w:rPr>
          <w:rFonts w:ascii="Verdana" w:eastAsia="Aptos" w:hAnsi="Verdana" w:cs="Arial"/>
          <w:color w:val="000000"/>
          <w:kern w:val="2"/>
          <w:sz w:val="20"/>
          <w:szCs w:val="20"/>
          <w:lang w:val="es-ES"/>
          <w14:ligatures w14:val="standardContextual"/>
        </w:rPr>
      </w:pPr>
      <w:r w:rsidRPr="6478D979">
        <w:rPr>
          <w:rFonts w:ascii="Verdana" w:eastAsia="Aptos" w:hAnsi="Verdana" w:cs="Arial"/>
          <w:color w:val="000000"/>
          <w:kern w:val="2"/>
          <w:sz w:val="20"/>
          <w:szCs w:val="20"/>
          <w:lang w:val="es-ES"/>
          <w14:ligatures w14:val="standardContextual"/>
        </w:rPr>
        <w:t xml:space="preserve">Esta Subdirección, en Concepto con radicado No. 2201913000008612 del 19 de noviembre de 2019, indicó que el Código de Comercio define el contrato de fiducia mercantil en su artículo 1.226, estableciendo como elementos característicos del negocio jurídico: i) la existencia de al menos dos sujetos: fiduciante y fiduciario y </w:t>
      </w:r>
      <w:proofErr w:type="spellStart"/>
      <w:r w:rsidRPr="6478D979">
        <w:rPr>
          <w:rFonts w:ascii="Verdana" w:eastAsia="Aptos" w:hAnsi="Verdana" w:cs="Arial"/>
          <w:color w:val="000000"/>
          <w:kern w:val="2"/>
          <w:sz w:val="20"/>
          <w:szCs w:val="20"/>
          <w:lang w:val="es-ES"/>
          <w14:ligatures w14:val="standardContextual"/>
        </w:rPr>
        <w:t>ii</w:t>
      </w:r>
      <w:proofErr w:type="spellEnd"/>
      <w:r w:rsidRPr="6478D979">
        <w:rPr>
          <w:rFonts w:ascii="Verdana" w:eastAsia="Aptos" w:hAnsi="Verdana" w:cs="Arial"/>
          <w:color w:val="000000"/>
          <w:kern w:val="2"/>
          <w:sz w:val="20"/>
          <w:szCs w:val="20"/>
          <w:lang w:val="es-ES"/>
          <w14:ligatures w14:val="standardContextual"/>
        </w:rPr>
        <w:t>) la transferencia de los bienes fideicomitidos.</w:t>
      </w:r>
    </w:p>
    <w:p w14:paraId="71D08EAE" w14:textId="77777777" w:rsidR="00E878D3" w:rsidRPr="00E878D3" w:rsidRDefault="00E878D3" w:rsidP="00E878D3">
      <w:pPr>
        <w:tabs>
          <w:tab w:val="left" w:pos="709"/>
        </w:tabs>
        <w:spacing w:after="0" w:line="240" w:lineRule="auto"/>
        <w:jc w:val="both"/>
        <w:rPr>
          <w:rFonts w:ascii="Verdana" w:eastAsia="Arial" w:hAnsi="Verdana" w:cs="Arial"/>
          <w:kern w:val="2"/>
          <w:sz w:val="20"/>
          <w:szCs w:val="20"/>
          <w:lang w:val="es-ES_tradnl"/>
          <w14:ligatures w14:val="standardContextual"/>
        </w:rPr>
      </w:pPr>
    </w:p>
    <w:p w14:paraId="68FEAD4F" w14:textId="77777777" w:rsidR="00E878D3" w:rsidRPr="00E878D3" w:rsidRDefault="00E878D3" w:rsidP="00E878D3">
      <w:pPr>
        <w:spacing w:after="0" w:line="240" w:lineRule="auto"/>
        <w:jc w:val="both"/>
        <w:rPr>
          <w:rFonts w:ascii="Verdana" w:eastAsia="Calibri" w:hAnsi="Verdana" w:cs="Arial"/>
          <w:b/>
          <w:bCs/>
          <w:color w:val="000000"/>
          <w:kern w:val="2"/>
          <w:lang w:val="es-ES_tradnl"/>
          <w14:ligatures w14:val="standardContextual"/>
        </w:rPr>
      </w:pPr>
      <w:r w:rsidRPr="00E878D3">
        <w:rPr>
          <w:rFonts w:ascii="Verdana" w:eastAsia="Calibri" w:hAnsi="Verdana" w:cs="Arial"/>
          <w:b/>
          <w:bCs/>
          <w:color w:val="000000"/>
          <w:kern w:val="2"/>
          <w:lang w:val="es-ES_tradnl"/>
          <w14:ligatures w14:val="standardContextual"/>
        </w:rPr>
        <w:t>FIDUCIA MERCANTIL ― Fiducia pública ― Patrimonio autónomo ― Diferencias</w:t>
      </w:r>
    </w:p>
    <w:p w14:paraId="0D4B9288" w14:textId="77777777" w:rsidR="00E878D3" w:rsidRPr="00E878D3" w:rsidRDefault="00E878D3" w:rsidP="00E878D3">
      <w:pPr>
        <w:tabs>
          <w:tab w:val="left" w:pos="709"/>
        </w:tabs>
        <w:spacing w:after="0" w:line="240" w:lineRule="auto"/>
        <w:jc w:val="both"/>
        <w:rPr>
          <w:rFonts w:ascii="Verdana" w:eastAsia="Aptos" w:hAnsi="Verdana" w:cs="Arial"/>
          <w:color w:val="000000"/>
          <w:kern w:val="2"/>
          <w:sz w:val="20"/>
          <w:szCs w:val="20"/>
          <w:lang w:val="es-ES_tradnl"/>
          <w14:ligatures w14:val="standardContextual"/>
        </w:rPr>
      </w:pPr>
    </w:p>
    <w:p w14:paraId="2741354A" w14:textId="77777777" w:rsidR="00E878D3" w:rsidRPr="00E878D3" w:rsidRDefault="00E878D3" w:rsidP="00E878D3">
      <w:pPr>
        <w:tabs>
          <w:tab w:val="left" w:pos="709"/>
        </w:tabs>
        <w:spacing w:after="0" w:line="240" w:lineRule="auto"/>
        <w:jc w:val="both"/>
        <w:rPr>
          <w:rFonts w:ascii="Verdana" w:eastAsia="Aptos" w:hAnsi="Verdana" w:cs="Arial"/>
          <w:color w:val="000000"/>
          <w:kern w:val="2"/>
          <w:sz w:val="20"/>
          <w:szCs w:val="20"/>
          <w:lang w:val="es-ES_tradnl"/>
          <w14:ligatures w14:val="standardContextual"/>
        </w:rPr>
      </w:pPr>
      <w:r w:rsidRPr="00E878D3">
        <w:rPr>
          <w:rFonts w:ascii="Verdana" w:eastAsia="Aptos" w:hAnsi="Verdana" w:cs="Arial"/>
          <w:color w:val="000000"/>
          <w:kern w:val="2"/>
          <w:sz w:val="20"/>
          <w:szCs w:val="20"/>
          <w:lang w:val="es-ES_tradnl"/>
          <w14:ligatures w14:val="standardContextual"/>
        </w:rPr>
        <w:t>Dadas estas características particulares, el contrato de fiducia mercantil es diferente del contrato de fiducia pública, regulado en el numeral 5º del artículo 32 de la Ley 80 de 1993, pues este último “nunca implicará transferencia de dominio sobre bienes o recursos estatales, ni constituirá patrimonio autónomo del propio de la respectiva entidad oficial”. Así lo consideró la Corte Constitucional, en la sentencia C-086 de 1995 –expedida con ponencia del Magistrado Vladimiro Naranjo Mesa–, al señalar que la Ley 80 de 1993 creó un contrato nuevo y autónomo al del Código de Comercio.</w:t>
      </w:r>
    </w:p>
    <w:p w14:paraId="0BA60F1C" w14:textId="77777777" w:rsidR="00E878D3" w:rsidRPr="00E878D3" w:rsidRDefault="00E878D3" w:rsidP="00E878D3">
      <w:pPr>
        <w:tabs>
          <w:tab w:val="left" w:pos="709"/>
        </w:tabs>
        <w:spacing w:after="0" w:line="240" w:lineRule="auto"/>
        <w:jc w:val="both"/>
        <w:rPr>
          <w:rFonts w:ascii="Verdana" w:eastAsia="Aptos" w:hAnsi="Verdana" w:cs="Arial"/>
          <w:color w:val="000000"/>
          <w:kern w:val="2"/>
          <w:sz w:val="20"/>
          <w:szCs w:val="20"/>
          <w:lang w:val="es-ES_tradnl"/>
          <w14:ligatures w14:val="standardContextual"/>
        </w:rPr>
      </w:pPr>
    </w:p>
    <w:p w14:paraId="7C9E53A0" w14:textId="77777777" w:rsidR="00E878D3" w:rsidRPr="00E878D3" w:rsidRDefault="00E878D3" w:rsidP="00E878D3">
      <w:pPr>
        <w:tabs>
          <w:tab w:val="left" w:pos="709"/>
        </w:tabs>
        <w:spacing w:after="0" w:line="240" w:lineRule="auto"/>
        <w:jc w:val="both"/>
        <w:rPr>
          <w:rFonts w:ascii="Verdana" w:eastAsia="Aptos" w:hAnsi="Verdana" w:cs="Arial"/>
          <w:color w:val="000000"/>
          <w:kern w:val="2"/>
          <w:sz w:val="20"/>
          <w:szCs w:val="20"/>
          <w:lang w:val="es-ES_tradnl"/>
          <w14:ligatures w14:val="standardContextual"/>
        </w:rPr>
      </w:pPr>
      <w:r w:rsidRPr="00E878D3">
        <w:rPr>
          <w:rFonts w:ascii="Verdana" w:eastAsia="Aptos" w:hAnsi="Verdana" w:cs="Arial"/>
          <w:color w:val="000000"/>
          <w:kern w:val="2"/>
          <w:sz w:val="20"/>
          <w:szCs w:val="20"/>
          <w:lang w:val="es-ES_tradnl"/>
          <w14:ligatures w14:val="standardContextual"/>
        </w:rPr>
        <w:t xml:space="preserve">La Agencia Nacional de Contratación Pública – Colombia Compra Eficiente comparte esta posición, y por tanto considera que la constitución de patrimonios autónomos, por parte de entidades estatales solo puede darse en virtud de una disposición legal expresa. En efecto, en respuesta a la consulta con radicado No. 4201912000004359 y con radicado de salida No. 2201913000005645 del 8 de agosto de 2019, esta Agencia manifestó que: “Es posible que una entidad estatal celebre un contrato de fiducia mercantil y con él se constituya un patrimonio autónomo, siempre que una norma especial lo autorice. Esta fiducia mercantil es diferente a la fiducia pública definida en el artículo 32 de la Ley 80 </w:t>
      </w:r>
      <w:r w:rsidRPr="00E878D3">
        <w:rPr>
          <w:rFonts w:ascii="Verdana" w:eastAsia="Aptos" w:hAnsi="Verdana" w:cs="Arial"/>
          <w:color w:val="000000"/>
          <w:kern w:val="2"/>
          <w:sz w:val="20"/>
          <w:szCs w:val="20"/>
          <w:lang w:val="es-ES_tradnl"/>
          <w14:ligatures w14:val="standardContextual"/>
        </w:rPr>
        <w:lastRenderedPageBreak/>
        <w:t>de 1993 y se rige por las disposiciones comerciales y civiles pertinentes, salvo en los aspectos particularmente regulados en la Ley 80 de 1993”.</w:t>
      </w:r>
    </w:p>
    <w:p w14:paraId="60FB12A4" w14:textId="77777777" w:rsidR="00E878D3" w:rsidRPr="00E878D3" w:rsidRDefault="00E878D3" w:rsidP="00E878D3">
      <w:pPr>
        <w:spacing w:after="0" w:line="240" w:lineRule="auto"/>
        <w:jc w:val="both"/>
        <w:rPr>
          <w:rFonts w:ascii="Verdana" w:eastAsia="Calibri" w:hAnsi="Verdana" w:cs="Arial"/>
          <w:b/>
          <w:bCs/>
          <w:lang w:val="es-ES_tradnl" w:eastAsia="es-MX"/>
        </w:rPr>
      </w:pPr>
    </w:p>
    <w:p w14:paraId="1B06FE9D" w14:textId="77777777" w:rsidR="00E878D3" w:rsidRPr="00E878D3" w:rsidRDefault="00E878D3" w:rsidP="00E878D3">
      <w:pPr>
        <w:spacing w:after="0" w:line="240" w:lineRule="auto"/>
        <w:jc w:val="both"/>
        <w:rPr>
          <w:rFonts w:ascii="Verdana" w:eastAsia="Calibri" w:hAnsi="Verdana" w:cs="Arial"/>
          <w:b/>
          <w:bCs/>
          <w:color w:val="000000"/>
          <w:kern w:val="2"/>
          <w:lang w:val="es-ES_tradnl"/>
          <w14:ligatures w14:val="standardContextual"/>
        </w:rPr>
      </w:pPr>
      <w:r w:rsidRPr="00E878D3">
        <w:rPr>
          <w:rFonts w:ascii="Verdana" w:eastAsia="Calibri" w:hAnsi="Verdana" w:cs="Arial"/>
          <w:b/>
          <w:bCs/>
          <w:color w:val="000000"/>
          <w:kern w:val="2"/>
          <w:lang w:val="es-ES_tradnl"/>
          <w14:ligatures w14:val="standardContextual"/>
        </w:rPr>
        <w:t>PROGRAMAS DE VIVIENDA DE INTERÉS SOCIAL – Artículo 36 Ley 388 de 1997 – Régimen jurídico</w:t>
      </w:r>
    </w:p>
    <w:p w14:paraId="76628920" w14:textId="77777777" w:rsidR="00E878D3" w:rsidRPr="00E878D3" w:rsidRDefault="00E878D3" w:rsidP="00E878D3">
      <w:pPr>
        <w:spacing w:after="0" w:line="278" w:lineRule="auto"/>
        <w:jc w:val="both"/>
        <w:rPr>
          <w:rFonts w:ascii="Verdana" w:eastAsia="Calibri" w:hAnsi="Verdana" w:cs="Arial"/>
          <w:b/>
          <w:bCs/>
          <w:color w:val="000000"/>
          <w:kern w:val="2"/>
          <w:lang w:val="es-ES_tradnl"/>
          <w14:ligatures w14:val="standardContextual"/>
        </w:rPr>
      </w:pPr>
    </w:p>
    <w:p w14:paraId="3D338464" w14:textId="77777777" w:rsidR="00E878D3" w:rsidRPr="00E878D3" w:rsidRDefault="00E878D3" w:rsidP="00E878D3">
      <w:pPr>
        <w:spacing w:after="0" w:line="240" w:lineRule="auto"/>
        <w:jc w:val="both"/>
        <w:rPr>
          <w:rFonts w:ascii="Verdana" w:eastAsia="Calibri" w:hAnsi="Verdana" w:cs="Arial"/>
          <w:color w:val="000000"/>
          <w:kern w:val="2"/>
          <w:sz w:val="20"/>
          <w:szCs w:val="20"/>
          <w:lang w:val="es-ES_tradnl"/>
          <w14:ligatures w14:val="standardContextual"/>
        </w:rPr>
      </w:pPr>
      <w:r w:rsidRPr="00E878D3">
        <w:rPr>
          <w:rFonts w:ascii="Verdana" w:eastAsia="Calibri" w:hAnsi="Verdana" w:cs="Arial"/>
          <w:color w:val="000000"/>
          <w:kern w:val="2"/>
          <w:sz w:val="20"/>
          <w:szCs w:val="20"/>
          <w:lang w:val="es-ES_tradnl"/>
          <w14:ligatures w14:val="standardContextual"/>
        </w:rPr>
        <w:t>El texto del nuevo inciso final del artículo 36 de la Ley 388 de 1997 no cambió el sentido de su contenido, pues la norma continúa siendo una autorización para que las entidades territoriales sometidas al EGCAP acudan a la celebración de contratos de fiducia mercantil, bajo el régimen jurídico general de esta institución que se encuentra previsto en el derecho privado, en particular, en el derecho comercial, cuando la finalidad sea la de participar en la ejecución de proyectos de urbanización y programas de vivienda de interés social. Por lo anterior, la interpretación del alcance de la norma que venía aplicándose con base en lo dispuesto por el Consejo de Estado en el Concepto No. Concepto No. 1503 de 2003 continúa vigente, toda vez que la restricción del numeral 5 de la Ley 80 de 1993 que fue suprimida resultaba aplicable al régimen de contratos de fiducia pública y encargo fiduciario regidos por el EGCAP, más no para la fiducia mercantil, cuyo régimen general está previsto en el derecho comercial.</w:t>
      </w:r>
    </w:p>
    <w:p w14:paraId="7C6ABC3A" w14:textId="77777777" w:rsidR="00E878D3" w:rsidRPr="00E878D3" w:rsidRDefault="00E878D3" w:rsidP="00E878D3">
      <w:pPr>
        <w:spacing w:after="0" w:line="240" w:lineRule="auto"/>
        <w:jc w:val="both"/>
        <w:rPr>
          <w:rFonts w:ascii="Verdana" w:eastAsia="Calibri" w:hAnsi="Verdana" w:cs="Arial"/>
          <w:color w:val="000000"/>
          <w:kern w:val="2"/>
          <w:sz w:val="20"/>
          <w:szCs w:val="20"/>
          <w:lang w:val="es-ES_tradnl"/>
          <w14:ligatures w14:val="standardContextual"/>
        </w:rPr>
      </w:pPr>
    </w:p>
    <w:p w14:paraId="25C3FD59" w14:textId="77777777" w:rsidR="00E878D3" w:rsidRPr="00E878D3" w:rsidRDefault="00E878D3" w:rsidP="00E878D3">
      <w:pPr>
        <w:spacing w:after="0" w:line="276" w:lineRule="auto"/>
        <w:jc w:val="both"/>
        <w:rPr>
          <w:rFonts w:ascii="Verdana" w:eastAsia="Calibri" w:hAnsi="Verdana" w:cs="Arial"/>
          <w:b/>
          <w:bCs/>
          <w:color w:val="000000"/>
          <w:kern w:val="2"/>
          <w:lang w:val="es-ES_tradnl"/>
          <w14:ligatures w14:val="standardContextual"/>
        </w:rPr>
      </w:pPr>
      <w:r w:rsidRPr="00E878D3">
        <w:rPr>
          <w:rFonts w:ascii="Verdana" w:eastAsia="Calibri" w:hAnsi="Verdana" w:cs="Arial"/>
          <w:b/>
          <w:bCs/>
          <w:color w:val="000000"/>
          <w:kern w:val="2"/>
          <w:lang w:val="es-ES_tradnl"/>
          <w14:ligatures w14:val="standardContextual"/>
        </w:rPr>
        <w:t>FIDUCIA MERCANTIL – Patrimonio autónomo – proyectos de vivienda de interés prioritario – régimen aplicable – derecho privado</w:t>
      </w:r>
    </w:p>
    <w:p w14:paraId="6ADB17F8" w14:textId="77777777" w:rsidR="00E878D3" w:rsidRPr="00E878D3" w:rsidRDefault="00E878D3" w:rsidP="00E878D3">
      <w:pPr>
        <w:spacing w:after="0" w:line="276" w:lineRule="auto"/>
        <w:jc w:val="both"/>
        <w:rPr>
          <w:rFonts w:ascii="Verdana" w:eastAsia="Calibri" w:hAnsi="Verdana" w:cs="Arial"/>
          <w:b/>
          <w:bCs/>
          <w:color w:val="000000"/>
          <w:kern w:val="2"/>
          <w:sz w:val="20"/>
          <w:szCs w:val="20"/>
          <w:lang w:val="es-ES_tradnl"/>
          <w14:ligatures w14:val="standardContextual"/>
        </w:rPr>
      </w:pPr>
    </w:p>
    <w:p w14:paraId="723380B9" w14:textId="77777777" w:rsidR="00E878D3" w:rsidRPr="00E878D3" w:rsidRDefault="00E878D3" w:rsidP="00E878D3">
      <w:pPr>
        <w:spacing w:after="0" w:line="240" w:lineRule="auto"/>
        <w:jc w:val="both"/>
        <w:rPr>
          <w:rFonts w:ascii="Verdana" w:eastAsia="Calibri" w:hAnsi="Verdana" w:cs="Arial"/>
          <w:color w:val="000000"/>
          <w:kern w:val="2"/>
          <w:sz w:val="20"/>
          <w:szCs w:val="20"/>
          <w:lang w:val="es-ES_tradnl"/>
          <w14:ligatures w14:val="standardContextual"/>
        </w:rPr>
      </w:pPr>
      <w:r w:rsidRPr="00E878D3">
        <w:rPr>
          <w:rFonts w:ascii="Verdana" w:eastAsia="Times New Roman" w:hAnsi="Verdana" w:cs="Arial"/>
          <w:color w:val="000000"/>
          <w:kern w:val="2"/>
          <w:sz w:val="20"/>
          <w:szCs w:val="20"/>
          <w:lang w:eastAsia="es-MX"/>
          <w14:ligatures w14:val="standardContextual"/>
        </w:rPr>
        <w:t xml:space="preserve">(…) el régimen aplicable a las actividades contractuales que desarrollen los patrimonios autónomos constituidos para la administración de los recursos destinados a los proyectos de vivienda de interés social prioritario es el del derecho privado, y entre tales actividades contractuales se encuentra, sin duda, el adelantamiento de los procesos de selección y convocatoria de sus contratistas, tal y como queda claramente establecido en la norma que se comenta cuando indica que tales patrimonios “[…] podrán adelantar procesos de convocatoria y selección de los constructores interesados en desarrollar los proyectos de vivienda y/o para la adquisición de proyectos de Vivienda de Interés Prioritario. Tales procesos se rigen por el derecho privado (…)”. </w:t>
      </w:r>
      <w:r w:rsidRPr="00E878D3">
        <w:rPr>
          <w:rFonts w:ascii="Verdana" w:eastAsia="Calibri" w:hAnsi="Verdana" w:cs="Arial"/>
          <w:color w:val="000000"/>
          <w:kern w:val="2"/>
          <w:sz w:val="20"/>
          <w:szCs w:val="20"/>
          <w:lang w:val="es-ES_tradnl"/>
          <w14:ligatures w14:val="standardContextual"/>
        </w:rPr>
        <w:t xml:space="preserve"> </w:t>
      </w:r>
    </w:p>
    <w:p w14:paraId="3CDE2E2C" w14:textId="77777777" w:rsidR="00E878D3" w:rsidRPr="00E878D3" w:rsidRDefault="00E878D3" w:rsidP="00E878D3">
      <w:pPr>
        <w:spacing w:after="0" w:line="276" w:lineRule="auto"/>
        <w:jc w:val="both"/>
        <w:rPr>
          <w:rFonts w:ascii="Verdana" w:eastAsia="Calibri" w:hAnsi="Verdana" w:cs="Arial"/>
          <w:color w:val="000000"/>
          <w:kern w:val="2"/>
          <w:sz w:val="20"/>
          <w:szCs w:val="20"/>
          <w:lang w:val="es-ES_tradnl"/>
          <w14:ligatures w14:val="standardContextual"/>
        </w:rPr>
      </w:pPr>
    </w:p>
    <w:p w14:paraId="329E164B" w14:textId="77777777" w:rsidR="00E878D3" w:rsidRPr="00E878D3" w:rsidRDefault="00E878D3" w:rsidP="00E878D3">
      <w:pPr>
        <w:spacing w:after="0" w:line="276" w:lineRule="auto"/>
        <w:jc w:val="both"/>
        <w:rPr>
          <w:rFonts w:ascii="Verdana" w:eastAsia="Calibri" w:hAnsi="Verdana" w:cs="Arial"/>
          <w:color w:val="000000"/>
          <w:kern w:val="2"/>
          <w:sz w:val="20"/>
          <w:szCs w:val="20"/>
          <w:lang w:val="es-ES_tradnl"/>
          <w14:ligatures w14:val="standardContextual"/>
        </w:rPr>
      </w:pPr>
      <w:r w:rsidRPr="00E878D3">
        <w:rPr>
          <w:rFonts w:ascii="Verdana" w:eastAsia="Calibri" w:hAnsi="Verdana" w:cs="Arial"/>
          <w:color w:val="000000"/>
          <w:kern w:val="2"/>
          <w:sz w:val="20"/>
          <w:szCs w:val="20"/>
          <w:lang w:val="es-ES_tradnl"/>
          <w14:ligatures w14:val="standardContextual"/>
        </w:rPr>
        <w:t>(…)</w:t>
      </w:r>
    </w:p>
    <w:p w14:paraId="75C9F995" w14:textId="77777777" w:rsidR="00E878D3" w:rsidRPr="00E878D3" w:rsidRDefault="00E878D3" w:rsidP="00E878D3">
      <w:pPr>
        <w:spacing w:after="0" w:line="276" w:lineRule="auto"/>
        <w:jc w:val="both"/>
        <w:rPr>
          <w:rFonts w:ascii="Verdana" w:eastAsia="Calibri" w:hAnsi="Verdana" w:cs="Arial"/>
          <w:color w:val="000000"/>
          <w:kern w:val="2"/>
          <w:sz w:val="20"/>
          <w:szCs w:val="20"/>
          <w:lang w:val="es-ES_tradnl"/>
          <w14:ligatures w14:val="standardContextual"/>
        </w:rPr>
      </w:pPr>
    </w:p>
    <w:p w14:paraId="6078CE20" w14:textId="77777777" w:rsidR="00E878D3" w:rsidRPr="00E878D3" w:rsidRDefault="00E878D3" w:rsidP="00E878D3">
      <w:pPr>
        <w:spacing w:after="0" w:line="240" w:lineRule="auto"/>
        <w:jc w:val="both"/>
        <w:textAlignment w:val="baseline"/>
        <w:rPr>
          <w:rFonts w:ascii="Verdana" w:eastAsia="Aptos" w:hAnsi="Verdana" w:cs="Arial"/>
          <w:color w:val="000000"/>
          <w:kern w:val="2"/>
          <w:sz w:val="20"/>
          <w:szCs w:val="20"/>
          <w14:ligatures w14:val="standardContextual"/>
        </w:rPr>
      </w:pPr>
      <w:r w:rsidRPr="00E878D3">
        <w:rPr>
          <w:rFonts w:ascii="Verdana" w:eastAsia="Aptos" w:hAnsi="Verdana" w:cs="Arial"/>
          <w:color w:val="000000"/>
          <w:kern w:val="2"/>
          <w:sz w:val="20"/>
          <w:szCs w:val="20"/>
          <w14:ligatures w14:val="standardContextual"/>
        </w:rPr>
        <w:t xml:space="preserve">En conclusión, de acuerdo con lo dispuesto en el artículo 36 de la Ley 388 de 1997 y el </w:t>
      </w:r>
      <w:r w:rsidRPr="00E878D3">
        <w:rPr>
          <w:rFonts w:ascii="Verdana" w:eastAsia="Aptos" w:hAnsi="Verdana" w:cs="Arial"/>
          <w:color w:val="000000"/>
          <w:kern w:val="2"/>
          <w:sz w:val="20"/>
          <w:szCs w:val="20"/>
          <w:lang w:val="es-ES_tradnl"/>
          <w14:ligatures w14:val="standardContextual"/>
        </w:rPr>
        <w:t xml:space="preserve">artículo 2 de </w:t>
      </w:r>
      <w:r w:rsidRPr="00E878D3">
        <w:rPr>
          <w:rFonts w:ascii="Verdana" w:eastAsia="Aptos" w:hAnsi="Verdana" w:cs="Arial"/>
          <w:color w:val="000000"/>
          <w:kern w:val="2"/>
          <w:sz w:val="20"/>
          <w:szCs w:val="20"/>
          <w14:ligatures w14:val="standardContextual"/>
        </w:rPr>
        <w:t xml:space="preserve">la </w:t>
      </w:r>
      <w:r w:rsidRPr="00E878D3">
        <w:rPr>
          <w:rFonts w:ascii="Verdana" w:eastAsia="Aptos" w:hAnsi="Verdana" w:cs="Arial"/>
          <w:color w:val="000000"/>
          <w:kern w:val="2"/>
          <w:sz w:val="20"/>
          <w:szCs w:val="20"/>
          <w:lang w:val="es-ES_tradnl"/>
          <w14:ligatures w14:val="standardContextual"/>
        </w:rPr>
        <w:t xml:space="preserve">Ley 1537 de 2012, la </w:t>
      </w:r>
      <w:r w:rsidRPr="00E878D3">
        <w:rPr>
          <w:rFonts w:ascii="Verdana" w:eastAsia="Aptos" w:hAnsi="Verdana" w:cs="Arial"/>
          <w:color w:val="000000"/>
          <w:kern w:val="2"/>
          <w:sz w:val="20"/>
          <w:szCs w:val="20"/>
          <w14:ligatures w14:val="standardContextual"/>
        </w:rPr>
        <w:t xml:space="preserve">normativa colombiana ha evolucionado para permitir que los proyectos de vivienda de interés social se financien y ejecuten a través de contratos de fiducia mercantil, bajo el régimen del derecho comercial. </w:t>
      </w:r>
    </w:p>
    <w:p w14:paraId="15888B5A" w14:textId="77777777" w:rsidR="00E878D3" w:rsidRPr="00E878D3" w:rsidRDefault="00E878D3" w:rsidP="00E878D3">
      <w:pPr>
        <w:spacing w:after="0" w:line="276" w:lineRule="auto"/>
        <w:jc w:val="both"/>
        <w:rPr>
          <w:rFonts w:ascii="Verdana" w:eastAsia="Calibri" w:hAnsi="Verdana" w:cs="Arial"/>
          <w:color w:val="000000"/>
          <w:kern w:val="2"/>
          <w:sz w:val="20"/>
          <w:szCs w:val="20"/>
          <w14:ligatures w14:val="standardContextual"/>
        </w:rPr>
      </w:pPr>
    </w:p>
    <w:p w14:paraId="3256BA7D" w14:textId="77777777" w:rsidR="00E878D3" w:rsidRPr="00E878D3" w:rsidRDefault="00E878D3" w:rsidP="00E878D3">
      <w:pPr>
        <w:spacing w:after="0" w:line="276" w:lineRule="auto"/>
        <w:jc w:val="both"/>
        <w:rPr>
          <w:rFonts w:ascii="Verdana" w:eastAsia="Calibri" w:hAnsi="Verdana" w:cs="Arial"/>
          <w:b/>
          <w:bCs/>
          <w:color w:val="000000"/>
          <w:kern w:val="2"/>
          <w14:ligatures w14:val="standardContextual"/>
        </w:rPr>
      </w:pPr>
      <w:r w:rsidRPr="00E878D3">
        <w:rPr>
          <w:rFonts w:ascii="Verdana" w:eastAsia="Calibri" w:hAnsi="Verdana" w:cs="Arial"/>
          <w:b/>
          <w:bCs/>
          <w:color w:val="000000"/>
          <w:kern w:val="2"/>
          <w14:ligatures w14:val="standardContextual"/>
        </w:rPr>
        <w:t>PATRIMONIO AUTÓNOMO – Ley 1537 de 2012 – Ley 388 de 199 – Aplicación – Documentos tipo</w:t>
      </w:r>
    </w:p>
    <w:p w14:paraId="443D0921" w14:textId="77777777" w:rsidR="00E878D3" w:rsidRPr="00E878D3" w:rsidRDefault="00E878D3" w:rsidP="00E878D3">
      <w:pPr>
        <w:spacing w:after="0" w:line="276" w:lineRule="auto"/>
        <w:jc w:val="both"/>
        <w:rPr>
          <w:rFonts w:ascii="Verdana" w:eastAsia="Calibri" w:hAnsi="Verdana" w:cs="Arial"/>
          <w:color w:val="000000"/>
          <w:kern w:val="2"/>
          <w:sz w:val="20"/>
          <w:szCs w:val="20"/>
          <w14:ligatures w14:val="standardContextual"/>
        </w:rPr>
      </w:pPr>
    </w:p>
    <w:p w14:paraId="749407E8" w14:textId="77777777" w:rsidR="00E878D3" w:rsidRPr="00E878D3" w:rsidRDefault="00E878D3" w:rsidP="00E878D3">
      <w:pPr>
        <w:tabs>
          <w:tab w:val="left" w:pos="0"/>
        </w:tabs>
        <w:spacing w:after="0" w:line="240" w:lineRule="auto"/>
        <w:jc w:val="both"/>
        <w:rPr>
          <w:rFonts w:ascii="Verdana" w:eastAsia="Times New Roman" w:hAnsi="Verdana" w:cs="Arial"/>
          <w:i/>
          <w:iCs/>
          <w:sz w:val="20"/>
          <w:szCs w:val="20"/>
          <w:lang w:val="es-ES" w:eastAsia="es-ES"/>
        </w:rPr>
      </w:pPr>
      <w:r w:rsidRPr="00E878D3">
        <w:rPr>
          <w:rFonts w:ascii="Verdana" w:eastAsia="Calibri" w:hAnsi="Verdana" w:cs="Arial"/>
          <w:color w:val="000000"/>
          <w:sz w:val="20"/>
          <w:szCs w:val="20"/>
          <w:lang w:val="es-ES" w:eastAsia="es-CO"/>
        </w:rPr>
        <w:lastRenderedPageBreak/>
        <w:t xml:space="preserve">Ahora bien, en la medida que, en la consulta </w:t>
      </w:r>
      <w:r w:rsidRPr="00E878D3">
        <w:rPr>
          <w:rFonts w:ascii="Verdana" w:eastAsia="Times New Roman" w:hAnsi="Verdana" w:cs="Arial"/>
          <w:sz w:val="20"/>
          <w:szCs w:val="20"/>
          <w:lang w:val="es-ES" w:eastAsia="es-ES"/>
        </w:rPr>
        <w:t xml:space="preserve">realizada por Usted, trata de si los patrimonios autónomos constituidos por entidades estatales bajo el artículo </w:t>
      </w:r>
      <w:r w:rsidRPr="00E878D3">
        <w:rPr>
          <w:rFonts w:ascii="Verdana" w:eastAsia="Aptos" w:hAnsi="Verdana" w:cs="Arial"/>
          <w:color w:val="000000"/>
          <w:kern w:val="2"/>
          <w:sz w:val="20"/>
          <w:szCs w:val="20"/>
          <w14:ligatures w14:val="standardContextual"/>
        </w:rPr>
        <w:t xml:space="preserve">36 de la Ley 388 de 1997 y el </w:t>
      </w:r>
      <w:r w:rsidRPr="00E878D3">
        <w:rPr>
          <w:rFonts w:ascii="Verdana" w:eastAsia="Aptos" w:hAnsi="Verdana" w:cs="Arial"/>
          <w:color w:val="000000"/>
          <w:kern w:val="2"/>
          <w:sz w:val="20"/>
          <w:szCs w:val="20"/>
          <w:lang w:val="es-ES_tradnl"/>
          <w14:ligatures w14:val="standardContextual"/>
        </w:rPr>
        <w:t xml:space="preserve">artículo 2 de </w:t>
      </w:r>
      <w:r w:rsidRPr="00E878D3">
        <w:rPr>
          <w:rFonts w:ascii="Verdana" w:eastAsia="Aptos" w:hAnsi="Verdana" w:cs="Arial"/>
          <w:color w:val="000000"/>
          <w:kern w:val="2"/>
          <w:sz w:val="20"/>
          <w:szCs w:val="20"/>
          <w14:ligatures w14:val="standardContextual"/>
        </w:rPr>
        <w:t xml:space="preserve">la </w:t>
      </w:r>
      <w:r w:rsidRPr="00E878D3">
        <w:rPr>
          <w:rFonts w:ascii="Verdana" w:eastAsia="Aptos" w:hAnsi="Verdana" w:cs="Arial"/>
          <w:color w:val="000000"/>
          <w:kern w:val="2"/>
          <w:sz w:val="20"/>
          <w:szCs w:val="20"/>
          <w:lang w:val="es-ES_tradnl"/>
          <w14:ligatures w14:val="standardContextual"/>
        </w:rPr>
        <w:t>Ley 1537 de 2012</w:t>
      </w:r>
      <w:r w:rsidRPr="00E878D3">
        <w:rPr>
          <w:rFonts w:ascii="Verdana" w:eastAsia="Times New Roman" w:hAnsi="Verdana" w:cs="Arial"/>
          <w:sz w:val="20"/>
          <w:szCs w:val="20"/>
          <w:lang w:val="es-ES" w:eastAsia="es-ES"/>
        </w:rPr>
        <w:t xml:space="preserve"> y que gestionan recursos públicos, les es aplicable o no los pliegos tipo adoptados por la Agencia Nacional de Contratación Pública – Colombia Compra Eficiente para los objetos contractuales que sean cobijados por aquellos, particularmente, considerando lo señalado en el artículo 3 de la Resolución 953 del 15 de diciembre de 2025 que indica que </w:t>
      </w:r>
      <w:r w:rsidRPr="00E878D3">
        <w:rPr>
          <w:rFonts w:ascii="Verdana" w:eastAsia="Times New Roman" w:hAnsi="Verdana" w:cs="Arial"/>
          <w:i/>
          <w:iCs/>
          <w:sz w:val="20"/>
          <w:szCs w:val="20"/>
          <w:lang w:val="es-ES" w:eastAsia="es-ES"/>
        </w:rPr>
        <w:t>“(…) los documentos tipo son obligatorios en la actividad contractual de las Entidades Estatales sometidas al Estatuto General de Contratación de la Administración Pública, patrimonios autónomos o personas naturales o jurídicas de derecho público o privado que por mandato legal estén obligadas a su aplicación”.</w:t>
      </w:r>
    </w:p>
    <w:p w14:paraId="6E005613" w14:textId="77777777" w:rsidR="00E878D3" w:rsidRPr="00E878D3" w:rsidRDefault="00E878D3" w:rsidP="00E878D3">
      <w:pPr>
        <w:tabs>
          <w:tab w:val="left" w:pos="0"/>
        </w:tabs>
        <w:spacing w:after="0" w:line="240" w:lineRule="auto"/>
        <w:jc w:val="both"/>
        <w:rPr>
          <w:rFonts w:ascii="Verdana" w:eastAsia="Times New Roman" w:hAnsi="Verdana" w:cs="Arial"/>
          <w:sz w:val="20"/>
          <w:szCs w:val="20"/>
          <w:lang w:val="es-ES" w:eastAsia="es-ES"/>
        </w:rPr>
      </w:pPr>
    </w:p>
    <w:p w14:paraId="1DF30E6A" w14:textId="77777777" w:rsidR="00E878D3" w:rsidRPr="00E878D3" w:rsidRDefault="00E878D3" w:rsidP="00E878D3">
      <w:pPr>
        <w:tabs>
          <w:tab w:val="left" w:pos="0"/>
        </w:tabs>
        <w:spacing w:after="0" w:line="240" w:lineRule="auto"/>
        <w:jc w:val="both"/>
        <w:rPr>
          <w:rFonts w:ascii="Verdana" w:eastAsia="Calibri" w:hAnsi="Verdana" w:cs="Arial"/>
          <w:bCs/>
          <w:kern w:val="2"/>
          <w:sz w:val="20"/>
          <w:szCs w:val="20"/>
          <w:lang w:val="es-ES_tradnl"/>
          <w14:ligatures w14:val="standardContextual"/>
        </w:rPr>
      </w:pPr>
      <w:r w:rsidRPr="00E878D3">
        <w:rPr>
          <w:rFonts w:ascii="Verdana" w:eastAsia="Times New Roman" w:hAnsi="Verdana" w:cs="Arial"/>
          <w:sz w:val="20"/>
          <w:szCs w:val="20"/>
          <w:lang w:val="es-ES" w:eastAsia="es-ES"/>
        </w:rPr>
        <w:t>(…)</w:t>
      </w:r>
      <w:r w:rsidRPr="00E878D3">
        <w:rPr>
          <w:rFonts w:ascii="Verdana" w:eastAsia="Calibri" w:hAnsi="Verdana" w:cs="Arial"/>
          <w:bCs/>
          <w:kern w:val="2"/>
          <w:sz w:val="20"/>
          <w:szCs w:val="20"/>
          <w:lang w:val="es-ES_tradnl"/>
          <w14:ligatures w14:val="standardContextual"/>
        </w:rPr>
        <w:t xml:space="preserve"> </w:t>
      </w:r>
    </w:p>
    <w:p w14:paraId="107CC78F" w14:textId="77777777" w:rsidR="00E878D3" w:rsidRPr="00E878D3" w:rsidRDefault="00E878D3" w:rsidP="00E878D3">
      <w:pPr>
        <w:tabs>
          <w:tab w:val="left" w:pos="0"/>
        </w:tabs>
        <w:spacing w:after="0" w:line="240" w:lineRule="auto"/>
        <w:jc w:val="both"/>
        <w:rPr>
          <w:rFonts w:ascii="Arial" w:eastAsia="Calibri" w:hAnsi="Arial" w:cs="Arial"/>
          <w:bCs/>
          <w:kern w:val="2"/>
          <w:sz w:val="20"/>
          <w:szCs w:val="20"/>
          <w:lang w:val="es-ES_tradnl"/>
          <w14:ligatures w14:val="standardContextual"/>
        </w:rPr>
      </w:pPr>
    </w:p>
    <w:p w14:paraId="1E0084A1" w14:textId="77777777" w:rsidR="00E878D3" w:rsidRPr="00E878D3" w:rsidRDefault="00E878D3" w:rsidP="00E878D3">
      <w:pPr>
        <w:tabs>
          <w:tab w:val="left" w:pos="0"/>
        </w:tabs>
        <w:spacing w:after="0" w:line="240" w:lineRule="auto"/>
        <w:jc w:val="both"/>
        <w:rPr>
          <w:rFonts w:ascii="Verdana" w:eastAsia="Calibri" w:hAnsi="Verdana" w:cs="Arial"/>
          <w:color w:val="000000"/>
          <w:kern w:val="2"/>
          <w:sz w:val="20"/>
          <w:szCs w:val="20"/>
          <w:lang w:val="es-ES"/>
          <w14:ligatures w14:val="standardContextual"/>
        </w:rPr>
      </w:pPr>
      <w:r w:rsidRPr="00E878D3">
        <w:rPr>
          <w:rFonts w:ascii="Verdana" w:eastAsia="Calibri" w:hAnsi="Verdana" w:cs="Arial"/>
          <w:bCs/>
          <w:color w:val="000000"/>
          <w:kern w:val="2"/>
          <w:sz w:val="20"/>
          <w:szCs w:val="20"/>
          <w:lang w:val="es-ES_tradnl"/>
          <w14:ligatures w14:val="standardContextual"/>
        </w:rPr>
        <w:t xml:space="preserve">No obstante, considerando la postura de unificación de esta Agencia desarrollada en el concepto unificado CU-870 del 13 de agosto de 2025 en relación con la aplicación de los documentos tipo por parte de las entidades exceptuadas del estatuto general de contratación de la administración pública, </w:t>
      </w:r>
      <w:r w:rsidRPr="00E878D3">
        <w:rPr>
          <w:rFonts w:ascii="Verdana" w:eastAsia="Aptos" w:hAnsi="Verdana" w:cs="Open Sans"/>
          <w:color w:val="000000"/>
          <w:kern w:val="2"/>
          <w:sz w:val="20"/>
          <w:szCs w:val="20"/>
          <w14:ligatures w14:val="standardContextual"/>
        </w:rPr>
        <w:t xml:space="preserve">patrimonios autónomos o con personas naturales o jurídicas de derecho privado, cuyo régimen de contratación sea especial o de derecho privado, la posición indicada en el concepto C-089 del 22 de marzo de 2022 debe cambiarse toda vez que, como se ha reiterado a lo largo de este concepto las </w:t>
      </w:r>
      <w:r w:rsidRPr="00E878D3">
        <w:rPr>
          <w:rFonts w:ascii="Verdana" w:eastAsia="Aptos" w:hAnsi="Verdana" w:cs="Open Sans"/>
          <w:i/>
          <w:iCs/>
          <w:color w:val="000000"/>
          <w:kern w:val="2"/>
          <w:sz w:val="20"/>
          <w:szCs w:val="20"/>
          <w14:ligatures w14:val="standardContextual"/>
        </w:rPr>
        <w:t xml:space="preserve">“entidades exceptuadas, </w:t>
      </w:r>
      <w:r w:rsidRPr="00E878D3">
        <w:rPr>
          <w:rFonts w:ascii="Verdana" w:eastAsia="Calibri" w:hAnsi="Verdana" w:cs="Arial"/>
          <w:i/>
          <w:iCs/>
          <w:color w:val="000000"/>
          <w:kern w:val="2"/>
          <w:sz w:val="20"/>
          <w:szCs w:val="20"/>
          <w:lang w:val="es-ES"/>
          <w14:ligatures w14:val="standardContextual"/>
        </w:rPr>
        <w:t>patrimonios autónomos o particulares, que han suscrito convenios o contratos de cualquier índole con entidades sometidas al EGCAP, estarán obligadas a aplicar dicho estatuto para la subcontratación derivada de obras, bienes o servicios, siempre que exista documentos tipo en el sector en el que se adelanta la contratación”.</w:t>
      </w:r>
      <w:r w:rsidRPr="00E878D3">
        <w:rPr>
          <w:rFonts w:ascii="Verdana" w:eastAsia="Calibri" w:hAnsi="Verdana" w:cs="Arial"/>
          <w:color w:val="000000"/>
          <w:kern w:val="2"/>
          <w:sz w:val="20"/>
          <w:szCs w:val="20"/>
          <w:lang w:val="es-ES"/>
          <w14:ligatures w14:val="standardContextual"/>
        </w:rPr>
        <w:t xml:space="preserve">  </w:t>
      </w:r>
    </w:p>
    <w:p w14:paraId="14ECD980" w14:textId="77777777" w:rsidR="00E878D3" w:rsidRPr="00E878D3" w:rsidRDefault="00E878D3" w:rsidP="00E878D3">
      <w:pPr>
        <w:tabs>
          <w:tab w:val="left" w:pos="0"/>
        </w:tabs>
        <w:spacing w:after="120" w:line="240" w:lineRule="auto"/>
        <w:jc w:val="both"/>
        <w:rPr>
          <w:rFonts w:ascii="Verdana" w:eastAsia="Calibri" w:hAnsi="Verdana" w:cs="Arial"/>
          <w:color w:val="000000"/>
          <w:kern w:val="2"/>
          <w:sz w:val="20"/>
          <w:szCs w:val="20"/>
          <w:lang w:val="es-ES"/>
          <w14:ligatures w14:val="standardContextual"/>
        </w:rPr>
      </w:pPr>
      <w:r w:rsidRPr="00E878D3">
        <w:rPr>
          <w:rFonts w:ascii="Verdana" w:eastAsia="Calibri" w:hAnsi="Verdana" w:cs="Arial"/>
          <w:color w:val="000000"/>
          <w:kern w:val="2"/>
          <w:sz w:val="20"/>
          <w:szCs w:val="20"/>
          <w:lang w:val="es-ES"/>
          <w14:ligatures w14:val="standardContextual"/>
        </w:rPr>
        <w:tab/>
      </w:r>
    </w:p>
    <w:p w14:paraId="5D60C223" w14:textId="4163D9B1" w:rsidR="00E878D3" w:rsidRPr="00E878D3" w:rsidRDefault="00E878D3" w:rsidP="00E878D3">
      <w:pPr>
        <w:tabs>
          <w:tab w:val="left" w:pos="0"/>
        </w:tabs>
        <w:spacing w:after="120" w:line="240" w:lineRule="auto"/>
        <w:jc w:val="both"/>
        <w:rPr>
          <w:rFonts w:ascii="Verdana" w:eastAsia="Aptos" w:hAnsi="Verdana" w:cs="Times New Roman"/>
          <w:kern w:val="2"/>
          <w:sz w:val="20"/>
          <w:szCs w:val="20"/>
          <w14:ligatures w14:val="standardContextual"/>
        </w:rPr>
      </w:pPr>
      <w:r w:rsidRPr="00E878D3">
        <w:rPr>
          <w:rFonts w:ascii="Verdana" w:eastAsia="Calibri" w:hAnsi="Verdana" w:cs="Arial"/>
          <w:color w:val="000000"/>
          <w:kern w:val="2"/>
          <w:sz w:val="20"/>
          <w:szCs w:val="20"/>
          <w:lang w:val="es-ES"/>
          <w14:ligatures w14:val="standardContextual"/>
        </w:rPr>
        <w:t xml:space="preserve">Bajo el criterio señalado en el concepto de unificación, </w:t>
      </w:r>
      <w:r w:rsidRPr="00E878D3">
        <w:rPr>
          <w:rFonts w:ascii="Verdana" w:eastAsia="Aptos" w:hAnsi="Verdana" w:cs="Times New Roman"/>
          <w:kern w:val="2"/>
          <w:sz w:val="20"/>
          <w:szCs w:val="20"/>
          <w14:ligatures w14:val="standardContextual"/>
        </w:rPr>
        <w:t xml:space="preserve">es posible considerar que, en determinados supuestos, la celebración de fiducias mercantiles por parte de los patrimonios autónomos autorizados en la Ley 1537 de 2012 podría configurar un escenario para efectos de la aplicación del artículo 56 de la Ley 2195 de 2022. Esto, en la medida en que la norma prevé que los patrimonios autónomos que hayan suscrito contratos o convenios de cualquier índole con entidades sometidas al EGCAP deberán aplicar dicho estatuto y los documentos tipo en la contratación derivada de bienes, obras o servicios cobijados por documentos tipo vigentes. </w:t>
      </w:r>
    </w:p>
    <w:p w14:paraId="6404B339" w14:textId="2EA33478" w:rsidR="00E878D3" w:rsidRPr="00E878D3" w:rsidRDefault="00E878D3" w:rsidP="00E878D3">
      <w:pPr>
        <w:tabs>
          <w:tab w:val="left" w:pos="0"/>
        </w:tabs>
        <w:spacing w:after="120" w:line="240" w:lineRule="auto"/>
        <w:jc w:val="both"/>
        <w:rPr>
          <w:rFonts w:ascii="Verdana" w:eastAsia="Aptos" w:hAnsi="Verdana" w:cs="Times New Roman"/>
          <w:kern w:val="2"/>
          <w:sz w:val="20"/>
          <w:szCs w:val="20"/>
          <w14:ligatures w14:val="standardContextual"/>
        </w:rPr>
      </w:pPr>
      <w:r w:rsidRPr="00E878D3">
        <w:rPr>
          <w:rFonts w:ascii="Verdana" w:eastAsia="Aptos" w:hAnsi="Verdana" w:cs="Times New Roman"/>
          <w:kern w:val="2"/>
          <w:sz w:val="20"/>
          <w:szCs w:val="20"/>
          <w14:ligatures w14:val="standardContextual"/>
        </w:rPr>
        <w:t xml:space="preserve">Es así como, cuando una entidad pública sometida al EGCAP celebre un contrato o convenio interadministrativo o de cualquier otra índole con un patrimonio autónomo, y este celebre a su vez una fiducia mercantil para que este último contrate un bien, obra o servicio, podría entenderse que esta última actuación corresponden a una forma de contratación vinculada al negocio jurídico principal, lo que haría procedente la aplicación de los documentos tipo y de las disposiciones del EGCAP en los términos del artículo 56 ibidem. Contrario sería sí la fiducia mercantil que celebra el patrimonio autónomo es solo para la administración de los recursos destinados a proyectos de vivienda de interés social prioritario, evento en el cual, en principio no existiría documento tipo aplicable. </w:t>
      </w:r>
    </w:p>
    <w:p w14:paraId="235C6AE0" w14:textId="15936E1C" w:rsidR="00E878D3" w:rsidRDefault="00E878D3" w:rsidP="00E878D3">
      <w:pPr>
        <w:spacing w:after="0" w:line="240" w:lineRule="auto"/>
        <w:rPr>
          <w:rFonts w:ascii="Verdana" w:eastAsia="Verdana" w:hAnsi="Verdana" w:cs="Verdana"/>
          <w:kern w:val="2"/>
          <w14:ligatures w14:val="standardContextual"/>
        </w:rPr>
      </w:pPr>
      <w:r w:rsidRPr="00E878D3">
        <w:rPr>
          <w:rFonts w:ascii="Verdana" w:eastAsia="Verdana" w:hAnsi="Verdana" w:cs="Verdana"/>
          <w:kern w:val="2"/>
          <w14:ligatures w14:val="standardContextual"/>
        </w:rPr>
        <w:lastRenderedPageBreak/>
        <w:t xml:space="preserve">Bogotá D.C., </w:t>
      </w:r>
      <w:r w:rsidR="0004017D">
        <w:rPr>
          <w:rFonts w:ascii="Verdana" w:eastAsia="Verdana" w:hAnsi="Verdana" w:cs="Verdana"/>
          <w:kern w:val="2"/>
          <w14:ligatures w14:val="standardContextual"/>
        </w:rPr>
        <w:t>18 de junio de 2026</w:t>
      </w:r>
    </w:p>
    <w:p w14:paraId="504C1DCD" w14:textId="14A08E89" w:rsidR="0004017D" w:rsidRDefault="00D357C0" w:rsidP="00E878D3">
      <w:pPr>
        <w:spacing w:after="0" w:line="240" w:lineRule="auto"/>
        <w:rPr>
          <w:rFonts w:ascii="Verdana" w:eastAsia="Verdana" w:hAnsi="Verdana" w:cs="Verdana"/>
          <w:kern w:val="2"/>
          <w14:ligatures w14:val="standardContextual"/>
        </w:rPr>
      </w:pPr>
      <w:r w:rsidRPr="0004017D">
        <w:rPr>
          <w:rFonts w:ascii="Verdana" w:eastAsia="Verdana" w:hAnsi="Verdana" w:cs="Verdana"/>
          <w:noProof/>
          <w:kern w:val="2"/>
          <w14:ligatures w14:val="standardContextual"/>
        </w:rPr>
        <w:drawing>
          <wp:anchor distT="0" distB="0" distL="114300" distR="114300" simplePos="0" relativeHeight="251658240" behindDoc="0" locked="0" layoutInCell="1" allowOverlap="1" wp14:anchorId="0622EAA5" wp14:editId="4AD9D848">
            <wp:simplePos x="0" y="0"/>
            <wp:positionH relativeFrom="margin">
              <wp:align>right</wp:align>
            </wp:positionH>
            <wp:positionV relativeFrom="paragraph">
              <wp:posOffset>173355</wp:posOffset>
            </wp:positionV>
            <wp:extent cx="2271395" cy="779145"/>
            <wp:effectExtent l="0" t="0" r="0" b="1905"/>
            <wp:wrapSquare wrapText="bothSides"/>
            <wp:docPr id="146126194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1261945" name=""/>
                    <pic:cNvPicPr/>
                  </pic:nvPicPr>
                  <pic:blipFill>
                    <a:blip r:embed="rId10">
                      <a:extLst>
                        <a:ext uri="{28A0092B-C50C-407E-A947-70E740481C1C}">
                          <a14:useLocalDpi xmlns:a14="http://schemas.microsoft.com/office/drawing/2010/main" val="0"/>
                        </a:ext>
                      </a:extLst>
                    </a:blip>
                    <a:stretch>
                      <a:fillRect/>
                    </a:stretch>
                  </pic:blipFill>
                  <pic:spPr>
                    <a:xfrm>
                      <a:off x="0" y="0"/>
                      <a:ext cx="2271395" cy="779145"/>
                    </a:xfrm>
                    <a:prstGeom prst="rect">
                      <a:avLst/>
                    </a:prstGeom>
                  </pic:spPr>
                </pic:pic>
              </a:graphicData>
            </a:graphic>
            <wp14:sizeRelH relativeFrom="margin">
              <wp14:pctWidth>0</wp14:pctWidth>
            </wp14:sizeRelH>
            <wp14:sizeRelV relativeFrom="margin">
              <wp14:pctHeight>0</wp14:pctHeight>
            </wp14:sizeRelV>
          </wp:anchor>
        </w:drawing>
      </w:r>
    </w:p>
    <w:p w14:paraId="50716CFE" w14:textId="2A7CE66C" w:rsidR="0004017D" w:rsidRPr="00E878D3" w:rsidRDefault="0004017D" w:rsidP="0004017D">
      <w:pPr>
        <w:spacing w:after="0" w:line="240" w:lineRule="auto"/>
        <w:jc w:val="right"/>
        <w:rPr>
          <w:rFonts w:ascii="Verdana" w:eastAsia="Verdana" w:hAnsi="Verdana" w:cs="Verdana"/>
          <w:kern w:val="2"/>
          <w14:ligatures w14:val="standardContextual"/>
        </w:rPr>
      </w:pPr>
    </w:p>
    <w:p w14:paraId="2B7CCCB2" w14:textId="77777777" w:rsidR="00E878D3" w:rsidRPr="00E878D3" w:rsidRDefault="00E878D3" w:rsidP="00E878D3">
      <w:pPr>
        <w:spacing w:after="0" w:line="240" w:lineRule="auto"/>
        <w:rPr>
          <w:rFonts w:ascii="Verdana" w:eastAsia="Calibri" w:hAnsi="Verdana" w:cs="Arial"/>
          <w:lang w:eastAsia="es-ES"/>
        </w:rPr>
      </w:pPr>
    </w:p>
    <w:p w14:paraId="6DC5A0C7" w14:textId="77777777" w:rsidR="00E878D3" w:rsidRPr="00E878D3" w:rsidRDefault="00E878D3" w:rsidP="00E878D3">
      <w:pPr>
        <w:spacing w:after="0" w:line="240" w:lineRule="auto"/>
        <w:rPr>
          <w:rFonts w:ascii="Verdana" w:eastAsia="Calibri" w:hAnsi="Verdana" w:cs="Arial"/>
          <w:lang w:val="es-ES" w:eastAsia="es-ES"/>
        </w:rPr>
      </w:pPr>
      <w:r w:rsidRPr="00E878D3">
        <w:rPr>
          <w:rFonts w:ascii="Verdana" w:eastAsia="Calibri" w:hAnsi="Verdana" w:cs="Arial"/>
          <w:lang w:val="es-ES" w:eastAsia="es-ES"/>
        </w:rPr>
        <w:t>Doctora</w:t>
      </w:r>
    </w:p>
    <w:p w14:paraId="51B5E382" w14:textId="77777777" w:rsidR="00E878D3" w:rsidRPr="00E878D3" w:rsidRDefault="00E878D3" w:rsidP="00E878D3">
      <w:pPr>
        <w:spacing w:after="0" w:line="240" w:lineRule="auto"/>
        <w:rPr>
          <w:rFonts w:ascii="Verdana" w:eastAsia="Times New Roman" w:hAnsi="Verdana" w:cs="Times New Roman"/>
          <w:b/>
          <w:bCs/>
          <w:color w:val="242424"/>
          <w:shd w:val="clear" w:color="auto" w:fill="FFFFFF"/>
          <w:lang w:eastAsia="es-MX"/>
        </w:rPr>
      </w:pPr>
      <w:r w:rsidRPr="00E878D3">
        <w:rPr>
          <w:rFonts w:ascii="Verdana" w:eastAsia="Times New Roman" w:hAnsi="Verdana" w:cs="Times New Roman"/>
          <w:b/>
          <w:bCs/>
          <w:color w:val="242424"/>
          <w:shd w:val="clear" w:color="auto" w:fill="FFFFFF"/>
          <w:lang w:eastAsia="es-MX"/>
        </w:rPr>
        <w:t>Liliana Valbuena Monroy</w:t>
      </w:r>
    </w:p>
    <w:p w14:paraId="49E5DDC0" w14:textId="77777777" w:rsidR="00E878D3" w:rsidRPr="00E878D3" w:rsidRDefault="00E878D3" w:rsidP="00E878D3">
      <w:pPr>
        <w:spacing w:after="0" w:line="240" w:lineRule="auto"/>
        <w:rPr>
          <w:rFonts w:ascii="Verdana" w:eastAsia="Times New Roman" w:hAnsi="Verdana" w:cs="Times New Roman"/>
          <w:color w:val="242424"/>
          <w:shd w:val="clear" w:color="auto" w:fill="FFFFFF"/>
          <w:lang w:eastAsia="es-MX"/>
        </w:rPr>
      </w:pPr>
      <w:r w:rsidRPr="00E878D3">
        <w:rPr>
          <w:rFonts w:ascii="Verdana" w:eastAsia="Times New Roman" w:hAnsi="Verdana" w:cs="Times New Roman"/>
          <w:color w:val="242424"/>
          <w:shd w:val="clear" w:color="auto" w:fill="FFFFFF"/>
          <w:lang w:eastAsia="es-MX"/>
        </w:rPr>
        <w:t>Directora Técnica de Vivienda Departamental</w:t>
      </w:r>
    </w:p>
    <w:p w14:paraId="1278DB54" w14:textId="77777777" w:rsidR="00E878D3" w:rsidRPr="00E878D3" w:rsidRDefault="00E878D3" w:rsidP="00E878D3">
      <w:pPr>
        <w:spacing w:after="0" w:line="240" w:lineRule="auto"/>
        <w:rPr>
          <w:rFonts w:ascii="Verdana" w:eastAsia="Calibri" w:hAnsi="Verdana" w:cs="Arial"/>
          <w:lang w:val="es-ES_tradnl" w:eastAsia="es-ES_tradnl"/>
        </w:rPr>
      </w:pPr>
      <w:r w:rsidRPr="00E878D3">
        <w:rPr>
          <w:rFonts w:ascii="Verdana" w:eastAsia="Calibri" w:hAnsi="Verdana" w:cs="Arial"/>
          <w:lang w:val="es-ES_tradnl" w:eastAsia="es-ES_tradnl"/>
        </w:rPr>
        <w:t>Gobernación de Casanare</w:t>
      </w:r>
    </w:p>
    <w:p w14:paraId="4182F16B" w14:textId="77777777" w:rsidR="00E878D3" w:rsidRPr="00E878D3" w:rsidRDefault="00E878D3" w:rsidP="00E878D3">
      <w:pPr>
        <w:spacing w:after="0" w:line="240" w:lineRule="auto"/>
        <w:rPr>
          <w:rFonts w:ascii="Verdana" w:eastAsia="Calibri" w:hAnsi="Verdana" w:cs="Arial"/>
          <w:b/>
          <w:bCs/>
          <w:lang w:val="es-ES_tradnl" w:eastAsia="es-ES_tradnl"/>
        </w:rPr>
      </w:pPr>
    </w:p>
    <w:tbl>
      <w:tblPr>
        <w:tblStyle w:val="Tablaconcuadrcula"/>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68"/>
        <w:gridCol w:w="6100"/>
      </w:tblGrid>
      <w:tr w:rsidR="00E878D3" w:rsidRPr="00E878D3" w14:paraId="2107EA5C" w14:textId="77777777" w:rsidTr="00366355">
        <w:trPr>
          <w:trHeight w:val="229"/>
        </w:trPr>
        <w:tc>
          <w:tcPr>
            <w:tcW w:w="2268" w:type="dxa"/>
          </w:tcPr>
          <w:p w14:paraId="57746FC9" w14:textId="77777777" w:rsidR="00E878D3" w:rsidRPr="00E878D3" w:rsidRDefault="00E878D3" w:rsidP="00E878D3">
            <w:pPr>
              <w:jc w:val="both"/>
              <w:rPr>
                <w:rFonts w:ascii="Verdana" w:eastAsia="Calibri" w:hAnsi="Verdana" w:cs="Arial"/>
                <w:b/>
                <w:bCs/>
                <w:lang w:val="es-ES_tradnl" w:eastAsia="es-ES_tradnl"/>
              </w:rPr>
            </w:pPr>
          </w:p>
        </w:tc>
        <w:tc>
          <w:tcPr>
            <w:tcW w:w="6100" w:type="dxa"/>
          </w:tcPr>
          <w:p w14:paraId="28F14AA9" w14:textId="77777777" w:rsidR="00E878D3" w:rsidRPr="00E878D3" w:rsidRDefault="00E878D3" w:rsidP="00E878D3">
            <w:pPr>
              <w:jc w:val="both"/>
              <w:rPr>
                <w:rFonts w:ascii="Verdana" w:eastAsia="Calibri" w:hAnsi="Verdana" w:cs="Arial"/>
                <w:b/>
                <w:bCs/>
                <w:lang w:val="es-ES" w:eastAsia="es-ES"/>
              </w:rPr>
            </w:pPr>
            <w:r w:rsidRPr="00E878D3">
              <w:rPr>
                <w:rFonts w:ascii="Verdana" w:eastAsia="Calibri" w:hAnsi="Verdana" w:cs="Arial"/>
                <w:b/>
                <w:bCs/>
                <w:lang w:val="es-ES" w:eastAsia="es-ES"/>
              </w:rPr>
              <w:t xml:space="preserve">Concepto </w:t>
            </w:r>
            <w:bookmarkStart w:id="1" w:name="OLE_LINK1"/>
            <w:r w:rsidRPr="00E878D3">
              <w:rPr>
                <w:rFonts w:ascii="Verdana" w:eastAsia="Calibri" w:hAnsi="Verdana" w:cs="Arial"/>
                <w:b/>
                <w:bCs/>
                <w:lang w:val="es-ES" w:eastAsia="es-ES"/>
              </w:rPr>
              <w:t>C-488 de 2026</w:t>
            </w:r>
            <w:bookmarkEnd w:id="1"/>
          </w:p>
          <w:p w14:paraId="4BCA0AAA" w14:textId="77777777" w:rsidR="00E878D3" w:rsidRPr="00E878D3" w:rsidRDefault="00E878D3" w:rsidP="00E878D3">
            <w:pPr>
              <w:jc w:val="both"/>
              <w:rPr>
                <w:rFonts w:ascii="Verdana" w:eastAsia="Calibri" w:hAnsi="Verdana" w:cs="Arial"/>
                <w:b/>
                <w:bCs/>
                <w:lang w:val="es-ES" w:eastAsia="es-ES"/>
              </w:rPr>
            </w:pPr>
          </w:p>
        </w:tc>
      </w:tr>
      <w:tr w:rsidR="00E878D3" w:rsidRPr="00E878D3" w14:paraId="41062E42" w14:textId="77777777" w:rsidTr="00366355">
        <w:trPr>
          <w:trHeight w:val="884"/>
        </w:trPr>
        <w:tc>
          <w:tcPr>
            <w:tcW w:w="2268" w:type="dxa"/>
          </w:tcPr>
          <w:p w14:paraId="47B693A7" w14:textId="77777777" w:rsidR="00E878D3" w:rsidRPr="00E878D3" w:rsidRDefault="00E878D3" w:rsidP="00E878D3">
            <w:pPr>
              <w:jc w:val="both"/>
              <w:rPr>
                <w:rFonts w:ascii="Verdana" w:eastAsia="Calibri" w:hAnsi="Verdana" w:cs="Arial"/>
                <w:lang w:val="es-ES_tradnl" w:eastAsia="es-ES_tradnl"/>
              </w:rPr>
            </w:pPr>
            <w:r w:rsidRPr="00E878D3">
              <w:rPr>
                <w:rFonts w:ascii="Verdana" w:eastAsia="Calibri" w:hAnsi="Verdana" w:cs="Arial"/>
                <w:b/>
                <w:lang w:val="es-ES_tradnl" w:eastAsia="es-ES_tradnl"/>
              </w:rPr>
              <w:t>Temas:</w:t>
            </w:r>
            <w:r w:rsidRPr="00E878D3">
              <w:rPr>
                <w:rFonts w:ascii="Verdana" w:eastAsia="Calibri" w:hAnsi="Verdana" w:cs="Arial"/>
                <w:lang w:val="es-ES_tradnl" w:eastAsia="es-ES_tradnl"/>
              </w:rPr>
              <w:t xml:space="preserve">                   </w:t>
            </w:r>
          </w:p>
        </w:tc>
        <w:tc>
          <w:tcPr>
            <w:tcW w:w="6100" w:type="dxa"/>
          </w:tcPr>
          <w:p w14:paraId="424B4B67" w14:textId="77777777" w:rsidR="00E878D3" w:rsidRPr="00E878D3" w:rsidRDefault="00E878D3" w:rsidP="00E878D3">
            <w:pPr>
              <w:spacing w:line="276" w:lineRule="auto"/>
              <w:jc w:val="both"/>
              <w:rPr>
                <w:rFonts w:ascii="Verdana" w:eastAsia="Calibri" w:hAnsi="Verdana" w:cs="Arial"/>
                <w:color w:val="000000"/>
                <w:sz w:val="20"/>
                <w:szCs w:val="20"/>
                <w:lang w:val="es-ES_tradnl"/>
              </w:rPr>
            </w:pPr>
            <w:r w:rsidRPr="00E878D3">
              <w:rPr>
                <w:rFonts w:ascii="Verdana" w:eastAsia="Times New Roman" w:hAnsi="Verdana" w:cs="Arial"/>
                <w:lang w:eastAsia="es-ES_tradnl"/>
              </w:rPr>
              <w:t xml:space="preserve">DOCUMENTOS TIPO – Fundamento normativo – Obligatoriedad – Ámbito de aplicación – Entidades sometidas / </w:t>
            </w:r>
            <w:r w:rsidRPr="00E878D3">
              <w:rPr>
                <w:rFonts w:ascii="Verdana" w:eastAsia="Calibri" w:hAnsi="Verdana" w:cs="Arial"/>
                <w:color w:val="000000"/>
                <w:lang w:val="es-ES_tradnl" w:eastAsia="es-ES_tradnl"/>
              </w:rPr>
              <w:t xml:space="preserve">LEY 2195 DE 2022 – Artículo 56 – Personas jurídicas de derecho privado – Documentos tipo – Estatuto General de Contratación de la Administración Pública / LEY 2195 DE 2022 – Artículo 56 – Parágrafo – Alcance / </w:t>
            </w:r>
            <w:r w:rsidRPr="00E45792">
              <w:rPr>
                <w:rFonts w:ascii="Verdana" w:eastAsia="Times New Roman" w:hAnsi="Verdana" w:cs="Arial"/>
                <w:lang w:eastAsia="es-ES_tradnl"/>
              </w:rPr>
              <w:t>FIDUCIA MERCANTIL ― Concepto ― Características / FIDUCIA MERCANTIL ― Fiducia pública ― Patrimonio autónomo ― Diferencias / PROGRAMAS DE VIVIENDA DE INTERÉS SOCIAL – Artículo 36 Ley 388 de 1997 – Régimen jurídico / FIDUCIA MERCANTIL – Patrimonio autónomo – proyectos de vivienda de interés prioritario – régimen aplicable – derecho privado</w:t>
            </w:r>
          </w:p>
          <w:p w14:paraId="5D98912C" w14:textId="77777777" w:rsidR="00E878D3" w:rsidRPr="00E878D3" w:rsidRDefault="00E878D3" w:rsidP="00E878D3">
            <w:pPr>
              <w:jc w:val="both"/>
              <w:rPr>
                <w:rFonts w:ascii="Verdana" w:eastAsia="Calibri" w:hAnsi="Verdana" w:cs="Arial"/>
                <w:bCs/>
                <w:lang w:eastAsia="es-ES"/>
              </w:rPr>
            </w:pPr>
          </w:p>
        </w:tc>
      </w:tr>
      <w:tr w:rsidR="00E878D3" w:rsidRPr="00E878D3" w14:paraId="56B2377D" w14:textId="77777777" w:rsidTr="00366355">
        <w:tc>
          <w:tcPr>
            <w:tcW w:w="2268" w:type="dxa"/>
          </w:tcPr>
          <w:p w14:paraId="25297BAF" w14:textId="77777777" w:rsidR="00E878D3" w:rsidRPr="00E878D3" w:rsidRDefault="00E878D3" w:rsidP="00E878D3">
            <w:pPr>
              <w:jc w:val="both"/>
              <w:rPr>
                <w:rFonts w:ascii="Verdana" w:eastAsia="Calibri" w:hAnsi="Verdana" w:cs="Arial"/>
                <w:b/>
                <w:lang w:val="es-ES_tradnl" w:eastAsia="es-ES_tradnl"/>
              </w:rPr>
            </w:pPr>
            <w:r w:rsidRPr="00E878D3">
              <w:rPr>
                <w:rFonts w:ascii="Verdana" w:eastAsia="Calibri" w:hAnsi="Verdana" w:cs="Arial"/>
                <w:b/>
                <w:lang w:val="es-ES_tradnl" w:eastAsia="es-ES_tradnl"/>
              </w:rPr>
              <w:t>Radicación:</w:t>
            </w:r>
            <w:r w:rsidRPr="00E878D3">
              <w:rPr>
                <w:rFonts w:ascii="Verdana" w:eastAsia="Calibri" w:hAnsi="Verdana" w:cs="Arial"/>
                <w:lang w:val="es-ES_tradnl" w:eastAsia="es-ES_tradnl"/>
              </w:rPr>
              <w:t xml:space="preserve">               </w:t>
            </w:r>
          </w:p>
        </w:tc>
        <w:tc>
          <w:tcPr>
            <w:tcW w:w="6100" w:type="dxa"/>
          </w:tcPr>
          <w:p w14:paraId="437ABD05" w14:textId="77777777" w:rsidR="00E878D3" w:rsidRPr="00E878D3" w:rsidRDefault="00E878D3" w:rsidP="00E878D3">
            <w:pPr>
              <w:ind w:left="3" w:hanging="3"/>
              <w:jc w:val="both"/>
              <w:rPr>
                <w:rFonts w:ascii="Verdana" w:eastAsia="Calibri" w:hAnsi="Verdana" w:cs="Arial"/>
                <w:lang w:val="es-ES_tradnl" w:eastAsia="es-ES_tradnl"/>
              </w:rPr>
            </w:pPr>
            <w:r w:rsidRPr="00E878D3">
              <w:rPr>
                <w:rFonts w:ascii="Verdana" w:eastAsia="Calibri" w:hAnsi="Verdana" w:cs="Arial"/>
                <w:lang w:val="es-ES_tradnl" w:eastAsia="es-ES_tradnl"/>
              </w:rPr>
              <w:t>Respuesta a consulta con radicado No. 1_2026_05_04_005976</w:t>
            </w:r>
          </w:p>
        </w:tc>
      </w:tr>
    </w:tbl>
    <w:p w14:paraId="0E07ABFA" w14:textId="77777777" w:rsidR="00E878D3" w:rsidRPr="00E878D3" w:rsidRDefault="00E878D3" w:rsidP="00E878D3">
      <w:pPr>
        <w:spacing w:after="0" w:line="240" w:lineRule="auto"/>
        <w:jc w:val="both"/>
        <w:rPr>
          <w:rFonts w:ascii="Verdana" w:eastAsia="Calibri" w:hAnsi="Verdana" w:cs="Arial"/>
          <w:lang w:val="es-ES_tradnl" w:eastAsia="es-ES_tradnl"/>
        </w:rPr>
      </w:pPr>
    </w:p>
    <w:p w14:paraId="575D4912" w14:textId="77777777" w:rsidR="00E878D3" w:rsidRPr="00E878D3" w:rsidRDefault="00E878D3" w:rsidP="00E878D3">
      <w:pPr>
        <w:spacing w:after="0" w:line="276" w:lineRule="auto"/>
        <w:jc w:val="both"/>
        <w:rPr>
          <w:rFonts w:ascii="Verdana" w:eastAsia="Calibri" w:hAnsi="Verdana" w:cs="Arial"/>
          <w:lang w:val="es-ES" w:eastAsia="es-ES"/>
        </w:rPr>
      </w:pPr>
      <w:r w:rsidRPr="00E878D3">
        <w:rPr>
          <w:rFonts w:ascii="Verdana" w:eastAsia="Calibri" w:hAnsi="Verdana" w:cs="Arial"/>
          <w:lang w:val="es-ES" w:eastAsia="es-ES"/>
        </w:rPr>
        <w:t xml:space="preserve">Estimada doctora </w:t>
      </w:r>
      <w:r w:rsidRPr="00E878D3">
        <w:rPr>
          <w:rFonts w:ascii="Verdana" w:eastAsia="Times New Roman" w:hAnsi="Verdana" w:cs="Times New Roman"/>
          <w:color w:val="242424"/>
          <w:shd w:val="clear" w:color="auto" w:fill="FFFFFF"/>
          <w:lang w:eastAsia="es-MX"/>
        </w:rPr>
        <w:t>Valbuena Monroy</w:t>
      </w:r>
      <w:r w:rsidRPr="00E878D3">
        <w:rPr>
          <w:rFonts w:ascii="Verdana" w:eastAsia="Calibri" w:hAnsi="Verdana" w:cs="Arial"/>
          <w:lang w:val="es-ES" w:eastAsia="es-ES"/>
        </w:rPr>
        <w:t xml:space="preserve">: </w:t>
      </w:r>
    </w:p>
    <w:p w14:paraId="30C91AAC" w14:textId="77777777" w:rsidR="00E878D3" w:rsidRPr="00E878D3" w:rsidRDefault="00E878D3" w:rsidP="00E878D3">
      <w:pPr>
        <w:tabs>
          <w:tab w:val="left" w:pos="3768"/>
        </w:tabs>
        <w:spacing w:after="0" w:line="276" w:lineRule="auto"/>
        <w:jc w:val="both"/>
        <w:rPr>
          <w:rFonts w:ascii="Verdana" w:eastAsia="Calibri" w:hAnsi="Verdana" w:cs="Arial"/>
          <w:lang w:val="es-ES" w:eastAsia="es-ES"/>
        </w:rPr>
      </w:pPr>
      <w:r w:rsidRPr="00E878D3">
        <w:rPr>
          <w:rFonts w:ascii="Verdana" w:eastAsia="Calibri" w:hAnsi="Verdana" w:cs="Arial"/>
          <w:lang w:val="es-ES" w:eastAsia="es-ES"/>
        </w:rPr>
        <w:tab/>
      </w:r>
    </w:p>
    <w:p w14:paraId="2E10F7E0" w14:textId="77777777" w:rsidR="00E878D3" w:rsidRPr="00E878D3" w:rsidRDefault="00E878D3" w:rsidP="00E878D3">
      <w:pPr>
        <w:spacing w:after="0" w:line="276" w:lineRule="auto"/>
        <w:jc w:val="both"/>
        <w:rPr>
          <w:rFonts w:ascii="Verdana" w:eastAsia="Calibri" w:hAnsi="Verdana" w:cs="Arial"/>
          <w:lang w:val="es-ES" w:eastAsia="es-ES"/>
        </w:rPr>
      </w:pPr>
      <w:r w:rsidRPr="00E878D3">
        <w:rPr>
          <w:rFonts w:ascii="Verdana" w:eastAsia="Calibri" w:hAnsi="Verdana" w:cs="Arial"/>
          <w:lang w:val="es-ES" w:eastAsia="es-ES"/>
        </w:rPr>
        <w:t>En ejercicio de la competencia otorgada por los artículos 3, numeral 5º, y 11, numeral 8º, del Decreto Ley 4170 de 2011,</w:t>
      </w:r>
      <w:r w:rsidRPr="00E878D3">
        <w:rPr>
          <w:rFonts w:ascii="Verdana" w:eastAsia="Arial MT" w:hAnsi="Verdana" w:cs="Arial MT"/>
          <w:lang w:val="es-ES" w:eastAsia="es-ES"/>
        </w:rPr>
        <w:t xml:space="preserve"> </w:t>
      </w:r>
      <w:r w:rsidRPr="00E878D3">
        <w:rPr>
          <w:rFonts w:ascii="Verdana" w:eastAsia="Calibri" w:hAnsi="Verdana" w:cs="Arial"/>
          <w:lang w:eastAsia="es-MX"/>
        </w:rPr>
        <w:t xml:space="preserve">así como lo establecido por la </w:t>
      </w:r>
      <w:r w:rsidRPr="00E878D3">
        <w:rPr>
          <w:rFonts w:ascii="Verdana" w:eastAsia="Aptos" w:hAnsi="Verdana" w:cs="Arial"/>
          <w:bCs/>
          <w:lang w:eastAsia="es-ES" w:bidi="es-ES"/>
        </w:rPr>
        <w:t>Resolución 469 de 2025 expedida por esta Entidad</w:t>
      </w:r>
      <w:r w:rsidRPr="00E878D3">
        <w:rPr>
          <w:rFonts w:ascii="Verdana" w:eastAsia="Calibri" w:hAnsi="Verdana" w:cs="Arial"/>
          <w:lang w:eastAsia="es-MX"/>
        </w:rPr>
        <w:t xml:space="preserve">, </w:t>
      </w:r>
      <w:r w:rsidRPr="00E878D3">
        <w:rPr>
          <w:rFonts w:ascii="Verdana" w:eastAsia="Calibri" w:hAnsi="Verdana" w:cs="Arial"/>
          <w:lang w:val="es-ES" w:eastAsia="es-ES"/>
        </w:rPr>
        <w:t xml:space="preserve">la Agencia Nacional de Contratación Pública – Colombia Compra Eficiente– responde su solicitud de consulta del 30 de abril de 2026, en la cual manifiesta lo siguiente: </w:t>
      </w:r>
    </w:p>
    <w:p w14:paraId="5C02197A" w14:textId="77777777" w:rsidR="00E878D3" w:rsidRPr="00E878D3" w:rsidRDefault="00E878D3" w:rsidP="00E878D3">
      <w:pPr>
        <w:tabs>
          <w:tab w:val="left" w:pos="142"/>
          <w:tab w:val="left" w:pos="284"/>
        </w:tabs>
        <w:spacing w:after="0" w:line="276" w:lineRule="auto"/>
        <w:ind w:left="709" w:right="709"/>
        <w:jc w:val="both"/>
        <w:rPr>
          <w:rFonts w:ascii="Verdana" w:eastAsia="Century Gothic" w:hAnsi="Verdana" w:cs="Century Gothic"/>
          <w:b/>
          <w:bCs/>
          <w:sz w:val="20"/>
          <w:szCs w:val="20"/>
          <w:lang w:val="es-ES" w:eastAsia="es-MX"/>
        </w:rPr>
      </w:pPr>
    </w:p>
    <w:p w14:paraId="579833A3" w14:textId="77777777" w:rsidR="00E878D3" w:rsidRPr="00E878D3" w:rsidRDefault="00E878D3" w:rsidP="00E878D3">
      <w:pPr>
        <w:shd w:val="clear" w:color="auto" w:fill="FFFFFF"/>
        <w:spacing w:after="120" w:line="240" w:lineRule="auto"/>
        <w:ind w:left="709" w:right="709"/>
        <w:jc w:val="both"/>
        <w:rPr>
          <w:rFonts w:ascii="Verdana" w:eastAsia="Times New Roman" w:hAnsi="Verdana" w:cs="Times New Roman"/>
          <w:color w:val="242424"/>
          <w:sz w:val="20"/>
          <w:szCs w:val="20"/>
          <w:lang w:eastAsia="es-MX"/>
        </w:rPr>
      </w:pPr>
      <w:r w:rsidRPr="00E878D3">
        <w:rPr>
          <w:rFonts w:ascii="Verdana" w:eastAsia="Times New Roman" w:hAnsi="Verdana" w:cs="Times New Roman"/>
          <w:color w:val="242424"/>
          <w:sz w:val="20"/>
          <w:szCs w:val="20"/>
          <w:lang w:eastAsia="es-MX"/>
        </w:rPr>
        <w:t>“De conformidad con lo establecido en la Ley 388 de 1997 Articulo 36 en el cual se establece</w:t>
      </w:r>
    </w:p>
    <w:p w14:paraId="0501D7A6" w14:textId="77777777" w:rsidR="00E878D3" w:rsidRPr="00E878D3" w:rsidRDefault="00E878D3" w:rsidP="00E878D3">
      <w:pPr>
        <w:shd w:val="clear" w:color="auto" w:fill="FFFFFF"/>
        <w:spacing w:after="120" w:line="240" w:lineRule="auto"/>
        <w:ind w:left="709" w:right="709"/>
        <w:jc w:val="both"/>
        <w:rPr>
          <w:rFonts w:ascii="Verdana" w:eastAsia="Times New Roman" w:hAnsi="Verdana" w:cs="Times New Roman"/>
          <w:color w:val="242424"/>
          <w:sz w:val="20"/>
          <w:szCs w:val="20"/>
          <w:lang w:eastAsia="es-MX"/>
        </w:rPr>
      </w:pPr>
      <w:r w:rsidRPr="00E878D3">
        <w:rPr>
          <w:rFonts w:ascii="Verdana" w:eastAsia="Times New Roman" w:hAnsi="Verdana" w:cs="Times New Roman"/>
          <w:color w:val="242424"/>
          <w:sz w:val="20"/>
          <w:szCs w:val="20"/>
          <w:lang w:eastAsia="es-MX"/>
        </w:rPr>
        <w:lastRenderedPageBreak/>
        <w:t xml:space="preserve">"igualmente, las entidades municipales, distritales y las áreas metropolitanas podrán participar en la ejecución de proyectos de urbanización y programas de vivienda de interés social, mediante la celebración, entre otros, de contratos de fiducia con sujeción a /as reglas generales y del derecho comercial." </w:t>
      </w:r>
    </w:p>
    <w:p w14:paraId="32BAB035" w14:textId="77777777" w:rsidR="00E878D3" w:rsidRPr="00E878D3" w:rsidRDefault="00E878D3" w:rsidP="00E878D3">
      <w:pPr>
        <w:shd w:val="clear" w:color="auto" w:fill="FFFFFF"/>
        <w:spacing w:after="120" w:line="240" w:lineRule="auto"/>
        <w:ind w:left="709" w:right="709"/>
        <w:jc w:val="both"/>
        <w:rPr>
          <w:rFonts w:ascii="Verdana" w:eastAsia="Times New Roman" w:hAnsi="Verdana" w:cs="Times New Roman"/>
          <w:color w:val="242424"/>
          <w:sz w:val="20"/>
          <w:szCs w:val="20"/>
          <w:lang w:eastAsia="es-MX"/>
        </w:rPr>
      </w:pPr>
      <w:r w:rsidRPr="00E878D3">
        <w:rPr>
          <w:rFonts w:ascii="Verdana" w:eastAsia="Times New Roman" w:hAnsi="Verdana" w:cs="Times New Roman"/>
          <w:color w:val="242424"/>
          <w:sz w:val="20"/>
          <w:szCs w:val="20"/>
          <w:lang w:eastAsia="es-MX"/>
        </w:rPr>
        <w:t xml:space="preserve">Y en la Ley 1537 de 2012 Articulo 6 que determina: </w:t>
      </w:r>
    </w:p>
    <w:p w14:paraId="3F069DDF" w14:textId="77777777" w:rsidR="00E878D3" w:rsidRPr="00E878D3" w:rsidRDefault="00E878D3" w:rsidP="00E878D3">
      <w:pPr>
        <w:shd w:val="clear" w:color="auto" w:fill="FFFFFF"/>
        <w:spacing w:after="120" w:line="240" w:lineRule="auto"/>
        <w:ind w:left="709" w:right="709"/>
        <w:jc w:val="both"/>
        <w:rPr>
          <w:rFonts w:ascii="Verdana" w:eastAsia="Times New Roman" w:hAnsi="Verdana" w:cs="Times New Roman"/>
          <w:color w:val="242424"/>
          <w:sz w:val="20"/>
          <w:szCs w:val="20"/>
          <w:lang w:eastAsia="es-MX"/>
        </w:rPr>
      </w:pPr>
      <w:r w:rsidRPr="00E878D3">
        <w:rPr>
          <w:rFonts w:ascii="Verdana" w:eastAsia="Times New Roman" w:hAnsi="Verdana" w:cs="Times New Roman"/>
          <w:color w:val="242424"/>
          <w:sz w:val="20"/>
          <w:szCs w:val="20"/>
          <w:lang w:eastAsia="es-MX"/>
        </w:rPr>
        <w:t>"Financiación y desarrollo para los proyectos de Vivienda de interés Prioritario Los recursos mencionados en el artículo anterior podrán ser transferidos directamente a los patrimonios autónomos que constituyan Fonvivienda, Findeter, las entidades públicas de carácter territorial o la entidad que determine el Gobierno Nacional.</w:t>
      </w:r>
    </w:p>
    <w:p w14:paraId="7BE34BD3" w14:textId="77777777" w:rsidR="00E878D3" w:rsidRPr="00E878D3" w:rsidRDefault="00E878D3" w:rsidP="00E878D3">
      <w:pPr>
        <w:shd w:val="clear" w:color="auto" w:fill="FFFFFF"/>
        <w:spacing w:after="120" w:line="240" w:lineRule="auto"/>
        <w:ind w:left="709" w:right="709"/>
        <w:jc w:val="both"/>
        <w:rPr>
          <w:rFonts w:ascii="Verdana" w:eastAsia="Times New Roman" w:hAnsi="Verdana" w:cs="Times New Roman"/>
          <w:color w:val="242424"/>
          <w:sz w:val="20"/>
          <w:szCs w:val="20"/>
          <w:lang w:eastAsia="es-MX"/>
        </w:rPr>
      </w:pPr>
      <w:r w:rsidRPr="00E878D3">
        <w:rPr>
          <w:rFonts w:ascii="Verdana" w:eastAsia="Times New Roman" w:hAnsi="Verdana" w:cs="Times New Roman"/>
          <w:color w:val="242424"/>
          <w:sz w:val="20"/>
          <w:szCs w:val="20"/>
          <w:lang w:eastAsia="es-MX"/>
        </w:rPr>
        <w:t xml:space="preserve">Para la constitución de patrimonios autónomos el </w:t>
      </w:r>
      <w:proofErr w:type="gramStart"/>
      <w:r w:rsidRPr="00E878D3">
        <w:rPr>
          <w:rFonts w:ascii="Verdana" w:eastAsia="Times New Roman" w:hAnsi="Verdana" w:cs="Times New Roman"/>
          <w:color w:val="242424"/>
          <w:sz w:val="20"/>
          <w:szCs w:val="20"/>
          <w:lang w:eastAsia="es-MX"/>
        </w:rPr>
        <w:t>Director</w:t>
      </w:r>
      <w:proofErr w:type="gramEnd"/>
      <w:r w:rsidRPr="00E878D3">
        <w:rPr>
          <w:rFonts w:ascii="Verdana" w:eastAsia="Times New Roman" w:hAnsi="Verdana" w:cs="Times New Roman"/>
          <w:color w:val="242424"/>
          <w:sz w:val="20"/>
          <w:szCs w:val="20"/>
          <w:lang w:eastAsia="es-MX"/>
        </w:rPr>
        <w:t xml:space="preserve"> o Representante Legal de la entidad respectiva celebrará directamente contratos de fiducia mercantil en los que tas entidades del sector central y descentralizado por servicios del nivel nacional y territorial, o cualquier persona natural o jurídica, podrán ser aportantes de bienes o recursos, a título gratuito. Tanto la selección del fiduciario. como la celebración de los contratos para la constitución de los patrimonios autónomos y la ejecución y liquidación de los proyectos por parte de los referidos patrimonios. se requiere exclusivamente por las normas del derecho privado. </w:t>
      </w:r>
    </w:p>
    <w:p w14:paraId="59E0D95C" w14:textId="77777777" w:rsidR="00E878D3" w:rsidRPr="00E878D3" w:rsidRDefault="00E878D3" w:rsidP="00E878D3">
      <w:pPr>
        <w:shd w:val="clear" w:color="auto" w:fill="FFFFFF"/>
        <w:spacing w:after="120" w:line="240" w:lineRule="auto"/>
        <w:ind w:left="709" w:right="709"/>
        <w:jc w:val="both"/>
        <w:rPr>
          <w:rFonts w:ascii="Verdana" w:eastAsia="Times New Roman" w:hAnsi="Verdana" w:cs="Times New Roman"/>
          <w:color w:val="242424"/>
          <w:sz w:val="20"/>
          <w:szCs w:val="20"/>
          <w:lang w:eastAsia="es-MX"/>
        </w:rPr>
      </w:pPr>
      <w:r w:rsidRPr="00E878D3">
        <w:rPr>
          <w:rFonts w:ascii="Verdana" w:eastAsia="Times New Roman" w:hAnsi="Verdana" w:cs="Times New Roman"/>
          <w:color w:val="242424"/>
          <w:sz w:val="20"/>
          <w:szCs w:val="20"/>
          <w:lang w:eastAsia="es-MX"/>
        </w:rPr>
        <w:t xml:space="preserve">Los patrimonios autónomos cuya constitución se autoriza en </w:t>
      </w:r>
      <w:proofErr w:type="gramStart"/>
      <w:r w:rsidRPr="00E878D3">
        <w:rPr>
          <w:rFonts w:ascii="Verdana" w:eastAsia="Times New Roman" w:hAnsi="Verdana" w:cs="Times New Roman"/>
          <w:color w:val="242424"/>
          <w:sz w:val="20"/>
          <w:szCs w:val="20"/>
          <w:lang w:eastAsia="es-MX"/>
        </w:rPr>
        <w:t>la presente lev</w:t>
      </w:r>
      <w:proofErr w:type="gramEnd"/>
      <w:r w:rsidRPr="00E878D3">
        <w:rPr>
          <w:rFonts w:ascii="Verdana" w:eastAsia="Times New Roman" w:hAnsi="Verdana" w:cs="Times New Roman"/>
          <w:color w:val="242424"/>
          <w:sz w:val="20"/>
          <w:szCs w:val="20"/>
          <w:lang w:eastAsia="es-MX"/>
        </w:rPr>
        <w:t xml:space="preserve"> podrán a su vez contratar fiducias mercantiles para la administración de los recursos aplicables a los proyectos de Vivienda de interés social prioritario.</w:t>
      </w:r>
    </w:p>
    <w:p w14:paraId="21FF7411" w14:textId="77777777" w:rsidR="00E878D3" w:rsidRPr="00E878D3" w:rsidRDefault="00E878D3" w:rsidP="00E878D3">
      <w:pPr>
        <w:shd w:val="clear" w:color="auto" w:fill="FFFFFF"/>
        <w:spacing w:after="120" w:line="240" w:lineRule="auto"/>
        <w:ind w:left="709" w:right="709"/>
        <w:jc w:val="both"/>
        <w:rPr>
          <w:rFonts w:ascii="Verdana" w:eastAsia="Times New Roman" w:hAnsi="Verdana" w:cs="Times New Roman"/>
          <w:color w:val="242424"/>
          <w:sz w:val="20"/>
          <w:szCs w:val="20"/>
          <w:lang w:eastAsia="es-MX"/>
        </w:rPr>
      </w:pPr>
      <w:r w:rsidRPr="00E878D3">
        <w:rPr>
          <w:rFonts w:ascii="Verdana" w:eastAsia="Times New Roman" w:hAnsi="Verdana" w:cs="Times New Roman"/>
          <w:color w:val="242424"/>
          <w:sz w:val="20"/>
          <w:szCs w:val="20"/>
          <w:lang w:eastAsia="es-MX"/>
        </w:rPr>
        <w:t xml:space="preserve">Los patrimonios autónomos que se constituyan, de acuerdo con el presente artículo, podrán adelantar procesos de convocatoria y selección de los constructores interesados en desarrollar los proyectos de vivienda y/o para la adquisición de proyectos de Vivienda de Interés Prioritario. Iales procesos se rigen por el derecho privado. Las condiciones y criterios para la convocatoria, evaluación y selección de las propuestas para el desarrollo de los proyectos, así como las actividades de seguimiento y control de </w:t>
      </w:r>
      <w:proofErr w:type="gramStart"/>
      <w:r w:rsidRPr="00E878D3">
        <w:rPr>
          <w:rFonts w:ascii="Verdana" w:eastAsia="Times New Roman" w:hAnsi="Verdana" w:cs="Times New Roman"/>
          <w:color w:val="242424"/>
          <w:sz w:val="20"/>
          <w:szCs w:val="20"/>
          <w:lang w:eastAsia="es-MX"/>
        </w:rPr>
        <w:t>los mismos</w:t>
      </w:r>
      <w:proofErr w:type="gramEnd"/>
      <w:r w:rsidRPr="00E878D3">
        <w:rPr>
          <w:rFonts w:ascii="Verdana" w:eastAsia="Times New Roman" w:hAnsi="Verdana" w:cs="Times New Roman"/>
          <w:color w:val="242424"/>
          <w:sz w:val="20"/>
          <w:szCs w:val="20"/>
          <w:lang w:eastAsia="es-MX"/>
        </w:rPr>
        <w:t>, serán definidas por el Ministerio de vivienda, Ciudad y Territorio."</w:t>
      </w:r>
    </w:p>
    <w:p w14:paraId="60147B41" w14:textId="77777777" w:rsidR="00E878D3" w:rsidRPr="00E878D3" w:rsidRDefault="00E878D3" w:rsidP="00E878D3">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E878D3">
        <w:rPr>
          <w:rFonts w:ascii="Verdana" w:eastAsia="Aptos" w:hAnsi="Verdana" w:cs="Times New Roman"/>
          <w:kern w:val="2"/>
          <w:sz w:val="20"/>
          <w:szCs w:val="20"/>
          <w14:ligatures w14:val="standardContextual"/>
        </w:rPr>
        <w:t xml:space="preserve">De conformidad con lo anterior Colombia Compra Eficiente en concepto c- 002 de 2025 se pronunció en el siguiente sentido "El texto del nuevo inciso final del artículo 36 de la Ley 388 de 1997 no cambió et sentido de su contenido, pues la norma continúa siendo una autorización para que las entidades territoriales sometidas al EGCI¡P acudan a la celebración de contratos de fiducia mercantil, bajo el régimen jurídico general de esta ¡institución que se encuentra previsto en el derecho privado, en particular, en el derecho comercial, cuando la finalidad sea la de participar en la ejecución de proyectos de urbanización y programas de vivienda de interés social. Por lo anterior, la interpretación del alcance de la norma que venía </w:t>
      </w:r>
      <w:r w:rsidRPr="00E878D3">
        <w:rPr>
          <w:rFonts w:ascii="Verdana" w:eastAsia="Aptos" w:hAnsi="Verdana" w:cs="Times New Roman"/>
          <w:kern w:val="2"/>
          <w:sz w:val="20"/>
          <w:szCs w:val="20"/>
          <w14:ligatures w14:val="standardContextual"/>
        </w:rPr>
        <w:lastRenderedPageBreak/>
        <w:t xml:space="preserve">aplicándose con base en lo dispuesto por el Consejo de Estado en el concepto No. concepto No. 1-503 de 2003 continúa vigente, toda vez que la restricción del numeral 5 dé la Ley 80 de 1993 que fue suprimida resultaba aplicable al régimen de contratos de fiducia pública y encargo fiduciario regidos por el EGCAP, más no para la fiducia mercantil, cuyo régimen general está previsto en el derecho comercia”. </w:t>
      </w:r>
    </w:p>
    <w:p w14:paraId="0CC9469B" w14:textId="77777777" w:rsidR="00E878D3" w:rsidRPr="00E878D3" w:rsidRDefault="00E878D3" w:rsidP="00E878D3">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E878D3">
        <w:rPr>
          <w:rFonts w:ascii="Verdana" w:eastAsia="Aptos" w:hAnsi="Verdana" w:cs="Times New Roman"/>
          <w:kern w:val="2"/>
          <w:sz w:val="20"/>
          <w:szCs w:val="20"/>
          <w14:ligatures w14:val="standardContextual"/>
        </w:rPr>
        <w:t>Para esta Dirección de Vivienda, surge una aparente antinomia o vacío normativo entre la obligatoriedad de los "Documentos Tipo" y la autonomía contractual que otorgan las leyes 388 de 1997 y 1537 de 2012. si bien los recursos son de naturaleza pública, el vehículo de ejecución (patrimonio Autónomo) y su régimen jurídico (Derecho Privado) parecen sustraer estos procesos de la rigidez de los pliegos tipo diseñados para el régimen general de la Ley 80 de 1993.</w:t>
      </w:r>
    </w:p>
    <w:p w14:paraId="20A6618E" w14:textId="77777777" w:rsidR="00E878D3" w:rsidRPr="00E878D3" w:rsidRDefault="00E878D3" w:rsidP="00E878D3">
      <w:pPr>
        <w:spacing w:after="120" w:line="240" w:lineRule="auto"/>
        <w:ind w:right="709"/>
        <w:jc w:val="both"/>
        <w:rPr>
          <w:rFonts w:ascii="Verdana" w:eastAsia="Aptos" w:hAnsi="Verdana" w:cs="Arial"/>
          <w:sz w:val="20"/>
          <w:szCs w:val="20"/>
          <w:lang w:eastAsia="es-MX"/>
        </w:rPr>
      </w:pPr>
      <w:r w:rsidRPr="00E878D3">
        <w:rPr>
          <w:rFonts w:ascii="Verdana" w:eastAsia="Aptos" w:hAnsi="Verdana" w:cs="Arial"/>
          <w:sz w:val="20"/>
          <w:szCs w:val="20"/>
          <w:lang w:eastAsia="es-MX"/>
        </w:rPr>
        <w:tab/>
        <w:t>PETICIÓN</w:t>
      </w:r>
    </w:p>
    <w:p w14:paraId="29F955BC" w14:textId="77777777" w:rsidR="00E878D3" w:rsidRPr="00E878D3" w:rsidRDefault="00E878D3" w:rsidP="00E878D3">
      <w:pPr>
        <w:numPr>
          <w:ilvl w:val="0"/>
          <w:numId w:val="18"/>
        </w:numPr>
        <w:spacing w:after="120" w:line="240" w:lineRule="auto"/>
        <w:ind w:left="1066" w:right="709" w:hanging="357"/>
        <w:jc w:val="both"/>
        <w:rPr>
          <w:rFonts w:ascii="Verdana" w:eastAsia="Aptos" w:hAnsi="Verdana" w:cs="Arial"/>
          <w:sz w:val="20"/>
          <w:szCs w:val="20"/>
          <w:lang w:eastAsia="es-MX"/>
        </w:rPr>
      </w:pPr>
      <w:r w:rsidRPr="00E878D3">
        <w:rPr>
          <w:rFonts w:ascii="Verdana" w:eastAsia="Aptos" w:hAnsi="Verdana" w:cs="Arial"/>
          <w:sz w:val="20"/>
          <w:szCs w:val="20"/>
          <w:lang w:eastAsia="es-MX"/>
        </w:rPr>
        <w:t xml:space="preserve">¿Se encuentran los patrimonios autónomos constituidos por entidades territoriales bajo el amparo de la Ley 1537 de 2012 y Ley 388 de 1997, obligados a adoptar los Documentos Tipo previstos en la Resolución 953 de 2025 para la contratación de sus obras de infraestructura social? </w:t>
      </w:r>
    </w:p>
    <w:p w14:paraId="5D5ADC45" w14:textId="77777777" w:rsidR="00E878D3" w:rsidRPr="00E878D3" w:rsidRDefault="00E878D3" w:rsidP="00E878D3">
      <w:pPr>
        <w:numPr>
          <w:ilvl w:val="0"/>
          <w:numId w:val="18"/>
        </w:numPr>
        <w:spacing w:after="120" w:line="240" w:lineRule="auto"/>
        <w:ind w:left="1066" w:right="709" w:hanging="357"/>
        <w:jc w:val="both"/>
        <w:rPr>
          <w:rFonts w:ascii="Verdana" w:eastAsia="Aptos" w:hAnsi="Verdana" w:cs="Arial"/>
          <w:sz w:val="20"/>
          <w:szCs w:val="20"/>
          <w:lang w:eastAsia="es-MX"/>
        </w:rPr>
      </w:pPr>
      <w:r w:rsidRPr="00E878D3">
        <w:rPr>
          <w:rFonts w:ascii="Verdana" w:eastAsia="Aptos" w:hAnsi="Verdana" w:cs="Arial"/>
          <w:sz w:val="20"/>
          <w:szCs w:val="20"/>
          <w:lang w:eastAsia="es-MX"/>
        </w:rPr>
        <w:t xml:space="preserve">Dado que el Artículo 2 de la Resolución 953 de 2025 no menciona expresamente a las fiducias mercantiles de régimen privado que administran recursos públicos, ¿es jurídicamente viable que las invitaciones a ofertar realizadas por estas fiducias mantengan criterios de selección autónomos, siempre que respeten los principios de la función administrativa? </w:t>
      </w:r>
    </w:p>
    <w:p w14:paraId="01C12E25" w14:textId="77777777" w:rsidR="00E878D3" w:rsidRPr="00E878D3" w:rsidRDefault="00E878D3" w:rsidP="00E878D3">
      <w:pPr>
        <w:numPr>
          <w:ilvl w:val="0"/>
          <w:numId w:val="18"/>
        </w:numPr>
        <w:spacing w:after="120" w:line="240" w:lineRule="auto"/>
        <w:ind w:left="1066" w:right="709" w:hanging="357"/>
        <w:jc w:val="both"/>
        <w:rPr>
          <w:rFonts w:ascii="Verdana" w:eastAsia="Aptos" w:hAnsi="Verdana" w:cs="Arial"/>
          <w:sz w:val="20"/>
          <w:szCs w:val="20"/>
          <w:lang w:eastAsia="es-MX"/>
        </w:rPr>
      </w:pPr>
      <w:proofErr w:type="gramStart"/>
      <w:r w:rsidRPr="00E878D3">
        <w:rPr>
          <w:rFonts w:ascii="Verdana" w:eastAsia="Aptos" w:hAnsi="Verdana" w:cs="Arial"/>
          <w:sz w:val="20"/>
          <w:szCs w:val="20"/>
          <w:lang w:eastAsia="es-MX"/>
        </w:rPr>
        <w:t>¿Prevalece el criterio de "Especialidad de la Norma" de la Ley 1537 de2012 (Derecho Privado exclusivo) sobre la "Obligatoriedad de Documentos Tipo" de la Resolución 953 de 2025, considerando que los patrimonios autónomos no son, en estricto sentido, entidades estatales sometidas íntegramente al EGCAP.</w:t>
      </w:r>
      <w:proofErr w:type="gramEnd"/>
    </w:p>
    <w:p w14:paraId="6B13E435" w14:textId="77777777" w:rsidR="00E878D3" w:rsidRPr="00E878D3" w:rsidRDefault="00E878D3" w:rsidP="00E878D3">
      <w:pPr>
        <w:spacing w:after="0" w:line="240" w:lineRule="auto"/>
        <w:ind w:left="1068" w:right="709"/>
        <w:contextualSpacing/>
        <w:jc w:val="both"/>
        <w:rPr>
          <w:rFonts w:ascii="Arial" w:eastAsia="Aptos" w:hAnsi="Arial" w:cs="Arial"/>
          <w:sz w:val="21"/>
          <w:szCs w:val="21"/>
          <w:lang w:eastAsia="es-MX"/>
        </w:rPr>
      </w:pPr>
    </w:p>
    <w:p w14:paraId="7526A9E2" w14:textId="77777777" w:rsidR="00E878D3" w:rsidRPr="00E878D3" w:rsidRDefault="00E878D3" w:rsidP="00E878D3">
      <w:pPr>
        <w:spacing w:after="120" w:line="276" w:lineRule="auto"/>
        <w:ind w:firstLine="709"/>
        <w:jc w:val="both"/>
        <w:rPr>
          <w:rFonts w:ascii="Verdana" w:eastAsia="Calibri" w:hAnsi="Verdana" w:cs="Arial"/>
          <w:color w:val="000000"/>
          <w:lang w:val="es-ES" w:eastAsia="es-ES"/>
        </w:rPr>
      </w:pPr>
      <w:r w:rsidRPr="00E878D3">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w:t>
      </w:r>
      <w:r w:rsidRPr="00E878D3">
        <w:rPr>
          <w:rFonts w:ascii="Verdana" w:eastAsia="Calibri" w:hAnsi="Verdana" w:cs="Arial"/>
          <w:color w:val="000000"/>
          <w:lang w:val="es-ES" w:eastAsia="es-ES"/>
        </w:rPr>
        <w:lastRenderedPageBreak/>
        <w:t xml:space="preserve">los demás participantes de la contratación pública. Esta competencia de interpretación de normas generales, por definición, no puede extenderse a la resolución de controversias ni a brindar asesorías sobre casos puntuales. </w:t>
      </w:r>
      <w:r w:rsidRPr="00E878D3">
        <w:rPr>
          <w:rFonts w:ascii="Verdana" w:eastAsia="Calibri" w:hAnsi="Verdana" w:cs="Arial"/>
          <w:color w:val="000000"/>
          <w:lang w:val="es-ES_tradnl" w:eastAsia="es-ES_tradnl"/>
        </w:rPr>
        <w:tab/>
      </w:r>
    </w:p>
    <w:p w14:paraId="675031C5" w14:textId="77777777" w:rsidR="00E878D3" w:rsidRPr="00E878D3" w:rsidRDefault="00E878D3" w:rsidP="00E878D3">
      <w:pPr>
        <w:spacing w:after="0" w:line="276" w:lineRule="auto"/>
        <w:ind w:firstLine="709"/>
        <w:jc w:val="both"/>
        <w:rPr>
          <w:rFonts w:ascii="Verdana" w:eastAsia="Calibri" w:hAnsi="Verdana" w:cs="Arial"/>
          <w:color w:val="000000"/>
          <w:lang w:val="es-ES" w:eastAsia="es-ES"/>
        </w:rPr>
      </w:pPr>
      <w:r w:rsidRPr="00E878D3">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w:t>
      </w:r>
      <w:r w:rsidRPr="00E878D3">
        <w:rPr>
          <w:rFonts w:ascii="Verdana" w:eastAsia="Calibri" w:hAnsi="Verdana" w:cs="Arial"/>
          <w:color w:val="7030A0"/>
          <w:lang w:val="es-ES" w:eastAsia="es-ES"/>
        </w:rPr>
        <w:t xml:space="preserve"> </w:t>
      </w:r>
      <w:r w:rsidRPr="00E878D3">
        <w:rPr>
          <w:rFonts w:ascii="Verdana" w:eastAsia="Calibri" w:hAnsi="Verdana" w:cs="Arial"/>
          <w:color w:val="000000"/>
          <w:lang w:val="es-ES" w:eastAsia="es-ES"/>
        </w:rPr>
        <w:t>problema</w:t>
      </w:r>
      <w:r w:rsidRPr="00E878D3">
        <w:rPr>
          <w:rFonts w:ascii="Verdana" w:eastAsia="Calibri" w:hAnsi="Verdana" w:cs="Arial"/>
          <w:color w:val="7030A0"/>
          <w:lang w:val="es-ES" w:eastAsia="es-ES"/>
        </w:rPr>
        <w:t xml:space="preserve"> </w:t>
      </w:r>
      <w:r w:rsidRPr="00E878D3">
        <w:rPr>
          <w:rFonts w:ascii="Verdana" w:eastAsia="Calibri" w:hAnsi="Verdana" w:cs="Arial"/>
          <w:color w:val="000000"/>
          <w:lang w:val="es-ES" w:eastAsia="es-ES"/>
        </w:rPr>
        <w:t>jurídico</w:t>
      </w:r>
      <w:r w:rsidRPr="00E878D3">
        <w:rPr>
          <w:rFonts w:ascii="Verdana" w:eastAsia="Calibri" w:hAnsi="Verdana" w:cs="Arial"/>
          <w:color w:val="7030A0"/>
          <w:lang w:val="es-ES" w:eastAsia="es-ES"/>
        </w:rPr>
        <w:t xml:space="preserve"> </w:t>
      </w:r>
      <w:r w:rsidRPr="00E878D3">
        <w:rPr>
          <w:rFonts w:ascii="Verdana" w:eastAsia="Calibri" w:hAnsi="Verdana" w:cs="Arial"/>
          <w:color w:val="000000"/>
          <w:lang w:val="es-ES" w:eastAsia="es-ES"/>
        </w:rPr>
        <w:t xml:space="preserve">de su consulta. </w:t>
      </w:r>
    </w:p>
    <w:p w14:paraId="0A923759" w14:textId="77777777" w:rsidR="00E878D3" w:rsidRPr="00E878D3" w:rsidRDefault="00E878D3" w:rsidP="00E878D3">
      <w:pPr>
        <w:spacing w:after="0" w:line="276" w:lineRule="auto"/>
        <w:jc w:val="both"/>
        <w:rPr>
          <w:rFonts w:ascii="Verdana" w:eastAsia="Calibri" w:hAnsi="Verdana" w:cs="Arial"/>
          <w:lang w:val="es-ES" w:eastAsia="es-ES"/>
        </w:rPr>
      </w:pPr>
    </w:p>
    <w:p w14:paraId="26621093" w14:textId="77777777" w:rsidR="00E878D3" w:rsidRPr="00E878D3" w:rsidRDefault="00E878D3" w:rsidP="00E878D3">
      <w:pPr>
        <w:numPr>
          <w:ilvl w:val="0"/>
          <w:numId w:val="17"/>
        </w:numPr>
        <w:tabs>
          <w:tab w:val="left" w:pos="142"/>
          <w:tab w:val="left" w:pos="284"/>
        </w:tabs>
        <w:spacing w:after="0" w:line="276" w:lineRule="auto"/>
        <w:jc w:val="both"/>
        <w:rPr>
          <w:rFonts w:ascii="Verdana" w:eastAsia="Century Gothic" w:hAnsi="Verdana" w:cs="Century Gothic"/>
          <w:b/>
          <w:bCs/>
          <w:lang w:eastAsia="es-MX"/>
        </w:rPr>
      </w:pPr>
      <w:r w:rsidRPr="00E878D3">
        <w:rPr>
          <w:rFonts w:ascii="Verdana" w:eastAsia="Century Gothic" w:hAnsi="Verdana" w:cs="Century Gothic"/>
          <w:b/>
          <w:bCs/>
          <w:lang w:eastAsia="es-MX"/>
        </w:rPr>
        <w:t>Problema planteado:</w:t>
      </w:r>
    </w:p>
    <w:p w14:paraId="1B229692" w14:textId="77777777" w:rsidR="00E878D3" w:rsidRPr="00E878D3" w:rsidRDefault="00E878D3" w:rsidP="00E878D3">
      <w:pPr>
        <w:tabs>
          <w:tab w:val="left" w:pos="426"/>
        </w:tabs>
        <w:spacing w:after="0" w:line="276" w:lineRule="auto"/>
        <w:jc w:val="both"/>
        <w:rPr>
          <w:rFonts w:ascii="Verdana" w:eastAsia="Century Gothic" w:hAnsi="Verdana" w:cs="Century Gothic"/>
          <w:lang w:val="es-ES" w:eastAsia="es-MX"/>
        </w:rPr>
      </w:pPr>
    </w:p>
    <w:p w14:paraId="18F7173D" w14:textId="0488D689" w:rsidR="00E878D3" w:rsidRPr="00E878D3" w:rsidRDefault="00E878D3" w:rsidP="00E878D3">
      <w:pPr>
        <w:spacing w:after="0" w:line="276" w:lineRule="auto"/>
        <w:jc w:val="both"/>
        <w:rPr>
          <w:rFonts w:ascii="Verdana" w:eastAsia="Century Gothic" w:hAnsi="Verdana" w:cs="Century Gothic"/>
          <w:lang w:eastAsia="es-MX"/>
        </w:rPr>
      </w:pPr>
      <w:r w:rsidRPr="00E878D3">
        <w:rPr>
          <w:rFonts w:ascii="Verdana" w:eastAsia="Century Gothic" w:hAnsi="Verdana" w:cs="Century Gothic"/>
          <w:lang w:eastAsia="es-MX"/>
        </w:rPr>
        <w:t xml:space="preserve">De acuerdo con el contenido de su solicitud, esta Agencia resolverá los siguientes problemas jurídicos: i) </w:t>
      </w:r>
      <w:r w:rsidRPr="00E878D3">
        <w:rPr>
          <w:rFonts w:ascii="Verdana" w:eastAsia="Century Gothic" w:hAnsi="Verdana" w:cs="Century Gothic"/>
          <w:kern w:val="2"/>
          <w14:ligatures w14:val="standardContextual"/>
        </w:rPr>
        <w:t xml:space="preserve">¿Cuál es el alcance del artículo 56 de la Ley 2195 de 2022?, </w:t>
      </w:r>
      <w:proofErr w:type="spellStart"/>
      <w:r w:rsidRPr="00E878D3">
        <w:rPr>
          <w:rFonts w:ascii="Verdana" w:eastAsia="Century Gothic" w:hAnsi="Verdana" w:cs="Century Gothic"/>
          <w:kern w:val="2"/>
          <w14:ligatures w14:val="standardContextual"/>
        </w:rPr>
        <w:t>ii</w:t>
      </w:r>
      <w:proofErr w:type="spellEnd"/>
      <w:r w:rsidRPr="00E878D3">
        <w:rPr>
          <w:rFonts w:ascii="Verdana" w:eastAsia="Century Gothic" w:hAnsi="Verdana" w:cs="Century Gothic"/>
          <w:kern w:val="2"/>
          <w14:ligatures w14:val="standardContextual"/>
        </w:rPr>
        <w:t xml:space="preserve">) ¿Los patrimonios autónomos </w:t>
      </w:r>
      <w:r w:rsidRPr="00E878D3">
        <w:rPr>
          <w:rFonts w:ascii="Verdana" w:eastAsia="Times New Roman" w:hAnsi="Verdana" w:cs="Arial"/>
          <w:lang w:val="es-ES" w:eastAsia="es-ES"/>
        </w:rPr>
        <w:t xml:space="preserve">constituidos por entidades estatales bajo el artículo </w:t>
      </w:r>
      <w:r w:rsidRPr="00E878D3">
        <w:rPr>
          <w:rFonts w:ascii="Verdana" w:eastAsia="Aptos" w:hAnsi="Verdana" w:cs="Arial"/>
          <w:color w:val="000000"/>
          <w:kern w:val="2"/>
          <w14:ligatures w14:val="standardContextual"/>
        </w:rPr>
        <w:t xml:space="preserve">36 de la Ley 388 de 1997 y el </w:t>
      </w:r>
      <w:r w:rsidRPr="00E878D3">
        <w:rPr>
          <w:rFonts w:ascii="Verdana" w:eastAsia="Aptos" w:hAnsi="Verdana" w:cs="Arial"/>
          <w:color w:val="000000"/>
          <w:kern w:val="2"/>
          <w:lang w:val="es-ES_tradnl"/>
          <w14:ligatures w14:val="standardContextual"/>
        </w:rPr>
        <w:t xml:space="preserve">artículo 2 de </w:t>
      </w:r>
      <w:r w:rsidRPr="00E878D3">
        <w:rPr>
          <w:rFonts w:ascii="Verdana" w:eastAsia="Aptos" w:hAnsi="Verdana" w:cs="Arial"/>
          <w:color w:val="000000"/>
          <w:kern w:val="2"/>
          <w14:ligatures w14:val="standardContextual"/>
        </w:rPr>
        <w:t xml:space="preserve">la </w:t>
      </w:r>
      <w:r w:rsidRPr="00E878D3">
        <w:rPr>
          <w:rFonts w:ascii="Verdana" w:eastAsia="Aptos" w:hAnsi="Verdana" w:cs="Arial"/>
          <w:color w:val="000000"/>
          <w:kern w:val="2"/>
          <w:lang w:val="es-ES_tradnl"/>
          <w14:ligatures w14:val="standardContextual"/>
        </w:rPr>
        <w:t>Ley 1537 de 2012</w:t>
      </w:r>
      <w:r w:rsidRPr="00E878D3">
        <w:rPr>
          <w:rFonts w:ascii="Verdana" w:eastAsia="Times New Roman" w:hAnsi="Verdana" w:cs="Arial"/>
          <w:lang w:val="es-ES" w:eastAsia="es-ES"/>
        </w:rPr>
        <w:t xml:space="preserve"> y que gestionan recursos públicos deben aplicar los documentos tipo expedidos por la Agencia Nacional de Contratación Pública – Colombia Compra Eficiente? </w:t>
      </w:r>
    </w:p>
    <w:p w14:paraId="5A433B7A" w14:textId="77777777" w:rsidR="00E878D3" w:rsidRPr="00E878D3" w:rsidRDefault="00E878D3" w:rsidP="00E878D3">
      <w:pPr>
        <w:spacing w:after="0" w:line="276" w:lineRule="auto"/>
        <w:jc w:val="both"/>
        <w:rPr>
          <w:rFonts w:ascii="Verdana" w:eastAsia="Century Gothic" w:hAnsi="Verdana" w:cs="Century Gothic"/>
          <w:lang w:eastAsia="es-MX"/>
        </w:rPr>
      </w:pPr>
    </w:p>
    <w:p w14:paraId="604D99A0" w14:textId="77777777" w:rsidR="00E878D3" w:rsidRPr="00E878D3" w:rsidRDefault="00E878D3" w:rsidP="00E878D3">
      <w:pPr>
        <w:tabs>
          <w:tab w:val="left" w:pos="142"/>
          <w:tab w:val="left" w:pos="284"/>
        </w:tabs>
        <w:spacing w:after="0" w:line="276" w:lineRule="auto"/>
        <w:contextualSpacing/>
        <w:jc w:val="both"/>
        <w:rPr>
          <w:rFonts w:ascii="Verdana" w:eastAsia="Century Gothic" w:hAnsi="Verdana" w:cs="Century Gothic"/>
          <w:b/>
          <w:bCs/>
          <w:lang w:val="es-ES" w:eastAsia="es-MX"/>
        </w:rPr>
      </w:pPr>
      <w:r w:rsidRPr="00E878D3">
        <w:rPr>
          <w:rFonts w:ascii="Verdana" w:eastAsia="Century Gothic" w:hAnsi="Verdana" w:cs="Century Gothic"/>
          <w:b/>
          <w:bCs/>
          <w:lang w:val="es-ES" w:eastAsia="es-MX"/>
        </w:rPr>
        <w:t>2. Respuestas:</w:t>
      </w:r>
    </w:p>
    <w:p w14:paraId="1C0B74F4" w14:textId="77777777" w:rsidR="00E878D3" w:rsidRPr="00E878D3" w:rsidRDefault="00E878D3" w:rsidP="00E878D3">
      <w:pPr>
        <w:tabs>
          <w:tab w:val="left" w:pos="142"/>
          <w:tab w:val="left" w:pos="284"/>
        </w:tabs>
        <w:spacing w:after="0" w:line="276" w:lineRule="auto"/>
        <w:contextualSpacing/>
        <w:jc w:val="both"/>
        <w:rPr>
          <w:rFonts w:ascii="Verdana" w:eastAsia="Century Gothic" w:hAnsi="Verdana" w:cs="Century Gothic"/>
          <w:b/>
          <w:bCs/>
          <w:lang w:val="es-ES" w:eastAsia="es-MX"/>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878D3" w:rsidRPr="00E878D3" w14:paraId="2C1A589B" w14:textId="77777777" w:rsidTr="000B37CA">
        <w:trPr>
          <w:trHeight w:val="1303"/>
        </w:trPr>
        <w:tc>
          <w:tcPr>
            <w:tcW w:w="8828" w:type="dxa"/>
            <w:tcBorders>
              <w:top w:val="dotted" w:sz="4" w:space="0" w:color="auto"/>
              <w:left w:val="dotted" w:sz="4" w:space="0" w:color="auto"/>
              <w:bottom w:val="dotted" w:sz="4" w:space="0" w:color="auto"/>
              <w:right w:val="dotted" w:sz="4" w:space="0" w:color="auto"/>
            </w:tcBorders>
          </w:tcPr>
          <w:p w14:paraId="7E9288B5" w14:textId="77777777" w:rsidR="00E878D3" w:rsidRPr="00E878D3" w:rsidRDefault="00E878D3" w:rsidP="00E878D3">
            <w:pPr>
              <w:spacing w:before="120" w:line="276" w:lineRule="auto"/>
              <w:jc w:val="both"/>
              <w:rPr>
                <w:rFonts w:ascii="Verdana" w:eastAsia="Calibri" w:hAnsi="Verdana" w:cs="Arial"/>
                <w:lang w:val="es-ES"/>
              </w:rPr>
            </w:pPr>
            <w:r w:rsidRPr="00E878D3">
              <w:rPr>
                <w:rFonts w:ascii="Verdana" w:eastAsia="Times New Roman" w:hAnsi="Verdana" w:cs="Arial"/>
                <w:lang w:val="es-ES" w:eastAsia="es-CO"/>
              </w:rPr>
              <w:t xml:space="preserve">i. </w:t>
            </w:r>
            <w:r w:rsidRPr="00E878D3">
              <w:rPr>
                <w:rFonts w:ascii="Verdana" w:eastAsia="Calibri" w:hAnsi="Verdana" w:cs="Arial"/>
                <w:lang w:val="es-ES"/>
              </w:rPr>
              <w:t xml:space="preserve">El primer inciso del artículo 56 de la Ley 2195 de 2022 surge como una disposición complementaria de la Ley 2022 de 2020, en la medida en que, según se desprende de su texto, de una parte, la norma busca extender la aplicación obligatoria de los documentos tipo a la celebración de contratos o convenios interadministrativos entre entidades regidas por EGCAP y otros sujetos cuyo régimen de contratación prevalente es el derecho privado. Esto de tal forma que cuando una entidad estatal regida por el EGCAP celebre contratos o convenios con otra i) entidad estatal de régimen especial o con </w:t>
            </w:r>
            <w:proofErr w:type="spellStart"/>
            <w:r w:rsidRPr="00E878D3">
              <w:rPr>
                <w:rFonts w:ascii="Verdana" w:eastAsia="Calibri" w:hAnsi="Verdana" w:cs="Arial"/>
                <w:lang w:val="es-ES"/>
              </w:rPr>
              <w:t>ii</w:t>
            </w:r>
            <w:proofErr w:type="spellEnd"/>
            <w:r w:rsidRPr="00E878D3">
              <w:rPr>
                <w:rFonts w:ascii="Verdana" w:eastAsia="Calibri" w:hAnsi="Verdana" w:cs="Arial"/>
                <w:lang w:val="es-ES"/>
              </w:rPr>
              <w:t xml:space="preserve">) patrimonios autónomos o </w:t>
            </w:r>
            <w:proofErr w:type="spellStart"/>
            <w:r w:rsidRPr="00E878D3">
              <w:rPr>
                <w:rFonts w:ascii="Verdana" w:eastAsia="Calibri" w:hAnsi="Verdana" w:cs="Arial"/>
                <w:lang w:val="es-ES"/>
              </w:rPr>
              <w:t>iii</w:t>
            </w:r>
            <w:proofErr w:type="spellEnd"/>
            <w:r w:rsidRPr="00E878D3">
              <w:rPr>
                <w:rFonts w:ascii="Verdana" w:eastAsia="Calibri" w:hAnsi="Verdana" w:cs="Arial"/>
                <w:lang w:val="es-ES"/>
              </w:rPr>
              <w:t xml:space="preserve">) con personas naturales o jurídicas de derecho privado, tenga que hacerlo aplicando documentos tipo. Los efectos del primer inciso del artículo 56 se proyectarían entonces a los contratos o convenios interadministrativos o de cualquier otra índole, que se deban celebrar con estos sujetos, cuyos objetos comprendan la adquisición de bienes, obras o </w:t>
            </w:r>
            <w:r w:rsidRPr="00E878D3">
              <w:rPr>
                <w:rFonts w:ascii="Verdana" w:eastAsia="Calibri" w:hAnsi="Verdana" w:cs="Arial"/>
                <w:lang w:val="es-ES"/>
              </w:rPr>
              <w:lastRenderedPageBreak/>
              <w:t>servicios, que, al tenor de lo dispuesto en el apartado normativo bajo examen, deberán celebrarse mediante documentos tipo.</w:t>
            </w:r>
          </w:p>
          <w:p w14:paraId="56938050" w14:textId="77777777" w:rsidR="00E878D3" w:rsidRPr="00E878D3" w:rsidRDefault="00E878D3" w:rsidP="00E878D3">
            <w:pPr>
              <w:spacing w:before="120" w:line="276" w:lineRule="auto"/>
              <w:ind w:firstLine="743"/>
              <w:jc w:val="both"/>
              <w:rPr>
                <w:rFonts w:ascii="Verdana" w:eastAsia="Calibri" w:hAnsi="Verdana" w:cs="Arial"/>
                <w:lang w:val="es-ES"/>
              </w:rPr>
            </w:pPr>
            <w:r w:rsidRPr="00E878D3">
              <w:rPr>
                <w:rFonts w:ascii="Verdana" w:eastAsia="Calibri" w:hAnsi="Verdana" w:cs="Arial"/>
                <w:lang w:val="es-ES" w:eastAsia="es-ES"/>
              </w:rPr>
              <w:t>Sin perjuicio de lo anterior, solo es posible comprender los efectos de lo dispuesto en el artículo 56 de la Ley 2195 de 2022 cuando se interpretan en conjunto todos sus componentes. Esto comoquiera que, a lo anterior se le suman las implicaciones de lo ordenado por el segundo inciso de la norma en estudio cuando usa la expresión “los procedimientos de selección y contratos que realicen en desarrollo de los anteriores negocios jurídicos”, a los que se refiere el primer inciso, en los que, además de la aplicación de los documentos tipo, se dispone la aplicación del EGCAP.</w:t>
            </w:r>
          </w:p>
          <w:p w14:paraId="73AE60F0" w14:textId="27109E51" w:rsidR="00E878D3" w:rsidRPr="00E878D3" w:rsidRDefault="00E878D3" w:rsidP="000C514C">
            <w:pPr>
              <w:spacing w:before="120" w:line="276" w:lineRule="auto"/>
              <w:ind w:firstLine="601"/>
              <w:jc w:val="both"/>
              <w:rPr>
                <w:rFonts w:ascii="Verdana" w:eastAsia="Calibri" w:hAnsi="Verdana" w:cs="Arial"/>
                <w:bCs/>
                <w:lang w:val="es-ES_tradnl"/>
              </w:rPr>
            </w:pPr>
            <w:r w:rsidRPr="00E878D3">
              <w:rPr>
                <w:rFonts w:ascii="Verdana" w:eastAsia="Aptos" w:hAnsi="Verdana" w:cs="Arial"/>
                <w:color w:val="000000"/>
                <w:shd w:val="clear" w:color="auto" w:fill="FFFFFF"/>
                <w:lang w:val="es-ES"/>
              </w:rPr>
              <w:t xml:space="preserve">Así, </w:t>
            </w:r>
            <w:r w:rsidRPr="00E878D3">
              <w:rPr>
                <w:rFonts w:ascii="Verdana" w:eastAsia="Calibri" w:hAnsi="Verdana" w:cs="Arial"/>
                <w:bCs/>
                <w:lang w:val="es-ES_tradnl" w:eastAsia="es-ES_tradnl"/>
              </w:rPr>
              <w:t>de la lectura conjunta de los incisos primero y segundo</w:t>
            </w:r>
            <w:r w:rsidRPr="00E878D3">
              <w:rPr>
                <w:rFonts w:ascii="Verdana" w:eastAsia="Calibri" w:hAnsi="Verdana" w:cs="Arial"/>
                <w:bCs/>
                <w:lang w:eastAsia="es-ES_tradnl"/>
              </w:rPr>
              <w:t xml:space="preserve"> del artículo 56 de la Ley 2195 de 2022,</w:t>
            </w:r>
            <w:r w:rsidRPr="00E878D3">
              <w:rPr>
                <w:rFonts w:ascii="Verdana" w:eastAsia="Calibri" w:hAnsi="Verdana" w:cs="Arial"/>
                <w:bCs/>
                <w:lang w:val="es-ES_tradnl" w:eastAsia="es-ES_tradnl"/>
              </w:rPr>
              <w:t xml:space="preserve"> se desprende que </w:t>
            </w:r>
            <w:r w:rsidRPr="00E878D3">
              <w:rPr>
                <w:rFonts w:ascii="Verdana" w:eastAsia="Calibri" w:hAnsi="Verdana" w:cs="Arial"/>
                <w:bCs/>
                <w:lang w:eastAsia="es-ES_tradnl"/>
              </w:rPr>
              <w:t>cuando se celebre un contrato o convenio interadministrativo o de cualquier otra índole entre una entidad sometida al EGCAP y los sujetos allí mencionados, del cual se derive la ejecución de objetos contractuales incluidos dentro del ámbito de aplicación de los documentos tipo, su celebración deberá realizarse por parte del ejecutor o de quien tenga a su cargo el deber de materializar dicha contratación, haciendo uso obligatorio de dichos documentos</w:t>
            </w:r>
            <w:r w:rsidRPr="00E878D3">
              <w:rPr>
                <w:rFonts w:ascii="Arial" w:eastAsia="Calibri" w:hAnsi="Arial" w:cs="Arial"/>
                <w:bCs/>
                <w:lang w:val="es-ES_tradnl"/>
              </w:rPr>
              <w:t xml:space="preserve"> </w:t>
            </w:r>
            <w:r w:rsidRPr="00E878D3">
              <w:rPr>
                <w:rFonts w:ascii="Verdana" w:eastAsia="Calibri" w:hAnsi="Verdana" w:cs="Arial"/>
                <w:bCs/>
                <w:lang w:val="es-ES_tradnl"/>
              </w:rPr>
              <w:t xml:space="preserve">siempre que exista documento tipo aplicable al objeto contractual que se planea contratar. </w:t>
            </w:r>
            <w:r w:rsidR="000C514C" w:rsidRPr="007C52C9">
              <w:rPr>
                <w:rFonts w:ascii="Verdana" w:eastAsia="Calibri" w:hAnsi="Verdana" w:cs="Arial"/>
                <w:bCs/>
                <w:lang w:val="es-ES_tradnl"/>
              </w:rPr>
              <w:t>Esto significa que los contratos no relacionados con los contratos y convenios adquiridos con la entidad sometida al EGCAP no tendrían que aplicar los documentos tipo, salvo que quieran hacerlo como una buena práctica de contratación</w:t>
            </w:r>
            <w:r w:rsidR="000C514C" w:rsidRPr="65879FAB">
              <w:rPr>
                <w:rFonts w:ascii="Verdana" w:eastAsia="Aptos" w:hAnsi="Verdana" w:cs="Arial"/>
                <w:color w:val="000000"/>
                <w:shd w:val="clear" w:color="auto" w:fill="FFFFFF"/>
                <w:lang w:val="es-ES"/>
              </w:rPr>
              <w:t xml:space="preserve">. </w:t>
            </w:r>
          </w:p>
          <w:p w14:paraId="03C9DC44" w14:textId="77777777" w:rsidR="00E878D3" w:rsidRPr="00E878D3" w:rsidRDefault="00E878D3" w:rsidP="00E878D3">
            <w:pPr>
              <w:spacing w:before="120" w:line="276" w:lineRule="auto"/>
              <w:ind w:firstLine="601"/>
              <w:jc w:val="both"/>
              <w:rPr>
                <w:rFonts w:ascii="Verdana" w:eastAsia="Aptos" w:hAnsi="Verdana" w:cs="Arial"/>
                <w:shd w:val="clear" w:color="auto" w:fill="FFFFFF"/>
                <w:lang w:val="es-ES_tradnl"/>
              </w:rPr>
            </w:pPr>
            <w:r w:rsidRPr="00E878D3">
              <w:rPr>
                <w:rFonts w:ascii="Verdana" w:eastAsia="Aptos" w:hAnsi="Verdana" w:cs="Arial"/>
                <w:color w:val="000000"/>
                <w:shd w:val="clear" w:color="auto" w:fill="FFFFFF"/>
                <w:lang w:val="es-ES_tradnl"/>
              </w:rPr>
              <w:t xml:space="preserve">De esta manera, la obligación de aplicar documentos tipo, y en general, las disposiciones del Estatuto General de Contratación de la Administración Pública se extienden a los compromisos contractuales derivados la celebración del contrato o convenio, según lo expresamente consagrado en el segundo inciso del artículo 56 de la ley citada. </w:t>
            </w:r>
            <w:r w:rsidRPr="00E878D3">
              <w:rPr>
                <w:rFonts w:ascii="Verdana" w:eastAsia="Aptos" w:hAnsi="Verdana" w:cs="Arial"/>
                <w:shd w:val="clear" w:color="auto" w:fill="FFFFFF"/>
                <w:lang w:val="es-ES_tradnl"/>
              </w:rPr>
              <w:t xml:space="preserve">No obstante, se encuentran exceptuadas de dicha obligación </w:t>
            </w:r>
            <w:r w:rsidRPr="00E878D3">
              <w:rPr>
                <w:rFonts w:ascii="Verdana" w:eastAsia="Aptos" w:hAnsi="Verdana" w:cs="Arial"/>
                <w:shd w:val="clear" w:color="auto" w:fill="FFFFFF"/>
              </w:rPr>
              <w:t>las Instituciones de Educación Superior públicas, las empresas sociales del Estado, las sociedades de economía mixta y las empresas industriales y comerciales del Estado, únicamente en cuanto a la contratación de su g</w:t>
            </w:r>
            <w:r w:rsidRPr="00E878D3">
              <w:rPr>
                <w:rFonts w:ascii="Verdana" w:eastAsia="Aptos" w:hAnsi="Verdana" w:cs="Arial"/>
                <w:i/>
                <w:iCs/>
                <w:shd w:val="clear" w:color="auto" w:fill="FFFFFF"/>
              </w:rPr>
              <w:t>iro ordinario</w:t>
            </w:r>
            <w:r w:rsidRPr="00E878D3">
              <w:rPr>
                <w:rFonts w:ascii="Verdana" w:eastAsia="Aptos" w:hAnsi="Verdana" w:cs="Arial"/>
                <w:shd w:val="clear" w:color="auto" w:fill="FFFFFF"/>
              </w:rPr>
              <w:t>, tal como se establece en el parágrafo del artículo 56 de la Ley 2195 de 2022</w:t>
            </w:r>
            <w:r w:rsidRPr="00E878D3">
              <w:rPr>
                <w:rFonts w:ascii="Verdana" w:eastAsia="Aptos" w:hAnsi="Verdana" w:cs="Arial"/>
                <w:shd w:val="clear" w:color="auto" w:fill="FFFFFF"/>
                <w:lang w:val="es-ES_tradnl"/>
              </w:rPr>
              <w:t>.</w:t>
            </w:r>
          </w:p>
          <w:p w14:paraId="7213C097" w14:textId="77777777" w:rsidR="00E878D3" w:rsidRPr="00E878D3" w:rsidRDefault="00E878D3" w:rsidP="00E878D3">
            <w:pPr>
              <w:spacing w:line="276" w:lineRule="auto"/>
              <w:jc w:val="both"/>
              <w:rPr>
                <w:rFonts w:ascii="Verdana" w:eastAsia="Times New Roman" w:hAnsi="Verdana" w:cs="Arial"/>
                <w:lang w:val="es-ES" w:eastAsia="es-CO"/>
              </w:rPr>
            </w:pPr>
          </w:p>
          <w:p w14:paraId="7AD06147" w14:textId="77777777" w:rsidR="00E878D3" w:rsidRPr="00E878D3" w:rsidRDefault="00E878D3" w:rsidP="00E878D3">
            <w:pPr>
              <w:tabs>
                <w:tab w:val="left" w:pos="0"/>
              </w:tabs>
              <w:spacing w:after="120" w:line="276" w:lineRule="auto"/>
              <w:jc w:val="both"/>
              <w:rPr>
                <w:rFonts w:ascii="Verdana" w:eastAsia="Times New Roman" w:hAnsi="Verdana" w:cs="Arial"/>
                <w:i/>
                <w:iCs/>
                <w:lang w:val="es-ES" w:eastAsia="es-ES"/>
              </w:rPr>
            </w:pPr>
            <w:proofErr w:type="spellStart"/>
            <w:r w:rsidRPr="00E878D3">
              <w:rPr>
                <w:rFonts w:ascii="Verdana" w:eastAsia="Calibri" w:hAnsi="Verdana" w:cs="Arial"/>
                <w:color w:val="000000"/>
                <w:lang w:val="es-ES" w:eastAsia="es-CO"/>
              </w:rPr>
              <w:t>ii</w:t>
            </w:r>
            <w:proofErr w:type="spellEnd"/>
            <w:r w:rsidRPr="00E878D3">
              <w:rPr>
                <w:rFonts w:ascii="Verdana" w:eastAsia="Calibri" w:hAnsi="Verdana" w:cs="Arial"/>
                <w:color w:val="000000"/>
                <w:lang w:val="es-ES" w:eastAsia="es-CO"/>
              </w:rPr>
              <w:t xml:space="preserve">. Ahora bien, en la medida que, en la consulta </w:t>
            </w:r>
            <w:r w:rsidRPr="00E878D3">
              <w:rPr>
                <w:rFonts w:ascii="Verdana" w:eastAsia="Times New Roman" w:hAnsi="Verdana" w:cs="Arial"/>
                <w:lang w:val="es-ES" w:eastAsia="es-ES"/>
              </w:rPr>
              <w:t xml:space="preserve">realizada por Usted, trata de si los patrimonios autónomos constituidos por entidades estatales bajo el </w:t>
            </w:r>
            <w:r w:rsidRPr="00E878D3">
              <w:rPr>
                <w:rFonts w:ascii="Verdana" w:eastAsia="Times New Roman" w:hAnsi="Verdana" w:cs="Arial"/>
                <w:lang w:val="es-ES" w:eastAsia="es-ES"/>
              </w:rPr>
              <w:lastRenderedPageBreak/>
              <w:t xml:space="preserve">artículo </w:t>
            </w:r>
            <w:r w:rsidRPr="00E878D3">
              <w:rPr>
                <w:rFonts w:ascii="Verdana" w:eastAsia="Aptos" w:hAnsi="Verdana" w:cs="Arial"/>
                <w:color w:val="000000"/>
              </w:rPr>
              <w:t xml:space="preserve">36 de la Ley 388 de 1997 y el </w:t>
            </w:r>
            <w:r w:rsidRPr="00E878D3">
              <w:rPr>
                <w:rFonts w:ascii="Verdana" w:eastAsia="Aptos" w:hAnsi="Verdana" w:cs="Arial"/>
                <w:color w:val="000000"/>
                <w:lang w:val="es-ES_tradnl"/>
              </w:rPr>
              <w:t xml:space="preserve">artículo 2 de </w:t>
            </w:r>
            <w:r w:rsidRPr="00E878D3">
              <w:rPr>
                <w:rFonts w:ascii="Verdana" w:eastAsia="Aptos" w:hAnsi="Verdana" w:cs="Arial"/>
                <w:color w:val="000000"/>
              </w:rPr>
              <w:t xml:space="preserve">la </w:t>
            </w:r>
            <w:r w:rsidRPr="00E878D3">
              <w:rPr>
                <w:rFonts w:ascii="Verdana" w:eastAsia="Aptos" w:hAnsi="Verdana" w:cs="Arial"/>
                <w:color w:val="000000"/>
                <w:lang w:val="es-ES_tradnl"/>
              </w:rPr>
              <w:t>Ley 1537 de 2012</w:t>
            </w:r>
            <w:r w:rsidRPr="00E878D3">
              <w:rPr>
                <w:rFonts w:ascii="Verdana" w:eastAsia="Times New Roman" w:hAnsi="Verdana" w:cs="Arial"/>
                <w:lang w:val="es-ES" w:eastAsia="es-ES"/>
              </w:rPr>
              <w:t xml:space="preserve"> y que gestionan recursos públicos, les es aplicable o no los pliegos tipo adoptados por la Agencia Nacional de Contratación Pública – Colombia Compra Eficiente para los objetos contractuales que sean cobijados por aquellos, particularmente, considerando lo señalado en el artículo 3 de la Resolución 953 del 15 de diciembre de 2025 que indica que </w:t>
            </w:r>
            <w:r w:rsidRPr="00E878D3">
              <w:rPr>
                <w:rFonts w:ascii="Verdana" w:eastAsia="Times New Roman" w:hAnsi="Verdana" w:cs="Arial"/>
                <w:i/>
                <w:iCs/>
                <w:lang w:val="es-ES" w:eastAsia="es-ES"/>
              </w:rPr>
              <w:t>“(…) los documentos tipo son obligatorios en la actividad contractual de las Entidades Estatales sometidas al Estatuto General de Contratación de la Administración Pública, patrimonios autónomos o personas naturales o jurídicas de derecho público o privado que por mandato legal estén obligadas a su aplicación”.</w:t>
            </w:r>
          </w:p>
          <w:p w14:paraId="2730EDBC" w14:textId="77777777" w:rsidR="00E878D3" w:rsidRPr="00E878D3" w:rsidRDefault="00E878D3" w:rsidP="00E878D3">
            <w:pPr>
              <w:tabs>
                <w:tab w:val="left" w:pos="0"/>
              </w:tabs>
              <w:spacing w:after="120" w:line="276" w:lineRule="auto"/>
              <w:jc w:val="both"/>
              <w:rPr>
                <w:rFonts w:ascii="Verdana" w:eastAsia="Times New Roman" w:hAnsi="Verdana" w:cs="Arial"/>
                <w:lang w:val="es-ES" w:eastAsia="es-ES"/>
              </w:rPr>
            </w:pPr>
            <w:r w:rsidRPr="00E878D3">
              <w:rPr>
                <w:rFonts w:ascii="Verdana" w:eastAsia="Times New Roman" w:hAnsi="Verdana" w:cs="Arial"/>
                <w:i/>
                <w:iCs/>
                <w:lang w:val="es-ES" w:eastAsia="es-ES"/>
              </w:rPr>
              <w:tab/>
            </w:r>
            <w:r w:rsidRPr="00E878D3">
              <w:rPr>
                <w:rFonts w:ascii="Verdana" w:eastAsia="Times New Roman" w:hAnsi="Verdana" w:cs="Arial"/>
                <w:lang w:val="es-ES" w:eastAsia="es-ES"/>
              </w:rPr>
              <w:t>En efecto, el artículo 3 de la Resolución 953 de 2025 reconoce que los documentos tipo pueden resultar obligatorios no solo para las entidades sometidas al Estatuto General de Contratación de la Administración Pública – EGCAP, sino también para patrimonios autónomos y demás sujetos de derecho público y privado, siempre que exista un mandato legal que imponga dicha obligación. Es así como, la expresión “(…) que por mandato legal estén obligados a su aplicación (…)” se relaciona directamente con el contenido del artículo 56 de la Ley 2195 de 2022, que como se señaló, amplió el ámbito de aplicación de los documentos tipo y del EGCAP a determinados supuesto que allí se establecen.</w:t>
            </w:r>
          </w:p>
          <w:p w14:paraId="1B1D1267" w14:textId="77777777" w:rsidR="00E878D3" w:rsidRPr="00E878D3" w:rsidRDefault="00E878D3" w:rsidP="00E878D3">
            <w:pPr>
              <w:tabs>
                <w:tab w:val="left" w:pos="0"/>
              </w:tabs>
              <w:spacing w:after="120" w:line="276" w:lineRule="auto"/>
              <w:jc w:val="both"/>
              <w:rPr>
                <w:rFonts w:ascii="Verdana" w:eastAsia="Times New Roman" w:hAnsi="Verdana" w:cs="Arial"/>
                <w:lang w:val="es-ES" w:eastAsia="es-ES"/>
              </w:rPr>
            </w:pPr>
            <w:r w:rsidRPr="00E878D3">
              <w:rPr>
                <w:rFonts w:ascii="Verdana" w:eastAsia="Times New Roman" w:hAnsi="Verdana" w:cs="Arial"/>
                <w:lang w:val="es-ES" w:eastAsia="es-ES"/>
              </w:rPr>
              <w:tab/>
              <w:t>Así las cosas, de conformidad con el inciso primero del artículo 56 de la Ley 2195 de 2022, cuando una entidad sometida al EGCAP celebre un contrato o convenio interadministrativo o de cualquier índole con un patrimonio autónomo, tendrá que aplicar los documentos tipo, siempre que el objeto contractual corresponda a bienes, obras o servicios cobijados por estos.</w:t>
            </w:r>
          </w:p>
          <w:p w14:paraId="4557A95F" w14:textId="42D5573E" w:rsidR="00E878D3" w:rsidRPr="00E878D3" w:rsidRDefault="00E878D3" w:rsidP="00E878D3">
            <w:pPr>
              <w:tabs>
                <w:tab w:val="left" w:pos="0"/>
              </w:tabs>
              <w:spacing w:after="120" w:line="276" w:lineRule="auto"/>
              <w:jc w:val="both"/>
              <w:rPr>
                <w:rFonts w:ascii="Verdana" w:eastAsia="Times New Roman" w:hAnsi="Verdana" w:cs="Arial"/>
                <w:lang w:val="es-ES" w:eastAsia="es-ES"/>
              </w:rPr>
            </w:pPr>
            <w:r w:rsidRPr="00E878D3">
              <w:rPr>
                <w:rFonts w:ascii="Verdana" w:eastAsia="Times New Roman" w:hAnsi="Verdana" w:cs="Arial"/>
                <w:lang w:val="es-ES" w:eastAsia="es-ES"/>
              </w:rPr>
              <w:tab/>
              <w:t>Ahora bien, la aplicación de los documentos tipo en el supuesto señalado no se agota en este punto, considerando que, según se desprende del segundo inciso del artículo 56 de la Ley 2195 de 2022, “</w:t>
            </w:r>
            <w:r w:rsidRPr="00E878D3">
              <w:rPr>
                <w:rFonts w:ascii="Verdana" w:eastAsia="Calibri" w:hAnsi="Verdana" w:cs="Arial"/>
                <w:lang w:val="es-ES" w:eastAsia="es-ES"/>
              </w:rPr>
              <w:t xml:space="preserve">los procedimientos de selección y contratos que realicen en desarrollo de los anteriores negocios jurídicos”, a los que se refiere el primer inciso, en los que, además de la aplicación de los documentos tipo, se dispone la aplicación del </w:t>
            </w:r>
            <w:r w:rsidR="00D27534">
              <w:rPr>
                <w:rFonts w:ascii="Verdana" w:eastAsia="Calibri" w:hAnsi="Verdana" w:cs="Arial"/>
                <w:lang w:val="es-ES" w:eastAsia="es-ES"/>
              </w:rPr>
              <w:t>E</w:t>
            </w:r>
            <w:r w:rsidRPr="00E878D3">
              <w:rPr>
                <w:rFonts w:ascii="Verdana" w:eastAsia="Calibri" w:hAnsi="Verdana" w:cs="Arial"/>
                <w:lang w:val="es-ES" w:eastAsia="es-ES"/>
              </w:rPr>
              <w:t xml:space="preserve">statuto </w:t>
            </w:r>
            <w:r w:rsidR="00D27534">
              <w:rPr>
                <w:rFonts w:ascii="Verdana" w:eastAsia="Calibri" w:hAnsi="Verdana" w:cs="Arial"/>
                <w:lang w:val="es-ES" w:eastAsia="es-ES"/>
              </w:rPr>
              <w:t>G</w:t>
            </w:r>
            <w:r w:rsidRPr="00E878D3">
              <w:rPr>
                <w:rFonts w:ascii="Verdana" w:eastAsia="Calibri" w:hAnsi="Verdana" w:cs="Arial"/>
                <w:lang w:val="es-ES" w:eastAsia="es-ES"/>
              </w:rPr>
              <w:t xml:space="preserve">eneral de </w:t>
            </w:r>
            <w:r w:rsidR="00D27534">
              <w:rPr>
                <w:rFonts w:ascii="Verdana" w:eastAsia="Calibri" w:hAnsi="Verdana" w:cs="Arial"/>
                <w:lang w:val="es-ES" w:eastAsia="es-ES"/>
              </w:rPr>
              <w:t>C</w:t>
            </w:r>
            <w:r w:rsidRPr="00E878D3">
              <w:rPr>
                <w:rFonts w:ascii="Verdana" w:eastAsia="Calibri" w:hAnsi="Verdana" w:cs="Arial"/>
                <w:lang w:val="es-ES" w:eastAsia="es-ES"/>
              </w:rPr>
              <w:t xml:space="preserve">ontratación de la </w:t>
            </w:r>
            <w:r w:rsidR="00D27534">
              <w:rPr>
                <w:rFonts w:ascii="Verdana" w:eastAsia="Calibri" w:hAnsi="Verdana" w:cs="Arial"/>
                <w:lang w:val="es-ES" w:eastAsia="es-ES"/>
              </w:rPr>
              <w:t>A</w:t>
            </w:r>
            <w:r w:rsidRPr="00E878D3">
              <w:rPr>
                <w:rFonts w:ascii="Verdana" w:eastAsia="Calibri" w:hAnsi="Verdana" w:cs="Arial"/>
                <w:lang w:val="es-ES" w:eastAsia="es-ES"/>
              </w:rPr>
              <w:t xml:space="preserve">dministración </w:t>
            </w:r>
            <w:r w:rsidR="00D27534">
              <w:rPr>
                <w:rFonts w:ascii="Verdana" w:eastAsia="Calibri" w:hAnsi="Verdana" w:cs="Arial"/>
                <w:lang w:val="es-ES" w:eastAsia="es-ES"/>
              </w:rPr>
              <w:t>P</w:t>
            </w:r>
            <w:r w:rsidRPr="00E878D3">
              <w:rPr>
                <w:rFonts w:ascii="Verdana" w:eastAsia="Calibri" w:hAnsi="Verdana" w:cs="Arial"/>
                <w:lang w:val="es-ES" w:eastAsia="es-ES"/>
              </w:rPr>
              <w:t xml:space="preserve">ública – EGCAP. </w:t>
            </w:r>
          </w:p>
          <w:p w14:paraId="4F0984F1" w14:textId="43965A33" w:rsidR="00E878D3" w:rsidRPr="00E878D3" w:rsidRDefault="00E878D3" w:rsidP="00E878D3">
            <w:pPr>
              <w:tabs>
                <w:tab w:val="left" w:pos="0"/>
              </w:tabs>
              <w:spacing w:after="120" w:line="276" w:lineRule="auto"/>
              <w:jc w:val="both"/>
              <w:rPr>
                <w:rFonts w:ascii="Verdana" w:eastAsia="Times New Roman" w:hAnsi="Verdana" w:cs="Arial"/>
                <w:lang w:val="es-ES" w:eastAsia="es-ES"/>
              </w:rPr>
            </w:pPr>
            <w:r w:rsidRPr="00E878D3">
              <w:rPr>
                <w:rFonts w:ascii="Verdana" w:eastAsia="Times New Roman" w:hAnsi="Verdana" w:cs="Arial"/>
                <w:lang w:val="es-ES" w:eastAsia="es-ES"/>
              </w:rPr>
              <w:tab/>
              <w:t xml:space="preserve">Esto significa que, el patrimonio autónomo en virtud de lo dispuesto en los incisos primero y segundo del artículo 56, si debe contratar bienes, obras o servicios en cumplimiento de un contrato o convenio interadministrativo o </w:t>
            </w:r>
            <w:r w:rsidRPr="00E878D3">
              <w:rPr>
                <w:rFonts w:ascii="Verdana" w:eastAsia="Times New Roman" w:hAnsi="Verdana" w:cs="Arial"/>
                <w:lang w:val="es-ES" w:eastAsia="es-ES"/>
              </w:rPr>
              <w:lastRenderedPageBreak/>
              <w:t>de cualquier otra índole celebrado con una entidad estatal sometida a la Ley 80 de 1993, deberán adelantar el correspondiente procedimiento de selección y celebrar el respectivo contrato aplicando los documentos tipo –siempre que existan en el sector– y las disposiciones del EGCAP.</w:t>
            </w:r>
          </w:p>
          <w:p w14:paraId="3B3DECD0" w14:textId="77777777" w:rsidR="00E878D3" w:rsidRPr="00E878D3" w:rsidRDefault="00E878D3" w:rsidP="00E878D3">
            <w:pPr>
              <w:tabs>
                <w:tab w:val="left" w:pos="0"/>
              </w:tabs>
              <w:spacing w:after="120" w:line="276" w:lineRule="auto"/>
              <w:jc w:val="both"/>
              <w:rPr>
                <w:rFonts w:ascii="Verdana" w:eastAsia="Times New Roman" w:hAnsi="Verdana" w:cs="Arial"/>
                <w:lang w:val="es-ES" w:eastAsia="es-ES"/>
              </w:rPr>
            </w:pPr>
            <w:r w:rsidRPr="00E878D3">
              <w:rPr>
                <w:rFonts w:ascii="Verdana" w:eastAsia="Times New Roman" w:hAnsi="Verdana" w:cs="Arial"/>
                <w:lang w:val="es-ES" w:eastAsia="es-ES"/>
              </w:rPr>
              <w:tab/>
              <w:t>En principio, lo dispuesto en los párrafos precedentes puede resultar contradictorio considerando que, los patrimonios autónomos constituidos en desarrollo del artículo 36 de la Ley 388 de 1997 y del artículo 2 de la Ley 1537 de 2012 cuentan con una habilitación legal expresa para desarrollar actividades contractuales bajo las reglas del derecho privado, particularmente tratándose de proyectos de vivienda de interés social y vivienda de interés prioritario. En efecto, dichas disposiciones autorizan la constitución de patrimonios autónomos mediante contratos de fiducia mercantil y establecen expresamente que la selección del fiduciario, así como la celebración y ejecución de los contratos derivados de tales patrimonios, se regirán por normas de derecho privado.</w:t>
            </w:r>
          </w:p>
          <w:p w14:paraId="51B2CA8B" w14:textId="77777777" w:rsidR="00E878D3" w:rsidRPr="00E878D3" w:rsidRDefault="00E878D3" w:rsidP="00E878D3">
            <w:pPr>
              <w:tabs>
                <w:tab w:val="left" w:pos="0"/>
              </w:tabs>
              <w:spacing w:after="120" w:line="276" w:lineRule="auto"/>
              <w:jc w:val="both"/>
              <w:rPr>
                <w:rFonts w:ascii="Verdana" w:eastAsia="Times New Roman" w:hAnsi="Verdana" w:cs="Arial"/>
                <w:lang w:val="es-ES" w:eastAsia="es-ES"/>
              </w:rPr>
            </w:pPr>
            <w:r w:rsidRPr="00E878D3">
              <w:rPr>
                <w:rFonts w:ascii="Verdana" w:eastAsia="Times New Roman" w:hAnsi="Verdana" w:cs="Arial"/>
                <w:lang w:val="es-ES" w:eastAsia="es-ES"/>
              </w:rPr>
              <w:tab/>
              <w:t xml:space="preserve">No obstante, esta circunstancia no implica una incompatibilidad normativa entre el régimen previsto en el artículo 36 de la Ley 388 de 1997, el artículo 6 de la Ley 1537 de 2012 y lo dispuesto en el artículo 56 de la Ley 2195 de 2022. Esto, considerando que, aunque las dos primeras disposiciones establecen, como regla general, que la actividad contractual adelantada por estos patrimonios autónomos se rige por normas de derecho privado, el artículo 56 introdujo una regla especial y posterior orientada a evitar que las entidades estatales sometidas al estatuto general de contratación de la administración pública – EGACP eludan la aplicación de los documentos tipo y de las disposiciones del estatuto general de contratación mediante la celebración de contratos o convenios interadministrativos o de cualquier otra índole con sujetos exceptuados de este o con patrimonios autónomos. </w:t>
            </w:r>
          </w:p>
          <w:p w14:paraId="53110E50" w14:textId="7A0F2905" w:rsidR="00E878D3" w:rsidRPr="00E878D3" w:rsidRDefault="00E878D3" w:rsidP="00E878D3">
            <w:pPr>
              <w:tabs>
                <w:tab w:val="left" w:pos="0"/>
              </w:tabs>
              <w:spacing w:after="120" w:line="276" w:lineRule="auto"/>
              <w:jc w:val="both"/>
              <w:rPr>
                <w:rFonts w:ascii="Verdana" w:eastAsia="Times New Roman" w:hAnsi="Verdana" w:cs="Arial"/>
                <w:color w:val="000000"/>
                <w:lang w:val="es-ES" w:eastAsia="es-ES"/>
              </w:rPr>
            </w:pPr>
            <w:r w:rsidRPr="00E878D3">
              <w:rPr>
                <w:rFonts w:ascii="Verdana" w:eastAsia="Times New Roman" w:hAnsi="Verdana" w:cs="Arial"/>
                <w:lang w:val="es-ES" w:eastAsia="es-ES"/>
              </w:rPr>
              <w:tab/>
            </w:r>
            <w:r w:rsidRPr="00E878D3">
              <w:rPr>
                <w:rFonts w:ascii="Verdana" w:eastAsia="Times New Roman" w:hAnsi="Verdana" w:cs="Arial"/>
                <w:color w:val="000000"/>
                <w:lang w:val="es-ES" w:eastAsia="es-ES"/>
              </w:rPr>
              <w:t xml:space="preserve">Adicionalmente, para efectos de su solicitud debe indicarse que, cuando el inciso cuarto del artículo 6 de la Ley 1537 de 2012 establece que </w:t>
            </w:r>
            <w:r w:rsidRPr="00E878D3">
              <w:rPr>
                <w:rFonts w:ascii="Verdana" w:eastAsia="Times New Roman" w:hAnsi="Verdana" w:cs="Arial"/>
                <w:i/>
                <w:iCs/>
                <w:color w:val="000000"/>
                <w:lang w:val="es-ES" w:eastAsia="es-ES"/>
              </w:rPr>
              <w:t>“</w:t>
            </w:r>
            <w:r w:rsidRPr="00E878D3">
              <w:rPr>
                <w:rFonts w:ascii="Verdana" w:eastAsia="Aptos" w:hAnsi="Verdana" w:cs="Arial"/>
                <w:i/>
                <w:iCs/>
                <w:color w:val="000000"/>
                <w:shd w:val="clear" w:color="auto" w:fill="FFFFFF"/>
              </w:rPr>
              <w:t xml:space="preserve">Los patrimonios autónomos cuya constitución se autoriza en la presente ley podrán a su vez contratar fiducias mercantiles para la administración de los recursos aplicables a los proyectos de construcción de Vivienda de Interés Social </w:t>
            </w:r>
            <w:r w:rsidRPr="00E878D3">
              <w:rPr>
                <w:rFonts w:ascii="Verdana" w:eastAsia="Aptos" w:hAnsi="Verdana" w:cs="Arial"/>
                <w:i/>
                <w:iCs/>
                <w:color w:val="000000"/>
                <w:shd w:val="clear" w:color="auto" w:fill="FFFFFF"/>
              </w:rPr>
              <w:lastRenderedPageBreak/>
              <w:t>prioritario, a las cuales podrán aportar activos fideicomitidos”</w:t>
            </w:r>
            <w:r w:rsidRPr="00E878D3">
              <w:rPr>
                <w:rFonts w:ascii="Verdana" w:eastAsia="Aptos" w:hAnsi="Verdana" w:cs="Arial"/>
                <w:i/>
                <w:iCs/>
                <w:color w:val="000000"/>
                <w:shd w:val="clear" w:color="auto" w:fill="FFFFFF"/>
                <w:vertAlign w:val="superscript"/>
              </w:rPr>
              <w:footnoteReference w:id="2"/>
            </w:r>
            <w:r w:rsidRPr="00E878D3">
              <w:rPr>
                <w:rFonts w:ascii="Verdana" w:eastAsia="Aptos" w:hAnsi="Verdana" w:cs="Arial"/>
                <w:i/>
                <w:iCs/>
                <w:color w:val="000000"/>
                <w:shd w:val="clear" w:color="auto" w:fill="FFFFFF"/>
              </w:rPr>
              <w:t xml:space="preserve">. </w:t>
            </w:r>
            <w:r w:rsidRPr="00E878D3">
              <w:rPr>
                <w:rFonts w:ascii="Verdana" w:eastAsia="Aptos" w:hAnsi="Verdana" w:cs="Arial"/>
                <w:color w:val="000000"/>
                <w:shd w:val="clear" w:color="auto" w:fill="FFFFFF"/>
              </w:rPr>
              <w:t xml:space="preserve">En el criterio de esta Subdirección, para efectos de determinar la aplicación de los documentos tipo expedidos por esta Entidad a aquellos patrimonios autónomos que se constituyan con ocasión de los contratos de fiducia mercantil celebrados por un patrimonio autónomo previamente constituido, este puede ser el evento establecido en el inciso segundo del artículo 56 de la Ley 2195 de 2022, es decir que, se trata de una contratación mediante el contrato de fiducia mercantil para constituir un patrimonio autónomo para la administración de los recursos aplicables al proyecto, por lo que en principio tendría que aplicar los documentos tipo y el EGCAP para este contrato. No obstante, este criterio debe analizarse considerando al menos las siguientes dos variables: i) si se trata de una fiducia mercantil para la administración de los recursos o </w:t>
            </w:r>
            <w:proofErr w:type="spellStart"/>
            <w:r w:rsidRPr="00E878D3">
              <w:rPr>
                <w:rFonts w:ascii="Verdana" w:eastAsia="Aptos" w:hAnsi="Verdana" w:cs="Arial"/>
                <w:color w:val="000000"/>
                <w:shd w:val="clear" w:color="auto" w:fill="FFFFFF"/>
              </w:rPr>
              <w:t>ii</w:t>
            </w:r>
            <w:proofErr w:type="spellEnd"/>
            <w:r w:rsidRPr="00E878D3">
              <w:rPr>
                <w:rFonts w:ascii="Verdana" w:eastAsia="Aptos" w:hAnsi="Verdana" w:cs="Arial"/>
                <w:color w:val="000000"/>
                <w:shd w:val="clear" w:color="auto" w:fill="FFFFFF"/>
              </w:rPr>
              <w:t xml:space="preserve">) si se trata de la constitución de un patrimonio autónomo para adelantar procesos de </w:t>
            </w:r>
            <w:r w:rsidRPr="00E878D3">
              <w:rPr>
                <w:rFonts w:ascii="Verdana" w:eastAsia="Times New Roman" w:hAnsi="Verdana" w:cs="Arial"/>
                <w:color w:val="000000"/>
                <w:lang w:val="es-ES" w:eastAsia="es-ES"/>
              </w:rPr>
              <w:t xml:space="preserve">convocatoria y selección de los constructores. </w:t>
            </w:r>
          </w:p>
          <w:p w14:paraId="505EE868" w14:textId="77777777" w:rsidR="00E878D3" w:rsidRPr="00E878D3" w:rsidRDefault="00E878D3" w:rsidP="00E878D3">
            <w:pPr>
              <w:tabs>
                <w:tab w:val="left" w:pos="0"/>
              </w:tabs>
              <w:spacing w:line="276" w:lineRule="auto"/>
              <w:jc w:val="both"/>
              <w:rPr>
                <w:rFonts w:ascii="Verdana" w:eastAsia="Times New Roman" w:hAnsi="Verdana" w:cs="Arial"/>
                <w:color w:val="000000"/>
                <w:lang w:val="es-ES" w:eastAsia="es-ES"/>
              </w:rPr>
            </w:pPr>
            <w:r w:rsidRPr="00E878D3">
              <w:rPr>
                <w:rFonts w:ascii="Verdana" w:eastAsia="Times New Roman" w:hAnsi="Verdana" w:cs="Arial"/>
                <w:color w:val="000000"/>
                <w:lang w:val="es-ES" w:eastAsia="es-ES"/>
              </w:rPr>
              <w:tab/>
              <w:t>De acuerdo con el inciso señalado, los patrimonios autónomos autorizados por la Ley 1537 de 2012 podrán celebrar contratos de fiducia mercantil para la administración de recursos destinados a proyectos de vivienda de interés social prioritario, aportando a ellos activos fideicomitidos. Así las cosas, la norma pareciera indicar que se trata de fiducias de administración, las cuales consisten:</w:t>
            </w:r>
          </w:p>
          <w:p w14:paraId="6406B359" w14:textId="77777777" w:rsidR="00E878D3" w:rsidRPr="00E878D3" w:rsidRDefault="00E878D3" w:rsidP="00E878D3">
            <w:pPr>
              <w:tabs>
                <w:tab w:val="left" w:pos="0"/>
              </w:tabs>
              <w:spacing w:line="276" w:lineRule="auto"/>
              <w:ind w:left="709" w:right="709"/>
              <w:jc w:val="both"/>
              <w:rPr>
                <w:rFonts w:ascii="Verdana" w:eastAsia="Times New Roman" w:hAnsi="Verdana" w:cs="Arial"/>
                <w:color w:val="000000"/>
                <w:lang w:val="es-ES" w:eastAsia="es-ES"/>
              </w:rPr>
            </w:pPr>
          </w:p>
          <w:p w14:paraId="701B47CD" w14:textId="77777777" w:rsidR="00E878D3" w:rsidRPr="00E878D3" w:rsidRDefault="00E878D3" w:rsidP="00E878D3">
            <w:pPr>
              <w:tabs>
                <w:tab w:val="left" w:pos="0"/>
              </w:tabs>
              <w:ind w:left="709" w:right="709"/>
              <w:jc w:val="both"/>
              <w:rPr>
                <w:rFonts w:ascii="Verdana" w:eastAsia="Times New Roman" w:hAnsi="Verdana" w:cs="Arial"/>
                <w:color w:val="000000"/>
                <w:sz w:val="21"/>
                <w:szCs w:val="21"/>
                <w:lang w:val="es-ES" w:eastAsia="es-ES"/>
              </w:rPr>
            </w:pPr>
            <w:r w:rsidRPr="00E878D3">
              <w:rPr>
                <w:rFonts w:ascii="Verdana" w:eastAsia="Times New Roman" w:hAnsi="Verdana" w:cs="Arial"/>
                <w:color w:val="000000"/>
                <w:sz w:val="21"/>
                <w:szCs w:val="21"/>
                <w:lang w:val="es-ES" w:eastAsia="es-ES"/>
              </w:rPr>
              <w:t xml:space="preserve"> “(..) en la transferencia de unos bienes para que una entidad fiduciaria los administre en beneficio del constituyente o del fideicomisario”, las cuales “(…)</w:t>
            </w:r>
            <w:r w:rsidRPr="00E878D3">
              <w:rPr>
                <w:rFonts w:ascii="Verdana" w:eastAsia="Aptos" w:hAnsi="Verdana" w:cs="Times New Roman"/>
                <w:sz w:val="21"/>
                <w:szCs w:val="21"/>
              </w:rPr>
              <w:t xml:space="preserve"> conforman un patrimonio autónomo separado del activo del fiduciario y sólo garantizan las obligaciones adquiridas en cumplimiento de la finalidad perseguida”</w:t>
            </w:r>
            <w:r w:rsidRPr="00E878D3">
              <w:rPr>
                <w:rFonts w:ascii="Verdana" w:eastAsia="Aptos" w:hAnsi="Verdana" w:cs="Times New Roman"/>
                <w:sz w:val="21"/>
                <w:szCs w:val="21"/>
                <w:vertAlign w:val="superscript"/>
              </w:rPr>
              <w:footnoteReference w:id="3"/>
            </w:r>
            <w:r w:rsidRPr="00E878D3">
              <w:rPr>
                <w:rFonts w:ascii="Verdana" w:eastAsia="Aptos" w:hAnsi="Verdana" w:cs="Times New Roman"/>
                <w:sz w:val="21"/>
                <w:szCs w:val="21"/>
              </w:rPr>
              <w:t xml:space="preserve">. </w:t>
            </w:r>
          </w:p>
          <w:p w14:paraId="619E87F2" w14:textId="77777777" w:rsidR="00E878D3" w:rsidRPr="00E878D3" w:rsidRDefault="00E878D3" w:rsidP="00E878D3">
            <w:pPr>
              <w:tabs>
                <w:tab w:val="left" w:pos="0"/>
              </w:tabs>
              <w:jc w:val="both"/>
              <w:rPr>
                <w:rFonts w:ascii="Arial" w:eastAsia="Aptos" w:hAnsi="Arial" w:cs="Arial"/>
                <w:color w:val="333333"/>
                <w:sz w:val="25"/>
                <w:szCs w:val="25"/>
                <w:shd w:val="clear" w:color="auto" w:fill="FFFFFF"/>
              </w:rPr>
            </w:pPr>
          </w:p>
          <w:p w14:paraId="19D22E27" w14:textId="77777777" w:rsidR="00E878D3" w:rsidRPr="00E878D3" w:rsidRDefault="00E878D3" w:rsidP="00E878D3">
            <w:pPr>
              <w:tabs>
                <w:tab w:val="left" w:pos="0"/>
              </w:tabs>
              <w:spacing w:after="120" w:line="276" w:lineRule="auto"/>
              <w:jc w:val="both"/>
              <w:rPr>
                <w:rFonts w:ascii="Verdana" w:eastAsia="Times New Roman" w:hAnsi="Verdana" w:cs="Arial"/>
                <w:color w:val="000000"/>
                <w:lang w:val="es-ES" w:eastAsia="es-ES"/>
              </w:rPr>
            </w:pPr>
            <w:r w:rsidRPr="00E878D3">
              <w:rPr>
                <w:rFonts w:ascii="Verdana" w:eastAsia="Times New Roman" w:hAnsi="Verdana" w:cs="Arial"/>
                <w:color w:val="000000"/>
                <w:lang w:val="es-ES" w:eastAsia="es-ES"/>
              </w:rPr>
              <w:tab/>
              <w:t xml:space="preserve">De acuerdo con lo anterior, el negocio jurídico al que se refiere el inciso citado correspondería a una fiducia de administración, en la medida que implica la transferencia de bienes o recursos a una sociedad fiduciaria para que esta los administre conforme a una finalidad específica relacionada con la </w:t>
            </w:r>
            <w:r w:rsidRPr="00E878D3">
              <w:rPr>
                <w:rFonts w:ascii="Verdana" w:eastAsia="Times New Roman" w:hAnsi="Verdana" w:cs="Arial"/>
                <w:color w:val="000000"/>
                <w:lang w:val="es-ES" w:eastAsia="es-ES"/>
              </w:rPr>
              <w:lastRenderedPageBreak/>
              <w:t xml:space="preserve">ejecución de proyectos de vivienda de interés social prioritario, conformándose para ello un patrimonio autónomo separado del activo propio de la fiducia. </w:t>
            </w:r>
          </w:p>
          <w:p w14:paraId="2F413C7A" w14:textId="77777777" w:rsidR="00E878D3" w:rsidRPr="00E878D3" w:rsidRDefault="00E878D3" w:rsidP="00E878D3">
            <w:pPr>
              <w:tabs>
                <w:tab w:val="left" w:pos="0"/>
              </w:tabs>
              <w:spacing w:line="276" w:lineRule="auto"/>
              <w:jc w:val="both"/>
              <w:rPr>
                <w:rFonts w:ascii="Verdana" w:eastAsia="Times New Roman" w:hAnsi="Verdana" w:cs="Arial"/>
                <w:color w:val="000000"/>
                <w:lang w:val="es-ES" w:eastAsia="es-ES"/>
              </w:rPr>
            </w:pPr>
            <w:r w:rsidRPr="00E878D3">
              <w:rPr>
                <w:rFonts w:ascii="Verdana" w:eastAsia="Times New Roman" w:hAnsi="Verdana" w:cs="Arial"/>
                <w:color w:val="000000"/>
                <w:lang w:val="es-ES" w:eastAsia="es-ES"/>
              </w:rPr>
              <w:tab/>
              <w:t>No obstante, lo señalado en el párrafo anterior pareciera complementarse con lo señalado en el inciso cinco de la norma en comento en la que se indica que:</w:t>
            </w:r>
          </w:p>
          <w:p w14:paraId="74B9D189" w14:textId="77777777" w:rsidR="00E878D3" w:rsidRPr="00E878D3" w:rsidRDefault="00E878D3" w:rsidP="00E878D3">
            <w:pPr>
              <w:tabs>
                <w:tab w:val="left" w:pos="0"/>
              </w:tabs>
              <w:ind w:left="709" w:right="709"/>
              <w:jc w:val="both"/>
              <w:rPr>
                <w:rFonts w:ascii="Verdana" w:eastAsia="Times New Roman" w:hAnsi="Verdana" w:cs="Arial"/>
                <w:color w:val="000000"/>
                <w:sz w:val="21"/>
                <w:szCs w:val="21"/>
                <w:lang w:val="es-ES" w:eastAsia="es-ES"/>
              </w:rPr>
            </w:pPr>
          </w:p>
          <w:p w14:paraId="17A85DF9" w14:textId="77777777" w:rsidR="00E878D3" w:rsidRPr="00E878D3" w:rsidRDefault="00E878D3" w:rsidP="00E878D3">
            <w:pPr>
              <w:tabs>
                <w:tab w:val="left" w:pos="0"/>
              </w:tabs>
              <w:ind w:left="709" w:right="709"/>
              <w:jc w:val="both"/>
              <w:rPr>
                <w:rFonts w:ascii="Verdana" w:eastAsia="Times New Roman" w:hAnsi="Verdana" w:cs="Arial"/>
                <w:color w:val="000000"/>
                <w:sz w:val="21"/>
                <w:szCs w:val="21"/>
                <w:lang w:val="es-ES" w:eastAsia="es-ES"/>
              </w:rPr>
            </w:pPr>
            <w:r w:rsidRPr="00E878D3">
              <w:rPr>
                <w:rFonts w:ascii="Verdana" w:eastAsia="Times New Roman" w:hAnsi="Verdana" w:cs="Arial"/>
                <w:color w:val="000000"/>
                <w:sz w:val="21"/>
                <w:szCs w:val="21"/>
                <w:lang w:val="es-ES" w:eastAsia="es-ES"/>
              </w:rPr>
              <w:t>“Los patrimonios autónomos que se constituyan, de acuerdo con el presente artículo, podrán adelantar procesos de convocatoria y selección de los constructores interesados en desarrollar los proyectos de vivienda y/o para la adquisición de proyectos de Vivienda de Interés Prioritario. Tales procesos se rigen por el derecho privado”</w:t>
            </w:r>
            <w:r w:rsidRPr="00E878D3">
              <w:rPr>
                <w:rFonts w:ascii="Verdana" w:eastAsia="Times New Roman" w:hAnsi="Verdana" w:cs="Arial"/>
                <w:color w:val="000000"/>
                <w:sz w:val="21"/>
                <w:szCs w:val="21"/>
                <w:vertAlign w:val="superscript"/>
                <w:lang w:val="es-ES" w:eastAsia="es-ES"/>
              </w:rPr>
              <w:footnoteReference w:id="4"/>
            </w:r>
            <w:r w:rsidRPr="00E878D3">
              <w:rPr>
                <w:rFonts w:ascii="Verdana" w:eastAsia="Times New Roman" w:hAnsi="Verdana" w:cs="Arial"/>
                <w:color w:val="000000"/>
                <w:sz w:val="21"/>
                <w:szCs w:val="21"/>
                <w:lang w:val="es-ES" w:eastAsia="es-ES"/>
              </w:rPr>
              <w:t>.</w:t>
            </w:r>
          </w:p>
          <w:p w14:paraId="3129CDD5" w14:textId="77777777" w:rsidR="00E878D3" w:rsidRPr="00E878D3" w:rsidRDefault="00E878D3" w:rsidP="00E878D3">
            <w:pPr>
              <w:tabs>
                <w:tab w:val="left" w:pos="0"/>
              </w:tabs>
              <w:spacing w:line="276" w:lineRule="auto"/>
              <w:jc w:val="both"/>
              <w:rPr>
                <w:rFonts w:ascii="Verdana" w:eastAsia="Calibri" w:hAnsi="Verdana" w:cs="Arial"/>
                <w:lang w:val="es-ES" w:eastAsia="es-ES"/>
              </w:rPr>
            </w:pPr>
          </w:p>
          <w:p w14:paraId="2BCA3CF2" w14:textId="77777777" w:rsidR="00E878D3" w:rsidRPr="00E878D3" w:rsidRDefault="00E878D3" w:rsidP="00E878D3">
            <w:pPr>
              <w:tabs>
                <w:tab w:val="left" w:pos="0"/>
              </w:tabs>
              <w:spacing w:after="120" w:line="276" w:lineRule="auto"/>
              <w:jc w:val="both"/>
              <w:rPr>
                <w:rFonts w:ascii="Verdana" w:eastAsia="Calibri" w:hAnsi="Verdana" w:cs="Arial"/>
                <w:i/>
                <w:iCs/>
                <w:color w:val="000000"/>
                <w:lang w:val="es-ES" w:eastAsia="es-ES"/>
              </w:rPr>
            </w:pPr>
            <w:r w:rsidRPr="00E878D3">
              <w:rPr>
                <w:rFonts w:ascii="Verdana" w:eastAsia="Calibri" w:hAnsi="Verdana" w:cs="Arial"/>
                <w:lang w:val="es-ES" w:eastAsia="es-ES"/>
              </w:rPr>
              <w:tab/>
            </w:r>
            <w:r w:rsidRPr="00E878D3">
              <w:rPr>
                <w:rFonts w:ascii="Verdana" w:eastAsia="Times New Roman" w:hAnsi="Verdana" w:cs="Arial"/>
                <w:color w:val="000000"/>
                <w:lang w:val="es-ES" w:eastAsia="es-ES"/>
              </w:rPr>
              <w:t>Cuando la norma dispone que</w:t>
            </w:r>
            <w:r w:rsidRPr="00E878D3">
              <w:rPr>
                <w:rFonts w:ascii="Verdana" w:eastAsia="Calibri" w:hAnsi="Verdana" w:cs="Arial"/>
                <w:color w:val="000000"/>
                <w:lang w:val="es-ES" w:eastAsia="es-ES"/>
              </w:rPr>
              <w:t xml:space="preserve"> los patrimonios autónomos que se </w:t>
            </w:r>
            <w:r w:rsidRPr="00E878D3">
              <w:rPr>
                <w:rFonts w:ascii="Verdana" w:eastAsia="Times New Roman" w:hAnsi="Verdana" w:cs="Arial"/>
                <w:color w:val="000000"/>
                <w:lang w:val="es-ES" w:eastAsia="es-ES"/>
              </w:rPr>
              <w:t xml:space="preserve">constituyan de acuerdo con el artículo 6 de la Ley 1537 de 2012, también cobija a los que se constituyan de conformidad con el inciso cuarto de esa disposición, es decir, aquellas </w:t>
            </w:r>
            <w:r w:rsidRPr="00E878D3">
              <w:rPr>
                <w:rFonts w:ascii="Verdana" w:eastAsia="Times New Roman" w:hAnsi="Verdana" w:cs="Arial"/>
                <w:i/>
                <w:iCs/>
                <w:color w:val="000000"/>
                <w:lang w:val="es-ES" w:eastAsia="es-ES"/>
              </w:rPr>
              <w:t>“(…) fiducias mercantiles para la administración de los recursos aplicables a los proyectos de construcción de Vivienda de Interés Social prioritario”.</w:t>
            </w:r>
            <w:r w:rsidRPr="00E878D3">
              <w:rPr>
                <w:rFonts w:ascii="Verdana" w:eastAsia="Aptos" w:hAnsi="Verdana" w:cs="Arial"/>
                <w:color w:val="000000"/>
                <w:shd w:val="clear" w:color="auto" w:fill="FFFFFF"/>
              </w:rPr>
              <w:t xml:space="preserve"> Es así como estas últimas igualmente </w:t>
            </w:r>
            <w:r w:rsidRPr="00E878D3">
              <w:rPr>
                <w:rFonts w:ascii="Verdana" w:eastAsia="Aptos" w:hAnsi="Verdana" w:cs="Arial"/>
                <w:i/>
                <w:iCs/>
                <w:color w:val="000000"/>
                <w:shd w:val="clear" w:color="auto" w:fill="FFFFFF"/>
              </w:rPr>
              <w:t xml:space="preserve">“(…) </w:t>
            </w:r>
            <w:r w:rsidRPr="00E878D3">
              <w:rPr>
                <w:rFonts w:ascii="Verdana" w:eastAsia="Times New Roman" w:hAnsi="Verdana" w:cs="Arial"/>
                <w:i/>
                <w:iCs/>
                <w:color w:val="000000"/>
                <w:lang w:val="es-ES" w:eastAsia="es-ES"/>
              </w:rPr>
              <w:t>podrán adelantar procesos de convocatoria y selección de los constructores interesados en desarrollar los proyectos de vivienda y/o para la adquisición de proyectos de Vivienda de Interés Prioritario (…)”</w:t>
            </w:r>
            <w:r w:rsidRPr="00E878D3">
              <w:rPr>
                <w:rFonts w:ascii="Verdana" w:eastAsia="Calibri" w:hAnsi="Verdana" w:cs="Arial"/>
                <w:i/>
                <w:iCs/>
                <w:color w:val="000000"/>
                <w:lang w:val="es-ES" w:eastAsia="es-ES"/>
              </w:rPr>
              <w:t xml:space="preserve">. </w:t>
            </w:r>
          </w:p>
          <w:p w14:paraId="0890DE38" w14:textId="32A5A47F" w:rsidR="00E878D3" w:rsidRPr="00E878D3" w:rsidRDefault="00E878D3" w:rsidP="00E878D3">
            <w:pPr>
              <w:tabs>
                <w:tab w:val="left" w:pos="0"/>
              </w:tabs>
              <w:spacing w:after="120" w:line="276" w:lineRule="auto"/>
              <w:jc w:val="both"/>
              <w:rPr>
                <w:rFonts w:ascii="Verdana" w:eastAsia="Calibri" w:hAnsi="Verdana" w:cs="Arial"/>
                <w:color w:val="000000"/>
                <w:lang w:val="es-ES"/>
              </w:rPr>
            </w:pPr>
            <w:r w:rsidRPr="00E878D3">
              <w:rPr>
                <w:rFonts w:ascii="Verdana" w:eastAsia="Calibri" w:hAnsi="Verdana" w:cs="Arial"/>
                <w:color w:val="000000"/>
                <w:lang w:val="es-ES" w:eastAsia="es-ES"/>
              </w:rPr>
              <w:tab/>
              <w:t xml:space="preserve">Los dos supuestos señalados, –los del inciso cuarto y quinto del artículo 6 de la Ley </w:t>
            </w:r>
            <w:r w:rsidRPr="00E878D3">
              <w:rPr>
                <w:rFonts w:ascii="Verdana" w:eastAsia="Times New Roman" w:hAnsi="Verdana" w:cs="Arial"/>
                <w:color w:val="000000"/>
                <w:lang w:val="es-ES" w:eastAsia="es-ES"/>
              </w:rPr>
              <w:t>1537 de 2012–, son relevantes, considerando que, para efectos de la aplicación del inciso segundo del artículo 56 de la Ley 2195 de 2022, los patrimonios autónomos que han suscrito convenios o contratos interadministrativos o de cualquier otra índole con entidades sometidas al EGCAP, estarán obligadas a aplicar dicho estatuto para la contratación derivada de obras, bienes o servicios, siempre que exista documentos tipo en el sector en el que se adelanta la contratación.</w:t>
            </w:r>
            <w:r w:rsidRPr="00E878D3">
              <w:rPr>
                <w:rFonts w:ascii="Verdana" w:eastAsia="Calibri" w:hAnsi="Verdana" w:cs="Arial"/>
                <w:color w:val="000000"/>
                <w:lang w:val="es-ES"/>
              </w:rPr>
              <w:t xml:space="preserve">  </w:t>
            </w:r>
          </w:p>
          <w:p w14:paraId="38A9B6B4" w14:textId="77777777" w:rsidR="00E878D3" w:rsidRPr="00E878D3" w:rsidRDefault="00E878D3" w:rsidP="00E878D3">
            <w:pPr>
              <w:tabs>
                <w:tab w:val="left" w:pos="0"/>
              </w:tabs>
              <w:spacing w:line="276" w:lineRule="auto"/>
              <w:jc w:val="both"/>
              <w:rPr>
                <w:rFonts w:ascii="Verdana" w:eastAsia="Calibri" w:hAnsi="Verdana" w:cs="Arial"/>
                <w:color w:val="000000"/>
                <w:lang w:val="es-ES" w:eastAsia="es-ES"/>
              </w:rPr>
            </w:pPr>
            <w:r w:rsidRPr="00E878D3">
              <w:rPr>
                <w:rFonts w:ascii="Verdana" w:eastAsia="Calibri" w:hAnsi="Verdana" w:cs="Arial"/>
                <w:color w:val="000000"/>
                <w:lang w:val="es-ES"/>
              </w:rPr>
              <w:tab/>
            </w:r>
            <w:r w:rsidRPr="00E878D3">
              <w:rPr>
                <w:rFonts w:ascii="Verdana" w:eastAsia="Calibri" w:hAnsi="Verdana" w:cs="Arial"/>
                <w:color w:val="000000"/>
                <w:lang w:val="es-ES" w:eastAsia="es-ES"/>
              </w:rPr>
              <w:t>Sin perjuicio de lo anterior, debe indicarse que, esta subdirección en el concepto C-089 del 22 de marzo de 2022 indicó lo siguiente:</w:t>
            </w:r>
          </w:p>
          <w:p w14:paraId="61D2DF3F" w14:textId="77777777" w:rsidR="00E878D3" w:rsidRPr="00E878D3" w:rsidRDefault="00E878D3" w:rsidP="00E878D3">
            <w:pPr>
              <w:tabs>
                <w:tab w:val="left" w:pos="0"/>
              </w:tabs>
              <w:spacing w:line="276" w:lineRule="auto"/>
              <w:jc w:val="both"/>
              <w:rPr>
                <w:rFonts w:ascii="Verdana" w:eastAsia="Calibri" w:hAnsi="Verdana" w:cs="Arial"/>
                <w:color w:val="000000"/>
                <w:lang w:val="es-ES" w:eastAsia="es-ES"/>
              </w:rPr>
            </w:pPr>
          </w:p>
          <w:p w14:paraId="71CB5524" w14:textId="77777777" w:rsidR="00E878D3" w:rsidRPr="00E878D3" w:rsidRDefault="00E878D3" w:rsidP="00E878D3">
            <w:pPr>
              <w:tabs>
                <w:tab w:val="left" w:pos="0"/>
              </w:tabs>
              <w:spacing w:after="120"/>
              <w:ind w:left="709" w:right="709"/>
              <w:jc w:val="both"/>
              <w:rPr>
                <w:rFonts w:ascii="Verdana" w:eastAsia="Calibri" w:hAnsi="Verdana" w:cs="Arial"/>
                <w:bCs/>
                <w:sz w:val="21"/>
                <w:szCs w:val="21"/>
                <w:lang w:val="es-ES_tradnl"/>
              </w:rPr>
            </w:pPr>
            <w:r w:rsidRPr="00E878D3">
              <w:rPr>
                <w:rFonts w:ascii="Verdana" w:eastAsia="Calibri" w:hAnsi="Verdana" w:cs="Arial"/>
                <w:sz w:val="21"/>
                <w:szCs w:val="21"/>
                <w:lang w:val="es-ES"/>
              </w:rPr>
              <w:t xml:space="preserve">“cuando efectivamente la entidad estatal sometida al EGCAP celebra un contrato con la sociedad de economía mixta –bajo el supuesto </w:t>
            </w:r>
            <w:r w:rsidRPr="00E878D3">
              <w:rPr>
                <w:rFonts w:ascii="Verdana" w:eastAsia="Calibri" w:hAnsi="Verdana" w:cs="Arial"/>
                <w:sz w:val="21"/>
                <w:szCs w:val="21"/>
                <w:lang w:val="es-ES"/>
              </w:rPr>
              <w:lastRenderedPageBreak/>
              <w:t xml:space="preserve">que esta entidad esté sometida a un régimen especial en los términos explicados previamente–, esta última no celebra un contrato para adquirir una obra, bien o servicio cobijado por algún documento tipo; sino que celebra un contrato de fiducia para que sea el patrimonio autónomo el que contrate dichas obras, bienes o servicios. </w:t>
            </w:r>
            <w:r w:rsidRPr="00E878D3">
              <w:rPr>
                <w:rFonts w:ascii="Verdana" w:eastAsia="Calibri" w:hAnsi="Verdana" w:cs="Arial"/>
                <w:bCs/>
                <w:sz w:val="21"/>
                <w:szCs w:val="21"/>
                <w:lang w:val="es-ES_tradnl"/>
              </w:rPr>
              <w:t xml:space="preserve">Por el contrario, distinta sería la postura si la sociedad de economía mixta –entidad sometida a un régimen especial–, con ocasión de la celebración del contrato o convenio con la entidad regida por el EGCAP, sea la que contrate directamente la ejecución de las obras, bienes o servicios sujetos a documentos tipo, puesto que en este caso sí aplicaría lo dispuesto en el artículo 56 de la Ley 2195 de 2022, salvo que se presente la excepción establecida en el parágrafo del artículo ibidem. Esto en razón a que se cumplirían los dos criterios explicados previamente. </w:t>
            </w:r>
          </w:p>
          <w:p w14:paraId="208E3D71" w14:textId="77777777" w:rsidR="00E878D3" w:rsidRPr="00E878D3" w:rsidRDefault="00E878D3" w:rsidP="00E878D3">
            <w:pPr>
              <w:tabs>
                <w:tab w:val="left" w:pos="0"/>
              </w:tabs>
              <w:ind w:left="709" w:right="709"/>
              <w:jc w:val="both"/>
              <w:rPr>
                <w:rFonts w:ascii="Verdana" w:eastAsia="Calibri" w:hAnsi="Verdana" w:cs="Arial"/>
                <w:bCs/>
                <w:sz w:val="21"/>
                <w:szCs w:val="21"/>
                <w:lang w:val="es-ES_tradnl"/>
              </w:rPr>
            </w:pPr>
            <w:r w:rsidRPr="00E878D3">
              <w:rPr>
                <w:rFonts w:ascii="Verdana" w:eastAsia="Calibri" w:hAnsi="Verdana" w:cs="Arial"/>
                <w:bCs/>
                <w:sz w:val="21"/>
                <w:szCs w:val="21"/>
                <w:lang w:val="es-ES_tradnl"/>
              </w:rPr>
              <w:t xml:space="preserve">Ahora, no es posible extender los efectos del artículo 56 de la Ley 2195 de 2022 a la fiducia –patrimonio autónomo sometido al régimen especial– porque en este supuesto solo se cumple el criterio conforme al cual el contrato que celebra es la adquisición de obras, bienes o servicios que eventualmente están sujetos a los documentos tipo. Sin embargo, estos contratos se realizan con fundamento en el negocio jurídico celebrado con la sociedad de economía mixta –entidad sometida al régimen especial– y no con una entidad estatal sometida al EGCAP”.  </w:t>
            </w:r>
          </w:p>
          <w:p w14:paraId="0BD7D92B" w14:textId="77777777" w:rsidR="00E878D3" w:rsidRPr="00E878D3" w:rsidRDefault="00E878D3" w:rsidP="00E878D3">
            <w:pPr>
              <w:tabs>
                <w:tab w:val="left" w:pos="0"/>
              </w:tabs>
              <w:spacing w:line="276" w:lineRule="auto"/>
              <w:jc w:val="both"/>
              <w:rPr>
                <w:rFonts w:ascii="Verdana" w:eastAsia="Calibri" w:hAnsi="Verdana" w:cs="Arial"/>
                <w:color w:val="000000"/>
                <w:lang w:val="es-ES" w:eastAsia="es-ES"/>
              </w:rPr>
            </w:pPr>
            <w:r w:rsidRPr="00E878D3">
              <w:rPr>
                <w:rFonts w:ascii="Verdana" w:eastAsia="Calibri" w:hAnsi="Verdana" w:cs="Arial"/>
                <w:color w:val="000000"/>
                <w:lang w:val="es-ES" w:eastAsia="es-ES"/>
              </w:rPr>
              <w:tab/>
            </w:r>
          </w:p>
          <w:p w14:paraId="72B2F42D" w14:textId="6CA5DA2D" w:rsidR="00E878D3" w:rsidRPr="00E878D3" w:rsidRDefault="00E878D3" w:rsidP="00E878D3">
            <w:pPr>
              <w:tabs>
                <w:tab w:val="left" w:pos="0"/>
              </w:tabs>
              <w:spacing w:after="120" w:line="276" w:lineRule="auto"/>
              <w:jc w:val="both"/>
              <w:rPr>
                <w:rFonts w:ascii="Verdana" w:eastAsia="Calibri" w:hAnsi="Verdana" w:cs="Arial"/>
                <w:bCs/>
                <w:i/>
                <w:iCs/>
                <w:lang w:val="es-ES_tradnl"/>
              </w:rPr>
            </w:pPr>
            <w:r w:rsidRPr="00E878D3">
              <w:rPr>
                <w:rFonts w:ascii="Verdana" w:eastAsia="Calibri" w:hAnsi="Verdana" w:cs="Arial"/>
                <w:color w:val="000000"/>
                <w:lang w:val="es-ES" w:eastAsia="es-ES"/>
              </w:rPr>
              <w:tab/>
              <w:t xml:space="preserve">De acuerdo con la postura señalada, </w:t>
            </w:r>
            <w:proofErr w:type="spellStart"/>
            <w:r w:rsidRPr="00E878D3">
              <w:rPr>
                <w:rFonts w:ascii="Verdana" w:eastAsia="Calibri" w:hAnsi="Verdana" w:cs="Arial"/>
                <w:bCs/>
                <w:lang w:val="es-ES_tradnl"/>
              </w:rPr>
              <w:t>si</w:t>
            </w:r>
            <w:proofErr w:type="spellEnd"/>
            <w:r w:rsidR="000F6113">
              <w:rPr>
                <w:rFonts w:ascii="Verdana" w:eastAsia="Calibri" w:hAnsi="Verdana" w:cs="Arial"/>
                <w:bCs/>
                <w:lang w:val="es-ES_tradnl"/>
              </w:rPr>
              <w:t>,</w:t>
            </w:r>
            <w:r w:rsidRPr="00E878D3">
              <w:rPr>
                <w:rFonts w:ascii="Verdana" w:eastAsia="Calibri" w:hAnsi="Verdana" w:cs="Arial"/>
                <w:bCs/>
                <w:lang w:val="es-ES_tradnl"/>
              </w:rPr>
              <w:t xml:space="preserve"> una entidad sometida al EGCAP celebra un contrato con una sociedad de economía mixta –partiendo del supuesto que es una entidad sometida a un régimen especial– y esta última celebre un contrato de fiducia para la constitución de un patrimonio autónomo para adquirir obras, bienes y servicios cobijados por documentos tipo, se concluyó que ese era un evento no contemplado en el artículo 56 de la Ley 2195 de 2022, por lo que, </w:t>
            </w:r>
            <w:r w:rsidRPr="00E878D3">
              <w:rPr>
                <w:rFonts w:ascii="Verdana" w:eastAsia="Calibri" w:hAnsi="Verdana" w:cs="Arial"/>
                <w:bCs/>
                <w:i/>
                <w:iCs/>
                <w:lang w:val="es-ES_tradnl"/>
              </w:rPr>
              <w:t xml:space="preserve">“(…) la fiducia no estaría obligada a aplicar los documentos tipo adoptados por esta Agencia y, por tanto, los procedimientos de selección y los contratos que realicen en desarrollo de los anteriores negocios jurídicos no estarían sometidos al Estatuto General de Contratación de la Administración Pública”. </w:t>
            </w:r>
          </w:p>
          <w:p w14:paraId="564E4CF8" w14:textId="77777777" w:rsidR="00E878D3" w:rsidRPr="00E878D3" w:rsidRDefault="00E878D3" w:rsidP="00E878D3">
            <w:pPr>
              <w:tabs>
                <w:tab w:val="left" w:pos="0"/>
              </w:tabs>
              <w:spacing w:after="120" w:line="276" w:lineRule="auto"/>
              <w:jc w:val="both"/>
              <w:rPr>
                <w:rFonts w:ascii="Verdana" w:eastAsia="Calibri" w:hAnsi="Verdana" w:cs="Arial"/>
                <w:color w:val="000000"/>
                <w:lang w:val="es-ES"/>
              </w:rPr>
            </w:pPr>
            <w:r w:rsidRPr="00E878D3">
              <w:rPr>
                <w:rFonts w:ascii="Arial" w:eastAsia="Calibri" w:hAnsi="Arial" w:cs="Arial"/>
                <w:bCs/>
                <w:lang w:val="es-ES_tradnl"/>
              </w:rPr>
              <w:tab/>
            </w:r>
            <w:r w:rsidRPr="00E878D3">
              <w:rPr>
                <w:rFonts w:ascii="Verdana" w:eastAsia="Calibri" w:hAnsi="Verdana" w:cs="Arial"/>
                <w:bCs/>
                <w:color w:val="000000"/>
                <w:lang w:val="es-ES_tradnl"/>
              </w:rPr>
              <w:t xml:space="preserve">No obstante, considerando la postura de unificación de esta Agencia desarrollada en el concepto unificado CU-870 del 13 de agosto de 2025 en relación con la aplicación de los documentos tipo por parte de las entidades exceptuadas del estatuto general de contratación de la administración pública, </w:t>
            </w:r>
            <w:r w:rsidRPr="00E878D3">
              <w:rPr>
                <w:rFonts w:ascii="Verdana" w:eastAsia="Aptos" w:hAnsi="Verdana" w:cs="Open Sans"/>
                <w:color w:val="000000"/>
              </w:rPr>
              <w:lastRenderedPageBreak/>
              <w:t xml:space="preserve">patrimonios autónomos o con personas naturales o jurídicas de derecho privado, cuyo régimen de contratación sea especial o de derecho privado, la posición indicada en el concepto C-089 del 22 de marzo de 2022 debe cambiarse toda vez que, como se ha reiterado a lo largo de este concepto las </w:t>
            </w:r>
            <w:r w:rsidRPr="00E878D3">
              <w:rPr>
                <w:rFonts w:ascii="Verdana" w:eastAsia="Aptos" w:hAnsi="Verdana" w:cs="Open Sans"/>
                <w:i/>
                <w:iCs/>
                <w:color w:val="000000"/>
              </w:rPr>
              <w:t xml:space="preserve">“entidades exceptuadas, </w:t>
            </w:r>
            <w:r w:rsidRPr="00E878D3">
              <w:rPr>
                <w:rFonts w:ascii="Verdana" w:eastAsia="Calibri" w:hAnsi="Verdana" w:cs="Arial"/>
                <w:i/>
                <w:iCs/>
                <w:color w:val="000000"/>
                <w:lang w:val="es-ES"/>
              </w:rPr>
              <w:t>patrimonios autónomos o particulares, que han suscrito convenios o contratos de cualquier índole con entidades sometidas al EGCAP, estarán obligadas a aplicar dicho estatuto para la subcontratación derivada de obras, bienes o servicios, siempre que exista documentos tipo en el sector en el que se adelanta la contratación”.</w:t>
            </w:r>
            <w:r w:rsidRPr="00E878D3">
              <w:rPr>
                <w:rFonts w:ascii="Verdana" w:eastAsia="Calibri" w:hAnsi="Verdana" w:cs="Arial"/>
                <w:color w:val="000000"/>
                <w:lang w:val="es-ES"/>
              </w:rPr>
              <w:t xml:space="preserve">  </w:t>
            </w:r>
          </w:p>
          <w:p w14:paraId="14EBB238" w14:textId="1885E991" w:rsidR="00E878D3" w:rsidRPr="00E878D3" w:rsidRDefault="00E878D3" w:rsidP="00E878D3">
            <w:pPr>
              <w:tabs>
                <w:tab w:val="left" w:pos="0"/>
              </w:tabs>
              <w:spacing w:after="120" w:line="276" w:lineRule="auto"/>
              <w:jc w:val="both"/>
              <w:rPr>
                <w:rFonts w:ascii="Verdana" w:eastAsia="Aptos" w:hAnsi="Verdana" w:cs="Times New Roman"/>
              </w:rPr>
            </w:pPr>
            <w:r w:rsidRPr="00E878D3">
              <w:rPr>
                <w:rFonts w:ascii="Verdana" w:eastAsia="Calibri" w:hAnsi="Verdana" w:cs="Arial"/>
                <w:color w:val="000000"/>
                <w:lang w:val="es-ES"/>
              </w:rPr>
              <w:tab/>
              <w:t xml:space="preserve">Bajo el criterio señalado en el concepto de unificación, </w:t>
            </w:r>
            <w:r w:rsidRPr="00E878D3">
              <w:rPr>
                <w:rFonts w:ascii="Verdana" w:eastAsia="Aptos" w:hAnsi="Verdana" w:cs="Times New Roman"/>
              </w:rPr>
              <w:t xml:space="preserve">es posible considerar que, en determinados supuestos, la celebración de fiducias mercantiles por parte de los patrimonios autónomos autorizados en la Ley 1537 de 2012 podría </w:t>
            </w:r>
            <w:r w:rsidRPr="00637DA3">
              <w:rPr>
                <w:rFonts w:ascii="Verdana" w:eastAsia="Aptos" w:hAnsi="Verdana" w:cs="Times New Roman"/>
              </w:rPr>
              <w:t>configurar la aplicación del artículo 56 de la Ley 2195 de 2022. Es</w:t>
            </w:r>
            <w:r w:rsidRPr="00E878D3">
              <w:rPr>
                <w:rFonts w:ascii="Verdana" w:eastAsia="Aptos" w:hAnsi="Verdana" w:cs="Times New Roman"/>
              </w:rPr>
              <w:t xml:space="preserve">to, en la medida en que la norma prevé que los patrimonios autónomos que hayan suscrito contratos o convenios de cualquier índole con entidades sometidas al EGCAP deberán aplicar dicho estatuto y los documentos tipo en la contratación derivada de bienes, obras o servicios cobijados por documentos tipo vigentes. </w:t>
            </w:r>
          </w:p>
          <w:p w14:paraId="3120C5F1" w14:textId="645E2B47" w:rsidR="00E878D3" w:rsidRPr="00E878D3" w:rsidRDefault="00E878D3" w:rsidP="00E878D3">
            <w:pPr>
              <w:tabs>
                <w:tab w:val="left" w:pos="0"/>
              </w:tabs>
              <w:spacing w:after="120" w:line="276" w:lineRule="auto"/>
              <w:jc w:val="both"/>
              <w:rPr>
                <w:rFonts w:ascii="Verdana" w:eastAsia="Aptos" w:hAnsi="Verdana" w:cs="Times New Roman"/>
              </w:rPr>
            </w:pPr>
            <w:r w:rsidRPr="00E878D3">
              <w:rPr>
                <w:rFonts w:ascii="Verdana" w:eastAsia="Aptos" w:hAnsi="Verdana" w:cs="Times New Roman"/>
              </w:rPr>
              <w:tab/>
              <w:t xml:space="preserve">Es así como, cuando una entidad pública sometida al EGCAP celebre un contrato o convenio interadministrativo o de cualquier otra índole con un patrimonio autónomo, y este celebre a su vez una fiducia mercantil para que este último contrate un bien, obra o servicio, podría entenderse que esta última actuación corresponden a una </w:t>
            </w:r>
            <w:r w:rsidRPr="00637DA3">
              <w:rPr>
                <w:rFonts w:ascii="Verdana" w:eastAsia="Aptos" w:hAnsi="Verdana" w:cs="Times New Roman"/>
              </w:rPr>
              <w:t>forma d</w:t>
            </w:r>
            <w:r w:rsidR="0027039C" w:rsidRPr="000B37CA">
              <w:rPr>
                <w:rFonts w:ascii="Verdana" w:eastAsia="Aptos" w:hAnsi="Verdana" w:cs="Times New Roman"/>
              </w:rPr>
              <w:t xml:space="preserve">e </w:t>
            </w:r>
            <w:r w:rsidRPr="00637DA3">
              <w:rPr>
                <w:rFonts w:ascii="Verdana" w:eastAsia="Aptos" w:hAnsi="Verdana" w:cs="Times New Roman"/>
              </w:rPr>
              <w:t>contratación vinculada</w:t>
            </w:r>
            <w:r w:rsidRPr="00E878D3">
              <w:rPr>
                <w:rFonts w:ascii="Verdana" w:eastAsia="Aptos" w:hAnsi="Verdana" w:cs="Times New Roman"/>
              </w:rPr>
              <w:t xml:space="preserve"> al negocio jurídico principal, lo que haría procedente la aplicación de los documentos tipo y de las disposiciones del EGCAP en los términos del artículo 56 ibidem. Contrario sería sí la fiducia mercantil que celebra el patrimonio autónomo es solo para la administración de los recursos destinados a proyectos de vivienda de interés social prioritario, evento en el cual, en principio no existiría documento tipo aplicable. </w:t>
            </w:r>
          </w:p>
          <w:p w14:paraId="51567FD9" w14:textId="0BAF2733" w:rsidR="00E878D3" w:rsidRPr="00E878D3" w:rsidRDefault="00E878D3" w:rsidP="00E878D3">
            <w:pPr>
              <w:tabs>
                <w:tab w:val="left" w:pos="0"/>
              </w:tabs>
              <w:spacing w:after="120" w:line="276" w:lineRule="auto"/>
              <w:jc w:val="both"/>
              <w:rPr>
                <w:rFonts w:ascii="Verdana" w:eastAsia="Aptos" w:hAnsi="Verdana" w:cs="Times New Roman"/>
              </w:rPr>
            </w:pPr>
            <w:r w:rsidRPr="00E878D3">
              <w:rPr>
                <w:rFonts w:ascii="Verdana" w:eastAsia="Aptos" w:hAnsi="Verdana" w:cs="Times New Roman"/>
              </w:rPr>
              <w:tab/>
              <w:t xml:space="preserve">Finalmente, considerando que usted indaga sí </w:t>
            </w:r>
            <w:r w:rsidRPr="00E878D3">
              <w:rPr>
                <w:rFonts w:ascii="Verdana" w:eastAsia="Aptos" w:hAnsi="Verdana" w:cs="Times New Roman"/>
                <w:i/>
                <w:iCs/>
              </w:rPr>
              <w:t>“(d)</w:t>
            </w:r>
            <w:proofErr w:type="spellStart"/>
            <w:r w:rsidRPr="00E878D3">
              <w:rPr>
                <w:rFonts w:ascii="Verdana" w:eastAsia="Aptos" w:hAnsi="Verdana" w:cs="Times New Roman"/>
                <w:i/>
                <w:iCs/>
              </w:rPr>
              <w:t>ado</w:t>
            </w:r>
            <w:proofErr w:type="spellEnd"/>
            <w:r w:rsidRPr="00E878D3">
              <w:rPr>
                <w:rFonts w:ascii="Verdana" w:eastAsia="Aptos" w:hAnsi="Verdana" w:cs="Times New Roman"/>
                <w:i/>
                <w:iCs/>
              </w:rPr>
              <w:t xml:space="preserve"> que el Artículo 2 de la Resolución 953 de 2025 no menciona expresamente a las fiducias mercantiles de régimen privado que administran recursos públicos ¿es jurídicamente viable que las invitaciones a ofertar realizadas por estas fiducias mantengan criterios de selección autónomos, siempre que respeten los principios de la función administrativa?”. </w:t>
            </w:r>
            <w:r w:rsidRPr="00E878D3">
              <w:rPr>
                <w:rFonts w:ascii="Verdana" w:eastAsia="Aptos" w:hAnsi="Verdana" w:cs="Times New Roman"/>
              </w:rPr>
              <w:t xml:space="preserve">En relación con este aspecto, se </w:t>
            </w:r>
            <w:r w:rsidRPr="00E878D3">
              <w:rPr>
                <w:rFonts w:ascii="Verdana" w:eastAsia="Aptos" w:hAnsi="Verdana" w:cs="Times New Roman"/>
              </w:rPr>
              <w:lastRenderedPageBreak/>
              <w:t xml:space="preserve">reitera que el artículo 3 de la Resolución 953 del 15 de diciembre de 2025 dispone que los documentos tipo adoptados por esta Agencia </w:t>
            </w:r>
            <w:r w:rsidRPr="00E878D3">
              <w:rPr>
                <w:rFonts w:ascii="Verdana" w:eastAsia="Aptos" w:hAnsi="Verdana" w:cs="Times New Roman"/>
                <w:i/>
                <w:iCs/>
              </w:rPr>
              <w:t>“(…) son obligatorios en la actividad contractual de las Entidades Estatales sometidas al Estatuto General de Contratación de la Administración Pública, patrimonios autónomos (…)”.</w:t>
            </w:r>
            <w:r w:rsidRPr="00E878D3">
              <w:rPr>
                <w:rFonts w:ascii="Verdana" w:eastAsia="Aptos" w:hAnsi="Verdana" w:cs="Times New Roman"/>
              </w:rPr>
              <w:t xml:space="preserve"> </w:t>
            </w:r>
          </w:p>
          <w:p w14:paraId="7E7384BD" w14:textId="77777777" w:rsidR="00E878D3" w:rsidRPr="00E878D3" w:rsidRDefault="00E878D3" w:rsidP="00E878D3">
            <w:pPr>
              <w:tabs>
                <w:tab w:val="left" w:pos="0"/>
              </w:tabs>
              <w:spacing w:after="120" w:line="276" w:lineRule="auto"/>
              <w:jc w:val="both"/>
              <w:rPr>
                <w:rFonts w:ascii="Verdana" w:eastAsia="Aptos" w:hAnsi="Verdana" w:cs="Times New Roman"/>
              </w:rPr>
            </w:pPr>
            <w:r w:rsidRPr="00E878D3">
              <w:rPr>
                <w:rFonts w:ascii="Verdana" w:eastAsia="Aptos" w:hAnsi="Verdana" w:cs="Times New Roman"/>
              </w:rPr>
              <w:tab/>
              <w:t>Así, si las fiducias mercantiles a las que se refiere en su solicitud son aquellas que constituyen un patrimonio autónomo, considerando que “(…) en la fiducia mercantil es de la esencia la creación de un patrimonio autónomo (…)</w:t>
            </w:r>
            <w:r w:rsidRPr="00E878D3">
              <w:rPr>
                <w:rFonts w:ascii="Verdana" w:eastAsia="Aptos" w:hAnsi="Verdana" w:cs="Times New Roman"/>
                <w:vertAlign w:val="superscript"/>
              </w:rPr>
              <w:footnoteReference w:id="5"/>
            </w:r>
            <w:r w:rsidRPr="00E878D3">
              <w:rPr>
                <w:rFonts w:ascii="Verdana" w:eastAsia="Aptos" w:hAnsi="Verdana" w:cs="Times New Roman"/>
              </w:rPr>
              <w:t xml:space="preserve">” estas deberán aplicar los documentos tipo expedidos por esta Agencia, en las condiciones previamente señaladas y de conformidad con el alcance del artículo 56 de la Ley 2195 de 2022. </w:t>
            </w:r>
          </w:p>
          <w:p w14:paraId="30B84FDB" w14:textId="77777777" w:rsidR="00E878D3" w:rsidRPr="00E878D3" w:rsidRDefault="00E878D3" w:rsidP="00E878D3">
            <w:pPr>
              <w:tabs>
                <w:tab w:val="left" w:pos="0"/>
              </w:tabs>
              <w:spacing w:line="276" w:lineRule="auto"/>
              <w:jc w:val="both"/>
              <w:rPr>
                <w:rFonts w:ascii="Verdana" w:eastAsia="Aptos" w:hAnsi="Verdana" w:cs="Times New Roman"/>
              </w:rPr>
            </w:pPr>
            <w:r w:rsidRPr="00E878D3">
              <w:rPr>
                <w:rFonts w:ascii="Verdana" w:eastAsia="Aptos" w:hAnsi="Verdana" w:cs="Times New Roman"/>
              </w:rPr>
              <w:tab/>
              <w:t xml:space="preserve">Ahora bien, si en su solicitud se hace referencia a un encargo fiduciario, en este supuesto no se estaría en el marco de aplicación del artículo citado, considerando que en esta figura no se constituye un patrimonio autónomo. </w:t>
            </w:r>
          </w:p>
          <w:p w14:paraId="29DC4E84" w14:textId="77777777" w:rsidR="00E878D3" w:rsidRPr="00E878D3" w:rsidRDefault="00E878D3" w:rsidP="00E878D3">
            <w:pPr>
              <w:spacing w:line="276" w:lineRule="auto"/>
              <w:jc w:val="both"/>
              <w:rPr>
                <w:rFonts w:ascii="Verdana" w:eastAsia="Aptos" w:hAnsi="Verdana" w:cs="Times New Roman"/>
              </w:rPr>
            </w:pPr>
          </w:p>
          <w:p w14:paraId="03BCDC26" w14:textId="16DD3A14" w:rsidR="00E878D3" w:rsidRPr="00E878D3" w:rsidRDefault="00941D9D" w:rsidP="00E878D3">
            <w:pPr>
              <w:spacing w:after="120" w:line="276" w:lineRule="auto"/>
              <w:jc w:val="both"/>
              <w:rPr>
                <w:rFonts w:ascii="Verdana" w:eastAsia="Times New Roman" w:hAnsi="Verdana" w:cs="Times New Roman"/>
                <w:lang w:eastAsia="es-MX"/>
              </w:rPr>
            </w:pPr>
            <w:r>
              <w:rPr>
                <w:rFonts w:ascii="Verdana" w:eastAsia="Calibri" w:hAnsi="Verdana" w:cs="Arial"/>
                <w:bCs/>
                <w:color w:val="000000"/>
                <w:lang w:eastAsia="es-MX"/>
              </w:rPr>
              <w:t xml:space="preserve">        </w:t>
            </w:r>
            <w:r w:rsidR="00E878D3" w:rsidRPr="00E878D3">
              <w:rPr>
                <w:rFonts w:ascii="Verdana" w:eastAsia="Calibri" w:hAnsi="Verdana" w:cs="Arial"/>
                <w:bCs/>
                <w:color w:val="000000"/>
                <w:lang w:eastAsia="es-MX"/>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7F564823" w14:textId="77777777" w:rsidR="00E878D3" w:rsidRPr="00E878D3" w:rsidRDefault="00E878D3" w:rsidP="00E878D3">
            <w:pPr>
              <w:spacing w:after="120" w:line="276" w:lineRule="auto"/>
              <w:ind w:firstLine="708"/>
              <w:jc w:val="both"/>
              <w:rPr>
                <w:rFonts w:ascii="Verdana" w:eastAsia="Calibri" w:hAnsi="Verdana" w:cs="Arial"/>
                <w:bCs/>
                <w:color w:val="000000"/>
                <w:lang w:eastAsia="es-MX"/>
              </w:rPr>
            </w:pPr>
            <w:r w:rsidRPr="00E878D3">
              <w:rPr>
                <w:rFonts w:ascii="Verdana" w:eastAsia="Calibri" w:hAnsi="Verdana" w:cs="Arial"/>
                <w:bCs/>
                <w:color w:val="000000"/>
                <w:lang w:eastAsia="es-MX"/>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w:t>
            </w:r>
            <w:r w:rsidRPr="00E878D3">
              <w:rPr>
                <w:rFonts w:ascii="Verdana" w:eastAsia="Calibri" w:hAnsi="Verdana" w:cs="Arial"/>
                <w:bCs/>
                <w:color w:val="000000"/>
                <w:lang w:eastAsia="es-MX"/>
              </w:rPr>
              <w:lastRenderedPageBreak/>
              <w:t xml:space="preserve">definirá la forma de adelantar su gestión contractual, sin que sea atribución de Colombia Compra Eficiente validar sus actuaciones. </w:t>
            </w:r>
          </w:p>
        </w:tc>
      </w:tr>
    </w:tbl>
    <w:p w14:paraId="09C60FBF" w14:textId="77777777" w:rsidR="00E878D3" w:rsidRPr="00E878D3" w:rsidRDefault="00E878D3" w:rsidP="00E878D3">
      <w:pPr>
        <w:tabs>
          <w:tab w:val="left" w:pos="142"/>
          <w:tab w:val="left" w:pos="284"/>
        </w:tabs>
        <w:spacing w:after="0" w:line="276" w:lineRule="auto"/>
        <w:jc w:val="both"/>
        <w:rPr>
          <w:rFonts w:ascii="Verdana" w:eastAsia="Century Gothic" w:hAnsi="Verdana" w:cs="Century Gothic"/>
          <w:b/>
          <w:bCs/>
          <w:lang w:val="es-ES" w:eastAsia="es-MX"/>
        </w:rPr>
      </w:pPr>
    </w:p>
    <w:p w14:paraId="0E56D946" w14:textId="77777777" w:rsidR="00E878D3" w:rsidRPr="00E878D3" w:rsidRDefault="00E878D3" w:rsidP="00E878D3">
      <w:pPr>
        <w:tabs>
          <w:tab w:val="left" w:pos="142"/>
          <w:tab w:val="left" w:pos="284"/>
        </w:tabs>
        <w:spacing w:after="0" w:line="276" w:lineRule="auto"/>
        <w:jc w:val="both"/>
        <w:rPr>
          <w:rFonts w:ascii="Verdana" w:eastAsia="Century Gothic" w:hAnsi="Verdana" w:cs="Century Gothic"/>
          <w:b/>
          <w:bCs/>
          <w:lang w:val="es-ES" w:eastAsia="es-MX"/>
        </w:rPr>
      </w:pPr>
      <w:r w:rsidRPr="00E878D3">
        <w:rPr>
          <w:rFonts w:ascii="Verdana" w:eastAsia="Century Gothic" w:hAnsi="Verdana" w:cs="Century Gothic"/>
          <w:b/>
          <w:bCs/>
          <w:lang w:val="es-ES" w:eastAsia="es-MX"/>
        </w:rPr>
        <w:t>3. Razones de la respuesta:</w:t>
      </w:r>
    </w:p>
    <w:p w14:paraId="34D9FF76" w14:textId="77777777" w:rsidR="00E878D3" w:rsidRPr="00E878D3" w:rsidRDefault="00E878D3" w:rsidP="00E878D3">
      <w:pPr>
        <w:spacing w:after="0" w:line="276" w:lineRule="auto"/>
        <w:jc w:val="both"/>
        <w:rPr>
          <w:rFonts w:ascii="Verdana" w:eastAsia="Calibri" w:hAnsi="Verdana" w:cs="Arial"/>
          <w:bCs/>
        </w:rPr>
      </w:pPr>
    </w:p>
    <w:p w14:paraId="2A2A3214" w14:textId="77777777" w:rsidR="00E878D3" w:rsidRPr="00E878D3" w:rsidRDefault="00E878D3" w:rsidP="00E878D3">
      <w:pPr>
        <w:spacing w:after="120" w:line="276" w:lineRule="auto"/>
        <w:jc w:val="both"/>
        <w:rPr>
          <w:rFonts w:ascii="Verdana" w:eastAsia="Calibri" w:hAnsi="Verdana" w:cs="Arial"/>
          <w:lang w:val="es-ES_tradnl" w:eastAsia="es-ES"/>
        </w:rPr>
      </w:pPr>
      <w:bookmarkStart w:id="2" w:name="_Hlk176861190"/>
      <w:bookmarkStart w:id="3" w:name="_Hlk176877108"/>
      <w:r w:rsidRPr="00E878D3">
        <w:rPr>
          <w:rFonts w:ascii="Verdana" w:eastAsia="Calibri" w:hAnsi="Verdana" w:cs="Arial"/>
          <w:lang w:val="es-ES_tradnl" w:eastAsia="es-ES"/>
        </w:rPr>
        <w:t xml:space="preserve">i. La </w:t>
      </w:r>
      <w:bookmarkStart w:id="4" w:name="_Hlk176876754"/>
      <w:r w:rsidRPr="00E878D3">
        <w:rPr>
          <w:rFonts w:ascii="Verdana" w:eastAsia="Calibri" w:hAnsi="Verdana" w:cs="Arial"/>
          <w:lang w:val="es-ES_tradnl" w:eastAsia="es-ES"/>
        </w:rPr>
        <w:t>Ley 2022 de 2020, modificó el contenido del parágrafo 7 del artículo 2 de la Ley 1150 de 2007, que había sido adicionado por la Ley 1882 de 2018</w:t>
      </w:r>
      <w:bookmarkEnd w:id="4"/>
      <w:r w:rsidRPr="00E878D3">
        <w:rPr>
          <w:rFonts w:ascii="Verdana" w:eastAsia="Times New Roman" w:hAnsi="Verdana" w:cs="Times New Roman"/>
          <w:vertAlign w:val="superscript"/>
          <w:lang w:eastAsia="es-ES"/>
        </w:rPr>
        <w:footnoteReference w:id="6"/>
      </w:r>
      <w:r w:rsidRPr="00E878D3">
        <w:rPr>
          <w:rFonts w:ascii="Verdana" w:eastAsia="Calibri" w:hAnsi="Verdana" w:cs="Arial"/>
          <w:lang w:val="es-ES_tradnl" w:eastAsia="es-ES"/>
        </w:rPr>
        <w:t xml:space="preserve">. Con esta modificación, si bien se mantuvo el mandato de aplicación obligatoria de los Documentos Tipo por parte de las entidades sometidas al </w:t>
      </w:r>
      <w:r w:rsidRPr="00E878D3">
        <w:rPr>
          <w:rFonts w:ascii="Verdana" w:eastAsia="Calibri" w:hAnsi="Verdana" w:cs="Arial"/>
          <w:bCs/>
          <w:lang w:val="es-ES_tradnl" w:eastAsia="es-ES_tradnl"/>
        </w:rPr>
        <w:t>EGCAP</w:t>
      </w:r>
      <w:r w:rsidRPr="00E878D3">
        <w:rPr>
          <w:rFonts w:ascii="Verdana" w:eastAsia="Calibri" w:hAnsi="Verdana" w:cs="Arial"/>
          <w:lang w:val="es-ES_tradnl" w:eastAsia="es-ES"/>
        </w:rPr>
        <w:t xml:space="preserve">, se atribuyó </w:t>
      </w:r>
      <w:r w:rsidRPr="00E878D3">
        <w:rPr>
          <w:rFonts w:ascii="Verdana" w:eastAsia="Calibri" w:hAnsi="Verdana" w:cs="Arial"/>
          <w:lang w:val="es-ES_tradnl" w:eastAsia="es-ES"/>
        </w:rPr>
        <w:lastRenderedPageBreak/>
        <w:t xml:space="preserve">a la </w:t>
      </w:r>
      <w:r w:rsidRPr="00E878D3">
        <w:rPr>
          <w:rFonts w:ascii="Verdana" w:eastAsia="Calibri" w:hAnsi="Verdana" w:cs="Arial"/>
          <w:lang w:val="es-ES_tradnl" w:eastAsia="es-ES_tradnl"/>
        </w:rPr>
        <w:t xml:space="preserve">Agencia Nacional de Contratación Pública – Colombia Compra Eficiente la competencia para su expedición. </w:t>
      </w:r>
    </w:p>
    <w:p w14:paraId="2FCFE56F" w14:textId="77777777" w:rsidR="00E878D3" w:rsidRPr="00E878D3" w:rsidRDefault="00E878D3" w:rsidP="00E878D3">
      <w:pPr>
        <w:spacing w:after="120" w:line="276" w:lineRule="auto"/>
        <w:ind w:firstLine="709"/>
        <w:jc w:val="both"/>
        <w:rPr>
          <w:rFonts w:ascii="Verdana" w:eastAsia="Aptos" w:hAnsi="Verdana" w:cs="Arial"/>
          <w:lang w:val="es-ES" w:eastAsia="es-MX"/>
        </w:rPr>
      </w:pPr>
      <w:r w:rsidRPr="00E878D3">
        <w:rPr>
          <w:rFonts w:ascii="Verdana" w:eastAsia="Aptos" w:hAnsi="Verdana" w:cs="Arial"/>
          <w:lang w:val="es-ES" w:eastAsia="es-MX"/>
        </w:rPr>
        <w:t xml:space="preserve">Con sustento en esta competencia, esta Agencia ha expedido diversos grupos de Documentos Tipo aplicables principalmente a la contratación de obras públicas de infraestructura de transporte, agua potable,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 </w:t>
      </w:r>
    </w:p>
    <w:p w14:paraId="55A1A7B1" w14:textId="77777777" w:rsidR="00E878D3" w:rsidRPr="00E878D3" w:rsidRDefault="00E878D3" w:rsidP="00E878D3">
      <w:pPr>
        <w:spacing w:after="120" w:line="276" w:lineRule="auto"/>
        <w:ind w:firstLine="708"/>
        <w:jc w:val="both"/>
        <w:rPr>
          <w:rFonts w:ascii="Verdana" w:eastAsia="Calibri" w:hAnsi="Verdana" w:cs="Arial"/>
          <w:lang w:eastAsia="es-MX"/>
        </w:rPr>
      </w:pPr>
      <w:r w:rsidRPr="00E878D3">
        <w:rPr>
          <w:rFonts w:ascii="Verdana" w:eastAsia="Calibri" w:hAnsi="Verdana" w:cs="Arial"/>
          <w:lang w:eastAsia="es-ES_tradnl"/>
        </w:rPr>
        <w:t xml:space="preserve">De acuerdo con lo expuesto, </w:t>
      </w:r>
      <w:r w:rsidRPr="00E878D3">
        <w:rPr>
          <w:rFonts w:ascii="Verdana" w:eastAsia="Calibri" w:hAnsi="Verdana" w:cs="Arial"/>
          <w:bdr w:val="none" w:sz="0" w:space="0" w:color="auto" w:frame="1"/>
          <w:lang w:eastAsia="es-ES_tradnl"/>
        </w:rPr>
        <w:t xml:space="preserve">los Documentos Tipo adoptados son obligatorios para las Entidades Estatales regidas por el </w:t>
      </w:r>
      <w:r w:rsidRPr="00E878D3">
        <w:rPr>
          <w:rFonts w:ascii="Verdana" w:eastAsia="Calibri" w:hAnsi="Verdana" w:cs="Arial"/>
          <w:bCs/>
          <w:lang w:val="es-ES_tradnl" w:eastAsia="es-ES_tradnl"/>
        </w:rPr>
        <w:t>EGCAP</w:t>
      </w:r>
      <w:r w:rsidRPr="00E878D3">
        <w:rPr>
          <w:rFonts w:ascii="Verdana" w:eastAsia="Calibri" w:hAnsi="Verdana" w:cs="Arial"/>
          <w:bdr w:val="none" w:sz="0" w:space="0" w:color="auto" w:frame="1"/>
          <w:lang w:eastAsia="es-ES_tradnl"/>
        </w:rPr>
        <w:t xml:space="preserve"> que adelanten Procesos de Contratación mediante las modalidades de selección y objetos contractuales cobijados por alguno de los Documentos Tipo vigentes en los diferentes sectores</w:t>
      </w:r>
      <w:r w:rsidRPr="00E878D3">
        <w:rPr>
          <w:rFonts w:ascii="Verdana" w:eastAsia="Calibri" w:hAnsi="Verdana" w:cs="Arial"/>
          <w:bdr w:val="none" w:sz="0" w:space="0" w:color="auto" w:frame="1"/>
          <w:vertAlign w:val="superscript"/>
          <w:lang w:eastAsia="es-ES_tradnl"/>
        </w:rPr>
        <w:footnoteReference w:id="7"/>
      </w:r>
      <w:r w:rsidRPr="00E878D3">
        <w:rPr>
          <w:rFonts w:ascii="Verdana" w:eastAsia="Calibri" w:hAnsi="Verdana" w:cs="Arial"/>
          <w:bdr w:val="none" w:sz="0" w:space="0" w:color="auto" w:frame="1"/>
          <w:lang w:eastAsia="es-ES_tradnl"/>
        </w:rPr>
        <w:t xml:space="preserve">. </w:t>
      </w:r>
      <w:r w:rsidRPr="00E878D3">
        <w:rPr>
          <w:rFonts w:ascii="Verdana" w:eastAsia="Calibri" w:hAnsi="Verdana" w:cs="Arial"/>
          <w:lang w:eastAsia="es-MX"/>
        </w:rPr>
        <w:t xml:space="preserve">Esta obligatoriedad implica, a su vez, que las Entidades Estatales tengan que adelantar los Procesos de Contratación bajo las condiciones establecidas en los Documentos Tipo que rijan para el objeto a contratar y el procedimiento de selección aplicables, sin que puedan variarse los requisitos fijados en ellos. Lo anterior, por cuanto los Documentos Tipo se caracterizan por ser inalterables, es decir, que las Entidades Públicas carecen de la facultad de modificarlos, con excepción de aquellos aspectos que pueden diligenciar, que son las descripciones que están incluidas entre corchetes y resaltadas en gris en cada uno de los Documentos Tipo. </w:t>
      </w:r>
    </w:p>
    <w:p w14:paraId="35AB1F5F" w14:textId="77777777" w:rsidR="00E878D3" w:rsidRPr="00E878D3" w:rsidRDefault="00E878D3" w:rsidP="00E878D3">
      <w:pPr>
        <w:spacing w:after="120" w:line="276" w:lineRule="auto"/>
        <w:ind w:firstLine="709"/>
        <w:jc w:val="both"/>
        <w:rPr>
          <w:rFonts w:ascii="Verdana" w:eastAsia="Calibri" w:hAnsi="Verdana" w:cs="Arial"/>
          <w:lang w:val="es-ES" w:eastAsia="es-MX"/>
        </w:rPr>
      </w:pPr>
      <w:r w:rsidRPr="00E878D3">
        <w:rPr>
          <w:rFonts w:ascii="Verdana" w:eastAsia="Calibri" w:hAnsi="Verdana" w:cs="Arial"/>
          <w:shd w:val="clear" w:color="auto" w:fill="FFFFFF"/>
          <w:lang w:val="es-ES" w:eastAsia="es-MX"/>
        </w:rPr>
        <w:t xml:space="preserve">En ese orden, </w:t>
      </w:r>
      <w:r w:rsidRPr="00E878D3">
        <w:rPr>
          <w:rFonts w:ascii="Verdana" w:eastAsia="Calibri" w:hAnsi="Verdana" w:cs="Arial"/>
          <w:lang w:val="es-ES" w:eastAsia="es-MX"/>
        </w:rPr>
        <w:t xml:space="preserve">las Entidades Estatales regidas por el EGCAP, de conformidad con el parágrafo 7 del artículo 2 de la Ley 1150 de 2007, adicionado por la Ley 1882 de 2018 y modificado por la Ley 2022 de 2020, se encuentran obligadas a aplicar los Documentos Tipo implementados por esta Agencia para adelantar los Procesos de Contratación que se encuentren cobijados por los Documentos Tipo expedidos. Sin embargo, si el objeto contractual no se </w:t>
      </w:r>
      <w:r w:rsidRPr="00E878D3">
        <w:rPr>
          <w:rFonts w:ascii="Verdana" w:eastAsia="Calibri" w:hAnsi="Verdana" w:cs="Arial"/>
          <w:lang w:val="es-ES" w:eastAsia="es-MX"/>
        </w:rPr>
        <w:lastRenderedPageBreak/>
        <w:t xml:space="preserve">relaciona con actividades u objetos contractuales descritos en los Documentos Tipo que han sido expedidos por Colombia Compra Eficiente, o estos no aplican a la modalidad de escogencia aplicable, no será obligatorio aplicar los Pliegos Tipo. </w:t>
      </w:r>
    </w:p>
    <w:p w14:paraId="00DF52D6" w14:textId="77777777" w:rsidR="00E878D3" w:rsidRPr="00E878D3" w:rsidRDefault="00E878D3" w:rsidP="00E878D3">
      <w:pPr>
        <w:spacing w:after="120" w:line="276" w:lineRule="auto"/>
        <w:ind w:firstLine="709"/>
        <w:jc w:val="both"/>
        <w:rPr>
          <w:rFonts w:ascii="Verdana" w:eastAsia="Calibri" w:hAnsi="Verdana" w:cs="Arial"/>
          <w:lang w:val="es-ES_tradnl" w:eastAsia="es-MX"/>
        </w:rPr>
      </w:pPr>
      <w:r w:rsidRPr="00E878D3">
        <w:rPr>
          <w:rFonts w:ascii="Verdana" w:eastAsia="Calibri" w:hAnsi="Verdana" w:cs="Arial"/>
          <w:lang w:val="es-ES" w:eastAsia="es-MX"/>
        </w:rPr>
        <w:t>Además del objeto y la modalidad de escogencia aplicable, para delimitar de forma más precisa el ámbito de aplicación de cada uno de los Documentos Tipo será necesario analizar la matriz de experiencia asociada a cada uno de ellos, pues estos aplicarán a los proyectos y/o actividades específicas contempladas en cada una de dichas matrices de experiencia. En este sentido, la matriz de experiencia de cada uno de los Documentos Tipo, además de estandarizar este importante requisito en los procedimientos de selección, delimita o precisa el ámbito de aplicación de estos, por lo que aplicarán a las actividades establecidas en cada una de estas matrices</w:t>
      </w:r>
      <w:r w:rsidRPr="00E878D3">
        <w:rPr>
          <w:rFonts w:ascii="Verdana" w:eastAsia="Calibri" w:hAnsi="Verdana" w:cs="Arial"/>
          <w:vertAlign w:val="superscript"/>
          <w:lang w:val="es-ES" w:eastAsia="es-MX"/>
        </w:rPr>
        <w:footnoteReference w:id="8"/>
      </w:r>
      <w:r w:rsidRPr="00E878D3">
        <w:rPr>
          <w:rFonts w:ascii="Verdana" w:eastAsia="Calibri" w:hAnsi="Verdana" w:cs="Arial"/>
          <w:lang w:val="es-ES" w:eastAsia="es-MX"/>
        </w:rPr>
        <w:t>.</w:t>
      </w:r>
    </w:p>
    <w:p w14:paraId="12798E9F" w14:textId="77777777" w:rsidR="00E878D3" w:rsidRPr="00E878D3" w:rsidRDefault="00E878D3" w:rsidP="00E878D3">
      <w:pPr>
        <w:spacing w:after="120" w:line="276" w:lineRule="auto"/>
        <w:jc w:val="both"/>
        <w:rPr>
          <w:rFonts w:ascii="Verdana" w:eastAsia="Aptos" w:hAnsi="Verdana" w:cs="Arial"/>
          <w:lang w:val="es-ES" w:eastAsia="es-MX"/>
        </w:rPr>
      </w:pPr>
      <w:r w:rsidRPr="00E878D3">
        <w:rPr>
          <w:rFonts w:ascii="Verdana" w:eastAsia="Aptos" w:hAnsi="Verdana" w:cs="Arial"/>
          <w:lang w:val="es-ES" w:eastAsia="es-MX"/>
        </w:rPr>
        <w:tab/>
      </w:r>
      <w:bookmarkStart w:id="5" w:name="_Hlk104104535"/>
      <w:r w:rsidRPr="00E878D3">
        <w:rPr>
          <w:rFonts w:ascii="Verdana" w:eastAsia="Aptos" w:hAnsi="Verdana" w:cs="Arial"/>
          <w:lang w:val="es-ES" w:eastAsia="es-MX"/>
        </w:rPr>
        <w:t xml:space="preserve">En conclusión, la definición de si a un Proceso de Contratación le aplican los Documentos Tipo radicará en si el contrato a ejecutar </w:t>
      </w:r>
      <w:proofErr w:type="gramStart"/>
      <w:r w:rsidRPr="00E878D3">
        <w:rPr>
          <w:rFonts w:ascii="Verdana" w:eastAsia="Aptos" w:hAnsi="Verdana" w:cs="Arial"/>
          <w:lang w:val="es-ES" w:eastAsia="es-MX"/>
        </w:rPr>
        <w:t>se enmarca dentro de</w:t>
      </w:r>
      <w:proofErr w:type="gramEnd"/>
      <w:r w:rsidRPr="00E878D3">
        <w:rPr>
          <w:rFonts w:ascii="Verdana" w:eastAsia="Aptos" w:hAnsi="Verdana" w:cs="Arial"/>
          <w:lang w:val="es-ES" w:eastAsia="es-MX"/>
        </w:rPr>
        <w:t xml:space="preserve"> las actividades establecidas en la matriz de experiencia del Documento Tipo, de modo que las Entidades Estatales sometidas al EGCAP deberán aplicar los Documentos Tipo en dichos supuestos. En todo caso, independientemente de la correspondencia entre el objeto a contratar y alguna de las actividades tipificadas en las matrices de experiencia, la aplicación del Documento Tipo solo será forzosa, si además el correspondiente Documento Tipo ha sido expedido para la modalidad de escogencia en la que se debe adelantar el proceso de selección. </w:t>
      </w:r>
      <w:bookmarkEnd w:id="5"/>
    </w:p>
    <w:p w14:paraId="5C612A0D" w14:textId="77777777" w:rsidR="00E878D3" w:rsidRPr="00E878D3" w:rsidRDefault="00E878D3" w:rsidP="00E878D3">
      <w:pPr>
        <w:spacing w:after="120" w:line="276" w:lineRule="auto"/>
        <w:ind w:firstLine="708"/>
        <w:jc w:val="both"/>
        <w:rPr>
          <w:rFonts w:ascii="Verdana" w:eastAsia="Aptos" w:hAnsi="Verdana" w:cs="Arial"/>
          <w:lang w:val="es-ES" w:eastAsia="es-MX"/>
        </w:rPr>
      </w:pPr>
      <w:r w:rsidRPr="00E878D3">
        <w:rPr>
          <w:rFonts w:ascii="Verdana" w:eastAsia="Calibri" w:hAnsi="Verdana" w:cs="Arial"/>
          <w:bCs/>
          <w:lang w:val="es-ES_tradnl" w:eastAsia="es-ES_tradnl"/>
        </w:rPr>
        <w:t xml:space="preserve">Conforme se explicó en los párrafos anteriores, en virtud de la Ley 2022 de 2020, los Documentos Tipo expedidos por la Agencia Nacional de Contratación Pública – Colombia Compra Eficiente son de aplicación obligatoria para las Entidades Estatales sometidas al EGCAP. En ese sentido, el contenido normativo de la Ley 2022 de 2020, y en su momento también de la Ley 1882 de 2018, excluyen del ámbito de aplicación de los Documentos Tipo la contratación </w:t>
      </w:r>
      <w:r w:rsidRPr="00E878D3">
        <w:rPr>
          <w:rFonts w:ascii="Verdana" w:eastAsia="Calibri" w:hAnsi="Verdana" w:cs="Arial"/>
          <w:bCs/>
          <w:lang w:val="es-ES_tradnl" w:eastAsia="es-ES_tradnl"/>
        </w:rPr>
        <w:lastRenderedPageBreak/>
        <w:t xml:space="preserve">de Entidades Estatales de régimen exceptuado, por lo general, sujetas al derecho privado. </w:t>
      </w:r>
    </w:p>
    <w:p w14:paraId="16971439" w14:textId="77777777" w:rsidR="00E878D3" w:rsidRPr="00E878D3" w:rsidRDefault="00E878D3" w:rsidP="00E878D3">
      <w:pPr>
        <w:spacing w:after="120" w:line="276" w:lineRule="auto"/>
        <w:jc w:val="both"/>
        <w:rPr>
          <w:rFonts w:ascii="Verdana" w:eastAsia="Calibri" w:hAnsi="Verdana" w:cs="Arial"/>
          <w:lang w:val="es-ES" w:eastAsia="es-ES"/>
        </w:rPr>
      </w:pPr>
      <w:proofErr w:type="spellStart"/>
      <w:r w:rsidRPr="00E878D3">
        <w:rPr>
          <w:rFonts w:ascii="Verdana" w:eastAsia="Calibri" w:hAnsi="Verdana" w:cs="Arial"/>
          <w:lang w:val="es-ES" w:eastAsia="es-ES"/>
        </w:rPr>
        <w:t>ii</w:t>
      </w:r>
      <w:proofErr w:type="spellEnd"/>
      <w:r w:rsidRPr="00E878D3">
        <w:rPr>
          <w:rFonts w:ascii="Verdana" w:eastAsia="Calibri" w:hAnsi="Verdana" w:cs="Arial"/>
          <w:lang w:val="es-ES" w:eastAsia="es-ES"/>
        </w:rPr>
        <w:t xml:space="preserve">. No obstante, este panorama varió con la expedición de la Ley 2195 de 2022, “Por medio de la cual se adoptan medidas en materia de transparencia, prevención y lucha contra la corrupción y se dictan otras disposiciones”. De conformidad con su artículo 1, esta norma tiene por objeto la adopción de diferentes medidas tendientes a prevenir los actos de corrupción, reforzar la articulación de las entidades del Estado y a recuperar los daños ocasionados por la corrupción, promoviendo la cultura de la legalidad e integridad. </w:t>
      </w:r>
    </w:p>
    <w:p w14:paraId="3CEF8242" w14:textId="77777777" w:rsidR="00E878D3" w:rsidRPr="00E878D3" w:rsidRDefault="00E878D3" w:rsidP="00E878D3">
      <w:pPr>
        <w:spacing w:after="0" w:line="276" w:lineRule="auto"/>
        <w:ind w:firstLine="708"/>
        <w:jc w:val="both"/>
        <w:rPr>
          <w:rFonts w:ascii="Verdana" w:eastAsia="Calibri" w:hAnsi="Verdana" w:cs="Arial"/>
          <w:bCs/>
          <w:lang w:val="es-ES_tradnl" w:eastAsia="es-ES_tradnl"/>
        </w:rPr>
      </w:pPr>
      <w:r w:rsidRPr="00E878D3">
        <w:rPr>
          <w:rFonts w:ascii="Verdana" w:eastAsia="Calibri" w:hAnsi="Verdana" w:cs="Arial"/>
          <w:bCs/>
          <w:lang w:val="es-ES_tradnl" w:eastAsia="es-ES_tradnl"/>
        </w:rPr>
        <w:t>Entre las medidas adoptadas por la Ley mencionada se destaca el artículo 56, norma sobre la que versa la presente consulta. Esta disposición se refiere de manera expresa a los documentos tipo y a su aplicabilidad a sujetos diferentes de las entidades estatales sometidas al Estatuto General de Contratación de la Administración Pública:</w:t>
      </w:r>
    </w:p>
    <w:p w14:paraId="4B64F69E" w14:textId="77777777" w:rsidR="00E878D3" w:rsidRPr="00E878D3" w:rsidRDefault="00E878D3" w:rsidP="00E878D3">
      <w:pPr>
        <w:tabs>
          <w:tab w:val="left" w:pos="0"/>
        </w:tabs>
        <w:spacing w:after="0" w:line="276" w:lineRule="auto"/>
        <w:jc w:val="both"/>
        <w:rPr>
          <w:rFonts w:ascii="Arial" w:eastAsia="Calibri" w:hAnsi="Arial" w:cs="Arial"/>
          <w:bCs/>
          <w:szCs w:val="24"/>
          <w:lang w:val="es-ES_tradnl" w:eastAsia="es-ES_tradnl"/>
        </w:rPr>
      </w:pPr>
    </w:p>
    <w:p w14:paraId="7B55E0AA" w14:textId="77777777" w:rsidR="00E878D3" w:rsidRPr="00E878D3" w:rsidRDefault="00E878D3" w:rsidP="00E878D3">
      <w:pPr>
        <w:tabs>
          <w:tab w:val="left" w:pos="0"/>
        </w:tabs>
        <w:spacing w:after="0" w:line="240" w:lineRule="auto"/>
        <w:ind w:left="709" w:right="709"/>
        <w:jc w:val="both"/>
        <w:rPr>
          <w:rFonts w:ascii="Verdana" w:eastAsia="Times New Roman" w:hAnsi="Verdana" w:cs="Arial"/>
          <w:sz w:val="20"/>
          <w:szCs w:val="20"/>
          <w:lang w:val="es-ES_tradnl" w:eastAsia="es-ES_tradnl"/>
        </w:rPr>
      </w:pPr>
      <w:r w:rsidRPr="00E878D3">
        <w:rPr>
          <w:rFonts w:ascii="Verdana" w:eastAsia="Times New Roman" w:hAnsi="Verdana" w:cs="Arial"/>
          <w:sz w:val="20"/>
          <w:szCs w:val="20"/>
          <w:lang w:val="es-ES_tradnl" w:eastAsia="es-ES_tradnl"/>
        </w:rPr>
        <w:t xml:space="preserve">Artículo 56. Aplicación de los documentos tipo a entidades de régimen especial. Para la adquisición de bienes, obras o servicios, las entidades estatales sometidas al Estatuto General de Contratación de la Administración Pública que celebren contratos o convenios interadministrativos o de cualquier otra índole, con otra entidad estatal o con patrimonios autónomos o con personas naturales o jurídicas de derecho privado, cuyo régimen de contratación sea especial o de derecho privado, deberán aplicar los documentos tipo adoptados por la Agencia Nacional de Contratación Pública - Colombia Compra Eficiente o quien haga sus veces, conforme al parágrafo 7 del artículo 2 de la Ley 1150 de 2007 o las normas que lo modifiquen o sustituyan. </w:t>
      </w:r>
    </w:p>
    <w:p w14:paraId="2898CEB9" w14:textId="77777777" w:rsidR="00E878D3" w:rsidRPr="00E878D3" w:rsidRDefault="00E878D3" w:rsidP="00E878D3">
      <w:pPr>
        <w:tabs>
          <w:tab w:val="left" w:pos="0"/>
        </w:tabs>
        <w:spacing w:after="0" w:line="240" w:lineRule="auto"/>
        <w:ind w:left="709" w:right="709"/>
        <w:jc w:val="both"/>
        <w:rPr>
          <w:rFonts w:ascii="Verdana" w:eastAsia="Times New Roman" w:hAnsi="Verdana" w:cs="Arial"/>
          <w:sz w:val="20"/>
          <w:szCs w:val="20"/>
          <w:lang w:val="es-ES_tradnl" w:eastAsia="es-ES_tradnl"/>
        </w:rPr>
      </w:pPr>
    </w:p>
    <w:p w14:paraId="093F5784" w14:textId="77777777" w:rsidR="00E878D3" w:rsidRPr="00E878D3" w:rsidRDefault="00E878D3" w:rsidP="00E878D3">
      <w:pPr>
        <w:tabs>
          <w:tab w:val="left" w:pos="0"/>
        </w:tabs>
        <w:spacing w:after="120" w:line="240" w:lineRule="auto"/>
        <w:ind w:left="709" w:right="709"/>
        <w:jc w:val="both"/>
        <w:rPr>
          <w:rFonts w:ascii="Verdana" w:eastAsia="Times New Roman" w:hAnsi="Verdana" w:cs="Arial"/>
          <w:sz w:val="20"/>
          <w:szCs w:val="20"/>
          <w:lang w:val="es-ES_tradnl" w:eastAsia="es-ES_tradnl"/>
        </w:rPr>
      </w:pPr>
      <w:r w:rsidRPr="00E878D3">
        <w:rPr>
          <w:rFonts w:ascii="Verdana" w:eastAsia="Times New Roman" w:hAnsi="Verdana" w:cs="Arial"/>
          <w:sz w:val="20"/>
          <w:szCs w:val="20"/>
          <w:lang w:val="es-ES_tradnl" w:eastAsia="es-ES_tradnl"/>
        </w:rPr>
        <w:t xml:space="preserve">Los procedimientos de selección y los contratos que realicen en desarrollo de los anteriores negocios jurídicos, donde apliquen los documentos tipo se regirán por el Estatuto General de Contratación de la Administración Pública. </w:t>
      </w:r>
    </w:p>
    <w:p w14:paraId="5E0D214B" w14:textId="77777777" w:rsidR="00E878D3" w:rsidRPr="00E878D3" w:rsidRDefault="00E878D3" w:rsidP="00E878D3">
      <w:pPr>
        <w:spacing w:after="0" w:line="240" w:lineRule="auto"/>
        <w:ind w:left="709" w:right="709"/>
        <w:jc w:val="both"/>
        <w:rPr>
          <w:rFonts w:ascii="Verdana" w:eastAsia="Calibri" w:hAnsi="Verdana" w:cs="Arial"/>
          <w:sz w:val="20"/>
          <w:szCs w:val="20"/>
          <w:lang w:val="es-ES" w:eastAsia="es-ES"/>
        </w:rPr>
      </w:pPr>
      <w:r w:rsidRPr="00E878D3">
        <w:rPr>
          <w:rFonts w:ascii="Verdana" w:eastAsia="Times New Roman" w:hAnsi="Verdana" w:cs="Arial"/>
          <w:sz w:val="20"/>
          <w:szCs w:val="20"/>
          <w:lang w:val="es-ES" w:eastAsia="es-ES"/>
        </w:rPr>
        <w:t xml:space="preserve">Parágrafo. Se exceptúan del presente artículo las Instituciones de Educación Superior públicas, las empresas sociales del Estado, las sociedades de economía mixta y las empresas industriales y comerciales del Estado, únicamente en cuanto a la contratación de su </w:t>
      </w:r>
      <w:r w:rsidRPr="00E878D3">
        <w:rPr>
          <w:rFonts w:ascii="Verdana" w:eastAsia="Times New Roman" w:hAnsi="Verdana" w:cs="Arial"/>
          <w:i/>
          <w:iCs/>
          <w:sz w:val="20"/>
          <w:szCs w:val="20"/>
          <w:lang w:val="es-ES" w:eastAsia="es-ES"/>
        </w:rPr>
        <w:t>giro ordinario</w:t>
      </w:r>
      <w:r w:rsidRPr="00E878D3">
        <w:rPr>
          <w:rFonts w:ascii="Verdana" w:eastAsia="Times New Roman" w:hAnsi="Verdana" w:cs="Arial"/>
          <w:sz w:val="20"/>
          <w:szCs w:val="20"/>
          <w:lang w:val="es-ES" w:eastAsia="es-ES"/>
        </w:rPr>
        <w:t>. En estos casos, en los manuales de contratación de estas entidades, se fomentará como buena práctica la aplicación de los pliegos tipo.</w:t>
      </w:r>
    </w:p>
    <w:p w14:paraId="38C318E2" w14:textId="77777777" w:rsidR="00E878D3" w:rsidRPr="00E878D3" w:rsidRDefault="00E878D3" w:rsidP="00E878D3">
      <w:pPr>
        <w:tabs>
          <w:tab w:val="left" w:pos="0"/>
        </w:tabs>
        <w:spacing w:after="0" w:line="276" w:lineRule="auto"/>
        <w:jc w:val="both"/>
        <w:rPr>
          <w:rFonts w:ascii="Arial" w:eastAsia="Calibri" w:hAnsi="Arial" w:cs="Arial"/>
          <w:bCs/>
          <w:szCs w:val="24"/>
          <w:lang w:val="es-ES_tradnl" w:eastAsia="es-ES_tradnl"/>
        </w:rPr>
      </w:pPr>
    </w:p>
    <w:p w14:paraId="2F9E5963" w14:textId="2362CF95" w:rsidR="00E878D3" w:rsidRPr="00E878D3" w:rsidRDefault="00E878D3" w:rsidP="00E878D3">
      <w:pPr>
        <w:tabs>
          <w:tab w:val="left" w:pos="0"/>
        </w:tabs>
        <w:spacing w:after="120" w:line="276" w:lineRule="auto"/>
        <w:jc w:val="both"/>
        <w:rPr>
          <w:rFonts w:ascii="Verdana" w:eastAsia="Calibri" w:hAnsi="Verdana" w:cs="Arial"/>
          <w:color w:val="000000"/>
        </w:rPr>
      </w:pPr>
      <w:r w:rsidRPr="00E878D3">
        <w:rPr>
          <w:rFonts w:ascii="Arial" w:eastAsia="Calibri" w:hAnsi="Arial" w:cs="Arial"/>
          <w:bCs/>
          <w:szCs w:val="24"/>
          <w:lang w:val="es-ES_tradnl" w:eastAsia="es-ES_tradnl"/>
        </w:rPr>
        <w:tab/>
      </w:r>
      <w:r w:rsidRPr="00E878D3">
        <w:rPr>
          <w:rFonts w:ascii="Verdana" w:eastAsia="Calibri" w:hAnsi="Verdana" w:cs="Arial"/>
          <w:bCs/>
          <w:szCs w:val="24"/>
          <w:lang w:val="es-ES_tradnl" w:eastAsia="es-ES_tradnl"/>
        </w:rPr>
        <w:t xml:space="preserve">Las implicaciones de lo establecido en esta norma son variadas y se presentan en múltiples ámbitos de la actividad contractual de las entidades </w:t>
      </w:r>
      <w:r w:rsidRPr="00E878D3">
        <w:rPr>
          <w:rFonts w:ascii="Verdana" w:eastAsia="Calibri" w:hAnsi="Verdana" w:cs="Arial"/>
          <w:bCs/>
          <w:szCs w:val="24"/>
          <w:lang w:val="es-ES_tradnl" w:eastAsia="es-ES_tradnl"/>
        </w:rPr>
        <w:lastRenderedPageBreak/>
        <w:t>estatales, que</w:t>
      </w:r>
      <w:r w:rsidR="00CB3AF5">
        <w:rPr>
          <w:rFonts w:ascii="Verdana" w:eastAsia="Calibri" w:hAnsi="Verdana" w:cs="Arial"/>
          <w:bCs/>
          <w:szCs w:val="24"/>
          <w:lang w:val="es-ES_tradnl" w:eastAsia="es-ES_tradnl"/>
        </w:rPr>
        <w:t>,</w:t>
      </w:r>
      <w:r w:rsidRPr="00E878D3">
        <w:rPr>
          <w:rFonts w:ascii="Verdana" w:eastAsia="Calibri" w:hAnsi="Verdana" w:cs="Arial"/>
          <w:bCs/>
          <w:szCs w:val="24"/>
          <w:lang w:val="es-ES_tradnl" w:eastAsia="es-ES_tradnl"/>
        </w:rPr>
        <w:t xml:space="preserve"> como consecuencia de la entrada en vigor de la disposición en cita, ven alterado su régimen jurídico. </w:t>
      </w:r>
      <w:r w:rsidRPr="00E878D3">
        <w:rPr>
          <w:rFonts w:ascii="Verdana" w:eastAsia="Calibri" w:hAnsi="Verdana" w:cs="Arial"/>
          <w:color w:val="000000"/>
        </w:rPr>
        <w:t xml:space="preserve">En tal sentido, para efectos de dar respuesta concreta al problema jurídico planteado, es importante tener en cuenta las posturas que se han sustentado en torno al alcance del artículo 56 de la Ley 2195 de 2022. </w:t>
      </w:r>
    </w:p>
    <w:p w14:paraId="68D80926" w14:textId="77777777" w:rsidR="00E878D3" w:rsidRPr="00E878D3" w:rsidRDefault="00E878D3" w:rsidP="00E878D3">
      <w:pPr>
        <w:tabs>
          <w:tab w:val="left" w:pos="0"/>
        </w:tabs>
        <w:spacing w:after="120" w:line="276" w:lineRule="auto"/>
        <w:ind w:firstLine="709"/>
        <w:jc w:val="both"/>
        <w:rPr>
          <w:rFonts w:ascii="Verdana" w:eastAsia="Calibri" w:hAnsi="Verdana" w:cs="Arial"/>
          <w:bCs/>
          <w:szCs w:val="24"/>
          <w:lang w:val="es-ES_tradnl" w:eastAsia="es-ES_tradnl"/>
        </w:rPr>
      </w:pPr>
      <w:r w:rsidRPr="00E878D3">
        <w:rPr>
          <w:rFonts w:ascii="Verdana" w:eastAsia="Calibri" w:hAnsi="Verdana" w:cs="Arial"/>
          <w:color w:val="000000"/>
        </w:rPr>
        <w:t xml:space="preserve">Así, </w:t>
      </w:r>
      <w:r w:rsidRPr="00E878D3">
        <w:rPr>
          <w:rFonts w:ascii="Verdana" w:eastAsia="Times New Roman" w:hAnsi="Verdana" w:cs="Arial"/>
          <w:lang w:eastAsia="es-ES_tradnl"/>
        </w:rPr>
        <w:t>a partir del concepto C-066 del 28 de enero de 2022</w:t>
      </w:r>
      <w:r w:rsidRPr="00E878D3">
        <w:rPr>
          <w:rFonts w:ascii="Verdana" w:eastAsia="Times New Roman" w:hAnsi="Verdana" w:cs="Arial"/>
          <w:vertAlign w:val="superscript"/>
          <w:lang w:eastAsia="es-ES_tradnl"/>
        </w:rPr>
        <w:footnoteReference w:id="9"/>
      </w:r>
      <w:r w:rsidRPr="00E878D3">
        <w:rPr>
          <w:rFonts w:ascii="Verdana" w:eastAsia="Times New Roman" w:hAnsi="Verdana" w:cs="Arial"/>
          <w:lang w:eastAsia="es-ES_tradnl"/>
        </w:rPr>
        <w:t xml:space="preserve">, esta agencia consideró que </w:t>
      </w:r>
      <w:r w:rsidRPr="00E878D3">
        <w:rPr>
          <w:rFonts w:ascii="Verdana" w:eastAsia="Calibri" w:hAnsi="Verdana" w:cs="Arial"/>
          <w:bCs/>
          <w:lang w:val="es-ES_tradnl" w:eastAsia="es-ES_tradnl"/>
        </w:rPr>
        <w:t xml:space="preserve">el primer y principal mandato de la norma se encuentra dirigido a las Entidades Estatales sometidas al EGCAP, para que, en la adquisición de bienes, obras o servicios, apliquen los Documentos Tipo expedidos por esta Agencia, cuando celebren contratos o convenios interadministrativos o de cualquier otra índole con otra Entidad Estatal, o con patrimonios autónomos o con personas naturales o jurídicas, cuyo régimen de contratación sea especial o de derecho privado. En ese sentido, el primer inciso de la norma reafirma el deber de las entidades sometidas al EGCAP de aplicar los Documentos Tipo. </w:t>
      </w:r>
    </w:p>
    <w:p w14:paraId="42E3DD02" w14:textId="77777777" w:rsidR="00E878D3" w:rsidRPr="00E878D3" w:rsidRDefault="00E878D3" w:rsidP="00E878D3">
      <w:pPr>
        <w:spacing w:after="120" w:line="276" w:lineRule="auto"/>
        <w:jc w:val="both"/>
        <w:rPr>
          <w:rFonts w:ascii="Verdana" w:eastAsia="Calibri" w:hAnsi="Verdana" w:cs="Arial"/>
          <w:lang w:val="es-ES"/>
        </w:rPr>
      </w:pPr>
      <w:r w:rsidRPr="00E878D3">
        <w:rPr>
          <w:rFonts w:ascii="Verdana" w:eastAsia="Calibri" w:hAnsi="Verdana" w:cs="Arial"/>
          <w:bCs/>
          <w:lang w:val="es-ES_tradnl" w:eastAsia="es-ES_tradnl"/>
        </w:rPr>
        <w:tab/>
      </w:r>
      <w:r w:rsidRPr="00E878D3">
        <w:rPr>
          <w:rFonts w:ascii="Verdana" w:eastAsia="Calibri" w:hAnsi="Verdana" w:cs="Arial"/>
          <w:lang w:val="es-ES"/>
        </w:rPr>
        <w:t xml:space="preserve">De acuerdo con esto, se sostuvo que el artículo 56 de la Ley 2195 de 2022 es una norma que complementa al parágrafo 7 del artículo 2 de la Ley 1150 de 2007, modificado por la Ley 2022 de 2020, que establece el mandato de aplicación obligatoria de los Documentos Tipo para las entidades sometidas al EGCAP. Si bien el texto de la Ley 2022 de 2020 establece con claridad la regla de aplicación obligatoria de los documentos tipo en los Procesos de Contratación adelantados por las entidades estatales regidas por el EGCAP, lo cierto es que sus efectos no eran los mismos en los procesos de selección adelantados por entidades exceptuadas o con regímenes especiales.  </w:t>
      </w:r>
    </w:p>
    <w:p w14:paraId="3AA26646" w14:textId="77777777" w:rsidR="00E878D3" w:rsidRPr="00E878D3" w:rsidRDefault="00E878D3" w:rsidP="00E878D3">
      <w:pPr>
        <w:spacing w:after="120" w:line="276" w:lineRule="auto"/>
        <w:jc w:val="both"/>
        <w:rPr>
          <w:rFonts w:ascii="Verdana" w:eastAsia="Calibri" w:hAnsi="Verdana" w:cs="Arial"/>
          <w:lang w:val="es-ES"/>
        </w:rPr>
      </w:pPr>
      <w:r w:rsidRPr="00E878D3">
        <w:rPr>
          <w:rFonts w:ascii="Verdana" w:eastAsia="Calibri" w:hAnsi="Verdana" w:cs="Arial"/>
          <w:bCs/>
          <w:lang w:val="es-ES_tradnl"/>
        </w:rPr>
        <w:tab/>
      </w:r>
      <w:r w:rsidRPr="00E878D3">
        <w:rPr>
          <w:rFonts w:ascii="Verdana" w:eastAsia="Calibri" w:hAnsi="Verdana" w:cs="Arial"/>
          <w:lang w:val="es-ES"/>
        </w:rPr>
        <w:t xml:space="preserve">Antes de la expedición del artículo 56 </w:t>
      </w:r>
      <w:proofErr w:type="spellStart"/>
      <w:r w:rsidRPr="00E878D3">
        <w:rPr>
          <w:rFonts w:ascii="Verdana" w:eastAsia="Calibri" w:hAnsi="Verdana" w:cs="Arial"/>
          <w:i/>
          <w:iCs/>
          <w:lang w:val="es-ES"/>
        </w:rPr>
        <w:t>ibídem</w:t>
      </w:r>
      <w:proofErr w:type="spellEnd"/>
      <w:r w:rsidRPr="00E878D3">
        <w:rPr>
          <w:rFonts w:ascii="Verdana" w:eastAsia="Calibri" w:hAnsi="Verdana" w:cs="Arial"/>
          <w:i/>
          <w:iCs/>
          <w:lang w:val="es-ES"/>
        </w:rPr>
        <w:t>,</w:t>
      </w:r>
      <w:r w:rsidRPr="00E878D3">
        <w:rPr>
          <w:rFonts w:ascii="Verdana" w:eastAsia="Calibri" w:hAnsi="Verdana" w:cs="Arial"/>
          <w:lang w:val="es-ES"/>
        </w:rPr>
        <w:t xml:space="preserve"> la Ley 2022 de 2020 ya había establecido el mandato de aplicación obligatoria de los Documentos Tipo, atribuyendo a esta a Agencia la competencia para expedirlos. Dicha Ley restringe su aplicación en los Procesos de Contratación a través de los que una entidad </w:t>
      </w:r>
      <w:r w:rsidRPr="00E878D3">
        <w:rPr>
          <w:rFonts w:ascii="Verdana" w:eastAsia="Calibri" w:hAnsi="Verdana" w:cs="Arial"/>
          <w:lang w:val="es-ES"/>
        </w:rPr>
        <w:lastRenderedPageBreak/>
        <w:t xml:space="preserve">estatal regida por el EGCAP debe adquirir una obra o servicio, por supuesto siempre que el objeto a contratar, al igual que la modalidad que se requiere emplear, estén cobijados por algún documento tipo vigente. Por el contrario, la aplicación de Documentos Tipo por parte de entidades con regímenes especiales o de derecho privado era un asunto que escapaba del ámbito de aplicación de lo establecido por la Ley 2022 de 2020, incluso tratándose de obras o servicios para cuya contratación les resultaba aplicable los Documentos Tipo vigentes, comoquiera que la aplicación de estos solo era procedente cuando el régimen de la entidad contratante fuera el EGCAP, toda vez que el parágrafo 7 del artículo 2 de la Ley 1150 de 2007 solo se refiere a la obligación de aplicar los Documentos Tipo en los Procesos de Contratación que adelanten las entidades sometidas al EGCAP. </w:t>
      </w:r>
    </w:p>
    <w:p w14:paraId="033A6F63" w14:textId="77777777" w:rsidR="00E878D3" w:rsidRPr="00E878D3" w:rsidRDefault="00E878D3" w:rsidP="00E878D3">
      <w:pPr>
        <w:spacing w:after="120" w:line="276" w:lineRule="auto"/>
        <w:jc w:val="both"/>
        <w:rPr>
          <w:rFonts w:ascii="Verdana" w:eastAsia="Calibri" w:hAnsi="Verdana" w:cs="Arial"/>
          <w:lang w:val="es-ES"/>
        </w:rPr>
      </w:pPr>
      <w:r w:rsidRPr="00E878D3">
        <w:rPr>
          <w:rFonts w:ascii="Verdana" w:eastAsia="Calibri" w:hAnsi="Verdana" w:cs="Arial"/>
          <w:bCs/>
          <w:lang w:val="es-ES_tradnl"/>
        </w:rPr>
        <w:tab/>
      </w:r>
      <w:r w:rsidRPr="00E878D3">
        <w:rPr>
          <w:rFonts w:ascii="Verdana" w:eastAsia="Calibri" w:hAnsi="Verdana" w:cs="Arial"/>
          <w:lang w:val="es-ES"/>
        </w:rPr>
        <w:t>Por tanto, la norma, por el hecho de estar dirigida únicamente a las entidades sometidas a la Ley 80 de 1993 y la Ley 1150 de 2007, solo permitía que los Documentos Tipo tuvieran que aplicarse de manera obligatoria cuando este era el régimen general de la contratación de la entidad que adelantaba el Proceso de Contratación. En estos términos, si bien la Ley 2022 de 2020 no limitó la aplicabilidad de los Documentos Tipo expedidos por esta Agencia a una modalidad en específico, sí estableció que su implementación debía hacerse en el marco del EGCAP.</w:t>
      </w:r>
    </w:p>
    <w:p w14:paraId="73CFE847" w14:textId="77777777" w:rsidR="00E878D3" w:rsidRPr="00E878D3" w:rsidRDefault="00E878D3" w:rsidP="00E878D3">
      <w:pPr>
        <w:spacing w:after="120" w:line="276" w:lineRule="auto"/>
        <w:jc w:val="both"/>
        <w:rPr>
          <w:rFonts w:ascii="Verdana" w:eastAsia="Calibri" w:hAnsi="Verdana" w:cs="Arial"/>
          <w:lang w:val="es-ES"/>
        </w:rPr>
      </w:pPr>
      <w:r w:rsidRPr="00E878D3">
        <w:rPr>
          <w:rFonts w:ascii="Verdana" w:eastAsia="Calibri" w:hAnsi="Verdana" w:cs="Arial"/>
          <w:lang w:val="es-ES"/>
        </w:rPr>
        <w:tab/>
        <w:t xml:space="preserve">En este escenario, el primer inciso del artículo 56 de la Ley 2195 de 2022 surge como una disposición complementaria de la Ley 2022 de 2020, en la medida en que, según se desprende de su texto, de una parte, la norma busca extender la aplicación obligatoria de los documentos tipo a la celebración de contratos o convenios interadministrativos entre entidades regidas por EGCAP y otros sujetos cuyo régimen de contratación prevalente es el derecho privado. Esto de tal forma que cuando una entidad estatal regida por el EGCAP celebre contratos o convenios con otra i) entidad estatal de régimen especial o con </w:t>
      </w:r>
      <w:proofErr w:type="spellStart"/>
      <w:r w:rsidRPr="00E878D3">
        <w:rPr>
          <w:rFonts w:ascii="Verdana" w:eastAsia="Calibri" w:hAnsi="Verdana" w:cs="Arial"/>
          <w:lang w:val="es-ES"/>
        </w:rPr>
        <w:t>ii</w:t>
      </w:r>
      <w:proofErr w:type="spellEnd"/>
      <w:r w:rsidRPr="00E878D3">
        <w:rPr>
          <w:rFonts w:ascii="Verdana" w:eastAsia="Calibri" w:hAnsi="Verdana" w:cs="Arial"/>
          <w:lang w:val="es-ES"/>
        </w:rPr>
        <w:t xml:space="preserve">) patrimonios autónomos o </w:t>
      </w:r>
      <w:proofErr w:type="spellStart"/>
      <w:r w:rsidRPr="00E878D3">
        <w:rPr>
          <w:rFonts w:ascii="Verdana" w:eastAsia="Calibri" w:hAnsi="Verdana" w:cs="Arial"/>
          <w:lang w:val="es-ES"/>
        </w:rPr>
        <w:t>iii</w:t>
      </w:r>
      <w:proofErr w:type="spellEnd"/>
      <w:r w:rsidRPr="00E878D3">
        <w:rPr>
          <w:rFonts w:ascii="Verdana" w:eastAsia="Calibri" w:hAnsi="Verdana" w:cs="Arial"/>
          <w:lang w:val="es-ES"/>
        </w:rPr>
        <w:t xml:space="preserve">) con personas naturales o jurídicas de derecho privado, tenga que hacerlo aplicando documentos tipo. Los efectos del primer inciso del artículo 56 se proyectarían entonces a los contratos o convenios interadministrativos o de cualquier otra índole, que se deban celebrar con estos sujetos, cuyos objetos comprendan la adquisición de bienes, obras o servicios, que, al tenor de lo dispuesto en el apartado normativo bajo examen, deberán celebrarse mediante documentos tipo.    </w:t>
      </w:r>
    </w:p>
    <w:p w14:paraId="0A0ED84C" w14:textId="77777777" w:rsidR="00E878D3" w:rsidRPr="00E878D3" w:rsidRDefault="00E878D3" w:rsidP="00E878D3">
      <w:pPr>
        <w:tabs>
          <w:tab w:val="left" w:pos="0"/>
        </w:tabs>
        <w:spacing w:after="120" w:line="276" w:lineRule="auto"/>
        <w:jc w:val="both"/>
        <w:rPr>
          <w:rFonts w:ascii="Verdana" w:eastAsia="Calibri" w:hAnsi="Verdana" w:cs="Arial"/>
          <w:lang w:val="es-ES" w:eastAsia="es-ES"/>
        </w:rPr>
      </w:pPr>
      <w:r w:rsidRPr="00E878D3">
        <w:rPr>
          <w:rFonts w:ascii="Verdana" w:eastAsia="Calibri" w:hAnsi="Verdana" w:cs="Arial"/>
          <w:bCs/>
          <w:lang w:val="es-ES_tradnl" w:eastAsia="es-ES_tradnl"/>
        </w:rPr>
        <w:lastRenderedPageBreak/>
        <w:tab/>
      </w:r>
      <w:r w:rsidRPr="00E878D3">
        <w:rPr>
          <w:rFonts w:ascii="Verdana" w:eastAsia="Calibri" w:hAnsi="Verdana" w:cs="Arial"/>
          <w:lang w:val="es-ES" w:eastAsia="es-ES"/>
        </w:rPr>
        <w:t xml:space="preserve"> Sin perjuicio de lo anterior, solo es posible comprender los efectos de lo dispuesto en el artículo 56 de la </w:t>
      </w:r>
      <w:bookmarkStart w:id="7" w:name="_Hlk205276572"/>
      <w:r w:rsidRPr="00E878D3">
        <w:rPr>
          <w:rFonts w:ascii="Verdana" w:eastAsia="Calibri" w:hAnsi="Verdana" w:cs="Arial"/>
          <w:lang w:val="es-ES" w:eastAsia="es-ES"/>
        </w:rPr>
        <w:t xml:space="preserve">Ley 2195 de 2022 </w:t>
      </w:r>
      <w:bookmarkEnd w:id="7"/>
      <w:r w:rsidRPr="00E878D3">
        <w:rPr>
          <w:rFonts w:ascii="Verdana" w:eastAsia="Calibri" w:hAnsi="Verdana" w:cs="Arial"/>
          <w:lang w:val="es-ES" w:eastAsia="es-ES"/>
        </w:rPr>
        <w:t xml:space="preserve">cuando se interpretan en conjunto todos sus componentes. Esto comoquiera que, a lo anterior se le suman las implicaciones de lo ordenado por el segundo inciso de la norma en estudio cuando usa la expresión “los procedimientos de selección y contratos que realicen en desarrollo de los anteriores negocios jurídicos”, a los que se refiere el primer inciso, en los que, además de la aplicación de los Documentos Tipo, se dispone la aplicación del EGCAP. </w:t>
      </w:r>
    </w:p>
    <w:p w14:paraId="768C803F" w14:textId="77777777" w:rsidR="00E878D3" w:rsidRPr="00E878D3" w:rsidRDefault="00E878D3" w:rsidP="00E878D3">
      <w:pPr>
        <w:tabs>
          <w:tab w:val="left" w:pos="0"/>
        </w:tabs>
        <w:spacing w:after="120" w:line="276" w:lineRule="auto"/>
        <w:jc w:val="both"/>
        <w:rPr>
          <w:rFonts w:ascii="Verdana" w:eastAsia="Calibri" w:hAnsi="Verdana" w:cs="Arial"/>
          <w:lang w:val="es-ES" w:eastAsia="es-ES"/>
        </w:rPr>
      </w:pPr>
      <w:r w:rsidRPr="00E878D3">
        <w:rPr>
          <w:rFonts w:ascii="Verdana" w:eastAsia="Calibri" w:hAnsi="Verdana" w:cs="Arial"/>
          <w:lang w:val="es-ES" w:eastAsia="es-ES"/>
        </w:rPr>
        <w:tab/>
        <w:t xml:space="preserve">De acuerdo con esto, el cambio normativo que supone el artículo en comento no se agota con el mandato de aplicación obligatoria de los Documentos Tipo en los convenios o contratos que celebren las entidades estatales regidas por el EGCAP con otras entidades de régimen especial, patrimonios autónomos, personas naturales o jurídicas de derecho privado, pues, según se desprende del segundo inciso de la norma, esta además ordena la aplicación del EGCAP a los Procesos de Contratación que se adelanten y a los contratos que se celebren con ocasión de los contratos o convenios a los que se refiere el primer inciso. Esto significa que, ya sea una entidad estatal de régimen especial, un patrimonio autónomo o una persona natural o jurídica de derecho privado, en virtud de lo dispuesto en los incisos primero y segundo del artículo 56 </w:t>
      </w:r>
      <w:proofErr w:type="spellStart"/>
      <w:r w:rsidRPr="00E878D3">
        <w:rPr>
          <w:rFonts w:ascii="Verdana" w:eastAsia="Calibri" w:hAnsi="Verdana" w:cs="Arial"/>
          <w:lang w:val="es-ES" w:eastAsia="es-ES"/>
        </w:rPr>
        <w:t>ejusdem</w:t>
      </w:r>
      <w:proofErr w:type="spellEnd"/>
      <w:r w:rsidRPr="00E878D3">
        <w:rPr>
          <w:rFonts w:ascii="Verdana" w:eastAsia="Calibri" w:hAnsi="Verdana" w:cs="Arial"/>
          <w:lang w:val="es-ES" w:eastAsia="es-ES"/>
        </w:rPr>
        <w:t xml:space="preserve">, si, en efecto, deben subcontratar bienes, obras o servicios, en cumplimiento de un contrato o convenio interadministrativo o de cualquier otra índole, con una entidad estatal sometida a la Ley 80 de 1993, deberá adelantar el procedimiento de selección, así como celebrar el respectivo contrato, implementando los Documentos Tipo  y aplicando las disposiciones del EGCAP. </w:t>
      </w:r>
    </w:p>
    <w:p w14:paraId="0720EA46" w14:textId="77777777" w:rsidR="00E878D3" w:rsidRPr="00E878D3" w:rsidRDefault="00E878D3" w:rsidP="00E878D3">
      <w:pPr>
        <w:tabs>
          <w:tab w:val="left" w:pos="0"/>
        </w:tabs>
        <w:spacing w:after="0" w:line="276" w:lineRule="auto"/>
        <w:jc w:val="both"/>
        <w:rPr>
          <w:rFonts w:ascii="Verdana" w:eastAsia="Calibri" w:hAnsi="Verdana" w:cs="Arial"/>
          <w:lang w:val="es-ES" w:eastAsia="es-ES"/>
        </w:rPr>
      </w:pPr>
      <w:r w:rsidRPr="00E878D3">
        <w:rPr>
          <w:rFonts w:ascii="Arial" w:eastAsia="Calibri" w:hAnsi="Arial" w:cs="Arial"/>
          <w:bCs/>
          <w:color w:val="000000"/>
          <w:lang w:val="es-ES_tradnl"/>
        </w:rPr>
        <w:tab/>
      </w:r>
      <w:r w:rsidRPr="00E878D3">
        <w:rPr>
          <w:rFonts w:ascii="Verdana" w:eastAsia="Calibri" w:hAnsi="Verdana" w:cs="Arial"/>
          <w:lang w:val="es-ES" w:eastAsia="es-ES"/>
        </w:rPr>
        <w:t xml:space="preserve">Esta, además, es la interpretación que se desprende de la justificación del proyecto normativo que se convirtió en la Ley 2195 de 2022, en la que, respecto de los contratos ejecutados por entidades de derecho privado, se refirió a la “[..] obligatoriedad de aplicar los Documentos Tipo, aun si son ejecutados con entidades de régimen especial”, como uno de los propósitos de la Ley.  Conforme se indica en la justificación jurídica del proyecto ley, este: </w:t>
      </w:r>
    </w:p>
    <w:p w14:paraId="14C83CCD" w14:textId="77777777" w:rsidR="00E878D3" w:rsidRPr="00E878D3" w:rsidRDefault="00E878D3" w:rsidP="00E878D3">
      <w:pPr>
        <w:tabs>
          <w:tab w:val="left" w:pos="0"/>
        </w:tabs>
        <w:spacing w:after="0" w:line="276" w:lineRule="auto"/>
        <w:jc w:val="both"/>
        <w:rPr>
          <w:rFonts w:ascii="Verdana" w:eastAsia="Calibri" w:hAnsi="Verdana" w:cs="Arial"/>
          <w:lang w:val="es-ES" w:eastAsia="es-ES"/>
        </w:rPr>
      </w:pPr>
    </w:p>
    <w:p w14:paraId="60D12EE1" w14:textId="77777777" w:rsidR="00E878D3" w:rsidRPr="00E878D3" w:rsidRDefault="00E878D3" w:rsidP="00E878D3">
      <w:pPr>
        <w:tabs>
          <w:tab w:val="left" w:pos="0"/>
        </w:tabs>
        <w:spacing w:after="0"/>
        <w:ind w:left="709" w:right="709"/>
        <w:jc w:val="both"/>
        <w:rPr>
          <w:rFonts w:ascii="Verdana" w:eastAsia="Calibri" w:hAnsi="Verdana" w:cs="Arial"/>
          <w:bCs/>
          <w:color w:val="000000"/>
          <w:sz w:val="20"/>
          <w:szCs w:val="20"/>
          <w:lang w:val="es-ES_tradnl"/>
        </w:rPr>
      </w:pPr>
      <w:r w:rsidRPr="00E878D3">
        <w:rPr>
          <w:rFonts w:ascii="Verdana" w:eastAsia="Calibri" w:hAnsi="Verdana" w:cs="Arial"/>
          <w:bCs/>
          <w:color w:val="000000"/>
          <w:sz w:val="20"/>
          <w:szCs w:val="20"/>
          <w:lang w:val="es-ES_tradnl"/>
        </w:rPr>
        <w:t xml:space="preserve">“[…] determina la aplicación de documentos tipo, en los términos del parágrafo 7 del artículo 2 de la Ley 1150 de 2007 o las normas que lo modifiquen o sustituyan, en los eventos en que entidades públicas sometidas al Estatuto General de Contratación de la Administración Pública celebren contratos o convenios interadministrativos o de cualquier </w:t>
      </w:r>
      <w:r w:rsidRPr="00E878D3">
        <w:rPr>
          <w:rFonts w:ascii="Verdana" w:eastAsia="Calibri" w:hAnsi="Verdana" w:cs="Arial"/>
          <w:bCs/>
          <w:color w:val="000000"/>
          <w:sz w:val="20"/>
          <w:szCs w:val="20"/>
          <w:lang w:val="es-ES_tradnl"/>
        </w:rPr>
        <w:lastRenderedPageBreak/>
        <w:t>otra índole con otras entidades estatales, patrimonios autónomos o personas naturales o jurídicas de derecho privado. Así mismo, se determina que los procedimientos de selección y los contratos realizados en dichos negocios jurídicos deben regirse por las normas de contratación pública”</w:t>
      </w:r>
      <w:r w:rsidRPr="00E878D3">
        <w:rPr>
          <w:rFonts w:ascii="Verdana" w:eastAsia="Calibri" w:hAnsi="Verdana" w:cs="Arial"/>
          <w:color w:val="000000"/>
          <w:sz w:val="20"/>
          <w:szCs w:val="20"/>
          <w:vertAlign w:val="superscript"/>
        </w:rPr>
        <w:footnoteReference w:id="10"/>
      </w:r>
      <w:r w:rsidRPr="00E878D3">
        <w:rPr>
          <w:rFonts w:ascii="Verdana" w:eastAsia="Calibri" w:hAnsi="Verdana" w:cs="Arial"/>
          <w:bCs/>
          <w:color w:val="000000"/>
          <w:sz w:val="20"/>
          <w:szCs w:val="20"/>
          <w:lang w:val="es-ES_tradnl"/>
        </w:rPr>
        <w:t xml:space="preserve">. </w:t>
      </w:r>
    </w:p>
    <w:p w14:paraId="54006699" w14:textId="77777777" w:rsidR="00E878D3" w:rsidRPr="00E878D3" w:rsidRDefault="00E878D3" w:rsidP="00E878D3">
      <w:pPr>
        <w:tabs>
          <w:tab w:val="left" w:pos="0"/>
        </w:tabs>
        <w:spacing w:after="0" w:line="276" w:lineRule="auto"/>
        <w:jc w:val="both"/>
        <w:rPr>
          <w:rFonts w:ascii="Arial" w:eastAsia="Calibri" w:hAnsi="Arial" w:cs="Arial"/>
          <w:bCs/>
          <w:color w:val="000000"/>
          <w:lang w:val="es-ES_tradnl"/>
        </w:rPr>
      </w:pPr>
      <w:r w:rsidRPr="00E878D3">
        <w:rPr>
          <w:rFonts w:ascii="Arial" w:eastAsia="Calibri" w:hAnsi="Arial" w:cs="Arial"/>
          <w:bCs/>
          <w:color w:val="000000"/>
          <w:lang w:val="es-ES_tradnl"/>
        </w:rPr>
        <w:tab/>
        <w:t xml:space="preserve"> </w:t>
      </w:r>
    </w:p>
    <w:p w14:paraId="2E6CD4E6" w14:textId="77777777" w:rsidR="00E878D3" w:rsidRPr="00E878D3" w:rsidRDefault="00E878D3" w:rsidP="00E878D3">
      <w:pPr>
        <w:spacing w:after="120" w:line="276" w:lineRule="auto"/>
        <w:jc w:val="both"/>
        <w:rPr>
          <w:rFonts w:ascii="Verdana" w:eastAsia="Calibri" w:hAnsi="Verdana" w:cs="Arial"/>
          <w:color w:val="000000"/>
          <w:lang w:val="es-ES"/>
        </w:rPr>
      </w:pPr>
      <w:r w:rsidRPr="00E878D3">
        <w:rPr>
          <w:rFonts w:ascii="Arial" w:eastAsia="Calibri" w:hAnsi="Arial" w:cs="Arial"/>
          <w:bCs/>
          <w:color w:val="000000"/>
          <w:lang w:val="es-ES_tradnl"/>
        </w:rPr>
        <w:tab/>
      </w:r>
      <w:r w:rsidRPr="00E878D3">
        <w:rPr>
          <w:rFonts w:ascii="Verdana" w:eastAsia="Calibri" w:hAnsi="Verdana" w:cs="Arial"/>
          <w:color w:val="000000"/>
          <w:lang w:val="es-ES"/>
        </w:rPr>
        <w:t xml:space="preserve">De lo anterior se evidencia que el propósito del legislador con la expedición de la norma objeto de consulta, tal como se ha explicado, es que las entidades estatales que tienen como régimen contractual el EGCAP no puedan eludir su aplicación, ni la de los Documentos Tipo que resulten obligatorios, celebrando convenios o contratos interadministrativo o de cualquier otra índole, con entidades exceptuadas o particulares sometidos al derecho privado, para que sean estos últimos quienes, en el marco de sus regímenes especiales o de derecho privado, realicen la subcontratación de los bienes, obras o servicios que demanda la entidad estatal, en una suerte de tercerización de la contratación. Lo anterior teniendo en cuenta que, a la luz de lo dispuesto en el artículo 56 de la Ley 2195 de 2022, tales entidades exceptuadas, patrimonios autónomos o particulares, que han suscrito convenios o contratos de cualquier índole con entidades sometidas al EGCAP, estarán obligadas a aplicar dicho estatuto para la subcontratación derivada de obras, bienes o servicios, siempre que exista Documentos Tipo en el sector en el que se adelanta la contratación.  </w:t>
      </w:r>
    </w:p>
    <w:p w14:paraId="203042D0" w14:textId="77777777" w:rsidR="00E878D3" w:rsidRPr="00E878D3" w:rsidRDefault="00E878D3" w:rsidP="00E878D3">
      <w:pPr>
        <w:spacing w:after="120" w:line="276" w:lineRule="auto"/>
        <w:ind w:firstLine="709"/>
        <w:jc w:val="both"/>
        <w:rPr>
          <w:rFonts w:ascii="Verdana" w:eastAsia="Calibri" w:hAnsi="Verdana" w:cs="Arial"/>
          <w:lang w:val="es-ES" w:eastAsia="es-ES"/>
        </w:rPr>
      </w:pPr>
      <w:r w:rsidRPr="00E878D3">
        <w:rPr>
          <w:rFonts w:ascii="Verdana" w:eastAsia="Calibri" w:hAnsi="Verdana" w:cs="Arial"/>
          <w:lang w:val="es-ES" w:eastAsia="es-ES"/>
        </w:rPr>
        <w:t>En este punto es necesario analizar los efectos del artículo 56 de la Ley 2195 de 2022, respecto de lo dispuesto en el artículo 2, numeral 4, de la Ley 1150 de 2007, particularmente, de lo establecido en el tercer inciso del literal c). Lo anterior por cuanto esta norma, al establecer como causal de contratación directa la celebración de convenios o contratos interadministrativos regulaba la normativa aplicable a estos cuando el régimen prevalente de la entidad encargada de la ejecución no fuera el de la Ley 80 de 1993, casos en los que la norma imponía la aplicación de esta normativa, a menos que la entidad ejecutora desarrollara su actividad en competencia con el sector privado, o cuando la ejecución del contrato tuviere relación directa con el desarrollo de su actividad, eventos en los que se imponía el derecho privado.</w:t>
      </w:r>
    </w:p>
    <w:p w14:paraId="767FF56F" w14:textId="77777777" w:rsidR="00E878D3" w:rsidRPr="00E878D3" w:rsidRDefault="00E878D3" w:rsidP="00E878D3">
      <w:pPr>
        <w:spacing w:after="120" w:line="276" w:lineRule="auto"/>
        <w:ind w:firstLine="709"/>
        <w:jc w:val="both"/>
        <w:rPr>
          <w:rFonts w:ascii="Verdana" w:eastAsia="Calibri" w:hAnsi="Verdana" w:cs="Arial"/>
          <w:lang w:val="es-ES" w:eastAsia="es-ES"/>
        </w:rPr>
      </w:pPr>
      <w:r w:rsidRPr="00E878D3">
        <w:rPr>
          <w:rFonts w:ascii="Verdana" w:eastAsia="Calibri" w:hAnsi="Verdana" w:cs="Arial"/>
          <w:lang w:val="es-ES" w:eastAsia="es-ES"/>
        </w:rPr>
        <w:lastRenderedPageBreak/>
        <w:t xml:space="preserve"> En ese sentido, en este último evento el tercer inciso del literal c) del artículo 2, numeral 4 de la Ley 1150 de 2007 daba pie a la aplicación de normas de derecho privado, lo que evidencia una supuesta o aparente tensión entre este y el artículo 56 de la Ley 2195 de 2022, en lo que se refiere al régimen aplicable en estas situaciones, comoquiera que, en estos eventos, al tenor de criterios interpretativos aplicados a lo dispuesto en esta última norma, se entendía que debía aplicarse el EGCAP y los Documentos Tipo. </w:t>
      </w:r>
    </w:p>
    <w:p w14:paraId="25F7954B" w14:textId="77777777" w:rsidR="00E878D3" w:rsidRPr="00E878D3" w:rsidRDefault="00E878D3" w:rsidP="00E878D3">
      <w:pPr>
        <w:spacing w:after="120" w:line="276" w:lineRule="auto"/>
        <w:jc w:val="both"/>
        <w:rPr>
          <w:rFonts w:ascii="Verdana" w:eastAsia="Calibri" w:hAnsi="Verdana" w:cs="Arial"/>
          <w:lang w:val="es-ES" w:eastAsia="es-ES"/>
        </w:rPr>
      </w:pPr>
      <w:r w:rsidRPr="00E878D3">
        <w:rPr>
          <w:rFonts w:ascii="Verdana" w:eastAsia="Calibri" w:hAnsi="Verdana" w:cs="Arial"/>
          <w:bCs/>
          <w:lang w:val="es-ES_tradnl" w:eastAsia="es-ES_tradnl"/>
        </w:rPr>
        <w:tab/>
      </w:r>
      <w:r w:rsidRPr="00E878D3">
        <w:rPr>
          <w:rFonts w:ascii="Verdana" w:eastAsia="Calibri" w:hAnsi="Verdana" w:cs="Arial"/>
          <w:lang w:val="es-ES" w:eastAsia="es-ES"/>
        </w:rPr>
        <w:t>Lo anterior suponía una antinomia entre el literal c) del artículo 2, numeral 4, de la Ley 1150 de 2007 y el artículo 56 de la Ley 2195 de 2022, en la medida en que para un mismo supuesto de hecho –la celebración de un convenio interadministrativo entre una entidad sometida al EGCAP y otra exceptuada, en la que la última es la ejecutora y desarrolla su actividad en competencia con el sector privado–, se establecían diferentes consecuencias jurídicas, ya que mientras que la primera norma dispone la aplicación del derecho privado, la última impone la aplicación de Documentos Tipo y del EGCAP. Esta aparente contradicción, como se expuso en el numeral anterior, debe ser resuelta en favor del artículo 56 de la Ley 2195 de 2022.</w:t>
      </w:r>
    </w:p>
    <w:p w14:paraId="26271C5D" w14:textId="77777777" w:rsidR="00E878D3" w:rsidRPr="00E878D3" w:rsidRDefault="00E878D3" w:rsidP="00E878D3">
      <w:pPr>
        <w:tabs>
          <w:tab w:val="left" w:pos="0"/>
        </w:tabs>
        <w:spacing w:after="120" w:line="276" w:lineRule="auto"/>
        <w:jc w:val="both"/>
        <w:rPr>
          <w:rFonts w:ascii="Verdana" w:eastAsia="Calibri" w:hAnsi="Verdana" w:cs="Arial"/>
          <w:bCs/>
          <w:lang w:val="es-ES_tradnl" w:eastAsia="es-ES_tradnl"/>
        </w:rPr>
      </w:pPr>
      <w:r w:rsidRPr="00E878D3">
        <w:rPr>
          <w:rFonts w:ascii="Verdana" w:eastAsia="Calibri" w:hAnsi="Verdana" w:cs="Arial"/>
          <w:bCs/>
          <w:lang w:val="es-ES_tradnl" w:eastAsia="es-ES_tradnl"/>
        </w:rPr>
        <w:tab/>
        <w:t xml:space="preserve">En efecto, tratándose de disposiciones de igual jerarquía normativa –ambas son leyes ordinarias–, que coinciden en su ámbito de aplicación, debe colegirse que, en lo que respecta al régimen aplicable a los contratos con entidades exceptuadas ejecutoras de contratos o convenios interadministrativos, que desarrollen su actividad en competencia con el sector privado, el artículo 56 de la Ley 2195 de 2022 supuso una modificación tácita del artículo 2, numeral 4, literal c), de la Ley 1150 de 2007. </w:t>
      </w:r>
    </w:p>
    <w:p w14:paraId="4577E584" w14:textId="77777777" w:rsidR="00E878D3" w:rsidRPr="00E878D3" w:rsidRDefault="00E878D3" w:rsidP="00E878D3">
      <w:pPr>
        <w:spacing w:after="120" w:line="276" w:lineRule="auto"/>
        <w:jc w:val="both"/>
        <w:rPr>
          <w:rFonts w:ascii="Verdana" w:eastAsia="Calibri" w:hAnsi="Verdana" w:cs="Arial"/>
          <w:lang w:val="es-ES" w:eastAsia="es-ES"/>
        </w:rPr>
      </w:pPr>
      <w:r w:rsidRPr="00E878D3">
        <w:rPr>
          <w:rFonts w:ascii="Verdana" w:eastAsia="Calibri" w:hAnsi="Verdana" w:cs="Arial"/>
          <w:bCs/>
          <w:lang w:val="es-ES_tradnl" w:eastAsia="es-ES_tradnl"/>
        </w:rPr>
        <w:tab/>
      </w:r>
      <w:r w:rsidRPr="00E878D3">
        <w:rPr>
          <w:rFonts w:ascii="Verdana" w:eastAsia="Calibri" w:hAnsi="Verdana" w:cs="Arial"/>
          <w:lang w:val="es-ES" w:eastAsia="es-ES"/>
        </w:rPr>
        <w:t xml:space="preserve">En tales términos, de lo analizado hasta aquí es posible concluir que el efecto principal de la norma bajo estudio es la ampliación de los Documentos Tipo, al hacerlos obligatorios frente a unos sujetos que, en principio, de acuerdo con la Ley 2022 de 2020 y el literal c) del numeral 4 del artículo 2 de la Ley 1150 de 2007, no estarían sometidos a esos documentos. Para complementar esta medida, la disposición además hace extensiva la aplicación del EGCAP a estos sujetos que, en virtud de su naturaleza jurídica, tienen, como regla general, un régimen de contratación diferente, tales como las entidades exceptuadas, los patrimonios autónomos y las personas naturales y jurídicas de derecho privado, a los que expresamente hace alusión el artículo 56. De esta forma, independientemente de que el inciso tercero del literal c) del artículo 2, numeral </w:t>
      </w:r>
      <w:r w:rsidRPr="00E878D3">
        <w:rPr>
          <w:rFonts w:ascii="Verdana" w:eastAsia="Calibri" w:hAnsi="Verdana" w:cs="Arial"/>
          <w:lang w:val="es-ES" w:eastAsia="es-ES"/>
        </w:rPr>
        <w:lastRenderedPageBreak/>
        <w:t xml:space="preserve">4, de la Ley 1150 de 2007 parezca indicar que se debe aplicar el derecho privado, por ser este el régimen que por regla general aplica la entidad ejecutora, tratándose de objetos cobijados por Documentos Tipo, los mismos deberán ser contratados aplicando tales Pliegos Tipo y las disposiciones del EGCAP, por efecto del artículo 56 de la Ley 2195 de 2022.  </w:t>
      </w:r>
      <w:r w:rsidRPr="00E878D3">
        <w:rPr>
          <w:rFonts w:ascii="Verdana" w:eastAsia="Calibri" w:hAnsi="Verdana" w:cs="Arial"/>
          <w:bCs/>
          <w:highlight w:val="yellow"/>
          <w:lang w:val="es-ES_tradnl" w:eastAsia="es-ES_tradnl"/>
        </w:rPr>
        <w:t xml:space="preserve"> </w:t>
      </w:r>
    </w:p>
    <w:p w14:paraId="23ACC89B" w14:textId="77777777" w:rsidR="00E878D3" w:rsidRPr="00E878D3" w:rsidRDefault="00E878D3" w:rsidP="00E878D3">
      <w:pPr>
        <w:tabs>
          <w:tab w:val="left" w:pos="0"/>
        </w:tabs>
        <w:spacing w:after="120" w:line="276" w:lineRule="auto"/>
        <w:ind w:firstLine="709"/>
        <w:jc w:val="both"/>
        <w:rPr>
          <w:rFonts w:ascii="Arial" w:eastAsia="Calibri" w:hAnsi="Arial" w:cs="Arial"/>
          <w:bCs/>
          <w:lang w:val="es-ES_tradnl"/>
        </w:rPr>
      </w:pPr>
      <w:r w:rsidRPr="00E878D3">
        <w:rPr>
          <w:rFonts w:ascii="Verdana" w:eastAsia="Calibri" w:hAnsi="Verdana" w:cs="Arial"/>
          <w:color w:val="000000"/>
        </w:rPr>
        <w:t xml:space="preserve">En este contexto, </w:t>
      </w:r>
      <w:r w:rsidRPr="00E878D3">
        <w:rPr>
          <w:rFonts w:ascii="Verdana" w:eastAsia="Calibri" w:hAnsi="Verdana" w:cs="Arial"/>
          <w:bCs/>
          <w:lang w:val="es-ES_tradnl" w:eastAsia="es-ES_tradnl"/>
        </w:rPr>
        <w:t>de la lectura conjunta de los incisos primero y segundo</w:t>
      </w:r>
      <w:r w:rsidRPr="00E878D3">
        <w:rPr>
          <w:rFonts w:ascii="Verdana" w:eastAsia="Calibri" w:hAnsi="Verdana" w:cs="Arial"/>
          <w:bCs/>
          <w:lang w:eastAsia="es-ES_tradnl"/>
        </w:rPr>
        <w:t xml:space="preserve"> del artículo 56 de la Ley 2195 de 2022,</w:t>
      </w:r>
      <w:r w:rsidRPr="00E878D3">
        <w:rPr>
          <w:rFonts w:ascii="Verdana" w:eastAsia="Calibri" w:hAnsi="Verdana" w:cs="Arial"/>
          <w:bCs/>
          <w:lang w:val="es-ES_tradnl" w:eastAsia="es-ES_tradnl"/>
        </w:rPr>
        <w:t xml:space="preserve"> se desprende que </w:t>
      </w:r>
      <w:r w:rsidRPr="00E878D3">
        <w:rPr>
          <w:rFonts w:ascii="Verdana" w:eastAsia="Calibri" w:hAnsi="Verdana" w:cs="Arial"/>
          <w:bCs/>
          <w:lang w:eastAsia="es-ES_tradnl"/>
        </w:rPr>
        <w:t>cuando se celebre un contrato o convenio interadministrativo o de cualquier otra índole entre una entidad sometida al EGCAP y los sujetos allí mencionados, del cual se derive la ejecución de objetos contractuales incluidos dentro del ámbito de aplicación de los Documentos Tipo, su celebración deberá realizarse por parte del ejecutor o de quien tenga a su cargo el deber legal de materializar dicha contratación, haciendo uso obligatorio de dichos documentos</w:t>
      </w:r>
      <w:r w:rsidRPr="00E878D3">
        <w:rPr>
          <w:rFonts w:ascii="Arial" w:eastAsia="Calibri" w:hAnsi="Arial" w:cs="Arial"/>
          <w:bCs/>
          <w:lang w:val="es-ES_tradnl"/>
        </w:rPr>
        <w:t xml:space="preserve"> </w:t>
      </w:r>
      <w:r w:rsidRPr="00E878D3">
        <w:rPr>
          <w:rFonts w:ascii="Verdana" w:eastAsia="Calibri" w:hAnsi="Verdana" w:cs="Arial"/>
          <w:bCs/>
          <w:lang w:val="es-ES_tradnl"/>
        </w:rPr>
        <w:t xml:space="preserve">siempre que exista documento tipo aplicable al objeto contractual que se planea contratar. Esto significa que los contratos no relacionados con los contratos y convenios adquiridos con la entidad sometida al EGCAP no tendrían que aplicar los Documentos Tipo, salvo que quieran hacerlo como una buena práctica de contratación. </w:t>
      </w:r>
    </w:p>
    <w:p w14:paraId="36989902" w14:textId="77777777" w:rsidR="00E878D3" w:rsidRPr="00E878D3" w:rsidRDefault="00E878D3" w:rsidP="00E878D3">
      <w:pPr>
        <w:tabs>
          <w:tab w:val="left" w:pos="0"/>
        </w:tabs>
        <w:spacing w:after="120" w:line="276" w:lineRule="auto"/>
        <w:ind w:firstLine="709"/>
        <w:jc w:val="both"/>
        <w:rPr>
          <w:rFonts w:ascii="Verdana" w:eastAsia="Calibri" w:hAnsi="Verdana" w:cs="Arial"/>
          <w:bCs/>
          <w:color w:val="000000"/>
          <w:lang w:val="es-ES_tradnl" w:eastAsia="es-ES_tradnl"/>
        </w:rPr>
      </w:pPr>
      <w:r w:rsidRPr="00E878D3">
        <w:rPr>
          <w:rFonts w:ascii="Verdana" w:eastAsia="Calibri" w:hAnsi="Verdana" w:cs="Arial"/>
          <w:bCs/>
          <w:lang w:val="es-ES_tradnl" w:eastAsia="es-ES_tradnl"/>
        </w:rPr>
        <w:t>Sin perjuicio de lo anterior</w:t>
      </w:r>
      <w:r w:rsidRPr="00E878D3">
        <w:rPr>
          <w:rFonts w:ascii="Verdana" w:eastAsia="Times New Roman" w:hAnsi="Verdana" w:cs="Arial"/>
          <w:lang w:eastAsia="es-ES_tradnl"/>
        </w:rPr>
        <w:t xml:space="preserve">, </w:t>
      </w:r>
      <w:r w:rsidRPr="00E878D3">
        <w:rPr>
          <w:rFonts w:ascii="Verdana" w:eastAsia="Calibri" w:hAnsi="Verdana" w:cs="Arial"/>
          <w:bCs/>
          <w:lang w:val="es-ES_tradnl" w:eastAsia="es-ES_tradnl"/>
        </w:rPr>
        <w:t xml:space="preserve">es necesario precisar el alcance del parágrafo del artículo 56 de la Ley 2195 de 2022 y lo dispuesto en los dos primeros incisos del mencionado artículo, del cual se excluye, a cierto tipo de entidades, en lo relacionado con la contratación de su </w:t>
      </w:r>
      <w:r w:rsidRPr="00E878D3">
        <w:rPr>
          <w:rFonts w:ascii="Verdana" w:eastAsia="Calibri" w:hAnsi="Verdana" w:cs="Arial"/>
          <w:bCs/>
          <w:i/>
          <w:iCs/>
          <w:lang w:val="es-ES_tradnl" w:eastAsia="es-ES_tradnl"/>
        </w:rPr>
        <w:t>giro ordinario</w:t>
      </w:r>
      <w:r w:rsidRPr="00E878D3">
        <w:rPr>
          <w:rFonts w:ascii="Verdana" w:eastAsia="Calibri" w:hAnsi="Verdana" w:cs="Arial"/>
          <w:bCs/>
          <w:lang w:val="es-ES_tradnl" w:eastAsia="es-ES_tradnl"/>
        </w:rPr>
        <w:t xml:space="preserve">. Conforme se desprende del texto del referido parágrafo, se exceptúa de lo señalado en los dos primeros incisos a: i) las instituciones de educación superior públicas, </w:t>
      </w:r>
      <w:proofErr w:type="spellStart"/>
      <w:r w:rsidRPr="00E878D3">
        <w:rPr>
          <w:rFonts w:ascii="Verdana" w:eastAsia="Calibri" w:hAnsi="Verdana" w:cs="Arial"/>
          <w:bCs/>
          <w:lang w:val="es-ES_tradnl" w:eastAsia="es-ES_tradnl"/>
        </w:rPr>
        <w:t>ii</w:t>
      </w:r>
      <w:proofErr w:type="spellEnd"/>
      <w:r w:rsidRPr="00E878D3">
        <w:rPr>
          <w:rFonts w:ascii="Verdana" w:eastAsia="Calibri" w:hAnsi="Verdana" w:cs="Arial"/>
          <w:bCs/>
          <w:lang w:val="es-ES_tradnl" w:eastAsia="es-ES_tradnl"/>
        </w:rPr>
        <w:t xml:space="preserve">) las empresas sociales del Estado, </w:t>
      </w:r>
      <w:proofErr w:type="spellStart"/>
      <w:r w:rsidRPr="00E878D3">
        <w:rPr>
          <w:rFonts w:ascii="Verdana" w:eastAsia="Calibri" w:hAnsi="Verdana" w:cs="Arial"/>
          <w:bCs/>
          <w:lang w:val="es-ES_tradnl" w:eastAsia="es-ES_tradnl"/>
        </w:rPr>
        <w:t>iii</w:t>
      </w:r>
      <w:proofErr w:type="spellEnd"/>
      <w:r w:rsidRPr="00E878D3">
        <w:rPr>
          <w:rFonts w:ascii="Verdana" w:eastAsia="Calibri" w:hAnsi="Verdana" w:cs="Arial"/>
          <w:bCs/>
          <w:lang w:val="es-ES_tradnl" w:eastAsia="es-ES_tradnl"/>
        </w:rPr>
        <w:t xml:space="preserve">) las sociedades de economía mixta y </w:t>
      </w:r>
      <w:proofErr w:type="spellStart"/>
      <w:r w:rsidRPr="00E878D3">
        <w:rPr>
          <w:rFonts w:ascii="Verdana" w:eastAsia="Calibri" w:hAnsi="Verdana" w:cs="Arial"/>
          <w:bCs/>
          <w:lang w:val="es-ES_tradnl" w:eastAsia="es-ES_tradnl"/>
        </w:rPr>
        <w:t>iv</w:t>
      </w:r>
      <w:proofErr w:type="spellEnd"/>
      <w:r w:rsidRPr="00E878D3">
        <w:rPr>
          <w:rFonts w:ascii="Verdana" w:eastAsia="Calibri" w:hAnsi="Verdana" w:cs="Arial"/>
          <w:bCs/>
          <w:lang w:val="es-ES_tradnl" w:eastAsia="es-ES_tradnl"/>
        </w:rPr>
        <w:t xml:space="preserve">) las empresas industriales y comerciales del Estado, únicamente, en la contratación relacionada con el </w:t>
      </w:r>
      <w:r w:rsidRPr="00E878D3">
        <w:rPr>
          <w:rFonts w:ascii="Verdana" w:eastAsia="Calibri" w:hAnsi="Verdana" w:cs="Arial"/>
          <w:bCs/>
          <w:i/>
          <w:iCs/>
          <w:lang w:val="es-ES_tradnl" w:eastAsia="es-ES_tradnl"/>
        </w:rPr>
        <w:t>giro ordinario.</w:t>
      </w:r>
      <w:r w:rsidRPr="00E878D3">
        <w:rPr>
          <w:rFonts w:ascii="Verdana" w:eastAsia="Calibri" w:hAnsi="Verdana" w:cs="Arial"/>
          <w:bCs/>
          <w:lang w:val="es-ES_tradnl" w:eastAsia="es-ES_tradnl"/>
        </w:rPr>
        <w:t xml:space="preserve"> Esto significa que, en la contratación asociada a su </w:t>
      </w:r>
      <w:r w:rsidRPr="00E878D3">
        <w:rPr>
          <w:rFonts w:ascii="Verdana" w:eastAsia="Calibri" w:hAnsi="Verdana" w:cs="Arial"/>
          <w:bCs/>
          <w:i/>
          <w:iCs/>
          <w:lang w:val="es-ES_tradnl" w:eastAsia="es-ES_tradnl"/>
        </w:rPr>
        <w:t xml:space="preserve">giro ordinario, </w:t>
      </w:r>
      <w:r w:rsidRPr="00E878D3">
        <w:rPr>
          <w:rFonts w:ascii="Verdana" w:eastAsia="Calibri" w:hAnsi="Verdana" w:cs="Arial"/>
          <w:bCs/>
          <w:lang w:val="es-ES_tradnl" w:eastAsia="es-ES_tradnl"/>
        </w:rPr>
        <w:t>estos tipos de entidades no tendrían que aplicar, de manera obligatoria, los Documentos Tipo, ni tampoco el EGCAP.</w:t>
      </w:r>
      <w:r w:rsidRPr="00E878D3">
        <w:rPr>
          <w:rFonts w:ascii="Verdana" w:eastAsia="Times New Roman" w:hAnsi="Verdana" w:cs="Arial"/>
          <w:lang w:eastAsia="es-ES_tradnl"/>
        </w:rPr>
        <w:t xml:space="preserve"> </w:t>
      </w:r>
      <w:r w:rsidRPr="00E878D3">
        <w:rPr>
          <w:rFonts w:ascii="Verdana" w:eastAsia="Calibri" w:hAnsi="Verdana" w:cs="Arial"/>
          <w:bCs/>
          <w:lang w:val="es-ES_tradnl" w:eastAsia="es-ES_tradnl"/>
        </w:rPr>
        <w:t>En este caso, la norma se limita a fomentar la implementación de Documentos Tipo a modo de buena práctica contractual, en los casos en los que se estime conveniente.</w:t>
      </w:r>
      <w:r w:rsidRPr="00E878D3">
        <w:rPr>
          <w:rFonts w:ascii="Verdana" w:eastAsia="Calibri" w:hAnsi="Verdana" w:cs="Arial"/>
          <w:bCs/>
          <w:color w:val="000000"/>
          <w:lang w:val="es-ES_tradnl" w:eastAsia="es-ES_tradnl"/>
        </w:rPr>
        <w:t xml:space="preserve"> </w:t>
      </w:r>
    </w:p>
    <w:p w14:paraId="1732AC22" w14:textId="77777777" w:rsidR="00E878D3" w:rsidRPr="00E878D3" w:rsidRDefault="00E878D3" w:rsidP="00E878D3">
      <w:pPr>
        <w:tabs>
          <w:tab w:val="left" w:pos="0"/>
        </w:tabs>
        <w:spacing w:after="120" w:line="276" w:lineRule="auto"/>
        <w:ind w:firstLine="709"/>
        <w:jc w:val="both"/>
        <w:rPr>
          <w:rFonts w:ascii="Verdana" w:eastAsia="Arial" w:hAnsi="Verdana" w:cs="Arial"/>
          <w:lang w:val="es-ES_tradnl" w:eastAsia="es-ES_tradnl"/>
        </w:rPr>
      </w:pPr>
      <w:r w:rsidRPr="00E878D3">
        <w:rPr>
          <w:rFonts w:ascii="Verdana" w:eastAsia="Calibri" w:hAnsi="Verdana" w:cs="Arial"/>
          <w:bCs/>
          <w:lang w:val="es-ES_tradnl" w:eastAsia="es-ES_tradnl"/>
        </w:rPr>
        <w:t xml:space="preserve">Es importante tener en cuenta que cuando la norma se refiere a la contratación del </w:t>
      </w:r>
      <w:r w:rsidRPr="00E878D3">
        <w:rPr>
          <w:rFonts w:ascii="Verdana" w:eastAsia="Calibri" w:hAnsi="Verdana" w:cs="Arial"/>
          <w:bCs/>
          <w:i/>
          <w:iCs/>
          <w:lang w:val="es-ES_tradnl" w:eastAsia="es-ES_tradnl"/>
        </w:rPr>
        <w:t>giro ordinario</w:t>
      </w:r>
      <w:r w:rsidRPr="00E878D3">
        <w:rPr>
          <w:rFonts w:ascii="Verdana" w:eastAsia="Calibri" w:hAnsi="Verdana" w:cs="Arial"/>
          <w:bCs/>
          <w:lang w:val="es-ES_tradnl" w:eastAsia="es-ES_tradnl"/>
        </w:rPr>
        <w:t>, emplea un concepto jurídico indeterminado</w:t>
      </w:r>
      <w:r w:rsidRPr="00E878D3">
        <w:rPr>
          <w:rFonts w:ascii="Verdana" w:eastAsia="Calibri" w:hAnsi="Verdana" w:cs="Arial"/>
          <w:vertAlign w:val="superscript"/>
          <w:lang w:eastAsia="es-ES_tradnl"/>
        </w:rPr>
        <w:footnoteReference w:id="11"/>
      </w:r>
      <w:r w:rsidRPr="00E878D3">
        <w:rPr>
          <w:rFonts w:ascii="Verdana" w:eastAsia="Calibri" w:hAnsi="Verdana" w:cs="Arial"/>
          <w:bCs/>
          <w:lang w:val="es-ES_tradnl" w:eastAsia="es-ES_tradnl"/>
        </w:rPr>
        <w:t xml:space="preserve">. </w:t>
      </w:r>
      <w:r w:rsidRPr="00E878D3">
        <w:rPr>
          <w:rFonts w:ascii="Verdana" w:eastAsia="Arial" w:hAnsi="Verdana" w:cs="Arial"/>
          <w:lang w:val="es-ES_tradnl" w:eastAsia="es-ES_tradnl"/>
        </w:rPr>
        <w:t xml:space="preserve">Un </w:t>
      </w:r>
      <w:r w:rsidRPr="00E878D3">
        <w:rPr>
          <w:rFonts w:ascii="Verdana" w:eastAsia="Arial" w:hAnsi="Verdana" w:cs="Arial"/>
          <w:lang w:val="es-ES_tradnl" w:eastAsia="es-ES_tradnl"/>
        </w:rPr>
        <w:lastRenderedPageBreak/>
        <w:t xml:space="preserve">concepto adquiere esta denominación en el Derecho cuando se trata de un enunciado que goza de vaguedad y que debe materializarse en cada caso, atendiendo a las técnicas de la interpretación jurídica. De igual forma, se trata de un concepto para cuya concreción las Entidades Estatales gozan de cierto margen de apreciación en su aplicación, pero deben respetar los límites previstos en las normas de orden público. Por ejemplo, no podrán considerar que cualquier contrato que celebren hace parte del </w:t>
      </w:r>
      <w:r w:rsidRPr="00E878D3">
        <w:rPr>
          <w:rFonts w:ascii="Verdana" w:eastAsia="Arial" w:hAnsi="Verdana" w:cs="Arial"/>
          <w:i/>
          <w:iCs/>
          <w:lang w:val="es-ES_tradnl" w:eastAsia="es-ES_tradnl"/>
        </w:rPr>
        <w:t>giro ordinario</w:t>
      </w:r>
      <w:r w:rsidRPr="00E878D3">
        <w:rPr>
          <w:rFonts w:ascii="Verdana" w:eastAsia="Arial" w:hAnsi="Verdana" w:cs="Arial"/>
          <w:lang w:val="es-ES_tradnl" w:eastAsia="es-ES_tradnl"/>
        </w:rPr>
        <w:t xml:space="preserve"> de sus negocios. </w:t>
      </w:r>
    </w:p>
    <w:p w14:paraId="0E0255FE" w14:textId="77777777" w:rsidR="00E878D3" w:rsidRPr="00E878D3" w:rsidRDefault="00E878D3" w:rsidP="00E878D3">
      <w:pPr>
        <w:tabs>
          <w:tab w:val="left" w:pos="0"/>
        </w:tabs>
        <w:spacing w:after="120" w:line="276" w:lineRule="auto"/>
        <w:ind w:firstLine="709"/>
        <w:jc w:val="both"/>
        <w:rPr>
          <w:rFonts w:ascii="Verdana" w:eastAsia="Calibri" w:hAnsi="Verdana" w:cs="Arial"/>
          <w:bCs/>
          <w:lang w:val="es-ES_tradnl" w:eastAsia="es-ES_tradnl"/>
        </w:rPr>
      </w:pPr>
      <w:r w:rsidRPr="00E878D3">
        <w:rPr>
          <w:rFonts w:ascii="Verdana" w:eastAsia="Arial" w:hAnsi="Verdana" w:cs="Arial"/>
          <w:lang w:val="es-ES_tradnl" w:eastAsia="es-ES_tradnl"/>
        </w:rPr>
        <w:t>La Corte Constitucional</w:t>
      </w:r>
      <w:r w:rsidRPr="00E878D3">
        <w:rPr>
          <w:rFonts w:ascii="Verdana" w:eastAsia="Arial" w:hAnsi="Verdana" w:cs="Arial"/>
          <w:vertAlign w:val="superscript"/>
          <w:lang w:eastAsia="es-ES_tradnl"/>
        </w:rPr>
        <w:footnoteReference w:id="12"/>
      </w:r>
      <w:r w:rsidRPr="00E878D3">
        <w:rPr>
          <w:rFonts w:ascii="Verdana" w:eastAsia="Arial" w:hAnsi="Verdana" w:cs="Arial"/>
          <w:lang w:val="es-ES_tradnl" w:eastAsia="es-ES_tradnl"/>
        </w:rPr>
        <w:t xml:space="preserve"> también ha reconocido que el Congreso de la República, dentro de su libertad de configuración legislativa, puede emplear este tipo de conceptos, que se caracterizan por tener un cierto halo de incertidumbre en su interpretación, quedando referida su determinación concreta a la actividad de los operadores jurídicos.</w:t>
      </w:r>
      <w:r w:rsidRPr="00E878D3">
        <w:rPr>
          <w:rFonts w:ascii="Verdana" w:eastAsia="Calibri" w:hAnsi="Verdana" w:cs="Arial"/>
          <w:bCs/>
          <w:lang w:val="es-ES_tradnl" w:eastAsia="es-ES_tradnl"/>
        </w:rPr>
        <w:t xml:space="preserve"> </w:t>
      </w:r>
    </w:p>
    <w:p w14:paraId="0AA9A940" w14:textId="77777777" w:rsidR="00E878D3" w:rsidRPr="00E878D3" w:rsidRDefault="00E878D3" w:rsidP="00E878D3">
      <w:pPr>
        <w:tabs>
          <w:tab w:val="left" w:pos="0"/>
        </w:tabs>
        <w:spacing w:after="0" w:line="276" w:lineRule="auto"/>
        <w:ind w:firstLine="709"/>
        <w:jc w:val="both"/>
        <w:rPr>
          <w:rFonts w:ascii="Verdana" w:eastAsia="Calibri" w:hAnsi="Verdana" w:cs="Arial"/>
          <w:bCs/>
          <w:lang w:val="es-ES_tradnl" w:eastAsia="es-ES_tradnl"/>
        </w:rPr>
      </w:pPr>
      <w:r w:rsidRPr="00E878D3">
        <w:rPr>
          <w:rFonts w:ascii="Verdana" w:eastAsia="Calibri" w:hAnsi="Verdana" w:cs="Arial"/>
          <w:bCs/>
          <w:lang w:val="es-ES_tradnl" w:eastAsia="es-ES_tradnl"/>
        </w:rPr>
        <w:t xml:space="preserve">Aunque, como se indicó, la expresión giro ordinario de los negocios es un concepto jurídico indeterminado, el Consejo de Estado ha tenido la oportunidad de pronunciarse en distintas ocasiones sobre su alcance, estableciendo algunos criterios de interpretación. En su momento, en relación con el alcance de la expresión </w:t>
      </w:r>
      <w:r w:rsidRPr="00E878D3">
        <w:rPr>
          <w:rFonts w:ascii="Verdana" w:eastAsia="Calibri" w:hAnsi="Verdana" w:cs="Arial"/>
          <w:bCs/>
          <w:i/>
          <w:iCs/>
          <w:lang w:val="es-ES_tradnl" w:eastAsia="es-ES_tradnl"/>
        </w:rPr>
        <w:t xml:space="preserve">giro ordinario </w:t>
      </w:r>
      <w:r w:rsidRPr="00E878D3">
        <w:rPr>
          <w:rFonts w:ascii="Verdana" w:eastAsia="Calibri" w:hAnsi="Verdana" w:cs="Arial"/>
          <w:bCs/>
          <w:lang w:val="es-ES_tradnl" w:eastAsia="es-ES_tradnl"/>
        </w:rPr>
        <w:t>incluida en la redacción original del parágrafo 1° del artículo 32 de la Ley 80 de 1993</w:t>
      </w:r>
      <w:r w:rsidRPr="00E878D3">
        <w:rPr>
          <w:rFonts w:ascii="Verdana" w:eastAsia="Calibri" w:hAnsi="Verdana" w:cs="Arial"/>
          <w:vertAlign w:val="superscript"/>
          <w:lang w:eastAsia="es-ES_tradnl"/>
        </w:rPr>
        <w:footnoteReference w:id="13"/>
      </w:r>
      <w:r w:rsidRPr="00E878D3">
        <w:rPr>
          <w:rFonts w:ascii="Verdana" w:eastAsia="Calibri" w:hAnsi="Verdana" w:cs="Arial"/>
          <w:bCs/>
          <w:lang w:val="es-ES_tradnl" w:eastAsia="es-ES_tradnl"/>
        </w:rPr>
        <w:t xml:space="preserve">, la Sección Tercera manifestó lo siguiente: </w:t>
      </w:r>
    </w:p>
    <w:p w14:paraId="29CEA3AA" w14:textId="77777777" w:rsidR="00E878D3" w:rsidRPr="00E878D3" w:rsidRDefault="00E878D3" w:rsidP="00E878D3">
      <w:pPr>
        <w:tabs>
          <w:tab w:val="left" w:pos="0"/>
        </w:tabs>
        <w:spacing w:after="0" w:line="276" w:lineRule="auto"/>
        <w:jc w:val="both"/>
        <w:rPr>
          <w:rFonts w:ascii="Verdana" w:eastAsia="Calibri" w:hAnsi="Verdana" w:cs="Arial"/>
          <w:bCs/>
          <w:lang w:val="es-ES_tradnl" w:eastAsia="es-ES_tradnl"/>
        </w:rPr>
      </w:pPr>
    </w:p>
    <w:p w14:paraId="77697910" w14:textId="77777777" w:rsidR="00E878D3" w:rsidRPr="00E878D3" w:rsidRDefault="00E878D3" w:rsidP="00E878D3">
      <w:pPr>
        <w:spacing w:after="0" w:line="240" w:lineRule="auto"/>
        <w:ind w:left="709" w:right="709"/>
        <w:jc w:val="both"/>
        <w:rPr>
          <w:rFonts w:ascii="Verdana" w:eastAsia="Times New Roman" w:hAnsi="Verdana" w:cs="Arial"/>
          <w:sz w:val="20"/>
          <w:szCs w:val="20"/>
          <w:lang w:val="es-ES_tradnl" w:eastAsia="es-CO"/>
        </w:rPr>
      </w:pPr>
      <w:r w:rsidRPr="00E878D3">
        <w:rPr>
          <w:rFonts w:ascii="Verdana" w:eastAsia="Times New Roman" w:hAnsi="Verdana" w:cs="Arial"/>
          <w:sz w:val="20"/>
          <w:szCs w:val="20"/>
          <w:lang w:val="es-ES_tradnl" w:eastAsia="es-ES_tradnl"/>
        </w:rPr>
        <w:lastRenderedPageBreak/>
        <w:t xml:space="preserve">“[E]l giro ordinario de las actividades de una sociedad comercial no sólo comprende aquello que define en forma concreta su objeto social, sino todos los actos directamente relacionados con el mismo, lo que denota que entre éstos y aquéllas debe existir una relación de necesidad que los hace parte en el objeto de la sociedad. </w:t>
      </w:r>
      <w:proofErr w:type="gramStart"/>
      <w:r w:rsidRPr="00E878D3">
        <w:rPr>
          <w:rFonts w:ascii="Verdana" w:eastAsia="Times New Roman" w:hAnsi="Verdana" w:cs="Arial"/>
          <w:sz w:val="20"/>
          <w:szCs w:val="20"/>
          <w:lang w:val="es-ES_tradnl" w:eastAsia="es-ES_tradnl"/>
        </w:rPr>
        <w:t>Siendo</w:t>
      </w:r>
      <w:proofErr w:type="gramEnd"/>
      <w:r w:rsidRPr="00E878D3">
        <w:rPr>
          <w:rFonts w:ascii="Verdana" w:eastAsia="Times New Roman" w:hAnsi="Verdana" w:cs="Arial"/>
          <w:sz w:val="20"/>
          <w:szCs w:val="20"/>
          <w:lang w:val="es-ES_tradnl" w:eastAsia="es-ES_tradnl"/>
        </w:rPr>
        <w:t xml:space="preserve"> así las cosas, resulta que el concepto “giro ordinario de las actividades” […], hace relación tanto a las actividades o negocios realizados en cumplimiento del objeto social o de las funciones principales, expresamente definidas por la Ley, como también a todo aquello que es conexo con ellas y que se realiza para desarrollar la función principal, estableciéndose entre estos una relación de medio a fin, estrecha y complementaria”</w:t>
      </w:r>
      <w:r w:rsidRPr="00E878D3">
        <w:rPr>
          <w:rFonts w:ascii="Verdana" w:eastAsia="Times New Roman" w:hAnsi="Verdana" w:cs="Arial"/>
          <w:sz w:val="20"/>
          <w:szCs w:val="20"/>
          <w:vertAlign w:val="superscript"/>
          <w:lang w:eastAsia="es-ES_tradnl"/>
        </w:rPr>
        <w:footnoteReference w:id="14"/>
      </w:r>
      <w:r w:rsidRPr="00E878D3">
        <w:rPr>
          <w:rFonts w:ascii="Verdana" w:eastAsia="Times New Roman" w:hAnsi="Verdana" w:cs="Arial"/>
          <w:sz w:val="20"/>
          <w:szCs w:val="20"/>
          <w:lang w:val="es-ES_tradnl" w:eastAsia="es-ES_tradnl"/>
        </w:rPr>
        <w:t>.</w:t>
      </w:r>
    </w:p>
    <w:p w14:paraId="24563F85" w14:textId="77777777" w:rsidR="00E878D3" w:rsidRPr="00E878D3" w:rsidRDefault="00E878D3" w:rsidP="00E878D3">
      <w:pPr>
        <w:tabs>
          <w:tab w:val="left" w:pos="0"/>
        </w:tabs>
        <w:spacing w:after="0" w:line="276" w:lineRule="auto"/>
        <w:jc w:val="both"/>
        <w:rPr>
          <w:rFonts w:ascii="Verdana" w:eastAsia="Calibri" w:hAnsi="Verdana" w:cs="Arial"/>
          <w:bCs/>
          <w:i/>
          <w:iCs/>
          <w:lang w:val="es-ES_tradnl" w:eastAsia="es-ES_tradnl"/>
        </w:rPr>
      </w:pPr>
    </w:p>
    <w:p w14:paraId="1BCF8997" w14:textId="77777777" w:rsidR="00E878D3" w:rsidRPr="00E878D3" w:rsidRDefault="00E878D3" w:rsidP="00E878D3">
      <w:pPr>
        <w:tabs>
          <w:tab w:val="left" w:pos="0"/>
        </w:tabs>
        <w:spacing w:after="120" w:line="276" w:lineRule="auto"/>
        <w:jc w:val="both"/>
        <w:rPr>
          <w:rFonts w:ascii="Verdana" w:eastAsia="Calibri" w:hAnsi="Verdana" w:cs="Arial"/>
          <w:bCs/>
          <w:lang w:val="es-ES_tradnl" w:eastAsia="es-ES_tradnl"/>
        </w:rPr>
      </w:pPr>
      <w:r w:rsidRPr="00E878D3">
        <w:rPr>
          <w:rFonts w:ascii="Verdana" w:eastAsia="Calibri" w:hAnsi="Verdana" w:cs="Arial"/>
          <w:bCs/>
          <w:lang w:val="es-ES_tradnl" w:eastAsia="es-ES_tradnl"/>
        </w:rPr>
        <w:tab/>
        <w:t xml:space="preserve">En el mismo sentido se pronunció recientemente el Alto Tribunal de lo Contencioso Administrativo, reiterando las anteriores consideraciones, al expresar que el concepto de </w:t>
      </w:r>
      <w:r w:rsidRPr="00E878D3">
        <w:rPr>
          <w:rFonts w:ascii="Verdana" w:eastAsia="Calibri" w:hAnsi="Verdana" w:cs="Arial"/>
          <w:i/>
          <w:lang w:val="es-ES_tradnl" w:eastAsia="es-ES_tradnl"/>
        </w:rPr>
        <w:t xml:space="preserve">“giro ordinario de los negocios” </w:t>
      </w:r>
      <w:r w:rsidRPr="00E878D3">
        <w:rPr>
          <w:rFonts w:ascii="Verdana" w:eastAsia="Calibri" w:hAnsi="Verdana" w:cs="Arial"/>
          <w:bCs/>
          <w:lang w:val="es-ES_tradnl" w:eastAsia="es-ES_tradnl"/>
        </w:rPr>
        <w:t>se refiere a aquellas actividades compatibles con el objeto social, funciones previstas en la ley, o en las normas de creación y en sus estatutos internos de las personas</w:t>
      </w:r>
      <w:r w:rsidRPr="00E878D3">
        <w:rPr>
          <w:rFonts w:ascii="Verdana" w:eastAsia="Calibri" w:hAnsi="Verdana" w:cs="Arial"/>
          <w:vertAlign w:val="superscript"/>
          <w:lang w:eastAsia="es-ES_tradnl"/>
        </w:rPr>
        <w:footnoteReference w:id="15"/>
      </w:r>
      <w:r w:rsidRPr="00E878D3">
        <w:rPr>
          <w:rFonts w:ascii="Verdana" w:eastAsia="Calibri" w:hAnsi="Verdana" w:cs="Arial"/>
          <w:bCs/>
          <w:lang w:val="es-ES_tradnl" w:eastAsia="es-ES_tradnl"/>
        </w:rPr>
        <w:t xml:space="preserve"> y la doctrina societaria</w:t>
      </w:r>
      <w:r w:rsidRPr="00E878D3">
        <w:rPr>
          <w:rFonts w:ascii="Verdana" w:eastAsia="Calibri" w:hAnsi="Verdana" w:cs="Arial"/>
          <w:bCs/>
          <w:vertAlign w:val="superscript"/>
          <w:lang w:val="es-ES_tradnl" w:eastAsia="es-ES_tradnl"/>
        </w:rPr>
        <w:footnoteReference w:id="16"/>
      </w:r>
      <w:r w:rsidRPr="00E878D3">
        <w:rPr>
          <w:rFonts w:ascii="Verdana" w:eastAsia="Calibri" w:hAnsi="Verdana" w:cs="Arial"/>
          <w:bCs/>
          <w:lang w:val="es-ES_tradnl" w:eastAsia="es-ES_tradnl"/>
        </w:rPr>
        <w:t xml:space="preserve">. </w:t>
      </w:r>
    </w:p>
    <w:p w14:paraId="03DE2925" w14:textId="77777777" w:rsidR="00E878D3" w:rsidRPr="00E878D3" w:rsidRDefault="00E878D3" w:rsidP="00E878D3">
      <w:pPr>
        <w:spacing w:after="120" w:line="276" w:lineRule="auto"/>
        <w:jc w:val="both"/>
        <w:rPr>
          <w:rFonts w:ascii="Verdana" w:eastAsia="Calibri" w:hAnsi="Verdana" w:cs="Arial"/>
          <w:lang w:val="es-ES" w:eastAsia="es-ES"/>
        </w:rPr>
      </w:pPr>
      <w:r w:rsidRPr="00E878D3">
        <w:rPr>
          <w:rFonts w:ascii="Verdana" w:eastAsia="Calibri" w:hAnsi="Verdana" w:cs="Arial"/>
          <w:bCs/>
          <w:lang w:val="es-ES_tradnl" w:eastAsia="es-ES_tradnl"/>
        </w:rPr>
        <w:tab/>
      </w:r>
      <w:r w:rsidRPr="00E878D3">
        <w:rPr>
          <w:rFonts w:ascii="Verdana" w:eastAsia="Calibri" w:hAnsi="Verdana" w:cs="Arial"/>
          <w:lang w:val="es-ES" w:eastAsia="es-ES"/>
        </w:rPr>
        <w:t xml:space="preserve">Conforme con lo expresado, el </w:t>
      </w:r>
      <w:r w:rsidRPr="00E878D3">
        <w:rPr>
          <w:rFonts w:ascii="Verdana" w:eastAsia="Calibri" w:hAnsi="Verdana" w:cs="Arial"/>
          <w:i/>
          <w:lang w:val="es-ES" w:eastAsia="es-ES"/>
        </w:rPr>
        <w:t xml:space="preserve">giro ordinario </w:t>
      </w:r>
      <w:r w:rsidRPr="00E878D3">
        <w:rPr>
          <w:rFonts w:ascii="Verdana" w:eastAsia="Calibri" w:hAnsi="Verdana" w:cs="Arial"/>
          <w:lang w:val="es-ES" w:eastAsia="es-ES"/>
        </w:rPr>
        <w:t xml:space="preserve">involucra los asuntos que integran el desarrollo del objeto social de una sociedad comercial, una empresa </w:t>
      </w:r>
      <w:r w:rsidRPr="00E878D3">
        <w:rPr>
          <w:rFonts w:ascii="Verdana" w:eastAsia="Calibri" w:hAnsi="Verdana" w:cs="Arial"/>
          <w:lang w:val="es-ES" w:eastAsia="es-ES"/>
        </w:rPr>
        <w:lastRenderedPageBreak/>
        <w:t>o Entidad Pública, lo cual comprende tanto unas actividades directamente relacionadas con dicho objeto social, así como otros actos conexos al mismo. Esta interpretación, en principio, es coherente con la regulación de la capacidad de las sociedades comerciales establecida en el Código de Comercio, cuyo artículo 99 dispone que “[</w:t>
      </w:r>
      <w:r w:rsidRPr="00E878D3">
        <w:rPr>
          <w:rFonts w:ascii="Verdana" w:eastAsia="Times New Roman" w:hAnsi="Verdana" w:cs="Arial"/>
          <w:lang w:val="es-ES" w:eastAsia="es-ES"/>
        </w:rPr>
        <w:t>S]e</w:t>
      </w:r>
      <w:r w:rsidRPr="00E878D3">
        <w:rPr>
          <w:rFonts w:ascii="Verdana" w:eastAsia="Calibri" w:hAnsi="Verdana" w:cs="Arial"/>
          <w:lang w:val="es-ES" w:eastAsia="es-ES"/>
        </w:rPr>
        <w:t xml:space="preserve"> entenderán incluidos en el objeto social los actos directamente relacionados con el mismo y los que tengan como finalidad ejercer los derechos o cumplir las obligaciones, legal o convencionalmente derivados de la existencia y actividad de la sociedad.”</w:t>
      </w:r>
      <w:r w:rsidRPr="00E878D3">
        <w:rPr>
          <w:rFonts w:ascii="Verdana" w:eastAsia="Calibri" w:hAnsi="Verdana" w:cs="Arial"/>
          <w:vertAlign w:val="superscript"/>
          <w:lang w:eastAsia="es-ES"/>
        </w:rPr>
        <w:footnoteReference w:id="17"/>
      </w:r>
    </w:p>
    <w:p w14:paraId="7CDD2842" w14:textId="77777777" w:rsidR="00E878D3" w:rsidRPr="00E878D3" w:rsidRDefault="00E878D3" w:rsidP="00E878D3">
      <w:pPr>
        <w:spacing w:before="120" w:after="120" w:line="276" w:lineRule="auto"/>
        <w:jc w:val="both"/>
        <w:rPr>
          <w:rFonts w:ascii="Verdana" w:eastAsia="Calibri" w:hAnsi="Verdana" w:cs="Arial"/>
          <w:lang w:val="es-ES" w:eastAsia="es-ES"/>
        </w:rPr>
      </w:pPr>
      <w:r w:rsidRPr="00E878D3">
        <w:rPr>
          <w:rFonts w:ascii="Verdana" w:eastAsia="Calibri" w:hAnsi="Verdana" w:cs="Arial"/>
          <w:bCs/>
          <w:lang w:val="es-ES_tradnl" w:eastAsia="es-ES_tradnl"/>
        </w:rPr>
        <w:tab/>
      </w:r>
      <w:r w:rsidRPr="00E878D3">
        <w:rPr>
          <w:rFonts w:ascii="Verdana" w:eastAsia="Calibri" w:hAnsi="Verdana" w:cs="Arial"/>
          <w:lang w:val="es-ES" w:eastAsia="es-ES"/>
        </w:rPr>
        <w:t xml:space="preserve">En relación con la aplicación de lo dispuesto en el parágrafo del artículo 56 de la Ley 2195 de 2022, conviene aclarar que, a juicio de esta Agencia, la expresión </w:t>
      </w:r>
      <w:r w:rsidRPr="00E878D3">
        <w:rPr>
          <w:rFonts w:ascii="Verdana" w:eastAsia="Calibri" w:hAnsi="Verdana" w:cs="Arial"/>
          <w:i/>
          <w:lang w:val="es-ES" w:eastAsia="es-ES"/>
        </w:rPr>
        <w:t xml:space="preserve">giro ordinario </w:t>
      </w:r>
      <w:r w:rsidRPr="00E878D3">
        <w:rPr>
          <w:rFonts w:ascii="Verdana" w:eastAsia="Calibri" w:hAnsi="Verdana" w:cs="Arial"/>
          <w:lang w:val="es-ES" w:eastAsia="es-ES"/>
        </w:rPr>
        <w:t xml:space="preserve">se usa para designar a la contratación directamente relacionada con los asuntos de la gestión habitual u ordinaria de los tipos de entidades mencionadas en el parágrafo. No obstante, la determinación de las actividades que comprenden el </w:t>
      </w:r>
      <w:r w:rsidRPr="00E878D3">
        <w:rPr>
          <w:rFonts w:ascii="Verdana" w:eastAsia="Calibri" w:hAnsi="Verdana" w:cs="Arial"/>
          <w:i/>
          <w:lang w:val="es-ES" w:eastAsia="es-ES"/>
        </w:rPr>
        <w:t>giro ordinario</w:t>
      </w:r>
      <w:r w:rsidRPr="00E878D3">
        <w:rPr>
          <w:rFonts w:ascii="Verdana" w:eastAsia="Calibri" w:hAnsi="Verdana" w:cs="Arial"/>
          <w:lang w:val="es-ES" w:eastAsia="es-ES"/>
        </w:rPr>
        <w:t xml:space="preserve"> es un asunto que debe establecerse en cada caso concreto por parte de las Entidades Estatales –analizando lo establecido en sus actos de creación y verificando los negocios habituales u ordinarios que desarrollan–, pues el parágrafo del artículo 56 </w:t>
      </w:r>
      <w:proofErr w:type="spellStart"/>
      <w:r w:rsidRPr="00E878D3">
        <w:rPr>
          <w:rFonts w:ascii="Verdana" w:eastAsia="Calibri" w:hAnsi="Verdana" w:cs="Arial"/>
          <w:i/>
          <w:lang w:val="es-ES" w:eastAsia="es-ES"/>
        </w:rPr>
        <w:t>ejusdem</w:t>
      </w:r>
      <w:proofErr w:type="spellEnd"/>
      <w:r w:rsidRPr="00E878D3">
        <w:rPr>
          <w:rFonts w:ascii="Verdana" w:eastAsia="Calibri" w:hAnsi="Verdana" w:cs="Arial"/>
          <w:lang w:val="es-ES" w:eastAsia="es-ES"/>
        </w:rPr>
        <w:t xml:space="preserve"> se limita a enunciar algunos tipos de Entidades Estatales, las cuales no solo difieren en su naturaleza jurídica, sino también en las actividades que realizan. </w:t>
      </w:r>
    </w:p>
    <w:p w14:paraId="4B5E788B" w14:textId="77777777" w:rsidR="00E878D3" w:rsidRPr="00E878D3" w:rsidRDefault="00E878D3" w:rsidP="00E878D3">
      <w:pPr>
        <w:tabs>
          <w:tab w:val="left" w:pos="0"/>
        </w:tabs>
        <w:spacing w:before="120" w:after="120" w:line="276" w:lineRule="auto"/>
        <w:ind w:firstLine="709"/>
        <w:jc w:val="both"/>
        <w:rPr>
          <w:rFonts w:ascii="Verdana" w:eastAsia="Calibri" w:hAnsi="Verdana" w:cs="Arial"/>
          <w:bCs/>
          <w:lang w:val="es-ES_tradnl"/>
        </w:rPr>
      </w:pPr>
      <w:r w:rsidRPr="00E878D3">
        <w:rPr>
          <w:rFonts w:ascii="Verdana" w:eastAsia="Calibri" w:hAnsi="Verdana" w:cs="Arial"/>
          <w:lang w:val="es-ES" w:eastAsia="es-ES"/>
        </w:rPr>
        <w:t xml:space="preserve">Esto impide que la Agencia Nacional de Contratación Pública – Colombia Compra Eficiente, en sede consultiva, pueda determinar, con un criterio universal y absoluto, qué actividades específicas hacen parte del giro ordinario de los negocios de dichas entidades y cuáles escapan de este, pues, como se indicó, al explicar la naturaleza de los conceptos jurídicos indeterminados, la concreción del alcance de la expresión </w:t>
      </w:r>
      <w:r w:rsidRPr="00E878D3">
        <w:rPr>
          <w:rFonts w:ascii="Verdana" w:eastAsia="Calibri" w:hAnsi="Verdana" w:cs="Arial"/>
          <w:i/>
          <w:lang w:val="es-ES" w:eastAsia="es-ES"/>
        </w:rPr>
        <w:t>giro ordinario</w:t>
      </w:r>
      <w:r w:rsidRPr="00E878D3">
        <w:rPr>
          <w:rFonts w:ascii="Verdana" w:eastAsia="Calibri" w:hAnsi="Verdana" w:cs="Arial"/>
          <w:lang w:val="es-ES" w:eastAsia="es-ES"/>
        </w:rPr>
        <w:t xml:space="preserve"> debe hacerse en el caso </w:t>
      </w:r>
      <w:r w:rsidRPr="00E878D3">
        <w:rPr>
          <w:rFonts w:ascii="Verdana" w:eastAsia="Calibri" w:hAnsi="Verdana" w:cs="Arial"/>
          <w:lang w:val="es-ES" w:eastAsia="es-ES"/>
        </w:rPr>
        <w:lastRenderedPageBreak/>
        <w:t xml:space="preserve">concreto, empleando un criterio de interpretación restrictiva. Ello en la medida en que el parágrafo del artículo 56 consagra una excepción a una regla general. </w:t>
      </w:r>
      <w:r w:rsidRPr="00E878D3">
        <w:rPr>
          <w:rFonts w:ascii="Verdana" w:eastAsia="Calibri" w:hAnsi="Verdana" w:cs="Arial"/>
          <w:bCs/>
          <w:lang w:val="es-ES_tradnl"/>
        </w:rPr>
        <w:t>Además, cada una de las entidades estatales señaladas en dicho parágrafo se encuentra circunscrita, hermenéuticamente –para acotar aquel concepto–, a lo que establezcan sus normas estatutarias –actos de creación y demás reglamentos–, así como a la realidad de los negocios que hacen parte de su dinámica habitual.</w:t>
      </w:r>
    </w:p>
    <w:p w14:paraId="02433D0C" w14:textId="77777777" w:rsidR="00E878D3" w:rsidRPr="00E878D3" w:rsidRDefault="00E878D3" w:rsidP="00E878D3">
      <w:pPr>
        <w:spacing w:before="120" w:after="120" w:line="276" w:lineRule="auto"/>
        <w:jc w:val="both"/>
        <w:rPr>
          <w:rFonts w:ascii="Verdana" w:eastAsia="Calibri" w:hAnsi="Verdana" w:cs="Arial"/>
          <w:lang w:val="es-ES" w:eastAsia="es-ES"/>
        </w:rPr>
      </w:pPr>
      <w:r w:rsidRPr="00E878D3">
        <w:rPr>
          <w:rFonts w:ascii="Verdana" w:eastAsia="Calibri" w:hAnsi="Verdana" w:cs="Arial"/>
          <w:bCs/>
          <w:lang w:val="es-ES_tradnl" w:eastAsia="es-ES_tradnl"/>
        </w:rPr>
        <w:tab/>
      </w:r>
      <w:r w:rsidRPr="00E878D3">
        <w:rPr>
          <w:rFonts w:ascii="Verdana" w:eastAsia="Calibri" w:hAnsi="Verdana" w:cs="Arial"/>
          <w:color w:val="000000"/>
          <w:lang w:val="es-ES"/>
        </w:rPr>
        <w:t xml:space="preserve"> </w:t>
      </w:r>
      <w:r w:rsidRPr="00E878D3">
        <w:rPr>
          <w:rFonts w:ascii="Verdana" w:eastAsia="Calibri" w:hAnsi="Verdana" w:cs="Arial"/>
          <w:lang w:val="es-ES" w:eastAsia="es-ES"/>
        </w:rPr>
        <w:t xml:space="preserve">En tales términos, lo dispuesto en el parágrafo del artículo 56 implica que las instituciones de educación superior públicas, las empresas sociales del Estado, las sociedades de economía mixta y las empresas industriales y comerciales del Estado, no tendrán que implementar Documentos Tipo a excepción de aquellos casos en los que la contratación esté relacionada con el </w:t>
      </w:r>
      <w:r w:rsidRPr="00E878D3">
        <w:rPr>
          <w:rFonts w:ascii="Verdana" w:eastAsia="Calibri" w:hAnsi="Verdana" w:cs="Arial"/>
          <w:i/>
          <w:iCs/>
          <w:lang w:val="es-ES" w:eastAsia="es-ES"/>
        </w:rPr>
        <w:t xml:space="preserve">giro ordinario </w:t>
      </w:r>
      <w:r w:rsidRPr="00E878D3">
        <w:rPr>
          <w:rFonts w:ascii="Verdana" w:eastAsia="Calibri" w:hAnsi="Verdana" w:cs="Arial"/>
          <w:lang w:val="es-ES" w:eastAsia="es-ES"/>
        </w:rPr>
        <w:t xml:space="preserve">de sus asuntos, salvo que los manuales internos de contratación de estas entidades dispongan la obligación de tener en cuenta los Documentos Tipo como una buena práctica contractual. De acuerdo con este entendimiento, estas entidades, en virtud de su enunciación en este parágrafo, quedan, en principio, exceptuadas de los Documentos Tipo, incluso para la contratación de obras o servicios cubiertos por documentos tipo, en el marco del cumplimiento de contratos o convenios con entidades sometidas al EGCAP y de los negocios jurídicos que se deriven de ellos, exclusivamente en lo que se refiere a </w:t>
      </w:r>
      <w:r w:rsidRPr="00E878D3">
        <w:rPr>
          <w:rFonts w:ascii="Verdana" w:eastAsia="Calibri" w:hAnsi="Verdana" w:cs="Arial"/>
          <w:i/>
          <w:iCs/>
          <w:lang w:val="es-ES" w:eastAsia="es-ES"/>
        </w:rPr>
        <w:t>su giro ordinario</w:t>
      </w:r>
      <w:r w:rsidRPr="00E878D3">
        <w:rPr>
          <w:rFonts w:ascii="Verdana" w:eastAsia="Calibri" w:hAnsi="Verdana" w:cs="Arial"/>
          <w:lang w:val="es-ES" w:eastAsia="es-ES"/>
        </w:rPr>
        <w:t xml:space="preserve">, entendido este conforme a los criterios jurisprudenciales y doctrinarios aquí explicados. En otras palabras, ninguna entidad cuya naturaleza jurídica coincida con las mencionadas en el parágrafo del artículo 56, tendrá que someterse de manera obligatoria a los Documentos Tipo o el EGCAP para la contratación de obras o servicios asociadas a su </w:t>
      </w:r>
      <w:r w:rsidRPr="00E878D3">
        <w:rPr>
          <w:rFonts w:ascii="Verdana" w:eastAsia="Calibri" w:hAnsi="Verdana" w:cs="Arial"/>
          <w:i/>
          <w:iCs/>
          <w:lang w:val="es-ES" w:eastAsia="es-ES"/>
        </w:rPr>
        <w:t>giro ordinario</w:t>
      </w:r>
      <w:r w:rsidRPr="00E878D3">
        <w:rPr>
          <w:rFonts w:ascii="Verdana" w:eastAsia="Calibri" w:hAnsi="Verdana" w:cs="Arial"/>
          <w:lang w:val="es-ES" w:eastAsia="es-ES"/>
        </w:rPr>
        <w:t xml:space="preserve">, a menos que su manual de contratación establezca lo contrario. De hacerlo, primará el principio de inderogabilidad singular del reglamento, que obliga a aplicarlo en las actuaciones concretas.  </w:t>
      </w:r>
    </w:p>
    <w:p w14:paraId="6889B2F3" w14:textId="77777777" w:rsidR="00E878D3" w:rsidRPr="00E878D3" w:rsidRDefault="00E878D3" w:rsidP="00E878D3">
      <w:pPr>
        <w:tabs>
          <w:tab w:val="left" w:pos="0"/>
        </w:tabs>
        <w:spacing w:before="120" w:after="120" w:line="276" w:lineRule="auto"/>
        <w:ind w:firstLine="709"/>
        <w:jc w:val="both"/>
        <w:rPr>
          <w:rFonts w:ascii="Verdana" w:eastAsia="Calibri" w:hAnsi="Verdana" w:cs="Arial"/>
          <w:bCs/>
          <w:lang w:val="es-ES" w:eastAsia="es-ES_tradnl"/>
        </w:rPr>
      </w:pPr>
      <w:r w:rsidRPr="00E878D3">
        <w:rPr>
          <w:rFonts w:ascii="Verdana" w:eastAsia="Calibri" w:hAnsi="Verdana" w:cs="Arial"/>
          <w:bCs/>
          <w:lang w:val="es-ES" w:eastAsia="es-ES_tradnl"/>
        </w:rPr>
        <w:t xml:space="preserve">Ahora bien, debe señalarse que este parágrafo es una norma que establece una excepción, por lo que, en virtud de dicho carácter, está sujeto a una interpretación restrictiva, esto es, apegada a lo que, literalmente, se desprende del texto. La redacción de la norma evidencia cómo la excepción a la aplicación forzosa es formulada respecto de ciertos tipos de Entidades Estatales, las cuales son mencionadas por su naturaleza jurídica, sin que se incluya consideración alguna relacionada con el régimen jurídico al que se encuentren sometidas. La norma tampoco determina algún supuesto en atención al cual </w:t>
      </w:r>
      <w:r w:rsidRPr="00E878D3">
        <w:rPr>
          <w:rFonts w:ascii="Verdana" w:eastAsia="Calibri" w:hAnsi="Verdana" w:cs="Arial"/>
          <w:bCs/>
          <w:lang w:val="es-ES" w:eastAsia="es-ES_tradnl"/>
        </w:rPr>
        <w:lastRenderedPageBreak/>
        <w:t>pueda aplicarse la excepción a algún sujeto con una naturaleza jurídica distinta de las específicamente mencionadas.</w:t>
      </w:r>
    </w:p>
    <w:p w14:paraId="05A2F9F6" w14:textId="77777777" w:rsidR="00E878D3" w:rsidRPr="00E878D3" w:rsidRDefault="00E878D3" w:rsidP="00E878D3">
      <w:pPr>
        <w:tabs>
          <w:tab w:val="left" w:pos="0"/>
        </w:tabs>
        <w:spacing w:before="120" w:after="120" w:line="276" w:lineRule="auto"/>
        <w:ind w:firstLine="709"/>
        <w:jc w:val="both"/>
        <w:rPr>
          <w:rFonts w:ascii="Verdana" w:eastAsia="Calibri" w:hAnsi="Verdana" w:cs="Arial"/>
          <w:bCs/>
          <w:lang w:val="es-ES" w:eastAsia="es-ES_tradnl"/>
        </w:rPr>
      </w:pPr>
      <w:r w:rsidRPr="00E878D3">
        <w:rPr>
          <w:rFonts w:ascii="Verdana" w:eastAsia="Calibri" w:hAnsi="Verdana" w:cs="Arial"/>
          <w:bCs/>
          <w:lang w:val="es-ES_tradnl" w:eastAsia="es-ES_tradnl"/>
        </w:rPr>
        <w:t>De acuerdo con este criterio interpretativo y comoquiera que la norma determina las excepciones en consideración a la naturaleza jurídica de los sujetos que menciona, sin hacer distinción alguna respecto de su régimen contractual, es posible concluir que la excepción predicable de las instituciones de educación superior públicas, las empresas sociales del Estado, las sociedades de economía mixta y las empresas industriales y comerciales del Estado no resulta extensible a entidades que no cuenten con dicha naturaleza.</w:t>
      </w:r>
    </w:p>
    <w:p w14:paraId="585C0923" w14:textId="77777777" w:rsidR="00E878D3" w:rsidRPr="00E878D3" w:rsidRDefault="00E878D3" w:rsidP="00E878D3">
      <w:pPr>
        <w:spacing w:after="0" w:line="276" w:lineRule="auto"/>
        <w:ind w:firstLine="708"/>
        <w:jc w:val="both"/>
        <w:rPr>
          <w:rFonts w:ascii="Verdana" w:eastAsia="Calibri" w:hAnsi="Verdana" w:cs="Arial"/>
          <w:kern w:val="2"/>
          <w:lang w:val="es-ES" w:eastAsia="es-ES"/>
          <w14:ligatures w14:val="standardContextual"/>
        </w:rPr>
      </w:pPr>
      <w:r w:rsidRPr="00E878D3">
        <w:rPr>
          <w:rFonts w:ascii="Verdana" w:eastAsia="Calibri" w:hAnsi="Verdana" w:cs="Arial"/>
          <w:kern w:val="2"/>
          <w:lang w:val="es-ES" w:eastAsia="es-ES"/>
          <w14:ligatures w14:val="standardContextual"/>
        </w:rPr>
        <w:t>En conclusión, a juicio de esta Agencia lo dispuesto en el parágrafo del artículo 56 de la Ley 2195 de 2022, es una manifestación de la voluntad del Legislador de excluir de la aplicación del presente artículo a las Instituciones de Educación Superior públicas, las empresas sociales del Estado, las sociedades de economía mixta y las empresas industriales y comerciales del Estado, únicamente en cuanto a la contratación de su giro ordinario. En estos casos, en los manuales de contratación de estas entidades, se fomentará como buena práctica la aplicación de los pliegos tipo.</w:t>
      </w:r>
    </w:p>
    <w:p w14:paraId="5DD77B73" w14:textId="77777777" w:rsidR="00E878D3" w:rsidRPr="00E878D3" w:rsidRDefault="00E878D3" w:rsidP="00E878D3">
      <w:pPr>
        <w:spacing w:after="0" w:line="276" w:lineRule="auto"/>
        <w:ind w:firstLine="708"/>
        <w:jc w:val="both"/>
        <w:rPr>
          <w:rFonts w:ascii="Verdana" w:eastAsia="Calibri" w:hAnsi="Verdana" w:cs="Arial"/>
          <w:kern w:val="2"/>
          <w:lang w:val="es-ES" w:eastAsia="es-ES"/>
          <w14:ligatures w14:val="standardContextual"/>
        </w:rPr>
      </w:pPr>
    </w:p>
    <w:p w14:paraId="2EA7CEA8" w14:textId="77777777" w:rsidR="00E878D3" w:rsidRPr="00E878D3" w:rsidRDefault="00E878D3" w:rsidP="00E878D3">
      <w:pPr>
        <w:spacing w:after="0" w:line="278" w:lineRule="auto"/>
        <w:jc w:val="both"/>
        <w:rPr>
          <w:rFonts w:ascii="Verdana" w:eastAsia="Times New Roman" w:hAnsi="Verdana" w:cs="Arial"/>
          <w:kern w:val="2"/>
          <w:lang w:val="es-ES_tradnl" w:eastAsia="es-CO"/>
          <w14:ligatures w14:val="standardContextual"/>
        </w:rPr>
      </w:pPr>
      <w:proofErr w:type="spellStart"/>
      <w:r w:rsidRPr="000B37CA">
        <w:rPr>
          <w:rFonts w:ascii="Verdana" w:eastAsia="Calibri" w:hAnsi="Verdana" w:cs="Arial"/>
          <w:kern w:val="2"/>
          <w:highlight w:val="yellow"/>
          <w:lang w:val="es-ES" w:eastAsia="es-ES"/>
          <w14:ligatures w14:val="standardContextual"/>
        </w:rPr>
        <w:t>iii</w:t>
      </w:r>
      <w:proofErr w:type="spellEnd"/>
      <w:r w:rsidRPr="000B37CA">
        <w:rPr>
          <w:rFonts w:ascii="Verdana" w:eastAsia="Calibri" w:hAnsi="Verdana" w:cs="Arial"/>
          <w:kern w:val="2"/>
          <w:highlight w:val="yellow"/>
          <w:lang w:val="es-ES" w:eastAsia="es-ES"/>
          <w14:ligatures w14:val="standardContextual"/>
        </w:rPr>
        <w:t>.</w:t>
      </w:r>
      <w:r w:rsidRPr="00E878D3">
        <w:rPr>
          <w:rFonts w:ascii="Verdana" w:eastAsia="Calibri" w:hAnsi="Verdana" w:cs="Arial"/>
          <w:kern w:val="2"/>
          <w:lang w:val="es-ES" w:eastAsia="es-ES"/>
          <w14:ligatures w14:val="standardContextual"/>
        </w:rPr>
        <w:t xml:space="preserve"> </w:t>
      </w:r>
      <w:r w:rsidRPr="00E878D3">
        <w:rPr>
          <w:rFonts w:ascii="Verdana" w:eastAsia="Times New Roman" w:hAnsi="Verdana" w:cs="Arial"/>
          <w:kern w:val="2"/>
          <w:lang w:val="es-ES_tradnl" w:eastAsia="es-CO"/>
          <w14:ligatures w14:val="standardContextual"/>
        </w:rPr>
        <w:t xml:space="preserve">La Subdirección de Gestión Contractual de la Agencia Nacional de Contratación Pública – Colombia Compra Eficiente, en Concepto con radicado No. 2201913000008612 del 19 de noviembre de 2019, indicó que el Código de Comercio define el contrato de fiducia mercantil en su artículo 1226, estableciendo como elementos característicos del negocio jurídico: i) la existencia de al menos dos sujetos: fiduciante y fiduciario y </w:t>
      </w:r>
      <w:proofErr w:type="spellStart"/>
      <w:r w:rsidRPr="00E878D3">
        <w:rPr>
          <w:rFonts w:ascii="Verdana" w:eastAsia="Times New Roman" w:hAnsi="Verdana" w:cs="Arial"/>
          <w:kern w:val="2"/>
          <w:lang w:val="es-ES_tradnl" w:eastAsia="es-CO"/>
          <w14:ligatures w14:val="standardContextual"/>
        </w:rPr>
        <w:t>ii</w:t>
      </w:r>
      <w:proofErr w:type="spellEnd"/>
      <w:r w:rsidRPr="00E878D3">
        <w:rPr>
          <w:rFonts w:ascii="Verdana" w:eastAsia="Times New Roman" w:hAnsi="Verdana" w:cs="Arial"/>
          <w:kern w:val="2"/>
          <w:lang w:val="es-ES_tradnl" w:eastAsia="es-CO"/>
          <w14:ligatures w14:val="standardContextual"/>
        </w:rPr>
        <w:t>) la transferencia de los bienes fideicomitidos, con el siguiente tenor:</w:t>
      </w:r>
    </w:p>
    <w:p w14:paraId="76AFE1BD" w14:textId="77777777" w:rsidR="00E878D3" w:rsidRPr="00E878D3" w:rsidRDefault="00E878D3" w:rsidP="00E878D3">
      <w:pPr>
        <w:spacing w:after="0" w:line="278" w:lineRule="auto"/>
        <w:jc w:val="both"/>
        <w:rPr>
          <w:rFonts w:ascii="Verdana" w:eastAsia="Times New Roman" w:hAnsi="Verdana" w:cs="Arial"/>
          <w:kern w:val="2"/>
          <w:sz w:val="24"/>
          <w:szCs w:val="24"/>
          <w:lang w:val="es-ES_tradnl" w:eastAsia="es-CO"/>
          <w14:ligatures w14:val="standardContextual"/>
        </w:rPr>
      </w:pPr>
    </w:p>
    <w:p w14:paraId="54740047" w14:textId="77777777" w:rsidR="00E878D3" w:rsidRPr="00E878D3" w:rsidRDefault="00E878D3" w:rsidP="00E878D3">
      <w:pPr>
        <w:spacing w:after="0" w:line="240" w:lineRule="auto"/>
        <w:ind w:left="709" w:right="709"/>
        <w:jc w:val="both"/>
        <w:rPr>
          <w:rFonts w:ascii="Verdana" w:eastAsia="Calibri" w:hAnsi="Verdana" w:cs="Arial"/>
          <w:sz w:val="21"/>
          <w:lang w:val="es-ES_tradnl"/>
        </w:rPr>
      </w:pPr>
      <w:r w:rsidRPr="00E878D3">
        <w:rPr>
          <w:rFonts w:ascii="Verdana" w:eastAsia="Calibri" w:hAnsi="Verdana" w:cs="Arial"/>
          <w:sz w:val="21"/>
          <w:lang w:val="es-ES_tradnl"/>
        </w:rPr>
        <w:t>“La fiducia mercantil es un negocio jurídico en virtud del cual una persona, llamada fiduciante o fideicomitente, transfiere uno o más bienes especificados a otra, llamada fiduciario, quien se obliga a administrarlos o enajenarlos para cumplir una finalidad determinada por el constituyente, en provecho de éste o de un tercero llamado beneficiario o</w:t>
      </w:r>
      <w:r w:rsidRPr="00E878D3">
        <w:rPr>
          <w:rFonts w:ascii="Verdana" w:eastAsia="Calibri" w:hAnsi="Verdana" w:cs="Arial"/>
          <w:spacing w:val="-5"/>
          <w:sz w:val="21"/>
          <w:lang w:val="es-ES_tradnl"/>
        </w:rPr>
        <w:t xml:space="preserve"> </w:t>
      </w:r>
      <w:r w:rsidRPr="00E878D3">
        <w:rPr>
          <w:rFonts w:ascii="Verdana" w:eastAsia="Calibri" w:hAnsi="Verdana" w:cs="Arial"/>
          <w:sz w:val="21"/>
          <w:lang w:val="es-ES_tradnl"/>
        </w:rPr>
        <w:t>fideicomisario.</w:t>
      </w:r>
    </w:p>
    <w:p w14:paraId="013B7DF0" w14:textId="77777777" w:rsidR="00E878D3" w:rsidRPr="00E878D3" w:rsidRDefault="00E878D3" w:rsidP="00E878D3">
      <w:pPr>
        <w:spacing w:after="0" w:line="240" w:lineRule="auto"/>
        <w:ind w:left="709" w:right="709"/>
        <w:jc w:val="both"/>
        <w:rPr>
          <w:rFonts w:ascii="Verdana" w:eastAsia="Calibri" w:hAnsi="Verdana" w:cs="Arial"/>
          <w:sz w:val="21"/>
          <w:lang w:val="es-ES_tradnl"/>
        </w:rPr>
      </w:pPr>
    </w:p>
    <w:p w14:paraId="625B0101" w14:textId="77777777" w:rsidR="00E878D3" w:rsidRPr="00E878D3" w:rsidRDefault="00E878D3" w:rsidP="00E878D3">
      <w:pPr>
        <w:spacing w:after="0" w:line="240" w:lineRule="auto"/>
        <w:ind w:left="709" w:right="709"/>
        <w:jc w:val="both"/>
        <w:rPr>
          <w:rFonts w:ascii="Verdana" w:eastAsia="Calibri" w:hAnsi="Verdana" w:cs="Arial"/>
          <w:sz w:val="21"/>
          <w:lang w:val="es-ES_tradnl"/>
        </w:rPr>
      </w:pPr>
      <w:r w:rsidRPr="00E878D3">
        <w:rPr>
          <w:rFonts w:ascii="Verdana" w:eastAsia="Calibri" w:hAnsi="Verdana" w:cs="Arial"/>
          <w:sz w:val="21"/>
          <w:lang w:val="es-ES_tradnl"/>
        </w:rPr>
        <w:t>Una persona puede ser al mismo tiempo fiduciante y beneficiario.</w:t>
      </w:r>
    </w:p>
    <w:p w14:paraId="584272A2" w14:textId="77777777" w:rsidR="00E878D3" w:rsidRPr="00E878D3" w:rsidRDefault="00E878D3" w:rsidP="00E878D3">
      <w:pPr>
        <w:spacing w:after="0" w:line="240" w:lineRule="auto"/>
        <w:ind w:left="709" w:right="709"/>
        <w:jc w:val="both"/>
        <w:rPr>
          <w:rFonts w:ascii="Verdana" w:eastAsia="Calibri" w:hAnsi="Verdana" w:cs="Arial"/>
          <w:sz w:val="21"/>
          <w:lang w:val="es-ES_tradnl"/>
        </w:rPr>
      </w:pPr>
    </w:p>
    <w:p w14:paraId="08348C0B" w14:textId="77777777" w:rsidR="00E878D3" w:rsidRPr="00E878D3" w:rsidRDefault="00E878D3" w:rsidP="00E878D3">
      <w:pPr>
        <w:spacing w:after="0" w:line="240" w:lineRule="auto"/>
        <w:ind w:left="709" w:right="709"/>
        <w:jc w:val="both"/>
        <w:rPr>
          <w:rFonts w:ascii="Verdana" w:eastAsia="Calibri" w:hAnsi="Verdana" w:cs="Arial"/>
          <w:sz w:val="21"/>
          <w:lang w:val="es-ES_tradnl"/>
        </w:rPr>
      </w:pPr>
      <w:r w:rsidRPr="00E878D3">
        <w:rPr>
          <w:rFonts w:ascii="Verdana" w:eastAsia="Calibri" w:hAnsi="Verdana" w:cs="Arial"/>
          <w:sz w:val="21"/>
          <w:lang w:val="es-ES_tradnl"/>
        </w:rPr>
        <w:lastRenderedPageBreak/>
        <w:t>Solo los establecimientos de crédito y las sociedades fiduciarias, especialmente autorizados por la Superintendencia Bancaria, podrán tener la calidad de fiduciarios.”</w:t>
      </w:r>
    </w:p>
    <w:p w14:paraId="62ED37A5" w14:textId="77777777" w:rsidR="00E878D3" w:rsidRPr="00E878D3" w:rsidRDefault="00E878D3" w:rsidP="00E878D3">
      <w:pPr>
        <w:spacing w:after="0" w:line="240" w:lineRule="auto"/>
        <w:ind w:left="709" w:right="709"/>
        <w:jc w:val="both"/>
        <w:rPr>
          <w:rFonts w:ascii="Verdana" w:eastAsia="Calibri" w:hAnsi="Verdana" w:cs="Arial"/>
          <w:sz w:val="21"/>
          <w:lang w:val="es-ES_tradnl"/>
        </w:rPr>
      </w:pPr>
    </w:p>
    <w:p w14:paraId="417C90E1" w14:textId="77777777" w:rsidR="00E878D3" w:rsidRPr="00E878D3" w:rsidRDefault="00E878D3" w:rsidP="00E878D3">
      <w:pPr>
        <w:spacing w:after="0" w:line="276" w:lineRule="auto"/>
        <w:ind w:firstLine="709"/>
        <w:jc w:val="both"/>
        <w:rPr>
          <w:rFonts w:ascii="Verdana" w:eastAsia="Calibri" w:hAnsi="Verdana" w:cs="Arial"/>
          <w:lang w:val="es-ES_tradnl"/>
        </w:rPr>
      </w:pPr>
      <w:r w:rsidRPr="00E878D3">
        <w:rPr>
          <w:rFonts w:ascii="Verdana" w:eastAsia="Calibri" w:hAnsi="Verdana" w:cs="Arial"/>
          <w:lang w:val="es-ES_tradnl"/>
        </w:rPr>
        <w:t>De la jurisprudencia constitucional se entiende que las entidades estatales pueden suscribir contratos de fiducia mercantil. Sin embargo, la Sala de Consulta y Servicio Civil del Consejo de Estado, en concepto del 4 de marzo de 1998, consideró que la Ley 80 de 1993 tiene como objetivo restringir los negocios fiduciarios que pueden celebrar los entes públicos, y por ello, a pesar de que el contrato de fiducia pública es diferente al de fiducia mercantil, la constitución de patrimonios autónomos por parte de entidades estatales solamente debe darse en virtud de una autorización legal, como es el caso de los procesos de titularización de activos e inversiones, tal como lo autoriza expresamente el parágrafo 2 del artículo 41 de la Ley 80 de 1993</w:t>
      </w:r>
      <w:r w:rsidRPr="00E878D3">
        <w:rPr>
          <w:rFonts w:ascii="Verdana" w:eastAsia="Calibri" w:hAnsi="Verdana" w:cs="Arial"/>
          <w:vertAlign w:val="superscript"/>
          <w:lang w:val="es-ES_tradnl"/>
        </w:rPr>
        <w:footnoteReference w:id="18"/>
      </w:r>
      <w:r w:rsidRPr="00E878D3">
        <w:rPr>
          <w:rFonts w:ascii="Verdana" w:eastAsia="Calibri" w:hAnsi="Verdana" w:cs="Arial"/>
          <w:lang w:val="es-ES_tradnl"/>
        </w:rPr>
        <w:t>.</w:t>
      </w:r>
    </w:p>
    <w:p w14:paraId="62CEDCB5" w14:textId="77777777" w:rsidR="00E878D3" w:rsidRPr="00E878D3" w:rsidRDefault="00E878D3" w:rsidP="00E878D3">
      <w:pPr>
        <w:spacing w:before="120" w:after="0" w:line="276" w:lineRule="auto"/>
        <w:ind w:firstLine="709"/>
        <w:jc w:val="both"/>
        <w:rPr>
          <w:rFonts w:ascii="Verdana" w:eastAsia="Times New Roman" w:hAnsi="Verdana" w:cs="Arial"/>
          <w:lang w:val="es-ES_tradnl" w:eastAsia="es-CO"/>
        </w:rPr>
      </w:pPr>
      <w:r w:rsidRPr="00E878D3">
        <w:rPr>
          <w:rFonts w:ascii="Verdana" w:eastAsia="Times New Roman" w:hAnsi="Verdana" w:cs="Arial"/>
          <w:lang w:val="es-ES_tradnl" w:eastAsia="es-CO"/>
        </w:rPr>
        <w:t>La Agencia Nacional de Contratación Pública – Colombia Compra Eficiente comparte esta posición, y por tanto considera que la constitución de patrimonios autónomos, por parte de entidades estatales solo puede darse en virtud de una disposición legal expresa. En efecto, en respuesta a la consulta con radicado No. 4201912000004359 y con radicado de salida No. 2201913000005645 del 8 de agosto de 2019, esta Agencia manifestó</w:t>
      </w:r>
      <w:r w:rsidRPr="00E878D3">
        <w:rPr>
          <w:rFonts w:ascii="Verdana" w:eastAsia="Times New Roman" w:hAnsi="Verdana" w:cs="Arial"/>
          <w:spacing w:val="-7"/>
          <w:lang w:val="es-ES_tradnl" w:eastAsia="es-CO"/>
        </w:rPr>
        <w:t xml:space="preserve"> </w:t>
      </w:r>
      <w:r w:rsidRPr="00E878D3">
        <w:rPr>
          <w:rFonts w:ascii="Verdana" w:eastAsia="Times New Roman" w:hAnsi="Verdana" w:cs="Arial"/>
          <w:lang w:val="es-ES_tradnl" w:eastAsia="es-CO"/>
        </w:rPr>
        <w:t xml:space="preserve">que: “Es posible que una Entidad Estatal celebre un contrato de fiducia mercantil y con él se constituya un patrimonio </w:t>
      </w:r>
      <w:r w:rsidRPr="00E878D3">
        <w:rPr>
          <w:rFonts w:ascii="Verdana" w:eastAsia="Times New Roman" w:hAnsi="Verdana" w:cs="Arial"/>
          <w:lang w:val="es-ES_tradnl" w:eastAsia="es-CO"/>
        </w:rPr>
        <w:lastRenderedPageBreak/>
        <w:t>autónomo, siempre que una norma especial lo autorice. Esta fiducia mercantil es diferente a la fiducia pública definida en el artículo 32 de la Ley 80 de 1993 y se rige por las disposiciones comerciales y civiles pertinentes, salvo en los aspectos particularmente regulados en la Ley 80 de 1993”.</w:t>
      </w:r>
    </w:p>
    <w:p w14:paraId="34F5E4D8" w14:textId="77777777" w:rsidR="00E878D3" w:rsidRPr="00E878D3" w:rsidRDefault="00E878D3" w:rsidP="00E878D3">
      <w:pPr>
        <w:spacing w:before="120" w:after="120" w:line="276" w:lineRule="auto"/>
        <w:ind w:firstLine="709"/>
        <w:jc w:val="both"/>
        <w:rPr>
          <w:rFonts w:ascii="Verdana" w:eastAsia="Times New Roman" w:hAnsi="Verdana" w:cs="Arial"/>
          <w:lang w:val="es-ES_tradnl" w:eastAsia="es-CO"/>
        </w:rPr>
      </w:pPr>
      <w:r w:rsidRPr="00E878D3">
        <w:rPr>
          <w:rFonts w:ascii="Verdana" w:eastAsia="Times New Roman" w:hAnsi="Verdana" w:cs="Arial"/>
          <w:lang w:val="es-ES_tradnl" w:eastAsia="es-CO"/>
        </w:rPr>
        <w:t>Por ello, debe destacarse que en caso de que no exista norma que autorice la fiducia mercantil, se está ante un negocio fiduciario que –en el ámbito de aplicación del EGCAP– debe respetar lo establecido por el numeral 5 del artículo 32 de la Ley 80 de 1993, que entre sus reglas dispone: “La fiducia que se autoriza para el sector público en esta ley, nunca implicará transferencia de dominio sobre bienes o recursos estatales, ni constituirá patrimonio autónomo del propio de la respectiva entidad oficial, sin perjuicio de las responsabilidades propias del ordenador del gasto” y “Los actos y contratos que se realicen en desarrollo de un contrato de fiducia pública o encargo fiduciario cumplirán estrictamente con las normas previstas en este estatuto, así como con las disposiciones fiscales, presupuestales, de interventoría y de control a las cuales esté sujeta la Entidad Estatal fideicomitente”.</w:t>
      </w:r>
    </w:p>
    <w:p w14:paraId="58590B2F" w14:textId="77777777" w:rsidR="00E878D3" w:rsidRPr="00E878D3" w:rsidRDefault="00E878D3" w:rsidP="00E878D3">
      <w:pPr>
        <w:spacing w:after="0" w:line="276" w:lineRule="auto"/>
        <w:ind w:firstLine="709"/>
        <w:jc w:val="both"/>
        <w:rPr>
          <w:rFonts w:ascii="Verdana" w:eastAsia="Times New Roman" w:hAnsi="Verdana" w:cs="Arial"/>
          <w:lang w:val="es-ES" w:eastAsia="es-CO"/>
        </w:rPr>
      </w:pPr>
      <w:r w:rsidRPr="00E878D3">
        <w:rPr>
          <w:rFonts w:ascii="Verdana" w:eastAsia="Times New Roman" w:hAnsi="Verdana" w:cs="Arial"/>
          <w:lang w:val="es-ES" w:eastAsia="es-CO"/>
        </w:rPr>
        <w:t>La Ley 80 de 1993 permite realizar negocios fiduciarios, siempre que tengan por objeto la administración o el manejo de los recursos vinculados a los contratos estatales. Además, la Sala Consulta y Servicio Civil del Consejo de Estado, en concepto del 4 de marzo de 1998, antes citado, también señaló otras características del negocio fiduciario que pueden celebrar autónomamente las entidades estatales, que no son otras que las del Estatuto General de Contratación y en forma supletiva el Código de Comercio</w:t>
      </w:r>
      <w:r w:rsidRPr="00E878D3">
        <w:rPr>
          <w:rFonts w:ascii="Verdana" w:eastAsia="Times New Roman" w:hAnsi="Verdana" w:cs="Arial"/>
          <w:vertAlign w:val="superscript"/>
          <w:lang w:val="es-ES" w:eastAsia="es-CO"/>
        </w:rPr>
        <w:footnoteReference w:id="19"/>
      </w:r>
      <w:r w:rsidRPr="00E878D3">
        <w:rPr>
          <w:rFonts w:ascii="Verdana" w:eastAsia="Times New Roman" w:hAnsi="Verdana" w:cs="Arial"/>
          <w:lang w:val="es-ES" w:eastAsia="es-CO"/>
        </w:rPr>
        <w:t xml:space="preserve">. </w:t>
      </w:r>
    </w:p>
    <w:p w14:paraId="6B0EE64F" w14:textId="77777777" w:rsidR="00E878D3" w:rsidRPr="00E878D3" w:rsidRDefault="00E878D3" w:rsidP="00E878D3">
      <w:pPr>
        <w:spacing w:after="0" w:line="276" w:lineRule="auto"/>
        <w:ind w:firstLine="709"/>
        <w:jc w:val="both"/>
        <w:rPr>
          <w:rFonts w:ascii="Verdana" w:eastAsia="Times New Roman" w:hAnsi="Verdana" w:cs="Arial"/>
          <w:lang w:val="es-ES" w:eastAsia="es-CO"/>
        </w:rPr>
      </w:pPr>
    </w:p>
    <w:p w14:paraId="35A6558B" w14:textId="77777777" w:rsidR="00E878D3" w:rsidRPr="00E878D3" w:rsidRDefault="00E878D3" w:rsidP="00E878D3">
      <w:pPr>
        <w:spacing w:after="0" w:line="276" w:lineRule="auto"/>
        <w:jc w:val="both"/>
        <w:rPr>
          <w:rFonts w:ascii="Verdana" w:eastAsia="Times New Roman" w:hAnsi="Verdana" w:cs="Arial"/>
          <w:lang w:val="es-ES" w:eastAsia="es-CO"/>
        </w:rPr>
      </w:pPr>
      <w:proofErr w:type="spellStart"/>
      <w:r w:rsidRPr="00E878D3">
        <w:rPr>
          <w:rFonts w:ascii="Verdana" w:eastAsia="Times New Roman" w:hAnsi="Verdana" w:cs="Arial"/>
          <w:lang w:val="es-ES" w:eastAsia="es-CO"/>
        </w:rPr>
        <w:lastRenderedPageBreak/>
        <w:t>iv</w:t>
      </w:r>
      <w:proofErr w:type="spellEnd"/>
      <w:r w:rsidRPr="00E878D3">
        <w:rPr>
          <w:rFonts w:ascii="Verdana" w:eastAsia="Times New Roman" w:hAnsi="Verdana" w:cs="Arial"/>
          <w:lang w:val="es-ES" w:eastAsia="es-CO"/>
        </w:rPr>
        <w:t>. En desarrollo de las consideraciones anteriores y por la relevancia respecto al supuesto planteado por la peticionaria, debe tenerse en cuenta que otro de los ejemplos de orden legal en que se autoriza a una entidad estatal para la constitución de patrimonios autónomos, es el relacionado con el desarrollo de proyectos de vivienda de interés social y proyectos de vivienda de interés prioritario, según lo establecido, entre otras, en la Leyes 388 de 1997</w:t>
      </w:r>
      <w:r w:rsidRPr="00E878D3">
        <w:rPr>
          <w:rFonts w:ascii="Verdana" w:eastAsia="Times New Roman" w:hAnsi="Verdana" w:cs="Arial"/>
          <w:vertAlign w:val="superscript"/>
          <w:lang w:val="es-ES" w:eastAsia="es-CO"/>
        </w:rPr>
        <w:footnoteReference w:id="20"/>
      </w:r>
      <w:r w:rsidRPr="00E878D3">
        <w:rPr>
          <w:rFonts w:ascii="Verdana" w:eastAsia="Times New Roman" w:hAnsi="Verdana" w:cs="Arial"/>
          <w:lang w:val="es-ES" w:eastAsia="es-CO"/>
        </w:rPr>
        <w:t xml:space="preserve"> y 1537 de 2012</w:t>
      </w:r>
      <w:r w:rsidRPr="00E878D3">
        <w:rPr>
          <w:rFonts w:ascii="Verdana" w:eastAsia="Times New Roman" w:hAnsi="Verdana" w:cs="Times New Roman"/>
          <w:vertAlign w:val="superscript"/>
          <w:lang w:val="es-ES" w:eastAsia="es-CO"/>
        </w:rPr>
        <w:footnoteReference w:id="21"/>
      </w:r>
      <w:r w:rsidRPr="00E878D3">
        <w:rPr>
          <w:rFonts w:ascii="Verdana" w:eastAsia="Times New Roman" w:hAnsi="Verdana" w:cs="Arial"/>
          <w:lang w:val="es-ES" w:eastAsia="es-CO"/>
        </w:rPr>
        <w:t>.</w:t>
      </w:r>
    </w:p>
    <w:p w14:paraId="492C7E1A" w14:textId="77777777" w:rsidR="00E878D3" w:rsidRPr="00E878D3" w:rsidRDefault="00E878D3" w:rsidP="00E878D3">
      <w:pPr>
        <w:spacing w:before="120" w:line="276" w:lineRule="auto"/>
        <w:ind w:firstLine="708"/>
        <w:jc w:val="both"/>
        <w:textAlignment w:val="baseline"/>
        <w:rPr>
          <w:rFonts w:ascii="Verdana" w:eastAsia="Aptos" w:hAnsi="Verdana" w:cs="Arial"/>
          <w:color w:val="000000"/>
          <w:kern w:val="2"/>
          <w:lang w:val="es-ES_tradnl"/>
          <w14:ligatures w14:val="standardContextual"/>
        </w:rPr>
      </w:pPr>
      <w:r w:rsidRPr="00E878D3">
        <w:rPr>
          <w:rFonts w:ascii="Verdana" w:eastAsia="Aptos" w:hAnsi="Verdana" w:cs="Arial"/>
          <w:color w:val="000000"/>
          <w:kern w:val="2"/>
          <w:lang w:val="es-ES_tradnl"/>
          <w14:ligatures w14:val="standardContextual"/>
        </w:rPr>
        <w:t>En efecto, la Ley 388 de 1997 tuvo como propósito armonizar y actualizar las disposiciones contenidas en la Ley 9 de 1989 con las nuevas normas establecidas en la Constitución Política, la Ley Orgánica del Plan de Desarrollo, la Ley Orgánica de Áreas Metropolitanas y la Ley por la que se crea el Sistema Nacional Ambiental. En el artículo 36 –original– de esta norma se previó que las actuaciones urbanísticas, dentro de la cuales se encontraba la edificación de inmuebles, podrían ser desarrolladas por propietarios individuales en forma aislada, por grupos de propietarios asociados voluntariamente o, de manera obligatoria, a través de unidades de actuación urbanística, directamente por entidades públicas o mediante formas mixtas de asociación entre el sector público y el sector privado.</w:t>
      </w:r>
    </w:p>
    <w:p w14:paraId="4AEE85A9" w14:textId="77777777" w:rsidR="00E878D3" w:rsidRPr="00E878D3" w:rsidRDefault="00E878D3" w:rsidP="00E878D3">
      <w:pPr>
        <w:spacing w:before="120" w:line="276" w:lineRule="auto"/>
        <w:ind w:firstLine="708"/>
        <w:jc w:val="both"/>
        <w:textAlignment w:val="baseline"/>
        <w:rPr>
          <w:rFonts w:ascii="Verdana" w:eastAsia="Aptos" w:hAnsi="Verdana" w:cs="Arial"/>
          <w:color w:val="000000"/>
          <w:kern w:val="2"/>
          <w:lang w:val="es-ES_tradnl"/>
          <w14:ligatures w14:val="standardContextual"/>
        </w:rPr>
      </w:pPr>
      <w:r w:rsidRPr="00E878D3">
        <w:rPr>
          <w:rFonts w:ascii="Verdana" w:eastAsia="Aptos" w:hAnsi="Verdana" w:cs="Arial"/>
          <w:color w:val="000000"/>
          <w:kern w:val="2"/>
          <w:lang w:val="es-ES_tradnl"/>
          <w14:ligatures w14:val="standardContextual"/>
        </w:rPr>
        <w:t xml:space="preserve">El inciso final del mencionado artículo 36, en su versión primigenia, dispuso que las entidades municipales y distritales y las áreas metropolitanas podrían participar en la ejecución de proyectos de urbanización y programas de </w:t>
      </w:r>
      <w:r w:rsidRPr="00E878D3">
        <w:rPr>
          <w:rFonts w:ascii="Verdana" w:eastAsia="Aptos" w:hAnsi="Verdana" w:cs="Arial"/>
          <w:i/>
          <w:iCs/>
          <w:color w:val="000000"/>
          <w:kern w:val="2"/>
          <w:lang w:val="es-ES_tradnl"/>
          <w14:ligatures w14:val="standardContextual"/>
        </w:rPr>
        <w:t>vivienda de interés social</w:t>
      </w:r>
      <w:r w:rsidRPr="00E878D3">
        <w:rPr>
          <w:rFonts w:ascii="Verdana" w:eastAsia="Aptos" w:hAnsi="Verdana" w:cs="Arial"/>
          <w:color w:val="000000"/>
          <w:kern w:val="2"/>
          <w:lang w:val="es-ES_tradnl"/>
          <w14:ligatures w14:val="standardContextual"/>
        </w:rPr>
        <w:t xml:space="preserve">, mediante la celebración, entre otros, de </w:t>
      </w:r>
      <w:r w:rsidRPr="00E878D3">
        <w:rPr>
          <w:rFonts w:ascii="Verdana" w:eastAsia="Aptos" w:hAnsi="Verdana" w:cs="Arial"/>
          <w:i/>
          <w:iCs/>
          <w:color w:val="000000"/>
          <w:kern w:val="2"/>
          <w:lang w:val="es-ES_tradnl"/>
          <w14:ligatures w14:val="standardContextual"/>
        </w:rPr>
        <w:t>contratos de fiducia</w:t>
      </w:r>
      <w:r w:rsidRPr="00E878D3">
        <w:rPr>
          <w:rFonts w:ascii="Verdana" w:eastAsia="Aptos" w:hAnsi="Verdana" w:cs="Arial"/>
          <w:color w:val="000000"/>
          <w:kern w:val="2"/>
          <w:lang w:val="es-ES_tradnl"/>
          <w14:ligatures w14:val="standardContextual"/>
        </w:rPr>
        <w:t xml:space="preserve"> con sujeción a las reglas generales y del derecho comercial, sin las limitaciones y restricciones previstas en el numeral 5 del artículo 32 de la Ley 80 de 1993.</w:t>
      </w:r>
    </w:p>
    <w:p w14:paraId="3B8A728C" w14:textId="77777777" w:rsidR="00E878D3" w:rsidRPr="00E878D3" w:rsidRDefault="00E878D3" w:rsidP="00E878D3">
      <w:pPr>
        <w:spacing w:after="0" w:line="276" w:lineRule="auto"/>
        <w:ind w:firstLine="709"/>
        <w:jc w:val="both"/>
        <w:textAlignment w:val="baseline"/>
        <w:rPr>
          <w:rFonts w:ascii="Verdana" w:eastAsia="Aptos" w:hAnsi="Verdana" w:cs="Arial"/>
          <w:color w:val="000000"/>
          <w:kern w:val="2"/>
          <w:lang w:val="es-ES_tradnl"/>
          <w14:ligatures w14:val="standardContextual"/>
        </w:rPr>
      </w:pPr>
      <w:r w:rsidRPr="00E878D3">
        <w:rPr>
          <w:rFonts w:ascii="Verdana" w:eastAsia="Aptos" w:hAnsi="Verdana" w:cs="Arial"/>
          <w:color w:val="000000"/>
          <w:kern w:val="2"/>
          <w:lang w:val="es-ES_tradnl"/>
          <w14:ligatures w14:val="standardContextual"/>
        </w:rPr>
        <w:t>Esta norma fue objeto de pronunciamiento por parte de la Sala de Consulta y Servicio Civil del Consejo de Estado, que en Concepto No. 1503 de 2003,</w:t>
      </w:r>
      <w:r w:rsidRPr="00E878D3">
        <w:rPr>
          <w:rFonts w:ascii="Verdana" w:eastAsia="Aptos" w:hAnsi="Verdana" w:cs="Arial"/>
          <w:color w:val="000000"/>
          <w:kern w:val="2"/>
          <w:vertAlign w:val="superscript"/>
          <w:lang w:val="es-ES_tradnl"/>
          <w14:ligatures w14:val="standardContextual"/>
        </w:rPr>
        <w:footnoteReference w:id="22"/>
      </w:r>
      <w:r w:rsidRPr="00E878D3">
        <w:rPr>
          <w:rFonts w:ascii="Verdana" w:eastAsia="Aptos" w:hAnsi="Verdana" w:cs="Arial"/>
          <w:color w:val="000000"/>
          <w:kern w:val="2"/>
          <w:lang w:val="es-ES_tradnl"/>
          <w14:ligatures w14:val="standardContextual"/>
        </w:rPr>
        <w:t xml:space="preserve"> interpretó el alcance en el siguiente sentido: </w:t>
      </w:r>
    </w:p>
    <w:p w14:paraId="495929A5" w14:textId="77777777" w:rsidR="00E878D3" w:rsidRPr="00E878D3" w:rsidRDefault="00E878D3" w:rsidP="00E878D3">
      <w:pPr>
        <w:spacing w:after="0" w:line="276" w:lineRule="auto"/>
        <w:ind w:firstLine="709"/>
        <w:jc w:val="both"/>
        <w:textAlignment w:val="baseline"/>
        <w:rPr>
          <w:rFonts w:ascii="Verdana" w:eastAsia="Aptos" w:hAnsi="Verdana" w:cs="Arial"/>
          <w:color w:val="000000"/>
          <w:kern w:val="2"/>
          <w:lang w:val="es-ES_tradnl"/>
          <w14:ligatures w14:val="standardContextual"/>
        </w:rPr>
      </w:pPr>
    </w:p>
    <w:p w14:paraId="7C9F6F09" w14:textId="77777777" w:rsidR="00E878D3" w:rsidRPr="00E878D3" w:rsidRDefault="00E878D3" w:rsidP="00E878D3">
      <w:pPr>
        <w:spacing w:after="0" w:line="278" w:lineRule="auto"/>
        <w:ind w:left="709" w:right="709"/>
        <w:jc w:val="both"/>
        <w:rPr>
          <w:rFonts w:ascii="Verdana" w:eastAsia="Aptos" w:hAnsi="Verdana" w:cs="Arial"/>
          <w:color w:val="000000"/>
          <w:kern w:val="2"/>
          <w:sz w:val="20"/>
          <w:szCs w:val="20"/>
          <w:lang w:val="es-ES_tradnl"/>
          <w14:ligatures w14:val="standardContextual"/>
        </w:rPr>
      </w:pPr>
      <w:r w:rsidRPr="00E878D3">
        <w:rPr>
          <w:rFonts w:ascii="Verdana" w:eastAsia="Aptos" w:hAnsi="Verdana" w:cs="Arial"/>
          <w:color w:val="000000"/>
          <w:kern w:val="2"/>
          <w:sz w:val="20"/>
          <w:szCs w:val="20"/>
          <w:lang w:val="es-ES_tradnl"/>
          <w14:ligatures w14:val="standardContextual"/>
        </w:rPr>
        <w:t xml:space="preserve">“Ahora bien, resulta claro que el inciso final del artículo 36 de la Ley 388 de 1997 estableció una excepción al régimen de contratación estatal de fiducia, y por lo mismo, es de interpretación restrictiva, lo cual trae como consecuencia que esta norma es aplicable únicamente para los fines expresados en la misma, vale decir, la ejecución de proyectos de urbanización y programas de vivienda de interés social. Las entidades municipales y distritales y las áreas metropolitanas que persigan tales fines, se encuentran habilitadas para celebrar los contratos de fiducia que autoriza la mencionada norma, los cuales han de entenderse de </w:t>
      </w:r>
      <w:r w:rsidRPr="00E878D3">
        <w:rPr>
          <w:rFonts w:ascii="Verdana" w:eastAsia="Aptos" w:hAnsi="Verdana" w:cs="Arial"/>
          <w:i/>
          <w:iCs/>
          <w:color w:val="000000"/>
          <w:kern w:val="2"/>
          <w:sz w:val="20"/>
          <w:szCs w:val="20"/>
          <w:lang w:val="es-ES_tradnl"/>
          <w14:ligatures w14:val="standardContextual"/>
        </w:rPr>
        <w:t>fiducia mercantil</w:t>
      </w:r>
      <w:r w:rsidRPr="00E878D3">
        <w:rPr>
          <w:rFonts w:ascii="Verdana" w:eastAsia="Aptos" w:hAnsi="Verdana" w:cs="Arial"/>
          <w:color w:val="000000"/>
          <w:kern w:val="2"/>
          <w:sz w:val="20"/>
          <w:szCs w:val="20"/>
          <w:lang w:val="es-ES_tradnl"/>
          <w14:ligatures w14:val="standardContextual"/>
        </w:rPr>
        <w:t xml:space="preserve">, </w:t>
      </w:r>
      <w:r w:rsidRPr="00E878D3">
        <w:rPr>
          <w:rFonts w:ascii="Verdana" w:eastAsia="Aptos" w:hAnsi="Verdana" w:cs="Arial"/>
          <w:b/>
          <w:bCs/>
          <w:color w:val="000000"/>
          <w:kern w:val="2"/>
          <w:sz w:val="20"/>
          <w:szCs w:val="20"/>
          <w:lang w:val="es-ES_tradnl"/>
          <w14:ligatures w14:val="standardContextual"/>
        </w:rPr>
        <w:t>puesto que la norma expresa que se celebrarán con sujeción a las reglas generales y ‘del derecho comercial’, lo cual se reafirma con la expresión siguiente de la norma, ‘sin las limitaciones y las restricciones previstas en el numeral 5° del artículo 32 de la ley 80 de 1993’”</w:t>
      </w:r>
      <w:r w:rsidRPr="00E878D3">
        <w:rPr>
          <w:rFonts w:ascii="Verdana" w:eastAsia="Aptos" w:hAnsi="Verdana" w:cs="Arial"/>
          <w:color w:val="000000"/>
          <w:kern w:val="2"/>
          <w:sz w:val="20"/>
          <w:szCs w:val="20"/>
          <w:lang w:val="es-ES_tradnl"/>
          <w14:ligatures w14:val="standardContextual"/>
        </w:rPr>
        <w:t>. (Resaltado fuera de texto)</w:t>
      </w:r>
    </w:p>
    <w:p w14:paraId="0B73B325" w14:textId="77777777" w:rsidR="00E878D3" w:rsidRPr="00E878D3" w:rsidRDefault="00E878D3" w:rsidP="00E878D3">
      <w:pPr>
        <w:spacing w:after="0" w:line="278" w:lineRule="auto"/>
        <w:ind w:left="709" w:right="709"/>
        <w:jc w:val="both"/>
        <w:rPr>
          <w:rFonts w:ascii="Verdana" w:eastAsia="Aptos" w:hAnsi="Verdana" w:cs="Arial"/>
          <w:color w:val="000000"/>
          <w:kern w:val="2"/>
          <w:sz w:val="20"/>
          <w:szCs w:val="20"/>
          <w:lang w:val="es-ES_tradnl"/>
          <w14:ligatures w14:val="standardContextual"/>
        </w:rPr>
      </w:pPr>
    </w:p>
    <w:p w14:paraId="70AC441E" w14:textId="77777777" w:rsidR="00E878D3" w:rsidRPr="00E878D3" w:rsidRDefault="00E878D3" w:rsidP="00E878D3">
      <w:pPr>
        <w:spacing w:line="276" w:lineRule="auto"/>
        <w:ind w:firstLine="708"/>
        <w:jc w:val="both"/>
        <w:textAlignment w:val="baseline"/>
        <w:rPr>
          <w:rFonts w:ascii="Verdana" w:eastAsia="Aptos" w:hAnsi="Verdana" w:cs="Arial"/>
          <w:color w:val="000000"/>
          <w:kern w:val="2"/>
          <w:lang w:val="es-ES_tradnl"/>
          <w14:ligatures w14:val="standardContextual"/>
        </w:rPr>
      </w:pPr>
      <w:r w:rsidRPr="00E878D3">
        <w:rPr>
          <w:rFonts w:ascii="Verdana" w:eastAsia="Aptos" w:hAnsi="Verdana" w:cs="Arial"/>
          <w:color w:val="000000"/>
          <w:kern w:val="2"/>
          <w:lang w:val="es-ES_tradnl"/>
          <w14:ligatures w14:val="standardContextual"/>
        </w:rPr>
        <w:t xml:space="preserve">El criterio interpretativo del inciso final del artículo 36 de la Ley 388 de 1997, según el cual el </w:t>
      </w:r>
      <w:r w:rsidRPr="00E878D3">
        <w:rPr>
          <w:rFonts w:ascii="Verdana" w:eastAsia="Aptos" w:hAnsi="Verdana" w:cs="Arial"/>
          <w:i/>
          <w:iCs/>
          <w:color w:val="000000"/>
          <w:kern w:val="2"/>
          <w:lang w:val="es-ES_tradnl"/>
          <w14:ligatures w14:val="standardContextual"/>
        </w:rPr>
        <w:t>contrato de fiducia</w:t>
      </w:r>
      <w:r w:rsidRPr="00E878D3">
        <w:rPr>
          <w:rFonts w:ascii="Verdana" w:eastAsia="Aptos" w:hAnsi="Verdana" w:cs="Arial"/>
          <w:color w:val="000000"/>
          <w:kern w:val="2"/>
          <w:lang w:val="es-ES_tradnl"/>
          <w14:ligatures w14:val="standardContextual"/>
        </w:rPr>
        <w:t xml:space="preserve"> autorizado en dicha norma para que las entidades territoriales ejecuten proyectos de </w:t>
      </w:r>
      <w:r w:rsidRPr="00E878D3">
        <w:rPr>
          <w:rFonts w:ascii="Verdana" w:eastAsia="Times New Roman" w:hAnsi="Verdana" w:cs="Arial"/>
          <w:i/>
          <w:iCs/>
          <w:kern w:val="2"/>
          <w:lang w:val="es-ES_tradnl" w:eastAsia="es-CO"/>
          <w14:ligatures w14:val="standardContextual"/>
        </w:rPr>
        <w:t>vivienda de interés social</w:t>
      </w:r>
      <w:r w:rsidRPr="00E878D3">
        <w:rPr>
          <w:rFonts w:ascii="Verdana" w:eastAsia="Aptos" w:hAnsi="Verdana" w:cs="Arial"/>
          <w:color w:val="000000"/>
          <w:kern w:val="2"/>
          <w:lang w:val="es-ES_tradnl"/>
          <w14:ligatures w14:val="standardContextual"/>
        </w:rPr>
        <w:t xml:space="preserve"> es el </w:t>
      </w:r>
      <w:r w:rsidRPr="00E878D3">
        <w:rPr>
          <w:rFonts w:ascii="Verdana" w:eastAsia="Aptos" w:hAnsi="Verdana" w:cs="Arial"/>
          <w:i/>
          <w:iCs/>
          <w:color w:val="000000"/>
          <w:kern w:val="2"/>
          <w:lang w:val="es-ES_tradnl"/>
          <w14:ligatures w14:val="standardContextual"/>
        </w:rPr>
        <w:t>contrato de fiducia mercantil</w:t>
      </w:r>
      <w:r w:rsidRPr="00E878D3">
        <w:rPr>
          <w:rFonts w:ascii="Verdana" w:eastAsia="Aptos" w:hAnsi="Verdana" w:cs="Arial"/>
          <w:color w:val="000000"/>
          <w:kern w:val="2"/>
          <w:lang w:val="es-ES_tradnl"/>
          <w14:ligatures w14:val="standardContextual"/>
        </w:rPr>
        <w:t>, regido por el derecho privado, también fue acogido por la jurisprudencia de esa corporación, pues la Sección Tercera del Consejo de Estado, en un fallo posterior</w:t>
      </w:r>
      <w:r w:rsidRPr="00E878D3">
        <w:rPr>
          <w:rFonts w:ascii="Verdana" w:eastAsia="Aptos" w:hAnsi="Verdana" w:cs="Arial"/>
          <w:color w:val="000000"/>
          <w:kern w:val="2"/>
          <w:vertAlign w:val="superscript"/>
          <w:lang w:val="es-ES_tradnl"/>
          <w14:ligatures w14:val="standardContextual"/>
        </w:rPr>
        <w:footnoteReference w:id="23"/>
      </w:r>
      <w:r w:rsidRPr="00E878D3">
        <w:rPr>
          <w:rFonts w:ascii="Verdana" w:eastAsia="Aptos" w:hAnsi="Verdana" w:cs="Arial"/>
          <w:color w:val="000000"/>
          <w:kern w:val="2"/>
          <w:lang w:val="es-ES_tradnl"/>
          <w14:ligatures w14:val="standardContextual"/>
        </w:rPr>
        <w:t xml:space="preserve">, mantuvo la tesis según la cual “los contratos celebrados por las entidades municipales, distritales y las áreas metropolitanas para desarrollar proyectos de interés social no se encuentran exceptuados de la aplicación del Estatuto de Contratación Estatal, en tanto no existe norma que así lo indique. La única excepción expresa que se concibió frente a su ámbito de cobertura correspondió a la tipología de </w:t>
      </w:r>
      <w:r w:rsidRPr="00E878D3">
        <w:rPr>
          <w:rFonts w:ascii="Verdana" w:eastAsia="Aptos" w:hAnsi="Verdana" w:cs="Arial"/>
          <w:i/>
          <w:iCs/>
          <w:color w:val="000000"/>
          <w:kern w:val="2"/>
          <w:lang w:val="es-ES_tradnl"/>
          <w14:ligatures w14:val="standardContextual"/>
        </w:rPr>
        <w:t>fiducia</w:t>
      </w:r>
      <w:r w:rsidRPr="00E878D3">
        <w:rPr>
          <w:rFonts w:ascii="Verdana" w:eastAsia="Aptos" w:hAnsi="Verdana" w:cs="Arial"/>
          <w:color w:val="000000"/>
          <w:kern w:val="2"/>
          <w:lang w:val="es-ES_tradnl"/>
          <w14:ligatures w14:val="standardContextual"/>
        </w:rPr>
        <w:t>, en cuyo caso el negocio jurídico que encuadrara en ese tipo negocial se gobernaría por las normas del estatuto mercantil”.</w:t>
      </w:r>
    </w:p>
    <w:p w14:paraId="1BBE1D26" w14:textId="77777777" w:rsidR="00E878D3" w:rsidRPr="00E878D3" w:rsidRDefault="00E878D3" w:rsidP="00E878D3">
      <w:pPr>
        <w:spacing w:after="0" w:line="276" w:lineRule="auto"/>
        <w:ind w:firstLine="708"/>
        <w:jc w:val="both"/>
        <w:textAlignment w:val="baseline"/>
        <w:rPr>
          <w:rFonts w:ascii="Verdana" w:eastAsia="Aptos" w:hAnsi="Verdana" w:cs="Arial"/>
          <w:color w:val="000000"/>
          <w:kern w:val="2"/>
          <w:lang w:val="es-ES_tradnl"/>
          <w14:ligatures w14:val="standardContextual"/>
        </w:rPr>
      </w:pPr>
      <w:r w:rsidRPr="00E878D3">
        <w:rPr>
          <w:rFonts w:ascii="Verdana" w:eastAsia="Aptos" w:hAnsi="Verdana" w:cs="Arial"/>
          <w:color w:val="000000"/>
          <w:kern w:val="2"/>
          <w:lang w:val="es-ES_tradnl"/>
          <w14:ligatures w14:val="standardContextual"/>
        </w:rPr>
        <w:t xml:space="preserve">La doctrina también ha coincidido en este entendimiento, partiendo de las consideraciones realizadas por la Sala de Consulta y Servicio Civil del Consejo de Estado, al señalar que en relación con los contratos de fiducia señalados en </w:t>
      </w:r>
      <w:r w:rsidRPr="00E878D3">
        <w:rPr>
          <w:rFonts w:ascii="Verdana" w:eastAsia="Aptos" w:hAnsi="Verdana" w:cs="Arial"/>
          <w:color w:val="000000"/>
          <w:kern w:val="2"/>
          <w:lang w:val="es-ES_tradnl"/>
          <w14:ligatures w14:val="standardContextual"/>
        </w:rPr>
        <w:lastRenderedPageBreak/>
        <w:t>el último inciso del artículo 36 de la Ley 388 de 1997 se configura un régimen excepcional de contratación. En este sentido se ha indicado:</w:t>
      </w:r>
    </w:p>
    <w:p w14:paraId="67710402" w14:textId="77777777" w:rsidR="00E878D3" w:rsidRPr="00E878D3" w:rsidRDefault="00E878D3" w:rsidP="00E878D3">
      <w:pPr>
        <w:spacing w:after="0" w:line="276" w:lineRule="auto"/>
        <w:ind w:firstLine="708"/>
        <w:jc w:val="both"/>
        <w:textAlignment w:val="baseline"/>
        <w:rPr>
          <w:rFonts w:ascii="Verdana" w:eastAsia="Aptos" w:hAnsi="Verdana" w:cs="Arial"/>
          <w:color w:val="000000"/>
          <w:kern w:val="2"/>
          <w:sz w:val="24"/>
          <w:szCs w:val="24"/>
          <w:lang w:val="es-ES_tradnl"/>
          <w14:ligatures w14:val="standardContextual"/>
        </w:rPr>
      </w:pPr>
    </w:p>
    <w:p w14:paraId="75B3AC52" w14:textId="77777777" w:rsidR="00E878D3" w:rsidRPr="00E878D3" w:rsidRDefault="00E878D3" w:rsidP="00E878D3">
      <w:pPr>
        <w:spacing w:after="120" w:line="278" w:lineRule="auto"/>
        <w:ind w:left="709" w:right="709"/>
        <w:jc w:val="both"/>
        <w:textAlignment w:val="baseline"/>
        <w:rPr>
          <w:rFonts w:ascii="Verdana" w:eastAsia="Aptos" w:hAnsi="Verdana" w:cs="Arial"/>
          <w:color w:val="000000"/>
          <w:kern w:val="2"/>
          <w:sz w:val="20"/>
          <w:szCs w:val="20"/>
          <w:lang w:val="es-ES"/>
          <w14:ligatures w14:val="standardContextual"/>
        </w:rPr>
      </w:pPr>
      <w:r w:rsidRPr="00E878D3">
        <w:rPr>
          <w:rFonts w:ascii="Verdana" w:eastAsia="Aptos" w:hAnsi="Verdana" w:cs="Arial"/>
          <w:i/>
          <w:color w:val="000000"/>
          <w:kern w:val="2"/>
          <w:sz w:val="20"/>
          <w:szCs w:val="20"/>
          <w:lang w:val="es-ES"/>
          <w14:ligatures w14:val="standardContextual"/>
        </w:rPr>
        <w:t>“De lo anterior se colige que, tal como se encuentra la redacción de dicho artículo en la actualidad, el régimen de Derecho privado, solo es admisible en relación con el contrato de fiducia</w:t>
      </w:r>
      <w:r w:rsidRPr="00E878D3">
        <w:rPr>
          <w:rFonts w:ascii="Verdana" w:eastAsia="Aptos" w:hAnsi="Verdana" w:cs="Arial"/>
          <w:color w:val="000000"/>
          <w:kern w:val="2"/>
          <w:sz w:val="20"/>
          <w:szCs w:val="20"/>
          <w:lang w:val="es-ES"/>
          <w14:ligatures w14:val="standardContextual"/>
        </w:rPr>
        <w:t>, de modo que, al no hacerse referencia expresa en la norma a otro tipo de contratos que pueden ser suscritos bajo este régimen, necesariamente debe aplicarse la regla general de los contratos que suscriben los municipios, las áreas metropolitanas y los establecimientos públicos adscritos a éstos, esto es, la Ley 80 de 1993 y hoy la Ley 1150 de 2007.</w:t>
      </w:r>
    </w:p>
    <w:p w14:paraId="08E6BFB3" w14:textId="77777777" w:rsidR="00E878D3" w:rsidRPr="00E878D3" w:rsidRDefault="00E878D3" w:rsidP="00E878D3">
      <w:pPr>
        <w:spacing w:after="0" w:line="278" w:lineRule="auto"/>
        <w:ind w:left="709" w:right="709"/>
        <w:jc w:val="both"/>
        <w:textAlignment w:val="baseline"/>
        <w:rPr>
          <w:rFonts w:ascii="Verdana" w:eastAsia="Aptos" w:hAnsi="Verdana" w:cs="Arial"/>
          <w:color w:val="000000"/>
          <w:kern w:val="2"/>
          <w:sz w:val="20"/>
          <w:szCs w:val="20"/>
          <w:lang w:val="es-ES_tradnl"/>
          <w14:ligatures w14:val="standardContextual"/>
        </w:rPr>
      </w:pPr>
      <w:r w:rsidRPr="00E878D3">
        <w:rPr>
          <w:rFonts w:ascii="Verdana" w:eastAsia="Aptos" w:hAnsi="Verdana" w:cs="Arial"/>
          <w:i/>
          <w:iCs/>
          <w:color w:val="000000"/>
          <w:kern w:val="2"/>
          <w:sz w:val="20"/>
          <w:szCs w:val="20"/>
          <w:lang w:val="es-ES_tradnl"/>
          <w14:ligatures w14:val="standardContextual"/>
        </w:rPr>
        <w:t>La interpretación de la Sala de Consulta y Servicio Civil nos da luces para resaltar que el único régimen excepcional de contratación que se advierte en dicho inciso de la Ley 388 de 1997 es en relación con el contrato de fiducia</w:t>
      </w:r>
      <w:r w:rsidRPr="00E878D3">
        <w:rPr>
          <w:rFonts w:ascii="Verdana" w:eastAsia="Aptos" w:hAnsi="Verdana" w:cs="Arial"/>
          <w:color w:val="000000"/>
          <w:kern w:val="2"/>
          <w:sz w:val="20"/>
          <w:szCs w:val="20"/>
          <w:lang w:val="es-ES_tradnl"/>
          <w14:ligatures w14:val="standardContextual"/>
        </w:rPr>
        <w:t xml:space="preserve"> que se celebre en el proyecto de vivienda de interés social, mas no en relación con el proceso constructivo, que es nuestra preocupación”</w:t>
      </w:r>
      <w:r w:rsidRPr="00E878D3">
        <w:rPr>
          <w:rFonts w:ascii="Verdana" w:eastAsia="Aptos" w:hAnsi="Verdana" w:cs="Arial"/>
          <w:color w:val="000000"/>
          <w:kern w:val="2"/>
          <w:sz w:val="20"/>
          <w:szCs w:val="20"/>
          <w:vertAlign w:val="superscript"/>
          <w:lang w:val="es-ES_tradnl"/>
          <w14:ligatures w14:val="standardContextual"/>
        </w:rPr>
        <w:footnoteReference w:id="24"/>
      </w:r>
      <w:r w:rsidRPr="00E878D3">
        <w:rPr>
          <w:rFonts w:ascii="Verdana" w:eastAsia="Aptos" w:hAnsi="Verdana" w:cs="Arial"/>
          <w:color w:val="000000"/>
          <w:kern w:val="2"/>
          <w:sz w:val="20"/>
          <w:szCs w:val="20"/>
          <w:lang w:val="es-ES_tradnl"/>
          <w14:ligatures w14:val="standardContextual"/>
        </w:rPr>
        <w:t>.</w:t>
      </w:r>
    </w:p>
    <w:p w14:paraId="1754FDE3" w14:textId="77777777" w:rsidR="00E878D3" w:rsidRPr="00E878D3" w:rsidRDefault="00E878D3" w:rsidP="00E878D3">
      <w:pPr>
        <w:spacing w:after="0" w:line="278" w:lineRule="auto"/>
        <w:ind w:left="709" w:right="709"/>
        <w:jc w:val="both"/>
        <w:textAlignment w:val="baseline"/>
        <w:rPr>
          <w:rFonts w:ascii="Verdana" w:eastAsia="Aptos" w:hAnsi="Verdana" w:cs="Arial"/>
          <w:color w:val="000000"/>
          <w:kern w:val="2"/>
          <w:sz w:val="20"/>
          <w:szCs w:val="20"/>
          <w:lang w:val="es-ES_tradnl"/>
          <w14:ligatures w14:val="standardContextual"/>
        </w:rPr>
      </w:pPr>
    </w:p>
    <w:p w14:paraId="329CA85C" w14:textId="77777777" w:rsidR="00E878D3" w:rsidRPr="00E878D3" w:rsidRDefault="00E878D3" w:rsidP="00E878D3">
      <w:pPr>
        <w:spacing w:after="0" w:line="276" w:lineRule="auto"/>
        <w:ind w:firstLine="709"/>
        <w:jc w:val="both"/>
        <w:textAlignment w:val="baseline"/>
        <w:rPr>
          <w:rFonts w:ascii="Verdana" w:eastAsia="Aptos" w:hAnsi="Verdana" w:cs="Arial"/>
          <w:color w:val="000000"/>
          <w:kern w:val="2"/>
          <w:lang w:val="es-ES_tradnl"/>
          <w14:ligatures w14:val="standardContextual"/>
        </w:rPr>
      </w:pPr>
      <w:r w:rsidRPr="00E878D3">
        <w:rPr>
          <w:rFonts w:ascii="Verdana" w:eastAsia="Aptos" w:hAnsi="Verdana" w:cs="Arial"/>
          <w:color w:val="000000"/>
          <w:kern w:val="2"/>
          <w:lang w:val="es-ES_tradnl"/>
          <w14:ligatures w14:val="standardContextual"/>
        </w:rPr>
        <w:t>De otra parte, el 14 de enero de 2021 se expidió la Ley 2079 “por medio de la cual se dictan disposiciones en materia de vivienda y hábitat”</w:t>
      </w:r>
      <w:r w:rsidRPr="00E878D3">
        <w:rPr>
          <w:rFonts w:ascii="Verdana" w:eastAsia="Aptos" w:hAnsi="Verdana" w:cs="Arial"/>
          <w:color w:val="000000"/>
          <w:kern w:val="2"/>
          <w:vertAlign w:val="superscript"/>
          <w:lang w:val="es-ES_tradnl"/>
          <w14:ligatures w14:val="standardContextual"/>
        </w:rPr>
        <w:footnoteReference w:id="25"/>
      </w:r>
      <w:r w:rsidRPr="00E878D3">
        <w:rPr>
          <w:rFonts w:ascii="Verdana" w:eastAsia="Aptos" w:hAnsi="Verdana" w:cs="Arial"/>
          <w:color w:val="000000"/>
          <w:kern w:val="2"/>
          <w:lang w:val="es-ES_tradnl"/>
          <w14:ligatures w14:val="standardContextual"/>
        </w:rPr>
        <w:t xml:space="preserve">. El artículo 28 de la citada disposición modificó el artículo 36 de la Ley 388 de 1997 que contenía el significado del concepto de actuación urbanística y, en particular, para los fines de este concepto, se resalta que en la modificación de la norma se suprimió la alusión que se hacía en el último inciso del artículo a las restricciones </w:t>
      </w:r>
      <w:r w:rsidRPr="00E878D3">
        <w:rPr>
          <w:rFonts w:ascii="Verdana" w:eastAsia="Aptos" w:hAnsi="Verdana" w:cs="Arial"/>
          <w:color w:val="000000"/>
          <w:kern w:val="2"/>
          <w:lang w:val="es-ES_tradnl"/>
          <w14:ligatures w14:val="standardContextual"/>
        </w:rPr>
        <w:lastRenderedPageBreak/>
        <w:t xml:space="preserve">del numeral 5° del artículo 32 de la Ley 80 de 1993 para el </w:t>
      </w:r>
      <w:r w:rsidRPr="00E878D3">
        <w:rPr>
          <w:rFonts w:ascii="Verdana" w:eastAsia="Aptos" w:hAnsi="Verdana" w:cs="Arial"/>
          <w:i/>
          <w:iCs/>
          <w:color w:val="000000"/>
          <w:kern w:val="2"/>
          <w:lang w:val="es-ES_tradnl"/>
          <w14:ligatures w14:val="standardContextual"/>
        </w:rPr>
        <w:t>contrato de fiducia</w:t>
      </w:r>
      <w:r w:rsidRPr="00E878D3">
        <w:rPr>
          <w:rFonts w:ascii="Verdana" w:eastAsia="Aptos" w:hAnsi="Verdana" w:cs="Arial"/>
          <w:color w:val="000000"/>
          <w:kern w:val="2"/>
          <w:lang w:val="es-ES_tradnl"/>
          <w14:ligatures w14:val="standardContextual"/>
        </w:rPr>
        <w:t xml:space="preserve">, tal como se observa en el texto de la nueva norma vigente: </w:t>
      </w:r>
    </w:p>
    <w:p w14:paraId="3EF3A26B" w14:textId="77777777" w:rsidR="00E878D3" w:rsidRPr="00E878D3" w:rsidRDefault="00E878D3" w:rsidP="00E878D3">
      <w:pPr>
        <w:spacing w:after="0" w:line="276" w:lineRule="auto"/>
        <w:ind w:firstLine="709"/>
        <w:jc w:val="both"/>
        <w:textAlignment w:val="baseline"/>
        <w:rPr>
          <w:rFonts w:ascii="Verdana" w:eastAsia="Aptos" w:hAnsi="Verdana" w:cs="Arial"/>
          <w:color w:val="000000"/>
          <w:kern w:val="2"/>
          <w:lang w:val="es-ES_tradnl"/>
          <w14:ligatures w14:val="standardContextual"/>
        </w:rPr>
      </w:pPr>
    </w:p>
    <w:p w14:paraId="23AACA46" w14:textId="77777777" w:rsidR="00E878D3" w:rsidRPr="00E878D3" w:rsidRDefault="00E878D3" w:rsidP="00E878D3">
      <w:pPr>
        <w:spacing w:line="278" w:lineRule="auto"/>
        <w:ind w:left="709" w:right="709"/>
        <w:jc w:val="both"/>
        <w:rPr>
          <w:rFonts w:ascii="Verdana" w:eastAsia="Aptos" w:hAnsi="Verdana" w:cs="Arial"/>
          <w:color w:val="000000"/>
          <w:kern w:val="2"/>
          <w:sz w:val="20"/>
          <w:szCs w:val="20"/>
          <w:lang w:val="es-ES_tradnl"/>
          <w14:ligatures w14:val="standardContextual"/>
        </w:rPr>
      </w:pPr>
      <w:r w:rsidRPr="00E878D3">
        <w:rPr>
          <w:rFonts w:ascii="Verdana" w:eastAsia="Aptos" w:hAnsi="Verdana" w:cs="Arial"/>
          <w:color w:val="000000"/>
          <w:kern w:val="2"/>
          <w:sz w:val="20"/>
          <w:szCs w:val="20"/>
          <w:lang w:val="es-ES_tradnl"/>
          <w14:ligatures w14:val="standardContextual"/>
        </w:rPr>
        <w:t>ARTÍCULO 28. ACTUACIÓN URBANÍSTICA. Modifíquese el artículo 36 de la Ley 388 de 1997, el cual quedará así:</w:t>
      </w:r>
    </w:p>
    <w:p w14:paraId="6A1EAC61" w14:textId="77777777" w:rsidR="00E878D3" w:rsidRPr="00E878D3" w:rsidRDefault="00E878D3" w:rsidP="00E878D3">
      <w:pPr>
        <w:spacing w:after="120" w:line="278" w:lineRule="auto"/>
        <w:ind w:left="709" w:right="709"/>
        <w:jc w:val="both"/>
        <w:rPr>
          <w:rFonts w:ascii="Verdana" w:eastAsia="Aptos" w:hAnsi="Verdana" w:cs="Arial"/>
          <w:color w:val="000000"/>
          <w:kern w:val="2"/>
          <w:sz w:val="20"/>
          <w:szCs w:val="20"/>
          <w:lang w:val="es-ES_tradnl"/>
          <w14:ligatures w14:val="standardContextual"/>
        </w:rPr>
      </w:pPr>
      <w:r w:rsidRPr="00E878D3">
        <w:rPr>
          <w:rFonts w:ascii="Verdana" w:eastAsia="Aptos" w:hAnsi="Verdana" w:cs="Arial"/>
          <w:color w:val="000000"/>
          <w:kern w:val="2"/>
          <w:sz w:val="20"/>
          <w:szCs w:val="20"/>
          <w:lang w:val="es-ES_tradnl"/>
          <w14:ligatures w14:val="standardContextual"/>
        </w:rPr>
        <w:t>"ARTÍCULO 36. Actuación urbanística. Son actuaciones urbanísticas la parcelación, urbanización y construcción de inmuebles. Cada una de estas actuaciones comprenden procedimientos de gestión y formas de ejecución con base en las decisiones administrativas contenidas en la acción urbanística, de acuerdo con los contenidos y criterios de prevalencia establecidos en los artículos 13, 15, 16 y 17 y demás disposiciones de la presente ley.</w:t>
      </w:r>
    </w:p>
    <w:p w14:paraId="35C7F3FC" w14:textId="77777777" w:rsidR="00E878D3" w:rsidRPr="00E878D3" w:rsidRDefault="00E878D3" w:rsidP="00E878D3">
      <w:pPr>
        <w:spacing w:after="120" w:line="278" w:lineRule="auto"/>
        <w:ind w:left="709" w:right="709"/>
        <w:jc w:val="both"/>
        <w:rPr>
          <w:rFonts w:ascii="Verdana" w:eastAsia="Aptos" w:hAnsi="Verdana" w:cs="Arial"/>
          <w:color w:val="000000"/>
          <w:kern w:val="2"/>
          <w:sz w:val="20"/>
          <w:szCs w:val="20"/>
          <w:lang w:val="es-ES_tradnl"/>
          <w14:ligatures w14:val="standardContextual"/>
        </w:rPr>
      </w:pPr>
      <w:r w:rsidRPr="00E878D3">
        <w:rPr>
          <w:rFonts w:ascii="Verdana" w:eastAsia="Aptos" w:hAnsi="Verdana" w:cs="Arial"/>
          <w:color w:val="000000"/>
          <w:kern w:val="2"/>
          <w:sz w:val="20"/>
          <w:szCs w:val="20"/>
          <w:lang w:val="es-ES_tradnl"/>
          <w14:ligatures w14:val="standardContextual"/>
        </w:rPr>
        <w:t>Los actos administrativos de contenido particular y concreto en firme que autorizan las actuaciones urbanísticas consolidan situaciones jurídicas en cabeza de sus titulares y, los derechos y las obligaciones contenidos en ellas. La autoridad municipal o distrital competente deberá respetar los derechos y obligaciones que se derivan de tales actos.</w:t>
      </w:r>
    </w:p>
    <w:p w14:paraId="52E7CFDB" w14:textId="77777777" w:rsidR="00E878D3" w:rsidRPr="00E878D3" w:rsidRDefault="00E878D3" w:rsidP="00E878D3">
      <w:pPr>
        <w:spacing w:after="120" w:line="278" w:lineRule="auto"/>
        <w:ind w:left="709" w:right="709"/>
        <w:jc w:val="both"/>
        <w:rPr>
          <w:rFonts w:ascii="Verdana" w:eastAsia="Aptos" w:hAnsi="Verdana" w:cs="Arial"/>
          <w:color w:val="000000"/>
          <w:kern w:val="2"/>
          <w:sz w:val="20"/>
          <w:szCs w:val="20"/>
          <w:lang w:val="es-ES_tradnl"/>
          <w14:ligatures w14:val="standardContextual"/>
        </w:rPr>
      </w:pPr>
      <w:r w:rsidRPr="00E878D3">
        <w:rPr>
          <w:rFonts w:ascii="Verdana" w:eastAsia="Aptos" w:hAnsi="Verdana" w:cs="Arial"/>
          <w:color w:val="000000"/>
          <w:kern w:val="2"/>
          <w:sz w:val="20"/>
          <w:szCs w:val="20"/>
          <w:lang w:val="es-ES_tradnl"/>
          <w14:ligatures w14:val="standardContextual"/>
        </w:rPr>
        <w:t>Son actos administrativos de contenido particular y concreto las licencias de parcelación, urbanización, construcción y demás establecidas por la normatividad nacional.</w:t>
      </w:r>
    </w:p>
    <w:p w14:paraId="221DDF13" w14:textId="77777777" w:rsidR="00E878D3" w:rsidRPr="00E878D3" w:rsidRDefault="00E878D3" w:rsidP="00E878D3">
      <w:pPr>
        <w:spacing w:after="120" w:line="278" w:lineRule="auto"/>
        <w:ind w:left="709" w:right="709"/>
        <w:jc w:val="both"/>
        <w:rPr>
          <w:rFonts w:ascii="Verdana" w:eastAsia="Aptos" w:hAnsi="Verdana" w:cs="Arial"/>
          <w:color w:val="000000"/>
          <w:kern w:val="2"/>
          <w:sz w:val="20"/>
          <w:szCs w:val="20"/>
          <w:lang w:val="es-ES"/>
          <w14:ligatures w14:val="standardContextual"/>
        </w:rPr>
      </w:pPr>
      <w:r w:rsidRPr="00E878D3">
        <w:rPr>
          <w:rFonts w:ascii="Verdana" w:eastAsia="Aptos" w:hAnsi="Verdana" w:cs="Arial"/>
          <w:color w:val="000000"/>
          <w:kern w:val="2"/>
          <w:sz w:val="20"/>
          <w:szCs w:val="20"/>
          <w:lang w:val="es-ES"/>
          <w14:ligatures w14:val="standardContextual"/>
        </w:rPr>
        <w:t>Cuando por efectos de la regulación de las diferentes actuaciones urbanísticas los municipios, distritos y las áreas metropolitanas deban realizar acciones urbanísticas que generen mayor valor para los inmuebles, quedan autorizados a establecer la participación en plusvalía en los términos que se establecen en la presente ley. Igualmente, las normas urbanísticas establecerán específicamente los casos en que las actuaciones urbanísticas deberán ejecutarse mediante la utilización del reparto de cargas y beneficios tal como se determina en el artículo 38 de esta ley.</w:t>
      </w:r>
    </w:p>
    <w:p w14:paraId="6F039F8F" w14:textId="77777777" w:rsidR="00E878D3" w:rsidRPr="00E878D3" w:rsidRDefault="00E878D3" w:rsidP="00E878D3">
      <w:pPr>
        <w:spacing w:after="120" w:line="278" w:lineRule="auto"/>
        <w:ind w:left="709" w:right="709"/>
        <w:jc w:val="both"/>
        <w:rPr>
          <w:rFonts w:ascii="Verdana" w:eastAsia="Aptos" w:hAnsi="Verdana" w:cs="Arial"/>
          <w:color w:val="000000"/>
          <w:kern w:val="2"/>
          <w:sz w:val="20"/>
          <w:szCs w:val="20"/>
          <w:lang w:val="es-ES_tradnl"/>
          <w14:ligatures w14:val="standardContextual"/>
        </w:rPr>
      </w:pPr>
      <w:r w:rsidRPr="00E878D3">
        <w:rPr>
          <w:rFonts w:ascii="Verdana" w:eastAsia="Aptos" w:hAnsi="Verdana" w:cs="Arial"/>
          <w:color w:val="000000"/>
          <w:kern w:val="2"/>
          <w:sz w:val="20"/>
          <w:szCs w:val="20"/>
          <w:lang w:val="es-ES_tradnl"/>
          <w14:ligatures w14:val="standardContextual"/>
        </w:rPr>
        <w:t>En los programas, proyectos y obras que deban ejecutar las entidades públicas, como consecuencia de las actuaciones urbanísticas previstas en los planes de ordenamiento o en los instrumentos que los desarrollen, las entidades municipales y distritales competentes, sin perjuicio de su realización material por particulares, podrán crear entidades especiales de carácter público o mixto para la ejecución de tales actuaciones, de conformidad con las normas legales generales y con las especiales contenidas en la presente Ley y en la Ley 142 de 1994.</w:t>
      </w:r>
    </w:p>
    <w:p w14:paraId="790D31F9" w14:textId="77777777" w:rsidR="00E878D3" w:rsidRPr="00E878D3" w:rsidRDefault="00E878D3" w:rsidP="00E878D3">
      <w:pPr>
        <w:spacing w:after="0" w:line="278" w:lineRule="auto"/>
        <w:ind w:left="709" w:right="709"/>
        <w:jc w:val="both"/>
        <w:rPr>
          <w:rFonts w:ascii="Verdana" w:eastAsia="Aptos" w:hAnsi="Verdana" w:cs="Arial"/>
          <w:color w:val="000000"/>
          <w:kern w:val="2"/>
          <w:sz w:val="20"/>
          <w:szCs w:val="20"/>
          <w:lang w:val="es-ES_tradnl"/>
          <w14:ligatures w14:val="standardContextual"/>
        </w:rPr>
      </w:pPr>
      <w:r w:rsidRPr="00E878D3">
        <w:rPr>
          <w:rFonts w:ascii="Verdana" w:eastAsia="Aptos" w:hAnsi="Verdana" w:cs="Arial"/>
          <w:i/>
          <w:iCs/>
          <w:color w:val="000000"/>
          <w:kern w:val="2"/>
          <w:sz w:val="20"/>
          <w:szCs w:val="20"/>
          <w:lang w:val="es-ES_tradnl"/>
          <w14:ligatures w14:val="standardContextual"/>
        </w:rPr>
        <w:lastRenderedPageBreak/>
        <w:t>Igualmente, las entidades municipales, distritales y las áreas metropolitanas podrán participar en la ejecución de proyectos de urbanización y programas de vivienda de interés social, mediante la celebración, entre otros, de contratos de fiducia con sujeción a las reglas generales y del derecho comercial.</w:t>
      </w:r>
      <w:r w:rsidRPr="00E878D3">
        <w:rPr>
          <w:rFonts w:ascii="Verdana" w:eastAsia="Aptos" w:hAnsi="Verdana" w:cs="Arial"/>
          <w:b/>
          <w:bCs/>
          <w:color w:val="000000"/>
          <w:kern w:val="2"/>
          <w:sz w:val="20"/>
          <w:szCs w:val="20"/>
          <w:lang w:val="es-ES_tradnl"/>
          <w14:ligatures w14:val="standardContextual"/>
        </w:rPr>
        <w:t xml:space="preserve"> </w:t>
      </w:r>
      <w:r w:rsidRPr="00E878D3">
        <w:rPr>
          <w:rFonts w:ascii="Verdana" w:eastAsia="Aptos" w:hAnsi="Verdana" w:cs="Arial"/>
          <w:color w:val="000000"/>
          <w:kern w:val="2"/>
          <w:sz w:val="20"/>
          <w:szCs w:val="20"/>
          <w:lang w:val="es-ES_tradnl"/>
          <w14:ligatures w14:val="standardContextual"/>
        </w:rPr>
        <w:t>(Cursiva fuera de texto)</w:t>
      </w:r>
    </w:p>
    <w:p w14:paraId="0A43156C" w14:textId="77777777" w:rsidR="00E878D3" w:rsidRPr="00E878D3" w:rsidRDefault="00E878D3" w:rsidP="00E878D3">
      <w:pPr>
        <w:spacing w:after="0" w:line="278" w:lineRule="auto"/>
        <w:ind w:left="709" w:right="709"/>
        <w:jc w:val="both"/>
        <w:rPr>
          <w:rFonts w:ascii="Verdana" w:eastAsia="Aptos" w:hAnsi="Verdana" w:cs="Arial"/>
          <w:color w:val="000000"/>
          <w:kern w:val="2"/>
          <w:sz w:val="20"/>
          <w:szCs w:val="20"/>
          <w:lang w:val="es-ES_tradnl"/>
          <w14:ligatures w14:val="standardContextual"/>
        </w:rPr>
      </w:pPr>
    </w:p>
    <w:p w14:paraId="4A997C5E" w14:textId="77777777" w:rsidR="00E878D3" w:rsidRPr="00E878D3" w:rsidRDefault="00E878D3" w:rsidP="00E878D3">
      <w:pPr>
        <w:spacing w:after="120" w:line="276" w:lineRule="auto"/>
        <w:ind w:firstLine="708"/>
        <w:jc w:val="both"/>
        <w:textAlignment w:val="baseline"/>
        <w:rPr>
          <w:rFonts w:ascii="Verdana" w:eastAsia="Aptos" w:hAnsi="Verdana" w:cs="Arial"/>
          <w:color w:val="000000"/>
          <w:kern w:val="2"/>
          <w:lang w:val="es-ES"/>
          <w14:ligatures w14:val="standardContextual"/>
        </w:rPr>
      </w:pPr>
      <w:r w:rsidRPr="00E878D3">
        <w:rPr>
          <w:rFonts w:ascii="Verdana" w:eastAsia="Aptos" w:hAnsi="Verdana" w:cs="Arial"/>
          <w:color w:val="000000"/>
          <w:kern w:val="2"/>
          <w:lang w:val="es-ES"/>
          <w14:ligatures w14:val="standardContextual"/>
        </w:rPr>
        <w:t xml:space="preserve">Como se observa, el texto del nuevo inciso final del artículo 36 de la Ley 388 de 1997 no cambió el sentido de su contenido, salvo por la eliminación del aparte final que era del siguiente tenor: “sin las limitaciones y restricciones previstas en el numeral 5 del artículo 32 de la Ley 80 de 1993”. Sin perjuicio de lo anterior, cabe aclarar que la norma continúa siendo una autorización para que las entidades territoriales sometidas al EGCAP acudan a la celebración de </w:t>
      </w:r>
      <w:r w:rsidRPr="00E878D3">
        <w:rPr>
          <w:rFonts w:ascii="Verdana" w:eastAsia="Aptos" w:hAnsi="Verdana" w:cs="Arial"/>
          <w:i/>
          <w:color w:val="000000"/>
          <w:kern w:val="2"/>
          <w:lang w:val="es-ES"/>
          <w14:ligatures w14:val="standardContextual"/>
        </w:rPr>
        <w:t>contratos de fiducia mercantil</w:t>
      </w:r>
      <w:r w:rsidRPr="00E878D3">
        <w:rPr>
          <w:rFonts w:ascii="Verdana" w:eastAsia="Aptos" w:hAnsi="Verdana" w:cs="Arial"/>
          <w:color w:val="000000"/>
          <w:kern w:val="2"/>
          <w:lang w:val="es-ES"/>
          <w14:ligatures w14:val="standardContextual"/>
        </w:rPr>
        <w:t xml:space="preserve">, bajo el régimen jurídico general de esta institución que se encuentra previsto en el derecho privado, en particular en el derecho comercial. Este régimen excepcional solo se admite cuando la finalidad sea la de participar en la ejecución de proyectos de urbanización y programas de </w:t>
      </w:r>
      <w:r w:rsidRPr="00E878D3">
        <w:rPr>
          <w:rFonts w:ascii="Verdana" w:eastAsia="Times New Roman" w:hAnsi="Verdana" w:cs="Arial"/>
          <w:i/>
          <w:kern w:val="2"/>
          <w:lang w:val="es-ES" w:eastAsia="es-CO"/>
          <w14:ligatures w14:val="standardContextual"/>
        </w:rPr>
        <w:t xml:space="preserve">vivienda de interés social. </w:t>
      </w:r>
      <w:r w:rsidRPr="00E878D3">
        <w:rPr>
          <w:rFonts w:ascii="Verdana" w:eastAsia="Aptos" w:hAnsi="Verdana" w:cs="Arial"/>
          <w:color w:val="000000"/>
          <w:kern w:val="2"/>
          <w:lang w:val="es-ES"/>
          <w14:ligatures w14:val="standardContextual"/>
        </w:rPr>
        <w:t xml:space="preserve"> Por lo anterior, en concepto de esta subdirección, la interpretación del alcance de la norma que venía aplicándose con base en lo dispuesto por el Consejo de Estado en el Concepto No. Concepto No. 1503 de 2003 continúa vigente, toda vez que la restricción del numeral 5 del artículo 32 la Ley 80 de 1993 que fue suprimida resultaba aplicable al régimen de los contratos de fiducia pública y encargo fiduciario regidos por el EGCAP, más no para la fiducia mercantil, cuyo régimen general está previsto en el derecho comercial.  </w:t>
      </w:r>
    </w:p>
    <w:p w14:paraId="7D44FB76" w14:textId="77777777" w:rsidR="00E878D3" w:rsidRPr="00E878D3" w:rsidRDefault="00E878D3" w:rsidP="00E878D3">
      <w:pPr>
        <w:spacing w:before="120" w:after="120" w:line="276" w:lineRule="auto"/>
        <w:ind w:firstLine="708"/>
        <w:jc w:val="both"/>
        <w:textAlignment w:val="baseline"/>
        <w:rPr>
          <w:rFonts w:ascii="Verdana" w:eastAsia="Aptos" w:hAnsi="Verdana" w:cs="Arial"/>
          <w:color w:val="000000"/>
          <w:kern w:val="2"/>
          <w14:ligatures w14:val="standardContextual"/>
        </w:rPr>
      </w:pPr>
      <w:r w:rsidRPr="00E878D3">
        <w:rPr>
          <w:rFonts w:ascii="Verdana" w:eastAsia="Aptos" w:hAnsi="Verdana" w:cs="Arial"/>
          <w:color w:val="000000"/>
          <w:kern w:val="2"/>
          <w14:ligatures w14:val="standardContextual"/>
        </w:rPr>
        <w:t xml:space="preserve">Por su parte, </w:t>
      </w:r>
      <w:r w:rsidRPr="00E878D3">
        <w:rPr>
          <w:rFonts w:ascii="Verdana" w:eastAsia="Aptos" w:hAnsi="Verdana" w:cs="Arial"/>
          <w:color w:val="000000"/>
          <w:kern w:val="2"/>
          <w:lang w:val="es-ES_tradnl"/>
          <w14:ligatures w14:val="standardContextual"/>
        </w:rPr>
        <w:t xml:space="preserve">el artículo 2 de </w:t>
      </w:r>
      <w:r w:rsidRPr="00E878D3">
        <w:rPr>
          <w:rFonts w:ascii="Verdana" w:eastAsia="Aptos" w:hAnsi="Verdana" w:cs="Arial"/>
          <w:color w:val="000000"/>
          <w:kern w:val="2"/>
          <w14:ligatures w14:val="standardContextual"/>
        </w:rPr>
        <w:t xml:space="preserve">la </w:t>
      </w:r>
      <w:r w:rsidRPr="00E878D3">
        <w:rPr>
          <w:rFonts w:ascii="Verdana" w:eastAsia="Aptos" w:hAnsi="Verdana" w:cs="Arial"/>
          <w:color w:val="000000"/>
          <w:kern w:val="2"/>
          <w:lang w:val="es-ES_tradnl"/>
          <w14:ligatures w14:val="standardContextual"/>
        </w:rPr>
        <w:t xml:space="preserve">Ley 1537 de 2012 dispone que, para cumplir con el objeto de </w:t>
      </w:r>
      <w:proofErr w:type="gramStart"/>
      <w:r w:rsidRPr="00E878D3">
        <w:rPr>
          <w:rFonts w:ascii="Verdana" w:eastAsia="Aptos" w:hAnsi="Verdana" w:cs="Arial"/>
          <w:color w:val="000000"/>
          <w:kern w:val="2"/>
          <w:lang w:val="es-ES_tradnl"/>
          <w14:ligatures w14:val="standardContextual"/>
        </w:rPr>
        <w:t>la misma</w:t>
      </w:r>
      <w:proofErr w:type="gramEnd"/>
      <w:r w:rsidRPr="00E878D3">
        <w:rPr>
          <w:rFonts w:ascii="Verdana" w:eastAsia="Aptos" w:hAnsi="Verdana" w:cs="Arial"/>
          <w:color w:val="000000"/>
          <w:kern w:val="2"/>
          <w:lang w:val="es-ES_tradnl"/>
          <w14:ligatures w14:val="standardContextual"/>
        </w:rPr>
        <w:t>, esto es, el desarrollo de proyectos de vivienda de interés social y de interés prioritario, las entidades públicas del orden nacional y territorial deberán “</w:t>
      </w:r>
      <w:r w:rsidRPr="00E878D3">
        <w:rPr>
          <w:rFonts w:ascii="Verdana" w:eastAsia="Times New Roman" w:hAnsi="Verdana" w:cs="Arial"/>
          <w:color w:val="000000"/>
          <w:kern w:val="2"/>
          <w:shd w:val="clear" w:color="auto" w:fill="FFFFFF"/>
          <w:lang w:eastAsia="es-MX"/>
          <w14:ligatures w14:val="standardContextual"/>
        </w:rPr>
        <w:t>aportar bienes y/o recursos a los patrimonios autónomos constituidos para el desarrollo de los proyectos de Vivienda de Interés Social y Vivienda de Interés Prioritario”.</w:t>
      </w:r>
    </w:p>
    <w:p w14:paraId="5A6FCB7C" w14:textId="77777777" w:rsidR="00E878D3" w:rsidRPr="00E878D3" w:rsidRDefault="00E878D3" w:rsidP="00E878D3">
      <w:pPr>
        <w:spacing w:before="120" w:after="120" w:line="276" w:lineRule="auto"/>
        <w:ind w:firstLine="708"/>
        <w:jc w:val="both"/>
        <w:rPr>
          <w:rFonts w:ascii="Verdana" w:eastAsia="Times New Roman" w:hAnsi="Verdana" w:cs="Arial"/>
          <w:color w:val="000000"/>
          <w:kern w:val="2"/>
          <w:lang w:eastAsia="es-MX"/>
          <w14:ligatures w14:val="standardContextual"/>
        </w:rPr>
      </w:pPr>
      <w:r w:rsidRPr="00E878D3">
        <w:rPr>
          <w:rFonts w:ascii="Verdana" w:eastAsia="Times New Roman" w:hAnsi="Verdana" w:cs="Arial"/>
          <w:color w:val="000000"/>
          <w:kern w:val="2"/>
          <w:shd w:val="clear" w:color="auto" w:fill="FFFFFF"/>
          <w:lang w:eastAsia="es-MX"/>
          <w14:ligatures w14:val="standardContextual"/>
        </w:rPr>
        <w:t xml:space="preserve">A su vez, mientras que el artículo 5 de la Ley 1537 en mención, determina la manera en la que el Ministerio de Vivienda, Ciudad y Territorio distribuirá los recursos destinados a los proyectos de vivienda de interés prioritario, el artículo 6 </w:t>
      </w:r>
      <w:r w:rsidRPr="00E878D3">
        <w:rPr>
          <w:rFonts w:ascii="Verdana" w:eastAsia="Times New Roman" w:hAnsi="Verdana" w:cs="Arial"/>
          <w:i/>
          <w:iCs/>
          <w:color w:val="000000"/>
          <w:kern w:val="2"/>
          <w:shd w:val="clear" w:color="auto" w:fill="FFFFFF"/>
          <w:lang w:eastAsia="es-MX"/>
          <w14:ligatures w14:val="standardContextual"/>
        </w:rPr>
        <w:t>ibidem</w:t>
      </w:r>
      <w:r w:rsidRPr="00E878D3">
        <w:rPr>
          <w:rFonts w:ascii="Verdana" w:eastAsia="Times New Roman" w:hAnsi="Verdana" w:cs="Arial"/>
          <w:color w:val="000000"/>
          <w:kern w:val="2"/>
          <w:shd w:val="clear" w:color="auto" w:fill="FFFFFF"/>
          <w:lang w:eastAsia="es-MX"/>
          <w14:ligatures w14:val="standardContextual"/>
        </w:rPr>
        <w:t xml:space="preserve">, establece que los mismos “(…) </w:t>
      </w:r>
      <w:r w:rsidRPr="00E878D3">
        <w:rPr>
          <w:rFonts w:ascii="Verdana" w:eastAsia="Times New Roman" w:hAnsi="Verdana" w:cs="Arial"/>
          <w:color w:val="000000"/>
          <w:kern w:val="2"/>
          <w:lang w:eastAsia="es-MX"/>
          <w14:ligatures w14:val="standardContextual"/>
        </w:rPr>
        <w:t xml:space="preserve">podrán ser transferidos directamente a los patrimonios autónomos que constituyan Fonvivienda, Findeter, las entidades públicas de carácter territorial o la entidad que determine el Gobierno Nacional”. </w:t>
      </w:r>
      <w:r w:rsidRPr="00E878D3">
        <w:rPr>
          <w:rFonts w:ascii="Verdana" w:eastAsia="Times New Roman" w:hAnsi="Verdana" w:cs="Arial"/>
          <w:color w:val="000000"/>
          <w:kern w:val="2"/>
          <w:lang w:eastAsia="es-MX"/>
          <w14:ligatures w14:val="standardContextual"/>
        </w:rPr>
        <w:lastRenderedPageBreak/>
        <w:t>En tal sentido, las transferencias de recursos de Fonvivienda, o de la entidad que haga sus veces, a los patrimonios autónomos, se tendrán como mecanismo de ejecución del Presupuesto General de la Nación.</w:t>
      </w:r>
    </w:p>
    <w:p w14:paraId="0DDE4A5D" w14:textId="0D9C4278" w:rsidR="00E878D3" w:rsidRPr="00E878D3" w:rsidRDefault="00E878D3" w:rsidP="00E878D3">
      <w:pPr>
        <w:spacing w:before="120" w:after="120" w:line="276" w:lineRule="auto"/>
        <w:ind w:firstLine="708"/>
        <w:jc w:val="both"/>
        <w:rPr>
          <w:rFonts w:ascii="Verdana" w:eastAsia="Times New Roman" w:hAnsi="Verdana" w:cs="Arial"/>
          <w:color w:val="000000"/>
          <w:kern w:val="2"/>
          <w:szCs w:val="24"/>
          <w:lang w:eastAsia="es-MX"/>
          <w14:ligatures w14:val="standardContextual"/>
        </w:rPr>
      </w:pPr>
      <w:r w:rsidRPr="00E878D3">
        <w:rPr>
          <w:rFonts w:ascii="Verdana" w:eastAsia="Times New Roman" w:hAnsi="Verdana" w:cs="Arial"/>
          <w:color w:val="000000"/>
          <w:kern w:val="2"/>
          <w:szCs w:val="24"/>
          <w:lang w:eastAsia="es-MX"/>
          <w14:ligatures w14:val="standardContextual"/>
        </w:rPr>
        <w:t xml:space="preserve">La misma norma dispone que la constitución de los patrimonios autónomos para el efecto mencionado será realizada por parte del director o representante legal de la entidad respectiva a través de la celebración de contratos de fiducia mercantil, en los que las entidades del sector central y descentralizado por servicios, tanto del nivel nacional como territorial, así como cualquier persona natural o jurídica, podrá figurar como aportantes de bienes o recursos. </w:t>
      </w:r>
    </w:p>
    <w:p w14:paraId="23D77DFF" w14:textId="597F924A" w:rsidR="00E878D3" w:rsidRPr="00E878D3" w:rsidRDefault="00E878D3" w:rsidP="00E878D3">
      <w:pPr>
        <w:spacing w:before="120" w:after="120" w:line="276" w:lineRule="auto"/>
        <w:ind w:firstLine="708"/>
        <w:jc w:val="both"/>
        <w:rPr>
          <w:rFonts w:ascii="Verdana" w:eastAsia="Times New Roman" w:hAnsi="Verdana" w:cs="Arial"/>
          <w:color w:val="000000"/>
          <w:kern w:val="2"/>
          <w:szCs w:val="24"/>
          <w:lang w:eastAsia="es-MX"/>
          <w14:ligatures w14:val="standardContextual"/>
        </w:rPr>
      </w:pPr>
      <w:r w:rsidRPr="00E878D3">
        <w:rPr>
          <w:rFonts w:ascii="Verdana" w:eastAsia="Times New Roman" w:hAnsi="Verdana" w:cs="Arial"/>
          <w:color w:val="000000"/>
          <w:kern w:val="2"/>
          <w:szCs w:val="24"/>
          <w:lang w:eastAsia="es-MX"/>
          <w14:ligatures w14:val="standardContextual"/>
        </w:rPr>
        <w:t xml:space="preserve">En cuanto al régimen aplicable a la selección del fiduciario, como a la celebración de los contratos para la constitución de los patrimonios autónomos, la ejecución y liquidación de los proyectos de vivienda de interés social y prioritario por parte de dichos patrimonios, la Ley 1537 determina que “se regirá exclusivamente por las normas del derecho privado”. Asimismo, establece que los patrimonios autónomos autorizados por la ley podrán contratar fiducias mercantiles para la administración de los recursos para los proyectos de construcción de vivienda de interés social prioritario, y a tales fiducias podrán aportar los activos fideicomitidos. </w:t>
      </w:r>
    </w:p>
    <w:p w14:paraId="1D09598F" w14:textId="77777777" w:rsidR="00E878D3" w:rsidRPr="00E878D3" w:rsidRDefault="00E878D3" w:rsidP="00E878D3">
      <w:pPr>
        <w:spacing w:before="120" w:after="120" w:line="276" w:lineRule="auto"/>
        <w:ind w:firstLine="709"/>
        <w:jc w:val="both"/>
        <w:rPr>
          <w:rFonts w:ascii="Verdana" w:eastAsia="Calibri" w:hAnsi="Verdana" w:cs="Arial"/>
          <w:color w:val="000000"/>
          <w:kern w:val="2"/>
          <w:szCs w:val="24"/>
          <w:lang w:val="es-ES_tradnl"/>
          <w14:ligatures w14:val="standardContextual"/>
        </w:rPr>
      </w:pPr>
      <w:r w:rsidRPr="00E878D3">
        <w:rPr>
          <w:rFonts w:ascii="Verdana" w:eastAsia="Times New Roman" w:hAnsi="Verdana" w:cs="Arial"/>
          <w:color w:val="000000"/>
          <w:kern w:val="2"/>
          <w:szCs w:val="24"/>
          <w:lang w:eastAsia="es-MX"/>
          <w14:ligatures w14:val="standardContextual"/>
        </w:rPr>
        <w:t xml:space="preserve">Como se observa, es claro que el régimen aplicable a las actividades contractuales que desarrollen los patrimonios autónomos constituidos para la administración de los recursos destinados a los proyectos de vivienda de interés social prioritario es el del derecho privado, y entre tales actividades contractuales se encuentra, sin duda, el adelantamiento de los procesos de selección y convocatoria de sus contratistas, tal y como queda claramente establecido en la norma que se comenta cuando indica que tales patrimonios “(…) podrán adelantar procesos de convocatoria y selección de los constructores interesados en desarrollar los proyectos de vivienda y/o para la adquisición de proyectos de Vivienda de Interés Prioritario. Tales procesos se rigen por el derecho privado (…)”. </w:t>
      </w:r>
      <w:r w:rsidRPr="00E878D3">
        <w:rPr>
          <w:rFonts w:ascii="Verdana" w:eastAsia="Calibri" w:hAnsi="Verdana" w:cs="Arial"/>
          <w:color w:val="000000"/>
          <w:kern w:val="2"/>
          <w:szCs w:val="24"/>
          <w:lang w:val="es-ES_tradnl"/>
          <w14:ligatures w14:val="standardContextual"/>
        </w:rPr>
        <w:t xml:space="preserve"> </w:t>
      </w:r>
    </w:p>
    <w:p w14:paraId="0ABD8617" w14:textId="77777777" w:rsidR="00E878D3" w:rsidRPr="00E878D3" w:rsidRDefault="00E878D3" w:rsidP="00E878D3">
      <w:pPr>
        <w:spacing w:before="120" w:after="0" w:line="276" w:lineRule="auto"/>
        <w:ind w:firstLine="708"/>
        <w:jc w:val="both"/>
        <w:textAlignment w:val="baseline"/>
        <w:rPr>
          <w:rFonts w:ascii="Verdana" w:eastAsia="Aptos" w:hAnsi="Verdana" w:cs="Arial"/>
          <w:color w:val="000000"/>
          <w:kern w:val="2"/>
          <w14:ligatures w14:val="standardContextual"/>
        </w:rPr>
      </w:pPr>
      <w:r w:rsidRPr="00E878D3">
        <w:rPr>
          <w:rFonts w:ascii="Verdana" w:eastAsia="Aptos" w:hAnsi="Verdana" w:cs="Arial"/>
          <w:color w:val="000000"/>
          <w:kern w:val="2"/>
          <w14:ligatures w14:val="standardContextual"/>
        </w:rPr>
        <w:t xml:space="preserve">En conclusión, de acuerdo con lo dispuesto en el artículo 28 de la Ley 388 de 1997 y el </w:t>
      </w:r>
      <w:r w:rsidRPr="00E878D3">
        <w:rPr>
          <w:rFonts w:ascii="Verdana" w:eastAsia="Aptos" w:hAnsi="Verdana" w:cs="Arial"/>
          <w:color w:val="000000"/>
          <w:kern w:val="2"/>
          <w:lang w:val="es-ES_tradnl"/>
          <w14:ligatures w14:val="standardContextual"/>
        </w:rPr>
        <w:t xml:space="preserve">artículo 2 de </w:t>
      </w:r>
      <w:r w:rsidRPr="00E878D3">
        <w:rPr>
          <w:rFonts w:ascii="Verdana" w:eastAsia="Aptos" w:hAnsi="Verdana" w:cs="Arial"/>
          <w:color w:val="000000"/>
          <w:kern w:val="2"/>
          <w14:ligatures w14:val="standardContextual"/>
        </w:rPr>
        <w:t xml:space="preserve">la </w:t>
      </w:r>
      <w:r w:rsidRPr="00E878D3">
        <w:rPr>
          <w:rFonts w:ascii="Verdana" w:eastAsia="Aptos" w:hAnsi="Verdana" w:cs="Arial"/>
          <w:color w:val="000000"/>
          <w:kern w:val="2"/>
          <w:lang w:val="es-ES_tradnl"/>
          <w14:ligatures w14:val="standardContextual"/>
        </w:rPr>
        <w:t xml:space="preserve">Ley 1537 de 2012, la </w:t>
      </w:r>
      <w:r w:rsidRPr="00E878D3">
        <w:rPr>
          <w:rFonts w:ascii="Verdana" w:eastAsia="Aptos" w:hAnsi="Verdana" w:cs="Arial"/>
          <w:color w:val="000000"/>
          <w:kern w:val="2"/>
          <w14:ligatures w14:val="standardContextual"/>
        </w:rPr>
        <w:t xml:space="preserve">normativa colombiana ha evolucionado para permitir que los proyectos de vivienda de interés social se financien y ejecuten a través de contratos de fiducia mercantil, bajo el régimen del derecho comercial. </w:t>
      </w:r>
    </w:p>
    <w:p w14:paraId="23CDCA3E" w14:textId="77777777" w:rsidR="00E878D3" w:rsidRPr="00E878D3" w:rsidRDefault="00E878D3" w:rsidP="00E878D3">
      <w:pPr>
        <w:spacing w:after="0" w:line="276" w:lineRule="auto"/>
        <w:ind w:firstLine="708"/>
        <w:jc w:val="both"/>
        <w:textAlignment w:val="baseline"/>
        <w:rPr>
          <w:rFonts w:ascii="Verdana" w:eastAsia="Aptos" w:hAnsi="Verdana" w:cs="Arial"/>
          <w:color w:val="000000"/>
          <w:kern w:val="2"/>
          <w14:ligatures w14:val="standardContextual"/>
        </w:rPr>
      </w:pPr>
    </w:p>
    <w:p w14:paraId="28D4749B" w14:textId="77777777" w:rsidR="00E878D3" w:rsidRPr="00E878D3" w:rsidRDefault="00E878D3" w:rsidP="00E878D3">
      <w:pPr>
        <w:tabs>
          <w:tab w:val="left" w:pos="0"/>
        </w:tabs>
        <w:spacing w:after="120" w:line="276" w:lineRule="auto"/>
        <w:jc w:val="both"/>
        <w:rPr>
          <w:rFonts w:ascii="Verdana" w:eastAsia="Times New Roman" w:hAnsi="Verdana" w:cs="Arial"/>
          <w:i/>
          <w:iCs/>
          <w:lang w:val="es-ES" w:eastAsia="es-ES"/>
        </w:rPr>
      </w:pPr>
      <w:r w:rsidRPr="00E878D3">
        <w:rPr>
          <w:rFonts w:ascii="Verdana" w:eastAsia="Times New Roman" w:hAnsi="Verdana" w:cs="Arial"/>
          <w:lang w:val="es-ES" w:eastAsia="es-CO"/>
        </w:rPr>
        <w:t xml:space="preserve">vi. </w:t>
      </w:r>
      <w:r w:rsidRPr="00E878D3">
        <w:rPr>
          <w:rFonts w:ascii="Verdana" w:eastAsia="Calibri" w:hAnsi="Verdana" w:cs="Arial"/>
          <w:color w:val="000000"/>
          <w:lang w:val="es-ES" w:eastAsia="es-CO"/>
        </w:rPr>
        <w:t xml:space="preserve">Ahora bien, en la medida que, en la consulta </w:t>
      </w:r>
      <w:r w:rsidRPr="00E878D3">
        <w:rPr>
          <w:rFonts w:ascii="Verdana" w:eastAsia="Times New Roman" w:hAnsi="Verdana" w:cs="Arial"/>
          <w:lang w:val="es-ES" w:eastAsia="es-ES"/>
        </w:rPr>
        <w:t xml:space="preserve">realizada por Usted, trata de si los patrimonios autónomos constituidos por entidades estatales bajo el artículo </w:t>
      </w:r>
      <w:r w:rsidRPr="00E878D3">
        <w:rPr>
          <w:rFonts w:ascii="Verdana" w:eastAsia="Aptos" w:hAnsi="Verdana" w:cs="Arial"/>
          <w:color w:val="000000"/>
          <w:kern w:val="2"/>
          <w14:ligatures w14:val="standardContextual"/>
        </w:rPr>
        <w:t xml:space="preserve">36 de la Ley 388 de 1997 y el </w:t>
      </w:r>
      <w:r w:rsidRPr="00E878D3">
        <w:rPr>
          <w:rFonts w:ascii="Verdana" w:eastAsia="Aptos" w:hAnsi="Verdana" w:cs="Arial"/>
          <w:color w:val="000000"/>
          <w:kern w:val="2"/>
          <w:lang w:val="es-ES_tradnl"/>
          <w14:ligatures w14:val="standardContextual"/>
        </w:rPr>
        <w:t xml:space="preserve">artículo 2 de </w:t>
      </w:r>
      <w:r w:rsidRPr="00E878D3">
        <w:rPr>
          <w:rFonts w:ascii="Verdana" w:eastAsia="Aptos" w:hAnsi="Verdana" w:cs="Arial"/>
          <w:color w:val="000000"/>
          <w:kern w:val="2"/>
          <w14:ligatures w14:val="standardContextual"/>
        </w:rPr>
        <w:t xml:space="preserve">la </w:t>
      </w:r>
      <w:r w:rsidRPr="00E878D3">
        <w:rPr>
          <w:rFonts w:ascii="Verdana" w:eastAsia="Aptos" w:hAnsi="Verdana" w:cs="Arial"/>
          <w:color w:val="000000"/>
          <w:kern w:val="2"/>
          <w:lang w:val="es-ES_tradnl"/>
          <w14:ligatures w14:val="standardContextual"/>
        </w:rPr>
        <w:t>Ley 1537 de 2012</w:t>
      </w:r>
      <w:r w:rsidRPr="00E878D3">
        <w:rPr>
          <w:rFonts w:ascii="Verdana" w:eastAsia="Times New Roman" w:hAnsi="Verdana" w:cs="Arial"/>
          <w:lang w:val="es-ES" w:eastAsia="es-ES"/>
        </w:rPr>
        <w:t xml:space="preserve"> y que gestionan recursos públicos, les es aplicable o no los pliegos tipo adoptados por la Agencia Nacional de Contratación Pública – Colombia Compra Eficiente para los objetos contractuales que sean cobijados por aquellos, particularmente, considerando lo señalado en el artículo 3 de la Resolución 953 del 15 de diciembre de 2025 que indica que </w:t>
      </w:r>
      <w:r w:rsidRPr="00E878D3">
        <w:rPr>
          <w:rFonts w:ascii="Verdana" w:eastAsia="Times New Roman" w:hAnsi="Verdana" w:cs="Arial"/>
          <w:i/>
          <w:iCs/>
          <w:lang w:val="es-ES" w:eastAsia="es-ES"/>
        </w:rPr>
        <w:t>“(…) los documentos tipo son obligatorios en la actividad contractual de las Entidades Estatales sometidas al Estatuto General de Contratación de la Administración Pública, patrimonios autónomos o personas naturales o jurídicas de derecho público o privado que por mandato legal estén obligadas a su aplicación”.</w:t>
      </w:r>
    </w:p>
    <w:p w14:paraId="798A2E1B" w14:textId="77777777" w:rsidR="00E878D3" w:rsidRPr="00E878D3" w:rsidRDefault="00E878D3" w:rsidP="00E878D3">
      <w:pPr>
        <w:tabs>
          <w:tab w:val="left" w:pos="0"/>
        </w:tabs>
        <w:spacing w:after="120" w:line="276" w:lineRule="auto"/>
        <w:jc w:val="both"/>
        <w:rPr>
          <w:rFonts w:ascii="Verdana" w:eastAsia="Times New Roman" w:hAnsi="Verdana" w:cs="Arial"/>
          <w:lang w:val="es-ES" w:eastAsia="es-ES"/>
        </w:rPr>
      </w:pPr>
      <w:r w:rsidRPr="00E878D3">
        <w:rPr>
          <w:rFonts w:ascii="Verdana" w:eastAsia="Times New Roman" w:hAnsi="Verdana" w:cs="Arial"/>
          <w:i/>
          <w:iCs/>
          <w:lang w:val="es-ES" w:eastAsia="es-ES"/>
        </w:rPr>
        <w:tab/>
      </w:r>
      <w:r w:rsidRPr="00E878D3">
        <w:rPr>
          <w:rFonts w:ascii="Verdana" w:eastAsia="Times New Roman" w:hAnsi="Verdana" w:cs="Arial"/>
          <w:lang w:val="es-ES" w:eastAsia="es-ES"/>
        </w:rPr>
        <w:t>En efecto, el artículo 3 de la Resolución 953 de 2025 reconoce que los documentos tipo pueden resultar obligatorios no solo para las entidades sometidas al Estatuto General de Contratación de la Administración Pública – EGCAP, sino también para patrimonios autónomos y demás sujetos de derecho público y privado, siempre que exista un mandato legal que imponga dicha obligación. Es así como, la expresión “(…) que por mandato legal estén obligados a su aplicación (…)” se relaciona directamente con el contenido del artículo 56 de la Ley 2195 de 2022, que como se señaló, amplió el ámbito de aplicación de los documentos tipo y del EGCAP a determinados supuesto que allí se establecen.</w:t>
      </w:r>
    </w:p>
    <w:p w14:paraId="4517ACCE" w14:textId="77777777" w:rsidR="00E878D3" w:rsidRPr="00E878D3" w:rsidRDefault="00E878D3" w:rsidP="00E878D3">
      <w:pPr>
        <w:tabs>
          <w:tab w:val="left" w:pos="0"/>
        </w:tabs>
        <w:spacing w:after="120" w:line="276" w:lineRule="auto"/>
        <w:jc w:val="both"/>
        <w:rPr>
          <w:rFonts w:ascii="Verdana" w:eastAsia="Times New Roman" w:hAnsi="Verdana" w:cs="Arial"/>
          <w:lang w:val="es-ES" w:eastAsia="es-ES"/>
        </w:rPr>
      </w:pPr>
      <w:r w:rsidRPr="00E878D3">
        <w:rPr>
          <w:rFonts w:ascii="Verdana" w:eastAsia="Times New Roman" w:hAnsi="Verdana" w:cs="Arial"/>
          <w:lang w:val="es-ES" w:eastAsia="es-ES"/>
        </w:rPr>
        <w:tab/>
        <w:t>Así las cosas, de conformidad con el inciso primero del artículo 56 de la Ley 2195 de 2022, cuando una entidad sometida al EGCAP celebre un contrato o convenio interadministrativo o de cualquier índole con un patrimonio autónomo, tendrá que aplicar los documentos tipo, siempre que el objeto contractual corresponda a bienes, obras o servicios cobijados por estos.</w:t>
      </w:r>
    </w:p>
    <w:p w14:paraId="384D435D" w14:textId="77777777" w:rsidR="00E878D3" w:rsidRPr="00E878D3" w:rsidRDefault="00E878D3" w:rsidP="00E878D3">
      <w:pPr>
        <w:tabs>
          <w:tab w:val="left" w:pos="0"/>
        </w:tabs>
        <w:spacing w:after="120" w:line="276" w:lineRule="auto"/>
        <w:jc w:val="both"/>
        <w:rPr>
          <w:rFonts w:ascii="Verdana" w:eastAsia="Times New Roman" w:hAnsi="Verdana" w:cs="Arial"/>
          <w:lang w:val="es-ES" w:eastAsia="es-ES"/>
        </w:rPr>
      </w:pPr>
      <w:r w:rsidRPr="00E878D3">
        <w:rPr>
          <w:rFonts w:ascii="Verdana" w:eastAsia="Times New Roman" w:hAnsi="Verdana" w:cs="Arial"/>
          <w:lang w:val="es-ES" w:eastAsia="es-ES"/>
        </w:rPr>
        <w:tab/>
        <w:t xml:space="preserve">Ahora bien, la aplicación de los documentos tipo en el supuesto señalado no se </w:t>
      </w:r>
      <w:r w:rsidRPr="00E878D3">
        <w:rPr>
          <w:rFonts w:ascii="Verdana" w:eastAsia="Times New Roman" w:hAnsi="Verdana" w:cs="Arial"/>
          <w:kern w:val="2"/>
          <w:lang w:val="es-ES" w:eastAsia="es-ES"/>
          <w14:ligatures w14:val="standardContextual"/>
        </w:rPr>
        <w:t xml:space="preserve">agota </w:t>
      </w:r>
      <w:r w:rsidRPr="00E878D3">
        <w:rPr>
          <w:rFonts w:ascii="Verdana" w:eastAsia="Times New Roman" w:hAnsi="Verdana" w:cs="Arial"/>
          <w:lang w:val="es-ES" w:eastAsia="es-ES"/>
        </w:rPr>
        <w:t xml:space="preserve">en este punto, considerando que, según se desprende del segundo inciso del artículo 56 de la Ley 2195 de 2022, </w:t>
      </w:r>
      <w:r w:rsidRPr="00E878D3">
        <w:rPr>
          <w:rFonts w:ascii="Verdana" w:eastAsia="Times New Roman" w:hAnsi="Verdana" w:cs="Arial"/>
          <w:kern w:val="2"/>
          <w:lang w:val="es-ES" w:eastAsia="es-ES"/>
          <w14:ligatures w14:val="standardContextual"/>
        </w:rPr>
        <w:t>“</w:t>
      </w:r>
      <w:r w:rsidRPr="00E878D3">
        <w:rPr>
          <w:rFonts w:ascii="Verdana" w:eastAsia="Calibri" w:hAnsi="Verdana" w:cs="Arial"/>
          <w:kern w:val="2"/>
          <w:lang w:val="es-ES" w:eastAsia="es-ES"/>
          <w14:ligatures w14:val="standardContextual"/>
        </w:rPr>
        <w:t xml:space="preserve">los procedimientos de selección y contratos que realicen en desarrollo de los anteriores negocios jurídicos”, a los que se refiere el primer inciso, en los que, además de la aplicación de los documentos tipo, se dispone la aplicación del estatuto general de contratación de la administración pública – EGCAP. </w:t>
      </w:r>
    </w:p>
    <w:p w14:paraId="071E092D" w14:textId="0E1BF4A8" w:rsidR="00E878D3" w:rsidRPr="00E878D3" w:rsidRDefault="00E878D3" w:rsidP="00E878D3">
      <w:pPr>
        <w:tabs>
          <w:tab w:val="left" w:pos="0"/>
        </w:tabs>
        <w:spacing w:after="120" w:line="276" w:lineRule="auto"/>
        <w:jc w:val="both"/>
        <w:rPr>
          <w:rFonts w:ascii="Verdana" w:eastAsia="Times New Roman" w:hAnsi="Verdana" w:cs="Arial"/>
          <w:lang w:val="es-ES" w:eastAsia="es-ES"/>
        </w:rPr>
      </w:pPr>
      <w:r w:rsidRPr="00E878D3">
        <w:rPr>
          <w:rFonts w:ascii="Verdana" w:eastAsia="Times New Roman" w:hAnsi="Verdana" w:cs="Arial"/>
          <w:lang w:val="es-ES" w:eastAsia="es-ES"/>
        </w:rPr>
        <w:lastRenderedPageBreak/>
        <w:tab/>
        <w:t>Esto significa que, el patrimonio autónomo en virtud de lo dispuesto en los incisos primero y segundo del artículo 56, si debe contratar bienes, obras o servicios en cumplimiento de un contrato o convenio interadministrativo o de cualquier otra índole celebrado con una entidad estatal sometida a la Ley 80 de 1993, deberán adelantar el correspondiente procedimiento de selección y celebrar el respectivo contrato aplicando los documentos tipo –siempre que existan en el sector– y las disposiciones del EGCAP.</w:t>
      </w:r>
    </w:p>
    <w:p w14:paraId="2652B447" w14:textId="77777777" w:rsidR="00E878D3" w:rsidRPr="00E878D3" w:rsidRDefault="00E878D3" w:rsidP="00E878D3">
      <w:pPr>
        <w:tabs>
          <w:tab w:val="left" w:pos="0"/>
        </w:tabs>
        <w:spacing w:after="120" w:line="276" w:lineRule="auto"/>
        <w:jc w:val="both"/>
        <w:rPr>
          <w:rFonts w:ascii="Verdana" w:eastAsia="Times New Roman" w:hAnsi="Verdana" w:cs="Arial"/>
          <w:lang w:val="es-ES" w:eastAsia="es-ES"/>
        </w:rPr>
      </w:pPr>
      <w:r w:rsidRPr="00E878D3">
        <w:rPr>
          <w:rFonts w:ascii="Verdana" w:eastAsia="Times New Roman" w:hAnsi="Verdana" w:cs="Arial"/>
          <w:lang w:val="es-ES" w:eastAsia="es-ES"/>
        </w:rPr>
        <w:tab/>
        <w:t>En principio, lo dispuesto en los párrafos precedentes puede resultar contradictorio considerando que, los patrimonios autónomos constituidos en desarrollo del artículo 36 de la Ley 388 de 1997 y del artículo 2 de la Ley 1537 de 2012 cuentan con una habilitación legal expresa para desarrollar actividades contractuales bajo las reglas del derecho privado, particularmente tratándose de proyectos de vivienda de interés social y vivienda de interés prioritario. En efecto, dichas disposiciones autorizan la constitución de patrimonios autónomos mediante contratos de fiducia mercantil y establecen expresamente que la selección del fiduciario, así como la celebración y ejecución de los contratos derivados de tales patrimonios, se regirán por normas de derecho privado.</w:t>
      </w:r>
    </w:p>
    <w:p w14:paraId="4DDAD2B9" w14:textId="77777777" w:rsidR="00E878D3" w:rsidRPr="00E878D3" w:rsidRDefault="00E878D3" w:rsidP="00E878D3">
      <w:pPr>
        <w:tabs>
          <w:tab w:val="left" w:pos="0"/>
        </w:tabs>
        <w:spacing w:after="120" w:line="276" w:lineRule="auto"/>
        <w:jc w:val="both"/>
        <w:rPr>
          <w:rFonts w:ascii="Verdana" w:eastAsia="Times New Roman" w:hAnsi="Verdana" w:cs="Arial"/>
          <w:lang w:val="es-ES" w:eastAsia="es-ES"/>
        </w:rPr>
      </w:pPr>
      <w:r w:rsidRPr="00E878D3">
        <w:rPr>
          <w:rFonts w:ascii="Verdana" w:eastAsia="Times New Roman" w:hAnsi="Verdana" w:cs="Arial"/>
          <w:lang w:val="es-ES" w:eastAsia="es-ES"/>
        </w:rPr>
        <w:tab/>
        <w:t xml:space="preserve">No obstante, esta circunstancia no implica una incompatibilidad normativa entre el régimen previsto en el artículo 36 de la Ley 388 de 1997, el artículo 6 de la Ley 1537 de 2012 y lo dispuesto en el artículo 56 de la Ley 2195 de 2022. Esto, considerando que, aunque las dos primeras disposiciones establecen, como regla general, que la actividad contractual adelantada por estos patrimonios autónomos se rige por normas de derecho privado, el artículo 56 introdujo una regla especial y posterior orientada a evitar que las entidades estatales sometidas al estatuto general de contratación de la administración pública – EGACP eludan la aplicación de los documentos tipo y de las disposiciones del estatuto general de contratación mediante la celebración de contratos o convenios interadministrativos o de cualquier otra índole con sujetos exceptuados de este o con patrimonios autónomos. </w:t>
      </w:r>
    </w:p>
    <w:p w14:paraId="5ED2CF42" w14:textId="6185875A" w:rsidR="00E878D3" w:rsidRPr="00E878D3" w:rsidRDefault="00E878D3" w:rsidP="00E878D3">
      <w:pPr>
        <w:tabs>
          <w:tab w:val="left" w:pos="0"/>
        </w:tabs>
        <w:spacing w:after="120" w:line="276" w:lineRule="auto"/>
        <w:jc w:val="both"/>
        <w:rPr>
          <w:rFonts w:ascii="Verdana" w:eastAsia="Times New Roman" w:hAnsi="Verdana" w:cs="Arial"/>
          <w:color w:val="000000"/>
          <w:lang w:val="es-ES" w:eastAsia="es-ES"/>
        </w:rPr>
      </w:pPr>
      <w:r w:rsidRPr="00E878D3">
        <w:rPr>
          <w:rFonts w:ascii="Verdana" w:eastAsia="Times New Roman" w:hAnsi="Verdana" w:cs="Arial"/>
          <w:lang w:val="es-ES" w:eastAsia="es-ES"/>
        </w:rPr>
        <w:tab/>
      </w:r>
      <w:r w:rsidRPr="00E878D3">
        <w:rPr>
          <w:rFonts w:ascii="Verdana" w:eastAsia="Times New Roman" w:hAnsi="Verdana" w:cs="Arial"/>
          <w:color w:val="000000"/>
          <w:lang w:val="es-ES" w:eastAsia="es-ES"/>
        </w:rPr>
        <w:t xml:space="preserve">Adicionalmente, para efectos de su solicitud debe indicarse que, cuando el inciso cuarto del artículo 6 de la Ley 1537 de 2012 establece que </w:t>
      </w:r>
      <w:r w:rsidRPr="00E878D3">
        <w:rPr>
          <w:rFonts w:ascii="Verdana" w:eastAsia="Times New Roman" w:hAnsi="Verdana" w:cs="Arial"/>
          <w:i/>
          <w:iCs/>
          <w:color w:val="000000"/>
          <w:lang w:val="es-ES" w:eastAsia="es-ES"/>
        </w:rPr>
        <w:t>“</w:t>
      </w:r>
      <w:r w:rsidRPr="00E878D3">
        <w:rPr>
          <w:rFonts w:ascii="Verdana" w:eastAsia="Aptos" w:hAnsi="Verdana" w:cs="Arial"/>
          <w:i/>
          <w:iCs/>
          <w:color w:val="000000"/>
          <w:kern w:val="2"/>
          <w:shd w:val="clear" w:color="auto" w:fill="FFFFFF"/>
          <w14:ligatures w14:val="standardContextual"/>
        </w:rPr>
        <w:t xml:space="preserve">Los patrimonios autónomos cuya constitución se autoriza en la presente ley podrán a su vez contratar fiducias mercantiles para la administración de los recursos aplicables a los proyectos de construcción de Vivienda de Interés Social </w:t>
      </w:r>
      <w:r w:rsidRPr="00E878D3">
        <w:rPr>
          <w:rFonts w:ascii="Verdana" w:eastAsia="Aptos" w:hAnsi="Verdana" w:cs="Arial"/>
          <w:i/>
          <w:iCs/>
          <w:color w:val="000000"/>
          <w:kern w:val="2"/>
          <w:shd w:val="clear" w:color="auto" w:fill="FFFFFF"/>
          <w14:ligatures w14:val="standardContextual"/>
        </w:rPr>
        <w:lastRenderedPageBreak/>
        <w:t>prioritario, a las cuales podrán aportar activos fideicomitidos”</w:t>
      </w:r>
      <w:r w:rsidRPr="00E878D3">
        <w:rPr>
          <w:rFonts w:ascii="Verdana" w:eastAsia="Aptos" w:hAnsi="Verdana" w:cs="Arial"/>
          <w:i/>
          <w:iCs/>
          <w:color w:val="000000"/>
          <w:kern w:val="2"/>
          <w:shd w:val="clear" w:color="auto" w:fill="FFFFFF"/>
          <w:vertAlign w:val="superscript"/>
          <w14:ligatures w14:val="standardContextual"/>
        </w:rPr>
        <w:footnoteReference w:id="26"/>
      </w:r>
      <w:r w:rsidRPr="00E878D3">
        <w:rPr>
          <w:rFonts w:ascii="Verdana" w:eastAsia="Aptos" w:hAnsi="Verdana" w:cs="Arial"/>
          <w:i/>
          <w:iCs/>
          <w:color w:val="000000"/>
          <w:kern w:val="2"/>
          <w:shd w:val="clear" w:color="auto" w:fill="FFFFFF"/>
          <w14:ligatures w14:val="standardContextual"/>
        </w:rPr>
        <w:t xml:space="preserve">. </w:t>
      </w:r>
      <w:r w:rsidRPr="00E878D3">
        <w:rPr>
          <w:rFonts w:ascii="Verdana" w:eastAsia="Aptos" w:hAnsi="Verdana" w:cs="Arial"/>
          <w:color w:val="000000"/>
          <w:kern w:val="2"/>
          <w:shd w:val="clear" w:color="auto" w:fill="FFFFFF"/>
          <w14:ligatures w14:val="standardContextual"/>
        </w:rPr>
        <w:t xml:space="preserve">En el criterio de esta Subdirección, para efectos de determinar la aplicación de los documentos tipo expedidos por esta Entidad a aquellos patrimonios autónomos que se constituyan con ocasión de los contratos de fiducia mercantil celebrados por un patrimonio autónomo previamente constituido, este puede ser el evento establecido en el inciso segundo del artículo 56 de la Ley 2195 de 2022, es decir que, se trata de una contratación mediante el contrato de fiducia mercantil para constituir un patrimonio autónomo para la administración de los recursos aplicables al proyectos, por lo que en principio tendría que aplicar los documentos tipo y el EGCAP para este contrato. No obstante, este criterio debe analizarse considerando al menos las siguientes dos variables: i) si se trata de una fiducia mercantil para la administración de los recursos o </w:t>
      </w:r>
      <w:proofErr w:type="spellStart"/>
      <w:r w:rsidRPr="00E878D3">
        <w:rPr>
          <w:rFonts w:ascii="Verdana" w:eastAsia="Aptos" w:hAnsi="Verdana" w:cs="Arial"/>
          <w:color w:val="000000"/>
          <w:kern w:val="2"/>
          <w:shd w:val="clear" w:color="auto" w:fill="FFFFFF"/>
          <w14:ligatures w14:val="standardContextual"/>
        </w:rPr>
        <w:t>ii</w:t>
      </w:r>
      <w:proofErr w:type="spellEnd"/>
      <w:r w:rsidRPr="00E878D3">
        <w:rPr>
          <w:rFonts w:ascii="Verdana" w:eastAsia="Aptos" w:hAnsi="Verdana" w:cs="Arial"/>
          <w:color w:val="000000"/>
          <w:kern w:val="2"/>
          <w:shd w:val="clear" w:color="auto" w:fill="FFFFFF"/>
          <w14:ligatures w14:val="standardContextual"/>
        </w:rPr>
        <w:t xml:space="preserve">) si se trata de la constitución de un patrimonio autónomo para adelantar procesos de </w:t>
      </w:r>
      <w:r w:rsidRPr="00E878D3">
        <w:rPr>
          <w:rFonts w:ascii="Verdana" w:eastAsia="Times New Roman" w:hAnsi="Verdana" w:cs="Arial"/>
          <w:color w:val="000000"/>
          <w:lang w:val="es-ES" w:eastAsia="es-ES"/>
        </w:rPr>
        <w:t xml:space="preserve">convocatoria y selección de los constructores. </w:t>
      </w:r>
    </w:p>
    <w:p w14:paraId="5865FED3" w14:textId="77777777" w:rsidR="00E878D3" w:rsidRPr="00E878D3" w:rsidRDefault="00E878D3" w:rsidP="00E878D3">
      <w:pPr>
        <w:tabs>
          <w:tab w:val="left" w:pos="0"/>
        </w:tabs>
        <w:spacing w:after="0" w:line="276" w:lineRule="auto"/>
        <w:jc w:val="both"/>
        <w:rPr>
          <w:rFonts w:ascii="Verdana" w:eastAsia="Times New Roman" w:hAnsi="Verdana" w:cs="Arial"/>
          <w:color w:val="000000"/>
          <w:lang w:val="es-ES" w:eastAsia="es-ES"/>
        </w:rPr>
      </w:pPr>
      <w:r w:rsidRPr="00E878D3">
        <w:rPr>
          <w:rFonts w:ascii="Verdana" w:eastAsia="Times New Roman" w:hAnsi="Verdana" w:cs="Arial"/>
          <w:color w:val="000000"/>
          <w:lang w:val="es-ES" w:eastAsia="es-ES"/>
        </w:rPr>
        <w:tab/>
        <w:t>De acuerdo con el inciso señalado, los patrimonios autónomos autorizados por la Ley 1537 de 2012 podrán celebrar contratos de fiducia mercantil para la administración de recursos destinados a proyectos de vivienda de interés social prioritario, aportando a ellos activos fideicomitidos. Así las cosas, la norma pareciera indicar que se trata de fiducias de administración, las cuales consisten:</w:t>
      </w:r>
    </w:p>
    <w:p w14:paraId="5BEDDB6A" w14:textId="77777777" w:rsidR="00E878D3" w:rsidRPr="00E878D3" w:rsidRDefault="00E878D3" w:rsidP="00E878D3">
      <w:pPr>
        <w:tabs>
          <w:tab w:val="left" w:pos="0"/>
        </w:tabs>
        <w:spacing w:after="0" w:line="276" w:lineRule="auto"/>
        <w:ind w:left="709" w:right="709"/>
        <w:jc w:val="both"/>
        <w:rPr>
          <w:rFonts w:ascii="Verdana" w:eastAsia="Times New Roman" w:hAnsi="Verdana" w:cs="Arial"/>
          <w:color w:val="000000"/>
          <w:lang w:val="es-ES" w:eastAsia="es-ES"/>
        </w:rPr>
      </w:pPr>
    </w:p>
    <w:p w14:paraId="4F074786" w14:textId="77777777" w:rsidR="00E878D3" w:rsidRPr="00E878D3" w:rsidRDefault="00E878D3" w:rsidP="00E878D3">
      <w:pPr>
        <w:tabs>
          <w:tab w:val="left" w:pos="0"/>
        </w:tabs>
        <w:spacing w:after="0" w:line="240" w:lineRule="auto"/>
        <w:ind w:left="709" w:right="709"/>
        <w:jc w:val="both"/>
        <w:rPr>
          <w:rFonts w:ascii="Verdana" w:eastAsia="Times New Roman" w:hAnsi="Verdana" w:cs="Arial"/>
          <w:color w:val="000000"/>
          <w:sz w:val="21"/>
          <w:szCs w:val="21"/>
          <w:lang w:val="es-ES" w:eastAsia="es-ES"/>
        </w:rPr>
      </w:pPr>
      <w:r w:rsidRPr="00E878D3">
        <w:rPr>
          <w:rFonts w:ascii="Verdana" w:eastAsia="Times New Roman" w:hAnsi="Verdana" w:cs="Arial"/>
          <w:color w:val="000000"/>
          <w:sz w:val="21"/>
          <w:szCs w:val="21"/>
          <w:lang w:val="es-ES" w:eastAsia="es-ES"/>
        </w:rPr>
        <w:t xml:space="preserve"> “(..) en la transferencia de unos bienes para que una entidad fiduciaria los administre en beneficio del constituyente o del fideicomisario”, las cuales “(…)</w:t>
      </w:r>
      <w:r w:rsidRPr="00E878D3">
        <w:rPr>
          <w:rFonts w:ascii="Verdana" w:eastAsia="Aptos" w:hAnsi="Verdana" w:cs="Times New Roman"/>
          <w:kern w:val="2"/>
          <w:sz w:val="21"/>
          <w:szCs w:val="21"/>
          <w14:ligatures w14:val="standardContextual"/>
        </w:rPr>
        <w:t xml:space="preserve"> conforman un patrimonio autónomo separado del activo del fiduciario y sólo garantizan las obligaciones adquiridas en cumplimiento de la finalidad perseguida”</w:t>
      </w:r>
      <w:r w:rsidRPr="00E878D3">
        <w:rPr>
          <w:rFonts w:ascii="Verdana" w:eastAsia="Aptos" w:hAnsi="Verdana" w:cs="Times New Roman"/>
          <w:kern w:val="2"/>
          <w:sz w:val="21"/>
          <w:szCs w:val="21"/>
          <w:vertAlign w:val="superscript"/>
          <w14:ligatures w14:val="standardContextual"/>
        </w:rPr>
        <w:footnoteReference w:id="27"/>
      </w:r>
      <w:r w:rsidRPr="00E878D3">
        <w:rPr>
          <w:rFonts w:ascii="Verdana" w:eastAsia="Aptos" w:hAnsi="Verdana" w:cs="Times New Roman"/>
          <w:kern w:val="2"/>
          <w:sz w:val="21"/>
          <w:szCs w:val="21"/>
          <w14:ligatures w14:val="standardContextual"/>
        </w:rPr>
        <w:t xml:space="preserve">. </w:t>
      </w:r>
    </w:p>
    <w:p w14:paraId="654FCD99" w14:textId="77777777" w:rsidR="00E878D3" w:rsidRPr="00E878D3" w:rsidRDefault="00E878D3" w:rsidP="00E878D3">
      <w:pPr>
        <w:tabs>
          <w:tab w:val="left" w:pos="0"/>
        </w:tabs>
        <w:spacing w:after="0" w:line="240" w:lineRule="auto"/>
        <w:jc w:val="both"/>
        <w:rPr>
          <w:rFonts w:ascii="Arial" w:eastAsia="Aptos" w:hAnsi="Arial" w:cs="Arial"/>
          <w:color w:val="333333"/>
          <w:kern w:val="2"/>
          <w:sz w:val="25"/>
          <w:szCs w:val="25"/>
          <w:shd w:val="clear" w:color="auto" w:fill="FFFFFF"/>
          <w14:ligatures w14:val="standardContextual"/>
        </w:rPr>
      </w:pPr>
    </w:p>
    <w:p w14:paraId="418F5254" w14:textId="77777777" w:rsidR="00E878D3" w:rsidRPr="00E878D3" w:rsidRDefault="00E878D3" w:rsidP="00E878D3">
      <w:pPr>
        <w:tabs>
          <w:tab w:val="left" w:pos="0"/>
        </w:tabs>
        <w:spacing w:after="120" w:line="276" w:lineRule="auto"/>
        <w:jc w:val="both"/>
        <w:rPr>
          <w:rFonts w:ascii="Verdana" w:eastAsia="Times New Roman" w:hAnsi="Verdana" w:cs="Arial"/>
          <w:color w:val="000000"/>
          <w:lang w:val="es-ES" w:eastAsia="es-ES"/>
        </w:rPr>
      </w:pPr>
      <w:r w:rsidRPr="00E878D3">
        <w:rPr>
          <w:rFonts w:ascii="Verdana" w:eastAsia="Times New Roman" w:hAnsi="Verdana" w:cs="Arial"/>
          <w:color w:val="000000"/>
          <w:lang w:val="es-ES" w:eastAsia="es-ES"/>
        </w:rPr>
        <w:tab/>
        <w:t xml:space="preserve">De acuerdo con lo anterior, el negocio jurídico al que se refiere el inciso citado correspondería a una fiducia de administración, en la medida que implica la transferencia de bienes o recursos a una sociedad fiduciaria para que esta los administre conforme a una finalidad específica relacionada con la ejecución de proyectos de vivienda de interés social prioritario, conformándose para ello un patrimonio autónomo separado del activo propio de la fiducia. </w:t>
      </w:r>
    </w:p>
    <w:p w14:paraId="32564200" w14:textId="77777777" w:rsidR="00E878D3" w:rsidRPr="00E878D3" w:rsidRDefault="00E878D3" w:rsidP="00E878D3">
      <w:pPr>
        <w:tabs>
          <w:tab w:val="left" w:pos="0"/>
        </w:tabs>
        <w:spacing w:after="0" w:line="276" w:lineRule="auto"/>
        <w:jc w:val="both"/>
        <w:rPr>
          <w:rFonts w:ascii="Verdana" w:eastAsia="Times New Roman" w:hAnsi="Verdana" w:cs="Arial"/>
          <w:color w:val="000000"/>
          <w:lang w:val="es-ES" w:eastAsia="es-ES"/>
        </w:rPr>
      </w:pPr>
      <w:r w:rsidRPr="00E878D3">
        <w:rPr>
          <w:rFonts w:ascii="Verdana" w:eastAsia="Times New Roman" w:hAnsi="Verdana" w:cs="Arial"/>
          <w:color w:val="000000"/>
          <w:lang w:val="es-ES" w:eastAsia="es-ES"/>
        </w:rPr>
        <w:lastRenderedPageBreak/>
        <w:tab/>
        <w:t>No obstante, lo señalado en el párrafo anterior pareciera complementarse con lo señalado en el inciso cinco de la norma en comento en la que se indica que:</w:t>
      </w:r>
    </w:p>
    <w:p w14:paraId="322EB98A" w14:textId="77777777" w:rsidR="00E878D3" w:rsidRPr="00E878D3" w:rsidRDefault="00E878D3" w:rsidP="00E878D3">
      <w:pPr>
        <w:tabs>
          <w:tab w:val="left" w:pos="0"/>
        </w:tabs>
        <w:spacing w:after="0" w:line="240" w:lineRule="auto"/>
        <w:ind w:left="709" w:right="709"/>
        <w:jc w:val="both"/>
        <w:rPr>
          <w:rFonts w:ascii="Verdana" w:eastAsia="Times New Roman" w:hAnsi="Verdana" w:cs="Arial"/>
          <w:color w:val="000000"/>
          <w:sz w:val="21"/>
          <w:szCs w:val="21"/>
          <w:lang w:val="es-ES" w:eastAsia="es-ES"/>
        </w:rPr>
      </w:pPr>
    </w:p>
    <w:p w14:paraId="4590BE2C" w14:textId="77777777" w:rsidR="00E878D3" w:rsidRPr="00E878D3" w:rsidRDefault="00E878D3" w:rsidP="00E878D3">
      <w:pPr>
        <w:tabs>
          <w:tab w:val="left" w:pos="0"/>
        </w:tabs>
        <w:spacing w:after="0" w:line="240" w:lineRule="auto"/>
        <w:ind w:left="709" w:right="709"/>
        <w:jc w:val="both"/>
        <w:rPr>
          <w:rFonts w:ascii="Verdana" w:eastAsia="Times New Roman" w:hAnsi="Verdana" w:cs="Arial"/>
          <w:color w:val="000000"/>
          <w:sz w:val="21"/>
          <w:szCs w:val="21"/>
          <w:lang w:val="es-ES" w:eastAsia="es-ES"/>
        </w:rPr>
      </w:pPr>
      <w:r w:rsidRPr="00E878D3">
        <w:rPr>
          <w:rFonts w:ascii="Verdana" w:eastAsia="Times New Roman" w:hAnsi="Verdana" w:cs="Arial"/>
          <w:color w:val="000000"/>
          <w:sz w:val="21"/>
          <w:szCs w:val="21"/>
          <w:lang w:val="es-ES" w:eastAsia="es-ES"/>
        </w:rPr>
        <w:t>“Los patrimonios autónomos que se constituyan, de acuerdo con el presente artículo, podrán adelantar procesos de convocatoria y selección de los constructores interesados en desarrollar los proyectos de vivienda y/o para la adquisición de proyectos de Vivienda de Interés Prioritario. Tales procesos se rigen por el derecho privado”</w:t>
      </w:r>
      <w:r w:rsidRPr="00E878D3">
        <w:rPr>
          <w:rFonts w:ascii="Verdana" w:eastAsia="Times New Roman" w:hAnsi="Verdana" w:cs="Arial"/>
          <w:color w:val="000000"/>
          <w:sz w:val="21"/>
          <w:szCs w:val="21"/>
          <w:vertAlign w:val="superscript"/>
          <w:lang w:val="es-ES" w:eastAsia="es-ES"/>
        </w:rPr>
        <w:footnoteReference w:id="28"/>
      </w:r>
      <w:r w:rsidRPr="00E878D3">
        <w:rPr>
          <w:rFonts w:ascii="Verdana" w:eastAsia="Times New Roman" w:hAnsi="Verdana" w:cs="Arial"/>
          <w:color w:val="000000"/>
          <w:sz w:val="21"/>
          <w:szCs w:val="21"/>
          <w:lang w:val="es-ES" w:eastAsia="es-ES"/>
        </w:rPr>
        <w:t>.</w:t>
      </w:r>
    </w:p>
    <w:p w14:paraId="5CDC6C0F" w14:textId="77777777" w:rsidR="00E878D3" w:rsidRPr="00E878D3" w:rsidRDefault="00E878D3" w:rsidP="00E878D3">
      <w:pPr>
        <w:tabs>
          <w:tab w:val="left" w:pos="0"/>
        </w:tabs>
        <w:spacing w:after="0" w:line="276" w:lineRule="auto"/>
        <w:jc w:val="both"/>
        <w:rPr>
          <w:rFonts w:ascii="Verdana" w:eastAsia="Calibri" w:hAnsi="Verdana" w:cs="Arial"/>
          <w:kern w:val="2"/>
          <w:sz w:val="24"/>
          <w:szCs w:val="24"/>
          <w:lang w:val="es-ES" w:eastAsia="es-ES"/>
          <w14:ligatures w14:val="standardContextual"/>
        </w:rPr>
      </w:pPr>
    </w:p>
    <w:p w14:paraId="0F2A5FA2" w14:textId="77777777" w:rsidR="00E878D3" w:rsidRPr="00E878D3" w:rsidRDefault="00E878D3" w:rsidP="00E878D3">
      <w:pPr>
        <w:tabs>
          <w:tab w:val="left" w:pos="0"/>
        </w:tabs>
        <w:spacing w:after="120" w:line="276" w:lineRule="auto"/>
        <w:jc w:val="both"/>
        <w:rPr>
          <w:rFonts w:ascii="Verdana" w:eastAsia="Calibri" w:hAnsi="Verdana" w:cs="Arial"/>
          <w:i/>
          <w:iCs/>
          <w:color w:val="000000"/>
          <w:kern w:val="2"/>
          <w:lang w:val="es-ES" w:eastAsia="es-ES"/>
          <w14:ligatures w14:val="standardContextual"/>
        </w:rPr>
      </w:pPr>
      <w:r w:rsidRPr="00E878D3">
        <w:rPr>
          <w:rFonts w:ascii="Verdana" w:eastAsia="Calibri" w:hAnsi="Verdana" w:cs="Arial"/>
          <w:kern w:val="2"/>
          <w:lang w:val="es-ES" w:eastAsia="es-ES"/>
          <w14:ligatures w14:val="standardContextual"/>
        </w:rPr>
        <w:tab/>
      </w:r>
      <w:r w:rsidRPr="00E878D3">
        <w:rPr>
          <w:rFonts w:ascii="Verdana" w:eastAsia="Times New Roman" w:hAnsi="Verdana" w:cs="Arial"/>
          <w:color w:val="000000"/>
          <w:lang w:val="es-ES" w:eastAsia="es-ES"/>
        </w:rPr>
        <w:t>Cuando la norma dispone que</w:t>
      </w:r>
      <w:r w:rsidRPr="00E878D3">
        <w:rPr>
          <w:rFonts w:ascii="Verdana" w:eastAsia="Calibri" w:hAnsi="Verdana" w:cs="Arial"/>
          <w:color w:val="000000"/>
          <w:kern w:val="2"/>
          <w:lang w:val="es-ES" w:eastAsia="es-ES"/>
          <w14:ligatures w14:val="standardContextual"/>
        </w:rPr>
        <w:t xml:space="preserve"> los patrimonios autónomos que se </w:t>
      </w:r>
      <w:r w:rsidRPr="00E878D3">
        <w:rPr>
          <w:rFonts w:ascii="Verdana" w:eastAsia="Times New Roman" w:hAnsi="Verdana" w:cs="Arial"/>
          <w:color w:val="000000"/>
          <w:lang w:val="es-ES" w:eastAsia="es-ES"/>
        </w:rPr>
        <w:t xml:space="preserve">constituyan de acuerdo con el artículo 6 de la Ley 1537 de 2012, también cobija a los que se constituyan de conformidad con el inciso cuarto de esa disposición, es decir, aquellas </w:t>
      </w:r>
      <w:r w:rsidRPr="00E878D3">
        <w:rPr>
          <w:rFonts w:ascii="Verdana" w:eastAsia="Times New Roman" w:hAnsi="Verdana" w:cs="Arial"/>
          <w:i/>
          <w:iCs/>
          <w:color w:val="000000"/>
          <w:lang w:val="es-ES" w:eastAsia="es-ES"/>
        </w:rPr>
        <w:t>“(…) fiducias mercantiles para la administración de los recursos aplicables a los proyectos de construcción de Vivienda de Interés Social prioritario”.</w:t>
      </w:r>
      <w:r w:rsidRPr="00E878D3">
        <w:rPr>
          <w:rFonts w:ascii="Verdana" w:eastAsia="Aptos" w:hAnsi="Verdana" w:cs="Arial"/>
          <w:color w:val="000000"/>
          <w:kern w:val="2"/>
          <w:shd w:val="clear" w:color="auto" w:fill="FFFFFF"/>
          <w14:ligatures w14:val="standardContextual"/>
        </w:rPr>
        <w:t xml:space="preserve"> Es así como estas últimas igualmente </w:t>
      </w:r>
      <w:r w:rsidRPr="00E878D3">
        <w:rPr>
          <w:rFonts w:ascii="Verdana" w:eastAsia="Aptos" w:hAnsi="Verdana" w:cs="Arial"/>
          <w:i/>
          <w:iCs/>
          <w:color w:val="000000"/>
          <w:kern w:val="2"/>
          <w:shd w:val="clear" w:color="auto" w:fill="FFFFFF"/>
          <w14:ligatures w14:val="standardContextual"/>
        </w:rPr>
        <w:t xml:space="preserve">“(…) </w:t>
      </w:r>
      <w:r w:rsidRPr="00E878D3">
        <w:rPr>
          <w:rFonts w:ascii="Verdana" w:eastAsia="Times New Roman" w:hAnsi="Verdana" w:cs="Arial"/>
          <w:i/>
          <w:iCs/>
          <w:color w:val="000000"/>
          <w:lang w:val="es-ES" w:eastAsia="es-ES"/>
        </w:rPr>
        <w:t>podrán adelantar procesos de convocatoria y selección de los constructores interesados en desarrollar los proyectos de vivienda y/o para la adquisición de proyectos de Vivienda de Interés Prioritario (…)”</w:t>
      </w:r>
      <w:r w:rsidRPr="00E878D3">
        <w:rPr>
          <w:rFonts w:ascii="Verdana" w:eastAsia="Calibri" w:hAnsi="Verdana" w:cs="Arial"/>
          <w:i/>
          <w:iCs/>
          <w:color w:val="000000"/>
          <w:kern w:val="2"/>
          <w:lang w:val="es-ES" w:eastAsia="es-ES"/>
          <w14:ligatures w14:val="standardContextual"/>
        </w:rPr>
        <w:t xml:space="preserve">. </w:t>
      </w:r>
    </w:p>
    <w:p w14:paraId="67A377B5" w14:textId="5AA67BFC" w:rsidR="00E878D3" w:rsidRPr="00E878D3" w:rsidRDefault="00E878D3" w:rsidP="00E878D3">
      <w:pPr>
        <w:tabs>
          <w:tab w:val="left" w:pos="0"/>
        </w:tabs>
        <w:spacing w:after="120" w:line="276" w:lineRule="auto"/>
        <w:jc w:val="both"/>
        <w:rPr>
          <w:rFonts w:ascii="Verdana" w:eastAsia="Calibri" w:hAnsi="Verdana" w:cs="Arial"/>
          <w:color w:val="000000"/>
          <w:kern w:val="2"/>
          <w:sz w:val="24"/>
          <w:szCs w:val="24"/>
          <w:lang w:val="es-ES"/>
          <w14:ligatures w14:val="standardContextual"/>
        </w:rPr>
      </w:pPr>
      <w:r w:rsidRPr="00E878D3">
        <w:rPr>
          <w:rFonts w:ascii="Verdana" w:eastAsia="Calibri" w:hAnsi="Verdana" w:cs="Arial"/>
          <w:color w:val="000000"/>
          <w:kern w:val="2"/>
          <w:lang w:val="es-ES" w:eastAsia="es-ES"/>
          <w14:ligatures w14:val="standardContextual"/>
        </w:rPr>
        <w:tab/>
        <w:t xml:space="preserve">Los dos supuestos señalados, –los del inciso cuarto y quinto del artículo 6 de la Ley </w:t>
      </w:r>
      <w:r w:rsidRPr="00E878D3">
        <w:rPr>
          <w:rFonts w:ascii="Verdana" w:eastAsia="Times New Roman" w:hAnsi="Verdana" w:cs="Arial"/>
          <w:color w:val="000000"/>
          <w:lang w:val="es-ES" w:eastAsia="es-ES"/>
        </w:rPr>
        <w:t>1537 de 2012–, son relevantes, considerando que, para efectos de la aplicación del inciso segundo del artículo 56 de la Ley 2195 de 2022, los patrimonios autónomos que han suscrito convenios o contratos interadministrativos o de cualquier otra índole con entidades sometidas al EGCAP, estarán obligadas a aplicar dicho estatuto para la contratación derivada de obras, bienes o servicios, siempre que exista documentos tipo en el sector en el que se adelanta la contratación.</w:t>
      </w:r>
      <w:r w:rsidRPr="00E878D3">
        <w:rPr>
          <w:rFonts w:ascii="Verdana" w:eastAsia="Calibri" w:hAnsi="Verdana" w:cs="Arial"/>
          <w:color w:val="000000"/>
          <w:kern w:val="2"/>
          <w:sz w:val="24"/>
          <w:szCs w:val="24"/>
          <w:lang w:val="es-ES"/>
          <w14:ligatures w14:val="standardContextual"/>
        </w:rPr>
        <w:t xml:space="preserve">  </w:t>
      </w:r>
    </w:p>
    <w:p w14:paraId="05343AE4" w14:textId="77777777" w:rsidR="00E878D3" w:rsidRPr="00E878D3" w:rsidRDefault="00E878D3" w:rsidP="00E878D3">
      <w:pPr>
        <w:tabs>
          <w:tab w:val="left" w:pos="0"/>
        </w:tabs>
        <w:spacing w:after="0" w:line="276" w:lineRule="auto"/>
        <w:jc w:val="both"/>
        <w:rPr>
          <w:rFonts w:ascii="Verdana" w:eastAsia="Calibri" w:hAnsi="Verdana" w:cs="Arial"/>
          <w:color w:val="000000"/>
          <w:kern w:val="2"/>
          <w:lang w:val="es-ES" w:eastAsia="es-ES"/>
          <w14:ligatures w14:val="standardContextual"/>
        </w:rPr>
      </w:pPr>
      <w:r w:rsidRPr="00E878D3">
        <w:rPr>
          <w:rFonts w:ascii="Verdana" w:eastAsia="Calibri" w:hAnsi="Verdana" w:cs="Arial"/>
          <w:color w:val="000000"/>
          <w:kern w:val="2"/>
          <w:sz w:val="24"/>
          <w:szCs w:val="24"/>
          <w:lang w:val="es-ES"/>
          <w14:ligatures w14:val="standardContextual"/>
        </w:rPr>
        <w:tab/>
      </w:r>
      <w:r w:rsidRPr="00E878D3">
        <w:rPr>
          <w:rFonts w:ascii="Verdana" w:eastAsia="Calibri" w:hAnsi="Verdana" w:cs="Arial"/>
          <w:color w:val="000000"/>
          <w:kern w:val="2"/>
          <w:lang w:val="es-ES" w:eastAsia="es-ES"/>
          <w14:ligatures w14:val="standardContextual"/>
        </w:rPr>
        <w:t>Sin perjuicio de lo anterior, debe indicarse que, esta subdirección en el concepto C-089 del 22 de marzo de 2022 indicó lo siguiente:</w:t>
      </w:r>
    </w:p>
    <w:p w14:paraId="3FC3F207" w14:textId="77777777" w:rsidR="00E878D3" w:rsidRPr="00E878D3" w:rsidRDefault="00E878D3" w:rsidP="00E878D3">
      <w:pPr>
        <w:tabs>
          <w:tab w:val="left" w:pos="0"/>
        </w:tabs>
        <w:spacing w:after="0" w:line="276" w:lineRule="auto"/>
        <w:jc w:val="both"/>
        <w:rPr>
          <w:rFonts w:ascii="Verdana" w:eastAsia="Calibri" w:hAnsi="Verdana" w:cs="Arial"/>
          <w:color w:val="000000"/>
          <w:kern w:val="2"/>
          <w:lang w:val="es-ES" w:eastAsia="es-ES"/>
          <w14:ligatures w14:val="standardContextual"/>
        </w:rPr>
      </w:pPr>
    </w:p>
    <w:p w14:paraId="5B28CF08" w14:textId="77777777" w:rsidR="00E878D3" w:rsidRPr="00E878D3" w:rsidRDefault="00E878D3" w:rsidP="00E878D3">
      <w:pPr>
        <w:tabs>
          <w:tab w:val="left" w:pos="0"/>
        </w:tabs>
        <w:spacing w:after="120" w:line="240" w:lineRule="auto"/>
        <w:ind w:left="709" w:right="709"/>
        <w:jc w:val="both"/>
        <w:rPr>
          <w:rFonts w:ascii="Verdana" w:eastAsia="Calibri" w:hAnsi="Verdana" w:cs="Arial"/>
          <w:bCs/>
          <w:kern w:val="2"/>
          <w:sz w:val="21"/>
          <w:szCs w:val="21"/>
          <w:lang w:val="es-ES_tradnl"/>
          <w14:ligatures w14:val="standardContextual"/>
        </w:rPr>
      </w:pPr>
      <w:r w:rsidRPr="00E878D3">
        <w:rPr>
          <w:rFonts w:ascii="Verdana" w:eastAsia="Calibri" w:hAnsi="Verdana" w:cs="Arial"/>
          <w:kern w:val="2"/>
          <w:sz w:val="21"/>
          <w:szCs w:val="21"/>
          <w:lang w:val="es-ES"/>
          <w14:ligatures w14:val="standardContextual"/>
        </w:rPr>
        <w:t xml:space="preserve">“cuando efectivamente la entidad estatal sometida al EGCAP celebra un contrato con la sociedad de economía mixta –bajo el supuesto que esta entidad esté sometida a un régimen especial en los términos explicados previamente–, esta última no celebra un contrato para adquirir una obra, bien o servicio cobijado por algún documento tipo; sino que celebra un contrato de fiducia para que sea el patrimonio </w:t>
      </w:r>
      <w:r w:rsidRPr="00E878D3">
        <w:rPr>
          <w:rFonts w:ascii="Verdana" w:eastAsia="Calibri" w:hAnsi="Verdana" w:cs="Arial"/>
          <w:kern w:val="2"/>
          <w:sz w:val="21"/>
          <w:szCs w:val="21"/>
          <w:lang w:val="es-ES"/>
          <w14:ligatures w14:val="standardContextual"/>
        </w:rPr>
        <w:lastRenderedPageBreak/>
        <w:t xml:space="preserve">autónomo el que contrate dichas obras, bienes o servicios. </w:t>
      </w:r>
      <w:r w:rsidRPr="00E878D3">
        <w:rPr>
          <w:rFonts w:ascii="Verdana" w:eastAsia="Calibri" w:hAnsi="Verdana" w:cs="Arial"/>
          <w:bCs/>
          <w:kern w:val="2"/>
          <w:sz w:val="21"/>
          <w:szCs w:val="21"/>
          <w:lang w:val="es-ES_tradnl"/>
          <w14:ligatures w14:val="standardContextual"/>
        </w:rPr>
        <w:t xml:space="preserve">Por el contrario, distinta sería la postura si la sociedad de economía mixta –entidad sometida a un régimen especial–, con ocasión de la celebración del contrato o convenio con la entidad regida por el EGCAP, sea la que contrate directamente la ejecución de las obras, bienes o servicios sujetos a documentos tipo, puesto que en este caso sí aplicaría lo dispuesto en el artículo 56 de la Ley 2195 de 2022, salvo que se presente la excepción establecida en el parágrafo del artículo ibidem. Esto en razón a que se cumplirían los dos criterios explicados previamente. </w:t>
      </w:r>
    </w:p>
    <w:p w14:paraId="479B539A" w14:textId="77777777" w:rsidR="00E878D3" w:rsidRPr="00E878D3" w:rsidRDefault="00E878D3" w:rsidP="00E878D3">
      <w:pPr>
        <w:tabs>
          <w:tab w:val="left" w:pos="0"/>
        </w:tabs>
        <w:spacing w:after="0" w:line="240" w:lineRule="auto"/>
        <w:ind w:left="709" w:right="709"/>
        <w:jc w:val="both"/>
        <w:rPr>
          <w:rFonts w:ascii="Verdana" w:eastAsia="Calibri" w:hAnsi="Verdana" w:cs="Arial"/>
          <w:bCs/>
          <w:kern w:val="2"/>
          <w:sz w:val="21"/>
          <w:szCs w:val="21"/>
          <w:lang w:val="es-ES_tradnl"/>
          <w14:ligatures w14:val="standardContextual"/>
        </w:rPr>
      </w:pPr>
      <w:r w:rsidRPr="00E878D3">
        <w:rPr>
          <w:rFonts w:ascii="Verdana" w:eastAsia="Calibri" w:hAnsi="Verdana" w:cs="Arial"/>
          <w:bCs/>
          <w:kern w:val="2"/>
          <w:sz w:val="21"/>
          <w:szCs w:val="21"/>
          <w:lang w:val="es-ES_tradnl"/>
          <w14:ligatures w14:val="standardContextual"/>
        </w:rPr>
        <w:t xml:space="preserve">Ahora, no es posible extender los efectos del artículo 56 de la Ley 2195 de 2022 a la fiducia –patrimonio autónomo sometido al régimen especial– porque en este supuesto solo se cumple el criterio conforme al cual el contrato que celebra es la adquisición de obras, bienes o servicios que eventualmente están sujetos a los documentos tipo. Sin embargo, estos contratos se realizan con fundamento en el negocio jurídico celebrado con la sociedad de economía mixta –entidad sometida al régimen especial– y no con una entidad estatal sometida al EGCAP”.  </w:t>
      </w:r>
    </w:p>
    <w:p w14:paraId="2CE311CA" w14:textId="77777777" w:rsidR="00E878D3" w:rsidRPr="00E878D3" w:rsidRDefault="00E878D3" w:rsidP="00E878D3">
      <w:pPr>
        <w:tabs>
          <w:tab w:val="left" w:pos="0"/>
        </w:tabs>
        <w:spacing w:after="0" w:line="276" w:lineRule="auto"/>
        <w:jc w:val="both"/>
        <w:rPr>
          <w:rFonts w:ascii="Verdana" w:eastAsia="Calibri" w:hAnsi="Verdana" w:cs="Arial"/>
          <w:color w:val="000000"/>
          <w:kern w:val="2"/>
          <w:lang w:val="es-ES" w:eastAsia="es-ES"/>
          <w14:ligatures w14:val="standardContextual"/>
        </w:rPr>
      </w:pPr>
      <w:r w:rsidRPr="00E878D3">
        <w:rPr>
          <w:rFonts w:ascii="Verdana" w:eastAsia="Calibri" w:hAnsi="Verdana" w:cs="Arial"/>
          <w:color w:val="000000"/>
          <w:kern w:val="2"/>
          <w:lang w:val="es-ES" w:eastAsia="es-ES"/>
          <w14:ligatures w14:val="standardContextual"/>
        </w:rPr>
        <w:tab/>
      </w:r>
    </w:p>
    <w:p w14:paraId="1E2E39DE" w14:textId="77777777" w:rsidR="00E878D3" w:rsidRPr="00E878D3" w:rsidRDefault="00E878D3" w:rsidP="00E878D3">
      <w:pPr>
        <w:tabs>
          <w:tab w:val="left" w:pos="0"/>
        </w:tabs>
        <w:spacing w:after="120" w:line="276" w:lineRule="auto"/>
        <w:jc w:val="both"/>
        <w:rPr>
          <w:rFonts w:ascii="Verdana" w:eastAsia="Calibri" w:hAnsi="Verdana" w:cs="Arial"/>
          <w:bCs/>
          <w:i/>
          <w:iCs/>
          <w:kern w:val="2"/>
          <w:szCs w:val="24"/>
          <w:lang w:val="es-ES_tradnl"/>
          <w14:ligatures w14:val="standardContextual"/>
        </w:rPr>
      </w:pPr>
      <w:r w:rsidRPr="00E878D3">
        <w:rPr>
          <w:rFonts w:ascii="Verdana" w:eastAsia="Calibri" w:hAnsi="Verdana" w:cs="Arial"/>
          <w:color w:val="000000"/>
          <w:kern w:val="2"/>
          <w:lang w:val="es-ES" w:eastAsia="es-ES"/>
          <w14:ligatures w14:val="standardContextual"/>
        </w:rPr>
        <w:tab/>
        <w:t xml:space="preserve">De acuerdo con la postura señalada, </w:t>
      </w:r>
      <w:proofErr w:type="spellStart"/>
      <w:r w:rsidRPr="00E878D3">
        <w:rPr>
          <w:rFonts w:ascii="Verdana" w:eastAsia="Calibri" w:hAnsi="Verdana" w:cs="Arial"/>
          <w:bCs/>
          <w:kern w:val="2"/>
          <w:szCs w:val="24"/>
          <w:lang w:val="es-ES_tradnl"/>
          <w14:ligatures w14:val="standardContextual"/>
        </w:rPr>
        <w:t>si</w:t>
      </w:r>
      <w:proofErr w:type="spellEnd"/>
      <w:r w:rsidRPr="00E878D3">
        <w:rPr>
          <w:rFonts w:ascii="Verdana" w:eastAsia="Calibri" w:hAnsi="Verdana" w:cs="Arial"/>
          <w:bCs/>
          <w:kern w:val="2"/>
          <w:szCs w:val="24"/>
          <w:lang w:val="es-ES_tradnl"/>
          <w14:ligatures w14:val="standardContextual"/>
        </w:rPr>
        <w:t xml:space="preserve"> una entidad sometida al EGCAP celebra un contrato con una sociedad de economía mixta –partiendo del supuesto que es una entidad sometida a un régimen especial– y esta última celebre un contrato de fiducia para la constitución de un patrimonio autónomo para adquirir obras, bienes y servicios cobijados por documentos tipo, se concluyó que ese era un evento no contemplado en el artículo 56 de la Ley 2195 de 2022, por lo que, </w:t>
      </w:r>
      <w:r w:rsidRPr="00E878D3">
        <w:rPr>
          <w:rFonts w:ascii="Verdana" w:eastAsia="Calibri" w:hAnsi="Verdana" w:cs="Arial"/>
          <w:bCs/>
          <w:i/>
          <w:iCs/>
          <w:kern w:val="2"/>
          <w:szCs w:val="24"/>
          <w:lang w:val="es-ES_tradnl"/>
          <w14:ligatures w14:val="standardContextual"/>
        </w:rPr>
        <w:t xml:space="preserve">“(…) la fiducia no estaría obligada a aplicar los documentos tipo adoptados por esta Agencia y, por tanto, los procedimientos de selección y los contratos que realicen en desarrollo de los anteriores negocios jurídicos no estarían sometidos al Estatuto General de Contratación de la Administración Pública”. </w:t>
      </w:r>
    </w:p>
    <w:p w14:paraId="6E6EB810" w14:textId="77777777" w:rsidR="00E878D3" w:rsidRPr="00E878D3" w:rsidRDefault="00E878D3" w:rsidP="00E878D3">
      <w:pPr>
        <w:tabs>
          <w:tab w:val="left" w:pos="0"/>
        </w:tabs>
        <w:spacing w:after="120" w:line="276" w:lineRule="auto"/>
        <w:jc w:val="both"/>
        <w:rPr>
          <w:rFonts w:ascii="Verdana" w:eastAsia="Calibri" w:hAnsi="Verdana" w:cs="Arial"/>
          <w:color w:val="000000"/>
          <w:kern w:val="2"/>
          <w:lang w:val="es-ES"/>
          <w14:ligatures w14:val="standardContextual"/>
        </w:rPr>
      </w:pPr>
      <w:r w:rsidRPr="00E878D3">
        <w:rPr>
          <w:rFonts w:ascii="Arial" w:eastAsia="Calibri" w:hAnsi="Arial" w:cs="Arial"/>
          <w:bCs/>
          <w:kern w:val="2"/>
          <w:szCs w:val="24"/>
          <w:lang w:val="es-ES_tradnl"/>
          <w14:ligatures w14:val="standardContextual"/>
        </w:rPr>
        <w:tab/>
      </w:r>
      <w:r w:rsidRPr="00E878D3">
        <w:rPr>
          <w:rFonts w:ascii="Verdana" w:eastAsia="Calibri" w:hAnsi="Verdana" w:cs="Arial"/>
          <w:bCs/>
          <w:color w:val="000000"/>
          <w:kern w:val="2"/>
          <w:lang w:val="es-ES_tradnl"/>
          <w14:ligatures w14:val="standardContextual"/>
        </w:rPr>
        <w:t xml:space="preserve">No obstante, considerando la postura de unificación de esta Agencia desarrollada en el concepto unificado CU-870 del 13 de agosto de 2025 en relación con la aplicación de los documentos tipo por parte de las entidades exceptuadas del estatuto general de contratación de la administración pública, </w:t>
      </w:r>
      <w:r w:rsidRPr="00E878D3">
        <w:rPr>
          <w:rFonts w:ascii="Verdana" w:eastAsia="Aptos" w:hAnsi="Verdana" w:cs="Open Sans"/>
          <w:color w:val="000000"/>
          <w:kern w:val="2"/>
          <w14:ligatures w14:val="standardContextual"/>
        </w:rPr>
        <w:t xml:space="preserve">patrimonios autónomos o con personas naturales o jurídicas de derecho privado, cuyo régimen de contratación sea especial o de derecho privado, la posición indicada en el concepto C-089 del 22 de marzo de 2022 debe cambiarse toda vez que, como se ha reiterado a lo largo de este concepto las </w:t>
      </w:r>
      <w:r w:rsidRPr="00E878D3">
        <w:rPr>
          <w:rFonts w:ascii="Verdana" w:eastAsia="Aptos" w:hAnsi="Verdana" w:cs="Open Sans"/>
          <w:i/>
          <w:iCs/>
          <w:color w:val="000000"/>
          <w:kern w:val="2"/>
          <w14:ligatures w14:val="standardContextual"/>
        </w:rPr>
        <w:t xml:space="preserve">“entidades </w:t>
      </w:r>
      <w:r w:rsidRPr="00E878D3">
        <w:rPr>
          <w:rFonts w:ascii="Verdana" w:eastAsia="Aptos" w:hAnsi="Verdana" w:cs="Open Sans"/>
          <w:i/>
          <w:iCs/>
          <w:color w:val="000000"/>
          <w:kern w:val="2"/>
          <w14:ligatures w14:val="standardContextual"/>
        </w:rPr>
        <w:lastRenderedPageBreak/>
        <w:t xml:space="preserve">exceptuadas, </w:t>
      </w:r>
      <w:r w:rsidRPr="00E878D3">
        <w:rPr>
          <w:rFonts w:ascii="Verdana" w:eastAsia="Calibri" w:hAnsi="Verdana" w:cs="Arial"/>
          <w:i/>
          <w:iCs/>
          <w:color w:val="000000"/>
          <w:kern w:val="2"/>
          <w:lang w:val="es-ES"/>
          <w14:ligatures w14:val="standardContextual"/>
        </w:rPr>
        <w:t>patrimonios autónomos o particulares, que han suscrito convenios o contratos de cualquier índole con entidades sometidas al EGCAP, estarán obligadas a aplicar dicho estatuto para la subcontratación derivada de obras, bienes o servicios, siempre que exista documentos tipo en el sector en el que se adelanta la contratación”.</w:t>
      </w:r>
      <w:r w:rsidRPr="00E878D3">
        <w:rPr>
          <w:rFonts w:ascii="Verdana" w:eastAsia="Calibri" w:hAnsi="Verdana" w:cs="Arial"/>
          <w:color w:val="000000"/>
          <w:kern w:val="2"/>
          <w:lang w:val="es-ES"/>
          <w14:ligatures w14:val="standardContextual"/>
        </w:rPr>
        <w:t xml:space="preserve">  </w:t>
      </w:r>
    </w:p>
    <w:p w14:paraId="2898236B" w14:textId="59C849D8" w:rsidR="00E878D3" w:rsidRPr="00E878D3" w:rsidRDefault="00E878D3" w:rsidP="00E878D3">
      <w:pPr>
        <w:tabs>
          <w:tab w:val="left" w:pos="0"/>
        </w:tabs>
        <w:spacing w:after="120" w:line="276" w:lineRule="auto"/>
        <w:jc w:val="both"/>
        <w:rPr>
          <w:rFonts w:ascii="Verdana" w:eastAsia="Aptos" w:hAnsi="Verdana" w:cs="Times New Roman"/>
          <w:kern w:val="2"/>
          <w14:ligatures w14:val="standardContextual"/>
        </w:rPr>
      </w:pPr>
      <w:r w:rsidRPr="00E878D3">
        <w:rPr>
          <w:rFonts w:ascii="Verdana" w:eastAsia="Calibri" w:hAnsi="Verdana" w:cs="Arial"/>
          <w:color w:val="000000"/>
          <w:kern w:val="2"/>
          <w:lang w:val="es-ES"/>
          <w14:ligatures w14:val="standardContextual"/>
        </w:rPr>
        <w:tab/>
        <w:t xml:space="preserve">Bajo el criterio señalado en el concepto de unificación, </w:t>
      </w:r>
      <w:r w:rsidRPr="00E878D3">
        <w:rPr>
          <w:rFonts w:ascii="Verdana" w:eastAsia="Aptos" w:hAnsi="Verdana" w:cs="Times New Roman"/>
          <w:kern w:val="2"/>
          <w14:ligatures w14:val="standardContextual"/>
        </w:rPr>
        <w:t xml:space="preserve">es posible considerar que, en determinados supuestos, la celebración de fiducias mercantiles por parte de los patrimonios autónomos autorizados en la Ley 1537 de 2012 podría configurar la aplicación del artículo 56 de la Ley 2195 de 2022. Esto, en la medida en que la norma prevé que los patrimonios autónomos que hayan suscrito contratos o convenios de cualquier índole con entidades sometidas al EGCAP deberán aplicar dicho estatuto y los documentos tipo en la contratación derivada de bienes, obras o servicios cobijados por documentos tipo vigentes. </w:t>
      </w:r>
    </w:p>
    <w:p w14:paraId="6F937F08" w14:textId="73C5C2DA" w:rsidR="00E878D3" w:rsidRPr="00E878D3" w:rsidRDefault="00E878D3" w:rsidP="00E878D3">
      <w:pPr>
        <w:tabs>
          <w:tab w:val="left" w:pos="0"/>
        </w:tabs>
        <w:spacing w:after="120" w:line="276" w:lineRule="auto"/>
        <w:jc w:val="both"/>
        <w:rPr>
          <w:rFonts w:ascii="Verdana" w:eastAsia="Aptos" w:hAnsi="Verdana" w:cs="Times New Roman"/>
          <w:kern w:val="2"/>
          <w14:ligatures w14:val="standardContextual"/>
        </w:rPr>
      </w:pPr>
      <w:r w:rsidRPr="00E878D3">
        <w:rPr>
          <w:rFonts w:ascii="Verdana" w:eastAsia="Aptos" w:hAnsi="Verdana" w:cs="Times New Roman"/>
          <w:kern w:val="2"/>
          <w14:ligatures w14:val="standardContextual"/>
        </w:rPr>
        <w:tab/>
        <w:t xml:space="preserve">Es así como, cuando una entidad pública sometida al EGCAP celebre un contrato o convenio interadministrativo o de cualquier otra índole con un patrimonio autónomo, y este celebre a su vez una fiducia mercantil para que este último contrate un bien, obra o servicio, podría entenderse que esta última actuación corresponden a una forma de contratación vinculada al negocio jurídico principal, lo que haría procedente la aplicación de los documentos tipo y de las disposiciones del EGCAP en los términos del artículo 56 ibidem. Contrario sería sí la fiducia mercantil que celebra el patrimonio autónomo es solo para la administración de los recursos destinados a proyectos de vivienda de interés social prioritario, evento en el cual, en principio no existiría documento tipo aplicable. </w:t>
      </w:r>
    </w:p>
    <w:p w14:paraId="087D5AD5" w14:textId="77777777" w:rsidR="00E878D3" w:rsidRPr="00E878D3" w:rsidRDefault="00E878D3" w:rsidP="00E878D3">
      <w:pPr>
        <w:tabs>
          <w:tab w:val="left" w:pos="0"/>
        </w:tabs>
        <w:spacing w:after="120" w:line="276" w:lineRule="auto"/>
        <w:jc w:val="both"/>
        <w:rPr>
          <w:rFonts w:ascii="Verdana" w:eastAsia="Aptos" w:hAnsi="Verdana" w:cs="Times New Roman"/>
          <w:kern w:val="2"/>
          <w14:ligatures w14:val="standardContextual"/>
        </w:rPr>
      </w:pPr>
      <w:r w:rsidRPr="00E878D3">
        <w:rPr>
          <w:rFonts w:ascii="Verdana" w:eastAsia="Aptos" w:hAnsi="Verdana" w:cs="Times New Roman"/>
          <w:kern w:val="2"/>
          <w14:ligatures w14:val="standardContextual"/>
        </w:rPr>
        <w:tab/>
        <w:t xml:space="preserve">Finalmente, considerando que usted indaga sí </w:t>
      </w:r>
      <w:r w:rsidRPr="00E878D3">
        <w:rPr>
          <w:rFonts w:ascii="Verdana" w:eastAsia="Aptos" w:hAnsi="Verdana" w:cs="Times New Roman"/>
          <w:i/>
          <w:iCs/>
          <w:kern w:val="2"/>
          <w14:ligatures w14:val="standardContextual"/>
        </w:rPr>
        <w:t>“(d)</w:t>
      </w:r>
      <w:proofErr w:type="spellStart"/>
      <w:r w:rsidRPr="00E878D3">
        <w:rPr>
          <w:rFonts w:ascii="Verdana" w:eastAsia="Aptos" w:hAnsi="Verdana" w:cs="Times New Roman"/>
          <w:i/>
          <w:iCs/>
          <w:kern w:val="2"/>
          <w14:ligatures w14:val="standardContextual"/>
        </w:rPr>
        <w:t>ado</w:t>
      </w:r>
      <w:proofErr w:type="spellEnd"/>
      <w:r w:rsidRPr="00E878D3">
        <w:rPr>
          <w:rFonts w:ascii="Verdana" w:eastAsia="Aptos" w:hAnsi="Verdana" w:cs="Times New Roman"/>
          <w:i/>
          <w:iCs/>
          <w:kern w:val="2"/>
          <w14:ligatures w14:val="standardContextual"/>
        </w:rPr>
        <w:t xml:space="preserve"> que el Artículo 2 de la Resolución 953 de 2025 no menciona expresamente a las fiducias mercantiles de régimen privado que administran recursos públicos ¿es jurídicamente viable que las invitaciones a ofertar realizadas por estas fiducias mantengan criterios de selección autónomos, siempre que respeten los principios de la función administrativa?”. </w:t>
      </w:r>
      <w:r w:rsidRPr="00E878D3">
        <w:rPr>
          <w:rFonts w:ascii="Verdana" w:eastAsia="Aptos" w:hAnsi="Verdana" w:cs="Times New Roman"/>
          <w:kern w:val="2"/>
          <w14:ligatures w14:val="standardContextual"/>
        </w:rPr>
        <w:t xml:space="preserve">En relación con este aspecto, se reitera que el artículo 3 de la Resolución 953 del 15 de diciembre de 2025 dispone que los documentos tipo adoptados por esta </w:t>
      </w:r>
      <w:proofErr w:type="gramStart"/>
      <w:r w:rsidRPr="00E878D3">
        <w:rPr>
          <w:rFonts w:ascii="Verdana" w:eastAsia="Aptos" w:hAnsi="Verdana" w:cs="Times New Roman"/>
          <w:kern w:val="2"/>
          <w14:ligatures w14:val="standardContextual"/>
        </w:rPr>
        <w:t xml:space="preserve">Agencia  </w:t>
      </w:r>
      <w:r w:rsidRPr="00E878D3">
        <w:rPr>
          <w:rFonts w:ascii="Verdana" w:eastAsia="Aptos" w:hAnsi="Verdana" w:cs="Times New Roman"/>
          <w:i/>
          <w:iCs/>
          <w:kern w:val="2"/>
          <w14:ligatures w14:val="standardContextual"/>
        </w:rPr>
        <w:t>“</w:t>
      </w:r>
      <w:proofErr w:type="gramEnd"/>
      <w:r w:rsidRPr="00E878D3">
        <w:rPr>
          <w:rFonts w:ascii="Verdana" w:eastAsia="Aptos" w:hAnsi="Verdana" w:cs="Times New Roman"/>
          <w:i/>
          <w:iCs/>
          <w:kern w:val="2"/>
          <w14:ligatures w14:val="standardContextual"/>
        </w:rPr>
        <w:t>(…) son obligatorios en la actividad contractual de las Entidades Estatales sometidas al Estatuto General de Contratación de la Administración Pública, patrimonios autónomos (…)”.</w:t>
      </w:r>
      <w:r w:rsidRPr="00E878D3">
        <w:rPr>
          <w:rFonts w:ascii="Verdana" w:eastAsia="Aptos" w:hAnsi="Verdana" w:cs="Times New Roman"/>
          <w:kern w:val="2"/>
          <w14:ligatures w14:val="standardContextual"/>
        </w:rPr>
        <w:t xml:space="preserve"> </w:t>
      </w:r>
    </w:p>
    <w:p w14:paraId="4C1259B2" w14:textId="77777777" w:rsidR="00E878D3" w:rsidRPr="00E878D3" w:rsidRDefault="00E878D3" w:rsidP="00E878D3">
      <w:pPr>
        <w:tabs>
          <w:tab w:val="left" w:pos="0"/>
        </w:tabs>
        <w:spacing w:after="120" w:line="276" w:lineRule="auto"/>
        <w:jc w:val="both"/>
        <w:rPr>
          <w:rFonts w:ascii="Verdana" w:eastAsia="Aptos" w:hAnsi="Verdana" w:cs="Times New Roman"/>
          <w:kern w:val="2"/>
          <w14:ligatures w14:val="standardContextual"/>
        </w:rPr>
      </w:pPr>
      <w:r w:rsidRPr="00E878D3">
        <w:rPr>
          <w:rFonts w:ascii="Verdana" w:eastAsia="Aptos" w:hAnsi="Verdana" w:cs="Times New Roman"/>
          <w:kern w:val="2"/>
          <w14:ligatures w14:val="standardContextual"/>
        </w:rPr>
        <w:lastRenderedPageBreak/>
        <w:tab/>
        <w:t>Así, si las fiducias mercantiles a las que se refiere en su solicitud son aquellas que constituyen un patrimonio autónomo, considerando que “(…) en la fiducia mercantil es de la esencia la creación de un patrimonio autónomo (…)</w:t>
      </w:r>
      <w:r w:rsidRPr="00E878D3">
        <w:rPr>
          <w:rFonts w:ascii="Verdana" w:eastAsia="Aptos" w:hAnsi="Verdana" w:cs="Times New Roman"/>
          <w:kern w:val="2"/>
          <w:vertAlign w:val="superscript"/>
          <w14:ligatures w14:val="standardContextual"/>
        </w:rPr>
        <w:footnoteReference w:id="29"/>
      </w:r>
      <w:r w:rsidRPr="00E878D3">
        <w:rPr>
          <w:rFonts w:ascii="Verdana" w:eastAsia="Aptos" w:hAnsi="Verdana" w:cs="Times New Roman"/>
          <w:kern w:val="2"/>
          <w14:ligatures w14:val="standardContextual"/>
        </w:rPr>
        <w:t xml:space="preserve">” estas deberán aplicar los documentos tipo expedidos por esta Agencia, en las condiciones previamente señaladas y de conformidad con el alcance del artículo 56 de la Ley 2195 de 2022. </w:t>
      </w:r>
    </w:p>
    <w:p w14:paraId="7707E3F8" w14:textId="77777777" w:rsidR="00E878D3" w:rsidRPr="00E878D3" w:rsidRDefault="00E878D3" w:rsidP="00E878D3">
      <w:pPr>
        <w:tabs>
          <w:tab w:val="left" w:pos="0"/>
        </w:tabs>
        <w:spacing w:after="0" w:line="276" w:lineRule="auto"/>
        <w:jc w:val="both"/>
        <w:rPr>
          <w:rFonts w:ascii="Verdana" w:eastAsia="Aptos" w:hAnsi="Verdana" w:cs="Times New Roman"/>
          <w:kern w:val="2"/>
          <w14:ligatures w14:val="standardContextual"/>
        </w:rPr>
      </w:pPr>
      <w:r w:rsidRPr="00E878D3">
        <w:rPr>
          <w:rFonts w:ascii="Verdana" w:eastAsia="Aptos" w:hAnsi="Verdana" w:cs="Times New Roman"/>
          <w:kern w:val="2"/>
          <w14:ligatures w14:val="standardContextual"/>
        </w:rPr>
        <w:tab/>
        <w:t xml:space="preserve">Ahora bien, si en su solicitud se hace referencia a un encargo fiduciario, en este supuesto no se estaría en el marco de aplicación del artículo citado, considerando que en esta figura no se constituye un patrimonio autónomo. </w:t>
      </w:r>
    </w:p>
    <w:p w14:paraId="04C186ED" w14:textId="77777777" w:rsidR="00E878D3" w:rsidRPr="00E878D3" w:rsidRDefault="00E878D3" w:rsidP="00E878D3">
      <w:pPr>
        <w:tabs>
          <w:tab w:val="left" w:pos="0"/>
        </w:tabs>
        <w:spacing w:after="0" w:line="276" w:lineRule="auto"/>
        <w:jc w:val="both"/>
        <w:rPr>
          <w:rFonts w:ascii="Verdana" w:eastAsia="Aptos" w:hAnsi="Verdana" w:cs="Times New Roman"/>
          <w:kern w:val="2"/>
          <w14:ligatures w14:val="standardContextual"/>
        </w:rPr>
      </w:pPr>
    </w:p>
    <w:bookmarkEnd w:id="2"/>
    <w:bookmarkEnd w:id="3"/>
    <w:p w14:paraId="0F61DFE2" w14:textId="77777777" w:rsidR="00E878D3" w:rsidRPr="00E878D3" w:rsidRDefault="00E878D3" w:rsidP="00E878D3">
      <w:pPr>
        <w:spacing w:after="120" w:line="276" w:lineRule="auto"/>
        <w:jc w:val="both"/>
        <w:rPr>
          <w:rFonts w:ascii="Verdana" w:eastAsia="Times New Roman" w:hAnsi="Verdana" w:cs="Times New Roman"/>
          <w:lang w:eastAsia="es-MX"/>
        </w:rPr>
      </w:pPr>
      <w:r w:rsidRPr="00E878D3">
        <w:rPr>
          <w:rFonts w:ascii="Verdana" w:eastAsia="Calibri" w:hAnsi="Verdana" w:cs="Arial"/>
          <w:lang w:eastAsia="es-MX"/>
        </w:rPr>
        <w:t xml:space="preserve">vi. </w:t>
      </w:r>
      <w:r w:rsidRPr="00E878D3">
        <w:rPr>
          <w:rFonts w:ascii="Verdana" w:eastAsia="Calibri" w:hAnsi="Verdana" w:cs="Arial"/>
          <w:bCs/>
          <w:color w:val="000000"/>
          <w:lang w:eastAsia="es-MX"/>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8D693E7" w14:textId="77777777" w:rsidR="00E878D3" w:rsidRPr="00E878D3" w:rsidRDefault="00E878D3" w:rsidP="00E878D3">
      <w:pPr>
        <w:spacing w:after="120" w:line="276" w:lineRule="auto"/>
        <w:ind w:firstLine="708"/>
        <w:jc w:val="both"/>
        <w:rPr>
          <w:rFonts w:ascii="Verdana" w:eastAsia="Calibri" w:hAnsi="Verdana" w:cs="Arial"/>
          <w:bCs/>
          <w:color w:val="000000"/>
          <w:lang w:eastAsia="es-MX"/>
        </w:rPr>
      </w:pPr>
      <w:r w:rsidRPr="00E878D3">
        <w:rPr>
          <w:rFonts w:ascii="Verdana" w:eastAsia="Calibri" w:hAnsi="Verdana" w:cs="Arial"/>
          <w:bCs/>
          <w:color w:val="000000"/>
          <w:lang w:eastAsia="es-MX"/>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1AF4E49B" w14:textId="77777777" w:rsidR="00E878D3" w:rsidRPr="00E878D3" w:rsidRDefault="00E878D3" w:rsidP="00E878D3">
      <w:pPr>
        <w:spacing w:after="0" w:line="276" w:lineRule="auto"/>
        <w:jc w:val="both"/>
        <w:rPr>
          <w:rFonts w:ascii="Verdana" w:eastAsia="Calibri" w:hAnsi="Verdana" w:cs="Times New Roman"/>
          <w:lang w:eastAsia="es-MX"/>
        </w:rPr>
      </w:pPr>
    </w:p>
    <w:p w14:paraId="3FF2C010" w14:textId="77777777" w:rsidR="00E878D3" w:rsidRPr="00E878D3" w:rsidRDefault="00E878D3" w:rsidP="00E878D3">
      <w:pPr>
        <w:tabs>
          <w:tab w:val="left" w:pos="142"/>
          <w:tab w:val="left" w:pos="284"/>
        </w:tabs>
        <w:spacing w:after="0" w:line="276" w:lineRule="auto"/>
        <w:jc w:val="both"/>
        <w:rPr>
          <w:rFonts w:ascii="Verdana" w:eastAsia="Century Gothic" w:hAnsi="Verdana" w:cs="Century Gothic"/>
          <w:b/>
          <w:bCs/>
          <w:lang w:val="es-ES_tradnl" w:eastAsia="es-MX"/>
        </w:rPr>
      </w:pPr>
      <w:r w:rsidRPr="00E878D3">
        <w:rPr>
          <w:rFonts w:ascii="Verdana" w:eastAsia="Century Gothic" w:hAnsi="Verdana" w:cs="Century Gothic"/>
          <w:b/>
          <w:bCs/>
          <w:lang w:val="es-ES_tradnl" w:eastAsia="es-MX"/>
        </w:rPr>
        <w:t>4. Referencias normativas, jurisprudenciales y otras fuentes:</w:t>
      </w:r>
    </w:p>
    <w:p w14:paraId="5EBEF0AA" w14:textId="77777777" w:rsidR="00E878D3" w:rsidRPr="00E878D3" w:rsidRDefault="00E878D3" w:rsidP="00E878D3">
      <w:pPr>
        <w:spacing w:after="0"/>
        <w:ind w:left="-15840"/>
        <w:jc w:val="both"/>
        <w:rPr>
          <w:rFonts w:ascii="Verdana" w:eastAsia="Calibri" w:hAnsi="Verdana" w:cs="Arial"/>
          <w:b/>
          <w:bCs/>
          <w:lang w:eastAsia="es-MX"/>
        </w:rPr>
      </w:pPr>
      <w:r w:rsidRPr="00E878D3">
        <w:rPr>
          <w:rFonts w:ascii="Verdana" w:eastAsia="Calibri" w:hAnsi="Verdana" w:cs="Arial"/>
          <w:b/>
          <w:bCs/>
          <w:lang w:eastAsia="es-MX"/>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E878D3" w:rsidRPr="00E878D3" w14:paraId="53F1B74F" w14:textId="77777777" w:rsidTr="00366355">
        <w:trPr>
          <w:trHeight w:val="297"/>
        </w:trPr>
        <w:tc>
          <w:tcPr>
            <w:tcW w:w="8647" w:type="dxa"/>
            <w:tcBorders>
              <w:top w:val="dotted" w:sz="4" w:space="0" w:color="auto"/>
              <w:left w:val="dotted" w:sz="4" w:space="0" w:color="auto"/>
              <w:bottom w:val="dotted" w:sz="4" w:space="0" w:color="auto"/>
              <w:right w:val="dotted" w:sz="4" w:space="0" w:color="auto"/>
            </w:tcBorders>
          </w:tcPr>
          <w:p w14:paraId="5E239534" w14:textId="77777777" w:rsidR="00E878D3" w:rsidRPr="00E878D3" w:rsidRDefault="00E878D3" w:rsidP="00E878D3">
            <w:pPr>
              <w:widowControl w:val="0"/>
              <w:numPr>
                <w:ilvl w:val="0"/>
                <w:numId w:val="16"/>
              </w:numPr>
              <w:autoSpaceDE w:val="0"/>
              <w:autoSpaceDN w:val="0"/>
              <w:spacing w:line="276" w:lineRule="auto"/>
              <w:contextualSpacing/>
              <w:jc w:val="both"/>
              <w:rPr>
                <w:rFonts w:ascii="Verdana" w:eastAsia="Aptos" w:hAnsi="Verdana" w:cs="Arial"/>
              </w:rPr>
            </w:pPr>
            <w:r w:rsidRPr="00E878D3">
              <w:rPr>
                <w:rFonts w:ascii="Verdana" w:eastAsia="Aptos" w:hAnsi="Verdana" w:cs="Arial"/>
              </w:rPr>
              <w:t xml:space="preserve">Ley 2022 de 202 – artículo 1. </w:t>
            </w:r>
          </w:p>
          <w:p w14:paraId="161FD7DD" w14:textId="77777777" w:rsidR="00E878D3" w:rsidRPr="00E878D3" w:rsidRDefault="00E878D3" w:rsidP="00E878D3">
            <w:pPr>
              <w:widowControl w:val="0"/>
              <w:numPr>
                <w:ilvl w:val="0"/>
                <w:numId w:val="16"/>
              </w:numPr>
              <w:autoSpaceDE w:val="0"/>
              <w:autoSpaceDN w:val="0"/>
              <w:spacing w:line="276" w:lineRule="auto"/>
              <w:contextualSpacing/>
              <w:jc w:val="both"/>
              <w:rPr>
                <w:rFonts w:ascii="Verdana" w:eastAsia="Aptos" w:hAnsi="Verdana" w:cs="Arial"/>
              </w:rPr>
            </w:pPr>
            <w:r w:rsidRPr="00E878D3">
              <w:rPr>
                <w:rFonts w:ascii="Verdana" w:eastAsia="Aptos" w:hAnsi="Verdana" w:cs="Arial"/>
              </w:rPr>
              <w:lastRenderedPageBreak/>
              <w:t xml:space="preserve">Ley 1150 de 2007 - </w:t>
            </w:r>
            <w:r w:rsidRPr="00E878D3">
              <w:rPr>
                <w:rFonts w:ascii="Verdana" w:eastAsia="Calibri" w:hAnsi="Verdana" w:cs="Arial"/>
                <w:lang w:val="es-ES" w:eastAsia="es-ES"/>
              </w:rPr>
              <w:t>literal c, numeral 4, del artículo 2,</w:t>
            </w:r>
          </w:p>
          <w:p w14:paraId="5EA9094F" w14:textId="77777777" w:rsidR="00E878D3" w:rsidRPr="00E878D3" w:rsidRDefault="00E878D3" w:rsidP="00E878D3">
            <w:pPr>
              <w:widowControl w:val="0"/>
              <w:numPr>
                <w:ilvl w:val="0"/>
                <w:numId w:val="16"/>
              </w:numPr>
              <w:autoSpaceDE w:val="0"/>
              <w:autoSpaceDN w:val="0"/>
              <w:spacing w:line="276" w:lineRule="auto"/>
              <w:ind w:left="714" w:hanging="357"/>
              <w:jc w:val="both"/>
              <w:rPr>
                <w:rFonts w:ascii="Verdana" w:eastAsia="Aptos" w:hAnsi="Verdana" w:cs="Arial"/>
              </w:rPr>
            </w:pPr>
            <w:r w:rsidRPr="00E878D3">
              <w:rPr>
                <w:rFonts w:ascii="Verdana" w:eastAsia="Aptos" w:hAnsi="Verdana" w:cs="Arial"/>
              </w:rPr>
              <w:t>Ley 2195 de 2022: Artículo 56.</w:t>
            </w:r>
          </w:p>
          <w:p w14:paraId="15D6F53E" w14:textId="77777777" w:rsidR="00E878D3" w:rsidRPr="00E878D3" w:rsidRDefault="00E878D3" w:rsidP="00E878D3">
            <w:pPr>
              <w:widowControl w:val="0"/>
              <w:numPr>
                <w:ilvl w:val="0"/>
                <w:numId w:val="16"/>
              </w:numPr>
              <w:autoSpaceDE w:val="0"/>
              <w:autoSpaceDN w:val="0"/>
              <w:spacing w:line="276" w:lineRule="auto"/>
              <w:ind w:left="714" w:hanging="357"/>
              <w:jc w:val="both"/>
              <w:rPr>
                <w:rFonts w:ascii="Verdana" w:eastAsia="Aptos" w:hAnsi="Verdana" w:cs="Arial"/>
              </w:rPr>
            </w:pPr>
            <w:r w:rsidRPr="00E878D3">
              <w:rPr>
                <w:rFonts w:ascii="Verdana" w:eastAsia="Aptos" w:hAnsi="Verdana" w:cs="Arial"/>
              </w:rPr>
              <w:t>Ley 388 de 1997: artículo 36.</w:t>
            </w:r>
          </w:p>
          <w:p w14:paraId="728B0152" w14:textId="77777777" w:rsidR="00E878D3" w:rsidRPr="00E878D3" w:rsidRDefault="00E878D3" w:rsidP="00E878D3">
            <w:pPr>
              <w:widowControl w:val="0"/>
              <w:numPr>
                <w:ilvl w:val="0"/>
                <w:numId w:val="16"/>
              </w:numPr>
              <w:autoSpaceDE w:val="0"/>
              <w:autoSpaceDN w:val="0"/>
              <w:spacing w:line="276" w:lineRule="auto"/>
              <w:ind w:left="714" w:hanging="357"/>
              <w:jc w:val="both"/>
              <w:rPr>
                <w:rFonts w:ascii="Verdana" w:eastAsia="Aptos" w:hAnsi="Verdana" w:cs="Arial"/>
              </w:rPr>
            </w:pPr>
            <w:r w:rsidRPr="00E878D3">
              <w:rPr>
                <w:rFonts w:ascii="Verdana" w:eastAsia="Aptos" w:hAnsi="Verdana" w:cs="Arial"/>
              </w:rPr>
              <w:t xml:space="preserve">Ley 1537 de 2012: artículo 6. </w:t>
            </w:r>
          </w:p>
          <w:p w14:paraId="59BE90A9" w14:textId="77777777" w:rsidR="00E878D3" w:rsidRPr="00E878D3" w:rsidRDefault="00E878D3" w:rsidP="00E878D3">
            <w:pPr>
              <w:widowControl w:val="0"/>
              <w:numPr>
                <w:ilvl w:val="0"/>
                <w:numId w:val="16"/>
              </w:numPr>
              <w:autoSpaceDE w:val="0"/>
              <w:autoSpaceDN w:val="0"/>
              <w:spacing w:line="276" w:lineRule="auto"/>
              <w:ind w:left="714" w:hanging="357"/>
              <w:jc w:val="both"/>
              <w:rPr>
                <w:rFonts w:ascii="Verdana" w:eastAsia="Aptos" w:hAnsi="Verdana" w:cs="Arial"/>
              </w:rPr>
            </w:pPr>
            <w:r w:rsidRPr="00E878D3">
              <w:rPr>
                <w:rFonts w:ascii="Verdana" w:eastAsia="Aptos" w:hAnsi="Verdana" w:cs="Arial"/>
                <w:color w:val="000000"/>
              </w:rPr>
              <w:t xml:space="preserve">CONGRESO DE LA REPÚBLICA. Gaceta </w:t>
            </w:r>
            <w:proofErr w:type="spellStart"/>
            <w:r w:rsidRPr="00E878D3">
              <w:rPr>
                <w:rFonts w:ascii="Verdana" w:eastAsia="Aptos" w:hAnsi="Verdana" w:cs="Arial"/>
                <w:color w:val="000000"/>
              </w:rPr>
              <w:t>Nº</w:t>
            </w:r>
            <w:proofErr w:type="spellEnd"/>
            <w:r w:rsidRPr="00E878D3">
              <w:rPr>
                <w:rFonts w:ascii="Verdana" w:eastAsia="Aptos" w:hAnsi="Verdana" w:cs="Arial"/>
                <w:color w:val="000000"/>
              </w:rPr>
              <w:t xml:space="preserve"> 1677 del 23 de noviembre de 2021</w:t>
            </w:r>
          </w:p>
          <w:p w14:paraId="7EC0968E" w14:textId="77777777" w:rsidR="00E878D3" w:rsidRPr="00E878D3" w:rsidRDefault="00E878D3" w:rsidP="00E878D3">
            <w:pPr>
              <w:widowControl w:val="0"/>
              <w:numPr>
                <w:ilvl w:val="0"/>
                <w:numId w:val="16"/>
              </w:numPr>
              <w:autoSpaceDE w:val="0"/>
              <w:autoSpaceDN w:val="0"/>
              <w:spacing w:line="276" w:lineRule="auto"/>
              <w:ind w:left="714" w:hanging="357"/>
              <w:jc w:val="both"/>
              <w:rPr>
                <w:rFonts w:ascii="Verdana" w:eastAsia="Aptos" w:hAnsi="Verdana" w:cs="Arial"/>
              </w:rPr>
            </w:pPr>
            <w:r w:rsidRPr="00E878D3">
              <w:rPr>
                <w:rFonts w:ascii="Verdana" w:eastAsia="Aptos" w:hAnsi="Verdana" w:cs="Arial"/>
              </w:rPr>
              <w:t xml:space="preserve">Consejo de Estado. Sección Tercera. Sentencia del 6 de julio de 2005. </w:t>
            </w:r>
            <w:proofErr w:type="spellStart"/>
            <w:r w:rsidRPr="00E878D3">
              <w:rPr>
                <w:rFonts w:ascii="Verdana" w:eastAsia="Aptos" w:hAnsi="Verdana" w:cs="Arial"/>
              </w:rPr>
              <w:t>Exp</w:t>
            </w:r>
            <w:proofErr w:type="spellEnd"/>
            <w:r w:rsidRPr="00E878D3">
              <w:rPr>
                <w:rFonts w:ascii="Verdana" w:eastAsia="Aptos" w:hAnsi="Verdana" w:cs="Arial"/>
              </w:rPr>
              <w:t>. No. 11575. C.P. Alier E. Hernández Enríquez</w:t>
            </w:r>
          </w:p>
          <w:p w14:paraId="3D5CCCC2" w14:textId="77777777" w:rsidR="00E878D3" w:rsidRPr="00E878D3" w:rsidRDefault="00E878D3" w:rsidP="00E878D3">
            <w:pPr>
              <w:widowControl w:val="0"/>
              <w:numPr>
                <w:ilvl w:val="0"/>
                <w:numId w:val="16"/>
              </w:numPr>
              <w:autoSpaceDE w:val="0"/>
              <w:autoSpaceDN w:val="0"/>
              <w:spacing w:line="276" w:lineRule="auto"/>
              <w:ind w:left="714" w:hanging="357"/>
              <w:jc w:val="both"/>
              <w:rPr>
                <w:rFonts w:ascii="Verdana" w:eastAsia="Aptos" w:hAnsi="Verdana" w:cs="Arial"/>
              </w:rPr>
            </w:pPr>
            <w:r w:rsidRPr="00E878D3">
              <w:rPr>
                <w:rFonts w:ascii="Verdana" w:eastAsia="Aptos" w:hAnsi="Verdana" w:cs="Arial"/>
              </w:rPr>
              <w:t xml:space="preserve">CONSEJO DE ESTADO. Sección Tercera. Subsección A. Sentencia del 3 de marzo de 2021. </w:t>
            </w:r>
            <w:proofErr w:type="spellStart"/>
            <w:r w:rsidRPr="00E878D3">
              <w:rPr>
                <w:rFonts w:ascii="Verdana" w:eastAsia="Aptos" w:hAnsi="Verdana" w:cs="Arial"/>
              </w:rPr>
              <w:t>Exp</w:t>
            </w:r>
            <w:proofErr w:type="spellEnd"/>
            <w:r w:rsidRPr="00E878D3">
              <w:rPr>
                <w:rFonts w:ascii="Verdana" w:eastAsia="Aptos" w:hAnsi="Verdana" w:cs="Arial"/>
              </w:rPr>
              <w:t>. No. 51373. C.P. José Roberto Sáchica Méndez.</w:t>
            </w:r>
          </w:p>
          <w:p w14:paraId="2C27FC07" w14:textId="77777777" w:rsidR="00E878D3" w:rsidRPr="00E878D3" w:rsidRDefault="00E878D3" w:rsidP="00E878D3">
            <w:pPr>
              <w:widowControl w:val="0"/>
              <w:numPr>
                <w:ilvl w:val="0"/>
                <w:numId w:val="16"/>
              </w:numPr>
              <w:autoSpaceDE w:val="0"/>
              <w:autoSpaceDN w:val="0"/>
              <w:spacing w:line="276" w:lineRule="auto"/>
              <w:ind w:left="714" w:hanging="357"/>
              <w:jc w:val="both"/>
              <w:rPr>
                <w:rFonts w:ascii="Verdana" w:eastAsia="Aptos" w:hAnsi="Verdana" w:cs="Arial"/>
              </w:rPr>
            </w:pPr>
            <w:r w:rsidRPr="00E878D3">
              <w:rPr>
                <w:rFonts w:ascii="Verdana" w:eastAsia="Aptos" w:hAnsi="Verdana" w:cs="Arial"/>
              </w:rPr>
              <w:t xml:space="preserve">CONSEJO DE ESTADO. Sección Tercera. Subsección B. Sentencia del 12 de octubre de 2011. </w:t>
            </w:r>
            <w:proofErr w:type="spellStart"/>
            <w:r w:rsidRPr="00E878D3">
              <w:rPr>
                <w:rFonts w:ascii="Verdana" w:eastAsia="Aptos" w:hAnsi="Verdana" w:cs="Arial"/>
              </w:rPr>
              <w:t>Exp</w:t>
            </w:r>
            <w:proofErr w:type="spellEnd"/>
            <w:r w:rsidRPr="00E878D3">
              <w:rPr>
                <w:rFonts w:ascii="Verdana" w:eastAsia="Aptos" w:hAnsi="Verdana" w:cs="Arial"/>
              </w:rPr>
              <w:t>. No. 20070. C.P. Danilo Rojas Betancourt.</w:t>
            </w:r>
          </w:p>
          <w:p w14:paraId="14FC724F" w14:textId="77777777" w:rsidR="00E878D3" w:rsidRPr="00E878D3" w:rsidRDefault="00E878D3" w:rsidP="00E878D3">
            <w:pPr>
              <w:widowControl w:val="0"/>
              <w:numPr>
                <w:ilvl w:val="0"/>
                <w:numId w:val="16"/>
              </w:numPr>
              <w:autoSpaceDE w:val="0"/>
              <w:autoSpaceDN w:val="0"/>
              <w:spacing w:line="276" w:lineRule="auto"/>
              <w:ind w:left="714" w:hanging="357"/>
              <w:jc w:val="both"/>
              <w:rPr>
                <w:rFonts w:ascii="Verdana" w:eastAsia="Aptos" w:hAnsi="Verdana" w:cs="Arial"/>
              </w:rPr>
            </w:pPr>
            <w:r w:rsidRPr="00E878D3">
              <w:rPr>
                <w:rFonts w:ascii="Verdana" w:eastAsia="Aptos" w:hAnsi="Verdana" w:cs="Arial"/>
              </w:rPr>
              <w:t>CORTE CONSTITUCIONAL, Sentencia C-382 de 2019, M.P. Alejandro Linares Cantillo.</w:t>
            </w:r>
          </w:p>
          <w:p w14:paraId="33BA0B67" w14:textId="77777777" w:rsidR="00E878D3" w:rsidRPr="00E878D3" w:rsidRDefault="00E878D3" w:rsidP="00E878D3">
            <w:pPr>
              <w:widowControl w:val="0"/>
              <w:numPr>
                <w:ilvl w:val="0"/>
                <w:numId w:val="16"/>
              </w:numPr>
              <w:autoSpaceDE w:val="0"/>
              <w:autoSpaceDN w:val="0"/>
              <w:spacing w:line="276" w:lineRule="auto"/>
              <w:ind w:left="714" w:hanging="357"/>
              <w:jc w:val="both"/>
              <w:rPr>
                <w:rFonts w:ascii="Verdana" w:eastAsia="Aptos" w:hAnsi="Verdana" w:cs="Arial"/>
              </w:rPr>
            </w:pPr>
            <w:r w:rsidRPr="00E878D3">
              <w:rPr>
                <w:rFonts w:ascii="Verdana" w:eastAsia="Aptos" w:hAnsi="Verdana" w:cs="Arial"/>
              </w:rPr>
              <w:t>MANRIQUE NIETO, Carlos. Fiduciarias, fiducia, encargos fiduciarios y titularización, 1994.</w:t>
            </w:r>
          </w:p>
          <w:p w14:paraId="03544BEF" w14:textId="77777777" w:rsidR="00E878D3" w:rsidRPr="00E878D3" w:rsidRDefault="00E878D3" w:rsidP="00E878D3">
            <w:pPr>
              <w:widowControl w:val="0"/>
              <w:numPr>
                <w:ilvl w:val="0"/>
                <w:numId w:val="16"/>
              </w:numPr>
              <w:autoSpaceDE w:val="0"/>
              <w:autoSpaceDN w:val="0"/>
              <w:spacing w:line="276" w:lineRule="auto"/>
              <w:ind w:left="714" w:hanging="357"/>
              <w:jc w:val="both"/>
              <w:rPr>
                <w:rFonts w:ascii="Verdana" w:eastAsia="Aptos" w:hAnsi="Verdana" w:cs="Arial"/>
              </w:rPr>
            </w:pPr>
            <w:r w:rsidRPr="00E878D3">
              <w:rPr>
                <w:rFonts w:ascii="Verdana" w:eastAsia="Aptos" w:hAnsi="Verdana" w:cs="Arial"/>
              </w:rPr>
              <w:t>RENGIFO GARCÍA, Ernesto. La fiducia mercantil y pública en Colombia, tercera edición 2012.</w:t>
            </w:r>
          </w:p>
        </w:tc>
      </w:tr>
    </w:tbl>
    <w:p w14:paraId="7B124756" w14:textId="77777777" w:rsidR="00E878D3" w:rsidRPr="00E878D3" w:rsidRDefault="00E878D3" w:rsidP="00E878D3">
      <w:pPr>
        <w:tabs>
          <w:tab w:val="left" w:pos="142"/>
          <w:tab w:val="left" w:pos="284"/>
        </w:tabs>
        <w:spacing w:after="0" w:line="276" w:lineRule="auto"/>
        <w:jc w:val="both"/>
        <w:rPr>
          <w:rFonts w:ascii="Verdana" w:eastAsia="Calibri" w:hAnsi="Verdana" w:cs="Arial"/>
          <w:lang w:eastAsia="es-MX"/>
        </w:rPr>
      </w:pPr>
    </w:p>
    <w:p w14:paraId="0747A5D5" w14:textId="77777777" w:rsidR="00E878D3" w:rsidRPr="00E878D3" w:rsidRDefault="00E878D3" w:rsidP="00E878D3">
      <w:pPr>
        <w:tabs>
          <w:tab w:val="left" w:pos="142"/>
          <w:tab w:val="left" w:pos="284"/>
        </w:tabs>
        <w:spacing w:after="0" w:line="276" w:lineRule="auto"/>
        <w:jc w:val="both"/>
        <w:rPr>
          <w:rFonts w:ascii="Verdana" w:eastAsia="Century Gothic" w:hAnsi="Verdana" w:cs="Century Gothic"/>
          <w:b/>
          <w:bCs/>
          <w:lang w:val="es-ES" w:eastAsia="es-MX"/>
        </w:rPr>
      </w:pPr>
      <w:r w:rsidRPr="00E878D3">
        <w:rPr>
          <w:rFonts w:ascii="Verdana" w:eastAsia="Calibri" w:hAnsi="Verdana" w:cs="Arial"/>
          <w:b/>
          <w:bCs/>
          <w:lang w:eastAsia="es-MX"/>
        </w:rPr>
        <w:t>5</w:t>
      </w:r>
      <w:r w:rsidRPr="00E878D3">
        <w:rPr>
          <w:rFonts w:ascii="Verdana" w:eastAsia="Calibri" w:hAnsi="Verdana" w:cs="Arial"/>
          <w:lang w:eastAsia="es-MX"/>
        </w:rPr>
        <w:t>.</w:t>
      </w:r>
      <w:r w:rsidRPr="00E878D3">
        <w:rPr>
          <w:rFonts w:ascii="Verdana" w:eastAsia="Century Gothic" w:hAnsi="Verdana" w:cs="Century Gothic"/>
          <w:b/>
          <w:bCs/>
          <w:lang w:val="es-ES" w:eastAsia="es-MX"/>
        </w:rPr>
        <w:t>Doctrina de la Agencia Nacional de Contratación Pública:</w:t>
      </w:r>
    </w:p>
    <w:p w14:paraId="62B18BF5" w14:textId="77777777" w:rsidR="00E878D3" w:rsidRPr="00E878D3" w:rsidRDefault="00E878D3" w:rsidP="00E878D3">
      <w:pPr>
        <w:widowControl w:val="0"/>
        <w:autoSpaceDE w:val="0"/>
        <w:autoSpaceDN w:val="0"/>
        <w:spacing w:after="0" w:line="276" w:lineRule="auto"/>
        <w:jc w:val="both"/>
        <w:rPr>
          <w:rFonts w:ascii="Verdana" w:eastAsia="Calibri" w:hAnsi="Verdana" w:cs="Arial"/>
          <w:lang w:eastAsia="es-MX"/>
        </w:rPr>
      </w:pPr>
    </w:p>
    <w:p w14:paraId="50531CF4" w14:textId="77777777" w:rsidR="00E878D3" w:rsidRPr="00E878D3" w:rsidRDefault="00E878D3" w:rsidP="00E878D3">
      <w:pPr>
        <w:widowControl w:val="0"/>
        <w:autoSpaceDE w:val="0"/>
        <w:autoSpaceDN w:val="0"/>
        <w:spacing w:after="0" w:line="276" w:lineRule="auto"/>
        <w:jc w:val="both"/>
        <w:rPr>
          <w:rFonts w:ascii="Verdana" w:eastAsia="Aptos" w:hAnsi="Verdana" w:cs="Arial"/>
          <w:kern w:val="2"/>
          <w:shd w:val="clear" w:color="auto" w:fill="FFFFFF"/>
          <w14:ligatures w14:val="standardContextual"/>
        </w:rPr>
      </w:pPr>
      <w:r w:rsidRPr="00E878D3">
        <w:rPr>
          <w:rFonts w:ascii="Verdana" w:eastAsia="Calibri" w:hAnsi="Verdana" w:cs="Arial"/>
          <w:kern w:val="2"/>
          <w:lang w:val="es-ES" w:eastAsia="es-ES_tradnl"/>
          <w14:ligatures w14:val="standardContextual"/>
        </w:rPr>
        <w:t xml:space="preserve">La </w:t>
      </w:r>
      <w:r w:rsidRPr="00E878D3">
        <w:rPr>
          <w:rFonts w:ascii="Verdana" w:eastAsia="Calibri" w:hAnsi="Verdana" w:cs="Arial"/>
          <w:kern w:val="2"/>
          <w:shd w:val="clear" w:color="auto" w:fill="FFFFFF"/>
          <w:lang w:val="es-ES"/>
          <w14:ligatures w14:val="standardContextual"/>
        </w:rPr>
        <w:t xml:space="preserve">Agencia Nacional de Contratación Pública − Colombia Compra Eficiente, </w:t>
      </w:r>
      <w:r w:rsidRPr="00E878D3">
        <w:rPr>
          <w:rFonts w:ascii="Verdana" w:eastAsia="Aptos" w:hAnsi="Verdana" w:cs="Arial"/>
          <w:kern w:val="2"/>
          <w:shd w:val="clear" w:color="auto" w:fill="FFFFFF"/>
          <w14:ligatures w14:val="standardContextual"/>
        </w:rPr>
        <w:t>se ha pronunciado sobre el régimen de contratación de las entidades exceptuadas del Estatuto General de Contratación de la Administración Pública, entre otros en los siguientes conceptos: C- 792 del 28 de noviembre de 2024, C-998 del 18 de diciembre de 2024, C- 429 del 13 de mayo de 2025, C-477 del 20 de mayo de 2025, C-1004 del 29 de agosto de 2025, C- 1012 del 4 de septiembre de 2025, C-1224 del 25 de septiembre de 2025, C-1208 del 7 de octubre de 2025, C-1368 del 5 de noviembre de 2025, C-1573 del 5 de diciembre de 2025, C-1605 del 15 de diciembre de 2026, C-1831 del 23 de diciembre de 2025, C-1851 del 21 de enero de 2026 y C-089 del 4 de marzo de 2026.</w:t>
      </w:r>
    </w:p>
    <w:p w14:paraId="1F8AAC83" w14:textId="77777777" w:rsidR="00E878D3" w:rsidRPr="00E878D3" w:rsidRDefault="00E878D3" w:rsidP="00E878D3">
      <w:pPr>
        <w:widowControl w:val="0"/>
        <w:autoSpaceDE w:val="0"/>
        <w:autoSpaceDN w:val="0"/>
        <w:spacing w:after="0" w:line="276" w:lineRule="auto"/>
        <w:jc w:val="both"/>
        <w:rPr>
          <w:rFonts w:ascii="Verdana" w:eastAsia="Calibri" w:hAnsi="Verdana" w:cs="Arial"/>
          <w:kern w:val="2"/>
          <w:lang w:eastAsia="es-MX"/>
          <w14:ligatures w14:val="standardContextual"/>
        </w:rPr>
      </w:pPr>
    </w:p>
    <w:p w14:paraId="2608D856" w14:textId="360D6C20" w:rsidR="00E878D3" w:rsidRPr="00E878D3" w:rsidRDefault="00E878D3" w:rsidP="00E878D3">
      <w:pPr>
        <w:widowControl w:val="0"/>
        <w:autoSpaceDE w:val="0"/>
        <w:autoSpaceDN w:val="0"/>
        <w:spacing w:after="0" w:line="276" w:lineRule="auto"/>
        <w:jc w:val="both"/>
        <w:rPr>
          <w:rFonts w:ascii="Verdana" w:eastAsia="Aptos" w:hAnsi="Verdana" w:cs="Arial"/>
          <w:color w:val="FF0000"/>
          <w:kern w:val="2"/>
          <w:shd w:val="clear" w:color="auto" w:fill="FFFFFF"/>
          <w:lang w:val="es-ES"/>
          <w14:ligatures w14:val="standardContextual"/>
        </w:rPr>
      </w:pPr>
      <w:r w:rsidRPr="00E878D3">
        <w:rPr>
          <w:rFonts w:ascii="Verdana" w:eastAsia="Calibri" w:hAnsi="Verdana" w:cs="Arial"/>
          <w:kern w:val="2"/>
          <w:lang w:val="es-ES" w:eastAsia="es-ES_tradnl"/>
          <w14:ligatures w14:val="standardContextual"/>
        </w:rPr>
        <w:t xml:space="preserve">La </w:t>
      </w:r>
      <w:r w:rsidRPr="00E878D3">
        <w:rPr>
          <w:rFonts w:ascii="Verdana" w:eastAsia="Calibri" w:hAnsi="Verdana" w:cs="Arial"/>
          <w:kern w:val="2"/>
          <w:shd w:val="clear" w:color="auto" w:fill="FFFFFF"/>
          <w:lang w:val="es-ES"/>
          <w14:ligatures w14:val="standardContextual"/>
        </w:rPr>
        <w:t xml:space="preserve">Agencia Nacional de Contratación Pública − Colombia Compra Eficiente, </w:t>
      </w:r>
      <w:r w:rsidRPr="00E878D3">
        <w:rPr>
          <w:rFonts w:ascii="Verdana" w:eastAsia="Times New Roman" w:hAnsi="Verdana" w:cs="Arial"/>
          <w:kern w:val="2"/>
          <w:lang w:val="es-ES_tradnl" w:eastAsia="es-ES_tradnl"/>
          <w14:ligatures w14:val="standardContextual"/>
        </w:rPr>
        <w:t xml:space="preserve">se ha pronunciado sobre </w:t>
      </w:r>
      <w:r w:rsidRPr="00E878D3">
        <w:rPr>
          <w:rFonts w:ascii="Verdana" w:eastAsia="Times New Roman" w:hAnsi="Verdana" w:cs="Arial"/>
          <w:kern w:val="2"/>
          <w:lang w:eastAsia="es-ES_tradnl"/>
          <w14:ligatures w14:val="standardContextual"/>
        </w:rPr>
        <w:t xml:space="preserve">el alcance del artículo 56 de la Ley 2195 de 2022, específicamente, a partir del concepto C-066 del 28 de enero de 2022, cuya tesis </w:t>
      </w:r>
      <w:r w:rsidRPr="00E878D3">
        <w:rPr>
          <w:rFonts w:ascii="Verdana" w:eastAsia="Times New Roman" w:hAnsi="Verdana" w:cs="Arial"/>
          <w:kern w:val="2"/>
          <w:lang w:eastAsia="es-ES_tradnl"/>
          <w14:ligatures w14:val="standardContextual"/>
        </w:rPr>
        <w:lastRenderedPageBreak/>
        <w:t xml:space="preserve">se desarrolló y complementó los conceptos </w:t>
      </w:r>
      <w:r w:rsidRPr="00E878D3">
        <w:rPr>
          <w:rFonts w:ascii="Verdana" w:eastAsia="Aptos" w:hAnsi="Verdana" w:cs="Times New Roman"/>
          <w:kern w:val="2"/>
          <w14:ligatures w14:val="standardContextual"/>
        </w:rPr>
        <w:t xml:space="preserve">C-320 del 20 de mayo de 2022, C-333 del 24 de mayo de 2022, C-404 del 26 de mayo de 2023, C-382 del 27 de mayo de 2022, C-388 del 15 de junio de 2022, C-423 del 5 de julio de 2022, C-435 del 6 de julio de 2023, C-453 del 15 de julio de 2022, C-483 del 5 de agosto de 2022, C-556 del 3 de agosto de 2022, C-532 del 22 de agosto de 2022, C-341 del 27 de mayo de 2022, C-382 del 27 de mayo de 2022, C-449 del 25 de julio de 2022, C-453 del 14 de julio de 2022,  C-488 del 29 de julio de 2022, C-501 del 29 de julio de 2022,  C-155 del 7 de marzo de 2025, C-202 del 26 de marzo de 2025, C-298 del 16 de abril de 2025, C-808 del 30 de julio de 2025,CU-870 del 13 de agosto de 2026, C-246 del 12 de marzo de 2026 y C-464 del 5 de mayo de 2026. </w:t>
      </w:r>
    </w:p>
    <w:p w14:paraId="3C601E4E" w14:textId="77777777" w:rsidR="00E878D3" w:rsidRPr="00E878D3" w:rsidRDefault="00E878D3" w:rsidP="00E878D3">
      <w:pPr>
        <w:spacing w:after="0" w:line="240" w:lineRule="auto"/>
        <w:jc w:val="both"/>
        <w:rPr>
          <w:rFonts w:ascii="Verdana" w:eastAsia="Calibri" w:hAnsi="Verdana" w:cs="Arial"/>
          <w:color w:val="000000"/>
          <w:shd w:val="clear" w:color="auto" w:fill="FFFFFF"/>
          <w:lang w:eastAsia="es-MX"/>
        </w:rPr>
      </w:pPr>
    </w:p>
    <w:p w14:paraId="4E775F9E" w14:textId="77777777" w:rsidR="00E878D3" w:rsidRPr="00E878D3" w:rsidRDefault="00E878D3" w:rsidP="00E878D3">
      <w:pPr>
        <w:widowControl w:val="0"/>
        <w:autoSpaceDE w:val="0"/>
        <w:autoSpaceDN w:val="0"/>
        <w:spacing w:after="0" w:line="276" w:lineRule="auto"/>
        <w:jc w:val="both"/>
        <w:rPr>
          <w:rFonts w:ascii="Verdana" w:eastAsia="Calibri" w:hAnsi="Verdana" w:cs="Arial"/>
          <w:color w:val="0000FF"/>
          <w:u w:val="single"/>
          <w:shd w:val="clear" w:color="auto" w:fill="FFFFFF"/>
          <w:lang w:eastAsia="es-MX"/>
        </w:rPr>
      </w:pPr>
      <w:r w:rsidRPr="00E878D3">
        <w:rPr>
          <w:rFonts w:ascii="Verdana" w:eastAsia="Calibri" w:hAnsi="Verdana" w:cs="Arial"/>
          <w:color w:val="000000"/>
          <w:shd w:val="clear" w:color="auto" w:fill="FFFFFF"/>
          <w:lang w:eastAsia="es-MX"/>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1" w:tgtFrame="_blank" w:tooltip="Dirección URL original: https://relatoria.colombiacompra.gov.co/. Haga clic o pulse si confía en este vínculo." w:history="1">
        <w:r w:rsidRPr="00E878D3">
          <w:rPr>
            <w:rFonts w:ascii="Verdana" w:eastAsia="Calibri" w:hAnsi="Verdana" w:cs="Arial"/>
            <w:color w:val="0000FF"/>
            <w:u w:val="single"/>
            <w:shd w:val="clear" w:color="auto" w:fill="FFFFFF"/>
            <w:lang w:eastAsia="es-MX"/>
          </w:rPr>
          <w:t>https://relatoria.colombiacompra.gov.co/</w:t>
        </w:r>
      </w:hyperlink>
      <w:r w:rsidRPr="00E878D3">
        <w:rPr>
          <w:rFonts w:ascii="Verdana" w:eastAsia="Calibri" w:hAnsi="Verdana" w:cs="Arial"/>
          <w:color w:val="0000FF"/>
          <w:u w:val="single"/>
          <w:shd w:val="clear" w:color="auto" w:fill="FFFFFF"/>
          <w:lang w:eastAsia="es-MX"/>
        </w:rPr>
        <w:t> .</w:t>
      </w:r>
    </w:p>
    <w:p w14:paraId="549BFC99" w14:textId="77777777" w:rsidR="00E878D3" w:rsidRPr="00E878D3" w:rsidRDefault="00E878D3" w:rsidP="00E878D3">
      <w:pPr>
        <w:widowControl w:val="0"/>
        <w:autoSpaceDE w:val="0"/>
        <w:autoSpaceDN w:val="0"/>
        <w:spacing w:after="0" w:line="276" w:lineRule="auto"/>
        <w:jc w:val="both"/>
        <w:rPr>
          <w:rFonts w:ascii="Verdana" w:eastAsia="Calibri" w:hAnsi="Verdana" w:cs="Arial"/>
          <w:color w:val="0000FF"/>
          <w:u w:val="single"/>
          <w:shd w:val="clear" w:color="auto" w:fill="FFFFFF"/>
          <w:lang w:eastAsia="es-MX"/>
        </w:rPr>
      </w:pPr>
    </w:p>
    <w:p w14:paraId="7F366F5E" w14:textId="77777777" w:rsidR="00E878D3" w:rsidRPr="00E878D3" w:rsidRDefault="00E878D3" w:rsidP="00E878D3">
      <w:pPr>
        <w:spacing w:after="0" w:line="276" w:lineRule="auto"/>
        <w:jc w:val="both"/>
        <w:rPr>
          <w:rFonts w:ascii="Verdana" w:eastAsia="Times New Roman" w:hAnsi="Verdana" w:cs="Arial"/>
          <w:lang w:eastAsia="es-MX"/>
        </w:rPr>
      </w:pPr>
      <w:r w:rsidRPr="00E878D3">
        <w:rPr>
          <w:rFonts w:ascii="Verdana" w:eastAsia="Times New Roman" w:hAnsi="Verdana" w:cs="Arial"/>
          <w:lang w:eastAsia="es-MX"/>
        </w:rPr>
        <w:t xml:space="preserve">La sostenibilidad no es una opción, es una obligación. Por ello, la Agencia Nacional de Contratación Pública –Colombia Compra Eficiente– te invita a realizar el </w:t>
      </w:r>
      <w:r w:rsidRPr="00E878D3">
        <w:rPr>
          <w:rFonts w:ascii="Verdana" w:eastAsia="Times New Roman" w:hAnsi="Verdana" w:cs="Arial"/>
          <w:b/>
          <w:bCs/>
          <w:lang w:eastAsia="es-MX"/>
        </w:rPr>
        <w:t>Curso de Contratación Pública Sostenible y Socialmente Responsable</w:t>
      </w:r>
      <w:r w:rsidRPr="00E878D3">
        <w:rPr>
          <w:rFonts w:ascii="Verdana" w:eastAsia="Times New Roman" w:hAnsi="Verdana" w:cs="Arial"/>
          <w:lang w:eastAsia="es-MX"/>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w:t>
      </w:r>
      <w:r w:rsidRPr="00E878D3">
        <w:rPr>
          <w:rFonts w:ascii="Verdana" w:eastAsia="Times New Roman" w:hAnsi="Verdana" w:cs="Arial"/>
          <w:lang w:eastAsia="es-MX"/>
        </w:rPr>
        <w:br/>
      </w:r>
      <w:hyperlink r:id="rId12" w:tgtFrame="_new" w:history="1">
        <w:r w:rsidRPr="00E878D3">
          <w:rPr>
            <w:rFonts w:ascii="Verdana" w:eastAsia="Times New Roman" w:hAnsi="Verdana" w:cs="Arial"/>
            <w:color w:val="0000FF"/>
            <w:u w:val="single"/>
            <w:lang w:eastAsia="es-MX"/>
          </w:rPr>
          <w:t>https://formacionvirtual.colombiacompra.gov.co/mod/page/view.php?id=3718</w:t>
        </w:r>
      </w:hyperlink>
    </w:p>
    <w:p w14:paraId="665B57AA" w14:textId="77777777" w:rsidR="00E878D3" w:rsidRPr="00E878D3" w:rsidRDefault="00E878D3" w:rsidP="00E878D3">
      <w:pPr>
        <w:spacing w:after="0" w:line="276" w:lineRule="auto"/>
        <w:jc w:val="both"/>
        <w:rPr>
          <w:rFonts w:ascii="Verdana" w:eastAsia="Times New Roman" w:hAnsi="Verdana" w:cs="Arial"/>
          <w:lang w:eastAsia="es-MX"/>
        </w:rPr>
      </w:pPr>
      <w:r w:rsidRPr="00E878D3">
        <w:rPr>
          <w:rFonts w:ascii="Verdana" w:eastAsia="Times New Roman" w:hAnsi="Verdana" w:cs="Arial"/>
          <w:lang w:eastAsia="es-MX"/>
        </w:rPr>
        <w:t xml:space="preserve">De otro lado, te contamos que esta Agencia ha da un paso decisivo en la estandarización y modernización del </w:t>
      </w:r>
      <w:r w:rsidRPr="00E878D3">
        <w:rPr>
          <w:rFonts w:ascii="Verdana" w:eastAsia="Times New Roman" w:hAnsi="Verdana" w:cs="Arial"/>
          <w:b/>
          <w:bCs/>
          <w:lang w:eastAsia="es-MX"/>
        </w:rPr>
        <w:t>sector  social</w:t>
      </w:r>
      <w:r w:rsidRPr="00E878D3">
        <w:rPr>
          <w:rFonts w:ascii="Verdana" w:eastAsia="Times New Roman" w:hAnsi="Verdana" w:cs="Arial"/>
          <w:lang w:eastAsia="es-MX"/>
        </w:rPr>
        <w:t xml:space="preserve"> con la expedición de las </w:t>
      </w:r>
      <w:r w:rsidRPr="00E878D3">
        <w:rPr>
          <w:rFonts w:ascii="Verdana" w:eastAsia="Times New Roman" w:hAnsi="Verdana" w:cs="Arial"/>
          <w:b/>
          <w:bCs/>
          <w:lang w:eastAsia="es-MX"/>
        </w:rPr>
        <w:t>Resoluciones 539, 540, 541, 952 y 953 de 2025</w:t>
      </w:r>
      <w:r w:rsidRPr="00E878D3">
        <w:rPr>
          <w:rFonts w:ascii="Verdana" w:eastAsia="Times New Roman" w:hAnsi="Verdana" w:cs="Arial"/>
          <w:lang w:eastAsia="es-MX"/>
        </w:rPr>
        <w:t xml:space="preserve">, </w:t>
      </w:r>
      <w:r w:rsidRPr="00E878D3">
        <w:rPr>
          <w:rFonts w:ascii="Verdana" w:eastAsia="Times New Roman" w:hAnsi="Verdana" w:cs="Arial"/>
          <w:b/>
          <w:bCs/>
          <w:lang w:eastAsia="es-MX"/>
        </w:rPr>
        <w:t>mediante las cuales adoptó Documentos Tipo</w:t>
      </w:r>
      <w:r w:rsidRPr="00E878D3">
        <w:rPr>
          <w:rFonts w:ascii="Verdana" w:eastAsia="Times New Roman" w:hAnsi="Verdana" w:cs="Arial"/>
          <w:lang w:eastAsia="es-MX"/>
        </w:rPr>
        <w:t xml:space="preserve"> para las modalidades de selección de</w:t>
      </w:r>
      <w:r w:rsidRPr="00E878D3">
        <w:rPr>
          <w:rFonts w:ascii="Verdana" w:eastAsia="Times New Roman" w:hAnsi="Verdana" w:cs="Arial"/>
          <w:b/>
          <w:bCs/>
          <w:lang w:eastAsia="es-MX"/>
        </w:rPr>
        <w:t xml:space="preserve"> licitación pública (versión 2), selección abreviada de menor cuantía, mínima cuantía, consultoría e interventoría</w:t>
      </w:r>
      <w:r w:rsidRPr="00E878D3">
        <w:rPr>
          <w:rFonts w:ascii="Verdana" w:eastAsia="Times New Roman" w:hAnsi="Verdana" w:cs="Arial"/>
          <w:lang w:eastAsia="es-MX"/>
        </w:rPr>
        <w:t xml:space="preserve">, promoviendo procesos más transparentes, eficientes  competitivos y sostenibles en sectores estratégicos como educación, salud, cultura, recreación, deporte, institucional y vivienda. Consulta y descarga los documentos aquí: </w:t>
      </w:r>
      <w:hyperlink r:id="rId13" w:tgtFrame="_new" w:history="1">
        <w:r w:rsidRPr="00E878D3">
          <w:rPr>
            <w:rFonts w:ascii="Verdana" w:eastAsia="Times New Roman" w:hAnsi="Verdana" w:cs="Arial"/>
            <w:color w:val="0000FF"/>
            <w:u w:val="single"/>
            <w:lang w:eastAsia="es-MX"/>
          </w:rPr>
          <w:t>https://www.colombiacompra.gov.co/normativa-y-relatoria/documentos-tipo</w:t>
        </w:r>
      </w:hyperlink>
    </w:p>
    <w:p w14:paraId="593F11F6" w14:textId="77777777" w:rsidR="00E878D3" w:rsidRPr="00E878D3" w:rsidRDefault="00E878D3" w:rsidP="00E878D3">
      <w:pPr>
        <w:spacing w:after="0" w:line="276" w:lineRule="auto"/>
        <w:jc w:val="both"/>
        <w:rPr>
          <w:rFonts w:ascii="Verdana" w:eastAsia="Times New Roman" w:hAnsi="Verdana" w:cs="Arial"/>
          <w:lang w:eastAsia="es-MX"/>
        </w:rPr>
      </w:pPr>
    </w:p>
    <w:p w14:paraId="63A0F836" w14:textId="77777777" w:rsidR="00E878D3" w:rsidRPr="00E878D3" w:rsidRDefault="00E878D3" w:rsidP="00E878D3">
      <w:pPr>
        <w:spacing w:after="0" w:line="276" w:lineRule="auto"/>
        <w:jc w:val="both"/>
        <w:rPr>
          <w:rFonts w:ascii="Verdana" w:eastAsia="Times New Roman" w:hAnsi="Verdana" w:cs="Arial"/>
          <w:lang w:eastAsia="es-MX"/>
        </w:rPr>
      </w:pPr>
      <w:r w:rsidRPr="00E878D3">
        <w:rPr>
          <w:rFonts w:ascii="Verdana" w:eastAsia="Times New Roman" w:hAnsi="Verdana" w:cs="Arial"/>
          <w:lang w:eastAsia="es-MX"/>
        </w:rPr>
        <w:t xml:space="preserve">Si quieres conocer más sobre la aplicación de Documentos Tipo puedes consultar la última versión de la </w:t>
      </w:r>
      <w:r w:rsidRPr="00E878D3">
        <w:rPr>
          <w:rFonts w:ascii="Verdana" w:eastAsia="Times New Roman" w:hAnsi="Verdana" w:cs="Arial"/>
          <w:b/>
          <w:bCs/>
          <w:lang w:eastAsia="es-MX"/>
        </w:rPr>
        <w:t>Guía para la comprensión e implementación de los Documentos Tipo de obra pública de infraestructura de transporte</w:t>
      </w:r>
      <w:r w:rsidRPr="00E878D3">
        <w:rPr>
          <w:rFonts w:ascii="Verdana" w:eastAsia="Times New Roman" w:hAnsi="Verdana" w:cs="Arial"/>
          <w:lang w:eastAsia="es-MX"/>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E878D3">
        <w:rPr>
          <w:rFonts w:ascii="Verdana" w:eastAsia="Times New Roman" w:hAnsi="Verdana" w:cs="Arial"/>
          <w:lang w:eastAsia="es-MX"/>
        </w:rPr>
        <w:br/>
      </w:r>
      <w:hyperlink r:id="rId14" w:tgtFrame="_new" w:history="1">
        <w:r w:rsidRPr="00E878D3">
          <w:rPr>
            <w:rFonts w:ascii="Verdana" w:eastAsia="Times New Roman" w:hAnsi="Verdana" w:cs="Arial"/>
            <w:color w:val="0000FF"/>
            <w:u w:val="single"/>
            <w:lang w:eastAsia="es-MX"/>
          </w:rPr>
          <w:t>https://www.colombiacompra.gov.co/archivos/manual/guia-para-la-comprension-e-implementacion-de-los-documentos-tipo-de-obra-publica-de-infraestructura-de-transporte-bajo-las-diferentes-modalidades-de-contratacion-vigentes</w:t>
        </w:r>
      </w:hyperlink>
    </w:p>
    <w:p w14:paraId="315F1466" w14:textId="77777777" w:rsidR="00E878D3" w:rsidRPr="00E878D3" w:rsidRDefault="00E878D3" w:rsidP="00E878D3">
      <w:pPr>
        <w:spacing w:after="0"/>
        <w:jc w:val="both"/>
        <w:rPr>
          <w:rFonts w:ascii="Verdana" w:eastAsia="Aptos" w:hAnsi="Verdana" w:cs="Times New Roman"/>
          <w:color w:val="212121"/>
          <w:lang w:eastAsia="es-MX"/>
        </w:rPr>
      </w:pPr>
    </w:p>
    <w:p w14:paraId="279E4C4C" w14:textId="77777777" w:rsidR="00E878D3" w:rsidRPr="00E878D3" w:rsidRDefault="00E878D3" w:rsidP="00E878D3">
      <w:pPr>
        <w:spacing w:after="0" w:line="240" w:lineRule="auto"/>
        <w:jc w:val="both"/>
        <w:rPr>
          <w:rFonts w:ascii="Verdana" w:eastAsia="Calibri" w:hAnsi="Verdana" w:cs="Times New Roman"/>
          <w:lang w:eastAsia="es-MX"/>
        </w:rPr>
      </w:pPr>
      <w:r w:rsidRPr="00E878D3">
        <w:rPr>
          <w:rFonts w:ascii="Verdana" w:eastAsia="Aptos" w:hAnsi="Verdana" w:cs="Times New Roman"/>
          <w:lang w:eastAsia="es-MX"/>
        </w:rPr>
        <w:t xml:space="preserve">Por último, lo invitamos a seguirnos en las redes sociales en las cuales se difunde información institucional: </w:t>
      </w:r>
    </w:p>
    <w:p w14:paraId="7EE1BEC5" w14:textId="77777777" w:rsidR="00E878D3" w:rsidRPr="00E878D3" w:rsidRDefault="00E878D3" w:rsidP="00E878D3">
      <w:pPr>
        <w:spacing w:after="0" w:line="240" w:lineRule="auto"/>
        <w:jc w:val="both"/>
        <w:rPr>
          <w:rFonts w:ascii="Verdana" w:eastAsia="Aptos" w:hAnsi="Verdana" w:cs="Times New Roman"/>
          <w:lang w:eastAsia="es-MX"/>
        </w:rPr>
      </w:pPr>
    </w:p>
    <w:p w14:paraId="3560907D" w14:textId="77777777" w:rsidR="00E878D3" w:rsidRPr="00E878D3" w:rsidRDefault="00E878D3" w:rsidP="00E878D3">
      <w:pPr>
        <w:spacing w:after="0" w:line="240" w:lineRule="auto"/>
        <w:jc w:val="both"/>
        <w:rPr>
          <w:rFonts w:ascii="Verdana" w:eastAsia="Aptos" w:hAnsi="Verdana" w:cs="Times New Roman"/>
          <w:lang w:eastAsia="es-MX"/>
        </w:rPr>
      </w:pPr>
      <w:r w:rsidRPr="00E878D3">
        <w:rPr>
          <w:rFonts w:ascii="Verdana" w:eastAsia="Aptos" w:hAnsi="Verdana" w:cs="Times New Roman"/>
          <w:lang w:eastAsia="es-MX"/>
        </w:rPr>
        <w:t xml:space="preserve">Twitter: </w:t>
      </w:r>
      <w:r w:rsidRPr="00E878D3">
        <w:rPr>
          <w:rFonts w:ascii="Verdana" w:eastAsia="Calibri" w:hAnsi="Verdana" w:cs="Times New Roman"/>
          <w:color w:val="156082"/>
          <w:u w:val="single"/>
          <w:lang w:eastAsia="es-MX"/>
        </w:rPr>
        <w:t>@colombiacompra</w:t>
      </w:r>
      <w:r w:rsidRPr="00E878D3">
        <w:rPr>
          <w:rFonts w:ascii="Verdana" w:eastAsia="Calibri" w:hAnsi="Verdana" w:cs="Times New Roman"/>
          <w:color w:val="156082"/>
          <w:lang w:eastAsia="es-MX"/>
        </w:rPr>
        <w:t xml:space="preserve"> </w:t>
      </w:r>
    </w:p>
    <w:p w14:paraId="5493EE17" w14:textId="77777777" w:rsidR="00E878D3" w:rsidRPr="00E878D3" w:rsidRDefault="00E878D3" w:rsidP="00E878D3">
      <w:pPr>
        <w:spacing w:after="0" w:line="240" w:lineRule="auto"/>
        <w:jc w:val="both"/>
        <w:rPr>
          <w:rFonts w:ascii="Verdana" w:eastAsia="Aptos" w:hAnsi="Verdana" w:cs="Times New Roman"/>
          <w:lang w:eastAsia="es-MX"/>
        </w:rPr>
      </w:pPr>
      <w:r w:rsidRPr="00E878D3">
        <w:rPr>
          <w:rFonts w:ascii="Verdana" w:eastAsia="Aptos" w:hAnsi="Verdana" w:cs="Times New Roman"/>
          <w:lang w:eastAsia="es-MX"/>
        </w:rPr>
        <w:t xml:space="preserve">Facebook: </w:t>
      </w:r>
      <w:proofErr w:type="spellStart"/>
      <w:r w:rsidRPr="00E878D3">
        <w:rPr>
          <w:rFonts w:ascii="Verdana" w:eastAsia="Calibri" w:hAnsi="Verdana" w:cs="Times New Roman"/>
          <w:color w:val="156082"/>
          <w:u w:val="single"/>
          <w:lang w:eastAsia="es-MX"/>
        </w:rPr>
        <w:t>ColombiaCompraEficiente</w:t>
      </w:r>
      <w:proofErr w:type="spellEnd"/>
    </w:p>
    <w:p w14:paraId="4A21CAA9" w14:textId="77777777" w:rsidR="00E878D3" w:rsidRPr="00E878D3" w:rsidRDefault="00E878D3" w:rsidP="00E878D3">
      <w:pPr>
        <w:spacing w:after="0" w:line="240" w:lineRule="auto"/>
        <w:jc w:val="both"/>
        <w:rPr>
          <w:rFonts w:ascii="Verdana" w:eastAsia="Aptos" w:hAnsi="Verdana" w:cs="Times New Roman"/>
          <w:lang w:eastAsia="es-MX"/>
        </w:rPr>
      </w:pPr>
      <w:r w:rsidRPr="00E878D3">
        <w:rPr>
          <w:rFonts w:ascii="Verdana" w:eastAsia="Aptos" w:hAnsi="Verdana" w:cs="Times New Roman"/>
          <w:lang w:eastAsia="es-MX"/>
        </w:rPr>
        <w:t xml:space="preserve">LinkedIn: </w:t>
      </w:r>
      <w:r w:rsidRPr="00E878D3">
        <w:rPr>
          <w:rFonts w:ascii="Verdana" w:eastAsia="Calibri" w:hAnsi="Verdana" w:cs="Times New Roman"/>
          <w:color w:val="156082"/>
          <w:u w:val="single"/>
          <w:lang w:eastAsia="es-MX"/>
        </w:rPr>
        <w:t>Agencia Nacional de Contratación Pública - Colombia Compra Eficiente</w:t>
      </w:r>
      <w:r w:rsidRPr="00E878D3">
        <w:rPr>
          <w:rFonts w:ascii="Verdana" w:eastAsia="Calibri" w:hAnsi="Verdana" w:cs="Times New Roman"/>
          <w:color w:val="156082"/>
          <w:lang w:eastAsia="es-MX"/>
        </w:rPr>
        <w:t xml:space="preserve"> </w:t>
      </w:r>
      <w:r w:rsidRPr="00E878D3">
        <w:rPr>
          <w:rFonts w:ascii="Verdana" w:eastAsia="Aptos" w:hAnsi="Verdana" w:cs="Times New Roman"/>
          <w:lang w:eastAsia="es-MX"/>
        </w:rPr>
        <w:t xml:space="preserve">Instagram: </w:t>
      </w:r>
      <w:r w:rsidRPr="00E878D3">
        <w:rPr>
          <w:rFonts w:ascii="Verdana" w:eastAsia="Calibri" w:hAnsi="Verdana" w:cs="Times New Roman"/>
          <w:color w:val="156082"/>
          <w:u w:val="single"/>
          <w:lang w:eastAsia="es-MX"/>
        </w:rPr>
        <w:t>@colombiacompraeficiente_cce</w:t>
      </w:r>
    </w:p>
    <w:p w14:paraId="0D689B3A" w14:textId="77777777" w:rsidR="00E878D3" w:rsidRPr="00E878D3" w:rsidRDefault="00E878D3" w:rsidP="00E878D3">
      <w:pPr>
        <w:spacing w:after="0" w:line="276" w:lineRule="auto"/>
        <w:jc w:val="both"/>
        <w:rPr>
          <w:rFonts w:ascii="Verdana" w:eastAsia="Aptos" w:hAnsi="Verdana" w:cs="Times New Roman"/>
          <w:lang w:eastAsia="es-MX"/>
        </w:rPr>
      </w:pPr>
    </w:p>
    <w:p w14:paraId="0117ADC8" w14:textId="77777777" w:rsidR="00E878D3" w:rsidRPr="00E878D3" w:rsidRDefault="00E878D3" w:rsidP="00E878D3">
      <w:pPr>
        <w:spacing w:after="0" w:line="276" w:lineRule="auto"/>
        <w:jc w:val="both"/>
        <w:rPr>
          <w:rFonts w:ascii="Verdana" w:eastAsia="Calibri" w:hAnsi="Verdana" w:cs="Times New Roman"/>
          <w:bCs/>
          <w:lang w:val="es-ES_tradnl" w:eastAsia="es-MX"/>
        </w:rPr>
      </w:pPr>
      <w:r w:rsidRPr="00E878D3">
        <w:rPr>
          <w:rFonts w:ascii="Verdana" w:eastAsia="Calibri" w:hAnsi="Verdana" w:cs="Times New Roman"/>
          <w:lang w:val="es-ES_tradnl" w:eastAsia="es-MX"/>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04727D7E" w14:textId="77777777" w:rsidR="00E878D3" w:rsidRPr="00E878D3" w:rsidRDefault="00E878D3" w:rsidP="00E878D3">
      <w:pPr>
        <w:spacing w:after="0" w:line="276" w:lineRule="auto"/>
        <w:jc w:val="both"/>
        <w:rPr>
          <w:rFonts w:ascii="Verdana" w:eastAsia="Calibri" w:hAnsi="Verdana" w:cs="Times New Roman"/>
          <w:lang w:eastAsia="es-MX"/>
        </w:rPr>
      </w:pPr>
    </w:p>
    <w:p w14:paraId="37450837" w14:textId="77777777" w:rsidR="00E878D3" w:rsidRPr="00E878D3" w:rsidRDefault="00E878D3" w:rsidP="00E878D3">
      <w:pPr>
        <w:spacing w:after="0" w:line="276" w:lineRule="auto"/>
        <w:jc w:val="both"/>
        <w:rPr>
          <w:rFonts w:ascii="Verdana" w:eastAsia="Calibri" w:hAnsi="Verdana" w:cs="Times New Roman"/>
          <w:lang w:eastAsia="es-MX"/>
        </w:rPr>
      </w:pPr>
      <w:r w:rsidRPr="00E878D3">
        <w:rPr>
          <w:rFonts w:ascii="Verdana" w:eastAsia="Calibri" w:hAnsi="Verdana" w:cs="Times New Roman"/>
          <w:lang w:eastAsia="es-MX"/>
        </w:rPr>
        <w:t>Atentamente,</w:t>
      </w:r>
    </w:p>
    <w:p w14:paraId="6E590938" w14:textId="77777777" w:rsidR="00E878D3" w:rsidRPr="00E878D3" w:rsidRDefault="00E878D3" w:rsidP="00E878D3">
      <w:pPr>
        <w:tabs>
          <w:tab w:val="left" w:pos="1320"/>
        </w:tabs>
        <w:spacing w:after="0"/>
        <w:jc w:val="center"/>
        <w:rPr>
          <w:rFonts w:ascii="Century Gothic" w:eastAsia="Calibri" w:hAnsi="Century Gothic" w:cs="Times New Roman"/>
          <w:lang w:eastAsia="es-MX"/>
        </w:rPr>
      </w:pPr>
    </w:p>
    <w:p w14:paraId="68C3ACC4" w14:textId="7B902F26" w:rsidR="00E878D3" w:rsidRPr="00E878D3" w:rsidRDefault="003B0C61" w:rsidP="00E878D3">
      <w:pPr>
        <w:tabs>
          <w:tab w:val="left" w:pos="1320"/>
        </w:tabs>
        <w:spacing w:after="0"/>
        <w:jc w:val="center"/>
        <w:rPr>
          <w:rFonts w:ascii="Century Gothic" w:eastAsia="Calibri" w:hAnsi="Century Gothic" w:cs="Times New Roman"/>
          <w:lang w:eastAsia="es-MX"/>
        </w:rPr>
      </w:pPr>
      <w:r w:rsidRPr="004D5C25">
        <w:rPr>
          <w:rFonts w:ascii="Century Gothic" w:hAnsi="Century Gothic"/>
          <w:noProof/>
        </w:rPr>
        <w:drawing>
          <wp:inline distT="0" distB="0" distL="0" distR="0" wp14:anchorId="656DC022" wp14:editId="3E70D7CE">
            <wp:extent cx="1955051" cy="839315"/>
            <wp:effectExtent l="0" t="0" r="127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5"/>
                    <a:stretch>
                      <a:fillRect/>
                    </a:stretch>
                  </pic:blipFill>
                  <pic:spPr>
                    <a:xfrm>
                      <a:off x="0" y="0"/>
                      <a:ext cx="1978178" cy="849244"/>
                    </a:xfrm>
                    <a:prstGeom prst="rect">
                      <a:avLst/>
                    </a:prstGeom>
                  </pic:spPr>
                </pic:pic>
              </a:graphicData>
            </a:graphic>
          </wp:inline>
        </w:drawing>
      </w:r>
    </w:p>
    <w:p w14:paraId="35C7CBF9" w14:textId="77777777" w:rsidR="00E878D3" w:rsidRPr="00E878D3" w:rsidRDefault="00E878D3" w:rsidP="00E878D3">
      <w:pPr>
        <w:tabs>
          <w:tab w:val="left" w:pos="1320"/>
        </w:tabs>
        <w:spacing w:after="0"/>
        <w:jc w:val="center"/>
        <w:rPr>
          <w:rFonts w:ascii="Century Gothic" w:eastAsia="Calibri" w:hAnsi="Century Gothic" w:cs="Times New Roman"/>
          <w:lang w:eastAsia="es-MX"/>
        </w:rPr>
      </w:pPr>
    </w:p>
    <w:tbl>
      <w:tblPr>
        <w:tblStyle w:val="Tablaconcuadrcula"/>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E878D3" w:rsidRPr="00E878D3" w14:paraId="32E89D8F" w14:textId="77777777" w:rsidTr="00366355">
        <w:trPr>
          <w:trHeight w:val="323"/>
        </w:trPr>
        <w:tc>
          <w:tcPr>
            <w:tcW w:w="1041" w:type="dxa"/>
            <w:vAlign w:val="center"/>
            <w:hideMark/>
          </w:tcPr>
          <w:p w14:paraId="4CE8D118" w14:textId="77777777" w:rsidR="00E878D3" w:rsidRPr="00E878D3" w:rsidRDefault="00E878D3" w:rsidP="00E878D3">
            <w:pPr>
              <w:rPr>
                <w:rFonts w:ascii="Verdana" w:eastAsia="Calibri" w:hAnsi="Verdana" w:cs="Arial"/>
                <w:sz w:val="16"/>
                <w:szCs w:val="16"/>
                <w:lang w:val="es-ES_tradnl" w:eastAsia="es-ES"/>
              </w:rPr>
            </w:pPr>
            <w:r w:rsidRPr="00E878D3">
              <w:rPr>
                <w:rFonts w:ascii="Verdana" w:eastAsia="Calibri" w:hAnsi="Verdana" w:cs="Arial"/>
                <w:sz w:val="16"/>
                <w:szCs w:val="16"/>
                <w:lang w:val="es-ES_tradnl" w:eastAsia="es-ES"/>
              </w:rPr>
              <w:t>Elaboró:</w:t>
            </w:r>
          </w:p>
        </w:tc>
        <w:tc>
          <w:tcPr>
            <w:tcW w:w="6561" w:type="dxa"/>
            <w:tcBorders>
              <w:top w:val="nil"/>
              <w:left w:val="nil"/>
              <w:bottom w:val="dotted" w:sz="4" w:space="0" w:color="7F7F7F"/>
              <w:right w:val="nil"/>
            </w:tcBorders>
            <w:vAlign w:val="center"/>
            <w:hideMark/>
          </w:tcPr>
          <w:p w14:paraId="1AAA640E" w14:textId="77777777" w:rsidR="00E878D3" w:rsidRPr="00E878D3" w:rsidRDefault="00E878D3" w:rsidP="00E878D3">
            <w:pPr>
              <w:rPr>
                <w:rFonts w:ascii="Verdana" w:eastAsia="Arial" w:hAnsi="Verdana" w:cs="Arial"/>
                <w:sz w:val="16"/>
                <w:szCs w:val="16"/>
                <w:lang w:val="es-ES" w:eastAsia="es-MX"/>
              </w:rPr>
            </w:pPr>
            <w:r w:rsidRPr="00E878D3">
              <w:rPr>
                <w:rFonts w:ascii="Verdana" w:eastAsia="Arial" w:hAnsi="Verdana" w:cs="Arial"/>
                <w:sz w:val="16"/>
                <w:szCs w:val="16"/>
                <w:lang w:val="es-ES" w:eastAsia="es-MX"/>
              </w:rPr>
              <w:t xml:space="preserve">Carlos Mario Castrillón Endo </w:t>
            </w:r>
          </w:p>
          <w:p w14:paraId="15CD3ADD" w14:textId="77777777" w:rsidR="00E878D3" w:rsidRPr="00E878D3" w:rsidRDefault="00E878D3" w:rsidP="00E878D3">
            <w:pPr>
              <w:rPr>
                <w:rFonts w:ascii="Verdana" w:eastAsia="Arial" w:hAnsi="Verdana" w:cs="Arial"/>
                <w:sz w:val="16"/>
                <w:szCs w:val="16"/>
                <w:lang w:val="es-ES_tradnl" w:eastAsia="es-MX"/>
              </w:rPr>
            </w:pPr>
            <w:r w:rsidRPr="00E878D3">
              <w:rPr>
                <w:rFonts w:ascii="Verdana" w:eastAsia="Arial" w:hAnsi="Verdana" w:cs="Arial"/>
                <w:sz w:val="16"/>
                <w:szCs w:val="16"/>
                <w:lang w:val="es-ES_tradnl" w:eastAsia="es-MX"/>
              </w:rPr>
              <w:t>Contratista de la Subdirección de Gestión Contractual</w:t>
            </w:r>
          </w:p>
          <w:p w14:paraId="7D57F896" w14:textId="77777777" w:rsidR="00E878D3" w:rsidRPr="00E878D3" w:rsidRDefault="00E878D3" w:rsidP="00E878D3">
            <w:pPr>
              <w:rPr>
                <w:rFonts w:ascii="Verdana" w:eastAsia="Arial" w:hAnsi="Verdana" w:cs="Arial"/>
                <w:sz w:val="16"/>
                <w:szCs w:val="16"/>
                <w:lang w:val="es-ES_tradnl" w:eastAsia="es-MX"/>
              </w:rPr>
            </w:pPr>
          </w:p>
        </w:tc>
      </w:tr>
      <w:tr w:rsidR="00E878D3" w:rsidRPr="00E878D3" w14:paraId="6393AC85" w14:textId="77777777" w:rsidTr="00366355">
        <w:trPr>
          <w:trHeight w:val="338"/>
        </w:trPr>
        <w:tc>
          <w:tcPr>
            <w:tcW w:w="1041" w:type="dxa"/>
            <w:vAlign w:val="center"/>
            <w:hideMark/>
          </w:tcPr>
          <w:p w14:paraId="20F15596" w14:textId="77777777" w:rsidR="00E878D3" w:rsidRPr="00E878D3" w:rsidRDefault="00E878D3" w:rsidP="00E878D3">
            <w:pPr>
              <w:rPr>
                <w:rFonts w:ascii="Verdana" w:eastAsia="Calibri" w:hAnsi="Verdana" w:cs="Arial"/>
                <w:sz w:val="16"/>
                <w:szCs w:val="16"/>
                <w:lang w:val="es-ES_tradnl" w:eastAsia="es-ES"/>
              </w:rPr>
            </w:pPr>
            <w:r w:rsidRPr="00E878D3">
              <w:rPr>
                <w:rFonts w:ascii="Verdana" w:eastAsia="Calibri" w:hAnsi="Verdana" w:cs="Arial"/>
                <w:sz w:val="16"/>
                <w:szCs w:val="16"/>
                <w:lang w:val="es-ES_tradnl" w:eastAsia="es-ES"/>
              </w:rPr>
              <w:lastRenderedPageBreak/>
              <w:t>Revisó:</w:t>
            </w:r>
          </w:p>
        </w:tc>
        <w:tc>
          <w:tcPr>
            <w:tcW w:w="6561" w:type="dxa"/>
            <w:tcBorders>
              <w:top w:val="dotted" w:sz="4" w:space="0" w:color="7F7F7F"/>
              <w:left w:val="nil"/>
              <w:bottom w:val="dotted" w:sz="4" w:space="0" w:color="7F7F7F"/>
              <w:right w:val="nil"/>
            </w:tcBorders>
            <w:vAlign w:val="center"/>
            <w:hideMark/>
          </w:tcPr>
          <w:p w14:paraId="656D1EC7" w14:textId="77777777" w:rsidR="00E878D3" w:rsidRPr="00E878D3" w:rsidRDefault="00E878D3" w:rsidP="00E878D3">
            <w:pPr>
              <w:rPr>
                <w:rFonts w:ascii="Verdana" w:eastAsia="Arial" w:hAnsi="Verdana" w:cs="Arial"/>
                <w:sz w:val="16"/>
                <w:szCs w:val="16"/>
                <w:lang w:val="es-ES" w:eastAsia="es-MX"/>
              </w:rPr>
            </w:pPr>
            <w:r w:rsidRPr="00E878D3">
              <w:rPr>
                <w:rFonts w:ascii="Verdana" w:eastAsia="Arial" w:hAnsi="Verdana" w:cs="Arial"/>
                <w:sz w:val="16"/>
                <w:szCs w:val="16"/>
                <w:lang w:val="es-ES" w:eastAsia="es-MX"/>
              </w:rPr>
              <w:t>Martha Alicia Romero Vargas</w:t>
            </w:r>
          </w:p>
          <w:p w14:paraId="2642967B" w14:textId="77777777" w:rsidR="00E878D3" w:rsidRPr="00E878D3" w:rsidRDefault="00E878D3" w:rsidP="00E878D3">
            <w:pPr>
              <w:rPr>
                <w:rFonts w:ascii="Verdana" w:eastAsia="Arial" w:hAnsi="Verdana" w:cs="Arial"/>
                <w:sz w:val="16"/>
                <w:szCs w:val="16"/>
                <w:lang w:val="es-ES_tradnl" w:eastAsia="es-MX"/>
              </w:rPr>
            </w:pPr>
            <w:r w:rsidRPr="00E878D3">
              <w:rPr>
                <w:rFonts w:ascii="Verdana" w:eastAsia="Arial" w:hAnsi="Verdana" w:cs="Arial"/>
                <w:sz w:val="16"/>
                <w:szCs w:val="16"/>
                <w:lang w:val="es-ES_tradnl" w:eastAsia="es-MX"/>
              </w:rPr>
              <w:t>Gestor T1-15 de la Subdirección de Gestión Contractual</w:t>
            </w:r>
          </w:p>
        </w:tc>
      </w:tr>
      <w:tr w:rsidR="00E878D3" w:rsidRPr="00E878D3" w14:paraId="08955F0F" w14:textId="77777777" w:rsidTr="00366355">
        <w:trPr>
          <w:trHeight w:val="308"/>
        </w:trPr>
        <w:tc>
          <w:tcPr>
            <w:tcW w:w="1041" w:type="dxa"/>
            <w:vAlign w:val="center"/>
          </w:tcPr>
          <w:p w14:paraId="334E613B" w14:textId="77777777" w:rsidR="00E878D3" w:rsidRPr="00E878D3" w:rsidRDefault="00E878D3" w:rsidP="00E878D3">
            <w:pPr>
              <w:rPr>
                <w:rFonts w:ascii="Verdana" w:eastAsia="Calibri" w:hAnsi="Verdana" w:cs="Arial"/>
                <w:sz w:val="16"/>
                <w:szCs w:val="16"/>
                <w:lang w:val="es-ES_tradnl" w:eastAsia="es-ES"/>
              </w:rPr>
            </w:pPr>
            <w:r w:rsidRPr="00E878D3">
              <w:rPr>
                <w:rFonts w:ascii="Verdana" w:eastAsia="Calibri" w:hAnsi="Verdana" w:cs="Arial"/>
                <w:sz w:val="16"/>
                <w:szCs w:val="16"/>
                <w:lang w:val="es-ES_tradnl" w:eastAsia="es-ES"/>
              </w:rPr>
              <w:t>Aprobó:</w:t>
            </w:r>
          </w:p>
        </w:tc>
        <w:tc>
          <w:tcPr>
            <w:tcW w:w="6561" w:type="dxa"/>
            <w:tcBorders>
              <w:top w:val="dotted" w:sz="4" w:space="0" w:color="7F7F7F"/>
              <w:left w:val="nil"/>
              <w:bottom w:val="dotted" w:sz="4" w:space="0" w:color="7F7F7F"/>
              <w:right w:val="nil"/>
            </w:tcBorders>
            <w:vAlign w:val="center"/>
          </w:tcPr>
          <w:p w14:paraId="60F4D206" w14:textId="77777777" w:rsidR="00E878D3" w:rsidRPr="00E878D3" w:rsidRDefault="00E878D3" w:rsidP="00E878D3">
            <w:pPr>
              <w:rPr>
                <w:rFonts w:ascii="Verdana" w:eastAsia="Calibri" w:hAnsi="Verdana" w:cs="Arial"/>
                <w:sz w:val="16"/>
                <w:szCs w:val="16"/>
                <w:lang w:val="es-ES" w:eastAsia="es-ES"/>
              </w:rPr>
            </w:pPr>
            <w:r w:rsidRPr="00E878D3">
              <w:rPr>
                <w:rFonts w:ascii="Verdana" w:eastAsia="Calibri" w:hAnsi="Verdana" w:cs="Arial"/>
                <w:sz w:val="16"/>
                <w:szCs w:val="16"/>
                <w:lang w:val="es-ES" w:eastAsia="es-ES"/>
              </w:rPr>
              <w:t>Carolina Quintero Gacharná</w:t>
            </w:r>
          </w:p>
          <w:p w14:paraId="2B2A15DC" w14:textId="77777777" w:rsidR="00E878D3" w:rsidRPr="00E878D3" w:rsidRDefault="00E878D3" w:rsidP="00E878D3">
            <w:pPr>
              <w:rPr>
                <w:rFonts w:ascii="Verdana" w:eastAsia="Calibri" w:hAnsi="Verdana" w:cs="Arial"/>
                <w:sz w:val="16"/>
                <w:szCs w:val="16"/>
                <w:lang w:val="es-ES_tradnl" w:eastAsia="es-ES"/>
              </w:rPr>
            </w:pPr>
            <w:r w:rsidRPr="00E878D3">
              <w:rPr>
                <w:rFonts w:ascii="Verdana" w:eastAsia="Calibri" w:hAnsi="Verdana" w:cs="Arial"/>
                <w:sz w:val="16"/>
                <w:szCs w:val="16"/>
                <w:lang w:val="es-ES_tradnl" w:eastAsia="es-ES"/>
              </w:rPr>
              <w:t>Subdirectora de Gestión Contractual ANCP – CCE</w:t>
            </w:r>
          </w:p>
        </w:tc>
      </w:tr>
    </w:tbl>
    <w:p w14:paraId="656C7686" w14:textId="77777777" w:rsidR="00E878D3" w:rsidRPr="00E878D3" w:rsidRDefault="00E878D3" w:rsidP="00E878D3">
      <w:pPr>
        <w:spacing w:after="0" w:line="240" w:lineRule="auto"/>
        <w:jc w:val="both"/>
        <w:rPr>
          <w:rFonts w:ascii="Verdana" w:eastAsia="Verdana" w:hAnsi="Verdana" w:cs="Verdana"/>
          <w:b/>
          <w:bCs/>
        </w:rPr>
      </w:pPr>
    </w:p>
    <w:p w14:paraId="0D0BD5BD" w14:textId="77777777" w:rsidR="00E878D3" w:rsidRPr="00E878D3" w:rsidRDefault="00E878D3" w:rsidP="00E878D3">
      <w:pPr>
        <w:spacing w:after="0" w:line="240" w:lineRule="auto"/>
        <w:jc w:val="both"/>
        <w:textAlignment w:val="baseline"/>
        <w:rPr>
          <w:rFonts w:ascii="Verdana" w:eastAsia="Verdana" w:hAnsi="Verdana" w:cs="Verdana"/>
          <w:lang w:eastAsia="es-CO"/>
        </w:rPr>
      </w:pPr>
    </w:p>
    <w:p w14:paraId="1A136C15" w14:textId="77777777" w:rsidR="00E878D3" w:rsidRPr="00E878D3" w:rsidRDefault="00E878D3" w:rsidP="00E878D3">
      <w:pPr>
        <w:spacing w:after="0" w:line="240" w:lineRule="auto"/>
        <w:textAlignment w:val="baseline"/>
        <w:rPr>
          <w:rFonts w:ascii="Verdana" w:eastAsia="Verdana" w:hAnsi="Verdana" w:cs="Verdana"/>
          <w:lang w:eastAsia="es-CO"/>
        </w:rPr>
      </w:pPr>
    </w:p>
    <w:p w14:paraId="762632D9" w14:textId="77777777" w:rsidR="00E878D3" w:rsidRPr="00E878D3" w:rsidRDefault="00E878D3" w:rsidP="00E878D3">
      <w:pPr>
        <w:spacing w:line="278" w:lineRule="auto"/>
        <w:rPr>
          <w:rFonts w:ascii="Aptos" w:eastAsia="Aptos" w:hAnsi="Aptos" w:cs="Times New Roman"/>
          <w:kern w:val="2"/>
          <w:sz w:val="24"/>
          <w:szCs w:val="24"/>
          <w14:ligatures w14:val="standardContextual"/>
        </w:rPr>
      </w:pPr>
    </w:p>
    <w:p w14:paraId="69BC4D14" w14:textId="7E1955BC" w:rsidR="00C15139" w:rsidRPr="000E2B93" w:rsidRDefault="00C15139" w:rsidP="30821638">
      <w:pPr>
        <w:spacing w:after="0" w:line="240" w:lineRule="auto"/>
        <w:textAlignment w:val="baseline"/>
        <w:rPr>
          <w:rFonts w:ascii="Verdana" w:eastAsia="Verdana" w:hAnsi="Verdana" w:cs="Verdana"/>
          <w:lang w:eastAsia="es-CO"/>
        </w:rPr>
      </w:pPr>
    </w:p>
    <w:bookmarkEnd w:id="0"/>
    <w:p w14:paraId="0F293BF4" w14:textId="1A04969B" w:rsidR="00127233" w:rsidRPr="0015699B" w:rsidRDefault="00127233" w:rsidP="00FA57EB">
      <w:pPr>
        <w:spacing w:after="0" w:line="240" w:lineRule="auto"/>
        <w:textAlignment w:val="baseline"/>
        <w:rPr>
          <w:rFonts w:ascii="Verdana" w:eastAsia="Verdana" w:hAnsi="Verdana" w:cs="Verdana"/>
          <w:lang w:eastAsia="es-CO"/>
        </w:rPr>
      </w:pPr>
    </w:p>
    <w:sectPr w:rsidR="00127233" w:rsidRPr="0015699B"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2AC508" w14:textId="77777777" w:rsidR="00654EF7" w:rsidRDefault="00654EF7" w:rsidP="004A1847">
      <w:pPr>
        <w:spacing w:after="0" w:line="240" w:lineRule="auto"/>
      </w:pPr>
      <w:r>
        <w:separator/>
      </w:r>
    </w:p>
  </w:endnote>
  <w:endnote w:type="continuationSeparator" w:id="0">
    <w:p w14:paraId="724E8561" w14:textId="77777777" w:rsidR="00654EF7" w:rsidRDefault="00654EF7" w:rsidP="004A1847">
      <w:pPr>
        <w:spacing w:after="0" w:line="240" w:lineRule="auto"/>
      </w:pPr>
      <w:r>
        <w:continuationSeparator/>
      </w:r>
    </w:p>
  </w:endnote>
  <w:endnote w:type="continuationNotice" w:id="1">
    <w:p w14:paraId="7D26948D" w14:textId="77777777" w:rsidR="00654EF7" w:rsidRDefault="00654EF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Open Sans">
    <w:charset w:val="00"/>
    <w:family w:val="swiss"/>
    <w:pitch w:val="variable"/>
    <w:sig w:usb0="E00002EF" w:usb1="4000205B" w:usb2="00000028"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0B37CA"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BR" w:eastAsia="es-CO"/>
      </w:rPr>
    </w:pPr>
    <w:r w:rsidRPr="000B37CA">
      <w:rPr>
        <w:rFonts w:ascii="Verdana" w:eastAsia="Verdana" w:hAnsi="Verdana" w:cs="Verdana"/>
        <w:b/>
        <w:color w:val="000000"/>
        <w:sz w:val="18"/>
        <w:szCs w:val="18"/>
        <w:lang w:val="pt-BR" w:eastAsia="es-CO"/>
      </w:rPr>
      <w:t xml:space="preserve">Código: </w:t>
    </w:r>
    <w:r w:rsidRPr="000B37CA">
      <w:rPr>
        <w:rFonts w:ascii="Verdana" w:eastAsia="Verdana" w:hAnsi="Verdana" w:cs="Verdana"/>
        <w:color w:val="000000"/>
        <w:sz w:val="18"/>
        <w:szCs w:val="18"/>
        <w:lang w:val="pt-BR" w:eastAsia="es-CO"/>
      </w:rPr>
      <w:t xml:space="preserve">CCE-REC-FM-17 </w:t>
    </w:r>
    <w:r w:rsidRPr="000B37CA">
      <w:rPr>
        <w:rFonts w:ascii="Verdana" w:eastAsia="Verdana" w:hAnsi="Verdana" w:cs="Verdana"/>
        <w:b/>
        <w:color w:val="000000"/>
        <w:sz w:val="18"/>
        <w:szCs w:val="18"/>
        <w:lang w:val="pt-BR" w:eastAsia="es-CO"/>
      </w:rPr>
      <w:t xml:space="preserve">V: </w:t>
    </w:r>
    <w:r w:rsidRPr="000B37CA">
      <w:rPr>
        <w:rFonts w:ascii="Verdana" w:eastAsia="Verdana" w:hAnsi="Verdana" w:cs="Verdana"/>
        <w:sz w:val="18"/>
        <w:szCs w:val="18"/>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4E0A7F" w14:textId="77777777" w:rsidR="00654EF7" w:rsidRDefault="00654EF7" w:rsidP="004A1847">
      <w:pPr>
        <w:spacing w:after="0" w:line="240" w:lineRule="auto"/>
      </w:pPr>
      <w:r>
        <w:separator/>
      </w:r>
    </w:p>
  </w:footnote>
  <w:footnote w:type="continuationSeparator" w:id="0">
    <w:p w14:paraId="43427199" w14:textId="77777777" w:rsidR="00654EF7" w:rsidRDefault="00654EF7" w:rsidP="004A1847">
      <w:pPr>
        <w:spacing w:after="0" w:line="240" w:lineRule="auto"/>
      </w:pPr>
      <w:r>
        <w:continuationSeparator/>
      </w:r>
    </w:p>
  </w:footnote>
  <w:footnote w:type="continuationNotice" w:id="1">
    <w:p w14:paraId="726C02D6" w14:textId="77777777" w:rsidR="00654EF7" w:rsidRDefault="00654EF7">
      <w:pPr>
        <w:spacing w:after="0" w:line="240" w:lineRule="auto"/>
      </w:pPr>
    </w:p>
  </w:footnote>
  <w:footnote w:id="2">
    <w:p w14:paraId="2C04FD7F" w14:textId="77777777" w:rsidR="00E878D3" w:rsidRDefault="00E878D3" w:rsidP="00E878D3">
      <w:pPr>
        <w:pStyle w:val="Textonotapie"/>
        <w:ind w:firstLine="708"/>
        <w:rPr>
          <w:rFonts w:ascii="Verdana" w:hAnsi="Verdana"/>
          <w:sz w:val="19"/>
          <w:szCs w:val="19"/>
        </w:rPr>
      </w:pPr>
      <w:r>
        <w:rPr>
          <w:rStyle w:val="Refdenotaalpie"/>
        </w:rPr>
        <w:footnoteRef/>
      </w:r>
      <w:r>
        <w:t xml:space="preserve"> </w:t>
      </w:r>
      <w:r w:rsidRPr="00BC7670">
        <w:rPr>
          <w:rFonts w:ascii="Verdana" w:hAnsi="Verdana"/>
          <w:sz w:val="19"/>
          <w:szCs w:val="19"/>
        </w:rPr>
        <w:t>Inciso c</w:t>
      </w:r>
      <w:r>
        <w:rPr>
          <w:rFonts w:ascii="Verdana" w:hAnsi="Verdana"/>
          <w:sz w:val="19"/>
          <w:szCs w:val="19"/>
        </w:rPr>
        <w:t>uarto</w:t>
      </w:r>
      <w:r w:rsidRPr="00BC7670">
        <w:rPr>
          <w:rFonts w:ascii="Verdana" w:hAnsi="Verdana"/>
          <w:sz w:val="19"/>
          <w:szCs w:val="19"/>
        </w:rPr>
        <w:t xml:space="preserve"> (</w:t>
      </w:r>
      <w:r>
        <w:rPr>
          <w:rFonts w:ascii="Verdana" w:hAnsi="Verdana"/>
          <w:sz w:val="19"/>
          <w:szCs w:val="19"/>
        </w:rPr>
        <w:t>4</w:t>
      </w:r>
      <w:r w:rsidRPr="00BC7670">
        <w:rPr>
          <w:rFonts w:ascii="Verdana" w:hAnsi="Verdana"/>
          <w:sz w:val="19"/>
          <w:szCs w:val="19"/>
        </w:rPr>
        <w:t>) del artículo 6 de la Ley 1537 de 2012.</w:t>
      </w:r>
    </w:p>
    <w:p w14:paraId="567DCE1F" w14:textId="77777777" w:rsidR="00E878D3" w:rsidRPr="008F6718" w:rsidRDefault="00E878D3" w:rsidP="00E878D3">
      <w:pPr>
        <w:pStyle w:val="Textonotapie"/>
        <w:ind w:firstLine="708"/>
        <w:rPr>
          <w:lang w:val="es-ES_tradnl"/>
        </w:rPr>
      </w:pPr>
    </w:p>
  </w:footnote>
  <w:footnote w:id="3">
    <w:p w14:paraId="33597090" w14:textId="77777777" w:rsidR="00E878D3" w:rsidRDefault="00E878D3" w:rsidP="00E878D3">
      <w:pPr>
        <w:pStyle w:val="Textonotapie"/>
        <w:ind w:firstLine="708"/>
        <w:rPr>
          <w:rFonts w:ascii="Verdana" w:hAnsi="Verdana" w:cs="Arial"/>
          <w:color w:val="000000"/>
          <w:sz w:val="19"/>
          <w:szCs w:val="19"/>
          <w:lang w:val="es-ES"/>
        </w:rPr>
      </w:pPr>
      <w:r w:rsidRPr="00BC7670">
        <w:rPr>
          <w:rStyle w:val="Refdenotaalpie"/>
          <w:rFonts w:ascii="Verdana" w:hAnsi="Verdana"/>
          <w:sz w:val="19"/>
          <w:szCs w:val="19"/>
        </w:rPr>
        <w:footnoteRef/>
      </w:r>
      <w:r>
        <w:rPr>
          <w:rFonts w:ascii="Verdana" w:hAnsi="Verdana" w:cs="Arial"/>
          <w:color w:val="000000"/>
          <w:sz w:val="19"/>
          <w:szCs w:val="19"/>
          <w:lang w:val="es-ES"/>
        </w:rPr>
        <w:t xml:space="preserve"> </w:t>
      </w:r>
      <w:r w:rsidRPr="00BC7670">
        <w:rPr>
          <w:rFonts w:ascii="Verdana" w:hAnsi="Verdana" w:cs="Arial"/>
          <w:color w:val="000000"/>
          <w:sz w:val="19"/>
          <w:szCs w:val="19"/>
          <w:lang w:val="es-ES"/>
        </w:rPr>
        <w:t>RENGIFO GARCÍA, Ernesto.</w:t>
      </w:r>
      <w:r w:rsidRPr="00BC7670">
        <w:rPr>
          <w:rFonts w:ascii="Verdana" w:hAnsi="Verdana"/>
          <w:sz w:val="19"/>
          <w:szCs w:val="19"/>
        </w:rPr>
        <w:t xml:space="preserve"> La fiducia mercantil y pública en Colombia</w:t>
      </w:r>
      <w:r w:rsidRPr="00BC7670">
        <w:rPr>
          <w:rFonts w:ascii="Verdana" w:hAnsi="Verdana" w:cs="Arial"/>
          <w:color w:val="000000"/>
          <w:sz w:val="19"/>
          <w:szCs w:val="19"/>
          <w:lang w:val="es-ES"/>
        </w:rPr>
        <w:t>, tercera edición 2012. pp. 103 a 104.</w:t>
      </w:r>
    </w:p>
    <w:p w14:paraId="094018C3" w14:textId="77777777" w:rsidR="00E878D3" w:rsidRPr="00BC7670" w:rsidRDefault="00E878D3" w:rsidP="00E878D3">
      <w:pPr>
        <w:pStyle w:val="Textonotapie"/>
        <w:ind w:firstLine="708"/>
        <w:rPr>
          <w:rFonts w:ascii="Verdana" w:hAnsi="Verdana"/>
          <w:sz w:val="19"/>
          <w:szCs w:val="19"/>
          <w:lang w:val="es-ES_tradnl"/>
        </w:rPr>
      </w:pPr>
    </w:p>
  </w:footnote>
  <w:footnote w:id="4">
    <w:p w14:paraId="7B029926" w14:textId="77777777" w:rsidR="00E878D3" w:rsidRPr="00BC7670" w:rsidRDefault="00E878D3" w:rsidP="00E878D3">
      <w:pPr>
        <w:pStyle w:val="Textonotapie"/>
        <w:ind w:firstLine="708"/>
        <w:rPr>
          <w:rFonts w:ascii="Verdana" w:hAnsi="Verdana"/>
          <w:sz w:val="19"/>
          <w:szCs w:val="19"/>
          <w:lang w:val="es-ES_tradnl"/>
        </w:rPr>
      </w:pPr>
      <w:r w:rsidRPr="00BC7670">
        <w:rPr>
          <w:rStyle w:val="Refdenotaalpie"/>
          <w:rFonts w:ascii="Verdana" w:hAnsi="Verdana"/>
          <w:sz w:val="19"/>
          <w:szCs w:val="19"/>
        </w:rPr>
        <w:footnoteRef/>
      </w:r>
      <w:r w:rsidRPr="00BC7670">
        <w:rPr>
          <w:rFonts w:ascii="Verdana" w:hAnsi="Verdana"/>
          <w:sz w:val="19"/>
          <w:szCs w:val="19"/>
        </w:rPr>
        <w:t xml:space="preserve"> Inciso </w:t>
      </w:r>
      <w:r>
        <w:rPr>
          <w:rFonts w:ascii="Verdana" w:hAnsi="Verdana"/>
          <w:sz w:val="19"/>
          <w:szCs w:val="19"/>
        </w:rPr>
        <w:t xml:space="preserve">cinco </w:t>
      </w:r>
      <w:r w:rsidRPr="00BC7670">
        <w:rPr>
          <w:rFonts w:ascii="Verdana" w:hAnsi="Verdana"/>
          <w:sz w:val="19"/>
          <w:szCs w:val="19"/>
        </w:rPr>
        <w:t>(</w:t>
      </w:r>
      <w:r>
        <w:rPr>
          <w:rFonts w:ascii="Verdana" w:hAnsi="Verdana"/>
          <w:sz w:val="19"/>
          <w:szCs w:val="19"/>
        </w:rPr>
        <w:t>5</w:t>
      </w:r>
      <w:r w:rsidRPr="00BC7670">
        <w:rPr>
          <w:rFonts w:ascii="Verdana" w:hAnsi="Verdana"/>
          <w:sz w:val="19"/>
          <w:szCs w:val="19"/>
        </w:rPr>
        <w:t>) del artículo 6 de la Ley 1537 de 2012.</w:t>
      </w:r>
    </w:p>
  </w:footnote>
  <w:footnote w:id="5">
    <w:p w14:paraId="2DBA3C5E" w14:textId="77777777" w:rsidR="00E878D3" w:rsidRPr="00BC7670" w:rsidRDefault="00E878D3" w:rsidP="00E878D3">
      <w:pPr>
        <w:pStyle w:val="Textonotapie"/>
        <w:ind w:firstLine="708"/>
        <w:jc w:val="both"/>
        <w:rPr>
          <w:rFonts w:ascii="Verdana" w:hAnsi="Verdana"/>
          <w:sz w:val="19"/>
          <w:szCs w:val="19"/>
          <w:lang w:val="es-ES_tradnl"/>
        </w:rPr>
      </w:pPr>
      <w:r w:rsidRPr="00BC7670">
        <w:rPr>
          <w:rStyle w:val="Refdenotaalpie"/>
          <w:rFonts w:ascii="Verdana" w:hAnsi="Verdana"/>
          <w:sz w:val="19"/>
          <w:szCs w:val="19"/>
        </w:rPr>
        <w:footnoteRef/>
      </w:r>
      <w:r w:rsidRPr="00BC7670">
        <w:rPr>
          <w:rFonts w:ascii="Verdana" w:hAnsi="Verdana"/>
          <w:sz w:val="19"/>
          <w:szCs w:val="19"/>
        </w:rPr>
        <w:t xml:space="preserve"> </w:t>
      </w:r>
      <w:r w:rsidRPr="00BC7670">
        <w:rPr>
          <w:rFonts w:ascii="Verdana" w:hAnsi="Verdana" w:cs="Arial"/>
          <w:color w:val="000000"/>
          <w:sz w:val="19"/>
          <w:szCs w:val="19"/>
          <w:lang w:val="es-ES"/>
        </w:rPr>
        <w:t>MANRIQUE NIETO, Carlos.</w:t>
      </w:r>
      <w:r w:rsidRPr="00BC7670">
        <w:rPr>
          <w:rFonts w:ascii="Verdana" w:hAnsi="Verdana"/>
          <w:sz w:val="19"/>
          <w:szCs w:val="19"/>
        </w:rPr>
        <w:t xml:space="preserve"> Fiduciarias, fiducia, encargos fiduciarios y titularización</w:t>
      </w:r>
      <w:r w:rsidRPr="00BC7670">
        <w:rPr>
          <w:rFonts w:ascii="Verdana" w:hAnsi="Verdana" w:cs="Arial"/>
          <w:color w:val="000000"/>
          <w:sz w:val="19"/>
          <w:szCs w:val="19"/>
          <w:lang w:val="es-ES"/>
        </w:rPr>
        <w:t>, 1994. pp. 17 a 21.</w:t>
      </w:r>
    </w:p>
  </w:footnote>
  <w:footnote w:id="6">
    <w:p w14:paraId="5CAABBD6" w14:textId="77777777" w:rsidR="00E878D3" w:rsidRPr="00BC7670" w:rsidRDefault="00E878D3" w:rsidP="00E878D3">
      <w:pPr>
        <w:pStyle w:val="NormalWeb"/>
        <w:spacing w:after="0"/>
        <w:ind w:firstLine="708"/>
        <w:contextualSpacing/>
        <w:jc w:val="both"/>
        <w:rPr>
          <w:rFonts w:ascii="Verdana" w:hAnsi="Verdana" w:cs="Arial"/>
          <w:color w:val="000000"/>
          <w:sz w:val="19"/>
          <w:szCs w:val="19"/>
        </w:rPr>
      </w:pPr>
      <w:r w:rsidRPr="00BC7670">
        <w:rPr>
          <w:rStyle w:val="Refdenotaalpie"/>
          <w:rFonts w:ascii="Verdana" w:hAnsi="Verdana" w:cs="Arial"/>
          <w:color w:val="000000"/>
          <w:sz w:val="19"/>
          <w:szCs w:val="19"/>
        </w:rPr>
        <w:footnoteRef/>
      </w:r>
      <w:r w:rsidRPr="00BC7670">
        <w:rPr>
          <w:rFonts w:ascii="Verdana" w:hAnsi="Verdana" w:cs="Arial"/>
          <w:color w:val="000000"/>
          <w:sz w:val="19"/>
          <w:szCs w:val="19"/>
        </w:rPr>
        <w:t xml:space="preserve"> Ley 2022 de 2020: “</w:t>
      </w:r>
      <w:r w:rsidRPr="00BC7670">
        <w:rPr>
          <w:rStyle w:val="Fuerte"/>
          <w:rFonts w:ascii="Verdana" w:hAnsi="Verdana" w:cs="Arial"/>
          <w:color w:val="000000"/>
          <w:sz w:val="19"/>
          <w:szCs w:val="19"/>
        </w:rPr>
        <w:t xml:space="preserve">Artículo 1º. </w:t>
      </w:r>
      <w:r w:rsidRPr="00BC7670">
        <w:rPr>
          <w:rFonts w:ascii="Verdana" w:hAnsi="Verdana" w:cs="Arial"/>
          <w:color w:val="000000"/>
          <w:sz w:val="19"/>
          <w:szCs w:val="19"/>
        </w:rPr>
        <w:t>Modifíquese el artículo 4º de la Ley 1882 de 2018, el cual quedará así:</w:t>
      </w:r>
    </w:p>
    <w:p w14:paraId="1CF4EAD8" w14:textId="77777777" w:rsidR="00E878D3" w:rsidRPr="00BC7670" w:rsidRDefault="00E878D3" w:rsidP="00E878D3">
      <w:pPr>
        <w:pStyle w:val="NormalWeb"/>
        <w:spacing w:after="0"/>
        <w:ind w:firstLine="708"/>
        <w:contextualSpacing/>
        <w:jc w:val="both"/>
        <w:rPr>
          <w:rFonts w:ascii="Verdana" w:hAnsi="Verdana" w:cs="Arial"/>
          <w:color w:val="000000"/>
          <w:sz w:val="19"/>
          <w:szCs w:val="19"/>
        </w:rPr>
      </w:pPr>
      <w:r w:rsidRPr="00BC7670">
        <w:rPr>
          <w:rStyle w:val="Fuerte"/>
          <w:rFonts w:ascii="Verdana" w:hAnsi="Verdana" w:cs="Arial"/>
          <w:color w:val="000000"/>
          <w:sz w:val="19"/>
          <w:szCs w:val="19"/>
        </w:rPr>
        <w:t xml:space="preserve">“Artículo 4º. </w:t>
      </w:r>
      <w:r w:rsidRPr="00BC7670">
        <w:rPr>
          <w:rFonts w:ascii="Verdana" w:hAnsi="Verdana" w:cs="Arial"/>
          <w:color w:val="000000"/>
          <w:sz w:val="19"/>
          <w:szCs w:val="19"/>
        </w:rPr>
        <w:t>Adiciónese el siguiente parágrafo al artículo 2º de la Ley 1150 de 2007.</w:t>
      </w:r>
    </w:p>
    <w:p w14:paraId="7AE21BBC" w14:textId="77777777" w:rsidR="00E878D3" w:rsidRPr="00BC7670" w:rsidRDefault="00E878D3" w:rsidP="00E878D3">
      <w:pPr>
        <w:pStyle w:val="NormalWeb"/>
        <w:spacing w:after="0"/>
        <w:ind w:firstLine="708"/>
        <w:contextualSpacing/>
        <w:jc w:val="both"/>
        <w:rPr>
          <w:rFonts w:ascii="Verdana" w:hAnsi="Verdana" w:cs="Arial"/>
          <w:color w:val="000000"/>
          <w:sz w:val="19"/>
          <w:szCs w:val="19"/>
        </w:rPr>
      </w:pPr>
      <w:r w:rsidRPr="00BC7670">
        <w:rPr>
          <w:rStyle w:val="Fuerte"/>
          <w:rFonts w:ascii="Verdana" w:hAnsi="Verdana" w:cs="Arial"/>
          <w:color w:val="000000"/>
          <w:sz w:val="19"/>
          <w:szCs w:val="19"/>
        </w:rPr>
        <w:t xml:space="preserve">Parágrafo 7º. </w:t>
      </w:r>
      <w:r w:rsidRPr="00BC7670">
        <w:rPr>
          <w:rFonts w:ascii="Verdana" w:hAnsi="Verdana" w:cs="Arial"/>
          <w:color w:val="000000"/>
          <w:sz w:val="19"/>
          <w:szCs w:val="19"/>
        </w:rPr>
        <w:t>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w:t>
      </w:r>
    </w:p>
    <w:p w14:paraId="4F4EEF23" w14:textId="77777777" w:rsidR="00E878D3" w:rsidRPr="00BC7670" w:rsidRDefault="00E878D3" w:rsidP="00E878D3">
      <w:pPr>
        <w:pStyle w:val="NormalWeb"/>
        <w:spacing w:after="0"/>
        <w:ind w:firstLine="708"/>
        <w:contextualSpacing/>
        <w:jc w:val="both"/>
        <w:rPr>
          <w:rFonts w:ascii="Verdana" w:hAnsi="Verdana" w:cs="Arial"/>
          <w:color w:val="000000"/>
          <w:sz w:val="19"/>
          <w:szCs w:val="19"/>
        </w:rPr>
      </w:pPr>
      <w:r w:rsidRPr="00BC7670">
        <w:rPr>
          <w:rFonts w:ascii="Verdana" w:hAnsi="Verdana" w:cs="Arial"/>
          <w:color w:val="000000"/>
          <w:sz w:val="19"/>
          <w:szCs w:val="19"/>
        </w:rPr>
        <w:t>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2238E483" w14:textId="77777777" w:rsidR="00E878D3" w:rsidRPr="00BC7670" w:rsidRDefault="00E878D3" w:rsidP="00E878D3">
      <w:pPr>
        <w:pStyle w:val="NormalWeb"/>
        <w:spacing w:after="0"/>
        <w:ind w:firstLine="708"/>
        <w:contextualSpacing/>
        <w:jc w:val="both"/>
        <w:rPr>
          <w:rFonts w:ascii="Verdana" w:hAnsi="Verdana" w:cs="Arial"/>
          <w:color w:val="000000"/>
          <w:sz w:val="19"/>
          <w:szCs w:val="19"/>
        </w:rPr>
      </w:pPr>
      <w:r w:rsidRPr="00BC7670">
        <w:rPr>
          <w:rFonts w:ascii="Verdana" w:hAnsi="Verdana" w:cs="Arial"/>
          <w:color w:val="000000"/>
          <w:sz w:val="19"/>
          <w:szCs w:val="19"/>
        </w:rPr>
        <w:t>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w:t>
      </w:r>
    </w:p>
    <w:p w14:paraId="7BA34469" w14:textId="77777777" w:rsidR="00E878D3" w:rsidRPr="00BC7670" w:rsidRDefault="00E878D3" w:rsidP="00E878D3">
      <w:pPr>
        <w:pStyle w:val="NormalWeb"/>
        <w:spacing w:after="0"/>
        <w:ind w:firstLine="708"/>
        <w:contextualSpacing/>
        <w:jc w:val="both"/>
        <w:rPr>
          <w:rFonts w:ascii="Verdana" w:hAnsi="Verdana" w:cs="Arial"/>
          <w:color w:val="000000"/>
          <w:sz w:val="19"/>
          <w:szCs w:val="19"/>
        </w:rPr>
      </w:pPr>
      <w:r w:rsidRPr="00BC7670">
        <w:rPr>
          <w:rFonts w:ascii="Verdana" w:hAnsi="Verdana" w:cs="Arial"/>
          <w:color w:val="000000"/>
          <w:sz w:val="19"/>
          <w:szCs w:val="19"/>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418473A5" w14:textId="77777777" w:rsidR="00E878D3" w:rsidRPr="00BC7670" w:rsidRDefault="00E878D3" w:rsidP="00E878D3">
      <w:pPr>
        <w:pStyle w:val="NormalWeb"/>
        <w:spacing w:after="0"/>
        <w:ind w:firstLine="708"/>
        <w:contextualSpacing/>
        <w:jc w:val="both"/>
        <w:rPr>
          <w:rFonts w:ascii="Verdana" w:hAnsi="Verdana" w:cs="Arial"/>
          <w:color w:val="000000"/>
          <w:sz w:val="19"/>
          <w:szCs w:val="19"/>
        </w:rPr>
      </w:pPr>
      <w:r w:rsidRPr="00BC7670">
        <w:rPr>
          <w:rFonts w:ascii="Verdana" w:hAnsi="Verdana" w:cs="Arial"/>
          <w:color w:val="000000"/>
          <w:sz w:val="19"/>
          <w:szCs w:val="19"/>
        </w:rPr>
        <w:t>En todo caso, serán de uso obligatorio los documentos tipo para los pliegos de condiciones de los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w:t>
      </w:r>
    </w:p>
  </w:footnote>
  <w:footnote w:id="7">
    <w:p w14:paraId="11555264" w14:textId="77777777" w:rsidR="00E878D3" w:rsidRPr="00BC7670" w:rsidRDefault="00E878D3" w:rsidP="00E878D3">
      <w:pPr>
        <w:pStyle w:val="Textonotapie"/>
        <w:ind w:firstLine="708"/>
        <w:contextualSpacing/>
        <w:jc w:val="both"/>
        <w:rPr>
          <w:rFonts w:ascii="Verdana" w:hAnsi="Verdana" w:cs="Arial"/>
          <w:color w:val="000000"/>
          <w:sz w:val="19"/>
          <w:szCs w:val="19"/>
        </w:rPr>
      </w:pPr>
      <w:r w:rsidRPr="00BC7670">
        <w:rPr>
          <w:rStyle w:val="Refdenotaalpie"/>
          <w:rFonts w:ascii="Verdana" w:hAnsi="Verdana" w:cs="Arial"/>
          <w:color w:val="000000"/>
          <w:sz w:val="19"/>
          <w:szCs w:val="19"/>
        </w:rPr>
        <w:footnoteRef/>
      </w:r>
      <w:r w:rsidRPr="00BC7670">
        <w:rPr>
          <w:rFonts w:ascii="Verdana" w:hAnsi="Verdana" w:cs="Arial"/>
          <w:color w:val="000000"/>
          <w:sz w:val="19"/>
          <w:szCs w:val="19"/>
        </w:rPr>
        <w:t xml:space="preserve"> Los Documentos Tipo expedidos por la Agencia Nacional de Contratación Pública – Colombia Compra Eficiente pueden ser consultados en el siguiente enlace: </w:t>
      </w:r>
      <w:hyperlink r:id="rId1" w:history="1">
        <w:r w:rsidRPr="00BC7670">
          <w:rPr>
            <w:rStyle w:val="Hipervnculo"/>
            <w:rFonts w:ascii="Verdana" w:hAnsi="Verdana" w:cs="Arial"/>
            <w:color w:val="000000"/>
            <w:sz w:val="19"/>
            <w:szCs w:val="19"/>
          </w:rPr>
          <w:t>https://www.colombiacompra.gov.co/documentos-tipo/documentos-tipo</w:t>
        </w:r>
      </w:hyperlink>
      <w:r w:rsidRPr="00BC7670">
        <w:rPr>
          <w:rFonts w:ascii="Verdana" w:hAnsi="Verdana" w:cs="Arial"/>
          <w:color w:val="000000"/>
          <w:sz w:val="19"/>
          <w:szCs w:val="19"/>
        </w:rPr>
        <w:t xml:space="preserve"> </w:t>
      </w:r>
    </w:p>
    <w:p w14:paraId="11468AD1" w14:textId="77777777" w:rsidR="00E878D3" w:rsidRPr="00BC7670" w:rsidRDefault="00E878D3" w:rsidP="00E878D3">
      <w:pPr>
        <w:pStyle w:val="Textonotapie"/>
        <w:ind w:firstLine="708"/>
        <w:contextualSpacing/>
        <w:jc w:val="both"/>
        <w:rPr>
          <w:rFonts w:ascii="Verdana" w:hAnsi="Verdana" w:cs="Arial"/>
          <w:color w:val="000000"/>
          <w:sz w:val="19"/>
          <w:szCs w:val="19"/>
        </w:rPr>
      </w:pPr>
    </w:p>
  </w:footnote>
  <w:footnote w:id="8">
    <w:p w14:paraId="5A482826" w14:textId="77777777" w:rsidR="00E878D3" w:rsidRPr="00BC7670" w:rsidRDefault="00E878D3" w:rsidP="00E878D3">
      <w:pPr>
        <w:pStyle w:val="Textonotapie"/>
        <w:ind w:firstLine="708"/>
        <w:contextualSpacing/>
        <w:jc w:val="both"/>
        <w:rPr>
          <w:rFonts w:ascii="Verdana" w:hAnsi="Verdana" w:cs="Arial"/>
          <w:color w:val="000000"/>
          <w:sz w:val="19"/>
          <w:szCs w:val="19"/>
        </w:rPr>
      </w:pPr>
      <w:r w:rsidRPr="00BC7670">
        <w:rPr>
          <w:rStyle w:val="Refdenotaalpie"/>
          <w:rFonts w:ascii="Verdana" w:hAnsi="Verdana" w:cs="Arial"/>
          <w:color w:val="000000"/>
          <w:sz w:val="19"/>
          <w:szCs w:val="19"/>
        </w:rPr>
        <w:footnoteRef/>
      </w:r>
      <w:r w:rsidRPr="00BC7670">
        <w:rPr>
          <w:rFonts w:ascii="Verdana" w:hAnsi="Verdana" w:cs="Arial"/>
          <w:color w:val="000000"/>
          <w:sz w:val="19"/>
          <w:szCs w:val="19"/>
        </w:rPr>
        <w:t xml:space="preserve"> En este sentido, a modo de ejemplo, en el «documento base» del documento tipo de licitación se establece lo siguiente: “Los Documentos Tipo aplica a los procesos de licitación de obra pública de infraestructura de transporte (versión 3), que correspondan a las actividades definidas en la Matriz 1 – Experiencia. En consecuencia, las actividades de infraestructura de transporte no contempladas en la Matriz 1 – Experiencia no tienen que aplicar los documentos tipo; sin perjuicio de lo previsto en el artículo 2.2.1.2.6.1.5. del Decreto 1082 de 2015”.</w:t>
      </w:r>
    </w:p>
  </w:footnote>
  <w:footnote w:id="9">
    <w:p w14:paraId="1D392ACD" w14:textId="77777777" w:rsidR="00E878D3" w:rsidRPr="00BC7670" w:rsidRDefault="00E878D3" w:rsidP="00E878D3">
      <w:pPr>
        <w:pStyle w:val="Textonotapie"/>
        <w:ind w:firstLine="709"/>
        <w:jc w:val="both"/>
        <w:rPr>
          <w:rFonts w:ascii="Verdana" w:hAnsi="Verdana"/>
          <w:color w:val="000000"/>
          <w:sz w:val="19"/>
          <w:szCs w:val="19"/>
          <w:lang w:val="es-ES_tradnl"/>
        </w:rPr>
      </w:pPr>
      <w:r w:rsidRPr="00BC7670">
        <w:rPr>
          <w:rStyle w:val="Refdenotaalpie"/>
          <w:rFonts w:ascii="Verdana" w:hAnsi="Verdana"/>
          <w:color w:val="000000"/>
          <w:sz w:val="19"/>
          <w:szCs w:val="19"/>
        </w:rPr>
        <w:footnoteRef/>
      </w:r>
      <w:r w:rsidRPr="00BC7670">
        <w:rPr>
          <w:rFonts w:ascii="Verdana" w:hAnsi="Verdana"/>
          <w:color w:val="000000"/>
          <w:sz w:val="19"/>
          <w:szCs w:val="19"/>
        </w:rPr>
        <w:t xml:space="preserve"> </w:t>
      </w:r>
      <w:r w:rsidRPr="00BC7670">
        <w:rPr>
          <w:rFonts w:ascii="Verdana" w:hAnsi="Verdana"/>
          <w:color w:val="000000"/>
          <w:sz w:val="19"/>
          <w:szCs w:val="19"/>
          <w:lang w:val="es-CO"/>
        </w:rPr>
        <w:t xml:space="preserve">Esta tesis se desarrolló y complementó, entre otros, en los siguientes conceptos </w:t>
      </w:r>
      <w:bookmarkStart w:id="6" w:name="_Hlk205384358"/>
      <w:r w:rsidRPr="00BC7670">
        <w:rPr>
          <w:rFonts w:ascii="Verdana" w:hAnsi="Verdana"/>
          <w:color w:val="000000"/>
          <w:sz w:val="19"/>
          <w:szCs w:val="19"/>
          <w:lang w:val="es-CO"/>
        </w:rPr>
        <w:t xml:space="preserve">C-320 del 20 de mayo de 2022, C-333 del 24 de mayo de 2022, C-404 del 26 de mayo de 2023, C-382 del 27 de mayo de 2022, C-388 del 15 de junio de 2022, C-423 del 5 de julio de 2022, C-435 del 6 de julio de 2023, C-453 del 15 de julio de 2022, C-483 del 5 de agosto de 2022, C-556 del 3 de agosto de 2022, C-532 del 22 de agosto de 2022, C-341 del 27 de mayo de 2022, C-382 del 27 de mayo de 2022, C-449 del 25 de julio de 2022, C-453 del 14 de julio de 2022,  C-488 del 29 de julio de 2022, C-501 del 29 de julio de 2022,  C-155 del 7 de marzo de 2025, C-202 del 26 de marzo de 2025, C-298 del 16 de abril de 2025 y C-808 del 30 de julio de2025 </w:t>
      </w:r>
      <w:bookmarkEnd w:id="6"/>
    </w:p>
  </w:footnote>
  <w:footnote w:id="10">
    <w:p w14:paraId="352BAAA7" w14:textId="77777777" w:rsidR="00E878D3" w:rsidRPr="00BC7670" w:rsidRDefault="00E878D3" w:rsidP="00E878D3">
      <w:pPr>
        <w:pStyle w:val="Textonotapie"/>
        <w:ind w:firstLine="709"/>
        <w:jc w:val="both"/>
        <w:rPr>
          <w:rFonts w:ascii="Verdana" w:hAnsi="Verdana" w:cs="Arial"/>
          <w:color w:val="000000"/>
          <w:sz w:val="19"/>
          <w:szCs w:val="19"/>
        </w:rPr>
      </w:pPr>
      <w:r w:rsidRPr="00BC7670">
        <w:rPr>
          <w:rStyle w:val="Refdenotaalpie"/>
          <w:rFonts w:ascii="Verdana" w:hAnsi="Verdana" w:cs="Arial"/>
          <w:color w:val="000000"/>
          <w:sz w:val="19"/>
          <w:szCs w:val="19"/>
        </w:rPr>
        <w:footnoteRef/>
      </w:r>
      <w:r w:rsidRPr="00BC7670">
        <w:rPr>
          <w:rFonts w:ascii="Verdana" w:hAnsi="Verdana" w:cs="Arial"/>
          <w:color w:val="000000"/>
          <w:sz w:val="19"/>
          <w:szCs w:val="19"/>
        </w:rPr>
        <w:t xml:space="preserve"> CONGRESO DE LA REPÚBLICA. Gaceta Nº 1677 del 23 de noviembre de 2021. Justificación jurídica del Proyecto de Ley No. 226 de 2021 Cámara. p. 15.</w:t>
      </w:r>
      <w:r w:rsidRPr="00BC7670">
        <w:rPr>
          <w:rFonts w:ascii="Verdana" w:hAnsi="Verdana" w:cs="Arial"/>
          <w:color w:val="000000"/>
          <w:sz w:val="19"/>
          <w:szCs w:val="19"/>
        </w:rPr>
        <w:cr/>
      </w:r>
    </w:p>
  </w:footnote>
  <w:footnote w:id="11">
    <w:p w14:paraId="673E9AA3" w14:textId="77777777" w:rsidR="00E878D3" w:rsidRDefault="00E878D3" w:rsidP="00E878D3">
      <w:pPr>
        <w:pStyle w:val="Textonotapie"/>
        <w:ind w:firstLine="709"/>
        <w:contextualSpacing/>
        <w:jc w:val="both"/>
        <w:rPr>
          <w:rFonts w:ascii="Verdana" w:hAnsi="Verdana" w:cs="Arial"/>
          <w:color w:val="000000"/>
          <w:sz w:val="19"/>
          <w:szCs w:val="19"/>
          <w:lang w:val="es-ES"/>
        </w:rPr>
      </w:pPr>
      <w:r w:rsidRPr="00BC7670">
        <w:rPr>
          <w:rStyle w:val="Refdenotaalpie"/>
          <w:rFonts w:ascii="Verdana" w:hAnsi="Verdana" w:cs="Arial"/>
          <w:color w:val="000000"/>
          <w:sz w:val="19"/>
          <w:szCs w:val="19"/>
        </w:rPr>
        <w:footnoteRef/>
      </w:r>
      <w:r w:rsidRPr="00BC7670">
        <w:rPr>
          <w:rFonts w:ascii="Verdana" w:hAnsi="Verdana" w:cs="Arial"/>
          <w:color w:val="000000"/>
          <w:sz w:val="19"/>
          <w:szCs w:val="19"/>
        </w:rPr>
        <w:t xml:space="preserve"> </w:t>
      </w:r>
      <w:r w:rsidRPr="00BC7670">
        <w:rPr>
          <w:rFonts w:ascii="Verdana" w:hAnsi="Verdana" w:cs="Arial"/>
          <w:color w:val="000000"/>
          <w:sz w:val="19"/>
          <w:szCs w:val="19"/>
          <w:lang w:val="es-ES"/>
        </w:rPr>
        <w:t>Según García de Enterría: “Estos conceptos jurídicos indeterminados, o que se contienen en lo que también se llaman las normas flexibles, son consustanciales a toda la técnica jurídica y no constituyen una particularidad del Derecho público […], son conceptos jurídicos indeterminados, en el sentido de que la medida concreta para la aplicación de los mismos en un caso particular no nos la resuelve o determina con exactitud la propia Ley que los ha creado y de cuya aplicación se trata”. (GARCÍA DE ENTERRÍA, Eduardo. La lucha contra las inmunidades del poder en el derecho administrativo. 3ª ed. Madrid: Civitas, 1983. pp. 33-34).</w:t>
      </w:r>
    </w:p>
    <w:p w14:paraId="67BF547A" w14:textId="77777777" w:rsidR="00E878D3" w:rsidRPr="00BC7670" w:rsidRDefault="00E878D3" w:rsidP="00E878D3">
      <w:pPr>
        <w:pStyle w:val="Textonotapie"/>
        <w:ind w:firstLine="709"/>
        <w:contextualSpacing/>
        <w:jc w:val="both"/>
        <w:rPr>
          <w:rFonts w:ascii="Verdana" w:hAnsi="Verdana" w:cs="Arial"/>
          <w:color w:val="000000"/>
          <w:sz w:val="19"/>
          <w:szCs w:val="19"/>
          <w:lang w:val="es-ES"/>
        </w:rPr>
      </w:pPr>
    </w:p>
  </w:footnote>
  <w:footnote w:id="12">
    <w:p w14:paraId="3218B06D" w14:textId="77777777" w:rsidR="00E878D3" w:rsidRPr="00BC7670" w:rsidRDefault="00E878D3" w:rsidP="00E878D3">
      <w:pPr>
        <w:pStyle w:val="Textonotapie"/>
        <w:ind w:firstLine="709"/>
        <w:contextualSpacing/>
        <w:jc w:val="both"/>
        <w:rPr>
          <w:rFonts w:ascii="Verdana" w:hAnsi="Verdana" w:cs="Arial"/>
          <w:color w:val="000000"/>
          <w:sz w:val="19"/>
          <w:szCs w:val="19"/>
        </w:rPr>
      </w:pPr>
      <w:r w:rsidRPr="00BC7670">
        <w:rPr>
          <w:rStyle w:val="Refdenotaalpie"/>
          <w:rFonts w:ascii="Verdana" w:hAnsi="Verdana" w:cs="Arial"/>
          <w:color w:val="000000"/>
          <w:sz w:val="19"/>
          <w:szCs w:val="19"/>
        </w:rPr>
        <w:footnoteRef/>
      </w:r>
      <w:r w:rsidRPr="00BC7670">
        <w:rPr>
          <w:rFonts w:ascii="Verdana" w:hAnsi="Verdana" w:cs="Arial"/>
          <w:color w:val="000000"/>
          <w:sz w:val="19"/>
          <w:szCs w:val="19"/>
        </w:rPr>
        <w:t xml:space="preserve"> CORTE CONSTITUCIONAL, Sentencia C-382 de 2019, M.P. Alejandro Linares Cantillo.</w:t>
      </w:r>
    </w:p>
    <w:p w14:paraId="783512D8" w14:textId="77777777" w:rsidR="00E878D3" w:rsidRPr="00BC7670" w:rsidRDefault="00E878D3" w:rsidP="00E878D3">
      <w:pPr>
        <w:pStyle w:val="Textonotapie"/>
        <w:ind w:firstLine="709"/>
        <w:contextualSpacing/>
        <w:jc w:val="both"/>
        <w:rPr>
          <w:rFonts w:ascii="Verdana" w:hAnsi="Verdana" w:cs="Arial"/>
          <w:color w:val="000000"/>
          <w:sz w:val="19"/>
          <w:szCs w:val="19"/>
        </w:rPr>
      </w:pPr>
    </w:p>
  </w:footnote>
  <w:footnote w:id="13">
    <w:p w14:paraId="2720F317" w14:textId="77777777" w:rsidR="00E878D3" w:rsidRPr="00BC7670" w:rsidRDefault="00E878D3" w:rsidP="00E878D3">
      <w:pPr>
        <w:pStyle w:val="Textonotapie"/>
        <w:ind w:firstLine="709"/>
        <w:contextualSpacing/>
        <w:jc w:val="both"/>
        <w:rPr>
          <w:rFonts w:ascii="Verdana" w:hAnsi="Verdana" w:cs="Arial"/>
          <w:color w:val="000000"/>
          <w:sz w:val="19"/>
          <w:szCs w:val="19"/>
        </w:rPr>
      </w:pPr>
      <w:r w:rsidRPr="00BC7670">
        <w:rPr>
          <w:rStyle w:val="Refdenotaalpie"/>
          <w:rFonts w:ascii="Verdana" w:hAnsi="Verdana" w:cs="Arial"/>
          <w:color w:val="000000"/>
          <w:sz w:val="19"/>
          <w:szCs w:val="19"/>
        </w:rPr>
        <w:footnoteRef/>
      </w:r>
      <w:r w:rsidRPr="00BC7670">
        <w:rPr>
          <w:rFonts w:ascii="Verdana" w:hAnsi="Verdana" w:cs="Arial"/>
          <w:color w:val="000000"/>
          <w:sz w:val="19"/>
          <w:szCs w:val="19"/>
        </w:rPr>
        <w:t xml:space="preserve"> La redacción original del parágrafo primero del artículo 32 de la Ley 80 de 1993, incluía la expresión giro ordinario, la cual servía de elemento calificante para la determinación del régimen aplicable a los contratos de los establecimientos de crédito público, las compañías de seguros y las demás entidades financieras públicas. Dicho parágrafo establecía “Sin perjuicio de lo dispuesto en esta ley sobre fiducia y encargo fiduciario, los contratos que celebren los establecimientos de crédito, las compañías de seguros y las demás entidades financieras de carácter estatal, que correspondan al giro ordinario de las actividades propias de su objeto social, no estarán sujetos a las disposiciones del presente estatuto y se regirán por las disposiciones legales y reglamentarias aplicables a dichas actividades” [Énfasis fuera de texto].</w:t>
      </w:r>
    </w:p>
    <w:p w14:paraId="361A6E2E" w14:textId="77777777" w:rsidR="00E878D3" w:rsidRPr="00BC7670" w:rsidRDefault="00E878D3" w:rsidP="00E878D3">
      <w:pPr>
        <w:pStyle w:val="Textonotapie"/>
        <w:ind w:firstLine="709"/>
        <w:contextualSpacing/>
        <w:jc w:val="both"/>
        <w:rPr>
          <w:rFonts w:ascii="Verdana" w:hAnsi="Verdana" w:cs="Arial"/>
          <w:color w:val="000000"/>
          <w:sz w:val="19"/>
          <w:szCs w:val="19"/>
        </w:rPr>
      </w:pPr>
    </w:p>
  </w:footnote>
  <w:footnote w:id="14">
    <w:p w14:paraId="2F01B6B9" w14:textId="77777777" w:rsidR="00E878D3" w:rsidRPr="00BC7670" w:rsidRDefault="00E878D3" w:rsidP="00E878D3">
      <w:pPr>
        <w:pStyle w:val="Textonotapie"/>
        <w:ind w:firstLine="709"/>
        <w:contextualSpacing/>
        <w:jc w:val="both"/>
        <w:rPr>
          <w:rFonts w:ascii="Verdana" w:hAnsi="Verdana" w:cs="Arial"/>
          <w:color w:val="000000"/>
          <w:sz w:val="19"/>
          <w:szCs w:val="19"/>
        </w:rPr>
      </w:pPr>
      <w:r w:rsidRPr="00BC7670">
        <w:rPr>
          <w:rStyle w:val="Refdenotaalpie"/>
          <w:rFonts w:ascii="Verdana" w:hAnsi="Verdana" w:cs="Arial"/>
          <w:color w:val="000000"/>
          <w:sz w:val="19"/>
          <w:szCs w:val="19"/>
        </w:rPr>
        <w:footnoteRef/>
      </w:r>
      <w:r w:rsidRPr="00BC7670">
        <w:rPr>
          <w:rFonts w:ascii="Verdana" w:hAnsi="Verdana" w:cs="Arial"/>
          <w:color w:val="000000"/>
          <w:sz w:val="19"/>
          <w:szCs w:val="19"/>
        </w:rPr>
        <w:t xml:space="preserve"> CONSEJO DE ESTADO. Sección Tercera. Subsección B. Sentencia del 12 de octubre de 2011. Exp. No. 20070. C.P. Danilo Rojas Betancourt.</w:t>
      </w:r>
    </w:p>
    <w:p w14:paraId="6FCBB324" w14:textId="77777777" w:rsidR="00E878D3" w:rsidRPr="00BC7670" w:rsidRDefault="00E878D3" w:rsidP="00E878D3">
      <w:pPr>
        <w:pStyle w:val="Textonotapie"/>
        <w:ind w:firstLine="709"/>
        <w:contextualSpacing/>
        <w:jc w:val="both"/>
        <w:rPr>
          <w:rFonts w:ascii="Verdana" w:hAnsi="Verdana" w:cs="Arial"/>
          <w:color w:val="000000"/>
          <w:sz w:val="19"/>
          <w:szCs w:val="19"/>
        </w:rPr>
      </w:pPr>
    </w:p>
  </w:footnote>
  <w:footnote w:id="15">
    <w:p w14:paraId="74A46768" w14:textId="77777777" w:rsidR="00E878D3" w:rsidRPr="00BC7670" w:rsidRDefault="00E878D3" w:rsidP="00E878D3">
      <w:pPr>
        <w:tabs>
          <w:tab w:val="left" w:pos="0"/>
        </w:tabs>
        <w:spacing w:line="240" w:lineRule="auto"/>
        <w:contextualSpacing/>
        <w:jc w:val="both"/>
        <w:rPr>
          <w:rFonts w:ascii="Verdana" w:eastAsia="Calibri" w:hAnsi="Verdana" w:cs="Arial"/>
          <w:color w:val="000000"/>
          <w:sz w:val="19"/>
          <w:szCs w:val="19"/>
          <w:lang w:val="es-ES_tradnl" w:eastAsia="es-ES_tradnl"/>
        </w:rPr>
      </w:pPr>
      <w:r w:rsidRPr="00BC7670">
        <w:rPr>
          <w:rFonts w:ascii="Verdana" w:hAnsi="Verdana" w:cs="Arial"/>
          <w:color w:val="000000"/>
          <w:sz w:val="19"/>
          <w:szCs w:val="19"/>
        </w:rPr>
        <w:tab/>
      </w:r>
      <w:r w:rsidRPr="00BC7670">
        <w:rPr>
          <w:rStyle w:val="Refdenotaalpie"/>
          <w:rFonts w:ascii="Verdana" w:hAnsi="Verdana" w:cs="Arial"/>
          <w:color w:val="000000"/>
          <w:sz w:val="19"/>
          <w:szCs w:val="19"/>
        </w:rPr>
        <w:footnoteRef/>
      </w:r>
      <w:r w:rsidRPr="00BC7670">
        <w:rPr>
          <w:rFonts w:ascii="Verdana" w:hAnsi="Verdana" w:cs="Arial"/>
          <w:color w:val="000000"/>
          <w:sz w:val="19"/>
          <w:szCs w:val="19"/>
        </w:rPr>
        <w:t xml:space="preserve"> CONSEJO DE ESTADO. Sección Tercera. Subsección A. Sentencia del 3 de marzo de 2021. Exp. No. 51373. C.P. José Roberto Sáchica Méndez. </w:t>
      </w:r>
      <w:r w:rsidRPr="00BC7670">
        <w:rPr>
          <w:rFonts w:ascii="Verdana" w:eastAsia="Calibri" w:hAnsi="Verdana" w:cs="Arial"/>
          <w:color w:val="000000"/>
          <w:sz w:val="19"/>
          <w:szCs w:val="19"/>
          <w:lang w:val="es-ES_tradnl" w:eastAsia="es-ES_tradnl"/>
        </w:rPr>
        <w:t>“[E]l elemento central para la determinación de este concepto jurídico, remite al objeto social –cuando se trata de empresas públicas o privadas constituidas bajo alguno de los tipos societarios definidos en la ley– pero también se refiere, mutatis mutandis, al objeto y funciones expresamente definidas en los actos de creación de entidades públicas que, por su naturaleza, se orientan al desarrollo de actividades industriales y comerciales. De forma que, el giro ordinario de los negocios se explica a partir del objeto social o, también, de las funciones expresamente fijadas por ley, según se trate de una persona jurídica pública o privada, pues ambas categorías, para estos efectos, resultan equivalentes.”</w:t>
      </w:r>
    </w:p>
  </w:footnote>
  <w:footnote w:id="16">
    <w:p w14:paraId="6220003C" w14:textId="77777777" w:rsidR="00E878D3" w:rsidRPr="00BC7670" w:rsidRDefault="00E878D3" w:rsidP="00E878D3">
      <w:pPr>
        <w:pStyle w:val="Textonotapie"/>
        <w:ind w:firstLine="708"/>
        <w:contextualSpacing/>
        <w:jc w:val="both"/>
        <w:rPr>
          <w:rFonts w:ascii="Verdana" w:hAnsi="Verdana" w:cs="Arial"/>
          <w:color w:val="000000"/>
          <w:sz w:val="19"/>
          <w:szCs w:val="19"/>
        </w:rPr>
      </w:pPr>
      <w:r w:rsidRPr="00BC7670">
        <w:rPr>
          <w:rStyle w:val="Refdenotaalpie"/>
          <w:rFonts w:ascii="Verdana" w:hAnsi="Verdana" w:cs="Arial"/>
          <w:color w:val="000000"/>
          <w:sz w:val="19"/>
          <w:szCs w:val="19"/>
        </w:rPr>
        <w:footnoteRef/>
      </w:r>
      <w:r w:rsidRPr="00BC7670">
        <w:rPr>
          <w:rFonts w:ascii="Verdana" w:hAnsi="Verdana" w:cs="Arial"/>
          <w:color w:val="000000"/>
          <w:sz w:val="19"/>
          <w:szCs w:val="19"/>
        </w:rPr>
        <w:t xml:space="preserve"> La Superintendencia de Sociedades, citando doctrina autorizada en la materia, ha señalado: “Si bien el llamado giro ordinario de los negocios se encuentra determinado por las actividades que constituyen el objeto social, resultan oportunas algunas precisiones conceptuales en torno al empleo constante en la práctica mercantil de la referida expresión "giro ordinario de los negocios". Partiendo de las anteriores consideraciones en cuanto al tema del objeto social, se concluye que éste alude a las actividades que desarrolla o se propone realizar el ente social, al paso que solamente quedan cobijadas por "giro ordinario" aquellas actividades que, en forma habitual u ordinaria, ejecuta la sociedad.</w:t>
      </w:r>
    </w:p>
    <w:p w14:paraId="00B5D697" w14:textId="77777777" w:rsidR="00E878D3" w:rsidRPr="00BC7670" w:rsidRDefault="00E878D3" w:rsidP="00E878D3">
      <w:pPr>
        <w:pStyle w:val="Textonotapie"/>
        <w:ind w:firstLine="708"/>
        <w:contextualSpacing/>
        <w:jc w:val="both"/>
        <w:rPr>
          <w:rFonts w:ascii="Verdana" w:hAnsi="Verdana" w:cs="Arial"/>
          <w:color w:val="000000"/>
          <w:sz w:val="19"/>
          <w:szCs w:val="19"/>
        </w:rPr>
      </w:pPr>
    </w:p>
  </w:footnote>
  <w:footnote w:id="17">
    <w:p w14:paraId="5AF61BB2" w14:textId="77777777" w:rsidR="00E878D3" w:rsidRPr="00BC7670" w:rsidRDefault="00E878D3" w:rsidP="00E878D3">
      <w:pPr>
        <w:pStyle w:val="Textonotapie"/>
        <w:ind w:firstLine="709"/>
        <w:contextualSpacing/>
        <w:jc w:val="both"/>
        <w:rPr>
          <w:rFonts w:ascii="Verdana" w:hAnsi="Verdana" w:cs="Arial"/>
          <w:color w:val="000000"/>
          <w:sz w:val="19"/>
          <w:szCs w:val="19"/>
        </w:rPr>
      </w:pPr>
      <w:r w:rsidRPr="00BC7670">
        <w:rPr>
          <w:rStyle w:val="Refdenotaalpie"/>
          <w:rFonts w:ascii="Verdana" w:hAnsi="Verdana" w:cs="Arial"/>
          <w:color w:val="000000"/>
          <w:sz w:val="19"/>
          <w:szCs w:val="19"/>
        </w:rPr>
        <w:footnoteRef/>
      </w:r>
      <w:r w:rsidRPr="00BC7670">
        <w:rPr>
          <w:rFonts w:ascii="Verdana" w:hAnsi="Verdana" w:cs="Arial"/>
          <w:color w:val="000000"/>
          <w:sz w:val="19"/>
          <w:szCs w:val="19"/>
        </w:rPr>
        <w:t xml:space="preserve"> El Consejo de Estado ha precisado que: “Según esta norma, el giro ordinario de las actividades de una sociedad comercial no sólo comprende aquello que define en forma concreta su objeto social, sino todos los actos directamente relacionados con el mismo, lo que denota que entre éstos y aquéllas debe existir una relación de necesidad que los hace parte del objeto de la sociedad. Tal es el caso de la contratación de la publicidad para promocionar la empresa o sus productos, o la contratación de profesionales para que realicen una consultoría o asesoría relacionada con las actividades de la empresa, etc.</w:t>
      </w:r>
    </w:p>
    <w:p w14:paraId="2E916863" w14:textId="77777777" w:rsidR="00E878D3" w:rsidRPr="00BC7670" w:rsidRDefault="00E878D3" w:rsidP="00E878D3">
      <w:pPr>
        <w:pStyle w:val="Textonotapie"/>
        <w:ind w:firstLine="709"/>
        <w:contextualSpacing/>
        <w:jc w:val="both"/>
        <w:rPr>
          <w:rFonts w:ascii="Verdana" w:hAnsi="Verdana" w:cs="Arial"/>
          <w:color w:val="000000"/>
          <w:sz w:val="19"/>
          <w:szCs w:val="19"/>
        </w:rPr>
      </w:pPr>
      <w:r w:rsidRPr="00BC7670">
        <w:rPr>
          <w:rFonts w:ascii="Verdana" w:hAnsi="Verdana" w:cs="Arial"/>
          <w:color w:val="000000"/>
          <w:sz w:val="19"/>
          <w:szCs w:val="19"/>
        </w:rPr>
        <w:t>“En estos casos, mal podría decirse que la sociedad no puede realizar este tipo de actos necesarios para el buen desempeño de sus actividades comerciales. Lo propio cabe decir de las entidades financieras. De manera que la norma comercial citada es perfectamente trasladable al campo financiero”.  (Consejo de Estado. Sección Tercera. Sentencia del 6 de julio de 2005. Exp. No. 11575. C.P. Alier E. Hernández Enríquez).</w:t>
      </w:r>
    </w:p>
  </w:footnote>
  <w:footnote w:id="18">
    <w:p w14:paraId="1B5E7269" w14:textId="77777777" w:rsidR="00E878D3" w:rsidRPr="00BC7670" w:rsidRDefault="00E878D3" w:rsidP="00E878D3">
      <w:pPr>
        <w:pStyle w:val="Textoindependiente"/>
        <w:spacing w:after="0" w:line="240" w:lineRule="auto"/>
        <w:ind w:firstLine="709"/>
        <w:jc w:val="both"/>
        <w:rPr>
          <w:rFonts w:ascii="Verdana" w:hAnsi="Verdana" w:cs="Arial"/>
          <w:sz w:val="19"/>
          <w:szCs w:val="19"/>
        </w:rPr>
      </w:pPr>
      <w:r w:rsidRPr="00BC7670">
        <w:rPr>
          <w:rStyle w:val="Refdenotaalpie"/>
          <w:rFonts w:ascii="Verdana" w:hAnsi="Verdana" w:cs="Arial"/>
          <w:sz w:val="19"/>
          <w:szCs w:val="19"/>
        </w:rPr>
        <w:footnoteRef/>
      </w:r>
      <w:r w:rsidRPr="00BC7670">
        <w:rPr>
          <w:rFonts w:ascii="Verdana" w:hAnsi="Verdana" w:cs="Arial"/>
          <w:sz w:val="19"/>
          <w:szCs w:val="19"/>
        </w:rPr>
        <w:t xml:space="preserve"> </w:t>
      </w:r>
      <w:r w:rsidRPr="00BC7670">
        <w:rPr>
          <w:rFonts w:ascii="Verdana" w:hAnsi="Verdana" w:cs="Arial"/>
          <w:sz w:val="19"/>
          <w:szCs w:val="19"/>
          <w:lang w:val="es-ES_tradnl"/>
        </w:rPr>
        <w:t>CONSEJO DE ESTADO, la Sala de Consulta y Servicio Civil en Concepto del 4 de marzo de 1998. Radicado número 1.074, Concejero. Ponente.: Cesar Hoyos Salazar.</w:t>
      </w:r>
      <w:r w:rsidRPr="00BC7670">
        <w:rPr>
          <w:rFonts w:ascii="Verdana" w:hAnsi="Verdana" w:cs="Arial"/>
          <w:sz w:val="19"/>
          <w:szCs w:val="19"/>
        </w:rPr>
        <w:t>El concepto citado</w:t>
      </w:r>
      <w:r w:rsidRPr="00BC7670">
        <w:rPr>
          <w:rFonts w:ascii="Verdana" w:hAnsi="Verdana" w:cs="Arial"/>
          <w:spacing w:val="-8"/>
          <w:sz w:val="19"/>
          <w:szCs w:val="19"/>
        </w:rPr>
        <w:t xml:space="preserve"> </w:t>
      </w:r>
      <w:r w:rsidRPr="00BC7670">
        <w:rPr>
          <w:rFonts w:ascii="Verdana" w:hAnsi="Verdana" w:cs="Arial"/>
          <w:sz w:val="19"/>
          <w:szCs w:val="19"/>
        </w:rPr>
        <w:t xml:space="preserve">afirmó: “No obstante, lo expresado por la Corte Constitucional, para la Sala la primera parte del texto del inciso 1º del numeral 5º del artículo 32 de la ley 80 de 1993, aunque declarado inexequible, sí indica que el espíritu de la ley era limitar la contratación de las entidades estatales a sólo dos figuras fiduciarias: la fiducia pública y el encargo fiduciario. Esta apreciación la refuerza el inciso 8º de la misma norma, por cuanto al expresar “La fiducia que se autoriza para el sector público en esta ley …”, y un poco más adelante, en la parte final “A la fiducia pública le será aplicables las normas del Código de Comercio sobre fiducia mercantil, en cuanto sean compatibles con lo dispuesto en esta ley”, indica en forma nítida que el contrato de fiducia a que se refiere es a la pública y no a la mercantil. Por consiguiente, no autorizó dicha ley la fiducia mercantil con aplicación de las normas de la ley 80, sino al revés, la fiducia pública con aplicación de las compatibles del Código de Comercio. </w:t>
      </w:r>
    </w:p>
    <w:p w14:paraId="1157F4D3" w14:textId="77777777" w:rsidR="00E878D3" w:rsidRPr="00BC7670" w:rsidRDefault="00E878D3" w:rsidP="00E878D3">
      <w:pPr>
        <w:spacing w:after="0" w:line="240" w:lineRule="auto"/>
        <w:ind w:firstLine="709"/>
        <w:jc w:val="both"/>
        <w:rPr>
          <w:rFonts w:ascii="Verdana" w:hAnsi="Verdana" w:cs="Arial"/>
          <w:sz w:val="19"/>
          <w:szCs w:val="19"/>
        </w:rPr>
      </w:pPr>
      <w:r w:rsidRPr="00BC7670">
        <w:rPr>
          <w:rFonts w:ascii="Verdana" w:hAnsi="Verdana" w:cs="Arial"/>
          <w:sz w:val="19"/>
          <w:szCs w:val="19"/>
        </w:rPr>
        <w:t>“[...] “Sin embargo, para casos especiales la ley puede autorizar la celebración por entidades estatales de la fiducia mercantil. La propia ley 80 de 1993 en su artículo 41 parágrafo 2º inciso 2º consigna la posibilidad de constituir patrimonios autónomos para el desarrollo de procesos de titularización de activos e inversiones y para el pago de pasivos laborales”.</w:t>
      </w:r>
    </w:p>
    <w:p w14:paraId="7657EB7C" w14:textId="77777777" w:rsidR="00E878D3" w:rsidRPr="00BC7670" w:rsidRDefault="00E878D3" w:rsidP="00E878D3">
      <w:pPr>
        <w:spacing w:after="0" w:line="240" w:lineRule="auto"/>
        <w:ind w:firstLine="709"/>
        <w:jc w:val="both"/>
        <w:rPr>
          <w:rFonts w:ascii="Verdana" w:hAnsi="Verdana" w:cs="Arial"/>
          <w:sz w:val="19"/>
          <w:szCs w:val="19"/>
        </w:rPr>
      </w:pPr>
    </w:p>
  </w:footnote>
  <w:footnote w:id="19">
    <w:p w14:paraId="25F1F407" w14:textId="77777777" w:rsidR="00E878D3" w:rsidRPr="00BC7670" w:rsidRDefault="00E878D3" w:rsidP="00E878D3">
      <w:pPr>
        <w:spacing w:after="0" w:line="240" w:lineRule="auto"/>
        <w:ind w:firstLine="709"/>
        <w:jc w:val="both"/>
        <w:rPr>
          <w:rFonts w:ascii="Verdana" w:hAnsi="Verdana" w:cs="Arial"/>
          <w:sz w:val="19"/>
          <w:szCs w:val="19"/>
        </w:rPr>
      </w:pPr>
      <w:r w:rsidRPr="00BC7670">
        <w:rPr>
          <w:rStyle w:val="Refdenotaalpie"/>
          <w:rFonts w:ascii="Verdana" w:hAnsi="Verdana" w:cs="Arial"/>
          <w:sz w:val="19"/>
          <w:szCs w:val="19"/>
        </w:rPr>
        <w:footnoteRef/>
      </w:r>
      <w:r w:rsidRPr="00BC7670">
        <w:rPr>
          <w:rFonts w:ascii="Verdana" w:hAnsi="Verdana" w:cs="Arial"/>
          <w:sz w:val="19"/>
          <w:szCs w:val="19"/>
        </w:rPr>
        <w:t xml:space="preserve"> En dicho Concepto, el Consejo de Estado señaló: “Ahora bien, en cuanto al cuestionamiento sobre la interpretación de la parte final del inciso 8º del numeral 5º del artículo 32, transcrito en el párrafo anterior, habría que entender que a la fiducia pública se le deben aplicar las normas contenidas en los artículos 1226 a 1244 del Código de Comercio, con las siguientes cuatro</w:t>
      </w:r>
      <w:r w:rsidRPr="00BC7670">
        <w:rPr>
          <w:rFonts w:ascii="Verdana" w:hAnsi="Verdana" w:cs="Arial"/>
          <w:spacing w:val="-4"/>
          <w:sz w:val="19"/>
          <w:szCs w:val="19"/>
        </w:rPr>
        <w:t xml:space="preserve"> </w:t>
      </w:r>
      <w:r w:rsidRPr="00BC7670">
        <w:rPr>
          <w:rFonts w:ascii="Verdana" w:hAnsi="Verdana" w:cs="Arial"/>
          <w:sz w:val="19"/>
          <w:szCs w:val="19"/>
        </w:rPr>
        <w:t>salvedades:</w:t>
      </w:r>
    </w:p>
    <w:p w14:paraId="4E2B6D4F" w14:textId="77777777" w:rsidR="00E878D3" w:rsidRPr="00BC7670" w:rsidRDefault="00E878D3" w:rsidP="00E878D3">
      <w:pPr>
        <w:widowControl w:val="0"/>
        <w:tabs>
          <w:tab w:val="left" w:pos="1273"/>
        </w:tabs>
        <w:autoSpaceDE w:val="0"/>
        <w:autoSpaceDN w:val="0"/>
        <w:spacing w:after="0" w:line="240" w:lineRule="auto"/>
        <w:ind w:firstLine="709"/>
        <w:jc w:val="both"/>
        <w:rPr>
          <w:rFonts w:ascii="Verdana" w:hAnsi="Verdana" w:cs="Arial"/>
          <w:sz w:val="19"/>
          <w:szCs w:val="19"/>
        </w:rPr>
      </w:pPr>
      <w:r w:rsidRPr="00BC7670">
        <w:rPr>
          <w:rFonts w:ascii="Verdana" w:hAnsi="Verdana" w:cs="Arial"/>
          <w:sz w:val="19"/>
          <w:szCs w:val="19"/>
        </w:rPr>
        <w:t>“1) La fiducia pública no implica transferencia de la propiedad de los bienes o recursos</w:t>
      </w:r>
      <w:r w:rsidRPr="00BC7670">
        <w:rPr>
          <w:rFonts w:ascii="Verdana" w:hAnsi="Verdana" w:cs="Arial"/>
          <w:spacing w:val="-2"/>
          <w:sz w:val="19"/>
          <w:szCs w:val="19"/>
        </w:rPr>
        <w:t xml:space="preserve"> </w:t>
      </w:r>
      <w:r w:rsidRPr="00BC7670">
        <w:rPr>
          <w:rFonts w:ascii="Verdana" w:hAnsi="Verdana" w:cs="Arial"/>
          <w:sz w:val="19"/>
          <w:szCs w:val="19"/>
        </w:rPr>
        <w:t>fideicomitidos.</w:t>
      </w:r>
    </w:p>
    <w:p w14:paraId="730D5573" w14:textId="77777777" w:rsidR="00E878D3" w:rsidRPr="00BC7670" w:rsidRDefault="00E878D3" w:rsidP="00E878D3">
      <w:pPr>
        <w:widowControl w:val="0"/>
        <w:tabs>
          <w:tab w:val="left" w:pos="1303"/>
        </w:tabs>
        <w:autoSpaceDE w:val="0"/>
        <w:autoSpaceDN w:val="0"/>
        <w:spacing w:after="0" w:line="240" w:lineRule="auto"/>
        <w:ind w:firstLine="709"/>
        <w:jc w:val="both"/>
        <w:rPr>
          <w:rFonts w:ascii="Verdana" w:hAnsi="Verdana" w:cs="Arial"/>
          <w:sz w:val="19"/>
          <w:szCs w:val="19"/>
        </w:rPr>
      </w:pPr>
      <w:r w:rsidRPr="00BC7670">
        <w:rPr>
          <w:rFonts w:ascii="Verdana" w:hAnsi="Verdana" w:cs="Arial"/>
          <w:sz w:val="19"/>
          <w:szCs w:val="19"/>
        </w:rPr>
        <w:t>“2) Tampoco constituye un patrimonio autónomo afecto a la finalidad de la fiducia, en manos de la sociedad</w:t>
      </w:r>
      <w:r w:rsidRPr="00BC7670">
        <w:rPr>
          <w:rFonts w:ascii="Verdana" w:hAnsi="Verdana" w:cs="Arial"/>
          <w:spacing w:val="-12"/>
          <w:sz w:val="19"/>
          <w:szCs w:val="19"/>
        </w:rPr>
        <w:t xml:space="preserve"> f</w:t>
      </w:r>
      <w:r w:rsidRPr="00BC7670">
        <w:rPr>
          <w:rFonts w:ascii="Verdana" w:hAnsi="Verdana" w:cs="Arial"/>
          <w:sz w:val="19"/>
          <w:szCs w:val="19"/>
        </w:rPr>
        <w:t>iduciaria.</w:t>
      </w:r>
    </w:p>
    <w:p w14:paraId="6194103D" w14:textId="77777777" w:rsidR="00E878D3" w:rsidRPr="00BC7670" w:rsidRDefault="00E878D3" w:rsidP="00E878D3">
      <w:pPr>
        <w:widowControl w:val="0"/>
        <w:tabs>
          <w:tab w:val="left" w:pos="1316"/>
        </w:tabs>
        <w:autoSpaceDE w:val="0"/>
        <w:autoSpaceDN w:val="0"/>
        <w:spacing w:after="0" w:line="240" w:lineRule="auto"/>
        <w:ind w:firstLine="709"/>
        <w:jc w:val="both"/>
        <w:rPr>
          <w:rFonts w:ascii="Verdana" w:hAnsi="Verdana" w:cs="Arial"/>
          <w:sz w:val="19"/>
          <w:szCs w:val="19"/>
        </w:rPr>
      </w:pPr>
      <w:r w:rsidRPr="00BC7670">
        <w:rPr>
          <w:rFonts w:ascii="Verdana" w:hAnsi="Verdana" w:cs="Arial"/>
          <w:sz w:val="19"/>
          <w:szCs w:val="19"/>
        </w:rPr>
        <w:t>“3) La adjudicación de los subcontratos debe ser realizada por la Entidad Estatal</w:t>
      </w:r>
      <w:r w:rsidRPr="00BC7670">
        <w:rPr>
          <w:rFonts w:ascii="Verdana" w:hAnsi="Verdana" w:cs="Arial"/>
          <w:spacing w:val="-2"/>
          <w:sz w:val="19"/>
          <w:szCs w:val="19"/>
        </w:rPr>
        <w:t xml:space="preserve"> </w:t>
      </w:r>
      <w:r w:rsidRPr="00BC7670">
        <w:rPr>
          <w:rFonts w:ascii="Verdana" w:hAnsi="Verdana" w:cs="Arial"/>
          <w:sz w:val="19"/>
          <w:szCs w:val="19"/>
        </w:rPr>
        <w:t>fideicomitente.</w:t>
      </w:r>
    </w:p>
    <w:p w14:paraId="083FF0EB" w14:textId="77777777" w:rsidR="00E878D3" w:rsidRPr="00BC7670" w:rsidRDefault="00E878D3" w:rsidP="00E878D3">
      <w:pPr>
        <w:widowControl w:val="0"/>
        <w:tabs>
          <w:tab w:val="left" w:pos="1256"/>
        </w:tabs>
        <w:autoSpaceDE w:val="0"/>
        <w:autoSpaceDN w:val="0"/>
        <w:spacing w:after="0" w:line="240" w:lineRule="auto"/>
        <w:ind w:firstLine="709"/>
        <w:jc w:val="both"/>
        <w:rPr>
          <w:rFonts w:ascii="Verdana" w:hAnsi="Verdana" w:cs="Arial"/>
          <w:sz w:val="19"/>
          <w:szCs w:val="19"/>
        </w:rPr>
      </w:pPr>
      <w:r w:rsidRPr="00BC7670">
        <w:rPr>
          <w:rFonts w:ascii="Verdana" w:hAnsi="Verdana" w:cs="Arial"/>
          <w:sz w:val="19"/>
          <w:szCs w:val="19"/>
        </w:rPr>
        <w:t>“4) No se puede pactar que la comisión de la sociedad fiduciaria sea tomada de los rendimientos del fideicomiso, salvo que éstos se encuentren presupuestados”.</w:t>
      </w:r>
    </w:p>
    <w:p w14:paraId="180A2B69" w14:textId="77777777" w:rsidR="00E878D3" w:rsidRPr="00BC7670" w:rsidRDefault="00E878D3" w:rsidP="00E878D3">
      <w:pPr>
        <w:widowControl w:val="0"/>
        <w:tabs>
          <w:tab w:val="left" w:pos="1256"/>
        </w:tabs>
        <w:autoSpaceDE w:val="0"/>
        <w:autoSpaceDN w:val="0"/>
        <w:spacing w:after="0" w:line="240" w:lineRule="auto"/>
        <w:ind w:firstLine="709"/>
        <w:jc w:val="both"/>
        <w:rPr>
          <w:rFonts w:ascii="Verdana" w:hAnsi="Verdana" w:cs="Arial"/>
          <w:sz w:val="19"/>
          <w:szCs w:val="19"/>
        </w:rPr>
      </w:pPr>
    </w:p>
  </w:footnote>
  <w:footnote w:id="20">
    <w:p w14:paraId="59300BEC" w14:textId="77777777" w:rsidR="00E878D3" w:rsidRPr="00BC7670" w:rsidRDefault="00E878D3" w:rsidP="00E878D3">
      <w:pPr>
        <w:pStyle w:val="Textonotapie"/>
        <w:ind w:firstLine="708"/>
        <w:jc w:val="both"/>
        <w:rPr>
          <w:rFonts w:ascii="Verdana" w:hAnsi="Verdana"/>
          <w:i/>
          <w:iCs/>
          <w:sz w:val="19"/>
          <w:szCs w:val="19"/>
          <w:lang w:val="es-CO"/>
        </w:rPr>
      </w:pPr>
      <w:r w:rsidRPr="00BC7670">
        <w:rPr>
          <w:rStyle w:val="Refdenotaalpie"/>
          <w:rFonts w:ascii="Verdana" w:hAnsi="Verdana"/>
          <w:sz w:val="19"/>
          <w:szCs w:val="19"/>
        </w:rPr>
        <w:footnoteRef/>
      </w:r>
      <w:r w:rsidRPr="00BC7670">
        <w:rPr>
          <w:rFonts w:ascii="Verdana" w:hAnsi="Verdana"/>
          <w:sz w:val="19"/>
          <w:szCs w:val="19"/>
        </w:rPr>
        <w:t xml:space="preserve"> “</w:t>
      </w:r>
      <w:r w:rsidRPr="00BC7670">
        <w:rPr>
          <w:rFonts w:ascii="Verdana" w:hAnsi="Verdana"/>
          <w:i/>
          <w:iCs/>
          <w:sz w:val="19"/>
          <w:szCs w:val="19"/>
          <w:lang w:val="es-CO"/>
        </w:rPr>
        <w:t>Por la cual se modifica la Ley 9 de 1989, y la Ley 2 de 1991 y se dictan otras disposiciones”.</w:t>
      </w:r>
    </w:p>
    <w:p w14:paraId="23464017" w14:textId="77777777" w:rsidR="00E878D3" w:rsidRPr="00BC7670" w:rsidRDefault="00E878D3" w:rsidP="00E878D3">
      <w:pPr>
        <w:pStyle w:val="Textonotapie"/>
        <w:ind w:firstLine="708"/>
        <w:jc w:val="both"/>
        <w:rPr>
          <w:rFonts w:ascii="Verdana" w:hAnsi="Verdana"/>
          <w:sz w:val="19"/>
          <w:szCs w:val="19"/>
        </w:rPr>
      </w:pPr>
    </w:p>
  </w:footnote>
  <w:footnote w:id="21">
    <w:p w14:paraId="591586A6" w14:textId="77777777" w:rsidR="00E878D3" w:rsidRPr="00E878D3" w:rsidRDefault="00E878D3" w:rsidP="00E878D3">
      <w:pPr>
        <w:spacing w:line="240" w:lineRule="auto"/>
        <w:ind w:firstLine="708"/>
        <w:jc w:val="both"/>
        <w:rPr>
          <w:rFonts w:ascii="Verdana" w:eastAsia="Times New Roman" w:hAnsi="Verdana" w:cs="Arial"/>
          <w:color w:val="000000"/>
          <w:sz w:val="19"/>
          <w:szCs w:val="19"/>
          <w:lang w:eastAsia="es-MX"/>
        </w:rPr>
      </w:pPr>
      <w:r w:rsidRPr="00E878D3">
        <w:rPr>
          <w:rStyle w:val="Refdenotaalpie"/>
          <w:rFonts w:ascii="Verdana" w:hAnsi="Verdana" w:cs="Arial"/>
          <w:color w:val="000000"/>
          <w:sz w:val="19"/>
          <w:szCs w:val="19"/>
        </w:rPr>
        <w:footnoteRef/>
      </w:r>
      <w:r w:rsidRPr="00E878D3">
        <w:rPr>
          <w:rFonts w:ascii="Verdana" w:hAnsi="Verdana" w:cs="Arial"/>
          <w:color w:val="000000"/>
          <w:sz w:val="19"/>
          <w:szCs w:val="19"/>
        </w:rPr>
        <w:t xml:space="preserve"> “</w:t>
      </w:r>
      <w:r w:rsidRPr="00E878D3">
        <w:rPr>
          <w:rFonts w:ascii="Verdana" w:eastAsia="Times New Roman" w:hAnsi="Verdana" w:cs="Arial"/>
          <w:color w:val="000000"/>
          <w:sz w:val="19"/>
          <w:szCs w:val="19"/>
          <w:lang w:eastAsia="es-MX"/>
        </w:rPr>
        <w:t>Por la cual se dictan normas tendientes a facilitar y promover el desarrollo urbano y el acceso a la vivienda y se dictan otras disposiciones”</w:t>
      </w:r>
    </w:p>
  </w:footnote>
  <w:footnote w:id="22">
    <w:p w14:paraId="29DB7568" w14:textId="77777777" w:rsidR="00E878D3" w:rsidRPr="00BC7670" w:rsidRDefault="00E878D3" w:rsidP="00E878D3">
      <w:pPr>
        <w:pStyle w:val="Textonotapie"/>
        <w:ind w:firstLine="708"/>
        <w:jc w:val="both"/>
        <w:rPr>
          <w:rFonts w:ascii="Verdana" w:hAnsi="Verdana" w:cs="Arial"/>
          <w:sz w:val="19"/>
          <w:szCs w:val="19"/>
        </w:rPr>
      </w:pPr>
      <w:r w:rsidRPr="00BC7670">
        <w:rPr>
          <w:rStyle w:val="Refdenotaalpie"/>
          <w:rFonts w:ascii="Verdana" w:hAnsi="Verdana" w:cs="Arial"/>
          <w:sz w:val="19"/>
          <w:szCs w:val="19"/>
        </w:rPr>
        <w:footnoteRef/>
      </w:r>
      <w:r w:rsidRPr="00BC7670">
        <w:rPr>
          <w:rFonts w:ascii="Verdana" w:hAnsi="Verdana" w:cs="Arial"/>
          <w:sz w:val="19"/>
          <w:szCs w:val="19"/>
        </w:rPr>
        <w:t xml:space="preserve"> Consejo de Estado, Sala de Consulta y Servicio Civil, Concepto de 4 de julio de 2003, C. P. César Hoyos Salazar, Radicación: 1502</w:t>
      </w:r>
    </w:p>
  </w:footnote>
  <w:footnote w:id="23">
    <w:p w14:paraId="6333EE39" w14:textId="77777777" w:rsidR="00E878D3" w:rsidRPr="00BC7670" w:rsidRDefault="00E878D3" w:rsidP="00E878D3">
      <w:pPr>
        <w:pStyle w:val="Textonotapie"/>
        <w:jc w:val="both"/>
        <w:rPr>
          <w:rFonts w:ascii="Verdana" w:hAnsi="Verdana" w:cs="Arial"/>
          <w:sz w:val="19"/>
          <w:szCs w:val="19"/>
        </w:rPr>
      </w:pPr>
    </w:p>
    <w:p w14:paraId="5A46D992" w14:textId="77777777" w:rsidR="00E878D3" w:rsidRPr="00E878D3" w:rsidRDefault="00E878D3" w:rsidP="00E878D3">
      <w:pPr>
        <w:pStyle w:val="Textonotapie"/>
        <w:ind w:firstLine="851"/>
        <w:jc w:val="both"/>
        <w:rPr>
          <w:rFonts w:ascii="Verdana" w:eastAsia="Times New Roman" w:hAnsi="Verdana" w:cs="Arial"/>
          <w:sz w:val="19"/>
          <w:szCs w:val="19"/>
          <w:lang w:val="es-ES_tradnl" w:eastAsia="es-CO"/>
        </w:rPr>
      </w:pPr>
      <w:r w:rsidRPr="00BC7670">
        <w:rPr>
          <w:rStyle w:val="Refdenotaalpie"/>
          <w:rFonts w:ascii="Verdana" w:hAnsi="Verdana" w:cs="Arial"/>
          <w:sz w:val="19"/>
          <w:szCs w:val="19"/>
        </w:rPr>
        <w:footnoteRef/>
      </w:r>
      <w:r w:rsidRPr="00BC7670">
        <w:rPr>
          <w:rFonts w:ascii="Verdana" w:hAnsi="Verdana" w:cs="Arial"/>
          <w:sz w:val="19"/>
          <w:szCs w:val="19"/>
        </w:rPr>
        <w:t xml:space="preserve"> Consejo de Estado. Sección Tercera, Subsección A. Sentencia </w:t>
      </w:r>
      <w:r w:rsidRPr="00E878D3">
        <w:rPr>
          <w:rFonts w:ascii="Verdana" w:eastAsia="Times New Roman" w:hAnsi="Verdana" w:cs="Arial"/>
          <w:sz w:val="19"/>
          <w:szCs w:val="19"/>
          <w:lang w:val="es-ES_tradnl" w:eastAsia="es-CO"/>
        </w:rPr>
        <w:t>del 15 de febrero de 2018. Radicado Nro. (55147). M.P.: Marta Nubia Velásquez Rico.</w:t>
      </w:r>
    </w:p>
    <w:p w14:paraId="6B15A036" w14:textId="77777777" w:rsidR="00E878D3" w:rsidRPr="00BC7670" w:rsidRDefault="00E878D3" w:rsidP="00E878D3">
      <w:pPr>
        <w:pStyle w:val="Textonotapie"/>
        <w:ind w:firstLine="708"/>
        <w:jc w:val="both"/>
        <w:rPr>
          <w:rFonts w:ascii="Verdana" w:hAnsi="Verdana" w:cs="Arial"/>
          <w:sz w:val="19"/>
          <w:szCs w:val="19"/>
          <w:lang w:val="es-ES_tradnl"/>
        </w:rPr>
      </w:pPr>
    </w:p>
  </w:footnote>
  <w:footnote w:id="24">
    <w:p w14:paraId="37B02038" w14:textId="77777777" w:rsidR="00E878D3" w:rsidRPr="00E878D3" w:rsidRDefault="00E878D3" w:rsidP="00E878D3">
      <w:pPr>
        <w:pStyle w:val="Textonotapie"/>
        <w:ind w:firstLine="708"/>
        <w:jc w:val="both"/>
        <w:rPr>
          <w:rFonts w:ascii="Verdana" w:hAnsi="Verdana" w:cs="Arial"/>
          <w:color w:val="000000"/>
          <w:sz w:val="19"/>
          <w:szCs w:val="19"/>
        </w:rPr>
      </w:pPr>
      <w:r w:rsidRPr="00BC7670">
        <w:rPr>
          <w:rStyle w:val="Refdenotaalpie"/>
          <w:rFonts w:ascii="Verdana" w:hAnsi="Verdana" w:cs="Arial"/>
          <w:sz w:val="19"/>
          <w:szCs w:val="19"/>
        </w:rPr>
        <w:footnoteRef/>
      </w:r>
      <w:r w:rsidRPr="00BC7670">
        <w:rPr>
          <w:rFonts w:ascii="Verdana" w:hAnsi="Verdana" w:cs="Arial"/>
          <w:sz w:val="19"/>
          <w:szCs w:val="19"/>
        </w:rPr>
        <w:t xml:space="preserve"> EXPÓSITO VÉLEZ, Juan Carlos. La contratación de proyectos de vivienda de interés social ¿régimen excepcional o aplicación del estatuto de contratación? Universidad Externado de Colombia. Revista digital de derecho administrativo, n.º 7, segundo semestre/2012, p. 100. Disponible en: </w:t>
      </w:r>
      <w:hyperlink r:id="rId2" w:history="1">
        <w:r w:rsidRPr="00E878D3">
          <w:rPr>
            <w:rStyle w:val="Hipervnculo"/>
            <w:rFonts w:ascii="Verdana" w:hAnsi="Verdana" w:cs="Arial"/>
            <w:color w:val="000000"/>
            <w:sz w:val="19"/>
            <w:szCs w:val="19"/>
          </w:rPr>
          <w:t>https://revistas.uexternado.edu.co/index.php/Deradm/article/view/3235</w:t>
        </w:r>
      </w:hyperlink>
      <w:r w:rsidRPr="00E878D3">
        <w:rPr>
          <w:rFonts w:ascii="Verdana" w:hAnsi="Verdana" w:cs="Arial"/>
          <w:color w:val="000000"/>
          <w:sz w:val="19"/>
          <w:szCs w:val="19"/>
        </w:rPr>
        <w:t>.</w:t>
      </w:r>
    </w:p>
    <w:p w14:paraId="7AD0CDB2" w14:textId="77777777" w:rsidR="00E878D3" w:rsidRPr="00BC7670" w:rsidRDefault="00E878D3" w:rsidP="00E878D3">
      <w:pPr>
        <w:pStyle w:val="Textonotapie"/>
        <w:ind w:firstLine="708"/>
        <w:jc w:val="both"/>
        <w:rPr>
          <w:rFonts w:ascii="Verdana" w:hAnsi="Verdana" w:cs="Arial"/>
          <w:sz w:val="19"/>
          <w:szCs w:val="19"/>
        </w:rPr>
      </w:pPr>
    </w:p>
  </w:footnote>
  <w:footnote w:id="25">
    <w:p w14:paraId="37701F33" w14:textId="77777777" w:rsidR="00E878D3" w:rsidRPr="00BC7670" w:rsidRDefault="00E878D3" w:rsidP="00E878D3">
      <w:pPr>
        <w:pStyle w:val="Textonotapie"/>
        <w:ind w:firstLine="708"/>
        <w:jc w:val="both"/>
        <w:rPr>
          <w:rFonts w:ascii="Verdana" w:hAnsi="Verdana"/>
          <w:sz w:val="19"/>
          <w:szCs w:val="19"/>
        </w:rPr>
      </w:pPr>
      <w:r w:rsidRPr="00BC7670">
        <w:rPr>
          <w:rStyle w:val="Refdenotaalpie"/>
          <w:rFonts w:ascii="Verdana" w:hAnsi="Verdana"/>
          <w:sz w:val="19"/>
          <w:szCs w:val="19"/>
        </w:rPr>
        <w:footnoteRef/>
      </w:r>
      <w:r w:rsidRPr="00BC7670">
        <w:rPr>
          <w:rFonts w:ascii="Verdana" w:hAnsi="Verdana"/>
          <w:sz w:val="19"/>
          <w:szCs w:val="19"/>
        </w:rPr>
        <w:t xml:space="preserve"> </w:t>
      </w:r>
      <w:r w:rsidRPr="00E878D3">
        <w:rPr>
          <w:rFonts w:ascii="Verdana" w:hAnsi="Verdana" w:cs="Arial"/>
          <w:color w:val="000000"/>
          <w:sz w:val="19"/>
          <w:szCs w:val="19"/>
          <w:lang w:val="es-ES_tradnl"/>
        </w:rPr>
        <w:t xml:space="preserve">Según el artículo 1°, esta norma tiene como objeto “reconocer la política pública del Estado que diseñe y adopte normas destinadas a complementar el marco normativo dentro del cual se formula y ejecuta la política habitacional urbana y rural en el país, con el fin de garantizar el ejercicio efectivo del derecho a una vivienda y hábitat dignos para todos los colombianos. La política pública de hábitat y vivienda, a través del Ministerio de Vivienda Ciudad y Territorio, diseñará los instrumentos técnicos, administrativos, jurídicos y financieros que se consideren necesarios para la asesoría e implementación de programas y proyectos habitacionales que contemplen de manera integral la producción de vivienda en las modalidades de adquisición, de vivienda, construcción de </w:t>
      </w:r>
      <w:r w:rsidRPr="00E878D3">
        <w:rPr>
          <w:rFonts w:ascii="Verdana" w:hAnsi="Verdana" w:cs="Arial"/>
          <w:i/>
          <w:iCs/>
          <w:color w:val="000000"/>
          <w:sz w:val="19"/>
          <w:szCs w:val="19"/>
          <w:lang w:val="es-ES_tradnl"/>
        </w:rPr>
        <w:t xml:space="preserve">vivienda de interés social </w:t>
      </w:r>
      <w:r w:rsidRPr="00E878D3">
        <w:rPr>
          <w:rFonts w:ascii="Verdana" w:hAnsi="Verdana" w:cs="Arial"/>
          <w:color w:val="000000"/>
          <w:sz w:val="19"/>
          <w:szCs w:val="19"/>
          <w:lang w:val="es-ES_tradnl"/>
        </w:rPr>
        <w:t>y prioritaria, mejoramiento de vivienda y entornos rurales dignos, orientados a la generación de la oferta requerida para satisfacer los requerimientos del país”.</w:t>
      </w:r>
    </w:p>
  </w:footnote>
  <w:footnote w:id="26">
    <w:p w14:paraId="6369B2D4" w14:textId="77777777" w:rsidR="00E878D3" w:rsidRDefault="00E878D3" w:rsidP="00E878D3">
      <w:pPr>
        <w:pStyle w:val="Textonotapie"/>
        <w:ind w:firstLine="708"/>
        <w:rPr>
          <w:rFonts w:ascii="Verdana" w:hAnsi="Verdana"/>
          <w:sz w:val="19"/>
          <w:szCs w:val="19"/>
        </w:rPr>
      </w:pPr>
      <w:r>
        <w:rPr>
          <w:rStyle w:val="Refdenotaalpie"/>
        </w:rPr>
        <w:footnoteRef/>
      </w:r>
      <w:r>
        <w:t xml:space="preserve"> </w:t>
      </w:r>
      <w:r w:rsidRPr="00BC7670">
        <w:rPr>
          <w:rFonts w:ascii="Verdana" w:hAnsi="Verdana"/>
          <w:sz w:val="19"/>
          <w:szCs w:val="19"/>
        </w:rPr>
        <w:t>Inciso c</w:t>
      </w:r>
      <w:r>
        <w:rPr>
          <w:rFonts w:ascii="Verdana" w:hAnsi="Verdana"/>
          <w:sz w:val="19"/>
          <w:szCs w:val="19"/>
        </w:rPr>
        <w:t>uarto</w:t>
      </w:r>
      <w:r w:rsidRPr="00BC7670">
        <w:rPr>
          <w:rFonts w:ascii="Verdana" w:hAnsi="Verdana"/>
          <w:sz w:val="19"/>
          <w:szCs w:val="19"/>
        </w:rPr>
        <w:t xml:space="preserve"> (</w:t>
      </w:r>
      <w:r>
        <w:rPr>
          <w:rFonts w:ascii="Verdana" w:hAnsi="Verdana"/>
          <w:sz w:val="19"/>
          <w:szCs w:val="19"/>
        </w:rPr>
        <w:t>4</w:t>
      </w:r>
      <w:r w:rsidRPr="00BC7670">
        <w:rPr>
          <w:rFonts w:ascii="Verdana" w:hAnsi="Verdana"/>
          <w:sz w:val="19"/>
          <w:szCs w:val="19"/>
        </w:rPr>
        <w:t>) del artículo 6 de la Ley 1537 de 2012.</w:t>
      </w:r>
    </w:p>
    <w:p w14:paraId="68FE5DE8" w14:textId="77777777" w:rsidR="00E878D3" w:rsidRPr="008F6718" w:rsidRDefault="00E878D3" w:rsidP="00E878D3">
      <w:pPr>
        <w:pStyle w:val="Textonotapie"/>
        <w:ind w:firstLine="708"/>
        <w:rPr>
          <w:lang w:val="es-ES_tradnl"/>
        </w:rPr>
      </w:pPr>
    </w:p>
  </w:footnote>
  <w:footnote w:id="27">
    <w:p w14:paraId="016586E5" w14:textId="77777777" w:rsidR="00E878D3" w:rsidRPr="00BC7670" w:rsidRDefault="00E878D3" w:rsidP="00E878D3">
      <w:pPr>
        <w:pStyle w:val="Textonotapie"/>
        <w:ind w:firstLine="708"/>
        <w:rPr>
          <w:rFonts w:ascii="Verdana" w:hAnsi="Verdana"/>
          <w:sz w:val="19"/>
          <w:szCs w:val="19"/>
          <w:lang w:val="es-ES_tradnl"/>
        </w:rPr>
      </w:pPr>
      <w:r w:rsidRPr="00BC7670">
        <w:rPr>
          <w:rStyle w:val="Refdenotaalpie"/>
          <w:rFonts w:ascii="Verdana" w:hAnsi="Verdana"/>
          <w:sz w:val="19"/>
          <w:szCs w:val="19"/>
        </w:rPr>
        <w:footnoteRef/>
      </w:r>
      <w:r>
        <w:rPr>
          <w:rFonts w:ascii="Verdana" w:hAnsi="Verdana" w:cs="Arial"/>
          <w:color w:val="000000"/>
          <w:sz w:val="19"/>
          <w:szCs w:val="19"/>
          <w:lang w:val="es-ES"/>
        </w:rPr>
        <w:t xml:space="preserve"> </w:t>
      </w:r>
      <w:r w:rsidRPr="00BC7670">
        <w:rPr>
          <w:rFonts w:ascii="Verdana" w:hAnsi="Verdana" w:cs="Arial"/>
          <w:color w:val="000000"/>
          <w:sz w:val="19"/>
          <w:szCs w:val="19"/>
          <w:lang w:val="es-ES"/>
        </w:rPr>
        <w:t>RENGIFO GARCÍA, Ernesto.</w:t>
      </w:r>
      <w:r w:rsidRPr="00BC7670">
        <w:rPr>
          <w:rFonts w:ascii="Verdana" w:hAnsi="Verdana"/>
          <w:sz w:val="19"/>
          <w:szCs w:val="19"/>
        </w:rPr>
        <w:t xml:space="preserve"> La fiducia mercantil y pública en Colombia</w:t>
      </w:r>
      <w:r w:rsidRPr="00BC7670">
        <w:rPr>
          <w:rFonts w:ascii="Verdana" w:hAnsi="Verdana" w:cs="Arial"/>
          <w:color w:val="000000"/>
          <w:sz w:val="19"/>
          <w:szCs w:val="19"/>
          <w:lang w:val="es-ES"/>
        </w:rPr>
        <w:t>, tercera edición 2012. pp. 103 a 104.</w:t>
      </w:r>
    </w:p>
  </w:footnote>
  <w:footnote w:id="28">
    <w:p w14:paraId="2EF4AB1A" w14:textId="77777777" w:rsidR="00E878D3" w:rsidRPr="00BC7670" w:rsidRDefault="00E878D3" w:rsidP="00E878D3">
      <w:pPr>
        <w:pStyle w:val="Textonotapie"/>
        <w:ind w:firstLine="708"/>
        <w:rPr>
          <w:rFonts w:ascii="Verdana" w:hAnsi="Verdana"/>
          <w:sz w:val="19"/>
          <w:szCs w:val="19"/>
          <w:lang w:val="es-ES_tradnl"/>
        </w:rPr>
      </w:pPr>
      <w:r w:rsidRPr="00BC7670">
        <w:rPr>
          <w:rStyle w:val="Refdenotaalpie"/>
          <w:rFonts w:ascii="Verdana" w:hAnsi="Verdana"/>
          <w:sz w:val="19"/>
          <w:szCs w:val="19"/>
        </w:rPr>
        <w:footnoteRef/>
      </w:r>
      <w:r w:rsidRPr="00BC7670">
        <w:rPr>
          <w:rFonts w:ascii="Verdana" w:hAnsi="Verdana"/>
          <w:sz w:val="19"/>
          <w:szCs w:val="19"/>
        </w:rPr>
        <w:t xml:space="preserve"> Inciso </w:t>
      </w:r>
      <w:r>
        <w:rPr>
          <w:rFonts w:ascii="Verdana" w:hAnsi="Verdana"/>
          <w:sz w:val="19"/>
          <w:szCs w:val="19"/>
        </w:rPr>
        <w:t xml:space="preserve">cinco </w:t>
      </w:r>
      <w:r w:rsidRPr="00BC7670">
        <w:rPr>
          <w:rFonts w:ascii="Verdana" w:hAnsi="Verdana"/>
          <w:sz w:val="19"/>
          <w:szCs w:val="19"/>
        </w:rPr>
        <w:t>(</w:t>
      </w:r>
      <w:r>
        <w:rPr>
          <w:rFonts w:ascii="Verdana" w:hAnsi="Verdana"/>
          <w:sz w:val="19"/>
          <w:szCs w:val="19"/>
        </w:rPr>
        <w:t>5</w:t>
      </w:r>
      <w:r w:rsidRPr="00BC7670">
        <w:rPr>
          <w:rFonts w:ascii="Verdana" w:hAnsi="Verdana"/>
          <w:sz w:val="19"/>
          <w:szCs w:val="19"/>
        </w:rPr>
        <w:t>) del artículo 6 de la Ley 1537 de 2012.</w:t>
      </w:r>
    </w:p>
  </w:footnote>
  <w:footnote w:id="29">
    <w:p w14:paraId="7B54C8DA" w14:textId="77777777" w:rsidR="00E878D3" w:rsidRPr="00BC7670" w:rsidRDefault="00E878D3" w:rsidP="00E878D3">
      <w:pPr>
        <w:pStyle w:val="Textonotapie"/>
        <w:ind w:firstLine="708"/>
        <w:jc w:val="both"/>
        <w:rPr>
          <w:rFonts w:ascii="Verdana" w:hAnsi="Verdana"/>
          <w:sz w:val="19"/>
          <w:szCs w:val="19"/>
          <w:lang w:val="es-ES_tradnl"/>
        </w:rPr>
      </w:pPr>
      <w:r w:rsidRPr="00BC7670">
        <w:rPr>
          <w:rStyle w:val="Refdenotaalpie"/>
          <w:rFonts w:ascii="Verdana" w:hAnsi="Verdana"/>
          <w:sz w:val="19"/>
          <w:szCs w:val="19"/>
        </w:rPr>
        <w:footnoteRef/>
      </w:r>
      <w:r w:rsidRPr="00BC7670">
        <w:rPr>
          <w:rFonts w:ascii="Verdana" w:hAnsi="Verdana"/>
          <w:sz w:val="19"/>
          <w:szCs w:val="19"/>
        </w:rPr>
        <w:t xml:space="preserve"> </w:t>
      </w:r>
      <w:r w:rsidRPr="00BC7670">
        <w:rPr>
          <w:rFonts w:ascii="Verdana" w:hAnsi="Verdana" w:cs="Arial"/>
          <w:color w:val="000000"/>
          <w:sz w:val="19"/>
          <w:szCs w:val="19"/>
          <w:lang w:val="es-ES"/>
        </w:rPr>
        <w:t>MANRIQUE NIETO, Carlos.</w:t>
      </w:r>
      <w:r w:rsidRPr="00BC7670">
        <w:rPr>
          <w:rFonts w:ascii="Verdana" w:hAnsi="Verdana"/>
          <w:sz w:val="19"/>
          <w:szCs w:val="19"/>
        </w:rPr>
        <w:t xml:space="preserve"> Fiduciarias, fiducia, encargos fiduciarios y titularización</w:t>
      </w:r>
      <w:r w:rsidRPr="00BC7670">
        <w:rPr>
          <w:rFonts w:ascii="Verdana" w:hAnsi="Verdana" w:cs="Arial"/>
          <w:color w:val="000000"/>
          <w:sz w:val="19"/>
          <w:szCs w:val="19"/>
          <w:lang w:val="es-ES"/>
        </w:rPr>
        <w:t>, 1994. pp. 17 a 21.</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4.4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0" w15:restartNumberingAfterBreak="0">
    <w:nsid w:val="3BF73ACB"/>
    <w:multiLevelType w:val="hybridMultilevel"/>
    <w:tmpl w:val="914A2AA6"/>
    <w:lvl w:ilvl="0" w:tplc="18722CAE">
      <w:start w:val="1"/>
      <w:numFmt w:val="decimal"/>
      <w:lvlText w:val="%1."/>
      <w:lvlJc w:val="left"/>
      <w:pPr>
        <w:ind w:left="1068" w:hanging="36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827985604">
    <w:abstractNumId w:val="9"/>
  </w:num>
  <w:num w:numId="17" w16cid:durableId="341274352">
    <w:abstractNumId w:val="0"/>
  </w:num>
  <w:num w:numId="18" w16cid:durableId="164419107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368C"/>
    <w:rsid w:val="00016F78"/>
    <w:rsid w:val="00021B61"/>
    <w:rsid w:val="0004017D"/>
    <w:rsid w:val="00043D16"/>
    <w:rsid w:val="00046945"/>
    <w:rsid w:val="00061B2A"/>
    <w:rsid w:val="00082362"/>
    <w:rsid w:val="00097F38"/>
    <w:rsid w:val="000A0197"/>
    <w:rsid w:val="000A683E"/>
    <w:rsid w:val="000B050A"/>
    <w:rsid w:val="000B19B9"/>
    <w:rsid w:val="000B1B61"/>
    <w:rsid w:val="000B37CA"/>
    <w:rsid w:val="000C431F"/>
    <w:rsid w:val="000C514C"/>
    <w:rsid w:val="000D0334"/>
    <w:rsid w:val="000D5DA7"/>
    <w:rsid w:val="000E17B1"/>
    <w:rsid w:val="000F6113"/>
    <w:rsid w:val="000F6486"/>
    <w:rsid w:val="001018CC"/>
    <w:rsid w:val="00110B6E"/>
    <w:rsid w:val="00116940"/>
    <w:rsid w:val="00125105"/>
    <w:rsid w:val="00127233"/>
    <w:rsid w:val="0015699B"/>
    <w:rsid w:val="001A33BF"/>
    <w:rsid w:val="001B7207"/>
    <w:rsid w:val="001E4177"/>
    <w:rsid w:val="001F0B24"/>
    <w:rsid w:val="001F138D"/>
    <w:rsid w:val="001F7DC6"/>
    <w:rsid w:val="0022400B"/>
    <w:rsid w:val="002421BB"/>
    <w:rsid w:val="00247F65"/>
    <w:rsid w:val="0025796E"/>
    <w:rsid w:val="0027039C"/>
    <w:rsid w:val="002707A2"/>
    <w:rsid w:val="002762B8"/>
    <w:rsid w:val="002949BF"/>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57A2E"/>
    <w:rsid w:val="00374F5E"/>
    <w:rsid w:val="00377E3E"/>
    <w:rsid w:val="00392509"/>
    <w:rsid w:val="003A4E16"/>
    <w:rsid w:val="003A779E"/>
    <w:rsid w:val="003B0C61"/>
    <w:rsid w:val="003B1AA3"/>
    <w:rsid w:val="003D0F4D"/>
    <w:rsid w:val="003D5B0D"/>
    <w:rsid w:val="003E0499"/>
    <w:rsid w:val="003E4F80"/>
    <w:rsid w:val="003E6439"/>
    <w:rsid w:val="003F3941"/>
    <w:rsid w:val="00406575"/>
    <w:rsid w:val="00414C74"/>
    <w:rsid w:val="0042722E"/>
    <w:rsid w:val="00437ADF"/>
    <w:rsid w:val="0044528D"/>
    <w:rsid w:val="00466E39"/>
    <w:rsid w:val="004A1847"/>
    <w:rsid w:val="004A305D"/>
    <w:rsid w:val="004D1C3F"/>
    <w:rsid w:val="004D3298"/>
    <w:rsid w:val="004F1E73"/>
    <w:rsid w:val="004F21C4"/>
    <w:rsid w:val="004F685F"/>
    <w:rsid w:val="00505DDB"/>
    <w:rsid w:val="005156AB"/>
    <w:rsid w:val="005566E8"/>
    <w:rsid w:val="00574867"/>
    <w:rsid w:val="00591460"/>
    <w:rsid w:val="005A65E0"/>
    <w:rsid w:val="005C3777"/>
    <w:rsid w:val="005C5CDC"/>
    <w:rsid w:val="005D476C"/>
    <w:rsid w:val="006200BF"/>
    <w:rsid w:val="006219F8"/>
    <w:rsid w:val="006270BA"/>
    <w:rsid w:val="006302F7"/>
    <w:rsid w:val="00637547"/>
    <w:rsid w:val="00637DA3"/>
    <w:rsid w:val="00646B9F"/>
    <w:rsid w:val="00654EF7"/>
    <w:rsid w:val="00665D70"/>
    <w:rsid w:val="00684BD1"/>
    <w:rsid w:val="006900D9"/>
    <w:rsid w:val="00706C16"/>
    <w:rsid w:val="007340C3"/>
    <w:rsid w:val="0075235A"/>
    <w:rsid w:val="00756841"/>
    <w:rsid w:val="007649AB"/>
    <w:rsid w:val="00771D0C"/>
    <w:rsid w:val="00773472"/>
    <w:rsid w:val="007833AC"/>
    <w:rsid w:val="007B268C"/>
    <w:rsid w:val="007B7171"/>
    <w:rsid w:val="007C0C0F"/>
    <w:rsid w:val="007C3DC2"/>
    <w:rsid w:val="007E5497"/>
    <w:rsid w:val="00806F5F"/>
    <w:rsid w:val="00820278"/>
    <w:rsid w:val="008258C9"/>
    <w:rsid w:val="00844AE9"/>
    <w:rsid w:val="00867F95"/>
    <w:rsid w:val="00877210"/>
    <w:rsid w:val="008843B6"/>
    <w:rsid w:val="00891928"/>
    <w:rsid w:val="008A0D59"/>
    <w:rsid w:val="008A446D"/>
    <w:rsid w:val="008B25F1"/>
    <w:rsid w:val="008D180B"/>
    <w:rsid w:val="008F0EA7"/>
    <w:rsid w:val="00923EEF"/>
    <w:rsid w:val="009419F9"/>
    <w:rsid w:val="00941D9D"/>
    <w:rsid w:val="0095685E"/>
    <w:rsid w:val="00961B09"/>
    <w:rsid w:val="00965334"/>
    <w:rsid w:val="0097093E"/>
    <w:rsid w:val="0099767C"/>
    <w:rsid w:val="009A0DFA"/>
    <w:rsid w:val="009A1C6F"/>
    <w:rsid w:val="009A2CE0"/>
    <w:rsid w:val="009B2D26"/>
    <w:rsid w:val="009C5C56"/>
    <w:rsid w:val="009C71FA"/>
    <w:rsid w:val="009C72E7"/>
    <w:rsid w:val="009C7F7E"/>
    <w:rsid w:val="009D3058"/>
    <w:rsid w:val="009E14C3"/>
    <w:rsid w:val="009F3A13"/>
    <w:rsid w:val="00A122D3"/>
    <w:rsid w:val="00A14468"/>
    <w:rsid w:val="00A17F13"/>
    <w:rsid w:val="00A20739"/>
    <w:rsid w:val="00A23AF9"/>
    <w:rsid w:val="00A33C78"/>
    <w:rsid w:val="00A56D08"/>
    <w:rsid w:val="00A92A30"/>
    <w:rsid w:val="00AB0ADB"/>
    <w:rsid w:val="00AF1DAF"/>
    <w:rsid w:val="00B00C0E"/>
    <w:rsid w:val="00B01B1A"/>
    <w:rsid w:val="00B020D9"/>
    <w:rsid w:val="00B0381D"/>
    <w:rsid w:val="00B44A47"/>
    <w:rsid w:val="00B72CD3"/>
    <w:rsid w:val="00B72FFF"/>
    <w:rsid w:val="00B843D1"/>
    <w:rsid w:val="00BC3D36"/>
    <w:rsid w:val="00BD54A6"/>
    <w:rsid w:val="00BD7F72"/>
    <w:rsid w:val="00BF7425"/>
    <w:rsid w:val="00C02D1E"/>
    <w:rsid w:val="00C04FB3"/>
    <w:rsid w:val="00C065FF"/>
    <w:rsid w:val="00C11D8B"/>
    <w:rsid w:val="00C14323"/>
    <w:rsid w:val="00C15139"/>
    <w:rsid w:val="00C330EB"/>
    <w:rsid w:val="00C34011"/>
    <w:rsid w:val="00C50D69"/>
    <w:rsid w:val="00C5365C"/>
    <w:rsid w:val="00C754BE"/>
    <w:rsid w:val="00C76B1C"/>
    <w:rsid w:val="00C90885"/>
    <w:rsid w:val="00C925AC"/>
    <w:rsid w:val="00CB3AF5"/>
    <w:rsid w:val="00CB6357"/>
    <w:rsid w:val="00CB78E2"/>
    <w:rsid w:val="00CC1B26"/>
    <w:rsid w:val="00CF22B9"/>
    <w:rsid w:val="00D27534"/>
    <w:rsid w:val="00D357C0"/>
    <w:rsid w:val="00D361FD"/>
    <w:rsid w:val="00D423A2"/>
    <w:rsid w:val="00D44E26"/>
    <w:rsid w:val="00D520D8"/>
    <w:rsid w:val="00D63AC2"/>
    <w:rsid w:val="00D7383B"/>
    <w:rsid w:val="00D7788A"/>
    <w:rsid w:val="00D809A4"/>
    <w:rsid w:val="00DA231B"/>
    <w:rsid w:val="00DA358E"/>
    <w:rsid w:val="00DA57CB"/>
    <w:rsid w:val="00DC39FC"/>
    <w:rsid w:val="00DF5254"/>
    <w:rsid w:val="00E015B0"/>
    <w:rsid w:val="00E02524"/>
    <w:rsid w:val="00E1265E"/>
    <w:rsid w:val="00E16408"/>
    <w:rsid w:val="00E20894"/>
    <w:rsid w:val="00E245AB"/>
    <w:rsid w:val="00E2764C"/>
    <w:rsid w:val="00E27EC2"/>
    <w:rsid w:val="00E27F2E"/>
    <w:rsid w:val="00E34341"/>
    <w:rsid w:val="00E45792"/>
    <w:rsid w:val="00E50AFE"/>
    <w:rsid w:val="00E62278"/>
    <w:rsid w:val="00E75C92"/>
    <w:rsid w:val="00E771DC"/>
    <w:rsid w:val="00E8772A"/>
    <w:rsid w:val="00E878D3"/>
    <w:rsid w:val="00E90F6B"/>
    <w:rsid w:val="00E92C27"/>
    <w:rsid w:val="00EA0E3D"/>
    <w:rsid w:val="00EA22E5"/>
    <w:rsid w:val="00EB27D4"/>
    <w:rsid w:val="00EC38A7"/>
    <w:rsid w:val="00EE1AA8"/>
    <w:rsid w:val="00F23FEA"/>
    <w:rsid w:val="00F31EDC"/>
    <w:rsid w:val="00F35CE5"/>
    <w:rsid w:val="00F44209"/>
    <w:rsid w:val="00F462B3"/>
    <w:rsid w:val="00F5664F"/>
    <w:rsid w:val="00F666C4"/>
    <w:rsid w:val="00F76AFC"/>
    <w:rsid w:val="00FA47C0"/>
    <w:rsid w:val="00FA57EB"/>
    <w:rsid w:val="00FB5DD1"/>
    <w:rsid w:val="00FC2B5D"/>
    <w:rsid w:val="00FE1CD4"/>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478D979"/>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paragraph" w:styleId="Ttulo1">
    <w:name w:val="heading 1"/>
    <w:basedOn w:val="Normal"/>
    <w:next w:val="Normal"/>
    <w:link w:val="Ttulo1Car"/>
    <w:uiPriority w:val="9"/>
    <w:qFormat/>
    <w:rsid w:val="00E878D3"/>
    <w:pPr>
      <w:keepNext/>
      <w:keepLines/>
      <w:spacing w:before="240" w:after="0"/>
      <w:outlineLvl w:val="0"/>
    </w:pPr>
    <w:rPr>
      <w:rFonts w:ascii="Aptos Display" w:eastAsia="Times New Roman" w:hAnsi="Aptos Display" w:cs="Times New Roman"/>
      <w:color w:val="0F4761"/>
      <w:sz w:val="40"/>
      <w:szCs w:val="40"/>
    </w:rPr>
  </w:style>
  <w:style w:type="paragraph" w:styleId="Ttulo2">
    <w:name w:val="heading 2"/>
    <w:basedOn w:val="Normal"/>
    <w:next w:val="Normal"/>
    <w:link w:val="Ttulo2Car"/>
    <w:uiPriority w:val="9"/>
    <w:semiHidden/>
    <w:unhideWhenUsed/>
    <w:qFormat/>
    <w:rsid w:val="00E878D3"/>
    <w:pPr>
      <w:keepNext/>
      <w:keepLines/>
      <w:spacing w:before="40" w:after="0"/>
      <w:outlineLvl w:val="1"/>
    </w:pPr>
    <w:rPr>
      <w:rFonts w:ascii="Aptos Display" w:eastAsia="Times New Roman" w:hAnsi="Aptos Display" w:cs="Times New Roman"/>
      <w:color w:val="0F4761"/>
      <w:sz w:val="32"/>
      <w:szCs w:val="32"/>
    </w:rPr>
  </w:style>
  <w:style w:type="paragraph" w:styleId="Ttulo3">
    <w:name w:val="heading 3"/>
    <w:basedOn w:val="Normal"/>
    <w:next w:val="Normal"/>
    <w:link w:val="Ttulo3Car"/>
    <w:uiPriority w:val="9"/>
    <w:semiHidden/>
    <w:unhideWhenUsed/>
    <w:qFormat/>
    <w:rsid w:val="00E878D3"/>
    <w:pPr>
      <w:keepNext/>
      <w:keepLines/>
      <w:spacing w:before="40" w:after="0"/>
      <w:outlineLvl w:val="2"/>
    </w:pPr>
    <w:rPr>
      <w:rFonts w:eastAsia="Times New Roman" w:cs="Times New Roman"/>
      <w:color w:val="0F4761"/>
      <w:sz w:val="28"/>
      <w:szCs w:val="28"/>
    </w:rPr>
  </w:style>
  <w:style w:type="paragraph" w:styleId="Ttulo4">
    <w:name w:val="heading 4"/>
    <w:basedOn w:val="Normal"/>
    <w:next w:val="Normal"/>
    <w:link w:val="Ttulo4Car"/>
    <w:uiPriority w:val="9"/>
    <w:semiHidden/>
    <w:unhideWhenUsed/>
    <w:qFormat/>
    <w:rsid w:val="00E878D3"/>
    <w:pPr>
      <w:keepNext/>
      <w:keepLines/>
      <w:spacing w:before="40" w:after="0"/>
      <w:outlineLvl w:val="3"/>
    </w:pPr>
    <w:rPr>
      <w:rFonts w:eastAsia="Times New Roman" w:cs="Times New Roman"/>
      <w:i/>
      <w:iCs/>
      <w:color w:val="0F4761"/>
    </w:rPr>
  </w:style>
  <w:style w:type="paragraph" w:styleId="Ttulo5">
    <w:name w:val="heading 5"/>
    <w:basedOn w:val="Normal"/>
    <w:next w:val="Normal"/>
    <w:link w:val="Ttulo5Car"/>
    <w:uiPriority w:val="9"/>
    <w:semiHidden/>
    <w:unhideWhenUsed/>
    <w:qFormat/>
    <w:rsid w:val="00E878D3"/>
    <w:pPr>
      <w:keepNext/>
      <w:keepLines/>
      <w:spacing w:before="40" w:after="0"/>
      <w:outlineLvl w:val="4"/>
    </w:pPr>
    <w:rPr>
      <w:rFonts w:eastAsia="Times New Roman" w:cs="Times New Roman"/>
      <w:color w:val="0F4761"/>
    </w:rPr>
  </w:style>
  <w:style w:type="paragraph" w:styleId="Ttulo6">
    <w:name w:val="heading 6"/>
    <w:basedOn w:val="Normal"/>
    <w:next w:val="Normal"/>
    <w:link w:val="Ttulo6Car"/>
    <w:uiPriority w:val="9"/>
    <w:semiHidden/>
    <w:unhideWhenUsed/>
    <w:qFormat/>
    <w:rsid w:val="00E878D3"/>
    <w:pPr>
      <w:keepNext/>
      <w:keepLines/>
      <w:spacing w:before="40" w:after="0"/>
      <w:outlineLvl w:val="5"/>
    </w:pPr>
    <w:rPr>
      <w:rFonts w:eastAsia="Times New Roman" w:cs="Times New Roman"/>
      <w:i/>
      <w:iCs/>
      <w:color w:val="595959"/>
    </w:rPr>
  </w:style>
  <w:style w:type="paragraph" w:styleId="Ttulo7">
    <w:name w:val="heading 7"/>
    <w:basedOn w:val="Normal"/>
    <w:next w:val="Normal"/>
    <w:link w:val="Ttulo7Car"/>
    <w:uiPriority w:val="9"/>
    <w:semiHidden/>
    <w:unhideWhenUsed/>
    <w:qFormat/>
    <w:rsid w:val="00E878D3"/>
    <w:pPr>
      <w:keepNext/>
      <w:keepLines/>
      <w:spacing w:before="40" w:after="0"/>
      <w:outlineLvl w:val="6"/>
    </w:pPr>
    <w:rPr>
      <w:rFonts w:eastAsia="Times New Roman" w:cs="Times New Roman"/>
      <w:color w:val="595959"/>
    </w:rPr>
  </w:style>
  <w:style w:type="paragraph" w:styleId="Ttulo8">
    <w:name w:val="heading 8"/>
    <w:basedOn w:val="Normal"/>
    <w:next w:val="Normal"/>
    <w:link w:val="Ttulo8Car"/>
    <w:uiPriority w:val="9"/>
    <w:semiHidden/>
    <w:unhideWhenUsed/>
    <w:qFormat/>
    <w:rsid w:val="00E878D3"/>
    <w:pPr>
      <w:keepNext/>
      <w:keepLines/>
      <w:spacing w:before="40" w:after="0"/>
      <w:outlineLvl w:val="7"/>
    </w:pPr>
    <w:rPr>
      <w:rFonts w:eastAsia="Times New Roman" w:cs="Times New Roman"/>
      <w:i/>
      <w:iCs/>
      <w:color w:val="272727"/>
    </w:rPr>
  </w:style>
  <w:style w:type="paragraph" w:styleId="Ttulo9">
    <w:name w:val="heading 9"/>
    <w:basedOn w:val="Normal"/>
    <w:next w:val="Normal"/>
    <w:link w:val="Ttulo9Car"/>
    <w:uiPriority w:val="9"/>
    <w:semiHidden/>
    <w:unhideWhenUsed/>
    <w:qFormat/>
    <w:rsid w:val="00E878D3"/>
    <w:pPr>
      <w:keepNext/>
      <w:keepLines/>
      <w:spacing w:before="40" w:after="0"/>
      <w:outlineLvl w:val="8"/>
    </w:pPr>
    <w:rPr>
      <w:rFonts w:eastAsia="Times New Roman" w:cs="Times New Roman"/>
      <w:color w:val="272727"/>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Ttulo11">
    <w:name w:val="Título 11"/>
    <w:basedOn w:val="Normal"/>
    <w:next w:val="Normal"/>
    <w:uiPriority w:val="9"/>
    <w:qFormat/>
    <w:rsid w:val="00E878D3"/>
    <w:pPr>
      <w:keepNext/>
      <w:keepLines/>
      <w:spacing w:before="360" w:after="80" w:line="278" w:lineRule="auto"/>
      <w:outlineLvl w:val="0"/>
    </w:pPr>
    <w:rPr>
      <w:rFonts w:ascii="Aptos Display" w:eastAsia="Times New Roman" w:hAnsi="Aptos Display" w:cs="Times New Roman"/>
      <w:color w:val="0F4761"/>
      <w:kern w:val="2"/>
      <w:sz w:val="40"/>
      <w:szCs w:val="40"/>
      <w14:ligatures w14:val="standardContextual"/>
    </w:rPr>
  </w:style>
  <w:style w:type="paragraph" w:customStyle="1" w:styleId="Ttulo21">
    <w:name w:val="Título 21"/>
    <w:basedOn w:val="Normal"/>
    <w:next w:val="Normal"/>
    <w:uiPriority w:val="9"/>
    <w:semiHidden/>
    <w:unhideWhenUsed/>
    <w:qFormat/>
    <w:rsid w:val="00E878D3"/>
    <w:pPr>
      <w:keepNext/>
      <w:keepLines/>
      <w:spacing w:before="160" w:after="80" w:line="278" w:lineRule="auto"/>
      <w:outlineLvl w:val="1"/>
    </w:pPr>
    <w:rPr>
      <w:rFonts w:ascii="Aptos Display" w:eastAsia="Times New Roman" w:hAnsi="Aptos Display" w:cs="Times New Roman"/>
      <w:color w:val="0F4761"/>
      <w:kern w:val="2"/>
      <w:sz w:val="32"/>
      <w:szCs w:val="32"/>
      <w14:ligatures w14:val="standardContextual"/>
    </w:rPr>
  </w:style>
  <w:style w:type="paragraph" w:customStyle="1" w:styleId="Ttulo31">
    <w:name w:val="Título 31"/>
    <w:basedOn w:val="Normal"/>
    <w:next w:val="Normal"/>
    <w:uiPriority w:val="9"/>
    <w:semiHidden/>
    <w:unhideWhenUsed/>
    <w:qFormat/>
    <w:rsid w:val="00E878D3"/>
    <w:pPr>
      <w:keepNext/>
      <w:keepLines/>
      <w:spacing w:before="160" w:after="80" w:line="278" w:lineRule="auto"/>
      <w:outlineLvl w:val="2"/>
    </w:pPr>
    <w:rPr>
      <w:rFonts w:eastAsia="Times New Roman" w:cs="Times New Roman"/>
      <w:color w:val="0F4761"/>
      <w:kern w:val="2"/>
      <w:sz w:val="28"/>
      <w:szCs w:val="28"/>
      <w14:ligatures w14:val="standardContextual"/>
    </w:rPr>
  </w:style>
  <w:style w:type="paragraph" w:customStyle="1" w:styleId="Ttulo41">
    <w:name w:val="Título 41"/>
    <w:basedOn w:val="Normal"/>
    <w:next w:val="Normal"/>
    <w:uiPriority w:val="9"/>
    <w:semiHidden/>
    <w:unhideWhenUsed/>
    <w:qFormat/>
    <w:rsid w:val="00E878D3"/>
    <w:pPr>
      <w:keepNext/>
      <w:keepLines/>
      <w:spacing w:before="80" w:after="40" w:line="278" w:lineRule="auto"/>
      <w:outlineLvl w:val="3"/>
    </w:pPr>
    <w:rPr>
      <w:rFonts w:eastAsia="Times New Roman" w:cs="Times New Roman"/>
      <w:i/>
      <w:iCs/>
      <w:color w:val="0F4761"/>
      <w:kern w:val="2"/>
      <w:sz w:val="24"/>
      <w:szCs w:val="24"/>
      <w14:ligatures w14:val="standardContextual"/>
    </w:rPr>
  </w:style>
  <w:style w:type="paragraph" w:customStyle="1" w:styleId="Ttulo51">
    <w:name w:val="Título 51"/>
    <w:basedOn w:val="Normal"/>
    <w:next w:val="Normal"/>
    <w:uiPriority w:val="9"/>
    <w:semiHidden/>
    <w:unhideWhenUsed/>
    <w:qFormat/>
    <w:rsid w:val="00E878D3"/>
    <w:pPr>
      <w:keepNext/>
      <w:keepLines/>
      <w:spacing w:before="80" w:after="40" w:line="278" w:lineRule="auto"/>
      <w:outlineLvl w:val="4"/>
    </w:pPr>
    <w:rPr>
      <w:rFonts w:eastAsia="Times New Roman" w:cs="Times New Roman"/>
      <w:color w:val="0F4761"/>
      <w:kern w:val="2"/>
      <w:sz w:val="24"/>
      <w:szCs w:val="24"/>
      <w14:ligatures w14:val="standardContextual"/>
    </w:rPr>
  </w:style>
  <w:style w:type="paragraph" w:customStyle="1" w:styleId="Ttulo61">
    <w:name w:val="Título 61"/>
    <w:basedOn w:val="Normal"/>
    <w:next w:val="Normal"/>
    <w:uiPriority w:val="9"/>
    <w:semiHidden/>
    <w:unhideWhenUsed/>
    <w:qFormat/>
    <w:rsid w:val="00E878D3"/>
    <w:pPr>
      <w:keepNext/>
      <w:keepLines/>
      <w:spacing w:before="40" w:after="0" w:line="278" w:lineRule="auto"/>
      <w:outlineLvl w:val="5"/>
    </w:pPr>
    <w:rPr>
      <w:rFonts w:eastAsia="Times New Roman" w:cs="Times New Roman"/>
      <w:i/>
      <w:iCs/>
      <w:color w:val="595959"/>
      <w:kern w:val="2"/>
      <w:sz w:val="24"/>
      <w:szCs w:val="24"/>
      <w14:ligatures w14:val="standardContextual"/>
    </w:rPr>
  </w:style>
  <w:style w:type="paragraph" w:customStyle="1" w:styleId="Ttulo71">
    <w:name w:val="Título 71"/>
    <w:basedOn w:val="Normal"/>
    <w:next w:val="Normal"/>
    <w:uiPriority w:val="9"/>
    <w:semiHidden/>
    <w:unhideWhenUsed/>
    <w:qFormat/>
    <w:rsid w:val="00E878D3"/>
    <w:pPr>
      <w:keepNext/>
      <w:keepLines/>
      <w:spacing w:before="40" w:after="0" w:line="278" w:lineRule="auto"/>
      <w:outlineLvl w:val="6"/>
    </w:pPr>
    <w:rPr>
      <w:rFonts w:eastAsia="Times New Roman" w:cs="Times New Roman"/>
      <w:color w:val="595959"/>
      <w:kern w:val="2"/>
      <w:sz w:val="24"/>
      <w:szCs w:val="24"/>
      <w14:ligatures w14:val="standardContextual"/>
    </w:rPr>
  </w:style>
  <w:style w:type="paragraph" w:customStyle="1" w:styleId="Ttulo81">
    <w:name w:val="Título 81"/>
    <w:basedOn w:val="Normal"/>
    <w:next w:val="Normal"/>
    <w:uiPriority w:val="9"/>
    <w:semiHidden/>
    <w:unhideWhenUsed/>
    <w:qFormat/>
    <w:rsid w:val="00E878D3"/>
    <w:pPr>
      <w:keepNext/>
      <w:keepLines/>
      <w:spacing w:after="0" w:line="278" w:lineRule="auto"/>
      <w:outlineLvl w:val="7"/>
    </w:pPr>
    <w:rPr>
      <w:rFonts w:eastAsia="Times New Roman" w:cs="Times New Roman"/>
      <w:i/>
      <w:iCs/>
      <w:color w:val="272727"/>
      <w:kern w:val="2"/>
      <w:sz w:val="24"/>
      <w:szCs w:val="24"/>
      <w14:ligatures w14:val="standardContextual"/>
    </w:rPr>
  </w:style>
  <w:style w:type="paragraph" w:customStyle="1" w:styleId="Ttulo91">
    <w:name w:val="Título 91"/>
    <w:basedOn w:val="Normal"/>
    <w:next w:val="Normal"/>
    <w:uiPriority w:val="9"/>
    <w:semiHidden/>
    <w:unhideWhenUsed/>
    <w:qFormat/>
    <w:rsid w:val="00E878D3"/>
    <w:pPr>
      <w:keepNext/>
      <w:keepLines/>
      <w:spacing w:after="0" w:line="278" w:lineRule="auto"/>
      <w:outlineLvl w:val="8"/>
    </w:pPr>
    <w:rPr>
      <w:rFonts w:eastAsia="Times New Roman" w:cs="Times New Roman"/>
      <w:color w:val="272727"/>
      <w:kern w:val="2"/>
      <w:sz w:val="24"/>
      <w:szCs w:val="24"/>
      <w14:ligatures w14:val="standardContextual"/>
    </w:rPr>
  </w:style>
  <w:style w:type="numbering" w:customStyle="1" w:styleId="Sinlista1">
    <w:name w:val="Sin lista1"/>
    <w:next w:val="Sinlista"/>
    <w:uiPriority w:val="99"/>
    <w:semiHidden/>
    <w:unhideWhenUsed/>
    <w:rsid w:val="00E878D3"/>
  </w:style>
  <w:style w:type="character" w:customStyle="1" w:styleId="Ttulo1Car">
    <w:name w:val="Título 1 Car"/>
    <w:basedOn w:val="Fuentedeprrafopredeter"/>
    <w:link w:val="Ttulo1"/>
    <w:uiPriority w:val="9"/>
    <w:rsid w:val="00E878D3"/>
    <w:rPr>
      <w:rFonts w:ascii="Aptos Display" w:eastAsia="Times New Roman" w:hAnsi="Aptos Display" w:cs="Times New Roman"/>
      <w:color w:val="0F4761"/>
      <w:sz w:val="40"/>
      <w:szCs w:val="40"/>
    </w:rPr>
  </w:style>
  <w:style w:type="character" w:customStyle="1" w:styleId="Ttulo2Car">
    <w:name w:val="Título 2 Car"/>
    <w:basedOn w:val="Fuentedeprrafopredeter"/>
    <w:link w:val="Ttulo2"/>
    <w:uiPriority w:val="9"/>
    <w:semiHidden/>
    <w:rsid w:val="00E878D3"/>
    <w:rPr>
      <w:rFonts w:ascii="Aptos Display" w:eastAsia="Times New Roman" w:hAnsi="Aptos Display" w:cs="Times New Roman"/>
      <w:color w:val="0F4761"/>
      <w:sz w:val="32"/>
      <w:szCs w:val="32"/>
    </w:rPr>
  </w:style>
  <w:style w:type="character" w:customStyle="1" w:styleId="Ttulo3Car">
    <w:name w:val="Título 3 Car"/>
    <w:basedOn w:val="Fuentedeprrafopredeter"/>
    <w:link w:val="Ttulo3"/>
    <w:uiPriority w:val="9"/>
    <w:semiHidden/>
    <w:rsid w:val="00E878D3"/>
    <w:rPr>
      <w:rFonts w:eastAsia="Times New Roman" w:cs="Times New Roman"/>
      <w:color w:val="0F4761"/>
      <w:sz w:val="28"/>
      <w:szCs w:val="28"/>
    </w:rPr>
  </w:style>
  <w:style w:type="character" w:customStyle="1" w:styleId="Ttulo4Car">
    <w:name w:val="Título 4 Car"/>
    <w:basedOn w:val="Fuentedeprrafopredeter"/>
    <w:link w:val="Ttulo4"/>
    <w:uiPriority w:val="9"/>
    <w:semiHidden/>
    <w:rsid w:val="00E878D3"/>
    <w:rPr>
      <w:rFonts w:eastAsia="Times New Roman" w:cs="Times New Roman"/>
      <w:i/>
      <w:iCs/>
      <w:color w:val="0F4761"/>
    </w:rPr>
  </w:style>
  <w:style w:type="character" w:customStyle="1" w:styleId="Ttulo5Car">
    <w:name w:val="Título 5 Car"/>
    <w:basedOn w:val="Fuentedeprrafopredeter"/>
    <w:link w:val="Ttulo5"/>
    <w:uiPriority w:val="9"/>
    <w:semiHidden/>
    <w:rsid w:val="00E878D3"/>
    <w:rPr>
      <w:rFonts w:eastAsia="Times New Roman" w:cs="Times New Roman"/>
      <w:color w:val="0F4761"/>
    </w:rPr>
  </w:style>
  <w:style w:type="character" w:customStyle="1" w:styleId="Ttulo6Car">
    <w:name w:val="Título 6 Car"/>
    <w:basedOn w:val="Fuentedeprrafopredeter"/>
    <w:link w:val="Ttulo6"/>
    <w:uiPriority w:val="9"/>
    <w:semiHidden/>
    <w:rsid w:val="00E878D3"/>
    <w:rPr>
      <w:rFonts w:eastAsia="Times New Roman" w:cs="Times New Roman"/>
      <w:i/>
      <w:iCs/>
      <w:color w:val="595959"/>
    </w:rPr>
  </w:style>
  <w:style w:type="character" w:customStyle="1" w:styleId="Ttulo7Car">
    <w:name w:val="Título 7 Car"/>
    <w:basedOn w:val="Fuentedeprrafopredeter"/>
    <w:link w:val="Ttulo7"/>
    <w:uiPriority w:val="9"/>
    <w:semiHidden/>
    <w:rsid w:val="00E878D3"/>
    <w:rPr>
      <w:rFonts w:eastAsia="Times New Roman" w:cs="Times New Roman"/>
      <w:color w:val="595959"/>
    </w:rPr>
  </w:style>
  <w:style w:type="character" w:customStyle="1" w:styleId="Ttulo8Car">
    <w:name w:val="Título 8 Car"/>
    <w:basedOn w:val="Fuentedeprrafopredeter"/>
    <w:link w:val="Ttulo8"/>
    <w:uiPriority w:val="9"/>
    <w:semiHidden/>
    <w:rsid w:val="00E878D3"/>
    <w:rPr>
      <w:rFonts w:eastAsia="Times New Roman" w:cs="Times New Roman"/>
      <w:i/>
      <w:iCs/>
      <w:color w:val="272727"/>
    </w:rPr>
  </w:style>
  <w:style w:type="character" w:customStyle="1" w:styleId="Ttulo9Car">
    <w:name w:val="Título 9 Car"/>
    <w:basedOn w:val="Fuentedeprrafopredeter"/>
    <w:link w:val="Ttulo9"/>
    <w:uiPriority w:val="9"/>
    <w:semiHidden/>
    <w:rsid w:val="00E878D3"/>
    <w:rPr>
      <w:rFonts w:eastAsia="Times New Roman" w:cs="Times New Roman"/>
      <w:color w:val="272727"/>
    </w:rPr>
  </w:style>
  <w:style w:type="paragraph" w:customStyle="1" w:styleId="Subttulo1">
    <w:name w:val="Subtítulo1"/>
    <w:basedOn w:val="Normal"/>
    <w:next w:val="Normal"/>
    <w:uiPriority w:val="11"/>
    <w:qFormat/>
    <w:rsid w:val="00E878D3"/>
    <w:pPr>
      <w:numPr>
        <w:ilvl w:val="1"/>
      </w:numPr>
      <w:spacing w:line="278" w:lineRule="auto"/>
    </w:pPr>
    <w:rPr>
      <w:rFonts w:eastAsia="Times New Roman" w:cs="Times New Roman"/>
      <w:color w:val="595959"/>
      <w:spacing w:val="15"/>
      <w:kern w:val="2"/>
      <w:sz w:val="28"/>
      <w:szCs w:val="28"/>
      <w14:ligatures w14:val="standardContextual"/>
    </w:rPr>
  </w:style>
  <w:style w:type="character" w:customStyle="1" w:styleId="SubttuloCar">
    <w:name w:val="Subtítulo Car"/>
    <w:basedOn w:val="Fuentedeprrafopredeter"/>
    <w:link w:val="Subttulo"/>
    <w:uiPriority w:val="11"/>
    <w:rsid w:val="00E878D3"/>
    <w:rPr>
      <w:rFonts w:eastAsia="Times New Roman" w:cs="Times New Roman"/>
      <w:color w:val="595959"/>
      <w:spacing w:val="15"/>
      <w:sz w:val="28"/>
      <w:szCs w:val="28"/>
    </w:rPr>
  </w:style>
  <w:style w:type="paragraph" w:customStyle="1" w:styleId="Cita1">
    <w:name w:val="Cita1"/>
    <w:basedOn w:val="Normal"/>
    <w:next w:val="Normal"/>
    <w:uiPriority w:val="29"/>
    <w:qFormat/>
    <w:rsid w:val="00E878D3"/>
    <w:pPr>
      <w:spacing w:before="160" w:line="278" w:lineRule="auto"/>
      <w:jc w:val="center"/>
    </w:pPr>
    <w:rPr>
      <w:i/>
      <w:iCs/>
      <w:color w:val="404040"/>
      <w:kern w:val="2"/>
      <w:sz w:val="24"/>
      <w:szCs w:val="24"/>
      <w14:ligatures w14:val="standardContextual"/>
    </w:rPr>
  </w:style>
  <w:style w:type="character" w:customStyle="1" w:styleId="CitaCar">
    <w:name w:val="Cita Car"/>
    <w:basedOn w:val="Fuentedeprrafopredeter"/>
    <w:link w:val="Cita"/>
    <w:uiPriority w:val="29"/>
    <w:rsid w:val="00E878D3"/>
    <w:rPr>
      <w:i/>
      <w:iCs/>
      <w:color w:val="404040"/>
    </w:rPr>
  </w:style>
  <w:style w:type="character" w:customStyle="1" w:styleId="nfasisintenso1">
    <w:name w:val="Énfasis intenso1"/>
    <w:basedOn w:val="Fuentedeprrafopredeter"/>
    <w:uiPriority w:val="21"/>
    <w:qFormat/>
    <w:rsid w:val="00E878D3"/>
    <w:rPr>
      <w:i/>
      <w:iCs/>
      <w:color w:val="0F4761"/>
    </w:rPr>
  </w:style>
  <w:style w:type="paragraph" w:customStyle="1" w:styleId="Citadestacada1">
    <w:name w:val="Cita destacada1"/>
    <w:basedOn w:val="Normal"/>
    <w:next w:val="Normal"/>
    <w:uiPriority w:val="30"/>
    <w:qFormat/>
    <w:rsid w:val="00E878D3"/>
    <w:pPr>
      <w:pBdr>
        <w:top w:val="single" w:sz="4" w:space="10" w:color="0F4761"/>
        <w:bottom w:val="single" w:sz="4" w:space="10" w:color="0F4761"/>
      </w:pBdr>
      <w:spacing w:before="360" w:after="360" w:line="278" w:lineRule="auto"/>
      <w:ind w:left="864" w:right="864"/>
      <w:jc w:val="center"/>
    </w:pPr>
    <w:rPr>
      <w:i/>
      <w:iCs/>
      <w:color w:val="0F4761"/>
      <w:kern w:val="2"/>
      <w:sz w:val="24"/>
      <w:szCs w:val="24"/>
      <w14:ligatures w14:val="standardContextual"/>
    </w:rPr>
  </w:style>
  <w:style w:type="character" w:customStyle="1" w:styleId="CitadestacadaCar">
    <w:name w:val="Cita destacada Car"/>
    <w:basedOn w:val="Fuentedeprrafopredeter"/>
    <w:link w:val="Citadestacada"/>
    <w:uiPriority w:val="30"/>
    <w:rsid w:val="00E878D3"/>
    <w:rPr>
      <w:i/>
      <w:iCs/>
      <w:color w:val="0F4761"/>
    </w:rPr>
  </w:style>
  <w:style w:type="character" w:customStyle="1" w:styleId="Referenciaintensa1">
    <w:name w:val="Referencia intensa1"/>
    <w:basedOn w:val="Fuentedeprrafopredeter"/>
    <w:uiPriority w:val="32"/>
    <w:qFormat/>
    <w:rsid w:val="00E878D3"/>
    <w:rPr>
      <w:b/>
      <w:bCs/>
      <w:smallCaps/>
      <w:color w:val="0F4761"/>
      <w:spacing w:val="5"/>
    </w:rPr>
  </w:style>
  <w:style w:type="table" w:customStyle="1" w:styleId="Tablaconcuadrcula1">
    <w:name w:val="Tabla con cuadrícula1"/>
    <w:basedOn w:val="Tablanormal"/>
    <w:next w:val="Tablaconcuadrcula"/>
    <w:uiPriority w:val="39"/>
    <w:qFormat/>
    <w:rsid w:val="00E878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E878D3"/>
    <w:pPr>
      <w:spacing w:after="0" w:line="240" w:lineRule="exact"/>
    </w:pPr>
    <w:rPr>
      <w:vertAlign w:val="superscript"/>
    </w:rPr>
  </w:style>
  <w:style w:type="character" w:styleId="Fuerte">
    <w:name w:val="Strong"/>
    <w:basedOn w:val="Fuentedeprrafopredeter"/>
    <w:uiPriority w:val="22"/>
    <w:qFormat/>
    <w:rsid w:val="00E878D3"/>
    <w:rPr>
      <w:b/>
      <w:bCs/>
    </w:rPr>
  </w:style>
  <w:style w:type="paragraph" w:styleId="Textoindependiente">
    <w:name w:val="Body Text"/>
    <w:basedOn w:val="Normal"/>
    <w:link w:val="TextoindependienteCar"/>
    <w:uiPriority w:val="99"/>
    <w:semiHidden/>
    <w:unhideWhenUsed/>
    <w:rsid w:val="00E878D3"/>
    <w:pPr>
      <w:spacing w:after="120" w:line="278" w:lineRule="auto"/>
    </w:pPr>
    <w:rPr>
      <w:kern w:val="2"/>
      <w:sz w:val="24"/>
      <w:szCs w:val="24"/>
      <w14:ligatures w14:val="standardContextual"/>
    </w:rPr>
  </w:style>
  <w:style w:type="character" w:customStyle="1" w:styleId="TextoindependienteCar">
    <w:name w:val="Texto independiente Car"/>
    <w:basedOn w:val="Fuentedeprrafopredeter"/>
    <w:link w:val="Textoindependiente"/>
    <w:uiPriority w:val="99"/>
    <w:semiHidden/>
    <w:rsid w:val="00E878D3"/>
    <w:rPr>
      <w:kern w:val="2"/>
      <w:sz w:val="24"/>
      <w:szCs w:val="24"/>
      <w14:ligatures w14:val="standardContextual"/>
    </w:rPr>
  </w:style>
  <w:style w:type="paragraph" w:customStyle="1" w:styleId="isselectedend">
    <w:name w:val="isselectedend"/>
    <w:basedOn w:val="Normal"/>
    <w:rsid w:val="00E878D3"/>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Ttulo1Car1">
    <w:name w:val="Título 1 Car1"/>
    <w:basedOn w:val="Fuentedeprrafopredeter"/>
    <w:uiPriority w:val="9"/>
    <w:rsid w:val="00E878D3"/>
    <w:rPr>
      <w:rFonts w:asciiTheme="majorHAnsi" w:eastAsiaTheme="majorEastAsia" w:hAnsiTheme="majorHAnsi" w:cstheme="majorBidi"/>
      <w:color w:val="2F5496" w:themeColor="accent1" w:themeShade="BF"/>
      <w:sz w:val="32"/>
      <w:szCs w:val="32"/>
    </w:rPr>
  </w:style>
  <w:style w:type="character" w:customStyle="1" w:styleId="Ttulo2Car1">
    <w:name w:val="Título 2 Car1"/>
    <w:basedOn w:val="Fuentedeprrafopredeter"/>
    <w:uiPriority w:val="9"/>
    <w:semiHidden/>
    <w:rsid w:val="00E878D3"/>
    <w:rPr>
      <w:rFonts w:asciiTheme="majorHAnsi" w:eastAsiaTheme="majorEastAsia" w:hAnsiTheme="majorHAnsi" w:cstheme="majorBidi"/>
      <w:color w:val="2F5496" w:themeColor="accent1" w:themeShade="BF"/>
      <w:sz w:val="26"/>
      <w:szCs w:val="26"/>
    </w:rPr>
  </w:style>
  <w:style w:type="character" w:customStyle="1" w:styleId="Ttulo3Car1">
    <w:name w:val="Título 3 Car1"/>
    <w:basedOn w:val="Fuentedeprrafopredeter"/>
    <w:uiPriority w:val="9"/>
    <w:semiHidden/>
    <w:rsid w:val="00E878D3"/>
    <w:rPr>
      <w:rFonts w:asciiTheme="majorHAnsi" w:eastAsiaTheme="majorEastAsia" w:hAnsiTheme="majorHAnsi" w:cstheme="majorBidi"/>
      <w:color w:val="1F3763" w:themeColor="accent1" w:themeShade="7F"/>
      <w:sz w:val="24"/>
      <w:szCs w:val="24"/>
    </w:rPr>
  </w:style>
  <w:style w:type="character" w:customStyle="1" w:styleId="Ttulo4Car1">
    <w:name w:val="Título 4 Car1"/>
    <w:basedOn w:val="Fuentedeprrafopredeter"/>
    <w:uiPriority w:val="9"/>
    <w:semiHidden/>
    <w:rsid w:val="00E878D3"/>
    <w:rPr>
      <w:rFonts w:asciiTheme="majorHAnsi" w:eastAsiaTheme="majorEastAsia" w:hAnsiTheme="majorHAnsi" w:cstheme="majorBidi"/>
      <w:i/>
      <w:iCs/>
      <w:color w:val="2F5496" w:themeColor="accent1" w:themeShade="BF"/>
    </w:rPr>
  </w:style>
  <w:style w:type="character" w:customStyle="1" w:styleId="Ttulo5Car1">
    <w:name w:val="Título 5 Car1"/>
    <w:basedOn w:val="Fuentedeprrafopredeter"/>
    <w:uiPriority w:val="9"/>
    <w:semiHidden/>
    <w:rsid w:val="00E878D3"/>
    <w:rPr>
      <w:rFonts w:asciiTheme="majorHAnsi" w:eastAsiaTheme="majorEastAsia" w:hAnsiTheme="majorHAnsi" w:cstheme="majorBidi"/>
      <w:color w:val="2F5496" w:themeColor="accent1" w:themeShade="BF"/>
    </w:rPr>
  </w:style>
  <w:style w:type="character" w:customStyle="1" w:styleId="Ttulo6Car1">
    <w:name w:val="Título 6 Car1"/>
    <w:basedOn w:val="Fuentedeprrafopredeter"/>
    <w:uiPriority w:val="9"/>
    <w:semiHidden/>
    <w:rsid w:val="00E878D3"/>
    <w:rPr>
      <w:rFonts w:asciiTheme="majorHAnsi" w:eastAsiaTheme="majorEastAsia" w:hAnsiTheme="majorHAnsi" w:cstheme="majorBidi"/>
      <w:color w:val="1F3763" w:themeColor="accent1" w:themeShade="7F"/>
    </w:rPr>
  </w:style>
  <w:style w:type="character" w:customStyle="1" w:styleId="Ttulo7Car1">
    <w:name w:val="Título 7 Car1"/>
    <w:basedOn w:val="Fuentedeprrafopredeter"/>
    <w:uiPriority w:val="9"/>
    <w:semiHidden/>
    <w:rsid w:val="00E878D3"/>
    <w:rPr>
      <w:rFonts w:asciiTheme="majorHAnsi" w:eastAsiaTheme="majorEastAsia" w:hAnsiTheme="majorHAnsi" w:cstheme="majorBidi"/>
      <w:i/>
      <w:iCs/>
      <w:color w:val="1F3763" w:themeColor="accent1" w:themeShade="7F"/>
    </w:rPr>
  </w:style>
  <w:style w:type="character" w:customStyle="1" w:styleId="Ttulo8Car1">
    <w:name w:val="Título 8 Car1"/>
    <w:basedOn w:val="Fuentedeprrafopredeter"/>
    <w:uiPriority w:val="9"/>
    <w:semiHidden/>
    <w:rsid w:val="00E878D3"/>
    <w:rPr>
      <w:rFonts w:asciiTheme="majorHAnsi" w:eastAsiaTheme="majorEastAsia" w:hAnsiTheme="majorHAnsi" w:cstheme="majorBidi"/>
      <w:color w:val="272727" w:themeColor="text1" w:themeTint="D8"/>
      <w:sz w:val="21"/>
      <w:szCs w:val="21"/>
    </w:rPr>
  </w:style>
  <w:style w:type="character" w:customStyle="1" w:styleId="Ttulo9Car1">
    <w:name w:val="Título 9 Car1"/>
    <w:basedOn w:val="Fuentedeprrafopredeter"/>
    <w:uiPriority w:val="9"/>
    <w:semiHidden/>
    <w:rsid w:val="00E878D3"/>
    <w:rPr>
      <w:rFonts w:asciiTheme="majorHAnsi" w:eastAsiaTheme="majorEastAsia" w:hAnsiTheme="majorHAnsi" w:cstheme="majorBidi"/>
      <w:i/>
      <w:iCs/>
      <w:color w:val="272727" w:themeColor="text1" w:themeTint="D8"/>
      <w:sz w:val="21"/>
      <w:szCs w:val="21"/>
    </w:rPr>
  </w:style>
  <w:style w:type="paragraph" w:styleId="Subttulo">
    <w:name w:val="Subtitle"/>
    <w:basedOn w:val="Normal"/>
    <w:next w:val="Normal"/>
    <w:link w:val="SubttuloCar"/>
    <w:uiPriority w:val="11"/>
    <w:qFormat/>
    <w:rsid w:val="00E878D3"/>
    <w:pPr>
      <w:numPr>
        <w:ilvl w:val="1"/>
      </w:numPr>
    </w:pPr>
    <w:rPr>
      <w:rFonts w:eastAsia="Times New Roman" w:cs="Times New Roman"/>
      <w:color w:val="595959"/>
      <w:spacing w:val="15"/>
      <w:sz w:val="28"/>
      <w:szCs w:val="28"/>
    </w:rPr>
  </w:style>
  <w:style w:type="character" w:customStyle="1" w:styleId="SubttuloCar1">
    <w:name w:val="Subtítulo Car1"/>
    <w:basedOn w:val="Fuentedeprrafopredeter"/>
    <w:uiPriority w:val="11"/>
    <w:rsid w:val="00E878D3"/>
    <w:rPr>
      <w:rFonts w:eastAsiaTheme="minorEastAsia"/>
      <w:color w:val="5A5A5A" w:themeColor="text1" w:themeTint="A5"/>
      <w:spacing w:val="15"/>
    </w:rPr>
  </w:style>
  <w:style w:type="paragraph" w:styleId="Cita">
    <w:name w:val="Quote"/>
    <w:basedOn w:val="Normal"/>
    <w:next w:val="Normal"/>
    <w:link w:val="CitaCar"/>
    <w:uiPriority w:val="29"/>
    <w:qFormat/>
    <w:rsid w:val="00E878D3"/>
    <w:pPr>
      <w:spacing w:before="200"/>
      <w:ind w:left="864" w:right="864"/>
      <w:jc w:val="center"/>
    </w:pPr>
    <w:rPr>
      <w:i/>
      <w:iCs/>
      <w:color w:val="404040"/>
    </w:rPr>
  </w:style>
  <w:style w:type="character" w:customStyle="1" w:styleId="CitaCar1">
    <w:name w:val="Cita Car1"/>
    <w:basedOn w:val="Fuentedeprrafopredeter"/>
    <w:uiPriority w:val="29"/>
    <w:rsid w:val="00E878D3"/>
    <w:rPr>
      <w:i/>
      <w:iCs/>
      <w:color w:val="404040" w:themeColor="text1" w:themeTint="BF"/>
    </w:rPr>
  </w:style>
  <w:style w:type="character" w:styleId="nfasisintenso">
    <w:name w:val="Intense Emphasis"/>
    <w:basedOn w:val="Fuentedeprrafopredeter"/>
    <w:uiPriority w:val="21"/>
    <w:qFormat/>
    <w:rsid w:val="00E878D3"/>
    <w:rPr>
      <w:i/>
      <w:iCs/>
      <w:color w:val="4472C4" w:themeColor="accent1"/>
    </w:rPr>
  </w:style>
  <w:style w:type="paragraph" w:styleId="Citadestacada">
    <w:name w:val="Intense Quote"/>
    <w:basedOn w:val="Normal"/>
    <w:next w:val="Normal"/>
    <w:link w:val="CitadestacadaCar"/>
    <w:uiPriority w:val="30"/>
    <w:qFormat/>
    <w:rsid w:val="00E878D3"/>
    <w:pPr>
      <w:pBdr>
        <w:top w:val="single" w:sz="4" w:space="10" w:color="4472C4" w:themeColor="accent1"/>
        <w:bottom w:val="single" w:sz="4" w:space="10" w:color="4472C4" w:themeColor="accent1"/>
      </w:pBdr>
      <w:spacing w:before="360" w:after="360"/>
      <w:ind w:left="864" w:right="864"/>
      <w:jc w:val="center"/>
    </w:pPr>
    <w:rPr>
      <w:i/>
      <w:iCs/>
      <w:color w:val="0F4761"/>
    </w:rPr>
  </w:style>
  <w:style w:type="character" w:customStyle="1" w:styleId="CitadestacadaCar1">
    <w:name w:val="Cita destacada Car1"/>
    <w:basedOn w:val="Fuentedeprrafopredeter"/>
    <w:uiPriority w:val="30"/>
    <w:rsid w:val="00E878D3"/>
    <w:rPr>
      <w:i/>
      <w:iCs/>
      <w:color w:val="4472C4" w:themeColor="accent1"/>
    </w:rPr>
  </w:style>
  <w:style w:type="character" w:styleId="Referenciaintensa">
    <w:name w:val="Intense Reference"/>
    <w:basedOn w:val="Fuentedeprrafopredeter"/>
    <w:uiPriority w:val="32"/>
    <w:qFormat/>
    <w:rsid w:val="00E878D3"/>
    <w:rPr>
      <w:b/>
      <w:bCs/>
      <w:smallCaps/>
      <w:color w:val="4472C4" w:themeColor="accent1"/>
      <w:spacing w:val="5"/>
    </w:rPr>
  </w:style>
  <w:style w:type="character" w:styleId="Refdecomentario">
    <w:name w:val="annotation reference"/>
    <w:basedOn w:val="Fuentedeprrafopredeter"/>
    <w:uiPriority w:val="99"/>
    <w:semiHidden/>
    <w:unhideWhenUsed/>
    <w:rsid w:val="00E015B0"/>
    <w:rPr>
      <w:sz w:val="16"/>
      <w:szCs w:val="16"/>
    </w:rPr>
  </w:style>
  <w:style w:type="paragraph" w:styleId="Textocomentario">
    <w:name w:val="annotation text"/>
    <w:basedOn w:val="Normal"/>
    <w:link w:val="TextocomentarioCar"/>
    <w:uiPriority w:val="99"/>
    <w:unhideWhenUsed/>
    <w:rsid w:val="00E015B0"/>
    <w:pPr>
      <w:spacing w:line="240" w:lineRule="auto"/>
    </w:pPr>
    <w:rPr>
      <w:sz w:val="20"/>
      <w:szCs w:val="20"/>
    </w:rPr>
  </w:style>
  <w:style w:type="character" w:customStyle="1" w:styleId="TextocomentarioCar">
    <w:name w:val="Texto comentario Car"/>
    <w:basedOn w:val="Fuentedeprrafopredeter"/>
    <w:link w:val="Textocomentario"/>
    <w:uiPriority w:val="99"/>
    <w:rsid w:val="00E015B0"/>
    <w:rPr>
      <w:sz w:val="20"/>
      <w:szCs w:val="20"/>
    </w:rPr>
  </w:style>
  <w:style w:type="paragraph" w:styleId="Asuntodelcomentario">
    <w:name w:val="annotation subject"/>
    <w:basedOn w:val="Textocomentario"/>
    <w:next w:val="Textocomentario"/>
    <w:link w:val="AsuntodelcomentarioCar"/>
    <w:uiPriority w:val="99"/>
    <w:semiHidden/>
    <w:unhideWhenUsed/>
    <w:rsid w:val="00E015B0"/>
    <w:rPr>
      <w:b/>
      <w:bCs/>
    </w:rPr>
  </w:style>
  <w:style w:type="character" w:customStyle="1" w:styleId="AsuntodelcomentarioCar">
    <w:name w:val="Asunto del comentario Car"/>
    <w:basedOn w:val="TextocomentarioCar"/>
    <w:link w:val="Asuntodelcomentario"/>
    <w:uiPriority w:val="99"/>
    <w:semiHidden/>
    <w:rsid w:val="00E015B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normativa-y-relatoria/documentos-tipo"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formacionvirtual.colombiacompra.gov.co/mod/page/view.php?id=3718"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revistas.uexternado.edu.co/index.php/Deradm/article/view/3235" TargetMode="External"/><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DF5A724E-7779-4D20-A090-C173154F0A5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21</TotalTime>
  <Pages>50</Pages>
  <Words>17042</Words>
  <Characters>93736</Characters>
  <Application>Microsoft Office Word</Application>
  <DocSecurity>0</DocSecurity>
  <Lines>781</Lines>
  <Paragraphs>221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110557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cp:revision>
  <cp:lastPrinted>2023-01-10T21:18:00Z</cp:lastPrinted>
  <dcterms:created xsi:type="dcterms:W3CDTF">2026-06-18T20:10:00Z</dcterms:created>
  <dcterms:modified xsi:type="dcterms:W3CDTF">2026-06-19T13:49:00Z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