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21647" w14:textId="65C5798D" w:rsidR="00F56C58" w:rsidRDefault="00EF1E4F" w:rsidP="00D46554">
      <w:pPr>
        <w:spacing w:after="0"/>
        <w:jc w:val="both"/>
        <w:rPr>
          <w:rFonts w:ascii="Verdana" w:eastAsia="Verdana" w:hAnsi="Verdana" w:cs="Verdana"/>
        </w:rPr>
      </w:pPr>
      <w:bookmarkStart w:id="0" w:name="_Hlk143780582"/>
      <w:r w:rsidRPr="00EF1E4F">
        <w:rPr>
          <w:rFonts w:ascii="Verdana" w:hAnsi="Verdana"/>
          <w:b/>
          <w:bCs/>
          <w:lang w:val="es-ES"/>
        </w:rPr>
        <w:t>CONVENIO Y CONTRATO INTERADMINISTRATIVO – Alcance – Diferencias</w:t>
      </w:r>
    </w:p>
    <w:p w14:paraId="32860FD4" w14:textId="77777777" w:rsidR="00EF1E4F" w:rsidRPr="00EF1E4F" w:rsidRDefault="00EF1E4F" w:rsidP="00D46554">
      <w:pPr>
        <w:spacing w:after="0"/>
        <w:jc w:val="both"/>
        <w:rPr>
          <w:rFonts w:ascii="Verdana" w:eastAsia="Verdana" w:hAnsi="Verdana" w:cs="Verdana"/>
          <w:b/>
          <w:bCs/>
          <w:sz w:val="20"/>
          <w:szCs w:val="20"/>
        </w:rPr>
      </w:pPr>
    </w:p>
    <w:p w14:paraId="5D7315C6" w14:textId="77777777" w:rsidR="00EF1E4F" w:rsidRPr="00EF1E4F" w:rsidRDefault="00EF1E4F" w:rsidP="00EF1E4F">
      <w:pPr>
        <w:spacing w:after="120" w:line="276" w:lineRule="auto"/>
        <w:jc w:val="both"/>
        <w:rPr>
          <w:rFonts w:ascii="Verdana" w:eastAsiaTheme="minorEastAsia" w:hAnsi="Verdana" w:cs="Arial"/>
          <w:sz w:val="20"/>
          <w:szCs w:val="20"/>
          <w:lang w:eastAsia="es-CO"/>
        </w:rPr>
      </w:pPr>
      <w:r w:rsidRPr="00EF1E4F">
        <w:rPr>
          <w:rFonts w:ascii="Verdana" w:eastAsiaTheme="minorEastAsia" w:hAnsi="Verdana" w:cs="Arial"/>
          <w:sz w:val="20"/>
          <w:szCs w:val="20"/>
          <w:lang w:eastAsia="es-CO"/>
        </w:rPr>
        <w:t xml:space="preserve">Es decir, lo que hace que un contrato o convenio sea interadministrativo es la naturaleza de las partes, independiente del régimen jurídico aplicable. Sin embargo, en los últimos se está diferenciando los conceptos “contrato interadministrativo” y “convenio interadministrativo” como dos instituciones jurídicas independientes con producción de efectos jurídicos distintos. Al respecto, el Consejo de Estado distingue las dos instituciones, de la siguiente forma: </w:t>
      </w:r>
    </w:p>
    <w:p w14:paraId="2317378E" w14:textId="77777777" w:rsidR="00EF1E4F" w:rsidRPr="00EF1E4F" w:rsidRDefault="00EF1E4F" w:rsidP="00EF1E4F">
      <w:pPr>
        <w:spacing w:after="0" w:line="240" w:lineRule="auto"/>
        <w:ind w:left="709" w:right="709"/>
        <w:jc w:val="both"/>
        <w:rPr>
          <w:rFonts w:ascii="Verdana" w:eastAsiaTheme="minorEastAsia" w:hAnsi="Verdana" w:cs="Arial"/>
          <w:sz w:val="20"/>
          <w:szCs w:val="20"/>
          <w:lang w:eastAsia="es-CO"/>
        </w:rPr>
      </w:pPr>
      <w:r w:rsidRPr="00EF1E4F">
        <w:rPr>
          <w:rFonts w:ascii="Verdana" w:eastAsiaTheme="minorEastAsia" w:hAnsi="Verdana" w:cs="Arial"/>
          <w:sz w:val="20"/>
          <w:szCs w:val="20"/>
          <w:lang w:eastAsia="es-CO"/>
        </w:rPr>
        <w:t>"Si bien las nociones 'contrato' y 'convenio' interadministrativo tienen notas comunes como la de ser acuerdos de voluntades generadores de obligaciones entre entidades estatales, también resulta incontrovertible que tienen naturaleza, finalidad y características disímiles como son:</w:t>
      </w:r>
    </w:p>
    <w:p w14:paraId="4CBB0845" w14:textId="77777777" w:rsidR="00EF1E4F" w:rsidRPr="00EF1E4F" w:rsidRDefault="00EF1E4F" w:rsidP="00EF1E4F">
      <w:pPr>
        <w:numPr>
          <w:ilvl w:val="0"/>
          <w:numId w:val="17"/>
        </w:numPr>
        <w:spacing w:after="0" w:line="240" w:lineRule="auto"/>
        <w:ind w:left="709" w:right="709"/>
        <w:contextualSpacing/>
        <w:jc w:val="both"/>
        <w:rPr>
          <w:rFonts w:ascii="Verdana" w:eastAsiaTheme="minorEastAsia" w:hAnsi="Verdana" w:cs="Arial"/>
          <w:sz w:val="20"/>
          <w:szCs w:val="20"/>
          <w:lang w:val="es-ES" w:eastAsia="es-CO"/>
        </w:rPr>
      </w:pPr>
      <w:r w:rsidRPr="00EF1E4F">
        <w:rPr>
          <w:rFonts w:ascii="Verdana" w:eastAsiaTheme="minorEastAsia" w:hAnsi="Verdana" w:cs="Arial"/>
          <w:sz w:val="20"/>
          <w:szCs w:val="20"/>
          <w:lang w:val="es-ES" w:eastAsia="es-CO"/>
        </w:rPr>
        <w:t xml:space="preserve">El objeto de los contratos lo constituyen obligaciones de contenido patrimonial y, por </w:t>
      </w:r>
      <w:r w:rsidRPr="00EF1E4F">
        <w:rPr>
          <w:rFonts w:ascii="Verdana" w:eastAsiaTheme="minorEastAsia" w:hAnsi="Verdana" w:cs="Arial"/>
          <w:sz w:val="20"/>
          <w:szCs w:val="20"/>
          <w:lang w:eastAsia="es-CO"/>
        </w:rPr>
        <w:t>lo mismo, son onerosos, lo que implica el gravamen de cada parte en beneficio de la otra. En el contrato, como verdadero acuerdo de voluntades productor de efectos jurídicos, las partes actúan con intereses disímiles y contrapuestos; la entidad estatal contratante en un interés público, la entidad estatal contratista en su propio interés específico económico o de índole privado (es claro que una entidad estatal, puede y debe obtener ganancias, o generar valor respecto de su patrimonio, productos o actividad, si así lo autoriza su objeto social, o las funciones que le haya otorgado la ley);</w:t>
      </w:r>
    </w:p>
    <w:p w14:paraId="3E39160F" w14:textId="77777777" w:rsidR="00EF1E4F" w:rsidRPr="00EF1E4F" w:rsidRDefault="00EF1E4F" w:rsidP="00EF1E4F">
      <w:pPr>
        <w:numPr>
          <w:ilvl w:val="0"/>
          <w:numId w:val="17"/>
        </w:numPr>
        <w:spacing w:after="0" w:line="240" w:lineRule="auto"/>
        <w:ind w:left="709" w:right="709"/>
        <w:contextualSpacing/>
        <w:jc w:val="both"/>
        <w:rPr>
          <w:rFonts w:ascii="Verdana" w:eastAsiaTheme="minorEastAsia" w:hAnsi="Verdana" w:cs="Arial"/>
          <w:sz w:val="20"/>
          <w:szCs w:val="20"/>
          <w:lang w:val="es-ES" w:eastAsia="es-CO"/>
        </w:rPr>
      </w:pPr>
      <w:r w:rsidRPr="00EF1E4F">
        <w:rPr>
          <w:rFonts w:ascii="Verdana" w:eastAsiaTheme="minorEastAsia" w:hAnsi="Verdana" w:cs="Arial"/>
          <w:sz w:val="20"/>
          <w:szCs w:val="20"/>
          <w:lang w:eastAsia="es-CO"/>
        </w:rPr>
        <w:t>Los convenios no tienen un interés puramente económico (es decir, destinados a obtener una ganancia) y su objeto es ejecutar actividades que contribuyen directamente al fin común de los sujetos vinculados al convenio; es decir, las partes tienen intereses convergentes, coincidentes o comunes (cumplimiento de funciones administrativas o prestación de servicios a su cargo que coinciden con el interés general) y cooperan para alcanzar en forma eficaz la finalidad estatal prevista en la Constitución o la ley sin que por esto se reciba por ninguna de ellas el pago de un precio o contraprestación;</w:t>
      </w:r>
    </w:p>
    <w:p w14:paraId="66F41F71" w14:textId="6A660E09" w:rsidR="00865375" w:rsidRPr="007A4B17" w:rsidRDefault="00EF1E4F" w:rsidP="007A4B17">
      <w:pPr>
        <w:numPr>
          <w:ilvl w:val="0"/>
          <w:numId w:val="17"/>
        </w:numPr>
        <w:spacing w:after="0" w:line="240" w:lineRule="auto"/>
        <w:ind w:left="709" w:right="709"/>
        <w:contextualSpacing/>
        <w:jc w:val="both"/>
        <w:rPr>
          <w:rFonts w:ascii="Verdana" w:eastAsiaTheme="minorEastAsia" w:hAnsi="Verdana" w:cs="Arial"/>
          <w:sz w:val="20"/>
          <w:szCs w:val="20"/>
          <w:lang w:val="es-ES" w:eastAsia="es-CO"/>
        </w:rPr>
      </w:pPr>
      <w:r w:rsidRPr="00EF1E4F">
        <w:rPr>
          <w:rFonts w:ascii="Verdana" w:eastAsiaTheme="minorEastAsia" w:hAnsi="Verdana" w:cs="Arial"/>
          <w:sz w:val="20"/>
          <w:szCs w:val="20"/>
          <w:lang w:eastAsia="es-CO"/>
        </w:rPr>
        <w:t>Los intereses de los que son titulares las partes (entidades públicas contrayentes) y las finalidades que persiguen alcanzar, en virtud del ánimo de cooperación, indican que en los convenios las partes se relacionan en un paralelismo de intereses bajo un ámbito o posición de igualdad o equivalencia, en tanto que los contratos, dados los intereses y finalidades analizadas, se desarrollan en un ámbito de preeminencia o  superioridad jurídica de la entidad estatal contratante respecto de la entidad contratista y, por lo mismo, podrá haber prerrogativas a favor de una de las partes. De esta manera, en el contrato 'se puede identificar contratante y contratista, y el segundo, aunque persona pública, tiene intereses y está en un mercado de forma similar a como lo hace un particular”</w:t>
      </w:r>
      <w:r>
        <w:rPr>
          <w:rFonts w:ascii="Verdana" w:eastAsiaTheme="minorEastAsia" w:hAnsi="Verdana" w:cs="Arial"/>
          <w:sz w:val="20"/>
          <w:szCs w:val="20"/>
          <w:vertAlign w:val="superscript"/>
          <w:lang w:eastAsia="es-CO"/>
        </w:rPr>
        <w:t>,</w:t>
      </w:r>
    </w:p>
    <w:p w14:paraId="1608FDDA" w14:textId="77777777" w:rsidR="00865375" w:rsidRDefault="00865375" w:rsidP="007F705E">
      <w:pPr>
        <w:autoSpaceDE w:val="0"/>
        <w:autoSpaceDN w:val="0"/>
        <w:adjustRightInd w:val="0"/>
        <w:spacing w:after="0" w:line="240" w:lineRule="auto"/>
        <w:ind w:right="709"/>
        <w:jc w:val="right"/>
        <w:rPr>
          <w:rFonts w:ascii="Verdana" w:hAnsi="Verdana" w:cs="Weiss"/>
          <w:sz w:val="21"/>
          <w:szCs w:val="21"/>
          <w:vertAlign w:val="superscript"/>
        </w:rPr>
      </w:pPr>
    </w:p>
    <w:p w14:paraId="356024F5" w14:textId="77777777" w:rsidR="007F705E" w:rsidRDefault="007F705E" w:rsidP="007F705E">
      <w:pPr>
        <w:autoSpaceDE w:val="0"/>
        <w:autoSpaceDN w:val="0"/>
        <w:adjustRightInd w:val="0"/>
        <w:spacing w:after="0" w:line="240" w:lineRule="auto"/>
        <w:ind w:right="709"/>
        <w:jc w:val="right"/>
        <w:rPr>
          <w:rFonts w:ascii="Verdana" w:hAnsi="Verdana" w:cs="Weiss"/>
          <w:sz w:val="21"/>
          <w:szCs w:val="21"/>
          <w:vertAlign w:val="superscript"/>
        </w:rPr>
      </w:pPr>
    </w:p>
    <w:p w14:paraId="193DA0E0" w14:textId="77777777" w:rsidR="007F705E" w:rsidRPr="004E5735" w:rsidRDefault="007F705E" w:rsidP="007F705E">
      <w:pPr>
        <w:tabs>
          <w:tab w:val="left" w:pos="5100"/>
        </w:tabs>
        <w:spacing w:after="0" w:line="240" w:lineRule="auto"/>
        <w:jc w:val="both"/>
        <w:rPr>
          <w:rFonts w:ascii="Verdana" w:eastAsiaTheme="minorEastAsia" w:hAnsi="Verdana" w:cs="Arial"/>
          <w:b/>
          <w:bCs/>
          <w:lang w:eastAsia="es-CO"/>
        </w:rPr>
      </w:pPr>
    </w:p>
    <w:p w14:paraId="6C51672C" w14:textId="77777777" w:rsidR="007F705E" w:rsidRPr="004E5735" w:rsidRDefault="007F705E" w:rsidP="007F705E">
      <w:pPr>
        <w:tabs>
          <w:tab w:val="left" w:pos="5100"/>
        </w:tabs>
        <w:spacing w:after="0" w:line="240" w:lineRule="auto"/>
        <w:jc w:val="both"/>
        <w:rPr>
          <w:rFonts w:ascii="Verdana" w:eastAsiaTheme="minorEastAsia" w:hAnsi="Verdana" w:cs="Arial"/>
          <w:b/>
          <w:bCs/>
          <w:lang w:eastAsia="es-CO"/>
        </w:rPr>
      </w:pPr>
      <w:r w:rsidRPr="004E5735">
        <w:rPr>
          <w:rFonts w:ascii="Verdana" w:hAnsi="Verdana" w:cs="Arial"/>
          <w:b/>
          <w:bCs/>
          <w:color w:val="000000" w:themeColor="text1"/>
          <w:lang w:val="es-ES"/>
        </w:rPr>
        <w:t>LEY DE GARANTÍAS ELECTORALES – Propósito</w:t>
      </w:r>
    </w:p>
    <w:p w14:paraId="09EFECDD" w14:textId="77777777" w:rsidR="007F705E" w:rsidRDefault="007F705E" w:rsidP="007F705E">
      <w:pPr>
        <w:tabs>
          <w:tab w:val="left" w:pos="5100"/>
        </w:tabs>
        <w:spacing w:after="0" w:line="240" w:lineRule="auto"/>
        <w:jc w:val="both"/>
        <w:rPr>
          <w:rFonts w:ascii="Verdana" w:eastAsiaTheme="minorEastAsia" w:hAnsi="Verdana" w:cs="Arial"/>
          <w:b/>
          <w:bCs/>
          <w:lang w:eastAsia="es-CO"/>
        </w:rPr>
      </w:pPr>
    </w:p>
    <w:p w14:paraId="545E80B9" w14:textId="77777777" w:rsidR="007F705E" w:rsidRPr="00331206" w:rsidRDefault="007F705E" w:rsidP="007F705E">
      <w:pPr>
        <w:tabs>
          <w:tab w:val="left" w:pos="426"/>
        </w:tabs>
        <w:spacing w:after="120" w:line="276" w:lineRule="auto"/>
        <w:jc w:val="both"/>
        <w:rPr>
          <w:rFonts w:ascii="Verdana" w:eastAsia="Calibri" w:hAnsi="Verdana" w:cs="Arial"/>
          <w:noProof/>
          <w:sz w:val="20"/>
          <w:szCs w:val="20"/>
          <w:lang w:val="es-ES_tradnl"/>
        </w:rPr>
      </w:pPr>
      <w:r w:rsidRPr="00331206">
        <w:rPr>
          <w:rFonts w:ascii="Verdana" w:eastAsia="Times New Roman" w:hAnsi="Verdana" w:cs="Arial"/>
          <w:bCs/>
          <w:sz w:val="20"/>
          <w:szCs w:val="20"/>
          <w:lang w:eastAsia="es-CO"/>
        </w:rPr>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Pr>
          <w:rFonts w:ascii="Verdana" w:eastAsia="Times New Roman" w:hAnsi="Verdana" w:cs="Arial"/>
          <w:bCs/>
          <w:sz w:val="20"/>
          <w:szCs w:val="20"/>
          <w:vertAlign w:val="superscript"/>
          <w:lang w:eastAsia="es-CO"/>
        </w:rPr>
        <w:t xml:space="preserve">. </w:t>
      </w:r>
      <w:r w:rsidRPr="00331206">
        <w:rPr>
          <w:rFonts w:ascii="Verdana" w:eastAsia="Times New Roman" w:hAnsi="Verdana" w:cs="Arial"/>
          <w:bCs/>
          <w:sz w:val="20"/>
          <w:szCs w:val="20"/>
          <w:lang w:eastAsia="es-CO"/>
        </w:rPr>
        <w:t xml:space="preserve"> En esta medida, introduce limitaciones para realizar nombramientos, postulaciones, contrataciones o cualquier otro tipo de actividad que implique destinación de recursos públicos bajo el devenir propio de las entidades estatales.</w:t>
      </w:r>
      <w:r w:rsidRPr="00331206">
        <w:rPr>
          <w:rFonts w:ascii="Verdana" w:eastAsia="Calibri" w:hAnsi="Verdana" w:cs="Arial"/>
          <w:noProof/>
          <w:sz w:val="20"/>
          <w:szCs w:val="20"/>
          <w:lang w:val="es-ES_tradnl"/>
        </w:rPr>
        <w:t xml:space="preserve"> </w:t>
      </w:r>
    </w:p>
    <w:p w14:paraId="487D1A04" w14:textId="77777777" w:rsidR="007F705E" w:rsidRPr="00331206" w:rsidRDefault="007F705E" w:rsidP="007F705E">
      <w:pPr>
        <w:tabs>
          <w:tab w:val="left" w:pos="426"/>
        </w:tabs>
        <w:spacing w:after="0" w:line="276" w:lineRule="auto"/>
        <w:ind w:firstLine="709"/>
        <w:jc w:val="both"/>
        <w:rPr>
          <w:rFonts w:ascii="Verdana" w:eastAsia="Times New Roman" w:hAnsi="Verdana" w:cs="Arial"/>
          <w:bCs/>
          <w:sz w:val="20"/>
          <w:szCs w:val="20"/>
          <w:lang w:eastAsia="es-CO"/>
        </w:rPr>
      </w:pPr>
      <w:r w:rsidRPr="00331206">
        <w:rPr>
          <w:rFonts w:ascii="Verdana" w:eastAsia="Times New Roman" w:hAnsi="Verdana" w:cs="Arial"/>
          <w:bCs/>
          <w:sz w:val="20"/>
          <w:szCs w:val="20"/>
          <w:lang w:eastAsia="es-CO"/>
        </w:rPr>
        <w:t>En armonía con lo anterior, la Corte Constitucional ha abordado la definición de la Ley de Garantías Electorales. De esta manera, explica que tiene como propósito:</w:t>
      </w:r>
    </w:p>
    <w:p w14:paraId="025BD902" w14:textId="77777777" w:rsidR="007F705E" w:rsidRPr="00331206" w:rsidRDefault="007F705E" w:rsidP="007F705E">
      <w:pPr>
        <w:tabs>
          <w:tab w:val="left" w:pos="426"/>
        </w:tabs>
        <w:spacing w:after="0" w:line="276" w:lineRule="auto"/>
        <w:ind w:firstLine="709"/>
        <w:jc w:val="both"/>
        <w:rPr>
          <w:rFonts w:ascii="Verdana" w:eastAsia="Times New Roman" w:hAnsi="Verdana" w:cs="Arial"/>
          <w:bCs/>
          <w:sz w:val="20"/>
          <w:szCs w:val="20"/>
          <w:lang w:eastAsia="es-CO"/>
        </w:rPr>
      </w:pPr>
    </w:p>
    <w:p w14:paraId="18A0D521" w14:textId="77777777" w:rsidR="007F705E" w:rsidRPr="00331206" w:rsidRDefault="007F705E" w:rsidP="007F705E">
      <w:pPr>
        <w:spacing w:after="0" w:line="240" w:lineRule="auto"/>
        <w:ind w:left="709" w:right="709"/>
        <w:jc w:val="both"/>
        <w:rPr>
          <w:rFonts w:ascii="Verdana" w:eastAsia="Times New Roman" w:hAnsi="Verdana" w:cs="Arial"/>
          <w:sz w:val="20"/>
          <w:szCs w:val="20"/>
          <w:lang w:val="es-ES" w:eastAsia="es-CO"/>
        </w:rPr>
      </w:pPr>
      <w:r w:rsidRPr="00331206">
        <w:rPr>
          <w:rFonts w:ascii="Verdana" w:eastAsia="Times New Roman" w:hAnsi="Verdana" w:cs="Arial"/>
          <w:sz w:val="20"/>
          <w:szCs w:val="20"/>
          <w:lang w:val="es-ES" w:eastAsia="es-CO"/>
        </w:rPr>
        <w:t xml:space="preserve">“(…) </w:t>
      </w:r>
      <w:r w:rsidRPr="00331206">
        <w:rPr>
          <w:rFonts w:ascii="Verdana" w:eastAsia="Times New Roman" w:hAnsi="Verdana" w:cs="Arial"/>
          <w:bCs/>
          <w:sz w:val="20"/>
          <w:szCs w:val="20"/>
          <w:lang w:eastAsia="es-CO"/>
        </w:rPr>
        <w:t>La definición de reglas claras que permitan acceder a los canales de expresión democrática de manera efectiva e igualitaria. El objetivo de una ley de garantías es definir esas reglas.</w:t>
      </w:r>
    </w:p>
    <w:p w14:paraId="6D1D1DB1" w14:textId="77777777" w:rsidR="007F705E" w:rsidRDefault="007F705E" w:rsidP="007F705E">
      <w:pPr>
        <w:spacing w:after="0" w:line="240" w:lineRule="auto"/>
        <w:ind w:left="709" w:right="709"/>
        <w:jc w:val="both"/>
        <w:rPr>
          <w:rFonts w:ascii="Verdana" w:hAnsi="Verdana" w:cs="Arial"/>
          <w:sz w:val="20"/>
          <w:szCs w:val="20"/>
          <w:vertAlign w:val="superscript"/>
        </w:rPr>
      </w:pPr>
      <w:r w:rsidRPr="00331206">
        <w:rPr>
          <w:rFonts w:ascii="Verdana" w:eastAsia="Times New Roman" w:hAnsi="Verdana" w:cs="Arial"/>
          <w:bCs/>
          <w:sz w:val="20"/>
          <w:szCs w:val="20"/>
          <w:lang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 (…)”</w:t>
      </w:r>
      <w:r>
        <w:rPr>
          <w:rFonts w:ascii="Verdana" w:hAnsi="Verdana" w:cs="Arial"/>
          <w:sz w:val="20"/>
          <w:szCs w:val="20"/>
          <w:vertAlign w:val="superscript"/>
        </w:rPr>
        <w:t>.</w:t>
      </w:r>
    </w:p>
    <w:p w14:paraId="110903D1" w14:textId="77777777" w:rsidR="007F705E" w:rsidRPr="00331206" w:rsidRDefault="007F705E" w:rsidP="007F705E">
      <w:pPr>
        <w:spacing w:after="0" w:line="240" w:lineRule="auto"/>
        <w:ind w:left="709" w:right="709"/>
        <w:jc w:val="both"/>
        <w:rPr>
          <w:rFonts w:ascii="Verdana" w:eastAsia="Times New Roman" w:hAnsi="Verdana" w:cs="Arial"/>
          <w:bCs/>
          <w:sz w:val="20"/>
          <w:szCs w:val="20"/>
          <w:lang w:eastAsia="es-CO"/>
        </w:rPr>
      </w:pPr>
    </w:p>
    <w:p w14:paraId="21E42DC9" w14:textId="77777777" w:rsidR="007F705E" w:rsidRDefault="007F705E" w:rsidP="007F705E">
      <w:pPr>
        <w:spacing w:after="120" w:line="276" w:lineRule="auto"/>
        <w:ind w:firstLine="709"/>
        <w:jc w:val="both"/>
        <w:rPr>
          <w:rFonts w:ascii="Verdana" w:eastAsia="Times New Roman" w:hAnsi="Verdana" w:cs="Arial"/>
          <w:bCs/>
          <w:sz w:val="20"/>
          <w:szCs w:val="20"/>
          <w:lang w:eastAsia="es-CO"/>
        </w:rPr>
      </w:pPr>
      <w:r w:rsidRPr="00331206">
        <w:rPr>
          <w:rFonts w:ascii="Verdana" w:eastAsia="Times New Roman" w:hAnsi="Verdana" w:cs="Arial"/>
          <w:bCs/>
          <w:sz w:val="20"/>
          <w:szCs w:val="20"/>
          <w:lang w:eastAsia="es-CO"/>
        </w:rPr>
        <w:t xml:space="preserve">En este contexto, la Ley de Garantías Electorales establece el marco jurídico para el desarrollo de las elecciones, procurando condiciones de igualdad y transparencia para los aspirantes. Paralelamente, incluye restricciones en el actuar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 </w:t>
      </w:r>
    </w:p>
    <w:p w14:paraId="169344A9" w14:textId="77777777" w:rsidR="007F705E" w:rsidRDefault="007F705E" w:rsidP="007F705E">
      <w:pPr>
        <w:autoSpaceDE w:val="0"/>
        <w:autoSpaceDN w:val="0"/>
        <w:adjustRightInd w:val="0"/>
        <w:spacing w:after="0" w:line="240" w:lineRule="auto"/>
        <w:ind w:right="709"/>
        <w:jc w:val="right"/>
        <w:rPr>
          <w:rFonts w:ascii="Verdana" w:hAnsi="Verdana" w:cs="Weiss"/>
          <w:sz w:val="21"/>
          <w:szCs w:val="21"/>
          <w:vertAlign w:val="superscript"/>
        </w:rPr>
      </w:pPr>
    </w:p>
    <w:p w14:paraId="4E1DF302" w14:textId="77777777" w:rsidR="007F705E" w:rsidRDefault="007F705E" w:rsidP="007F705E">
      <w:pPr>
        <w:autoSpaceDE w:val="0"/>
        <w:autoSpaceDN w:val="0"/>
        <w:adjustRightInd w:val="0"/>
        <w:spacing w:after="0" w:line="240" w:lineRule="auto"/>
        <w:ind w:right="709"/>
        <w:jc w:val="right"/>
        <w:rPr>
          <w:rFonts w:ascii="Verdana" w:hAnsi="Verdana" w:cs="Weiss"/>
          <w:sz w:val="21"/>
          <w:szCs w:val="21"/>
          <w:vertAlign w:val="superscript"/>
        </w:rPr>
      </w:pPr>
    </w:p>
    <w:p w14:paraId="2178255A" w14:textId="77777777" w:rsidR="007F705E" w:rsidRDefault="007F705E" w:rsidP="007F705E">
      <w:pPr>
        <w:autoSpaceDE w:val="0"/>
        <w:autoSpaceDN w:val="0"/>
        <w:adjustRightInd w:val="0"/>
        <w:spacing w:after="0" w:line="240" w:lineRule="auto"/>
        <w:ind w:right="709"/>
        <w:jc w:val="right"/>
        <w:rPr>
          <w:rFonts w:ascii="Verdana" w:hAnsi="Verdana" w:cs="Weiss"/>
          <w:sz w:val="21"/>
          <w:szCs w:val="21"/>
          <w:vertAlign w:val="superscript"/>
        </w:rPr>
      </w:pPr>
    </w:p>
    <w:p w14:paraId="681FF228" w14:textId="77777777" w:rsidR="00865375" w:rsidRDefault="00865375" w:rsidP="00865375">
      <w:pPr>
        <w:autoSpaceDE w:val="0"/>
        <w:autoSpaceDN w:val="0"/>
        <w:adjustRightInd w:val="0"/>
        <w:spacing w:after="0" w:line="240" w:lineRule="auto"/>
        <w:ind w:left="709" w:right="709"/>
        <w:jc w:val="both"/>
        <w:rPr>
          <w:rFonts w:ascii="Verdana" w:hAnsi="Verdana" w:cs="Weiss"/>
          <w:sz w:val="21"/>
          <w:szCs w:val="21"/>
          <w:vertAlign w:val="superscript"/>
        </w:rPr>
      </w:pPr>
    </w:p>
    <w:p w14:paraId="796B3E04" w14:textId="77777777" w:rsidR="002B313A" w:rsidRDefault="002B313A" w:rsidP="00865375">
      <w:pPr>
        <w:autoSpaceDE w:val="0"/>
        <w:autoSpaceDN w:val="0"/>
        <w:adjustRightInd w:val="0"/>
        <w:spacing w:after="0" w:line="240" w:lineRule="auto"/>
        <w:ind w:left="709" w:right="709"/>
        <w:jc w:val="both"/>
        <w:rPr>
          <w:rFonts w:ascii="Verdana" w:hAnsi="Verdana" w:cs="Weiss"/>
          <w:sz w:val="21"/>
          <w:szCs w:val="21"/>
          <w:vertAlign w:val="superscript"/>
        </w:rPr>
      </w:pPr>
    </w:p>
    <w:p w14:paraId="391F3242" w14:textId="77777777" w:rsidR="002B313A" w:rsidRPr="00865375" w:rsidRDefault="002B313A" w:rsidP="00865375">
      <w:pPr>
        <w:autoSpaceDE w:val="0"/>
        <w:autoSpaceDN w:val="0"/>
        <w:adjustRightInd w:val="0"/>
        <w:spacing w:after="0" w:line="240" w:lineRule="auto"/>
        <w:ind w:left="709" w:right="709"/>
        <w:jc w:val="both"/>
        <w:rPr>
          <w:rFonts w:ascii="Verdana" w:hAnsi="Verdana" w:cs="Weiss"/>
          <w:sz w:val="21"/>
          <w:szCs w:val="21"/>
          <w:vertAlign w:val="superscript"/>
        </w:rPr>
      </w:pPr>
    </w:p>
    <w:p w14:paraId="5734BF8F" w14:textId="3C526611" w:rsidR="00FF401B" w:rsidRDefault="00865375" w:rsidP="00EC292A">
      <w:pPr>
        <w:tabs>
          <w:tab w:val="left" w:pos="5100"/>
        </w:tabs>
        <w:spacing w:after="0" w:line="240" w:lineRule="auto"/>
        <w:jc w:val="both"/>
        <w:rPr>
          <w:rFonts w:ascii="Verdana" w:eastAsia="Calibri" w:hAnsi="Verdana" w:cs="Arial"/>
          <w:b/>
          <w:lang w:eastAsia="es-ES"/>
        </w:rPr>
      </w:pPr>
      <w:r>
        <w:rPr>
          <w:rFonts w:ascii="Verdana" w:eastAsia="Calibri" w:hAnsi="Verdana" w:cs="Arial"/>
          <w:bCs/>
          <w:lang w:val="es-ES" w:eastAsia="es-ES"/>
        </w:rPr>
        <w:tab/>
      </w:r>
    </w:p>
    <w:p w14:paraId="16E794D7" w14:textId="77777777" w:rsidR="002E0649" w:rsidRDefault="002E0649" w:rsidP="00FF401B">
      <w:pPr>
        <w:spacing w:after="0" w:line="240" w:lineRule="auto"/>
        <w:jc w:val="both"/>
        <w:rPr>
          <w:rFonts w:ascii="Verdana" w:hAnsi="Verdana" w:cs="Arial"/>
          <w:b/>
          <w:bCs/>
          <w:color w:val="000000" w:themeColor="text1"/>
          <w:lang w:val="es-ES"/>
        </w:rPr>
      </w:pPr>
    </w:p>
    <w:p w14:paraId="516C64A7" w14:textId="019D9EF4" w:rsidR="00FF401B" w:rsidRPr="007A4B17" w:rsidRDefault="007A4B17" w:rsidP="00FF401B">
      <w:pPr>
        <w:spacing w:after="0" w:line="240" w:lineRule="auto"/>
        <w:jc w:val="both"/>
        <w:rPr>
          <w:rFonts w:ascii="Verdana" w:eastAsia="Calibri" w:hAnsi="Verdana" w:cs="Arial"/>
          <w:b/>
          <w:bCs/>
          <w:lang w:eastAsia="es-ES"/>
        </w:rPr>
      </w:pPr>
      <w:r w:rsidRPr="007A4B17">
        <w:rPr>
          <w:rFonts w:ascii="Verdana" w:hAnsi="Verdana" w:cs="Arial"/>
          <w:b/>
          <w:bCs/>
          <w:color w:val="000000" w:themeColor="text1"/>
          <w:lang w:val="es-ES"/>
        </w:rPr>
        <w:t>LEY DE GARANTÍAS ELECTORALES – Prohibiciones – Restricciones</w:t>
      </w:r>
    </w:p>
    <w:p w14:paraId="1DA5C88A" w14:textId="77777777" w:rsidR="00FF401B" w:rsidRPr="00FF0DC0" w:rsidRDefault="00FF401B" w:rsidP="00FF401B">
      <w:pPr>
        <w:spacing w:after="0" w:line="240" w:lineRule="auto"/>
        <w:jc w:val="both"/>
        <w:rPr>
          <w:rFonts w:ascii="Verdana" w:eastAsia="Calibri" w:hAnsi="Verdana" w:cs="Arial"/>
          <w:bCs/>
          <w:sz w:val="20"/>
          <w:szCs w:val="20"/>
          <w:lang w:eastAsia="es-ES"/>
        </w:rPr>
      </w:pPr>
    </w:p>
    <w:p w14:paraId="7C0B05B5" w14:textId="77777777" w:rsidR="00FF401B" w:rsidRDefault="00FF401B" w:rsidP="00FF401B">
      <w:pPr>
        <w:spacing w:after="0" w:line="240" w:lineRule="auto"/>
        <w:jc w:val="both"/>
        <w:rPr>
          <w:rFonts w:ascii="Verdana" w:eastAsia="Calibri" w:hAnsi="Verdana" w:cs="Arial"/>
          <w:bCs/>
          <w:sz w:val="20"/>
          <w:szCs w:val="20"/>
          <w:lang w:eastAsia="es-ES"/>
        </w:rPr>
      </w:pPr>
      <w:r w:rsidRPr="00FF0DC0">
        <w:rPr>
          <w:rFonts w:ascii="Verdana" w:eastAsia="Calibri" w:hAnsi="Verdana" w:cs="Arial"/>
          <w:bCs/>
          <w:sz w:val="20"/>
          <w:szCs w:val="20"/>
          <w:lang w:eastAsia="es-ES"/>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7ED91612" w14:textId="77777777" w:rsidR="00331206" w:rsidRPr="00FF0DC0" w:rsidRDefault="00331206" w:rsidP="00FF401B">
      <w:pPr>
        <w:spacing w:after="0" w:line="240" w:lineRule="auto"/>
        <w:jc w:val="both"/>
        <w:rPr>
          <w:rFonts w:ascii="Verdana" w:eastAsia="Calibri" w:hAnsi="Verdana" w:cs="Arial"/>
          <w:bCs/>
          <w:sz w:val="20"/>
          <w:szCs w:val="20"/>
          <w:lang w:eastAsia="es-ES"/>
        </w:rPr>
      </w:pPr>
    </w:p>
    <w:p w14:paraId="4DE6FE11" w14:textId="77777777" w:rsidR="00FF401B" w:rsidRPr="00FF0DC0" w:rsidRDefault="00FF401B" w:rsidP="00FF401B">
      <w:pPr>
        <w:spacing w:after="0" w:line="240" w:lineRule="auto"/>
        <w:jc w:val="both"/>
        <w:rPr>
          <w:rFonts w:ascii="Verdana" w:eastAsia="Calibri" w:hAnsi="Verdana" w:cs="Arial"/>
          <w:bCs/>
          <w:sz w:val="20"/>
          <w:szCs w:val="20"/>
          <w:lang w:eastAsia="es-ES"/>
        </w:rPr>
      </w:pPr>
      <w:r w:rsidRPr="00FF0DC0">
        <w:rPr>
          <w:rFonts w:ascii="Verdana" w:eastAsia="Calibri" w:hAnsi="Verdana" w:cs="Arial"/>
          <w:bCs/>
          <w:sz w:val="20"/>
          <w:szCs w:val="20"/>
          <w:lang w:eastAsia="es-ES"/>
        </w:rPr>
        <w:t>Por otro lado,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 </w:t>
      </w:r>
    </w:p>
    <w:p w14:paraId="33BF3E7A" w14:textId="77777777" w:rsidR="004E5735" w:rsidRDefault="004E5735" w:rsidP="007A4B17">
      <w:pPr>
        <w:tabs>
          <w:tab w:val="left" w:pos="5100"/>
        </w:tabs>
        <w:spacing w:after="0" w:line="240" w:lineRule="auto"/>
        <w:jc w:val="both"/>
        <w:rPr>
          <w:rFonts w:ascii="Verdana" w:eastAsia="Verdana" w:hAnsi="Verdana" w:cs="Verdana"/>
          <w:b/>
          <w:bCs/>
          <w:sz w:val="20"/>
          <w:szCs w:val="20"/>
        </w:rPr>
      </w:pPr>
    </w:p>
    <w:p w14:paraId="5713F37C" w14:textId="77777777" w:rsidR="00464DBD" w:rsidRPr="00464DBD" w:rsidRDefault="00464DBD" w:rsidP="00A63B39">
      <w:pPr>
        <w:spacing w:after="120" w:line="276" w:lineRule="auto"/>
        <w:ind w:firstLine="709"/>
        <w:jc w:val="both"/>
        <w:rPr>
          <w:rFonts w:ascii="Verdana" w:eastAsia="Times New Roman" w:hAnsi="Verdana" w:cs="Arial"/>
          <w:b/>
          <w:bCs/>
          <w:sz w:val="20"/>
          <w:szCs w:val="20"/>
          <w:lang w:eastAsia="es-CO"/>
        </w:rPr>
      </w:pPr>
    </w:p>
    <w:p w14:paraId="09FCA545" w14:textId="761A07E7" w:rsidR="00464DBD" w:rsidRPr="00464DBD" w:rsidRDefault="00464DBD" w:rsidP="00464DBD">
      <w:pPr>
        <w:spacing w:after="120" w:line="276" w:lineRule="auto"/>
        <w:jc w:val="both"/>
        <w:rPr>
          <w:rFonts w:ascii="Verdana" w:eastAsia="Times New Roman" w:hAnsi="Verdana" w:cs="Arial"/>
          <w:b/>
          <w:bCs/>
          <w:sz w:val="20"/>
          <w:szCs w:val="20"/>
          <w:lang w:eastAsia="es-CO"/>
        </w:rPr>
      </w:pPr>
      <w:r w:rsidRPr="00464DBD">
        <w:rPr>
          <w:rFonts w:ascii="Verdana" w:hAnsi="Verdana" w:cs="Arial"/>
          <w:b/>
          <w:bCs/>
          <w:color w:val="000000" w:themeColor="text1"/>
          <w:lang w:val="es-ES"/>
        </w:rPr>
        <w:t>LEY DE GARANTÍAS ELECTORALES – Artículo 33 – Ámbito material</w:t>
      </w:r>
    </w:p>
    <w:p w14:paraId="4F13A1FC" w14:textId="77777777" w:rsidR="003C0B7A" w:rsidRPr="003C0B7A" w:rsidRDefault="003C0B7A" w:rsidP="003C0B7A">
      <w:pPr>
        <w:spacing w:after="120" w:line="276" w:lineRule="auto"/>
        <w:contextualSpacing/>
        <w:jc w:val="both"/>
        <w:rPr>
          <w:rFonts w:ascii="Verdana" w:eastAsia="Calibri" w:hAnsi="Verdana" w:cs="Arial"/>
          <w:sz w:val="20"/>
          <w:szCs w:val="20"/>
          <w:lang w:val="es-ES" w:eastAsia="es-ES"/>
        </w:rPr>
      </w:pPr>
      <w:r w:rsidRPr="003C0B7A">
        <w:rPr>
          <w:rFonts w:ascii="Verdana" w:eastAsia="Calibri" w:hAnsi="Verdana" w:cs="Arial"/>
          <w:sz w:val="20"/>
          <w:szCs w:val="20"/>
          <w:lang w:val="es-ES" w:eastAsia="es-ES"/>
        </w:rPr>
        <w:t xml:space="preserve">Las restricciones contenidas en el artículo 33 de la Ley 996 de 2005 aplica para “la contratación directa” de todos los entes del Estado, </w:t>
      </w:r>
      <w:r w:rsidRPr="003C0B7A">
        <w:rPr>
          <w:rFonts w:ascii="Verdana" w:hAnsi="Verdana" w:cs="Arial"/>
          <w:color w:val="000000" w:themeColor="text1"/>
          <w:sz w:val="20"/>
          <w:szCs w:val="20"/>
          <w:lang w:val="es-MX"/>
        </w:rPr>
        <w:t xml:space="preserve">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3C0B7A">
        <w:rPr>
          <w:rFonts w:ascii="Verdana" w:eastAsia="Calibri" w:hAnsi="Verdana" w:cs="Arial"/>
          <w:sz w:val="20"/>
          <w:szCs w:val="20"/>
          <w:lang w:val="es-ES" w:eastAsia="es-ES"/>
        </w:rPr>
        <w:t xml:space="preserve">Se trata de la prohibición de </w:t>
      </w:r>
      <w:r w:rsidRPr="003C0B7A">
        <w:rPr>
          <w:rFonts w:ascii="Verdana" w:hAnsi="Verdana" w:cs="Arial"/>
          <w:bCs/>
          <w:sz w:val="20"/>
          <w:szCs w:val="20"/>
          <w:lang w:val="es-ES" w:eastAsia="x-none"/>
        </w:rPr>
        <w:t>aquellos contratos en los que no exista un proceso abierto y competitivo.</w:t>
      </w:r>
      <w:r w:rsidRPr="003C0B7A">
        <w:rPr>
          <w:rFonts w:ascii="Verdana" w:hAnsi="Verdana" w:cs="Arial"/>
          <w:sz w:val="20"/>
          <w:szCs w:val="20"/>
          <w:lang w:val="es-ES" w:eastAsia="x-none"/>
        </w:rPr>
        <w:t xml:space="preserve"> Por lo tanto, no son materia de la prohibición las demás modalidades de selección previstas en la Ley 1150 de 2007, esto es, la licitación pública, el concurso de méritos, la selección abreviada y la contratación de mínima cuantía o los procesos competitivos establecidos en los manuales de contratación de las entidades con regímenes exceptuados. Adicionalmente, la celebración de la contratación directa </w:t>
      </w:r>
      <w:r w:rsidRPr="003C0B7A">
        <w:rPr>
          <w:rFonts w:ascii="Verdana" w:eastAsia="Calibri" w:hAnsi="Verdana" w:cs="Arial"/>
          <w:sz w:val="20"/>
          <w:szCs w:val="20"/>
          <w:lang w:val="es-ES" w:eastAsia="es-ES"/>
        </w:rPr>
        <w:t xml:space="preserve">no se encuentra condicionada por la ejecución de recursos en el marco de los respectivos contratos o el origen de estos, de manera que aplica las restricciones independientemente de que el contrato implique o no la ejecución de recursos o si los recursos destinados son de naturaleza pública o privada. </w:t>
      </w:r>
    </w:p>
    <w:p w14:paraId="0AFB9D29" w14:textId="77777777" w:rsidR="00464DBD" w:rsidRPr="003C0B7A" w:rsidRDefault="00464DBD" w:rsidP="00A63B39">
      <w:pPr>
        <w:spacing w:after="120" w:line="276" w:lineRule="auto"/>
        <w:ind w:firstLine="709"/>
        <w:jc w:val="both"/>
        <w:rPr>
          <w:rFonts w:ascii="Verdana" w:eastAsia="Times New Roman" w:hAnsi="Verdana" w:cs="Arial"/>
          <w:bCs/>
          <w:sz w:val="20"/>
          <w:szCs w:val="20"/>
          <w:lang w:val="es-ES" w:eastAsia="es-CO"/>
        </w:rPr>
      </w:pPr>
    </w:p>
    <w:p w14:paraId="426F4BB3" w14:textId="77777777" w:rsidR="00464DBD" w:rsidRPr="003C0B7A" w:rsidRDefault="00464DBD" w:rsidP="00A63B39">
      <w:pPr>
        <w:spacing w:after="120" w:line="276" w:lineRule="auto"/>
        <w:ind w:firstLine="709"/>
        <w:jc w:val="both"/>
        <w:rPr>
          <w:rFonts w:ascii="Verdana" w:eastAsia="Times New Roman" w:hAnsi="Verdana" w:cs="Arial"/>
          <w:bCs/>
          <w:sz w:val="20"/>
          <w:szCs w:val="20"/>
          <w:lang w:eastAsia="es-CO"/>
        </w:rPr>
      </w:pPr>
    </w:p>
    <w:p w14:paraId="274D5963" w14:textId="77777777" w:rsidR="00464DBD" w:rsidRDefault="00464DBD" w:rsidP="00A63B39">
      <w:pPr>
        <w:spacing w:after="120" w:line="276" w:lineRule="auto"/>
        <w:ind w:firstLine="709"/>
        <w:jc w:val="both"/>
        <w:rPr>
          <w:rFonts w:ascii="Verdana" w:eastAsia="Times New Roman" w:hAnsi="Verdana" w:cs="Arial"/>
          <w:bCs/>
          <w:sz w:val="20"/>
          <w:szCs w:val="20"/>
          <w:lang w:eastAsia="es-CO"/>
        </w:rPr>
      </w:pPr>
    </w:p>
    <w:p w14:paraId="1CA3DDB0" w14:textId="77777777" w:rsidR="00DE22BA" w:rsidRDefault="00DE22BA" w:rsidP="00A63B39">
      <w:pPr>
        <w:spacing w:after="120" w:line="276" w:lineRule="auto"/>
        <w:ind w:firstLine="709"/>
        <w:jc w:val="both"/>
        <w:rPr>
          <w:rFonts w:ascii="Verdana" w:eastAsia="Times New Roman" w:hAnsi="Verdana" w:cs="Arial"/>
          <w:bCs/>
          <w:sz w:val="20"/>
          <w:szCs w:val="20"/>
          <w:lang w:eastAsia="es-CO"/>
        </w:rPr>
      </w:pPr>
    </w:p>
    <w:p w14:paraId="2122A6F7" w14:textId="77777777" w:rsidR="00DE22BA" w:rsidRPr="00DE22BA" w:rsidRDefault="00DE22BA" w:rsidP="00A63B39">
      <w:pPr>
        <w:spacing w:after="120" w:line="276" w:lineRule="auto"/>
        <w:ind w:firstLine="709"/>
        <w:jc w:val="both"/>
        <w:rPr>
          <w:rFonts w:ascii="Verdana" w:eastAsia="Times New Roman" w:hAnsi="Verdana" w:cs="Arial"/>
          <w:bCs/>
          <w:lang w:eastAsia="es-CO"/>
        </w:rPr>
      </w:pPr>
    </w:p>
    <w:p w14:paraId="504CF136" w14:textId="30B3DF73" w:rsidR="00DE22BA" w:rsidRPr="00DE22BA" w:rsidRDefault="00DE22BA" w:rsidP="00DE22BA">
      <w:pPr>
        <w:spacing w:after="120" w:line="276" w:lineRule="auto"/>
        <w:jc w:val="both"/>
        <w:rPr>
          <w:rFonts w:ascii="Verdana" w:eastAsia="Times New Roman" w:hAnsi="Verdana" w:cs="Arial"/>
          <w:b/>
          <w:bCs/>
          <w:lang w:eastAsia="es-CO"/>
        </w:rPr>
      </w:pPr>
      <w:r w:rsidRPr="00DE22BA">
        <w:rPr>
          <w:rFonts w:ascii="Verdana" w:hAnsi="Verdana" w:cs="Arial"/>
          <w:b/>
          <w:bCs/>
          <w:color w:val="000000" w:themeColor="text1"/>
          <w:lang w:val="es-ES"/>
        </w:rPr>
        <w:t>LEY DE GARANTÍAS ELECTORALES – Destinatarios</w:t>
      </w:r>
    </w:p>
    <w:p w14:paraId="67B51A41" w14:textId="030987A0" w:rsidR="00464DBD" w:rsidRPr="00382AD3" w:rsidRDefault="00DE22BA" w:rsidP="00382AD3">
      <w:pPr>
        <w:spacing w:after="120" w:line="276" w:lineRule="auto"/>
        <w:jc w:val="both"/>
        <w:rPr>
          <w:rFonts w:ascii="Verdana" w:hAnsi="Verdana" w:cs="Arial"/>
          <w:color w:val="000000" w:themeColor="text1"/>
          <w:sz w:val="20"/>
          <w:szCs w:val="20"/>
          <w:lang w:val="es-MX" w:eastAsia="x-none"/>
        </w:rPr>
      </w:pPr>
      <w:r w:rsidRPr="00DE22BA">
        <w:rPr>
          <w:rFonts w:ascii="Verdana" w:hAnsi="Verdana" w:cs="Arial"/>
          <w:color w:val="000000" w:themeColor="text1"/>
          <w:sz w:val="20"/>
          <w:szCs w:val="20"/>
          <w:lang w:val="es-MX"/>
        </w:rPr>
        <w:t>Ahora bien, en relación con los destinatarios de las restricciones, el artículo 33 de la Ley 996 de 2005 los señala expresamente, en el sentido de que son “</w:t>
      </w:r>
      <w:r w:rsidRPr="00DE22BA">
        <w:rPr>
          <w:rFonts w:ascii="Verdana" w:hAnsi="Verdana" w:cs="Arial"/>
          <w:i/>
          <w:color w:val="000000" w:themeColor="text1"/>
          <w:sz w:val="20"/>
          <w:szCs w:val="20"/>
          <w:lang w:val="es-MX"/>
        </w:rPr>
        <w:t>todos los entes del Estado</w:t>
      </w:r>
      <w:r w:rsidRPr="00DE22BA">
        <w:rPr>
          <w:rFonts w:ascii="Verdana" w:hAnsi="Verdana" w:cs="Arial"/>
          <w:color w:val="000000" w:themeColor="text1"/>
          <w:sz w:val="20"/>
          <w:szCs w:val="20"/>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67F3D773" w14:textId="77777777" w:rsidR="00EA4190" w:rsidRDefault="00EA4190" w:rsidP="004B75D5">
      <w:pPr>
        <w:spacing w:after="120" w:line="276" w:lineRule="auto"/>
        <w:jc w:val="both"/>
        <w:rPr>
          <w:rFonts w:ascii="Verdana" w:eastAsia="Times New Roman" w:hAnsi="Verdana" w:cs="Arial"/>
          <w:bCs/>
          <w:sz w:val="20"/>
          <w:szCs w:val="20"/>
          <w:lang w:eastAsia="es-CO"/>
        </w:rPr>
      </w:pPr>
    </w:p>
    <w:p w14:paraId="5C198C78" w14:textId="6F8E8D08" w:rsidR="00EA4190" w:rsidRPr="00357084" w:rsidRDefault="004B75D5" w:rsidP="004B75D5">
      <w:pPr>
        <w:spacing w:after="120" w:line="276" w:lineRule="auto"/>
        <w:jc w:val="both"/>
        <w:rPr>
          <w:rFonts w:ascii="Verdana" w:eastAsia="Times New Roman" w:hAnsi="Verdana" w:cs="Arial"/>
          <w:b/>
          <w:bCs/>
          <w:sz w:val="20"/>
          <w:szCs w:val="20"/>
          <w:lang w:val="es-ES" w:eastAsia="es-CO"/>
        </w:rPr>
      </w:pPr>
      <w:r w:rsidRPr="004B75D5">
        <w:rPr>
          <w:rFonts w:ascii="Verdana" w:hAnsi="Verdana" w:cs="Arial"/>
          <w:b/>
          <w:bCs/>
          <w:color w:val="000000" w:themeColor="text1"/>
          <w:lang w:val="es-ES"/>
        </w:rPr>
        <w:t xml:space="preserve">LEY DE </w:t>
      </w:r>
      <w:r w:rsidRPr="00E727BE">
        <w:rPr>
          <w:rFonts w:ascii="Verdana" w:hAnsi="Verdana" w:cs="Arial"/>
          <w:b/>
          <w:bCs/>
          <w:color w:val="000000" w:themeColor="text1"/>
          <w:lang w:val="es-ES"/>
        </w:rPr>
        <w:t>GARANTÍAS</w:t>
      </w:r>
      <w:r w:rsidRPr="004B75D5">
        <w:rPr>
          <w:rFonts w:ascii="Verdana" w:hAnsi="Verdana" w:cs="Arial"/>
          <w:b/>
          <w:bCs/>
          <w:color w:val="000000" w:themeColor="text1"/>
          <w:lang w:val="es-ES"/>
        </w:rPr>
        <w:t xml:space="preserve"> ELECTORALES – Excepciones</w:t>
      </w:r>
      <w:r w:rsidR="00357084" w:rsidRPr="00357084">
        <w:rPr>
          <w:rFonts w:ascii="Verdana" w:hAnsi="Verdana" w:cs="Arial"/>
          <w:b/>
          <w:bCs/>
          <w:color w:val="000000" w:themeColor="text1"/>
          <w:lang w:val="es-ES"/>
        </w:rPr>
        <w:t xml:space="preserve"> </w:t>
      </w:r>
      <w:r w:rsidR="00357084" w:rsidRPr="004B75D5">
        <w:rPr>
          <w:rFonts w:ascii="Verdana" w:hAnsi="Verdana" w:cs="Arial"/>
          <w:b/>
          <w:bCs/>
          <w:color w:val="000000" w:themeColor="text1"/>
          <w:lang w:val="es-ES"/>
        </w:rPr>
        <w:t>–</w:t>
      </w:r>
      <w:r w:rsidR="00357084" w:rsidRPr="00DE22BA">
        <w:rPr>
          <w:rFonts w:ascii="Verdana" w:hAnsi="Verdana" w:cs="Arial"/>
          <w:b/>
          <w:bCs/>
          <w:color w:val="000000" w:themeColor="text1"/>
          <w:lang w:val="es-ES"/>
        </w:rPr>
        <w:t xml:space="preserve">LEY DE GARANTÍAS </w:t>
      </w:r>
      <w:r w:rsidR="00E727BE" w:rsidRPr="00DE22BA">
        <w:rPr>
          <w:rFonts w:ascii="Verdana" w:hAnsi="Verdana" w:cs="Arial"/>
          <w:b/>
          <w:bCs/>
          <w:color w:val="000000" w:themeColor="text1"/>
          <w:lang w:val="es-ES"/>
        </w:rPr>
        <w:t>ELECTORALES</w:t>
      </w:r>
      <w:r w:rsidR="00E727BE">
        <w:rPr>
          <w:rFonts w:ascii="Verdana" w:hAnsi="Verdana" w:cs="Arial"/>
          <w:b/>
          <w:bCs/>
          <w:color w:val="000000" w:themeColor="text1"/>
          <w:lang w:val="es-ES"/>
        </w:rPr>
        <w:t xml:space="preserve"> –</w:t>
      </w:r>
      <w:r w:rsidR="00E727BE" w:rsidRPr="00B54967">
        <w:rPr>
          <w:rFonts w:ascii="Verdana" w:hAnsi="Verdana" w:cs="Arial"/>
          <w:color w:val="000000" w:themeColor="text1"/>
          <w:lang w:val="es-ES"/>
        </w:rPr>
        <w:t xml:space="preserve"> </w:t>
      </w:r>
      <w:r w:rsidR="00E727BE" w:rsidRPr="00E727BE">
        <w:rPr>
          <w:rFonts w:ascii="Verdana" w:hAnsi="Verdana" w:cs="Arial"/>
          <w:b/>
          <w:bCs/>
          <w:color w:val="000000" w:themeColor="text1"/>
          <w:lang w:val="es-ES"/>
        </w:rPr>
        <w:t>Parágrafo del artículo 38 - Alcance</w:t>
      </w:r>
    </w:p>
    <w:p w14:paraId="2C485A7C" w14:textId="77777777" w:rsidR="00EA4190" w:rsidRPr="004B75D5" w:rsidRDefault="00EA4190" w:rsidP="00EA4190">
      <w:pPr>
        <w:spacing w:after="120" w:line="276" w:lineRule="auto"/>
        <w:jc w:val="both"/>
        <w:rPr>
          <w:rFonts w:ascii="Verdana" w:eastAsia="Arial" w:hAnsi="Verdana" w:cs="Arial"/>
          <w:sz w:val="20"/>
          <w:szCs w:val="20"/>
          <w:lang w:val="es-ES" w:eastAsia="es-ES" w:bidi="es-ES"/>
        </w:rPr>
      </w:pPr>
      <w:r w:rsidRPr="004B75D5">
        <w:rPr>
          <w:rFonts w:ascii="Verdana" w:eastAsia="Arial" w:hAnsi="Verdana" w:cs="Arial"/>
          <w:sz w:val="20"/>
          <w:szCs w:val="20"/>
          <w:lang w:val="es-ES" w:eastAsia="es-ES" w:bidi="es-ES"/>
        </w:rPr>
        <w:t xml:space="preserve">De conformidad con lo anterior, la Ley 996 de 2005 establece dos (2) tipos de restricciones en materia de contratación, las cuales coinciden parcialmente. </w:t>
      </w:r>
      <w:r w:rsidRPr="004B75D5">
        <w:rPr>
          <w:rFonts w:ascii="Verdana" w:eastAsia="Arial" w:hAnsi="Verdana" w:cs="Arial"/>
          <w:i/>
          <w:iCs/>
          <w:sz w:val="20"/>
          <w:szCs w:val="20"/>
          <w:lang w:val="es-ES" w:eastAsia="es-ES" w:bidi="es-ES"/>
        </w:rPr>
        <w:t>En primer lugar</w:t>
      </w:r>
      <w:r w:rsidRPr="004B75D5">
        <w:rPr>
          <w:rFonts w:ascii="Verdana" w:eastAsia="Arial" w:hAnsi="Verdana" w:cs="Arial"/>
          <w:sz w:val="20"/>
          <w:szCs w:val="20"/>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4B75D5">
        <w:rPr>
          <w:rFonts w:ascii="Verdana" w:eastAsia="Arial" w:hAnsi="Verdana" w:cs="Arial"/>
          <w:i/>
          <w:iCs/>
          <w:sz w:val="20"/>
          <w:szCs w:val="20"/>
          <w:lang w:val="es-ES" w:eastAsia="es-ES" w:bidi="es-ES"/>
        </w:rPr>
        <w:t>En segundo lugar</w:t>
      </w:r>
      <w:r w:rsidRPr="004B75D5">
        <w:rPr>
          <w:rFonts w:ascii="Verdana" w:eastAsia="Arial" w:hAnsi="Verdana" w:cs="Arial"/>
          <w:sz w:val="20"/>
          <w:szCs w:val="20"/>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p>
    <w:p w14:paraId="2A201813" w14:textId="3D6540C9" w:rsidR="00EA4190" w:rsidRPr="002E0649" w:rsidRDefault="00EA4190" w:rsidP="002E0649">
      <w:pPr>
        <w:spacing w:after="120" w:line="276" w:lineRule="auto"/>
        <w:ind w:firstLine="709"/>
        <w:jc w:val="both"/>
        <w:rPr>
          <w:rFonts w:ascii="Verdana" w:eastAsia="Arial" w:hAnsi="Verdana" w:cs="Arial"/>
          <w:sz w:val="20"/>
          <w:szCs w:val="20"/>
          <w:lang w:val="es-ES" w:eastAsia="es-ES" w:bidi="es-ES"/>
        </w:rPr>
      </w:pPr>
      <w:r w:rsidRPr="004B75D5">
        <w:rPr>
          <w:rFonts w:ascii="Verdana" w:eastAsia="Arial" w:hAnsi="Verdana" w:cs="Arial"/>
          <w:sz w:val="20"/>
          <w:szCs w:val="20"/>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p w14:paraId="7F6C4C68" w14:textId="77777777" w:rsidR="00CE5D5F" w:rsidRPr="00CE5D5F" w:rsidRDefault="00CE5D5F" w:rsidP="00A63B39">
      <w:pPr>
        <w:spacing w:after="120" w:line="276" w:lineRule="auto"/>
        <w:ind w:firstLine="709"/>
        <w:jc w:val="both"/>
        <w:rPr>
          <w:rFonts w:ascii="Verdana" w:eastAsia="Times New Roman" w:hAnsi="Verdana" w:cs="Arial"/>
          <w:b/>
          <w:bCs/>
          <w:sz w:val="20"/>
          <w:szCs w:val="20"/>
          <w:lang w:val="es-ES" w:eastAsia="es-CO"/>
        </w:rPr>
      </w:pPr>
    </w:p>
    <w:p w14:paraId="67E49623" w14:textId="47609967" w:rsidR="00CE5D5F" w:rsidRDefault="00CE5D5F" w:rsidP="00CE5D5F">
      <w:pPr>
        <w:spacing w:after="120" w:line="276" w:lineRule="auto"/>
        <w:jc w:val="both"/>
        <w:rPr>
          <w:rFonts w:ascii="Verdana" w:hAnsi="Verdana" w:cs="Arial"/>
          <w:b/>
          <w:bCs/>
          <w:color w:val="000000" w:themeColor="text1"/>
          <w:lang w:val="es-ES"/>
        </w:rPr>
      </w:pPr>
      <w:r w:rsidRPr="00CE5D5F">
        <w:rPr>
          <w:rFonts w:ascii="Verdana" w:hAnsi="Verdana" w:cs="Arial"/>
          <w:b/>
          <w:bCs/>
          <w:color w:val="000000" w:themeColor="text1"/>
          <w:lang w:val="es-ES"/>
        </w:rPr>
        <w:t>LEY DE GARANTÍAS ELECTORALES – Convenios interadministrativos – Contratos interadministrativos</w:t>
      </w:r>
    </w:p>
    <w:p w14:paraId="28A5F199" w14:textId="77777777" w:rsidR="002E0649" w:rsidRPr="002E0649" w:rsidRDefault="002E0649" w:rsidP="002E0649">
      <w:pPr>
        <w:spacing w:after="120" w:line="276" w:lineRule="auto"/>
        <w:contextualSpacing/>
        <w:jc w:val="both"/>
        <w:rPr>
          <w:rFonts w:ascii="Verdana" w:eastAsia="Calibri" w:hAnsi="Verdana" w:cs="Arial"/>
          <w:sz w:val="20"/>
          <w:szCs w:val="20"/>
          <w:lang w:val="es-ES" w:eastAsia="es-ES"/>
        </w:rPr>
      </w:pPr>
      <w:r w:rsidRPr="002E0649">
        <w:rPr>
          <w:rFonts w:ascii="Verdana" w:eastAsia="Calibri" w:hAnsi="Verdana" w:cs="Arial"/>
          <w:sz w:val="20"/>
          <w:szCs w:val="20"/>
          <w:lang w:val="es-ES" w:eastAsia="es-ES"/>
        </w:rPr>
        <w:t xml:space="preserve">La restricción contenida en el parágrafo del artículo 38 de la Ley 996 de 2005 se refiere a la celebración de convenios interadministrativos para la ejecución de recursos públicos, independientemente de que se configuren los supuestos de excepción que señala en artículo 33 de la misma ley.  </w:t>
      </w:r>
    </w:p>
    <w:p w14:paraId="01323FBF" w14:textId="77777777" w:rsidR="002E0649" w:rsidRPr="002E0649" w:rsidRDefault="002E0649" w:rsidP="002E0649">
      <w:pPr>
        <w:spacing w:after="120" w:line="276" w:lineRule="auto"/>
        <w:ind w:left="720" w:firstLine="709"/>
        <w:contextualSpacing/>
        <w:jc w:val="both"/>
        <w:rPr>
          <w:rFonts w:ascii="Verdana" w:eastAsia="Calibri" w:hAnsi="Verdana" w:cs="Arial"/>
          <w:sz w:val="20"/>
          <w:szCs w:val="20"/>
          <w:lang w:val="es-ES" w:eastAsia="es-ES"/>
        </w:rPr>
      </w:pPr>
    </w:p>
    <w:p w14:paraId="61325C3D" w14:textId="42B61D6A" w:rsidR="00CE5D5F" w:rsidRDefault="002E0649" w:rsidP="00CE5D5F">
      <w:pPr>
        <w:spacing w:after="120" w:line="276" w:lineRule="auto"/>
        <w:contextualSpacing/>
        <w:jc w:val="both"/>
        <w:rPr>
          <w:rFonts w:ascii="Verdana" w:eastAsia="Calibri" w:hAnsi="Verdana" w:cs="Arial"/>
          <w:sz w:val="20"/>
          <w:szCs w:val="20"/>
          <w:lang w:val="es-ES" w:eastAsia="es-ES"/>
        </w:rPr>
      </w:pPr>
      <w:r w:rsidRPr="002E0649">
        <w:rPr>
          <w:rFonts w:ascii="Verdana" w:eastAsia="Calibri" w:hAnsi="Verdana" w:cs="Arial"/>
          <w:sz w:val="20"/>
          <w:szCs w:val="20"/>
          <w:lang w:val="es-ES" w:eastAsia="es-ES"/>
        </w:rPr>
        <w:t xml:space="preserve">La posición definida en las decisiones adoptadas por la Sección Tercera del Consejo de Estado se enmarcó en la imposibilidad de extender la aplicación de la restricción a los contratos interadministrativos que, en vigencia de la prohibición del parágrafo del artículo 38 de la Ley de Garantías Electorales se trata, esto es, en las elecciones distintas a las presidenciales. Específicamente, en la sentencia del 17 de octubre de 2025, el alto tribunal declaró la nulidad parcial del numeral 16.2 de la Circular Externa Única de 2022, por lo tanto, cuando dos entidades públicas celebran un contrato interadministrativo, independientemente del objeto, dicho contrato puede suscribirse durante el periodo preelectoral. </w:t>
      </w:r>
    </w:p>
    <w:p w14:paraId="2E5CCA14" w14:textId="77777777" w:rsidR="002E0649" w:rsidRPr="002E0649" w:rsidRDefault="002E0649" w:rsidP="00CE5D5F">
      <w:pPr>
        <w:spacing w:after="120" w:line="276" w:lineRule="auto"/>
        <w:contextualSpacing/>
        <w:jc w:val="both"/>
        <w:rPr>
          <w:rFonts w:ascii="Verdana" w:eastAsia="Calibri" w:hAnsi="Verdana" w:cs="Arial"/>
          <w:sz w:val="20"/>
          <w:szCs w:val="20"/>
          <w:lang w:val="es-ES" w:eastAsia="es-ES"/>
        </w:rPr>
      </w:pPr>
    </w:p>
    <w:p w14:paraId="6CCE90C8" w14:textId="6E7EF059" w:rsidR="004E5735" w:rsidRDefault="00857E77" w:rsidP="00857E77">
      <w:pPr>
        <w:tabs>
          <w:tab w:val="left" w:pos="1320"/>
        </w:tabs>
        <w:spacing w:after="0" w:line="240" w:lineRule="auto"/>
        <w:jc w:val="both"/>
        <w:rPr>
          <w:rFonts w:ascii="Verdana" w:eastAsiaTheme="minorEastAsia" w:hAnsi="Verdana" w:cs="Arial"/>
          <w:b/>
          <w:bCs/>
          <w:lang w:eastAsia="es-CO"/>
        </w:rPr>
      </w:pPr>
      <w:r>
        <w:rPr>
          <w:rFonts w:ascii="Verdana" w:eastAsiaTheme="minorEastAsia" w:hAnsi="Verdana" w:cs="Arial"/>
          <w:b/>
          <w:bCs/>
          <w:lang w:eastAsia="es-CO"/>
        </w:rPr>
        <w:tab/>
      </w:r>
    </w:p>
    <w:p w14:paraId="624D85CB" w14:textId="53347F3F" w:rsidR="007A4B17" w:rsidRPr="00817130" w:rsidRDefault="007A4B17" w:rsidP="007A4B17">
      <w:pPr>
        <w:tabs>
          <w:tab w:val="left" w:pos="5100"/>
        </w:tabs>
        <w:spacing w:after="0" w:line="240" w:lineRule="auto"/>
        <w:jc w:val="both"/>
        <w:rPr>
          <w:rFonts w:ascii="Verdana" w:eastAsiaTheme="minorEastAsia" w:hAnsi="Verdana" w:cs="Arial"/>
          <w:b/>
          <w:bCs/>
          <w:lang w:eastAsia="es-CO"/>
        </w:rPr>
      </w:pPr>
      <w:r w:rsidRPr="00817130">
        <w:rPr>
          <w:rFonts w:ascii="Verdana" w:eastAsiaTheme="minorEastAsia" w:hAnsi="Verdana" w:cs="Arial"/>
          <w:b/>
          <w:bCs/>
          <w:lang w:eastAsia="es-CO"/>
        </w:rPr>
        <w:t>CONSEJO DE ESTADO</w:t>
      </w:r>
      <w:r>
        <w:rPr>
          <w:rFonts w:ascii="Verdana" w:eastAsiaTheme="minorEastAsia" w:hAnsi="Verdana" w:cs="Arial"/>
          <w:b/>
          <w:bCs/>
          <w:lang w:eastAsia="es-CO"/>
        </w:rPr>
        <w:t xml:space="preserve">- Posición </w:t>
      </w:r>
    </w:p>
    <w:p w14:paraId="5312B83A" w14:textId="77777777" w:rsidR="007A4B17" w:rsidRDefault="007A4B17" w:rsidP="007A4B17">
      <w:pPr>
        <w:tabs>
          <w:tab w:val="left" w:pos="5100"/>
        </w:tabs>
        <w:spacing w:after="0" w:line="240" w:lineRule="auto"/>
        <w:jc w:val="both"/>
        <w:rPr>
          <w:rFonts w:ascii="Verdana" w:eastAsia="Calibri" w:hAnsi="Verdana" w:cs="Arial"/>
          <w:b/>
          <w:lang w:val="es-ES" w:eastAsia="es-ES"/>
        </w:rPr>
      </w:pPr>
      <w:r>
        <w:rPr>
          <w:rFonts w:ascii="Verdana" w:eastAsia="Calibri" w:hAnsi="Verdana" w:cs="Arial"/>
          <w:b/>
          <w:lang w:val="es-ES" w:eastAsia="es-ES"/>
        </w:rPr>
        <w:tab/>
      </w:r>
    </w:p>
    <w:p w14:paraId="1032701A" w14:textId="77777777" w:rsidR="007A4B17" w:rsidRPr="00865375" w:rsidRDefault="007A4B17" w:rsidP="007A4B17">
      <w:pPr>
        <w:spacing w:after="120" w:line="276" w:lineRule="auto"/>
        <w:jc w:val="both"/>
        <w:rPr>
          <w:rFonts w:ascii="Verdana" w:eastAsiaTheme="minorEastAsia" w:hAnsi="Verdana" w:cs="Arial"/>
          <w:sz w:val="20"/>
          <w:szCs w:val="20"/>
          <w:lang w:eastAsia="es-CO"/>
        </w:rPr>
      </w:pPr>
      <w:r w:rsidRPr="00865375">
        <w:rPr>
          <w:rFonts w:ascii="Verdana" w:eastAsiaTheme="minorEastAsia" w:hAnsi="Verdana" w:cs="Arial"/>
          <w:sz w:val="20"/>
          <w:szCs w:val="20"/>
          <w:lang w:eastAsia="es-CO"/>
        </w:rPr>
        <w:t xml:space="preserve">Bajo esta postura del Consejo de Estado, se determina que el convenio interadministrativo es el negocio jurídico en el cual convergen dos entidades públicas, cuyo objeto se relaciona con la coordinación o cooperación para el cumplimiento de los fines comunes de las partes. Por otro lado, el contrato interadministrativo es un negocio jurídico, cuyo objeto está relacionado con la prestación de bienes y servicios, en el que una de las partes actúa como contratante y otra como contratista. Al respecto, la doctrina expresa: </w:t>
      </w:r>
    </w:p>
    <w:p w14:paraId="7A033F8D" w14:textId="77777777" w:rsidR="007A4B17" w:rsidRPr="00865375" w:rsidRDefault="007A4B17" w:rsidP="007A4B17">
      <w:pPr>
        <w:spacing w:after="0" w:line="240" w:lineRule="auto"/>
        <w:ind w:left="709" w:right="709"/>
        <w:jc w:val="both"/>
        <w:rPr>
          <w:rFonts w:ascii="Verdana" w:eastAsiaTheme="minorEastAsia" w:hAnsi="Verdana" w:cs="Arial"/>
          <w:sz w:val="20"/>
          <w:szCs w:val="20"/>
          <w:lang w:eastAsia="es-CO"/>
        </w:rPr>
      </w:pPr>
      <w:r w:rsidRPr="00865375">
        <w:rPr>
          <w:rFonts w:ascii="Verdana" w:eastAsiaTheme="minorEastAsia" w:hAnsi="Verdana" w:cs="Arial"/>
          <w:sz w:val="20"/>
          <w:szCs w:val="20"/>
          <w:lang w:eastAsia="es-CO"/>
        </w:rPr>
        <w:t>“De acuerdo con todo lo anteriormente expuesto, podemos manifestar que el convenio interadministrativo es el negocio jurídico en el cual están presentes dos entidades públicas en desarrollo de relaciones interadministrativas cuyo objeto es coordinar, cooperar, colaborar o distribuir competencias en la realización de funciones administrativas de interés común a los sujetos negociales.</w:t>
      </w:r>
    </w:p>
    <w:p w14:paraId="69AA0792" w14:textId="77777777" w:rsidR="007A4B17" w:rsidRPr="00865375" w:rsidRDefault="007A4B17" w:rsidP="007A4B17">
      <w:pPr>
        <w:spacing w:after="0" w:line="240" w:lineRule="auto"/>
        <w:ind w:left="709" w:right="709"/>
        <w:jc w:val="both"/>
        <w:rPr>
          <w:rFonts w:ascii="Verdana" w:eastAsiaTheme="minorEastAsia" w:hAnsi="Verdana" w:cs="Arial"/>
          <w:sz w:val="20"/>
          <w:szCs w:val="20"/>
          <w:lang w:eastAsia="es-CO"/>
        </w:rPr>
      </w:pPr>
      <w:r w:rsidRPr="00865375">
        <w:rPr>
          <w:rFonts w:ascii="Verdana" w:eastAsiaTheme="minorEastAsia" w:hAnsi="Verdana" w:cs="Arial"/>
          <w:sz w:val="20"/>
          <w:szCs w:val="20"/>
          <w:lang w:eastAsia="es-CO"/>
        </w:rPr>
        <w:t>[…]</w:t>
      </w:r>
    </w:p>
    <w:p w14:paraId="3AF155EA" w14:textId="77777777" w:rsidR="007A4B17" w:rsidRPr="00865375" w:rsidRDefault="007A4B17" w:rsidP="007A4B17">
      <w:pPr>
        <w:autoSpaceDE w:val="0"/>
        <w:autoSpaceDN w:val="0"/>
        <w:adjustRightInd w:val="0"/>
        <w:spacing w:after="0" w:line="240" w:lineRule="auto"/>
        <w:ind w:left="709" w:right="709"/>
        <w:jc w:val="both"/>
        <w:rPr>
          <w:rFonts w:ascii="Verdana" w:hAnsi="Verdana" w:cs="Weiss"/>
          <w:sz w:val="20"/>
          <w:szCs w:val="20"/>
          <w:vertAlign w:val="superscript"/>
        </w:rPr>
      </w:pPr>
      <w:r w:rsidRPr="00865375">
        <w:rPr>
          <w:rFonts w:ascii="Verdana" w:hAnsi="Verdana" w:cs="Weiss"/>
          <w:sz w:val="20"/>
          <w:szCs w:val="20"/>
        </w:rPr>
        <w:t xml:space="preserve">El contrato interadministrativo, por su parte, es también celebrado entre dos entidades públicas con capacidad de tener relaciones interadministrativas, con la particularidad de que el contrato es negocio jurídico generador de obligaciones al cual acuden las partes con diversidad de intereses. En el contrato se pueden identificar contratante y contratista, </w:t>
      </w:r>
      <w:r w:rsidRPr="00865375">
        <w:rPr>
          <w:rFonts w:ascii="Verdana" w:hAnsi="Verdana" w:cs="Weiss"/>
          <w:sz w:val="20"/>
          <w:szCs w:val="20"/>
        </w:rPr>
        <w:lastRenderedPageBreak/>
        <w:t>y el segundo, aunque persona pública, tiene intereses y está en un mercado de forma similar a como lo hace el particular”</w:t>
      </w:r>
      <w:r w:rsidRPr="00865375">
        <w:rPr>
          <w:rFonts w:ascii="Verdana" w:hAnsi="Verdana" w:cs="Weiss"/>
          <w:sz w:val="20"/>
          <w:szCs w:val="20"/>
          <w:vertAlign w:val="superscript"/>
        </w:rPr>
        <w:t>.</w:t>
      </w:r>
    </w:p>
    <w:p w14:paraId="09606F4E" w14:textId="77777777" w:rsidR="00F56C58" w:rsidRPr="00EF1E4F" w:rsidRDefault="00F56C58" w:rsidP="00B54967">
      <w:pPr>
        <w:spacing w:after="0"/>
        <w:rPr>
          <w:rFonts w:ascii="Verdana" w:eastAsia="Verdana" w:hAnsi="Verdana" w:cs="Verdana"/>
          <w:sz w:val="20"/>
          <w:szCs w:val="20"/>
        </w:rPr>
      </w:pPr>
    </w:p>
    <w:p w14:paraId="6EFFD6C7" w14:textId="77777777" w:rsidR="00F56C58" w:rsidRPr="00EF1E4F" w:rsidRDefault="00F56C58" w:rsidP="00B54967">
      <w:pPr>
        <w:spacing w:after="0"/>
        <w:rPr>
          <w:rFonts w:ascii="Verdana" w:eastAsia="Verdana" w:hAnsi="Verdana" w:cs="Verdana"/>
          <w:sz w:val="20"/>
          <w:szCs w:val="20"/>
        </w:rPr>
      </w:pPr>
    </w:p>
    <w:p w14:paraId="05F6927A" w14:textId="77777777" w:rsidR="00F56C58" w:rsidRPr="00EF1E4F" w:rsidRDefault="00F56C58" w:rsidP="00B54967">
      <w:pPr>
        <w:spacing w:after="0"/>
        <w:rPr>
          <w:rFonts w:ascii="Verdana" w:eastAsia="Verdana" w:hAnsi="Verdana" w:cs="Verdana"/>
          <w:sz w:val="20"/>
          <w:szCs w:val="20"/>
        </w:rPr>
      </w:pPr>
    </w:p>
    <w:p w14:paraId="3622487F" w14:textId="77777777" w:rsidR="00F56C58" w:rsidRPr="00EF1E4F" w:rsidRDefault="00F56C58" w:rsidP="00B54967">
      <w:pPr>
        <w:spacing w:after="0"/>
        <w:rPr>
          <w:rFonts w:ascii="Verdana" w:eastAsia="Verdana" w:hAnsi="Verdana" w:cs="Verdana"/>
          <w:sz w:val="20"/>
          <w:szCs w:val="20"/>
        </w:rPr>
      </w:pPr>
    </w:p>
    <w:p w14:paraId="38007BD9" w14:textId="77777777" w:rsidR="00F56C58" w:rsidRDefault="00F56C58" w:rsidP="00B54967">
      <w:pPr>
        <w:spacing w:after="0"/>
        <w:rPr>
          <w:rFonts w:ascii="Verdana" w:eastAsia="Verdana" w:hAnsi="Verdana" w:cs="Verdana"/>
        </w:rPr>
      </w:pPr>
    </w:p>
    <w:p w14:paraId="4E43F6FA" w14:textId="77777777" w:rsidR="00F56C58" w:rsidRDefault="00F56C58" w:rsidP="00B54967">
      <w:pPr>
        <w:spacing w:after="0"/>
        <w:rPr>
          <w:rFonts w:ascii="Verdana" w:eastAsia="Verdana" w:hAnsi="Verdana" w:cs="Verdana"/>
        </w:rPr>
      </w:pPr>
    </w:p>
    <w:p w14:paraId="1D41C6D6" w14:textId="77777777" w:rsidR="00F56C58" w:rsidRDefault="00F56C58" w:rsidP="00B54967">
      <w:pPr>
        <w:spacing w:after="0"/>
        <w:rPr>
          <w:rFonts w:ascii="Verdana" w:eastAsia="Verdana" w:hAnsi="Verdana" w:cs="Verdana"/>
        </w:rPr>
      </w:pPr>
    </w:p>
    <w:p w14:paraId="65CD2A72" w14:textId="02B1F88E" w:rsidR="00F56C58" w:rsidRDefault="00817130" w:rsidP="00817130">
      <w:pPr>
        <w:tabs>
          <w:tab w:val="left" w:pos="2265"/>
        </w:tabs>
        <w:spacing w:after="0"/>
        <w:rPr>
          <w:rFonts w:ascii="Verdana" w:eastAsia="Verdana" w:hAnsi="Verdana" w:cs="Verdana"/>
        </w:rPr>
      </w:pPr>
      <w:r>
        <w:rPr>
          <w:rFonts w:ascii="Verdana" w:eastAsia="Verdana" w:hAnsi="Verdana" w:cs="Verdana"/>
        </w:rPr>
        <w:tab/>
      </w:r>
    </w:p>
    <w:p w14:paraId="0A8E8939" w14:textId="77777777" w:rsidR="00817130" w:rsidRDefault="00817130" w:rsidP="00817130">
      <w:pPr>
        <w:tabs>
          <w:tab w:val="left" w:pos="2265"/>
        </w:tabs>
        <w:spacing w:after="0"/>
        <w:rPr>
          <w:rFonts w:ascii="Verdana" w:eastAsia="Verdana" w:hAnsi="Verdana" w:cs="Verdana"/>
        </w:rPr>
      </w:pPr>
    </w:p>
    <w:p w14:paraId="57F358E4" w14:textId="77777777" w:rsidR="00817130" w:rsidRDefault="00817130" w:rsidP="00817130">
      <w:pPr>
        <w:tabs>
          <w:tab w:val="left" w:pos="2265"/>
        </w:tabs>
        <w:spacing w:after="0"/>
        <w:rPr>
          <w:rFonts w:ascii="Verdana" w:eastAsia="Verdana" w:hAnsi="Verdana" w:cs="Verdana"/>
        </w:rPr>
      </w:pPr>
    </w:p>
    <w:p w14:paraId="54C5FB3D" w14:textId="77777777" w:rsidR="00817130" w:rsidRDefault="00817130" w:rsidP="00817130">
      <w:pPr>
        <w:tabs>
          <w:tab w:val="left" w:pos="2265"/>
        </w:tabs>
        <w:spacing w:after="0"/>
        <w:rPr>
          <w:rFonts w:ascii="Verdana" w:eastAsia="Verdana" w:hAnsi="Verdana" w:cs="Verdana"/>
        </w:rPr>
      </w:pPr>
    </w:p>
    <w:p w14:paraId="35F1F9FD" w14:textId="77777777" w:rsidR="00817130" w:rsidRDefault="00817130" w:rsidP="00817130">
      <w:pPr>
        <w:tabs>
          <w:tab w:val="left" w:pos="2265"/>
        </w:tabs>
        <w:spacing w:after="0"/>
        <w:rPr>
          <w:rFonts w:ascii="Verdana" w:eastAsia="Verdana" w:hAnsi="Verdana" w:cs="Verdana"/>
        </w:rPr>
      </w:pPr>
    </w:p>
    <w:p w14:paraId="4D1E86C2" w14:textId="77777777" w:rsidR="00817130" w:rsidRDefault="00817130" w:rsidP="00817130">
      <w:pPr>
        <w:tabs>
          <w:tab w:val="left" w:pos="2265"/>
        </w:tabs>
        <w:spacing w:after="0"/>
        <w:rPr>
          <w:rFonts w:ascii="Verdana" w:eastAsia="Verdana" w:hAnsi="Verdana" w:cs="Verdana"/>
        </w:rPr>
      </w:pPr>
    </w:p>
    <w:p w14:paraId="410D54F0" w14:textId="77777777" w:rsidR="00817130" w:rsidRDefault="00817130" w:rsidP="00817130">
      <w:pPr>
        <w:tabs>
          <w:tab w:val="left" w:pos="2265"/>
        </w:tabs>
        <w:spacing w:after="0"/>
        <w:rPr>
          <w:rFonts w:ascii="Verdana" w:eastAsia="Verdana" w:hAnsi="Verdana" w:cs="Verdana"/>
        </w:rPr>
      </w:pPr>
    </w:p>
    <w:p w14:paraId="4E51017C" w14:textId="77777777" w:rsidR="00817130" w:rsidRDefault="00817130" w:rsidP="00817130">
      <w:pPr>
        <w:tabs>
          <w:tab w:val="left" w:pos="2265"/>
        </w:tabs>
        <w:spacing w:after="0"/>
        <w:rPr>
          <w:rFonts w:ascii="Verdana" w:eastAsia="Verdana" w:hAnsi="Verdana" w:cs="Verdana"/>
        </w:rPr>
      </w:pPr>
    </w:p>
    <w:p w14:paraId="52A1BBC2" w14:textId="77777777" w:rsidR="00EC292A" w:rsidRDefault="00EC292A" w:rsidP="00817130">
      <w:pPr>
        <w:tabs>
          <w:tab w:val="left" w:pos="2265"/>
        </w:tabs>
        <w:spacing w:after="0"/>
        <w:rPr>
          <w:rFonts w:ascii="Verdana" w:eastAsia="Verdana" w:hAnsi="Verdana" w:cs="Verdana"/>
        </w:rPr>
      </w:pPr>
    </w:p>
    <w:p w14:paraId="01496E60" w14:textId="77777777" w:rsidR="00EC292A" w:rsidRDefault="00EC292A" w:rsidP="00817130">
      <w:pPr>
        <w:tabs>
          <w:tab w:val="left" w:pos="2265"/>
        </w:tabs>
        <w:spacing w:after="0"/>
        <w:rPr>
          <w:rFonts w:ascii="Verdana" w:eastAsia="Verdana" w:hAnsi="Verdana" w:cs="Verdana"/>
        </w:rPr>
      </w:pPr>
    </w:p>
    <w:p w14:paraId="43BC6E40" w14:textId="77777777" w:rsidR="00EC292A" w:rsidRDefault="00EC292A" w:rsidP="00817130">
      <w:pPr>
        <w:tabs>
          <w:tab w:val="left" w:pos="2265"/>
        </w:tabs>
        <w:spacing w:after="0"/>
        <w:rPr>
          <w:rFonts w:ascii="Verdana" w:eastAsia="Verdana" w:hAnsi="Verdana" w:cs="Verdana"/>
        </w:rPr>
      </w:pPr>
    </w:p>
    <w:p w14:paraId="514C5F9E" w14:textId="77777777" w:rsidR="005F0B7C" w:rsidRDefault="005F0B7C" w:rsidP="00817130">
      <w:pPr>
        <w:tabs>
          <w:tab w:val="left" w:pos="2265"/>
        </w:tabs>
        <w:spacing w:after="0"/>
        <w:rPr>
          <w:rFonts w:ascii="Verdana" w:eastAsia="Verdana" w:hAnsi="Verdana" w:cs="Verdana"/>
        </w:rPr>
      </w:pPr>
    </w:p>
    <w:p w14:paraId="2836DAD9" w14:textId="77777777" w:rsidR="00F56C58" w:rsidRDefault="00F56C58" w:rsidP="00B54967">
      <w:pPr>
        <w:spacing w:after="0"/>
        <w:rPr>
          <w:rFonts w:ascii="Verdana" w:eastAsia="Verdana" w:hAnsi="Verdana" w:cs="Verdana"/>
        </w:rPr>
      </w:pPr>
    </w:p>
    <w:p w14:paraId="633CC392" w14:textId="77777777" w:rsidR="002E0649" w:rsidRDefault="002E0649" w:rsidP="00B54967">
      <w:pPr>
        <w:spacing w:after="0"/>
        <w:rPr>
          <w:rFonts w:ascii="Verdana" w:eastAsia="Verdana" w:hAnsi="Verdana" w:cs="Verdana"/>
        </w:rPr>
      </w:pPr>
    </w:p>
    <w:p w14:paraId="666404BF" w14:textId="77777777" w:rsidR="002E0649" w:rsidRDefault="002E0649" w:rsidP="00B54967">
      <w:pPr>
        <w:spacing w:after="0"/>
        <w:rPr>
          <w:rFonts w:ascii="Verdana" w:eastAsia="Verdana" w:hAnsi="Verdana" w:cs="Verdana"/>
        </w:rPr>
      </w:pPr>
    </w:p>
    <w:p w14:paraId="5CD62ADB" w14:textId="77777777" w:rsidR="002E0649" w:rsidRDefault="002E0649" w:rsidP="00B54967">
      <w:pPr>
        <w:spacing w:after="0"/>
        <w:rPr>
          <w:rFonts w:ascii="Verdana" w:eastAsia="Verdana" w:hAnsi="Verdana" w:cs="Verdana"/>
        </w:rPr>
      </w:pPr>
    </w:p>
    <w:p w14:paraId="1B719A62" w14:textId="77777777" w:rsidR="002E0649" w:rsidRDefault="002E0649" w:rsidP="00B54967">
      <w:pPr>
        <w:spacing w:after="0"/>
        <w:rPr>
          <w:rFonts w:ascii="Verdana" w:eastAsia="Verdana" w:hAnsi="Verdana" w:cs="Verdana"/>
        </w:rPr>
      </w:pPr>
    </w:p>
    <w:p w14:paraId="5536F655" w14:textId="77777777" w:rsidR="002E0649" w:rsidRDefault="002E0649" w:rsidP="00B54967">
      <w:pPr>
        <w:spacing w:after="0"/>
        <w:rPr>
          <w:rFonts w:ascii="Verdana" w:eastAsia="Verdana" w:hAnsi="Verdana" w:cs="Verdana"/>
        </w:rPr>
      </w:pPr>
    </w:p>
    <w:p w14:paraId="492BDE19" w14:textId="77777777" w:rsidR="002E0649" w:rsidRDefault="002E0649" w:rsidP="00B54967">
      <w:pPr>
        <w:spacing w:after="0"/>
        <w:rPr>
          <w:rFonts w:ascii="Verdana" w:eastAsia="Verdana" w:hAnsi="Verdana" w:cs="Verdana"/>
        </w:rPr>
      </w:pPr>
    </w:p>
    <w:p w14:paraId="5DB485B3" w14:textId="77777777" w:rsidR="002E0649" w:rsidRDefault="002E0649" w:rsidP="00B54967">
      <w:pPr>
        <w:spacing w:after="0"/>
        <w:rPr>
          <w:rFonts w:ascii="Verdana" w:eastAsia="Verdana" w:hAnsi="Verdana" w:cs="Verdana"/>
        </w:rPr>
      </w:pPr>
    </w:p>
    <w:p w14:paraId="730F5CA8" w14:textId="77777777" w:rsidR="002E0649" w:rsidRDefault="002E0649" w:rsidP="00B54967">
      <w:pPr>
        <w:spacing w:after="0"/>
        <w:rPr>
          <w:rFonts w:ascii="Verdana" w:eastAsia="Verdana" w:hAnsi="Verdana" w:cs="Verdana"/>
        </w:rPr>
      </w:pPr>
    </w:p>
    <w:p w14:paraId="75C85717" w14:textId="77777777" w:rsidR="002E0649" w:rsidRDefault="002E0649" w:rsidP="00B54967">
      <w:pPr>
        <w:spacing w:after="0"/>
        <w:rPr>
          <w:rFonts w:ascii="Verdana" w:eastAsia="Verdana" w:hAnsi="Verdana" w:cs="Verdana"/>
        </w:rPr>
      </w:pPr>
    </w:p>
    <w:p w14:paraId="2C8C18E7" w14:textId="77777777" w:rsidR="002E0649" w:rsidRDefault="002E0649" w:rsidP="00B54967">
      <w:pPr>
        <w:spacing w:after="0"/>
        <w:rPr>
          <w:rFonts w:ascii="Verdana" w:eastAsia="Verdana" w:hAnsi="Verdana" w:cs="Verdana"/>
        </w:rPr>
      </w:pPr>
    </w:p>
    <w:p w14:paraId="53ACBAF9" w14:textId="77777777" w:rsidR="002E0649" w:rsidRDefault="002E0649" w:rsidP="00B54967">
      <w:pPr>
        <w:spacing w:after="0"/>
        <w:rPr>
          <w:rFonts w:ascii="Verdana" w:eastAsia="Verdana" w:hAnsi="Verdana" w:cs="Verdana"/>
        </w:rPr>
      </w:pPr>
    </w:p>
    <w:p w14:paraId="6B04F238" w14:textId="77777777" w:rsidR="002E0649" w:rsidRDefault="002E0649" w:rsidP="00B54967">
      <w:pPr>
        <w:spacing w:after="0"/>
        <w:rPr>
          <w:rFonts w:ascii="Verdana" w:eastAsia="Verdana" w:hAnsi="Verdana" w:cs="Verdana"/>
        </w:rPr>
      </w:pPr>
    </w:p>
    <w:p w14:paraId="5AA43EAC" w14:textId="77777777" w:rsidR="002E0649" w:rsidRDefault="002E0649" w:rsidP="00B54967">
      <w:pPr>
        <w:spacing w:after="0"/>
        <w:rPr>
          <w:rFonts w:ascii="Verdana" w:eastAsia="Verdana" w:hAnsi="Verdana" w:cs="Verdana"/>
        </w:rPr>
      </w:pPr>
    </w:p>
    <w:p w14:paraId="62BBAE66" w14:textId="77777777" w:rsidR="002E0649" w:rsidRDefault="002E0649" w:rsidP="00B54967">
      <w:pPr>
        <w:spacing w:after="0"/>
        <w:rPr>
          <w:rFonts w:ascii="Verdana" w:eastAsia="Verdana" w:hAnsi="Verdana" w:cs="Verdana"/>
        </w:rPr>
      </w:pPr>
    </w:p>
    <w:p w14:paraId="0CE84575" w14:textId="77777777" w:rsidR="002E0649" w:rsidRDefault="002E0649" w:rsidP="00B54967">
      <w:pPr>
        <w:spacing w:after="0"/>
        <w:rPr>
          <w:rFonts w:ascii="Verdana" w:eastAsia="Verdana" w:hAnsi="Verdana" w:cs="Verdana"/>
        </w:rPr>
      </w:pPr>
    </w:p>
    <w:p w14:paraId="081443D2" w14:textId="77777777" w:rsidR="002E0649" w:rsidRDefault="002E0649" w:rsidP="00B54967">
      <w:pPr>
        <w:spacing w:after="0"/>
        <w:rPr>
          <w:rFonts w:ascii="Verdana" w:eastAsia="Verdana" w:hAnsi="Verdana" w:cs="Verdana"/>
        </w:rPr>
      </w:pPr>
    </w:p>
    <w:p w14:paraId="515C5D5E" w14:textId="77777777" w:rsidR="002E0649" w:rsidRDefault="002E0649" w:rsidP="00B54967">
      <w:pPr>
        <w:spacing w:after="0"/>
        <w:rPr>
          <w:rFonts w:ascii="Verdana" w:eastAsia="Verdana" w:hAnsi="Verdana" w:cs="Verdana"/>
        </w:rPr>
      </w:pPr>
    </w:p>
    <w:p w14:paraId="504C0269" w14:textId="77777777" w:rsidR="00F56C58" w:rsidRDefault="00F56C58" w:rsidP="00B54967">
      <w:pPr>
        <w:spacing w:after="0"/>
        <w:rPr>
          <w:rFonts w:ascii="Verdana" w:eastAsia="Verdana" w:hAnsi="Verdana" w:cs="Verdana"/>
        </w:rPr>
      </w:pPr>
    </w:p>
    <w:p w14:paraId="48245EA3" w14:textId="77777777" w:rsidR="00F56C58" w:rsidRDefault="00F56C58" w:rsidP="00B54967">
      <w:pPr>
        <w:spacing w:after="0"/>
        <w:rPr>
          <w:rFonts w:ascii="Verdana" w:eastAsia="Verdana" w:hAnsi="Verdana" w:cs="Verdana"/>
        </w:rPr>
      </w:pPr>
    </w:p>
    <w:p w14:paraId="7C026182" w14:textId="77777777" w:rsidR="00733E8A" w:rsidRDefault="005E524E" w:rsidP="00733E8A">
      <w:pPr>
        <w:spacing w:after="0"/>
        <w:rPr>
          <w:rFonts w:ascii="Verdana" w:hAnsi="Verdana"/>
        </w:rPr>
      </w:pPr>
      <w:r w:rsidRPr="005E524E">
        <w:rPr>
          <w:rFonts w:ascii="Verdana" w:hAnsi="Verdana"/>
        </w:rPr>
        <w:t>Bogotá D.C., 20 Mayo 2026</w:t>
      </w:r>
      <w:r w:rsidR="00733E8A">
        <w:rPr>
          <w:rFonts w:ascii="Verdana" w:hAnsi="Verdana"/>
        </w:rPr>
        <w:t xml:space="preserve">   </w:t>
      </w:r>
    </w:p>
    <w:p w14:paraId="405E5482" w14:textId="2EFAD1B3" w:rsidR="005E524E" w:rsidRPr="005E524E" w:rsidRDefault="00733E8A" w:rsidP="00733E8A">
      <w:pPr>
        <w:spacing w:after="0"/>
        <w:rPr>
          <w:rFonts w:ascii="Verdana" w:hAnsi="Verdana"/>
        </w:rPr>
      </w:pPr>
      <w:r>
        <w:rPr>
          <w:rFonts w:ascii="Verdana" w:hAnsi="Verdana"/>
        </w:rPr>
        <w:t xml:space="preserve">                                                            </w:t>
      </w:r>
      <w:r w:rsidRPr="00733E8A">
        <w:rPr>
          <w:rFonts w:ascii="Verdana" w:hAnsi="Verdana"/>
          <w:noProof/>
        </w:rPr>
        <w:drawing>
          <wp:inline distT="0" distB="0" distL="0" distR="0" wp14:anchorId="19D58F33" wp14:editId="430E9E6F">
            <wp:extent cx="2063279" cy="571500"/>
            <wp:effectExtent l="0" t="0" r="0" b="0"/>
            <wp:docPr id="12592180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7794" cy="575520"/>
                    </a:xfrm>
                    <a:prstGeom prst="rect">
                      <a:avLst/>
                    </a:prstGeom>
                    <a:noFill/>
                    <a:ln>
                      <a:noFill/>
                    </a:ln>
                  </pic:spPr>
                </pic:pic>
              </a:graphicData>
            </a:graphic>
          </wp:inline>
        </w:drawing>
      </w:r>
    </w:p>
    <w:p w14:paraId="34BE99BF" w14:textId="08D722CA" w:rsidR="00B54967" w:rsidRPr="00B54967" w:rsidRDefault="00B54967" w:rsidP="00B54967">
      <w:pPr>
        <w:spacing w:after="0"/>
        <w:rPr>
          <w:rFonts w:ascii="Verdana" w:eastAsia="Verdana" w:hAnsi="Verdana" w:cs="Verdana"/>
        </w:rPr>
      </w:pPr>
      <w:r w:rsidRPr="00B54967">
        <w:tab/>
      </w:r>
      <w:bookmarkStart w:id="1" w:name="_Hlk214366482"/>
    </w:p>
    <w:p w14:paraId="0F1CFE32" w14:textId="77777777" w:rsidR="00B54967" w:rsidRPr="00B54967" w:rsidRDefault="00B54967" w:rsidP="00B54967">
      <w:pPr>
        <w:spacing w:after="0" w:line="240" w:lineRule="auto"/>
        <w:jc w:val="both"/>
        <w:rPr>
          <w:rFonts w:ascii="Verdana" w:eastAsia="Calibri" w:hAnsi="Verdana" w:cs="Arial"/>
          <w:b/>
          <w:bCs/>
          <w:lang w:eastAsia="es-ES"/>
        </w:rPr>
      </w:pPr>
      <w:r w:rsidRPr="00B54967">
        <w:rPr>
          <w:rFonts w:ascii="Verdana" w:eastAsia="Calibri" w:hAnsi="Verdana" w:cs="Arial"/>
          <w:b/>
          <w:bCs/>
          <w:lang w:eastAsia="es-ES"/>
        </w:rPr>
        <w:t>Señora</w:t>
      </w:r>
    </w:p>
    <w:p w14:paraId="66507FEB" w14:textId="77777777" w:rsidR="00B54967" w:rsidRPr="00B54967" w:rsidRDefault="00B54967" w:rsidP="00B54967">
      <w:pPr>
        <w:spacing w:after="0" w:line="240" w:lineRule="auto"/>
        <w:jc w:val="both"/>
        <w:rPr>
          <w:rFonts w:ascii="Verdana" w:eastAsia="Calibri" w:hAnsi="Verdana" w:cs="Arial"/>
          <w:b/>
          <w:bCs/>
          <w:lang w:eastAsia="es-ES"/>
        </w:rPr>
      </w:pPr>
      <w:r w:rsidRPr="00B54967">
        <w:rPr>
          <w:rFonts w:ascii="Verdana" w:eastAsia="Calibri" w:hAnsi="Verdana" w:cs="Arial"/>
          <w:b/>
          <w:bCs/>
          <w:lang w:eastAsia="es-ES"/>
        </w:rPr>
        <w:t xml:space="preserve">Ana </w:t>
      </w:r>
      <w:proofErr w:type="spellStart"/>
      <w:r w:rsidRPr="00B54967">
        <w:rPr>
          <w:rFonts w:ascii="Verdana" w:eastAsia="Calibri" w:hAnsi="Verdana" w:cs="Arial"/>
          <w:b/>
          <w:bCs/>
          <w:lang w:eastAsia="es-ES"/>
        </w:rPr>
        <w:t>Maria</w:t>
      </w:r>
      <w:proofErr w:type="spellEnd"/>
      <w:r w:rsidRPr="00B54967">
        <w:rPr>
          <w:rFonts w:ascii="Verdana" w:eastAsia="Calibri" w:hAnsi="Verdana" w:cs="Arial"/>
          <w:b/>
          <w:bCs/>
          <w:lang w:eastAsia="es-ES"/>
        </w:rPr>
        <w:t xml:space="preserve"> Morales Otero</w:t>
      </w:r>
    </w:p>
    <w:p w14:paraId="394841F6" w14:textId="77777777" w:rsidR="00B54967" w:rsidRPr="00B54967" w:rsidRDefault="00B54967" w:rsidP="00B54967">
      <w:pPr>
        <w:spacing w:after="0" w:line="240" w:lineRule="auto"/>
        <w:jc w:val="both"/>
        <w:rPr>
          <w:rFonts w:ascii="Verdana" w:eastAsia="Calibri" w:hAnsi="Verdana" w:cs="Arial"/>
          <w:lang w:eastAsia="es-ES"/>
        </w:rPr>
      </w:pPr>
      <w:r w:rsidRPr="00B54967">
        <w:rPr>
          <w:rFonts w:ascii="Verdana" w:eastAsia="Calibri" w:hAnsi="Verdana" w:cs="Arial"/>
          <w:lang w:eastAsia="es-ES"/>
        </w:rPr>
        <w:t>anammoraleso2025@gmail.com</w:t>
      </w:r>
    </w:p>
    <w:p w14:paraId="24174599" w14:textId="77777777" w:rsidR="00B54967" w:rsidRPr="00B54967" w:rsidRDefault="00B54967" w:rsidP="00B54967">
      <w:pPr>
        <w:spacing w:after="0" w:line="240" w:lineRule="auto"/>
        <w:jc w:val="both"/>
        <w:rPr>
          <w:rFonts w:ascii="Verdana" w:hAnsi="Verdana"/>
        </w:rPr>
      </w:pPr>
      <w:r w:rsidRPr="00B54967">
        <w:rPr>
          <w:rFonts w:ascii="Verdana" w:hAnsi="Verdana"/>
        </w:rPr>
        <w:t xml:space="preserve">Ciudad </w:t>
      </w:r>
    </w:p>
    <w:p w14:paraId="2BD5C025" w14:textId="77777777" w:rsidR="00B54967" w:rsidRPr="00B54967" w:rsidRDefault="00B54967" w:rsidP="00B54967">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6237"/>
      </w:tblGrid>
      <w:tr w:rsidR="00B54967" w:rsidRPr="00B54967" w14:paraId="73ECDF50" w14:textId="77777777" w:rsidTr="003F0972">
        <w:trPr>
          <w:trHeight w:val="162"/>
        </w:trPr>
        <w:tc>
          <w:tcPr>
            <w:tcW w:w="2552" w:type="dxa"/>
          </w:tcPr>
          <w:p w14:paraId="423922CF" w14:textId="77777777" w:rsidR="00B54967" w:rsidRPr="00B54967" w:rsidRDefault="00B54967" w:rsidP="00B54967">
            <w:pPr>
              <w:spacing w:after="160" w:line="259" w:lineRule="auto"/>
              <w:ind w:left="720"/>
              <w:contextualSpacing/>
              <w:jc w:val="both"/>
              <w:rPr>
                <w:rFonts w:ascii="Verdana" w:eastAsia="Calibri" w:hAnsi="Verdana" w:cs="Arial"/>
                <w:b/>
                <w:bCs/>
                <w:color w:val="7030A0"/>
                <w:lang w:val="es-ES" w:eastAsia="es-ES_tradnl"/>
              </w:rPr>
            </w:pPr>
          </w:p>
        </w:tc>
        <w:tc>
          <w:tcPr>
            <w:tcW w:w="6237" w:type="dxa"/>
          </w:tcPr>
          <w:p w14:paraId="24F93119" w14:textId="77777777" w:rsidR="00B54967" w:rsidRPr="00B54967" w:rsidRDefault="00B54967" w:rsidP="00B54967">
            <w:pPr>
              <w:spacing w:after="160" w:line="259" w:lineRule="auto"/>
              <w:ind w:left="720"/>
              <w:contextualSpacing/>
              <w:jc w:val="both"/>
              <w:rPr>
                <w:rFonts w:ascii="Verdana" w:eastAsia="Calibri" w:hAnsi="Verdana" w:cs="Arial"/>
                <w:b/>
                <w:bCs/>
                <w:lang w:val="es-ES" w:eastAsia="es-ES"/>
              </w:rPr>
            </w:pPr>
            <w:r w:rsidRPr="00B54967">
              <w:rPr>
                <w:rFonts w:ascii="Verdana" w:eastAsia="Calibri" w:hAnsi="Verdana" w:cs="Arial"/>
                <w:b/>
                <w:bCs/>
                <w:lang w:val="es-ES" w:eastAsia="es-ES"/>
              </w:rPr>
              <w:t>Concepto C-563 de 2026</w:t>
            </w:r>
          </w:p>
          <w:p w14:paraId="06DD5404" w14:textId="77777777" w:rsidR="00B54967" w:rsidRPr="00B54967" w:rsidRDefault="00B54967" w:rsidP="00B54967">
            <w:pPr>
              <w:spacing w:after="160" w:line="259" w:lineRule="auto"/>
              <w:ind w:left="720"/>
              <w:contextualSpacing/>
              <w:jc w:val="both"/>
              <w:rPr>
                <w:rFonts w:ascii="Verdana" w:eastAsia="Calibri" w:hAnsi="Verdana" w:cs="Arial"/>
                <w:b/>
                <w:bCs/>
                <w:color w:val="7030A0"/>
                <w:lang w:val="es-ES" w:eastAsia="es-ES"/>
              </w:rPr>
            </w:pPr>
          </w:p>
        </w:tc>
      </w:tr>
      <w:tr w:rsidR="00B54967" w:rsidRPr="00B54967" w14:paraId="5C1CB799" w14:textId="77777777" w:rsidTr="003F0972">
        <w:trPr>
          <w:trHeight w:val="884"/>
        </w:trPr>
        <w:tc>
          <w:tcPr>
            <w:tcW w:w="2552" w:type="dxa"/>
          </w:tcPr>
          <w:p w14:paraId="613FF34D" w14:textId="77777777" w:rsidR="00B54967" w:rsidRPr="00B54967" w:rsidRDefault="00B54967" w:rsidP="00B54967">
            <w:pPr>
              <w:spacing w:after="160" w:line="259" w:lineRule="auto"/>
              <w:ind w:left="720"/>
              <w:contextualSpacing/>
              <w:jc w:val="both"/>
              <w:rPr>
                <w:rFonts w:ascii="Verdana" w:eastAsia="Calibri" w:hAnsi="Verdana" w:cs="Arial"/>
                <w:color w:val="000000"/>
                <w:lang w:val="es-ES" w:eastAsia="es-ES_tradnl"/>
              </w:rPr>
            </w:pPr>
            <w:r w:rsidRPr="00B54967">
              <w:rPr>
                <w:rFonts w:ascii="Verdana" w:eastAsia="Calibri" w:hAnsi="Verdana" w:cs="Arial"/>
                <w:b/>
                <w:color w:val="000000"/>
                <w:lang w:val="es-ES" w:eastAsia="es-ES_tradnl"/>
              </w:rPr>
              <w:t>Temas:</w:t>
            </w:r>
            <w:r w:rsidRPr="00B54967">
              <w:rPr>
                <w:rFonts w:ascii="Verdana" w:eastAsia="Calibri" w:hAnsi="Verdana" w:cs="Arial"/>
                <w:color w:val="000000"/>
                <w:lang w:val="es-ES" w:eastAsia="es-ES_tradnl"/>
              </w:rPr>
              <w:t xml:space="preserve">                   </w:t>
            </w:r>
          </w:p>
        </w:tc>
        <w:tc>
          <w:tcPr>
            <w:tcW w:w="6237" w:type="dxa"/>
          </w:tcPr>
          <w:p w14:paraId="6D65B8E5" w14:textId="77777777" w:rsidR="00B54967" w:rsidRPr="00B54967" w:rsidRDefault="00B54967" w:rsidP="00B54967">
            <w:pPr>
              <w:spacing w:after="160" w:line="276" w:lineRule="auto"/>
              <w:ind w:left="720"/>
              <w:contextualSpacing/>
              <w:jc w:val="both"/>
              <w:rPr>
                <w:rFonts w:ascii="Verdana" w:hAnsi="Verdana"/>
                <w:lang w:val="es-ES"/>
              </w:rPr>
            </w:pPr>
            <w:r w:rsidRPr="00B54967">
              <w:rPr>
                <w:rFonts w:ascii="Verdana" w:hAnsi="Verdana"/>
                <w:lang w:val="es-ES"/>
              </w:rPr>
              <w:t xml:space="preserve">CONVENIO Y CONTRATO INTERADMINISTRATIVO – Alcance – Diferencias / </w:t>
            </w:r>
            <w:r w:rsidRPr="00B54967">
              <w:rPr>
                <w:rFonts w:ascii="Verdana" w:hAnsi="Verdana" w:cs="Arial"/>
                <w:color w:val="000000" w:themeColor="text1"/>
                <w:lang w:val="es-ES"/>
              </w:rPr>
              <w:t xml:space="preserve">LEY DE GARANTÍAS ELECTORALES – Propósito / LEY DE GARANTÍAS ELECTORALES – Prohibiciones – Restricciones / LEY DE GARANTÍAS ELECTORALES – Artículo 33 – Ámbito material / LEY DE GARANTÍAS ELECTORALES – Destinatarios / LEY DE GARANTÍAS ELECTORALES – Excepciones / LEY DE GARANTÍAS ELECTORALES – Parágrafo del artículo 38 - Alcance / LEY DE GARANTÍAS ELECTORALES – Convenios interadministrativos – Contratos interadministrativos / CONSEJO DE ESTADO -Posición </w:t>
            </w:r>
            <w:r w:rsidRPr="00B54967">
              <w:rPr>
                <w:rFonts w:ascii="Verdana" w:hAnsi="Verdana"/>
                <w:lang w:val="es-ES"/>
              </w:rPr>
              <w:t xml:space="preserve">   </w:t>
            </w:r>
          </w:p>
          <w:p w14:paraId="727326EB" w14:textId="77777777" w:rsidR="00B54967" w:rsidRPr="00B54967" w:rsidRDefault="00B54967" w:rsidP="00B54967">
            <w:pPr>
              <w:spacing w:after="160" w:line="276" w:lineRule="auto"/>
              <w:ind w:left="720"/>
              <w:contextualSpacing/>
              <w:jc w:val="both"/>
              <w:rPr>
                <w:rFonts w:ascii="Verdana" w:hAnsi="Verdana"/>
                <w:lang w:val="es-ES"/>
              </w:rPr>
            </w:pPr>
          </w:p>
          <w:p w14:paraId="46A8FDC8" w14:textId="77777777" w:rsidR="00B54967" w:rsidRPr="00B54967" w:rsidRDefault="00B54967" w:rsidP="00B54967">
            <w:pPr>
              <w:spacing w:after="160" w:line="276" w:lineRule="auto"/>
              <w:ind w:left="720"/>
              <w:contextualSpacing/>
              <w:jc w:val="both"/>
              <w:rPr>
                <w:rFonts w:ascii="Verdana" w:hAnsi="Verdana"/>
                <w:lang w:val="es-ES"/>
              </w:rPr>
            </w:pPr>
          </w:p>
        </w:tc>
      </w:tr>
      <w:tr w:rsidR="00B54967" w:rsidRPr="00B54967" w14:paraId="1FBC7F9E" w14:textId="77777777" w:rsidTr="003F0972">
        <w:tc>
          <w:tcPr>
            <w:tcW w:w="2552" w:type="dxa"/>
          </w:tcPr>
          <w:p w14:paraId="54BC4F88" w14:textId="77777777" w:rsidR="00B54967" w:rsidRPr="00B54967" w:rsidRDefault="00B54967" w:rsidP="00B54967">
            <w:pPr>
              <w:spacing w:after="160" w:line="259" w:lineRule="auto"/>
              <w:ind w:left="720"/>
              <w:contextualSpacing/>
              <w:jc w:val="both"/>
              <w:rPr>
                <w:rFonts w:ascii="Verdana" w:eastAsia="Calibri" w:hAnsi="Verdana" w:cs="Arial"/>
                <w:b/>
                <w:lang w:val="es-ES" w:eastAsia="es-ES_tradnl"/>
              </w:rPr>
            </w:pPr>
            <w:r w:rsidRPr="00B54967">
              <w:rPr>
                <w:rFonts w:ascii="Verdana" w:eastAsia="Calibri" w:hAnsi="Verdana" w:cs="Arial"/>
                <w:b/>
                <w:lang w:val="es-ES" w:eastAsia="es-ES_tradnl"/>
              </w:rPr>
              <w:t>Radicación:</w:t>
            </w:r>
            <w:r w:rsidRPr="00B54967">
              <w:rPr>
                <w:rFonts w:ascii="Verdana" w:eastAsia="Calibri" w:hAnsi="Verdana" w:cs="Arial"/>
                <w:lang w:val="es-ES" w:eastAsia="es-ES_tradnl"/>
              </w:rPr>
              <w:t xml:space="preserve">               </w:t>
            </w:r>
          </w:p>
        </w:tc>
        <w:tc>
          <w:tcPr>
            <w:tcW w:w="6237" w:type="dxa"/>
          </w:tcPr>
          <w:p w14:paraId="57440446" w14:textId="77777777" w:rsidR="00B54967" w:rsidRPr="00B54967" w:rsidRDefault="00B54967" w:rsidP="00B54967">
            <w:pPr>
              <w:spacing w:after="160" w:line="259" w:lineRule="auto"/>
              <w:ind w:left="720"/>
              <w:contextualSpacing/>
              <w:jc w:val="both"/>
              <w:rPr>
                <w:lang w:val="es-ES" w:eastAsia="es-ES_tradnl"/>
              </w:rPr>
            </w:pPr>
            <w:r w:rsidRPr="00B54967">
              <w:rPr>
                <w:rFonts w:ascii="Verdana" w:eastAsia="Calibri" w:hAnsi="Verdana" w:cs="Arial"/>
                <w:lang w:val="es-ES" w:eastAsia="es-ES_tradnl"/>
              </w:rPr>
              <w:t>Respuesta a consulta con radicado</w:t>
            </w:r>
            <w:r w:rsidRPr="00B54967">
              <w:rPr>
                <w:rFonts w:ascii="Geomanist Light" w:hAnsi="Geomanist Light"/>
                <w:lang w:val="es-ES"/>
              </w:rPr>
              <w:t xml:space="preserve"> </w:t>
            </w:r>
            <w:r w:rsidRPr="00B54967">
              <w:rPr>
                <w:rFonts w:ascii="Verdana" w:hAnsi="Verdana" w:cs="Calibri"/>
                <w:color w:val="000000"/>
                <w:lang w:val="es-ES"/>
              </w:rPr>
              <w:t>1_2026_04_08_004772</w:t>
            </w:r>
          </w:p>
          <w:p w14:paraId="6764D289" w14:textId="77777777" w:rsidR="00B54967" w:rsidRPr="00B54967" w:rsidRDefault="00B54967" w:rsidP="00B54967">
            <w:pPr>
              <w:spacing w:after="160" w:line="259" w:lineRule="auto"/>
              <w:ind w:left="720"/>
              <w:contextualSpacing/>
              <w:jc w:val="both"/>
              <w:rPr>
                <w:rFonts w:ascii="Geomanist Light" w:hAnsi="Geomanist Light"/>
                <w:lang w:val="es-ES" w:eastAsia="es-ES_tradnl"/>
              </w:rPr>
            </w:pPr>
          </w:p>
          <w:p w14:paraId="38333672" w14:textId="77777777" w:rsidR="00B54967" w:rsidRPr="00B54967" w:rsidRDefault="00B54967" w:rsidP="009A668D">
            <w:pPr>
              <w:spacing w:after="160" w:line="259" w:lineRule="auto"/>
              <w:contextualSpacing/>
              <w:jc w:val="both"/>
              <w:rPr>
                <w:rFonts w:ascii="Verdana" w:eastAsia="Calibri" w:hAnsi="Verdana" w:cs="Arial"/>
                <w:lang w:val="es-ES" w:eastAsia="es-ES_tradnl"/>
              </w:rPr>
            </w:pPr>
          </w:p>
        </w:tc>
      </w:tr>
    </w:tbl>
    <w:p w14:paraId="1D789FD3" w14:textId="14AFFBA7" w:rsidR="00B54967" w:rsidRPr="00B54967" w:rsidRDefault="00B54967" w:rsidP="00B54967">
      <w:pPr>
        <w:spacing w:after="0" w:line="276" w:lineRule="auto"/>
        <w:jc w:val="both"/>
        <w:rPr>
          <w:rFonts w:ascii="Verdana" w:eastAsia="Calibri" w:hAnsi="Verdana" w:cs="Arial"/>
          <w:lang w:eastAsia="es-ES"/>
        </w:rPr>
      </w:pPr>
      <w:r w:rsidRPr="00B54967">
        <w:rPr>
          <w:rFonts w:ascii="Verdana" w:eastAsia="Calibri" w:hAnsi="Verdana" w:cs="Arial"/>
          <w:lang w:eastAsia="es-ES"/>
        </w:rPr>
        <w:t xml:space="preserve">Estimada señora </w:t>
      </w:r>
      <w:r w:rsidR="0044248D" w:rsidRPr="00B54967">
        <w:rPr>
          <w:rFonts w:ascii="Verdana" w:eastAsia="Calibri" w:hAnsi="Verdana" w:cs="Arial"/>
          <w:lang w:eastAsia="es-ES"/>
        </w:rPr>
        <w:t>Morales:</w:t>
      </w:r>
      <w:r w:rsidRPr="00B54967">
        <w:rPr>
          <w:rFonts w:ascii="Verdana" w:eastAsia="Calibri" w:hAnsi="Verdana" w:cs="Arial"/>
          <w:lang w:eastAsia="es-ES"/>
        </w:rPr>
        <w:t xml:space="preserve"> </w:t>
      </w:r>
    </w:p>
    <w:p w14:paraId="379829CF" w14:textId="77777777" w:rsidR="00B54967" w:rsidRPr="00B54967" w:rsidRDefault="00B54967" w:rsidP="00B54967">
      <w:pPr>
        <w:spacing w:after="0" w:line="276" w:lineRule="auto"/>
        <w:jc w:val="both"/>
        <w:rPr>
          <w:rFonts w:ascii="Verdana" w:hAnsi="Verdana"/>
          <w:lang w:val="es-MX"/>
        </w:rPr>
      </w:pPr>
    </w:p>
    <w:p w14:paraId="2606077C" w14:textId="01DB9D3F" w:rsidR="00B54967" w:rsidRPr="00B54967" w:rsidRDefault="00B54967" w:rsidP="00B54967">
      <w:pPr>
        <w:spacing w:after="120" w:line="276" w:lineRule="auto"/>
        <w:jc w:val="both"/>
        <w:rPr>
          <w:rFonts w:ascii="Verdana" w:eastAsia="Calibri" w:hAnsi="Verdana" w:cs="Arial"/>
          <w:lang w:eastAsia="es-ES"/>
        </w:rPr>
      </w:pPr>
      <w:r w:rsidRPr="00B54967">
        <w:rPr>
          <w:rFonts w:ascii="Verdana" w:hAnsi="Verdana"/>
        </w:rPr>
        <w:t xml:space="preserve">La Agencia Nacional de Contratación Pública – Colombia Compra Eficiente –, en ejercicio de las competencias otorgadas </w:t>
      </w:r>
      <w:r w:rsidRPr="00B54967">
        <w:rPr>
          <w:rFonts w:ascii="Verdana" w:eastAsia="Calibri" w:hAnsi="Verdana" w:cs="Arial"/>
          <w:lang w:eastAsia="es-ES"/>
        </w:rPr>
        <w:t xml:space="preserve">por los artículos 3, numeral 5º, y 11, numeral 8º, del Decreto Ley 4170 de 2011 y </w:t>
      </w:r>
      <w:r w:rsidRPr="00B54967">
        <w:rPr>
          <w:rFonts w:ascii="Verdana" w:hAnsi="Verdana"/>
        </w:rPr>
        <w:t xml:space="preserve">de conformidad con las modalidades del derecho de petición contempladas en la Ley 1755 de 2015 y en la resolución </w:t>
      </w:r>
      <w:proofErr w:type="spellStart"/>
      <w:r w:rsidRPr="00B54967">
        <w:rPr>
          <w:rFonts w:ascii="Verdana" w:eastAsia="Times New Roman" w:hAnsi="Verdana" w:cs="Segoe UI"/>
          <w:lang w:eastAsia="es-CO"/>
        </w:rPr>
        <w:lastRenderedPageBreak/>
        <w:t>N°</w:t>
      </w:r>
      <w:proofErr w:type="spellEnd"/>
      <w:r w:rsidRPr="00B54967">
        <w:rPr>
          <w:rFonts w:ascii="Verdana" w:eastAsia="Times New Roman" w:hAnsi="Verdana" w:cs="Segoe UI"/>
          <w:lang w:eastAsia="es-CO"/>
        </w:rPr>
        <w:t xml:space="preserve"> 469 del 2025 </w:t>
      </w:r>
      <w:r w:rsidRPr="00B54967">
        <w:rPr>
          <w:rFonts w:ascii="Verdana" w:hAnsi="Verdana"/>
        </w:rPr>
        <w:t xml:space="preserve">expedida por esta Agencia, </w:t>
      </w:r>
      <w:r w:rsidRPr="00B54967">
        <w:rPr>
          <w:rFonts w:ascii="Verdana" w:eastAsia="Calibri" w:hAnsi="Verdana" w:cs="Arial"/>
          <w:lang w:eastAsia="es-ES"/>
        </w:rPr>
        <w:t>responde su solicitud de consulta de fecha 8 de abril de 2026, en la cual manifiesta lo siguiente</w:t>
      </w:r>
      <w:r w:rsidR="0044248D">
        <w:rPr>
          <w:rFonts w:ascii="Verdana" w:eastAsia="Calibri" w:hAnsi="Verdana" w:cs="Arial"/>
          <w:lang w:eastAsia="es-ES"/>
        </w:rPr>
        <w:t>:</w:t>
      </w:r>
    </w:p>
    <w:p w14:paraId="5059E2BB" w14:textId="77777777" w:rsidR="00B54967" w:rsidRPr="00B54967" w:rsidRDefault="00B54967" w:rsidP="00B54967">
      <w:pPr>
        <w:ind w:leftChars="737" w:left="1621" w:right="737"/>
        <w:jc w:val="both"/>
        <w:rPr>
          <w:rFonts w:ascii="Verdana" w:eastAsia="Times New Roman" w:hAnsi="Verdana" w:cs="Calibri"/>
          <w:color w:val="000000"/>
          <w:sz w:val="20"/>
          <w:szCs w:val="20"/>
          <w:lang w:eastAsia="es-CO"/>
        </w:rPr>
      </w:pPr>
      <w:r w:rsidRPr="00B54967">
        <w:rPr>
          <w:rFonts w:ascii="Verdana" w:hAnsi="Verdana"/>
          <w:sz w:val="20"/>
          <w:szCs w:val="20"/>
        </w:rPr>
        <w:t>“</w:t>
      </w:r>
      <w:r w:rsidRPr="00B54967">
        <w:rPr>
          <w:rFonts w:ascii="Verdana" w:eastAsia="Times New Roman" w:hAnsi="Verdana" w:cs="Calibri"/>
          <w:color w:val="000000"/>
          <w:sz w:val="20"/>
          <w:szCs w:val="20"/>
          <w:lang w:eastAsia="es-CO"/>
        </w:rPr>
        <w:t>Cordial saludo,</w:t>
      </w:r>
    </w:p>
    <w:p w14:paraId="235C131A"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De manera respetuosa se solicita a esa Agencia emitir concepto respecto de la viabilidad jurídica para la celebración de contratos interadministrativos durante la vigencia de las restricciones previstas en la Ley 996 de 2005 (Ley de Garantías Electorales).</w:t>
      </w:r>
    </w:p>
    <w:p w14:paraId="1E5586E4"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p>
    <w:p w14:paraId="5224A661"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Lo anterior, en el marco de la estructuración de un proceso contractual cuyo objeto corresponde a la prestación de servicios técnicos y profesionales especializados, a través de un eventual contrato interadministrativo con una entidad pública que cuenta con la idoneidad técnica y funcional requerida.</w:t>
      </w:r>
    </w:p>
    <w:p w14:paraId="630FB100"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p>
    <w:p w14:paraId="6C063E10"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En este sentido, se solicita se sirvan precisar:</w:t>
      </w:r>
    </w:p>
    <w:p w14:paraId="4687EFB0"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p>
    <w:p w14:paraId="680300C9" w14:textId="77777777" w:rsidR="00B54967" w:rsidRPr="00B54967" w:rsidRDefault="00B54967" w:rsidP="00B54967">
      <w:pPr>
        <w:numPr>
          <w:ilvl w:val="0"/>
          <w:numId w:val="18"/>
        </w:numPr>
        <w:spacing w:after="0" w:line="240" w:lineRule="auto"/>
        <w:ind w:leftChars="737" w:left="198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Si, a la luz del artículo 38 de la Ley 996 de 2005, resulta jurídicamente viable la suscripción de contratos interadministrativos durante el periodo de restricciones electorales.</w:t>
      </w:r>
    </w:p>
    <w:p w14:paraId="564214A8" w14:textId="77777777" w:rsidR="00B54967" w:rsidRPr="00B54967" w:rsidRDefault="00B54967" w:rsidP="00B54967">
      <w:pPr>
        <w:numPr>
          <w:ilvl w:val="0"/>
          <w:numId w:val="18"/>
        </w:numPr>
        <w:spacing w:after="0" w:line="240" w:lineRule="auto"/>
        <w:ind w:leftChars="737" w:left="198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 xml:space="preserve">El alcance de la diferencia jurídica entre </w:t>
      </w:r>
      <w:proofErr w:type="gramStart"/>
      <w:r w:rsidRPr="00B54967">
        <w:rPr>
          <w:rFonts w:ascii="Verdana" w:eastAsia="Times New Roman" w:hAnsi="Verdana" w:cs="Calibri"/>
          <w:color w:val="000000"/>
          <w:sz w:val="20"/>
          <w:szCs w:val="20"/>
          <w:lang w:eastAsia="es-CO"/>
        </w:rPr>
        <w:t>convenios interadministrativos y contratos interadministrativos</w:t>
      </w:r>
      <w:proofErr w:type="gramEnd"/>
      <w:r w:rsidRPr="00B54967">
        <w:rPr>
          <w:rFonts w:ascii="Verdana" w:eastAsia="Times New Roman" w:hAnsi="Verdana" w:cs="Calibri"/>
          <w:color w:val="000000"/>
          <w:sz w:val="20"/>
          <w:szCs w:val="20"/>
          <w:lang w:eastAsia="es-CO"/>
        </w:rPr>
        <w:t xml:space="preserve"> para efectos de la aplicación de la citada norma.</w:t>
      </w:r>
    </w:p>
    <w:p w14:paraId="401F519D" w14:textId="77777777" w:rsidR="00B54967" w:rsidRPr="00B54967" w:rsidRDefault="00B54967" w:rsidP="00B54967">
      <w:pPr>
        <w:numPr>
          <w:ilvl w:val="0"/>
          <w:numId w:val="18"/>
        </w:numPr>
        <w:spacing w:after="0" w:line="240" w:lineRule="auto"/>
        <w:ind w:leftChars="737" w:left="198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Los criterios que deben tener en cuenta las entidades estatales para garantizar el cumplimiento de los principios de la contratación estatal en este tipo de procesos durante dicho periodo.</w:t>
      </w:r>
    </w:p>
    <w:p w14:paraId="0C8AD30C"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p>
    <w:p w14:paraId="44CF3320" w14:textId="77777777" w:rsidR="00B54967" w:rsidRPr="00B54967" w:rsidRDefault="00B54967" w:rsidP="00B54967">
      <w:pPr>
        <w:spacing w:after="0" w:line="240" w:lineRule="auto"/>
        <w:ind w:leftChars="737" w:left="1621" w:right="737"/>
        <w:jc w:val="both"/>
        <w:rPr>
          <w:rFonts w:ascii="Verdana" w:eastAsia="Times New Roman" w:hAnsi="Verdana" w:cs="Calibri"/>
          <w:color w:val="000000"/>
          <w:sz w:val="20"/>
          <w:szCs w:val="20"/>
          <w:lang w:eastAsia="es-CO"/>
        </w:rPr>
      </w:pPr>
      <w:r w:rsidRPr="00B54967">
        <w:rPr>
          <w:rFonts w:ascii="Verdana" w:eastAsia="Times New Roman" w:hAnsi="Verdana" w:cs="Calibri"/>
          <w:color w:val="000000"/>
          <w:sz w:val="20"/>
          <w:szCs w:val="20"/>
          <w:lang w:eastAsia="es-CO"/>
        </w:rPr>
        <w:t>Lo anterior, considerando los recientes pronunciamientos jurisprudenciales relacionados con el alcance de las restricciones de la Ley de Garantías y la necesidad de asegurar la adecuada prestación de los servicios a cargo de las entidades públicas.”</w:t>
      </w:r>
    </w:p>
    <w:p w14:paraId="5BE91C34" w14:textId="77777777" w:rsidR="00B54967" w:rsidRPr="00B54967" w:rsidRDefault="00B54967" w:rsidP="00B54967">
      <w:pPr>
        <w:tabs>
          <w:tab w:val="left" w:pos="2057"/>
        </w:tabs>
        <w:spacing w:after="120" w:line="276" w:lineRule="auto"/>
        <w:jc w:val="both"/>
        <w:rPr>
          <w:rFonts w:ascii="Verdana" w:eastAsia="Calibri" w:hAnsi="Verdana" w:cs="Arial"/>
          <w:color w:val="000000"/>
          <w:lang w:eastAsia="es-ES"/>
        </w:rPr>
      </w:pPr>
    </w:p>
    <w:p w14:paraId="18EBDEF8" w14:textId="77777777" w:rsidR="00B54967" w:rsidRPr="00B54967" w:rsidRDefault="00B54967" w:rsidP="00B54967">
      <w:pPr>
        <w:spacing w:after="120" w:line="276" w:lineRule="auto"/>
        <w:ind w:firstLine="709"/>
        <w:jc w:val="both"/>
        <w:rPr>
          <w:rFonts w:ascii="Verdana" w:eastAsia="Calibri" w:hAnsi="Verdana" w:cs="Arial"/>
          <w:color w:val="000000"/>
          <w:szCs w:val="24"/>
          <w:lang w:eastAsia="es-ES_tradnl"/>
        </w:rPr>
      </w:pPr>
      <w:r w:rsidRPr="00B54967">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w:t>
      </w:r>
      <w:r w:rsidRPr="00B54967">
        <w:rPr>
          <w:rFonts w:ascii="Verdana" w:eastAsia="Calibri" w:hAnsi="Verdana" w:cs="Arial"/>
          <w:color w:val="000000"/>
          <w:lang w:eastAsia="es-ES"/>
        </w:rPr>
        <w:lastRenderedPageBreak/>
        <w:t xml:space="preserve">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BD58F09" w14:textId="77777777" w:rsidR="00B54967" w:rsidRDefault="00B54967" w:rsidP="00B54967">
      <w:pPr>
        <w:spacing w:after="120" w:line="276" w:lineRule="auto"/>
        <w:ind w:firstLine="709"/>
        <w:jc w:val="both"/>
        <w:rPr>
          <w:rFonts w:ascii="Verdana" w:eastAsia="Calibri" w:hAnsi="Verdana" w:cs="Arial"/>
          <w:lang w:eastAsia="es-ES"/>
        </w:rPr>
      </w:pPr>
      <w:r w:rsidRPr="00B54967">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al problema jurídico de su consulta.</w:t>
      </w:r>
      <w:r w:rsidRPr="00B54967">
        <w:rPr>
          <w:rFonts w:ascii="Verdana" w:eastAsia="Calibri" w:hAnsi="Verdana" w:cs="Arial"/>
          <w:lang w:eastAsia="es-ES"/>
        </w:rPr>
        <w:t xml:space="preserve">  </w:t>
      </w:r>
    </w:p>
    <w:p w14:paraId="785928FF" w14:textId="77777777" w:rsidR="0044248D" w:rsidRPr="00B54967" w:rsidRDefault="0044248D" w:rsidP="00B54967">
      <w:pPr>
        <w:spacing w:after="120" w:line="276" w:lineRule="auto"/>
        <w:ind w:firstLine="709"/>
        <w:jc w:val="both"/>
        <w:rPr>
          <w:rFonts w:ascii="Verdana" w:eastAsia="Calibri" w:hAnsi="Verdana" w:cs="Arial"/>
          <w:lang w:eastAsia="es-ES"/>
        </w:rPr>
      </w:pPr>
    </w:p>
    <w:p w14:paraId="3ADD15ED" w14:textId="77777777" w:rsidR="00B54967" w:rsidRPr="00B54967" w:rsidRDefault="00B54967" w:rsidP="00B54967">
      <w:pPr>
        <w:spacing w:after="120" w:line="276" w:lineRule="auto"/>
        <w:jc w:val="both"/>
        <w:rPr>
          <w:rFonts w:ascii="Verdana" w:eastAsia="Calibri" w:hAnsi="Verdana" w:cs="Arial"/>
          <w:lang w:eastAsia="es-ES"/>
        </w:rPr>
      </w:pPr>
      <w:r w:rsidRPr="00B54967">
        <w:rPr>
          <w:rFonts w:ascii="Verdana" w:eastAsia="Century Gothic" w:hAnsi="Verdana" w:cs="Century Gothic"/>
          <w:b/>
          <w:bCs/>
        </w:rPr>
        <w:t>1. Problema planteado:</w:t>
      </w:r>
    </w:p>
    <w:p w14:paraId="4E9EEDC7" w14:textId="77777777" w:rsidR="00B54967" w:rsidRPr="00B54967" w:rsidRDefault="00B54967" w:rsidP="00B54967">
      <w:pPr>
        <w:spacing w:after="120" w:line="276" w:lineRule="auto"/>
        <w:jc w:val="both"/>
        <w:rPr>
          <w:rFonts w:ascii="Verdana" w:hAnsi="Verdana" w:cs="Arial"/>
        </w:rPr>
      </w:pPr>
      <w:r w:rsidRPr="00B54967">
        <w:rPr>
          <w:rFonts w:ascii="Verdana" w:eastAsia="Calibri" w:hAnsi="Verdana" w:cs="Arial"/>
          <w:color w:val="000000"/>
          <w:lang w:eastAsia="es-ES"/>
        </w:rPr>
        <w:t>De acuerdo con el contenido de su solicitud, esta Agencia resolverá el siguiente problema jurídico: ¿Es jurídicamente procedente la celebración de contratos y convenios interadministrativos durante la vigencia de las restricciones previstas en el artículo 38 de la Ley 996 de 2005, y qué criterios deben aplicar las entidades estatales para diferenciar estas figuras y garantizar el cumplimiento de los principios de la contratación estatal?</w:t>
      </w:r>
    </w:p>
    <w:p w14:paraId="4214CC7A" w14:textId="77777777" w:rsidR="00B54967" w:rsidRPr="00B54967" w:rsidRDefault="00B54967" w:rsidP="00B54967">
      <w:pPr>
        <w:spacing w:after="0" w:line="276" w:lineRule="auto"/>
        <w:jc w:val="both"/>
        <w:rPr>
          <w:rFonts w:ascii="Verdana" w:hAnsi="Verdana" w:cs="Arial"/>
        </w:rPr>
      </w:pPr>
      <w:r w:rsidRPr="00B54967">
        <w:rPr>
          <w:rFonts w:ascii="Verdana" w:eastAsia="Century Gothic" w:hAnsi="Verdana" w:cs="Century Gothic"/>
          <w:b/>
          <w:bCs/>
        </w:rPr>
        <w:t>2. Respuesta:</w:t>
      </w:r>
    </w:p>
    <w:p w14:paraId="32F52E5A" w14:textId="77777777" w:rsidR="00B54967" w:rsidRPr="00B54967" w:rsidRDefault="00B54967" w:rsidP="00B54967">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B54967" w:rsidRPr="00B54967" w14:paraId="2BEB0618" w14:textId="77777777" w:rsidTr="003F0972">
        <w:tc>
          <w:tcPr>
            <w:tcW w:w="8828" w:type="dxa"/>
          </w:tcPr>
          <w:p w14:paraId="02FFF7DC" w14:textId="77777777" w:rsidR="00B54967" w:rsidRDefault="00B54967" w:rsidP="00B54967">
            <w:pPr>
              <w:spacing w:after="120" w:line="276" w:lineRule="auto"/>
              <w:ind w:left="720"/>
              <w:contextualSpacing/>
              <w:jc w:val="both"/>
              <w:rPr>
                <w:rFonts w:ascii="Verdana" w:eastAsia="Calibri" w:hAnsi="Verdana" w:cs="Arial"/>
                <w:lang w:val="es-ES" w:eastAsia="es-ES"/>
              </w:rPr>
            </w:pPr>
            <w:r w:rsidRPr="00B54967">
              <w:rPr>
                <w:rFonts w:ascii="Verdana" w:eastAsia="Calibri" w:hAnsi="Verdana" w:cs="Arial"/>
                <w:lang w:val="es-ES" w:eastAsia="es-ES"/>
              </w:rPr>
              <w:t xml:space="preserve">Las restricciones contenidas en el artículo 33 de la Ley 996 de 2005 aplica para “la contratación directa” de todos los entes del Estado, </w:t>
            </w:r>
            <w:r w:rsidRPr="00B54967">
              <w:rPr>
                <w:rFonts w:ascii="Verdana" w:hAnsi="Verdana" w:cs="Arial"/>
                <w:color w:val="000000" w:themeColor="text1"/>
                <w:lang w:val="es-MX"/>
              </w:rPr>
              <w:t xml:space="preserve">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r w:rsidRPr="00B54967">
              <w:rPr>
                <w:rFonts w:ascii="Verdana" w:eastAsia="Calibri" w:hAnsi="Verdana" w:cs="Arial"/>
                <w:lang w:val="es-ES" w:eastAsia="es-ES"/>
              </w:rPr>
              <w:t xml:space="preserve">Se trata de la prohibición de </w:t>
            </w:r>
            <w:r w:rsidRPr="00B54967">
              <w:rPr>
                <w:rFonts w:ascii="Verdana" w:hAnsi="Verdana" w:cs="Arial"/>
                <w:bCs/>
                <w:lang w:val="es-ES" w:eastAsia="x-none"/>
              </w:rPr>
              <w:t>aquellos contratos en los que no exista un proceso abierto y competitivo.</w:t>
            </w:r>
            <w:r w:rsidRPr="00B54967">
              <w:rPr>
                <w:rFonts w:ascii="Verdana" w:hAnsi="Verdana" w:cs="Arial"/>
                <w:lang w:val="es-ES" w:eastAsia="x-none"/>
              </w:rPr>
              <w:t xml:space="preserve"> Por lo tanto, no son materia de la prohibición las demás modalidades de selección previstas en la Ley 1150 de 2007, esto es, la licitación pública, el concurso de méritos, la selección abreviada y la contratación de mínima cuantía o los procesos competitivos establecidos en los manuales de contratación de las entidades con regímenes exceptuados. Adicionalmente, la celebración de la contratación directa </w:t>
            </w:r>
            <w:r w:rsidRPr="00B54967">
              <w:rPr>
                <w:rFonts w:ascii="Verdana" w:eastAsia="Calibri" w:hAnsi="Verdana" w:cs="Arial"/>
                <w:lang w:val="es-ES" w:eastAsia="es-ES"/>
              </w:rPr>
              <w:t xml:space="preserve">no se encuentra condicionada por la ejecución de recursos en el marco de los respectivos contratos o el origen de estos, </w:t>
            </w:r>
            <w:r w:rsidRPr="00B54967">
              <w:rPr>
                <w:rFonts w:ascii="Verdana" w:eastAsia="Calibri" w:hAnsi="Verdana" w:cs="Arial"/>
                <w:lang w:val="es-ES" w:eastAsia="es-ES"/>
              </w:rPr>
              <w:lastRenderedPageBreak/>
              <w:t xml:space="preserve">de manera que aplica las restricciones independientemente de que el contrato implique o no la ejecución de recursos o si los recursos destinados son de naturaleza pública o privada. </w:t>
            </w:r>
          </w:p>
          <w:p w14:paraId="4E571947" w14:textId="77777777" w:rsidR="003A17D7" w:rsidRPr="00B54967" w:rsidRDefault="003A17D7" w:rsidP="00B54967">
            <w:pPr>
              <w:spacing w:after="120" w:line="276" w:lineRule="auto"/>
              <w:ind w:left="720"/>
              <w:contextualSpacing/>
              <w:jc w:val="both"/>
              <w:rPr>
                <w:rFonts w:ascii="Verdana" w:eastAsia="Calibri" w:hAnsi="Verdana" w:cs="Arial"/>
                <w:lang w:val="es-ES" w:eastAsia="es-ES"/>
              </w:rPr>
            </w:pPr>
          </w:p>
          <w:p w14:paraId="30D45923" w14:textId="77777777" w:rsidR="00B54967" w:rsidRPr="00B54967" w:rsidRDefault="00B54967" w:rsidP="00B54967">
            <w:pPr>
              <w:spacing w:after="120" w:line="276" w:lineRule="auto"/>
              <w:ind w:left="720" w:firstLine="709"/>
              <w:contextualSpacing/>
              <w:jc w:val="both"/>
              <w:rPr>
                <w:rFonts w:ascii="Verdana" w:eastAsia="Calibri" w:hAnsi="Verdana" w:cs="Arial"/>
                <w:lang w:val="es-ES" w:eastAsia="es-ES"/>
              </w:rPr>
            </w:pPr>
            <w:r w:rsidRPr="00B54967">
              <w:rPr>
                <w:rFonts w:ascii="Verdana" w:eastAsia="Calibri" w:hAnsi="Verdana" w:cs="Arial"/>
                <w:lang w:val="es-ES" w:eastAsia="es-ES"/>
              </w:rPr>
              <w:t xml:space="preserve">La entidad definirá si la contratación que pretende celebrar se enmarca en alguna de las excepciones definidas en el artículo 33 de la Ley 996 de 2005, esto es, que se pretenda cubrir emergencias educativas, de tal manera que las excepciones contempladas no permiten efectuar una interpretación extensiva para incluir otros supuestos. </w:t>
            </w:r>
          </w:p>
          <w:p w14:paraId="5D6C5F9E" w14:textId="77777777" w:rsidR="00B54967" w:rsidRDefault="00B54967" w:rsidP="00B54967">
            <w:pPr>
              <w:spacing w:after="120" w:line="276" w:lineRule="auto"/>
              <w:ind w:left="720" w:firstLine="709"/>
              <w:contextualSpacing/>
              <w:jc w:val="both"/>
              <w:rPr>
                <w:rFonts w:ascii="Verdana" w:eastAsia="Calibri" w:hAnsi="Verdana" w:cs="Arial"/>
                <w:lang w:val="es-ES" w:eastAsia="es-ES"/>
              </w:rPr>
            </w:pPr>
            <w:r w:rsidRPr="00B54967">
              <w:rPr>
                <w:rFonts w:ascii="Verdana" w:eastAsia="Calibri" w:hAnsi="Verdana" w:cs="Arial"/>
                <w:lang w:val="es-ES" w:eastAsia="es-ES"/>
              </w:rPr>
              <w:t xml:space="preserve">La restricción contenida en el parágrafo del artículo 38 de la Ley 996 de 2005 se refiere a la celebración de convenios interadministrativos para la ejecución de recursos públicos, independientemente de que se configuren los supuestos de excepción que señala en artículo 33 de la misma ley.  </w:t>
            </w:r>
          </w:p>
          <w:p w14:paraId="3EA62986" w14:textId="77777777" w:rsidR="003A17D7" w:rsidRPr="00B54967" w:rsidRDefault="003A17D7" w:rsidP="00B54967">
            <w:pPr>
              <w:spacing w:after="120" w:line="276" w:lineRule="auto"/>
              <w:ind w:left="720" w:firstLine="709"/>
              <w:contextualSpacing/>
              <w:jc w:val="both"/>
              <w:rPr>
                <w:rFonts w:ascii="Verdana" w:eastAsia="Calibri" w:hAnsi="Verdana" w:cs="Arial"/>
                <w:lang w:val="es-ES" w:eastAsia="es-ES"/>
              </w:rPr>
            </w:pPr>
          </w:p>
          <w:p w14:paraId="219D2151" w14:textId="77777777" w:rsidR="00B54967" w:rsidRDefault="00B54967" w:rsidP="00B54967">
            <w:pPr>
              <w:spacing w:after="120" w:line="276" w:lineRule="auto"/>
              <w:ind w:left="720" w:firstLine="709"/>
              <w:contextualSpacing/>
              <w:jc w:val="both"/>
              <w:rPr>
                <w:rFonts w:ascii="Verdana" w:eastAsia="Calibri" w:hAnsi="Verdana" w:cs="Arial"/>
                <w:lang w:val="es-ES" w:eastAsia="es-ES"/>
              </w:rPr>
            </w:pPr>
            <w:r w:rsidRPr="00B54967">
              <w:rPr>
                <w:rFonts w:ascii="Verdana" w:eastAsia="Calibri" w:hAnsi="Verdana" w:cs="Arial"/>
                <w:lang w:val="es-ES" w:eastAsia="es-ES"/>
              </w:rPr>
              <w:t xml:space="preserve">La posición definida en las decisiones adoptadas por la Sección Tercera del Consejo de Estado se enmarcó en la imposibilidad de extender la aplicación de la restricción a los contratos interadministrativos que, en vigencia de la prohibición del parágrafo del artículo 38 de la Ley de Garantías Electorales se trata, esto es, en las elecciones distintas a las presidenciales. Específicamente, en la sentencia del 17 de octubre de 2025, el alto tribunal declaró la nulidad parcial del numeral 16.2 de la Circular Externa Única de 2022, por lo tanto, cuando dos entidades públicas celebran un contrato interadministrativo, independientemente del objeto, dicho contrato puede suscribirse durante el periodo preelectoral. </w:t>
            </w:r>
          </w:p>
          <w:p w14:paraId="3FD28A2A" w14:textId="77777777" w:rsidR="0044248D" w:rsidRPr="00B54967" w:rsidRDefault="0044248D" w:rsidP="003A17D7">
            <w:pPr>
              <w:spacing w:after="120" w:line="276" w:lineRule="auto"/>
              <w:contextualSpacing/>
              <w:jc w:val="both"/>
              <w:rPr>
                <w:rFonts w:ascii="Verdana" w:eastAsia="Calibri" w:hAnsi="Verdana" w:cs="Arial"/>
                <w:lang w:val="es-ES" w:eastAsia="es-ES"/>
              </w:rPr>
            </w:pPr>
          </w:p>
          <w:p w14:paraId="2413F000" w14:textId="77777777" w:rsidR="00B54967" w:rsidRPr="00B54967" w:rsidRDefault="00B54967" w:rsidP="00B54967">
            <w:pPr>
              <w:spacing w:after="120" w:line="276" w:lineRule="auto"/>
              <w:ind w:left="720"/>
              <w:contextualSpacing/>
              <w:jc w:val="both"/>
              <w:rPr>
                <w:rFonts w:ascii="Verdana" w:eastAsia="Calibri" w:hAnsi="Verdana" w:cs="Arial"/>
                <w:lang w:val="es-ES" w:eastAsia="es-ES"/>
              </w:rPr>
            </w:pPr>
            <w:r w:rsidRPr="00B54967">
              <w:rPr>
                <w:rFonts w:ascii="Verdana" w:hAnsi="Verdana" w:cs="Arial"/>
                <w:bCs/>
                <w:color w:val="000000" w:themeColor="text1"/>
                <w:lang w:val="es-MX" w:eastAsia="x-none"/>
              </w:rPr>
              <w:t>Al suscribir cualquier tipo de contrato o convenio bajo la modalidad de contratación directa en el periodo de la restricción definida en el artículo 33 de la Ley 996 de 2005, los servidores públicos pueden estar incursos en investigaciones de tipo penal, responsabilidad disciplinaria y responsabilidad fiscal.</w:t>
            </w:r>
          </w:p>
        </w:tc>
      </w:tr>
    </w:tbl>
    <w:p w14:paraId="7255953E" w14:textId="77777777" w:rsidR="00B54967" w:rsidRDefault="00B54967" w:rsidP="00B54967">
      <w:pPr>
        <w:tabs>
          <w:tab w:val="left" w:pos="142"/>
          <w:tab w:val="left" w:pos="284"/>
        </w:tabs>
        <w:spacing w:after="0" w:line="276" w:lineRule="auto"/>
        <w:jc w:val="both"/>
        <w:rPr>
          <w:rFonts w:ascii="Verdana" w:eastAsia="Century Gothic" w:hAnsi="Verdana" w:cs="Century Gothic"/>
          <w:b/>
          <w:bCs/>
        </w:rPr>
      </w:pPr>
    </w:p>
    <w:p w14:paraId="382CA211" w14:textId="77777777" w:rsidR="003A17D7" w:rsidRDefault="003A17D7" w:rsidP="00B54967">
      <w:pPr>
        <w:tabs>
          <w:tab w:val="left" w:pos="142"/>
          <w:tab w:val="left" w:pos="284"/>
        </w:tabs>
        <w:spacing w:after="0" w:line="276" w:lineRule="auto"/>
        <w:jc w:val="both"/>
        <w:rPr>
          <w:rFonts w:ascii="Verdana" w:eastAsia="Century Gothic" w:hAnsi="Verdana" w:cs="Century Gothic"/>
          <w:b/>
          <w:bCs/>
        </w:rPr>
      </w:pPr>
    </w:p>
    <w:p w14:paraId="2501700B" w14:textId="77777777" w:rsidR="003A17D7" w:rsidRDefault="003A17D7" w:rsidP="00B54967">
      <w:pPr>
        <w:tabs>
          <w:tab w:val="left" w:pos="142"/>
          <w:tab w:val="left" w:pos="284"/>
        </w:tabs>
        <w:spacing w:after="0" w:line="276" w:lineRule="auto"/>
        <w:jc w:val="both"/>
        <w:rPr>
          <w:rFonts w:ascii="Verdana" w:eastAsia="Century Gothic" w:hAnsi="Verdana" w:cs="Century Gothic"/>
          <w:b/>
          <w:bCs/>
        </w:rPr>
      </w:pPr>
    </w:p>
    <w:p w14:paraId="3EC3B3F9" w14:textId="77777777" w:rsidR="003A17D7" w:rsidRPr="00B54967" w:rsidRDefault="003A17D7" w:rsidP="00B54967">
      <w:pPr>
        <w:tabs>
          <w:tab w:val="left" w:pos="142"/>
          <w:tab w:val="left" w:pos="284"/>
        </w:tabs>
        <w:spacing w:after="0" w:line="276" w:lineRule="auto"/>
        <w:jc w:val="both"/>
        <w:rPr>
          <w:rFonts w:ascii="Verdana" w:eastAsia="Century Gothic" w:hAnsi="Verdana" w:cs="Century Gothic"/>
          <w:b/>
          <w:bCs/>
        </w:rPr>
      </w:pPr>
    </w:p>
    <w:p w14:paraId="69887AB0" w14:textId="3473B840" w:rsidR="003A17D7" w:rsidRDefault="00B54967" w:rsidP="003A17D7">
      <w:pPr>
        <w:tabs>
          <w:tab w:val="left" w:pos="142"/>
          <w:tab w:val="left" w:pos="284"/>
        </w:tabs>
        <w:spacing w:after="0" w:line="276" w:lineRule="auto"/>
        <w:jc w:val="both"/>
        <w:rPr>
          <w:rFonts w:ascii="Verdana" w:eastAsia="Century Gothic" w:hAnsi="Verdana" w:cs="Century Gothic"/>
          <w:b/>
          <w:bCs/>
        </w:rPr>
      </w:pPr>
      <w:r w:rsidRPr="00B54967">
        <w:rPr>
          <w:rFonts w:ascii="Verdana" w:eastAsia="Century Gothic" w:hAnsi="Verdana" w:cs="Century Gothic"/>
          <w:b/>
          <w:bCs/>
        </w:rPr>
        <w:lastRenderedPageBreak/>
        <w:t>3. Razones de la respuesta:</w:t>
      </w:r>
    </w:p>
    <w:p w14:paraId="12A4D733" w14:textId="77777777" w:rsidR="003A17D7" w:rsidRPr="003A17D7" w:rsidRDefault="003A17D7" w:rsidP="003A17D7">
      <w:pPr>
        <w:tabs>
          <w:tab w:val="left" w:pos="142"/>
          <w:tab w:val="left" w:pos="284"/>
        </w:tabs>
        <w:spacing w:after="0" w:line="276" w:lineRule="auto"/>
        <w:jc w:val="both"/>
        <w:rPr>
          <w:rFonts w:ascii="Verdana" w:eastAsia="Century Gothic" w:hAnsi="Verdana" w:cs="Century Gothic"/>
          <w:b/>
          <w:bCs/>
        </w:rPr>
      </w:pPr>
    </w:p>
    <w:p w14:paraId="0F25A7A6" w14:textId="77777777" w:rsidR="00B54967" w:rsidRPr="00B54967" w:rsidRDefault="00B54967" w:rsidP="00B54967">
      <w:pPr>
        <w:tabs>
          <w:tab w:val="left" w:pos="142"/>
          <w:tab w:val="left" w:pos="284"/>
          <w:tab w:val="left" w:pos="6975"/>
        </w:tabs>
        <w:spacing w:after="0" w:line="276" w:lineRule="auto"/>
        <w:jc w:val="both"/>
        <w:rPr>
          <w:rFonts w:ascii="Verdana" w:eastAsia="Calibri" w:hAnsi="Verdana" w:cs="Arial"/>
        </w:rPr>
      </w:pPr>
      <w:r w:rsidRPr="00B54967">
        <w:rPr>
          <w:rFonts w:ascii="Verdana" w:eastAsia="Calibri" w:hAnsi="Verdana" w:cs="Arial"/>
        </w:rPr>
        <w:t>Lo anterior se sustenta en las siguientes consideraciones:</w:t>
      </w:r>
    </w:p>
    <w:p w14:paraId="329D4D9E" w14:textId="77777777" w:rsidR="00B54967" w:rsidRPr="00B54967" w:rsidRDefault="00B54967" w:rsidP="00B54967">
      <w:pPr>
        <w:tabs>
          <w:tab w:val="left" w:pos="142"/>
          <w:tab w:val="left" w:pos="284"/>
          <w:tab w:val="left" w:pos="6975"/>
        </w:tabs>
        <w:spacing w:after="0" w:line="240" w:lineRule="auto"/>
        <w:jc w:val="both"/>
        <w:rPr>
          <w:rFonts w:ascii="Verdana" w:eastAsia="Calibri" w:hAnsi="Verdana" w:cs="Arial"/>
        </w:rPr>
      </w:pPr>
    </w:p>
    <w:p w14:paraId="57B776B8" w14:textId="77777777" w:rsidR="00B54967" w:rsidRPr="00B54967" w:rsidRDefault="00B54967" w:rsidP="00B54967">
      <w:pPr>
        <w:tabs>
          <w:tab w:val="left" w:pos="7851"/>
        </w:tabs>
        <w:spacing w:after="120" w:line="276" w:lineRule="auto"/>
        <w:jc w:val="both"/>
        <w:rPr>
          <w:rFonts w:ascii="Arial" w:hAnsi="Arial" w:cs="Arial"/>
          <w:b/>
        </w:rPr>
      </w:pPr>
      <w:r w:rsidRPr="00B54967">
        <w:rPr>
          <w:rFonts w:ascii="Verdana" w:eastAsiaTheme="minorEastAsia" w:hAnsi="Verdana" w:cs="Arial"/>
          <w:lang w:eastAsia="es-CO"/>
        </w:rPr>
        <w:t>i) El convenio o contrato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están determinados por un criterio orgánico, al ser necesario que los extremos de la relación contractual sean Entidades</w:t>
      </w:r>
      <w:r w:rsidRPr="00B54967">
        <w:rPr>
          <w:rFonts w:ascii="Verdana" w:eastAsiaTheme="minorEastAsia" w:hAnsi="Verdana" w:cs="Arial"/>
          <w:spacing w:val="-6"/>
          <w:lang w:eastAsia="es-CO"/>
        </w:rPr>
        <w:t xml:space="preserve"> </w:t>
      </w:r>
      <w:r w:rsidRPr="00B54967">
        <w:rPr>
          <w:rFonts w:ascii="Verdana" w:eastAsiaTheme="minorEastAsia" w:hAnsi="Verdana" w:cs="Arial"/>
          <w:lang w:eastAsia="es-CO"/>
        </w:rPr>
        <w:t>Estatales.</w:t>
      </w:r>
    </w:p>
    <w:p w14:paraId="34526642" w14:textId="77777777" w:rsidR="00B54967" w:rsidRPr="00B54967" w:rsidRDefault="00B54967" w:rsidP="00B54967">
      <w:pPr>
        <w:spacing w:after="120" w:line="276" w:lineRule="auto"/>
        <w:ind w:firstLine="709"/>
        <w:jc w:val="both"/>
        <w:rPr>
          <w:rFonts w:ascii="Verdana" w:eastAsiaTheme="minorEastAsia" w:hAnsi="Verdana" w:cs="Arial"/>
          <w:lang w:eastAsia="es-CO"/>
        </w:rPr>
      </w:pPr>
      <w:r w:rsidRPr="00B54967">
        <w:rPr>
          <w:rFonts w:ascii="Verdana" w:eastAsiaTheme="minorEastAsia" w:hAnsi="Verdana" w:cs="Arial"/>
          <w:lang w:eastAsia="es-CO"/>
        </w:rPr>
        <w:t>Ahora bien, aun cuando los contratos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sometida a la Ley 80 de 1993 celebrar esta clase de negocios jurídicos con una Entidad Estatal de régimen especial y no por ello dejará de ser un contrato o convenio interadministrativo.</w:t>
      </w:r>
    </w:p>
    <w:p w14:paraId="5829BDA7" w14:textId="77777777" w:rsidR="00B54967" w:rsidRPr="00B54967" w:rsidRDefault="00B54967" w:rsidP="00B54967">
      <w:pPr>
        <w:spacing w:after="120" w:line="276" w:lineRule="auto"/>
        <w:ind w:firstLine="709"/>
        <w:jc w:val="both"/>
        <w:rPr>
          <w:rFonts w:ascii="Verdana" w:eastAsiaTheme="minorEastAsia" w:hAnsi="Verdana" w:cs="Arial"/>
          <w:lang w:eastAsia="es-CO"/>
        </w:rPr>
      </w:pPr>
      <w:r w:rsidRPr="00B54967">
        <w:rPr>
          <w:rFonts w:ascii="Verdana" w:eastAsiaTheme="minorEastAsia" w:hAnsi="Verdana" w:cs="Arial"/>
          <w:lang w:eastAsia="es-CO"/>
        </w:rPr>
        <w:t>Un contrato interadministrativo no está determinado por la modalidad de selección utilizada para celebrarlo. La Ley 1150 de 2007 dispone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con pluralidad de oferentes</w:t>
      </w:r>
      <w:r w:rsidRPr="00B54967">
        <w:rPr>
          <w:rFonts w:ascii="Verdana" w:eastAsiaTheme="minorEastAsia" w:hAnsi="Verdana" w:cs="Arial"/>
          <w:vertAlign w:val="superscript"/>
          <w:lang w:eastAsia="es-CO"/>
        </w:rPr>
        <w:footnoteReference w:id="1"/>
      </w:r>
      <w:r w:rsidRPr="00B54967">
        <w:rPr>
          <w:rFonts w:ascii="Verdana" w:eastAsiaTheme="minorEastAsia" w:hAnsi="Verdana" w:cs="Arial"/>
          <w:lang w:eastAsia="es-CO"/>
        </w:rPr>
        <w:t>. Nótese que, en este caso, lo que cambia es la modalidad de selección y no la naturaleza de contrato</w:t>
      </w:r>
      <w:r w:rsidRPr="00B54967">
        <w:rPr>
          <w:rFonts w:ascii="Verdana" w:eastAsiaTheme="minorEastAsia" w:hAnsi="Verdana" w:cs="Arial"/>
          <w:spacing w:val="-18"/>
          <w:lang w:eastAsia="es-CO"/>
        </w:rPr>
        <w:t xml:space="preserve"> </w:t>
      </w:r>
      <w:r w:rsidRPr="00B54967">
        <w:rPr>
          <w:rFonts w:ascii="Verdana" w:eastAsiaTheme="minorEastAsia" w:hAnsi="Verdana" w:cs="Arial"/>
          <w:lang w:eastAsia="es-CO"/>
        </w:rPr>
        <w:t>interadministrativo.</w:t>
      </w:r>
    </w:p>
    <w:p w14:paraId="545D9B0A" w14:textId="77777777" w:rsidR="00B54967" w:rsidRPr="00B54967" w:rsidRDefault="00B54967" w:rsidP="00B54967">
      <w:pPr>
        <w:spacing w:after="120" w:line="276" w:lineRule="auto"/>
        <w:ind w:firstLine="709"/>
        <w:jc w:val="both"/>
        <w:rPr>
          <w:rFonts w:ascii="Verdana" w:eastAsiaTheme="minorEastAsia" w:hAnsi="Verdana" w:cs="Arial"/>
          <w:lang w:eastAsia="es-CO"/>
        </w:rPr>
      </w:pPr>
      <w:r w:rsidRPr="00B54967">
        <w:rPr>
          <w:rFonts w:ascii="Verdana" w:eastAsiaTheme="minorEastAsia" w:hAnsi="Verdana" w:cs="Arial"/>
          <w:lang w:eastAsia="es-CO"/>
        </w:rPr>
        <w:t xml:space="preserve">La Corte Constitucional, en Sentencia C-671 de 2015, expresó que “Lo que hace interadministrativo a un contrato o convenio no es el procedimiento de selección aplicable, sino la calidad de los sujetos contratantes, esto es que las dos partes de la relación jurídica contractual formen parte de la administración </w:t>
      </w:r>
      <w:r w:rsidRPr="00B54967">
        <w:rPr>
          <w:rFonts w:ascii="Verdana" w:eastAsiaTheme="minorEastAsia" w:hAnsi="Verdana" w:cs="Arial"/>
          <w:lang w:eastAsia="es-CO"/>
        </w:rPr>
        <w:lastRenderedPageBreak/>
        <w:t>pública”</w:t>
      </w:r>
      <w:r w:rsidRPr="00B54967">
        <w:rPr>
          <w:rFonts w:ascii="Verdana" w:eastAsiaTheme="minorEastAsia" w:hAnsi="Verdana" w:cs="Arial"/>
          <w:vertAlign w:val="superscript"/>
          <w:lang w:eastAsia="es-CO"/>
        </w:rPr>
        <w:footnoteReference w:id="2"/>
      </w:r>
      <w:r w:rsidRPr="00B54967">
        <w:rPr>
          <w:rFonts w:ascii="Verdana" w:eastAsiaTheme="minorEastAsia" w:hAnsi="Verdana" w:cs="Arial"/>
          <w:lang w:eastAsia="es-CO"/>
        </w:rPr>
        <w:t xml:space="preserve">. Así las cosas, esta clase de acuerdos de voluntades se definen por un criterio orgánico, por lo que uno de sus elementos esenciales es que en los extremos de la relación jurídico negocial concurran personas de derecho público. </w:t>
      </w:r>
    </w:p>
    <w:p w14:paraId="2611B3A3" w14:textId="77777777" w:rsidR="00B54967" w:rsidRPr="00B54967" w:rsidRDefault="00B54967" w:rsidP="00B54967">
      <w:pPr>
        <w:spacing w:after="120" w:line="276" w:lineRule="auto"/>
        <w:ind w:firstLine="709"/>
        <w:jc w:val="both"/>
        <w:rPr>
          <w:rFonts w:ascii="Verdana" w:eastAsiaTheme="minorEastAsia" w:hAnsi="Verdana" w:cs="Arial"/>
          <w:lang w:eastAsia="es-CO"/>
        </w:rPr>
      </w:pPr>
      <w:r w:rsidRPr="00B54967">
        <w:rPr>
          <w:rFonts w:ascii="Verdana" w:eastAsiaTheme="minorEastAsia" w:hAnsi="Verdana" w:cs="Arial"/>
          <w:lang w:eastAsia="es-CO"/>
        </w:rPr>
        <w:t xml:space="preserve">Es decir, lo que hace que un contrato o convenio sea interadministrativo es la naturaleza de las partes, independiente del régimen jurídico aplicable. Sin embargo, en los últimos se está diferenciando los conceptos “contrato interadministrativo” y “convenio interadministrativo” como dos instituciones jurídicas independientes con producción de efectos jurídicos distintos. Al respecto, el Consejo de Estado distingue las dos instituciones, de la siguiente forma: </w:t>
      </w:r>
    </w:p>
    <w:p w14:paraId="1025485D" w14:textId="77777777" w:rsidR="00B54967" w:rsidRPr="00B54967" w:rsidRDefault="00B54967" w:rsidP="00B54967">
      <w:pPr>
        <w:spacing w:after="0" w:line="240" w:lineRule="auto"/>
        <w:ind w:left="709" w:right="709"/>
        <w:jc w:val="both"/>
        <w:rPr>
          <w:rFonts w:ascii="Verdana" w:eastAsiaTheme="minorEastAsia" w:hAnsi="Verdana" w:cs="Arial"/>
          <w:sz w:val="20"/>
          <w:szCs w:val="20"/>
          <w:lang w:eastAsia="es-CO"/>
        </w:rPr>
      </w:pPr>
      <w:r w:rsidRPr="00B54967">
        <w:rPr>
          <w:rFonts w:ascii="Verdana" w:eastAsiaTheme="minorEastAsia" w:hAnsi="Verdana" w:cs="Arial"/>
          <w:sz w:val="20"/>
          <w:szCs w:val="20"/>
          <w:lang w:eastAsia="es-CO"/>
        </w:rPr>
        <w:t>"Si bien las nociones 'contrato' y 'convenio' interadministrativo tienen notas comunes como la de ser acuerdos de voluntades generadores de obligaciones entre entidades estatales, también resulta incontrovertible que tienen naturaleza, finalidad y características disímiles como son:</w:t>
      </w:r>
    </w:p>
    <w:p w14:paraId="0155CA97" w14:textId="77777777" w:rsidR="00B54967" w:rsidRPr="00B54967" w:rsidRDefault="00B54967" w:rsidP="00B54967">
      <w:pPr>
        <w:numPr>
          <w:ilvl w:val="0"/>
          <w:numId w:val="17"/>
        </w:numPr>
        <w:spacing w:after="0" w:line="240" w:lineRule="auto"/>
        <w:ind w:left="709" w:right="709"/>
        <w:contextualSpacing/>
        <w:jc w:val="both"/>
        <w:rPr>
          <w:rFonts w:ascii="Verdana" w:eastAsiaTheme="minorEastAsia" w:hAnsi="Verdana" w:cs="Arial"/>
          <w:sz w:val="20"/>
          <w:szCs w:val="20"/>
          <w:lang w:val="es-ES" w:eastAsia="es-CO"/>
        </w:rPr>
      </w:pPr>
      <w:r w:rsidRPr="00B54967">
        <w:rPr>
          <w:rFonts w:ascii="Verdana" w:eastAsiaTheme="minorEastAsia" w:hAnsi="Verdana" w:cs="Arial"/>
          <w:sz w:val="20"/>
          <w:szCs w:val="20"/>
          <w:lang w:val="es-ES" w:eastAsia="es-CO"/>
        </w:rPr>
        <w:t xml:space="preserve">El objeto de los contratos lo constituyen obligaciones de contenido patrimonial y, por </w:t>
      </w:r>
      <w:r w:rsidRPr="00B54967">
        <w:rPr>
          <w:rFonts w:ascii="Verdana" w:eastAsiaTheme="minorEastAsia" w:hAnsi="Verdana" w:cs="Arial"/>
          <w:sz w:val="20"/>
          <w:szCs w:val="20"/>
          <w:lang w:eastAsia="es-CO"/>
        </w:rPr>
        <w:t>lo mismo, son onerosos, lo que implica el gravamen de cada parte en beneficio de la otra. En el contrato, como verdadero acuerdo de voluntades productor de efectos jurídicos, las partes actúan con intereses disímiles y contrapuestos; la entidad estatal contratante en un interés público, la entidad estatal contratista en su propio interés específico económico o de índole privado (es claro que una entidad estatal, puede y debe obtener ganancias, o generar valor respecto de su patrimonio, productos o actividad, si así lo autoriza su objeto social, o las funciones que le haya otorgado la ley);</w:t>
      </w:r>
    </w:p>
    <w:p w14:paraId="5349BC2D" w14:textId="77777777" w:rsidR="00B54967" w:rsidRPr="00B54967" w:rsidRDefault="00B54967" w:rsidP="00B54967">
      <w:pPr>
        <w:numPr>
          <w:ilvl w:val="0"/>
          <w:numId w:val="17"/>
        </w:numPr>
        <w:spacing w:after="0" w:line="240" w:lineRule="auto"/>
        <w:ind w:left="709" w:right="709"/>
        <w:contextualSpacing/>
        <w:jc w:val="both"/>
        <w:rPr>
          <w:rFonts w:ascii="Verdana" w:eastAsiaTheme="minorEastAsia" w:hAnsi="Verdana" w:cs="Arial"/>
          <w:sz w:val="20"/>
          <w:szCs w:val="20"/>
          <w:lang w:val="es-ES" w:eastAsia="es-CO"/>
        </w:rPr>
      </w:pPr>
      <w:r w:rsidRPr="00B54967">
        <w:rPr>
          <w:rFonts w:ascii="Verdana" w:eastAsiaTheme="minorEastAsia" w:hAnsi="Verdana" w:cs="Arial"/>
          <w:sz w:val="20"/>
          <w:szCs w:val="20"/>
          <w:lang w:eastAsia="es-CO"/>
        </w:rPr>
        <w:t>Los convenios no tienen un interés puramente económico (es decir, destinados a obtener una ganancia) y su objeto es ejecutar actividades que contribuyen directamente al fin común de los sujetos vinculados al convenio; es decir, las partes tienen intereses convergentes, coincidentes o comunes (cumplimiento de funciones administrativas o prestación de servicios a su cargo que coinciden con el interés general) y cooperan para alcanzar en forma eficaz la finalidad estatal prevista en la Constitución o la ley sin que por esto se reciba por ninguna de ellas el pago de un precio o contraprestación;</w:t>
      </w:r>
    </w:p>
    <w:p w14:paraId="54176F4A" w14:textId="72072CFB" w:rsidR="00B54967" w:rsidRPr="00350B9B" w:rsidRDefault="00B54967" w:rsidP="00B54967">
      <w:pPr>
        <w:numPr>
          <w:ilvl w:val="0"/>
          <w:numId w:val="17"/>
        </w:numPr>
        <w:spacing w:after="0" w:line="240" w:lineRule="auto"/>
        <w:ind w:left="709" w:right="709"/>
        <w:contextualSpacing/>
        <w:jc w:val="both"/>
        <w:rPr>
          <w:rFonts w:ascii="Verdana" w:eastAsiaTheme="minorEastAsia" w:hAnsi="Verdana" w:cs="Arial"/>
          <w:sz w:val="20"/>
          <w:szCs w:val="20"/>
          <w:lang w:val="es-ES" w:eastAsia="es-CO"/>
        </w:rPr>
      </w:pPr>
      <w:r w:rsidRPr="00B54967">
        <w:rPr>
          <w:rFonts w:ascii="Verdana" w:eastAsiaTheme="minorEastAsia" w:hAnsi="Verdana" w:cs="Arial"/>
          <w:sz w:val="20"/>
          <w:szCs w:val="20"/>
          <w:lang w:eastAsia="es-CO"/>
        </w:rPr>
        <w:t xml:space="preserve">Los intereses de los que son titulares las partes (entidades públicas contrayentes) y las finalidades que persiguen alcanzar, en virtud del ánimo de cooperación, indican que en los convenios las partes se relacionan en un paralelismo de intereses bajo un ámbito o posición de igualdad o equivalencia, en tanto que los contratos, dados los intereses y finalidades analizadas, se desarrollan en un ámbito de preeminencia o  superioridad jurídica de la entidad estatal contratante respecto de la entidad contratista y, por lo mismo, podrá haber prerrogativas a favor de una de las partes. De esta manera, en el contrato 'se puede identificar contratante y </w:t>
      </w:r>
      <w:r w:rsidRPr="00B54967">
        <w:rPr>
          <w:rFonts w:ascii="Verdana" w:eastAsiaTheme="minorEastAsia" w:hAnsi="Verdana" w:cs="Arial"/>
          <w:sz w:val="20"/>
          <w:szCs w:val="20"/>
          <w:lang w:eastAsia="es-CO"/>
        </w:rPr>
        <w:lastRenderedPageBreak/>
        <w:t>contratista, y el segundo, aunque persona pública, tiene intereses y está en un mercado de forma similar a como lo hace un particular”</w:t>
      </w:r>
      <w:r w:rsidRPr="00B54967">
        <w:rPr>
          <w:rFonts w:ascii="Verdana" w:eastAsiaTheme="minorEastAsia" w:hAnsi="Verdana" w:cs="Arial"/>
          <w:sz w:val="20"/>
          <w:szCs w:val="20"/>
          <w:vertAlign w:val="superscript"/>
          <w:lang w:eastAsia="es-CO"/>
        </w:rPr>
        <w:footnoteReference w:id="3"/>
      </w:r>
      <w:r w:rsidRPr="00B54967">
        <w:rPr>
          <w:rFonts w:ascii="Verdana" w:eastAsiaTheme="minorEastAsia" w:hAnsi="Verdana" w:cs="Arial"/>
          <w:sz w:val="20"/>
          <w:szCs w:val="20"/>
          <w:lang w:eastAsia="es-CO"/>
        </w:rPr>
        <w:t>.</w:t>
      </w:r>
    </w:p>
    <w:p w14:paraId="22154539" w14:textId="77777777" w:rsidR="00B54967" w:rsidRPr="00B54967" w:rsidRDefault="00B54967" w:rsidP="00B54967">
      <w:pPr>
        <w:spacing w:after="0" w:line="240" w:lineRule="auto"/>
        <w:ind w:right="709"/>
        <w:contextualSpacing/>
        <w:jc w:val="both"/>
        <w:rPr>
          <w:rFonts w:ascii="Verdana" w:eastAsiaTheme="minorEastAsia" w:hAnsi="Verdana" w:cs="Arial"/>
          <w:sz w:val="20"/>
          <w:szCs w:val="20"/>
          <w:lang w:val="es-ES" w:eastAsia="es-CO"/>
        </w:rPr>
      </w:pPr>
    </w:p>
    <w:p w14:paraId="250D5F4B" w14:textId="77777777" w:rsidR="00B54967" w:rsidRPr="00B54967" w:rsidRDefault="00B54967" w:rsidP="00B54967">
      <w:pPr>
        <w:spacing w:after="120" w:line="276" w:lineRule="auto"/>
        <w:ind w:firstLine="709"/>
        <w:jc w:val="both"/>
        <w:rPr>
          <w:rFonts w:ascii="Verdana" w:eastAsiaTheme="minorEastAsia" w:hAnsi="Verdana" w:cs="Arial"/>
          <w:lang w:eastAsia="es-CO"/>
        </w:rPr>
      </w:pPr>
      <w:r w:rsidRPr="00B54967">
        <w:rPr>
          <w:rFonts w:ascii="Verdana" w:eastAsiaTheme="minorEastAsia" w:hAnsi="Verdana" w:cs="Arial"/>
          <w:lang w:eastAsia="es-CO"/>
        </w:rPr>
        <w:t xml:space="preserve">Bajo esta postura del Consejo de Estado, se determina que el convenio interadministrativo es el negocio jurídico en el cual convergen dos entidades públicas, cuyo objeto se relaciona con la coordinación o cooperación para el cumplimiento de los fines comunes de las partes. Por otro lado, el contrato interadministrativo es un negocio jurídico, cuyo objeto está relacionado con la prestación de bienes y servicios, en el que una de las partes actúa como contratante y otra como contratista. Al respecto, la doctrina expresa: </w:t>
      </w:r>
    </w:p>
    <w:p w14:paraId="0D0D93F2" w14:textId="77777777" w:rsidR="00B54967" w:rsidRPr="00B54967" w:rsidRDefault="00B54967" w:rsidP="00B54967">
      <w:pPr>
        <w:spacing w:after="0" w:line="240" w:lineRule="auto"/>
        <w:ind w:left="709" w:right="709"/>
        <w:jc w:val="both"/>
        <w:rPr>
          <w:rFonts w:ascii="Verdana" w:eastAsiaTheme="minorEastAsia" w:hAnsi="Verdana" w:cs="Arial"/>
          <w:lang w:eastAsia="es-CO"/>
        </w:rPr>
      </w:pPr>
      <w:r w:rsidRPr="00B54967">
        <w:rPr>
          <w:rFonts w:ascii="Verdana" w:eastAsiaTheme="minorEastAsia" w:hAnsi="Verdana" w:cs="Arial"/>
          <w:sz w:val="21"/>
          <w:szCs w:val="21"/>
          <w:lang w:eastAsia="es-CO"/>
        </w:rPr>
        <w:t>“De acuerdo con todo lo anteriormente expuesto, podemos manifestar que el convenio interadministrativo es el negocio jurídico en el cual están presentes dos entidades públicas en desarrollo de relaciones interadministrativas cuyo objeto es coordinar, cooperar, colaborar o distribuir competencias en la realización de funciones administrativas de interés común a los sujetos negociales.</w:t>
      </w:r>
    </w:p>
    <w:p w14:paraId="5CF15A44" w14:textId="77777777" w:rsidR="00B54967" w:rsidRPr="00B54967" w:rsidRDefault="00B54967" w:rsidP="00B54967">
      <w:pPr>
        <w:spacing w:after="0" w:line="240" w:lineRule="auto"/>
        <w:ind w:left="709" w:right="709"/>
        <w:jc w:val="both"/>
        <w:rPr>
          <w:rFonts w:ascii="Verdana" w:eastAsiaTheme="minorEastAsia" w:hAnsi="Verdana" w:cs="Arial"/>
          <w:sz w:val="21"/>
          <w:szCs w:val="21"/>
          <w:lang w:eastAsia="es-CO"/>
        </w:rPr>
      </w:pPr>
      <w:r w:rsidRPr="00B54967">
        <w:rPr>
          <w:rFonts w:ascii="Verdana" w:eastAsiaTheme="minorEastAsia" w:hAnsi="Verdana" w:cs="Arial"/>
          <w:sz w:val="21"/>
          <w:szCs w:val="21"/>
          <w:lang w:eastAsia="es-CO"/>
        </w:rPr>
        <w:t>[…]</w:t>
      </w:r>
    </w:p>
    <w:p w14:paraId="3182BD67" w14:textId="4A875F30" w:rsidR="00B54967" w:rsidRPr="00350B9B" w:rsidRDefault="00B54967" w:rsidP="00350B9B">
      <w:pPr>
        <w:autoSpaceDE w:val="0"/>
        <w:autoSpaceDN w:val="0"/>
        <w:adjustRightInd w:val="0"/>
        <w:spacing w:after="0" w:line="240" w:lineRule="auto"/>
        <w:ind w:left="709" w:right="709"/>
        <w:jc w:val="both"/>
        <w:rPr>
          <w:rFonts w:ascii="Verdana" w:hAnsi="Verdana" w:cs="Weiss"/>
          <w:sz w:val="21"/>
          <w:szCs w:val="21"/>
        </w:rPr>
      </w:pPr>
      <w:r w:rsidRPr="00B54967">
        <w:rPr>
          <w:rFonts w:ascii="Verdana" w:hAnsi="Verdana" w:cs="Weiss"/>
          <w:sz w:val="21"/>
          <w:szCs w:val="21"/>
        </w:rPr>
        <w:t>El contrato interadministrativo, por su parte, es también celebrado entre dos entidades públicas con capacidad de tener relaciones interadministrativas, con la particularidad de que el contrato es negocio jurídico generador de obligaciones al cual acuden las partes con diversidad de intereses. En el contrato se pueden identificar contratante y contratista, y el segundo, aunque persona pública, tiene intereses y está en un mercado de forma similar a como lo hace el particular”</w:t>
      </w:r>
      <w:r w:rsidRPr="00B54967">
        <w:rPr>
          <w:rFonts w:ascii="Verdana" w:hAnsi="Verdana" w:cs="Weiss"/>
          <w:sz w:val="21"/>
          <w:szCs w:val="21"/>
          <w:vertAlign w:val="superscript"/>
        </w:rPr>
        <w:footnoteReference w:id="4"/>
      </w:r>
    </w:p>
    <w:p w14:paraId="7FA8F866" w14:textId="77777777" w:rsidR="00B54967" w:rsidRPr="00B54967" w:rsidRDefault="00B54967" w:rsidP="00B54967">
      <w:pPr>
        <w:spacing w:after="0" w:line="240" w:lineRule="auto"/>
        <w:ind w:firstLine="709"/>
        <w:jc w:val="both"/>
        <w:textAlignment w:val="baseline"/>
        <w:rPr>
          <w:rFonts w:ascii="Verdana" w:eastAsia="Calibri" w:hAnsi="Verdana" w:cs="Arial"/>
          <w:lang w:val="es-ES"/>
        </w:rPr>
      </w:pPr>
    </w:p>
    <w:p w14:paraId="104E550C" w14:textId="77777777" w:rsidR="00B54967" w:rsidRPr="00B54967" w:rsidRDefault="00B54967" w:rsidP="00B54967">
      <w:pPr>
        <w:tabs>
          <w:tab w:val="left" w:pos="142"/>
          <w:tab w:val="left" w:pos="284"/>
          <w:tab w:val="left" w:pos="6912"/>
        </w:tabs>
        <w:spacing w:after="120" w:line="276" w:lineRule="auto"/>
        <w:jc w:val="both"/>
        <w:rPr>
          <w:rFonts w:ascii="Verdana" w:eastAsia="Times New Roman" w:hAnsi="Verdana" w:cs="Arial"/>
          <w:bCs/>
          <w:lang w:eastAsia="es-CO"/>
        </w:rPr>
      </w:pPr>
      <w:proofErr w:type="spellStart"/>
      <w:r w:rsidRPr="00B54967">
        <w:rPr>
          <w:rFonts w:ascii="Verdana" w:eastAsia="Times New Roman" w:hAnsi="Verdana" w:cs="Arial"/>
          <w:bCs/>
          <w:lang w:val="es-ES" w:eastAsia="es-CO"/>
        </w:rPr>
        <w:t>ii</w:t>
      </w:r>
      <w:proofErr w:type="spellEnd"/>
      <w:r w:rsidRPr="00B54967">
        <w:rPr>
          <w:rFonts w:ascii="Verdana" w:eastAsia="Times New Roman" w:hAnsi="Verdana" w:cs="Arial"/>
          <w:bCs/>
          <w:lang w:eastAsia="es-CO"/>
        </w:rPr>
        <w:t xml:space="preserve">) Respecto del alcance de la Ley de Garantías Electorales y su incidencia en la aplicación en los convenios interadministrativos y aquellos contratos definidos </w:t>
      </w:r>
      <w:r w:rsidRPr="00B54967">
        <w:rPr>
          <w:rFonts w:ascii="Verdana" w:eastAsia="Times New Roman" w:hAnsi="Verdana" w:cs="Arial"/>
          <w:bCs/>
          <w:lang w:eastAsia="es-CO"/>
        </w:rPr>
        <w:lastRenderedPageBreak/>
        <w:t>en el artículo 355 de la Constitución Política y de los convenios del Decreto 092 de 2017, el ordenamiento jurídico colombiano contempla previsiones claras para evitar la obtención de beneficios personales en asuntos propios de la administración pública. Por ejemplo, el artículo 127 de la Constitución Política establece una prohibición contractual a los servidores públicos y en cuanto a aspectos políticos establece restricciones a ciertos empleados del Estado, incluso en época no electoral</w:t>
      </w:r>
      <w:r w:rsidRPr="00B54967">
        <w:rPr>
          <w:rFonts w:ascii="Verdana" w:eastAsia="Calibri" w:hAnsi="Verdana" w:cs="Arial"/>
          <w:bCs/>
          <w:vertAlign w:val="superscript"/>
        </w:rPr>
        <w:footnoteReference w:id="5"/>
      </w:r>
      <w:r w:rsidRPr="00B54967">
        <w:rPr>
          <w:rFonts w:ascii="Verdana" w:eastAsia="Calibri" w:hAnsi="Verdana" w:cs="Arial"/>
          <w:bCs/>
        </w:rPr>
        <w:t xml:space="preserve">. </w:t>
      </w:r>
    </w:p>
    <w:p w14:paraId="282167BB" w14:textId="77777777" w:rsidR="00B54967" w:rsidRPr="00B54967" w:rsidRDefault="00B54967" w:rsidP="00B54967">
      <w:pPr>
        <w:tabs>
          <w:tab w:val="left" w:pos="426"/>
        </w:tabs>
        <w:spacing w:after="120" w:line="276" w:lineRule="auto"/>
        <w:ind w:firstLine="709"/>
        <w:jc w:val="both"/>
        <w:rPr>
          <w:rFonts w:ascii="Verdana" w:eastAsia="Calibri" w:hAnsi="Verdana" w:cs="Arial"/>
          <w:noProof/>
          <w:lang w:val="es-ES_tradnl"/>
        </w:rPr>
      </w:pPr>
      <w:r w:rsidRPr="00B54967">
        <w:rPr>
          <w:rFonts w:ascii="Verdana" w:eastAsia="Times New Roman" w:hAnsi="Verdana" w:cs="Arial"/>
          <w:bCs/>
          <w:lang w:eastAsia="es-CO"/>
        </w:rPr>
        <w:t>En el mismo sentido, 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B54967">
        <w:rPr>
          <w:rFonts w:ascii="Verdana" w:eastAsia="Times New Roman" w:hAnsi="Verdana" w:cs="Arial"/>
          <w:bCs/>
          <w:vertAlign w:val="superscript"/>
          <w:lang w:eastAsia="es-CO"/>
        </w:rPr>
        <w:footnoteReference w:id="6"/>
      </w:r>
      <w:r w:rsidRPr="00B54967">
        <w:rPr>
          <w:rFonts w:ascii="Verdana" w:eastAsia="Times New Roman" w:hAnsi="Verdana" w:cs="Arial"/>
          <w:bCs/>
          <w:lang w:eastAsia="es-CO"/>
        </w:rPr>
        <w:t>. En esta medida, introduce limitaciones para realizar nombramientos, postulaciones, contrataciones o cualquier otro tipo de actividad que implique destinación de recursos públicos bajo el devenir propio de las entidades estatales.</w:t>
      </w:r>
      <w:r w:rsidRPr="00B54967">
        <w:rPr>
          <w:rFonts w:ascii="Verdana" w:eastAsia="Calibri" w:hAnsi="Verdana" w:cs="Arial"/>
          <w:noProof/>
          <w:lang w:val="es-ES_tradnl"/>
        </w:rPr>
        <w:t xml:space="preserve"> </w:t>
      </w:r>
    </w:p>
    <w:p w14:paraId="24953785" w14:textId="77777777" w:rsidR="00B54967" w:rsidRPr="00B54967" w:rsidRDefault="00B54967" w:rsidP="00B54967">
      <w:pPr>
        <w:tabs>
          <w:tab w:val="left" w:pos="426"/>
        </w:tabs>
        <w:spacing w:after="0" w:line="276" w:lineRule="auto"/>
        <w:ind w:firstLine="709"/>
        <w:jc w:val="both"/>
        <w:rPr>
          <w:rFonts w:ascii="Verdana" w:eastAsia="Times New Roman" w:hAnsi="Verdana" w:cs="Arial"/>
          <w:bCs/>
          <w:lang w:eastAsia="es-CO"/>
        </w:rPr>
      </w:pPr>
      <w:r w:rsidRPr="00B54967">
        <w:rPr>
          <w:rFonts w:ascii="Verdana" w:eastAsia="Times New Roman" w:hAnsi="Verdana" w:cs="Arial"/>
          <w:bCs/>
          <w:lang w:eastAsia="es-CO"/>
        </w:rPr>
        <w:t>En armonía con lo anterior, la Corte Constitucional ha abordado la definición de la Ley de Garantías Electorales. De esta manera, explica que tiene como propósito:</w:t>
      </w:r>
    </w:p>
    <w:p w14:paraId="0B7FA0D8" w14:textId="77777777" w:rsidR="00B54967" w:rsidRPr="00B54967" w:rsidRDefault="00B54967" w:rsidP="00B54967">
      <w:pPr>
        <w:tabs>
          <w:tab w:val="left" w:pos="426"/>
        </w:tabs>
        <w:spacing w:after="0" w:line="276" w:lineRule="auto"/>
        <w:ind w:firstLine="709"/>
        <w:jc w:val="both"/>
        <w:rPr>
          <w:rFonts w:ascii="Verdana" w:eastAsia="Times New Roman" w:hAnsi="Verdana" w:cs="Arial"/>
          <w:bCs/>
          <w:lang w:eastAsia="es-CO"/>
        </w:rPr>
      </w:pPr>
    </w:p>
    <w:p w14:paraId="3A4A226F" w14:textId="77777777" w:rsidR="00B54967" w:rsidRPr="00B54967" w:rsidRDefault="00B54967" w:rsidP="00B54967">
      <w:pPr>
        <w:spacing w:after="0" w:line="240" w:lineRule="auto"/>
        <w:ind w:left="709" w:right="709"/>
        <w:jc w:val="both"/>
        <w:rPr>
          <w:rFonts w:ascii="Verdana" w:eastAsia="Times New Roman" w:hAnsi="Verdana" w:cs="Arial"/>
          <w:sz w:val="20"/>
          <w:szCs w:val="20"/>
          <w:lang w:val="es-ES" w:eastAsia="es-CO"/>
        </w:rPr>
      </w:pPr>
      <w:r w:rsidRPr="00B54967">
        <w:rPr>
          <w:rFonts w:ascii="Verdana" w:eastAsia="Times New Roman" w:hAnsi="Verdana" w:cs="Arial"/>
          <w:sz w:val="20"/>
          <w:szCs w:val="20"/>
          <w:lang w:val="es-ES" w:eastAsia="es-CO"/>
        </w:rPr>
        <w:t xml:space="preserve">“(…) </w:t>
      </w:r>
      <w:r w:rsidRPr="00B54967">
        <w:rPr>
          <w:rFonts w:ascii="Verdana" w:eastAsia="Times New Roman" w:hAnsi="Verdana" w:cs="Arial"/>
          <w:bCs/>
          <w:sz w:val="20"/>
          <w:szCs w:val="20"/>
          <w:lang w:eastAsia="es-CO"/>
        </w:rPr>
        <w:t>La definición de reglas claras que permitan acceder a los canales de expresión democrática de manera efectiva e igualitaria. El objetivo de una ley de garantías es definir esas reglas.</w:t>
      </w:r>
    </w:p>
    <w:p w14:paraId="4917DD5B" w14:textId="77777777" w:rsidR="00B54967" w:rsidRPr="00B54967" w:rsidRDefault="00B54967" w:rsidP="00B54967">
      <w:pPr>
        <w:spacing w:after="0" w:line="240" w:lineRule="auto"/>
        <w:ind w:left="709" w:right="709"/>
        <w:jc w:val="both"/>
        <w:rPr>
          <w:rFonts w:ascii="Verdana" w:eastAsia="Times New Roman" w:hAnsi="Verdana" w:cs="Arial"/>
          <w:bCs/>
          <w:sz w:val="20"/>
          <w:szCs w:val="20"/>
          <w:lang w:eastAsia="es-CO"/>
        </w:rPr>
      </w:pPr>
      <w:r w:rsidRPr="00B54967">
        <w:rPr>
          <w:rFonts w:ascii="Verdana" w:eastAsia="Times New Roman" w:hAnsi="Verdana" w:cs="Arial"/>
          <w:bCs/>
          <w:sz w:val="20"/>
          <w:szCs w:val="20"/>
          <w:lang w:eastAsia="es-CO"/>
        </w:rPr>
        <w:t xml:space="preserve">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w:t>
      </w:r>
      <w:r w:rsidRPr="00B54967">
        <w:rPr>
          <w:rFonts w:ascii="Verdana" w:eastAsia="Times New Roman" w:hAnsi="Verdana" w:cs="Arial"/>
          <w:bCs/>
          <w:sz w:val="20"/>
          <w:szCs w:val="20"/>
          <w:lang w:eastAsia="es-CO"/>
        </w:rPr>
        <w:lastRenderedPageBreak/>
        <w:t>una ley de garantías debe permitir que, en el debate democrático, sean las ideas y las propuestas las que definan el ascenso al poder, y no el músculo económico de los que se lo disputan (…)”</w:t>
      </w:r>
      <w:r w:rsidRPr="00B54967">
        <w:rPr>
          <w:rFonts w:ascii="Verdana" w:hAnsi="Verdana" w:cs="Arial"/>
          <w:sz w:val="20"/>
          <w:szCs w:val="20"/>
          <w:vertAlign w:val="superscript"/>
        </w:rPr>
        <w:footnoteReference w:id="7"/>
      </w:r>
      <w:r w:rsidRPr="00B54967">
        <w:rPr>
          <w:rFonts w:ascii="Verdana" w:eastAsia="Times New Roman" w:hAnsi="Verdana" w:cs="Arial"/>
          <w:bCs/>
          <w:sz w:val="20"/>
          <w:szCs w:val="20"/>
          <w:lang w:eastAsia="es-CO"/>
        </w:rPr>
        <w:t xml:space="preserve">. </w:t>
      </w:r>
      <w:bookmarkStart w:id="2" w:name="_Hlk78818186"/>
    </w:p>
    <w:p w14:paraId="3393CE84" w14:textId="77777777" w:rsidR="00B54967" w:rsidRPr="00B54967" w:rsidRDefault="00B54967" w:rsidP="00B54967">
      <w:pPr>
        <w:spacing w:after="120" w:line="276" w:lineRule="auto"/>
        <w:ind w:firstLine="709"/>
        <w:jc w:val="both"/>
        <w:rPr>
          <w:rFonts w:ascii="Verdana" w:eastAsia="Times New Roman" w:hAnsi="Verdana" w:cs="Arial"/>
          <w:bCs/>
          <w:lang w:eastAsia="es-CO"/>
        </w:rPr>
      </w:pPr>
      <w:r w:rsidRPr="00B54967">
        <w:rPr>
          <w:rFonts w:ascii="Verdana" w:eastAsia="Times New Roman" w:hAnsi="Verdana" w:cs="Arial"/>
          <w:bCs/>
          <w:lang w:eastAsia="es-CO"/>
        </w:rPr>
        <w:t xml:space="preserve">En este contexto, la Ley de Garantías Electorales establece el marco jurídico para el desarrollo de las elecciones, procurando condiciones de igualdad y transparencia para los aspirantes. Paralelamente, incluye restricciones en el actuar de los servidores públicos, evitando interferencias en la contienda electoral, así como la posible desviación de recursos públicos en aspiraciones electorales. </w:t>
      </w:r>
      <w:bookmarkEnd w:id="2"/>
      <w:r w:rsidRPr="00B54967">
        <w:rPr>
          <w:rFonts w:ascii="Verdana" w:eastAsia="Times New Roman" w:hAnsi="Verdana" w:cs="Arial"/>
          <w:bCs/>
          <w:lang w:eastAsia="es-CO"/>
        </w:rPr>
        <w:t xml:space="preserve">Por ello, varias de las disposiciones de la Ley 996 de 2005, al contener normas prohibitivas, no admiten una interpretación amplia, sino que deben interpretarse restrictivamente. </w:t>
      </w:r>
    </w:p>
    <w:p w14:paraId="48666B5B" w14:textId="77777777" w:rsidR="00B54967" w:rsidRPr="00B54967" w:rsidRDefault="00B54967" w:rsidP="00B54967">
      <w:pPr>
        <w:spacing w:after="0" w:line="276" w:lineRule="auto"/>
        <w:ind w:firstLine="709"/>
        <w:jc w:val="both"/>
        <w:rPr>
          <w:rFonts w:ascii="Verdana" w:eastAsia="Times New Roman" w:hAnsi="Verdana" w:cs="Arial"/>
          <w:bCs/>
          <w:lang w:eastAsia="es-CO"/>
        </w:rPr>
      </w:pPr>
      <w:r w:rsidRPr="00B54967">
        <w:rPr>
          <w:rFonts w:ascii="Verdana" w:eastAsia="Times New Roman" w:hAnsi="Verdana" w:cs="Arial"/>
          <w:bCs/>
          <w:lang w:eastAsia="es-CO"/>
        </w:rPr>
        <w:t>En efecto, la Sala de Consulta y Servicio Civil del Consejo de Estado al analizar la referida Ley, precisó lo siguiente:</w:t>
      </w:r>
    </w:p>
    <w:p w14:paraId="1C314DE3" w14:textId="77777777" w:rsidR="00B54967" w:rsidRPr="00B54967" w:rsidRDefault="00B54967" w:rsidP="00B54967">
      <w:pPr>
        <w:spacing w:after="0" w:line="240" w:lineRule="auto"/>
        <w:ind w:firstLine="709"/>
        <w:jc w:val="both"/>
        <w:rPr>
          <w:rFonts w:ascii="Verdana" w:eastAsia="Times New Roman" w:hAnsi="Verdana" w:cs="Arial"/>
          <w:bCs/>
          <w:lang w:eastAsia="es-CO"/>
        </w:rPr>
      </w:pPr>
    </w:p>
    <w:p w14:paraId="2A85D069" w14:textId="77777777" w:rsidR="00B54967" w:rsidRPr="00B54967" w:rsidRDefault="00B54967" w:rsidP="00B54967">
      <w:pPr>
        <w:spacing w:after="0" w:line="240" w:lineRule="auto"/>
        <w:ind w:left="709" w:right="709"/>
        <w:jc w:val="both"/>
        <w:rPr>
          <w:rFonts w:ascii="Verdana" w:eastAsia="Times New Roman" w:hAnsi="Verdana" w:cs="Arial"/>
          <w:bCs/>
          <w:sz w:val="20"/>
          <w:szCs w:val="20"/>
          <w:lang w:eastAsia="es-CO"/>
        </w:rPr>
      </w:pPr>
      <w:r w:rsidRPr="00B54967">
        <w:rPr>
          <w:rFonts w:ascii="Verdana" w:eastAsia="Times New Roman" w:hAnsi="Verdana" w:cs="Arial"/>
          <w:bCs/>
          <w:sz w:val="20"/>
          <w:szCs w:val="20"/>
          <w:lang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6A9928E7" w14:textId="77777777" w:rsidR="00B54967" w:rsidRPr="00B54967" w:rsidRDefault="00B54967" w:rsidP="00B54967">
      <w:pPr>
        <w:spacing w:after="0" w:line="240" w:lineRule="auto"/>
        <w:ind w:left="709" w:right="709"/>
        <w:jc w:val="both"/>
        <w:rPr>
          <w:rFonts w:ascii="Verdana" w:eastAsia="Times New Roman" w:hAnsi="Verdana" w:cs="Arial"/>
          <w:bCs/>
          <w:sz w:val="20"/>
          <w:szCs w:val="20"/>
          <w:lang w:eastAsia="es-CO"/>
        </w:rPr>
      </w:pPr>
    </w:p>
    <w:p w14:paraId="10C3212E" w14:textId="77777777" w:rsidR="00B54967" w:rsidRPr="00B54967" w:rsidRDefault="00B54967" w:rsidP="00B54967">
      <w:pPr>
        <w:spacing w:after="0" w:line="240" w:lineRule="auto"/>
        <w:ind w:left="709" w:right="709"/>
        <w:jc w:val="both"/>
        <w:rPr>
          <w:rFonts w:ascii="Verdana" w:eastAsia="Times New Roman" w:hAnsi="Verdana" w:cs="Arial"/>
          <w:bCs/>
          <w:sz w:val="20"/>
          <w:szCs w:val="20"/>
          <w:lang w:eastAsia="es-CO"/>
        </w:rPr>
      </w:pPr>
      <w:r w:rsidRPr="00B54967">
        <w:rPr>
          <w:rFonts w:ascii="Verdana" w:eastAsia="Times New Roman" w:hAnsi="Verdana" w:cs="Arial"/>
          <w:bCs/>
          <w:sz w:val="20"/>
          <w:szCs w:val="20"/>
          <w:lang w:eastAsia="es-CO"/>
        </w:rPr>
        <w:t>La jurisprudencia de la Corte Constitucional</w:t>
      </w:r>
      <w:r w:rsidRPr="00B54967">
        <w:rPr>
          <w:rFonts w:ascii="Verdana" w:eastAsia="Times New Roman" w:hAnsi="Verdana" w:cs="Arial"/>
          <w:bCs/>
          <w:sz w:val="20"/>
          <w:szCs w:val="20"/>
          <w:vertAlign w:val="superscript"/>
          <w:lang w:eastAsia="es-CO"/>
        </w:rPr>
        <w:footnoteReference w:id="8"/>
      </w:r>
      <w:r w:rsidRPr="00B54967">
        <w:rPr>
          <w:rFonts w:ascii="Verdana" w:eastAsia="Times New Roman" w:hAnsi="Verdana" w:cs="Arial"/>
          <w:bCs/>
          <w:sz w:val="20"/>
          <w:szCs w:val="20"/>
          <w:lang w:eastAsia="es-CO"/>
        </w:rPr>
        <w:t> y del Consejo de Estado</w:t>
      </w:r>
      <w:r w:rsidRPr="00B54967">
        <w:rPr>
          <w:rFonts w:ascii="Verdana" w:eastAsia="Times New Roman" w:hAnsi="Verdana" w:cs="Arial"/>
          <w:bCs/>
          <w:sz w:val="20"/>
          <w:szCs w:val="20"/>
          <w:vertAlign w:val="superscript"/>
          <w:lang w:eastAsia="es-CO"/>
        </w:rPr>
        <w:footnoteReference w:id="9"/>
      </w:r>
      <w:r w:rsidRPr="00B54967">
        <w:rPr>
          <w:rFonts w:ascii="Verdana" w:eastAsia="Times New Roman" w:hAnsi="Verdana" w:cs="Arial"/>
          <w:bCs/>
          <w:sz w:val="20"/>
          <w:szCs w:val="20"/>
          <w:lang w:eastAsia="es-CO"/>
        </w:rPr>
        <w:t xml:space="preserve">,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w:t>
      </w:r>
      <w:r w:rsidRPr="00B54967">
        <w:rPr>
          <w:rFonts w:ascii="Verdana" w:eastAsia="Times New Roman" w:hAnsi="Verdana" w:cs="Arial"/>
          <w:bCs/>
          <w:sz w:val="20"/>
          <w:szCs w:val="20"/>
          <w:lang w:eastAsia="es-CO"/>
        </w:rPr>
        <w:lastRenderedPageBreak/>
        <w:t>o capacidad de obrar, sobrepasar sus precisos términos comporta el desconocimiento de la voluntad del legislador”</w:t>
      </w:r>
      <w:r w:rsidRPr="00B54967">
        <w:rPr>
          <w:rFonts w:ascii="Verdana" w:eastAsia="Times New Roman" w:hAnsi="Verdana" w:cs="Arial"/>
          <w:bCs/>
          <w:sz w:val="20"/>
          <w:szCs w:val="20"/>
          <w:vertAlign w:val="superscript"/>
          <w:lang w:eastAsia="es-CO"/>
        </w:rPr>
        <w:footnoteReference w:id="10"/>
      </w:r>
      <w:r w:rsidRPr="00B54967">
        <w:rPr>
          <w:rFonts w:ascii="Verdana" w:eastAsia="Times New Roman" w:hAnsi="Verdana" w:cs="Arial"/>
          <w:bCs/>
          <w:sz w:val="20"/>
          <w:szCs w:val="20"/>
          <w:lang w:eastAsia="es-CO"/>
        </w:rPr>
        <w:t>.</w:t>
      </w:r>
    </w:p>
    <w:p w14:paraId="28DC8D79" w14:textId="77777777" w:rsidR="00B54967" w:rsidRPr="00B54967" w:rsidRDefault="00B54967" w:rsidP="00B54967">
      <w:pPr>
        <w:spacing w:after="120" w:line="276" w:lineRule="auto"/>
        <w:ind w:firstLine="709"/>
        <w:jc w:val="both"/>
        <w:rPr>
          <w:rFonts w:ascii="Verdana" w:eastAsia="Arial" w:hAnsi="Verdana" w:cs="Arial"/>
          <w:lang w:val="es-ES" w:eastAsia="es-ES" w:bidi="es-ES"/>
        </w:rPr>
      </w:pPr>
      <w:r w:rsidRPr="00B54967">
        <w:rPr>
          <w:rFonts w:ascii="Verdana" w:eastAsia="Times New Roman" w:hAnsi="Verdana" w:cs="Arial"/>
          <w:bCs/>
          <w:lang w:eastAsia="es-CO"/>
        </w:rPr>
        <w:t>De</w:t>
      </w:r>
      <w:r w:rsidRPr="00B54967">
        <w:rPr>
          <w:rFonts w:ascii="Verdana" w:eastAsia="Arial" w:hAnsi="Verdana" w:cs="Arial"/>
          <w:lang w:val="es-ES" w:eastAsia="es-ES" w:bidi="es-ES"/>
        </w:rPr>
        <w:t xml:space="preserve"> conformidad con lo anterior, </w:t>
      </w:r>
      <w:bookmarkStart w:id="3" w:name="_Hlk77236098"/>
      <w:r w:rsidRPr="00B54967">
        <w:rPr>
          <w:rFonts w:ascii="Verdana" w:eastAsia="Arial" w:hAnsi="Verdana" w:cs="Arial"/>
          <w:lang w:val="es-ES" w:eastAsia="es-ES" w:bidi="es-ES"/>
        </w:rPr>
        <w:t xml:space="preserve">la Ley de Garantías Electorales fijó una serie de regulaciones y prohibiciones dirigidas a los servidores públicos. Así, con la 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w:t>
      </w:r>
    </w:p>
    <w:p w14:paraId="302C116E" w14:textId="77777777" w:rsidR="00B54967" w:rsidRPr="00B54967" w:rsidRDefault="00B54967" w:rsidP="00B54967">
      <w:pPr>
        <w:spacing w:after="120" w:line="276" w:lineRule="auto"/>
        <w:ind w:firstLine="709"/>
        <w:jc w:val="both"/>
        <w:rPr>
          <w:rFonts w:ascii="Verdana" w:eastAsia="Arial" w:hAnsi="Verdana" w:cs="Arial"/>
          <w:lang w:val="es-ES" w:eastAsia="es-ES" w:bidi="es-ES"/>
        </w:rPr>
      </w:pPr>
      <w:r w:rsidRPr="00B54967">
        <w:rPr>
          <w:rFonts w:ascii="Verdana" w:eastAsia="Arial" w:hAnsi="Verdana" w:cs="Arial"/>
          <w:lang w:val="es-ES" w:eastAsia="es-ES" w:bidi="es-ES"/>
        </w:rPr>
        <w:t>Específicamente, las restricciones consagradas en la citada Ley se dirigen a dos (2) tipos de campañas electorales claramente diferenciadas: las presidenciales y las demás que se adelanten para la elección de los demás cargos de elección popular, tanto a nivel nacional como a nivel territorial.</w:t>
      </w:r>
      <w:bookmarkEnd w:id="3"/>
    </w:p>
    <w:p w14:paraId="25A584D3" w14:textId="77777777" w:rsidR="00B54967" w:rsidRPr="00B54967" w:rsidRDefault="00B54967" w:rsidP="00B54967">
      <w:pPr>
        <w:spacing w:after="120" w:line="276" w:lineRule="auto"/>
        <w:ind w:firstLine="709"/>
        <w:jc w:val="both"/>
        <w:rPr>
          <w:rFonts w:ascii="Verdana" w:eastAsia="Calibri" w:hAnsi="Verdana" w:cs="Arial"/>
        </w:rPr>
      </w:pPr>
      <w:r w:rsidRPr="00B54967">
        <w:rPr>
          <w:rFonts w:ascii="Verdana" w:eastAsia="Calibri" w:hAnsi="Verdana" w:cs="Arial"/>
        </w:rPr>
        <w:t xml:space="preserve">Por un lado, </w:t>
      </w:r>
      <w:r w:rsidRPr="00B54967">
        <w:rPr>
          <w:rFonts w:ascii="Verdana" w:eastAsia="Calibri" w:hAnsi="Verdana" w:cs="Arial"/>
          <w:i/>
        </w:rPr>
        <w:t>el artículo 33</w:t>
      </w:r>
      <w:r w:rsidRPr="00B54967">
        <w:rPr>
          <w:rFonts w:ascii="Verdana" w:eastAsia="Calibri" w:hAnsi="Verdana" w:cs="Arial"/>
        </w:rPr>
        <w:t xml:space="preserve"> de la Ley 996 de 2005 prohíbe “</w:t>
      </w:r>
      <w:r w:rsidRPr="00B54967">
        <w:rPr>
          <w:rFonts w:ascii="Verdana" w:eastAsia="Calibri" w:hAnsi="Verdana" w:cs="Arial"/>
          <w:bCs/>
        </w:rPr>
        <w:t xml:space="preserve">(…) </w:t>
      </w:r>
      <w:r w:rsidRPr="00B54967">
        <w:rPr>
          <w:rFonts w:ascii="Verdana" w:eastAsia="Calibri" w:hAnsi="Verdana" w:cs="Arial"/>
        </w:rPr>
        <w:t>la contratación directa por parte de todos los entes del Estado</w:t>
      </w:r>
      <w:r w:rsidRPr="00B54967">
        <w:rPr>
          <w:rFonts w:ascii="Verdana" w:eastAsia="Calibri" w:hAnsi="Verdana" w:cs="Arial"/>
          <w:bCs/>
        </w:rPr>
        <w:t>”</w:t>
      </w:r>
      <w:r w:rsidRPr="00B54967">
        <w:rPr>
          <w:rFonts w:ascii="Verdana" w:eastAsia="Calibri" w:hAnsi="Verdana" w:cs="Arial"/>
        </w:rPr>
        <w:t xml:space="preserve"> durante los cuatro (4) meses anteriores a las elecciones presidenciales, salvo </w:t>
      </w:r>
      <w:r w:rsidRPr="00B54967">
        <w:rPr>
          <w:rFonts w:ascii="Verdana" w:eastAsia="Calibri" w:hAnsi="Verdana" w:cs="Arial"/>
          <w:bCs/>
        </w:rPr>
        <w:t xml:space="preserve">“(…) </w:t>
      </w:r>
      <w:r w:rsidRPr="00B54967">
        <w:rPr>
          <w:rFonts w:ascii="Verdana" w:eastAsia="Calibri" w:hAnsi="Verdana" w:cs="Arial"/>
        </w:rPr>
        <w:t>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B54967">
        <w:rPr>
          <w:rFonts w:ascii="Verdana" w:eastAsia="Calibri" w:hAnsi="Verdana" w:cs="Arial"/>
          <w:bCs/>
        </w:rPr>
        <w:t>”</w:t>
      </w:r>
      <w:r w:rsidRPr="00B54967">
        <w:rPr>
          <w:rFonts w:ascii="Verdana" w:eastAsia="Calibri" w:hAnsi="Verdana" w:cs="Arial"/>
          <w:bCs/>
          <w:vertAlign w:val="superscript"/>
        </w:rPr>
        <w:footnoteReference w:id="11"/>
      </w:r>
      <w:r w:rsidRPr="00B54967">
        <w:rPr>
          <w:rFonts w:ascii="Verdana" w:eastAsia="Calibri" w:hAnsi="Verdana" w:cs="Arial"/>
        </w:rPr>
        <w:t>.</w:t>
      </w:r>
    </w:p>
    <w:p w14:paraId="59E560A7" w14:textId="77777777" w:rsidR="00B54967" w:rsidRPr="00B54967" w:rsidRDefault="00B54967" w:rsidP="00B54967">
      <w:pPr>
        <w:widowControl w:val="0"/>
        <w:autoSpaceDE w:val="0"/>
        <w:autoSpaceDN w:val="0"/>
        <w:spacing w:after="120" w:line="276" w:lineRule="auto"/>
        <w:ind w:firstLine="709"/>
        <w:jc w:val="both"/>
        <w:rPr>
          <w:rFonts w:ascii="Verdana" w:eastAsia="Arial" w:hAnsi="Verdana" w:cs="Arial"/>
          <w:lang w:val="es-ES" w:eastAsia="es-ES" w:bidi="es-ES"/>
        </w:rPr>
      </w:pPr>
      <w:r w:rsidRPr="00B54967">
        <w:rPr>
          <w:rFonts w:ascii="Verdana" w:eastAsia="Calibri" w:hAnsi="Verdana" w:cs="Arial"/>
        </w:rPr>
        <w:t xml:space="preserve">Por otro lado, </w:t>
      </w:r>
      <w:r w:rsidRPr="00B54967">
        <w:rPr>
          <w:rFonts w:ascii="Verdana" w:eastAsia="Calibri" w:hAnsi="Verdana" w:cs="Arial"/>
          <w:i/>
        </w:rPr>
        <w:t xml:space="preserve">el parágrafo del artículo 38 </w:t>
      </w:r>
      <w:r w:rsidRPr="00B54967">
        <w:rPr>
          <w:rFonts w:ascii="Verdana" w:eastAsia="Calibri" w:hAnsi="Verdana" w:cs="Arial"/>
        </w:rPr>
        <w:t xml:space="preserve">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w:t>
      </w:r>
      <w:r w:rsidRPr="00B54967">
        <w:rPr>
          <w:rFonts w:ascii="Verdana" w:eastAsia="Calibri" w:hAnsi="Verdana" w:cs="Arial"/>
          <w:bCs/>
        </w:rPr>
        <w:t xml:space="preserve">“(…) </w:t>
      </w:r>
      <w:r w:rsidRPr="00B54967">
        <w:rPr>
          <w:rFonts w:ascii="Verdana" w:eastAsia="Calibri" w:hAnsi="Verdana" w:cs="Arial"/>
        </w:rPr>
        <w:t xml:space="preserve">celebrar convenios interadministrativos para la ejecución de recursos públicos, ni participar, promover y destinar recursos públicos de las entidades a su cargo, como tampoco de las que participen como </w:t>
      </w:r>
      <w:r w:rsidRPr="00B54967">
        <w:rPr>
          <w:rFonts w:ascii="Verdana" w:eastAsia="Calibri" w:hAnsi="Verdana" w:cs="Arial"/>
        </w:rPr>
        <w:lastRenderedPageBreak/>
        <w:t>miembros de sus juntas directivas, en o para reuniones de carácter proselitista</w:t>
      </w:r>
      <w:r w:rsidRPr="00B54967">
        <w:rPr>
          <w:rFonts w:ascii="Verdana" w:eastAsia="Calibri" w:hAnsi="Verdana" w:cs="Arial"/>
          <w:bCs/>
        </w:rPr>
        <w:t>”</w:t>
      </w:r>
      <w:r w:rsidRPr="00B54967">
        <w:rPr>
          <w:rFonts w:ascii="Verdana" w:eastAsia="Calibri" w:hAnsi="Verdana" w:cs="Arial"/>
          <w:bCs/>
          <w:vertAlign w:val="superscript"/>
        </w:rPr>
        <w:footnoteReference w:id="12"/>
      </w:r>
      <w:r w:rsidRPr="00B54967">
        <w:rPr>
          <w:rFonts w:ascii="Verdana" w:eastAsia="Calibri" w:hAnsi="Verdana" w:cs="Arial"/>
        </w:rPr>
        <w:t>.</w:t>
      </w:r>
      <w:r w:rsidRPr="00B54967">
        <w:rPr>
          <w:rFonts w:ascii="Verdana" w:eastAsia="Arial" w:hAnsi="Verdana" w:cs="Arial"/>
          <w:lang w:val="es-ES" w:eastAsia="es-ES" w:bidi="es-ES"/>
        </w:rPr>
        <w:t xml:space="preserve"> </w:t>
      </w:r>
    </w:p>
    <w:p w14:paraId="4FB9C3E1" w14:textId="77777777" w:rsidR="00B54967" w:rsidRPr="00B54967" w:rsidRDefault="00B54967" w:rsidP="00B54967">
      <w:pPr>
        <w:widowControl w:val="0"/>
        <w:autoSpaceDE w:val="0"/>
        <w:autoSpaceDN w:val="0"/>
        <w:spacing w:after="0" w:line="276" w:lineRule="auto"/>
        <w:ind w:firstLine="709"/>
        <w:jc w:val="both"/>
        <w:rPr>
          <w:rFonts w:ascii="Verdana" w:eastAsia="Arial" w:hAnsi="Verdana" w:cs="Arial"/>
          <w:lang w:val="es-ES" w:eastAsia="es-ES" w:bidi="es-ES"/>
        </w:rPr>
      </w:pPr>
      <w:r w:rsidRPr="00B54967">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 que:</w:t>
      </w:r>
    </w:p>
    <w:p w14:paraId="249C6715" w14:textId="77777777" w:rsidR="00B54967" w:rsidRPr="00B54967" w:rsidRDefault="00B54967" w:rsidP="00B5496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1F2B4A07" w14:textId="77777777" w:rsidR="00B54967" w:rsidRPr="00B54967" w:rsidRDefault="00B54967" w:rsidP="00B5496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r w:rsidRPr="00B54967">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6" w:name="_Hlk76109421"/>
      <w:r w:rsidRPr="00B54967">
        <w:rPr>
          <w:rFonts w:ascii="Verdana" w:eastAsia="Arial" w:hAnsi="Verdana" w:cs="Arial"/>
          <w:sz w:val="20"/>
          <w:szCs w:val="20"/>
          <w:lang w:val="es-ES" w:eastAsia="es-ES" w:bidi="es-ES"/>
        </w:rPr>
        <w:t>se integran parcialmente</w:t>
      </w:r>
      <w:bookmarkEnd w:id="6"/>
      <w:r w:rsidRPr="00B54967">
        <w:rPr>
          <w:rFonts w:ascii="Verdana" w:eastAsia="Arial" w:hAnsi="Verdana" w:cs="Arial"/>
          <w:sz w:val="20"/>
          <w:szCs w:val="20"/>
          <w:lang w:val="es-ES" w:eastAsia="es-ES" w:bidi="es-ES"/>
        </w:rPr>
        <w:t xml:space="preserve">, lo que permite concluir que en periodo preelectoral para elección de Presidente de la República, a todos los entes del Estado, incluidos los territoriales, se aplican las restricciones de los artículos 32 y 33 con sus excepciones, así como las del parágrafo del artículo 38. </w:t>
      </w:r>
      <w:r w:rsidRPr="00B54967">
        <w:rPr>
          <w:rFonts w:ascii="Verdana" w:eastAsia="Arial" w:hAnsi="Verdana" w:cs="Arial"/>
          <w:bCs/>
          <w:sz w:val="20"/>
          <w:szCs w:val="20"/>
          <w:lang w:val="es-ES" w:eastAsia="es-ES" w:bidi="es-ES"/>
        </w:rPr>
        <w:t>En cambio, para elecciones en general, excluyendo las correspondientes a Presidente de la República, a las autoridades territoriales allí mencionadas sólo se aplican las restricciones contenidas en el parágrafo del artículo 38</w:t>
      </w:r>
      <w:r w:rsidRPr="00B54967">
        <w:rPr>
          <w:rFonts w:ascii="Verdana" w:eastAsia="Arial" w:hAnsi="Verdana" w:cs="Arial"/>
          <w:sz w:val="20"/>
          <w:szCs w:val="20"/>
          <w:lang w:val="es-ES" w:eastAsia="es-ES" w:bidi="es-ES"/>
        </w:rPr>
        <w:t>”</w:t>
      </w:r>
      <w:r w:rsidRPr="00B54967">
        <w:rPr>
          <w:rFonts w:ascii="Verdana" w:eastAsia="Arial" w:hAnsi="Verdana" w:cs="Arial"/>
          <w:sz w:val="20"/>
          <w:szCs w:val="20"/>
          <w:vertAlign w:val="superscript"/>
          <w:lang w:val="es-ES" w:eastAsia="es-ES" w:bidi="es-ES"/>
        </w:rPr>
        <w:footnoteReference w:id="13"/>
      </w:r>
      <w:r w:rsidRPr="00B54967">
        <w:rPr>
          <w:rFonts w:ascii="Verdana" w:eastAsia="Arial" w:hAnsi="Verdana" w:cs="Arial"/>
          <w:sz w:val="20"/>
          <w:szCs w:val="20"/>
          <w:lang w:val="es-ES" w:eastAsia="es-ES" w:bidi="es-ES"/>
        </w:rPr>
        <w:t>.</w:t>
      </w:r>
    </w:p>
    <w:p w14:paraId="5AC3A743" w14:textId="77777777" w:rsidR="00B54967" w:rsidRPr="00B54967" w:rsidRDefault="00B54967" w:rsidP="00B54967">
      <w:pPr>
        <w:widowControl w:val="0"/>
        <w:autoSpaceDE w:val="0"/>
        <w:autoSpaceDN w:val="0"/>
        <w:spacing w:after="0" w:line="240" w:lineRule="auto"/>
        <w:ind w:left="709" w:right="709"/>
        <w:jc w:val="both"/>
        <w:rPr>
          <w:rFonts w:ascii="Verdana" w:eastAsia="Arial" w:hAnsi="Verdana" w:cs="Arial"/>
          <w:sz w:val="20"/>
          <w:szCs w:val="20"/>
          <w:lang w:val="es-ES" w:eastAsia="es-ES" w:bidi="es-ES"/>
        </w:rPr>
      </w:pPr>
    </w:p>
    <w:p w14:paraId="1EF4A270" w14:textId="77777777" w:rsidR="00B54967" w:rsidRPr="00B54967" w:rsidRDefault="00B54967" w:rsidP="00B54967">
      <w:pPr>
        <w:spacing w:after="120" w:line="276" w:lineRule="auto"/>
        <w:ind w:firstLine="709"/>
        <w:jc w:val="both"/>
        <w:rPr>
          <w:rFonts w:ascii="Verdana" w:eastAsia="Arial" w:hAnsi="Verdana" w:cs="Arial"/>
          <w:lang w:val="es-ES" w:eastAsia="es-ES" w:bidi="es-ES"/>
        </w:rPr>
      </w:pPr>
      <w:r w:rsidRPr="00B54967">
        <w:rPr>
          <w:rFonts w:ascii="Verdana" w:eastAsia="Arial" w:hAnsi="Verdana" w:cs="Arial"/>
          <w:lang w:val="es-ES" w:eastAsia="es-ES" w:bidi="es-ES"/>
        </w:rPr>
        <w:t>De conformidad con lo anterior</w:t>
      </w:r>
      <w:bookmarkStart w:id="7" w:name="_Hlk99438241"/>
      <w:r w:rsidRPr="00B54967">
        <w:rPr>
          <w:rFonts w:ascii="Verdana" w:eastAsia="Arial" w:hAnsi="Verdana" w:cs="Arial"/>
          <w:lang w:val="es-ES" w:eastAsia="es-ES" w:bidi="es-ES"/>
        </w:rPr>
        <w:t xml:space="preserve">, </w:t>
      </w:r>
      <w:bookmarkStart w:id="8" w:name="_Hlk77236420"/>
      <w:bookmarkStart w:id="9" w:name="_Hlk78818435"/>
      <w:bookmarkStart w:id="10" w:name="_Hlk75780333"/>
      <w:r w:rsidRPr="00B54967">
        <w:rPr>
          <w:rFonts w:ascii="Verdana" w:eastAsia="Arial" w:hAnsi="Verdana" w:cs="Arial"/>
          <w:lang w:val="es-ES" w:eastAsia="es-ES" w:bidi="es-ES"/>
        </w:rPr>
        <w:t xml:space="preserve">la Ley 996 de 2005 establece dos (2) tipos de restricciones en materia de contratación, las cuales coinciden parcialmente. </w:t>
      </w:r>
      <w:r w:rsidRPr="00B54967">
        <w:rPr>
          <w:rFonts w:ascii="Verdana" w:eastAsia="Arial" w:hAnsi="Verdana" w:cs="Arial"/>
          <w:i/>
          <w:iCs/>
          <w:lang w:val="es-ES" w:eastAsia="es-ES" w:bidi="es-ES"/>
        </w:rPr>
        <w:t>En primer lugar</w:t>
      </w:r>
      <w:r w:rsidRPr="00B54967">
        <w:rPr>
          <w:rFonts w:ascii="Verdana" w:eastAsia="Arial" w:hAnsi="Verdana" w:cs="Arial"/>
          <w:lang w:val="es-ES" w:eastAsia="es-ES" w:bidi="es-ES"/>
        </w:rPr>
        <w:t xml:space="preserve">, la del artículo 33 que opera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semanas más tarde, en la que sólo participarán los dos candidatos que hubieren obtenido las votaciones </w:t>
      </w:r>
      <w:r w:rsidRPr="00B54967">
        <w:rPr>
          <w:rFonts w:ascii="Verdana" w:eastAsia="Arial" w:hAnsi="Verdana" w:cs="Arial"/>
          <w:lang w:val="es-ES" w:eastAsia="es-ES" w:bidi="es-ES"/>
        </w:rPr>
        <w:lastRenderedPageBreak/>
        <w:t xml:space="preserve">más altas, de conformidad con el artículo 190 de la Constitución Política. Para estos efectos, la restricción se extenderá hasta la fecha en la que se realice la segunda vuelta. </w:t>
      </w:r>
      <w:r w:rsidRPr="00B54967">
        <w:rPr>
          <w:rFonts w:ascii="Verdana" w:eastAsia="Arial" w:hAnsi="Verdana" w:cs="Arial"/>
          <w:i/>
          <w:iCs/>
          <w:lang w:val="es-ES" w:eastAsia="es-ES" w:bidi="es-ES"/>
        </w:rPr>
        <w:t>En segundo lugar</w:t>
      </w:r>
      <w:r w:rsidRPr="00B54967">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7"/>
    <w:bookmarkEnd w:id="9"/>
    <w:p w14:paraId="2A086826" w14:textId="77777777" w:rsidR="00B54967" w:rsidRPr="00B54967" w:rsidRDefault="00B54967" w:rsidP="00B54967">
      <w:pPr>
        <w:spacing w:after="120" w:line="276" w:lineRule="auto"/>
        <w:ind w:firstLine="709"/>
        <w:jc w:val="both"/>
        <w:rPr>
          <w:rFonts w:ascii="Verdana" w:eastAsia="Arial" w:hAnsi="Verdana" w:cs="Arial"/>
          <w:lang w:val="es-ES" w:eastAsia="es-ES" w:bidi="es-ES"/>
        </w:rPr>
      </w:pPr>
      <w:r w:rsidRPr="00B54967">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14:paraId="1F903BE5" w14:textId="77777777" w:rsidR="00B54967" w:rsidRPr="00B54967" w:rsidRDefault="00B54967" w:rsidP="00B54967">
      <w:pPr>
        <w:spacing w:after="120" w:line="276" w:lineRule="auto"/>
        <w:ind w:firstLine="709"/>
        <w:jc w:val="both"/>
        <w:rPr>
          <w:rFonts w:ascii="Verdana" w:eastAsia="Times New Roman" w:hAnsi="Verdana" w:cs="Arial"/>
          <w:bCs/>
          <w:lang w:val="es-ES" w:eastAsia="es-CO"/>
        </w:rPr>
      </w:pPr>
      <w:r w:rsidRPr="00B54967">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  </w:t>
      </w:r>
    </w:p>
    <w:p w14:paraId="7B567B9B" w14:textId="77777777" w:rsidR="00B54967" w:rsidRPr="00B54967" w:rsidRDefault="00B54967" w:rsidP="00B54967">
      <w:pPr>
        <w:spacing w:after="120" w:line="276" w:lineRule="auto"/>
        <w:ind w:firstLine="709"/>
        <w:jc w:val="both"/>
        <w:rPr>
          <w:rFonts w:ascii="Verdana" w:eastAsia="Arial" w:hAnsi="Verdana" w:cs="Arial"/>
          <w:lang w:val="es-ES" w:eastAsia="es-ES" w:bidi="es-ES"/>
        </w:rPr>
      </w:pPr>
      <w:r w:rsidRPr="00B54967">
        <w:rPr>
          <w:rFonts w:ascii="Verdana" w:eastAsia="Times New Roman" w:hAnsi="Verdana" w:cs="Arial"/>
          <w:bCs/>
          <w:lang w:val="es-ES" w:eastAsia="es-CO"/>
        </w:rPr>
        <w:t xml:space="preserve">Teniendo en cuenta lo anterior, a continuación, se hará un análisis sobre los dos tipos de restricciones, con el fin de determinar si los convenios interadministrativos o los convenios o contratos celebrados con entidades sin ánimo de lucro se enmarcan en alguno de los supuestos que señalan las normas. </w:t>
      </w:r>
    </w:p>
    <w:p w14:paraId="3FD0EB16" w14:textId="77777777" w:rsidR="00B54967" w:rsidRPr="00B54967" w:rsidRDefault="00B54967" w:rsidP="00B54967">
      <w:pPr>
        <w:spacing w:after="0" w:line="276" w:lineRule="auto"/>
        <w:ind w:firstLine="709"/>
        <w:jc w:val="both"/>
        <w:rPr>
          <w:rFonts w:ascii="Verdana" w:hAnsi="Verdana" w:cs="Arial"/>
          <w:lang w:eastAsia="es-CO"/>
        </w:rPr>
      </w:pPr>
      <w:r w:rsidRPr="00B54967">
        <w:rPr>
          <w:rFonts w:ascii="Verdana" w:hAnsi="Verdana" w:cs="Arial"/>
          <w:bCs/>
          <w:lang w:eastAsia="x-none"/>
        </w:rPr>
        <w:t xml:space="preserve">En primer lugar, el ámbito material de la prohibición contenida </w:t>
      </w:r>
      <w:bookmarkStart w:id="11" w:name="_Hlk75628761"/>
      <w:r w:rsidRPr="00B54967">
        <w:rPr>
          <w:rFonts w:ascii="Verdana" w:hAnsi="Verdana" w:cs="Arial"/>
          <w:bCs/>
          <w:lang w:eastAsia="x-none"/>
        </w:rPr>
        <w:t xml:space="preserve">en el artículo 33 de la Ley 996 de 2005 </w:t>
      </w:r>
      <w:bookmarkEnd w:id="11"/>
      <w:r w:rsidRPr="00B54967">
        <w:rPr>
          <w:rFonts w:ascii="Verdana" w:hAnsi="Verdana" w:cs="Arial"/>
          <w:bCs/>
          <w:lang w:eastAsia="x-none"/>
        </w:rPr>
        <w:t xml:space="preserve">está delimitado por la expresión </w:t>
      </w:r>
      <w:r w:rsidRPr="00B54967">
        <w:rPr>
          <w:rFonts w:ascii="Verdana" w:eastAsia="Calibri" w:hAnsi="Verdana" w:cs="Arial"/>
          <w:bCs/>
          <w:i/>
          <w:iCs/>
          <w:sz w:val="20"/>
          <w:szCs w:val="20"/>
        </w:rPr>
        <w:t>“</w:t>
      </w:r>
      <w:r w:rsidRPr="00B54967">
        <w:rPr>
          <w:rFonts w:ascii="Verdana" w:hAnsi="Verdana" w:cs="Arial"/>
          <w:bCs/>
          <w:i/>
          <w:iCs/>
          <w:lang w:eastAsia="x-none"/>
        </w:rPr>
        <w:t>queda prohibida la contratación directa</w:t>
      </w:r>
      <w:r w:rsidRPr="00B54967">
        <w:rPr>
          <w:rFonts w:ascii="Verdana" w:hAnsi="Verdana" w:cs="Arial"/>
          <w:sz w:val="20"/>
          <w:szCs w:val="20"/>
        </w:rPr>
        <w:t>”</w:t>
      </w:r>
      <w:r w:rsidRPr="00B54967">
        <w:rPr>
          <w:rFonts w:ascii="Verdana" w:hAnsi="Verdana" w:cs="Arial"/>
          <w:bCs/>
          <w:lang w:eastAsia="x-none"/>
        </w:rPr>
        <w:t>.</w:t>
      </w:r>
      <w:r w:rsidRPr="00B54967">
        <w:rPr>
          <w:rFonts w:ascii="Verdana" w:hAnsi="Verdana" w:cs="Arial"/>
          <w:lang w:eastAsia="es-CO"/>
        </w:rPr>
        <w:t xml:space="preserve"> A propósito de esta restricción de la Ley de Garantías Electorales, la Sala de Consulta y Servicio Civil del Consejo de Estado ha considerado que:</w:t>
      </w:r>
    </w:p>
    <w:p w14:paraId="4CD7758C" w14:textId="77777777" w:rsidR="00B54967" w:rsidRPr="00B54967" w:rsidRDefault="00B54967" w:rsidP="00B54967">
      <w:pPr>
        <w:spacing w:after="0" w:line="240" w:lineRule="auto"/>
        <w:ind w:left="709" w:right="709"/>
        <w:jc w:val="both"/>
        <w:rPr>
          <w:rFonts w:ascii="Verdana" w:hAnsi="Verdana" w:cs="Arial"/>
          <w:sz w:val="20"/>
          <w:szCs w:val="20"/>
        </w:rPr>
      </w:pPr>
      <w:r w:rsidRPr="00B54967">
        <w:rPr>
          <w:rFonts w:ascii="Verdana" w:hAnsi="Verdana" w:cs="Arial"/>
          <w:sz w:val="20"/>
          <w:szCs w:val="20"/>
        </w:rPr>
        <w:lastRenderedPageBreak/>
        <w:t>“(…) 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B54967">
        <w:rPr>
          <w:rFonts w:ascii="Verdana" w:hAnsi="Verdana" w:cs="Arial"/>
          <w:sz w:val="20"/>
          <w:szCs w:val="20"/>
          <w:vertAlign w:val="superscript"/>
          <w:lang w:eastAsia="es-CO"/>
        </w:rPr>
        <w:footnoteReference w:id="14"/>
      </w:r>
      <w:r w:rsidRPr="00B54967">
        <w:rPr>
          <w:rFonts w:ascii="Verdana" w:hAnsi="Verdana" w:cs="Arial"/>
          <w:sz w:val="20"/>
          <w:szCs w:val="20"/>
        </w:rPr>
        <w:t>.</w:t>
      </w:r>
    </w:p>
    <w:p w14:paraId="00C54B70" w14:textId="77777777" w:rsidR="00B54967" w:rsidRPr="00B54967" w:rsidRDefault="00B54967" w:rsidP="00B54967">
      <w:pPr>
        <w:spacing w:after="0" w:line="240" w:lineRule="auto"/>
        <w:ind w:left="709" w:right="709"/>
        <w:jc w:val="both"/>
        <w:rPr>
          <w:rFonts w:ascii="Verdana" w:hAnsi="Verdana" w:cs="Arial"/>
          <w:sz w:val="20"/>
          <w:szCs w:val="20"/>
        </w:rPr>
      </w:pPr>
      <w:r w:rsidRPr="00B54967">
        <w:rPr>
          <w:rFonts w:ascii="Verdana" w:hAnsi="Verdana" w:cs="Arial"/>
          <w:sz w:val="20"/>
          <w:szCs w:val="20"/>
        </w:rPr>
        <w:t xml:space="preserve">Esta Sala ha entendido </w:t>
      </w:r>
      <w:proofErr w:type="gramStart"/>
      <w:r w:rsidRPr="00B54967">
        <w:rPr>
          <w:rFonts w:ascii="Verdana" w:hAnsi="Verdana" w:cs="Arial"/>
          <w:sz w:val="20"/>
          <w:szCs w:val="20"/>
        </w:rPr>
        <w:t>que</w:t>
      </w:r>
      <w:proofErr w:type="gramEnd"/>
      <w:r w:rsidRPr="00B54967">
        <w:rPr>
          <w:rFonts w:ascii="Verdana" w:hAnsi="Verdana" w:cs="Arial"/>
          <w:sz w:val="20"/>
          <w:szCs w:val="20"/>
        </w:rPr>
        <w:t xml:space="preserve"> para los efectos de la ley de garantías, y dada su finalidad, el enunciado ´contratación directa´ es sinónimo </w:t>
      </w:r>
      <w:bookmarkStart w:id="12" w:name="_Hlk75741738"/>
      <w:r w:rsidRPr="00B54967">
        <w:rPr>
          <w:rFonts w:ascii="Verdana" w:hAnsi="Verdana" w:cs="Arial"/>
          <w:sz w:val="20"/>
          <w:szCs w:val="20"/>
        </w:rPr>
        <w:t xml:space="preserve">de cualquier sistema que no implique convocatoria pública y posibilidad de pluralidad de oferentes, </w:t>
      </w:r>
      <w:bookmarkEnd w:id="12"/>
      <w:r w:rsidRPr="00B54967">
        <w:rPr>
          <w:rFonts w:ascii="Verdana" w:hAnsi="Verdana" w:cs="Arial"/>
          <w:sz w:val="20"/>
          <w:szCs w:val="20"/>
        </w:rPr>
        <w:t>y que, además, no necesariamente hace referencia al procedimiento especial regulado por la ley de contratación estatal, sino a cualquier otro que prescinda de un proceso de licitación pública o concurso</w:t>
      </w:r>
      <w:r w:rsidRPr="00B54967">
        <w:rPr>
          <w:rFonts w:ascii="Verdana" w:hAnsi="Verdana" w:cs="Arial"/>
          <w:sz w:val="20"/>
          <w:szCs w:val="20"/>
          <w:vertAlign w:val="superscript"/>
        </w:rPr>
        <w:footnoteReference w:id="15"/>
      </w:r>
      <w:r w:rsidRPr="00B54967">
        <w:rPr>
          <w:rFonts w:ascii="Verdana" w:hAnsi="Verdana" w:cs="Arial"/>
          <w:sz w:val="20"/>
          <w:szCs w:val="20"/>
          <w:vertAlign w:val="superscript"/>
        </w:rPr>
        <w:t>.</w:t>
      </w:r>
      <w:r w:rsidRPr="00B54967">
        <w:rPr>
          <w:rFonts w:ascii="Verdana"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B54967">
        <w:rPr>
          <w:rFonts w:ascii="Verdana" w:hAnsi="Verdana" w:cs="Arial"/>
          <w:sz w:val="20"/>
          <w:szCs w:val="20"/>
          <w:vertAlign w:val="superscript"/>
          <w:lang w:eastAsia="es-CO"/>
        </w:rPr>
        <w:footnoteReference w:id="16"/>
      </w:r>
      <w:r w:rsidRPr="00B54967">
        <w:rPr>
          <w:rFonts w:ascii="Verdana" w:hAnsi="Verdana" w:cs="Arial"/>
          <w:sz w:val="20"/>
          <w:szCs w:val="20"/>
        </w:rPr>
        <w:t>.</w:t>
      </w:r>
    </w:p>
    <w:p w14:paraId="2BEBB76B" w14:textId="77777777" w:rsidR="00B54967" w:rsidRPr="00B54967" w:rsidRDefault="00B54967" w:rsidP="00B54967">
      <w:pPr>
        <w:spacing w:after="0" w:line="240" w:lineRule="auto"/>
        <w:ind w:left="709" w:right="709"/>
        <w:jc w:val="both"/>
        <w:rPr>
          <w:rFonts w:ascii="Verdana" w:hAnsi="Verdana" w:cs="Arial"/>
        </w:rPr>
      </w:pPr>
    </w:p>
    <w:p w14:paraId="0CE85267" w14:textId="77777777" w:rsidR="00B54967" w:rsidRPr="00B54967" w:rsidRDefault="00B54967" w:rsidP="00B54967">
      <w:pPr>
        <w:spacing w:after="120" w:line="276" w:lineRule="auto"/>
        <w:ind w:firstLine="709"/>
        <w:jc w:val="both"/>
        <w:rPr>
          <w:rFonts w:ascii="Verdana" w:hAnsi="Verdana" w:cs="Arial"/>
          <w:bCs/>
          <w:lang w:eastAsia="x-none"/>
        </w:rPr>
      </w:pPr>
      <w:bookmarkStart w:id="14" w:name="_Hlk94521748"/>
      <w:r w:rsidRPr="00B54967">
        <w:rPr>
          <w:rFonts w:ascii="Verdana" w:hAnsi="Verdana" w:cs="Arial"/>
          <w:lang w:eastAsia="x-none"/>
        </w:rPr>
        <w:t xml:space="preserve">De acuerdo con el citado concepto, la prohibición del artículo 33 de la Ley de Garantías Electorales se refiere a </w:t>
      </w:r>
      <w:r w:rsidRPr="00B54967">
        <w:rPr>
          <w:rFonts w:ascii="Verdana" w:hAnsi="Verdana" w:cs="Arial"/>
          <w:lang w:eastAsia="en-GB"/>
        </w:rPr>
        <w:t>“</w:t>
      </w:r>
      <w:r w:rsidRPr="00B54967">
        <w:rPr>
          <w:rFonts w:ascii="Verdana" w:hAnsi="Verdana" w:cs="Arial"/>
          <w:lang w:eastAsia="x-none"/>
        </w:rPr>
        <w:t>cualquier sistema que no implique convocatoria pública y posibilidad de pluralidad de oferentes</w:t>
      </w:r>
      <w:r w:rsidRPr="00B54967">
        <w:rPr>
          <w:rFonts w:ascii="Verdana" w:hAnsi="Verdana" w:cs="Arial"/>
          <w:lang w:eastAsia="en-GB"/>
        </w:rPr>
        <w:t>”</w:t>
      </w:r>
      <w:r w:rsidRPr="00B54967">
        <w:rPr>
          <w:rFonts w:ascii="Verdana" w:hAnsi="Verdana" w:cs="Arial"/>
          <w:lang w:eastAsia="x-none"/>
        </w:rPr>
        <w:t xml:space="preserve">, por lo que excluye las demás modalidades de contratación previstas en la Ley 1150 de 2007, es decir, la licitación pública, la selección abreviada, el concurso de méritos </w:t>
      </w:r>
      <w:r w:rsidRPr="00B54967">
        <w:rPr>
          <w:rFonts w:ascii="Verdana" w:hAnsi="Verdana" w:cs="Arial"/>
          <w:lang w:val="es-ES_tradnl" w:eastAsia="x-none"/>
        </w:rPr>
        <w:t>y la mínima cuantía</w:t>
      </w:r>
      <w:r w:rsidRPr="00B54967" w:rsidDel="00A85D9F">
        <w:rPr>
          <w:rFonts w:ascii="Verdana" w:hAnsi="Verdana" w:cs="Arial"/>
          <w:lang w:eastAsia="x-none"/>
        </w:rPr>
        <w:t xml:space="preserve"> </w:t>
      </w:r>
      <w:r w:rsidRPr="00B54967">
        <w:rPr>
          <w:rFonts w:ascii="Verdana" w:hAnsi="Verdana" w:cs="Arial"/>
          <w:lang w:eastAsia="x-none"/>
        </w:rPr>
        <w:t>u otros procedimientos abiertos y competitivos previstos en normas especiales. Esta posición es congruente con la expedición de la Ley 1150 de 2007 que, entre otras reformas, introdujo la selección abreviada, rediseñó el concurso de méritos</w:t>
      </w:r>
      <w:r w:rsidRPr="00B54967">
        <w:rPr>
          <w:rFonts w:ascii="Verdana" w:hAnsi="Verdana" w:cs="Arial"/>
          <w:vertAlign w:val="superscript"/>
          <w:lang w:val="en-GB" w:eastAsia="x-none"/>
        </w:rPr>
        <w:footnoteReference w:id="17"/>
      </w:r>
      <w:r w:rsidRPr="00B54967">
        <w:rPr>
          <w:rFonts w:ascii="Verdana" w:hAnsi="Verdana" w:cs="Arial"/>
          <w:lang w:eastAsia="x-none"/>
        </w:rPr>
        <w:t xml:space="preserve"> y sistematizó las causales de contratación directa</w:t>
      </w:r>
      <w:r w:rsidRPr="00B54967">
        <w:rPr>
          <w:rFonts w:ascii="Verdana" w:hAnsi="Verdana" w:cs="Arial"/>
          <w:vertAlign w:val="superscript"/>
          <w:lang w:val="en-GB" w:eastAsia="x-none"/>
        </w:rPr>
        <w:footnoteReference w:id="18"/>
      </w:r>
      <w:r w:rsidRPr="00B54967">
        <w:rPr>
          <w:rFonts w:ascii="Verdana" w:hAnsi="Verdana" w:cs="Arial"/>
          <w:lang w:eastAsia="x-none"/>
        </w:rPr>
        <w:t>, además lo es con la posterior creación de la modalidad de mínima cuantía establecida actualmente en el numeral 5 del artículo 2 de la Ley 1150 de 2007, de acuerdo con las modificaciones realizadas por leyes posteriores.</w:t>
      </w:r>
    </w:p>
    <w:bookmarkEnd w:id="14"/>
    <w:p w14:paraId="47ADDFD2" w14:textId="77777777" w:rsidR="00B54967" w:rsidRPr="00B54967" w:rsidRDefault="00B54967" w:rsidP="00B54967">
      <w:pPr>
        <w:spacing w:after="120" w:line="276" w:lineRule="auto"/>
        <w:ind w:firstLine="709"/>
        <w:jc w:val="both"/>
        <w:rPr>
          <w:rFonts w:ascii="Verdana" w:hAnsi="Verdana" w:cs="Arial"/>
          <w:lang w:eastAsia="x-none"/>
        </w:rPr>
      </w:pPr>
      <w:r w:rsidRPr="00B54967">
        <w:rPr>
          <w:rFonts w:ascii="Verdana" w:hAnsi="Verdana" w:cs="Arial"/>
          <w:lang w:eastAsia="x-none"/>
        </w:rPr>
        <w:lastRenderedPageBreak/>
        <w:t xml:space="preserve">De esta forma, con fundamento en la evolución de la normativa sobre la contratación pública, se ha depurado la noción de </w:t>
      </w:r>
      <w:r w:rsidRPr="00B54967">
        <w:rPr>
          <w:rFonts w:ascii="Verdana" w:hAnsi="Verdana" w:cs="Arial"/>
          <w:i/>
          <w:lang w:eastAsia="en-GB"/>
        </w:rPr>
        <w:t>“</w:t>
      </w:r>
      <w:r w:rsidRPr="00B54967">
        <w:rPr>
          <w:rFonts w:ascii="Verdana" w:hAnsi="Verdana" w:cs="Arial"/>
          <w:i/>
          <w:iCs/>
          <w:lang w:eastAsia="x-none"/>
        </w:rPr>
        <w:t>contratación directa</w:t>
      </w:r>
      <w:r w:rsidRPr="00B54967">
        <w:rPr>
          <w:rFonts w:ascii="Verdana" w:hAnsi="Verdana" w:cs="Arial"/>
          <w:lang w:eastAsia="en-GB"/>
        </w:rPr>
        <w:t>”</w:t>
      </w:r>
      <w:r w:rsidRPr="00B54967">
        <w:rPr>
          <w:rFonts w:ascii="Verdana" w:hAnsi="Verdana" w:cs="Arial"/>
          <w:lang w:eastAsia="x-none"/>
        </w:rPr>
        <w:t>, precisando el Consejo de Estado –en el concepto citado– que, “aun cuando no coincide única y exactamente con la regulación que de dicho sistema de selección hace el artículo 2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B54967">
        <w:rPr>
          <w:rFonts w:ascii="Verdana" w:hAnsi="Verdana" w:cs="Arial"/>
          <w:vertAlign w:val="superscript"/>
          <w:lang w:val="en-GB" w:eastAsia="x-none"/>
        </w:rPr>
        <w:footnoteReference w:id="19"/>
      </w:r>
      <w:r w:rsidRPr="00B54967">
        <w:rPr>
          <w:rFonts w:ascii="Verdana" w:hAnsi="Verdana" w:cs="Arial"/>
          <w:lang w:eastAsia="x-none"/>
        </w:rPr>
        <w:t>, han establecido sistemas de contratación que implican convocatoria pública y participación de varios oferentes</w:t>
      </w:r>
      <w:r w:rsidRPr="00B54967">
        <w:rPr>
          <w:rFonts w:ascii="Verdana" w:hAnsi="Verdana" w:cs="Arial"/>
          <w:lang w:eastAsia="en-GB"/>
        </w:rPr>
        <w:t>”</w:t>
      </w:r>
      <w:r w:rsidRPr="00B54967">
        <w:rPr>
          <w:rFonts w:ascii="Verdana" w:hAnsi="Verdana" w:cs="Arial"/>
          <w:lang w:eastAsia="x-none"/>
        </w:rPr>
        <w:t>.</w:t>
      </w:r>
    </w:p>
    <w:p w14:paraId="7470456D" w14:textId="77777777" w:rsidR="00B54967" w:rsidRPr="00B54967" w:rsidRDefault="00B54967" w:rsidP="00B54967">
      <w:pPr>
        <w:spacing w:after="120" w:line="276" w:lineRule="auto"/>
        <w:ind w:firstLine="709"/>
        <w:jc w:val="both"/>
        <w:rPr>
          <w:rFonts w:ascii="Verdana" w:hAnsi="Verdana" w:cs="Arial"/>
          <w:bCs/>
          <w:lang w:eastAsia="es-CO"/>
        </w:rPr>
      </w:pPr>
      <w:r w:rsidRPr="00B54967">
        <w:rPr>
          <w:rFonts w:ascii="Verdana" w:hAnsi="Verdana" w:cs="Arial"/>
          <w:bCs/>
          <w:lang w:eastAsia="x-none"/>
        </w:rPr>
        <w:t>E</w:t>
      </w:r>
      <w:r w:rsidRPr="00B54967">
        <w:rPr>
          <w:rFonts w:ascii="Verdana" w:hAnsi="Verdana" w:cs="Arial"/>
          <w:lang w:eastAsia="x-none"/>
        </w:rPr>
        <w:t xml:space="preserve">n efecto, vale la pena mencionar que, </w:t>
      </w:r>
      <w:bookmarkStart w:id="15" w:name="_Hlk75636073"/>
      <w:r w:rsidRPr="00B54967">
        <w:rPr>
          <w:rFonts w:ascii="Verdana" w:hAnsi="Verdana" w:cs="Arial"/>
          <w:lang w:eastAsia="x-none"/>
        </w:rPr>
        <w:t xml:space="preserve">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sidRPr="00B54967">
        <w:rPr>
          <w:rFonts w:ascii="Verdana" w:hAnsi="Verdana" w:cs="Arial"/>
          <w:i/>
          <w:iCs/>
          <w:lang w:eastAsia="x-none"/>
        </w:rPr>
        <w:t>“contratación directa</w:t>
      </w:r>
      <w:r w:rsidRPr="00B54967">
        <w:rPr>
          <w:rFonts w:ascii="Verdana" w:hAnsi="Verdana" w:cs="Arial"/>
          <w:lang w:eastAsia="x-none"/>
        </w:rPr>
        <w:t>”, es que la convocatoria para inscribirse en forma previa se haga de manera pública, y que se permita la participación de una pluralidad de oferentes</w:t>
      </w:r>
      <w:bookmarkEnd w:id="15"/>
      <w:r w:rsidRPr="00B54967">
        <w:rPr>
          <w:rFonts w:ascii="Verdana" w:hAnsi="Verdana" w:cs="Arial"/>
          <w:vertAlign w:val="superscript"/>
          <w:lang w:eastAsia="x-none"/>
        </w:rPr>
        <w:footnoteReference w:id="20"/>
      </w:r>
      <w:r w:rsidRPr="00B54967">
        <w:rPr>
          <w:rFonts w:ascii="Verdana" w:hAnsi="Verdana" w:cs="Arial"/>
          <w:lang w:eastAsia="x-none"/>
        </w:rPr>
        <w:t xml:space="preserve">. </w:t>
      </w:r>
    </w:p>
    <w:p w14:paraId="12246FB8" w14:textId="77777777" w:rsidR="00B54967" w:rsidRPr="00B54967" w:rsidRDefault="00B54967" w:rsidP="00B54967">
      <w:pPr>
        <w:spacing w:after="120" w:line="276" w:lineRule="auto"/>
        <w:ind w:firstLine="709"/>
        <w:jc w:val="both"/>
        <w:rPr>
          <w:rFonts w:ascii="Verdana" w:hAnsi="Verdana" w:cs="Arial"/>
          <w:bCs/>
          <w:lang w:eastAsia="es-CO"/>
        </w:rPr>
      </w:pPr>
      <w:r w:rsidRPr="00B54967">
        <w:rPr>
          <w:rFonts w:ascii="Verdana" w:hAnsi="Verdana" w:cs="Arial"/>
          <w:bCs/>
          <w:lang w:eastAsia="es-CO"/>
        </w:rPr>
        <w:t xml:space="preserve">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 sino también frente a las entidades que tengan un régimen especial de contratación. No obstante, también se observa que luego de la expedición de Ley 1150 de 2007, el Consejo de Estado comenzó a delimitar con mayor precisión el término de </w:t>
      </w:r>
      <w:r w:rsidRPr="00B54967">
        <w:rPr>
          <w:rFonts w:ascii="Verdana" w:hAnsi="Verdana" w:cs="Arial"/>
          <w:bCs/>
          <w:i/>
          <w:iCs/>
          <w:lang w:eastAsia="es-CO"/>
        </w:rPr>
        <w:t>“contratación directa”.</w:t>
      </w:r>
    </w:p>
    <w:p w14:paraId="1ADEA8E8" w14:textId="77777777" w:rsidR="00B54967" w:rsidRPr="00B54967" w:rsidRDefault="00B54967" w:rsidP="00B54967">
      <w:pPr>
        <w:spacing w:after="120" w:line="276" w:lineRule="auto"/>
        <w:ind w:firstLine="709"/>
        <w:jc w:val="both"/>
        <w:rPr>
          <w:rFonts w:ascii="Verdana" w:hAnsi="Verdana" w:cs="Arial"/>
          <w:vertAlign w:val="superscript"/>
          <w:lang w:eastAsia="x-none"/>
        </w:rPr>
      </w:pPr>
      <w:bookmarkStart w:id="16" w:name="_Hlk78818796"/>
      <w:r w:rsidRPr="00B54967">
        <w:rPr>
          <w:rFonts w:ascii="Verdana" w:hAnsi="Verdana" w:cs="Arial"/>
          <w:bCs/>
          <w:lang w:eastAsia="x-none"/>
        </w:rPr>
        <w:t xml:space="preserve"> Así las cosas, ha de entenderse que, para los efectos de la Ley de Garantías Electorales y, en particular, para la prohibición o restricción temporal contenida en su artículo 33, “contratación directa” es cualquier sistema de </w:t>
      </w:r>
      <w:r w:rsidRPr="00B54967">
        <w:rPr>
          <w:rFonts w:ascii="Verdana" w:hAnsi="Verdana" w:cs="Arial"/>
          <w:bCs/>
          <w:lang w:eastAsia="x-none"/>
        </w:rPr>
        <w:lastRenderedPageBreak/>
        <w:t>selección o procedimiento de contratación utilizado por las entidades estatales que no incluya la convocatoria pública en alguna de sus etapas, ni permita la participación de una pluralidad de oferentes</w:t>
      </w:r>
      <w:r w:rsidRPr="00B54967">
        <w:rPr>
          <w:rFonts w:ascii="Verdana" w:hAnsi="Verdana" w:cs="Arial"/>
          <w:vertAlign w:val="superscript"/>
          <w:lang w:eastAsia="x-none"/>
        </w:rPr>
        <w:footnoteReference w:id="21"/>
      </w:r>
      <w:r w:rsidRPr="00B54967">
        <w:rPr>
          <w:rFonts w:ascii="Verdana" w:hAnsi="Verdana" w:cs="Arial"/>
          <w:lang w:eastAsia="x-none"/>
        </w:rPr>
        <w:t>.</w:t>
      </w:r>
      <w:r w:rsidRPr="00B54967">
        <w:rPr>
          <w:rFonts w:ascii="Verdana" w:hAnsi="Verdana" w:cs="Arial"/>
          <w:vertAlign w:val="superscript"/>
          <w:lang w:eastAsia="x-none"/>
        </w:rPr>
        <w:t xml:space="preserve"> </w:t>
      </w:r>
    </w:p>
    <w:p w14:paraId="6B02958F" w14:textId="77777777" w:rsidR="00B54967" w:rsidRPr="00B54967" w:rsidRDefault="00B54967" w:rsidP="00B54967">
      <w:pPr>
        <w:spacing w:after="120" w:line="276" w:lineRule="auto"/>
        <w:ind w:firstLine="709"/>
        <w:jc w:val="both"/>
        <w:rPr>
          <w:rFonts w:ascii="Verdana" w:hAnsi="Verdana" w:cs="Arial"/>
          <w:lang w:eastAsia="x-none"/>
        </w:rPr>
      </w:pPr>
      <w:r w:rsidRPr="00B54967">
        <w:rPr>
          <w:rFonts w:ascii="Verdana" w:hAnsi="Verdana" w:cs="Arial"/>
          <w:lang w:eastAsia="x-none"/>
        </w:rPr>
        <w:t>Lo anterior supone que, en aquellos procedimientos que contemplen convocatorias o invitaciones para contratar que se limiten a aquellas personas que previamente se hayan inscrito en una lista de precalificados o de interesados, lo determinante para considerar que dicho sistema no constituye “contratación directa”, es que la convocatoria para inscribirse en forma previa se haga de manera pública, y que se permita la participación de una pluralidad de oferentes. Esta circunstancia no se extiende a la contratación directa aplicable en algunos regímenes especiales con listas de precalificados, ya que a efecto de que no se configure la contratación directa, la selección del futuro contratista debe darse en términos de competencia</w:t>
      </w:r>
      <w:r w:rsidRPr="00B54967">
        <w:rPr>
          <w:rFonts w:ascii="Verdana" w:hAnsi="Verdana" w:cs="Arial"/>
          <w:vertAlign w:val="superscript"/>
          <w:lang w:eastAsia="x-none"/>
        </w:rPr>
        <w:footnoteReference w:id="22"/>
      </w:r>
      <w:r w:rsidRPr="00B54967">
        <w:rPr>
          <w:rFonts w:ascii="Verdana" w:hAnsi="Verdana" w:cs="Arial"/>
          <w:lang w:eastAsia="x-none"/>
        </w:rPr>
        <w:t>.</w:t>
      </w:r>
    </w:p>
    <w:bookmarkEnd w:id="16"/>
    <w:p w14:paraId="5D308183" w14:textId="77777777" w:rsidR="00B54967" w:rsidRPr="00B54967" w:rsidRDefault="00B54967" w:rsidP="00B54967">
      <w:pPr>
        <w:spacing w:after="120" w:line="276" w:lineRule="auto"/>
        <w:ind w:firstLine="709"/>
        <w:jc w:val="both"/>
        <w:rPr>
          <w:rFonts w:ascii="Verdana" w:hAnsi="Verdana" w:cs="Arial"/>
          <w:lang w:eastAsia="x-none"/>
        </w:rPr>
      </w:pPr>
      <w:r w:rsidRPr="00B54967">
        <w:rPr>
          <w:rFonts w:ascii="Verdana" w:hAnsi="Verdana" w:cs="Arial"/>
          <w:bCs/>
          <w:lang w:eastAsia="x-none"/>
        </w:rPr>
        <w:t>De lo anterior se desprende que la restricción aplica, sin perjuicio de las excepciones establecidas en la misma ley, para celebrar cualquier contrato de forma directa, esto es, sin que exista un proceso abierto y competitivo.</w:t>
      </w:r>
      <w:r w:rsidRPr="00B54967">
        <w:rPr>
          <w:rFonts w:ascii="Verdana" w:hAnsi="Verdana" w:cs="Arial"/>
          <w:lang w:eastAsia="x-none"/>
        </w:rPr>
        <w:t xml:space="preserve"> Por tanto, no son materia de la prohibición las demás modalidades de selección previstas en la Ley 1150 de 2007, es decir, la licitación pública, el concurso de méritos, la selección abreviada y la contratación de mínima cuantía, razón por la cual en el período preelectoral de que trata la disposición las entidades públicas pueden seguir contratando bajo estos sistemas.</w:t>
      </w:r>
    </w:p>
    <w:p w14:paraId="28E57474" w14:textId="77777777" w:rsidR="00B54967" w:rsidRPr="00B54967" w:rsidRDefault="00B54967" w:rsidP="00B54967">
      <w:pPr>
        <w:spacing w:after="120" w:line="276" w:lineRule="auto"/>
        <w:ind w:firstLine="709"/>
        <w:jc w:val="both"/>
        <w:rPr>
          <w:rFonts w:ascii="Verdana" w:hAnsi="Verdana" w:cs="Arial"/>
          <w:bCs/>
          <w:color w:val="000000" w:themeColor="text1"/>
          <w:lang w:val="es-MX" w:eastAsia="x-none"/>
        </w:rPr>
      </w:pPr>
      <w:r w:rsidRPr="00B54967">
        <w:rPr>
          <w:rFonts w:ascii="Verdana" w:hAnsi="Verdana" w:cs="Arial"/>
          <w:color w:val="000000" w:themeColor="text1"/>
          <w:lang w:val="es-MX"/>
        </w:rPr>
        <w:t>Ahora bien, en relación con los destinatarios de las restricciones, el artículo 33 de la Ley 996 de 2005 los señala expresamente, en el sentido de que son “</w:t>
      </w:r>
      <w:r w:rsidRPr="00B54967">
        <w:rPr>
          <w:rFonts w:ascii="Verdana" w:hAnsi="Verdana" w:cs="Arial"/>
          <w:i/>
          <w:color w:val="000000" w:themeColor="text1"/>
          <w:lang w:val="es-MX"/>
        </w:rPr>
        <w:t>todos los entes del Estado</w:t>
      </w:r>
      <w:r w:rsidRPr="00B54967">
        <w:rPr>
          <w:rFonts w:ascii="Verdana" w:hAnsi="Verdana" w:cs="Arial"/>
          <w:color w:val="000000" w:themeColor="text1"/>
          <w:lang w:val="es-MX"/>
        </w:rPr>
        <w:t xml:space="preserve">”, expresión que contempla a los diferentes organismos o entidades autorizadas por la ley para suscribir contratos. En efecto, tal como lo ha sostenido el Consejo de Estado, el vocablo” todos” utilizado por el legislador comprende 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 </w:t>
      </w:r>
    </w:p>
    <w:p w14:paraId="05B15545" w14:textId="77777777" w:rsidR="00B54967" w:rsidRPr="00B54967" w:rsidRDefault="00B54967" w:rsidP="00B54967">
      <w:pPr>
        <w:spacing w:after="120" w:line="276" w:lineRule="auto"/>
        <w:ind w:firstLine="709"/>
        <w:jc w:val="both"/>
        <w:rPr>
          <w:rFonts w:ascii="Verdana" w:hAnsi="Verdana" w:cs="Arial"/>
          <w:color w:val="000000" w:themeColor="text1"/>
          <w:lang w:val="es-MX"/>
        </w:rPr>
      </w:pPr>
      <w:r w:rsidRPr="00B54967">
        <w:rPr>
          <w:rFonts w:ascii="Verdana" w:hAnsi="Verdana" w:cs="Arial"/>
          <w:color w:val="000000" w:themeColor="text1"/>
          <w:lang w:val="es-MX"/>
        </w:rPr>
        <w:lastRenderedPageBreak/>
        <w:t>La Sala de Consulta y Servicio Civil del Consejo de Estado, en Concepto 1727 del 20 de febrero de 2006, consideró que el artículo 33 de la Ley 996 de 2005, efectivamente se aplica incluso a las entidades estatales con régimen especial de contratación y que están exceptuadas del ámbito de aplicación del Estatuto General de Contratación de la Administración Pública, como por ejemplo “los prestadores de servicios públicos domiciliarios (empresas de servicios públicos oficiales y empresas industriales y comerciales del Estado) y a los municipios prestadores directos, incluyendo las excepciones contenidas en el segundo inciso de esta norma”</w:t>
      </w:r>
      <w:r w:rsidRPr="00B54967">
        <w:rPr>
          <w:rFonts w:ascii="Verdana" w:hAnsi="Verdana" w:cs="Arial"/>
          <w:color w:val="000000" w:themeColor="text1"/>
          <w:vertAlign w:val="superscript"/>
          <w:lang w:val="es-MX"/>
        </w:rPr>
        <w:footnoteReference w:id="23"/>
      </w:r>
      <w:r w:rsidRPr="00B54967">
        <w:rPr>
          <w:rFonts w:ascii="Verdana" w:hAnsi="Verdana" w:cs="Arial"/>
          <w:color w:val="000000" w:themeColor="text1"/>
          <w:lang w:val="es-MX"/>
        </w:rPr>
        <w:t xml:space="preserve">. </w:t>
      </w:r>
    </w:p>
    <w:p w14:paraId="7F20E458" w14:textId="77777777" w:rsidR="00B54967" w:rsidRPr="00B54967" w:rsidRDefault="00B54967" w:rsidP="00B54967">
      <w:pPr>
        <w:spacing w:after="0" w:line="276" w:lineRule="auto"/>
        <w:ind w:firstLine="709"/>
        <w:jc w:val="both"/>
        <w:rPr>
          <w:rFonts w:ascii="Verdana" w:hAnsi="Verdana" w:cs="Arial"/>
          <w:color w:val="000000" w:themeColor="text1"/>
          <w:lang w:val="es-MX"/>
        </w:rPr>
      </w:pPr>
      <w:r w:rsidRPr="00B54967">
        <w:rPr>
          <w:rFonts w:ascii="Verdana" w:hAnsi="Verdana" w:cs="Arial"/>
          <w:color w:val="000000" w:themeColor="text1"/>
          <w:lang w:val="es-MX"/>
        </w:rPr>
        <w:t>De igual forma, en Concepto con radicado 1738 del 6 de abril de 2006, esa misma Corporación manifestó que “Las restricciones de la Ley de Garantías en materia de contratación directa y celebración de convenios interadministrativos, se aplican a las empresas industriales y comerciales del Estado y a las Sociedades de Economía Mixta, salvo cuando la celebración de un convenio interadministrativo sea ordenada, para ambas partes, por el Legislador”</w:t>
      </w:r>
      <w:r w:rsidRPr="00B54967">
        <w:rPr>
          <w:rFonts w:ascii="Verdana" w:hAnsi="Verdana" w:cs="Arial"/>
          <w:color w:val="000000" w:themeColor="text1"/>
          <w:vertAlign w:val="superscript"/>
          <w:lang w:val="es-MX"/>
        </w:rPr>
        <w:footnoteReference w:id="24"/>
      </w:r>
      <w:r w:rsidRPr="00B54967">
        <w:rPr>
          <w:rFonts w:ascii="Verdana" w:hAnsi="Verdana" w:cs="Arial"/>
          <w:color w:val="000000" w:themeColor="text1"/>
          <w:lang w:val="es-MX"/>
        </w:rPr>
        <w:t>. Además, la Sala de Consulta y Servicio Civil del Consejo de Estado realizó la siguiente distinción, retomando el pronunciamiento de la misma sala del 20 de febrero de 2006, citado anteriormente:</w:t>
      </w:r>
    </w:p>
    <w:p w14:paraId="2BE51196" w14:textId="77777777" w:rsidR="00B54967" w:rsidRPr="00B54967" w:rsidRDefault="00B54967" w:rsidP="00B54967">
      <w:pPr>
        <w:spacing w:after="0" w:line="240" w:lineRule="auto"/>
        <w:ind w:firstLine="709"/>
        <w:jc w:val="both"/>
        <w:rPr>
          <w:rFonts w:ascii="Verdana" w:hAnsi="Verdana" w:cs="Arial"/>
          <w:color w:val="000000" w:themeColor="text1"/>
          <w:lang w:val="es-MX"/>
        </w:rPr>
      </w:pPr>
    </w:p>
    <w:p w14:paraId="0DE066A9" w14:textId="77777777" w:rsidR="00B54967" w:rsidRPr="00B54967" w:rsidRDefault="00B54967" w:rsidP="00B54967">
      <w:pPr>
        <w:spacing w:after="0" w:line="240" w:lineRule="auto"/>
        <w:ind w:left="709" w:right="709"/>
        <w:jc w:val="both"/>
        <w:rPr>
          <w:rFonts w:ascii="Verdana" w:hAnsi="Verdana" w:cs="Arial"/>
          <w:color w:val="000000" w:themeColor="text1"/>
          <w:sz w:val="20"/>
          <w:szCs w:val="20"/>
          <w:lang w:val="es-MX"/>
        </w:rPr>
      </w:pPr>
      <w:r w:rsidRPr="00B54967">
        <w:rPr>
          <w:rFonts w:ascii="Verdana" w:hAnsi="Verdana" w:cs="Arial"/>
          <w:color w:val="000000" w:themeColor="text1"/>
          <w:sz w:val="20"/>
          <w:szCs w:val="20"/>
          <w:lang w:val="es-MX"/>
        </w:rPr>
        <w:t xml:space="preserve">“(…) En el concepto No. 1727 de fecha 20 de febrero de 2006, ésta Sala distinguió dos clases de contratos en relación con las empresas de servicios públicos domiciliarios: unos, en los que la posición de la empresa es la de consumidora de las prestaciones objeto del contrato, que utiliza para la prestación de los servicios a su cargo, y los otros, en los que la empresa entrega esos servicios a los usuarios, conforme a unas reglas uniformes para todos ellos y sin que haya privilegios o tratos desiguales. En los primeros contratos, es claro que la empresa debe adquirir esos </w:t>
      </w:r>
      <w:r w:rsidRPr="00B54967">
        <w:rPr>
          <w:rFonts w:ascii="Verdana" w:hAnsi="Verdana" w:cs="Arial"/>
          <w:color w:val="000000" w:themeColor="text1"/>
          <w:sz w:val="20"/>
          <w:szCs w:val="20"/>
          <w:lang w:val="es-MX"/>
        </w:rPr>
        <w:lastRenderedPageBreak/>
        <w:t>bienes previa licitación pública, según se expuso anteriormente, pero en el segundo caso,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p>
    <w:p w14:paraId="74CF1996" w14:textId="77777777" w:rsidR="00B54967" w:rsidRPr="00B54967" w:rsidRDefault="00B54967" w:rsidP="00B54967">
      <w:pPr>
        <w:spacing w:after="0" w:line="240" w:lineRule="auto"/>
        <w:ind w:left="709" w:right="709"/>
        <w:jc w:val="both"/>
        <w:rPr>
          <w:rFonts w:ascii="Verdana" w:hAnsi="Verdana" w:cs="Arial"/>
          <w:color w:val="000000" w:themeColor="text1"/>
          <w:sz w:val="20"/>
          <w:szCs w:val="20"/>
          <w:lang w:val="es-MX"/>
        </w:rPr>
      </w:pPr>
    </w:p>
    <w:p w14:paraId="48159889" w14:textId="77777777" w:rsidR="00B54967" w:rsidRPr="00B54967" w:rsidRDefault="00B54967" w:rsidP="00B54967">
      <w:pPr>
        <w:spacing w:after="0" w:line="240" w:lineRule="auto"/>
        <w:ind w:left="709" w:right="709"/>
        <w:jc w:val="both"/>
        <w:rPr>
          <w:rFonts w:ascii="Verdana" w:hAnsi="Verdana" w:cs="Arial"/>
          <w:color w:val="000000" w:themeColor="text1"/>
          <w:sz w:val="20"/>
          <w:szCs w:val="20"/>
          <w:lang w:val="es-MX" w:eastAsia="x-none"/>
        </w:rPr>
      </w:pPr>
      <w:r w:rsidRPr="00B54967">
        <w:rPr>
          <w:rFonts w:ascii="Verdana" w:hAnsi="Verdana" w:cs="Arial"/>
          <w:color w:val="000000" w:themeColor="text1"/>
          <w:sz w:val="20"/>
          <w:szCs w:val="20"/>
          <w:lang w:val="es-MX"/>
        </w:rPr>
        <w:t>Aplicando este razonamiento a los establecimientos de crédito, a las sociedades de servicios financieros y a las entidades aseguradoras, encontramos que no pueden adquirir los suministros de bienes y servicios necesarios para la realización de su actividad por contratación directa sino por el mecanismo de la licitación pública, pero es obvio que si una de éstas entidades va a prestar un servicio financiero o de seguros a un particular, lo puede hacer, pues éstos se ofrecen a toda la comunidad en condiciones de igualdad. Si se supusiera que está prohibida su contratación directa, significaría la parálisis de tal actividad de interés público, lo que de ninguna manera es lo querido por la ley 996 de 2005”</w:t>
      </w:r>
      <w:r w:rsidRPr="00B54967">
        <w:rPr>
          <w:rFonts w:ascii="Verdana" w:hAnsi="Verdana" w:cs="Arial"/>
          <w:color w:val="000000" w:themeColor="text1"/>
          <w:sz w:val="20"/>
          <w:szCs w:val="20"/>
          <w:vertAlign w:val="superscript"/>
          <w:lang w:val="es-MX"/>
        </w:rPr>
        <w:footnoteReference w:id="25"/>
      </w:r>
      <w:r w:rsidRPr="00B54967">
        <w:rPr>
          <w:rFonts w:ascii="Verdana" w:hAnsi="Verdana" w:cs="Arial"/>
          <w:color w:val="000000" w:themeColor="text1"/>
          <w:sz w:val="20"/>
          <w:szCs w:val="20"/>
          <w:lang w:val="es-MX" w:eastAsia="x-none"/>
        </w:rPr>
        <w:t>.</w:t>
      </w:r>
    </w:p>
    <w:p w14:paraId="7F89A226" w14:textId="77777777" w:rsidR="00B54967" w:rsidRPr="00B54967" w:rsidRDefault="00B54967" w:rsidP="00B54967">
      <w:pPr>
        <w:spacing w:after="0" w:line="240" w:lineRule="auto"/>
        <w:ind w:firstLine="709"/>
        <w:jc w:val="both"/>
        <w:rPr>
          <w:rFonts w:ascii="Verdana" w:hAnsi="Verdana" w:cs="Arial"/>
          <w:color w:val="000000" w:themeColor="text1"/>
          <w:lang w:val="es-MX"/>
        </w:rPr>
      </w:pPr>
    </w:p>
    <w:p w14:paraId="5E1E7899" w14:textId="77777777" w:rsidR="00B54967" w:rsidRPr="00B54967" w:rsidRDefault="00B54967" w:rsidP="00B54967">
      <w:pPr>
        <w:spacing w:after="120" w:line="276" w:lineRule="auto"/>
        <w:ind w:firstLine="709"/>
        <w:jc w:val="both"/>
        <w:rPr>
          <w:rFonts w:ascii="Verdana" w:hAnsi="Verdana" w:cs="Arial"/>
          <w:color w:val="000000" w:themeColor="text1"/>
          <w:lang w:eastAsia="es-CO"/>
        </w:rPr>
      </w:pPr>
      <w:r w:rsidRPr="00B54967">
        <w:rPr>
          <w:rFonts w:ascii="Verdana" w:hAnsi="Verdana" w:cs="Arial"/>
          <w:color w:val="000000" w:themeColor="text1"/>
          <w:lang w:val="es-MX"/>
        </w:rPr>
        <w:t>De acuerdo con estos pronunciamientos de la Sala de Consulta y Servicio Civil del Consejo de Estado, la prohibición de la contratación directa también aplica frente a las entidades exceptuadas del Estatuto General de Contratación de la Administración Pública y que se rigen en materia contractual por el derecho privado. Sin embargo, señaló que algunas de estas entidades, como sucede con las empresas de servicios públicos domiciliarios, los establecimientos de crédito, las sociedades de servicios financieros y las entidades aseguradoras no 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 a su cargo a nuevas personas, ni dejar de renovar los contratos existentes, pues significaría la parálisis de una actividad propia de la administración, que incluso podría desconocer los derechos fundamentales”</w:t>
      </w:r>
      <w:r w:rsidRPr="00B54967">
        <w:rPr>
          <w:rFonts w:ascii="Verdana" w:hAnsi="Verdana" w:cs="Arial"/>
          <w:color w:val="000000" w:themeColor="text1"/>
          <w:vertAlign w:val="superscript"/>
          <w:lang w:val="es-MX"/>
        </w:rPr>
        <w:footnoteReference w:id="26"/>
      </w:r>
      <w:r w:rsidRPr="00B54967">
        <w:rPr>
          <w:rFonts w:ascii="Verdana" w:hAnsi="Verdana" w:cs="Arial"/>
          <w:color w:val="000000" w:themeColor="text1"/>
          <w:lang w:val="es-MX"/>
        </w:rPr>
        <w:t>.</w:t>
      </w:r>
      <w:r w:rsidRPr="00B54967">
        <w:rPr>
          <w:rFonts w:ascii="Verdana" w:hAnsi="Verdana" w:cs="Arial"/>
          <w:color w:val="000000" w:themeColor="text1"/>
          <w:lang w:eastAsia="es-CO"/>
        </w:rPr>
        <w:t xml:space="preserve"> </w:t>
      </w:r>
    </w:p>
    <w:p w14:paraId="52057BE5" w14:textId="77777777" w:rsidR="00B54967" w:rsidRPr="00B54967" w:rsidRDefault="00B54967" w:rsidP="00B54967">
      <w:pPr>
        <w:spacing w:after="120" w:line="276" w:lineRule="auto"/>
        <w:ind w:firstLine="709"/>
        <w:jc w:val="both"/>
        <w:rPr>
          <w:rFonts w:ascii="Verdana" w:hAnsi="Verdana" w:cs="Arial"/>
          <w:color w:val="000000" w:themeColor="text1"/>
          <w:lang w:eastAsia="es-CO"/>
        </w:rPr>
      </w:pPr>
      <w:r w:rsidRPr="00B54967">
        <w:rPr>
          <w:rFonts w:ascii="Verdana" w:hAnsi="Verdana" w:cs="Arial"/>
          <w:color w:val="000000" w:themeColor="text1"/>
          <w:lang w:eastAsia="es-CO"/>
        </w:rPr>
        <w:t>Conforme los pronunciamientos de la Sala de Consulta y Servicio Civil</w:t>
      </w:r>
      <w:r w:rsidRPr="00B54967">
        <w:rPr>
          <w:rFonts w:ascii="Verdana" w:hAnsi="Verdana" w:cs="Arial"/>
          <w:color w:val="000000" w:themeColor="text1"/>
          <w:lang w:val="es-MX"/>
        </w:rPr>
        <w:t xml:space="preserve">, la restricción prevista en la Ley 996 de 2005 </w:t>
      </w:r>
      <w:r w:rsidRPr="00B54967">
        <w:rPr>
          <w:rFonts w:ascii="Verdana" w:hAnsi="Verdana" w:cs="Arial"/>
          <w:bCs/>
          <w:color w:val="000000" w:themeColor="text1"/>
          <w:lang w:val="es-MX" w:eastAsia="x-none"/>
        </w:rPr>
        <w:t xml:space="preserve">cobija a cualquier entidad pública independiente del régimen jurídico, que pueda mediante la contratación directa </w:t>
      </w:r>
      <w:r w:rsidRPr="00B54967">
        <w:rPr>
          <w:rFonts w:ascii="Verdana" w:hAnsi="Verdana" w:cs="Arial"/>
          <w:bCs/>
          <w:color w:val="000000" w:themeColor="text1"/>
          <w:lang w:val="es-MX" w:eastAsia="x-none"/>
        </w:rPr>
        <w:lastRenderedPageBreak/>
        <w:t xml:space="preserve">romper el equilibrio entre los candidatos en desarrollo de las elecciones presidenciales. </w:t>
      </w:r>
    </w:p>
    <w:p w14:paraId="376ED2C3" w14:textId="77777777" w:rsidR="00B54967" w:rsidRPr="00B54967" w:rsidRDefault="00B54967" w:rsidP="00B54967">
      <w:pPr>
        <w:spacing w:after="120" w:line="276" w:lineRule="auto"/>
        <w:ind w:firstLine="709"/>
        <w:jc w:val="both"/>
        <w:rPr>
          <w:rFonts w:ascii="Verdana" w:hAnsi="Verdana" w:cs="Arial"/>
          <w:bCs/>
          <w:color w:val="000000" w:themeColor="text1"/>
          <w:lang w:val="es-MX" w:eastAsia="x-none"/>
        </w:rPr>
      </w:pPr>
      <w:r w:rsidRPr="00B54967">
        <w:rPr>
          <w:rFonts w:ascii="Verdana" w:hAnsi="Verdana" w:cs="Arial"/>
          <w:color w:val="000000" w:themeColor="text1"/>
          <w:lang w:val="es-MX"/>
        </w:rPr>
        <w:t xml:space="preserve">No existe un supuesto de exoneración a la prohibición por tener un régimen especial de los actos o contratos, pues, la posibilidad de que los entes del Estado utilicen la contratación con fines políticos, esto es, con la intención de influir a los electores y alterar la voluntad popular en las contiendas electorales, puede presentarse tanto en la contratación regulada por la Ley 80 de 1993 como en la regida por normas especiales. </w:t>
      </w:r>
    </w:p>
    <w:p w14:paraId="31986320" w14:textId="77777777" w:rsidR="00B54967" w:rsidRPr="00B54967" w:rsidRDefault="00B54967" w:rsidP="00B54967">
      <w:pPr>
        <w:spacing w:after="120" w:line="276" w:lineRule="auto"/>
        <w:ind w:firstLine="709"/>
        <w:jc w:val="both"/>
        <w:rPr>
          <w:rFonts w:ascii="Verdana" w:eastAsia="Times New Roman" w:hAnsi="Verdana" w:cs="Arial"/>
          <w:bCs/>
          <w:lang w:val="es-ES" w:eastAsia="es-CO" w:bidi="es-ES"/>
        </w:rPr>
      </w:pPr>
      <w:r w:rsidRPr="00B54967">
        <w:rPr>
          <w:rFonts w:ascii="Verdana" w:eastAsia="Times New Roman" w:hAnsi="Verdana" w:cs="Arial"/>
          <w:bCs/>
          <w:lang w:val="es-ES" w:eastAsia="es-CO" w:bidi="es-ES"/>
        </w:rPr>
        <w:t xml:space="preserve">Ahora bien, las entidades públicas, de acuerdo con el inciso final del artículo 33 de la Ley 996 de 2005 –Ley de Garantías Electorales–, y previo análisis de la naturaleza de las actividades que adelantan, podrán realizar procedimientos de selección directa en períodos previos a la contienda electoral por la Presidencia, cuando el contrato a celebrar se enmarquen dentro de algunas de las excepciones consagradas en dicha disposición, esto es: i) la defensa y seguridad del Estado; </w:t>
      </w:r>
      <w:proofErr w:type="spellStart"/>
      <w:r w:rsidRPr="00B54967">
        <w:rPr>
          <w:rFonts w:ascii="Verdana" w:eastAsia="Times New Roman" w:hAnsi="Verdana" w:cs="Arial"/>
          <w:bCs/>
          <w:lang w:val="es-ES" w:eastAsia="es-CO" w:bidi="es-ES"/>
        </w:rPr>
        <w:t>ii</w:t>
      </w:r>
      <w:proofErr w:type="spellEnd"/>
      <w:r w:rsidRPr="00B54967">
        <w:rPr>
          <w:rFonts w:ascii="Verdana" w:eastAsia="Times New Roman" w:hAnsi="Verdana" w:cs="Arial"/>
          <w:bCs/>
          <w:lang w:val="es-ES" w:eastAsia="es-CO" w:bidi="es-ES"/>
        </w:rPr>
        <w:t xml:space="preserve">) los contratos de crédito público; </w:t>
      </w:r>
      <w:proofErr w:type="spellStart"/>
      <w:r w:rsidRPr="00B54967">
        <w:rPr>
          <w:rFonts w:ascii="Verdana" w:eastAsia="Times New Roman" w:hAnsi="Verdana" w:cs="Arial"/>
          <w:bCs/>
          <w:lang w:val="es-ES" w:eastAsia="es-CO" w:bidi="es-ES"/>
        </w:rPr>
        <w:t>iii</w:t>
      </w:r>
      <w:proofErr w:type="spellEnd"/>
      <w:r w:rsidRPr="00B54967">
        <w:rPr>
          <w:rFonts w:ascii="Verdana" w:eastAsia="Times New Roman" w:hAnsi="Verdana" w:cs="Arial"/>
          <w:bCs/>
          <w:lang w:val="es-ES" w:eastAsia="es-CO" w:bidi="es-ES"/>
        </w:rPr>
        <w:t xml:space="preserve">) los requeridos para cubrir las emergencias educativas, sanitarias y desastres; </w:t>
      </w:r>
      <w:proofErr w:type="spellStart"/>
      <w:r w:rsidRPr="00B54967">
        <w:rPr>
          <w:rFonts w:ascii="Verdana" w:eastAsia="Times New Roman" w:hAnsi="Verdana" w:cs="Arial"/>
          <w:bCs/>
          <w:lang w:val="es-ES" w:eastAsia="es-CO" w:bidi="es-ES"/>
        </w:rPr>
        <w:t>iv</w:t>
      </w:r>
      <w:proofErr w:type="spellEnd"/>
      <w:r w:rsidRPr="00B54967">
        <w:rPr>
          <w:rFonts w:ascii="Verdana" w:eastAsia="Times New Roman" w:hAnsi="Verdana" w:cs="Arial"/>
          <w:bCs/>
          <w:lang w:val="es-ES" w:eastAsia="es-CO" w:bidi="es-ES"/>
        </w:rPr>
        <w:t xml:space="preserve">)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w:t>
      </w:r>
    </w:p>
    <w:p w14:paraId="3E1F85C3" w14:textId="77777777" w:rsidR="00B54967" w:rsidRPr="00B54967" w:rsidRDefault="00B54967" w:rsidP="00B54967">
      <w:pPr>
        <w:spacing w:after="120" w:line="276" w:lineRule="auto"/>
        <w:ind w:firstLine="709"/>
        <w:jc w:val="both"/>
        <w:rPr>
          <w:rFonts w:ascii="Verdana" w:hAnsi="Verdana" w:cs="Arial"/>
          <w:bCs/>
          <w:lang w:eastAsia="x-none"/>
        </w:rPr>
      </w:pPr>
      <w:r w:rsidRPr="00B54967">
        <w:rPr>
          <w:rFonts w:ascii="Verdana" w:eastAsia="Times New Roman" w:hAnsi="Verdana" w:cs="Arial"/>
          <w:bCs/>
          <w:lang w:val="es-ES" w:eastAsia="es-CO" w:bidi="es-ES"/>
        </w:rPr>
        <w:t xml:space="preserve">En todo caso, </w:t>
      </w:r>
      <w:r w:rsidRPr="00B54967">
        <w:rPr>
          <w:rFonts w:ascii="Verdana" w:hAnsi="Verdana" w:cs="Arial"/>
          <w:bCs/>
          <w:lang w:eastAsia="x-none"/>
        </w:rPr>
        <w:t xml:space="preserve">se aclara que, la planeación, los estudios técnicos, jurídicos y económicos, que debe preceder la celebración de cada contrato, y que determinan su viabilidad desde tales perspectivas, son asuntos que competen a las entidades estatales que adelantan los procesos de contratación respectivos, con el apoyo de sus funcionarios y órganos asesores.   </w:t>
      </w:r>
    </w:p>
    <w:p w14:paraId="5A5B5A16" w14:textId="77777777" w:rsidR="00B54967" w:rsidRPr="00B54967" w:rsidRDefault="00B54967" w:rsidP="00B54967">
      <w:pPr>
        <w:spacing w:after="120" w:line="276" w:lineRule="auto"/>
        <w:ind w:firstLine="709"/>
        <w:jc w:val="both"/>
        <w:rPr>
          <w:rFonts w:ascii="Verdana" w:hAnsi="Verdana" w:cs="Arial"/>
          <w:bCs/>
          <w:lang w:val="es-MX" w:eastAsia="x-none"/>
        </w:rPr>
      </w:pPr>
      <w:r w:rsidRPr="00B54967">
        <w:rPr>
          <w:rFonts w:ascii="Verdana" w:hAnsi="Verdana" w:cs="Arial"/>
          <w:bCs/>
          <w:lang w:val="es-MX" w:eastAsia="x-none"/>
        </w:rPr>
        <w:t xml:space="preserve">En esta labor es importante tener en cuenta, como lo anotó la Corte Constitucional, en Sentencia C-1153 de noviembre 11 de 2005 </w:t>
      </w:r>
      <w:bookmarkStart w:id="18" w:name="_Hlk74309042"/>
      <w:r w:rsidRPr="00B54967">
        <w:rPr>
          <w:rFonts w:ascii="Verdana" w:hAnsi="Verdana" w:cs="Arial"/>
          <w:bCs/>
          <w:lang w:val="es-MX" w:eastAsia="x-none"/>
        </w:rPr>
        <w:t>que “</w:t>
      </w:r>
      <w:bookmarkEnd w:id="18"/>
      <w:r w:rsidRPr="00B54967">
        <w:rPr>
          <w:rFonts w:ascii="Verdana" w:hAnsi="Verdana" w:cs="Arial"/>
          <w:bCs/>
          <w:lang w:val="es-MX" w:eastAsia="x-none"/>
        </w:rPr>
        <w:t xml:space="preserve">si bien la limitación garantiza la igualdad de condiciones, también es necesario que tal limitación que pretende la igualdad </w:t>
      </w:r>
      <w:bookmarkStart w:id="19" w:name="_Hlk75768308"/>
      <w:r w:rsidRPr="00B54967">
        <w:rPr>
          <w:rFonts w:ascii="Verdana" w:hAnsi="Verdana" w:cs="Arial"/>
          <w:bCs/>
          <w:lang w:val="es-MX" w:eastAsia="x-none"/>
        </w:rPr>
        <w:t>no termine yendo en detrimento de intereses públicos, cuya garantía está en cabeza del ejecutivo, como son los inmersos en las excepciones para la prohibición de contratación”</w:t>
      </w:r>
      <w:r w:rsidRPr="00B54967">
        <w:rPr>
          <w:rFonts w:ascii="Verdana" w:hAnsi="Verdana" w:cs="Arial"/>
          <w:vertAlign w:val="superscript"/>
          <w:lang w:val="es-MX"/>
        </w:rPr>
        <w:footnoteReference w:id="27"/>
      </w:r>
      <w:r w:rsidRPr="00B54967">
        <w:rPr>
          <w:rFonts w:ascii="Verdana" w:hAnsi="Verdana" w:cs="Arial"/>
          <w:bCs/>
          <w:lang w:val="es-MX" w:eastAsia="x-none"/>
        </w:rPr>
        <w:t xml:space="preserve">. De ahí que la Corte haya señalado que las excepciones a la restricción protegen diversos tipos de </w:t>
      </w:r>
      <w:r w:rsidRPr="00B54967">
        <w:rPr>
          <w:rFonts w:ascii="Verdana" w:hAnsi="Verdana" w:cs="Arial"/>
          <w:bCs/>
          <w:lang w:val="es-MX" w:eastAsia="x-none"/>
        </w:rPr>
        <w:lastRenderedPageBreak/>
        <w:t>urgencias de defensa, salud, educación, infraestructura vial y de servicios públicos y ecológicas, que tienden a no limitar desproporcionadamente la acción del Estado en el cumplimiento de sus fines, en procura de la igualdad entre los candidatos como garantía electoral.</w:t>
      </w:r>
      <w:bookmarkEnd w:id="19"/>
    </w:p>
    <w:p w14:paraId="7D9BEC6F" w14:textId="77777777" w:rsidR="00B54967" w:rsidRPr="00B54967" w:rsidRDefault="00B54967" w:rsidP="00B54967">
      <w:pPr>
        <w:spacing w:after="120" w:line="276" w:lineRule="auto"/>
        <w:ind w:firstLine="709"/>
        <w:jc w:val="both"/>
        <w:rPr>
          <w:rFonts w:ascii="Verdana" w:hAnsi="Verdana" w:cs="Arial"/>
          <w:bCs/>
          <w:lang w:val="es-MX" w:eastAsia="x-none"/>
        </w:rPr>
      </w:pPr>
      <w:r w:rsidRPr="00B54967">
        <w:rPr>
          <w:rFonts w:ascii="Verdana" w:hAnsi="Verdana"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B54967">
        <w:rPr>
          <w:rFonts w:ascii="Verdana" w:hAnsi="Verdana" w:cs="Arial"/>
          <w:vertAlign w:val="superscript"/>
          <w:lang w:val="es-ES_tradnl" w:eastAsia="es-CO"/>
        </w:rPr>
        <w:footnoteReference w:id="28"/>
      </w:r>
      <w:r w:rsidRPr="00B54967">
        <w:rPr>
          <w:rFonts w:ascii="Verdana" w:hAnsi="Verdana" w:cs="Arial"/>
          <w:bCs/>
          <w:lang w:val="es-MX" w:eastAsia="x-none"/>
        </w:rPr>
        <w:t>.</w:t>
      </w:r>
    </w:p>
    <w:p w14:paraId="61CA547C" w14:textId="77777777" w:rsidR="00B54967" w:rsidRPr="00B54967" w:rsidRDefault="00B54967" w:rsidP="00B54967">
      <w:pPr>
        <w:shd w:val="clear" w:color="auto" w:fill="FFFFFF" w:themeFill="background1"/>
        <w:spacing w:after="120" w:line="276" w:lineRule="auto"/>
        <w:ind w:firstLine="709"/>
        <w:jc w:val="both"/>
        <w:rPr>
          <w:rFonts w:ascii="Verdana" w:hAnsi="Verdana" w:cs="Arial"/>
          <w:lang w:val="es-ES" w:eastAsia="es-CO"/>
        </w:rPr>
      </w:pPr>
      <w:r w:rsidRPr="00B54967">
        <w:rPr>
          <w:rFonts w:ascii="Verdana" w:hAnsi="Verdana" w:cs="Arial"/>
          <w:lang w:val="es-ES" w:eastAsia="es-CO"/>
        </w:rPr>
        <w:t xml:space="preserve">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w:t>
      </w:r>
      <w:proofErr w:type="spellStart"/>
      <w:r w:rsidRPr="00B54967">
        <w:rPr>
          <w:rFonts w:ascii="Verdana" w:hAnsi="Verdana" w:cs="Arial"/>
          <w:lang w:val="es-ES" w:eastAsia="es-CO"/>
        </w:rPr>
        <w:t>exequibilidad</w:t>
      </w:r>
      <w:proofErr w:type="spellEnd"/>
      <w:r w:rsidRPr="00B54967">
        <w:rPr>
          <w:rFonts w:ascii="Verdana" w:hAnsi="Verdana" w:cs="Arial"/>
          <w:lang w:val="es-ES" w:eastAsia="es-CO"/>
        </w:rPr>
        <w:t>. Así, por ejemplo, la Corte Constitucional explicó que “(…) las excepciones de limitación protegen diversos tipos de urgencias de defensa, salud, educación, infraestructura vial y de servicios públicos y ecológicas tienden a no limitar desproporcionadamente la acción del Estado en el cumplimiento de sus fines, en procura de la igualdad entre candidatos como garantía electoral”</w:t>
      </w:r>
      <w:r w:rsidRPr="00B54967">
        <w:rPr>
          <w:rFonts w:ascii="Verdana" w:hAnsi="Verdana" w:cs="Arial"/>
          <w:vertAlign w:val="superscript"/>
          <w:lang w:val="es-ES" w:eastAsia="es-CO"/>
        </w:rPr>
        <w:footnoteReference w:id="29"/>
      </w:r>
      <w:r w:rsidRPr="00B54967">
        <w:rPr>
          <w:rFonts w:ascii="Verdana" w:hAnsi="Verdana" w:cs="Arial"/>
          <w:lang w:val="es-ES" w:eastAsia="es-CO"/>
        </w:rPr>
        <w:t xml:space="preserve">. </w:t>
      </w:r>
    </w:p>
    <w:p w14:paraId="2A18041F" w14:textId="77777777" w:rsidR="00B54967" w:rsidRPr="00B54967" w:rsidRDefault="00B54967" w:rsidP="00B54967">
      <w:pPr>
        <w:shd w:val="clear" w:color="auto" w:fill="FFFFFF"/>
        <w:spacing w:after="120" w:line="276" w:lineRule="auto"/>
        <w:ind w:firstLine="709"/>
        <w:jc w:val="both"/>
        <w:rPr>
          <w:rFonts w:ascii="Verdana" w:hAnsi="Verdana" w:cs="Arial"/>
          <w:lang w:val="es-ES_tradnl" w:eastAsia="es-CO"/>
        </w:rPr>
      </w:pPr>
      <w:r w:rsidRPr="00B54967">
        <w:rPr>
          <w:rFonts w:ascii="Verdana" w:hAnsi="Verdana" w:cs="Arial"/>
          <w:bCs/>
          <w:lang w:val="es-ES_tradnl"/>
        </w:rPr>
        <w:t xml:space="preserve">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w:t>
      </w:r>
      <w:r w:rsidRPr="00B54967">
        <w:rPr>
          <w:rFonts w:ascii="Verdana" w:hAnsi="Verdana" w:cs="Arial"/>
          <w:bCs/>
          <w:lang w:val="es-ES_tradnl"/>
        </w:rPr>
        <w:lastRenderedPageBreak/>
        <w:t>expresamente en la norma permiten que ciertas entidades estatales se vean exceptuadas de la prohibición.</w:t>
      </w:r>
    </w:p>
    <w:p w14:paraId="7662E264" w14:textId="77777777" w:rsidR="00B54967" w:rsidRPr="00B54967" w:rsidRDefault="00B54967" w:rsidP="00B54967">
      <w:pPr>
        <w:spacing w:after="120" w:line="276" w:lineRule="auto"/>
        <w:ind w:firstLine="708"/>
        <w:jc w:val="both"/>
        <w:rPr>
          <w:rFonts w:ascii="Verdana" w:eastAsia="Calibri" w:hAnsi="Verdana" w:cs="Arial"/>
        </w:rPr>
      </w:pPr>
      <w:r w:rsidRPr="00B54967">
        <w:rPr>
          <w:rFonts w:ascii="Verdana" w:hAnsi="Verdana" w:cs="Arial"/>
          <w:bCs/>
          <w:lang w:val="es-MX" w:eastAsia="x-none"/>
        </w:rPr>
        <w:t>Entre las excepciones del artículo en comento se encuentran “(…) l</w:t>
      </w:r>
      <w:r w:rsidRPr="00B54967">
        <w:rPr>
          <w:rFonts w:ascii="Verdana" w:hAnsi="Verdana" w:cs="Arial"/>
          <w:bCs/>
          <w:lang w:eastAsia="x-none"/>
        </w:rPr>
        <w:t>os requeridos para cubrir las emergencias educativas, sanitarias y desastres (…)</w:t>
      </w:r>
      <w:r w:rsidRPr="00B54967">
        <w:rPr>
          <w:rFonts w:ascii="Verdana" w:hAnsi="Verdana" w:cs="Arial"/>
          <w:bCs/>
          <w:lang w:val="es-MX" w:eastAsia="x-none"/>
        </w:rPr>
        <w:t>”</w:t>
      </w:r>
      <w:r w:rsidRPr="00B54967">
        <w:rPr>
          <w:rFonts w:ascii="Verdana" w:eastAsia="Calibri" w:hAnsi="Verdana" w:cs="Arial"/>
        </w:rPr>
        <w:t xml:space="preserve">. Sobre el alcance de estas excepciones, es necesario tener en cuenta que el </w:t>
      </w:r>
      <w:r w:rsidRPr="00B54967">
        <w:rPr>
          <w:rFonts w:ascii="Verdana" w:eastAsia="Calibri" w:hAnsi="Verdana" w:cs="Arial"/>
          <w:bCs/>
          <w:color w:val="000000" w:themeColor="text1"/>
        </w:rPr>
        <w:t xml:space="preserve">artículo 28 del Código Civil dispone que “Las palabras de la ley se entenderán en su sentido natural y obvio, según el uso general de las mismas palabras; pero cuando el legislador las haya definido expresamente para ciertas materias, se les dará en éstas su significado legal”; igualmente, el artículo 29 </w:t>
      </w:r>
      <w:r w:rsidRPr="00B54967">
        <w:rPr>
          <w:rFonts w:ascii="Verdana" w:eastAsia="Calibri" w:hAnsi="Verdana" w:cs="Arial"/>
          <w:bCs/>
          <w:i/>
          <w:iCs/>
          <w:color w:val="000000" w:themeColor="text1"/>
        </w:rPr>
        <w:t>ibidem</w:t>
      </w:r>
      <w:r w:rsidRPr="00B54967">
        <w:rPr>
          <w:rFonts w:ascii="Verdana" w:eastAsia="Calibri" w:hAnsi="Verdana" w:cs="Arial"/>
          <w:bCs/>
          <w:color w:val="000000" w:themeColor="text1"/>
        </w:rPr>
        <w:t xml:space="preserve"> prescribe lo siguiente: “Las palabras técnicas de toda ciencia o arte se tomarán en el sentido que les den los que profesan la misma ciencia o arte; a menos que aparezca claramente que se han formado en sentido diverso”</w:t>
      </w:r>
      <w:r w:rsidRPr="00B54967">
        <w:rPr>
          <w:rFonts w:ascii="Verdana" w:eastAsia="Calibri" w:hAnsi="Verdana" w:cs="Arial"/>
          <w:bCs/>
          <w:color w:val="000000" w:themeColor="text1"/>
          <w:vertAlign w:val="superscript"/>
        </w:rPr>
        <w:footnoteReference w:id="30"/>
      </w:r>
      <w:r w:rsidRPr="00B54967">
        <w:rPr>
          <w:rFonts w:ascii="Verdana" w:eastAsia="Calibri" w:hAnsi="Verdana" w:cs="Arial"/>
          <w:bCs/>
          <w:color w:val="000000" w:themeColor="text1"/>
        </w:rPr>
        <w:t>.</w:t>
      </w:r>
      <w:r w:rsidRPr="00B54967">
        <w:rPr>
          <w:rFonts w:ascii="Verdana" w:eastAsia="Calibri" w:hAnsi="Verdana" w:cs="Arial"/>
          <w:lang w:val="es-ES"/>
        </w:rPr>
        <w:t xml:space="preserve"> </w:t>
      </w:r>
    </w:p>
    <w:p w14:paraId="4A93FAF5" w14:textId="77777777" w:rsidR="00B54967" w:rsidRPr="00B54967" w:rsidRDefault="00B54967" w:rsidP="00B54967">
      <w:pPr>
        <w:spacing w:before="120" w:after="0" w:line="276" w:lineRule="auto"/>
        <w:ind w:firstLine="709"/>
        <w:jc w:val="both"/>
        <w:rPr>
          <w:rFonts w:ascii="Verdana" w:eastAsia="Calibri" w:hAnsi="Verdana" w:cs="Arial"/>
          <w:lang w:val="es-ES"/>
        </w:rPr>
      </w:pPr>
      <w:r w:rsidRPr="00B54967">
        <w:rPr>
          <w:rFonts w:ascii="Verdana" w:hAnsi="Verdana" w:cs="Arial"/>
          <w:lang w:val="es-ES"/>
        </w:rPr>
        <w:t xml:space="preserve">En segundo lugar, respecto del alcance del parágrafo </w:t>
      </w:r>
      <w:r w:rsidRPr="00B54967">
        <w:rPr>
          <w:rFonts w:ascii="Verdana" w:hAnsi="Verdana" w:cs="Arial"/>
        </w:rPr>
        <w:t xml:space="preserve">del artículo 38 de la Ley 996 de 2005, esta prohibición dispone en primera medida que: “[l]os Gobernadores, Alcaldes Municipales y/o Distritales, Secretarios, Gerentes y directores de Entidades Descentralizadas del orden Municipal, Departamental o Distrital, dentro de los cuatro (4) meses anteriores a las elecciones, no podrán celebrar </w:t>
      </w:r>
      <w:r w:rsidRPr="00B54967">
        <w:rPr>
          <w:rFonts w:ascii="Verdana" w:hAnsi="Verdana" w:cs="Arial"/>
          <w:i/>
          <w:iCs/>
        </w:rPr>
        <w:t>convenios interadministrativos</w:t>
      </w:r>
      <w:r w:rsidRPr="00B54967">
        <w:rPr>
          <w:rFonts w:ascii="Verdana" w:hAnsi="Verdana" w:cs="Arial"/>
        </w:rPr>
        <w:t xml:space="preserve"> </w:t>
      </w:r>
      <w:r w:rsidRPr="00B54967">
        <w:rPr>
          <w:rFonts w:ascii="Verdana" w:hAnsi="Verdana" w:cs="Arial"/>
          <w:i/>
          <w:iCs/>
        </w:rPr>
        <w:t>para la ejecución de recursos públicos</w:t>
      </w:r>
      <w:r w:rsidRPr="00B54967">
        <w:rPr>
          <w:rFonts w:ascii="Verdana" w:hAnsi="Verdana" w:cs="Arial"/>
        </w:rPr>
        <w:t>”.</w:t>
      </w:r>
      <w:r w:rsidRPr="00B54967">
        <w:rPr>
          <w:rFonts w:ascii="Verdana" w:eastAsia="Times New Roman" w:hAnsi="Verdana" w:cs="Arial"/>
          <w:lang w:val="es-MX" w:eastAsia="x-none"/>
        </w:rPr>
        <w:t xml:space="preserve"> (Énfasis fuera del texto original)</w:t>
      </w:r>
    </w:p>
    <w:p w14:paraId="2A0F60BF" w14:textId="77777777" w:rsidR="00B54967" w:rsidRPr="00B54967" w:rsidRDefault="00B54967" w:rsidP="00B54967">
      <w:pPr>
        <w:spacing w:before="120" w:after="0" w:line="276" w:lineRule="auto"/>
        <w:ind w:firstLine="709"/>
        <w:jc w:val="both"/>
        <w:rPr>
          <w:rFonts w:ascii="Verdana" w:eastAsia="Calibri" w:hAnsi="Verdana" w:cs="Arial"/>
          <w:lang w:val="es-ES"/>
        </w:rPr>
      </w:pPr>
      <w:r w:rsidRPr="00B54967">
        <w:rPr>
          <w:rFonts w:ascii="Verdana" w:eastAsia="Times New Roman" w:hAnsi="Verdana" w:cs="Arial"/>
          <w:lang w:val="es-ES" w:eastAsia="es-ES"/>
        </w:rPr>
        <w:t xml:space="preserve">Para tales efectos, debe precisarse que </w:t>
      </w:r>
      <w:r w:rsidRPr="00B54967">
        <w:rPr>
          <w:rFonts w:ascii="Verdana" w:eastAsia="Times New Roman" w:hAnsi="Verdana" w:cs="Arial"/>
          <w:color w:val="000000" w:themeColor="text1"/>
          <w:lang w:val="es-ES" w:eastAsia="es-CO"/>
        </w:rPr>
        <w:t xml:space="preserve">los contratos o convenios interadministrativos están determinados por un criterio orgánico, pues es necesario que los extremos de la relación contractual sean entidades públicas, </w:t>
      </w:r>
      <w:r w:rsidRPr="00B54967">
        <w:rPr>
          <w:rFonts w:ascii="Verdana" w:hAnsi="Verdana" w:cs="Arial"/>
          <w:lang w:eastAsia="es-ES"/>
        </w:rPr>
        <w:t>independientemente de las normas que regulan la relación contractual. En este sentido, los convenios interadministrativos solo pueden ser celebrados entre entidades públicas, pues a éstas corresponde la realización de los fines y tareas que el legislador les ha asignado</w:t>
      </w:r>
      <w:r w:rsidRPr="00B54967">
        <w:rPr>
          <w:rFonts w:ascii="Verdana" w:hAnsi="Verdana" w:cs="Arial"/>
          <w:vertAlign w:val="superscript"/>
          <w:lang w:eastAsia="es-ES"/>
        </w:rPr>
        <w:footnoteReference w:id="31"/>
      </w:r>
      <w:r w:rsidRPr="00B54967">
        <w:rPr>
          <w:rFonts w:ascii="Verdana" w:hAnsi="Verdana" w:cs="Arial"/>
          <w:lang w:eastAsia="es-ES"/>
        </w:rPr>
        <w:t>.</w:t>
      </w:r>
    </w:p>
    <w:p w14:paraId="2AFF4DC3" w14:textId="77777777" w:rsidR="00B54967" w:rsidRPr="00B54967" w:rsidRDefault="00B54967" w:rsidP="00B54967">
      <w:pPr>
        <w:spacing w:before="120" w:after="0" w:line="276" w:lineRule="auto"/>
        <w:ind w:firstLine="709"/>
        <w:jc w:val="both"/>
        <w:rPr>
          <w:rFonts w:ascii="Verdana" w:eastAsia="Calibri" w:hAnsi="Verdana" w:cs="Arial"/>
          <w:lang w:val="es-ES"/>
        </w:rPr>
      </w:pPr>
      <w:r w:rsidRPr="00B54967">
        <w:rPr>
          <w:rFonts w:ascii="Verdana" w:hAnsi="Verdana" w:cs="Arial"/>
          <w:color w:val="000000" w:themeColor="text1"/>
          <w:lang w:val="es-ES_tradnl"/>
        </w:rPr>
        <w:lastRenderedPageBreak/>
        <w:t>Si bien los contratos o convenios interadministrativos están previstos en la Ley 80 de 1993, en la Ley 1150 de 2007 y en el Decreto 1082 de 2015, no quiere decir que solo puedan celebrarse entre Entidades Estatales que apliquen el régimen de contratación allí previsto. En efecto, una Entidad Estatal de la Ley 80 de 1993 – como es el caso de un municipio – bien puede celebrar esta clase de convenios con una Entidad Estatal de régimen especial y no por ello dejará de ser un contrato o convenio interadministrativo.</w:t>
      </w:r>
    </w:p>
    <w:p w14:paraId="1F570B88" w14:textId="77777777" w:rsidR="00B54967" w:rsidRPr="00B54967" w:rsidRDefault="00B54967" w:rsidP="00B54967">
      <w:pPr>
        <w:spacing w:before="120" w:after="0" w:line="276" w:lineRule="auto"/>
        <w:ind w:firstLine="708"/>
        <w:jc w:val="both"/>
        <w:rPr>
          <w:rFonts w:ascii="Verdana" w:hAnsi="Verdana" w:cs="Arial"/>
          <w:lang w:val="es-ES_tradnl"/>
        </w:rPr>
      </w:pPr>
      <w:r w:rsidRPr="00B54967">
        <w:rPr>
          <w:rFonts w:ascii="Verdana" w:hAnsi="Verdana" w:cs="Arial"/>
          <w:lang w:val="es-ES"/>
        </w:rPr>
        <w:t>Un contrato o convenio interadministrativo no está determinado por la modalidad de selección utilizada para celebrarlo. La Ley 1150 de 2007 establece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susceptible de pluralidad de oferentes</w:t>
      </w:r>
      <w:r w:rsidRPr="00B54967">
        <w:rPr>
          <w:rFonts w:ascii="Verdana" w:hAnsi="Verdana" w:cs="Arial"/>
          <w:vertAlign w:val="superscript"/>
          <w:lang w:val="es-ES"/>
        </w:rPr>
        <w:footnoteReference w:id="32"/>
      </w:r>
      <w:r w:rsidRPr="00B54967">
        <w:rPr>
          <w:rFonts w:ascii="Verdana" w:hAnsi="Verdana" w:cs="Arial"/>
          <w:lang w:val="es-ES"/>
        </w:rPr>
        <w:t>. Nótese que, en este caso, lo que cambia es la modalidad de selección y no la naturaleza de contrato interadministrativo.</w:t>
      </w:r>
    </w:p>
    <w:p w14:paraId="69622424" w14:textId="77777777" w:rsidR="00B54967" w:rsidRPr="00B54967" w:rsidRDefault="00B54967" w:rsidP="00B54967">
      <w:pPr>
        <w:spacing w:before="120" w:after="0" w:line="276" w:lineRule="auto"/>
        <w:ind w:firstLine="708"/>
        <w:jc w:val="both"/>
        <w:rPr>
          <w:rFonts w:ascii="Verdana" w:hAnsi="Verdana" w:cs="Arial"/>
          <w:lang w:val="es-ES_tradnl"/>
        </w:rPr>
      </w:pPr>
      <w:r w:rsidRPr="00B54967">
        <w:rPr>
          <w:rFonts w:ascii="Verdana" w:hAnsi="Verdana" w:cs="Arial"/>
          <w:lang w:val="es-ES"/>
        </w:rPr>
        <w:t>Además, es necesario tener en cuenta que para que un contrato o convenio interadministrativo exista debe cumplir con los siguientes elementos: acuerdo sobre el objeto y la contraprestación y que conste por escrito</w:t>
      </w:r>
      <w:r w:rsidRPr="00B54967">
        <w:rPr>
          <w:rFonts w:ascii="Verdana" w:hAnsi="Verdana" w:cs="Arial"/>
          <w:vertAlign w:val="superscript"/>
          <w:lang w:val="es-ES"/>
        </w:rPr>
        <w:footnoteReference w:id="33"/>
      </w:r>
      <w:r w:rsidRPr="00B54967">
        <w:rPr>
          <w:rFonts w:ascii="Verdana" w:hAnsi="Verdana" w:cs="Arial"/>
          <w:lang w:val="es-ES"/>
        </w:rPr>
        <w:t>. Entonces, si ambas partes son entidades estatales, pueden celebrar convenios interadministrativos, porque las disposiciones que regulan esta tipología hacen referencia a la calidad de los sujetos que intervienen en la contratación, que deben ser entidades estatales o de derecho público.</w:t>
      </w:r>
    </w:p>
    <w:p w14:paraId="75115AB5" w14:textId="77777777" w:rsidR="00B54967" w:rsidRPr="00B54967" w:rsidRDefault="00B54967" w:rsidP="00B54967">
      <w:pPr>
        <w:spacing w:before="120" w:after="0" w:line="276" w:lineRule="auto"/>
        <w:ind w:firstLine="708"/>
        <w:jc w:val="both"/>
        <w:rPr>
          <w:rFonts w:ascii="Verdana" w:hAnsi="Verdana"/>
          <w:lang w:eastAsia="es-CO"/>
        </w:rPr>
      </w:pPr>
      <w:r w:rsidRPr="00B54967">
        <w:rPr>
          <w:rFonts w:ascii="Verdana" w:hAnsi="Verdana" w:cs="Arial"/>
          <w:lang w:val="es-ES"/>
        </w:rPr>
        <w:t xml:space="preserve">Sobre este aspecto, se resalta que la Corte Constitucional señaló en la Sentencia C–671 de 2015 que “Lo que hace interadministrativo a un contrato o convenio no es el procedimiento de selección aplicable, sino la calidad de los sujetos contratantes, esto es que las dos partes de la relación jurídica contractual formen parte de la administración pública”. Así las cosas, atendiendo </w:t>
      </w:r>
      <w:r w:rsidRPr="00B54967">
        <w:rPr>
          <w:rFonts w:ascii="Verdana" w:hAnsi="Verdana" w:cs="Arial"/>
          <w:lang w:val="es-ES"/>
        </w:rPr>
        <w:lastRenderedPageBreak/>
        <w:t>a la literalidad de las normas enunciadas, no cabe una interpretación diferente</w:t>
      </w:r>
      <w:r w:rsidRPr="00B54967">
        <w:rPr>
          <w:rFonts w:ascii="Verdana" w:hAnsi="Verdana" w:cs="Arial"/>
          <w:vertAlign w:val="superscript"/>
          <w:lang w:val="es-ES"/>
        </w:rPr>
        <w:footnoteReference w:id="34"/>
      </w:r>
      <w:r w:rsidRPr="00B54967">
        <w:rPr>
          <w:rFonts w:ascii="Verdana" w:hAnsi="Verdana" w:cs="Arial"/>
          <w:lang w:val="es-ES"/>
        </w:rPr>
        <w:t>, pues, de acuerdo con lo anotado, esta clase de acuerdos de voluntades se definen por un criterio orgánico, por lo que uno de sus elementos esenciales es que en los extremos de la relación jurídico negocial concurran personas de derecho público</w:t>
      </w:r>
      <w:r w:rsidRPr="00B54967">
        <w:rPr>
          <w:rFonts w:ascii="Verdana" w:hAnsi="Verdana"/>
          <w:lang w:eastAsia="es-CO"/>
        </w:rPr>
        <w:t>.</w:t>
      </w:r>
    </w:p>
    <w:p w14:paraId="35D1C598" w14:textId="77777777" w:rsidR="00B54967" w:rsidRPr="00B54967" w:rsidRDefault="00B54967" w:rsidP="00B54967">
      <w:pPr>
        <w:spacing w:before="120" w:after="0" w:line="276" w:lineRule="auto"/>
        <w:ind w:firstLine="708"/>
        <w:jc w:val="both"/>
        <w:rPr>
          <w:rFonts w:ascii="Verdana" w:eastAsia="Times New Roman" w:hAnsi="Verdana" w:cs="Arial"/>
          <w:lang w:val="es-MX" w:eastAsia="es-CO"/>
        </w:rPr>
      </w:pPr>
      <w:r w:rsidRPr="00B54967">
        <w:rPr>
          <w:rFonts w:ascii="Verdana" w:eastAsia="Arial" w:hAnsi="Verdana" w:cs="Arial"/>
          <w:lang w:val="es-MX" w:eastAsia="es-ES" w:bidi="es-ES"/>
        </w:rPr>
        <w:t>De esta manera, se</w:t>
      </w:r>
      <w:r w:rsidRPr="00B54967">
        <w:rPr>
          <w:rFonts w:ascii="Verdana" w:eastAsia="Times New Roman" w:hAnsi="Verdana" w:cs="Arial"/>
          <w:lang w:eastAsia="es-CO"/>
        </w:rPr>
        <w:t xml:space="preserve"> observa entonces que </w:t>
      </w:r>
      <w:r w:rsidRPr="00B54967">
        <w:rPr>
          <w:rFonts w:ascii="Verdana" w:eastAsia="Times New Roman" w:hAnsi="Verdana" w:cs="Arial"/>
          <w:lang w:val="es-MX" w:eastAsia="es-CO"/>
        </w:rPr>
        <w:t xml:space="preserve">el parágrafo del artículo 38 de la Ley 996 de 2005 prohíbe a los Alcaldes, Gobernadores, Secretarios, Gerentes y Directores de las entidades del orden municipal, departamental o distrital celebrar </w:t>
      </w:r>
      <w:r w:rsidRPr="00B54967">
        <w:rPr>
          <w:rFonts w:ascii="Verdana" w:eastAsia="Times New Roman" w:hAnsi="Verdana" w:cs="Arial"/>
          <w:i/>
          <w:iCs/>
          <w:lang w:val="es-MX" w:eastAsia="es-CO"/>
        </w:rPr>
        <w:t>convenios interadministrativos</w:t>
      </w:r>
      <w:r w:rsidRPr="00B54967">
        <w:rPr>
          <w:rFonts w:ascii="Verdana" w:eastAsia="Times New Roman" w:hAnsi="Verdana" w:cs="Arial"/>
          <w:lang w:val="es-MX" w:eastAsia="es-CO"/>
        </w:rPr>
        <w:t xml:space="preserve"> para la ejecución de recursos públicos. En este sentido, si una o ambas partes de la relación contractual es una entidad de aquellas descritas en el parágrafo </w:t>
      </w:r>
      <w:r w:rsidRPr="00B54967">
        <w:rPr>
          <w:rFonts w:ascii="Verdana" w:eastAsia="Times New Roman" w:hAnsi="Verdana" w:cs="Arial"/>
          <w:i/>
          <w:lang w:val="es-MX" w:eastAsia="es-CO"/>
        </w:rPr>
        <w:t>ibidem</w:t>
      </w:r>
      <w:r w:rsidRPr="00B54967">
        <w:rPr>
          <w:rFonts w:ascii="Verdana" w:eastAsia="Times New Roman" w:hAnsi="Verdana" w:cs="Arial"/>
          <w:lang w:val="es-MX" w:eastAsia="es-CO"/>
        </w:rPr>
        <w:t xml:space="preserve">, es decir, </w:t>
      </w:r>
      <w:r w:rsidRPr="00B54967">
        <w:rPr>
          <w:rFonts w:ascii="Verdana" w:eastAsia="Times New Roman" w:hAnsi="Verdana" w:cs="Arial"/>
          <w:lang w:eastAsia="es-CO"/>
        </w:rPr>
        <w:t xml:space="preserve">alcaldías, gobernaciones, secretarías de despacho, así como entidades descentralizadas por servicios del orden municipal, departamental o distrital </w:t>
      </w:r>
      <w:r w:rsidRPr="00B54967">
        <w:rPr>
          <w:rFonts w:ascii="Verdana" w:eastAsia="Times New Roman" w:hAnsi="Verdana" w:cs="Arial"/>
          <w:lang w:val="es-MX" w:eastAsia="es-CO"/>
        </w:rPr>
        <w:t xml:space="preserve">no podrá celebrar tales </w:t>
      </w:r>
      <w:r w:rsidRPr="00B54967">
        <w:rPr>
          <w:rFonts w:ascii="Verdana" w:eastAsia="Times New Roman" w:hAnsi="Verdana" w:cs="Arial"/>
          <w:i/>
          <w:iCs/>
          <w:lang w:val="es-MX" w:eastAsia="es-CO"/>
        </w:rPr>
        <w:t>convenios</w:t>
      </w:r>
      <w:r w:rsidRPr="00B54967">
        <w:rPr>
          <w:rFonts w:ascii="Verdana" w:eastAsia="Times New Roman" w:hAnsi="Verdana" w:cs="Arial"/>
          <w:lang w:val="es-MX" w:eastAsia="es-CO"/>
        </w:rPr>
        <w:t xml:space="preserve"> durante la aplicación de la Ley de Garantías Electorales, toda vez que la citada disposición se refiere a dicha tipología contractual sin que el legislador hubiere contemplado un efecto extensivo a otra tipología. </w:t>
      </w:r>
    </w:p>
    <w:p w14:paraId="4B962B2A" w14:textId="77777777" w:rsidR="00B54967" w:rsidRPr="00B54967" w:rsidRDefault="00B54967" w:rsidP="00B54967">
      <w:pPr>
        <w:spacing w:before="120" w:after="0" w:line="276" w:lineRule="auto"/>
        <w:ind w:firstLine="708"/>
        <w:jc w:val="both"/>
        <w:rPr>
          <w:rFonts w:ascii="Verdana" w:eastAsia="Times New Roman" w:hAnsi="Verdana" w:cs="Arial"/>
          <w:lang w:eastAsia="es-CO"/>
        </w:rPr>
      </w:pPr>
      <w:r w:rsidRPr="00B54967">
        <w:rPr>
          <w:rFonts w:ascii="Verdana" w:eastAsia="Times New Roman" w:hAnsi="Verdana" w:cs="Arial"/>
          <w:lang w:val="es-MX" w:eastAsia="es-CO"/>
        </w:rPr>
        <w:t xml:space="preserve">Respecto del alcance de esta prohibición la Circular Externa No. 006 de 2025 expedida por la ANCP -CCE, en los literales </w:t>
      </w:r>
      <w:proofErr w:type="spellStart"/>
      <w:r w:rsidRPr="00B54967">
        <w:rPr>
          <w:rFonts w:ascii="Verdana" w:eastAsia="Times New Roman" w:hAnsi="Verdana" w:cs="Arial"/>
          <w:lang w:val="es-MX" w:eastAsia="es-CO"/>
        </w:rPr>
        <w:t>ii</w:t>
      </w:r>
      <w:proofErr w:type="spellEnd"/>
      <w:r w:rsidRPr="00B54967">
        <w:rPr>
          <w:rFonts w:ascii="Verdana" w:eastAsia="Times New Roman" w:hAnsi="Verdana" w:cs="Arial"/>
          <w:lang w:val="es-MX" w:eastAsia="es-CO"/>
        </w:rPr>
        <w:t xml:space="preserve">) y </w:t>
      </w:r>
      <w:proofErr w:type="spellStart"/>
      <w:r w:rsidRPr="00B54967">
        <w:rPr>
          <w:rFonts w:ascii="Verdana" w:eastAsia="Times New Roman" w:hAnsi="Verdana" w:cs="Arial"/>
          <w:lang w:val="es-MX" w:eastAsia="es-CO"/>
        </w:rPr>
        <w:t>iv</w:t>
      </w:r>
      <w:proofErr w:type="spellEnd"/>
      <w:r w:rsidRPr="00B54967">
        <w:rPr>
          <w:rFonts w:ascii="Verdana" w:eastAsia="Times New Roman" w:hAnsi="Verdana" w:cs="Arial"/>
          <w:lang w:val="es-MX" w:eastAsia="es-CO"/>
        </w:rPr>
        <w:t>) del numeral 2</w:t>
      </w:r>
      <w:r w:rsidRPr="00B54967">
        <w:rPr>
          <w:rFonts w:ascii="Verdana" w:eastAsia="Times New Roman" w:hAnsi="Verdana" w:cs="Arial"/>
          <w:lang w:eastAsia="es-CO"/>
        </w:rPr>
        <w:t>,</w:t>
      </w:r>
      <w:r w:rsidRPr="00B54967">
        <w:rPr>
          <w:rFonts w:ascii="Verdana" w:eastAsia="Times New Roman" w:hAnsi="Verdana" w:cs="Arial"/>
          <w:lang w:val="es-MX" w:eastAsia="es-CO"/>
        </w:rPr>
        <w:t xml:space="preserve"> indica que el </w:t>
      </w:r>
      <w:r w:rsidRPr="00B54967">
        <w:rPr>
          <w:rFonts w:ascii="Verdana" w:eastAsia="Times New Roman" w:hAnsi="Verdana" w:cs="Arial"/>
          <w:lang w:eastAsia="es-CO"/>
        </w:rPr>
        <w:t xml:space="preserve">parágrafo del artículo 38 de la Ley 996 de 2005 cobija expresamente a los </w:t>
      </w:r>
      <w:r w:rsidRPr="00B54967">
        <w:rPr>
          <w:rFonts w:ascii="Verdana" w:eastAsia="Times New Roman" w:hAnsi="Verdana" w:cs="Arial"/>
          <w:i/>
          <w:iCs/>
          <w:lang w:eastAsia="es-CO"/>
        </w:rPr>
        <w:t>convenios interadministrativos</w:t>
      </w:r>
      <w:r w:rsidRPr="00B54967">
        <w:rPr>
          <w:rFonts w:ascii="Verdana" w:eastAsia="Times New Roman" w:hAnsi="Verdana" w:cs="Arial"/>
          <w:lang w:eastAsia="es-CO"/>
        </w:rPr>
        <w:t xml:space="preserve"> en los que se contemple la ejecución de recursos públicos. Además, precisa que el parágrafo referido no estableció ningún supuesto que exceptúe la aplicación de esta prohibición, por lo que la restricción referida a la celebración de convenios interadministrativos aplicará a los sujetos allí señalados, </w:t>
      </w:r>
      <w:r w:rsidRPr="00B54967">
        <w:rPr>
          <w:rFonts w:ascii="Verdana" w:eastAsia="Times New Roman" w:hAnsi="Verdana" w:cs="Arial"/>
          <w:i/>
          <w:iCs/>
          <w:lang w:eastAsia="es-CO"/>
        </w:rPr>
        <w:t>“aunque se configure alguno de los supuestos de excepción que señaló el inciso final del artículo 33”.</w:t>
      </w:r>
      <w:r w:rsidRPr="00B54967">
        <w:rPr>
          <w:rFonts w:ascii="Verdana" w:eastAsia="Times New Roman" w:hAnsi="Verdana" w:cs="Arial"/>
          <w:lang w:eastAsia="es-CO"/>
        </w:rPr>
        <w:t xml:space="preserve"> </w:t>
      </w:r>
    </w:p>
    <w:p w14:paraId="5B02C705" w14:textId="77777777" w:rsidR="00B54967" w:rsidRPr="00B54967" w:rsidRDefault="00B54967" w:rsidP="00B54967">
      <w:pPr>
        <w:spacing w:before="120" w:after="0" w:line="276" w:lineRule="auto"/>
        <w:ind w:firstLine="708"/>
        <w:jc w:val="both"/>
        <w:rPr>
          <w:rFonts w:ascii="Verdana" w:eastAsia="Times New Roman" w:hAnsi="Verdana" w:cs="Arial"/>
          <w:lang w:eastAsia="es-CO"/>
        </w:rPr>
      </w:pPr>
      <w:r w:rsidRPr="00B54967">
        <w:rPr>
          <w:rFonts w:ascii="Verdana" w:eastAsia="Times New Roman" w:hAnsi="Verdana" w:cs="Arial"/>
          <w:lang w:eastAsia="es-CO"/>
        </w:rPr>
        <w:t xml:space="preserve">Sin embargo, el ámbito de aplicación de la restricción prevista en el parágrafo del artículo 38 de la Ley 996 de 2005 comprende a los </w:t>
      </w:r>
      <w:r w:rsidRPr="00B54967">
        <w:rPr>
          <w:rFonts w:ascii="Verdana" w:eastAsia="Times New Roman" w:hAnsi="Verdana" w:cs="Arial"/>
          <w:i/>
          <w:iCs/>
          <w:lang w:eastAsia="es-CO"/>
        </w:rPr>
        <w:t>convenios interadministrativos</w:t>
      </w:r>
      <w:r w:rsidRPr="00B54967">
        <w:rPr>
          <w:rFonts w:ascii="Verdana" w:eastAsia="Times New Roman" w:hAnsi="Verdana" w:cs="Arial"/>
          <w:lang w:eastAsia="es-CO"/>
        </w:rPr>
        <w:t xml:space="preserve"> en los que exista </w:t>
      </w:r>
      <w:r w:rsidRPr="00B54967">
        <w:rPr>
          <w:rFonts w:ascii="Verdana" w:eastAsia="Times New Roman" w:hAnsi="Verdana" w:cs="Arial"/>
          <w:i/>
          <w:iCs/>
          <w:lang w:eastAsia="es-CO"/>
        </w:rPr>
        <w:t>ejecución de recursos públicos</w:t>
      </w:r>
      <w:r w:rsidRPr="00B54967">
        <w:rPr>
          <w:rFonts w:ascii="Verdana" w:eastAsia="Times New Roman" w:hAnsi="Verdana" w:cs="Arial"/>
          <w:lang w:eastAsia="es-CO"/>
        </w:rPr>
        <w:t xml:space="preserve">, sin importar de que estos sean en dinero o en especie, ya que la norma no distingue. </w:t>
      </w:r>
      <w:r w:rsidRPr="00B54967">
        <w:rPr>
          <w:rFonts w:ascii="Verdana" w:eastAsia="Times New Roman" w:hAnsi="Verdana" w:cs="Arial"/>
          <w:lang w:val="es-ES" w:eastAsia="es-CO"/>
        </w:rPr>
        <w:t xml:space="preserve">Lo anterior conforme a la directriz interpretativa del artículo 31 del Código Civil, según la cual “Lo favorable u odioso de una disposición no se tomará en cuenta para ampliar o restringir su interpretación. La extensión que deba darse a toda ley se determinará por su genuino sentido, y según las reglas de interpretación </w:t>
      </w:r>
      <w:r w:rsidRPr="00B54967">
        <w:rPr>
          <w:rFonts w:ascii="Verdana" w:eastAsia="Times New Roman" w:hAnsi="Verdana" w:cs="Arial"/>
          <w:lang w:val="es-ES" w:eastAsia="es-CO"/>
        </w:rPr>
        <w:lastRenderedPageBreak/>
        <w:t>precedentes”</w:t>
      </w:r>
      <w:r w:rsidRPr="00B54967">
        <w:rPr>
          <w:rFonts w:ascii="Verdana" w:hAnsi="Verdana" w:cs="Arial"/>
          <w:vertAlign w:val="superscript"/>
          <w:lang w:val="es-ES"/>
        </w:rPr>
        <w:footnoteReference w:id="35"/>
      </w:r>
      <w:r w:rsidRPr="00B54967">
        <w:rPr>
          <w:rFonts w:ascii="Verdana" w:eastAsia="Times New Roman" w:hAnsi="Verdana" w:cs="Arial"/>
          <w:lang w:val="es-ES" w:eastAsia="es-CO"/>
        </w:rPr>
        <w:t>.</w:t>
      </w:r>
      <w:r w:rsidRPr="00B54967">
        <w:rPr>
          <w:rFonts w:ascii="Verdana" w:eastAsia="Times New Roman" w:hAnsi="Verdana" w:cs="Arial"/>
          <w:lang w:eastAsia="es-CO"/>
        </w:rPr>
        <w:t xml:space="preserve"> Por ello, en el Concepto 2201913000006634 del 6 de septiembre de 2019, la Agencia sostuvo que la ejecución de recursos no se agota en el “[…] el dinero que integra el ciclo presupuestal de la entidad […]”, pues “[…] también los bienes muebles, inmuebles y personal hacen parte del concepto de ‘recursos públicos’”.</w:t>
      </w:r>
    </w:p>
    <w:p w14:paraId="1499DFB7" w14:textId="77777777" w:rsidR="00B54967" w:rsidRPr="00B54967" w:rsidRDefault="00B54967" w:rsidP="00B54967">
      <w:pPr>
        <w:spacing w:before="120" w:after="0" w:line="276" w:lineRule="auto"/>
        <w:ind w:firstLine="708"/>
        <w:jc w:val="both"/>
        <w:rPr>
          <w:rFonts w:ascii="Verdana" w:eastAsia="Times New Roman" w:hAnsi="Verdana" w:cs="Arial"/>
          <w:lang w:eastAsia="es-CO"/>
        </w:rPr>
      </w:pPr>
      <w:r w:rsidRPr="00B54967">
        <w:rPr>
          <w:rFonts w:ascii="Verdana" w:eastAsia="Times New Roman" w:hAnsi="Verdana" w:cs="Arial"/>
          <w:lang w:eastAsia="es-CO"/>
        </w:rPr>
        <w:t xml:space="preserve">De esta manera, conforme a lo dispuesto en la Circular referida, si se suscriben </w:t>
      </w:r>
      <w:r w:rsidRPr="00B54967">
        <w:rPr>
          <w:rFonts w:ascii="Verdana" w:eastAsia="Times New Roman" w:hAnsi="Verdana" w:cs="Arial"/>
          <w:i/>
          <w:iCs/>
          <w:lang w:eastAsia="es-CO"/>
        </w:rPr>
        <w:t>convenios interadministrativos para la ejecución de recursos públicos</w:t>
      </w:r>
      <w:r w:rsidRPr="00B54967">
        <w:rPr>
          <w:rFonts w:ascii="Verdana" w:eastAsia="Times New Roman" w:hAnsi="Verdana" w:cs="Arial"/>
          <w:lang w:eastAsia="es-CO"/>
        </w:rPr>
        <w:t xml:space="preserve"> por los alcaldes, gobernadores, secretarios, gerentes y directores de las entidades del orden municipal, departamental o distrital, aplicará la prohibición del parágrafo del artículo 38 </w:t>
      </w:r>
      <w:r w:rsidRPr="00B54967">
        <w:rPr>
          <w:rFonts w:ascii="Verdana" w:eastAsia="Times New Roman" w:hAnsi="Verdana" w:cs="Arial"/>
          <w:i/>
          <w:iCs/>
          <w:lang w:eastAsia="es-CO"/>
        </w:rPr>
        <w:t>ibidem</w:t>
      </w:r>
      <w:r w:rsidRPr="00B54967">
        <w:rPr>
          <w:rFonts w:ascii="Verdana" w:eastAsia="Times New Roman" w:hAnsi="Verdana" w:cs="Arial"/>
          <w:lang w:eastAsia="es-CO"/>
        </w:rPr>
        <w:t>, independientemente de que se configure alguno de los supuestos de excepción que señaló el inciso final del artículo 33, es decir, que se trate de:</w:t>
      </w:r>
      <w:r w:rsidRPr="00B54967">
        <w:rPr>
          <w:rFonts w:ascii="Verdana" w:hAnsi="Verdana" w:cs="Arial"/>
          <w:bCs/>
          <w:lang w:val="es-MX" w:eastAsia="x-none"/>
        </w:rPr>
        <w:t xml:space="preserve"> i) la defensa y seguridad del Estado; </w:t>
      </w:r>
      <w:proofErr w:type="spellStart"/>
      <w:r w:rsidRPr="00B54967">
        <w:rPr>
          <w:rFonts w:ascii="Verdana" w:hAnsi="Verdana" w:cs="Arial"/>
          <w:bCs/>
          <w:lang w:val="es-MX" w:eastAsia="x-none"/>
        </w:rPr>
        <w:t>ii</w:t>
      </w:r>
      <w:proofErr w:type="spellEnd"/>
      <w:r w:rsidRPr="00B54967">
        <w:rPr>
          <w:rFonts w:ascii="Verdana" w:hAnsi="Verdana" w:cs="Arial"/>
          <w:bCs/>
          <w:lang w:val="es-MX" w:eastAsia="x-none"/>
        </w:rPr>
        <w:t xml:space="preserve">) los contratos de crédito público; </w:t>
      </w:r>
      <w:proofErr w:type="spellStart"/>
      <w:r w:rsidRPr="00B54967">
        <w:rPr>
          <w:rFonts w:ascii="Verdana" w:hAnsi="Verdana" w:cs="Arial"/>
          <w:bCs/>
          <w:lang w:val="es-MX" w:eastAsia="x-none"/>
        </w:rPr>
        <w:t>iii</w:t>
      </w:r>
      <w:proofErr w:type="spellEnd"/>
      <w:r w:rsidRPr="00B54967">
        <w:rPr>
          <w:rFonts w:ascii="Verdana" w:hAnsi="Verdana" w:cs="Arial"/>
          <w:bCs/>
          <w:lang w:val="es-MX" w:eastAsia="x-none"/>
        </w:rPr>
        <w:t xml:space="preserve">) los requeridos para cubrir las emergencias educativas, sanitarias y desastres; </w:t>
      </w:r>
      <w:proofErr w:type="spellStart"/>
      <w:r w:rsidRPr="00B54967">
        <w:rPr>
          <w:rFonts w:ascii="Verdana" w:hAnsi="Verdana" w:cs="Arial"/>
          <w:bCs/>
          <w:lang w:val="es-MX" w:eastAsia="x-none"/>
        </w:rPr>
        <w:t>iv</w:t>
      </w:r>
      <w:proofErr w:type="spellEnd"/>
      <w:r w:rsidRPr="00B54967">
        <w:rPr>
          <w:rFonts w:ascii="Verdana" w:hAnsi="Verdana" w:cs="Arial"/>
          <w:bCs/>
          <w:lang w:val="es-MX" w:eastAsia="x-none"/>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w:t>
      </w:r>
      <w:r w:rsidRPr="00B54967">
        <w:rPr>
          <w:rFonts w:ascii="Verdana" w:hAnsi="Verdana" w:cs="Arial"/>
          <w:bCs/>
          <w:lang w:val="es-MX" w:eastAsia="es-CO"/>
        </w:rPr>
        <w:t xml:space="preserve"> </w:t>
      </w:r>
      <w:r w:rsidRPr="00B54967">
        <w:rPr>
          <w:rFonts w:ascii="Verdana" w:eastAsia="Times New Roman" w:hAnsi="Verdana" w:cs="Arial"/>
          <w:lang w:eastAsia="es-CO"/>
        </w:rPr>
        <w:t xml:space="preserve">Es decir, las excepciones contempladas en el artículo 33 no son aplicables a la restricción del artículo 38. </w:t>
      </w:r>
    </w:p>
    <w:p w14:paraId="6E281B3C" w14:textId="77777777" w:rsidR="00B54967" w:rsidRPr="00B54967" w:rsidRDefault="00B54967" w:rsidP="00B54967">
      <w:pPr>
        <w:spacing w:before="120" w:after="0" w:line="276" w:lineRule="auto"/>
        <w:ind w:firstLine="708"/>
        <w:jc w:val="both"/>
        <w:rPr>
          <w:rFonts w:ascii="Verdana" w:eastAsia="Times New Roman" w:hAnsi="Verdana" w:cs="Arial"/>
          <w:lang w:eastAsia="es-CO"/>
        </w:rPr>
      </w:pPr>
      <w:r w:rsidRPr="00B54967">
        <w:rPr>
          <w:rFonts w:ascii="Verdana" w:eastAsia="Times New Roman" w:hAnsi="Verdana" w:cs="Arial"/>
          <w:lang w:eastAsia="es-CO"/>
        </w:rPr>
        <w:t xml:space="preserve">En este punto, vale la pena destacar que, </w:t>
      </w:r>
      <w:r w:rsidRPr="00B54967">
        <w:rPr>
          <w:rFonts w:ascii="Verdana" w:eastAsia="Arial" w:hAnsi="Verdana" w:cs="Arial"/>
          <w:lang w:val="es-MX" w:eastAsia="es-ES" w:bidi="es-ES"/>
        </w:rPr>
        <w:t xml:space="preserve">mediante auto de 4 de octubre del 2024, el Consejo de Estado, Subsección C de la Sección Tercera, decretó medida de suspensión provisional parcial del </w:t>
      </w:r>
      <w:r w:rsidRPr="00B54967">
        <w:rPr>
          <w:rFonts w:ascii="Verdana" w:hAnsi="Verdana" w:cs="Arial"/>
        </w:rPr>
        <w:t>numeral 16.2 de la Circular Externa Única de 2022 expedida por la Agencia Nacional de Contratación Pública – Colombia Compra Eficiente, concretamente, respecto de los siguientes apartes normativos</w:t>
      </w:r>
      <w:r w:rsidRPr="00B54967">
        <w:rPr>
          <w:rFonts w:ascii="Verdana" w:hAnsi="Verdana" w:cs="Arial"/>
          <w:vertAlign w:val="superscript"/>
        </w:rPr>
        <w:footnoteReference w:id="36"/>
      </w:r>
      <w:r w:rsidRPr="00B54967">
        <w:rPr>
          <w:rFonts w:ascii="Verdana" w:hAnsi="Verdana" w:cs="Arial"/>
        </w:rPr>
        <w:t xml:space="preserve">: </w:t>
      </w:r>
    </w:p>
    <w:p w14:paraId="13A9D000" w14:textId="77777777" w:rsidR="00B54967" w:rsidRPr="00B54967" w:rsidRDefault="00B54967" w:rsidP="00B54967">
      <w:pPr>
        <w:spacing w:after="0" w:line="240" w:lineRule="auto"/>
        <w:ind w:firstLine="709"/>
        <w:jc w:val="both"/>
        <w:rPr>
          <w:rFonts w:ascii="Verdana" w:hAnsi="Verdana" w:cs="Arial"/>
        </w:rPr>
      </w:pPr>
    </w:p>
    <w:p w14:paraId="749D4592" w14:textId="77777777" w:rsidR="00B54967" w:rsidRPr="00B54967" w:rsidRDefault="00B54967" w:rsidP="00B54967">
      <w:pPr>
        <w:spacing w:after="0" w:line="240" w:lineRule="auto"/>
        <w:ind w:left="709" w:right="709"/>
        <w:jc w:val="both"/>
        <w:rPr>
          <w:rFonts w:ascii="Verdana" w:hAnsi="Verdana" w:cs="Arial"/>
          <w:sz w:val="20"/>
          <w:szCs w:val="20"/>
        </w:rPr>
      </w:pPr>
      <w:r w:rsidRPr="00B54967">
        <w:rPr>
          <w:rFonts w:ascii="Verdana" w:hAnsi="Verdana" w:cs="Arial"/>
          <w:sz w:val="20"/>
          <w:szCs w:val="20"/>
          <w:lang w:val="es-MX"/>
        </w:rPr>
        <w:t>“i)</w:t>
      </w:r>
      <w:r w:rsidRPr="00B54967">
        <w:rPr>
          <w:rFonts w:ascii="Verdana" w:hAnsi="Verdana" w:cs="Arial"/>
          <w:sz w:val="20"/>
          <w:szCs w:val="20"/>
        </w:rPr>
        <w:t xml:space="preserve"> el inciso segundo 2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 y, </w:t>
      </w:r>
    </w:p>
    <w:p w14:paraId="5082ED5F" w14:textId="77777777" w:rsidR="00B54967" w:rsidRPr="00B54967" w:rsidRDefault="00B54967" w:rsidP="00B54967">
      <w:pPr>
        <w:spacing w:after="0" w:line="240" w:lineRule="auto"/>
        <w:ind w:left="709" w:right="709"/>
        <w:jc w:val="both"/>
        <w:rPr>
          <w:rFonts w:ascii="Verdana" w:hAnsi="Verdana" w:cs="Arial"/>
          <w:sz w:val="20"/>
          <w:szCs w:val="20"/>
        </w:rPr>
      </w:pPr>
    </w:p>
    <w:p w14:paraId="49D92EC0" w14:textId="77777777" w:rsidR="00B54967" w:rsidRPr="00B54967" w:rsidRDefault="00B54967" w:rsidP="00B54967">
      <w:pPr>
        <w:spacing w:after="0" w:line="240" w:lineRule="auto"/>
        <w:ind w:left="709" w:right="709"/>
        <w:jc w:val="both"/>
        <w:rPr>
          <w:rFonts w:ascii="Verdana" w:hAnsi="Verdana" w:cs="Arial"/>
          <w:sz w:val="20"/>
          <w:szCs w:val="20"/>
        </w:rPr>
      </w:pPr>
      <w:proofErr w:type="spellStart"/>
      <w:r w:rsidRPr="00B54967">
        <w:rPr>
          <w:rFonts w:ascii="Verdana" w:hAnsi="Verdana" w:cs="Arial"/>
          <w:sz w:val="20"/>
          <w:szCs w:val="20"/>
        </w:rPr>
        <w:t>ii</w:t>
      </w:r>
      <w:proofErr w:type="spellEnd"/>
      <w:r w:rsidRPr="00B54967">
        <w:rPr>
          <w:rFonts w:ascii="Verdana" w:hAnsi="Verdana" w:cs="Arial"/>
          <w:sz w:val="20"/>
          <w:szCs w:val="20"/>
        </w:rPr>
        <w:t xml:space="preserve">) la expresión y el siguiente párrafo contenidos en el inciso cuarto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 </w:t>
      </w:r>
    </w:p>
    <w:p w14:paraId="2BE36267" w14:textId="77777777" w:rsidR="00B54967" w:rsidRPr="00B54967" w:rsidRDefault="00B54967" w:rsidP="00B54967">
      <w:pPr>
        <w:spacing w:after="0" w:line="276" w:lineRule="auto"/>
        <w:ind w:left="709" w:right="709"/>
        <w:jc w:val="both"/>
        <w:rPr>
          <w:rFonts w:ascii="Verdana" w:hAnsi="Verdana" w:cs="Arial"/>
        </w:rPr>
      </w:pPr>
    </w:p>
    <w:p w14:paraId="4D42DD69" w14:textId="77777777" w:rsidR="00B54967" w:rsidRPr="00B54967" w:rsidRDefault="00B54967" w:rsidP="00B54967">
      <w:pPr>
        <w:spacing w:after="120" w:line="276" w:lineRule="auto"/>
        <w:ind w:firstLine="709"/>
        <w:jc w:val="both"/>
        <w:rPr>
          <w:rFonts w:ascii="Verdana" w:eastAsia="Arial" w:hAnsi="Verdana" w:cs="Arial"/>
          <w:i/>
          <w:iCs/>
          <w:lang w:eastAsia="es-ES" w:bidi="es-ES"/>
        </w:rPr>
      </w:pPr>
      <w:r w:rsidRPr="00B54967">
        <w:rPr>
          <w:rFonts w:ascii="Verdana" w:eastAsia="Arial" w:hAnsi="Verdana" w:cs="Arial"/>
          <w:lang w:val="es-MX" w:eastAsia="es-ES" w:bidi="es-ES"/>
        </w:rPr>
        <w:t xml:space="preserve">De conformidad con los argumentos de dicha providencia, se parte de la distinción entre los conceptos </w:t>
      </w:r>
      <w:r w:rsidRPr="00B54967">
        <w:rPr>
          <w:rFonts w:ascii="Verdana" w:eastAsia="Arial" w:hAnsi="Verdana" w:cs="Arial"/>
          <w:lang w:eastAsia="es-ES" w:bidi="es-ES"/>
        </w:rPr>
        <w:t>de “convenio” y “contrato” interadministrativos, para diferenciarlos en su naturaleza, contenido y alcance, lo cual ha servido de fundamento para que tanto la Sección Tercera como también la Sala de Consulta y Servicio Civil de esa Corporación hayan realzado la distinción entre uno y otro negocio jurídico.</w:t>
      </w:r>
      <w:r w:rsidRPr="00B54967">
        <w:rPr>
          <w:rFonts w:ascii="Verdana" w:hAnsi="Verdana"/>
          <w:sz w:val="24"/>
          <w:szCs w:val="24"/>
          <w:lang w:eastAsia="es-CO"/>
        </w:rPr>
        <w:t xml:space="preserve"> </w:t>
      </w:r>
      <w:r w:rsidRPr="00B54967">
        <w:rPr>
          <w:rFonts w:ascii="Verdana" w:eastAsia="Arial" w:hAnsi="Verdana" w:cs="Arial"/>
          <w:lang w:eastAsia="es-ES" w:bidi="es-ES"/>
        </w:rPr>
        <w:t xml:space="preserve">En este sentido, en relación con el parágrafo del artículo 38 de la Ley 996 de 2005 concluyó que </w:t>
      </w:r>
      <w:r w:rsidRPr="00B54967">
        <w:rPr>
          <w:rFonts w:ascii="Verdana" w:eastAsia="Arial" w:hAnsi="Verdana" w:cs="Arial"/>
          <w:i/>
          <w:iCs/>
          <w:lang w:eastAsia="es-ES" w:bidi="es-ES"/>
        </w:rPr>
        <w:t xml:space="preserve">“si el legislador no diferenció al establecer la prohibición o la restricción, mal haría el reglamento en aplicar un efecto expansivo o extensivo para incluir una categoría no cobijada con la limitación, (…)”. </w:t>
      </w:r>
      <w:r w:rsidRPr="00B54967">
        <w:rPr>
          <w:rFonts w:ascii="Verdana" w:eastAsia="Arial" w:hAnsi="Verdana" w:cs="Arial"/>
          <w:lang w:eastAsia="es-ES" w:bidi="es-ES"/>
        </w:rPr>
        <w:t xml:space="preserve">Por tal motivo, para efectos de decretar la medida de suspensión provisional de los apartes señalados del numeral 16.2 de la Circular Externa Única, argumentó que </w:t>
      </w:r>
      <w:r w:rsidRPr="00B54967">
        <w:rPr>
          <w:rFonts w:ascii="Verdana" w:eastAsia="Arial" w:hAnsi="Verdana" w:cs="Arial"/>
          <w:i/>
          <w:iCs/>
          <w:lang w:eastAsia="es-ES" w:bidi="es-ES"/>
        </w:rPr>
        <w:t>“con independencia del propósito loable o plausible de la disposición ya que, procura que no se usen los recursos estatales para incidir o afectar la contienda electoral, no cabe duda de que la entidad demandada incorporó en la prohibición una categoría que no quedó comprendida expresa e inequívocamente en la ley</w:t>
      </w:r>
      <w:r w:rsidRPr="00B54967">
        <w:rPr>
          <w:rFonts w:ascii="Verdana" w:eastAsia="Arial" w:hAnsi="Verdana" w:cs="Arial"/>
          <w:lang w:eastAsia="es-ES" w:bidi="es-ES"/>
        </w:rPr>
        <w:t>”</w:t>
      </w:r>
      <w:r w:rsidRPr="00B54967">
        <w:rPr>
          <w:rFonts w:ascii="Verdana" w:eastAsia="Arial" w:hAnsi="Verdana" w:cs="Arial"/>
          <w:i/>
          <w:iCs/>
          <w:lang w:eastAsia="es-ES" w:bidi="es-ES"/>
        </w:rPr>
        <w:t xml:space="preserve">. </w:t>
      </w:r>
    </w:p>
    <w:p w14:paraId="1934F6BD" w14:textId="77777777" w:rsidR="00B54967" w:rsidRPr="00B54967" w:rsidRDefault="00B54967" w:rsidP="00B54967">
      <w:pPr>
        <w:spacing w:after="120" w:line="276" w:lineRule="auto"/>
        <w:ind w:firstLine="709"/>
        <w:jc w:val="both"/>
        <w:rPr>
          <w:rFonts w:ascii="Verdana" w:eastAsia="Arial" w:hAnsi="Verdana" w:cs="Arial"/>
          <w:lang w:eastAsia="es-ES" w:bidi="es-ES"/>
        </w:rPr>
      </w:pPr>
      <w:r w:rsidRPr="00B54967">
        <w:rPr>
          <w:rFonts w:ascii="Verdana" w:eastAsia="Arial" w:hAnsi="Verdana" w:cs="Arial"/>
          <w:lang w:eastAsia="es-ES" w:bidi="es-ES"/>
        </w:rPr>
        <w:t>De igual manera, mediante auto del 6 de noviembre de 2025, el Consejo de Estado, Subsección A de la Sección Tercera, decretó</w:t>
      </w:r>
      <w:r w:rsidRPr="00B54967">
        <w:rPr>
          <w:rFonts w:ascii="Verdana" w:eastAsia="Arial" w:hAnsi="Verdana" w:cs="Arial"/>
          <w:b/>
          <w:bCs/>
          <w:lang w:eastAsia="es-ES" w:bidi="es-ES"/>
        </w:rPr>
        <w:t xml:space="preserve"> </w:t>
      </w:r>
      <w:r w:rsidRPr="00B54967">
        <w:rPr>
          <w:rFonts w:ascii="Verdana" w:eastAsia="Arial" w:hAnsi="Verdana" w:cs="Arial"/>
          <w:lang w:eastAsia="es-ES" w:bidi="es-ES"/>
        </w:rPr>
        <w:t xml:space="preserve">la suspensión provisional de los apartes cuestionados del inciso segundo y del inciso cuarto del numeral 16.2 de la Circular Externa Única, versión 3 del 27 de diciembre de 2023, expedida por la Agencia Nacional de Contratación Pública – Colombia Compra </w:t>
      </w:r>
      <w:r w:rsidRPr="00B54967">
        <w:rPr>
          <w:rFonts w:ascii="Verdana" w:eastAsia="Arial" w:hAnsi="Verdana" w:cs="Arial"/>
          <w:lang w:eastAsia="es-ES" w:bidi="es-ES"/>
        </w:rPr>
        <w:lastRenderedPageBreak/>
        <w:t>Eficiente relacionados con los contratos interadministrativos</w:t>
      </w:r>
      <w:r w:rsidRPr="00B54967">
        <w:rPr>
          <w:rFonts w:ascii="Verdana" w:eastAsia="Arial" w:hAnsi="Verdana" w:cs="Arial"/>
          <w:vertAlign w:val="superscript"/>
          <w:lang w:eastAsia="es-ES" w:bidi="es-ES"/>
        </w:rPr>
        <w:footnoteReference w:id="37"/>
      </w:r>
      <w:r w:rsidRPr="00B54967">
        <w:rPr>
          <w:rFonts w:ascii="Verdana" w:eastAsia="Arial" w:hAnsi="Verdana" w:cs="Arial"/>
          <w:lang w:eastAsia="es-ES" w:bidi="es-ES"/>
        </w:rPr>
        <w:t xml:space="preserve">. Para tales efectos, el alto tribunal resaltó la interpretación restrictiva de las normas que contienen prohibiciones, como la del parágrafo del artículo 38 de la Ley 996 de 2005, por manera que se excluye la analogía legis o iuris y la interpretación extensiva y reiteró los argumentos sobre la diferencia entre contratos y convenios interadministrativos. </w:t>
      </w:r>
    </w:p>
    <w:p w14:paraId="1FEA723A" w14:textId="77777777" w:rsidR="00B54967" w:rsidRPr="00B54967" w:rsidRDefault="00B54967" w:rsidP="00B54967">
      <w:pPr>
        <w:spacing w:after="120" w:line="276" w:lineRule="auto"/>
        <w:ind w:firstLine="709"/>
        <w:jc w:val="both"/>
        <w:rPr>
          <w:rFonts w:ascii="Verdana" w:eastAsia="Times New Roman" w:hAnsi="Verdana" w:cs="Times New Roman"/>
          <w:lang w:eastAsia="es-ES"/>
        </w:rPr>
      </w:pPr>
      <w:r w:rsidRPr="00B54967">
        <w:rPr>
          <w:rFonts w:ascii="Verdana" w:eastAsia="Arial" w:hAnsi="Verdana" w:cs="Arial"/>
          <w:lang w:eastAsia="es-ES" w:bidi="es-ES"/>
        </w:rPr>
        <w:t xml:space="preserve">Finalmente, mediante sentencia del 17 de octubre de 2025, emitida por la Sección Tercera del Consejo de Estado, dentro del expediente </w:t>
      </w:r>
      <w:r w:rsidRPr="00B54967">
        <w:rPr>
          <w:rFonts w:ascii="Verdana" w:eastAsia="Times New Roman" w:hAnsi="Verdana" w:cs="Times New Roman"/>
          <w:lang w:eastAsia="es-ES"/>
        </w:rPr>
        <w:t xml:space="preserve">11001-03-26-000-2023-00139-00, se declaró la nulidad parcial del numeral 16.2 de la Circular Externa Única de 2022 expedida por la Agencia Nacional de Contratación Pública - Colombia Compra Eficiente que indicaba: “Esta restricción es aplicable tanto a los convenios como a los contratos interadministrativos (…)”. </w:t>
      </w:r>
    </w:p>
    <w:p w14:paraId="002CCC14" w14:textId="77777777" w:rsidR="00B54967" w:rsidRPr="00B54967" w:rsidRDefault="00B54967" w:rsidP="00B54967">
      <w:pPr>
        <w:spacing w:after="120" w:line="276" w:lineRule="auto"/>
        <w:ind w:firstLine="709"/>
        <w:jc w:val="both"/>
        <w:rPr>
          <w:rFonts w:ascii="Verdana" w:eastAsia="Times New Roman" w:hAnsi="Verdana" w:cs="Times New Roman"/>
          <w:lang w:eastAsia="es-ES"/>
        </w:rPr>
      </w:pPr>
      <w:r w:rsidRPr="00B54967">
        <w:rPr>
          <w:rFonts w:ascii="Verdana" w:eastAsia="Times New Roman" w:hAnsi="Verdana" w:cs="Times New Roman"/>
          <w:lang w:eastAsia="es-ES"/>
        </w:rPr>
        <w:t>La anterior decisión se adoptó al considerar que la Agencia excedió su competencia material al incluir contratos en una restricción que la Ley de Garantías Electorales solo previó para convenios, cuando no es posible aplicar por analogía o extensión una norma que establece prohibiciones</w:t>
      </w:r>
      <w:r w:rsidRPr="00B54967">
        <w:rPr>
          <w:rFonts w:ascii="Verdana" w:eastAsia="Times New Roman" w:hAnsi="Verdana" w:cs="Times New Roman"/>
          <w:vertAlign w:val="superscript"/>
          <w:lang w:eastAsia="es-ES"/>
        </w:rPr>
        <w:footnoteReference w:id="38"/>
      </w:r>
      <w:r w:rsidRPr="00B54967">
        <w:rPr>
          <w:rFonts w:ascii="Verdana" w:eastAsia="Times New Roman" w:hAnsi="Verdana" w:cs="Times New Roman"/>
          <w:lang w:eastAsia="es-ES"/>
        </w:rPr>
        <w:t xml:space="preserve">. Sobre el </w:t>
      </w:r>
      <w:r w:rsidRPr="00B54967">
        <w:rPr>
          <w:rFonts w:ascii="Verdana" w:eastAsia="Times New Roman" w:hAnsi="Verdana" w:cs="Times New Roman"/>
          <w:lang w:eastAsia="es-ES"/>
        </w:rPr>
        <w:lastRenderedPageBreak/>
        <w:t xml:space="preserve">particular, la Sala concluyó que contratos y convenios interadministrativos son figuras distintas en naturaleza, objeto y efectos, pues mientras los contratos implican obligaciones patrimoniales y contraprestación, los convenios se basan en cooperación sin ánimo económico. Por ello, la restricción legal no podía aplicarse extensivamente a los contratos. </w:t>
      </w:r>
    </w:p>
    <w:p w14:paraId="519DC6CC" w14:textId="77777777" w:rsidR="00B54967" w:rsidRPr="00B54967" w:rsidRDefault="00B54967" w:rsidP="00B54967">
      <w:pPr>
        <w:spacing w:after="120" w:line="276" w:lineRule="auto"/>
        <w:ind w:firstLine="709"/>
        <w:jc w:val="both"/>
        <w:rPr>
          <w:rFonts w:ascii="Verdana" w:eastAsia="Times New Roman" w:hAnsi="Verdana" w:cs="Arial"/>
          <w:lang w:eastAsia="es-CO"/>
        </w:rPr>
      </w:pPr>
      <w:r w:rsidRPr="00B54967">
        <w:rPr>
          <w:rFonts w:ascii="Verdana" w:eastAsia="Times New Roman" w:hAnsi="Verdana" w:cs="Times New Roman"/>
          <w:lang w:eastAsia="es-ES"/>
        </w:rPr>
        <w:t xml:space="preserve">A juicio de la Sala, aunque el propósito de la Circular Externa era legítimo –evitar el uso indebido de recursos en época electoral–, el numeral 16.2. desconoció el alcance literal del artículo 38 de la Ley 996 de 2005 y los límites de la potestad reglamentaria, lo que configuró un vicio de contenido. </w:t>
      </w:r>
      <w:r w:rsidRPr="00B54967">
        <w:rPr>
          <w:rFonts w:ascii="Verdana" w:eastAsia="Times New Roman" w:hAnsi="Verdana" w:cs="Arial"/>
          <w:lang w:eastAsia="es-CO"/>
        </w:rPr>
        <w:t xml:space="preserve">Así las cosas, a la luz de lo expuesto por el Consejo de Estado, en la sentencia expedida por la Sección Tercera de la Sala de lo Contencioso Administrativo del 17 de octubre de 2025, en los autos del 4 de octubre de 2024 y 6 de noviembre de 2025, no resultaría aplicable la prohibición del parágrafo del artículo 38 de la Ley de Garantías Electorales a los </w:t>
      </w:r>
      <w:r w:rsidRPr="00B54967">
        <w:rPr>
          <w:rFonts w:ascii="Verdana" w:eastAsia="Times New Roman" w:hAnsi="Verdana" w:cs="Arial"/>
          <w:i/>
          <w:iCs/>
          <w:lang w:eastAsia="es-CO"/>
        </w:rPr>
        <w:t>contratos interadministrativos</w:t>
      </w:r>
      <w:r w:rsidRPr="00B54967">
        <w:rPr>
          <w:rFonts w:ascii="Verdana" w:eastAsia="Times New Roman" w:hAnsi="Verdana" w:cs="Arial"/>
          <w:lang w:eastAsia="es-CO"/>
        </w:rPr>
        <w:t>, esta prohibición solo aplicaría a los convenios interadministrativos que impliquen la ejecución de recursos públicos</w:t>
      </w:r>
      <w:r w:rsidRPr="00B54967">
        <w:rPr>
          <w:rFonts w:ascii="Verdana" w:eastAsia="Times New Roman" w:hAnsi="Verdana" w:cs="Arial"/>
          <w:vertAlign w:val="superscript"/>
          <w:lang w:eastAsia="es-CO"/>
        </w:rPr>
        <w:footnoteReference w:id="39"/>
      </w:r>
      <w:r w:rsidRPr="00B54967">
        <w:rPr>
          <w:rFonts w:ascii="Verdana" w:eastAsia="Times New Roman" w:hAnsi="Verdana" w:cs="Arial"/>
          <w:lang w:eastAsia="es-CO"/>
        </w:rPr>
        <w:t xml:space="preserve">. Conforme a lo señalado por el Consejo de Estado, cuando dos entidades públicas celebren un </w:t>
      </w:r>
      <w:r w:rsidRPr="00B54967">
        <w:rPr>
          <w:rFonts w:ascii="Verdana" w:eastAsia="Times New Roman" w:hAnsi="Verdana" w:cs="Arial"/>
          <w:i/>
          <w:iCs/>
          <w:lang w:eastAsia="es-CO"/>
        </w:rPr>
        <w:t>contrato interadministrativo,</w:t>
      </w:r>
      <w:r w:rsidRPr="00B54967">
        <w:rPr>
          <w:rFonts w:ascii="Verdana" w:eastAsia="Times New Roman" w:hAnsi="Verdana" w:cs="Arial"/>
          <w:lang w:eastAsia="es-CO"/>
        </w:rPr>
        <w:t xml:space="preserve"> independientemente del objeto, dicho contrato puede suscribirse durante el periodo preelectoral.</w:t>
      </w:r>
    </w:p>
    <w:p w14:paraId="2CE06E68" w14:textId="77777777" w:rsidR="00B54967" w:rsidRPr="00B54967" w:rsidRDefault="00B54967" w:rsidP="00B54967">
      <w:pPr>
        <w:spacing w:after="120" w:line="276" w:lineRule="auto"/>
        <w:ind w:firstLine="708"/>
        <w:jc w:val="both"/>
        <w:rPr>
          <w:rFonts w:ascii="Verdana" w:eastAsia="Times New Roman" w:hAnsi="Verdana" w:cs="Arial"/>
          <w:bCs/>
          <w:lang w:val="es-MX" w:eastAsia="x-none"/>
        </w:rPr>
      </w:pPr>
      <w:r w:rsidRPr="00B54967">
        <w:rPr>
          <w:rFonts w:ascii="Verdana" w:eastAsia="Times New Roman" w:hAnsi="Verdana" w:cs="Arial"/>
          <w:lang w:eastAsia="es-CO"/>
        </w:rPr>
        <w:t>En este aspecto, se encuentra que la restricción para la celebración de convenios interadministrativos para la ejecución de recursos públicos no puede aludirse a contratantes o contratistas, sino de partes cooperantes o colaboradoras. Así mismo, aplica para cualquier tipo de elección, lo que implica que la restricción del parágrafo del artículo 38</w:t>
      </w:r>
      <w:r w:rsidRPr="00B54967">
        <w:rPr>
          <w:rFonts w:ascii="Verdana" w:eastAsia="Times New Roman" w:hAnsi="Verdana" w:cs="Arial"/>
          <w:bCs/>
          <w:lang w:val="es-MX" w:eastAsia="x-none"/>
        </w:rPr>
        <w:t xml:space="preserve"> aplica desde el 8 de noviembre de 2025, teniendo en cuenta que la Resolución 02580 del 5 de marzo de 2025 de la Registraduría Nacional del Estado Civil dispuso que las elecciones de senado y cámara se celebraron el 8 de marzo de 2026. Esta restricción se extiende a las elecciones presidenciales que se celebrarán el 31 de mayo de 2026, así como una posible segunda vuelta tres semanas después, es decir, el 21 de junio de 2026. </w:t>
      </w:r>
    </w:p>
    <w:p w14:paraId="38F85C08" w14:textId="77777777" w:rsidR="00B54967" w:rsidRPr="00B54967" w:rsidRDefault="00B54967" w:rsidP="00B54967">
      <w:pPr>
        <w:spacing w:after="120" w:line="276" w:lineRule="auto"/>
        <w:ind w:firstLine="708"/>
        <w:jc w:val="both"/>
        <w:rPr>
          <w:rFonts w:ascii="Verdana" w:eastAsia="Calibri" w:hAnsi="Verdana" w:cs="Arial"/>
          <w:lang w:val="es-ES" w:eastAsia="es-ES"/>
        </w:rPr>
      </w:pPr>
      <w:r w:rsidRPr="00B54967">
        <w:rPr>
          <w:rFonts w:ascii="Verdana" w:eastAsia="Times New Roman" w:hAnsi="Verdana" w:cs="Arial"/>
          <w:lang w:eastAsia="es-CO"/>
        </w:rPr>
        <w:lastRenderedPageBreak/>
        <w:t xml:space="preserve"> No obstante, es importante mencionar que aún se encuentra por definir la demanda </w:t>
      </w:r>
      <w:r w:rsidRPr="00B54967">
        <w:rPr>
          <w:rFonts w:ascii="Verdana" w:eastAsia="Calibri" w:hAnsi="Verdana" w:cs="Arial"/>
          <w:lang w:val="es-ES" w:eastAsia="es-ES"/>
        </w:rPr>
        <w:t xml:space="preserve">de nulidad simple, identificada con el Radicado número 11001-03-26-000-2025-00016-00, en la cual se cuestiona </w:t>
      </w:r>
      <w:r w:rsidRPr="00B54967">
        <w:rPr>
          <w:rFonts w:ascii="Verdana" w:eastAsia="Calibri" w:hAnsi="Verdana" w:cs="Arial"/>
          <w:lang w:eastAsia="es-ES"/>
        </w:rPr>
        <w:t>parcialmente el numeral 16.2 de la Circular Externa Única CCE-EICP-MA-06, Versión 03 del 27 de diciembre de 2023.</w:t>
      </w:r>
      <w:r w:rsidRPr="00B54967">
        <w:rPr>
          <w:rFonts w:ascii="Verdana" w:eastAsia="Calibri" w:hAnsi="Verdana" w:cs="Arial"/>
          <w:lang w:val="es-ES" w:eastAsia="es-ES"/>
        </w:rPr>
        <w:t xml:space="preserve"> </w:t>
      </w:r>
    </w:p>
    <w:p w14:paraId="3D4EC7B6" w14:textId="3C69720E" w:rsidR="00B54967" w:rsidRPr="00822CEF" w:rsidRDefault="00B54967" w:rsidP="00822CEF">
      <w:pPr>
        <w:spacing w:before="120" w:after="0" w:line="276" w:lineRule="auto"/>
        <w:ind w:firstLine="709"/>
        <w:jc w:val="both"/>
        <w:rPr>
          <w:rFonts w:ascii="Verdana" w:eastAsia="Calibri" w:hAnsi="Verdana" w:cs="Arial"/>
          <w:lang w:val="es-ES"/>
        </w:rPr>
      </w:pPr>
      <w:r w:rsidRPr="00B54967">
        <w:rPr>
          <w:rFonts w:ascii="Verdana" w:eastAsia="Times New Roman" w:hAnsi="Verdana" w:cs="Arial"/>
          <w:lang w:val="es-MX" w:eastAsia="x-none"/>
        </w:rPr>
        <w:t xml:space="preserve"> La restricción prevista en el artículo 33 de la Ley de Garantías Electorales contempla algunas excepciones, con fundamento en las cuales podrán las entidades públicas adelantar procedimientos de contratación directa en períodos previos a la contienda electoral por la Presidencia, siempre que se subsuma en los supuestos contemplados de manera taxativa en el inciso final del citado artículo 33 de la Ley 996 de 2005. Por lo tanto, será</w:t>
      </w:r>
      <w:r w:rsidRPr="00B54967">
        <w:rPr>
          <w:rFonts w:ascii="Verdana" w:eastAsia="Times New Roman" w:hAnsi="Verdana" w:cs="Arial"/>
          <w:lang w:val="es-MX" w:eastAsia="es-CO"/>
        </w:rPr>
        <w:t xml:space="preserve"> responsabilidad de la entidad estatal, examinar en cada caso la naturaleza de las actividades que adelanta y determinar si las mismas se enmarcan en alguna de las mencionadas excepciones. </w:t>
      </w:r>
      <w:r w:rsidRPr="00B54967">
        <w:rPr>
          <w:rFonts w:ascii="Verdana" w:eastAsia="Calibri" w:hAnsi="Verdana" w:cs="Arial"/>
          <w:lang w:val="es-ES"/>
        </w:rPr>
        <w:t xml:space="preserve"> </w:t>
      </w:r>
    </w:p>
    <w:p w14:paraId="125055C1" w14:textId="77777777" w:rsidR="00B54967" w:rsidRPr="00B54967" w:rsidRDefault="00B54967" w:rsidP="00B54967">
      <w:pPr>
        <w:spacing w:after="120" w:line="276" w:lineRule="auto"/>
        <w:ind w:firstLine="709"/>
        <w:jc w:val="both"/>
        <w:rPr>
          <w:rFonts w:ascii="Verdana" w:hAnsi="Verdana"/>
          <w:lang w:val="es-ES_tradnl"/>
        </w:rPr>
      </w:pPr>
      <w:r w:rsidRPr="00B54967">
        <w:rPr>
          <w:rFonts w:ascii="Verdana"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EF68F47" w14:textId="77777777" w:rsidR="00B54967" w:rsidRPr="00B54967" w:rsidRDefault="00B54967" w:rsidP="00B54967">
      <w:pPr>
        <w:spacing w:after="0" w:line="276" w:lineRule="auto"/>
        <w:ind w:firstLine="709"/>
        <w:jc w:val="both"/>
        <w:rPr>
          <w:rFonts w:ascii="Verdana" w:hAnsi="Verdana" w:cs="Arial"/>
          <w:bCs/>
          <w:color w:val="000000" w:themeColor="text1"/>
        </w:rPr>
      </w:pPr>
      <w:r w:rsidRPr="00B54967">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43E3592E" w14:textId="77777777" w:rsidR="00B54967" w:rsidRPr="00B54967" w:rsidRDefault="00B54967" w:rsidP="00B54967">
      <w:pPr>
        <w:spacing w:after="0" w:line="240" w:lineRule="auto"/>
        <w:jc w:val="both"/>
        <w:rPr>
          <w:rFonts w:ascii="Verdana" w:hAnsi="Verdana" w:cs="Arial"/>
          <w:bCs/>
          <w:color w:val="000000" w:themeColor="text1"/>
        </w:rPr>
      </w:pPr>
    </w:p>
    <w:p w14:paraId="03E11102" w14:textId="77777777" w:rsidR="00B54967" w:rsidRPr="00B54967" w:rsidRDefault="00B54967" w:rsidP="00B54967">
      <w:pPr>
        <w:spacing w:after="0" w:line="276" w:lineRule="auto"/>
        <w:jc w:val="both"/>
        <w:rPr>
          <w:rFonts w:ascii="Verdana" w:eastAsia="Century Gothic" w:hAnsi="Verdana" w:cs="Century Gothic"/>
          <w:b/>
          <w:bCs/>
        </w:rPr>
      </w:pPr>
      <w:bookmarkStart w:id="20" w:name="_Hlk204854194"/>
      <w:r w:rsidRPr="00B54967">
        <w:rPr>
          <w:rFonts w:ascii="Verdana" w:hAnsi="Verdana" w:cs="Arial"/>
          <w:b/>
          <w:color w:val="000000" w:themeColor="text1"/>
        </w:rPr>
        <w:t>4.</w:t>
      </w:r>
      <w:r w:rsidRPr="00B54967">
        <w:rPr>
          <w:rFonts w:ascii="Verdana" w:hAnsi="Verdana" w:cs="Arial"/>
          <w:bCs/>
          <w:color w:val="000000" w:themeColor="text1"/>
        </w:rPr>
        <w:t xml:space="preserve"> </w:t>
      </w:r>
      <w:r w:rsidRPr="00B54967">
        <w:rPr>
          <w:rFonts w:ascii="Verdana" w:eastAsia="Century Gothic" w:hAnsi="Verdana" w:cs="Century Gothic"/>
          <w:b/>
          <w:bCs/>
        </w:rPr>
        <w:t>Referencias normativas y jurisprudenciales:</w:t>
      </w:r>
      <w:bookmarkEnd w:id="20"/>
    </w:p>
    <w:p w14:paraId="6C561E4A" w14:textId="77777777" w:rsidR="00B54967" w:rsidRPr="00B54967" w:rsidRDefault="00B54967" w:rsidP="00B54967">
      <w:pPr>
        <w:spacing w:after="0" w:line="276" w:lineRule="auto"/>
        <w:jc w:val="both"/>
        <w:rPr>
          <w:rFonts w:ascii="Verdana" w:hAnsi="Verdana" w:cs="Arial"/>
          <w:bCs/>
          <w:color w:val="000000" w:themeColor="text1"/>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54967" w:rsidRPr="00B54967" w14:paraId="75C1D545" w14:textId="77777777" w:rsidTr="003F0972">
        <w:trPr>
          <w:trHeight w:val="56"/>
          <w:jc w:val="center"/>
        </w:trPr>
        <w:tc>
          <w:tcPr>
            <w:tcW w:w="8647" w:type="dxa"/>
          </w:tcPr>
          <w:p w14:paraId="3ED4EF4C"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Constitución Política. Artículo 127</w:t>
            </w:r>
          </w:p>
          <w:p w14:paraId="09ED1E8A"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lastRenderedPageBreak/>
              <w:t xml:space="preserve">Ley 80 de 1993. Artículo 41. </w:t>
            </w:r>
          </w:p>
          <w:p w14:paraId="68B94522"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Ley 996 de 2005. Artículos 33 y 38.</w:t>
            </w:r>
          </w:p>
          <w:p w14:paraId="269E219D"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Ley 1150 de 2007. Artículo 2, numeral 4 literal c).</w:t>
            </w:r>
          </w:p>
          <w:p w14:paraId="1B7C4BF8"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 xml:space="preserve">Consejo de Estado. Sala de Consulta y Servicio Civil. Concepto no. 2257 del 26 de julio de 2016, C.P. Álvaro Namén Vargas. </w:t>
            </w:r>
          </w:p>
          <w:p w14:paraId="0A7B2AF6"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 xml:space="preserve">Consejo de Estado. Sala de lo Contencioso Administrativo. Sección Tercera, Subsección A. Sentencia del 23 de junio de 2010. C.P. Mauricio Fajardo Gómez. </w:t>
            </w:r>
            <w:proofErr w:type="spellStart"/>
            <w:r w:rsidRPr="00B54967">
              <w:rPr>
                <w:rFonts w:ascii="Verdana" w:hAnsi="Verdana" w:cs="Arial"/>
                <w:lang w:val="es-ES" w:eastAsia="es-ES"/>
              </w:rPr>
              <w:t>Exp</w:t>
            </w:r>
            <w:proofErr w:type="spellEnd"/>
            <w:r w:rsidRPr="00B54967">
              <w:rPr>
                <w:rFonts w:ascii="Verdana" w:hAnsi="Verdana" w:cs="Arial"/>
                <w:lang w:val="es-ES" w:eastAsia="es-ES"/>
              </w:rPr>
              <w:t xml:space="preserve"> 17860.</w:t>
            </w:r>
          </w:p>
          <w:p w14:paraId="322BC5E2"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 xml:space="preserve">Consejo de Estado. Sala de lo Contencioso Administrativo. Sección Tercera. Subsección B. Auto del 4 de octubre de 2024. </w:t>
            </w:r>
            <w:proofErr w:type="spellStart"/>
            <w:r w:rsidRPr="00B54967">
              <w:rPr>
                <w:rFonts w:ascii="Verdana" w:hAnsi="Verdana" w:cs="Arial"/>
                <w:lang w:val="es-ES" w:eastAsia="es-ES"/>
              </w:rPr>
              <w:t>Exp</w:t>
            </w:r>
            <w:proofErr w:type="spellEnd"/>
            <w:r w:rsidRPr="00B54967">
              <w:rPr>
                <w:rFonts w:ascii="Verdana" w:hAnsi="Verdana" w:cs="Arial"/>
                <w:lang w:val="es-ES" w:eastAsia="es-ES"/>
              </w:rPr>
              <w:t xml:space="preserve"> 70313. C.P. Fredy Ibarra Martínez.</w:t>
            </w:r>
          </w:p>
          <w:p w14:paraId="54533083"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lang w:val="es-ES"/>
              </w:rPr>
              <w:t xml:space="preserve">Consejo De Estado. Sala de Consulta y Servicio Civil. Concepto del 30 de mayo de 2017. Rad. 2.319. C.P. Edgar González López. </w:t>
            </w:r>
          </w:p>
          <w:p w14:paraId="16790163"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Consejo de Estado. Sala Plena. Auto del 15 de marzo de 2022. Expediente: 62.003. C.P: Rocío Araujo Oñate.</w:t>
            </w:r>
          </w:p>
          <w:p w14:paraId="3B36E6BE"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 xml:space="preserve">Consejo de Estado. Sala de lo Contencioso Administrativo. Sección Primera. Sentencia de 3 de marzo de 2005. Radicado: 25001-23-15-000-2004-00823-01 (PI). C.P: Camilo Arciniegas Andrade. </w:t>
            </w:r>
          </w:p>
          <w:p w14:paraId="443ECE35"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 xml:space="preserve">Consejo de Estado, Sala de Consulta y Servicio Civil. 24 de julio de 2013. Radicado: 11001-03-06-000-2013-00407-00 (2166). C.P. Álvaro Namén Vargas.  </w:t>
            </w:r>
          </w:p>
          <w:p w14:paraId="38799029"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Consejo de Estado. Sala de Consulta y Servicio Civil. Concepto del 17 de febrero de 2015. Radicado: 11001-03-06-000-2015-00164-00 (2269). C.P. William Zambrano Cetina.</w:t>
            </w:r>
          </w:p>
          <w:p w14:paraId="2A9C449F"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Consejo de Estado. Sala de Consulta y Servicio Civil. Concepto del 2 de septiembre de 2013. Radicación número: 11001-03-06-000-2013-00412-00 (2168). C.P: Álvaro Namén Vargas.</w:t>
            </w:r>
          </w:p>
          <w:p w14:paraId="4801456D"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Consejo de Estado. Sala de Consulta y Servicio Civil, Concepto de 8 de mayo de 2018. Radicación Número: 11001-03-06-000-2018-00095-00 (2382). C.P: Álvaro Namén Vargas.</w:t>
            </w:r>
          </w:p>
          <w:p w14:paraId="73D1533E"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Consejo de Estado. Sala de Consulta y Servicio Civil. Concepto de 20 de febrero de 2006. Radicación Número: 11001-03-06-000-2006-00026-00 (1727). C.P: Enrique José Arboleda Perdomo.</w:t>
            </w:r>
          </w:p>
          <w:p w14:paraId="407359E6"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Consejo de Estado. Sala de Consulta y Servicio Civil. Concepto de 6 de abril de 2006. Radicación Número: 11001-03-06-000-2006-00038-00 (1738). C.P: Enrique José Arboleda Perdomo.</w:t>
            </w:r>
          </w:p>
          <w:p w14:paraId="244CA772"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lastRenderedPageBreak/>
              <w:t>Consejo de Estado. Sala de Consulta y Servicio Civil. Concepto del 18 de febrero 2010. Rad. 11001-03-06-000-2010-00006-00 (1985). C.P. Enrique José Arboleda Perdomo.</w:t>
            </w:r>
          </w:p>
          <w:p w14:paraId="2BC0808E" w14:textId="77777777" w:rsidR="00B54967" w:rsidRPr="00B54967" w:rsidRDefault="00B54967" w:rsidP="00B54967">
            <w:pPr>
              <w:numPr>
                <w:ilvl w:val="0"/>
                <w:numId w:val="16"/>
              </w:numPr>
              <w:spacing w:after="160" w:line="276" w:lineRule="auto"/>
              <w:ind w:left="714" w:hanging="357"/>
              <w:contextualSpacing/>
              <w:jc w:val="both"/>
              <w:rPr>
                <w:rFonts w:ascii="Verdana" w:hAnsi="Verdana" w:cs="Arial"/>
                <w:lang w:val="es-ES" w:eastAsia="es-ES"/>
              </w:rPr>
            </w:pPr>
            <w:r w:rsidRPr="00B54967">
              <w:rPr>
                <w:rFonts w:ascii="Verdana" w:hAnsi="Verdana" w:cs="Arial"/>
                <w:lang w:val="es-ES" w:eastAsia="es-ES"/>
              </w:rPr>
              <w:t>Corte Constitucional. Sentencia C- 1153 de 2005, M.P: Marco Gerardo Monroy Cabra.</w:t>
            </w:r>
            <w:r w:rsidRPr="00B54967">
              <w:rPr>
                <w:rFonts w:ascii="Verdana" w:hAnsi="Verdana" w:cs="Arial"/>
                <w:lang w:val="es-ES" w:eastAsia="es-ES"/>
              </w:rPr>
              <w:tab/>
            </w:r>
          </w:p>
          <w:p w14:paraId="13108DA6"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cs="Arial"/>
                <w:lang w:val="es-ES" w:eastAsia="es-ES"/>
              </w:rPr>
              <w:t xml:space="preserve">Corte Constitucional. Sentencia C-671 de 2005. M.P. Álvaro Tafur Galvis. </w:t>
            </w:r>
          </w:p>
          <w:p w14:paraId="7D16C668"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lang w:val="es-ES"/>
              </w:rPr>
              <w:t xml:space="preserve">Agencia Nacional de Contratación Pública – Colombia Compra Eficiente. Circular Externa 006 del 25 de septiembre de 2025. Disponible en </w:t>
            </w:r>
            <w:hyperlink r:id="rId11" w:history="1">
              <w:r w:rsidRPr="00B54967">
                <w:rPr>
                  <w:rFonts w:ascii="Verdana" w:hAnsi="Verdana"/>
                  <w:color w:val="0000FF"/>
                  <w:u w:val="single"/>
                </w:rPr>
                <w:t>006-de-2025-Circular-Externa-L996-ajustado-comentarios-BM-BID-Rev-ARSC-V3.d-1.pdf</w:t>
              </w:r>
            </w:hyperlink>
          </w:p>
          <w:p w14:paraId="6DC69151" w14:textId="77777777" w:rsidR="00B54967" w:rsidRPr="00B54967" w:rsidRDefault="00B54967" w:rsidP="00B54967">
            <w:pPr>
              <w:numPr>
                <w:ilvl w:val="0"/>
                <w:numId w:val="16"/>
              </w:numPr>
              <w:spacing w:after="120" w:line="276" w:lineRule="auto"/>
              <w:contextualSpacing/>
              <w:jc w:val="both"/>
              <w:rPr>
                <w:rFonts w:ascii="Verdana" w:hAnsi="Verdana" w:cs="Arial"/>
                <w:lang w:val="es-ES" w:eastAsia="es-ES"/>
              </w:rPr>
            </w:pPr>
            <w:r w:rsidRPr="00B54967">
              <w:rPr>
                <w:rFonts w:ascii="Verdana" w:hAnsi="Verdana"/>
                <w:lang w:val="es-ES"/>
              </w:rPr>
              <w:t>SANTOS RODRÍGUEZ, Jorge Enrique. Consideraciones sobre los contratos y convenios interadministrativos. En: Revista Digital de Derecho Administrativo, 2008.</w:t>
            </w:r>
          </w:p>
        </w:tc>
      </w:tr>
    </w:tbl>
    <w:p w14:paraId="281FBA38" w14:textId="77777777" w:rsidR="00B54967" w:rsidRPr="00B54967" w:rsidRDefault="00B54967" w:rsidP="00B54967">
      <w:pPr>
        <w:tabs>
          <w:tab w:val="left" w:pos="142"/>
          <w:tab w:val="left" w:pos="284"/>
          <w:tab w:val="left" w:pos="3828"/>
        </w:tabs>
        <w:spacing w:after="0" w:line="276" w:lineRule="auto"/>
        <w:jc w:val="both"/>
        <w:rPr>
          <w:rFonts w:ascii="Verdana" w:eastAsia="Century Gothic" w:hAnsi="Verdana" w:cs="Century Gothic"/>
          <w:b/>
          <w:bCs/>
        </w:rPr>
      </w:pPr>
    </w:p>
    <w:p w14:paraId="6437BD73" w14:textId="77777777" w:rsidR="00B54967" w:rsidRPr="00B54967" w:rsidRDefault="00B54967" w:rsidP="00B54967">
      <w:pPr>
        <w:tabs>
          <w:tab w:val="left" w:pos="142"/>
          <w:tab w:val="left" w:pos="284"/>
          <w:tab w:val="left" w:pos="3828"/>
        </w:tabs>
        <w:spacing w:after="0" w:line="276" w:lineRule="auto"/>
        <w:jc w:val="both"/>
        <w:rPr>
          <w:rFonts w:ascii="Verdana" w:eastAsia="Century Gothic" w:hAnsi="Verdana" w:cs="Century Gothic"/>
          <w:b/>
          <w:bCs/>
        </w:rPr>
      </w:pPr>
      <w:r w:rsidRPr="00B54967">
        <w:rPr>
          <w:rFonts w:ascii="Verdana" w:eastAsia="Century Gothic" w:hAnsi="Verdana" w:cs="Century Gothic"/>
          <w:b/>
          <w:bCs/>
        </w:rPr>
        <w:t>5. Doctrina de la Agencia Nacional de Contratación Pública:</w:t>
      </w:r>
    </w:p>
    <w:p w14:paraId="496BCD14" w14:textId="77777777" w:rsidR="00B54967" w:rsidRPr="00B54967" w:rsidRDefault="00B54967" w:rsidP="00B54967">
      <w:pPr>
        <w:widowControl w:val="0"/>
        <w:autoSpaceDE w:val="0"/>
        <w:autoSpaceDN w:val="0"/>
        <w:spacing w:after="0" w:line="240" w:lineRule="auto"/>
        <w:jc w:val="both"/>
        <w:rPr>
          <w:rFonts w:ascii="Verdana" w:hAnsi="Verdana" w:cs="Arial"/>
          <w:shd w:val="clear" w:color="auto" w:fill="FFFFFF"/>
        </w:rPr>
      </w:pPr>
    </w:p>
    <w:p w14:paraId="47A74C1C" w14:textId="77777777" w:rsidR="00B54967" w:rsidRPr="00B54967" w:rsidRDefault="00B54967" w:rsidP="00B54967">
      <w:pPr>
        <w:widowControl w:val="0"/>
        <w:autoSpaceDE w:val="0"/>
        <w:autoSpaceDN w:val="0"/>
        <w:spacing w:after="120" w:line="276" w:lineRule="auto"/>
        <w:jc w:val="both"/>
        <w:rPr>
          <w:rFonts w:ascii="Verdana" w:hAnsi="Verdana" w:cs="Arial"/>
          <w:shd w:val="clear" w:color="auto" w:fill="FFFFFF"/>
        </w:rPr>
      </w:pPr>
      <w:r w:rsidRPr="00B54967">
        <w:rPr>
          <w:rFonts w:ascii="Verdana" w:hAnsi="Verdana" w:cs="Arial"/>
          <w:shd w:val="clear" w:color="auto" w:fill="FFFFFF"/>
        </w:rPr>
        <w:t xml:space="preserve">Esta Subdirección se ha pronunciado sobre la Ley de Garantías Electorales en  los conceptos C-681 del 7 de diciembre de 2021, C-686 del 21 de diciembre de 2021, C-134 del 7 de abril de 2022, C-697 del 3 de enero de 2022, C-180 del 21 de marzo de 2025, C-317 del 25 de abril de 2025, C-510 del 4 de junio de 2025, C -635 del 27 de junio de 2025, C–750 de 17 de julio 2025, C-868 del 12 de agosto de 2025, C-1124 del 18 de septiembre de 2025, C-1174 del 29 de septiembre de 2025, C-1491 del 20 de noviembre de 2025, C- 1492 del </w:t>
      </w:r>
      <w:r w:rsidRPr="00B54967">
        <w:rPr>
          <w:rFonts w:ascii="Verdana" w:hAnsi="Verdana"/>
        </w:rPr>
        <w:t>21 de noviembre del 2025, C-1629, C-1646 del 17 de diciembre de 2025, C-1662 del 22 de diciembre de 2025</w:t>
      </w:r>
      <w:r w:rsidRPr="00B54967">
        <w:rPr>
          <w:rFonts w:ascii="Verdana" w:hAnsi="Verdana" w:cs="Arial"/>
          <w:shd w:val="clear" w:color="auto" w:fill="FFFFFF"/>
          <w:lang w:val="es-ES"/>
        </w:rPr>
        <w:t xml:space="preserve">, C-063 del 23 de febrero de 2026, C-160 del 24 de febrero de 2026, C-095 del 4 de marzo de 2026, C-108 del 4 de marzo de 2026, C-177 del 16 de marzo de 2026, C-276 del 5 de abril de 2026, entre otros. </w:t>
      </w:r>
      <w:r w:rsidRPr="00B54967">
        <w:rPr>
          <w:rFonts w:ascii="Verdana" w:hAnsi="Verdana" w:cs="Arial"/>
        </w:rPr>
        <w:t xml:space="preserve">Estos y otros </w:t>
      </w:r>
      <w:r w:rsidRPr="00B54967">
        <w:rPr>
          <w:rFonts w:ascii="Verdana" w:hAnsi="Verdana"/>
        </w:rPr>
        <w:t>conceptos se encuentran disponibles para consulta en el Sistema de relatoría de la Agencia, al cual se puede acceder a través del siguiente enlace:</w:t>
      </w:r>
      <w:r w:rsidRPr="00B54967">
        <w:rPr>
          <w:rFonts w:ascii="Verdana" w:hAnsi="Verdana" w:cs="Arial"/>
          <w:shd w:val="clear" w:color="auto" w:fill="FFFFFF"/>
        </w:rPr>
        <w:t xml:space="preserve"> </w:t>
      </w:r>
      <w:hyperlink r:id="rId12" w:history="1">
        <w:r w:rsidRPr="00B54967">
          <w:rPr>
            <w:rFonts w:ascii="Verdana" w:hAnsi="Verdana" w:cs="Arial"/>
            <w:color w:val="0563C1" w:themeColor="hyperlink"/>
            <w:u w:val="single"/>
            <w:shd w:val="clear" w:color="auto" w:fill="FFFFFF"/>
          </w:rPr>
          <w:t>https://relatoria.colombiacompra.gov.co/busqueda/conceptos</w:t>
        </w:r>
      </w:hyperlink>
      <w:r w:rsidRPr="00B54967">
        <w:rPr>
          <w:rFonts w:ascii="Verdana" w:hAnsi="Verdana" w:cs="Arial"/>
          <w:shd w:val="clear" w:color="auto" w:fill="FFFFFF"/>
        </w:rPr>
        <w:t>.</w:t>
      </w:r>
      <w:r w:rsidRPr="00B54967">
        <w:rPr>
          <w:rFonts w:ascii="Verdana" w:hAnsi="Verdana" w:cs="Arial"/>
          <w:color w:val="FF0000"/>
          <w:shd w:val="clear" w:color="auto" w:fill="FFFFFF"/>
        </w:rPr>
        <w:t xml:space="preserve"> </w:t>
      </w:r>
      <w:r w:rsidRPr="00B54967">
        <w:rPr>
          <w:rFonts w:ascii="Verdana" w:hAnsi="Verdana" w:cs="Arial"/>
          <w:color w:val="000000" w:themeColor="text1"/>
          <w:shd w:val="clear" w:color="auto" w:fill="FFFFFF"/>
        </w:rPr>
        <w:t>  </w:t>
      </w:r>
    </w:p>
    <w:p w14:paraId="781FB1D3" w14:textId="77777777" w:rsidR="00B54967" w:rsidRPr="00B54967" w:rsidRDefault="00B54967" w:rsidP="00B54967">
      <w:pPr>
        <w:widowControl w:val="0"/>
        <w:autoSpaceDE w:val="0"/>
        <w:autoSpaceDN w:val="0"/>
        <w:spacing w:after="120" w:line="276" w:lineRule="auto"/>
        <w:jc w:val="both"/>
        <w:rPr>
          <w:rFonts w:ascii="Verdana" w:hAnsi="Verdana" w:cs="Arial"/>
        </w:rPr>
      </w:pPr>
      <w:r w:rsidRPr="00B54967">
        <w:rPr>
          <w:rFonts w:ascii="Verdana" w:hAnsi="Verdana"/>
        </w:rPr>
        <w:t xml:space="preserve">La sostenibilidad no es una opción, es una obligación. Por ello, la Agencia Nacional de Contratación Pública –Colombia Compra Eficiente– te invita a realizar el </w:t>
      </w:r>
      <w:r w:rsidRPr="00B54967">
        <w:rPr>
          <w:rFonts w:ascii="Verdana" w:hAnsi="Verdana"/>
          <w:b/>
          <w:bCs/>
        </w:rPr>
        <w:t>Curso de Contratación Pública Sostenible y Socialmente Responsable</w:t>
      </w:r>
      <w:r w:rsidRPr="00B54967">
        <w:rPr>
          <w:rFonts w:ascii="Verdana" w:hAnsi="Verdana"/>
        </w:rPr>
        <w:t xml:space="preserve">, una herramienta clave para fortalecer las capacidades de todos los compradores públicos, proveedores, servidores públicos v para generar mayor valor público. Accede al curso y aprende como implementar criterios </w:t>
      </w:r>
      <w:r w:rsidRPr="00B54967">
        <w:rPr>
          <w:rFonts w:ascii="Verdana" w:hAnsi="Verdana"/>
        </w:rPr>
        <w:lastRenderedPageBreak/>
        <w:t>sociales y ambientales en las diferentes etapas del proceso de contratación:</w:t>
      </w:r>
      <w:r w:rsidRPr="00B54967">
        <w:rPr>
          <w:rFonts w:ascii="Verdana" w:hAnsi="Verdana"/>
        </w:rPr>
        <w:br/>
      </w:r>
      <w:hyperlink r:id="rId13" w:tgtFrame="_new" w:history="1">
        <w:r w:rsidRPr="00B54967">
          <w:rPr>
            <w:rFonts w:ascii="Verdana" w:hAnsi="Verdana"/>
            <w:color w:val="0000FF"/>
            <w:u w:val="single"/>
          </w:rPr>
          <w:t>https://formacionvirtual.colombiacompra.gov.co/mod/page/view.php?id=3718</w:t>
        </w:r>
      </w:hyperlink>
    </w:p>
    <w:p w14:paraId="72F5DBD1" w14:textId="77777777" w:rsidR="00B54967" w:rsidRPr="00B54967" w:rsidRDefault="00B54967" w:rsidP="00B54967">
      <w:pPr>
        <w:widowControl w:val="0"/>
        <w:autoSpaceDE w:val="0"/>
        <w:autoSpaceDN w:val="0"/>
        <w:spacing w:after="120" w:line="276" w:lineRule="auto"/>
        <w:jc w:val="both"/>
        <w:rPr>
          <w:rFonts w:ascii="Verdana" w:hAnsi="Verdana" w:cs="Arial"/>
        </w:rPr>
      </w:pPr>
      <w:r w:rsidRPr="00B54967">
        <w:rPr>
          <w:rFonts w:ascii="Verdana" w:hAnsi="Verdana"/>
        </w:rPr>
        <w:t xml:space="preserve">De otro lado, te contamos que esta Agencia ha dado un paso decisivo en la estandarización y modernización del </w:t>
      </w:r>
      <w:r w:rsidRPr="00B54967">
        <w:rPr>
          <w:rFonts w:ascii="Verdana" w:hAnsi="Verdana"/>
          <w:b/>
          <w:bCs/>
        </w:rPr>
        <w:t>sector social</w:t>
      </w:r>
      <w:r w:rsidRPr="00B54967">
        <w:rPr>
          <w:rFonts w:ascii="Verdana" w:hAnsi="Verdana"/>
        </w:rPr>
        <w:t xml:space="preserve"> con la expedición de las </w:t>
      </w:r>
      <w:r w:rsidRPr="00B54967">
        <w:rPr>
          <w:rFonts w:ascii="Verdana" w:hAnsi="Verdana"/>
          <w:b/>
          <w:bCs/>
        </w:rPr>
        <w:t>Resoluciones 539, 540, 541, 952 y 953 de 2025</w:t>
      </w:r>
      <w:r w:rsidRPr="00B54967">
        <w:rPr>
          <w:rFonts w:ascii="Verdana" w:hAnsi="Verdana"/>
        </w:rPr>
        <w:t xml:space="preserve">, </w:t>
      </w:r>
      <w:r w:rsidRPr="00B54967">
        <w:rPr>
          <w:rFonts w:ascii="Verdana" w:hAnsi="Verdana"/>
          <w:b/>
          <w:bCs/>
        </w:rPr>
        <w:t>mediante las cuales adoptó Documentos Tipo</w:t>
      </w:r>
      <w:r w:rsidRPr="00B54967">
        <w:rPr>
          <w:rFonts w:ascii="Verdana" w:hAnsi="Verdana"/>
        </w:rPr>
        <w:t xml:space="preserve"> para las modalidades de selección de</w:t>
      </w:r>
      <w:r w:rsidRPr="00B54967">
        <w:rPr>
          <w:rFonts w:ascii="Verdana" w:hAnsi="Verdana"/>
          <w:b/>
          <w:bCs/>
        </w:rPr>
        <w:t xml:space="preserve"> licitación pública (versión 2), selección abreviada de menor cuantía, mínima cuantía, consultoría e interventoría</w:t>
      </w:r>
      <w:r w:rsidRPr="00B5496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B54967">
          <w:rPr>
            <w:rFonts w:ascii="Verdana" w:hAnsi="Verdana"/>
            <w:color w:val="0000FF"/>
            <w:u w:val="single"/>
          </w:rPr>
          <w:t>https://www.colombiacompra.gov.co/normativa-y-relatoria/documentos-tipo</w:t>
        </w:r>
      </w:hyperlink>
    </w:p>
    <w:p w14:paraId="5CFEDDFB" w14:textId="77777777" w:rsidR="00B54967" w:rsidRPr="00B54967" w:rsidRDefault="00B54967" w:rsidP="00B54967">
      <w:pPr>
        <w:widowControl w:val="0"/>
        <w:autoSpaceDE w:val="0"/>
        <w:autoSpaceDN w:val="0"/>
        <w:spacing w:after="120" w:line="276" w:lineRule="auto"/>
        <w:jc w:val="both"/>
        <w:rPr>
          <w:rFonts w:ascii="Verdana" w:hAnsi="Verdana" w:cs="Arial"/>
        </w:rPr>
      </w:pPr>
      <w:r w:rsidRPr="00B54967">
        <w:rPr>
          <w:rFonts w:ascii="Verdana" w:hAnsi="Verdana"/>
        </w:rPr>
        <w:t xml:space="preserve">Si quieres conocer más sobre la aplicación de Documentos Tipo puedes consultar la última versión de la </w:t>
      </w:r>
      <w:r w:rsidRPr="00B54967">
        <w:rPr>
          <w:rFonts w:ascii="Verdana" w:hAnsi="Verdana"/>
          <w:b/>
          <w:bCs/>
        </w:rPr>
        <w:t>Guía para la comprensión e implementación de los Documentos Tipo de obra pública de infraestructura de transporte</w:t>
      </w:r>
      <w:r w:rsidRPr="00B54967">
        <w:rPr>
          <w:rFonts w:ascii="Verdana" w:hAnsi="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B54967">
        <w:rPr>
          <w:rFonts w:ascii="Verdana" w:hAnsi="Verdana"/>
        </w:rPr>
        <w:br/>
      </w:r>
      <w:hyperlink r:id="rId15" w:tgtFrame="_new" w:history="1">
        <w:r w:rsidRPr="00B54967">
          <w:rPr>
            <w:rFonts w:ascii="Verdana" w:hAnsi="Verdana"/>
            <w:color w:val="0000FF"/>
            <w:u w:val="single"/>
          </w:rPr>
          <w:t>https://www.colombiacompra.gov.co/archivos/manual/guia-para-la-comprension-e-implementacion-de-los-documentos-tipo-de-obra-publica-de-infraestructura-de-transporte-bajo-las-diferentes-modalidades-de-contratacion-vigentes</w:t>
        </w:r>
      </w:hyperlink>
    </w:p>
    <w:p w14:paraId="3896C62B" w14:textId="77777777" w:rsidR="00B54967" w:rsidRPr="00B54967" w:rsidRDefault="00B54967" w:rsidP="00B54967">
      <w:pPr>
        <w:widowControl w:val="0"/>
        <w:autoSpaceDE w:val="0"/>
        <w:autoSpaceDN w:val="0"/>
        <w:spacing w:after="120" w:line="276" w:lineRule="auto"/>
        <w:jc w:val="both"/>
        <w:rPr>
          <w:rFonts w:ascii="Verdana" w:hAnsi="Verdana" w:cs="Arial"/>
        </w:rPr>
      </w:pPr>
      <w:r w:rsidRPr="00B54967">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0B3D2D40" w14:textId="77777777" w:rsidR="00B54967" w:rsidRPr="00B54967" w:rsidRDefault="00B54967" w:rsidP="00B54967">
      <w:pPr>
        <w:numPr>
          <w:ilvl w:val="0"/>
          <w:numId w:val="15"/>
        </w:numPr>
        <w:spacing w:after="0" w:line="276" w:lineRule="auto"/>
        <w:jc w:val="both"/>
        <w:rPr>
          <w:rFonts w:ascii="Verdana" w:eastAsia="Verdana" w:hAnsi="Verdana" w:cs="Verdana"/>
          <w:color w:val="4472C4" w:themeColor="accent1"/>
          <w:u w:val="single"/>
          <w:lang w:val="es-MX"/>
        </w:rPr>
      </w:pPr>
      <w:r w:rsidRPr="00B54967">
        <w:rPr>
          <w:rFonts w:ascii="Verdana" w:eastAsia="Verdana" w:hAnsi="Verdana" w:cs="Verdana"/>
          <w:lang w:val="es-MX"/>
        </w:rPr>
        <w:t xml:space="preserve">Línea nacional gratuita o servicio a la ciudadanía (Mesa de servicio): </w:t>
      </w:r>
      <w:r w:rsidRPr="00B54967">
        <w:rPr>
          <w:rFonts w:ascii="Verdana" w:hAnsi="Verdana"/>
          <w:color w:val="0000FF"/>
          <w:u w:val="single"/>
          <w:lang w:val="es-ES"/>
        </w:rPr>
        <w:t>01800 0520808</w:t>
      </w:r>
    </w:p>
    <w:p w14:paraId="44FDAA9F" w14:textId="77777777" w:rsidR="00B54967" w:rsidRPr="00B54967" w:rsidRDefault="00B54967" w:rsidP="00B54967">
      <w:pPr>
        <w:numPr>
          <w:ilvl w:val="0"/>
          <w:numId w:val="15"/>
        </w:numPr>
        <w:spacing w:after="0" w:line="276" w:lineRule="auto"/>
        <w:rPr>
          <w:rFonts w:ascii="Verdana" w:eastAsia="Verdana" w:hAnsi="Verdana" w:cs="Verdana"/>
          <w:color w:val="4472C4" w:themeColor="accent1"/>
          <w:u w:val="single"/>
          <w:lang w:val="es-MX"/>
        </w:rPr>
      </w:pPr>
      <w:r w:rsidRPr="00B54967">
        <w:rPr>
          <w:rFonts w:ascii="Verdana" w:eastAsia="Verdana" w:hAnsi="Verdana" w:cs="Verdana"/>
          <w:lang w:val="es-MX"/>
        </w:rPr>
        <w:t>Línea en Bogotá (Mesa de servicio</w:t>
      </w:r>
      <w:proofErr w:type="gramStart"/>
      <w:r w:rsidRPr="00B54967">
        <w:rPr>
          <w:rFonts w:ascii="Verdana" w:eastAsia="Verdana" w:hAnsi="Verdana" w:cs="Verdana"/>
          <w:lang w:val="es-MX"/>
        </w:rPr>
        <w:t>):</w:t>
      </w:r>
      <w:r w:rsidRPr="00B54967">
        <w:rPr>
          <w:rFonts w:ascii="Verdana" w:hAnsi="Verdana"/>
          <w:color w:val="0000FF"/>
          <w:u w:val="single"/>
          <w:lang w:val="es-ES"/>
        </w:rPr>
        <w:t>+</w:t>
      </w:r>
      <w:proofErr w:type="gramEnd"/>
      <w:r w:rsidRPr="00B54967">
        <w:rPr>
          <w:rFonts w:ascii="Verdana" w:hAnsi="Verdana"/>
          <w:color w:val="0000FF"/>
          <w:u w:val="single"/>
          <w:lang w:val="es-ES"/>
        </w:rPr>
        <w:t>57 601 7456788</w:t>
      </w:r>
    </w:p>
    <w:p w14:paraId="52875C58" w14:textId="77777777" w:rsidR="00B54967" w:rsidRPr="00B54967" w:rsidRDefault="00B54967" w:rsidP="00B54967">
      <w:pPr>
        <w:numPr>
          <w:ilvl w:val="0"/>
          <w:numId w:val="15"/>
        </w:numPr>
        <w:spacing w:after="0" w:line="276" w:lineRule="auto"/>
        <w:rPr>
          <w:rFonts w:ascii="Verdana" w:eastAsia="Verdana" w:hAnsi="Verdana" w:cs="Verdana"/>
          <w:color w:val="0000FF"/>
          <w:u w:val="single"/>
          <w:lang w:val="es-MX"/>
        </w:rPr>
      </w:pPr>
      <w:r w:rsidRPr="00B54967">
        <w:rPr>
          <w:rFonts w:ascii="Verdana" w:eastAsia="Verdana" w:hAnsi="Verdana" w:cs="Verdana"/>
          <w:lang w:val="es-MX"/>
        </w:rPr>
        <w:t xml:space="preserve">Correo de radicación de correspondencia: </w:t>
      </w:r>
      <w:hyperlink r:id="rId16">
        <w:r w:rsidRPr="00B54967">
          <w:rPr>
            <w:rFonts w:ascii="Verdana" w:eastAsia="Verdana" w:hAnsi="Verdana" w:cs="Verdana"/>
            <w:color w:val="0000FF"/>
            <w:u w:val="single"/>
            <w:lang w:val="es-MX"/>
          </w:rPr>
          <w:t>ventanilladeradicacion@colombiacompra.gov.co</w:t>
        </w:r>
      </w:hyperlink>
    </w:p>
    <w:p w14:paraId="2DEE79DB" w14:textId="77777777" w:rsidR="00B54967" w:rsidRPr="00B54967" w:rsidRDefault="00B54967" w:rsidP="00B54967">
      <w:pPr>
        <w:numPr>
          <w:ilvl w:val="0"/>
          <w:numId w:val="15"/>
        </w:numPr>
        <w:spacing w:after="0" w:line="276" w:lineRule="auto"/>
        <w:rPr>
          <w:rFonts w:ascii="Verdana" w:eastAsia="Verdana" w:hAnsi="Verdana" w:cs="Verdana"/>
          <w:color w:val="0000FF"/>
          <w:u w:val="single"/>
          <w:lang w:val="es-MX"/>
        </w:rPr>
      </w:pPr>
      <w:r w:rsidRPr="00B54967">
        <w:rPr>
          <w:rFonts w:ascii="Verdana" w:eastAsia="Verdana" w:hAnsi="Verdana" w:cs="Verdana"/>
          <w:lang w:val="es-ES"/>
        </w:rPr>
        <w:lastRenderedPageBreak/>
        <w:t>Formulario web para</w:t>
      </w:r>
      <w:r w:rsidRPr="00B54967">
        <w:rPr>
          <w:rFonts w:ascii="Verdana" w:eastAsia="Verdana" w:hAnsi="Verdana" w:cs="Verdana"/>
          <w:lang w:val="es"/>
        </w:rPr>
        <w:t xml:space="preserve"> PQRSD: </w:t>
      </w:r>
      <w:hyperlink r:id="rId17">
        <w:r w:rsidRPr="00B54967">
          <w:rPr>
            <w:rFonts w:ascii="Verdana" w:eastAsia="Verdana" w:hAnsi="Verdana" w:cs="Verdana"/>
            <w:color w:val="0000FF"/>
            <w:u w:val="single"/>
            <w:lang w:val="es-MX"/>
          </w:rPr>
          <w:t>https://www.colombiacompra.gov.co/pqrsd/informacion-importante-antes-de-formular-una-pqrsd</w:t>
        </w:r>
      </w:hyperlink>
    </w:p>
    <w:p w14:paraId="30C590E4" w14:textId="77777777" w:rsidR="00B54967" w:rsidRPr="00B54967" w:rsidRDefault="00B54967" w:rsidP="00B54967">
      <w:pPr>
        <w:spacing w:after="0" w:line="276" w:lineRule="auto"/>
        <w:ind w:left="720"/>
        <w:jc w:val="both"/>
        <w:rPr>
          <w:rFonts w:ascii="Verdana" w:hAnsi="Verdana"/>
        </w:rPr>
      </w:pPr>
    </w:p>
    <w:p w14:paraId="26543580" w14:textId="77777777" w:rsidR="00B54967" w:rsidRPr="00B54967" w:rsidRDefault="00B54967" w:rsidP="00B54967">
      <w:pPr>
        <w:spacing w:after="0" w:line="276" w:lineRule="auto"/>
        <w:jc w:val="both"/>
        <w:rPr>
          <w:rFonts w:ascii="Verdana" w:hAnsi="Verdana"/>
        </w:rPr>
      </w:pPr>
      <w:r w:rsidRPr="00B54967">
        <w:rPr>
          <w:rFonts w:ascii="Verdana" w:hAnsi="Verdana"/>
        </w:rPr>
        <w:t xml:space="preserve">Evalúa el servicio que ofrece la Agencia por el canal de atención de PQRSD en el siguiente enlace: </w:t>
      </w:r>
      <w:hyperlink r:id="rId18" w:history="1">
        <w:r w:rsidRPr="00B54967">
          <w:rPr>
            <w:rFonts w:ascii="Verdana" w:eastAsia="Verdana" w:hAnsi="Verdana" w:cs="Verdana"/>
            <w:color w:val="0000FF"/>
            <w:u w:val="single"/>
            <w:lang w:val="es-MX"/>
          </w:rPr>
          <w:t>https://forms.office.com/r/pPHyWVs2SZ</w:t>
        </w:r>
      </w:hyperlink>
      <w:r w:rsidRPr="00B54967">
        <w:rPr>
          <w:rFonts w:ascii="Verdana" w:eastAsia="Verdana" w:hAnsi="Verdana" w:cs="Verdana"/>
          <w:color w:val="0000FF"/>
          <w:u w:val="single"/>
          <w:lang w:val="es-MX"/>
        </w:rPr>
        <w:t>.</w:t>
      </w:r>
      <w:r w:rsidRPr="00B54967">
        <w:rPr>
          <w:rFonts w:ascii="Verdana" w:hAnsi="Verdana"/>
        </w:rPr>
        <w:t xml:space="preserve"> ¡Ayúdanos a mejorar porque el compromiso es de todos!</w:t>
      </w:r>
    </w:p>
    <w:p w14:paraId="07952B99" w14:textId="77777777" w:rsidR="00B54967" w:rsidRPr="00B54967" w:rsidRDefault="00B54967" w:rsidP="00B54967">
      <w:pPr>
        <w:spacing w:after="0" w:line="276" w:lineRule="auto"/>
        <w:jc w:val="both"/>
        <w:rPr>
          <w:rFonts w:ascii="Verdana" w:hAnsi="Verdana"/>
        </w:rPr>
      </w:pPr>
    </w:p>
    <w:p w14:paraId="00B633A0" w14:textId="77777777" w:rsidR="00B54967" w:rsidRPr="00B54967" w:rsidRDefault="00B54967" w:rsidP="00B54967">
      <w:pPr>
        <w:spacing w:after="0" w:line="276" w:lineRule="auto"/>
        <w:jc w:val="both"/>
        <w:rPr>
          <w:rFonts w:ascii="Verdana" w:hAnsi="Verdana"/>
        </w:rPr>
      </w:pPr>
      <w:r w:rsidRPr="00B54967">
        <w:rPr>
          <w:rFonts w:ascii="Verdana" w:hAnsi="Verdana"/>
        </w:rPr>
        <w:t xml:space="preserve">Por último, lo invitamos a seguirnos en las redes sociales en las cuales se difunde información institucional: </w:t>
      </w:r>
    </w:p>
    <w:p w14:paraId="68E72696" w14:textId="77777777" w:rsidR="00B54967" w:rsidRPr="00B54967" w:rsidRDefault="00B54967" w:rsidP="00B54967">
      <w:pPr>
        <w:spacing w:after="0" w:line="276" w:lineRule="auto"/>
        <w:jc w:val="both"/>
        <w:rPr>
          <w:rFonts w:ascii="Verdana" w:hAnsi="Verdana"/>
        </w:rPr>
      </w:pPr>
      <w:r w:rsidRPr="00B54967">
        <w:rPr>
          <w:rFonts w:ascii="Verdana" w:hAnsi="Verdana"/>
        </w:rPr>
        <w:t xml:space="preserve">Twitter: </w:t>
      </w:r>
      <w:r w:rsidRPr="00B54967">
        <w:rPr>
          <w:rFonts w:ascii="Verdana" w:hAnsi="Verdana"/>
          <w:color w:val="0000FF"/>
          <w:u w:val="single"/>
        </w:rPr>
        <w:t>@colombiacompra</w:t>
      </w:r>
      <w:r w:rsidRPr="00B54967">
        <w:rPr>
          <w:rFonts w:ascii="Verdana" w:hAnsi="Verdana"/>
        </w:rPr>
        <w:t xml:space="preserve"> </w:t>
      </w:r>
    </w:p>
    <w:p w14:paraId="06C041CE" w14:textId="77777777" w:rsidR="00B54967" w:rsidRPr="00B54967" w:rsidRDefault="00B54967" w:rsidP="00B54967">
      <w:pPr>
        <w:spacing w:after="0" w:line="276" w:lineRule="auto"/>
        <w:jc w:val="both"/>
        <w:rPr>
          <w:rFonts w:ascii="Verdana" w:hAnsi="Verdana"/>
        </w:rPr>
      </w:pPr>
      <w:r w:rsidRPr="00B54967">
        <w:rPr>
          <w:rFonts w:ascii="Verdana" w:hAnsi="Verdana"/>
        </w:rPr>
        <w:t xml:space="preserve">Facebook: </w:t>
      </w:r>
      <w:proofErr w:type="spellStart"/>
      <w:r w:rsidRPr="00B54967">
        <w:rPr>
          <w:rFonts w:ascii="Verdana" w:hAnsi="Verdana"/>
          <w:color w:val="0000FF"/>
          <w:u w:val="single"/>
        </w:rPr>
        <w:t>ColombiaCompraEficiente</w:t>
      </w:r>
      <w:proofErr w:type="spellEnd"/>
    </w:p>
    <w:p w14:paraId="18A93DB3" w14:textId="77777777" w:rsidR="00B54967" w:rsidRPr="00B54967" w:rsidRDefault="00B54967" w:rsidP="00B54967">
      <w:pPr>
        <w:spacing w:after="0" w:line="276" w:lineRule="auto"/>
        <w:jc w:val="both"/>
        <w:rPr>
          <w:rFonts w:ascii="Verdana" w:hAnsi="Verdana"/>
        </w:rPr>
      </w:pPr>
      <w:r w:rsidRPr="00B54967">
        <w:rPr>
          <w:rFonts w:ascii="Verdana" w:hAnsi="Verdana"/>
        </w:rPr>
        <w:t xml:space="preserve">LinkedIn: </w:t>
      </w:r>
      <w:r w:rsidRPr="00B54967">
        <w:rPr>
          <w:rFonts w:ascii="Verdana" w:hAnsi="Verdana"/>
          <w:color w:val="0000FF"/>
          <w:u w:val="single"/>
        </w:rPr>
        <w:t>Agencia Nacional de Contratación Pública - Colombia Compra Eficiente</w:t>
      </w:r>
      <w:r w:rsidRPr="00B54967">
        <w:rPr>
          <w:rFonts w:ascii="Verdana" w:hAnsi="Verdana"/>
        </w:rPr>
        <w:t xml:space="preserve"> Instagram: </w:t>
      </w:r>
      <w:r w:rsidRPr="00B54967">
        <w:rPr>
          <w:rFonts w:ascii="Verdana" w:hAnsi="Verdana"/>
          <w:color w:val="0000FF"/>
          <w:u w:val="single"/>
        </w:rPr>
        <w:t>@colombiacompraeficiente_cce</w:t>
      </w:r>
    </w:p>
    <w:p w14:paraId="2FB0C8E8" w14:textId="77777777" w:rsidR="00B54967" w:rsidRPr="00B54967" w:rsidRDefault="00B54967" w:rsidP="00B54967">
      <w:pPr>
        <w:spacing w:after="0" w:line="276" w:lineRule="auto"/>
        <w:jc w:val="both"/>
        <w:rPr>
          <w:rFonts w:ascii="Verdana" w:hAnsi="Verdana"/>
          <w:lang w:val="es-MX"/>
        </w:rPr>
      </w:pPr>
    </w:p>
    <w:p w14:paraId="2C182DB2" w14:textId="77777777" w:rsidR="00B54967" w:rsidRPr="00B54967" w:rsidRDefault="00B54967" w:rsidP="00B54967">
      <w:pPr>
        <w:spacing w:after="0" w:line="276" w:lineRule="auto"/>
        <w:jc w:val="both"/>
        <w:rPr>
          <w:rFonts w:ascii="Verdana" w:hAnsi="Verdana"/>
          <w:lang w:val="es-MX"/>
        </w:rPr>
      </w:pPr>
      <w:r w:rsidRPr="00B54967">
        <w:rPr>
          <w:rFonts w:ascii="Verdana" w:hAnsi="Verdana"/>
          <w:lang w:val="es-MX"/>
        </w:rPr>
        <w:t>Cordialmente,</w:t>
      </w:r>
    </w:p>
    <w:p w14:paraId="369DCF18" w14:textId="19E045B1" w:rsidR="00B54967" w:rsidRPr="00B54967" w:rsidRDefault="00D12D83" w:rsidP="00B54967">
      <w:pPr>
        <w:spacing w:after="0" w:line="256" w:lineRule="auto"/>
        <w:jc w:val="center"/>
        <w:rPr>
          <w:rFonts w:ascii="Verdana" w:eastAsia="Calibri" w:hAnsi="Verdana" w:cs="Times New Roman"/>
        </w:rPr>
      </w:pPr>
      <w:r w:rsidRPr="002C3AD6">
        <w:rPr>
          <w:rFonts w:ascii="Century Gothic" w:hAnsi="Century Gothic"/>
          <w:noProof/>
        </w:rPr>
        <w:drawing>
          <wp:inline distT="0" distB="0" distL="0" distR="0" wp14:anchorId="4BDE5617" wp14:editId="2B999270">
            <wp:extent cx="3219450" cy="1195099"/>
            <wp:effectExtent l="0" t="0" r="0" b="508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234415" cy="1200654"/>
                    </a:xfrm>
                    <a:prstGeom prst="rect">
                      <a:avLst/>
                    </a:prstGeom>
                  </pic:spPr>
                </pic:pic>
              </a:graphicData>
            </a:graphic>
          </wp:inline>
        </w:drawing>
      </w:r>
    </w:p>
    <w:p w14:paraId="4DC9C2BD" w14:textId="77777777" w:rsidR="006A7195" w:rsidRDefault="006A7195" w:rsidP="00D12D83">
      <w:pPr>
        <w:spacing w:after="0" w:line="256" w:lineRule="auto"/>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6A7195" w:rsidRPr="00860461" w14:paraId="651A186E" w14:textId="77777777" w:rsidTr="003F0972">
        <w:trPr>
          <w:trHeight w:val="315"/>
        </w:trPr>
        <w:tc>
          <w:tcPr>
            <w:tcW w:w="893" w:type="dxa"/>
            <w:vAlign w:val="center"/>
            <w:hideMark/>
          </w:tcPr>
          <w:p w14:paraId="50409F3B" w14:textId="77777777" w:rsidR="006A7195" w:rsidRPr="008278B1" w:rsidRDefault="006A7195" w:rsidP="003F0972">
            <w:pPr>
              <w:contextualSpacing/>
              <w:rPr>
                <w:rFonts w:ascii="Verdana" w:hAnsi="Verdana" w:cs="Arial"/>
                <w:sz w:val="16"/>
                <w:szCs w:val="16"/>
                <w:lang w:val="es-ES" w:eastAsia="es-ES"/>
              </w:rPr>
            </w:pPr>
            <w:r w:rsidRPr="008278B1">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A297AB7" w14:textId="77777777" w:rsidR="006A7195" w:rsidRPr="00860461" w:rsidRDefault="006A7195" w:rsidP="003F0972">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0455A7FC" w14:textId="77777777" w:rsidR="006A7195" w:rsidRPr="00860461" w:rsidRDefault="006A7195" w:rsidP="003F0972">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6A7195" w:rsidRPr="0025661F" w14:paraId="31AED05E" w14:textId="77777777" w:rsidTr="003F0972">
        <w:trPr>
          <w:trHeight w:val="330"/>
        </w:trPr>
        <w:tc>
          <w:tcPr>
            <w:tcW w:w="893" w:type="dxa"/>
            <w:vAlign w:val="center"/>
            <w:hideMark/>
          </w:tcPr>
          <w:p w14:paraId="35282268" w14:textId="77777777" w:rsidR="006A7195" w:rsidRPr="0025661F" w:rsidRDefault="006A7195" w:rsidP="003F0972">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FBCBF94" w14:textId="77777777" w:rsidR="006A7195" w:rsidRPr="00B37171" w:rsidRDefault="006A7195" w:rsidP="003F0972">
            <w:pPr>
              <w:pStyle w:val="paragraph"/>
              <w:spacing w:before="0" w:beforeAutospacing="0" w:after="0" w:afterAutospacing="0"/>
              <w:contextualSpacing/>
              <w:textAlignment w:val="baseline"/>
              <w:rPr>
                <w:rFonts w:ascii="Verdana" w:hAnsi="Verdana" w:cs="Segoe UI"/>
                <w:color w:val="000000" w:themeColor="text1"/>
                <w:sz w:val="16"/>
                <w:szCs w:val="16"/>
              </w:rPr>
            </w:pPr>
            <w:r>
              <w:rPr>
                <w:rFonts w:ascii="Verdana" w:hAnsi="Verdana" w:cs="Segoe UI"/>
                <w:color w:val="000000" w:themeColor="text1"/>
                <w:sz w:val="16"/>
                <w:szCs w:val="16"/>
              </w:rPr>
              <w:t xml:space="preserve">Adriana </w:t>
            </w:r>
            <w:proofErr w:type="spellStart"/>
            <w:r>
              <w:rPr>
                <w:rFonts w:ascii="Verdana" w:hAnsi="Verdana" w:cs="Segoe UI"/>
                <w:color w:val="000000" w:themeColor="text1"/>
                <w:sz w:val="16"/>
                <w:szCs w:val="16"/>
              </w:rPr>
              <w:t>Katerine</w:t>
            </w:r>
            <w:proofErr w:type="spellEnd"/>
            <w:r>
              <w:rPr>
                <w:rFonts w:ascii="Verdana" w:hAnsi="Verdana" w:cs="Segoe UI"/>
                <w:color w:val="000000" w:themeColor="text1"/>
                <w:sz w:val="16"/>
                <w:szCs w:val="16"/>
              </w:rPr>
              <w:t xml:space="preserve"> López </w:t>
            </w:r>
            <w:proofErr w:type="spellStart"/>
            <w:r>
              <w:rPr>
                <w:rFonts w:ascii="Verdana" w:hAnsi="Verdana" w:cs="Segoe UI"/>
                <w:color w:val="000000" w:themeColor="text1"/>
                <w:sz w:val="16"/>
                <w:szCs w:val="16"/>
              </w:rPr>
              <w:t>Rodriguez</w:t>
            </w:r>
            <w:proofErr w:type="spellEnd"/>
          </w:p>
          <w:p w14:paraId="670E7BC3" w14:textId="77777777" w:rsidR="006A7195" w:rsidRPr="0025661F" w:rsidRDefault="006A7195" w:rsidP="003F0972">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6A7195" w:rsidRPr="008278B1" w14:paraId="6FD25413" w14:textId="77777777" w:rsidTr="003F0972">
        <w:trPr>
          <w:trHeight w:val="300"/>
        </w:trPr>
        <w:tc>
          <w:tcPr>
            <w:tcW w:w="893" w:type="dxa"/>
            <w:vAlign w:val="center"/>
          </w:tcPr>
          <w:p w14:paraId="1A7C688A" w14:textId="77777777" w:rsidR="006A7195" w:rsidRPr="008278B1" w:rsidRDefault="006A7195" w:rsidP="003F0972">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1C32710" w14:textId="77777777" w:rsidR="006A7195" w:rsidRPr="008278B1" w:rsidRDefault="006A7195" w:rsidP="003F0972">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26BE5BBE" w14:textId="77777777" w:rsidR="006A7195" w:rsidRPr="008278B1" w:rsidRDefault="006A7195" w:rsidP="003F0972">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1150DA86" w14:textId="77777777" w:rsidR="00B54967" w:rsidRPr="00B54967" w:rsidRDefault="00B54967" w:rsidP="006A7195">
      <w:pPr>
        <w:spacing w:after="0" w:line="256" w:lineRule="auto"/>
        <w:rPr>
          <w:rFonts w:ascii="Verdana" w:eastAsia="Calibri" w:hAnsi="Verdana" w:cs="Times New Roman"/>
          <w:lang w:val="es-ES"/>
        </w:rPr>
      </w:pPr>
    </w:p>
    <w:bookmarkEnd w:id="1"/>
    <w:p w14:paraId="65DC0FE2" w14:textId="70D7E47C" w:rsidR="00B54967" w:rsidRPr="00B54967" w:rsidRDefault="00B54967" w:rsidP="00B54967">
      <w:pPr>
        <w:spacing w:after="0"/>
        <w:rPr>
          <w:rFonts w:ascii="Verdana" w:eastAsia="Verdana" w:hAnsi="Verdana" w:cs="Verdana"/>
          <w:lang w:val="es-ES"/>
        </w:rPr>
      </w:pPr>
    </w:p>
    <w:p w14:paraId="465A3CB3" w14:textId="77777777" w:rsidR="00B54967" w:rsidRPr="00B54967" w:rsidRDefault="00B54967" w:rsidP="00B54967"/>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A592C" w14:textId="77777777" w:rsidR="006F1EC4" w:rsidRDefault="006F1EC4" w:rsidP="004A1847">
      <w:pPr>
        <w:spacing w:after="0" w:line="240" w:lineRule="auto"/>
      </w:pPr>
      <w:r>
        <w:separator/>
      </w:r>
    </w:p>
  </w:endnote>
  <w:endnote w:type="continuationSeparator" w:id="0">
    <w:p w14:paraId="1678AE1B" w14:textId="77777777" w:rsidR="006F1EC4" w:rsidRDefault="006F1EC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Weiss">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A52F" w14:textId="77777777" w:rsidR="006F1EC4" w:rsidRDefault="006F1EC4" w:rsidP="004A1847">
      <w:pPr>
        <w:spacing w:after="0" w:line="240" w:lineRule="auto"/>
      </w:pPr>
      <w:r>
        <w:separator/>
      </w:r>
    </w:p>
  </w:footnote>
  <w:footnote w:type="continuationSeparator" w:id="0">
    <w:p w14:paraId="6550DC29" w14:textId="77777777" w:rsidR="006F1EC4" w:rsidRDefault="006F1EC4" w:rsidP="004A1847">
      <w:pPr>
        <w:spacing w:after="0" w:line="240" w:lineRule="auto"/>
      </w:pPr>
      <w:r>
        <w:continuationSeparator/>
      </w:r>
    </w:p>
  </w:footnote>
  <w:footnote w:id="1">
    <w:p w14:paraId="1DDB82D1" w14:textId="77777777" w:rsidR="00B54967" w:rsidRDefault="00B54967" w:rsidP="00B54967">
      <w:pPr>
        <w:spacing w:after="0" w:line="240" w:lineRule="auto"/>
        <w:ind w:firstLine="709"/>
        <w:contextualSpacing/>
        <w:jc w:val="both"/>
        <w:rPr>
          <w:rFonts w:ascii="Verdana" w:hAnsi="Verdana" w:cs="Arial"/>
          <w:sz w:val="16"/>
          <w:szCs w:val="16"/>
        </w:rPr>
      </w:pPr>
      <w:r w:rsidRPr="00004E12">
        <w:rPr>
          <w:rStyle w:val="Refdenotaalpie"/>
          <w:rFonts w:ascii="Verdana" w:hAnsi="Verdana" w:cs="Arial"/>
          <w:sz w:val="16"/>
          <w:szCs w:val="16"/>
        </w:rPr>
        <w:footnoteRef/>
      </w:r>
      <w:r w:rsidRPr="00004E12">
        <w:rPr>
          <w:rFonts w:ascii="Verdana" w:hAnsi="Verdana" w:cs="Arial"/>
          <w:sz w:val="16"/>
          <w:szCs w:val="16"/>
        </w:rPr>
        <w:t xml:space="preserve"> 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w:t>
      </w:r>
      <w:r w:rsidRPr="00004E12">
        <w:rPr>
          <w:rFonts w:ascii="Verdana" w:hAnsi="Verdana" w:cs="Arial"/>
          <w:spacing w:val="-6"/>
          <w:sz w:val="16"/>
          <w:szCs w:val="16"/>
        </w:rPr>
        <w:t xml:space="preserve"> </w:t>
      </w:r>
      <w:r w:rsidRPr="00004E12">
        <w:rPr>
          <w:rFonts w:ascii="Verdana" w:hAnsi="Verdana" w:cs="Arial"/>
          <w:sz w:val="16"/>
          <w:szCs w:val="16"/>
        </w:rPr>
        <w:t>artículo”.</w:t>
      </w:r>
    </w:p>
    <w:p w14:paraId="09365848" w14:textId="77777777" w:rsidR="00B54967" w:rsidRPr="00004E12" w:rsidRDefault="00B54967" w:rsidP="00B54967">
      <w:pPr>
        <w:spacing w:after="0" w:line="240" w:lineRule="auto"/>
        <w:ind w:firstLine="709"/>
        <w:contextualSpacing/>
        <w:jc w:val="both"/>
        <w:rPr>
          <w:rFonts w:ascii="Verdana" w:hAnsi="Verdana" w:cs="Arial"/>
          <w:sz w:val="16"/>
          <w:szCs w:val="16"/>
        </w:rPr>
      </w:pPr>
    </w:p>
  </w:footnote>
  <w:footnote w:id="2">
    <w:p w14:paraId="04E57928" w14:textId="77777777" w:rsidR="00B54967" w:rsidRPr="00004E12" w:rsidRDefault="00B54967" w:rsidP="00B54967">
      <w:pPr>
        <w:pStyle w:val="Textonotapie"/>
        <w:ind w:firstLine="708"/>
        <w:rPr>
          <w:rFonts w:ascii="Verdana" w:hAnsi="Verdana"/>
          <w:sz w:val="16"/>
          <w:szCs w:val="16"/>
        </w:rPr>
      </w:pPr>
      <w:r w:rsidRPr="00004E12">
        <w:rPr>
          <w:rStyle w:val="Refdenotaalpie"/>
          <w:rFonts w:ascii="Verdana" w:hAnsi="Verdana"/>
          <w:sz w:val="16"/>
          <w:szCs w:val="16"/>
        </w:rPr>
        <w:footnoteRef/>
      </w:r>
      <w:r w:rsidRPr="00004E12">
        <w:rPr>
          <w:rFonts w:ascii="Verdana" w:hAnsi="Verdana"/>
          <w:sz w:val="16"/>
          <w:szCs w:val="16"/>
          <w:lang w:val="pt-BR"/>
        </w:rPr>
        <w:t xml:space="preserve"> C</w:t>
      </w:r>
      <w:r>
        <w:rPr>
          <w:rFonts w:ascii="Verdana" w:hAnsi="Verdana"/>
          <w:sz w:val="16"/>
          <w:szCs w:val="16"/>
          <w:lang w:val="pt-BR"/>
        </w:rPr>
        <w:t>orte Constitucional</w:t>
      </w:r>
      <w:r w:rsidRPr="00004E12">
        <w:rPr>
          <w:rFonts w:ascii="Verdana" w:hAnsi="Verdana"/>
          <w:sz w:val="16"/>
          <w:szCs w:val="16"/>
          <w:lang w:val="pt-BR"/>
        </w:rPr>
        <w:t xml:space="preserve">. Sentencia C-671 de 2005. </w:t>
      </w:r>
      <w:r w:rsidRPr="00004E12">
        <w:rPr>
          <w:rFonts w:ascii="Verdana" w:hAnsi="Verdana"/>
          <w:sz w:val="16"/>
          <w:szCs w:val="16"/>
        </w:rPr>
        <w:t xml:space="preserve">M.P. Álvaro Tafur Galvis. </w:t>
      </w:r>
    </w:p>
  </w:footnote>
  <w:footnote w:id="3">
    <w:p w14:paraId="7265B371" w14:textId="77777777" w:rsidR="00B54967" w:rsidRDefault="00B54967" w:rsidP="00B54967">
      <w:pPr>
        <w:pStyle w:val="Textonotapie"/>
        <w:ind w:firstLine="708"/>
        <w:jc w:val="both"/>
        <w:rPr>
          <w:rFonts w:ascii="Verdana" w:hAnsi="Verdana"/>
          <w:sz w:val="16"/>
          <w:szCs w:val="16"/>
          <w:lang w:val="es-CO"/>
        </w:rPr>
      </w:pPr>
      <w:r w:rsidRPr="00004E12">
        <w:rPr>
          <w:rStyle w:val="Refdenotaalpie"/>
          <w:rFonts w:ascii="Verdana" w:hAnsi="Verdana"/>
          <w:sz w:val="16"/>
          <w:szCs w:val="16"/>
        </w:rPr>
        <w:footnoteRef/>
      </w:r>
      <w:r w:rsidRPr="00004E12">
        <w:rPr>
          <w:rFonts w:ascii="Verdana" w:hAnsi="Verdana"/>
          <w:sz w:val="16"/>
          <w:szCs w:val="16"/>
        </w:rPr>
        <w:t xml:space="preserve"> </w:t>
      </w:r>
      <w:r w:rsidRPr="00004E12">
        <w:rPr>
          <w:rFonts w:ascii="Verdana" w:hAnsi="Verdana"/>
          <w:sz w:val="16"/>
          <w:szCs w:val="16"/>
          <w:lang w:val="es-CO"/>
        </w:rPr>
        <w:t>C</w:t>
      </w:r>
      <w:r>
        <w:rPr>
          <w:rFonts w:ascii="Verdana" w:hAnsi="Verdana"/>
          <w:sz w:val="16"/>
          <w:szCs w:val="16"/>
          <w:lang w:val="es-CO"/>
        </w:rPr>
        <w:t>onsejo de Estado.</w:t>
      </w:r>
      <w:r w:rsidRPr="00004E12">
        <w:rPr>
          <w:rFonts w:ascii="Verdana" w:hAnsi="Verdana"/>
          <w:sz w:val="16"/>
          <w:szCs w:val="16"/>
          <w:lang w:val="es-CO"/>
        </w:rPr>
        <w:t xml:space="preserve"> Sala de Consulta y Servicio Civil. Concepto no. 2257 del 26 de julio de 2016, C.P. Álvaro Namén Vargas</w:t>
      </w:r>
      <w:r>
        <w:rPr>
          <w:rFonts w:ascii="Verdana" w:hAnsi="Verdana"/>
          <w:sz w:val="16"/>
          <w:szCs w:val="16"/>
          <w:lang w:val="es-CO"/>
        </w:rPr>
        <w:t>. Consejo de Estado. Sala de lo Contencioso Administrativo.</w:t>
      </w:r>
      <w:r w:rsidRPr="00004E12">
        <w:rPr>
          <w:rFonts w:ascii="Verdana" w:hAnsi="Verdana"/>
          <w:sz w:val="16"/>
          <w:szCs w:val="16"/>
          <w:lang w:val="es-CO"/>
        </w:rPr>
        <w:t xml:space="preserve"> Sección Tercera, Subsección A. Sentencia del 23 de junio de 2010. C.P. Mauricio Fajardo Gómez. Exp</w:t>
      </w:r>
      <w:r w:rsidRPr="00004E12">
        <w:rPr>
          <w:rFonts w:ascii="Verdana" w:hAnsi="Verdana"/>
          <w:sz w:val="16"/>
          <w:szCs w:val="16"/>
          <w:lang w:val="es-CO"/>
        </w:rPr>
        <w:t xml:space="preserve"> 17860; </w:t>
      </w:r>
      <w:r>
        <w:rPr>
          <w:rFonts w:ascii="Verdana" w:hAnsi="Verdana"/>
          <w:sz w:val="16"/>
          <w:szCs w:val="16"/>
          <w:lang w:val="es-CO"/>
        </w:rPr>
        <w:t>Consejo de Estado. Sala de lo Contencioso Administrativo.</w:t>
      </w:r>
      <w:r w:rsidRPr="00004E12">
        <w:rPr>
          <w:rFonts w:ascii="Verdana" w:hAnsi="Verdana"/>
          <w:sz w:val="16"/>
          <w:szCs w:val="16"/>
          <w:lang w:val="es-CO"/>
        </w:rPr>
        <w:t xml:space="preserve"> Sección Tercera. </w:t>
      </w:r>
      <w:r>
        <w:rPr>
          <w:rFonts w:ascii="Verdana" w:hAnsi="Verdana"/>
          <w:sz w:val="16"/>
          <w:szCs w:val="16"/>
          <w:lang w:val="es-CO"/>
        </w:rPr>
        <w:t xml:space="preserve">Subsección B. </w:t>
      </w:r>
      <w:r w:rsidRPr="00004E12">
        <w:rPr>
          <w:rFonts w:ascii="Verdana" w:hAnsi="Verdana"/>
          <w:sz w:val="16"/>
          <w:szCs w:val="16"/>
          <w:lang w:val="es-CO"/>
        </w:rPr>
        <w:t xml:space="preserve">Auto del 4 de octubre de 2024. Exp </w:t>
      </w:r>
      <w:r w:rsidRPr="00004E12">
        <w:rPr>
          <w:rFonts w:ascii="Verdana" w:hAnsi="Verdana"/>
          <w:bCs/>
          <w:sz w:val="16"/>
          <w:szCs w:val="16"/>
        </w:rPr>
        <w:t xml:space="preserve">70313. </w:t>
      </w:r>
      <w:r w:rsidRPr="00004E12">
        <w:rPr>
          <w:rFonts w:ascii="Verdana" w:hAnsi="Verdana"/>
          <w:sz w:val="16"/>
          <w:szCs w:val="16"/>
          <w:lang w:val="es-CO"/>
        </w:rPr>
        <w:t xml:space="preserve">C.P. Fredy Ibarra Martínez. </w:t>
      </w:r>
    </w:p>
    <w:p w14:paraId="42A1F3EE" w14:textId="77777777" w:rsidR="00B54967" w:rsidRPr="00004E12" w:rsidRDefault="00B54967" w:rsidP="00B54967">
      <w:pPr>
        <w:pStyle w:val="Textonotapie"/>
        <w:ind w:firstLine="708"/>
        <w:jc w:val="both"/>
        <w:rPr>
          <w:rFonts w:ascii="Verdana" w:hAnsi="Verdana"/>
          <w:sz w:val="16"/>
          <w:szCs w:val="16"/>
          <w:lang w:val="es-CO"/>
        </w:rPr>
      </w:pPr>
    </w:p>
  </w:footnote>
  <w:footnote w:id="4">
    <w:p w14:paraId="5A17D14B" w14:textId="77777777" w:rsidR="00B54967" w:rsidRDefault="00B54967" w:rsidP="00B54967">
      <w:pPr>
        <w:pStyle w:val="Textonotapie"/>
        <w:ind w:firstLine="708"/>
        <w:jc w:val="both"/>
        <w:rPr>
          <w:rFonts w:ascii="Verdana" w:hAnsi="Verdana"/>
          <w:sz w:val="16"/>
          <w:szCs w:val="16"/>
          <w:lang w:val="es-CO"/>
        </w:rPr>
      </w:pPr>
      <w:r w:rsidRPr="00004E12">
        <w:rPr>
          <w:rStyle w:val="Refdenotaalpie"/>
          <w:rFonts w:ascii="Verdana" w:hAnsi="Verdana"/>
          <w:sz w:val="16"/>
          <w:szCs w:val="16"/>
        </w:rPr>
        <w:footnoteRef/>
      </w:r>
      <w:r w:rsidRPr="00004E12">
        <w:rPr>
          <w:rFonts w:ascii="Verdana" w:hAnsi="Verdana"/>
          <w:sz w:val="16"/>
          <w:szCs w:val="16"/>
        </w:rPr>
        <w:t xml:space="preserve"> SANTOS RODRÍGUEZ, Jorge Enrique. Consideraciones sobre los contratos y convenios interadministrativos. En: Revista Digital de Derecho Administrativo, 2008. p.p. 10-11. De igual forma, Augusto Ramón Chavéz Marín expresa: “</w:t>
      </w:r>
      <w:r w:rsidRPr="00004E12">
        <w:rPr>
          <w:rFonts w:ascii="Verdana" w:hAnsi="Verdana"/>
          <w:sz w:val="16"/>
          <w:szCs w:val="16"/>
          <w:lang w:val="es-CO"/>
        </w:rPr>
        <w:t xml:space="preserve">Los convenios interadministrativos se distinguen de los contratos interadministrativos porque estos últimos, celebrados al igual que los primeros entre personas jurídicas públicas, no tienen como objeto la realización común de intereses compartidos como ocurre con los convenios interadministrativos típicos, sino el logro de los fines estatales de alguna de las partes. En los contratos interadministrativos se busca obtener de otra persona jurídica publica la prestación de un servicio específico, la ejecución de una obra o el suministro de un bien, en fin, la realización de una actividad determinada que podría llevar a cabo un particular” (CHAVÉZ MARÍN, Augusto Ramón. Los convenios de la Administración. Entre la gestión pública y la actividad contractual. Bogotá: Temis, 2020. p. 126). </w:t>
      </w:r>
    </w:p>
    <w:p w14:paraId="5EC5104C" w14:textId="77777777" w:rsidR="00B54967" w:rsidRPr="00004E12" w:rsidRDefault="00B54967" w:rsidP="00B54967">
      <w:pPr>
        <w:pStyle w:val="Textonotapie"/>
        <w:ind w:firstLine="708"/>
        <w:jc w:val="both"/>
        <w:rPr>
          <w:rFonts w:ascii="Verdana" w:hAnsi="Verdana"/>
          <w:sz w:val="16"/>
          <w:szCs w:val="16"/>
          <w:lang w:val="es-CO"/>
        </w:rPr>
      </w:pPr>
    </w:p>
  </w:footnote>
  <w:footnote w:id="5">
    <w:p w14:paraId="490F1C95"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63C86C53" w14:textId="77777777" w:rsidR="00B54967" w:rsidRPr="00D71B7F" w:rsidRDefault="00B54967" w:rsidP="00B54967">
      <w:pPr>
        <w:pStyle w:val="Textonotapie"/>
        <w:ind w:firstLine="709"/>
        <w:jc w:val="both"/>
        <w:rPr>
          <w:rFonts w:ascii="Verdana" w:hAnsi="Verdana" w:cs="Arial"/>
          <w:sz w:val="16"/>
          <w:szCs w:val="16"/>
        </w:rPr>
      </w:pPr>
      <w:r w:rsidRPr="00D71B7F">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p w14:paraId="1AF09115" w14:textId="77777777" w:rsidR="00B54967" w:rsidRPr="00D71B7F" w:rsidRDefault="00B54967" w:rsidP="00B54967">
      <w:pPr>
        <w:pStyle w:val="Textonotapie"/>
        <w:ind w:firstLine="709"/>
        <w:jc w:val="both"/>
        <w:rPr>
          <w:rFonts w:ascii="Verdana" w:hAnsi="Verdana" w:cs="Arial"/>
          <w:sz w:val="16"/>
          <w:szCs w:val="16"/>
        </w:rPr>
      </w:pPr>
    </w:p>
  </w:footnote>
  <w:footnote w:id="6">
    <w:p w14:paraId="19FA9FCF"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Gaceta del Congreso de la República No. 71 del 2005.</w:t>
      </w:r>
    </w:p>
    <w:p w14:paraId="3ED17F1F" w14:textId="77777777" w:rsidR="00B54967" w:rsidRPr="00D71B7F" w:rsidRDefault="00B54967" w:rsidP="00B54967">
      <w:pPr>
        <w:pStyle w:val="Textonotapie"/>
        <w:ind w:firstLine="709"/>
        <w:jc w:val="both"/>
        <w:rPr>
          <w:rFonts w:ascii="Verdana" w:hAnsi="Verdana" w:cs="Arial"/>
          <w:sz w:val="16"/>
          <w:szCs w:val="16"/>
        </w:rPr>
      </w:pPr>
    </w:p>
  </w:footnote>
  <w:footnote w:id="7">
    <w:p w14:paraId="0606A793" w14:textId="77777777" w:rsidR="00B54967" w:rsidRPr="00D71B7F" w:rsidRDefault="00B54967" w:rsidP="00B54967">
      <w:pPr>
        <w:pStyle w:val="Textonotapie"/>
        <w:tabs>
          <w:tab w:val="left" w:pos="8145"/>
        </w:tabs>
        <w:ind w:firstLine="709"/>
        <w:jc w:val="both"/>
        <w:rPr>
          <w:rFonts w:ascii="Verdana" w:hAnsi="Verdana" w:cs="Arial"/>
          <w:sz w:val="16"/>
          <w:szCs w:val="16"/>
          <w:lang w:val="pt-PT"/>
        </w:rPr>
      </w:pPr>
      <w:r w:rsidRPr="00D71B7F">
        <w:rPr>
          <w:rStyle w:val="Refdenotaalpie"/>
          <w:rFonts w:ascii="Verdana" w:hAnsi="Verdana" w:cs="Arial"/>
          <w:sz w:val="16"/>
          <w:szCs w:val="16"/>
        </w:rPr>
        <w:footnoteRef/>
      </w:r>
      <w:r w:rsidRPr="00D71B7F">
        <w:rPr>
          <w:rFonts w:ascii="Verdana" w:hAnsi="Verdana" w:cs="Arial"/>
          <w:sz w:val="16"/>
          <w:szCs w:val="16"/>
          <w:lang w:val="pt-PT"/>
        </w:rPr>
        <w:t xml:space="preserve"> </w:t>
      </w:r>
      <w:r w:rsidRPr="00D71B7F">
        <w:rPr>
          <w:rFonts w:ascii="Verdana" w:hAnsi="Verdana" w:cs="Arial"/>
          <w:sz w:val="16"/>
          <w:szCs w:val="16"/>
          <w:lang w:val="pt-PT"/>
        </w:rPr>
        <w:t>Corte Constitucional. Sentencia C- 1153 de 2005, M.P: Marco Gerardo Monroy Cabra.</w:t>
      </w:r>
      <w:r w:rsidRPr="00D71B7F">
        <w:rPr>
          <w:rFonts w:ascii="Verdana" w:hAnsi="Verdana" w:cs="Arial"/>
          <w:sz w:val="16"/>
          <w:szCs w:val="16"/>
          <w:lang w:val="pt-PT"/>
        </w:rPr>
        <w:tab/>
      </w:r>
    </w:p>
    <w:p w14:paraId="485767AD" w14:textId="77777777" w:rsidR="00B54967" w:rsidRPr="00D71B7F" w:rsidRDefault="00B54967" w:rsidP="00B54967">
      <w:pPr>
        <w:pStyle w:val="Textonotapie"/>
        <w:tabs>
          <w:tab w:val="left" w:pos="8145"/>
        </w:tabs>
        <w:ind w:firstLine="709"/>
        <w:jc w:val="both"/>
        <w:rPr>
          <w:rFonts w:ascii="Verdana" w:hAnsi="Verdana" w:cs="Arial"/>
          <w:sz w:val="16"/>
          <w:szCs w:val="16"/>
          <w:lang w:val="pt-PT"/>
        </w:rPr>
      </w:pPr>
    </w:p>
  </w:footnote>
  <w:footnote w:id="8">
    <w:p w14:paraId="5C31374E" w14:textId="77777777" w:rsidR="00B54967" w:rsidRPr="00D71B7F" w:rsidRDefault="00B54967" w:rsidP="00B54967">
      <w:pPr>
        <w:pStyle w:val="Textonotapie"/>
        <w:ind w:firstLine="709"/>
        <w:jc w:val="both"/>
        <w:rPr>
          <w:rFonts w:ascii="Verdana" w:hAnsi="Verdana" w:cs="Arial"/>
          <w:sz w:val="16"/>
          <w:szCs w:val="16"/>
          <w:lang w:val="pt-PT"/>
        </w:rPr>
      </w:pPr>
      <w:r w:rsidRPr="00D71B7F">
        <w:rPr>
          <w:rStyle w:val="Refdenotaalpie"/>
          <w:rFonts w:ascii="Verdana" w:hAnsi="Verdana" w:cs="Arial"/>
          <w:sz w:val="16"/>
          <w:szCs w:val="16"/>
        </w:rPr>
        <w:footnoteRef/>
      </w:r>
      <w:r w:rsidRPr="00D71B7F">
        <w:rPr>
          <w:rFonts w:ascii="Verdana" w:hAnsi="Verdana" w:cs="Arial"/>
          <w:sz w:val="16"/>
          <w:szCs w:val="16"/>
          <w:lang w:val="pt-PT"/>
        </w:rPr>
        <w:t xml:space="preserve"> </w:t>
      </w:r>
      <w:r w:rsidRPr="00D71B7F">
        <w:rPr>
          <w:rFonts w:ascii="Verdana" w:hAnsi="Verdana" w:cs="Arial"/>
          <w:sz w:val="16"/>
          <w:szCs w:val="16"/>
          <w:lang w:val="es-CO"/>
        </w:rPr>
        <w:t xml:space="preserve">Corte Constitucional. Sentencias: C-233 de 4 de abril de 2002. M.P: Álvaro Tafur Galvis; C-551 de 9 de julio de 2003. M.P: Eduardo Montealegre Lynnet; C-353 de 20 de mayo de 2009. M.P: </w:t>
      </w:r>
      <w:r w:rsidRPr="00D71B7F">
        <w:rPr>
          <w:rFonts w:ascii="Verdana" w:hAnsi="Verdana" w:cs="Arial"/>
          <w:sz w:val="16"/>
          <w:szCs w:val="16"/>
          <w:lang w:val="es-CO"/>
        </w:rPr>
        <w:t>Jorge Iván Palacio Palacio; C-541 de 30 de junio de 2010. M.P: Gabriel Eduardo Mendoza Martelo; entre otras.</w:t>
      </w:r>
    </w:p>
    <w:p w14:paraId="672394E8" w14:textId="77777777" w:rsidR="00B54967" w:rsidRPr="00D71B7F" w:rsidRDefault="00B54967" w:rsidP="00B54967">
      <w:pPr>
        <w:pStyle w:val="Textonotapie"/>
        <w:ind w:firstLine="709"/>
        <w:jc w:val="both"/>
        <w:rPr>
          <w:rFonts w:ascii="Verdana" w:hAnsi="Verdana" w:cs="Arial"/>
          <w:sz w:val="16"/>
          <w:szCs w:val="16"/>
          <w:lang w:val="pt-PT"/>
        </w:rPr>
      </w:pPr>
    </w:p>
  </w:footnote>
  <w:footnote w:id="9">
    <w:p w14:paraId="5B1485DC" w14:textId="77777777" w:rsidR="00B54967" w:rsidRPr="00D71B7F" w:rsidRDefault="00B54967" w:rsidP="00B54967">
      <w:pPr>
        <w:pStyle w:val="Textonotapie"/>
        <w:ind w:firstLine="709"/>
        <w:jc w:val="both"/>
        <w:rPr>
          <w:rFonts w:ascii="Verdana" w:hAnsi="Verdana" w:cs="Arial"/>
          <w:sz w:val="16"/>
          <w:szCs w:val="16"/>
          <w:lang w:val="es-CO"/>
        </w:rPr>
      </w:pPr>
      <w:r w:rsidRPr="00D71B7F">
        <w:rPr>
          <w:rStyle w:val="Refdenotaalpie"/>
          <w:rFonts w:ascii="Verdana" w:hAnsi="Verdana" w:cs="Arial"/>
          <w:sz w:val="16"/>
          <w:szCs w:val="16"/>
        </w:rPr>
        <w:footnoteRef/>
      </w:r>
      <w:r w:rsidRPr="00D71B7F">
        <w:rPr>
          <w:rFonts w:ascii="Verdana" w:hAnsi="Verdana" w:cs="Arial"/>
          <w:sz w:val="16"/>
          <w:szCs w:val="16"/>
          <w:lang w:val="es-CO"/>
        </w:rPr>
        <w:t xml:space="preserve"> Consejo de Estado. Sala de lo Contencioso Administrativo. Sección Primera. Sentencia de 3 de marzo de 2005. Radicado: </w:t>
      </w:r>
      <w:r w:rsidRPr="00D71B7F">
        <w:rPr>
          <w:rFonts w:ascii="Verdana" w:hAnsi="Verdana" w:cs="Arial"/>
          <w:sz w:val="16"/>
          <w:szCs w:val="16"/>
          <w:lang w:val="es-ES"/>
        </w:rPr>
        <w:t xml:space="preserve">25001-23-15-000-2004-00823-01 (PI). </w:t>
      </w:r>
      <w:r w:rsidRPr="00D71B7F">
        <w:rPr>
          <w:rFonts w:ascii="Verdana" w:hAnsi="Verdana" w:cs="Arial"/>
          <w:sz w:val="16"/>
          <w:szCs w:val="16"/>
          <w:lang w:val="es-CO"/>
        </w:rPr>
        <w:t>C.P: Camilo Arciniegas Andrade. Ver también, de la Sección Tercera. Sentencia de 22 de enero de 2002, expediente número 2001-0148-01 y, Sección Tercera. Sentencia de 20 de noviembre de 2001, expediente número 2001-0130-01(PI), entre otras.</w:t>
      </w:r>
    </w:p>
    <w:p w14:paraId="3D60333F" w14:textId="77777777" w:rsidR="00B54967" w:rsidRPr="00D71B7F" w:rsidRDefault="00B54967" w:rsidP="00B54967">
      <w:pPr>
        <w:pStyle w:val="Textonotapie"/>
        <w:ind w:firstLine="709"/>
        <w:jc w:val="both"/>
        <w:rPr>
          <w:rFonts w:ascii="Verdana" w:hAnsi="Verdana" w:cs="Arial"/>
          <w:sz w:val="16"/>
          <w:szCs w:val="16"/>
          <w:lang w:val="es-CO"/>
        </w:rPr>
      </w:pPr>
    </w:p>
  </w:footnote>
  <w:footnote w:id="10">
    <w:p w14:paraId="2E9AC810"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24 de julio de 2013. </w:t>
      </w:r>
      <w:r w:rsidRPr="00D71B7F">
        <w:rPr>
          <w:rFonts w:ascii="Verdana" w:hAnsi="Verdana" w:cs="Arial"/>
          <w:sz w:val="16"/>
          <w:szCs w:val="16"/>
        </w:rPr>
        <w:t xml:space="preserve">Radicado: </w:t>
      </w:r>
      <w:r w:rsidRPr="00D71B7F">
        <w:rPr>
          <w:rFonts w:ascii="Verdana" w:hAnsi="Verdana" w:cs="Arial"/>
          <w:sz w:val="16"/>
          <w:szCs w:val="16"/>
          <w:lang w:val="es-CO"/>
        </w:rPr>
        <w:t xml:space="preserve">11001-03-06-000-2013-00407-00 </w:t>
      </w:r>
      <w:r w:rsidRPr="00D71B7F">
        <w:rPr>
          <w:rFonts w:ascii="Verdana" w:hAnsi="Verdana" w:cs="Arial"/>
          <w:sz w:val="16"/>
          <w:szCs w:val="16"/>
        </w:rPr>
        <w:t xml:space="preserve">(2166). C.P. Álvaro Namén Vargas.  </w:t>
      </w:r>
    </w:p>
    <w:p w14:paraId="02F9CEEE" w14:textId="77777777" w:rsidR="00B54967" w:rsidRPr="00D71B7F" w:rsidRDefault="00B54967" w:rsidP="00B54967">
      <w:pPr>
        <w:pStyle w:val="Textonotapie"/>
        <w:ind w:firstLine="709"/>
        <w:jc w:val="both"/>
        <w:rPr>
          <w:rFonts w:ascii="Verdana" w:hAnsi="Verdana" w:cs="Arial"/>
          <w:sz w:val="16"/>
          <w:szCs w:val="16"/>
        </w:rPr>
      </w:pPr>
    </w:p>
  </w:footnote>
  <w:footnote w:id="11">
    <w:p w14:paraId="44842E04" w14:textId="77777777" w:rsidR="00B54967" w:rsidRPr="00D71B7F" w:rsidRDefault="00B54967" w:rsidP="00B54967">
      <w:pPr>
        <w:spacing w:after="0" w:line="240" w:lineRule="auto"/>
        <w:ind w:firstLine="709"/>
        <w:jc w:val="both"/>
        <w:rPr>
          <w:rFonts w:ascii="Verdana" w:eastAsia="Times New Roman"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bookmarkStart w:id="4" w:name="33"/>
      <w:r w:rsidRPr="00D71B7F">
        <w:rPr>
          <w:rFonts w:ascii="Verdana" w:eastAsia="Calibri" w:hAnsi="Verdana" w:cs="Arial"/>
          <w:color w:val="000000"/>
          <w:sz w:val="16"/>
          <w:szCs w:val="16"/>
        </w:rPr>
        <w:t>“</w:t>
      </w:r>
      <w:r w:rsidRPr="00D71B7F">
        <w:rPr>
          <w:rFonts w:ascii="Verdana" w:eastAsia="Times New Roman" w:hAnsi="Verdana" w:cs="Arial"/>
          <w:sz w:val="16"/>
          <w:szCs w:val="16"/>
        </w:rPr>
        <w:t>Artículo 33. Restricciones a la contratación pública.</w:t>
      </w:r>
      <w:bookmarkEnd w:id="4"/>
      <w:r w:rsidRPr="00D71B7F">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1DE63A15" w14:textId="77777777" w:rsidR="00B54967" w:rsidRPr="00D71B7F" w:rsidRDefault="00B54967" w:rsidP="00B54967">
      <w:pPr>
        <w:spacing w:after="0" w:line="240" w:lineRule="auto"/>
        <w:ind w:firstLine="709"/>
        <w:jc w:val="both"/>
        <w:rPr>
          <w:rFonts w:ascii="Verdana" w:eastAsia="Times New Roman" w:hAnsi="Verdana" w:cs="Arial"/>
          <w:sz w:val="16"/>
          <w:szCs w:val="16"/>
        </w:rPr>
      </w:pPr>
      <w:r w:rsidRPr="00D71B7F">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244EEDF4" w14:textId="77777777" w:rsidR="00B54967" w:rsidRPr="00D71B7F" w:rsidRDefault="00B54967" w:rsidP="00B54967">
      <w:pPr>
        <w:spacing w:after="0" w:line="240" w:lineRule="auto"/>
        <w:ind w:firstLine="709"/>
        <w:jc w:val="both"/>
        <w:rPr>
          <w:rFonts w:ascii="Verdana" w:eastAsia="Times New Roman" w:hAnsi="Verdana" w:cs="Arial"/>
          <w:sz w:val="16"/>
          <w:szCs w:val="16"/>
        </w:rPr>
      </w:pPr>
    </w:p>
  </w:footnote>
  <w:footnote w:id="12">
    <w:p w14:paraId="030B7792" w14:textId="77777777" w:rsidR="00B54967" w:rsidRPr="00D71B7F" w:rsidRDefault="00B54967" w:rsidP="00B54967">
      <w:pPr>
        <w:pStyle w:val="NormalWeb"/>
        <w:spacing w:before="0" w:beforeAutospacing="0" w:after="0" w:afterAutospacing="0"/>
        <w:ind w:firstLine="709"/>
        <w:jc w:val="both"/>
        <w:rPr>
          <w:rFonts w:ascii="Verdana" w:hAnsi="Verdana" w:cs="Arial"/>
          <w:sz w:val="16"/>
          <w:szCs w:val="16"/>
          <w:lang w:val="es-MX"/>
        </w:rPr>
      </w:pPr>
      <w:r w:rsidRPr="00D71B7F">
        <w:rPr>
          <w:rStyle w:val="Refdenotaalpie"/>
          <w:rFonts w:ascii="Verdana" w:eastAsiaTheme="majorEastAsia" w:hAnsi="Verdana" w:cs="Arial"/>
          <w:sz w:val="16"/>
          <w:szCs w:val="16"/>
        </w:rPr>
        <w:footnoteRef/>
      </w:r>
      <w:r w:rsidRPr="00D71B7F">
        <w:rPr>
          <w:rFonts w:ascii="Verdana" w:hAnsi="Verdana" w:cs="Arial"/>
          <w:sz w:val="16"/>
          <w:szCs w:val="16"/>
        </w:rPr>
        <w:t xml:space="preserve"> </w:t>
      </w:r>
      <w:bookmarkStart w:id="5" w:name="38"/>
      <w:r w:rsidRPr="00D71B7F">
        <w:rPr>
          <w:rFonts w:ascii="Verdana" w:eastAsia="Calibri" w:hAnsi="Verdana" w:cs="Arial"/>
          <w:color w:val="000000"/>
          <w:sz w:val="16"/>
          <w:szCs w:val="16"/>
        </w:rPr>
        <w:t>“</w:t>
      </w:r>
      <w:r w:rsidRPr="00D71B7F">
        <w:rPr>
          <w:rFonts w:ascii="Verdana" w:hAnsi="Verdana" w:cs="Arial"/>
          <w:sz w:val="16"/>
          <w:szCs w:val="16"/>
          <w:lang w:val="es-MX"/>
        </w:rPr>
        <w:t>Artículo 38. Prohibiciones para los servidores públicos. A los empleados del Estado les está prohibido:</w:t>
      </w:r>
      <w:bookmarkEnd w:id="5"/>
    </w:p>
    <w:p w14:paraId="69F6CBEA" w14:textId="77777777" w:rsidR="00B54967" w:rsidRPr="00D71B7F" w:rsidRDefault="00B54967" w:rsidP="00B54967">
      <w:pPr>
        <w:pStyle w:val="NormalWeb"/>
        <w:spacing w:before="0" w:beforeAutospacing="0" w:after="0" w:afterAutospacing="0"/>
        <w:ind w:firstLine="709"/>
        <w:jc w:val="both"/>
        <w:rPr>
          <w:rFonts w:ascii="Verdana" w:hAnsi="Verdana" w:cs="Arial"/>
          <w:sz w:val="16"/>
          <w:szCs w:val="16"/>
          <w:lang w:val="es-MX"/>
        </w:rPr>
      </w:pPr>
      <w:r w:rsidRPr="00D71B7F">
        <w:rPr>
          <w:rFonts w:ascii="Verdana" w:hAnsi="Verdana" w:cs="Arial"/>
          <w:sz w:val="16"/>
          <w:szCs w:val="16"/>
          <w:lang w:val="es-MX"/>
        </w:rPr>
        <w:t>(…)</w:t>
      </w:r>
    </w:p>
    <w:p w14:paraId="3BF9D2D6" w14:textId="77777777" w:rsidR="00B54967" w:rsidRPr="00D71B7F" w:rsidRDefault="00B54967" w:rsidP="00B54967">
      <w:pPr>
        <w:pStyle w:val="NormalWeb"/>
        <w:spacing w:before="0" w:beforeAutospacing="0" w:after="0" w:afterAutospacing="0"/>
        <w:ind w:firstLine="709"/>
        <w:jc w:val="both"/>
        <w:rPr>
          <w:rFonts w:ascii="Verdana" w:eastAsia="Calibri" w:hAnsi="Verdana" w:cs="Arial"/>
          <w:color w:val="000000"/>
          <w:sz w:val="16"/>
          <w:szCs w:val="16"/>
        </w:rPr>
      </w:pPr>
      <w:r w:rsidRPr="00D71B7F">
        <w:rPr>
          <w:rStyle w:val="baj"/>
          <w:rFonts w:ascii="Verdana" w:hAnsi="Verdana" w:cs="Arial"/>
          <w:sz w:val="16"/>
          <w:szCs w:val="16"/>
          <w:lang w:val="es-MX"/>
        </w:rPr>
        <w:t>Parágrafo.</w:t>
      </w:r>
      <w:r w:rsidRPr="00D71B7F">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D71B7F">
        <w:rPr>
          <w:rFonts w:ascii="Verdana" w:eastAsia="Calibri" w:hAnsi="Verdana" w:cs="Arial"/>
          <w:color w:val="000000"/>
          <w:sz w:val="16"/>
          <w:szCs w:val="16"/>
        </w:rPr>
        <w:t>”.</w:t>
      </w:r>
    </w:p>
    <w:p w14:paraId="7A1A2BC3" w14:textId="77777777" w:rsidR="00B54967" w:rsidRPr="00D71B7F" w:rsidRDefault="00B54967" w:rsidP="00B54967">
      <w:pPr>
        <w:pStyle w:val="NormalWeb"/>
        <w:spacing w:before="0" w:beforeAutospacing="0" w:after="0" w:afterAutospacing="0"/>
        <w:ind w:firstLine="709"/>
        <w:jc w:val="both"/>
        <w:rPr>
          <w:rFonts w:ascii="Verdana" w:hAnsi="Verdana" w:cs="Arial"/>
          <w:sz w:val="16"/>
          <w:szCs w:val="16"/>
          <w:lang w:val="es-MX"/>
        </w:rPr>
      </w:pPr>
    </w:p>
  </w:footnote>
  <w:footnote w:id="13">
    <w:p w14:paraId="590DD7BE" w14:textId="77777777" w:rsidR="00B54967" w:rsidRPr="00D71B7F" w:rsidRDefault="00B54967" w:rsidP="00B54967">
      <w:pPr>
        <w:tabs>
          <w:tab w:val="left" w:pos="2127"/>
        </w:tabs>
        <w:spacing w:after="0" w:line="240" w:lineRule="auto"/>
        <w:ind w:left="100" w:right="244"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17 de febrero de 2015. Radicado: 11001-03-06-000-2015-00164-00 (2269). C.P. William Zambrano Cetina.</w:t>
      </w:r>
    </w:p>
    <w:p w14:paraId="031A7044" w14:textId="77777777" w:rsidR="00B54967" w:rsidRPr="00D71B7F" w:rsidRDefault="00B54967" w:rsidP="00B54967">
      <w:pPr>
        <w:spacing w:after="0" w:line="240" w:lineRule="auto"/>
        <w:ind w:left="100" w:right="244" w:firstLine="709"/>
        <w:jc w:val="both"/>
        <w:rPr>
          <w:rFonts w:ascii="Verdana" w:hAnsi="Verdana" w:cs="Arial"/>
          <w:sz w:val="16"/>
          <w:szCs w:val="16"/>
          <w:lang w:val="es-ES"/>
        </w:rPr>
      </w:pPr>
    </w:p>
  </w:footnote>
  <w:footnote w:id="14">
    <w:p w14:paraId="285184D2"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sz w:val="16"/>
          <w:szCs w:val="16"/>
          <w:lang w:val="es-ES"/>
        </w:rPr>
        <w:t xml:space="preserve">[25] </w:t>
      </w:r>
      <w:r w:rsidRPr="00D71B7F">
        <w:rPr>
          <w:rFonts w:ascii="Verdana" w:hAnsi="Verdana" w:cs="Arial"/>
          <w:sz w:val="16"/>
          <w:szCs w:val="16"/>
        </w:rPr>
        <w:t>Cfr. Consejo de Estado. Sección Tercera. Sentencia de 3 de diciembre de 2007. Radicados: 24.715, 25.206, 25.409, 24.524, 27.834, 25.410, 26.105, 28.244, 31.447 -acumulados-“.</w:t>
      </w:r>
    </w:p>
    <w:p w14:paraId="5A6134E5" w14:textId="77777777" w:rsidR="00B54967" w:rsidRPr="00D71B7F" w:rsidRDefault="00B54967" w:rsidP="00B54967">
      <w:pPr>
        <w:pStyle w:val="Textonotapie"/>
        <w:ind w:firstLine="709"/>
        <w:jc w:val="both"/>
        <w:rPr>
          <w:rFonts w:ascii="Verdana" w:hAnsi="Verdana" w:cs="Arial"/>
          <w:sz w:val="16"/>
          <w:szCs w:val="16"/>
        </w:rPr>
      </w:pPr>
    </w:p>
  </w:footnote>
  <w:footnote w:id="15">
    <w:p w14:paraId="5E372668"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w:t>
      </w:r>
      <w:bookmarkStart w:id="13" w:name="_Hlk74294506"/>
      <w:r w:rsidRPr="00D71B7F">
        <w:rPr>
          <w:rFonts w:ascii="Verdana" w:hAnsi="Verdana" w:cs="Arial"/>
          <w:sz w:val="16"/>
          <w:szCs w:val="16"/>
        </w:rPr>
        <w:t>“</w:t>
      </w:r>
      <w:r w:rsidRPr="00D71B7F">
        <w:rPr>
          <w:rFonts w:ascii="Verdana" w:hAnsi="Verdana" w:cs="Arial"/>
          <w:sz w:val="16"/>
          <w:szCs w:val="16"/>
          <w:lang w:val="es-ES"/>
        </w:rPr>
        <w:t xml:space="preserve">[26] </w:t>
      </w:r>
      <w:bookmarkEnd w:id="13"/>
      <w:r w:rsidRPr="00D71B7F">
        <w:rPr>
          <w:rFonts w:ascii="Verdana" w:hAnsi="Verdana" w:cs="Arial"/>
          <w:sz w:val="16"/>
          <w:szCs w:val="16"/>
        </w:rPr>
        <w:t>Al respecto ver el concepto 1712 de 2 de febrero de 2006. Consejo de Estado Sala de Consulta y Servicio Civil”.</w:t>
      </w:r>
    </w:p>
    <w:p w14:paraId="04C94F3B" w14:textId="77777777" w:rsidR="00B54967" w:rsidRPr="00D71B7F" w:rsidRDefault="00B54967" w:rsidP="00B54967">
      <w:pPr>
        <w:pStyle w:val="Textonotapie"/>
        <w:ind w:firstLine="709"/>
        <w:jc w:val="both"/>
        <w:rPr>
          <w:rFonts w:ascii="Verdana" w:hAnsi="Verdana" w:cs="Arial"/>
          <w:sz w:val="16"/>
          <w:szCs w:val="16"/>
        </w:rPr>
      </w:pPr>
    </w:p>
  </w:footnote>
  <w:footnote w:id="16">
    <w:p w14:paraId="39F1500B"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2 de septiembre de 2013. Radicación número: 11001-03-06-000-2013-00412-00 (2168). C.P: Álvaro Namén Vargas.</w:t>
      </w:r>
    </w:p>
    <w:p w14:paraId="79988604" w14:textId="77777777" w:rsidR="00B54967" w:rsidRPr="00D71B7F" w:rsidRDefault="00B54967" w:rsidP="00B54967">
      <w:pPr>
        <w:pStyle w:val="Textonotapie"/>
        <w:ind w:firstLine="709"/>
        <w:jc w:val="both"/>
        <w:rPr>
          <w:rFonts w:ascii="Verdana" w:hAnsi="Verdana" w:cs="Arial"/>
          <w:sz w:val="16"/>
          <w:szCs w:val="16"/>
        </w:rPr>
      </w:pPr>
    </w:p>
  </w:footnote>
  <w:footnote w:id="17">
    <w:p w14:paraId="6B5A475A" w14:textId="77777777" w:rsidR="00B54967" w:rsidRPr="00D71B7F" w:rsidRDefault="00B54967" w:rsidP="00B5496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sz w:val="16"/>
          <w:szCs w:val="16"/>
          <w:lang w:val="es-ES"/>
        </w:rPr>
        <w:t xml:space="preserve">Artículo 2. </w:t>
      </w:r>
    </w:p>
    <w:p w14:paraId="01704A4D" w14:textId="77777777" w:rsidR="00B54967" w:rsidRPr="00D71B7F" w:rsidRDefault="00B54967" w:rsidP="00B54967">
      <w:pPr>
        <w:pStyle w:val="Textonotapie"/>
        <w:ind w:firstLine="709"/>
        <w:rPr>
          <w:rFonts w:ascii="Verdana" w:hAnsi="Verdana" w:cs="Arial"/>
          <w:sz w:val="16"/>
          <w:szCs w:val="16"/>
          <w:lang w:val="es-ES"/>
        </w:rPr>
      </w:pPr>
    </w:p>
  </w:footnote>
  <w:footnote w:id="18">
    <w:p w14:paraId="4BDF102A" w14:textId="77777777" w:rsidR="00B54967" w:rsidRPr="00D71B7F" w:rsidRDefault="00B54967" w:rsidP="00B5496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Fonts w:ascii="Verdana" w:hAnsi="Verdana" w:cs="Arial"/>
          <w:sz w:val="16"/>
          <w:szCs w:val="16"/>
        </w:rPr>
        <w:t xml:space="preserve"> </w:t>
      </w:r>
      <w:r w:rsidRPr="00D71B7F">
        <w:rPr>
          <w:rFonts w:ascii="Verdana" w:hAnsi="Verdana" w:cs="Arial"/>
          <w:i/>
          <w:sz w:val="16"/>
          <w:szCs w:val="16"/>
          <w:lang w:val="es-ES"/>
        </w:rPr>
        <w:t>Ídem</w:t>
      </w:r>
      <w:r w:rsidRPr="00D71B7F">
        <w:rPr>
          <w:rFonts w:ascii="Verdana" w:hAnsi="Verdana" w:cs="Arial"/>
          <w:sz w:val="16"/>
          <w:szCs w:val="16"/>
          <w:lang w:val="es-ES"/>
        </w:rPr>
        <w:t>.</w:t>
      </w:r>
    </w:p>
    <w:p w14:paraId="477BEAD5" w14:textId="77777777" w:rsidR="00B54967" w:rsidRPr="00D71B7F" w:rsidRDefault="00B54967" w:rsidP="00B54967">
      <w:pPr>
        <w:pStyle w:val="Textonotapie"/>
        <w:ind w:firstLine="709"/>
        <w:rPr>
          <w:rFonts w:ascii="Verdana" w:hAnsi="Verdana" w:cs="Arial"/>
          <w:sz w:val="16"/>
          <w:szCs w:val="16"/>
          <w:lang w:val="es-ES"/>
        </w:rPr>
      </w:pPr>
    </w:p>
  </w:footnote>
  <w:footnote w:id="19">
    <w:p w14:paraId="77ECCEEF" w14:textId="77777777" w:rsidR="00B54967" w:rsidRPr="00D71B7F" w:rsidRDefault="00B54967" w:rsidP="00B54967">
      <w:pPr>
        <w:pStyle w:val="Textonotapie"/>
        <w:ind w:firstLine="709"/>
        <w:rPr>
          <w:rFonts w:ascii="Verdana" w:hAnsi="Verdana" w:cs="Arial"/>
          <w:sz w:val="16"/>
          <w:szCs w:val="16"/>
          <w:lang w:val="es-ES"/>
        </w:rPr>
      </w:pPr>
      <w:r w:rsidRPr="00D71B7F">
        <w:rPr>
          <w:rStyle w:val="Refdenotaalpie"/>
          <w:rFonts w:ascii="Verdana" w:hAnsi="Verdana" w:cs="Arial"/>
          <w:sz w:val="16"/>
          <w:szCs w:val="16"/>
        </w:rPr>
        <w:footnoteRef/>
      </w:r>
      <w:r w:rsidRPr="00D71B7F">
        <w:rPr>
          <w:rStyle w:val="Refdenotaalpie"/>
          <w:rFonts w:ascii="Verdana" w:hAnsi="Verdana" w:cs="Arial"/>
          <w:sz w:val="16"/>
          <w:szCs w:val="16"/>
        </w:rPr>
        <w:t xml:space="preserve"> </w:t>
      </w:r>
      <w:r w:rsidRPr="00D71B7F">
        <w:rPr>
          <w:rFonts w:ascii="Verdana" w:hAnsi="Verdana" w:cs="Arial"/>
          <w:sz w:val="16"/>
          <w:szCs w:val="16"/>
          <w:lang w:val="es-ES"/>
        </w:rPr>
        <w:t xml:space="preserve">[…] A este respecto, cabe recordar que el artículo 860 del Código de Comercio regula la licitación en el derecho privado. </w:t>
      </w:r>
    </w:p>
    <w:p w14:paraId="52CB93B2" w14:textId="77777777" w:rsidR="00B54967" w:rsidRPr="00D71B7F" w:rsidRDefault="00B54967" w:rsidP="00B54967">
      <w:pPr>
        <w:pStyle w:val="Textonotapie"/>
        <w:ind w:firstLine="709"/>
        <w:rPr>
          <w:rFonts w:ascii="Verdana" w:hAnsi="Verdana" w:cs="Arial"/>
          <w:sz w:val="16"/>
          <w:szCs w:val="16"/>
          <w:lang w:val="es-ES"/>
        </w:rPr>
      </w:pPr>
    </w:p>
  </w:footnote>
  <w:footnote w:id="20">
    <w:p w14:paraId="66EDEAA7" w14:textId="77777777" w:rsidR="00B54967" w:rsidRPr="00D71B7F" w:rsidRDefault="00B54967" w:rsidP="00B54967">
      <w:pPr>
        <w:shd w:val="clear" w:color="auto" w:fill="FFFFFF"/>
        <w:spacing w:after="0" w:line="240" w:lineRule="auto"/>
        <w:ind w:firstLine="709"/>
        <w:jc w:val="both"/>
        <w:rPr>
          <w:rFonts w:ascii="Verdana" w:hAnsi="Verdana" w:cs="Arial"/>
          <w:sz w:val="16"/>
          <w:szCs w:val="16"/>
          <w:lang w:val="es-ES"/>
        </w:rPr>
      </w:pPr>
      <w:r w:rsidRPr="00D71B7F">
        <w:rPr>
          <w:rStyle w:val="Refdenotaalpie"/>
          <w:rFonts w:ascii="Verdana" w:hAnsi="Verdana" w:cs="Arial"/>
          <w:sz w:val="16"/>
          <w:szCs w:val="16"/>
        </w:rPr>
        <w:footnoteRef/>
      </w:r>
      <w:r w:rsidRPr="00D71B7F">
        <w:rPr>
          <w:rStyle w:val="Refdenotaalpie"/>
          <w:rFonts w:ascii="Verdana" w:hAnsi="Verdana" w:cs="Arial"/>
          <w:sz w:val="16"/>
          <w:szCs w:val="16"/>
        </w:rPr>
        <w:t xml:space="preserve"> </w:t>
      </w:r>
      <w:r w:rsidRPr="00D71B7F">
        <w:rPr>
          <w:rFonts w:ascii="Verdana" w:hAnsi="Verdana" w:cs="Arial"/>
          <w:sz w:val="16"/>
          <w:szCs w:val="16"/>
          <w:lang w:val="es-ES"/>
        </w:rPr>
        <w:t>Consejo de Estado. Sala de Consulta y Servicio Civil, Concepto de 8 de mayo de 2018. Radicación Número: 11001-03-06-000-2018-00095-00 (2382). C.P: Álvaro Namén Vargas.</w:t>
      </w:r>
    </w:p>
    <w:p w14:paraId="50500473" w14:textId="77777777" w:rsidR="00B54967" w:rsidRPr="00D71B7F" w:rsidRDefault="00B54967" w:rsidP="00B54967">
      <w:pPr>
        <w:shd w:val="clear" w:color="auto" w:fill="FFFFFF"/>
        <w:spacing w:after="0" w:line="240" w:lineRule="auto"/>
        <w:ind w:firstLine="709"/>
        <w:jc w:val="both"/>
        <w:rPr>
          <w:rFonts w:ascii="Verdana" w:hAnsi="Verdana" w:cs="Arial"/>
          <w:sz w:val="16"/>
          <w:szCs w:val="16"/>
          <w:lang w:val="es-ES"/>
        </w:rPr>
      </w:pPr>
    </w:p>
  </w:footnote>
  <w:footnote w:id="21">
    <w:p w14:paraId="28C78C51"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08 de mayo de 2018. </w:t>
      </w:r>
      <w:r w:rsidRPr="00D71B7F">
        <w:rPr>
          <w:rFonts w:ascii="Verdana" w:hAnsi="Verdana" w:cs="Arial"/>
          <w:sz w:val="16"/>
          <w:szCs w:val="16"/>
        </w:rPr>
        <w:t>Exp. 2.382. C.P. Álvaro Namén Vargas.</w:t>
      </w:r>
    </w:p>
    <w:p w14:paraId="0A5EBF6B" w14:textId="77777777" w:rsidR="00B54967" w:rsidRPr="00D71B7F" w:rsidRDefault="00B54967" w:rsidP="00B54967">
      <w:pPr>
        <w:pStyle w:val="Textonotapie"/>
        <w:ind w:firstLine="709"/>
        <w:jc w:val="both"/>
        <w:rPr>
          <w:rFonts w:ascii="Verdana" w:hAnsi="Verdana" w:cs="Arial"/>
          <w:sz w:val="16"/>
          <w:szCs w:val="16"/>
        </w:rPr>
      </w:pPr>
    </w:p>
  </w:footnote>
  <w:footnote w:id="22">
    <w:p w14:paraId="6FE223FD" w14:textId="77777777" w:rsidR="00B54967" w:rsidRPr="00D71B7F" w:rsidRDefault="00B54967" w:rsidP="00B54967">
      <w:pPr>
        <w:pStyle w:val="Textonotapie"/>
        <w:ind w:firstLine="709"/>
        <w:jc w:val="both"/>
        <w:rPr>
          <w:rFonts w:ascii="Verdana" w:hAnsi="Verdana"/>
          <w:sz w:val="16"/>
          <w:szCs w:val="16"/>
          <w:lang w:val="es-ES"/>
        </w:rPr>
      </w:pPr>
      <w:r w:rsidRPr="00D71B7F">
        <w:rPr>
          <w:rStyle w:val="Refdenotaalpie"/>
          <w:rFonts w:ascii="Verdana" w:hAnsi="Verdana"/>
          <w:sz w:val="16"/>
          <w:szCs w:val="16"/>
        </w:rPr>
        <w:footnoteRef/>
      </w:r>
      <w:r w:rsidRPr="00D71B7F">
        <w:rPr>
          <w:rFonts w:ascii="Verdana" w:hAnsi="Verdana"/>
          <w:sz w:val="16"/>
          <w:szCs w:val="16"/>
        </w:rPr>
        <w:t xml:space="preserve"> </w:t>
      </w:r>
      <w:r w:rsidRPr="00D71B7F">
        <w:rPr>
          <w:rFonts w:ascii="Verdana" w:hAnsi="Verdana"/>
          <w:sz w:val="16"/>
          <w:szCs w:val="16"/>
          <w:lang w:val="es-ES"/>
        </w:rPr>
        <w:t xml:space="preserve">Agencia Nacional de Contratación Pública. Circular Externa 006 del 25 de septiembre de 2025. Disponible en </w:t>
      </w:r>
      <w:hyperlink r:id="rId1" w:history="1">
        <w:r w:rsidRPr="00D71B7F">
          <w:rPr>
            <w:rStyle w:val="Hipervnculo"/>
            <w:rFonts w:ascii="Verdana" w:hAnsi="Verdana"/>
            <w:sz w:val="16"/>
            <w:szCs w:val="16"/>
            <w:lang w:val="es-CO"/>
          </w:rPr>
          <w:t>006-de-2025-Circular-Externa-L996-ajustado-comentarios-BM-BID-Rev-ARSC-V3.d-1.pdf</w:t>
        </w:r>
      </w:hyperlink>
    </w:p>
    <w:p w14:paraId="518BA2FC" w14:textId="77777777" w:rsidR="00B54967" w:rsidRPr="00D71B7F" w:rsidRDefault="00B54967" w:rsidP="00B54967">
      <w:pPr>
        <w:pStyle w:val="Textonotapie"/>
        <w:rPr>
          <w:rFonts w:ascii="Verdana" w:hAnsi="Verdana"/>
          <w:sz w:val="16"/>
          <w:szCs w:val="16"/>
          <w:lang w:val="es-ES"/>
        </w:rPr>
      </w:pPr>
    </w:p>
  </w:footnote>
  <w:footnote w:id="23">
    <w:p w14:paraId="74F883F9" w14:textId="77777777" w:rsidR="00B54967" w:rsidRPr="00D71B7F" w:rsidRDefault="00B54967" w:rsidP="00B54967">
      <w:pPr>
        <w:spacing w:after="0" w:line="240" w:lineRule="auto"/>
        <w:ind w:firstLine="709"/>
        <w:jc w:val="both"/>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20 de febrero de 2006. Radicación Número: 11001-03-06-000-2006-00026-00 (1727).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p w14:paraId="7CEBCCE8" w14:textId="77777777" w:rsidR="00B54967" w:rsidRPr="00D71B7F" w:rsidRDefault="00B54967" w:rsidP="00B54967">
      <w:pPr>
        <w:spacing w:after="0" w:line="240" w:lineRule="auto"/>
        <w:ind w:firstLine="709"/>
        <w:jc w:val="both"/>
        <w:rPr>
          <w:rFonts w:ascii="Verdana" w:hAnsi="Verdana" w:cs="Arial"/>
          <w:color w:val="000000" w:themeColor="text1"/>
          <w:sz w:val="16"/>
          <w:szCs w:val="16"/>
        </w:rPr>
      </w:pPr>
    </w:p>
  </w:footnote>
  <w:footnote w:id="24">
    <w:p w14:paraId="7D20DE62" w14:textId="77777777" w:rsidR="00B54967" w:rsidRPr="00D71B7F" w:rsidRDefault="00B54967" w:rsidP="00B54967">
      <w:pPr>
        <w:pStyle w:val="Textonotapie"/>
        <w:ind w:firstLine="709"/>
        <w:jc w:val="both"/>
        <w:rPr>
          <w:rFonts w:ascii="Verdana" w:eastAsia="Times New Roman" w:hAnsi="Verdana" w:cs="Arial"/>
          <w:color w:val="000000" w:themeColor="text1"/>
          <w:sz w:val="16"/>
          <w:szCs w:val="16"/>
          <w:lang w:eastAsia="x-none"/>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6 de abril de 2006. Radicación Número: 11001-03-06-000-2006-00038-00 (1738). C.P: Enrique José Arboleda Perdomo:</w:t>
      </w:r>
      <w:r w:rsidRPr="00D71B7F">
        <w:rPr>
          <w:rFonts w:ascii="Verdana" w:eastAsia="Times New Roman" w:hAnsi="Verdana" w:cs="Arial"/>
          <w:color w:val="000000" w:themeColor="text1"/>
          <w:sz w:val="16"/>
          <w:szCs w:val="16"/>
          <w:lang w:eastAsia="x-none"/>
        </w:rPr>
        <w:t xml:space="preserve"> </w:t>
      </w:r>
      <w:bookmarkStart w:id="17" w:name="_Hlk97890572"/>
      <w:r w:rsidRPr="00D71B7F">
        <w:rPr>
          <w:rFonts w:ascii="Verdana" w:eastAsia="Times New Roman" w:hAnsi="Verdana" w:cs="Arial"/>
          <w:color w:val="000000" w:themeColor="text1"/>
          <w:sz w:val="16"/>
          <w:szCs w:val="16"/>
          <w:lang w:eastAsia="x-none"/>
        </w:rPr>
        <w:t>“</w:t>
      </w:r>
      <w:r w:rsidRPr="00D71B7F">
        <w:rPr>
          <w:rFonts w:ascii="Verdana" w:hAnsi="Verdana" w:cs="Arial"/>
          <w:color w:val="000000" w:themeColor="text1"/>
          <w:sz w:val="16"/>
          <w:szCs w:val="16"/>
        </w:rPr>
        <w:t xml:space="preserve">Si bien en el tema del concepto del que se extractaron </w:t>
      </w:r>
      <w:bookmarkEnd w:id="17"/>
      <w:r w:rsidRPr="00D71B7F">
        <w:rPr>
          <w:rFonts w:ascii="Verdana" w:hAnsi="Verdana" w:cs="Arial"/>
          <w:color w:val="000000" w:themeColor="text1"/>
          <w:sz w:val="16"/>
          <w:szCs w:val="16"/>
        </w:rPr>
        <w:t>los párrafos transcritos, se hacía referencia a las empresas de servicios públicos domiciliarios mixtas, la explicación dada cobija también a las empresas industriales y comerciales del estado y a las de crédito, pues todas ellas hacen parte de la definición de administración pública de la ley 489 de 1998, y además encajan dentro de la noción de todos los entes del Estado que trae la ley 996 de 2005 en el artículo 33, de manera que no es lógico pretender exonerarse de ésta prohibición alegando un régimen especial de los actos o contratos</w:t>
      </w:r>
      <w:r w:rsidRPr="00D71B7F">
        <w:rPr>
          <w:rFonts w:ascii="Verdana" w:eastAsia="Times New Roman" w:hAnsi="Verdana" w:cs="Arial"/>
          <w:color w:val="000000" w:themeColor="text1"/>
          <w:sz w:val="16"/>
          <w:szCs w:val="16"/>
          <w:lang w:eastAsia="x-none"/>
        </w:rPr>
        <w:t>”.</w:t>
      </w:r>
    </w:p>
    <w:p w14:paraId="71004A69" w14:textId="77777777" w:rsidR="00B54967" w:rsidRPr="00D71B7F" w:rsidRDefault="00B54967" w:rsidP="00B54967">
      <w:pPr>
        <w:pStyle w:val="Textonotapie"/>
        <w:ind w:firstLine="709"/>
        <w:jc w:val="both"/>
        <w:rPr>
          <w:rFonts w:ascii="Verdana" w:hAnsi="Verdana" w:cs="Arial"/>
          <w:color w:val="000000" w:themeColor="text1"/>
          <w:sz w:val="16"/>
          <w:szCs w:val="16"/>
        </w:rPr>
      </w:pPr>
    </w:p>
  </w:footnote>
  <w:footnote w:id="25">
    <w:p w14:paraId="3333A53E" w14:textId="77777777" w:rsidR="00B54967" w:rsidRPr="00D71B7F" w:rsidRDefault="00B54967" w:rsidP="00B54967">
      <w:pPr>
        <w:spacing w:after="0" w:line="240" w:lineRule="auto"/>
        <w:ind w:firstLine="709"/>
        <w:jc w:val="both"/>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Concepto de 6 de abril de 2006. Radicación Número: 11001-03-06-000-2006-00038-00(1738). C.P: Enrique José Arboleda Perdomo. </w:t>
      </w:r>
    </w:p>
    <w:p w14:paraId="5F57022E" w14:textId="77777777" w:rsidR="00B54967" w:rsidRPr="00D71B7F" w:rsidRDefault="00B54967" w:rsidP="00B54967">
      <w:pPr>
        <w:spacing w:after="0" w:line="240" w:lineRule="auto"/>
        <w:ind w:firstLine="709"/>
        <w:jc w:val="both"/>
        <w:rPr>
          <w:rFonts w:ascii="Verdana" w:hAnsi="Verdana" w:cs="Arial"/>
          <w:color w:val="000000" w:themeColor="text1"/>
          <w:sz w:val="16"/>
          <w:szCs w:val="16"/>
        </w:rPr>
      </w:pPr>
    </w:p>
  </w:footnote>
  <w:footnote w:id="26">
    <w:p w14:paraId="27FB8391" w14:textId="77777777" w:rsidR="00B54967" w:rsidRPr="00D71B7F" w:rsidRDefault="00B54967" w:rsidP="00B54967">
      <w:pPr>
        <w:pStyle w:val="Textonotapie"/>
        <w:ind w:firstLine="709"/>
        <w:rPr>
          <w:rFonts w:ascii="Verdana" w:hAnsi="Verdana" w:cs="Arial"/>
          <w:color w:val="000000" w:themeColor="text1"/>
          <w:sz w:val="16"/>
          <w:szCs w:val="16"/>
        </w:rPr>
      </w:pPr>
      <w:r w:rsidRPr="00D71B7F">
        <w:rPr>
          <w:rStyle w:val="Refdenotaalpie"/>
          <w:rFonts w:ascii="Verdana" w:hAnsi="Verdana" w:cs="Arial"/>
          <w:color w:val="000000" w:themeColor="text1"/>
          <w:sz w:val="16"/>
          <w:szCs w:val="16"/>
        </w:rPr>
        <w:footnoteRef/>
      </w:r>
      <w:r w:rsidRPr="00D71B7F">
        <w:rPr>
          <w:rFonts w:ascii="Verdana" w:hAnsi="Verdana" w:cs="Arial"/>
          <w:color w:val="000000" w:themeColor="text1"/>
          <w:sz w:val="16"/>
          <w:szCs w:val="16"/>
        </w:rPr>
        <w:t xml:space="preserve"> Consejo de Estado. Sala de Consulta y Servicio Civil, ídem.</w:t>
      </w:r>
    </w:p>
    <w:p w14:paraId="76F317E1" w14:textId="77777777" w:rsidR="00B54967" w:rsidRPr="00D71B7F" w:rsidRDefault="00B54967" w:rsidP="00B54967">
      <w:pPr>
        <w:pStyle w:val="Textonotapie"/>
        <w:ind w:firstLine="709"/>
        <w:rPr>
          <w:rFonts w:ascii="Verdana" w:hAnsi="Verdana" w:cs="Arial"/>
          <w:color w:val="000000" w:themeColor="text1"/>
          <w:sz w:val="16"/>
          <w:szCs w:val="16"/>
        </w:rPr>
      </w:pPr>
    </w:p>
  </w:footnote>
  <w:footnote w:id="27">
    <w:p w14:paraId="66E81A82" w14:textId="77777777" w:rsidR="00B54967" w:rsidRPr="00D71B7F" w:rsidRDefault="00B54967" w:rsidP="00B54967">
      <w:pPr>
        <w:pStyle w:val="Textonotapie"/>
        <w:ind w:firstLine="709"/>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La Corte Constitucional mediante Sentencia C-1153-05 de 11 de noviembre de 2005, Magistrado Ponente Marco Gerardo Monroy Cabra, efectuó el Control constitucional al Proyecto </w:t>
      </w:r>
      <w:r w:rsidRPr="00D71B7F">
        <w:rPr>
          <w:rFonts w:ascii="Verdana" w:hAnsi="Verdana" w:cs="Arial"/>
          <w:sz w:val="16"/>
          <w:szCs w:val="16"/>
        </w:rPr>
        <w:t>de Ley Estatutaria N° 216/05 Senado, N° 235-Cámara que dio lugar a la Ley de Garantías Electorales.</w:t>
      </w:r>
    </w:p>
    <w:p w14:paraId="714DCC28" w14:textId="77777777" w:rsidR="00B54967" w:rsidRPr="00D71B7F" w:rsidRDefault="00B54967" w:rsidP="00B54967">
      <w:pPr>
        <w:pStyle w:val="Textonotapie"/>
        <w:ind w:firstLine="709"/>
        <w:jc w:val="both"/>
        <w:rPr>
          <w:rFonts w:ascii="Verdana" w:hAnsi="Verdana" w:cs="Arial"/>
          <w:sz w:val="16"/>
          <w:szCs w:val="16"/>
        </w:rPr>
      </w:pPr>
    </w:p>
  </w:footnote>
  <w:footnote w:id="28">
    <w:p w14:paraId="509E200E" w14:textId="77777777" w:rsidR="00B54967" w:rsidRPr="00D71B7F" w:rsidRDefault="00B54967" w:rsidP="00B54967">
      <w:pPr>
        <w:pStyle w:val="Textonotapie"/>
        <w:ind w:firstLine="708"/>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Consejo de Estado. Sala de Consulta y Servicio Civil. Concepto del 18 de febrero 2010. Rad. 11001-03-06-000-2010-00006-00 (1985). C.P. Enrique José Arboleda Perdomo.</w:t>
      </w:r>
    </w:p>
    <w:p w14:paraId="5D4086EF" w14:textId="77777777" w:rsidR="00B54967" w:rsidRPr="00D71B7F" w:rsidRDefault="00B54967" w:rsidP="00B54967">
      <w:pPr>
        <w:pStyle w:val="Textonotapie"/>
        <w:ind w:firstLine="708"/>
        <w:jc w:val="both"/>
        <w:rPr>
          <w:rFonts w:ascii="Verdana" w:hAnsi="Verdana" w:cs="Arial"/>
          <w:sz w:val="16"/>
          <w:szCs w:val="16"/>
        </w:rPr>
      </w:pPr>
    </w:p>
  </w:footnote>
  <w:footnote w:id="29">
    <w:p w14:paraId="0F857477" w14:textId="77777777" w:rsidR="00B54967" w:rsidRPr="00D71B7F" w:rsidRDefault="00B54967" w:rsidP="00B54967">
      <w:pPr>
        <w:pStyle w:val="Textonotapie"/>
        <w:ind w:firstLine="708"/>
        <w:jc w:val="both"/>
        <w:rPr>
          <w:rFonts w:ascii="Verdana" w:hAnsi="Verdana" w:cs="Arial"/>
          <w:sz w:val="16"/>
          <w:szCs w:val="16"/>
        </w:rPr>
      </w:pPr>
      <w:r w:rsidRPr="00D71B7F">
        <w:rPr>
          <w:rStyle w:val="Refdenotaalpie"/>
          <w:rFonts w:ascii="Verdana" w:hAnsi="Verdana" w:cs="Arial"/>
          <w:sz w:val="16"/>
          <w:szCs w:val="16"/>
        </w:rPr>
        <w:footnoteRef/>
      </w:r>
      <w:r w:rsidRPr="00D71B7F">
        <w:rPr>
          <w:rFonts w:ascii="Verdana" w:hAnsi="Verdana" w:cs="Arial"/>
          <w:sz w:val="16"/>
          <w:szCs w:val="16"/>
        </w:rPr>
        <w:t xml:space="preserve"> Corte Constitucional. Sentencia C-1153 de 2005 M.P. Marco Gerardo Monroy Cabra. </w:t>
      </w:r>
    </w:p>
    <w:p w14:paraId="0DD1B374" w14:textId="77777777" w:rsidR="00B54967" w:rsidRPr="00D71B7F" w:rsidRDefault="00B54967" w:rsidP="00B54967">
      <w:pPr>
        <w:pStyle w:val="Textonotapie"/>
        <w:ind w:firstLine="708"/>
        <w:jc w:val="both"/>
        <w:rPr>
          <w:rFonts w:ascii="Verdana" w:hAnsi="Verdana" w:cs="Arial"/>
          <w:sz w:val="16"/>
          <w:szCs w:val="16"/>
        </w:rPr>
      </w:pPr>
    </w:p>
  </w:footnote>
  <w:footnote w:id="30">
    <w:p w14:paraId="40DE21C9" w14:textId="77777777" w:rsidR="00B54967" w:rsidRPr="00D71B7F" w:rsidRDefault="00B54967" w:rsidP="00B54967">
      <w:pPr>
        <w:pStyle w:val="Textonotapie"/>
        <w:ind w:firstLine="708"/>
        <w:jc w:val="both"/>
        <w:rPr>
          <w:rFonts w:ascii="Verdana" w:hAnsi="Verdana"/>
          <w:sz w:val="16"/>
          <w:szCs w:val="16"/>
          <w:lang w:val="es-CO"/>
        </w:rPr>
      </w:pPr>
      <w:r w:rsidRPr="00D71B7F">
        <w:rPr>
          <w:rStyle w:val="Refdenotaalpie"/>
          <w:rFonts w:ascii="Verdana" w:hAnsi="Verdana"/>
          <w:sz w:val="16"/>
          <w:szCs w:val="16"/>
        </w:rPr>
        <w:footnoteRef/>
      </w:r>
      <w:r w:rsidRPr="00D71B7F">
        <w:rPr>
          <w:rFonts w:ascii="Verdana" w:hAnsi="Verdana"/>
          <w:sz w:val="16"/>
          <w:szCs w:val="16"/>
        </w:rPr>
        <w:t xml:space="preserve"> Sobre el alcance de las normas equivalentes en el Código Civil chileno, CLARO SOLAR explica lo siguiente: “Las palabras de que el legislador se sirve pueden tener dos significaciones: el sentido vulgar y el sentido técnico. Según el artículo 20, ‘</w:t>
      </w:r>
      <w:r w:rsidRPr="00D71B7F">
        <w:rPr>
          <w:rFonts w:ascii="Verdana" w:hAnsi="Verdana"/>
          <w:i/>
          <w:sz w:val="16"/>
          <w:szCs w:val="16"/>
        </w:rPr>
        <w:t>las palabras de la ley se entenderán en su sentido natural y obvio, según el uso general de las mismas palabras</w:t>
      </w:r>
      <w:r w:rsidRPr="00D71B7F">
        <w:rPr>
          <w:rFonts w:ascii="Verdana" w:hAnsi="Verdana"/>
          <w:sz w:val="16"/>
          <w:szCs w:val="16"/>
        </w:rPr>
        <w:t>’, es decir, el uso de la gente educada. El Diccionario de la Lengua publicado por la Real Academia Española goza a este respecto de gran autoridad. ‘</w:t>
      </w:r>
      <w:r w:rsidRPr="00D71B7F">
        <w:rPr>
          <w:rFonts w:ascii="Verdana" w:hAnsi="Verdana"/>
          <w:i/>
          <w:sz w:val="16"/>
          <w:szCs w:val="16"/>
        </w:rPr>
        <w:t>Pero cuando el legislador</w:t>
      </w:r>
      <w:r w:rsidRPr="00D71B7F">
        <w:rPr>
          <w:rFonts w:ascii="Verdana" w:hAnsi="Verdana"/>
          <w:sz w:val="16"/>
          <w:szCs w:val="16"/>
        </w:rPr>
        <w:t xml:space="preserve">, agrega el artículo 20, </w:t>
      </w:r>
      <w:r w:rsidRPr="00D71B7F">
        <w:rPr>
          <w:rFonts w:ascii="Verdana" w:hAnsi="Verdana"/>
          <w:i/>
          <w:sz w:val="16"/>
          <w:szCs w:val="16"/>
        </w:rPr>
        <w:t>las haya definido expresamente para ciertas materias se les dará en éstas su significado legal</w:t>
      </w:r>
      <w:r w:rsidRPr="00D71B7F">
        <w:rPr>
          <w:rFonts w:ascii="Verdana" w:hAnsi="Verdana"/>
          <w:sz w:val="16"/>
          <w:szCs w:val="16"/>
        </w:rPr>
        <w:t>’. Por la inversa, según el artículo 21, ‘las palabras técnicas de toda ciencia o arte se tomarán en el sentido que les den los que profesan la misma ciencia o arte; a menos que aparezca claramente que se han tomado en sentido diverso’. Es de suponer que el legislador conozca bastante el idioma en que legisla y sea suficientemente instruido en la ciencia o arte para dar a las palabras de la lengua y a las palabras especiales de la ciencia o arte a que se refiere, el significado que les es propio; en el caso contrario, es necesario que ello</w:t>
      </w:r>
      <w:r w:rsidRPr="006C7BAC">
        <w:rPr>
          <w:rFonts w:ascii="Verdana" w:hAnsi="Verdana"/>
          <w:sz w:val="16"/>
          <w:szCs w:val="16"/>
        </w:rPr>
        <w:t xml:space="preserve"> </w:t>
      </w:r>
      <w:r w:rsidRPr="00D71B7F">
        <w:rPr>
          <w:rFonts w:ascii="Verdana" w:hAnsi="Verdana"/>
          <w:sz w:val="16"/>
          <w:szCs w:val="16"/>
        </w:rPr>
        <w:t>aparezca de manifiesto y con toda claridad” (CLARO SOLAR, Luis. Explicaciones de derecho civil chileno y comparado. Volumen I. Tomo I. Santiago: Editorial Jurídica de Chile, 2013. p. 117. Énfasis dentro del texto).</w:t>
      </w:r>
    </w:p>
  </w:footnote>
  <w:footnote w:id="31">
    <w:p w14:paraId="24C30226" w14:textId="77777777" w:rsidR="00B54967" w:rsidRDefault="00B54967" w:rsidP="00B54967">
      <w:pPr>
        <w:pStyle w:val="Textonotapie"/>
        <w:ind w:firstLine="709"/>
        <w:contextualSpacing/>
        <w:jc w:val="both"/>
        <w:rPr>
          <w:rFonts w:ascii="Verdana" w:hAnsi="Verdana" w:cs="Arial"/>
          <w:sz w:val="16"/>
          <w:szCs w:val="16"/>
        </w:rPr>
      </w:pPr>
      <w:r w:rsidRPr="00B8078E">
        <w:rPr>
          <w:rStyle w:val="Refdenotaalpie"/>
          <w:rFonts w:ascii="Verdana" w:hAnsi="Verdana"/>
          <w:sz w:val="16"/>
          <w:szCs w:val="16"/>
        </w:rPr>
        <w:footnoteRef/>
      </w:r>
      <w:r w:rsidRPr="00B8078E">
        <w:rPr>
          <w:rFonts w:ascii="Verdana" w:hAnsi="Verdana"/>
          <w:sz w:val="16"/>
          <w:szCs w:val="16"/>
        </w:rPr>
        <w:t xml:space="preserve"> </w:t>
      </w:r>
      <w:r w:rsidRPr="00B8078E">
        <w:rPr>
          <w:rFonts w:ascii="Verdana" w:hAnsi="Verdana" w:cs="Arial"/>
          <w:sz w:val="16"/>
          <w:szCs w:val="16"/>
        </w:rPr>
        <w:t xml:space="preserve">Consejo de Estado. Sala de lo Contencioso Administrativo. Sección Tercera. Sentencia del 21 de febrero de 2025. </w:t>
      </w:r>
      <w:r w:rsidRPr="00B8078E">
        <w:rPr>
          <w:rFonts w:ascii="Verdana" w:hAnsi="Verdana" w:cs="Arial"/>
          <w:sz w:val="16"/>
          <w:szCs w:val="16"/>
        </w:rPr>
        <w:t>Exp. 68.280. CP: José Roberto Sáchica Méndez.</w:t>
      </w:r>
    </w:p>
    <w:p w14:paraId="68363562" w14:textId="77777777" w:rsidR="00B54967" w:rsidRPr="009D0D83" w:rsidRDefault="00B54967" w:rsidP="00B54967">
      <w:pPr>
        <w:pStyle w:val="Textonotapie"/>
        <w:ind w:firstLine="709"/>
        <w:contextualSpacing/>
        <w:jc w:val="both"/>
        <w:rPr>
          <w:rFonts w:ascii="Verdana" w:hAnsi="Verdana" w:cs="Arial"/>
          <w:sz w:val="16"/>
          <w:szCs w:val="16"/>
        </w:rPr>
      </w:pPr>
    </w:p>
  </w:footnote>
  <w:footnote w:id="32">
    <w:p w14:paraId="02AAD8AE" w14:textId="77777777" w:rsidR="00B54967" w:rsidRPr="00B8078E" w:rsidRDefault="00B54967" w:rsidP="00B5496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sz w:val="16"/>
          <w:szCs w:val="16"/>
          <w:vertAlign w:val="superscript"/>
        </w:rPr>
        <w:t xml:space="preserve"> </w:t>
      </w:r>
      <w:r w:rsidRPr="00B8078E">
        <w:rPr>
          <w:rFonts w:ascii="Verdana" w:hAnsi="Verdana" w:cs="Arial"/>
          <w:sz w:val="16"/>
          <w:szCs w:val="16"/>
        </w:rPr>
        <w:t>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6F474A26" w14:textId="77777777" w:rsidR="00B54967" w:rsidRPr="00B8078E" w:rsidRDefault="00B54967" w:rsidP="00B54967">
      <w:pPr>
        <w:pStyle w:val="Textonotapie"/>
        <w:ind w:firstLine="709"/>
        <w:contextualSpacing/>
        <w:jc w:val="both"/>
        <w:rPr>
          <w:rFonts w:ascii="Verdana" w:hAnsi="Verdana" w:cs="Arial"/>
          <w:sz w:val="16"/>
          <w:szCs w:val="16"/>
        </w:rPr>
      </w:pPr>
    </w:p>
  </w:footnote>
  <w:footnote w:id="33">
    <w:p w14:paraId="1CF483D4" w14:textId="77777777" w:rsidR="00B54967" w:rsidRPr="00B8078E" w:rsidRDefault="00B54967" w:rsidP="00B5496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cs="Arial"/>
          <w:sz w:val="16"/>
          <w:szCs w:val="16"/>
          <w:vertAlign w:val="superscript"/>
        </w:rPr>
        <w:t xml:space="preserve"> </w:t>
      </w:r>
      <w:r w:rsidRPr="00B8078E">
        <w:rPr>
          <w:rFonts w:ascii="Verdana" w:hAnsi="Verdana" w:cs="Arial"/>
          <w:sz w:val="16"/>
          <w:szCs w:val="16"/>
        </w:rPr>
        <w:t>Ley 80 de 1993: “Artículo 41. Del perfeccionamiento del contrato. Los contratos del Estado se perfeccionan cuando se logre acuerdo sobre el objeto y la contraprestación y éste se eleve a escrito.</w:t>
      </w:r>
    </w:p>
    <w:p w14:paraId="6B721555" w14:textId="77777777" w:rsidR="00B54967" w:rsidRPr="00B8078E" w:rsidRDefault="00B54967" w:rsidP="00B54967">
      <w:pPr>
        <w:pStyle w:val="Textonotapie"/>
        <w:ind w:firstLine="709"/>
        <w:contextualSpacing/>
        <w:jc w:val="both"/>
        <w:rPr>
          <w:rFonts w:ascii="Verdana" w:hAnsi="Verdana" w:cs="Arial"/>
          <w:sz w:val="16"/>
          <w:szCs w:val="16"/>
        </w:rPr>
      </w:pPr>
    </w:p>
  </w:footnote>
  <w:footnote w:id="34">
    <w:p w14:paraId="12A95C5C" w14:textId="77777777" w:rsidR="00B54967" w:rsidRDefault="00B54967" w:rsidP="00B54967">
      <w:pPr>
        <w:pStyle w:val="Textonotapie"/>
        <w:ind w:firstLine="709"/>
        <w:contextualSpacing/>
        <w:jc w:val="both"/>
        <w:rPr>
          <w:rFonts w:ascii="Verdana" w:hAnsi="Verdana" w:cs="Arial"/>
          <w:sz w:val="16"/>
          <w:szCs w:val="16"/>
        </w:rPr>
      </w:pPr>
      <w:r w:rsidRPr="00B8078E">
        <w:rPr>
          <w:rFonts w:ascii="Verdana" w:hAnsi="Verdana"/>
          <w:sz w:val="16"/>
          <w:szCs w:val="16"/>
          <w:vertAlign w:val="superscript"/>
        </w:rPr>
        <w:footnoteRef/>
      </w:r>
      <w:r w:rsidRPr="00B8078E">
        <w:rPr>
          <w:rFonts w:ascii="Verdana" w:hAnsi="Verdana" w:cs="Arial"/>
          <w:sz w:val="16"/>
          <w:szCs w:val="16"/>
          <w:vertAlign w:val="superscript"/>
        </w:rPr>
        <w:t xml:space="preserve"> </w:t>
      </w:r>
      <w:r w:rsidRPr="00B8078E">
        <w:rPr>
          <w:rFonts w:ascii="Verdana" w:hAnsi="Verdana" w:cs="Arial"/>
          <w:sz w:val="16"/>
          <w:szCs w:val="16"/>
        </w:rPr>
        <w:t>Código Civil: “Artículo 27. Cuando el sentido de la ley sea claro, no se desatenderá su tenor a pretexto de consultar su espíritu”.</w:t>
      </w:r>
    </w:p>
    <w:p w14:paraId="06490047" w14:textId="77777777" w:rsidR="00B54967" w:rsidRPr="00852048" w:rsidRDefault="00B54967" w:rsidP="00B54967">
      <w:pPr>
        <w:pStyle w:val="Textonotapie"/>
        <w:ind w:firstLine="709"/>
        <w:contextualSpacing/>
        <w:jc w:val="both"/>
        <w:rPr>
          <w:rFonts w:ascii="Verdana" w:hAnsi="Verdana" w:cs="Arial"/>
          <w:sz w:val="16"/>
          <w:szCs w:val="16"/>
        </w:rPr>
      </w:pPr>
    </w:p>
  </w:footnote>
  <w:footnote w:id="35">
    <w:p w14:paraId="399C68E1" w14:textId="77777777" w:rsidR="00B54967" w:rsidRPr="00B8078E" w:rsidRDefault="00B54967" w:rsidP="00B54967">
      <w:pPr>
        <w:pStyle w:val="Textonotapie"/>
        <w:ind w:firstLine="708"/>
        <w:jc w:val="both"/>
        <w:rPr>
          <w:rFonts w:ascii="Verdana" w:hAnsi="Verdana"/>
          <w:sz w:val="16"/>
          <w:szCs w:val="16"/>
          <w:lang w:val="es-ES"/>
        </w:rPr>
      </w:pPr>
      <w:r w:rsidRPr="00B8078E">
        <w:rPr>
          <w:rStyle w:val="Refdenotaalpie"/>
          <w:rFonts w:ascii="Verdana" w:hAnsi="Verdana"/>
          <w:sz w:val="16"/>
          <w:szCs w:val="16"/>
        </w:rPr>
        <w:footnoteRef/>
      </w:r>
      <w:r w:rsidRPr="00B8078E">
        <w:rPr>
          <w:rFonts w:ascii="Verdana" w:hAnsi="Verdana"/>
          <w:sz w:val="16"/>
          <w:szCs w:val="16"/>
        </w:rPr>
        <w:t xml:space="preserve"> </w:t>
      </w:r>
      <w:r w:rsidRPr="00B8078E">
        <w:rPr>
          <w:rFonts w:ascii="Verdana" w:hAnsi="Verdana"/>
          <w:sz w:val="16"/>
          <w:szCs w:val="16"/>
          <w:lang w:val="es-ES"/>
        </w:rPr>
        <w:t xml:space="preserve">La doctrina chilena ilustra su aplicación en los siguientes términos: “La ley se ha de entender general e indistintamente. Cuando la ley no hace excepción alguna, pudiendo haberla hecho, no podemos separarnos de su disposición general por medio de una distinción que ella no ha formulado. </w:t>
      </w:r>
      <w:r w:rsidRPr="00B8078E">
        <w:rPr>
          <w:rFonts w:ascii="Verdana" w:hAnsi="Verdana"/>
          <w:i/>
          <w:sz w:val="16"/>
          <w:szCs w:val="16"/>
          <w:lang w:val="es-ES"/>
        </w:rPr>
        <w:t>Ubi lex non distinguit nec nos distinguere debemus</w:t>
      </w:r>
      <w:r w:rsidRPr="00B8078E">
        <w:rPr>
          <w:rFonts w:ascii="Verdana" w:hAnsi="Verdana"/>
          <w:sz w:val="16"/>
          <w:szCs w:val="16"/>
          <w:lang w:val="es-ES"/>
        </w:rPr>
        <w:t>, ‘donde la ley no distingue no puede el hombre distinguir’. ‘La extensión que deba dársele a la ley se determinará por su genuino sentido y según las reglas de interpretación precedentes’, dice el artículo 23.</w:t>
      </w:r>
    </w:p>
    <w:p w14:paraId="40704559" w14:textId="77777777" w:rsidR="00B54967" w:rsidRPr="00B8078E" w:rsidRDefault="00B54967" w:rsidP="00B54967">
      <w:pPr>
        <w:pStyle w:val="Textonotapie"/>
        <w:ind w:firstLine="708"/>
        <w:jc w:val="both"/>
        <w:rPr>
          <w:rFonts w:ascii="Verdana" w:hAnsi="Verdana"/>
          <w:sz w:val="16"/>
          <w:szCs w:val="16"/>
        </w:rPr>
      </w:pPr>
      <w:r w:rsidRPr="00B8078E">
        <w:rPr>
          <w:rFonts w:ascii="Verdana" w:hAnsi="Verdana"/>
          <w:sz w:val="16"/>
          <w:szCs w:val="16"/>
          <w:lang w:val="es-ES"/>
        </w:rPr>
        <w:t xml:space="preserve">En el derecho antiguo y en el derecho canónico se distinguían las leyes en favorables y odiosas, para ampliar o restringir su interpretación. </w:t>
      </w:r>
      <w:r w:rsidRPr="00B8078E">
        <w:rPr>
          <w:rFonts w:ascii="Verdana" w:hAnsi="Verdana"/>
          <w:i/>
          <w:sz w:val="16"/>
          <w:szCs w:val="16"/>
          <w:lang w:val="es-ES"/>
        </w:rPr>
        <w:t>Odia restringí et favores convenit ampliari</w:t>
      </w:r>
      <w:r w:rsidRPr="00B8078E">
        <w:rPr>
          <w:rFonts w:ascii="Verdana" w:hAnsi="Verdana"/>
          <w:sz w:val="16"/>
          <w:szCs w:val="16"/>
          <w:lang w:val="es-ES"/>
        </w:rPr>
        <w:t xml:space="preserve">. Según esto se tomaban las palabras en su más amplia y extensa significación en materia favorable y se procuraba limitar en lo posible, en caso de duda, en materia odiosa. Estas reglas de aplicación de las leyes eran contrarias a los principios de una correcta interpretación, que no tiene otro objeto que reconstruir el pensamiento del legislador y llegar por este medio al conocimiento completo de la ley. Por este motivo el Código no las admite […]” (Cfr. </w:t>
      </w:r>
      <w:r w:rsidRPr="00B8078E">
        <w:rPr>
          <w:rFonts w:ascii="Verdana" w:hAnsi="Verdana"/>
          <w:sz w:val="16"/>
          <w:szCs w:val="16"/>
        </w:rPr>
        <w:t>CLARO SOLAR, Luis. Explicaciones de derecho civil chileno y comparado. Volumen I. Tomo I. Santiago: Editorial Jurídica de Chile, 2013. p. 119. Énfasis dentro del texto).</w:t>
      </w:r>
    </w:p>
    <w:p w14:paraId="2E21375B" w14:textId="77777777" w:rsidR="00B54967" w:rsidRPr="00B8078E" w:rsidRDefault="00B54967" w:rsidP="00B54967">
      <w:pPr>
        <w:pStyle w:val="Textonotapie"/>
        <w:ind w:firstLine="708"/>
        <w:jc w:val="both"/>
        <w:rPr>
          <w:rFonts w:ascii="Verdana" w:hAnsi="Verdana"/>
          <w:sz w:val="16"/>
          <w:szCs w:val="16"/>
          <w:lang w:val="es-CO"/>
        </w:rPr>
      </w:pPr>
    </w:p>
  </w:footnote>
  <w:footnote w:id="36">
    <w:p w14:paraId="4B557799" w14:textId="77777777" w:rsidR="00B54967" w:rsidRPr="00B8078E" w:rsidRDefault="00B54967" w:rsidP="00B54967">
      <w:pPr>
        <w:spacing w:after="0" w:line="240" w:lineRule="auto"/>
        <w:ind w:firstLine="709"/>
        <w:jc w:val="both"/>
        <w:rPr>
          <w:rFonts w:ascii="Verdana" w:hAnsi="Verdana" w:cs="Arial"/>
          <w:sz w:val="16"/>
          <w:szCs w:val="16"/>
          <w:lang w:eastAsia="es-ES"/>
        </w:rPr>
      </w:pPr>
      <w:r w:rsidRPr="00B8078E">
        <w:rPr>
          <w:rStyle w:val="Refdenotaalpie"/>
          <w:rFonts w:ascii="Verdana" w:hAnsi="Verdana"/>
          <w:sz w:val="16"/>
          <w:szCs w:val="16"/>
        </w:rPr>
        <w:footnoteRef/>
      </w:r>
      <w:r w:rsidRPr="00B8078E">
        <w:rPr>
          <w:rFonts w:ascii="Verdana" w:hAnsi="Verdana"/>
          <w:sz w:val="16"/>
          <w:szCs w:val="16"/>
        </w:rPr>
        <w:t xml:space="preserve"> Consejo de Estado. Sala de lo Contencioso Administrativo. Sección Tercera. Subsección B. Auto del 4 de octubre de 2024. </w:t>
      </w:r>
      <w:r w:rsidRPr="00B8078E">
        <w:rPr>
          <w:rFonts w:ascii="Verdana" w:hAnsi="Verdana"/>
          <w:sz w:val="16"/>
          <w:szCs w:val="16"/>
        </w:rPr>
        <w:t>Exp. 70.313. C.P: Fredy Ibarra Martínez.</w:t>
      </w:r>
    </w:p>
    <w:p w14:paraId="28DA04BF" w14:textId="77777777" w:rsidR="00B54967" w:rsidRPr="00B8078E" w:rsidRDefault="00B54967" w:rsidP="00B54967">
      <w:pPr>
        <w:pStyle w:val="Textonotapie"/>
        <w:ind w:firstLine="709"/>
        <w:contextualSpacing/>
        <w:jc w:val="both"/>
        <w:rPr>
          <w:rFonts w:ascii="Verdana" w:hAnsi="Verdana"/>
          <w:sz w:val="16"/>
          <w:szCs w:val="16"/>
          <w:lang w:val="es-CO"/>
        </w:rPr>
      </w:pPr>
    </w:p>
  </w:footnote>
  <w:footnote w:id="37">
    <w:p w14:paraId="4EF4D6E6" w14:textId="77777777" w:rsidR="00B54967" w:rsidRPr="00B8078E" w:rsidRDefault="00B54967" w:rsidP="00B54967">
      <w:pPr>
        <w:pStyle w:val="Textonotapie"/>
        <w:ind w:firstLine="709"/>
        <w:contextualSpacing/>
        <w:jc w:val="both"/>
        <w:rPr>
          <w:rFonts w:ascii="Verdana" w:hAnsi="Verdana"/>
          <w:sz w:val="16"/>
          <w:szCs w:val="16"/>
          <w:lang w:val="es-CO"/>
        </w:rPr>
      </w:pPr>
      <w:r w:rsidRPr="00B8078E">
        <w:rPr>
          <w:rStyle w:val="Refdenotaalpie"/>
          <w:rFonts w:ascii="Verdana" w:hAnsi="Verdana"/>
          <w:sz w:val="16"/>
          <w:szCs w:val="16"/>
        </w:rPr>
        <w:footnoteRef/>
      </w:r>
      <w:r w:rsidRPr="00B8078E">
        <w:rPr>
          <w:rFonts w:ascii="Verdana" w:hAnsi="Verdana"/>
          <w:sz w:val="16"/>
          <w:szCs w:val="16"/>
        </w:rPr>
        <w:t xml:space="preserve"> La parte resolutiva del auto dispone lo siguiente; “</w:t>
      </w:r>
      <w:r w:rsidRPr="00B8078E">
        <w:rPr>
          <w:rFonts w:ascii="Verdana" w:hAnsi="Verdana"/>
          <w:b/>
          <w:sz w:val="16"/>
          <w:szCs w:val="16"/>
          <w:lang w:val="es-CO"/>
        </w:rPr>
        <w:t xml:space="preserve">PRIMERO: DECRETAR </w:t>
      </w:r>
      <w:r w:rsidRPr="00B8078E">
        <w:rPr>
          <w:rFonts w:ascii="Verdana" w:hAnsi="Verdana"/>
          <w:sz w:val="16"/>
          <w:szCs w:val="16"/>
          <w:lang w:val="es-CO"/>
        </w:rPr>
        <w:t xml:space="preserve">la suspensión provisional de los apartes cuestionados del inciso segundo del numeral 16.2 de la Circular Externa única, versión 3 del 27 de diciembre de 2023, expedida por la Agencia Nacional de Contratación Pública – Colombia Compra Eficiente, según </w:t>
      </w:r>
      <w:r w:rsidRPr="00B8078E">
        <w:rPr>
          <w:rFonts w:ascii="Verdana" w:hAnsi="Verdana"/>
          <w:sz w:val="16"/>
          <w:szCs w:val="16"/>
          <w:lang w:val="es-CO"/>
        </w:rPr>
        <w:t xml:space="preserve">el cual </w:t>
      </w:r>
      <w:r w:rsidRPr="00B8078E">
        <w:rPr>
          <w:rFonts w:ascii="Verdana" w:hAnsi="Verdana"/>
          <w:i/>
          <w:sz w:val="16"/>
          <w:szCs w:val="16"/>
          <w:lang w:val="es-CO"/>
        </w:rPr>
        <w:t>“[e]sta restricción es aplicable (…)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figuras jurídicas”</w:t>
      </w:r>
      <w:r w:rsidRPr="00B8078E">
        <w:rPr>
          <w:rFonts w:ascii="Verdana" w:hAnsi="Verdana"/>
          <w:sz w:val="16"/>
          <w:szCs w:val="16"/>
          <w:lang w:val="es-CO"/>
        </w:rPr>
        <w:t xml:space="preserve">, por las razones expuestas en precedencia. </w:t>
      </w:r>
    </w:p>
    <w:p w14:paraId="21E50249" w14:textId="77777777" w:rsidR="00B54967" w:rsidRDefault="00B54967" w:rsidP="00B54967">
      <w:pPr>
        <w:pStyle w:val="Textonotapie"/>
        <w:ind w:firstLine="709"/>
        <w:contextualSpacing/>
        <w:jc w:val="both"/>
        <w:rPr>
          <w:rFonts w:ascii="Verdana" w:hAnsi="Verdana"/>
          <w:sz w:val="16"/>
          <w:szCs w:val="16"/>
          <w:lang w:val="es-CO"/>
        </w:rPr>
      </w:pPr>
      <w:r w:rsidRPr="00B8078E">
        <w:rPr>
          <w:rFonts w:ascii="Verdana" w:hAnsi="Verdana"/>
          <w:b/>
          <w:sz w:val="16"/>
          <w:szCs w:val="16"/>
          <w:lang w:val="es-CO"/>
        </w:rPr>
        <w:t xml:space="preserve">SEGUNDO: DECRETAR </w:t>
      </w:r>
      <w:r w:rsidRPr="00B8078E">
        <w:rPr>
          <w:rFonts w:ascii="Verdana" w:hAnsi="Verdana"/>
          <w:sz w:val="16"/>
          <w:szCs w:val="16"/>
          <w:lang w:val="es-CO"/>
        </w:rPr>
        <w:t>la suspensión provisional de la expresión “</w:t>
      </w:r>
      <w:r w:rsidRPr="00B8078E">
        <w:rPr>
          <w:rFonts w:ascii="Verdana" w:hAnsi="Verdana"/>
          <w:i/>
          <w:sz w:val="16"/>
          <w:szCs w:val="16"/>
          <w:lang w:val="es-CO"/>
        </w:rPr>
        <w:t>contratos</w:t>
      </w:r>
      <w:r w:rsidRPr="00B8078E">
        <w:rPr>
          <w:rFonts w:ascii="Verdana" w:hAnsi="Verdana"/>
          <w:sz w:val="16"/>
          <w:szCs w:val="16"/>
          <w:lang w:val="es-CO"/>
        </w:rPr>
        <w:t xml:space="preserve">” y del párrafo </w:t>
      </w:r>
      <w:r w:rsidRPr="00B8078E">
        <w:rPr>
          <w:rFonts w:ascii="Verdana" w:hAnsi="Verdana"/>
          <w:i/>
          <w:sz w:val="16"/>
          <w:szCs w:val="16"/>
          <w:lang w:val="es-CO"/>
        </w:rPr>
        <w:t>“[e]n este sentido, la prohibición que establece el parágrafo del artículo 38 de la Ley de Garantías consiste en evitar que los recursos del Estado se ejecuten para lograr apoyos indebidos mediante la suscripción de contratos (…) que, para efectos de la Ley de Garantías, tienen la misma connotación y propósito</w:t>
      </w:r>
      <w:r w:rsidRPr="00B8078E">
        <w:rPr>
          <w:rFonts w:ascii="Verdana" w:hAnsi="Verdana"/>
          <w:sz w:val="16"/>
          <w:szCs w:val="16"/>
          <w:lang w:val="es-CO"/>
        </w:rPr>
        <w:t>”, contenidos en el inciso cuarto del numeral 16.2 de la Circular Externa única, versión 3 del 27 de diciembre de 2023, expedida por la Agencia Nacional de Contratación Pública – Colombia Compra Eficiente, por las razones expuestas de manera precedente”. Consejo de Estado, Sección Tercera. Auto del 6 de noviembre de 2025. Exp. 72.424. C.P: Fernando Alexei Pardo Flórez.</w:t>
      </w:r>
      <w:r w:rsidRPr="009D0D83">
        <w:rPr>
          <w:rFonts w:ascii="Verdana" w:hAnsi="Verdana"/>
          <w:sz w:val="16"/>
          <w:szCs w:val="16"/>
          <w:lang w:val="es-CO"/>
        </w:rPr>
        <w:t xml:space="preserve"> </w:t>
      </w:r>
    </w:p>
    <w:p w14:paraId="69955DFE" w14:textId="77777777" w:rsidR="00B54967" w:rsidRPr="009D0D83" w:rsidRDefault="00B54967" w:rsidP="00B54967">
      <w:pPr>
        <w:pStyle w:val="Textonotapie"/>
        <w:ind w:firstLine="709"/>
        <w:contextualSpacing/>
        <w:jc w:val="both"/>
        <w:rPr>
          <w:rFonts w:ascii="Verdana" w:hAnsi="Verdana"/>
          <w:sz w:val="16"/>
          <w:szCs w:val="16"/>
          <w:lang w:val="es-CO"/>
        </w:rPr>
      </w:pPr>
    </w:p>
  </w:footnote>
  <w:footnote w:id="38">
    <w:p w14:paraId="2243D150" w14:textId="77777777" w:rsidR="00B54967" w:rsidRDefault="00B54967" w:rsidP="00B54967">
      <w:pPr>
        <w:spacing w:after="0" w:line="240" w:lineRule="auto"/>
        <w:ind w:firstLine="709"/>
        <w:contextualSpacing/>
        <w:jc w:val="both"/>
        <w:rPr>
          <w:rFonts w:ascii="Verdana" w:eastAsia="Times New Roman" w:hAnsi="Verdana" w:cs="Times New Roman"/>
          <w:sz w:val="16"/>
          <w:szCs w:val="16"/>
          <w:lang w:eastAsia="es-ES"/>
        </w:rPr>
      </w:pPr>
      <w:r w:rsidRPr="00B8078E">
        <w:rPr>
          <w:rStyle w:val="Refdenotaalpie"/>
          <w:rFonts w:ascii="Verdana" w:hAnsi="Verdana"/>
          <w:sz w:val="16"/>
          <w:szCs w:val="16"/>
        </w:rPr>
        <w:footnoteRef/>
      </w:r>
      <w:r w:rsidRPr="00B8078E">
        <w:rPr>
          <w:rFonts w:ascii="Verdana" w:hAnsi="Verdana"/>
          <w:sz w:val="16"/>
          <w:szCs w:val="16"/>
        </w:rPr>
        <w:t xml:space="preserve"> </w:t>
      </w:r>
      <w:r w:rsidRPr="00B8078E">
        <w:rPr>
          <w:rFonts w:ascii="Verdana" w:eastAsia="Times New Roman" w:hAnsi="Verdana" w:cs="Times New Roman"/>
          <w:sz w:val="16"/>
          <w:szCs w:val="16"/>
          <w:lang w:eastAsia="es-ES"/>
        </w:rPr>
        <w:t xml:space="preserve">Consejo de Estado. Sala de lo Contencioso Administrativo. Sección Tercera. Subsección B. 17 de octubre de 2025. C.P. Fredy Ibarra Martínez. </w:t>
      </w:r>
      <w:r w:rsidRPr="00B8078E">
        <w:rPr>
          <w:rFonts w:ascii="Verdana" w:hAnsi="Verdana"/>
          <w:sz w:val="16"/>
          <w:szCs w:val="16"/>
        </w:rPr>
        <w:t xml:space="preserve">La parte de la providencia señala: </w:t>
      </w:r>
      <w:r w:rsidRPr="00B8078E">
        <w:rPr>
          <w:rFonts w:ascii="Verdana" w:eastAsia="Times New Roman" w:hAnsi="Verdana" w:cs="Times New Roman"/>
          <w:sz w:val="16"/>
          <w:szCs w:val="16"/>
          <w:lang w:eastAsia="es-ES"/>
        </w:rPr>
        <w:t xml:space="preserve">Declárase la nulidad parcial del numeral 16.2 de la Circular Externa Única de 2022 expedida por la Agencia Nacional de Contratación Pública -Colombia Compra Eficiente-, concretamente, de los siguientes apartes normativos: i) el inciso tercero que dispone: “Esta restricción es aplicable tanto a los convenios como a los contratos interadministrativos, toda vez que, al no existir definición legal que diferencie el concepto de convenio del concepto de contrato, la denominación prevista por la Ley 80 de 1993 y la Ley 1150 de 2007 para tal fin se entenderán en el mismo sentido. Es así como el Decreto 1082 de 2015 trata indistintamente a los convenios y contratos interadministrativos, al establecer la contratación directa como la modalidad de selección para la contratación entre entidades públicas a través de estas dos </w:t>
      </w:r>
      <w:r w:rsidRPr="00B8078E">
        <w:rPr>
          <w:rFonts w:ascii="Verdana" w:eastAsia="Times New Roman" w:hAnsi="Verdana" w:cs="Times New Roman"/>
          <w:sz w:val="16"/>
          <w:szCs w:val="16"/>
          <w:lang w:eastAsia="es-ES"/>
        </w:rPr>
        <w:t>figuras jurídicas” y, ii) la expresión y el siguiente párrafo contenidos en el inciso quinto “contratos” y “En este sentido, la prohibición que establece el parágrafo del artículo 38 de la Ley de Garantías consiste en evitar que los recursos del Estado se ejecuten para lograr apoyos indebidos mediante la suscripción de contratos y/o convenios, que, para efectos de la Ley de Garantías, tienen la misma connotación y propósito”.</w:t>
      </w:r>
    </w:p>
    <w:p w14:paraId="1EC19D17" w14:textId="77777777" w:rsidR="00B54967" w:rsidRPr="00852048" w:rsidRDefault="00B54967" w:rsidP="00B54967">
      <w:pPr>
        <w:spacing w:after="0" w:line="240" w:lineRule="auto"/>
        <w:ind w:firstLine="709"/>
        <w:contextualSpacing/>
        <w:jc w:val="both"/>
        <w:rPr>
          <w:rFonts w:ascii="Verdana" w:eastAsia="Times New Roman" w:hAnsi="Verdana" w:cs="Times New Roman"/>
          <w:sz w:val="16"/>
          <w:szCs w:val="16"/>
          <w:lang w:eastAsia="es-ES"/>
        </w:rPr>
      </w:pPr>
    </w:p>
  </w:footnote>
  <w:footnote w:id="39">
    <w:p w14:paraId="04B44996" w14:textId="77777777" w:rsidR="00B54967" w:rsidRDefault="00B54967" w:rsidP="00B54967">
      <w:pPr>
        <w:pStyle w:val="Textonotapie"/>
        <w:ind w:firstLine="709"/>
        <w:jc w:val="both"/>
        <w:rPr>
          <w:rFonts w:ascii="Verdana" w:hAnsi="Verdana"/>
          <w:sz w:val="16"/>
          <w:szCs w:val="16"/>
        </w:rPr>
      </w:pPr>
      <w:r w:rsidRPr="00B8078E">
        <w:rPr>
          <w:rStyle w:val="Refdenotaalpie"/>
          <w:rFonts w:ascii="Verdana" w:hAnsi="Verdana"/>
          <w:sz w:val="16"/>
          <w:szCs w:val="16"/>
        </w:rPr>
        <w:footnoteRef/>
      </w:r>
      <w:r w:rsidRPr="00B8078E">
        <w:rPr>
          <w:rFonts w:ascii="Verdana" w:hAnsi="Verdana"/>
          <w:sz w:val="16"/>
          <w:szCs w:val="16"/>
        </w:rPr>
        <w:t xml:space="preserve"> No obstante lo anterior, es importante mencionar que aún se encuentra por definir la demanda de nulidad simple, identificada con el Radicado número 11001-03-26-000-2025-00016-00, en la cual se cuestiona parcialmente el numeral 16.2 de la Circular Externa Única CCE-EICP-MA-06, Versión 03 del 27 de diciembre de 2023.</w:t>
      </w:r>
    </w:p>
    <w:p w14:paraId="1377A4E2" w14:textId="77777777" w:rsidR="00B54967" w:rsidRPr="00B8078E" w:rsidRDefault="00B54967" w:rsidP="00B54967">
      <w:pPr>
        <w:pStyle w:val="Textonotapie"/>
        <w:ind w:firstLine="709"/>
        <w:jc w:val="both"/>
        <w:rPr>
          <w:rFonts w:ascii="Verdana" w:hAnsi="Verdana"/>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1FD1C243" w14:textId="2DA09289" w:rsidR="008A446D" w:rsidRPr="00C925AC" w:rsidRDefault="008A446D"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719DF"/>
    <w:multiLevelType w:val="multilevel"/>
    <w:tmpl w:val="7F32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FBC25EC"/>
    <w:multiLevelType w:val="hybridMultilevel"/>
    <w:tmpl w:val="3F7C01B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0C755D"/>
    <w:multiLevelType w:val="hybridMultilevel"/>
    <w:tmpl w:val="12B0297C"/>
    <w:lvl w:ilvl="0" w:tplc="E68C2B30">
      <w:start w:val="1"/>
      <w:numFmt w:val="lowerLetter"/>
      <w:lvlText w:val="%1."/>
      <w:lvlJc w:val="left"/>
      <w:pPr>
        <w:ind w:left="720" w:hanging="360"/>
      </w:pPr>
      <w:rPr>
        <w:rFonts w:ascii="Verdana" w:eastAsiaTheme="minorEastAsia"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0"/>
  </w:num>
  <w:num w:numId="13" w16cid:durableId="1512908409">
    <w:abstractNumId w:val="4"/>
  </w:num>
  <w:num w:numId="14" w16cid:durableId="895897244">
    <w:abstractNumId w:val="14"/>
  </w:num>
  <w:num w:numId="15" w16cid:durableId="390349800">
    <w:abstractNumId w:val="10"/>
  </w:num>
  <w:num w:numId="16" w16cid:durableId="735128110">
    <w:abstractNumId w:val="3"/>
  </w:num>
  <w:num w:numId="17" w16cid:durableId="341902732">
    <w:abstractNumId w:val="15"/>
  </w:num>
  <w:num w:numId="18" w16cid:durableId="1811900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FA4"/>
    <w:rsid w:val="00016F78"/>
    <w:rsid w:val="00046945"/>
    <w:rsid w:val="00061B2A"/>
    <w:rsid w:val="00082362"/>
    <w:rsid w:val="000A683E"/>
    <w:rsid w:val="000B19B9"/>
    <w:rsid w:val="000D0334"/>
    <w:rsid w:val="000D5DA7"/>
    <w:rsid w:val="000F6486"/>
    <w:rsid w:val="00116940"/>
    <w:rsid w:val="00122BA2"/>
    <w:rsid w:val="00125105"/>
    <w:rsid w:val="00126AE1"/>
    <w:rsid w:val="00127233"/>
    <w:rsid w:val="0015699B"/>
    <w:rsid w:val="001A33BF"/>
    <w:rsid w:val="001E4177"/>
    <w:rsid w:val="001F0B24"/>
    <w:rsid w:val="001F7DC6"/>
    <w:rsid w:val="0022400B"/>
    <w:rsid w:val="002421BB"/>
    <w:rsid w:val="0025796E"/>
    <w:rsid w:val="00261A6B"/>
    <w:rsid w:val="002707A2"/>
    <w:rsid w:val="002825E7"/>
    <w:rsid w:val="002951A0"/>
    <w:rsid w:val="002962BC"/>
    <w:rsid w:val="002A093D"/>
    <w:rsid w:val="002A0DD0"/>
    <w:rsid w:val="002A49AC"/>
    <w:rsid w:val="002A5924"/>
    <w:rsid w:val="002A64FD"/>
    <w:rsid w:val="002B313A"/>
    <w:rsid w:val="002C7A84"/>
    <w:rsid w:val="002E0649"/>
    <w:rsid w:val="002E2BF8"/>
    <w:rsid w:val="002E3F19"/>
    <w:rsid w:val="002E4FD9"/>
    <w:rsid w:val="0030657A"/>
    <w:rsid w:val="00315229"/>
    <w:rsid w:val="00322A85"/>
    <w:rsid w:val="00324168"/>
    <w:rsid w:val="00330834"/>
    <w:rsid w:val="00331206"/>
    <w:rsid w:val="003448F4"/>
    <w:rsid w:val="00350B9B"/>
    <w:rsid w:val="00357084"/>
    <w:rsid w:val="00374F5E"/>
    <w:rsid w:val="00377E3E"/>
    <w:rsid w:val="00382AD3"/>
    <w:rsid w:val="003A0482"/>
    <w:rsid w:val="003A17D7"/>
    <w:rsid w:val="003A779E"/>
    <w:rsid w:val="003C0B7A"/>
    <w:rsid w:val="003D0F4D"/>
    <w:rsid w:val="003D5B0D"/>
    <w:rsid w:val="003E0499"/>
    <w:rsid w:val="003E4F80"/>
    <w:rsid w:val="003E6439"/>
    <w:rsid w:val="003F3941"/>
    <w:rsid w:val="00406575"/>
    <w:rsid w:val="00414C74"/>
    <w:rsid w:val="0042722E"/>
    <w:rsid w:val="0044248D"/>
    <w:rsid w:val="0044528D"/>
    <w:rsid w:val="00464DBD"/>
    <w:rsid w:val="00466E39"/>
    <w:rsid w:val="004A1847"/>
    <w:rsid w:val="004A305D"/>
    <w:rsid w:val="004B75D5"/>
    <w:rsid w:val="004D1642"/>
    <w:rsid w:val="004E5735"/>
    <w:rsid w:val="004F21C4"/>
    <w:rsid w:val="004F685F"/>
    <w:rsid w:val="005566E8"/>
    <w:rsid w:val="00574867"/>
    <w:rsid w:val="00591460"/>
    <w:rsid w:val="005A65E0"/>
    <w:rsid w:val="005C3777"/>
    <w:rsid w:val="005C5CDC"/>
    <w:rsid w:val="005D476C"/>
    <w:rsid w:val="005E524E"/>
    <w:rsid w:val="005F0B7C"/>
    <w:rsid w:val="006200BF"/>
    <w:rsid w:val="006219F8"/>
    <w:rsid w:val="006302F7"/>
    <w:rsid w:val="00646B9F"/>
    <w:rsid w:val="00665D70"/>
    <w:rsid w:val="006900D9"/>
    <w:rsid w:val="006A235F"/>
    <w:rsid w:val="006A7195"/>
    <w:rsid w:val="006B46F4"/>
    <w:rsid w:val="006F1EC4"/>
    <w:rsid w:val="00706C16"/>
    <w:rsid w:val="00733E8A"/>
    <w:rsid w:val="007340C3"/>
    <w:rsid w:val="0075235A"/>
    <w:rsid w:val="00756841"/>
    <w:rsid w:val="007649AB"/>
    <w:rsid w:val="00771D0C"/>
    <w:rsid w:val="007833AC"/>
    <w:rsid w:val="007A4B17"/>
    <w:rsid w:val="007A7724"/>
    <w:rsid w:val="007B268C"/>
    <w:rsid w:val="007B582C"/>
    <w:rsid w:val="007B7171"/>
    <w:rsid w:val="007C0C0F"/>
    <w:rsid w:val="007C3DC2"/>
    <w:rsid w:val="007D5B4A"/>
    <w:rsid w:val="007E5497"/>
    <w:rsid w:val="007F705E"/>
    <w:rsid w:val="00806F5F"/>
    <w:rsid w:val="00817130"/>
    <w:rsid w:val="00820278"/>
    <w:rsid w:val="00822CEF"/>
    <w:rsid w:val="008258C9"/>
    <w:rsid w:val="00844AE9"/>
    <w:rsid w:val="00857E77"/>
    <w:rsid w:val="00865375"/>
    <w:rsid w:val="00867F95"/>
    <w:rsid w:val="008843B6"/>
    <w:rsid w:val="00884AD4"/>
    <w:rsid w:val="00891928"/>
    <w:rsid w:val="008A446D"/>
    <w:rsid w:val="008B25F1"/>
    <w:rsid w:val="008D180B"/>
    <w:rsid w:val="008F0EA7"/>
    <w:rsid w:val="00923EEF"/>
    <w:rsid w:val="009419F9"/>
    <w:rsid w:val="0095685E"/>
    <w:rsid w:val="00961B09"/>
    <w:rsid w:val="00965334"/>
    <w:rsid w:val="0097093E"/>
    <w:rsid w:val="009A0DFA"/>
    <w:rsid w:val="009A1C6F"/>
    <w:rsid w:val="009A668D"/>
    <w:rsid w:val="009B2D26"/>
    <w:rsid w:val="009C71FA"/>
    <w:rsid w:val="009C72E7"/>
    <w:rsid w:val="009C7F7E"/>
    <w:rsid w:val="009D3058"/>
    <w:rsid w:val="009D4DA0"/>
    <w:rsid w:val="009F3A13"/>
    <w:rsid w:val="00A122D3"/>
    <w:rsid w:val="00A14468"/>
    <w:rsid w:val="00A17F13"/>
    <w:rsid w:val="00A20739"/>
    <w:rsid w:val="00A23AF9"/>
    <w:rsid w:val="00A26F45"/>
    <w:rsid w:val="00A33C78"/>
    <w:rsid w:val="00A63B39"/>
    <w:rsid w:val="00AB0ADB"/>
    <w:rsid w:val="00B00C0E"/>
    <w:rsid w:val="00B01B1A"/>
    <w:rsid w:val="00B0381D"/>
    <w:rsid w:val="00B4145C"/>
    <w:rsid w:val="00B44A47"/>
    <w:rsid w:val="00B54967"/>
    <w:rsid w:val="00B72CD3"/>
    <w:rsid w:val="00B72FFF"/>
    <w:rsid w:val="00B73505"/>
    <w:rsid w:val="00BC3D36"/>
    <w:rsid w:val="00BD54A6"/>
    <w:rsid w:val="00BD7F72"/>
    <w:rsid w:val="00BE0B49"/>
    <w:rsid w:val="00BF7425"/>
    <w:rsid w:val="00C04FB3"/>
    <w:rsid w:val="00C11D8B"/>
    <w:rsid w:val="00C15139"/>
    <w:rsid w:val="00C330EB"/>
    <w:rsid w:val="00C40579"/>
    <w:rsid w:val="00C50D69"/>
    <w:rsid w:val="00C5365C"/>
    <w:rsid w:val="00C754BE"/>
    <w:rsid w:val="00C76B1C"/>
    <w:rsid w:val="00C925AC"/>
    <w:rsid w:val="00CB6357"/>
    <w:rsid w:val="00CC1B26"/>
    <w:rsid w:val="00CE5D5F"/>
    <w:rsid w:val="00D12D83"/>
    <w:rsid w:val="00D361FD"/>
    <w:rsid w:val="00D423A2"/>
    <w:rsid w:val="00D44E26"/>
    <w:rsid w:val="00D46554"/>
    <w:rsid w:val="00D520D8"/>
    <w:rsid w:val="00D63AC2"/>
    <w:rsid w:val="00D7383B"/>
    <w:rsid w:val="00D7788A"/>
    <w:rsid w:val="00DA231B"/>
    <w:rsid w:val="00DC39FC"/>
    <w:rsid w:val="00DD5751"/>
    <w:rsid w:val="00DE22BA"/>
    <w:rsid w:val="00DF5254"/>
    <w:rsid w:val="00E02524"/>
    <w:rsid w:val="00E16408"/>
    <w:rsid w:val="00E20894"/>
    <w:rsid w:val="00E245AB"/>
    <w:rsid w:val="00E2764C"/>
    <w:rsid w:val="00E27F2E"/>
    <w:rsid w:val="00E50AFE"/>
    <w:rsid w:val="00E727BE"/>
    <w:rsid w:val="00E75C92"/>
    <w:rsid w:val="00E771DC"/>
    <w:rsid w:val="00E822C7"/>
    <w:rsid w:val="00E8772A"/>
    <w:rsid w:val="00E90F6B"/>
    <w:rsid w:val="00E92C27"/>
    <w:rsid w:val="00EA0E3D"/>
    <w:rsid w:val="00EA4190"/>
    <w:rsid w:val="00EC292A"/>
    <w:rsid w:val="00EC38A7"/>
    <w:rsid w:val="00EE1AA8"/>
    <w:rsid w:val="00EF0565"/>
    <w:rsid w:val="00EF1E4F"/>
    <w:rsid w:val="00F23FEA"/>
    <w:rsid w:val="00F31EDC"/>
    <w:rsid w:val="00F462B3"/>
    <w:rsid w:val="00F5664F"/>
    <w:rsid w:val="00F56C58"/>
    <w:rsid w:val="00F666C4"/>
    <w:rsid w:val="00F76AFC"/>
    <w:rsid w:val="00FA47C0"/>
    <w:rsid w:val="00FB5DD1"/>
    <w:rsid w:val="00FC2B5D"/>
    <w:rsid w:val="00FE144F"/>
    <w:rsid w:val="00FF1449"/>
    <w:rsid w:val="00FF401B"/>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7D94EEB"/>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4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54967"/>
    <w:pPr>
      <w:spacing w:line="240" w:lineRule="exact"/>
    </w:pPr>
    <w:rPr>
      <w:vertAlign w:val="superscript"/>
    </w:rPr>
  </w:style>
  <w:style w:type="character" w:customStyle="1" w:styleId="NormalWebCar">
    <w:name w:val="Normal (Web) Car"/>
    <w:link w:val="NormalWeb"/>
    <w:uiPriority w:val="99"/>
    <w:locked/>
    <w:rsid w:val="00B54967"/>
    <w:rPr>
      <w:rFonts w:ascii="Times New Roman" w:eastAsia="Times New Roman" w:hAnsi="Times New Roman" w:cs="Times New Roman"/>
      <w:sz w:val="24"/>
      <w:szCs w:val="24"/>
      <w:lang w:eastAsia="es-CO"/>
    </w:rPr>
  </w:style>
  <w:style w:type="character" w:customStyle="1" w:styleId="baj">
    <w:name w:val="b_aj"/>
    <w:basedOn w:val="Fuentedeprrafopredeter"/>
    <w:rsid w:val="00B5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ombiacompra.gov.co/wp-content/uploads/2025/09/006-de-2025-Circular-Externa-L996-ajustado-comentarios-BM-BID-Rev-ARSC-V3.d-1.pdf"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06F21D8E-2E3A-4450-92CF-8EBEDBA2F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TotalTime>
  <Pages>37</Pages>
  <Words>12132</Words>
  <Characters>66732</Characters>
  <Application>Microsoft Office Word</Application>
  <DocSecurity>0</DocSecurity>
  <Lines>556</Lines>
  <Paragraphs>157</Paragraphs>
  <ScaleCrop>false</ScaleCrop>
  <Company/>
  <LinksUpToDate>false</LinksUpToDate>
  <CharactersWithSpaces>78707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2026-08-25T15:17:00Z</dcterms:created>
  <dcterms:modified xsi:type="dcterms:W3CDTF">2026-08-25T15:17:00Z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