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1CB8BD" w14:textId="10665287" w:rsidR="00D46554" w:rsidRDefault="00EF1E4F" w:rsidP="00EF1E4F">
      <w:pPr>
        <w:tabs>
          <w:tab w:val="left" w:pos="2010"/>
        </w:tabs>
        <w:spacing w:after="0"/>
        <w:rPr>
          <w:rFonts w:ascii="Verdana" w:eastAsia="Verdana" w:hAnsi="Verdana" w:cs="Verdana"/>
        </w:rPr>
      </w:pPr>
      <w:bookmarkStart w:id="0" w:name="_Hlk143780582"/>
      <w:r w:rsidRPr="00EF1E4F">
        <w:rPr>
          <w:rFonts w:ascii="Verdana" w:hAnsi="Verdana"/>
          <w:b/>
          <w:bCs/>
          <w:lang w:val="es-ES"/>
        </w:rPr>
        <w:t>CONVENIO Y CONTRATO INTERADMINISTRATIVO–</w:t>
      </w:r>
      <w:r>
        <w:rPr>
          <w:rFonts w:ascii="Verdana" w:hAnsi="Verdana"/>
          <w:b/>
          <w:bCs/>
          <w:lang w:val="es-ES"/>
        </w:rPr>
        <w:t xml:space="preserve"> Definición </w:t>
      </w:r>
    </w:p>
    <w:p w14:paraId="514A6686" w14:textId="77777777" w:rsidR="00D46554" w:rsidRPr="00D46554" w:rsidRDefault="00D46554" w:rsidP="00C40579">
      <w:pPr>
        <w:spacing w:after="0"/>
        <w:jc w:val="both"/>
        <w:rPr>
          <w:rFonts w:ascii="Verdana" w:eastAsia="Verdana" w:hAnsi="Verdana" w:cs="Verdana"/>
          <w:sz w:val="20"/>
          <w:szCs w:val="20"/>
        </w:rPr>
      </w:pPr>
    </w:p>
    <w:p w14:paraId="44D74CC7" w14:textId="6CA72A28" w:rsidR="00F56C58" w:rsidRPr="00D46554" w:rsidRDefault="00D46554" w:rsidP="00C40579">
      <w:pPr>
        <w:spacing w:after="0"/>
        <w:jc w:val="both"/>
        <w:rPr>
          <w:rFonts w:ascii="Verdana" w:eastAsia="Verdana" w:hAnsi="Verdana" w:cs="Verdana"/>
          <w:sz w:val="20"/>
          <w:szCs w:val="20"/>
        </w:rPr>
      </w:pPr>
      <w:r w:rsidRPr="00D46554">
        <w:rPr>
          <w:rFonts w:ascii="Verdana" w:eastAsiaTheme="minorEastAsia" w:hAnsi="Verdana" w:cs="Arial"/>
          <w:sz w:val="20"/>
          <w:szCs w:val="20"/>
          <w:lang w:eastAsia="es-CO"/>
        </w:rPr>
        <w:t xml:space="preserve"> El convenio o contrato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w:t>
      </w:r>
      <w:r w:rsidRPr="00D46554">
        <w:rPr>
          <w:rFonts w:ascii="Verdana" w:eastAsiaTheme="minorEastAsia" w:hAnsi="Verdana" w:cs="Arial"/>
          <w:spacing w:val="-6"/>
          <w:sz w:val="20"/>
          <w:szCs w:val="20"/>
          <w:lang w:eastAsia="es-CO"/>
        </w:rPr>
        <w:t xml:space="preserve"> </w:t>
      </w:r>
      <w:r w:rsidRPr="00D46554">
        <w:rPr>
          <w:rFonts w:ascii="Verdana" w:eastAsiaTheme="minorEastAsia" w:hAnsi="Verdana" w:cs="Arial"/>
          <w:sz w:val="20"/>
          <w:szCs w:val="20"/>
          <w:lang w:eastAsia="es-CO"/>
        </w:rPr>
        <w:t>Estatales.</w:t>
      </w:r>
    </w:p>
    <w:p w14:paraId="2DDD5E71" w14:textId="77777777" w:rsidR="00F56C58" w:rsidRDefault="00F56C58" w:rsidP="00D46554">
      <w:pPr>
        <w:spacing w:after="0"/>
        <w:jc w:val="both"/>
        <w:rPr>
          <w:rFonts w:ascii="Verdana" w:eastAsia="Verdana" w:hAnsi="Verdana" w:cs="Verdana"/>
        </w:rPr>
      </w:pPr>
    </w:p>
    <w:p w14:paraId="713F1105" w14:textId="77777777" w:rsidR="00F56C58" w:rsidRPr="00EF1E4F" w:rsidRDefault="00F56C58" w:rsidP="00D46554">
      <w:pPr>
        <w:spacing w:after="0"/>
        <w:jc w:val="both"/>
        <w:rPr>
          <w:rFonts w:ascii="Verdana" w:eastAsia="Verdana" w:hAnsi="Verdana" w:cs="Verdana"/>
          <w:b/>
          <w:bCs/>
        </w:rPr>
      </w:pPr>
    </w:p>
    <w:p w14:paraId="1ED21647" w14:textId="65C5798D" w:rsidR="00F56C58" w:rsidRDefault="00EF1E4F" w:rsidP="00D46554">
      <w:pPr>
        <w:spacing w:after="0"/>
        <w:jc w:val="both"/>
        <w:rPr>
          <w:rFonts w:ascii="Verdana" w:eastAsia="Verdana" w:hAnsi="Verdana" w:cs="Verdana"/>
        </w:rPr>
      </w:pPr>
      <w:r w:rsidRPr="00EF1E4F">
        <w:rPr>
          <w:rFonts w:ascii="Verdana" w:hAnsi="Verdana"/>
          <w:b/>
          <w:bCs/>
          <w:lang w:val="es-ES"/>
        </w:rPr>
        <w:t>CONVENIO Y CONTRATO INTERADMINISTRATIVO – Alcance – Diferencias</w:t>
      </w:r>
    </w:p>
    <w:p w14:paraId="32860FD4" w14:textId="77777777" w:rsidR="00EF1E4F" w:rsidRPr="00EF1E4F" w:rsidRDefault="00EF1E4F" w:rsidP="00D46554">
      <w:pPr>
        <w:spacing w:after="0"/>
        <w:jc w:val="both"/>
        <w:rPr>
          <w:rFonts w:ascii="Verdana" w:eastAsia="Verdana" w:hAnsi="Verdana" w:cs="Verdana"/>
          <w:b/>
          <w:bCs/>
          <w:sz w:val="20"/>
          <w:szCs w:val="20"/>
        </w:rPr>
      </w:pPr>
    </w:p>
    <w:p w14:paraId="5D7315C6" w14:textId="77777777" w:rsidR="00EF1E4F" w:rsidRPr="00EF1E4F" w:rsidRDefault="00EF1E4F" w:rsidP="00EF1E4F">
      <w:pPr>
        <w:spacing w:after="120" w:line="276" w:lineRule="auto"/>
        <w:jc w:val="both"/>
        <w:rPr>
          <w:rFonts w:ascii="Verdana" w:eastAsiaTheme="minorEastAsia" w:hAnsi="Verdana" w:cs="Arial"/>
          <w:sz w:val="20"/>
          <w:szCs w:val="20"/>
          <w:lang w:eastAsia="es-CO"/>
        </w:rPr>
      </w:pPr>
      <w:r w:rsidRPr="00EF1E4F">
        <w:rPr>
          <w:rFonts w:ascii="Verdana" w:eastAsiaTheme="minorEastAsia" w:hAnsi="Verdana" w:cs="Arial"/>
          <w:sz w:val="20"/>
          <w:szCs w:val="20"/>
          <w:lang w:eastAsia="es-CO"/>
        </w:rPr>
        <w:t xml:space="preserve">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2317378E" w14:textId="77777777" w:rsidR="00EF1E4F" w:rsidRPr="00EF1E4F" w:rsidRDefault="00EF1E4F" w:rsidP="00EF1E4F">
      <w:pPr>
        <w:spacing w:after="0" w:line="240" w:lineRule="auto"/>
        <w:ind w:left="709" w:right="709"/>
        <w:jc w:val="both"/>
        <w:rPr>
          <w:rFonts w:ascii="Verdana" w:eastAsiaTheme="minorEastAsia" w:hAnsi="Verdana" w:cs="Arial"/>
          <w:sz w:val="20"/>
          <w:szCs w:val="20"/>
          <w:lang w:eastAsia="es-CO"/>
        </w:rPr>
      </w:pPr>
      <w:r w:rsidRPr="00EF1E4F">
        <w:rPr>
          <w:rFonts w:ascii="Verdana" w:eastAsiaTheme="minorEastAsia" w:hAnsi="Verdana" w:cs="Arial"/>
          <w:sz w:val="20"/>
          <w:szCs w:val="20"/>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4CBB0845" w14:textId="77777777" w:rsidR="00EF1E4F" w:rsidRPr="00EF1E4F" w:rsidRDefault="00EF1E4F" w:rsidP="00EF1E4F">
      <w:pPr>
        <w:numPr>
          <w:ilvl w:val="0"/>
          <w:numId w:val="17"/>
        </w:numPr>
        <w:spacing w:after="0" w:line="240" w:lineRule="auto"/>
        <w:ind w:left="709" w:right="709"/>
        <w:contextualSpacing/>
        <w:jc w:val="both"/>
        <w:rPr>
          <w:rFonts w:ascii="Verdana" w:eastAsiaTheme="minorEastAsia" w:hAnsi="Verdana" w:cs="Arial"/>
          <w:sz w:val="20"/>
          <w:szCs w:val="20"/>
          <w:lang w:val="es-ES" w:eastAsia="es-CO"/>
        </w:rPr>
      </w:pPr>
      <w:r w:rsidRPr="00EF1E4F">
        <w:rPr>
          <w:rFonts w:ascii="Verdana" w:eastAsiaTheme="minorEastAsia" w:hAnsi="Verdana" w:cs="Arial"/>
          <w:sz w:val="20"/>
          <w:szCs w:val="20"/>
          <w:lang w:val="es-ES" w:eastAsia="es-CO"/>
        </w:rPr>
        <w:t xml:space="preserve">El objeto de los contratos lo constituyen obligaciones de contenido patrimonial y, por </w:t>
      </w:r>
      <w:r w:rsidRPr="00EF1E4F">
        <w:rPr>
          <w:rFonts w:ascii="Verdana" w:eastAsiaTheme="minorEastAsia" w:hAnsi="Verdana" w:cs="Arial"/>
          <w:sz w:val="20"/>
          <w:szCs w:val="20"/>
          <w:lang w:eastAsia="es-CO"/>
        </w:rPr>
        <w:t>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3E39160F" w14:textId="77777777" w:rsidR="00EF1E4F" w:rsidRPr="00EF1E4F" w:rsidRDefault="00EF1E4F" w:rsidP="00EF1E4F">
      <w:pPr>
        <w:numPr>
          <w:ilvl w:val="0"/>
          <w:numId w:val="17"/>
        </w:numPr>
        <w:spacing w:after="0" w:line="240" w:lineRule="auto"/>
        <w:ind w:left="709" w:right="709"/>
        <w:contextualSpacing/>
        <w:jc w:val="both"/>
        <w:rPr>
          <w:rFonts w:ascii="Verdana" w:eastAsiaTheme="minorEastAsia" w:hAnsi="Verdana" w:cs="Arial"/>
          <w:sz w:val="20"/>
          <w:szCs w:val="20"/>
          <w:lang w:val="es-ES" w:eastAsia="es-CO"/>
        </w:rPr>
      </w:pPr>
      <w:r w:rsidRPr="00EF1E4F">
        <w:rPr>
          <w:rFonts w:ascii="Verdana" w:eastAsiaTheme="minorEastAsia" w:hAnsi="Verdana" w:cs="Arial"/>
          <w:sz w:val="20"/>
          <w:szCs w:val="20"/>
          <w:lang w:eastAsia="es-CO"/>
        </w:rPr>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5F5F3822" w14:textId="1FBDF9A2" w:rsidR="00F56C58" w:rsidRPr="00C40579" w:rsidRDefault="00EF1E4F" w:rsidP="00C40579">
      <w:pPr>
        <w:numPr>
          <w:ilvl w:val="0"/>
          <w:numId w:val="17"/>
        </w:numPr>
        <w:spacing w:after="0" w:line="240" w:lineRule="auto"/>
        <w:ind w:left="709" w:right="709"/>
        <w:contextualSpacing/>
        <w:jc w:val="both"/>
        <w:rPr>
          <w:rFonts w:ascii="Verdana" w:eastAsiaTheme="minorEastAsia" w:hAnsi="Verdana" w:cs="Arial"/>
          <w:sz w:val="20"/>
          <w:szCs w:val="20"/>
          <w:lang w:val="es-ES" w:eastAsia="es-CO"/>
        </w:rPr>
      </w:pPr>
      <w:r w:rsidRPr="00EF1E4F">
        <w:rPr>
          <w:rFonts w:ascii="Verdana" w:eastAsiaTheme="minorEastAsia" w:hAnsi="Verdana" w:cs="Arial"/>
          <w:sz w:val="20"/>
          <w:szCs w:val="20"/>
          <w:lang w:eastAsia="es-CO"/>
        </w:rPr>
        <w:t xml:space="preserve">Los intereses de los que son titulares las partes (entidades públicas contrayentes) y las finalidades que persiguen alcanzar, en virtud del ánimo de cooperación, indican que en los convenios las partes se relacionan en </w:t>
      </w:r>
      <w:r w:rsidRPr="00EF1E4F">
        <w:rPr>
          <w:rFonts w:ascii="Verdana" w:eastAsiaTheme="minorEastAsia" w:hAnsi="Verdana" w:cs="Arial"/>
          <w:sz w:val="20"/>
          <w:szCs w:val="20"/>
          <w:lang w:eastAsia="es-CO"/>
        </w:rPr>
        <w:lastRenderedPageBreak/>
        <w:t>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Pr>
          <w:rFonts w:ascii="Verdana" w:eastAsiaTheme="minorEastAsia" w:hAnsi="Verdana" w:cs="Arial"/>
          <w:sz w:val="20"/>
          <w:szCs w:val="20"/>
          <w:vertAlign w:val="superscript"/>
          <w:lang w:eastAsia="es-CO"/>
        </w:rPr>
        <w:t>,</w:t>
      </w:r>
    </w:p>
    <w:p w14:paraId="0B0C6554" w14:textId="77777777" w:rsidR="009D4DA0" w:rsidRPr="00EF1E4F" w:rsidRDefault="009D4DA0" w:rsidP="00C40579">
      <w:pPr>
        <w:spacing w:after="0"/>
        <w:rPr>
          <w:rFonts w:ascii="Verdana" w:eastAsia="Verdana" w:hAnsi="Verdana" w:cs="Verdana"/>
          <w:sz w:val="20"/>
          <w:szCs w:val="20"/>
        </w:rPr>
      </w:pPr>
    </w:p>
    <w:p w14:paraId="5869D487" w14:textId="77777777" w:rsidR="00F56C58" w:rsidRPr="00C40579" w:rsidRDefault="00F56C58" w:rsidP="00C40579">
      <w:pPr>
        <w:spacing w:after="0"/>
        <w:rPr>
          <w:rFonts w:ascii="Verdana" w:eastAsia="Verdana" w:hAnsi="Verdana" w:cs="Verdana"/>
          <w:b/>
          <w:bCs/>
          <w:sz w:val="20"/>
          <w:szCs w:val="20"/>
        </w:rPr>
      </w:pPr>
    </w:p>
    <w:p w14:paraId="1AF1034E" w14:textId="072B2F37" w:rsidR="00F56C58" w:rsidRPr="00C40579" w:rsidRDefault="00C40579" w:rsidP="00C40579">
      <w:pPr>
        <w:spacing w:after="0"/>
        <w:rPr>
          <w:rFonts w:ascii="Verdana" w:hAnsi="Verdana" w:cs="Arial"/>
          <w:b/>
          <w:bCs/>
          <w:color w:val="000000" w:themeColor="text1"/>
          <w:lang w:val="es-ES"/>
        </w:rPr>
      </w:pPr>
      <w:r w:rsidRPr="00C40579">
        <w:rPr>
          <w:rFonts w:ascii="Verdana" w:hAnsi="Verdana" w:cs="Arial"/>
          <w:b/>
          <w:bCs/>
          <w:color w:val="000000" w:themeColor="text1"/>
          <w:lang w:val="es-ES"/>
        </w:rPr>
        <w:t>LEY DE GARANTÍAS ELECTORALES – Artículo 33 – Ámbito material</w:t>
      </w:r>
    </w:p>
    <w:p w14:paraId="7825637D" w14:textId="77777777" w:rsidR="00C40579" w:rsidRPr="00C40579" w:rsidRDefault="00C40579" w:rsidP="00C40579">
      <w:pPr>
        <w:spacing w:after="0"/>
        <w:rPr>
          <w:rFonts w:ascii="Verdana" w:eastAsia="Verdana" w:hAnsi="Verdana" w:cs="Verdana"/>
          <w:b/>
          <w:bCs/>
          <w:sz w:val="20"/>
          <w:szCs w:val="20"/>
        </w:rPr>
      </w:pPr>
    </w:p>
    <w:p w14:paraId="4784A12D" w14:textId="08CC5CE4" w:rsidR="00C40579" w:rsidRPr="009D4DA0" w:rsidRDefault="00C40579" w:rsidP="00C40579">
      <w:pPr>
        <w:spacing w:after="0"/>
        <w:jc w:val="both"/>
        <w:rPr>
          <w:rFonts w:ascii="Verdana" w:eastAsiaTheme="minorEastAsia" w:hAnsi="Verdana" w:cs="Arial"/>
          <w:sz w:val="20"/>
          <w:szCs w:val="20"/>
          <w:lang w:eastAsia="es-CO"/>
        </w:rPr>
      </w:pPr>
      <w:r w:rsidRPr="009D4DA0">
        <w:rPr>
          <w:rFonts w:ascii="Verdana" w:eastAsiaTheme="minorEastAsia" w:hAnsi="Verdana" w:cs="Arial"/>
          <w:sz w:val="20"/>
          <w:szCs w:val="20"/>
          <w:lang w:eastAsia="es-CO"/>
        </w:rPr>
        <w:t xml:space="preserve">Las restricciones contenidas en el artículo 33 de la Ley 996 de 2005 aplica para “la contratación directa” de todos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Se trata de la prohibición de aquellos contratos en los que no exista un proceso abierto y competitivo. Por lo tanto, no son materia de la prohibición las demás modalidades de selección previstas en la Ley 1150 de 2007, esto es, la licitación pública, el concurso de méritos, la selección abreviada y la contratación de mínima cuantía o los procesos competitivos establecidos en los manuales de contratación de las entidades con regímenes exceptuados. Adicionalmente, la celebración de la contratación directa 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 </w:t>
      </w:r>
    </w:p>
    <w:p w14:paraId="692BA131" w14:textId="46281B55" w:rsidR="00F56C58" w:rsidRPr="00C40579" w:rsidRDefault="00F56C58" w:rsidP="00C40579">
      <w:pPr>
        <w:tabs>
          <w:tab w:val="left" w:pos="3420"/>
        </w:tabs>
        <w:spacing w:after="0"/>
        <w:rPr>
          <w:rFonts w:ascii="Verdana" w:eastAsia="Verdana" w:hAnsi="Verdana" w:cs="Verdana"/>
          <w:sz w:val="20"/>
          <w:szCs w:val="20"/>
          <w:lang w:val="es-ES"/>
        </w:rPr>
      </w:pPr>
    </w:p>
    <w:p w14:paraId="5D29A9D9" w14:textId="77777777" w:rsidR="00F56C58" w:rsidRPr="00EF1E4F" w:rsidRDefault="00F56C58" w:rsidP="00C40579">
      <w:pPr>
        <w:spacing w:after="0"/>
        <w:rPr>
          <w:rFonts w:ascii="Verdana" w:eastAsia="Verdana" w:hAnsi="Verdana" w:cs="Verdana"/>
          <w:sz w:val="20"/>
          <w:szCs w:val="20"/>
        </w:rPr>
      </w:pPr>
    </w:p>
    <w:p w14:paraId="34CB7243" w14:textId="77777777" w:rsidR="00F56C58" w:rsidRPr="00EF1E4F" w:rsidRDefault="00F56C58" w:rsidP="00C40579">
      <w:pPr>
        <w:spacing w:after="0"/>
        <w:rPr>
          <w:rFonts w:ascii="Verdana" w:eastAsia="Verdana" w:hAnsi="Verdana" w:cs="Verdana"/>
          <w:sz w:val="20"/>
          <w:szCs w:val="20"/>
        </w:rPr>
      </w:pPr>
    </w:p>
    <w:p w14:paraId="0AA4E919" w14:textId="77777777" w:rsidR="00F56C58" w:rsidRPr="00EF1E4F" w:rsidRDefault="00F56C58" w:rsidP="00C40579">
      <w:pPr>
        <w:spacing w:after="0"/>
        <w:rPr>
          <w:rFonts w:ascii="Verdana" w:eastAsia="Verdana" w:hAnsi="Verdana" w:cs="Verdana"/>
          <w:sz w:val="20"/>
          <w:szCs w:val="20"/>
        </w:rPr>
      </w:pPr>
    </w:p>
    <w:p w14:paraId="5296257C" w14:textId="77777777" w:rsidR="00F56C58" w:rsidRPr="00EF1E4F" w:rsidRDefault="00F56C58" w:rsidP="00C40579">
      <w:pPr>
        <w:spacing w:after="0"/>
        <w:rPr>
          <w:rFonts w:ascii="Verdana" w:eastAsia="Verdana" w:hAnsi="Verdana" w:cs="Verdana"/>
          <w:sz w:val="20"/>
          <w:szCs w:val="20"/>
        </w:rPr>
      </w:pPr>
    </w:p>
    <w:p w14:paraId="6C38D81A" w14:textId="77777777" w:rsidR="00F56C58" w:rsidRPr="00EF1E4F" w:rsidRDefault="00F56C58" w:rsidP="00B54967">
      <w:pPr>
        <w:spacing w:after="0"/>
        <w:rPr>
          <w:rFonts w:ascii="Verdana" w:eastAsia="Verdana" w:hAnsi="Verdana" w:cs="Verdana"/>
          <w:sz w:val="20"/>
          <w:szCs w:val="20"/>
        </w:rPr>
      </w:pPr>
    </w:p>
    <w:p w14:paraId="055E74BC" w14:textId="77777777" w:rsidR="00F56C58" w:rsidRPr="00EF1E4F" w:rsidRDefault="00F56C58" w:rsidP="00B54967">
      <w:pPr>
        <w:spacing w:after="0"/>
        <w:rPr>
          <w:rFonts w:ascii="Verdana" w:eastAsia="Verdana" w:hAnsi="Verdana" w:cs="Verdana"/>
          <w:sz w:val="20"/>
          <w:szCs w:val="20"/>
        </w:rPr>
      </w:pPr>
    </w:p>
    <w:p w14:paraId="09606F4E" w14:textId="77777777" w:rsidR="00F56C58" w:rsidRPr="00EF1E4F" w:rsidRDefault="00F56C58" w:rsidP="00B54967">
      <w:pPr>
        <w:spacing w:after="0"/>
        <w:rPr>
          <w:rFonts w:ascii="Verdana" w:eastAsia="Verdana" w:hAnsi="Verdana" w:cs="Verdana"/>
          <w:sz w:val="20"/>
          <w:szCs w:val="20"/>
        </w:rPr>
      </w:pPr>
    </w:p>
    <w:p w14:paraId="6EFFD6C7" w14:textId="77777777" w:rsidR="00F56C58" w:rsidRPr="00EF1E4F" w:rsidRDefault="00F56C58" w:rsidP="00B54967">
      <w:pPr>
        <w:spacing w:after="0"/>
        <w:rPr>
          <w:rFonts w:ascii="Verdana" w:eastAsia="Verdana" w:hAnsi="Verdana" w:cs="Verdana"/>
          <w:sz w:val="20"/>
          <w:szCs w:val="20"/>
        </w:rPr>
      </w:pPr>
    </w:p>
    <w:p w14:paraId="05F6927A" w14:textId="77777777" w:rsidR="00F56C58" w:rsidRPr="00EF1E4F" w:rsidRDefault="00F56C58" w:rsidP="00B54967">
      <w:pPr>
        <w:spacing w:after="0"/>
        <w:rPr>
          <w:rFonts w:ascii="Verdana" w:eastAsia="Verdana" w:hAnsi="Verdana" w:cs="Verdana"/>
          <w:sz w:val="20"/>
          <w:szCs w:val="20"/>
        </w:rPr>
      </w:pPr>
    </w:p>
    <w:p w14:paraId="3622487F" w14:textId="77777777" w:rsidR="00F56C58" w:rsidRPr="00EF1E4F" w:rsidRDefault="00F56C58" w:rsidP="00B54967">
      <w:pPr>
        <w:spacing w:after="0"/>
        <w:rPr>
          <w:rFonts w:ascii="Verdana" w:eastAsia="Verdana" w:hAnsi="Verdana" w:cs="Verdana"/>
          <w:sz w:val="20"/>
          <w:szCs w:val="20"/>
        </w:rPr>
      </w:pPr>
    </w:p>
    <w:p w14:paraId="38007BD9" w14:textId="77777777" w:rsidR="00F56C58" w:rsidRDefault="00F56C58" w:rsidP="00B54967">
      <w:pPr>
        <w:spacing w:after="0"/>
        <w:rPr>
          <w:rFonts w:ascii="Verdana" w:eastAsia="Verdana" w:hAnsi="Verdana" w:cs="Verdana"/>
        </w:rPr>
      </w:pPr>
    </w:p>
    <w:p w14:paraId="4E43F6FA" w14:textId="77777777" w:rsidR="00F56C58" w:rsidRDefault="00F56C58" w:rsidP="00B54967">
      <w:pPr>
        <w:spacing w:after="0"/>
        <w:rPr>
          <w:rFonts w:ascii="Verdana" w:eastAsia="Verdana" w:hAnsi="Verdana" w:cs="Verdana"/>
        </w:rPr>
      </w:pPr>
    </w:p>
    <w:p w14:paraId="1D41C6D6" w14:textId="77777777" w:rsidR="00F56C58" w:rsidRDefault="00F56C58" w:rsidP="00B54967">
      <w:pPr>
        <w:spacing w:after="0"/>
        <w:rPr>
          <w:rFonts w:ascii="Verdana" w:eastAsia="Verdana" w:hAnsi="Verdana" w:cs="Verdana"/>
        </w:rPr>
      </w:pPr>
    </w:p>
    <w:p w14:paraId="65CD2A72" w14:textId="77777777" w:rsidR="00F56C58" w:rsidRDefault="00F56C58" w:rsidP="00B54967">
      <w:pPr>
        <w:spacing w:after="0"/>
        <w:rPr>
          <w:rFonts w:ascii="Verdana" w:eastAsia="Verdana" w:hAnsi="Verdana" w:cs="Verdana"/>
        </w:rPr>
      </w:pPr>
    </w:p>
    <w:p w14:paraId="2836DAD9" w14:textId="77777777" w:rsidR="00F56C58" w:rsidRDefault="00F56C58" w:rsidP="00B54967">
      <w:pPr>
        <w:spacing w:after="0"/>
        <w:rPr>
          <w:rFonts w:ascii="Verdana" w:eastAsia="Verdana" w:hAnsi="Verdana" w:cs="Verdana"/>
        </w:rPr>
      </w:pPr>
    </w:p>
    <w:p w14:paraId="504C0269" w14:textId="77777777" w:rsidR="00F56C58" w:rsidRDefault="00F56C58" w:rsidP="00B54967">
      <w:pPr>
        <w:spacing w:after="0"/>
        <w:rPr>
          <w:rFonts w:ascii="Verdana" w:eastAsia="Verdana" w:hAnsi="Verdana" w:cs="Verdana"/>
        </w:rPr>
      </w:pPr>
    </w:p>
    <w:p w14:paraId="48245EA3" w14:textId="77777777" w:rsidR="00F56C58" w:rsidRDefault="00F56C58" w:rsidP="00B54967">
      <w:pPr>
        <w:spacing w:after="0"/>
        <w:rPr>
          <w:rFonts w:ascii="Verdana" w:eastAsia="Verdana" w:hAnsi="Verdana" w:cs="Verdana"/>
        </w:rPr>
      </w:pPr>
    </w:p>
    <w:p w14:paraId="7C026182" w14:textId="77777777" w:rsidR="00733E8A" w:rsidRDefault="005E524E" w:rsidP="00733E8A">
      <w:pPr>
        <w:spacing w:after="0"/>
        <w:rPr>
          <w:rFonts w:ascii="Verdana" w:hAnsi="Verdana"/>
        </w:rPr>
      </w:pPr>
      <w:r w:rsidRPr="005E524E">
        <w:rPr>
          <w:rFonts w:ascii="Verdana" w:hAnsi="Verdana"/>
        </w:rPr>
        <w:t>Bogotá D.C., 20 Mayo 2026</w:t>
      </w:r>
      <w:r w:rsidR="00733E8A">
        <w:rPr>
          <w:rFonts w:ascii="Verdana" w:hAnsi="Verdana"/>
        </w:rPr>
        <w:t xml:space="preserve">   </w:t>
      </w:r>
    </w:p>
    <w:p w14:paraId="405E5482" w14:textId="2EFAD1B3" w:rsidR="005E524E" w:rsidRPr="005E524E" w:rsidRDefault="00733E8A" w:rsidP="00733E8A">
      <w:pPr>
        <w:spacing w:after="0"/>
        <w:rPr>
          <w:rFonts w:ascii="Verdana" w:hAnsi="Verdana"/>
        </w:rPr>
      </w:pPr>
      <w:r>
        <w:rPr>
          <w:rFonts w:ascii="Verdana" w:hAnsi="Verdana"/>
        </w:rPr>
        <w:t xml:space="preserve">                                                            </w:t>
      </w:r>
      <w:r w:rsidRPr="00733E8A">
        <w:rPr>
          <w:rFonts w:ascii="Verdana" w:hAnsi="Verdana"/>
          <w:noProof/>
        </w:rPr>
        <w:drawing>
          <wp:inline distT="0" distB="0" distL="0" distR="0" wp14:anchorId="19D58F33" wp14:editId="430E9E6F">
            <wp:extent cx="2063279" cy="571500"/>
            <wp:effectExtent l="0" t="0" r="0" b="0"/>
            <wp:docPr id="12592180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77794" cy="575520"/>
                    </a:xfrm>
                    <a:prstGeom prst="rect">
                      <a:avLst/>
                    </a:prstGeom>
                    <a:noFill/>
                    <a:ln>
                      <a:noFill/>
                    </a:ln>
                  </pic:spPr>
                </pic:pic>
              </a:graphicData>
            </a:graphic>
          </wp:inline>
        </w:drawing>
      </w:r>
    </w:p>
    <w:p w14:paraId="34BE99BF" w14:textId="08D722CA" w:rsidR="00B54967" w:rsidRPr="00B54967" w:rsidRDefault="00B54967" w:rsidP="00B54967">
      <w:pPr>
        <w:spacing w:after="0"/>
        <w:rPr>
          <w:rFonts w:ascii="Verdana" w:eastAsia="Verdana" w:hAnsi="Verdana" w:cs="Verdana"/>
        </w:rPr>
      </w:pPr>
      <w:r w:rsidRPr="00B54967">
        <w:tab/>
      </w:r>
      <w:bookmarkStart w:id="1" w:name="_Hlk214366482"/>
    </w:p>
    <w:p w14:paraId="0F1CFE32" w14:textId="77777777" w:rsidR="00B54967" w:rsidRPr="00B54967" w:rsidRDefault="00B54967" w:rsidP="00B54967">
      <w:pPr>
        <w:spacing w:after="0" w:line="240" w:lineRule="auto"/>
        <w:jc w:val="both"/>
        <w:rPr>
          <w:rFonts w:ascii="Verdana" w:eastAsia="Calibri" w:hAnsi="Verdana" w:cs="Arial"/>
          <w:b/>
          <w:bCs/>
          <w:lang w:eastAsia="es-ES"/>
        </w:rPr>
      </w:pPr>
      <w:r w:rsidRPr="00B54967">
        <w:rPr>
          <w:rFonts w:ascii="Verdana" w:eastAsia="Calibri" w:hAnsi="Verdana" w:cs="Arial"/>
          <w:b/>
          <w:bCs/>
          <w:lang w:eastAsia="es-ES"/>
        </w:rPr>
        <w:t>Señora</w:t>
      </w:r>
    </w:p>
    <w:p w14:paraId="66507FEB" w14:textId="1F213B00" w:rsidR="00B54967" w:rsidRPr="00B54967" w:rsidRDefault="00B54967" w:rsidP="00B54967">
      <w:pPr>
        <w:spacing w:after="0" w:line="240" w:lineRule="auto"/>
        <w:jc w:val="both"/>
        <w:rPr>
          <w:rFonts w:ascii="Verdana" w:eastAsia="Calibri" w:hAnsi="Verdana" w:cs="Arial"/>
          <w:b/>
          <w:bCs/>
          <w:lang w:eastAsia="es-ES"/>
        </w:rPr>
      </w:pPr>
      <w:r w:rsidRPr="00B54967">
        <w:rPr>
          <w:rFonts w:ascii="Verdana" w:eastAsia="Calibri" w:hAnsi="Verdana" w:cs="Arial"/>
          <w:b/>
          <w:bCs/>
          <w:lang w:eastAsia="es-ES"/>
        </w:rPr>
        <w:t xml:space="preserve">Ana </w:t>
      </w:r>
      <w:r w:rsidR="00377E0C" w:rsidRPr="00B54967">
        <w:rPr>
          <w:rFonts w:ascii="Verdana" w:eastAsia="Calibri" w:hAnsi="Verdana" w:cs="Arial"/>
          <w:b/>
          <w:bCs/>
          <w:lang w:eastAsia="es-ES"/>
        </w:rPr>
        <w:t>María</w:t>
      </w:r>
      <w:r w:rsidRPr="00B54967">
        <w:rPr>
          <w:rFonts w:ascii="Verdana" w:eastAsia="Calibri" w:hAnsi="Verdana" w:cs="Arial"/>
          <w:b/>
          <w:bCs/>
          <w:lang w:eastAsia="es-ES"/>
        </w:rPr>
        <w:t xml:space="preserve"> Morales Otero</w:t>
      </w:r>
    </w:p>
    <w:p w14:paraId="394841F6" w14:textId="77777777" w:rsidR="00B54967" w:rsidRPr="00B54967" w:rsidRDefault="00B54967" w:rsidP="00B54967">
      <w:pPr>
        <w:spacing w:after="0" w:line="240" w:lineRule="auto"/>
        <w:jc w:val="both"/>
        <w:rPr>
          <w:rFonts w:ascii="Verdana" w:eastAsia="Calibri" w:hAnsi="Verdana" w:cs="Arial"/>
          <w:lang w:eastAsia="es-ES"/>
        </w:rPr>
      </w:pPr>
      <w:r w:rsidRPr="00B54967">
        <w:rPr>
          <w:rFonts w:ascii="Verdana" w:eastAsia="Calibri" w:hAnsi="Verdana" w:cs="Arial"/>
          <w:lang w:eastAsia="es-ES"/>
        </w:rPr>
        <w:t>anammoraleso2025@gmail.com</w:t>
      </w:r>
    </w:p>
    <w:p w14:paraId="24174599" w14:textId="77777777" w:rsidR="00B54967" w:rsidRPr="00B54967" w:rsidRDefault="00B54967" w:rsidP="00B54967">
      <w:pPr>
        <w:spacing w:after="0" w:line="240" w:lineRule="auto"/>
        <w:jc w:val="both"/>
        <w:rPr>
          <w:rFonts w:ascii="Verdana" w:hAnsi="Verdana"/>
        </w:rPr>
      </w:pPr>
      <w:r w:rsidRPr="00B54967">
        <w:rPr>
          <w:rFonts w:ascii="Verdana" w:hAnsi="Verdana"/>
        </w:rPr>
        <w:t xml:space="preserve">Ciudad </w:t>
      </w:r>
    </w:p>
    <w:p w14:paraId="2BD5C025" w14:textId="77777777" w:rsidR="00B54967" w:rsidRPr="00B54967" w:rsidRDefault="00B54967" w:rsidP="00B54967">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237"/>
      </w:tblGrid>
      <w:tr w:rsidR="00B54967" w:rsidRPr="00B54967" w14:paraId="73ECDF50" w14:textId="77777777" w:rsidTr="003F0972">
        <w:trPr>
          <w:trHeight w:val="162"/>
        </w:trPr>
        <w:tc>
          <w:tcPr>
            <w:tcW w:w="2552" w:type="dxa"/>
          </w:tcPr>
          <w:p w14:paraId="423922CF" w14:textId="77777777" w:rsidR="00B54967" w:rsidRPr="00B54967" w:rsidRDefault="00B54967" w:rsidP="00B54967">
            <w:pPr>
              <w:spacing w:after="160" w:line="259" w:lineRule="auto"/>
              <w:ind w:left="720"/>
              <w:contextualSpacing/>
              <w:jc w:val="both"/>
              <w:rPr>
                <w:rFonts w:ascii="Verdana" w:eastAsia="Calibri" w:hAnsi="Verdana" w:cs="Arial"/>
                <w:b/>
                <w:bCs/>
                <w:color w:val="7030A0"/>
                <w:lang w:val="es-ES" w:eastAsia="es-ES_tradnl"/>
              </w:rPr>
            </w:pPr>
          </w:p>
        </w:tc>
        <w:tc>
          <w:tcPr>
            <w:tcW w:w="6237" w:type="dxa"/>
          </w:tcPr>
          <w:p w14:paraId="24F93119" w14:textId="77777777" w:rsidR="00B54967" w:rsidRPr="00B54967" w:rsidRDefault="00B54967" w:rsidP="00B54967">
            <w:pPr>
              <w:spacing w:after="160" w:line="259" w:lineRule="auto"/>
              <w:ind w:left="720"/>
              <w:contextualSpacing/>
              <w:jc w:val="both"/>
              <w:rPr>
                <w:rFonts w:ascii="Verdana" w:eastAsia="Calibri" w:hAnsi="Verdana" w:cs="Arial"/>
                <w:b/>
                <w:bCs/>
                <w:lang w:val="es-ES" w:eastAsia="es-ES"/>
              </w:rPr>
            </w:pPr>
            <w:r w:rsidRPr="00B54967">
              <w:rPr>
                <w:rFonts w:ascii="Verdana" w:eastAsia="Calibri" w:hAnsi="Verdana" w:cs="Arial"/>
                <w:b/>
                <w:bCs/>
                <w:lang w:val="es-ES" w:eastAsia="es-ES"/>
              </w:rPr>
              <w:t>Concepto C-563 de 2026</w:t>
            </w:r>
          </w:p>
          <w:p w14:paraId="06DD5404" w14:textId="77777777" w:rsidR="00B54967" w:rsidRPr="00B54967" w:rsidRDefault="00B54967" w:rsidP="00B54967">
            <w:pPr>
              <w:spacing w:after="160" w:line="259" w:lineRule="auto"/>
              <w:ind w:left="720"/>
              <w:contextualSpacing/>
              <w:jc w:val="both"/>
              <w:rPr>
                <w:rFonts w:ascii="Verdana" w:eastAsia="Calibri" w:hAnsi="Verdana" w:cs="Arial"/>
                <w:b/>
                <w:bCs/>
                <w:color w:val="7030A0"/>
                <w:lang w:val="es-ES" w:eastAsia="es-ES"/>
              </w:rPr>
            </w:pPr>
          </w:p>
        </w:tc>
      </w:tr>
      <w:tr w:rsidR="00B54967" w:rsidRPr="00B54967" w14:paraId="5C1CB799" w14:textId="77777777" w:rsidTr="003F0972">
        <w:trPr>
          <w:trHeight w:val="884"/>
        </w:trPr>
        <w:tc>
          <w:tcPr>
            <w:tcW w:w="2552" w:type="dxa"/>
          </w:tcPr>
          <w:p w14:paraId="613FF34D" w14:textId="77777777" w:rsidR="00B54967" w:rsidRPr="00B54967" w:rsidRDefault="00B54967" w:rsidP="00B54967">
            <w:pPr>
              <w:spacing w:after="160" w:line="259" w:lineRule="auto"/>
              <w:ind w:left="720"/>
              <w:contextualSpacing/>
              <w:jc w:val="both"/>
              <w:rPr>
                <w:rFonts w:ascii="Verdana" w:eastAsia="Calibri" w:hAnsi="Verdana" w:cs="Arial"/>
                <w:color w:val="000000"/>
                <w:lang w:val="es-ES" w:eastAsia="es-ES_tradnl"/>
              </w:rPr>
            </w:pPr>
            <w:r w:rsidRPr="00B54967">
              <w:rPr>
                <w:rFonts w:ascii="Verdana" w:eastAsia="Calibri" w:hAnsi="Verdana" w:cs="Arial"/>
                <w:b/>
                <w:color w:val="000000"/>
                <w:lang w:val="es-ES" w:eastAsia="es-ES_tradnl"/>
              </w:rPr>
              <w:t>Temas:</w:t>
            </w:r>
            <w:r w:rsidRPr="00B54967">
              <w:rPr>
                <w:rFonts w:ascii="Verdana" w:eastAsia="Calibri" w:hAnsi="Verdana" w:cs="Arial"/>
                <w:color w:val="000000"/>
                <w:lang w:val="es-ES" w:eastAsia="es-ES_tradnl"/>
              </w:rPr>
              <w:t xml:space="preserve">                   </w:t>
            </w:r>
          </w:p>
        </w:tc>
        <w:tc>
          <w:tcPr>
            <w:tcW w:w="6237" w:type="dxa"/>
          </w:tcPr>
          <w:p w14:paraId="6D65B8E5" w14:textId="77777777" w:rsidR="00B54967" w:rsidRPr="00B54967" w:rsidRDefault="00B54967" w:rsidP="00B54967">
            <w:pPr>
              <w:spacing w:after="160" w:line="276" w:lineRule="auto"/>
              <w:ind w:left="720"/>
              <w:contextualSpacing/>
              <w:jc w:val="both"/>
              <w:rPr>
                <w:rFonts w:ascii="Verdana" w:hAnsi="Verdana"/>
                <w:lang w:val="es-ES"/>
              </w:rPr>
            </w:pPr>
            <w:r w:rsidRPr="00B54967">
              <w:rPr>
                <w:rFonts w:ascii="Verdana" w:hAnsi="Verdana"/>
                <w:lang w:val="es-ES"/>
              </w:rPr>
              <w:t xml:space="preserve">CONVENIO Y CONTRATO INTERADMINISTRATIVO – Alcance – Diferencias / </w:t>
            </w:r>
            <w:r w:rsidRPr="00B54967">
              <w:rPr>
                <w:rFonts w:ascii="Verdana" w:hAnsi="Verdana" w:cs="Arial"/>
                <w:color w:val="000000" w:themeColor="text1"/>
                <w:lang w:val="es-ES"/>
              </w:rPr>
              <w:t xml:space="preserve">LEY DE GARANTÍAS ELECTORALES – Propósito / LEY DE GARANTÍAS ELECTORALES – Prohibiciones – Restricciones / LEY DE GARANTÍAS ELECTORALES – Artículo 33 – Ámbito material / LEY DE GARANTÍAS ELECTORALES – Destinatarios / LEY DE GARANTÍAS ELECTORALES – Excepciones / LEY DE GARANTÍAS ELECTORALES – Parágrafo del artículo 38 - Alcance / LEY DE GARANTÍAS ELECTORALES – Convenios interadministrativos – Contratos interadministrativos / CONSEJO DE ESTADO -Posición </w:t>
            </w:r>
            <w:r w:rsidRPr="00B54967">
              <w:rPr>
                <w:rFonts w:ascii="Verdana" w:hAnsi="Verdana"/>
                <w:lang w:val="es-ES"/>
              </w:rPr>
              <w:t xml:space="preserve">   </w:t>
            </w:r>
          </w:p>
          <w:p w14:paraId="727326EB" w14:textId="77777777" w:rsidR="00B54967" w:rsidRPr="00B54967" w:rsidRDefault="00B54967" w:rsidP="00B54967">
            <w:pPr>
              <w:spacing w:after="160" w:line="276" w:lineRule="auto"/>
              <w:ind w:left="720"/>
              <w:contextualSpacing/>
              <w:jc w:val="both"/>
              <w:rPr>
                <w:rFonts w:ascii="Verdana" w:hAnsi="Verdana"/>
                <w:lang w:val="es-ES"/>
              </w:rPr>
            </w:pPr>
          </w:p>
          <w:p w14:paraId="46A8FDC8" w14:textId="77777777" w:rsidR="00B54967" w:rsidRPr="00B54967" w:rsidRDefault="00B54967" w:rsidP="00B54967">
            <w:pPr>
              <w:spacing w:after="160" w:line="276" w:lineRule="auto"/>
              <w:ind w:left="720"/>
              <w:contextualSpacing/>
              <w:jc w:val="both"/>
              <w:rPr>
                <w:rFonts w:ascii="Verdana" w:hAnsi="Verdana"/>
                <w:lang w:val="es-ES"/>
              </w:rPr>
            </w:pPr>
          </w:p>
        </w:tc>
      </w:tr>
      <w:tr w:rsidR="00B54967" w:rsidRPr="00B54967" w14:paraId="1FBC7F9E" w14:textId="77777777" w:rsidTr="003F0972">
        <w:tc>
          <w:tcPr>
            <w:tcW w:w="2552" w:type="dxa"/>
          </w:tcPr>
          <w:p w14:paraId="54BC4F88" w14:textId="77777777" w:rsidR="00B54967" w:rsidRPr="00B54967" w:rsidRDefault="00B54967" w:rsidP="00B54967">
            <w:pPr>
              <w:spacing w:after="160" w:line="259" w:lineRule="auto"/>
              <w:ind w:left="720"/>
              <w:contextualSpacing/>
              <w:jc w:val="both"/>
              <w:rPr>
                <w:rFonts w:ascii="Verdana" w:eastAsia="Calibri" w:hAnsi="Verdana" w:cs="Arial"/>
                <w:b/>
                <w:lang w:val="es-ES" w:eastAsia="es-ES_tradnl"/>
              </w:rPr>
            </w:pPr>
            <w:r w:rsidRPr="00B54967">
              <w:rPr>
                <w:rFonts w:ascii="Verdana" w:eastAsia="Calibri" w:hAnsi="Verdana" w:cs="Arial"/>
                <w:b/>
                <w:lang w:val="es-ES" w:eastAsia="es-ES_tradnl"/>
              </w:rPr>
              <w:t>Radicación:</w:t>
            </w:r>
            <w:r w:rsidRPr="00B54967">
              <w:rPr>
                <w:rFonts w:ascii="Verdana" w:eastAsia="Calibri" w:hAnsi="Verdana" w:cs="Arial"/>
                <w:lang w:val="es-ES" w:eastAsia="es-ES_tradnl"/>
              </w:rPr>
              <w:t xml:space="preserve">               </w:t>
            </w:r>
          </w:p>
        </w:tc>
        <w:tc>
          <w:tcPr>
            <w:tcW w:w="6237" w:type="dxa"/>
          </w:tcPr>
          <w:p w14:paraId="57440446" w14:textId="77777777" w:rsidR="00B54967" w:rsidRPr="00B54967" w:rsidRDefault="00B54967" w:rsidP="00B54967">
            <w:pPr>
              <w:spacing w:after="160" w:line="259" w:lineRule="auto"/>
              <w:ind w:left="720"/>
              <w:contextualSpacing/>
              <w:jc w:val="both"/>
              <w:rPr>
                <w:lang w:val="es-ES" w:eastAsia="es-ES_tradnl"/>
              </w:rPr>
            </w:pPr>
            <w:r w:rsidRPr="00B54967">
              <w:rPr>
                <w:rFonts w:ascii="Verdana" w:eastAsia="Calibri" w:hAnsi="Verdana" w:cs="Arial"/>
                <w:lang w:val="es-ES" w:eastAsia="es-ES_tradnl"/>
              </w:rPr>
              <w:t>Respuesta a consulta con radicado</w:t>
            </w:r>
            <w:r w:rsidRPr="00B54967">
              <w:rPr>
                <w:rFonts w:ascii="Geomanist Light" w:hAnsi="Geomanist Light"/>
                <w:lang w:val="es-ES"/>
              </w:rPr>
              <w:t xml:space="preserve"> </w:t>
            </w:r>
            <w:r w:rsidRPr="00B54967">
              <w:rPr>
                <w:rFonts w:ascii="Verdana" w:hAnsi="Verdana" w:cs="Calibri"/>
                <w:color w:val="000000"/>
                <w:lang w:val="es-ES"/>
              </w:rPr>
              <w:t>1_2026_04_08_004772</w:t>
            </w:r>
          </w:p>
          <w:p w14:paraId="6764D289" w14:textId="77777777" w:rsidR="00B54967" w:rsidRPr="00B54967" w:rsidRDefault="00B54967" w:rsidP="00B54967">
            <w:pPr>
              <w:spacing w:after="160" w:line="259" w:lineRule="auto"/>
              <w:ind w:left="720"/>
              <w:contextualSpacing/>
              <w:jc w:val="both"/>
              <w:rPr>
                <w:rFonts w:ascii="Geomanist Light" w:hAnsi="Geomanist Light"/>
                <w:lang w:val="es-ES" w:eastAsia="es-ES_tradnl"/>
              </w:rPr>
            </w:pPr>
          </w:p>
          <w:p w14:paraId="38333672" w14:textId="77777777" w:rsidR="00B54967" w:rsidRPr="00B54967" w:rsidRDefault="00B54967" w:rsidP="009A668D">
            <w:pPr>
              <w:spacing w:after="160" w:line="259" w:lineRule="auto"/>
              <w:contextualSpacing/>
              <w:jc w:val="both"/>
              <w:rPr>
                <w:rFonts w:ascii="Verdana" w:eastAsia="Calibri" w:hAnsi="Verdana" w:cs="Arial"/>
                <w:lang w:val="es-ES" w:eastAsia="es-ES_tradnl"/>
              </w:rPr>
            </w:pPr>
          </w:p>
        </w:tc>
      </w:tr>
    </w:tbl>
    <w:p w14:paraId="1D789FD3" w14:textId="14AFFBA7" w:rsidR="00B54967" w:rsidRPr="00B54967" w:rsidRDefault="00B54967" w:rsidP="00B54967">
      <w:pPr>
        <w:spacing w:after="0" w:line="276" w:lineRule="auto"/>
        <w:jc w:val="both"/>
        <w:rPr>
          <w:rFonts w:ascii="Verdana" w:eastAsia="Calibri" w:hAnsi="Verdana" w:cs="Arial"/>
          <w:lang w:eastAsia="es-ES"/>
        </w:rPr>
      </w:pPr>
      <w:r w:rsidRPr="00B54967">
        <w:rPr>
          <w:rFonts w:ascii="Verdana" w:eastAsia="Calibri" w:hAnsi="Verdana" w:cs="Arial"/>
          <w:lang w:eastAsia="es-ES"/>
        </w:rPr>
        <w:t xml:space="preserve">Estimada señora </w:t>
      </w:r>
      <w:r w:rsidR="0044248D" w:rsidRPr="00B54967">
        <w:rPr>
          <w:rFonts w:ascii="Verdana" w:eastAsia="Calibri" w:hAnsi="Verdana" w:cs="Arial"/>
          <w:lang w:eastAsia="es-ES"/>
        </w:rPr>
        <w:t>Morales:</w:t>
      </w:r>
      <w:r w:rsidRPr="00B54967">
        <w:rPr>
          <w:rFonts w:ascii="Verdana" w:eastAsia="Calibri" w:hAnsi="Verdana" w:cs="Arial"/>
          <w:lang w:eastAsia="es-ES"/>
        </w:rPr>
        <w:t xml:space="preserve"> </w:t>
      </w:r>
    </w:p>
    <w:p w14:paraId="379829CF" w14:textId="77777777" w:rsidR="00B54967" w:rsidRPr="00B54967" w:rsidRDefault="00B54967" w:rsidP="00B54967">
      <w:pPr>
        <w:spacing w:after="0" w:line="276" w:lineRule="auto"/>
        <w:jc w:val="both"/>
        <w:rPr>
          <w:rFonts w:ascii="Verdana" w:hAnsi="Verdana"/>
          <w:lang w:val="es-MX"/>
        </w:rPr>
      </w:pPr>
    </w:p>
    <w:p w14:paraId="2606077C" w14:textId="01DB9D3F" w:rsidR="00B54967" w:rsidRPr="00B54967" w:rsidRDefault="00B54967" w:rsidP="00B54967">
      <w:pPr>
        <w:spacing w:after="120" w:line="276" w:lineRule="auto"/>
        <w:jc w:val="both"/>
        <w:rPr>
          <w:rFonts w:ascii="Verdana" w:eastAsia="Calibri" w:hAnsi="Verdana" w:cs="Arial"/>
          <w:lang w:eastAsia="es-ES"/>
        </w:rPr>
      </w:pPr>
      <w:r w:rsidRPr="00B54967">
        <w:rPr>
          <w:rFonts w:ascii="Verdana" w:hAnsi="Verdana"/>
        </w:rPr>
        <w:t xml:space="preserve">La Agencia Nacional de Contratación Pública – Colombia Compra Eficiente –, en ejercicio de las competencias otorgadas </w:t>
      </w:r>
      <w:r w:rsidRPr="00B54967">
        <w:rPr>
          <w:rFonts w:ascii="Verdana" w:eastAsia="Calibri" w:hAnsi="Verdana" w:cs="Arial"/>
          <w:lang w:eastAsia="es-ES"/>
        </w:rPr>
        <w:t xml:space="preserve">por los artículos 3, numeral 5º, y 11, numeral 8º, del Decreto Ley 4170 de 2011 y </w:t>
      </w:r>
      <w:r w:rsidRPr="00B54967">
        <w:rPr>
          <w:rFonts w:ascii="Verdana" w:hAnsi="Verdana"/>
        </w:rPr>
        <w:t xml:space="preserve">de conformidad con las modalidades del derecho de petición contempladas en la Ley 1755 de 2015 y en la resolución </w:t>
      </w:r>
      <w:proofErr w:type="spellStart"/>
      <w:r w:rsidRPr="00B54967">
        <w:rPr>
          <w:rFonts w:ascii="Verdana" w:eastAsia="Times New Roman" w:hAnsi="Verdana" w:cs="Segoe UI"/>
          <w:lang w:eastAsia="es-CO"/>
        </w:rPr>
        <w:lastRenderedPageBreak/>
        <w:t>N°</w:t>
      </w:r>
      <w:proofErr w:type="spellEnd"/>
      <w:r w:rsidRPr="00B54967">
        <w:rPr>
          <w:rFonts w:ascii="Verdana" w:eastAsia="Times New Roman" w:hAnsi="Verdana" w:cs="Segoe UI"/>
          <w:lang w:eastAsia="es-CO"/>
        </w:rPr>
        <w:t xml:space="preserve"> 469 del 2025 </w:t>
      </w:r>
      <w:r w:rsidRPr="00B54967">
        <w:rPr>
          <w:rFonts w:ascii="Verdana" w:hAnsi="Verdana"/>
        </w:rPr>
        <w:t xml:space="preserve">expedida por esta Agencia, </w:t>
      </w:r>
      <w:r w:rsidRPr="00B54967">
        <w:rPr>
          <w:rFonts w:ascii="Verdana" w:eastAsia="Calibri" w:hAnsi="Verdana" w:cs="Arial"/>
          <w:lang w:eastAsia="es-ES"/>
        </w:rPr>
        <w:t>responde su solicitud de consulta de fecha 8 de abril de 2026, en la cual manifiesta lo siguiente</w:t>
      </w:r>
      <w:r w:rsidR="0044248D">
        <w:rPr>
          <w:rFonts w:ascii="Verdana" w:eastAsia="Calibri" w:hAnsi="Verdana" w:cs="Arial"/>
          <w:lang w:eastAsia="es-ES"/>
        </w:rPr>
        <w:t>:</w:t>
      </w:r>
    </w:p>
    <w:p w14:paraId="5059E2BB" w14:textId="77777777" w:rsidR="00B54967" w:rsidRPr="00B54967" w:rsidRDefault="00B54967" w:rsidP="00B54967">
      <w:pPr>
        <w:ind w:leftChars="737" w:left="1621" w:right="737"/>
        <w:jc w:val="both"/>
        <w:rPr>
          <w:rFonts w:ascii="Verdana" w:eastAsia="Times New Roman" w:hAnsi="Verdana" w:cs="Calibri"/>
          <w:color w:val="000000"/>
          <w:sz w:val="20"/>
          <w:szCs w:val="20"/>
          <w:lang w:eastAsia="es-CO"/>
        </w:rPr>
      </w:pPr>
      <w:r w:rsidRPr="00B54967">
        <w:rPr>
          <w:rFonts w:ascii="Verdana" w:hAnsi="Verdana"/>
          <w:sz w:val="20"/>
          <w:szCs w:val="20"/>
        </w:rPr>
        <w:t>“</w:t>
      </w:r>
      <w:r w:rsidRPr="00B54967">
        <w:rPr>
          <w:rFonts w:ascii="Verdana" w:eastAsia="Times New Roman" w:hAnsi="Verdana" w:cs="Calibri"/>
          <w:color w:val="000000"/>
          <w:sz w:val="20"/>
          <w:szCs w:val="20"/>
          <w:lang w:eastAsia="es-CO"/>
        </w:rPr>
        <w:t>Cordial saludo,</w:t>
      </w:r>
    </w:p>
    <w:p w14:paraId="235C131A" w14:textId="77777777" w:rsidR="00B54967" w:rsidRPr="00B54967" w:rsidRDefault="00B54967" w:rsidP="00B54967">
      <w:pPr>
        <w:spacing w:after="0" w:line="240" w:lineRule="auto"/>
        <w:ind w:leftChars="737" w:left="1621" w:right="737"/>
        <w:jc w:val="both"/>
        <w:rPr>
          <w:rFonts w:ascii="Verdana" w:eastAsia="Times New Roman" w:hAnsi="Verdana" w:cs="Calibri"/>
          <w:color w:val="000000"/>
          <w:sz w:val="20"/>
          <w:szCs w:val="20"/>
          <w:lang w:eastAsia="es-CO"/>
        </w:rPr>
      </w:pPr>
      <w:r w:rsidRPr="00B54967">
        <w:rPr>
          <w:rFonts w:ascii="Verdana" w:eastAsia="Times New Roman" w:hAnsi="Verdana" w:cs="Calibri"/>
          <w:color w:val="000000"/>
          <w:sz w:val="20"/>
          <w:szCs w:val="20"/>
          <w:lang w:eastAsia="es-CO"/>
        </w:rPr>
        <w:t>De manera respetuosa se solicita a esa Agencia emitir concepto respecto de la viabilidad jurídica para la celebración de contratos interadministrativos durante la vigencia de las restricciones previstas en la Ley 996 de 2005 (Ley de Garantías Electorales).</w:t>
      </w:r>
    </w:p>
    <w:p w14:paraId="1E5586E4" w14:textId="77777777" w:rsidR="00B54967" w:rsidRPr="00B54967" w:rsidRDefault="00B54967" w:rsidP="00B54967">
      <w:pPr>
        <w:spacing w:after="0" w:line="240" w:lineRule="auto"/>
        <w:ind w:leftChars="737" w:left="1621" w:right="737"/>
        <w:jc w:val="both"/>
        <w:rPr>
          <w:rFonts w:ascii="Verdana" w:eastAsia="Times New Roman" w:hAnsi="Verdana" w:cs="Calibri"/>
          <w:color w:val="000000"/>
          <w:sz w:val="20"/>
          <w:szCs w:val="20"/>
          <w:lang w:eastAsia="es-CO"/>
        </w:rPr>
      </w:pPr>
    </w:p>
    <w:p w14:paraId="5224A661" w14:textId="77777777" w:rsidR="00B54967" w:rsidRPr="00B54967" w:rsidRDefault="00B54967" w:rsidP="00B54967">
      <w:pPr>
        <w:spacing w:after="0" w:line="240" w:lineRule="auto"/>
        <w:ind w:leftChars="737" w:left="1621" w:right="737"/>
        <w:jc w:val="both"/>
        <w:rPr>
          <w:rFonts w:ascii="Verdana" w:eastAsia="Times New Roman" w:hAnsi="Verdana" w:cs="Calibri"/>
          <w:color w:val="000000"/>
          <w:sz w:val="20"/>
          <w:szCs w:val="20"/>
          <w:lang w:eastAsia="es-CO"/>
        </w:rPr>
      </w:pPr>
      <w:r w:rsidRPr="00B54967">
        <w:rPr>
          <w:rFonts w:ascii="Verdana" w:eastAsia="Times New Roman" w:hAnsi="Verdana" w:cs="Calibri"/>
          <w:color w:val="000000"/>
          <w:sz w:val="20"/>
          <w:szCs w:val="20"/>
          <w:lang w:eastAsia="es-CO"/>
        </w:rPr>
        <w:t>Lo anterior, en el marco de la estructuración de un proceso contractual cuyo objeto corresponde a la prestación de servicios técnicos y profesionales especializados, a través de un eventual contrato interadministrativo con una entidad pública que cuenta con la idoneidad técnica y funcional requerida.</w:t>
      </w:r>
    </w:p>
    <w:p w14:paraId="630FB100" w14:textId="77777777" w:rsidR="00B54967" w:rsidRPr="00B54967" w:rsidRDefault="00B54967" w:rsidP="00B54967">
      <w:pPr>
        <w:spacing w:after="0" w:line="240" w:lineRule="auto"/>
        <w:ind w:leftChars="737" w:left="1621" w:right="737"/>
        <w:jc w:val="both"/>
        <w:rPr>
          <w:rFonts w:ascii="Verdana" w:eastAsia="Times New Roman" w:hAnsi="Verdana" w:cs="Calibri"/>
          <w:color w:val="000000"/>
          <w:sz w:val="20"/>
          <w:szCs w:val="20"/>
          <w:lang w:eastAsia="es-CO"/>
        </w:rPr>
      </w:pPr>
    </w:p>
    <w:p w14:paraId="6C063E10" w14:textId="77777777" w:rsidR="00B54967" w:rsidRPr="00B54967" w:rsidRDefault="00B54967" w:rsidP="00B54967">
      <w:pPr>
        <w:spacing w:after="0" w:line="240" w:lineRule="auto"/>
        <w:ind w:leftChars="737" w:left="1621" w:right="737"/>
        <w:jc w:val="both"/>
        <w:rPr>
          <w:rFonts w:ascii="Verdana" w:eastAsia="Times New Roman" w:hAnsi="Verdana" w:cs="Calibri"/>
          <w:color w:val="000000"/>
          <w:sz w:val="20"/>
          <w:szCs w:val="20"/>
          <w:lang w:eastAsia="es-CO"/>
        </w:rPr>
      </w:pPr>
      <w:r w:rsidRPr="00B54967">
        <w:rPr>
          <w:rFonts w:ascii="Verdana" w:eastAsia="Times New Roman" w:hAnsi="Verdana" w:cs="Calibri"/>
          <w:color w:val="000000"/>
          <w:sz w:val="20"/>
          <w:szCs w:val="20"/>
          <w:lang w:eastAsia="es-CO"/>
        </w:rPr>
        <w:t>En este sentido, se solicita se sirvan precisar:</w:t>
      </w:r>
    </w:p>
    <w:p w14:paraId="4687EFB0" w14:textId="77777777" w:rsidR="00B54967" w:rsidRPr="00B54967" w:rsidRDefault="00B54967" w:rsidP="00B54967">
      <w:pPr>
        <w:spacing w:after="0" w:line="240" w:lineRule="auto"/>
        <w:ind w:leftChars="737" w:left="1621" w:right="737"/>
        <w:jc w:val="both"/>
        <w:rPr>
          <w:rFonts w:ascii="Verdana" w:eastAsia="Times New Roman" w:hAnsi="Verdana" w:cs="Calibri"/>
          <w:color w:val="000000"/>
          <w:sz w:val="20"/>
          <w:szCs w:val="20"/>
          <w:lang w:eastAsia="es-CO"/>
        </w:rPr>
      </w:pPr>
    </w:p>
    <w:p w14:paraId="680300C9" w14:textId="77777777" w:rsidR="00B54967" w:rsidRPr="00B54967" w:rsidRDefault="00B54967" w:rsidP="00B54967">
      <w:pPr>
        <w:numPr>
          <w:ilvl w:val="0"/>
          <w:numId w:val="18"/>
        </w:numPr>
        <w:spacing w:after="0" w:line="240" w:lineRule="auto"/>
        <w:ind w:leftChars="737" w:left="1981" w:right="737"/>
        <w:jc w:val="both"/>
        <w:rPr>
          <w:rFonts w:ascii="Verdana" w:eastAsia="Times New Roman" w:hAnsi="Verdana" w:cs="Calibri"/>
          <w:color w:val="000000"/>
          <w:sz w:val="20"/>
          <w:szCs w:val="20"/>
          <w:lang w:eastAsia="es-CO"/>
        </w:rPr>
      </w:pPr>
      <w:r w:rsidRPr="00B54967">
        <w:rPr>
          <w:rFonts w:ascii="Verdana" w:eastAsia="Times New Roman" w:hAnsi="Verdana" w:cs="Calibri"/>
          <w:color w:val="000000"/>
          <w:sz w:val="20"/>
          <w:szCs w:val="20"/>
          <w:lang w:eastAsia="es-CO"/>
        </w:rPr>
        <w:t>Si, a la luz del artículo 38 de la Ley 996 de 2005, resulta jurídicamente viable la suscripción de contratos interadministrativos durante el periodo de restricciones electorales.</w:t>
      </w:r>
    </w:p>
    <w:p w14:paraId="564214A8" w14:textId="77777777" w:rsidR="00B54967" w:rsidRPr="00B54967" w:rsidRDefault="00B54967" w:rsidP="00B54967">
      <w:pPr>
        <w:numPr>
          <w:ilvl w:val="0"/>
          <w:numId w:val="18"/>
        </w:numPr>
        <w:spacing w:after="0" w:line="240" w:lineRule="auto"/>
        <w:ind w:leftChars="737" w:left="1981" w:right="737"/>
        <w:jc w:val="both"/>
        <w:rPr>
          <w:rFonts w:ascii="Verdana" w:eastAsia="Times New Roman" w:hAnsi="Verdana" w:cs="Calibri"/>
          <w:color w:val="000000"/>
          <w:sz w:val="20"/>
          <w:szCs w:val="20"/>
          <w:lang w:eastAsia="es-CO"/>
        </w:rPr>
      </w:pPr>
      <w:r w:rsidRPr="00B54967">
        <w:rPr>
          <w:rFonts w:ascii="Verdana" w:eastAsia="Times New Roman" w:hAnsi="Verdana" w:cs="Calibri"/>
          <w:color w:val="000000"/>
          <w:sz w:val="20"/>
          <w:szCs w:val="20"/>
          <w:lang w:eastAsia="es-CO"/>
        </w:rPr>
        <w:t>El alcance de la diferencia jurídica entre convenios interadministrativos y contratos interadministrativos para efectos de la aplicación de la citada norma.</w:t>
      </w:r>
    </w:p>
    <w:p w14:paraId="401F519D" w14:textId="77777777" w:rsidR="00B54967" w:rsidRPr="00B54967" w:rsidRDefault="00B54967" w:rsidP="00B54967">
      <w:pPr>
        <w:numPr>
          <w:ilvl w:val="0"/>
          <w:numId w:val="18"/>
        </w:numPr>
        <w:spacing w:after="0" w:line="240" w:lineRule="auto"/>
        <w:ind w:leftChars="737" w:left="1981" w:right="737"/>
        <w:jc w:val="both"/>
        <w:rPr>
          <w:rFonts w:ascii="Verdana" w:eastAsia="Times New Roman" w:hAnsi="Verdana" w:cs="Calibri"/>
          <w:color w:val="000000"/>
          <w:sz w:val="20"/>
          <w:szCs w:val="20"/>
          <w:lang w:eastAsia="es-CO"/>
        </w:rPr>
      </w:pPr>
      <w:r w:rsidRPr="00B54967">
        <w:rPr>
          <w:rFonts w:ascii="Verdana" w:eastAsia="Times New Roman" w:hAnsi="Verdana" w:cs="Calibri"/>
          <w:color w:val="000000"/>
          <w:sz w:val="20"/>
          <w:szCs w:val="20"/>
          <w:lang w:eastAsia="es-CO"/>
        </w:rPr>
        <w:t>Los criterios que deben tener en cuenta las entidades estatales para garantizar el cumplimiento de los principios de la contratación estatal en este tipo de procesos durante dicho periodo.</w:t>
      </w:r>
    </w:p>
    <w:p w14:paraId="0C8AD30C" w14:textId="77777777" w:rsidR="00B54967" w:rsidRPr="00B54967" w:rsidRDefault="00B54967" w:rsidP="00B54967">
      <w:pPr>
        <w:spacing w:after="0" w:line="240" w:lineRule="auto"/>
        <w:ind w:leftChars="737" w:left="1621" w:right="737"/>
        <w:jc w:val="both"/>
        <w:rPr>
          <w:rFonts w:ascii="Verdana" w:eastAsia="Times New Roman" w:hAnsi="Verdana" w:cs="Calibri"/>
          <w:color w:val="000000"/>
          <w:sz w:val="20"/>
          <w:szCs w:val="20"/>
          <w:lang w:eastAsia="es-CO"/>
        </w:rPr>
      </w:pPr>
    </w:p>
    <w:p w14:paraId="44CF3320" w14:textId="77777777" w:rsidR="00B54967" w:rsidRPr="00B54967" w:rsidRDefault="00B54967" w:rsidP="00B54967">
      <w:pPr>
        <w:spacing w:after="0" w:line="240" w:lineRule="auto"/>
        <w:ind w:leftChars="737" w:left="1621" w:right="737"/>
        <w:jc w:val="both"/>
        <w:rPr>
          <w:rFonts w:ascii="Verdana" w:eastAsia="Times New Roman" w:hAnsi="Verdana" w:cs="Calibri"/>
          <w:color w:val="000000"/>
          <w:sz w:val="20"/>
          <w:szCs w:val="20"/>
          <w:lang w:eastAsia="es-CO"/>
        </w:rPr>
      </w:pPr>
      <w:r w:rsidRPr="00B54967">
        <w:rPr>
          <w:rFonts w:ascii="Verdana" w:eastAsia="Times New Roman" w:hAnsi="Verdana" w:cs="Calibri"/>
          <w:color w:val="000000"/>
          <w:sz w:val="20"/>
          <w:szCs w:val="20"/>
          <w:lang w:eastAsia="es-CO"/>
        </w:rPr>
        <w:t>Lo anterior, considerando los recientes pronunciamientos jurisprudenciales relacionados con el alcance de las restricciones de la Ley de Garantías y la necesidad de asegurar la adecuada prestación de los servicios a cargo de las entidades públicas.”</w:t>
      </w:r>
    </w:p>
    <w:p w14:paraId="5BE91C34" w14:textId="77777777" w:rsidR="00B54967" w:rsidRPr="00B54967" w:rsidRDefault="00B54967" w:rsidP="00B54967">
      <w:pPr>
        <w:tabs>
          <w:tab w:val="left" w:pos="2057"/>
        </w:tabs>
        <w:spacing w:after="120" w:line="276" w:lineRule="auto"/>
        <w:jc w:val="both"/>
        <w:rPr>
          <w:rFonts w:ascii="Verdana" w:eastAsia="Calibri" w:hAnsi="Verdana" w:cs="Arial"/>
          <w:color w:val="000000"/>
          <w:lang w:eastAsia="es-ES"/>
        </w:rPr>
      </w:pPr>
    </w:p>
    <w:p w14:paraId="18EBDEF8" w14:textId="77777777" w:rsidR="00B54967" w:rsidRPr="00B54967" w:rsidRDefault="00B54967" w:rsidP="00B54967">
      <w:pPr>
        <w:spacing w:after="120" w:line="276" w:lineRule="auto"/>
        <w:ind w:firstLine="709"/>
        <w:jc w:val="both"/>
        <w:rPr>
          <w:rFonts w:ascii="Verdana" w:eastAsia="Calibri" w:hAnsi="Verdana" w:cs="Arial"/>
          <w:color w:val="000000"/>
          <w:szCs w:val="24"/>
          <w:lang w:eastAsia="es-ES_tradnl"/>
        </w:rPr>
      </w:pPr>
      <w:r w:rsidRPr="00B54967">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sidRPr="00B54967">
        <w:rPr>
          <w:rFonts w:ascii="Verdana" w:eastAsia="Calibri" w:hAnsi="Verdana" w:cs="Arial"/>
          <w:color w:val="000000"/>
          <w:lang w:eastAsia="es-ES"/>
        </w:rPr>
        <w:lastRenderedPageBreak/>
        <w:t xml:space="preserve">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BD58F09" w14:textId="77777777" w:rsidR="00B54967" w:rsidRDefault="00B54967" w:rsidP="00B54967">
      <w:pPr>
        <w:spacing w:after="120" w:line="276" w:lineRule="auto"/>
        <w:ind w:firstLine="709"/>
        <w:jc w:val="both"/>
        <w:rPr>
          <w:rFonts w:ascii="Verdana" w:eastAsia="Calibri" w:hAnsi="Verdana" w:cs="Arial"/>
          <w:lang w:eastAsia="es-ES"/>
        </w:rPr>
      </w:pPr>
      <w:r w:rsidRPr="00B54967">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al problema jurídico de su consulta.</w:t>
      </w:r>
      <w:r w:rsidRPr="00B54967">
        <w:rPr>
          <w:rFonts w:ascii="Verdana" w:eastAsia="Calibri" w:hAnsi="Verdana" w:cs="Arial"/>
          <w:lang w:eastAsia="es-ES"/>
        </w:rPr>
        <w:t xml:space="preserve">  </w:t>
      </w:r>
    </w:p>
    <w:p w14:paraId="785928FF" w14:textId="77777777" w:rsidR="0044248D" w:rsidRPr="00B54967" w:rsidRDefault="0044248D" w:rsidP="00B54967">
      <w:pPr>
        <w:spacing w:after="120" w:line="276" w:lineRule="auto"/>
        <w:ind w:firstLine="709"/>
        <w:jc w:val="both"/>
        <w:rPr>
          <w:rFonts w:ascii="Verdana" w:eastAsia="Calibri" w:hAnsi="Verdana" w:cs="Arial"/>
          <w:lang w:eastAsia="es-ES"/>
        </w:rPr>
      </w:pPr>
    </w:p>
    <w:p w14:paraId="3ADD15ED" w14:textId="77777777" w:rsidR="00B54967" w:rsidRPr="00B54967" w:rsidRDefault="00B54967" w:rsidP="00B54967">
      <w:pPr>
        <w:spacing w:after="120" w:line="276" w:lineRule="auto"/>
        <w:jc w:val="both"/>
        <w:rPr>
          <w:rFonts w:ascii="Verdana" w:eastAsia="Calibri" w:hAnsi="Verdana" w:cs="Arial"/>
          <w:lang w:eastAsia="es-ES"/>
        </w:rPr>
      </w:pPr>
      <w:r w:rsidRPr="00B54967">
        <w:rPr>
          <w:rFonts w:ascii="Verdana" w:eastAsia="Century Gothic" w:hAnsi="Verdana" w:cs="Century Gothic"/>
          <w:b/>
          <w:bCs/>
        </w:rPr>
        <w:t>1. Problema planteado:</w:t>
      </w:r>
    </w:p>
    <w:p w14:paraId="4E9EEDC7" w14:textId="77777777" w:rsidR="00B54967" w:rsidRPr="00B54967" w:rsidRDefault="00B54967" w:rsidP="00B54967">
      <w:pPr>
        <w:spacing w:after="120" w:line="276" w:lineRule="auto"/>
        <w:jc w:val="both"/>
        <w:rPr>
          <w:rFonts w:ascii="Verdana" w:hAnsi="Verdana" w:cs="Arial"/>
        </w:rPr>
      </w:pPr>
      <w:r w:rsidRPr="00B54967">
        <w:rPr>
          <w:rFonts w:ascii="Verdana" w:eastAsia="Calibri" w:hAnsi="Verdana" w:cs="Arial"/>
          <w:color w:val="000000"/>
          <w:lang w:eastAsia="es-ES"/>
        </w:rPr>
        <w:t>De acuerdo con el contenido de su solicitud, esta Agencia resolverá el siguiente problema jurídico: ¿Es jurídicamente procedente la celebración de contratos y convenios interadministrativos durante la vigencia de las restricciones previstas en el artículo 38 de la Ley 996 de 2005, y qué criterios deben aplicar las entidades estatales para diferenciar estas figuras y garantizar el cumplimiento de los principios de la contratación estatal?</w:t>
      </w:r>
    </w:p>
    <w:p w14:paraId="4214CC7A" w14:textId="77777777" w:rsidR="00B54967" w:rsidRPr="00B54967" w:rsidRDefault="00B54967" w:rsidP="00B54967">
      <w:pPr>
        <w:spacing w:after="0" w:line="276" w:lineRule="auto"/>
        <w:jc w:val="both"/>
        <w:rPr>
          <w:rFonts w:ascii="Verdana" w:hAnsi="Verdana" w:cs="Arial"/>
        </w:rPr>
      </w:pPr>
      <w:r w:rsidRPr="00B54967">
        <w:rPr>
          <w:rFonts w:ascii="Verdana" w:eastAsia="Century Gothic" w:hAnsi="Verdana" w:cs="Century Gothic"/>
          <w:b/>
          <w:bCs/>
        </w:rPr>
        <w:t>2. Respuesta:</w:t>
      </w:r>
    </w:p>
    <w:p w14:paraId="32F52E5A" w14:textId="77777777" w:rsidR="00B54967" w:rsidRPr="00B54967" w:rsidRDefault="00B54967" w:rsidP="00B54967">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B54967" w:rsidRPr="00B54967" w14:paraId="2BEB0618" w14:textId="77777777" w:rsidTr="003F0972">
        <w:tc>
          <w:tcPr>
            <w:tcW w:w="8828" w:type="dxa"/>
          </w:tcPr>
          <w:p w14:paraId="02FFF7DC" w14:textId="77777777" w:rsidR="00B54967" w:rsidRDefault="00B54967" w:rsidP="00B54967">
            <w:pPr>
              <w:spacing w:after="120" w:line="276" w:lineRule="auto"/>
              <w:ind w:left="720"/>
              <w:contextualSpacing/>
              <w:jc w:val="both"/>
              <w:rPr>
                <w:rFonts w:ascii="Verdana" w:eastAsia="Calibri" w:hAnsi="Verdana" w:cs="Arial"/>
                <w:lang w:val="es-ES" w:eastAsia="es-ES"/>
              </w:rPr>
            </w:pPr>
            <w:r w:rsidRPr="00B54967">
              <w:rPr>
                <w:rFonts w:ascii="Verdana" w:eastAsia="Calibri" w:hAnsi="Verdana" w:cs="Arial"/>
                <w:lang w:val="es-ES" w:eastAsia="es-ES"/>
              </w:rPr>
              <w:t xml:space="preserve">Las restricciones contenidas en el artículo 33 de la Ley 996 de 2005 aplica para “la contratación directa” de todos los entes del Estado, </w:t>
            </w:r>
            <w:r w:rsidRPr="00B54967">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B54967">
              <w:rPr>
                <w:rFonts w:ascii="Verdana" w:eastAsia="Calibri" w:hAnsi="Verdana" w:cs="Arial"/>
                <w:lang w:val="es-ES" w:eastAsia="es-ES"/>
              </w:rPr>
              <w:t xml:space="preserve">Se trata de la prohibición de </w:t>
            </w:r>
            <w:r w:rsidRPr="00B54967">
              <w:rPr>
                <w:rFonts w:ascii="Verdana" w:hAnsi="Verdana" w:cs="Arial"/>
                <w:bCs/>
                <w:lang w:val="es-ES" w:eastAsia="x-none"/>
              </w:rPr>
              <w:t>aquellos contratos en los que no exista un proceso abierto y competitivo.</w:t>
            </w:r>
            <w:r w:rsidRPr="00B54967">
              <w:rPr>
                <w:rFonts w:ascii="Verdana" w:hAnsi="Verdana" w:cs="Arial"/>
                <w:lang w:val="es-ES" w:eastAsia="x-none"/>
              </w:rPr>
              <w:t xml:space="preserve"> Por lo tanto, no son materia de la prohibición las demás modalidades de selección previstas en la Ley 1150 de 2007, esto es, la licitación pública, el concurso de méritos, la selección abreviada y la contratación de mínima cuantía o los procesos competitivos establecidos en los manuales de contratación de las entidades con regímenes exceptuados. Adicionalmente, la celebración de la contratación directa </w:t>
            </w:r>
            <w:r w:rsidRPr="00B54967">
              <w:rPr>
                <w:rFonts w:ascii="Verdana" w:eastAsia="Calibri" w:hAnsi="Verdana" w:cs="Arial"/>
                <w:lang w:val="es-ES" w:eastAsia="es-ES"/>
              </w:rPr>
              <w:t xml:space="preserve">no se encuentra condicionada por la ejecución de recursos en el marco de los respectivos contratos o el origen de estos, </w:t>
            </w:r>
            <w:r w:rsidRPr="00B54967">
              <w:rPr>
                <w:rFonts w:ascii="Verdana" w:eastAsia="Calibri" w:hAnsi="Verdana" w:cs="Arial"/>
                <w:lang w:val="es-ES" w:eastAsia="es-ES"/>
              </w:rPr>
              <w:lastRenderedPageBreak/>
              <w:t xml:space="preserve">de manera que aplica las restricciones independientemente de que el contrato implique o no la ejecución de recursos o si los recursos destinados son de naturaleza pública o privada. </w:t>
            </w:r>
          </w:p>
          <w:p w14:paraId="4E571947" w14:textId="77777777" w:rsidR="003A17D7" w:rsidRPr="00B54967" w:rsidRDefault="003A17D7" w:rsidP="00B54967">
            <w:pPr>
              <w:spacing w:after="120" w:line="276" w:lineRule="auto"/>
              <w:ind w:left="720"/>
              <w:contextualSpacing/>
              <w:jc w:val="both"/>
              <w:rPr>
                <w:rFonts w:ascii="Verdana" w:eastAsia="Calibri" w:hAnsi="Verdana" w:cs="Arial"/>
                <w:lang w:val="es-ES" w:eastAsia="es-ES"/>
              </w:rPr>
            </w:pPr>
          </w:p>
          <w:p w14:paraId="30D45923" w14:textId="77777777" w:rsidR="00B54967" w:rsidRPr="00B54967" w:rsidRDefault="00B54967" w:rsidP="00B54967">
            <w:pPr>
              <w:spacing w:after="120" w:line="276" w:lineRule="auto"/>
              <w:ind w:left="720" w:firstLine="709"/>
              <w:contextualSpacing/>
              <w:jc w:val="both"/>
              <w:rPr>
                <w:rFonts w:ascii="Verdana" w:eastAsia="Calibri" w:hAnsi="Verdana" w:cs="Arial"/>
                <w:lang w:val="es-ES" w:eastAsia="es-ES"/>
              </w:rPr>
            </w:pPr>
            <w:r w:rsidRPr="00B54967">
              <w:rPr>
                <w:rFonts w:ascii="Verdana" w:eastAsia="Calibri" w:hAnsi="Verdana" w:cs="Arial"/>
                <w:lang w:val="es-ES" w:eastAsia="es-ES"/>
              </w:rPr>
              <w:t xml:space="preserve">La entidad definirá si la contratación que pretende celebrar se enmarca en alguna de las excepciones definidas en el artículo 33 de la Ley 996 de 2005, esto es, que se pretenda cubrir emergencias educativas, de tal manera que las excepciones contempladas no permiten efectuar una interpretación extensiva para incluir otros supuestos. </w:t>
            </w:r>
          </w:p>
          <w:p w14:paraId="5D6C5F9E" w14:textId="77777777" w:rsidR="00B54967" w:rsidRDefault="00B54967" w:rsidP="00B54967">
            <w:pPr>
              <w:spacing w:after="120" w:line="276" w:lineRule="auto"/>
              <w:ind w:left="720" w:firstLine="709"/>
              <w:contextualSpacing/>
              <w:jc w:val="both"/>
              <w:rPr>
                <w:rFonts w:ascii="Verdana" w:eastAsia="Calibri" w:hAnsi="Verdana" w:cs="Arial"/>
                <w:lang w:val="es-ES" w:eastAsia="es-ES"/>
              </w:rPr>
            </w:pPr>
            <w:r w:rsidRPr="00B54967">
              <w:rPr>
                <w:rFonts w:ascii="Verdana" w:eastAsia="Calibri" w:hAnsi="Verdana" w:cs="Arial"/>
                <w:lang w:val="es-ES" w:eastAsia="es-ES"/>
              </w:rPr>
              <w:t xml:space="preserve">La restricción contenida en el parágrafo del artículo 38 de la Ley 996 de 2005 se refiere a la celebración de convenios interadministrativos para la ejecución de recursos públicos, independientemente de que se configuren los supuestos de excepción que señala en artículo 33 de la misma ley.  </w:t>
            </w:r>
          </w:p>
          <w:p w14:paraId="3EA62986" w14:textId="77777777" w:rsidR="003A17D7" w:rsidRPr="00B54967" w:rsidRDefault="003A17D7" w:rsidP="00B54967">
            <w:pPr>
              <w:spacing w:after="120" w:line="276" w:lineRule="auto"/>
              <w:ind w:left="720" w:firstLine="709"/>
              <w:contextualSpacing/>
              <w:jc w:val="both"/>
              <w:rPr>
                <w:rFonts w:ascii="Verdana" w:eastAsia="Calibri" w:hAnsi="Verdana" w:cs="Arial"/>
                <w:lang w:val="es-ES" w:eastAsia="es-ES"/>
              </w:rPr>
            </w:pPr>
          </w:p>
          <w:p w14:paraId="219D2151" w14:textId="77777777" w:rsidR="00B54967" w:rsidRDefault="00B54967" w:rsidP="00B54967">
            <w:pPr>
              <w:spacing w:after="120" w:line="276" w:lineRule="auto"/>
              <w:ind w:left="720" w:firstLine="709"/>
              <w:contextualSpacing/>
              <w:jc w:val="both"/>
              <w:rPr>
                <w:rFonts w:ascii="Verdana" w:eastAsia="Calibri" w:hAnsi="Verdana" w:cs="Arial"/>
                <w:lang w:val="es-ES" w:eastAsia="es-ES"/>
              </w:rPr>
            </w:pPr>
            <w:r w:rsidRPr="00B54967">
              <w:rPr>
                <w:rFonts w:ascii="Verdana" w:eastAsia="Calibri" w:hAnsi="Verdana" w:cs="Arial"/>
                <w:lang w:val="es-ES" w:eastAsia="es-ES"/>
              </w:rPr>
              <w:t xml:space="preserve">La posición definida en las decisiones adoptadas por la Sección Tercera del Consejo de Estado se enmarcó en la imposibilidad de extender la aplicación de la restricción a los contratos interadministrativos que, en vigencia de la prohibición del parágrafo del artículo 38 de la Ley de Garantías Electorales se trata, esto es, en las elecciones distintas a las presidenciales. Específicamente, en la sentencia del 17 de octubre de 2025, el alto tribunal declaró la nulidad parcial del numeral 16.2 de la Circular Externa Única de 2022, por lo tanto, cuando dos entidades públicas celebran un contrato interadministrativo, independientemente del objeto, dicho contrato puede suscribirse durante el periodo preelectoral. </w:t>
            </w:r>
          </w:p>
          <w:p w14:paraId="3FD28A2A" w14:textId="77777777" w:rsidR="0044248D" w:rsidRPr="00B54967" w:rsidRDefault="0044248D" w:rsidP="003A17D7">
            <w:pPr>
              <w:spacing w:after="120" w:line="276" w:lineRule="auto"/>
              <w:contextualSpacing/>
              <w:jc w:val="both"/>
              <w:rPr>
                <w:rFonts w:ascii="Verdana" w:eastAsia="Calibri" w:hAnsi="Verdana" w:cs="Arial"/>
                <w:lang w:val="es-ES" w:eastAsia="es-ES"/>
              </w:rPr>
            </w:pPr>
          </w:p>
          <w:p w14:paraId="2413F000" w14:textId="77777777" w:rsidR="00B54967" w:rsidRPr="00B54967" w:rsidRDefault="00B54967" w:rsidP="00B54967">
            <w:pPr>
              <w:spacing w:after="120" w:line="276" w:lineRule="auto"/>
              <w:ind w:left="720"/>
              <w:contextualSpacing/>
              <w:jc w:val="both"/>
              <w:rPr>
                <w:rFonts w:ascii="Verdana" w:eastAsia="Calibri" w:hAnsi="Verdana" w:cs="Arial"/>
                <w:lang w:val="es-ES" w:eastAsia="es-ES"/>
              </w:rPr>
            </w:pPr>
            <w:r w:rsidRPr="00B54967">
              <w:rPr>
                <w:rFonts w:ascii="Verdana" w:hAnsi="Verdana" w:cs="Arial"/>
                <w:bCs/>
                <w:color w:val="000000" w:themeColor="text1"/>
                <w:lang w:val="es-MX" w:eastAsia="x-none"/>
              </w:rPr>
              <w:t>Al suscribir cualquier tipo de contrato o convenio bajo la modalidad de contratación directa en el periodo de la restricción definida en el artículo 33 de la Ley 996 de 2005, los servidores públicos pueden estar incursos en investigaciones de tipo penal, responsabilidad disciplinaria y responsabilidad fiscal.</w:t>
            </w:r>
          </w:p>
        </w:tc>
      </w:tr>
    </w:tbl>
    <w:p w14:paraId="7255953E" w14:textId="77777777" w:rsidR="00B54967" w:rsidRDefault="00B54967" w:rsidP="00B54967">
      <w:pPr>
        <w:tabs>
          <w:tab w:val="left" w:pos="142"/>
          <w:tab w:val="left" w:pos="284"/>
        </w:tabs>
        <w:spacing w:after="0" w:line="276" w:lineRule="auto"/>
        <w:jc w:val="both"/>
        <w:rPr>
          <w:rFonts w:ascii="Verdana" w:eastAsia="Century Gothic" w:hAnsi="Verdana" w:cs="Century Gothic"/>
          <w:b/>
          <w:bCs/>
        </w:rPr>
      </w:pPr>
    </w:p>
    <w:p w14:paraId="382CA211" w14:textId="77777777" w:rsidR="003A17D7" w:rsidRDefault="003A17D7" w:rsidP="00B54967">
      <w:pPr>
        <w:tabs>
          <w:tab w:val="left" w:pos="142"/>
          <w:tab w:val="left" w:pos="284"/>
        </w:tabs>
        <w:spacing w:after="0" w:line="276" w:lineRule="auto"/>
        <w:jc w:val="both"/>
        <w:rPr>
          <w:rFonts w:ascii="Verdana" w:eastAsia="Century Gothic" w:hAnsi="Verdana" w:cs="Century Gothic"/>
          <w:b/>
          <w:bCs/>
        </w:rPr>
      </w:pPr>
    </w:p>
    <w:p w14:paraId="2501700B" w14:textId="77777777" w:rsidR="003A17D7" w:rsidRDefault="003A17D7" w:rsidP="00B54967">
      <w:pPr>
        <w:tabs>
          <w:tab w:val="left" w:pos="142"/>
          <w:tab w:val="left" w:pos="284"/>
        </w:tabs>
        <w:spacing w:after="0" w:line="276" w:lineRule="auto"/>
        <w:jc w:val="both"/>
        <w:rPr>
          <w:rFonts w:ascii="Verdana" w:eastAsia="Century Gothic" w:hAnsi="Verdana" w:cs="Century Gothic"/>
          <w:b/>
          <w:bCs/>
        </w:rPr>
      </w:pPr>
    </w:p>
    <w:p w14:paraId="3EC3B3F9" w14:textId="77777777" w:rsidR="003A17D7" w:rsidRPr="00B54967" w:rsidRDefault="003A17D7" w:rsidP="00B54967">
      <w:pPr>
        <w:tabs>
          <w:tab w:val="left" w:pos="142"/>
          <w:tab w:val="left" w:pos="284"/>
        </w:tabs>
        <w:spacing w:after="0" w:line="276" w:lineRule="auto"/>
        <w:jc w:val="both"/>
        <w:rPr>
          <w:rFonts w:ascii="Verdana" w:eastAsia="Century Gothic" w:hAnsi="Verdana" w:cs="Century Gothic"/>
          <w:b/>
          <w:bCs/>
        </w:rPr>
      </w:pPr>
    </w:p>
    <w:p w14:paraId="69887AB0" w14:textId="3473B840" w:rsidR="003A17D7" w:rsidRDefault="00B54967" w:rsidP="003A17D7">
      <w:pPr>
        <w:tabs>
          <w:tab w:val="left" w:pos="142"/>
          <w:tab w:val="left" w:pos="284"/>
        </w:tabs>
        <w:spacing w:after="0" w:line="276" w:lineRule="auto"/>
        <w:jc w:val="both"/>
        <w:rPr>
          <w:rFonts w:ascii="Verdana" w:eastAsia="Century Gothic" w:hAnsi="Verdana" w:cs="Century Gothic"/>
          <w:b/>
          <w:bCs/>
        </w:rPr>
      </w:pPr>
      <w:r w:rsidRPr="00B54967">
        <w:rPr>
          <w:rFonts w:ascii="Verdana" w:eastAsia="Century Gothic" w:hAnsi="Verdana" w:cs="Century Gothic"/>
          <w:b/>
          <w:bCs/>
        </w:rPr>
        <w:lastRenderedPageBreak/>
        <w:t>3. Razones de la respuesta:</w:t>
      </w:r>
    </w:p>
    <w:p w14:paraId="12A4D733" w14:textId="77777777" w:rsidR="003A17D7" w:rsidRPr="003A17D7" w:rsidRDefault="003A17D7" w:rsidP="003A17D7">
      <w:pPr>
        <w:tabs>
          <w:tab w:val="left" w:pos="142"/>
          <w:tab w:val="left" w:pos="284"/>
        </w:tabs>
        <w:spacing w:after="0" w:line="276" w:lineRule="auto"/>
        <w:jc w:val="both"/>
        <w:rPr>
          <w:rFonts w:ascii="Verdana" w:eastAsia="Century Gothic" w:hAnsi="Verdana" w:cs="Century Gothic"/>
          <w:b/>
          <w:bCs/>
        </w:rPr>
      </w:pPr>
    </w:p>
    <w:p w14:paraId="0F25A7A6" w14:textId="77777777" w:rsidR="00B54967" w:rsidRPr="00B54967" w:rsidRDefault="00B54967" w:rsidP="00B54967">
      <w:pPr>
        <w:tabs>
          <w:tab w:val="left" w:pos="142"/>
          <w:tab w:val="left" w:pos="284"/>
          <w:tab w:val="left" w:pos="6975"/>
        </w:tabs>
        <w:spacing w:after="0" w:line="276" w:lineRule="auto"/>
        <w:jc w:val="both"/>
        <w:rPr>
          <w:rFonts w:ascii="Verdana" w:eastAsia="Calibri" w:hAnsi="Verdana" w:cs="Arial"/>
        </w:rPr>
      </w:pPr>
      <w:r w:rsidRPr="00B54967">
        <w:rPr>
          <w:rFonts w:ascii="Verdana" w:eastAsia="Calibri" w:hAnsi="Verdana" w:cs="Arial"/>
        </w:rPr>
        <w:t>Lo anterior se sustenta en las siguientes consideraciones:</w:t>
      </w:r>
    </w:p>
    <w:p w14:paraId="329D4D9E" w14:textId="77777777" w:rsidR="00B54967" w:rsidRPr="00B54967" w:rsidRDefault="00B54967" w:rsidP="00B54967">
      <w:pPr>
        <w:tabs>
          <w:tab w:val="left" w:pos="142"/>
          <w:tab w:val="left" w:pos="284"/>
          <w:tab w:val="left" w:pos="6975"/>
        </w:tabs>
        <w:spacing w:after="0" w:line="240" w:lineRule="auto"/>
        <w:jc w:val="both"/>
        <w:rPr>
          <w:rFonts w:ascii="Verdana" w:eastAsia="Calibri" w:hAnsi="Verdana" w:cs="Arial"/>
        </w:rPr>
      </w:pPr>
    </w:p>
    <w:p w14:paraId="57B776B8" w14:textId="77777777" w:rsidR="00B54967" w:rsidRPr="00B54967" w:rsidRDefault="00B54967" w:rsidP="00B54967">
      <w:pPr>
        <w:tabs>
          <w:tab w:val="left" w:pos="7851"/>
        </w:tabs>
        <w:spacing w:after="120" w:line="276" w:lineRule="auto"/>
        <w:jc w:val="both"/>
        <w:rPr>
          <w:rFonts w:ascii="Arial" w:hAnsi="Arial" w:cs="Arial"/>
          <w:b/>
        </w:rPr>
      </w:pPr>
      <w:r w:rsidRPr="00B54967">
        <w:rPr>
          <w:rFonts w:ascii="Verdana" w:eastAsiaTheme="minorEastAsia" w:hAnsi="Verdana" w:cs="Arial"/>
          <w:lang w:eastAsia="es-CO"/>
        </w:rPr>
        <w:t>i) El convenio o contrato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w:t>
      </w:r>
      <w:r w:rsidRPr="00B54967">
        <w:rPr>
          <w:rFonts w:ascii="Verdana" w:eastAsiaTheme="minorEastAsia" w:hAnsi="Verdana" w:cs="Arial"/>
          <w:spacing w:val="-6"/>
          <w:lang w:eastAsia="es-CO"/>
        </w:rPr>
        <w:t xml:space="preserve"> </w:t>
      </w:r>
      <w:r w:rsidRPr="00B54967">
        <w:rPr>
          <w:rFonts w:ascii="Verdana" w:eastAsiaTheme="minorEastAsia" w:hAnsi="Verdana" w:cs="Arial"/>
          <w:lang w:eastAsia="es-CO"/>
        </w:rPr>
        <w:t>Estatales.</w:t>
      </w:r>
    </w:p>
    <w:p w14:paraId="34526642" w14:textId="77777777" w:rsidR="00B54967" w:rsidRPr="00B54967" w:rsidRDefault="00B54967" w:rsidP="00B54967">
      <w:pPr>
        <w:spacing w:after="120" w:line="276" w:lineRule="auto"/>
        <w:ind w:firstLine="709"/>
        <w:jc w:val="both"/>
        <w:rPr>
          <w:rFonts w:ascii="Verdana" w:eastAsiaTheme="minorEastAsia" w:hAnsi="Verdana" w:cs="Arial"/>
          <w:lang w:eastAsia="es-CO"/>
        </w:rPr>
      </w:pPr>
      <w:r w:rsidRPr="00B54967">
        <w:rPr>
          <w:rFonts w:ascii="Verdana" w:eastAsiaTheme="minorEastAsia" w:hAnsi="Verdana" w:cs="Arial"/>
          <w:lang w:eastAsia="es-CO"/>
        </w:rPr>
        <w:t>Ahora bien, aun cuando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5829BDA7" w14:textId="77777777" w:rsidR="00B54967" w:rsidRPr="00B54967" w:rsidRDefault="00B54967" w:rsidP="00B54967">
      <w:pPr>
        <w:spacing w:after="120" w:line="276" w:lineRule="auto"/>
        <w:ind w:firstLine="709"/>
        <w:jc w:val="both"/>
        <w:rPr>
          <w:rFonts w:ascii="Verdana" w:eastAsiaTheme="minorEastAsia" w:hAnsi="Verdana" w:cs="Arial"/>
          <w:lang w:eastAsia="es-CO"/>
        </w:rPr>
      </w:pPr>
      <w:r w:rsidRPr="00B54967">
        <w:rPr>
          <w:rFonts w:ascii="Verdana" w:eastAsiaTheme="minorEastAsia" w:hAnsi="Verdana" w:cs="Arial"/>
          <w:lang w:eastAsia="es-CO"/>
        </w:rPr>
        <w:t>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B54967">
        <w:rPr>
          <w:rFonts w:ascii="Verdana" w:eastAsiaTheme="minorEastAsia" w:hAnsi="Verdana" w:cs="Arial"/>
          <w:vertAlign w:val="superscript"/>
          <w:lang w:eastAsia="es-CO"/>
        </w:rPr>
        <w:footnoteReference w:id="1"/>
      </w:r>
      <w:r w:rsidRPr="00B54967">
        <w:rPr>
          <w:rFonts w:ascii="Verdana" w:eastAsiaTheme="minorEastAsia" w:hAnsi="Verdana" w:cs="Arial"/>
          <w:lang w:eastAsia="es-CO"/>
        </w:rPr>
        <w:t>. Nótese que, en este caso, lo que cambia es la modalidad de selección y no la naturaleza de contrato</w:t>
      </w:r>
      <w:r w:rsidRPr="00B54967">
        <w:rPr>
          <w:rFonts w:ascii="Verdana" w:eastAsiaTheme="minorEastAsia" w:hAnsi="Verdana" w:cs="Arial"/>
          <w:spacing w:val="-18"/>
          <w:lang w:eastAsia="es-CO"/>
        </w:rPr>
        <w:t xml:space="preserve"> </w:t>
      </w:r>
      <w:r w:rsidRPr="00B54967">
        <w:rPr>
          <w:rFonts w:ascii="Verdana" w:eastAsiaTheme="minorEastAsia" w:hAnsi="Verdana" w:cs="Arial"/>
          <w:lang w:eastAsia="es-CO"/>
        </w:rPr>
        <w:t>interadministrativo.</w:t>
      </w:r>
    </w:p>
    <w:p w14:paraId="545D9B0A" w14:textId="77777777" w:rsidR="00B54967" w:rsidRPr="00B54967" w:rsidRDefault="00B54967" w:rsidP="00B54967">
      <w:pPr>
        <w:spacing w:after="120" w:line="276" w:lineRule="auto"/>
        <w:ind w:firstLine="709"/>
        <w:jc w:val="both"/>
        <w:rPr>
          <w:rFonts w:ascii="Verdana" w:eastAsiaTheme="minorEastAsia" w:hAnsi="Verdana" w:cs="Arial"/>
          <w:lang w:eastAsia="es-CO"/>
        </w:rPr>
      </w:pPr>
      <w:r w:rsidRPr="00B54967">
        <w:rPr>
          <w:rFonts w:ascii="Verdana" w:eastAsiaTheme="minorEastAsia" w:hAnsi="Verdana" w:cs="Arial"/>
          <w:lang w:eastAsia="es-CO"/>
        </w:rPr>
        <w:t xml:space="preserve">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w:t>
      </w:r>
      <w:r w:rsidRPr="00B54967">
        <w:rPr>
          <w:rFonts w:ascii="Verdana" w:eastAsiaTheme="minorEastAsia" w:hAnsi="Verdana" w:cs="Arial"/>
          <w:lang w:eastAsia="es-CO"/>
        </w:rPr>
        <w:lastRenderedPageBreak/>
        <w:t>pública”</w:t>
      </w:r>
      <w:r w:rsidRPr="00B54967">
        <w:rPr>
          <w:rFonts w:ascii="Verdana" w:eastAsiaTheme="minorEastAsia" w:hAnsi="Verdana" w:cs="Arial"/>
          <w:vertAlign w:val="superscript"/>
          <w:lang w:eastAsia="es-CO"/>
        </w:rPr>
        <w:footnoteReference w:id="2"/>
      </w:r>
      <w:r w:rsidRPr="00B54967">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w:t>
      </w:r>
    </w:p>
    <w:p w14:paraId="2611B3A3" w14:textId="77777777" w:rsidR="00B54967" w:rsidRPr="00B54967" w:rsidRDefault="00B54967" w:rsidP="00B54967">
      <w:pPr>
        <w:spacing w:after="120" w:line="276" w:lineRule="auto"/>
        <w:ind w:firstLine="709"/>
        <w:jc w:val="both"/>
        <w:rPr>
          <w:rFonts w:ascii="Verdana" w:eastAsiaTheme="minorEastAsia" w:hAnsi="Verdana" w:cs="Arial"/>
          <w:lang w:eastAsia="es-CO"/>
        </w:rPr>
      </w:pPr>
      <w:r w:rsidRPr="00B54967">
        <w:rPr>
          <w:rFonts w:ascii="Verdana" w:eastAsiaTheme="minorEastAsia" w:hAnsi="Verdana" w:cs="Arial"/>
          <w:lang w:eastAsia="es-CO"/>
        </w:rPr>
        <w:t xml:space="preserve">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1025485D" w14:textId="77777777" w:rsidR="00B54967" w:rsidRPr="00B54967" w:rsidRDefault="00B54967" w:rsidP="00B54967">
      <w:pPr>
        <w:spacing w:after="0" w:line="240" w:lineRule="auto"/>
        <w:ind w:left="709" w:right="709"/>
        <w:jc w:val="both"/>
        <w:rPr>
          <w:rFonts w:ascii="Verdana" w:eastAsiaTheme="minorEastAsia" w:hAnsi="Verdana" w:cs="Arial"/>
          <w:sz w:val="20"/>
          <w:szCs w:val="20"/>
          <w:lang w:eastAsia="es-CO"/>
        </w:rPr>
      </w:pPr>
      <w:r w:rsidRPr="00B54967">
        <w:rPr>
          <w:rFonts w:ascii="Verdana" w:eastAsiaTheme="minorEastAsia" w:hAnsi="Verdana" w:cs="Arial"/>
          <w:sz w:val="20"/>
          <w:szCs w:val="20"/>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0155CA97" w14:textId="77777777" w:rsidR="00B54967" w:rsidRPr="00B54967" w:rsidRDefault="00B54967" w:rsidP="00B54967">
      <w:pPr>
        <w:numPr>
          <w:ilvl w:val="0"/>
          <w:numId w:val="17"/>
        </w:numPr>
        <w:spacing w:after="0" w:line="240" w:lineRule="auto"/>
        <w:ind w:left="709" w:right="709"/>
        <w:contextualSpacing/>
        <w:jc w:val="both"/>
        <w:rPr>
          <w:rFonts w:ascii="Verdana" w:eastAsiaTheme="minorEastAsia" w:hAnsi="Verdana" w:cs="Arial"/>
          <w:sz w:val="20"/>
          <w:szCs w:val="20"/>
          <w:lang w:val="es-ES" w:eastAsia="es-CO"/>
        </w:rPr>
      </w:pPr>
      <w:r w:rsidRPr="00B54967">
        <w:rPr>
          <w:rFonts w:ascii="Verdana" w:eastAsiaTheme="minorEastAsia" w:hAnsi="Verdana" w:cs="Arial"/>
          <w:sz w:val="20"/>
          <w:szCs w:val="20"/>
          <w:lang w:val="es-ES" w:eastAsia="es-CO"/>
        </w:rPr>
        <w:t xml:space="preserve">El objeto de los contratos lo constituyen obligaciones de contenido patrimonial y, por </w:t>
      </w:r>
      <w:r w:rsidRPr="00B54967">
        <w:rPr>
          <w:rFonts w:ascii="Verdana" w:eastAsiaTheme="minorEastAsia" w:hAnsi="Verdana" w:cs="Arial"/>
          <w:sz w:val="20"/>
          <w:szCs w:val="20"/>
          <w:lang w:eastAsia="es-CO"/>
        </w:rPr>
        <w:t>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5349BC2D" w14:textId="77777777" w:rsidR="00B54967" w:rsidRPr="00B54967" w:rsidRDefault="00B54967" w:rsidP="00B54967">
      <w:pPr>
        <w:numPr>
          <w:ilvl w:val="0"/>
          <w:numId w:val="17"/>
        </w:numPr>
        <w:spacing w:after="0" w:line="240" w:lineRule="auto"/>
        <w:ind w:left="709" w:right="709"/>
        <w:contextualSpacing/>
        <w:jc w:val="both"/>
        <w:rPr>
          <w:rFonts w:ascii="Verdana" w:eastAsiaTheme="minorEastAsia" w:hAnsi="Verdana" w:cs="Arial"/>
          <w:sz w:val="20"/>
          <w:szCs w:val="20"/>
          <w:lang w:val="es-ES" w:eastAsia="es-CO"/>
        </w:rPr>
      </w:pPr>
      <w:r w:rsidRPr="00B54967">
        <w:rPr>
          <w:rFonts w:ascii="Verdana" w:eastAsiaTheme="minorEastAsia" w:hAnsi="Verdana" w:cs="Arial"/>
          <w:sz w:val="20"/>
          <w:szCs w:val="20"/>
          <w:lang w:eastAsia="es-CO"/>
        </w:rPr>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54176F4A" w14:textId="72072CFB" w:rsidR="00B54967" w:rsidRPr="00350B9B" w:rsidRDefault="00B54967" w:rsidP="00B54967">
      <w:pPr>
        <w:numPr>
          <w:ilvl w:val="0"/>
          <w:numId w:val="17"/>
        </w:numPr>
        <w:spacing w:after="0" w:line="240" w:lineRule="auto"/>
        <w:ind w:left="709" w:right="709"/>
        <w:contextualSpacing/>
        <w:jc w:val="both"/>
        <w:rPr>
          <w:rFonts w:ascii="Verdana" w:eastAsiaTheme="minorEastAsia" w:hAnsi="Verdana" w:cs="Arial"/>
          <w:sz w:val="20"/>
          <w:szCs w:val="20"/>
          <w:lang w:val="es-ES" w:eastAsia="es-CO"/>
        </w:rPr>
      </w:pPr>
      <w:r w:rsidRPr="00B54967">
        <w:rPr>
          <w:rFonts w:ascii="Verdana" w:eastAsiaTheme="minorEastAsia" w:hAnsi="Verdana" w:cs="Arial"/>
          <w:sz w:val="20"/>
          <w:szCs w:val="20"/>
          <w:lang w:eastAsia="es-CO"/>
        </w:rPr>
        <w:t xml:space="preserve">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w:t>
      </w:r>
      <w:r w:rsidRPr="00B54967">
        <w:rPr>
          <w:rFonts w:ascii="Verdana" w:eastAsiaTheme="minorEastAsia" w:hAnsi="Verdana" w:cs="Arial"/>
          <w:sz w:val="20"/>
          <w:szCs w:val="20"/>
          <w:lang w:eastAsia="es-CO"/>
        </w:rPr>
        <w:lastRenderedPageBreak/>
        <w:t>contratista, y el segundo, aunque persona pública, tiene intereses y está en un mercado de forma similar a como lo hace un particular”</w:t>
      </w:r>
      <w:r w:rsidRPr="00B54967">
        <w:rPr>
          <w:rFonts w:ascii="Verdana" w:eastAsiaTheme="minorEastAsia" w:hAnsi="Verdana" w:cs="Arial"/>
          <w:sz w:val="20"/>
          <w:szCs w:val="20"/>
          <w:vertAlign w:val="superscript"/>
          <w:lang w:eastAsia="es-CO"/>
        </w:rPr>
        <w:footnoteReference w:id="3"/>
      </w:r>
      <w:r w:rsidRPr="00B54967">
        <w:rPr>
          <w:rFonts w:ascii="Verdana" w:eastAsiaTheme="minorEastAsia" w:hAnsi="Verdana" w:cs="Arial"/>
          <w:sz w:val="20"/>
          <w:szCs w:val="20"/>
          <w:lang w:eastAsia="es-CO"/>
        </w:rPr>
        <w:t>.</w:t>
      </w:r>
    </w:p>
    <w:p w14:paraId="22154539" w14:textId="77777777" w:rsidR="00B54967" w:rsidRPr="00B54967" w:rsidRDefault="00B54967" w:rsidP="00B54967">
      <w:pPr>
        <w:spacing w:after="0" w:line="240" w:lineRule="auto"/>
        <w:ind w:right="709"/>
        <w:contextualSpacing/>
        <w:jc w:val="both"/>
        <w:rPr>
          <w:rFonts w:ascii="Verdana" w:eastAsiaTheme="minorEastAsia" w:hAnsi="Verdana" w:cs="Arial"/>
          <w:sz w:val="20"/>
          <w:szCs w:val="20"/>
          <w:lang w:val="es-ES" w:eastAsia="es-CO"/>
        </w:rPr>
      </w:pPr>
    </w:p>
    <w:p w14:paraId="250D5F4B" w14:textId="77777777" w:rsidR="00B54967" w:rsidRPr="00B54967" w:rsidRDefault="00B54967" w:rsidP="00B54967">
      <w:pPr>
        <w:spacing w:after="120" w:line="276" w:lineRule="auto"/>
        <w:ind w:firstLine="709"/>
        <w:jc w:val="both"/>
        <w:rPr>
          <w:rFonts w:ascii="Verdana" w:eastAsiaTheme="minorEastAsia" w:hAnsi="Verdana" w:cs="Arial"/>
          <w:lang w:eastAsia="es-CO"/>
        </w:rPr>
      </w:pPr>
      <w:r w:rsidRPr="00B54967">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0D0D93F2" w14:textId="77777777" w:rsidR="00B54967" w:rsidRPr="00B54967" w:rsidRDefault="00B54967" w:rsidP="00B54967">
      <w:pPr>
        <w:spacing w:after="0" w:line="240" w:lineRule="auto"/>
        <w:ind w:left="709" w:right="709"/>
        <w:jc w:val="both"/>
        <w:rPr>
          <w:rFonts w:ascii="Verdana" w:eastAsiaTheme="minorEastAsia" w:hAnsi="Verdana" w:cs="Arial"/>
          <w:lang w:eastAsia="es-CO"/>
        </w:rPr>
      </w:pPr>
      <w:r w:rsidRPr="00B54967">
        <w:rPr>
          <w:rFonts w:ascii="Verdana" w:eastAsiaTheme="minorEastAsia" w:hAnsi="Verdana" w:cs="Arial"/>
          <w:sz w:val="21"/>
          <w:szCs w:val="21"/>
          <w:lang w:eastAsia="es-CO"/>
        </w:rPr>
        <w:t>“De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5CF15A44" w14:textId="77777777" w:rsidR="00B54967" w:rsidRPr="00B54967" w:rsidRDefault="00B54967" w:rsidP="00B54967">
      <w:pPr>
        <w:spacing w:after="0" w:line="240" w:lineRule="auto"/>
        <w:ind w:left="709" w:right="709"/>
        <w:jc w:val="both"/>
        <w:rPr>
          <w:rFonts w:ascii="Verdana" w:eastAsiaTheme="minorEastAsia" w:hAnsi="Verdana" w:cs="Arial"/>
          <w:sz w:val="21"/>
          <w:szCs w:val="21"/>
          <w:lang w:eastAsia="es-CO"/>
        </w:rPr>
      </w:pPr>
      <w:r w:rsidRPr="00B54967">
        <w:rPr>
          <w:rFonts w:ascii="Verdana" w:eastAsiaTheme="minorEastAsia" w:hAnsi="Verdana" w:cs="Arial"/>
          <w:sz w:val="21"/>
          <w:szCs w:val="21"/>
          <w:lang w:eastAsia="es-CO"/>
        </w:rPr>
        <w:t>[…]</w:t>
      </w:r>
    </w:p>
    <w:p w14:paraId="3182BD67" w14:textId="4A875F30" w:rsidR="00B54967" w:rsidRPr="00350B9B" w:rsidRDefault="00B54967" w:rsidP="00350B9B">
      <w:pPr>
        <w:autoSpaceDE w:val="0"/>
        <w:autoSpaceDN w:val="0"/>
        <w:adjustRightInd w:val="0"/>
        <w:spacing w:after="0" w:line="240" w:lineRule="auto"/>
        <w:ind w:left="709" w:right="709"/>
        <w:jc w:val="both"/>
        <w:rPr>
          <w:rFonts w:ascii="Verdana" w:hAnsi="Verdana" w:cs="Weiss"/>
          <w:sz w:val="21"/>
          <w:szCs w:val="21"/>
        </w:rPr>
      </w:pPr>
      <w:r w:rsidRPr="00B54967">
        <w:rPr>
          <w:rFonts w:ascii="Verdana" w:hAnsi="Verdana" w:cs="Weiss"/>
          <w:sz w:val="21"/>
          <w:szCs w:val="21"/>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B54967">
        <w:rPr>
          <w:rFonts w:ascii="Verdana" w:hAnsi="Verdana" w:cs="Weiss"/>
          <w:sz w:val="21"/>
          <w:szCs w:val="21"/>
          <w:vertAlign w:val="superscript"/>
        </w:rPr>
        <w:footnoteReference w:id="4"/>
      </w:r>
    </w:p>
    <w:p w14:paraId="7FA8F866" w14:textId="77777777" w:rsidR="00B54967" w:rsidRPr="00B54967" w:rsidRDefault="00B54967" w:rsidP="00B54967">
      <w:pPr>
        <w:spacing w:after="0" w:line="240" w:lineRule="auto"/>
        <w:ind w:firstLine="709"/>
        <w:jc w:val="both"/>
        <w:textAlignment w:val="baseline"/>
        <w:rPr>
          <w:rFonts w:ascii="Verdana" w:eastAsia="Calibri" w:hAnsi="Verdana" w:cs="Arial"/>
          <w:lang w:val="es-ES"/>
        </w:rPr>
      </w:pPr>
    </w:p>
    <w:p w14:paraId="104E550C" w14:textId="77777777" w:rsidR="00B54967" w:rsidRPr="00B54967" w:rsidRDefault="00B54967" w:rsidP="00B54967">
      <w:pPr>
        <w:tabs>
          <w:tab w:val="left" w:pos="142"/>
          <w:tab w:val="left" w:pos="284"/>
          <w:tab w:val="left" w:pos="6912"/>
        </w:tabs>
        <w:spacing w:after="120" w:line="276" w:lineRule="auto"/>
        <w:jc w:val="both"/>
        <w:rPr>
          <w:rFonts w:ascii="Verdana" w:eastAsia="Times New Roman" w:hAnsi="Verdana" w:cs="Arial"/>
          <w:bCs/>
          <w:lang w:eastAsia="es-CO"/>
        </w:rPr>
      </w:pPr>
      <w:proofErr w:type="spellStart"/>
      <w:r w:rsidRPr="00B54967">
        <w:rPr>
          <w:rFonts w:ascii="Verdana" w:eastAsia="Times New Roman" w:hAnsi="Verdana" w:cs="Arial"/>
          <w:bCs/>
          <w:lang w:val="es-ES" w:eastAsia="es-CO"/>
        </w:rPr>
        <w:t>ii</w:t>
      </w:r>
      <w:proofErr w:type="spellEnd"/>
      <w:r w:rsidRPr="00B54967">
        <w:rPr>
          <w:rFonts w:ascii="Verdana" w:eastAsia="Times New Roman" w:hAnsi="Verdana" w:cs="Arial"/>
          <w:bCs/>
          <w:lang w:eastAsia="es-CO"/>
        </w:rPr>
        <w:t xml:space="preserve">) Respecto del alcance de la Ley de Garantías Electorales y su incidencia en la aplicación en los convenios interadministrativos y aquellos contratos definidos </w:t>
      </w:r>
      <w:r w:rsidRPr="00B54967">
        <w:rPr>
          <w:rFonts w:ascii="Verdana" w:eastAsia="Times New Roman" w:hAnsi="Verdana" w:cs="Arial"/>
          <w:bCs/>
          <w:lang w:eastAsia="es-CO"/>
        </w:rPr>
        <w:lastRenderedPageBreak/>
        <w:t>en el artículo 355 de la Constitución Política y de los convenios del Decreto 092 de 2017, 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B54967">
        <w:rPr>
          <w:rFonts w:ascii="Verdana" w:eastAsia="Calibri" w:hAnsi="Verdana" w:cs="Arial"/>
          <w:bCs/>
          <w:vertAlign w:val="superscript"/>
        </w:rPr>
        <w:footnoteReference w:id="5"/>
      </w:r>
      <w:r w:rsidRPr="00B54967">
        <w:rPr>
          <w:rFonts w:ascii="Verdana" w:eastAsia="Calibri" w:hAnsi="Verdana" w:cs="Arial"/>
          <w:bCs/>
        </w:rPr>
        <w:t xml:space="preserve">. </w:t>
      </w:r>
    </w:p>
    <w:p w14:paraId="282167BB" w14:textId="77777777" w:rsidR="00B54967" w:rsidRPr="00B54967" w:rsidRDefault="00B54967" w:rsidP="00B54967">
      <w:pPr>
        <w:tabs>
          <w:tab w:val="left" w:pos="426"/>
        </w:tabs>
        <w:spacing w:after="120" w:line="276" w:lineRule="auto"/>
        <w:ind w:firstLine="709"/>
        <w:jc w:val="both"/>
        <w:rPr>
          <w:rFonts w:ascii="Verdana" w:eastAsia="Calibri" w:hAnsi="Verdana" w:cs="Arial"/>
          <w:noProof/>
          <w:lang w:val="es-ES_tradnl"/>
        </w:rPr>
      </w:pPr>
      <w:r w:rsidRPr="00B54967">
        <w:rPr>
          <w:rFonts w:ascii="Verdana" w:eastAsia="Times New Roman" w:hAnsi="Verdana" w:cs="Arial"/>
          <w:bCs/>
          <w:lang w:eastAsia="es-CO"/>
        </w:rPr>
        <w:t>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B54967">
        <w:rPr>
          <w:rFonts w:ascii="Verdana" w:eastAsia="Times New Roman" w:hAnsi="Verdana" w:cs="Arial"/>
          <w:bCs/>
          <w:vertAlign w:val="superscript"/>
          <w:lang w:eastAsia="es-CO"/>
        </w:rPr>
        <w:footnoteReference w:id="6"/>
      </w:r>
      <w:r w:rsidRPr="00B54967">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B54967">
        <w:rPr>
          <w:rFonts w:ascii="Verdana" w:eastAsia="Calibri" w:hAnsi="Verdana" w:cs="Arial"/>
          <w:noProof/>
          <w:lang w:val="es-ES_tradnl"/>
        </w:rPr>
        <w:t xml:space="preserve"> </w:t>
      </w:r>
    </w:p>
    <w:p w14:paraId="24953785" w14:textId="77777777" w:rsidR="00B54967" w:rsidRPr="00B54967" w:rsidRDefault="00B54967" w:rsidP="00B54967">
      <w:pPr>
        <w:tabs>
          <w:tab w:val="left" w:pos="426"/>
        </w:tabs>
        <w:spacing w:after="0" w:line="276" w:lineRule="auto"/>
        <w:ind w:firstLine="709"/>
        <w:jc w:val="both"/>
        <w:rPr>
          <w:rFonts w:ascii="Verdana" w:eastAsia="Times New Roman" w:hAnsi="Verdana" w:cs="Arial"/>
          <w:bCs/>
          <w:lang w:eastAsia="es-CO"/>
        </w:rPr>
      </w:pPr>
      <w:r w:rsidRPr="00B54967">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0B7FA0D8" w14:textId="77777777" w:rsidR="00B54967" w:rsidRPr="00B54967" w:rsidRDefault="00B54967" w:rsidP="00B54967">
      <w:pPr>
        <w:tabs>
          <w:tab w:val="left" w:pos="426"/>
        </w:tabs>
        <w:spacing w:after="0" w:line="276" w:lineRule="auto"/>
        <w:ind w:firstLine="709"/>
        <w:jc w:val="both"/>
        <w:rPr>
          <w:rFonts w:ascii="Verdana" w:eastAsia="Times New Roman" w:hAnsi="Verdana" w:cs="Arial"/>
          <w:bCs/>
          <w:lang w:eastAsia="es-CO"/>
        </w:rPr>
      </w:pPr>
    </w:p>
    <w:p w14:paraId="3A4A226F" w14:textId="77777777" w:rsidR="00B54967" w:rsidRPr="00B54967" w:rsidRDefault="00B54967" w:rsidP="00B54967">
      <w:pPr>
        <w:spacing w:after="0" w:line="240" w:lineRule="auto"/>
        <w:ind w:left="709" w:right="709"/>
        <w:jc w:val="both"/>
        <w:rPr>
          <w:rFonts w:ascii="Verdana" w:eastAsia="Times New Roman" w:hAnsi="Verdana" w:cs="Arial"/>
          <w:sz w:val="20"/>
          <w:szCs w:val="20"/>
          <w:lang w:val="es-ES" w:eastAsia="es-CO"/>
        </w:rPr>
      </w:pPr>
      <w:r w:rsidRPr="00B54967">
        <w:rPr>
          <w:rFonts w:ascii="Verdana" w:eastAsia="Times New Roman" w:hAnsi="Verdana" w:cs="Arial"/>
          <w:sz w:val="20"/>
          <w:szCs w:val="20"/>
          <w:lang w:val="es-ES" w:eastAsia="es-CO"/>
        </w:rPr>
        <w:t xml:space="preserve">“(…) </w:t>
      </w:r>
      <w:r w:rsidRPr="00B54967">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4917DD5B" w14:textId="77777777" w:rsidR="00B54967" w:rsidRPr="00B54967" w:rsidRDefault="00B54967" w:rsidP="00B54967">
      <w:pPr>
        <w:spacing w:after="0" w:line="240" w:lineRule="auto"/>
        <w:ind w:left="709" w:right="709"/>
        <w:jc w:val="both"/>
        <w:rPr>
          <w:rFonts w:ascii="Verdana" w:eastAsia="Times New Roman" w:hAnsi="Verdana" w:cs="Arial"/>
          <w:bCs/>
          <w:sz w:val="20"/>
          <w:szCs w:val="20"/>
          <w:lang w:eastAsia="es-CO"/>
        </w:rPr>
      </w:pPr>
      <w:r w:rsidRPr="00B54967">
        <w:rPr>
          <w:rFonts w:ascii="Verdana" w:eastAsia="Times New Roman" w:hAnsi="Verdana" w:cs="Arial"/>
          <w:bCs/>
          <w:sz w:val="20"/>
          <w:szCs w:val="20"/>
          <w:lang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w:t>
      </w:r>
      <w:r w:rsidRPr="00B54967">
        <w:rPr>
          <w:rFonts w:ascii="Verdana" w:eastAsia="Times New Roman" w:hAnsi="Verdana" w:cs="Arial"/>
          <w:bCs/>
          <w:sz w:val="20"/>
          <w:szCs w:val="20"/>
          <w:lang w:eastAsia="es-CO"/>
        </w:rPr>
        <w:lastRenderedPageBreak/>
        <w:t>una ley de garantías debe permitir que, en el debate democrático, sean las ideas y las propuestas las que definan el ascenso al poder, y no el músculo económico de los que se lo disputan (…)”</w:t>
      </w:r>
      <w:r w:rsidRPr="00B54967">
        <w:rPr>
          <w:rFonts w:ascii="Verdana" w:hAnsi="Verdana" w:cs="Arial"/>
          <w:sz w:val="20"/>
          <w:szCs w:val="20"/>
          <w:vertAlign w:val="superscript"/>
        </w:rPr>
        <w:footnoteReference w:id="7"/>
      </w:r>
      <w:r w:rsidRPr="00B54967">
        <w:rPr>
          <w:rFonts w:ascii="Verdana" w:eastAsia="Times New Roman" w:hAnsi="Verdana" w:cs="Arial"/>
          <w:bCs/>
          <w:sz w:val="20"/>
          <w:szCs w:val="20"/>
          <w:lang w:eastAsia="es-CO"/>
        </w:rPr>
        <w:t xml:space="preserve">. </w:t>
      </w:r>
      <w:bookmarkStart w:id="2" w:name="_Hlk78818186"/>
    </w:p>
    <w:p w14:paraId="3393CE84" w14:textId="77777777" w:rsidR="00B54967" w:rsidRPr="00B54967" w:rsidRDefault="00B54967" w:rsidP="00B54967">
      <w:pPr>
        <w:spacing w:after="120" w:line="276" w:lineRule="auto"/>
        <w:ind w:firstLine="709"/>
        <w:jc w:val="both"/>
        <w:rPr>
          <w:rFonts w:ascii="Verdana" w:eastAsia="Times New Roman" w:hAnsi="Verdana" w:cs="Arial"/>
          <w:bCs/>
          <w:lang w:eastAsia="es-CO"/>
        </w:rPr>
      </w:pPr>
      <w:r w:rsidRPr="00B54967">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Paralelamente, incluye restricciones en el actuar de los servidores públicos, evitando interferencias en la contienda electoral, así como la posible desviación de recursos públicos en aspiraciones electorales. </w:t>
      </w:r>
      <w:bookmarkEnd w:id="2"/>
      <w:r w:rsidRPr="00B54967">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48666B5B" w14:textId="77777777" w:rsidR="00B54967" w:rsidRPr="00B54967" w:rsidRDefault="00B54967" w:rsidP="00B54967">
      <w:pPr>
        <w:spacing w:after="0" w:line="276" w:lineRule="auto"/>
        <w:ind w:firstLine="709"/>
        <w:jc w:val="both"/>
        <w:rPr>
          <w:rFonts w:ascii="Verdana" w:eastAsia="Times New Roman" w:hAnsi="Verdana" w:cs="Arial"/>
          <w:bCs/>
          <w:lang w:eastAsia="es-CO"/>
        </w:rPr>
      </w:pPr>
      <w:r w:rsidRPr="00B54967">
        <w:rPr>
          <w:rFonts w:ascii="Verdana" w:eastAsia="Times New Roman" w:hAnsi="Verdana" w:cs="Arial"/>
          <w:bCs/>
          <w:lang w:eastAsia="es-CO"/>
        </w:rPr>
        <w:t>En efecto, la Sala de Consulta y Servicio Civil del Consejo de Estado al analizar la referida Ley, precisó lo siguiente:</w:t>
      </w:r>
    </w:p>
    <w:p w14:paraId="1C314DE3" w14:textId="77777777" w:rsidR="00B54967" w:rsidRPr="00B54967" w:rsidRDefault="00B54967" w:rsidP="00B54967">
      <w:pPr>
        <w:spacing w:after="0" w:line="240" w:lineRule="auto"/>
        <w:ind w:firstLine="709"/>
        <w:jc w:val="both"/>
        <w:rPr>
          <w:rFonts w:ascii="Verdana" w:eastAsia="Times New Roman" w:hAnsi="Verdana" w:cs="Arial"/>
          <w:bCs/>
          <w:lang w:eastAsia="es-CO"/>
        </w:rPr>
      </w:pPr>
    </w:p>
    <w:p w14:paraId="2A85D069" w14:textId="77777777" w:rsidR="00B54967" w:rsidRPr="00B54967" w:rsidRDefault="00B54967" w:rsidP="00B54967">
      <w:pPr>
        <w:spacing w:after="0" w:line="240" w:lineRule="auto"/>
        <w:ind w:left="709" w:right="709"/>
        <w:jc w:val="both"/>
        <w:rPr>
          <w:rFonts w:ascii="Verdana" w:eastAsia="Times New Roman" w:hAnsi="Verdana" w:cs="Arial"/>
          <w:bCs/>
          <w:sz w:val="20"/>
          <w:szCs w:val="20"/>
          <w:lang w:eastAsia="es-CO"/>
        </w:rPr>
      </w:pPr>
      <w:r w:rsidRPr="00B54967">
        <w:rPr>
          <w:rFonts w:ascii="Verdana" w:eastAsia="Times New Roman" w:hAnsi="Verdana" w:cs="Arial"/>
          <w:bCs/>
          <w:sz w:val="20"/>
          <w:szCs w:val="20"/>
          <w:lang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A9928E7" w14:textId="77777777" w:rsidR="00B54967" w:rsidRPr="00B54967" w:rsidRDefault="00B54967" w:rsidP="00B54967">
      <w:pPr>
        <w:spacing w:after="0" w:line="240" w:lineRule="auto"/>
        <w:ind w:left="709" w:right="709"/>
        <w:jc w:val="both"/>
        <w:rPr>
          <w:rFonts w:ascii="Verdana" w:eastAsia="Times New Roman" w:hAnsi="Verdana" w:cs="Arial"/>
          <w:bCs/>
          <w:sz w:val="20"/>
          <w:szCs w:val="20"/>
          <w:lang w:eastAsia="es-CO"/>
        </w:rPr>
      </w:pPr>
    </w:p>
    <w:p w14:paraId="10C3212E" w14:textId="77777777" w:rsidR="00B54967" w:rsidRPr="00B54967" w:rsidRDefault="00B54967" w:rsidP="00B54967">
      <w:pPr>
        <w:spacing w:after="0" w:line="240" w:lineRule="auto"/>
        <w:ind w:left="709" w:right="709"/>
        <w:jc w:val="both"/>
        <w:rPr>
          <w:rFonts w:ascii="Verdana" w:eastAsia="Times New Roman" w:hAnsi="Verdana" w:cs="Arial"/>
          <w:bCs/>
          <w:sz w:val="20"/>
          <w:szCs w:val="20"/>
          <w:lang w:eastAsia="es-CO"/>
        </w:rPr>
      </w:pPr>
      <w:r w:rsidRPr="00B54967">
        <w:rPr>
          <w:rFonts w:ascii="Verdana" w:eastAsia="Times New Roman" w:hAnsi="Verdana" w:cs="Arial"/>
          <w:bCs/>
          <w:sz w:val="20"/>
          <w:szCs w:val="20"/>
          <w:lang w:eastAsia="es-CO"/>
        </w:rPr>
        <w:t>La jurisprudencia de la Corte Constitucional</w:t>
      </w:r>
      <w:r w:rsidRPr="00B54967">
        <w:rPr>
          <w:rFonts w:ascii="Verdana" w:eastAsia="Times New Roman" w:hAnsi="Verdana" w:cs="Arial"/>
          <w:bCs/>
          <w:sz w:val="20"/>
          <w:szCs w:val="20"/>
          <w:vertAlign w:val="superscript"/>
          <w:lang w:eastAsia="es-CO"/>
        </w:rPr>
        <w:footnoteReference w:id="8"/>
      </w:r>
      <w:r w:rsidRPr="00B54967">
        <w:rPr>
          <w:rFonts w:ascii="Verdana" w:eastAsia="Times New Roman" w:hAnsi="Verdana" w:cs="Arial"/>
          <w:bCs/>
          <w:sz w:val="20"/>
          <w:szCs w:val="20"/>
          <w:lang w:eastAsia="es-CO"/>
        </w:rPr>
        <w:t> y del Consejo de Estado</w:t>
      </w:r>
      <w:r w:rsidRPr="00B54967">
        <w:rPr>
          <w:rFonts w:ascii="Verdana" w:eastAsia="Times New Roman" w:hAnsi="Verdana" w:cs="Arial"/>
          <w:bCs/>
          <w:sz w:val="20"/>
          <w:szCs w:val="20"/>
          <w:vertAlign w:val="superscript"/>
          <w:lang w:eastAsia="es-CO"/>
        </w:rPr>
        <w:footnoteReference w:id="9"/>
      </w:r>
      <w:r w:rsidRPr="00B54967">
        <w:rPr>
          <w:rFonts w:ascii="Verdana" w:eastAsia="Times New Roman" w:hAnsi="Verdana" w:cs="Arial"/>
          <w:bCs/>
          <w:sz w:val="20"/>
          <w:szCs w:val="20"/>
          <w:lang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w:t>
      </w:r>
      <w:r w:rsidRPr="00B54967">
        <w:rPr>
          <w:rFonts w:ascii="Verdana" w:eastAsia="Times New Roman" w:hAnsi="Verdana" w:cs="Arial"/>
          <w:bCs/>
          <w:sz w:val="20"/>
          <w:szCs w:val="20"/>
          <w:lang w:eastAsia="es-CO"/>
        </w:rPr>
        <w:lastRenderedPageBreak/>
        <w:t>o capacidad de obrar, sobrepasar sus precisos términos comporta el desconocimiento de la voluntad del legislador”</w:t>
      </w:r>
      <w:r w:rsidRPr="00B54967">
        <w:rPr>
          <w:rFonts w:ascii="Verdana" w:eastAsia="Times New Roman" w:hAnsi="Verdana" w:cs="Arial"/>
          <w:bCs/>
          <w:sz w:val="20"/>
          <w:szCs w:val="20"/>
          <w:vertAlign w:val="superscript"/>
          <w:lang w:eastAsia="es-CO"/>
        </w:rPr>
        <w:footnoteReference w:id="10"/>
      </w:r>
      <w:r w:rsidRPr="00B54967">
        <w:rPr>
          <w:rFonts w:ascii="Verdana" w:eastAsia="Times New Roman" w:hAnsi="Verdana" w:cs="Arial"/>
          <w:bCs/>
          <w:sz w:val="20"/>
          <w:szCs w:val="20"/>
          <w:lang w:eastAsia="es-CO"/>
        </w:rPr>
        <w:t>.</w:t>
      </w:r>
    </w:p>
    <w:p w14:paraId="28DC8D79" w14:textId="77777777" w:rsidR="00B54967" w:rsidRPr="00B54967" w:rsidRDefault="00B54967" w:rsidP="00B54967">
      <w:pPr>
        <w:spacing w:after="120" w:line="276" w:lineRule="auto"/>
        <w:ind w:firstLine="709"/>
        <w:jc w:val="both"/>
        <w:rPr>
          <w:rFonts w:ascii="Verdana" w:eastAsia="Arial" w:hAnsi="Verdana" w:cs="Arial"/>
          <w:lang w:val="es-ES" w:eastAsia="es-ES" w:bidi="es-ES"/>
        </w:rPr>
      </w:pPr>
      <w:r w:rsidRPr="00B54967">
        <w:rPr>
          <w:rFonts w:ascii="Verdana" w:eastAsia="Times New Roman" w:hAnsi="Verdana" w:cs="Arial"/>
          <w:bCs/>
          <w:lang w:eastAsia="es-CO"/>
        </w:rPr>
        <w:t>De</w:t>
      </w:r>
      <w:r w:rsidRPr="00B54967">
        <w:rPr>
          <w:rFonts w:ascii="Verdana" w:eastAsia="Arial" w:hAnsi="Verdana" w:cs="Arial"/>
          <w:lang w:val="es-ES" w:eastAsia="es-ES" w:bidi="es-ES"/>
        </w:rPr>
        <w:t xml:space="preserve"> conformidad con lo anterior, </w:t>
      </w:r>
      <w:bookmarkStart w:id="3" w:name="_Hlk77236098"/>
      <w:r w:rsidRPr="00B54967">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02C116E" w14:textId="77777777" w:rsidR="00B54967" w:rsidRPr="00B54967" w:rsidRDefault="00B54967" w:rsidP="00B54967">
      <w:pPr>
        <w:spacing w:after="120" w:line="276" w:lineRule="auto"/>
        <w:ind w:firstLine="709"/>
        <w:jc w:val="both"/>
        <w:rPr>
          <w:rFonts w:ascii="Verdana" w:eastAsia="Arial" w:hAnsi="Verdana" w:cs="Arial"/>
          <w:lang w:val="es-ES" w:eastAsia="es-ES" w:bidi="es-ES"/>
        </w:rPr>
      </w:pPr>
      <w:r w:rsidRPr="00B54967">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25A584D3" w14:textId="77777777" w:rsidR="00B54967" w:rsidRPr="00B54967" w:rsidRDefault="00B54967" w:rsidP="00B54967">
      <w:pPr>
        <w:spacing w:after="120" w:line="276" w:lineRule="auto"/>
        <w:ind w:firstLine="709"/>
        <w:jc w:val="both"/>
        <w:rPr>
          <w:rFonts w:ascii="Verdana" w:eastAsia="Calibri" w:hAnsi="Verdana" w:cs="Arial"/>
        </w:rPr>
      </w:pPr>
      <w:r w:rsidRPr="00B54967">
        <w:rPr>
          <w:rFonts w:ascii="Verdana" w:eastAsia="Calibri" w:hAnsi="Verdana" w:cs="Arial"/>
        </w:rPr>
        <w:t xml:space="preserve">Por un lado, </w:t>
      </w:r>
      <w:r w:rsidRPr="00B54967">
        <w:rPr>
          <w:rFonts w:ascii="Verdana" w:eastAsia="Calibri" w:hAnsi="Verdana" w:cs="Arial"/>
          <w:i/>
        </w:rPr>
        <w:t>el artículo 33</w:t>
      </w:r>
      <w:r w:rsidRPr="00B54967">
        <w:rPr>
          <w:rFonts w:ascii="Verdana" w:eastAsia="Calibri" w:hAnsi="Verdana" w:cs="Arial"/>
        </w:rPr>
        <w:t xml:space="preserve"> de la Ley 996 de 2005 prohíbe “</w:t>
      </w:r>
      <w:r w:rsidRPr="00B54967">
        <w:rPr>
          <w:rFonts w:ascii="Verdana" w:eastAsia="Calibri" w:hAnsi="Verdana" w:cs="Arial"/>
          <w:bCs/>
        </w:rPr>
        <w:t xml:space="preserve">(…) </w:t>
      </w:r>
      <w:r w:rsidRPr="00B54967">
        <w:rPr>
          <w:rFonts w:ascii="Verdana" w:eastAsia="Calibri" w:hAnsi="Verdana" w:cs="Arial"/>
        </w:rPr>
        <w:t>la contratación directa por parte de todos los entes del Estado</w:t>
      </w:r>
      <w:r w:rsidRPr="00B54967">
        <w:rPr>
          <w:rFonts w:ascii="Verdana" w:eastAsia="Calibri" w:hAnsi="Verdana" w:cs="Arial"/>
          <w:bCs/>
        </w:rPr>
        <w:t>”</w:t>
      </w:r>
      <w:r w:rsidRPr="00B54967">
        <w:rPr>
          <w:rFonts w:ascii="Verdana" w:eastAsia="Calibri" w:hAnsi="Verdana" w:cs="Arial"/>
        </w:rPr>
        <w:t xml:space="preserve"> durante los cuatro (4) meses anteriores a las elecciones presidenciales, salvo </w:t>
      </w:r>
      <w:r w:rsidRPr="00B54967">
        <w:rPr>
          <w:rFonts w:ascii="Verdana" w:eastAsia="Calibri" w:hAnsi="Verdana" w:cs="Arial"/>
          <w:bCs/>
        </w:rPr>
        <w:t xml:space="preserve">“(…) </w:t>
      </w:r>
      <w:r w:rsidRPr="00B54967">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54967">
        <w:rPr>
          <w:rFonts w:ascii="Verdana" w:eastAsia="Calibri" w:hAnsi="Verdana" w:cs="Arial"/>
          <w:bCs/>
        </w:rPr>
        <w:t>”</w:t>
      </w:r>
      <w:r w:rsidRPr="00B54967">
        <w:rPr>
          <w:rFonts w:ascii="Verdana" w:eastAsia="Calibri" w:hAnsi="Verdana" w:cs="Arial"/>
          <w:bCs/>
          <w:vertAlign w:val="superscript"/>
        </w:rPr>
        <w:footnoteReference w:id="11"/>
      </w:r>
      <w:r w:rsidRPr="00B54967">
        <w:rPr>
          <w:rFonts w:ascii="Verdana" w:eastAsia="Calibri" w:hAnsi="Verdana" w:cs="Arial"/>
        </w:rPr>
        <w:t>.</w:t>
      </w:r>
    </w:p>
    <w:p w14:paraId="59E560A7" w14:textId="77777777" w:rsidR="00B54967" w:rsidRPr="00B54967" w:rsidRDefault="00B54967" w:rsidP="00B54967">
      <w:pPr>
        <w:widowControl w:val="0"/>
        <w:autoSpaceDE w:val="0"/>
        <w:autoSpaceDN w:val="0"/>
        <w:spacing w:after="120" w:line="276" w:lineRule="auto"/>
        <w:ind w:firstLine="709"/>
        <w:jc w:val="both"/>
        <w:rPr>
          <w:rFonts w:ascii="Verdana" w:eastAsia="Arial" w:hAnsi="Verdana" w:cs="Arial"/>
          <w:lang w:val="es-ES" w:eastAsia="es-ES" w:bidi="es-ES"/>
        </w:rPr>
      </w:pPr>
      <w:r w:rsidRPr="00B54967">
        <w:rPr>
          <w:rFonts w:ascii="Verdana" w:eastAsia="Calibri" w:hAnsi="Verdana" w:cs="Arial"/>
        </w:rPr>
        <w:t xml:space="preserve">Por otro lado, </w:t>
      </w:r>
      <w:r w:rsidRPr="00B54967">
        <w:rPr>
          <w:rFonts w:ascii="Verdana" w:eastAsia="Calibri" w:hAnsi="Verdana" w:cs="Arial"/>
          <w:i/>
        </w:rPr>
        <w:t xml:space="preserve">el parágrafo del artículo 38 </w:t>
      </w:r>
      <w:r w:rsidRPr="00B54967">
        <w:rPr>
          <w:rFonts w:ascii="Verdana" w:eastAsia="Calibri" w:hAnsi="Verdana" w:cs="Arial"/>
        </w:rPr>
        <w:t xml:space="preserve">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B54967">
        <w:rPr>
          <w:rFonts w:ascii="Verdana" w:eastAsia="Calibri" w:hAnsi="Verdana" w:cs="Arial"/>
          <w:bCs/>
        </w:rPr>
        <w:t xml:space="preserve">“(…) </w:t>
      </w:r>
      <w:r w:rsidRPr="00B54967">
        <w:rPr>
          <w:rFonts w:ascii="Verdana" w:eastAsia="Calibri" w:hAnsi="Verdana" w:cs="Arial"/>
        </w:rPr>
        <w:t xml:space="preserve">celebrar convenios interadministrativos para la ejecución de recursos públicos, ni participar, promover y destinar recursos públicos de las entidades a su cargo, como tampoco de las que participen como </w:t>
      </w:r>
      <w:r w:rsidRPr="00B54967">
        <w:rPr>
          <w:rFonts w:ascii="Verdana" w:eastAsia="Calibri" w:hAnsi="Verdana" w:cs="Arial"/>
        </w:rPr>
        <w:lastRenderedPageBreak/>
        <w:t>miembros de sus juntas directivas, en o para reuniones de carácter proselitista</w:t>
      </w:r>
      <w:r w:rsidRPr="00B54967">
        <w:rPr>
          <w:rFonts w:ascii="Verdana" w:eastAsia="Calibri" w:hAnsi="Verdana" w:cs="Arial"/>
          <w:bCs/>
        </w:rPr>
        <w:t>”</w:t>
      </w:r>
      <w:r w:rsidRPr="00B54967">
        <w:rPr>
          <w:rFonts w:ascii="Verdana" w:eastAsia="Calibri" w:hAnsi="Verdana" w:cs="Arial"/>
          <w:bCs/>
          <w:vertAlign w:val="superscript"/>
        </w:rPr>
        <w:footnoteReference w:id="12"/>
      </w:r>
      <w:r w:rsidRPr="00B54967">
        <w:rPr>
          <w:rFonts w:ascii="Verdana" w:eastAsia="Calibri" w:hAnsi="Verdana" w:cs="Arial"/>
        </w:rPr>
        <w:t>.</w:t>
      </w:r>
      <w:r w:rsidRPr="00B54967">
        <w:rPr>
          <w:rFonts w:ascii="Verdana" w:eastAsia="Arial" w:hAnsi="Verdana" w:cs="Arial"/>
          <w:lang w:val="es-ES" w:eastAsia="es-ES" w:bidi="es-ES"/>
        </w:rPr>
        <w:t xml:space="preserve"> </w:t>
      </w:r>
    </w:p>
    <w:p w14:paraId="4FB9C3E1" w14:textId="77777777" w:rsidR="00B54967" w:rsidRPr="00B54967" w:rsidRDefault="00B54967" w:rsidP="00B54967">
      <w:pPr>
        <w:widowControl w:val="0"/>
        <w:autoSpaceDE w:val="0"/>
        <w:autoSpaceDN w:val="0"/>
        <w:spacing w:after="0" w:line="276" w:lineRule="auto"/>
        <w:ind w:firstLine="709"/>
        <w:jc w:val="both"/>
        <w:rPr>
          <w:rFonts w:ascii="Verdana" w:eastAsia="Arial" w:hAnsi="Verdana" w:cs="Arial"/>
          <w:lang w:val="es-ES" w:eastAsia="es-ES" w:bidi="es-ES"/>
        </w:rPr>
      </w:pPr>
      <w:r w:rsidRPr="00B54967">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249C6715" w14:textId="77777777" w:rsidR="00B54967" w:rsidRPr="00B54967" w:rsidRDefault="00B54967" w:rsidP="00B5496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1F2B4A07" w14:textId="77777777" w:rsidR="00B54967" w:rsidRPr="00B54967" w:rsidRDefault="00B54967" w:rsidP="00B5496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B54967">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B54967">
        <w:rPr>
          <w:rFonts w:ascii="Verdana" w:eastAsia="Arial" w:hAnsi="Verdana" w:cs="Arial"/>
          <w:sz w:val="20"/>
          <w:szCs w:val="20"/>
          <w:lang w:val="es-ES" w:eastAsia="es-ES" w:bidi="es-ES"/>
        </w:rPr>
        <w:t>se integran parcialmente</w:t>
      </w:r>
      <w:bookmarkEnd w:id="6"/>
      <w:r w:rsidRPr="00B54967">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B54967">
        <w:rPr>
          <w:rFonts w:ascii="Verdana" w:eastAsia="Arial" w:hAnsi="Verdana" w:cs="Arial"/>
          <w:bCs/>
          <w:sz w:val="20"/>
          <w:szCs w:val="20"/>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sidRPr="00B54967">
        <w:rPr>
          <w:rFonts w:ascii="Verdana" w:eastAsia="Arial" w:hAnsi="Verdana" w:cs="Arial"/>
          <w:sz w:val="20"/>
          <w:szCs w:val="20"/>
          <w:lang w:val="es-ES" w:eastAsia="es-ES" w:bidi="es-ES"/>
        </w:rPr>
        <w:t>”</w:t>
      </w:r>
      <w:r w:rsidRPr="00B54967">
        <w:rPr>
          <w:rFonts w:ascii="Verdana" w:eastAsia="Arial" w:hAnsi="Verdana" w:cs="Arial"/>
          <w:sz w:val="20"/>
          <w:szCs w:val="20"/>
          <w:vertAlign w:val="superscript"/>
          <w:lang w:val="es-ES" w:eastAsia="es-ES" w:bidi="es-ES"/>
        </w:rPr>
        <w:footnoteReference w:id="13"/>
      </w:r>
      <w:r w:rsidRPr="00B54967">
        <w:rPr>
          <w:rFonts w:ascii="Verdana" w:eastAsia="Arial" w:hAnsi="Verdana" w:cs="Arial"/>
          <w:sz w:val="20"/>
          <w:szCs w:val="20"/>
          <w:lang w:val="es-ES" w:eastAsia="es-ES" w:bidi="es-ES"/>
        </w:rPr>
        <w:t>.</w:t>
      </w:r>
    </w:p>
    <w:p w14:paraId="5AC3A743" w14:textId="77777777" w:rsidR="00B54967" w:rsidRPr="00B54967" w:rsidRDefault="00B54967" w:rsidP="00B5496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1EF4A270" w14:textId="77777777" w:rsidR="00B54967" w:rsidRPr="00B54967" w:rsidRDefault="00B54967" w:rsidP="00B54967">
      <w:pPr>
        <w:spacing w:after="120" w:line="276" w:lineRule="auto"/>
        <w:ind w:firstLine="709"/>
        <w:jc w:val="both"/>
        <w:rPr>
          <w:rFonts w:ascii="Verdana" w:eastAsia="Arial" w:hAnsi="Verdana" w:cs="Arial"/>
          <w:lang w:val="es-ES" w:eastAsia="es-ES" w:bidi="es-ES"/>
        </w:rPr>
      </w:pPr>
      <w:r w:rsidRPr="00B54967">
        <w:rPr>
          <w:rFonts w:ascii="Verdana" w:eastAsia="Arial" w:hAnsi="Verdana" w:cs="Arial"/>
          <w:lang w:val="es-ES" w:eastAsia="es-ES" w:bidi="es-ES"/>
        </w:rPr>
        <w:t>De conformidad con lo anterior</w:t>
      </w:r>
      <w:bookmarkStart w:id="7" w:name="_Hlk99438241"/>
      <w:r w:rsidRPr="00B54967">
        <w:rPr>
          <w:rFonts w:ascii="Verdana" w:eastAsia="Arial" w:hAnsi="Verdana" w:cs="Arial"/>
          <w:lang w:val="es-ES" w:eastAsia="es-ES" w:bidi="es-ES"/>
        </w:rPr>
        <w:t xml:space="preserve">, </w:t>
      </w:r>
      <w:bookmarkStart w:id="8" w:name="_Hlk77236420"/>
      <w:bookmarkStart w:id="9" w:name="_Hlk78818435"/>
      <w:bookmarkStart w:id="10" w:name="_Hlk75780333"/>
      <w:r w:rsidRPr="00B54967">
        <w:rPr>
          <w:rFonts w:ascii="Verdana" w:eastAsia="Arial" w:hAnsi="Verdana" w:cs="Arial"/>
          <w:lang w:val="es-ES" w:eastAsia="es-ES" w:bidi="es-ES"/>
        </w:rPr>
        <w:t xml:space="preserve">la Ley 996 de 2005 establece dos (2) tipos de restricciones en materia de contratación, las cuales coinciden parcialmente. </w:t>
      </w:r>
      <w:r w:rsidRPr="00B54967">
        <w:rPr>
          <w:rFonts w:ascii="Verdana" w:eastAsia="Arial" w:hAnsi="Verdana" w:cs="Arial"/>
          <w:i/>
          <w:iCs/>
          <w:lang w:val="es-ES" w:eastAsia="es-ES" w:bidi="es-ES"/>
        </w:rPr>
        <w:t>En primer lugar</w:t>
      </w:r>
      <w:r w:rsidRPr="00B54967">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w:t>
      </w:r>
      <w:r w:rsidRPr="00B54967">
        <w:rPr>
          <w:rFonts w:ascii="Verdana" w:eastAsia="Arial" w:hAnsi="Verdana" w:cs="Arial"/>
          <w:lang w:val="es-ES" w:eastAsia="es-ES" w:bidi="es-ES"/>
        </w:rPr>
        <w:lastRenderedPageBreak/>
        <w:t xml:space="preserve">más altas, de conformidad con el artículo 190 de la Constitución Política. Para estos efectos, la restricción se extenderá hasta la fecha en la que se realice la segunda vuelta. </w:t>
      </w:r>
      <w:r w:rsidRPr="00B54967">
        <w:rPr>
          <w:rFonts w:ascii="Verdana" w:eastAsia="Arial" w:hAnsi="Verdana" w:cs="Arial"/>
          <w:i/>
          <w:iCs/>
          <w:lang w:val="es-ES" w:eastAsia="es-ES" w:bidi="es-ES"/>
        </w:rPr>
        <w:t>En segundo lugar</w:t>
      </w:r>
      <w:r w:rsidRPr="00B54967">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2A086826" w14:textId="77777777" w:rsidR="00B54967" w:rsidRPr="00B54967" w:rsidRDefault="00B54967" w:rsidP="00B54967">
      <w:pPr>
        <w:spacing w:after="120" w:line="276" w:lineRule="auto"/>
        <w:ind w:firstLine="709"/>
        <w:jc w:val="both"/>
        <w:rPr>
          <w:rFonts w:ascii="Verdana" w:eastAsia="Arial" w:hAnsi="Verdana" w:cs="Arial"/>
          <w:lang w:val="es-ES" w:eastAsia="es-ES" w:bidi="es-ES"/>
        </w:rPr>
      </w:pPr>
      <w:r w:rsidRPr="00B54967">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0"/>
    <w:p w14:paraId="1F903BE5" w14:textId="77777777" w:rsidR="00B54967" w:rsidRPr="00B54967" w:rsidRDefault="00B54967" w:rsidP="00B54967">
      <w:pPr>
        <w:spacing w:after="120" w:line="276" w:lineRule="auto"/>
        <w:ind w:firstLine="709"/>
        <w:jc w:val="both"/>
        <w:rPr>
          <w:rFonts w:ascii="Verdana" w:eastAsia="Times New Roman" w:hAnsi="Verdana" w:cs="Arial"/>
          <w:bCs/>
          <w:lang w:val="es-ES" w:eastAsia="es-CO"/>
        </w:rPr>
      </w:pPr>
      <w:r w:rsidRPr="00B54967">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7B567B9B" w14:textId="77777777" w:rsidR="00B54967" w:rsidRPr="00B54967" w:rsidRDefault="00B54967" w:rsidP="00B54967">
      <w:pPr>
        <w:spacing w:after="120" w:line="276" w:lineRule="auto"/>
        <w:ind w:firstLine="709"/>
        <w:jc w:val="both"/>
        <w:rPr>
          <w:rFonts w:ascii="Verdana" w:eastAsia="Arial" w:hAnsi="Verdana" w:cs="Arial"/>
          <w:lang w:val="es-ES" w:eastAsia="es-ES" w:bidi="es-ES"/>
        </w:rPr>
      </w:pPr>
      <w:r w:rsidRPr="00B54967">
        <w:rPr>
          <w:rFonts w:ascii="Verdana" w:eastAsia="Times New Roman" w:hAnsi="Verdana" w:cs="Arial"/>
          <w:bCs/>
          <w:lang w:val="es-ES" w:eastAsia="es-CO"/>
        </w:rPr>
        <w:t xml:space="preserve">Teniendo en cuenta lo anterior, a continuación, se hará un análisis sobre los dos tipos de restricciones, con el fin de determinar si los convenios interadministrativos o los convenios o contratos celebrados con entidades sin ánimo de lucro se enmarcan en alguno de los supuestos que señalan las normas. </w:t>
      </w:r>
    </w:p>
    <w:p w14:paraId="3FD0EB16" w14:textId="77777777" w:rsidR="00B54967" w:rsidRPr="00B54967" w:rsidRDefault="00B54967" w:rsidP="00B54967">
      <w:pPr>
        <w:spacing w:after="0" w:line="276" w:lineRule="auto"/>
        <w:ind w:firstLine="709"/>
        <w:jc w:val="both"/>
        <w:rPr>
          <w:rFonts w:ascii="Verdana" w:hAnsi="Verdana" w:cs="Arial"/>
          <w:lang w:eastAsia="es-CO"/>
        </w:rPr>
      </w:pPr>
      <w:r w:rsidRPr="00B54967">
        <w:rPr>
          <w:rFonts w:ascii="Verdana" w:hAnsi="Verdana" w:cs="Arial"/>
          <w:bCs/>
          <w:lang w:eastAsia="x-none"/>
        </w:rPr>
        <w:t xml:space="preserve">En primer lugar, el ámbito material de la prohibición contenida </w:t>
      </w:r>
      <w:bookmarkStart w:id="11" w:name="_Hlk75628761"/>
      <w:r w:rsidRPr="00B54967">
        <w:rPr>
          <w:rFonts w:ascii="Verdana" w:hAnsi="Verdana" w:cs="Arial"/>
          <w:bCs/>
          <w:lang w:eastAsia="x-none"/>
        </w:rPr>
        <w:t xml:space="preserve">en el artículo 33 de la Ley 996 de 2005 </w:t>
      </w:r>
      <w:bookmarkEnd w:id="11"/>
      <w:r w:rsidRPr="00B54967">
        <w:rPr>
          <w:rFonts w:ascii="Verdana" w:hAnsi="Verdana" w:cs="Arial"/>
          <w:bCs/>
          <w:lang w:eastAsia="x-none"/>
        </w:rPr>
        <w:t xml:space="preserve">está delimitado por la expresión </w:t>
      </w:r>
      <w:r w:rsidRPr="00B54967">
        <w:rPr>
          <w:rFonts w:ascii="Verdana" w:eastAsia="Calibri" w:hAnsi="Verdana" w:cs="Arial"/>
          <w:bCs/>
          <w:i/>
          <w:iCs/>
          <w:sz w:val="20"/>
          <w:szCs w:val="20"/>
        </w:rPr>
        <w:t>“</w:t>
      </w:r>
      <w:r w:rsidRPr="00B54967">
        <w:rPr>
          <w:rFonts w:ascii="Verdana" w:hAnsi="Verdana" w:cs="Arial"/>
          <w:bCs/>
          <w:i/>
          <w:iCs/>
          <w:lang w:eastAsia="x-none"/>
        </w:rPr>
        <w:t>queda prohibida la contratación directa</w:t>
      </w:r>
      <w:r w:rsidRPr="00B54967">
        <w:rPr>
          <w:rFonts w:ascii="Verdana" w:hAnsi="Verdana" w:cs="Arial"/>
          <w:sz w:val="20"/>
          <w:szCs w:val="20"/>
        </w:rPr>
        <w:t>”</w:t>
      </w:r>
      <w:r w:rsidRPr="00B54967">
        <w:rPr>
          <w:rFonts w:ascii="Verdana" w:hAnsi="Verdana" w:cs="Arial"/>
          <w:bCs/>
          <w:lang w:eastAsia="x-none"/>
        </w:rPr>
        <w:t>.</w:t>
      </w:r>
      <w:r w:rsidRPr="00B54967">
        <w:rPr>
          <w:rFonts w:ascii="Verdana" w:hAnsi="Verdana" w:cs="Arial"/>
          <w:lang w:eastAsia="es-CO"/>
        </w:rPr>
        <w:t xml:space="preserve"> A propósito de esta restricción de la Ley de Garantías Electorales, la Sala de Consulta y Servicio Civil del Consejo de Estado ha considerado que:</w:t>
      </w:r>
    </w:p>
    <w:p w14:paraId="4CD7758C" w14:textId="77777777" w:rsidR="00B54967" w:rsidRPr="00B54967" w:rsidRDefault="00B54967" w:rsidP="00B54967">
      <w:pPr>
        <w:spacing w:after="0" w:line="240" w:lineRule="auto"/>
        <w:ind w:left="709" w:right="709"/>
        <w:jc w:val="both"/>
        <w:rPr>
          <w:rFonts w:ascii="Verdana" w:hAnsi="Verdana" w:cs="Arial"/>
          <w:sz w:val="20"/>
          <w:szCs w:val="20"/>
        </w:rPr>
      </w:pPr>
      <w:r w:rsidRPr="00B54967">
        <w:rPr>
          <w:rFonts w:ascii="Verdana" w:hAnsi="Verdana" w:cs="Arial"/>
          <w:sz w:val="20"/>
          <w:szCs w:val="20"/>
        </w:rPr>
        <w:lastRenderedPageBreak/>
        <w:t>“(…) 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B54967">
        <w:rPr>
          <w:rFonts w:ascii="Verdana" w:hAnsi="Verdana" w:cs="Arial"/>
          <w:sz w:val="20"/>
          <w:szCs w:val="20"/>
          <w:vertAlign w:val="superscript"/>
          <w:lang w:eastAsia="es-CO"/>
        </w:rPr>
        <w:footnoteReference w:id="14"/>
      </w:r>
      <w:r w:rsidRPr="00B54967">
        <w:rPr>
          <w:rFonts w:ascii="Verdana" w:hAnsi="Verdana" w:cs="Arial"/>
          <w:sz w:val="20"/>
          <w:szCs w:val="20"/>
        </w:rPr>
        <w:t>.</w:t>
      </w:r>
    </w:p>
    <w:p w14:paraId="00C54B70" w14:textId="77777777" w:rsidR="00B54967" w:rsidRPr="00B54967" w:rsidRDefault="00B54967" w:rsidP="00B54967">
      <w:pPr>
        <w:spacing w:after="0" w:line="240" w:lineRule="auto"/>
        <w:ind w:left="709" w:right="709"/>
        <w:jc w:val="both"/>
        <w:rPr>
          <w:rFonts w:ascii="Verdana" w:hAnsi="Verdana" w:cs="Arial"/>
          <w:sz w:val="20"/>
          <w:szCs w:val="20"/>
        </w:rPr>
      </w:pPr>
      <w:r w:rsidRPr="00B54967">
        <w:rPr>
          <w:rFonts w:ascii="Verdana" w:hAnsi="Verdana" w:cs="Arial"/>
          <w:sz w:val="20"/>
          <w:szCs w:val="20"/>
        </w:rPr>
        <w:t xml:space="preserve">Esta Sala ha entendido que para los efectos de la ley de garantías, y dada su finalidad, el enunciado ´contratación directa´ es sinónimo </w:t>
      </w:r>
      <w:bookmarkStart w:id="12" w:name="_Hlk75741738"/>
      <w:r w:rsidRPr="00B54967">
        <w:rPr>
          <w:rFonts w:ascii="Verdana" w:hAnsi="Verdana" w:cs="Arial"/>
          <w:sz w:val="20"/>
          <w:szCs w:val="20"/>
        </w:rPr>
        <w:t xml:space="preserve">de cualquier sistema que no implique convocatoria pública y posibilidad de pluralidad de oferentes, </w:t>
      </w:r>
      <w:bookmarkEnd w:id="12"/>
      <w:r w:rsidRPr="00B54967">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B54967">
        <w:rPr>
          <w:rFonts w:ascii="Verdana" w:hAnsi="Verdana" w:cs="Arial"/>
          <w:sz w:val="20"/>
          <w:szCs w:val="20"/>
          <w:vertAlign w:val="superscript"/>
        </w:rPr>
        <w:footnoteReference w:id="15"/>
      </w:r>
      <w:r w:rsidRPr="00B54967">
        <w:rPr>
          <w:rFonts w:ascii="Verdana" w:hAnsi="Verdana" w:cs="Arial"/>
          <w:sz w:val="20"/>
          <w:szCs w:val="20"/>
          <w:vertAlign w:val="superscript"/>
        </w:rPr>
        <w:t>.</w:t>
      </w:r>
      <w:r w:rsidRPr="00B54967">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B54967">
        <w:rPr>
          <w:rFonts w:ascii="Verdana" w:hAnsi="Verdana" w:cs="Arial"/>
          <w:sz w:val="20"/>
          <w:szCs w:val="20"/>
          <w:vertAlign w:val="superscript"/>
          <w:lang w:eastAsia="es-CO"/>
        </w:rPr>
        <w:footnoteReference w:id="16"/>
      </w:r>
      <w:r w:rsidRPr="00B54967">
        <w:rPr>
          <w:rFonts w:ascii="Verdana" w:hAnsi="Verdana" w:cs="Arial"/>
          <w:sz w:val="20"/>
          <w:szCs w:val="20"/>
        </w:rPr>
        <w:t>.</w:t>
      </w:r>
    </w:p>
    <w:p w14:paraId="2BEBB76B" w14:textId="77777777" w:rsidR="00B54967" w:rsidRPr="00B54967" w:rsidRDefault="00B54967" w:rsidP="00B54967">
      <w:pPr>
        <w:spacing w:after="0" w:line="240" w:lineRule="auto"/>
        <w:ind w:left="709" w:right="709"/>
        <w:jc w:val="both"/>
        <w:rPr>
          <w:rFonts w:ascii="Verdana" w:hAnsi="Verdana" w:cs="Arial"/>
        </w:rPr>
      </w:pPr>
    </w:p>
    <w:p w14:paraId="0CE85267" w14:textId="77777777" w:rsidR="00B54967" w:rsidRPr="00B54967" w:rsidRDefault="00B54967" w:rsidP="00B54967">
      <w:pPr>
        <w:spacing w:after="120" w:line="276" w:lineRule="auto"/>
        <w:ind w:firstLine="709"/>
        <w:jc w:val="both"/>
        <w:rPr>
          <w:rFonts w:ascii="Verdana" w:hAnsi="Verdana" w:cs="Arial"/>
          <w:bCs/>
          <w:lang w:eastAsia="x-none"/>
        </w:rPr>
      </w:pPr>
      <w:bookmarkStart w:id="14" w:name="_Hlk94521748"/>
      <w:r w:rsidRPr="00B54967">
        <w:rPr>
          <w:rFonts w:ascii="Verdana" w:hAnsi="Verdana" w:cs="Arial"/>
          <w:lang w:eastAsia="x-none"/>
        </w:rPr>
        <w:t xml:space="preserve">De acuerdo con el citado concepto, la prohibición del artículo 33 de la Ley de Garantías Electorales se refiere a </w:t>
      </w:r>
      <w:r w:rsidRPr="00B54967">
        <w:rPr>
          <w:rFonts w:ascii="Verdana" w:hAnsi="Verdana" w:cs="Arial"/>
          <w:lang w:eastAsia="en-GB"/>
        </w:rPr>
        <w:t>“</w:t>
      </w:r>
      <w:r w:rsidRPr="00B54967">
        <w:rPr>
          <w:rFonts w:ascii="Verdana" w:hAnsi="Verdana" w:cs="Arial"/>
          <w:lang w:eastAsia="x-none"/>
        </w:rPr>
        <w:t>cualquier sistema que no implique convocatoria pública y posibilidad de pluralidad de oferentes</w:t>
      </w:r>
      <w:r w:rsidRPr="00B54967">
        <w:rPr>
          <w:rFonts w:ascii="Verdana" w:hAnsi="Verdana" w:cs="Arial"/>
          <w:lang w:eastAsia="en-GB"/>
        </w:rPr>
        <w:t>”</w:t>
      </w:r>
      <w:r w:rsidRPr="00B54967">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B54967">
        <w:rPr>
          <w:rFonts w:ascii="Verdana" w:hAnsi="Verdana" w:cs="Arial"/>
          <w:lang w:val="es-ES_tradnl" w:eastAsia="x-none"/>
        </w:rPr>
        <w:t>y la mínima cuantía</w:t>
      </w:r>
      <w:r w:rsidRPr="00B54967" w:rsidDel="00A85D9F">
        <w:rPr>
          <w:rFonts w:ascii="Verdana" w:hAnsi="Verdana" w:cs="Arial"/>
          <w:lang w:eastAsia="x-none"/>
        </w:rPr>
        <w:t xml:space="preserve"> </w:t>
      </w:r>
      <w:r w:rsidRPr="00B54967">
        <w:rPr>
          <w:rFonts w:ascii="Verdana" w:hAnsi="Verdana" w:cs="Arial"/>
          <w:lang w:eastAsia="x-none"/>
        </w:rPr>
        <w:t>u otros procedimientos abiertos y competitivos previstos en normas especiales. Esta posición es congruente con la expedición de la Ley 1150 de 2007 que, entre otras reformas, introdujo la selección abreviada, rediseñó el concurso de méritos</w:t>
      </w:r>
      <w:r w:rsidRPr="00B54967">
        <w:rPr>
          <w:rFonts w:ascii="Verdana" w:hAnsi="Verdana" w:cs="Arial"/>
          <w:vertAlign w:val="superscript"/>
          <w:lang w:val="en-GB" w:eastAsia="x-none"/>
        </w:rPr>
        <w:footnoteReference w:id="17"/>
      </w:r>
      <w:r w:rsidRPr="00B54967">
        <w:rPr>
          <w:rFonts w:ascii="Verdana" w:hAnsi="Verdana" w:cs="Arial"/>
          <w:lang w:eastAsia="x-none"/>
        </w:rPr>
        <w:t xml:space="preserve"> y sistematizó las causales de contratación directa</w:t>
      </w:r>
      <w:r w:rsidRPr="00B54967">
        <w:rPr>
          <w:rFonts w:ascii="Verdana" w:hAnsi="Verdana" w:cs="Arial"/>
          <w:vertAlign w:val="superscript"/>
          <w:lang w:val="en-GB" w:eastAsia="x-none"/>
        </w:rPr>
        <w:footnoteReference w:id="18"/>
      </w:r>
      <w:r w:rsidRPr="00B54967">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4"/>
    <w:p w14:paraId="47ADDFD2" w14:textId="77777777" w:rsidR="00B54967" w:rsidRPr="00B54967" w:rsidRDefault="00B54967" w:rsidP="00B54967">
      <w:pPr>
        <w:spacing w:after="120" w:line="276" w:lineRule="auto"/>
        <w:ind w:firstLine="709"/>
        <w:jc w:val="both"/>
        <w:rPr>
          <w:rFonts w:ascii="Verdana" w:hAnsi="Verdana" w:cs="Arial"/>
          <w:lang w:eastAsia="x-none"/>
        </w:rPr>
      </w:pPr>
      <w:r w:rsidRPr="00B54967">
        <w:rPr>
          <w:rFonts w:ascii="Verdana" w:hAnsi="Verdana" w:cs="Arial"/>
          <w:lang w:eastAsia="x-none"/>
        </w:rPr>
        <w:lastRenderedPageBreak/>
        <w:t xml:space="preserve">De esta forma, con fundamento en la evolución de la normativa sobre la contratación pública, se ha depurado la noción de </w:t>
      </w:r>
      <w:r w:rsidRPr="00B54967">
        <w:rPr>
          <w:rFonts w:ascii="Verdana" w:hAnsi="Verdana" w:cs="Arial"/>
          <w:i/>
          <w:lang w:eastAsia="en-GB"/>
        </w:rPr>
        <w:t>“</w:t>
      </w:r>
      <w:r w:rsidRPr="00B54967">
        <w:rPr>
          <w:rFonts w:ascii="Verdana" w:hAnsi="Verdana" w:cs="Arial"/>
          <w:i/>
          <w:iCs/>
          <w:lang w:eastAsia="x-none"/>
        </w:rPr>
        <w:t>contratación directa</w:t>
      </w:r>
      <w:r w:rsidRPr="00B54967">
        <w:rPr>
          <w:rFonts w:ascii="Verdana" w:hAnsi="Verdana" w:cs="Arial"/>
          <w:lang w:eastAsia="en-GB"/>
        </w:rPr>
        <w:t>”</w:t>
      </w:r>
      <w:r w:rsidRPr="00B54967">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B54967">
        <w:rPr>
          <w:rFonts w:ascii="Verdana" w:hAnsi="Verdana" w:cs="Arial"/>
          <w:vertAlign w:val="superscript"/>
          <w:lang w:val="en-GB" w:eastAsia="x-none"/>
        </w:rPr>
        <w:footnoteReference w:id="19"/>
      </w:r>
      <w:r w:rsidRPr="00B54967">
        <w:rPr>
          <w:rFonts w:ascii="Verdana" w:hAnsi="Verdana" w:cs="Arial"/>
          <w:lang w:eastAsia="x-none"/>
        </w:rPr>
        <w:t>, han establecido sistemas de contratación que implican convocatoria pública y participación de varios oferentes</w:t>
      </w:r>
      <w:r w:rsidRPr="00B54967">
        <w:rPr>
          <w:rFonts w:ascii="Verdana" w:hAnsi="Verdana" w:cs="Arial"/>
          <w:lang w:eastAsia="en-GB"/>
        </w:rPr>
        <w:t>”</w:t>
      </w:r>
      <w:r w:rsidRPr="00B54967">
        <w:rPr>
          <w:rFonts w:ascii="Verdana" w:hAnsi="Verdana" w:cs="Arial"/>
          <w:lang w:eastAsia="x-none"/>
        </w:rPr>
        <w:t>.</w:t>
      </w:r>
    </w:p>
    <w:p w14:paraId="7470456D" w14:textId="77777777" w:rsidR="00B54967" w:rsidRPr="00B54967" w:rsidRDefault="00B54967" w:rsidP="00B54967">
      <w:pPr>
        <w:spacing w:after="120" w:line="276" w:lineRule="auto"/>
        <w:ind w:firstLine="709"/>
        <w:jc w:val="both"/>
        <w:rPr>
          <w:rFonts w:ascii="Verdana" w:hAnsi="Verdana" w:cs="Arial"/>
          <w:bCs/>
          <w:lang w:eastAsia="es-CO"/>
        </w:rPr>
      </w:pPr>
      <w:r w:rsidRPr="00B54967">
        <w:rPr>
          <w:rFonts w:ascii="Verdana" w:hAnsi="Verdana" w:cs="Arial"/>
          <w:bCs/>
          <w:lang w:eastAsia="x-none"/>
        </w:rPr>
        <w:t>E</w:t>
      </w:r>
      <w:r w:rsidRPr="00B54967">
        <w:rPr>
          <w:rFonts w:ascii="Verdana" w:hAnsi="Verdana" w:cs="Arial"/>
          <w:lang w:eastAsia="x-none"/>
        </w:rPr>
        <w:t xml:space="preserve">n efecto, vale la pena mencionar que, </w:t>
      </w:r>
      <w:bookmarkStart w:id="15" w:name="_Hlk75636073"/>
      <w:r w:rsidRPr="00B54967">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B54967">
        <w:rPr>
          <w:rFonts w:ascii="Verdana" w:hAnsi="Verdana" w:cs="Arial"/>
          <w:i/>
          <w:iCs/>
          <w:lang w:eastAsia="x-none"/>
        </w:rPr>
        <w:t>“contratación directa</w:t>
      </w:r>
      <w:r w:rsidRPr="00B54967">
        <w:rPr>
          <w:rFonts w:ascii="Verdana" w:hAnsi="Verdana" w:cs="Arial"/>
          <w:lang w:eastAsia="x-none"/>
        </w:rPr>
        <w:t>”, es que la convocatoria para inscribirse en forma previa se haga de manera pública, y que se permita la participación de una pluralidad de oferentes</w:t>
      </w:r>
      <w:bookmarkEnd w:id="15"/>
      <w:r w:rsidRPr="00B54967">
        <w:rPr>
          <w:rFonts w:ascii="Verdana" w:hAnsi="Verdana" w:cs="Arial"/>
          <w:vertAlign w:val="superscript"/>
          <w:lang w:eastAsia="x-none"/>
        </w:rPr>
        <w:footnoteReference w:id="20"/>
      </w:r>
      <w:r w:rsidRPr="00B54967">
        <w:rPr>
          <w:rFonts w:ascii="Verdana" w:hAnsi="Verdana" w:cs="Arial"/>
          <w:lang w:eastAsia="x-none"/>
        </w:rPr>
        <w:t xml:space="preserve">. </w:t>
      </w:r>
    </w:p>
    <w:p w14:paraId="12246FB8" w14:textId="77777777" w:rsidR="00B54967" w:rsidRPr="00B54967" w:rsidRDefault="00B54967" w:rsidP="00B54967">
      <w:pPr>
        <w:spacing w:after="120" w:line="276" w:lineRule="auto"/>
        <w:ind w:firstLine="709"/>
        <w:jc w:val="both"/>
        <w:rPr>
          <w:rFonts w:ascii="Verdana" w:hAnsi="Verdana" w:cs="Arial"/>
          <w:bCs/>
          <w:lang w:eastAsia="es-CO"/>
        </w:rPr>
      </w:pPr>
      <w:r w:rsidRPr="00B54967">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B54967">
        <w:rPr>
          <w:rFonts w:ascii="Verdana" w:hAnsi="Verdana" w:cs="Arial"/>
          <w:bCs/>
          <w:i/>
          <w:iCs/>
          <w:lang w:eastAsia="es-CO"/>
        </w:rPr>
        <w:t>“contratación directa”.</w:t>
      </w:r>
    </w:p>
    <w:p w14:paraId="1ADEA8E8" w14:textId="77777777" w:rsidR="00B54967" w:rsidRPr="00B54967" w:rsidRDefault="00B54967" w:rsidP="00B54967">
      <w:pPr>
        <w:spacing w:after="120" w:line="276" w:lineRule="auto"/>
        <w:ind w:firstLine="709"/>
        <w:jc w:val="both"/>
        <w:rPr>
          <w:rFonts w:ascii="Verdana" w:hAnsi="Verdana" w:cs="Arial"/>
          <w:vertAlign w:val="superscript"/>
          <w:lang w:eastAsia="x-none"/>
        </w:rPr>
      </w:pPr>
      <w:bookmarkStart w:id="16" w:name="_Hlk78818796"/>
      <w:r w:rsidRPr="00B54967">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w:t>
      </w:r>
      <w:r w:rsidRPr="00B54967">
        <w:rPr>
          <w:rFonts w:ascii="Verdana" w:hAnsi="Verdana" w:cs="Arial"/>
          <w:bCs/>
          <w:lang w:eastAsia="x-none"/>
        </w:rPr>
        <w:lastRenderedPageBreak/>
        <w:t>selección o procedimiento de contratación utilizado por las entidades estatales que no incluya la convocatoria pública en alguna de sus etapas, ni permita la participación de una pluralidad de oferentes</w:t>
      </w:r>
      <w:r w:rsidRPr="00B54967">
        <w:rPr>
          <w:rFonts w:ascii="Verdana" w:hAnsi="Verdana" w:cs="Arial"/>
          <w:vertAlign w:val="superscript"/>
          <w:lang w:eastAsia="x-none"/>
        </w:rPr>
        <w:footnoteReference w:id="21"/>
      </w:r>
      <w:r w:rsidRPr="00B54967">
        <w:rPr>
          <w:rFonts w:ascii="Verdana" w:hAnsi="Verdana" w:cs="Arial"/>
          <w:lang w:eastAsia="x-none"/>
        </w:rPr>
        <w:t>.</w:t>
      </w:r>
      <w:r w:rsidRPr="00B54967">
        <w:rPr>
          <w:rFonts w:ascii="Verdana" w:hAnsi="Verdana" w:cs="Arial"/>
          <w:vertAlign w:val="superscript"/>
          <w:lang w:eastAsia="x-none"/>
        </w:rPr>
        <w:t xml:space="preserve"> </w:t>
      </w:r>
    </w:p>
    <w:p w14:paraId="6B02958F" w14:textId="77777777" w:rsidR="00B54967" w:rsidRPr="00B54967" w:rsidRDefault="00B54967" w:rsidP="00B54967">
      <w:pPr>
        <w:spacing w:after="120" w:line="276" w:lineRule="auto"/>
        <w:ind w:firstLine="709"/>
        <w:jc w:val="both"/>
        <w:rPr>
          <w:rFonts w:ascii="Verdana" w:hAnsi="Verdana" w:cs="Arial"/>
          <w:lang w:eastAsia="x-none"/>
        </w:rPr>
      </w:pPr>
      <w:r w:rsidRPr="00B54967">
        <w:rPr>
          <w:rFonts w:ascii="Verdana" w:hAnsi="Verdana" w:cs="Arial"/>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sidRPr="00B54967">
        <w:rPr>
          <w:rFonts w:ascii="Verdana" w:hAnsi="Verdana" w:cs="Arial"/>
          <w:vertAlign w:val="superscript"/>
          <w:lang w:eastAsia="x-none"/>
        </w:rPr>
        <w:footnoteReference w:id="22"/>
      </w:r>
      <w:r w:rsidRPr="00B54967">
        <w:rPr>
          <w:rFonts w:ascii="Verdana" w:hAnsi="Verdana" w:cs="Arial"/>
          <w:lang w:eastAsia="x-none"/>
        </w:rPr>
        <w:t>.</w:t>
      </w:r>
    </w:p>
    <w:bookmarkEnd w:id="16"/>
    <w:p w14:paraId="5D308183" w14:textId="77777777" w:rsidR="00B54967" w:rsidRPr="00B54967" w:rsidRDefault="00B54967" w:rsidP="00B54967">
      <w:pPr>
        <w:spacing w:after="120" w:line="276" w:lineRule="auto"/>
        <w:ind w:firstLine="709"/>
        <w:jc w:val="both"/>
        <w:rPr>
          <w:rFonts w:ascii="Verdana" w:hAnsi="Verdana" w:cs="Arial"/>
          <w:lang w:eastAsia="x-none"/>
        </w:rPr>
      </w:pPr>
      <w:r w:rsidRPr="00B54967">
        <w:rPr>
          <w:rFonts w:ascii="Verdana" w:hAnsi="Verdana" w:cs="Arial"/>
          <w:bCs/>
          <w:lang w:eastAsia="x-none"/>
        </w:rPr>
        <w:t>De lo anterior se desprende que la restricción aplica, sin perjuicio de las excepciones establecidas en la misma ley, para celebrar cualquier contrato de forma directa, esto es, sin que exista un proceso abierto y competitivo.</w:t>
      </w:r>
      <w:r w:rsidRPr="00B5496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 período preelectoral de que trata la disposición las entidades públicas pueden seguir contratando bajo estos sistemas.</w:t>
      </w:r>
    </w:p>
    <w:p w14:paraId="28E57474" w14:textId="77777777" w:rsidR="00B54967" w:rsidRPr="00B54967" w:rsidRDefault="00B54967" w:rsidP="00B54967">
      <w:pPr>
        <w:spacing w:after="120" w:line="276" w:lineRule="auto"/>
        <w:ind w:firstLine="709"/>
        <w:jc w:val="both"/>
        <w:rPr>
          <w:rFonts w:ascii="Verdana" w:hAnsi="Verdana" w:cs="Arial"/>
          <w:bCs/>
          <w:color w:val="000000" w:themeColor="text1"/>
          <w:lang w:val="es-MX" w:eastAsia="x-none"/>
        </w:rPr>
      </w:pPr>
      <w:r w:rsidRPr="00B54967">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00B54967">
        <w:rPr>
          <w:rFonts w:ascii="Verdana" w:hAnsi="Verdana" w:cs="Arial"/>
          <w:i/>
          <w:color w:val="000000" w:themeColor="text1"/>
          <w:lang w:val="es-MX"/>
        </w:rPr>
        <w:t>todos los entes del Estado</w:t>
      </w:r>
      <w:r w:rsidRPr="00B54967">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05B15545" w14:textId="77777777" w:rsidR="00B54967" w:rsidRPr="00B54967" w:rsidRDefault="00B54967" w:rsidP="00B54967">
      <w:pPr>
        <w:spacing w:after="120" w:line="276" w:lineRule="auto"/>
        <w:ind w:firstLine="709"/>
        <w:jc w:val="both"/>
        <w:rPr>
          <w:rFonts w:ascii="Verdana" w:hAnsi="Verdana" w:cs="Arial"/>
          <w:color w:val="000000" w:themeColor="text1"/>
          <w:lang w:val="es-MX"/>
        </w:rPr>
      </w:pPr>
      <w:r w:rsidRPr="00B54967">
        <w:rPr>
          <w:rFonts w:ascii="Verdana" w:hAnsi="Verdana" w:cs="Arial"/>
          <w:color w:val="000000" w:themeColor="text1"/>
          <w:lang w:val="es-MX"/>
        </w:rPr>
        <w:lastRenderedPageBreak/>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B54967">
        <w:rPr>
          <w:rFonts w:ascii="Verdana" w:hAnsi="Verdana" w:cs="Arial"/>
          <w:color w:val="000000" w:themeColor="text1"/>
          <w:vertAlign w:val="superscript"/>
          <w:lang w:val="es-MX"/>
        </w:rPr>
        <w:footnoteReference w:id="23"/>
      </w:r>
      <w:r w:rsidRPr="00B54967">
        <w:rPr>
          <w:rFonts w:ascii="Verdana" w:hAnsi="Verdana" w:cs="Arial"/>
          <w:color w:val="000000" w:themeColor="text1"/>
          <w:lang w:val="es-MX"/>
        </w:rPr>
        <w:t xml:space="preserve">. </w:t>
      </w:r>
    </w:p>
    <w:p w14:paraId="7F20E458" w14:textId="77777777" w:rsidR="00B54967" w:rsidRPr="00B54967" w:rsidRDefault="00B54967" w:rsidP="00B54967">
      <w:pPr>
        <w:spacing w:after="0" w:line="276" w:lineRule="auto"/>
        <w:ind w:firstLine="709"/>
        <w:jc w:val="both"/>
        <w:rPr>
          <w:rFonts w:ascii="Verdana" w:hAnsi="Verdana" w:cs="Arial"/>
          <w:color w:val="000000" w:themeColor="text1"/>
          <w:lang w:val="es-MX"/>
        </w:rPr>
      </w:pPr>
      <w:r w:rsidRPr="00B54967">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B54967">
        <w:rPr>
          <w:rFonts w:ascii="Verdana" w:hAnsi="Verdana" w:cs="Arial"/>
          <w:color w:val="000000" w:themeColor="text1"/>
          <w:vertAlign w:val="superscript"/>
          <w:lang w:val="es-MX"/>
        </w:rPr>
        <w:footnoteReference w:id="24"/>
      </w:r>
      <w:r w:rsidRPr="00B54967">
        <w:rPr>
          <w:rFonts w:ascii="Verdana" w:hAnsi="Verdana" w:cs="Arial"/>
          <w:color w:val="000000" w:themeColor="text1"/>
          <w:lang w:val="es-MX"/>
        </w:rPr>
        <w:t>. Además, la Sala de Consulta y Servicio Civil del Consejo de Estado realizó la siguiente distinción, retomando el pronunciamiento de la misma sala del 20 de febrero de 2006, citado anteriormente:</w:t>
      </w:r>
    </w:p>
    <w:p w14:paraId="2BE51196" w14:textId="77777777" w:rsidR="00B54967" w:rsidRPr="00B54967" w:rsidRDefault="00B54967" w:rsidP="00B54967">
      <w:pPr>
        <w:spacing w:after="0" w:line="240" w:lineRule="auto"/>
        <w:ind w:firstLine="709"/>
        <w:jc w:val="both"/>
        <w:rPr>
          <w:rFonts w:ascii="Verdana" w:hAnsi="Verdana" w:cs="Arial"/>
          <w:color w:val="000000" w:themeColor="text1"/>
          <w:lang w:val="es-MX"/>
        </w:rPr>
      </w:pPr>
    </w:p>
    <w:p w14:paraId="0DE066A9" w14:textId="77777777" w:rsidR="00B54967" w:rsidRPr="00B54967" w:rsidRDefault="00B54967" w:rsidP="00B54967">
      <w:pPr>
        <w:spacing w:after="0" w:line="240" w:lineRule="auto"/>
        <w:ind w:left="709" w:right="709"/>
        <w:jc w:val="both"/>
        <w:rPr>
          <w:rFonts w:ascii="Verdana" w:hAnsi="Verdana" w:cs="Arial"/>
          <w:color w:val="000000" w:themeColor="text1"/>
          <w:sz w:val="20"/>
          <w:szCs w:val="20"/>
          <w:lang w:val="es-MX"/>
        </w:rPr>
      </w:pPr>
      <w:r w:rsidRPr="00B54967">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w:t>
      </w:r>
      <w:r w:rsidRPr="00B54967">
        <w:rPr>
          <w:rFonts w:ascii="Verdana" w:hAnsi="Verdana" w:cs="Arial"/>
          <w:color w:val="000000" w:themeColor="text1"/>
          <w:sz w:val="20"/>
          <w:szCs w:val="20"/>
          <w:lang w:val="es-MX"/>
        </w:rPr>
        <w:lastRenderedPageBreak/>
        <w:t>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74CF1996" w14:textId="77777777" w:rsidR="00B54967" w:rsidRPr="00B54967" w:rsidRDefault="00B54967" w:rsidP="00B54967">
      <w:pPr>
        <w:spacing w:after="0" w:line="240" w:lineRule="auto"/>
        <w:ind w:left="709" w:right="709"/>
        <w:jc w:val="both"/>
        <w:rPr>
          <w:rFonts w:ascii="Verdana" w:hAnsi="Verdana" w:cs="Arial"/>
          <w:color w:val="000000" w:themeColor="text1"/>
          <w:sz w:val="20"/>
          <w:szCs w:val="20"/>
          <w:lang w:val="es-MX"/>
        </w:rPr>
      </w:pPr>
    </w:p>
    <w:p w14:paraId="48159889" w14:textId="77777777" w:rsidR="00B54967" w:rsidRPr="00B54967" w:rsidRDefault="00B54967" w:rsidP="00B54967">
      <w:pPr>
        <w:spacing w:after="0" w:line="240" w:lineRule="auto"/>
        <w:ind w:left="709" w:right="709"/>
        <w:jc w:val="both"/>
        <w:rPr>
          <w:rFonts w:ascii="Verdana" w:hAnsi="Verdana" w:cs="Arial"/>
          <w:color w:val="000000" w:themeColor="text1"/>
          <w:sz w:val="20"/>
          <w:szCs w:val="20"/>
          <w:lang w:val="es-MX" w:eastAsia="x-none"/>
        </w:rPr>
      </w:pPr>
      <w:r w:rsidRPr="00B54967">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B54967">
        <w:rPr>
          <w:rFonts w:ascii="Verdana" w:hAnsi="Verdana" w:cs="Arial"/>
          <w:color w:val="000000" w:themeColor="text1"/>
          <w:sz w:val="20"/>
          <w:szCs w:val="20"/>
          <w:vertAlign w:val="superscript"/>
          <w:lang w:val="es-MX"/>
        </w:rPr>
        <w:footnoteReference w:id="25"/>
      </w:r>
      <w:r w:rsidRPr="00B54967">
        <w:rPr>
          <w:rFonts w:ascii="Verdana" w:hAnsi="Verdana" w:cs="Arial"/>
          <w:color w:val="000000" w:themeColor="text1"/>
          <w:sz w:val="20"/>
          <w:szCs w:val="20"/>
          <w:lang w:val="es-MX" w:eastAsia="x-none"/>
        </w:rPr>
        <w:t>.</w:t>
      </w:r>
    </w:p>
    <w:p w14:paraId="7F89A226" w14:textId="77777777" w:rsidR="00B54967" w:rsidRPr="00B54967" w:rsidRDefault="00B54967" w:rsidP="00B54967">
      <w:pPr>
        <w:spacing w:after="0" w:line="240" w:lineRule="auto"/>
        <w:ind w:firstLine="709"/>
        <w:jc w:val="both"/>
        <w:rPr>
          <w:rFonts w:ascii="Verdana" w:hAnsi="Verdana" w:cs="Arial"/>
          <w:color w:val="000000" w:themeColor="text1"/>
          <w:lang w:val="es-MX"/>
        </w:rPr>
      </w:pPr>
    </w:p>
    <w:p w14:paraId="5E1E7899" w14:textId="77777777" w:rsidR="00B54967" w:rsidRPr="00B54967" w:rsidRDefault="00B54967" w:rsidP="00B54967">
      <w:pPr>
        <w:spacing w:after="120" w:line="276" w:lineRule="auto"/>
        <w:ind w:firstLine="709"/>
        <w:jc w:val="both"/>
        <w:rPr>
          <w:rFonts w:ascii="Verdana" w:hAnsi="Verdana" w:cs="Arial"/>
          <w:color w:val="000000" w:themeColor="text1"/>
          <w:lang w:eastAsia="es-CO"/>
        </w:rPr>
      </w:pPr>
      <w:r w:rsidRPr="00B54967">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Estatuto General de Contratación de la Administración Pública y que se rigen en materia contractual por el derecho privado. Sin embargo, señaló que algunas de estas entidades, como sucede con las empresas de servicios públicos domiciliarios, los establecimientos de crédito, las sociedades de servicios financieros y las entidades aseguradoras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B54967">
        <w:rPr>
          <w:rFonts w:ascii="Verdana" w:hAnsi="Verdana" w:cs="Arial"/>
          <w:color w:val="000000" w:themeColor="text1"/>
          <w:vertAlign w:val="superscript"/>
          <w:lang w:val="es-MX"/>
        </w:rPr>
        <w:footnoteReference w:id="26"/>
      </w:r>
      <w:r w:rsidRPr="00B54967">
        <w:rPr>
          <w:rFonts w:ascii="Verdana" w:hAnsi="Verdana" w:cs="Arial"/>
          <w:color w:val="000000" w:themeColor="text1"/>
          <w:lang w:val="es-MX"/>
        </w:rPr>
        <w:t>.</w:t>
      </w:r>
      <w:r w:rsidRPr="00B54967">
        <w:rPr>
          <w:rFonts w:ascii="Verdana" w:hAnsi="Verdana" w:cs="Arial"/>
          <w:color w:val="000000" w:themeColor="text1"/>
          <w:lang w:eastAsia="es-CO"/>
        </w:rPr>
        <w:t xml:space="preserve"> </w:t>
      </w:r>
    </w:p>
    <w:p w14:paraId="52057BE5" w14:textId="77777777" w:rsidR="00B54967" w:rsidRPr="00B54967" w:rsidRDefault="00B54967" w:rsidP="00B54967">
      <w:pPr>
        <w:spacing w:after="120" w:line="276" w:lineRule="auto"/>
        <w:ind w:firstLine="709"/>
        <w:jc w:val="both"/>
        <w:rPr>
          <w:rFonts w:ascii="Verdana" w:hAnsi="Verdana" w:cs="Arial"/>
          <w:color w:val="000000" w:themeColor="text1"/>
          <w:lang w:eastAsia="es-CO"/>
        </w:rPr>
      </w:pPr>
      <w:r w:rsidRPr="00B54967">
        <w:rPr>
          <w:rFonts w:ascii="Verdana" w:hAnsi="Verdana" w:cs="Arial"/>
          <w:color w:val="000000" w:themeColor="text1"/>
          <w:lang w:eastAsia="es-CO"/>
        </w:rPr>
        <w:t>Conforme los pronunciamientos de la Sala de Consulta y Servicio Civil</w:t>
      </w:r>
      <w:r w:rsidRPr="00B54967">
        <w:rPr>
          <w:rFonts w:ascii="Verdana" w:hAnsi="Verdana" w:cs="Arial"/>
          <w:color w:val="000000" w:themeColor="text1"/>
          <w:lang w:val="es-MX"/>
        </w:rPr>
        <w:t xml:space="preserve">, la restricción prevista en la Ley 996 de 2005 </w:t>
      </w:r>
      <w:r w:rsidRPr="00B54967">
        <w:rPr>
          <w:rFonts w:ascii="Verdana" w:hAnsi="Verdana" w:cs="Arial"/>
          <w:bCs/>
          <w:color w:val="000000" w:themeColor="text1"/>
          <w:lang w:val="es-MX" w:eastAsia="x-none"/>
        </w:rPr>
        <w:t xml:space="preserve">cobija a cualquier entidad pública independiente del régimen jurídico, que pueda mediante la contratación directa </w:t>
      </w:r>
      <w:r w:rsidRPr="00B54967">
        <w:rPr>
          <w:rFonts w:ascii="Verdana" w:hAnsi="Verdana" w:cs="Arial"/>
          <w:bCs/>
          <w:color w:val="000000" w:themeColor="text1"/>
          <w:lang w:val="es-MX" w:eastAsia="x-none"/>
        </w:rPr>
        <w:lastRenderedPageBreak/>
        <w:t xml:space="preserve">romper el equilibrio entre los candidatos en desarrollo de las elecciones presidenciales. </w:t>
      </w:r>
    </w:p>
    <w:p w14:paraId="376ED2C3" w14:textId="77777777" w:rsidR="00B54967" w:rsidRPr="00B54967" w:rsidRDefault="00B54967" w:rsidP="00B54967">
      <w:pPr>
        <w:spacing w:after="120" w:line="276" w:lineRule="auto"/>
        <w:ind w:firstLine="709"/>
        <w:jc w:val="both"/>
        <w:rPr>
          <w:rFonts w:ascii="Verdana" w:hAnsi="Verdana" w:cs="Arial"/>
          <w:bCs/>
          <w:color w:val="000000" w:themeColor="text1"/>
          <w:lang w:val="es-MX" w:eastAsia="x-none"/>
        </w:rPr>
      </w:pPr>
      <w:r w:rsidRPr="00B54967">
        <w:rPr>
          <w:rFonts w:ascii="Verdana" w:hAnsi="Verdana" w:cs="Arial"/>
          <w:color w:val="000000" w:themeColor="text1"/>
          <w:lang w:val="es-MX"/>
        </w:rPr>
        <w:t xml:space="preserve">No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31986320" w14:textId="77777777" w:rsidR="00B54967" w:rsidRPr="00B54967" w:rsidRDefault="00B54967" w:rsidP="00B54967">
      <w:pPr>
        <w:spacing w:after="120" w:line="276" w:lineRule="auto"/>
        <w:ind w:firstLine="709"/>
        <w:jc w:val="both"/>
        <w:rPr>
          <w:rFonts w:ascii="Verdana" w:eastAsia="Times New Roman" w:hAnsi="Verdana" w:cs="Arial"/>
          <w:bCs/>
          <w:lang w:val="es-ES" w:eastAsia="es-CO" w:bidi="es-ES"/>
        </w:rPr>
      </w:pPr>
      <w:r w:rsidRPr="00B54967">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B54967">
        <w:rPr>
          <w:rFonts w:ascii="Verdana" w:eastAsia="Times New Roman" w:hAnsi="Verdana" w:cs="Arial"/>
          <w:bCs/>
          <w:lang w:val="es-ES" w:eastAsia="es-CO" w:bidi="es-ES"/>
        </w:rPr>
        <w:t>ii</w:t>
      </w:r>
      <w:proofErr w:type="spellEnd"/>
      <w:r w:rsidRPr="00B54967">
        <w:rPr>
          <w:rFonts w:ascii="Verdana" w:eastAsia="Times New Roman" w:hAnsi="Verdana" w:cs="Arial"/>
          <w:bCs/>
          <w:lang w:val="es-ES" w:eastAsia="es-CO" w:bidi="es-ES"/>
        </w:rPr>
        <w:t xml:space="preserve">) los contratos de crédito público; </w:t>
      </w:r>
      <w:proofErr w:type="spellStart"/>
      <w:r w:rsidRPr="00B54967">
        <w:rPr>
          <w:rFonts w:ascii="Verdana" w:eastAsia="Times New Roman" w:hAnsi="Verdana" w:cs="Arial"/>
          <w:bCs/>
          <w:lang w:val="es-ES" w:eastAsia="es-CO" w:bidi="es-ES"/>
        </w:rPr>
        <w:t>iii</w:t>
      </w:r>
      <w:proofErr w:type="spellEnd"/>
      <w:r w:rsidRPr="00B54967">
        <w:rPr>
          <w:rFonts w:ascii="Verdana" w:eastAsia="Times New Roman" w:hAnsi="Verdana" w:cs="Arial"/>
          <w:bCs/>
          <w:lang w:val="es-ES" w:eastAsia="es-CO" w:bidi="es-ES"/>
        </w:rPr>
        <w:t xml:space="preserve">) los requeridos para cubrir las emergencias educativas, sanitarias y desastres; </w:t>
      </w:r>
      <w:proofErr w:type="spellStart"/>
      <w:r w:rsidRPr="00B54967">
        <w:rPr>
          <w:rFonts w:ascii="Verdana" w:eastAsia="Times New Roman" w:hAnsi="Verdana" w:cs="Arial"/>
          <w:bCs/>
          <w:lang w:val="es-ES" w:eastAsia="es-CO" w:bidi="es-ES"/>
        </w:rPr>
        <w:t>iv</w:t>
      </w:r>
      <w:proofErr w:type="spellEnd"/>
      <w:r w:rsidRPr="00B54967">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3E1F85C3" w14:textId="77777777" w:rsidR="00B54967" w:rsidRPr="00B54967" w:rsidRDefault="00B54967" w:rsidP="00B54967">
      <w:pPr>
        <w:spacing w:after="120" w:line="276" w:lineRule="auto"/>
        <w:ind w:firstLine="709"/>
        <w:jc w:val="both"/>
        <w:rPr>
          <w:rFonts w:ascii="Verdana" w:hAnsi="Verdana" w:cs="Arial"/>
          <w:bCs/>
          <w:lang w:eastAsia="x-none"/>
        </w:rPr>
      </w:pPr>
      <w:r w:rsidRPr="00B54967">
        <w:rPr>
          <w:rFonts w:ascii="Verdana" w:eastAsia="Times New Roman" w:hAnsi="Verdana" w:cs="Arial"/>
          <w:bCs/>
          <w:lang w:val="es-ES" w:eastAsia="es-CO" w:bidi="es-ES"/>
        </w:rPr>
        <w:t xml:space="preserve">En todo caso, </w:t>
      </w:r>
      <w:r w:rsidRPr="00B54967">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5A5B5A16" w14:textId="77777777" w:rsidR="00B54967" w:rsidRPr="00B54967" w:rsidRDefault="00B54967" w:rsidP="00B54967">
      <w:pPr>
        <w:spacing w:after="120" w:line="276" w:lineRule="auto"/>
        <w:ind w:firstLine="709"/>
        <w:jc w:val="both"/>
        <w:rPr>
          <w:rFonts w:ascii="Verdana" w:hAnsi="Verdana" w:cs="Arial"/>
          <w:bCs/>
          <w:lang w:val="es-MX" w:eastAsia="x-none"/>
        </w:rPr>
      </w:pPr>
      <w:r w:rsidRPr="00B54967">
        <w:rPr>
          <w:rFonts w:ascii="Verdana" w:hAnsi="Verdana" w:cs="Arial"/>
          <w:bCs/>
          <w:lang w:val="es-MX" w:eastAsia="x-none"/>
        </w:rPr>
        <w:t xml:space="preserve">En esta labor es importante tener en cuenta, como lo anotó la Corte Constitucional, en Sentencia C-1153 de noviembre 11 de 2005 </w:t>
      </w:r>
      <w:bookmarkStart w:id="18" w:name="_Hlk74309042"/>
      <w:r w:rsidRPr="00B54967">
        <w:rPr>
          <w:rFonts w:ascii="Verdana" w:hAnsi="Verdana" w:cs="Arial"/>
          <w:bCs/>
          <w:lang w:val="es-MX" w:eastAsia="x-none"/>
        </w:rPr>
        <w:t>que “</w:t>
      </w:r>
      <w:bookmarkEnd w:id="18"/>
      <w:r w:rsidRPr="00B54967">
        <w:rPr>
          <w:rFonts w:ascii="Verdana" w:hAnsi="Verdana" w:cs="Arial"/>
          <w:bCs/>
          <w:lang w:val="es-MX" w:eastAsia="x-none"/>
        </w:rPr>
        <w:t xml:space="preserve">si bien la limitación garantiza la igualdad de condiciones, también es necesario que tal limitación que pretende la igualdad </w:t>
      </w:r>
      <w:bookmarkStart w:id="19" w:name="_Hlk75768308"/>
      <w:r w:rsidRPr="00B54967">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sidRPr="00B54967">
        <w:rPr>
          <w:rFonts w:ascii="Verdana" w:hAnsi="Verdana" w:cs="Arial"/>
          <w:vertAlign w:val="superscript"/>
          <w:lang w:val="es-MX"/>
        </w:rPr>
        <w:footnoteReference w:id="27"/>
      </w:r>
      <w:r w:rsidRPr="00B54967">
        <w:rPr>
          <w:rFonts w:ascii="Verdana" w:hAnsi="Verdana" w:cs="Arial"/>
          <w:bCs/>
          <w:lang w:val="es-MX" w:eastAsia="x-none"/>
        </w:rPr>
        <w:t xml:space="preserve">. De ahí que la Corte haya señalado que las excepciones a la restricción protegen diversos tipos de </w:t>
      </w:r>
      <w:r w:rsidRPr="00B54967">
        <w:rPr>
          <w:rFonts w:ascii="Verdana" w:hAnsi="Verdana" w:cs="Arial"/>
          <w:bCs/>
          <w:lang w:val="es-MX" w:eastAsia="x-none"/>
        </w:rPr>
        <w:lastRenderedPageBreak/>
        <w:t>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9"/>
    </w:p>
    <w:p w14:paraId="7D9BEC6F" w14:textId="77777777" w:rsidR="00B54967" w:rsidRPr="00B54967" w:rsidRDefault="00B54967" w:rsidP="00B54967">
      <w:pPr>
        <w:spacing w:after="120" w:line="276" w:lineRule="auto"/>
        <w:ind w:firstLine="709"/>
        <w:jc w:val="both"/>
        <w:rPr>
          <w:rFonts w:ascii="Verdana" w:hAnsi="Verdana" w:cs="Arial"/>
          <w:bCs/>
          <w:lang w:val="es-MX" w:eastAsia="x-none"/>
        </w:rPr>
      </w:pPr>
      <w:r w:rsidRPr="00B54967">
        <w:rPr>
          <w:rFonts w:ascii="Verdana" w:hAnsi="Verdana" w:cs="Arial"/>
          <w:bCs/>
          <w:lang w:val="es-MX" w:eastAsia="x-none"/>
        </w:rPr>
        <w:t>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 Las excepciones establecidas en los artículos 32 y 33 en comento, guardan relación, exclusivamente, con algunos servicios públicos que por su naturaleza no admiten postergaciones en la atención de sus necesidades de personal, bienes y servicios (…)”</w:t>
      </w:r>
      <w:r w:rsidRPr="00B54967">
        <w:rPr>
          <w:rFonts w:ascii="Verdana" w:hAnsi="Verdana" w:cs="Arial"/>
          <w:vertAlign w:val="superscript"/>
          <w:lang w:val="es-ES_tradnl" w:eastAsia="es-CO"/>
        </w:rPr>
        <w:footnoteReference w:id="28"/>
      </w:r>
      <w:r w:rsidRPr="00B54967">
        <w:rPr>
          <w:rFonts w:ascii="Verdana" w:hAnsi="Verdana" w:cs="Arial"/>
          <w:bCs/>
          <w:lang w:val="es-MX" w:eastAsia="x-none"/>
        </w:rPr>
        <w:t>.</w:t>
      </w:r>
    </w:p>
    <w:p w14:paraId="61CA547C" w14:textId="77777777" w:rsidR="00B54967" w:rsidRPr="00B54967" w:rsidRDefault="00B54967" w:rsidP="00B54967">
      <w:pPr>
        <w:shd w:val="clear" w:color="auto" w:fill="FFFFFF" w:themeFill="background1"/>
        <w:spacing w:after="120" w:line="276" w:lineRule="auto"/>
        <w:ind w:firstLine="709"/>
        <w:jc w:val="both"/>
        <w:rPr>
          <w:rFonts w:ascii="Verdana" w:hAnsi="Verdana" w:cs="Arial"/>
          <w:lang w:val="es-ES" w:eastAsia="es-CO"/>
        </w:rPr>
      </w:pPr>
      <w:r w:rsidRPr="00B54967">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00B54967">
        <w:rPr>
          <w:rFonts w:ascii="Verdana" w:hAnsi="Verdana" w:cs="Arial"/>
          <w:lang w:val="es-ES" w:eastAsia="es-CO"/>
        </w:rPr>
        <w:t>exequibilidad</w:t>
      </w:r>
      <w:proofErr w:type="spellEnd"/>
      <w:r w:rsidRPr="00B54967">
        <w:rPr>
          <w:rFonts w:ascii="Verdana" w:hAnsi="Verdana" w:cs="Arial"/>
          <w:lang w:val="es-ES" w:eastAsia="es-CO"/>
        </w:rPr>
        <w:t>. Así, por ejemplo, la Corte Constitucional explicó que “(…)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00B54967">
        <w:rPr>
          <w:rFonts w:ascii="Verdana" w:hAnsi="Verdana" w:cs="Arial"/>
          <w:vertAlign w:val="superscript"/>
          <w:lang w:val="es-ES" w:eastAsia="es-CO"/>
        </w:rPr>
        <w:footnoteReference w:id="29"/>
      </w:r>
      <w:r w:rsidRPr="00B54967">
        <w:rPr>
          <w:rFonts w:ascii="Verdana" w:hAnsi="Verdana" w:cs="Arial"/>
          <w:lang w:val="es-ES" w:eastAsia="es-CO"/>
        </w:rPr>
        <w:t xml:space="preserve">. </w:t>
      </w:r>
    </w:p>
    <w:p w14:paraId="2A18041F" w14:textId="77777777" w:rsidR="00B54967" w:rsidRPr="00B54967" w:rsidRDefault="00B54967" w:rsidP="00B54967">
      <w:pPr>
        <w:shd w:val="clear" w:color="auto" w:fill="FFFFFF"/>
        <w:spacing w:after="120" w:line="276" w:lineRule="auto"/>
        <w:ind w:firstLine="709"/>
        <w:jc w:val="both"/>
        <w:rPr>
          <w:rFonts w:ascii="Verdana" w:hAnsi="Verdana" w:cs="Arial"/>
          <w:lang w:val="es-ES_tradnl" w:eastAsia="es-CO"/>
        </w:rPr>
      </w:pPr>
      <w:r w:rsidRPr="00B54967">
        <w:rPr>
          <w:rFonts w:ascii="Verdana" w:hAnsi="Verdana" w:cs="Arial"/>
          <w:bCs/>
          <w:lang w:val="es-ES_tradnl"/>
        </w:rPr>
        <w:t xml:space="preserve">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w:t>
      </w:r>
      <w:r w:rsidRPr="00B54967">
        <w:rPr>
          <w:rFonts w:ascii="Verdana" w:hAnsi="Verdana" w:cs="Arial"/>
          <w:bCs/>
          <w:lang w:val="es-ES_tradnl"/>
        </w:rPr>
        <w:lastRenderedPageBreak/>
        <w:t>expresamente en la norma permiten que ciertas entidades estatales se vean exceptuadas de la prohibición.</w:t>
      </w:r>
    </w:p>
    <w:p w14:paraId="7662E264" w14:textId="77777777" w:rsidR="00B54967" w:rsidRPr="00B54967" w:rsidRDefault="00B54967" w:rsidP="00B54967">
      <w:pPr>
        <w:spacing w:after="120" w:line="276" w:lineRule="auto"/>
        <w:ind w:firstLine="708"/>
        <w:jc w:val="both"/>
        <w:rPr>
          <w:rFonts w:ascii="Verdana" w:eastAsia="Calibri" w:hAnsi="Verdana" w:cs="Arial"/>
        </w:rPr>
      </w:pPr>
      <w:r w:rsidRPr="00B54967">
        <w:rPr>
          <w:rFonts w:ascii="Verdana" w:hAnsi="Verdana" w:cs="Arial"/>
          <w:bCs/>
          <w:lang w:val="es-MX" w:eastAsia="x-none"/>
        </w:rPr>
        <w:t>Entre las excepciones del artículo en comento se encuentran “(…) l</w:t>
      </w:r>
      <w:r w:rsidRPr="00B54967">
        <w:rPr>
          <w:rFonts w:ascii="Verdana" w:hAnsi="Verdana" w:cs="Arial"/>
          <w:bCs/>
          <w:lang w:eastAsia="x-none"/>
        </w:rPr>
        <w:t>os requeridos para cubrir las emergencias educativas, sanitarias y desastres (…)</w:t>
      </w:r>
      <w:r w:rsidRPr="00B54967">
        <w:rPr>
          <w:rFonts w:ascii="Verdana" w:hAnsi="Verdana" w:cs="Arial"/>
          <w:bCs/>
          <w:lang w:val="es-MX" w:eastAsia="x-none"/>
        </w:rPr>
        <w:t>”</w:t>
      </w:r>
      <w:r w:rsidRPr="00B54967">
        <w:rPr>
          <w:rFonts w:ascii="Verdana" w:eastAsia="Calibri" w:hAnsi="Verdana" w:cs="Arial"/>
        </w:rPr>
        <w:t xml:space="preserve">. Sobre el alcance de estas excepciones, es necesario tener en cuenta que el </w:t>
      </w:r>
      <w:r w:rsidRPr="00B54967">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B54967">
        <w:rPr>
          <w:rFonts w:ascii="Verdana" w:eastAsia="Calibri" w:hAnsi="Verdana" w:cs="Arial"/>
          <w:bCs/>
          <w:i/>
          <w:iCs/>
          <w:color w:val="000000" w:themeColor="text1"/>
        </w:rPr>
        <w:t>ibidem</w:t>
      </w:r>
      <w:r w:rsidRPr="00B54967">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B54967">
        <w:rPr>
          <w:rFonts w:ascii="Verdana" w:eastAsia="Calibri" w:hAnsi="Verdana" w:cs="Arial"/>
          <w:bCs/>
          <w:color w:val="000000" w:themeColor="text1"/>
          <w:vertAlign w:val="superscript"/>
        </w:rPr>
        <w:footnoteReference w:id="30"/>
      </w:r>
      <w:r w:rsidRPr="00B54967">
        <w:rPr>
          <w:rFonts w:ascii="Verdana" w:eastAsia="Calibri" w:hAnsi="Verdana" w:cs="Arial"/>
          <w:bCs/>
          <w:color w:val="000000" w:themeColor="text1"/>
        </w:rPr>
        <w:t>.</w:t>
      </w:r>
      <w:r w:rsidRPr="00B54967">
        <w:rPr>
          <w:rFonts w:ascii="Verdana" w:eastAsia="Calibri" w:hAnsi="Verdana" w:cs="Arial"/>
          <w:lang w:val="es-ES"/>
        </w:rPr>
        <w:t xml:space="preserve"> </w:t>
      </w:r>
    </w:p>
    <w:p w14:paraId="4A93FAF5" w14:textId="77777777" w:rsidR="00B54967" w:rsidRPr="00B54967" w:rsidRDefault="00B54967" w:rsidP="00B54967">
      <w:pPr>
        <w:spacing w:before="120" w:after="0" w:line="276" w:lineRule="auto"/>
        <w:ind w:firstLine="709"/>
        <w:jc w:val="both"/>
        <w:rPr>
          <w:rFonts w:ascii="Verdana" w:eastAsia="Calibri" w:hAnsi="Verdana" w:cs="Arial"/>
          <w:lang w:val="es-ES"/>
        </w:rPr>
      </w:pPr>
      <w:r w:rsidRPr="00B54967">
        <w:rPr>
          <w:rFonts w:ascii="Verdana" w:hAnsi="Verdana" w:cs="Arial"/>
          <w:lang w:val="es-ES"/>
        </w:rPr>
        <w:t xml:space="preserve">En segundo lugar, respecto del alcance del parágrafo </w:t>
      </w:r>
      <w:r w:rsidRPr="00B54967">
        <w:rPr>
          <w:rFonts w:ascii="Verdana" w:hAnsi="Verdana" w:cs="Arial"/>
        </w:rPr>
        <w:t xml:space="preserve">del artículo 38 de la Ley 996 de 2005, esta prohibición dispone en primera medida que: “[l]os Gobernadores, Alcaldes Municipales y/o Distritales, Secretarios, Gerentes y directores de Entidades Descentralizadas del orden Municipal, Departamental o Distrital, dentro de los cuatro (4) meses anteriores a las elecciones, no podrán celebrar </w:t>
      </w:r>
      <w:r w:rsidRPr="00B54967">
        <w:rPr>
          <w:rFonts w:ascii="Verdana" w:hAnsi="Verdana" w:cs="Arial"/>
          <w:i/>
          <w:iCs/>
        </w:rPr>
        <w:t>convenios interadministrativos</w:t>
      </w:r>
      <w:r w:rsidRPr="00B54967">
        <w:rPr>
          <w:rFonts w:ascii="Verdana" w:hAnsi="Verdana" w:cs="Arial"/>
        </w:rPr>
        <w:t xml:space="preserve"> </w:t>
      </w:r>
      <w:r w:rsidRPr="00B54967">
        <w:rPr>
          <w:rFonts w:ascii="Verdana" w:hAnsi="Verdana" w:cs="Arial"/>
          <w:i/>
          <w:iCs/>
        </w:rPr>
        <w:t>para la ejecución de recursos públicos</w:t>
      </w:r>
      <w:r w:rsidRPr="00B54967">
        <w:rPr>
          <w:rFonts w:ascii="Verdana" w:hAnsi="Verdana" w:cs="Arial"/>
        </w:rPr>
        <w:t>”.</w:t>
      </w:r>
      <w:r w:rsidRPr="00B54967">
        <w:rPr>
          <w:rFonts w:ascii="Verdana" w:eastAsia="Times New Roman" w:hAnsi="Verdana" w:cs="Arial"/>
          <w:lang w:val="es-MX" w:eastAsia="x-none"/>
        </w:rPr>
        <w:t xml:space="preserve"> (Énfasis fuera del texto original)</w:t>
      </w:r>
    </w:p>
    <w:p w14:paraId="2A0F60BF" w14:textId="77777777" w:rsidR="00B54967" w:rsidRPr="00B54967" w:rsidRDefault="00B54967" w:rsidP="00B54967">
      <w:pPr>
        <w:spacing w:before="120" w:after="0" w:line="276" w:lineRule="auto"/>
        <w:ind w:firstLine="709"/>
        <w:jc w:val="both"/>
        <w:rPr>
          <w:rFonts w:ascii="Verdana" w:eastAsia="Calibri" w:hAnsi="Verdana" w:cs="Arial"/>
          <w:lang w:val="es-ES"/>
        </w:rPr>
      </w:pPr>
      <w:r w:rsidRPr="00B54967">
        <w:rPr>
          <w:rFonts w:ascii="Verdana" w:eastAsia="Times New Roman" w:hAnsi="Verdana" w:cs="Arial"/>
          <w:lang w:val="es-ES" w:eastAsia="es-ES"/>
        </w:rPr>
        <w:t xml:space="preserve">Para tales efectos, debe precisarse que </w:t>
      </w:r>
      <w:r w:rsidRPr="00B54967">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B54967">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B54967">
        <w:rPr>
          <w:rFonts w:ascii="Verdana" w:hAnsi="Verdana" w:cs="Arial"/>
          <w:vertAlign w:val="superscript"/>
          <w:lang w:eastAsia="es-ES"/>
        </w:rPr>
        <w:footnoteReference w:id="31"/>
      </w:r>
      <w:r w:rsidRPr="00B54967">
        <w:rPr>
          <w:rFonts w:ascii="Verdana" w:hAnsi="Verdana" w:cs="Arial"/>
          <w:lang w:eastAsia="es-ES"/>
        </w:rPr>
        <w:t>.</w:t>
      </w:r>
    </w:p>
    <w:p w14:paraId="2AFF4DC3" w14:textId="77777777" w:rsidR="00B54967" w:rsidRPr="00B54967" w:rsidRDefault="00B54967" w:rsidP="00B54967">
      <w:pPr>
        <w:spacing w:before="120" w:after="0" w:line="276" w:lineRule="auto"/>
        <w:ind w:firstLine="709"/>
        <w:jc w:val="both"/>
        <w:rPr>
          <w:rFonts w:ascii="Verdana" w:eastAsia="Calibri" w:hAnsi="Verdana" w:cs="Arial"/>
          <w:lang w:val="es-ES"/>
        </w:rPr>
      </w:pPr>
      <w:r w:rsidRPr="00B54967">
        <w:rPr>
          <w:rFonts w:ascii="Verdana" w:hAnsi="Verdana" w:cs="Arial"/>
          <w:color w:val="000000" w:themeColor="text1"/>
          <w:lang w:val="es-ES_tradnl"/>
        </w:rPr>
        <w:lastRenderedPageBreak/>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1F570B88" w14:textId="77777777" w:rsidR="00B54967" w:rsidRPr="00B54967" w:rsidRDefault="00B54967" w:rsidP="00B54967">
      <w:pPr>
        <w:spacing w:before="120" w:after="0" w:line="276" w:lineRule="auto"/>
        <w:ind w:firstLine="708"/>
        <w:jc w:val="both"/>
        <w:rPr>
          <w:rFonts w:ascii="Verdana" w:hAnsi="Verdana" w:cs="Arial"/>
          <w:lang w:val="es-ES_tradnl"/>
        </w:rPr>
      </w:pPr>
      <w:r w:rsidRPr="00B54967">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B54967">
        <w:rPr>
          <w:rFonts w:ascii="Verdana" w:hAnsi="Verdana" w:cs="Arial"/>
          <w:vertAlign w:val="superscript"/>
          <w:lang w:val="es-ES"/>
        </w:rPr>
        <w:footnoteReference w:id="32"/>
      </w:r>
      <w:r w:rsidRPr="00B54967">
        <w:rPr>
          <w:rFonts w:ascii="Verdana" w:hAnsi="Verdana" w:cs="Arial"/>
          <w:lang w:val="es-ES"/>
        </w:rPr>
        <w:t>. Nótese que, en este caso, lo que cambia es la modalidad de selección y no la naturaleza de contrato interadministrativo.</w:t>
      </w:r>
    </w:p>
    <w:p w14:paraId="69622424" w14:textId="77777777" w:rsidR="00B54967" w:rsidRPr="00B54967" w:rsidRDefault="00B54967" w:rsidP="00B54967">
      <w:pPr>
        <w:spacing w:before="120" w:after="0" w:line="276" w:lineRule="auto"/>
        <w:ind w:firstLine="708"/>
        <w:jc w:val="both"/>
        <w:rPr>
          <w:rFonts w:ascii="Verdana" w:hAnsi="Verdana" w:cs="Arial"/>
          <w:lang w:val="es-ES_tradnl"/>
        </w:rPr>
      </w:pPr>
      <w:r w:rsidRPr="00B54967">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00B54967">
        <w:rPr>
          <w:rFonts w:ascii="Verdana" w:hAnsi="Verdana" w:cs="Arial"/>
          <w:vertAlign w:val="superscript"/>
          <w:lang w:val="es-ES"/>
        </w:rPr>
        <w:footnoteReference w:id="33"/>
      </w:r>
      <w:r w:rsidRPr="00B54967">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75115AB5" w14:textId="77777777" w:rsidR="00B54967" w:rsidRPr="00B54967" w:rsidRDefault="00B54967" w:rsidP="00B54967">
      <w:pPr>
        <w:spacing w:before="120" w:after="0" w:line="276" w:lineRule="auto"/>
        <w:ind w:firstLine="708"/>
        <w:jc w:val="both"/>
        <w:rPr>
          <w:rFonts w:ascii="Verdana" w:hAnsi="Verdana"/>
          <w:lang w:eastAsia="es-CO"/>
        </w:rPr>
      </w:pPr>
      <w:r w:rsidRPr="00B54967">
        <w:rPr>
          <w:rFonts w:ascii="Verdana" w:hAnsi="Verdana" w:cs="Arial"/>
          <w:lang w:val="es-ES"/>
        </w:rPr>
        <w:t xml:space="preserve">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w:t>
      </w:r>
      <w:r w:rsidRPr="00B54967">
        <w:rPr>
          <w:rFonts w:ascii="Verdana" w:hAnsi="Verdana" w:cs="Arial"/>
          <w:lang w:val="es-ES"/>
        </w:rPr>
        <w:lastRenderedPageBreak/>
        <w:t>a la literalidad de las normas enunciadas, no cabe una interpretación diferente</w:t>
      </w:r>
      <w:r w:rsidRPr="00B54967">
        <w:rPr>
          <w:rFonts w:ascii="Verdana" w:hAnsi="Verdana" w:cs="Arial"/>
          <w:vertAlign w:val="superscript"/>
          <w:lang w:val="es-ES"/>
        </w:rPr>
        <w:footnoteReference w:id="34"/>
      </w:r>
      <w:r w:rsidRPr="00B54967">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B54967">
        <w:rPr>
          <w:rFonts w:ascii="Verdana" w:hAnsi="Verdana"/>
          <w:lang w:eastAsia="es-CO"/>
        </w:rPr>
        <w:t>.</w:t>
      </w:r>
    </w:p>
    <w:p w14:paraId="35D1C598" w14:textId="77777777" w:rsidR="00B54967" w:rsidRPr="00B54967" w:rsidRDefault="00B54967" w:rsidP="00B54967">
      <w:pPr>
        <w:spacing w:before="120" w:after="0" w:line="276" w:lineRule="auto"/>
        <w:ind w:firstLine="708"/>
        <w:jc w:val="both"/>
        <w:rPr>
          <w:rFonts w:ascii="Verdana" w:eastAsia="Times New Roman" w:hAnsi="Verdana" w:cs="Arial"/>
          <w:lang w:val="es-MX" w:eastAsia="es-CO"/>
        </w:rPr>
      </w:pPr>
      <w:r w:rsidRPr="00B54967">
        <w:rPr>
          <w:rFonts w:ascii="Verdana" w:eastAsia="Arial" w:hAnsi="Verdana" w:cs="Arial"/>
          <w:lang w:val="es-MX" w:eastAsia="es-ES" w:bidi="es-ES"/>
        </w:rPr>
        <w:t>De esta manera, se</w:t>
      </w:r>
      <w:r w:rsidRPr="00B54967">
        <w:rPr>
          <w:rFonts w:ascii="Verdana" w:eastAsia="Times New Roman" w:hAnsi="Verdana" w:cs="Arial"/>
          <w:lang w:eastAsia="es-CO"/>
        </w:rPr>
        <w:t xml:space="preserve"> observa entonces que </w:t>
      </w:r>
      <w:r w:rsidRPr="00B54967">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B54967">
        <w:rPr>
          <w:rFonts w:ascii="Verdana" w:eastAsia="Times New Roman" w:hAnsi="Verdana" w:cs="Arial"/>
          <w:i/>
          <w:iCs/>
          <w:lang w:val="es-MX" w:eastAsia="es-CO"/>
        </w:rPr>
        <w:t>convenios interadministrativos</w:t>
      </w:r>
      <w:r w:rsidRPr="00B54967">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B54967">
        <w:rPr>
          <w:rFonts w:ascii="Verdana" w:eastAsia="Times New Roman" w:hAnsi="Verdana" w:cs="Arial"/>
          <w:i/>
          <w:lang w:val="es-MX" w:eastAsia="es-CO"/>
        </w:rPr>
        <w:t>ibidem</w:t>
      </w:r>
      <w:r w:rsidRPr="00B54967">
        <w:rPr>
          <w:rFonts w:ascii="Verdana" w:eastAsia="Times New Roman" w:hAnsi="Verdana" w:cs="Arial"/>
          <w:lang w:val="es-MX" w:eastAsia="es-CO"/>
        </w:rPr>
        <w:t xml:space="preserve">, es decir, </w:t>
      </w:r>
      <w:r w:rsidRPr="00B54967">
        <w:rPr>
          <w:rFonts w:ascii="Verdana" w:eastAsia="Times New Roman" w:hAnsi="Verdana" w:cs="Arial"/>
          <w:lang w:eastAsia="es-CO"/>
        </w:rPr>
        <w:t xml:space="preserve">alcaldías, gobernaciones, secretarías de despacho, así como entidades descentralizadas por servicios del orden municipal, departamental o distrital </w:t>
      </w:r>
      <w:r w:rsidRPr="00B54967">
        <w:rPr>
          <w:rFonts w:ascii="Verdana" w:eastAsia="Times New Roman" w:hAnsi="Verdana" w:cs="Arial"/>
          <w:lang w:val="es-MX" w:eastAsia="es-CO"/>
        </w:rPr>
        <w:t xml:space="preserve">no podrá celebrar tales </w:t>
      </w:r>
      <w:r w:rsidRPr="00B54967">
        <w:rPr>
          <w:rFonts w:ascii="Verdana" w:eastAsia="Times New Roman" w:hAnsi="Verdana" w:cs="Arial"/>
          <w:i/>
          <w:iCs/>
          <w:lang w:val="es-MX" w:eastAsia="es-CO"/>
        </w:rPr>
        <w:t>convenios</w:t>
      </w:r>
      <w:r w:rsidRPr="00B54967">
        <w:rPr>
          <w:rFonts w:ascii="Verdana" w:eastAsia="Times New Roman" w:hAnsi="Verdana" w:cs="Arial"/>
          <w:lang w:val="es-MX" w:eastAsia="es-CO"/>
        </w:rPr>
        <w:t xml:space="preserve"> durante la aplicación de la Ley de Garantías Electorales, toda vez que la citada disposición se refiere a dicha tipología contractual sin que el legislador hubiere contemplado un efecto extensivo a otra tipología. </w:t>
      </w:r>
    </w:p>
    <w:p w14:paraId="4B962B2A" w14:textId="77777777" w:rsidR="00B54967" w:rsidRPr="00B54967" w:rsidRDefault="00B54967" w:rsidP="00B54967">
      <w:pPr>
        <w:spacing w:before="120" w:after="0" w:line="276" w:lineRule="auto"/>
        <w:ind w:firstLine="708"/>
        <w:jc w:val="both"/>
        <w:rPr>
          <w:rFonts w:ascii="Verdana" w:eastAsia="Times New Roman" w:hAnsi="Verdana" w:cs="Arial"/>
          <w:lang w:eastAsia="es-CO"/>
        </w:rPr>
      </w:pPr>
      <w:r w:rsidRPr="00B54967">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B54967">
        <w:rPr>
          <w:rFonts w:ascii="Verdana" w:eastAsia="Times New Roman" w:hAnsi="Verdana" w:cs="Arial"/>
          <w:lang w:val="es-MX" w:eastAsia="es-CO"/>
        </w:rPr>
        <w:t>ii</w:t>
      </w:r>
      <w:proofErr w:type="spellEnd"/>
      <w:r w:rsidRPr="00B54967">
        <w:rPr>
          <w:rFonts w:ascii="Verdana" w:eastAsia="Times New Roman" w:hAnsi="Verdana" w:cs="Arial"/>
          <w:lang w:val="es-MX" w:eastAsia="es-CO"/>
        </w:rPr>
        <w:t xml:space="preserve">) y </w:t>
      </w:r>
      <w:proofErr w:type="spellStart"/>
      <w:r w:rsidRPr="00B54967">
        <w:rPr>
          <w:rFonts w:ascii="Verdana" w:eastAsia="Times New Roman" w:hAnsi="Verdana" w:cs="Arial"/>
          <w:lang w:val="es-MX" w:eastAsia="es-CO"/>
        </w:rPr>
        <w:t>iv</w:t>
      </w:r>
      <w:proofErr w:type="spellEnd"/>
      <w:r w:rsidRPr="00B54967">
        <w:rPr>
          <w:rFonts w:ascii="Verdana" w:eastAsia="Times New Roman" w:hAnsi="Verdana" w:cs="Arial"/>
          <w:lang w:val="es-MX" w:eastAsia="es-CO"/>
        </w:rPr>
        <w:t>) del numeral 2</w:t>
      </w:r>
      <w:r w:rsidRPr="00B54967">
        <w:rPr>
          <w:rFonts w:ascii="Verdana" w:eastAsia="Times New Roman" w:hAnsi="Verdana" w:cs="Arial"/>
          <w:lang w:eastAsia="es-CO"/>
        </w:rPr>
        <w:t>,</w:t>
      </w:r>
      <w:r w:rsidRPr="00B54967">
        <w:rPr>
          <w:rFonts w:ascii="Verdana" w:eastAsia="Times New Roman" w:hAnsi="Verdana" w:cs="Arial"/>
          <w:lang w:val="es-MX" w:eastAsia="es-CO"/>
        </w:rPr>
        <w:t xml:space="preserve"> indica que el </w:t>
      </w:r>
      <w:r w:rsidRPr="00B54967">
        <w:rPr>
          <w:rFonts w:ascii="Verdana" w:eastAsia="Times New Roman" w:hAnsi="Verdana" w:cs="Arial"/>
          <w:lang w:eastAsia="es-CO"/>
        </w:rPr>
        <w:t xml:space="preserve">parágrafo del artículo 38 de la Ley 996 de 2005 cobija expresamente a los </w:t>
      </w:r>
      <w:r w:rsidRPr="00B54967">
        <w:rPr>
          <w:rFonts w:ascii="Verdana" w:eastAsia="Times New Roman" w:hAnsi="Verdana" w:cs="Arial"/>
          <w:i/>
          <w:iCs/>
          <w:lang w:eastAsia="es-CO"/>
        </w:rPr>
        <w:t>convenios interadministrativos</w:t>
      </w:r>
      <w:r w:rsidRPr="00B54967">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B54967">
        <w:rPr>
          <w:rFonts w:ascii="Verdana" w:eastAsia="Times New Roman" w:hAnsi="Verdana" w:cs="Arial"/>
          <w:i/>
          <w:iCs/>
          <w:lang w:eastAsia="es-CO"/>
        </w:rPr>
        <w:t>“aunque se configure alguno de los supuestos de excepción que señaló el inciso final del artículo 33”.</w:t>
      </w:r>
      <w:r w:rsidRPr="00B54967">
        <w:rPr>
          <w:rFonts w:ascii="Verdana" w:eastAsia="Times New Roman" w:hAnsi="Verdana" w:cs="Arial"/>
          <w:lang w:eastAsia="es-CO"/>
        </w:rPr>
        <w:t xml:space="preserve"> </w:t>
      </w:r>
    </w:p>
    <w:p w14:paraId="5B02C705" w14:textId="77777777" w:rsidR="00B54967" w:rsidRPr="00B54967" w:rsidRDefault="00B54967" w:rsidP="00B54967">
      <w:pPr>
        <w:spacing w:before="120" w:after="0" w:line="276" w:lineRule="auto"/>
        <w:ind w:firstLine="708"/>
        <w:jc w:val="both"/>
        <w:rPr>
          <w:rFonts w:ascii="Verdana" w:eastAsia="Times New Roman" w:hAnsi="Verdana" w:cs="Arial"/>
          <w:lang w:eastAsia="es-CO"/>
        </w:rPr>
      </w:pPr>
      <w:r w:rsidRPr="00B54967">
        <w:rPr>
          <w:rFonts w:ascii="Verdana" w:eastAsia="Times New Roman" w:hAnsi="Verdana" w:cs="Arial"/>
          <w:lang w:eastAsia="es-CO"/>
        </w:rPr>
        <w:t xml:space="preserve">Sin embargo, el ámbito de aplicación de la restricción prevista en el parágrafo del artículo 38 de la Ley 996 de 2005 comprende a los </w:t>
      </w:r>
      <w:r w:rsidRPr="00B54967">
        <w:rPr>
          <w:rFonts w:ascii="Verdana" w:eastAsia="Times New Roman" w:hAnsi="Verdana" w:cs="Arial"/>
          <w:i/>
          <w:iCs/>
          <w:lang w:eastAsia="es-CO"/>
        </w:rPr>
        <w:t>convenios interadministrativos</w:t>
      </w:r>
      <w:r w:rsidRPr="00B54967">
        <w:rPr>
          <w:rFonts w:ascii="Verdana" w:eastAsia="Times New Roman" w:hAnsi="Verdana" w:cs="Arial"/>
          <w:lang w:eastAsia="es-CO"/>
        </w:rPr>
        <w:t xml:space="preserve"> en los que exista </w:t>
      </w:r>
      <w:r w:rsidRPr="00B54967">
        <w:rPr>
          <w:rFonts w:ascii="Verdana" w:eastAsia="Times New Roman" w:hAnsi="Verdana" w:cs="Arial"/>
          <w:i/>
          <w:iCs/>
          <w:lang w:eastAsia="es-CO"/>
        </w:rPr>
        <w:t>ejecución de recursos públicos</w:t>
      </w:r>
      <w:r w:rsidRPr="00B54967">
        <w:rPr>
          <w:rFonts w:ascii="Verdana" w:eastAsia="Times New Roman" w:hAnsi="Verdana" w:cs="Arial"/>
          <w:lang w:eastAsia="es-CO"/>
        </w:rPr>
        <w:t xml:space="preserve">, sin importar de que estos sean en dinero o en especie, ya que la norma no distingue. </w:t>
      </w:r>
      <w:r w:rsidRPr="00B54967">
        <w:rPr>
          <w:rFonts w:ascii="Verdana" w:eastAsia="Times New Roman" w:hAnsi="Verdana" w:cs="Arial"/>
          <w:lang w:val="es-ES" w:eastAsia="es-CO"/>
        </w:rPr>
        <w:t xml:space="preserve">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w:t>
      </w:r>
      <w:r w:rsidRPr="00B54967">
        <w:rPr>
          <w:rFonts w:ascii="Verdana" w:eastAsia="Times New Roman" w:hAnsi="Verdana" w:cs="Arial"/>
          <w:lang w:val="es-ES" w:eastAsia="es-CO"/>
        </w:rPr>
        <w:lastRenderedPageBreak/>
        <w:t>precedentes”</w:t>
      </w:r>
      <w:r w:rsidRPr="00B54967">
        <w:rPr>
          <w:rFonts w:ascii="Verdana" w:hAnsi="Verdana" w:cs="Arial"/>
          <w:vertAlign w:val="superscript"/>
          <w:lang w:val="es-ES"/>
        </w:rPr>
        <w:footnoteReference w:id="35"/>
      </w:r>
      <w:r w:rsidRPr="00B54967">
        <w:rPr>
          <w:rFonts w:ascii="Verdana" w:eastAsia="Times New Roman" w:hAnsi="Verdana" w:cs="Arial"/>
          <w:lang w:val="es-ES" w:eastAsia="es-CO"/>
        </w:rPr>
        <w:t>.</w:t>
      </w:r>
      <w:r w:rsidRPr="00B54967">
        <w:rPr>
          <w:rFonts w:ascii="Verdana" w:eastAsia="Times New Roman" w:hAnsi="Verdana" w:cs="Arial"/>
          <w:lang w:eastAsia="es-CO"/>
        </w:rPr>
        <w:t xml:space="preserve"> Por ello, en el Concepto 2201913000006634 del 6 de septiembre de 2019, la Agencia sostuvo que la ejecución de recursos no se agota en el “[…] el dinero que integra el ciclo presupuestal de la entidad […]”, pues “[…] también los bienes muebles, inmuebles y personal hacen parte del concepto de ‘recursos públicos’”.</w:t>
      </w:r>
    </w:p>
    <w:p w14:paraId="1499DFB7" w14:textId="77777777" w:rsidR="00B54967" w:rsidRPr="00B54967" w:rsidRDefault="00B54967" w:rsidP="00B54967">
      <w:pPr>
        <w:spacing w:before="120" w:after="0" w:line="276" w:lineRule="auto"/>
        <w:ind w:firstLine="708"/>
        <w:jc w:val="both"/>
        <w:rPr>
          <w:rFonts w:ascii="Verdana" w:eastAsia="Times New Roman" w:hAnsi="Verdana" w:cs="Arial"/>
          <w:lang w:eastAsia="es-CO"/>
        </w:rPr>
      </w:pPr>
      <w:r w:rsidRPr="00B54967">
        <w:rPr>
          <w:rFonts w:ascii="Verdana" w:eastAsia="Times New Roman" w:hAnsi="Verdana" w:cs="Arial"/>
          <w:lang w:eastAsia="es-CO"/>
        </w:rPr>
        <w:t xml:space="preserve">De esta manera, conforme a lo dispuesto en la Circular referida, si se suscriben </w:t>
      </w:r>
      <w:r w:rsidRPr="00B54967">
        <w:rPr>
          <w:rFonts w:ascii="Verdana" w:eastAsia="Times New Roman" w:hAnsi="Verdana" w:cs="Arial"/>
          <w:i/>
          <w:iCs/>
          <w:lang w:eastAsia="es-CO"/>
        </w:rPr>
        <w:t>convenios interadministrativos para la ejecución de recursos públicos</w:t>
      </w:r>
      <w:r w:rsidRPr="00B54967">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B54967">
        <w:rPr>
          <w:rFonts w:ascii="Verdana" w:eastAsia="Times New Roman" w:hAnsi="Verdana" w:cs="Arial"/>
          <w:i/>
          <w:iCs/>
          <w:lang w:eastAsia="es-CO"/>
        </w:rPr>
        <w:t>ibidem</w:t>
      </w:r>
      <w:r w:rsidRPr="00B54967">
        <w:rPr>
          <w:rFonts w:ascii="Verdana" w:eastAsia="Times New Roman" w:hAnsi="Verdana" w:cs="Arial"/>
          <w:lang w:eastAsia="es-CO"/>
        </w:rPr>
        <w:t>, independientemente de que se configure alguno de los supuestos de excepción que señaló el inciso final del artículo 33, es decir, que se trate de:</w:t>
      </w:r>
      <w:r w:rsidRPr="00B54967">
        <w:rPr>
          <w:rFonts w:ascii="Verdana" w:hAnsi="Verdana" w:cs="Arial"/>
          <w:bCs/>
          <w:lang w:val="es-MX" w:eastAsia="x-none"/>
        </w:rPr>
        <w:t xml:space="preserve"> i) la defensa y seguridad del Estado; </w:t>
      </w:r>
      <w:proofErr w:type="spellStart"/>
      <w:r w:rsidRPr="00B54967">
        <w:rPr>
          <w:rFonts w:ascii="Verdana" w:hAnsi="Verdana" w:cs="Arial"/>
          <w:bCs/>
          <w:lang w:val="es-MX" w:eastAsia="x-none"/>
        </w:rPr>
        <w:t>ii</w:t>
      </w:r>
      <w:proofErr w:type="spellEnd"/>
      <w:r w:rsidRPr="00B54967">
        <w:rPr>
          <w:rFonts w:ascii="Verdana" w:hAnsi="Verdana" w:cs="Arial"/>
          <w:bCs/>
          <w:lang w:val="es-MX" w:eastAsia="x-none"/>
        </w:rPr>
        <w:t xml:space="preserve">) los contratos de crédito público; </w:t>
      </w:r>
      <w:proofErr w:type="spellStart"/>
      <w:r w:rsidRPr="00B54967">
        <w:rPr>
          <w:rFonts w:ascii="Verdana" w:hAnsi="Verdana" w:cs="Arial"/>
          <w:bCs/>
          <w:lang w:val="es-MX" w:eastAsia="x-none"/>
        </w:rPr>
        <w:t>iii</w:t>
      </w:r>
      <w:proofErr w:type="spellEnd"/>
      <w:r w:rsidRPr="00B54967">
        <w:rPr>
          <w:rFonts w:ascii="Verdana" w:hAnsi="Verdana" w:cs="Arial"/>
          <w:bCs/>
          <w:lang w:val="es-MX" w:eastAsia="x-none"/>
        </w:rPr>
        <w:t xml:space="preserve">) los requeridos para cubrir las emergencias educativas, sanitarias y desastres; </w:t>
      </w:r>
      <w:proofErr w:type="spellStart"/>
      <w:r w:rsidRPr="00B54967">
        <w:rPr>
          <w:rFonts w:ascii="Verdana" w:hAnsi="Verdana" w:cs="Arial"/>
          <w:bCs/>
          <w:lang w:val="es-MX" w:eastAsia="x-none"/>
        </w:rPr>
        <w:t>iv</w:t>
      </w:r>
      <w:proofErr w:type="spellEnd"/>
      <w:r w:rsidRPr="00B54967">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B54967">
        <w:rPr>
          <w:rFonts w:ascii="Verdana" w:hAnsi="Verdana" w:cs="Arial"/>
          <w:bCs/>
          <w:lang w:val="es-MX" w:eastAsia="es-CO"/>
        </w:rPr>
        <w:t xml:space="preserve"> </w:t>
      </w:r>
      <w:r w:rsidRPr="00B54967">
        <w:rPr>
          <w:rFonts w:ascii="Verdana" w:eastAsia="Times New Roman" w:hAnsi="Verdana" w:cs="Arial"/>
          <w:lang w:eastAsia="es-CO"/>
        </w:rPr>
        <w:t xml:space="preserve">Es decir, las excepciones contempladas en el artículo 33 no son aplicables a la restricción del artículo 38. </w:t>
      </w:r>
    </w:p>
    <w:p w14:paraId="6E281B3C" w14:textId="77777777" w:rsidR="00B54967" w:rsidRPr="00B54967" w:rsidRDefault="00B54967" w:rsidP="00B54967">
      <w:pPr>
        <w:spacing w:before="120" w:after="0" w:line="276" w:lineRule="auto"/>
        <w:ind w:firstLine="708"/>
        <w:jc w:val="both"/>
        <w:rPr>
          <w:rFonts w:ascii="Verdana" w:eastAsia="Times New Roman" w:hAnsi="Verdana" w:cs="Arial"/>
          <w:lang w:eastAsia="es-CO"/>
        </w:rPr>
      </w:pPr>
      <w:r w:rsidRPr="00B54967">
        <w:rPr>
          <w:rFonts w:ascii="Verdana" w:eastAsia="Times New Roman" w:hAnsi="Verdana" w:cs="Arial"/>
          <w:lang w:eastAsia="es-CO"/>
        </w:rPr>
        <w:t xml:space="preserve">En este punto, vale la pena destacar que, </w:t>
      </w:r>
      <w:r w:rsidRPr="00B54967">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B54967">
        <w:rPr>
          <w:rFonts w:ascii="Verdana" w:hAnsi="Verdana" w:cs="Arial"/>
        </w:rPr>
        <w:t>numeral 16.2 de la Circular Externa Única de 2022 expedida por la Agencia Nacional de Contratación Pública – Colombia Compra Eficiente, concretamente, respecto de los siguientes apartes normativos</w:t>
      </w:r>
      <w:r w:rsidRPr="00B54967">
        <w:rPr>
          <w:rFonts w:ascii="Verdana" w:hAnsi="Verdana" w:cs="Arial"/>
          <w:vertAlign w:val="superscript"/>
        </w:rPr>
        <w:footnoteReference w:id="36"/>
      </w:r>
      <w:r w:rsidRPr="00B54967">
        <w:rPr>
          <w:rFonts w:ascii="Verdana" w:hAnsi="Verdana" w:cs="Arial"/>
        </w:rPr>
        <w:t xml:space="preserve">: </w:t>
      </w:r>
    </w:p>
    <w:p w14:paraId="13A9D000" w14:textId="77777777" w:rsidR="00B54967" w:rsidRPr="00B54967" w:rsidRDefault="00B54967" w:rsidP="00B54967">
      <w:pPr>
        <w:spacing w:after="0" w:line="240" w:lineRule="auto"/>
        <w:ind w:firstLine="709"/>
        <w:jc w:val="both"/>
        <w:rPr>
          <w:rFonts w:ascii="Verdana" w:hAnsi="Verdana" w:cs="Arial"/>
        </w:rPr>
      </w:pPr>
    </w:p>
    <w:p w14:paraId="749D4592" w14:textId="77777777" w:rsidR="00B54967" w:rsidRPr="00B54967" w:rsidRDefault="00B54967" w:rsidP="00B54967">
      <w:pPr>
        <w:spacing w:after="0" w:line="240" w:lineRule="auto"/>
        <w:ind w:left="709" w:right="709"/>
        <w:jc w:val="both"/>
        <w:rPr>
          <w:rFonts w:ascii="Verdana" w:hAnsi="Verdana" w:cs="Arial"/>
          <w:sz w:val="20"/>
          <w:szCs w:val="20"/>
        </w:rPr>
      </w:pPr>
      <w:r w:rsidRPr="00B54967">
        <w:rPr>
          <w:rFonts w:ascii="Verdana" w:hAnsi="Verdana" w:cs="Arial"/>
          <w:sz w:val="20"/>
          <w:szCs w:val="20"/>
          <w:lang w:val="es-MX"/>
        </w:rPr>
        <w:t>“i)</w:t>
      </w:r>
      <w:r w:rsidRPr="00B54967">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5082ED5F" w14:textId="77777777" w:rsidR="00B54967" w:rsidRPr="00B54967" w:rsidRDefault="00B54967" w:rsidP="00B54967">
      <w:pPr>
        <w:spacing w:after="0" w:line="240" w:lineRule="auto"/>
        <w:ind w:left="709" w:right="709"/>
        <w:jc w:val="both"/>
        <w:rPr>
          <w:rFonts w:ascii="Verdana" w:hAnsi="Verdana" w:cs="Arial"/>
          <w:sz w:val="20"/>
          <w:szCs w:val="20"/>
        </w:rPr>
      </w:pPr>
    </w:p>
    <w:p w14:paraId="49D92EC0" w14:textId="77777777" w:rsidR="00B54967" w:rsidRPr="00B54967" w:rsidRDefault="00B54967" w:rsidP="00B54967">
      <w:pPr>
        <w:spacing w:after="0" w:line="240" w:lineRule="auto"/>
        <w:ind w:left="709" w:right="709"/>
        <w:jc w:val="both"/>
        <w:rPr>
          <w:rFonts w:ascii="Verdana" w:hAnsi="Verdana" w:cs="Arial"/>
          <w:sz w:val="20"/>
          <w:szCs w:val="20"/>
        </w:rPr>
      </w:pPr>
      <w:proofErr w:type="spellStart"/>
      <w:r w:rsidRPr="00B54967">
        <w:rPr>
          <w:rFonts w:ascii="Verdana" w:hAnsi="Verdana" w:cs="Arial"/>
          <w:sz w:val="20"/>
          <w:szCs w:val="20"/>
        </w:rPr>
        <w:t>ii</w:t>
      </w:r>
      <w:proofErr w:type="spellEnd"/>
      <w:r w:rsidRPr="00B54967">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2BE36267" w14:textId="77777777" w:rsidR="00B54967" w:rsidRPr="00B54967" w:rsidRDefault="00B54967" w:rsidP="00B54967">
      <w:pPr>
        <w:spacing w:after="0" w:line="276" w:lineRule="auto"/>
        <w:ind w:left="709" w:right="709"/>
        <w:jc w:val="both"/>
        <w:rPr>
          <w:rFonts w:ascii="Verdana" w:hAnsi="Verdana" w:cs="Arial"/>
        </w:rPr>
      </w:pPr>
    </w:p>
    <w:p w14:paraId="4D42DD69" w14:textId="77777777" w:rsidR="00B54967" w:rsidRPr="00B54967" w:rsidRDefault="00B54967" w:rsidP="00B54967">
      <w:pPr>
        <w:spacing w:after="120" w:line="276" w:lineRule="auto"/>
        <w:ind w:firstLine="709"/>
        <w:jc w:val="both"/>
        <w:rPr>
          <w:rFonts w:ascii="Verdana" w:eastAsia="Arial" w:hAnsi="Verdana" w:cs="Arial"/>
          <w:i/>
          <w:iCs/>
          <w:lang w:eastAsia="es-ES" w:bidi="es-ES"/>
        </w:rPr>
      </w:pPr>
      <w:r w:rsidRPr="00B54967">
        <w:rPr>
          <w:rFonts w:ascii="Verdana" w:eastAsia="Arial" w:hAnsi="Verdana" w:cs="Arial"/>
          <w:lang w:val="es-MX" w:eastAsia="es-ES" w:bidi="es-ES"/>
        </w:rPr>
        <w:t xml:space="preserve">De conformidad con los argumentos de dicha providencia, se parte de la distinción entre los conceptos </w:t>
      </w:r>
      <w:r w:rsidRPr="00B54967">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B54967">
        <w:rPr>
          <w:rFonts w:ascii="Verdana" w:hAnsi="Verdana"/>
          <w:sz w:val="24"/>
          <w:szCs w:val="24"/>
          <w:lang w:eastAsia="es-CO"/>
        </w:rPr>
        <w:t xml:space="preserve"> </w:t>
      </w:r>
      <w:r w:rsidRPr="00B54967">
        <w:rPr>
          <w:rFonts w:ascii="Verdana" w:eastAsia="Arial" w:hAnsi="Verdana" w:cs="Arial"/>
          <w:lang w:eastAsia="es-ES" w:bidi="es-ES"/>
        </w:rPr>
        <w:t xml:space="preserve">En este sentido, en relación con el parágrafo del artículo 38 de la Ley 996 de 2005 concluyó que </w:t>
      </w:r>
      <w:r w:rsidRPr="00B54967">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B54967">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B54967">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sidRPr="00B54967">
        <w:rPr>
          <w:rFonts w:ascii="Verdana" w:eastAsia="Arial" w:hAnsi="Verdana" w:cs="Arial"/>
          <w:lang w:eastAsia="es-ES" w:bidi="es-ES"/>
        </w:rPr>
        <w:t>”</w:t>
      </w:r>
      <w:r w:rsidRPr="00B54967">
        <w:rPr>
          <w:rFonts w:ascii="Verdana" w:eastAsia="Arial" w:hAnsi="Verdana" w:cs="Arial"/>
          <w:i/>
          <w:iCs/>
          <w:lang w:eastAsia="es-ES" w:bidi="es-ES"/>
        </w:rPr>
        <w:t xml:space="preserve">. </w:t>
      </w:r>
    </w:p>
    <w:p w14:paraId="1934F6BD" w14:textId="77777777" w:rsidR="00B54967" w:rsidRPr="00B54967" w:rsidRDefault="00B54967" w:rsidP="00B54967">
      <w:pPr>
        <w:spacing w:after="120" w:line="276" w:lineRule="auto"/>
        <w:ind w:firstLine="709"/>
        <w:jc w:val="both"/>
        <w:rPr>
          <w:rFonts w:ascii="Verdana" w:eastAsia="Arial" w:hAnsi="Verdana" w:cs="Arial"/>
          <w:lang w:eastAsia="es-ES" w:bidi="es-ES"/>
        </w:rPr>
      </w:pPr>
      <w:r w:rsidRPr="00B54967">
        <w:rPr>
          <w:rFonts w:ascii="Verdana" w:eastAsia="Arial" w:hAnsi="Verdana" w:cs="Arial"/>
          <w:lang w:eastAsia="es-ES" w:bidi="es-ES"/>
        </w:rPr>
        <w:t>De igual manera, mediante auto del 6 de noviembre de 2025, el Consejo de Estado, Subsección A de la Sección Tercera, decretó</w:t>
      </w:r>
      <w:r w:rsidRPr="00B54967">
        <w:rPr>
          <w:rFonts w:ascii="Verdana" w:eastAsia="Arial" w:hAnsi="Verdana" w:cs="Arial"/>
          <w:b/>
          <w:bCs/>
          <w:lang w:eastAsia="es-ES" w:bidi="es-ES"/>
        </w:rPr>
        <w:t xml:space="preserve"> </w:t>
      </w:r>
      <w:r w:rsidRPr="00B54967">
        <w:rPr>
          <w:rFonts w:ascii="Verdana" w:eastAsia="Arial" w:hAnsi="Verdana" w:cs="Arial"/>
          <w:lang w:eastAsia="es-ES" w:bidi="es-ES"/>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w:t>
      </w:r>
      <w:r w:rsidRPr="00B54967">
        <w:rPr>
          <w:rFonts w:ascii="Verdana" w:eastAsia="Arial" w:hAnsi="Verdana" w:cs="Arial"/>
          <w:lang w:eastAsia="es-ES" w:bidi="es-ES"/>
        </w:rPr>
        <w:lastRenderedPageBreak/>
        <w:t>Eficiente relacionados con los contratos interadministrativos</w:t>
      </w:r>
      <w:r w:rsidRPr="00B54967">
        <w:rPr>
          <w:rFonts w:ascii="Verdana" w:eastAsia="Arial" w:hAnsi="Verdana" w:cs="Arial"/>
          <w:vertAlign w:val="superscript"/>
          <w:lang w:eastAsia="es-ES" w:bidi="es-ES"/>
        </w:rPr>
        <w:footnoteReference w:id="37"/>
      </w:r>
      <w:r w:rsidRPr="00B54967">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1FEA723A" w14:textId="77777777" w:rsidR="00B54967" w:rsidRPr="00B54967" w:rsidRDefault="00B54967" w:rsidP="00B54967">
      <w:pPr>
        <w:spacing w:after="120" w:line="276" w:lineRule="auto"/>
        <w:ind w:firstLine="709"/>
        <w:jc w:val="both"/>
        <w:rPr>
          <w:rFonts w:ascii="Verdana" w:eastAsia="Times New Roman" w:hAnsi="Verdana" w:cs="Times New Roman"/>
          <w:lang w:eastAsia="es-ES"/>
        </w:rPr>
      </w:pPr>
      <w:r w:rsidRPr="00B54967">
        <w:rPr>
          <w:rFonts w:ascii="Verdana" w:eastAsia="Arial" w:hAnsi="Verdana" w:cs="Arial"/>
          <w:lang w:eastAsia="es-ES" w:bidi="es-ES"/>
        </w:rPr>
        <w:t xml:space="preserve">Finalmente, mediante sentencia del 17 de octubre de 2025, emitida por la Sección Tercera del Consejo de Estado, dentro del expediente </w:t>
      </w:r>
      <w:r w:rsidRPr="00B54967">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002CCC14" w14:textId="77777777" w:rsidR="00B54967" w:rsidRPr="00B54967" w:rsidRDefault="00B54967" w:rsidP="00B54967">
      <w:pPr>
        <w:spacing w:after="120" w:line="276" w:lineRule="auto"/>
        <w:ind w:firstLine="709"/>
        <w:jc w:val="both"/>
        <w:rPr>
          <w:rFonts w:ascii="Verdana" w:eastAsia="Times New Roman" w:hAnsi="Verdana" w:cs="Times New Roman"/>
          <w:lang w:eastAsia="es-ES"/>
        </w:rPr>
      </w:pPr>
      <w:r w:rsidRPr="00B54967">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B54967">
        <w:rPr>
          <w:rFonts w:ascii="Verdana" w:eastAsia="Times New Roman" w:hAnsi="Verdana" w:cs="Times New Roman"/>
          <w:vertAlign w:val="superscript"/>
          <w:lang w:eastAsia="es-ES"/>
        </w:rPr>
        <w:footnoteReference w:id="38"/>
      </w:r>
      <w:r w:rsidRPr="00B54967">
        <w:rPr>
          <w:rFonts w:ascii="Verdana" w:eastAsia="Times New Roman" w:hAnsi="Verdana" w:cs="Times New Roman"/>
          <w:lang w:eastAsia="es-ES"/>
        </w:rPr>
        <w:t xml:space="preserve">. Sobre el </w:t>
      </w:r>
      <w:r w:rsidRPr="00B54967">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519DC6CC" w14:textId="77777777" w:rsidR="00B54967" w:rsidRPr="00B54967" w:rsidRDefault="00B54967" w:rsidP="00B54967">
      <w:pPr>
        <w:spacing w:after="120" w:line="276" w:lineRule="auto"/>
        <w:ind w:firstLine="709"/>
        <w:jc w:val="both"/>
        <w:rPr>
          <w:rFonts w:ascii="Verdana" w:eastAsia="Times New Roman" w:hAnsi="Verdana" w:cs="Arial"/>
          <w:lang w:eastAsia="es-CO"/>
        </w:rPr>
      </w:pPr>
      <w:r w:rsidRPr="00B54967">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sidRPr="00B54967">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B54967">
        <w:rPr>
          <w:rFonts w:ascii="Verdana" w:eastAsia="Times New Roman" w:hAnsi="Verdana" w:cs="Arial"/>
          <w:i/>
          <w:iCs/>
          <w:lang w:eastAsia="es-CO"/>
        </w:rPr>
        <w:t>contratos interadministrativos</w:t>
      </w:r>
      <w:r w:rsidRPr="00B54967">
        <w:rPr>
          <w:rFonts w:ascii="Verdana" w:eastAsia="Times New Roman" w:hAnsi="Verdana" w:cs="Arial"/>
          <w:lang w:eastAsia="es-CO"/>
        </w:rPr>
        <w:t>, esta prohibición solo aplicaría a los convenios interadministrativos que impliquen la ejecución de recursos públicos</w:t>
      </w:r>
      <w:r w:rsidRPr="00B54967">
        <w:rPr>
          <w:rFonts w:ascii="Verdana" w:eastAsia="Times New Roman" w:hAnsi="Verdana" w:cs="Arial"/>
          <w:vertAlign w:val="superscript"/>
          <w:lang w:eastAsia="es-CO"/>
        </w:rPr>
        <w:footnoteReference w:id="39"/>
      </w:r>
      <w:r w:rsidRPr="00B54967">
        <w:rPr>
          <w:rFonts w:ascii="Verdana" w:eastAsia="Times New Roman" w:hAnsi="Verdana" w:cs="Arial"/>
          <w:lang w:eastAsia="es-CO"/>
        </w:rPr>
        <w:t xml:space="preserve">. Conforme a lo señalado por el Consejo de Estado, cuando dos entidades públicas celebren un </w:t>
      </w:r>
      <w:r w:rsidRPr="00B54967">
        <w:rPr>
          <w:rFonts w:ascii="Verdana" w:eastAsia="Times New Roman" w:hAnsi="Verdana" w:cs="Arial"/>
          <w:i/>
          <w:iCs/>
          <w:lang w:eastAsia="es-CO"/>
        </w:rPr>
        <w:t>contrato interadministrativo,</w:t>
      </w:r>
      <w:r w:rsidRPr="00B54967">
        <w:rPr>
          <w:rFonts w:ascii="Verdana" w:eastAsia="Times New Roman" w:hAnsi="Verdana" w:cs="Arial"/>
          <w:lang w:eastAsia="es-CO"/>
        </w:rPr>
        <w:t xml:space="preserve"> independientemente del objeto, dicho contrato puede suscribirse durante el periodo preelectoral.</w:t>
      </w:r>
    </w:p>
    <w:p w14:paraId="2CE06E68" w14:textId="77777777" w:rsidR="00B54967" w:rsidRPr="00B54967" w:rsidRDefault="00B54967" w:rsidP="00B54967">
      <w:pPr>
        <w:spacing w:after="120" w:line="276" w:lineRule="auto"/>
        <w:ind w:firstLine="708"/>
        <w:jc w:val="both"/>
        <w:rPr>
          <w:rFonts w:ascii="Verdana" w:eastAsia="Times New Roman" w:hAnsi="Verdana" w:cs="Arial"/>
          <w:bCs/>
          <w:lang w:val="es-MX" w:eastAsia="x-none"/>
        </w:rPr>
      </w:pPr>
      <w:r w:rsidRPr="00B54967">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sidRPr="00B54967">
        <w:rPr>
          <w:rFonts w:ascii="Verdana" w:eastAsia="Times New Roman" w:hAnsi="Verdana" w:cs="Arial"/>
          <w:bCs/>
          <w:lang w:val="es-MX" w:eastAsia="x-none"/>
        </w:rPr>
        <w:t xml:space="preserve"> aplica desde el 8 de noviembre de 2025, teniendo en cuenta que la Resolución 02580 del 5 de marzo de 2025 de la Registraduría Nacional del Estado Civil dispuso que las elecciones de senado y cámara se celebraron el 8 de marzo de 2026. Esta restricción se extiende a las elecciones presidenciales que se celebrarán el 31 de mayo de 2026, así como una posible segunda vuelta tres semanas después, es decir, el 21 de junio de 2026. </w:t>
      </w:r>
    </w:p>
    <w:p w14:paraId="38F85C08" w14:textId="77777777" w:rsidR="00B54967" w:rsidRPr="00B54967" w:rsidRDefault="00B54967" w:rsidP="00B54967">
      <w:pPr>
        <w:spacing w:after="120" w:line="276" w:lineRule="auto"/>
        <w:ind w:firstLine="708"/>
        <w:jc w:val="both"/>
        <w:rPr>
          <w:rFonts w:ascii="Verdana" w:eastAsia="Calibri" w:hAnsi="Verdana" w:cs="Arial"/>
          <w:lang w:val="es-ES" w:eastAsia="es-ES"/>
        </w:rPr>
      </w:pPr>
      <w:r w:rsidRPr="00B54967">
        <w:rPr>
          <w:rFonts w:ascii="Verdana" w:eastAsia="Times New Roman" w:hAnsi="Verdana" w:cs="Arial"/>
          <w:lang w:eastAsia="es-CO"/>
        </w:rPr>
        <w:lastRenderedPageBreak/>
        <w:t xml:space="preserve"> No obstante, es importante mencionar que aún se encuentra por definir la demanda </w:t>
      </w:r>
      <w:r w:rsidRPr="00B54967">
        <w:rPr>
          <w:rFonts w:ascii="Verdana" w:eastAsia="Calibri" w:hAnsi="Verdana" w:cs="Arial"/>
          <w:lang w:val="es-ES" w:eastAsia="es-ES"/>
        </w:rPr>
        <w:t xml:space="preserve">de nulidad simple, identificada con el Radicado número 11001-03-26-000-2025-00016-00, en la cual se cuestiona </w:t>
      </w:r>
      <w:r w:rsidRPr="00B54967">
        <w:rPr>
          <w:rFonts w:ascii="Verdana" w:eastAsia="Calibri" w:hAnsi="Verdana" w:cs="Arial"/>
          <w:lang w:eastAsia="es-ES"/>
        </w:rPr>
        <w:t>parcialmente el numeral 16.2 de la Circular Externa Única CCE-EICP-MA-06, Versión 03 del 27 de diciembre de 2023.</w:t>
      </w:r>
      <w:r w:rsidRPr="00B54967">
        <w:rPr>
          <w:rFonts w:ascii="Verdana" w:eastAsia="Calibri" w:hAnsi="Verdana" w:cs="Arial"/>
          <w:lang w:val="es-ES" w:eastAsia="es-ES"/>
        </w:rPr>
        <w:t xml:space="preserve"> </w:t>
      </w:r>
    </w:p>
    <w:p w14:paraId="3D4EC7B6" w14:textId="3C69720E" w:rsidR="00B54967" w:rsidRPr="00822CEF" w:rsidRDefault="00B54967" w:rsidP="00822CEF">
      <w:pPr>
        <w:spacing w:before="120" w:after="0" w:line="276" w:lineRule="auto"/>
        <w:ind w:firstLine="709"/>
        <w:jc w:val="both"/>
        <w:rPr>
          <w:rFonts w:ascii="Verdana" w:eastAsia="Calibri" w:hAnsi="Verdana" w:cs="Arial"/>
          <w:lang w:val="es-ES"/>
        </w:rPr>
      </w:pPr>
      <w:r w:rsidRPr="00B54967">
        <w:rPr>
          <w:rFonts w:ascii="Verdana" w:eastAsia="Times New Roman" w:hAnsi="Verdana" w:cs="Arial"/>
          <w:lang w:val="es-MX" w:eastAsia="x-none"/>
        </w:rPr>
        <w:t xml:space="preserve"> La restricción prevista en el artículo 33 de la Ley de Garantías Electorales contempla algunas excepciones, con fundamento en las cuales podrán las entidades públicas adelantar procedimientos de contratación directa en períodos previos a la contienda electoral por la Presidencia, siempre que se subsuma en los supuestos contemplados de manera taxativa en el inciso final del citado artículo 33 de la Ley 996 de 2005. Por lo tanto, será</w:t>
      </w:r>
      <w:r w:rsidRPr="00B54967">
        <w:rPr>
          <w:rFonts w:ascii="Verdana" w:eastAsia="Times New Roman" w:hAnsi="Verdana" w:cs="Arial"/>
          <w:lang w:val="es-MX" w:eastAsia="es-CO"/>
        </w:rPr>
        <w:t xml:space="preserve"> responsabilidad de la entidad estatal, examinar en cada caso la naturaleza de las actividades que adelanta y determinar si las mismas se enmarcan en alguna de las mencionadas excepciones. </w:t>
      </w:r>
      <w:r w:rsidRPr="00B54967">
        <w:rPr>
          <w:rFonts w:ascii="Verdana" w:eastAsia="Calibri" w:hAnsi="Verdana" w:cs="Arial"/>
          <w:lang w:val="es-ES"/>
        </w:rPr>
        <w:t xml:space="preserve"> </w:t>
      </w:r>
    </w:p>
    <w:p w14:paraId="125055C1" w14:textId="77777777" w:rsidR="00B54967" w:rsidRPr="00B54967" w:rsidRDefault="00B54967" w:rsidP="00B54967">
      <w:pPr>
        <w:spacing w:after="120" w:line="276" w:lineRule="auto"/>
        <w:ind w:firstLine="709"/>
        <w:jc w:val="both"/>
        <w:rPr>
          <w:rFonts w:ascii="Verdana" w:hAnsi="Verdana"/>
          <w:lang w:val="es-ES_tradnl"/>
        </w:rPr>
      </w:pPr>
      <w:r w:rsidRPr="00B54967">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EF68F47" w14:textId="77777777" w:rsidR="00B54967" w:rsidRPr="00B54967" w:rsidRDefault="00B54967" w:rsidP="00B54967">
      <w:pPr>
        <w:spacing w:after="0" w:line="276" w:lineRule="auto"/>
        <w:ind w:firstLine="709"/>
        <w:jc w:val="both"/>
        <w:rPr>
          <w:rFonts w:ascii="Verdana" w:hAnsi="Verdana" w:cs="Arial"/>
          <w:bCs/>
          <w:color w:val="000000" w:themeColor="text1"/>
        </w:rPr>
      </w:pPr>
      <w:r w:rsidRPr="00B54967">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3E3592E" w14:textId="77777777" w:rsidR="00B54967" w:rsidRPr="00B54967" w:rsidRDefault="00B54967" w:rsidP="00B54967">
      <w:pPr>
        <w:spacing w:after="0" w:line="240" w:lineRule="auto"/>
        <w:jc w:val="both"/>
        <w:rPr>
          <w:rFonts w:ascii="Verdana" w:hAnsi="Verdana" w:cs="Arial"/>
          <w:bCs/>
          <w:color w:val="000000" w:themeColor="text1"/>
        </w:rPr>
      </w:pPr>
    </w:p>
    <w:p w14:paraId="03E11102" w14:textId="77777777" w:rsidR="00B54967" w:rsidRPr="00B54967" w:rsidRDefault="00B54967" w:rsidP="00B54967">
      <w:pPr>
        <w:spacing w:after="0" w:line="276" w:lineRule="auto"/>
        <w:jc w:val="both"/>
        <w:rPr>
          <w:rFonts w:ascii="Verdana" w:eastAsia="Century Gothic" w:hAnsi="Verdana" w:cs="Century Gothic"/>
          <w:b/>
          <w:bCs/>
        </w:rPr>
      </w:pPr>
      <w:bookmarkStart w:id="20" w:name="_Hlk204854194"/>
      <w:r w:rsidRPr="00B54967">
        <w:rPr>
          <w:rFonts w:ascii="Verdana" w:hAnsi="Verdana" w:cs="Arial"/>
          <w:b/>
          <w:color w:val="000000" w:themeColor="text1"/>
        </w:rPr>
        <w:t>4.</w:t>
      </w:r>
      <w:r w:rsidRPr="00B54967">
        <w:rPr>
          <w:rFonts w:ascii="Verdana" w:hAnsi="Verdana" w:cs="Arial"/>
          <w:bCs/>
          <w:color w:val="000000" w:themeColor="text1"/>
        </w:rPr>
        <w:t xml:space="preserve"> </w:t>
      </w:r>
      <w:r w:rsidRPr="00B54967">
        <w:rPr>
          <w:rFonts w:ascii="Verdana" w:eastAsia="Century Gothic" w:hAnsi="Verdana" w:cs="Century Gothic"/>
          <w:b/>
          <w:bCs/>
        </w:rPr>
        <w:t>Referencias normativas y jurisprudenciales:</w:t>
      </w:r>
      <w:bookmarkEnd w:id="20"/>
    </w:p>
    <w:p w14:paraId="6C561E4A" w14:textId="77777777" w:rsidR="00B54967" w:rsidRPr="00B54967" w:rsidRDefault="00B54967" w:rsidP="00B54967">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54967" w:rsidRPr="00B54967" w14:paraId="75C1D545" w14:textId="77777777" w:rsidTr="003F0972">
        <w:trPr>
          <w:trHeight w:val="56"/>
          <w:jc w:val="center"/>
        </w:trPr>
        <w:tc>
          <w:tcPr>
            <w:tcW w:w="8647" w:type="dxa"/>
          </w:tcPr>
          <w:p w14:paraId="3ED4EF4C" w14:textId="77777777" w:rsidR="00B54967" w:rsidRPr="00B54967" w:rsidRDefault="00B54967" w:rsidP="00B54967">
            <w:pPr>
              <w:numPr>
                <w:ilvl w:val="0"/>
                <w:numId w:val="16"/>
              </w:numPr>
              <w:spacing w:after="120" w:line="276" w:lineRule="auto"/>
              <w:contextualSpacing/>
              <w:jc w:val="both"/>
              <w:rPr>
                <w:rFonts w:ascii="Verdana" w:hAnsi="Verdana" w:cs="Arial"/>
                <w:lang w:val="es-ES" w:eastAsia="es-ES"/>
              </w:rPr>
            </w:pPr>
            <w:r w:rsidRPr="00B54967">
              <w:rPr>
                <w:rFonts w:ascii="Verdana" w:hAnsi="Verdana" w:cs="Arial"/>
                <w:lang w:val="es-ES" w:eastAsia="es-ES"/>
              </w:rPr>
              <w:t>Constitución Política. Artículo 127</w:t>
            </w:r>
          </w:p>
          <w:p w14:paraId="09ED1E8A" w14:textId="77777777" w:rsidR="00B54967" w:rsidRPr="00B54967" w:rsidRDefault="00B54967" w:rsidP="00B54967">
            <w:pPr>
              <w:numPr>
                <w:ilvl w:val="0"/>
                <w:numId w:val="16"/>
              </w:numPr>
              <w:spacing w:after="120" w:line="276" w:lineRule="auto"/>
              <w:contextualSpacing/>
              <w:jc w:val="both"/>
              <w:rPr>
                <w:rFonts w:ascii="Verdana" w:hAnsi="Verdana" w:cs="Arial"/>
                <w:lang w:val="es-ES" w:eastAsia="es-ES"/>
              </w:rPr>
            </w:pPr>
            <w:r w:rsidRPr="00B54967">
              <w:rPr>
                <w:rFonts w:ascii="Verdana" w:hAnsi="Verdana" w:cs="Arial"/>
                <w:lang w:val="es-ES" w:eastAsia="es-ES"/>
              </w:rPr>
              <w:lastRenderedPageBreak/>
              <w:t xml:space="preserve">Ley 80 de 1993. Artículo 41. </w:t>
            </w:r>
          </w:p>
          <w:p w14:paraId="68B94522" w14:textId="77777777" w:rsidR="00B54967" w:rsidRPr="00B54967" w:rsidRDefault="00B54967" w:rsidP="00B54967">
            <w:pPr>
              <w:numPr>
                <w:ilvl w:val="0"/>
                <w:numId w:val="16"/>
              </w:numPr>
              <w:spacing w:after="120" w:line="276" w:lineRule="auto"/>
              <w:contextualSpacing/>
              <w:jc w:val="both"/>
              <w:rPr>
                <w:rFonts w:ascii="Verdana" w:hAnsi="Verdana" w:cs="Arial"/>
                <w:lang w:val="es-ES" w:eastAsia="es-ES"/>
              </w:rPr>
            </w:pPr>
            <w:r w:rsidRPr="00B54967">
              <w:rPr>
                <w:rFonts w:ascii="Verdana" w:hAnsi="Verdana" w:cs="Arial"/>
                <w:lang w:val="es-ES" w:eastAsia="es-ES"/>
              </w:rPr>
              <w:t>Ley 996 de 2005. Artículos 33 y 38.</w:t>
            </w:r>
          </w:p>
          <w:p w14:paraId="269E219D" w14:textId="77777777" w:rsidR="00B54967" w:rsidRPr="00B54967" w:rsidRDefault="00B54967" w:rsidP="00B54967">
            <w:pPr>
              <w:numPr>
                <w:ilvl w:val="0"/>
                <w:numId w:val="16"/>
              </w:numPr>
              <w:spacing w:after="120" w:line="276" w:lineRule="auto"/>
              <w:contextualSpacing/>
              <w:jc w:val="both"/>
              <w:rPr>
                <w:rFonts w:ascii="Verdana" w:hAnsi="Verdana" w:cs="Arial"/>
                <w:lang w:val="es-ES" w:eastAsia="es-ES"/>
              </w:rPr>
            </w:pPr>
            <w:r w:rsidRPr="00B54967">
              <w:rPr>
                <w:rFonts w:ascii="Verdana" w:hAnsi="Verdana" w:cs="Arial"/>
                <w:lang w:val="es-ES" w:eastAsia="es-ES"/>
              </w:rPr>
              <w:t>Ley 1150 de 2007. Artículo 2, numeral 4 literal c).</w:t>
            </w:r>
          </w:p>
          <w:p w14:paraId="1B7C4BF8" w14:textId="77777777" w:rsidR="00B54967" w:rsidRPr="00B54967" w:rsidRDefault="00B54967" w:rsidP="00B54967">
            <w:pPr>
              <w:numPr>
                <w:ilvl w:val="0"/>
                <w:numId w:val="16"/>
              </w:numPr>
              <w:spacing w:after="120" w:line="276" w:lineRule="auto"/>
              <w:contextualSpacing/>
              <w:jc w:val="both"/>
              <w:rPr>
                <w:rFonts w:ascii="Verdana" w:hAnsi="Verdana" w:cs="Arial"/>
                <w:lang w:val="es-ES" w:eastAsia="es-ES"/>
              </w:rPr>
            </w:pPr>
            <w:r w:rsidRPr="00B54967">
              <w:rPr>
                <w:rFonts w:ascii="Verdana" w:hAnsi="Verdana" w:cs="Arial"/>
                <w:lang w:val="es-ES" w:eastAsia="es-ES"/>
              </w:rPr>
              <w:t xml:space="preserve">Consejo de Estado. Sala de Consulta y Servicio Civil. Concepto no. 2257 del 26 de julio de 2016, C.P. Álvaro Namén Vargas. </w:t>
            </w:r>
          </w:p>
          <w:p w14:paraId="0A7B2AF6" w14:textId="77777777" w:rsidR="00B54967" w:rsidRPr="00B54967" w:rsidRDefault="00B54967" w:rsidP="00B54967">
            <w:pPr>
              <w:numPr>
                <w:ilvl w:val="0"/>
                <w:numId w:val="16"/>
              </w:numPr>
              <w:spacing w:after="120" w:line="276" w:lineRule="auto"/>
              <w:contextualSpacing/>
              <w:jc w:val="both"/>
              <w:rPr>
                <w:rFonts w:ascii="Verdana" w:hAnsi="Verdana" w:cs="Arial"/>
                <w:lang w:val="es-ES" w:eastAsia="es-ES"/>
              </w:rPr>
            </w:pPr>
            <w:r w:rsidRPr="00B54967">
              <w:rPr>
                <w:rFonts w:ascii="Verdana" w:hAnsi="Verdana" w:cs="Arial"/>
                <w:lang w:val="es-ES" w:eastAsia="es-ES"/>
              </w:rPr>
              <w:t xml:space="preserve">Consejo de Estado. Sala de lo Contencioso Administrativo. Sección Tercera, Subsección A. Sentencia del 23 de junio de 2010. C.P. Mauricio Fajardo Gómez. </w:t>
            </w:r>
            <w:proofErr w:type="spellStart"/>
            <w:r w:rsidRPr="00B54967">
              <w:rPr>
                <w:rFonts w:ascii="Verdana" w:hAnsi="Verdana" w:cs="Arial"/>
                <w:lang w:val="es-ES" w:eastAsia="es-ES"/>
              </w:rPr>
              <w:t>Exp</w:t>
            </w:r>
            <w:proofErr w:type="spellEnd"/>
            <w:r w:rsidRPr="00B54967">
              <w:rPr>
                <w:rFonts w:ascii="Verdana" w:hAnsi="Verdana" w:cs="Arial"/>
                <w:lang w:val="es-ES" w:eastAsia="es-ES"/>
              </w:rPr>
              <w:t xml:space="preserve"> 17860.</w:t>
            </w:r>
          </w:p>
          <w:p w14:paraId="322BC5E2" w14:textId="77777777" w:rsidR="00B54967" w:rsidRPr="00B54967" w:rsidRDefault="00B54967" w:rsidP="00B54967">
            <w:pPr>
              <w:numPr>
                <w:ilvl w:val="0"/>
                <w:numId w:val="16"/>
              </w:numPr>
              <w:spacing w:after="120" w:line="276" w:lineRule="auto"/>
              <w:contextualSpacing/>
              <w:jc w:val="both"/>
              <w:rPr>
                <w:rFonts w:ascii="Verdana" w:hAnsi="Verdana" w:cs="Arial"/>
                <w:lang w:val="es-ES" w:eastAsia="es-ES"/>
              </w:rPr>
            </w:pPr>
            <w:r w:rsidRPr="00B54967">
              <w:rPr>
                <w:rFonts w:ascii="Verdana" w:hAnsi="Verdana" w:cs="Arial"/>
                <w:lang w:val="es-ES" w:eastAsia="es-ES"/>
              </w:rPr>
              <w:t xml:space="preserve">Consejo de Estado. Sala de lo Contencioso Administrativo. Sección Tercera. Subsección B. Auto del 4 de octubre de 2024. </w:t>
            </w:r>
            <w:proofErr w:type="spellStart"/>
            <w:r w:rsidRPr="00B54967">
              <w:rPr>
                <w:rFonts w:ascii="Verdana" w:hAnsi="Verdana" w:cs="Arial"/>
                <w:lang w:val="es-ES" w:eastAsia="es-ES"/>
              </w:rPr>
              <w:t>Exp</w:t>
            </w:r>
            <w:proofErr w:type="spellEnd"/>
            <w:r w:rsidRPr="00B54967">
              <w:rPr>
                <w:rFonts w:ascii="Verdana" w:hAnsi="Verdana" w:cs="Arial"/>
                <w:lang w:val="es-ES" w:eastAsia="es-ES"/>
              </w:rPr>
              <w:t xml:space="preserve"> 70313. C.P. Fredy Ibarra Martínez.</w:t>
            </w:r>
          </w:p>
          <w:p w14:paraId="54533083" w14:textId="77777777" w:rsidR="00B54967" w:rsidRPr="00B54967" w:rsidRDefault="00B54967" w:rsidP="00B54967">
            <w:pPr>
              <w:numPr>
                <w:ilvl w:val="0"/>
                <w:numId w:val="16"/>
              </w:numPr>
              <w:spacing w:after="120" w:line="276" w:lineRule="auto"/>
              <w:contextualSpacing/>
              <w:jc w:val="both"/>
              <w:rPr>
                <w:rFonts w:ascii="Verdana" w:hAnsi="Verdana" w:cs="Arial"/>
                <w:lang w:val="es-ES" w:eastAsia="es-ES"/>
              </w:rPr>
            </w:pPr>
            <w:r w:rsidRPr="00B54967">
              <w:rPr>
                <w:rFonts w:ascii="Verdana" w:hAnsi="Verdana"/>
                <w:lang w:val="es-ES"/>
              </w:rPr>
              <w:t xml:space="preserve">Consejo De Estado. Sala de Consulta y Servicio Civil. Concepto del 30 de mayo de 2017. Rad. 2.319. C.P. Edgar González López. </w:t>
            </w:r>
          </w:p>
          <w:p w14:paraId="16790163" w14:textId="77777777" w:rsidR="00B54967" w:rsidRPr="00B54967" w:rsidRDefault="00B54967" w:rsidP="00B54967">
            <w:pPr>
              <w:numPr>
                <w:ilvl w:val="0"/>
                <w:numId w:val="16"/>
              </w:numPr>
              <w:spacing w:after="120" w:line="276" w:lineRule="auto"/>
              <w:contextualSpacing/>
              <w:jc w:val="both"/>
              <w:rPr>
                <w:rFonts w:ascii="Verdana" w:hAnsi="Verdana" w:cs="Arial"/>
                <w:lang w:val="es-ES" w:eastAsia="es-ES"/>
              </w:rPr>
            </w:pPr>
            <w:r w:rsidRPr="00B54967">
              <w:rPr>
                <w:rFonts w:ascii="Verdana" w:hAnsi="Verdana" w:cs="Arial"/>
                <w:lang w:val="es-ES" w:eastAsia="es-ES"/>
              </w:rPr>
              <w:t>Consejo de Estado. Sala Plena. Auto del 15 de marzo de 2022. Expediente: 62.003. C.P: Rocío Araujo Oñate.</w:t>
            </w:r>
          </w:p>
          <w:p w14:paraId="3B36E6BE" w14:textId="77777777" w:rsidR="00B54967" w:rsidRPr="00B54967" w:rsidRDefault="00B54967" w:rsidP="00B54967">
            <w:pPr>
              <w:numPr>
                <w:ilvl w:val="0"/>
                <w:numId w:val="16"/>
              </w:numPr>
              <w:spacing w:after="120" w:line="276" w:lineRule="auto"/>
              <w:contextualSpacing/>
              <w:jc w:val="both"/>
              <w:rPr>
                <w:rFonts w:ascii="Verdana" w:hAnsi="Verdana" w:cs="Arial"/>
                <w:lang w:val="es-ES" w:eastAsia="es-ES"/>
              </w:rPr>
            </w:pPr>
            <w:r w:rsidRPr="00B54967">
              <w:rPr>
                <w:rFonts w:ascii="Verdana" w:hAnsi="Verdana" w:cs="Arial"/>
                <w:lang w:val="es-ES" w:eastAsia="es-ES"/>
              </w:rPr>
              <w:t xml:space="preserve">Consejo de Estado. Sala de lo Contencioso Administrativo. Sección Primera. Sentencia de 3 de marzo de 2005. Radicado: 25001-23-15-000-2004-00823-01 (PI). C.P: Camilo Arciniegas Andrade. </w:t>
            </w:r>
          </w:p>
          <w:p w14:paraId="443ECE35" w14:textId="77777777" w:rsidR="00B54967" w:rsidRPr="00B54967" w:rsidRDefault="00B54967" w:rsidP="00B54967">
            <w:pPr>
              <w:numPr>
                <w:ilvl w:val="0"/>
                <w:numId w:val="16"/>
              </w:numPr>
              <w:spacing w:after="120" w:line="276" w:lineRule="auto"/>
              <w:contextualSpacing/>
              <w:jc w:val="both"/>
              <w:rPr>
                <w:rFonts w:ascii="Verdana" w:hAnsi="Verdana" w:cs="Arial"/>
                <w:lang w:val="es-ES" w:eastAsia="es-ES"/>
              </w:rPr>
            </w:pPr>
            <w:r w:rsidRPr="00B54967">
              <w:rPr>
                <w:rFonts w:ascii="Verdana" w:hAnsi="Verdana" w:cs="Arial"/>
                <w:lang w:val="es-ES" w:eastAsia="es-ES"/>
              </w:rPr>
              <w:t xml:space="preserve">Consejo de Estado, Sala de Consulta y Servicio Civil. 24 de julio de 2013. Radicado: 11001-03-06-000-2013-00407-00 (2166). C.P. Álvaro Namén Vargas.  </w:t>
            </w:r>
          </w:p>
          <w:p w14:paraId="38799029" w14:textId="77777777" w:rsidR="00B54967" w:rsidRPr="00B54967" w:rsidRDefault="00B54967" w:rsidP="00B54967">
            <w:pPr>
              <w:numPr>
                <w:ilvl w:val="0"/>
                <w:numId w:val="16"/>
              </w:numPr>
              <w:spacing w:after="120" w:line="276" w:lineRule="auto"/>
              <w:contextualSpacing/>
              <w:jc w:val="both"/>
              <w:rPr>
                <w:rFonts w:ascii="Verdana" w:hAnsi="Verdana" w:cs="Arial"/>
                <w:lang w:val="es-ES" w:eastAsia="es-ES"/>
              </w:rPr>
            </w:pPr>
            <w:r w:rsidRPr="00B54967">
              <w:rPr>
                <w:rFonts w:ascii="Verdana" w:hAnsi="Verdana" w:cs="Arial"/>
                <w:lang w:val="es-ES" w:eastAsia="es-ES"/>
              </w:rPr>
              <w:t>Consejo de Estado. Sala de Consulta y Servicio Civil. Concepto del 17 de febrero de 2015. Radicado: 11001-03-06-000-2015-00164-00 (2269). C.P. William Zambrano Cetina.</w:t>
            </w:r>
          </w:p>
          <w:p w14:paraId="2A9C449F" w14:textId="77777777" w:rsidR="00B54967" w:rsidRPr="00B54967" w:rsidRDefault="00B54967" w:rsidP="00B54967">
            <w:pPr>
              <w:numPr>
                <w:ilvl w:val="0"/>
                <w:numId w:val="16"/>
              </w:numPr>
              <w:spacing w:after="120" w:line="276" w:lineRule="auto"/>
              <w:contextualSpacing/>
              <w:jc w:val="both"/>
              <w:rPr>
                <w:rFonts w:ascii="Verdana" w:hAnsi="Verdana" w:cs="Arial"/>
                <w:lang w:val="es-ES" w:eastAsia="es-ES"/>
              </w:rPr>
            </w:pPr>
            <w:r w:rsidRPr="00B54967">
              <w:rPr>
                <w:rFonts w:ascii="Verdana" w:hAnsi="Verdana" w:cs="Arial"/>
                <w:lang w:val="es-ES" w:eastAsia="es-ES"/>
              </w:rPr>
              <w:t>Consejo de Estado. Sala de Consulta y Servicio Civil. Concepto del 2 de septiembre de 2013. Radicación número: 11001-03-06-000-2013-00412-00 (2168). C.P: Álvaro Namén Vargas.</w:t>
            </w:r>
          </w:p>
          <w:p w14:paraId="4801456D" w14:textId="77777777" w:rsidR="00B54967" w:rsidRPr="00B54967" w:rsidRDefault="00B54967" w:rsidP="00B54967">
            <w:pPr>
              <w:numPr>
                <w:ilvl w:val="0"/>
                <w:numId w:val="16"/>
              </w:numPr>
              <w:spacing w:after="120" w:line="276" w:lineRule="auto"/>
              <w:contextualSpacing/>
              <w:jc w:val="both"/>
              <w:rPr>
                <w:rFonts w:ascii="Verdana" w:hAnsi="Verdana" w:cs="Arial"/>
                <w:lang w:val="es-ES" w:eastAsia="es-ES"/>
              </w:rPr>
            </w:pPr>
            <w:r w:rsidRPr="00B54967">
              <w:rPr>
                <w:rFonts w:ascii="Verdana" w:hAnsi="Verdana" w:cs="Arial"/>
                <w:lang w:val="es-ES" w:eastAsia="es-ES"/>
              </w:rPr>
              <w:t>Consejo de Estado. Sala de Consulta y Servicio Civil, Concepto de 8 de mayo de 2018. Radicación Número: 11001-03-06-000-2018-00095-00 (2382). C.P: Álvaro Namén Vargas.</w:t>
            </w:r>
          </w:p>
          <w:p w14:paraId="73D1533E" w14:textId="77777777" w:rsidR="00B54967" w:rsidRPr="00B54967" w:rsidRDefault="00B54967" w:rsidP="00B54967">
            <w:pPr>
              <w:numPr>
                <w:ilvl w:val="0"/>
                <w:numId w:val="16"/>
              </w:numPr>
              <w:spacing w:after="120" w:line="276" w:lineRule="auto"/>
              <w:contextualSpacing/>
              <w:jc w:val="both"/>
              <w:rPr>
                <w:rFonts w:ascii="Verdana" w:hAnsi="Verdana" w:cs="Arial"/>
                <w:lang w:val="es-ES" w:eastAsia="es-ES"/>
              </w:rPr>
            </w:pPr>
            <w:r w:rsidRPr="00B54967">
              <w:rPr>
                <w:rFonts w:ascii="Verdana" w:hAnsi="Verdana" w:cs="Arial"/>
                <w:lang w:val="es-ES" w:eastAsia="es-ES"/>
              </w:rPr>
              <w:t>Consejo de Estado. Sala de Consulta y Servicio Civil. Concepto de 20 de febrero de 2006. Radicación Número: 11001-03-06-000-2006-00026-00 (1727). C.P: Enrique José Arboleda Perdomo.</w:t>
            </w:r>
          </w:p>
          <w:p w14:paraId="407359E6" w14:textId="77777777" w:rsidR="00B54967" w:rsidRPr="00B54967" w:rsidRDefault="00B54967" w:rsidP="00B54967">
            <w:pPr>
              <w:numPr>
                <w:ilvl w:val="0"/>
                <w:numId w:val="16"/>
              </w:numPr>
              <w:spacing w:after="120" w:line="276" w:lineRule="auto"/>
              <w:contextualSpacing/>
              <w:jc w:val="both"/>
              <w:rPr>
                <w:rFonts w:ascii="Verdana" w:hAnsi="Verdana" w:cs="Arial"/>
                <w:lang w:val="es-ES" w:eastAsia="es-ES"/>
              </w:rPr>
            </w:pPr>
            <w:r w:rsidRPr="00B54967">
              <w:rPr>
                <w:rFonts w:ascii="Verdana" w:hAnsi="Verdana" w:cs="Arial"/>
                <w:lang w:val="es-ES" w:eastAsia="es-ES"/>
              </w:rPr>
              <w:t>Consejo de Estado. Sala de Consulta y Servicio Civil. Concepto de 6 de abril de 2006. Radicación Número: 11001-03-06-000-2006-00038-00 (1738). C.P: Enrique José Arboleda Perdomo.</w:t>
            </w:r>
          </w:p>
          <w:p w14:paraId="244CA772" w14:textId="77777777" w:rsidR="00B54967" w:rsidRPr="00B54967" w:rsidRDefault="00B54967" w:rsidP="00B54967">
            <w:pPr>
              <w:numPr>
                <w:ilvl w:val="0"/>
                <w:numId w:val="16"/>
              </w:numPr>
              <w:spacing w:after="120" w:line="276" w:lineRule="auto"/>
              <w:contextualSpacing/>
              <w:jc w:val="both"/>
              <w:rPr>
                <w:rFonts w:ascii="Verdana" w:hAnsi="Verdana" w:cs="Arial"/>
                <w:lang w:val="es-ES" w:eastAsia="es-ES"/>
              </w:rPr>
            </w:pPr>
            <w:r w:rsidRPr="00B54967">
              <w:rPr>
                <w:rFonts w:ascii="Verdana" w:hAnsi="Verdana" w:cs="Arial"/>
                <w:lang w:val="es-ES" w:eastAsia="es-ES"/>
              </w:rPr>
              <w:lastRenderedPageBreak/>
              <w:t>Consejo de Estado. Sala de Consulta y Servicio Civil. Concepto del 18 de febrero 2010. Rad. 11001-03-06-000-2010-00006-00 (1985). C.P. Enrique José Arboleda Perdomo.</w:t>
            </w:r>
          </w:p>
          <w:p w14:paraId="2BC0808E" w14:textId="77777777" w:rsidR="00B54967" w:rsidRPr="00B54967" w:rsidRDefault="00B54967" w:rsidP="00B54967">
            <w:pPr>
              <w:numPr>
                <w:ilvl w:val="0"/>
                <w:numId w:val="16"/>
              </w:numPr>
              <w:spacing w:after="160" w:line="276" w:lineRule="auto"/>
              <w:ind w:left="714" w:hanging="357"/>
              <w:contextualSpacing/>
              <w:jc w:val="both"/>
              <w:rPr>
                <w:rFonts w:ascii="Verdana" w:hAnsi="Verdana" w:cs="Arial"/>
                <w:lang w:val="es-ES" w:eastAsia="es-ES"/>
              </w:rPr>
            </w:pPr>
            <w:r w:rsidRPr="00B54967">
              <w:rPr>
                <w:rFonts w:ascii="Verdana" w:hAnsi="Verdana" w:cs="Arial"/>
                <w:lang w:val="es-ES" w:eastAsia="es-ES"/>
              </w:rPr>
              <w:t>Corte Constitucional. Sentencia C- 1153 de 2005, M.P: Marco Gerardo Monroy Cabra.</w:t>
            </w:r>
            <w:r w:rsidRPr="00B54967">
              <w:rPr>
                <w:rFonts w:ascii="Verdana" w:hAnsi="Verdana" w:cs="Arial"/>
                <w:lang w:val="es-ES" w:eastAsia="es-ES"/>
              </w:rPr>
              <w:tab/>
            </w:r>
          </w:p>
          <w:p w14:paraId="13108DA6" w14:textId="77777777" w:rsidR="00B54967" w:rsidRPr="00B54967" w:rsidRDefault="00B54967" w:rsidP="00B54967">
            <w:pPr>
              <w:numPr>
                <w:ilvl w:val="0"/>
                <w:numId w:val="16"/>
              </w:numPr>
              <w:spacing w:after="120" w:line="276" w:lineRule="auto"/>
              <w:contextualSpacing/>
              <w:jc w:val="both"/>
              <w:rPr>
                <w:rFonts w:ascii="Verdana" w:hAnsi="Verdana" w:cs="Arial"/>
                <w:lang w:val="es-ES" w:eastAsia="es-ES"/>
              </w:rPr>
            </w:pPr>
            <w:r w:rsidRPr="00B54967">
              <w:rPr>
                <w:rFonts w:ascii="Verdana" w:hAnsi="Verdana" w:cs="Arial"/>
                <w:lang w:val="es-ES" w:eastAsia="es-ES"/>
              </w:rPr>
              <w:t xml:space="preserve">Corte Constitucional. Sentencia C-671 de 2005. M.P. Álvaro Tafur Galvis. </w:t>
            </w:r>
          </w:p>
          <w:p w14:paraId="7D16C668" w14:textId="77777777" w:rsidR="00B54967" w:rsidRPr="00B54967" w:rsidRDefault="00B54967" w:rsidP="00B54967">
            <w:pPr>
              <w:numPr>
                <w:ilvl w:val="0"/>
                <w:numId w:val="16"/>
              </w:numPr>
              <w:spacing w:after="120" w:line="276" w:lineRule="auto"/>
              <w:contextualSpacing/>
              <w:jc w:val="both"/>
              <w:rPr>
                <w:rFonts w:ascii="Verdana" w:hAnsi="Verdana" w:cs="Arial"/>
                <w:lang w:val="es-ES" w:eastAsia="es-ES"/>
              </w:rPr>
            </w:pPr>
            <w:r w:rsidRPr="00B54967">
              <w:rPr>
                <w:rFonts w:ascii="Verdana" w:hAnsi="Verdana"/>
                <w:lang w:val="es-ES"/>
              </w:rPr>
              <w:t xml:space="preserve">Agencia Nacional de Contratación Pública – Colombia Compra Eficiente. Circular Externa 006 del 25 de septiembre de 2025. Disponible en </w:t>
            </w:r>
            <w:hyperlink r:id="rId11" w:history="1">
              <w:r w:rsidRPr="00B54967">
                <w:rPr>
                  <w:rFonts w:ascii="Verdana" w:hAnsi="Verdana"/>
                  <w:color w:val="0000FF"/>
                  <w:u w:val="single"/>
                </w:rPr>
                <w:t>006-de-2025-Circular-Externa-L996-ajustado-comentarios-BM-BID-Rev-ARSC-V3.d-1.pdf</w:t>
              </w:r>
            </w:hyperlink>
          </w:p>
          <w:p w14:paraId="6DC69151" w14:textId="77777777" w:rsidR="00B54967" w:rsidRPr="00B54967" w:rsidRDefault="00B54967" w:rsidP="00B54967">
            <w:pPr>
              <w:numPr>
                <w:ilvl w:val="0"/>
                <w:numId w:val="16"/>
              </w:numPr>
              <w:spacing w:after="120" w:line="276" w:lineRule="auto"/>
              <w:contextualSpacing/>
              <w:jc w:val="both"/>
              <w:rPr>
                <w:rFonts w:ascii="Verdana" w:hAnsi="Verdana" w:cs="Arial"/>
                <w:lang w:val="es-ES" w:eastAsia="es-ES"/>
              </w:rPr>
            </w:pPr>
            <w:r w:rsidRPr="00B54967">
              <w:rPr>
                <w:rFonts w:ascii="Verdana" w:hAnsi="Verdana"/>
                <w:lang w:val="es-ES"/>
              </w:rPr>
              <w:t>SANTOS RODRÍGUEZ, Jorge Enrique. Consideraciones sobre los contratos y convenios interadministrativos. En: Revista Digital de Derecho Administrativo, 2008.</w:t>
            </w:r>
          </w:p>
        </w:tc>
      </w:tr>
    </w:tbl>
    <w:p w14:paraId="281FBA38" w14:textId="77777777" w:rsidR="00B54967" w:rsidRPr="00B54967" w:rsidRDefault="00B54967" w:rsidP="00B54967">
      <w:pPr>
        <w:tabs>
          <w:tab w:val="left" w:pos="142"/>
          <w:tab w:val="left" w:pos="284"/>
          <w:tab w:val="left" w:pos="3828"/>
        </w:tabs>
        <w:spacing w:after="0" w:line="276" w:lineRule="auto"/>
        <w:jc w:val="both"/>
        <w:rPr>
          <w:rFonts w:ascii="Verdana" w:eastAsia="Century Gothic" w:hAnsi="Verdana" w:cs="Century Gothic"/>
          <w:b/>
          <w:bCs/>
        </w:rPr>
      </w:pPr>
    </w:p>
    <w:p w14:paraId="6437BD73" w14:textId="77777777" w:rsidR="00B54967" w:rsidRPr="00B54967" w:rsidRDefault="00B54967" w:rsidP="00B54967">
      <w:pPr>
        <w:tabs>
          <w:tab w:val="left" w:pos="142"/>
          <w:tab w:val="left" w:pos="284"/>
          <w:tab w:val="left" w:pos="3828"/>
        </w:tabs>
        <w:spacing w:after="0" w:line="276" w:lineRule="auto"/>
        <w:jc w:val="both"/>
        <w:rPr>
          <w:rFonts w:ascii="Verdana" w:eastAsia="Century Gothic" w:hAnsi="Verdana" w:cs="Century Gothic"/>
          <w:b/>
          <w:bCs/>
        </w:rPr>
      </w:pPr>
      <w:r w:rsidRPr="00B54967">
        <w:rPr>
          <w:rFonts w:ascii="Verdana" w:eastAsia="Century Gothic" w:hAnsi="Verdana" w:cs="Century Gothic"/>
          <w:b/>
          <w:bCs/>
        </w:rPr>
        <w:t>5. Doctrina de la Agencia Nacional de Contratación Pública:</w:t>
      </w:r>
    </w:p>
    <w:p w14:paraId="496BCD14" w14:textId="77777777" w:rsidR="00B54967" w:rsidRPr="00B54967" w:rsidRDefault="00B54967" w:rsidP="00B54967">
      <w:pPr>
        <w:widowControl w:val="0"/>
        <w:autoSpaceDE w:val="0"/>
        <w:autoSpaceDN w:val="0"/>
        <w:spacing w:after="0" w:line="240" w:lineRule="auto"/>
        <w:jc w:val="both"/>
        <w:rPr>
          <w:rFonts w:ascii="Verdana" w:hAnsi="Verdana" w:cs="Arial"/>
          <w:shd w:val="clear" w:color="auto" w:fill="FFFFFF"/>
        </w:rPr>
      </w:pPr>
    </w:p>
    <w:p w14:paraId="47A74C1C" w14:textId="77777777" w:rsidR="00B54967" w:rsidRPr="00B54967" w:rsidRDefault="00B54967" w:rsidP="00B54967">
      <w:pPr>
        <w:widowControl w:val="0"/>
        <w:autoSpaceDE w:val="0"/>
        <w:autoSpaceDN w:val="0"/>
        <w:spacing w:after="120" w:line="276" w:lineRule="auto"/>
        <w:jc w:val="both"/>
        <w:rPr>
          <w:rFonts w:ascii="Verdana" w:hAnsi="Verdana" w:cs="Arial"/>
          <w:shd w:val="clear" w:color="auto" w:fill="FFFFFF"/>
        </w:rPr>
      </w:pPr>
      <w:r w:rsidRPr="00B54967">
        <w:rPr>
          <w:rFonts w:ascii="Verdana" w:hAnsi="Verdana" w:cs="Arial"/>
          <w:shd w:val="clear" w:color="auto" w:fill="FFFFFF"/>
        </w:rPr>
        <w:t xml:space="preserve">Esta Subdirección se ha pronunciado sobre la Ley de Garantías Electorales en  los conceptos C-681 del 7 de diciembre de 2021, C-686 del 21 de diciembre de 2021, C-134 del 7 de abril de 2022, C-697 del 3 de enero de 2022, C-180 del 21 de marzo de 2025, C-317 del 25 de abril de 2025, C-510 del 4 de junio de 2025, C -635 del 27 de junio de 2025, C–750 de 17 de julio 2025, C-868 del 12 de agosto de 2025, C-1124 del 18 de septiembre de 2025, C-1174 del 29 de septiembre de 2025, C-1491 del 20 de noviembre de 2025, C- 1492 del </w:t>
      </w:r>
      <w:r w:rsidRPr="00B54967">
        <w:rPr>
          <w:rFonts w:ascii="Verdana" w:hAnsi="Verdana"/>
        </w:rPr>
        <w:t>21 de noviembre del 2025, C-1629, C-1646 del 17 de diciembre de 2025, C-1662 del 22 de diciembre de 2025</w:t>
      </w:r>
      <w:r w:rsidRPr="00B54967">
        <w:rPr>
          <w:rFonts w:ascii="Verdana" w:hAnsi="Verdana" w:cs="Arial"/>
          <w:shd w:val="clear" w:color="auto" w:fill="FFFFFF"/>
          <w:lang w:val="es-ES"/>
        </w:rPr>
        <w:t xml:space="preserve">, C-063 del 23 de febrero de 2026, C-160 del 24 de febrero de 2026, C-095 del 4 de marzo de 2026, C-108 del 4 de marzo de 2026, C-177 del 16 de marzo de 2026, C-276 del 5 de abril de 2026, entre otros. </w:t>
      </w:r>
      <w:r w:rsidRPr="00B54967">
        <w:rPr>
          <w:rFonts w:ascii="Verdana" w:hAnsi="Verdana" w:cs="Arial"/>
        </w:rPr>
        <w:t xml:space="preserve">Estos y otros </w:t>
      </w:r>
      <w:r w:rsidRPr="00B54967">
        <w:rPr>
          <w:rFonts w:ascii="Verdana" w:hAnsi="Verdana"/>
        </w:rPr>
        <w:t>conceptos se encuentran disponibles para consulta en el Sistema de relatoría de la Agencia, al cual se puede acceder a través del siguiente enlace:</w:t>
      </w:r>
      <w:r w:rsidRPr="00B54967">
        <w:rPr>
          <w:rFonts w:ascii="Verdana" w:hAnsi="Verdana" w:cs="Arial"/>
          <w:shd w:val="clear" w:color="auto" w:fill="FFFFFF"/>
        </w:rPr>
        <w:t xml:space="preserve"> </w:t>
      </w:r>
      <w:hyperlink r:id="rId12" w:history="1">
        <w:r w:rsidRPr="00B54967">
          <w:rPr>
            <w:rFonts w:ascii="Verdana" w:hAnsi="Verdana" w:cs="Arial"/>
            <w:color w:val="0563C1" w:themeColor="hyperlink"/>
            <w:u w:val="single"/>
            <w:shd w:val="clear" w:color="auto" w:fill="FFFFFF"/>
          </w:rPr>
          <w:t>https://relatoria.colombiacompra.gov.co/busqueda/conceptos</w:t>
        </w:r>
      </w:hyperlink>
      <w:r w:rsidRPr="00B54967">
        <w:rPr>
          <w:rFonts w:ascii="Verdana" w:hAnsi="Verdana" w:cs="Arial"/>
          <w:shd w:val="clear" w:color="auto" w:fill="FFFFFF"/>
        </w:rPr>
        <w:t>.</w:t>
      </w:r>
      <w:r w:rsidRPr="00B54967">
        <w:rPr>
          <w:rFonts w:ascii="Verdana" w:hAnsi="Verdana" w:cs="Arial"/>
          <w:color w:val="FF0000"/>
          <w:shd w:val="clear" w:color="auto" w:fill="FFFFFF"/>
        </w:rPr>
        <w:t xml:space="preserve"> </w:t>
      </w:r>
      <w:r w:rsidRPr="00B54967">
        <w:rPr>
          <w:rFonts w:ascii="Verdana" w:hAnsi="Verdana" w:cs="Arial"/>
          <w:color w:val="000000" w:themeColor="text1"/>
          <w:shd w:val="clear" w:color="auto" w:fill="FFFFFF"/>
        </w:rPr>
        <w:t>  </w:t>
      </w:r>
    </w:p>
    <w:p w14:paraId="781FB1D3" w14:textId="77777777" w:rsidR="00B54967" w:rsidRPr="00B54967" w:rsidRDefault="00B54967" w:rsidP="00B54967">
      <w:pPr>
        <w:widowControl w:val="0"/>
        <w:autoSpaceDE w:val="0"/>
        <w:autoSpaceDN w:val="0"/>
        <w:spacing w:after="120" w:line="276" w:lineRule="auto"/>
        <w:jc w:val="both"/>
        <w:rPr>
          <w:rFonts w:ascii="Verdana" w:hAnsi="Verdana" w:cs="Arial"/>
        </w:rPr>
      </w:pPr>
      <w:r w:rsidRPr="00B54967">
        <w:rPr>
          <w:rFonts w:ascii="Verdana" w:hAnsi="Verdana"/>
        </w:rPr>
        <w:t xml:space="preserve">La sostenibilidad no es una opción, es una obligación. Por ello, la Agencia Nacional de Contratación Pública –Colombia Compra Eficiente– te invita a realizar el </w:t>
      </w:r>
      <w:r w:rsidRPr="00B54967">
        <w:rPr>
          <w:rFonts w:ascii="Verdana" w:hAnsi="Verdana"/>
          <w:b/>
          <w:bCs/>
        </w:rPr>
        <w:t>Curso de Contratación Pública Sostenible y Socialmente Responsable</w:t>
      </w:r>
      <w:r w:rsidRPr="00B54967">
        <w:rPr>
          <w:rFonts w:ascii="Verdana" w:hAnsi="Verdana"/>
        </w:rPr>
        <w:t xml:space="preserve">, una herramienta clave para fortalecer las capacidades de todos los compradores públicos, proveedores, servidores públicos v para generar mayor valor público. Accede al curso y aprende como implementar criterios </w:t>
      </w:r>
      <w:r w:rsidRPr="00B54967">
        <w:rPr>
          <w:rFonts w:ascii="Verdana" w:hAnsi="Verdana"/>
        </w:rPr>
        <w:lastRenderedPageBreak/>
        <w:t>sociales y ambientales en las diferentes etapas del proceso de contratación:</w:t>
      </w:r>
      <w:r w:rsidRPr="00B54967">
        <w:rPr>
          <w:rFonts w:ascii="Verdana" w:hAnsi="Verdana"/>
        </w:rPr>
        <w:br/>
      </w:r>
      <w:hyperlink r:id="rId13" w:tgtFrame="_new" w:history="1">
        <w:r w:rsidRPr="00B54967">
          <w:rPr>
            <w:rFonts w:ascii="Verdana" w:hAnsi="Verdana"/>
            <w:color w:val="0000FF"/>
            <w:u w:val="single"/>
          </w:rPr>
          <w:t>https://formacionvirtual.colombiacompra.gov.co/mod/page/view.php?id=3718</w:t>
        </w:r>
      </w:hyperlink>
    </w:p>
    <w:p w14:paraId="72F5DBD1" w14:textId="77777777" w:rsidR="00B54967" w:rsidRPr="00B54967" w:rsidRDefault="00B54967" w:rsidP="00B54967">
      <w:pPr>
        <w:widowControl w:val="0"/>
        <w:autoSpaceDE w:val="0"/>
        <w:autoSpaceDN w:val="0"/>
        <w:spacing w:after="120" w:line="276" w:lineRule="auto"/>
        <w:jc w:val="both"/>
        <w:rPr>
          <w:rFonts w:ascii="Verdana" w:hAnsi="Verdana" w:cs="Arial"/>
        </w:rPr>
      </w:pPr>
      <w:r w:rsidRPr="00B54967">
        <w:rPr>
          <w:rFonts w:ascii="Verdana" w:hAnsi="Verdana"/>
        </w:rPr>
        <w:t xml:space="preserve">De otro lado, te contamos que esta Agencia ha dado un paso decisivo en la estandarización y modernización del </w:t>
      </w:r>
      <w:r w:rsidRPr="00B54967">
        <w:rPr>
          <w:rFonts w:ascii="Verdana" w:hAnsi="Verdana"/>
          <w:b/>
          <w:bCs/>
        </w:rPr>
        <w:t>sector social</w:t>
      </w:r>
      <w:r w:rsidRPr="00B54967">
        <w:rPr>
          <w:rFonts w:ascii="Verdana" w:hAnsi="Verdana"/>
        </w:rPr>
        <w:t xml:space="preserve"> con la expedición de las </w:t>
      </w:r>
      <w:r w:rsidRPr="00B54967">
        <w:rPr>
          <w:rFonts w:ascii="Verdana" w:hAnsi="Verdana"/>
          <w:b/>
          <w:bCs/>
        </w:rPr>
        <w:t>Resoluciones 539, 540, 541, 952 y 953 de 2025</w:t>
      </w:r>
      <w:r w:rsidRPr="00B54967">
        <w:rPr>
          <w:rFonts w:ascii="Verdana" w:hAnsi="Verdana"/>
        </w:rPr>
        <w:t xml:space="preserve">, </w:t>
      </w:r>
      <w:r w:rsidRPr="00B54967">
        <w:rPr>
          <w:rFonts w:ascii="Verdana" w:hAnsi="Verdana"/>
          <w:b/>
          <w:bCs/>
        </w:rPr>
        <w:t>mediante las cuales adoptó Documentos Tipo</w:t>
      </w:r>
      <w:r w:rsidRPr="00B54967">
        <w:rPr>
          <w:rFonts w:ascii="Verdana" w:hAnsi="Verdana"/>
        </w:rPr>
        <w:t xml:space="preserve"> para las modalidades de selección de</w:t>
      </w:r>
      <w:r w:rsidRPr="00B54967">
        <w:rPr>
          <w:rFonts w:ascii="Verdana" w:hAnsi="Verdana"/>
          <w:b/>
          <w:bCs/>
        </w:rPr>
        <w:t xml:space="preserve"> licitación pública (versión 2), selección abreviada de menor cuantía, mínima cuantía, consultoría e interventoría</w:t>
      </w:r>
      <w:r w:rsidRPr="00B54967">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B54967">
          <w:rPr>
            <w:rFonts w:ascii="Verdana" w:hAnsi="Verdana"/>
            <w:color w:val="0000FF"/>
            <w:u w:val="single"/>
          </w:rPr>
          <w:t>https://www.colombiacompra.gov.co/normativa-y-relatoria/documentos-tipo</w:t>
        </w:r>
      </w:hyperlink>
    </w:p>
    <w:p w14:paraId="5CFEDDFB" w14:textId="77777777" w:rsidR="00B54967" w:rsidRPr="00B54967" w:rsidRDefault="00B54967" w:rsidP="00B54967">
      <w:pPr>
        <w:widowControl w:val="0"/>
        <w:autoSpaceDE w:val="0"/>
        <w:autoSpaceDN w:val="0"/>
        <w:spacing w:after="120" w:line="276" w:lineRule="auto"/>
        <w:jc w:val="both"/>
        <w:rPr>
          <w:rFonts w:ascii="Verdana" w:hAnsi="Verdana" w:cs="Arial"/>
        </w:rPr>
      </w:pPr>
      <w:r w:rsidRPr="00B54967">
        <w:rPr>
          <w:rFonts w:ascii="Verdana" w:hAnsi="Verdana"/>
        </w:rPr>
        <w:t xml:space="preserve">Si quieres conocer más sobre la aplicación de Documentos Tipo puedes consultar la última versión de la </w:t>
      </w:r>
      <w:r w:rsidRPr="00B54967">
        <w:rPr>
          <w:rFonts w:ascii="Verdana" w:hAnsi="Verdana"/>
          <w:b/>
          <w:bCs/>
        </w:rPr>
        <w:t>Guía para la comprensión e implementación de los Documentos Tipo de obra pública de infraestructura de transporte</w:t>
      </w:r>
      <w:r w:rsidRPr="00B54967">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B54967">
        <w:rPr>
          <w:rFonts w:ascii="Verdana" w:hAnsi="Verdana"/>
        </w:rPr>
        <w:br/>
      </w:r>
      <w:hyperlink r:id="rId15" w:tgtFrame="_new" w:history="1">
        <w:r w:rsidRPr="00B54967">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3896C62B" w14:textId="77777777" w:rsidR="00B54967" w:rsidRPr="00B54967" w:rsidRDefault="00B54967" w:rsidP="00B54967">
      <w:pPr>
        <w:widowControl w:val="0"/>
        <w:autoSpaceDE w:val="0"/>
        <w:autoSpaceDN w:val="0"/>
        <w:spacing w:after="120" w:line="276" w:lineRule="auto"/>
        <w:jc w:val="both"/>
        <w:rPr>
          <w:rFonts w:ascii="Verdana" w:hAnsi="Verdana" w:cs="Arial"/>
        </w:rPr>
      </w:pPr>
      <w:r w:rsidRPr="00B54967">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B3D2D40" w14:textId="77777777" w:rsidR="00B54967" w:rsidRPr="00B54967" w:rsidRDefault="00B54967" w:rsidP="00B54967">
      <w:pPr>
        <w:numPr>
          <w:ilvl w:val="0"/>
          <w:numId w:val="15"/>
        </w:numPr>
        <w:spacing w:after="0" w:line="276" w:lineRule="auto"/>
        <w:jc w:val="both"/>
        <w:rPr>
          <w:rFonts w:ascii="Verdana" w:eastAsia="Verdana" w:hAnsi="Verdana" w:cs="Verdana"/>
          <w:color w:val="4472C4" w:themeColor="accent1"/>
          <w:u w:val="single"/>
          <w:lang w:val="es-MX"/>
        </w:rPr>
      </w:pPr>
      <w:r w:rsidRPr="00B54967">
        <w:rPr>
          <w:rFonts w:ascii="Verdana" w:eastAsia="Verdana" w:hAnsi="Verdana" w:cs="Verdana"/>
          <w:lang w:val="es-MX"/>
        </w:rPr>
        <w:t xml:space="preserve">Línea nacional gratuita o servicio a la ciudadanía (Mesa de servicio): </w:t>
      </w:r>
      <w:r w:rsidRPr="00B54967">
        <w:rPr>
          <w:rFonts w:ascii="Verdana" w:hAnsi="Verdana"/>
          <w:color w:val="0000FF"/>
          <w:u w:val="single"/>
          <w:lang w:val="es-ES"/>
        </w:rPr>
        <w:t>01800 0520808</w:t>
      </w:r>
    </w:p>
    <w:p w14:paraId="44FDAA9F" w14:textId="77777777" w:rsidR="00B54967" w:rsidRPr="00B54967" w:rsidRDefault="00B54967" w:rsidP="00B54967">
      <w:pPr>
        <w:numPr>
          <w:ilvl w:val="0"/>
          <w:numId w:val="15"/>
        </w:numPr>
        <w:spacing w:after="0" w:line="276" w:lineRule="auto"/>
        <w:rPr>
          <w:rFonts w:ascii="Verdana" w:eastAsia="Verdana" w:hAnsi="Verdana" w:cs="Verdana"/>
          <w:color w:val="4472C4" w:themeColor="accent1"/>
          <w:u w:val="single"/>
          <w:lang w:val="es-MX"/>
        </w:rPr>
      </w:pPr>
      <w:r w:rsidRPr="00B54967">
        <w:rPr>
          <w:rFonts w:ascii="Verdana" w:eastAsia="Verdana" w:hAnsi="Verdana" w:cs="Verdana"/>
          <w:lang w:val="es-MX"/>
        </w:rPr>
        <w:t>Línea en Bogotá (Mesa de servicio):</w:t>
      </w:r>
      <w:r w:rsidRPr="00B54967">
        <w:rPr>
          <w:rFonts w:ascii="Verdana" w:hAnsi="Verdana"/>
          <w:color w:val="0000FF"/>
          <w:u w:val="single"/>
          <w:lang w:val="es-ES"/>
        </w:rPr>
        <w:t>+57 601 7456788</w:t>
      </w:r>
    </w:p>
    <w:p w14:paraId="52875C58" w14:textId="77777777" w:rsidR="00B54967" w:rsidRPr="00B54967" w:rsidRDefault="00B54967" w:rsidP="00B54967">
      <w:pPr>
        <w:numPr>
          <w:ilvl w:val="0"/>
          <w:numId w:val="15"/>
        </w:numPr>
        <w:spacing w:after="0" w:line="276" w:lineRule="auto"/>
        <w:rPr>
          <w:rFonts w:ascii="Verdana" w:eastAsia="Verdana" w:hAnsi="Verdana" w:cs="Verdana"/>
          <w:color w:val="0000FF"/>
          <w:u w:val="single"/>
          <w:lang w:val="es-MX"/>
        </w:rPr>
      </w:pPr>
      <w:r w:rsidRPr="00B54967">
        <w:rPr>
          <w:rFonts w:ascii="Verdana" w:eastAsia="Verdana" w:hAnsi="Verdana" w:cs="Verdana"/>
          <w:lang w:val="es-MX"/>
        </w:rPr>
        <w:t xml:space="preserve">Correo de radicación de correspondencia: </w:t>
      </w:r>
      <w:hyperlink r:id="rId16">
        <w:r w:rsidRPr="00B54967">
          <w:rPr>
            <w:rFonts w:ascii="Verdana" w:eastAsia="Verdana" w:hAnsi="Verdana" w:cs="Verdana"/>
            <w:color w:val="0000FF"/>
            <w:u w:val="single"/>
            <w:lang w:val="es-MX"/>
          </w:rPr>
          <w:t>ventanilladeradicacion@colombiacompra.gov.co</w:t>
        </w:r>
      </w:hyperlink>
    </w:p>
    <w:p w14:paraId="2DEE79DB" w14:textId="77777777" w:rsidR="00B54967" w:rsidRPr="00B54967" w:rsidRDefault="00B54967" w:rsidP="00B54967">
      <w:pPr>
        <w:numPr>
          <w:ilvl w:val="0"/>
          <w:numId w:val="15"/>
        </w:numPr>
        <w:spacing w:after="0" w:line="276" w:lineRule="auto"/>
        <w:rPr>
          <w:rFonts w:ascii="Verdana" w:eastAsia="Verdana" w:hAnsi="Verdana" w:cs="Verdana"/>
          <w:color w:val="0000FF"/>
          <w:u w:val="single"/>
          <w:lang w:val="es-MX"/>
        </w:rPr>
      </w:pPr>
      <w:r w:rsidRPr="00B54967">
        <w:rPr>
          <w:rFonts w:ascii="Verdana" w:eastAsia="Verdana" w:hAnsi="Verdana" w:cs="Verdana"/>
          <w:lang w:val="es-ES"/>
        </w:rPr>
        <w:lastRenderedPageBreak/>
        <w:t>Formulario web para</w:t>
      </w:r>
      <w:r w:rsidRPr="00B54967">
        <w:rPr>
          <w:rFonts w:ascii="Verdana" w:eastAsia="Verdana" w:hAnsi="Verdana" w:cs="Verdana"/>
          <w:lang w:val="es"/>
        </w:rPr>
        <w:t xml:space="preserve"> PQRSD: </w:t>
      </w:r>
      <w:hyperlink r:id="rId17">
        <w:r w:rsidRPr="00B54967">
          <w:rPr>
            <w:rFonts w:ascii="Verdana" w:eastAsia="Verdana" w:hAnsi="Verdana" w:cs="Verdana"/>
            <w:color w:val="0000FF"/>
            <w:u w:val="single"/>
            <w:lang w:val="es-MX"/>
          </w:rPr>
          <w:t>https://www.colombiacompra.gov.co/pqrsd/informacion-importante-antes-de-formular-una-pqrsd</w:t>
        </w:r>
      </w:hyperlink>
    </w:p>
    <w:p w14:paraId="30C590E4" w14:textId="77777777" w:rsidR="00B54967" w:rsidRPr="00B54967" w:rsidRDefault="00B54967" w:rsidP="00B54967">
      <w:pPr>
        <w:spacing w:after="0" w:line="276" w:lineRule="auto"/>
        <w:ind w:left="720"/>
        <w:jc w:val="both"/>
        <w:rPr>
          <w:rFonts w:ascii="Verdana" w:hAnsi="Verdana"/>
        </w:rPr>
      </w:pPr>
    </w:p>
    <w:p w14:paraId="26543580" w14:textId="77777777" w:rsidR="00B54967" w:rsidRPr="00B54967" w:rsidRDefault="00B54967" w:rsidP="00B54967">
      <w:pPr>
        <w:spacing w:after="0" w:line="276" w:lineRule="auto"/>
        <w:jc w:val="both"/>
        <w:rPr>
          <w:rFonts w:ascii="Verdana" w:hAnsi="Verdana"/>
        </w:rPr>
      </w:pPr>
      <w:r w:rsidRPr="00B54967">
        <w:rPr>
          <w:rFonts w:ascii="Verdana" w:hAnsi="Verdana"/>
        </w:rPr>
        <w:t xml:space="preserve">Evalúa el servicio que ofrece la Agencia por el canal de atención de PQRSD en el siguiente enlace: </w:t>
      </w:r>
      <w:hyperlink r:id="rId18" w:history="1">
        <w:r w:rsidRPr="00B54967">
          <w:rPr>
            <w:rFonts w:ascii="Verdana" w:eastAsia="Verdana" w:hAnsi="Verdana" w:cs="Verdana"/>
            <w:color w:val="0000FF"/>
            <w:u w:val="single"/>
            <w:lang w:val="es-MX"/>
          </w:rPr>
          <w:t>https://forms.office.com/r/pPHyWVs2SZ</w:t>
        </w:r>
      </w:hyperlink>
      <w:r w:rsidRPr="00B54967">
        <w:rPr>
          <w:rFonts w:ascii="Verdana" w:eastAsia="Verdana" w:hAnsi="Verdana" w:cs="Verdana"/>
          <w:color w:val="0000FF"/>
          <w:u w:val="single"/>
          <w:lang w:val="es-MX"/>
        </w:rPr>
        <w:t>.</w:t>
      </w:r>
      <w:r w:rsidRPr="00B54967">
        <w:rPr>
          <w:rFonts w:ascii="Verdana" w:hAnsi="Verdana"/>
        </w:rPr>
        <w:t xml:space="preserve"> ¡Ayúdanos a mejorar porque el compromiso es de todos!</w:t>
      </w:r>
    </w:p>
    <w:p w14:paraId="07952B99" w14:textId="77777777" w:rsidR="00B54967" w:rsidRPr="00B54967" w:rsidRDefault="00B54967" w:rsidP="00B54967">
      <w:pPr>
        <w:spacing w:after="0" w:line="276" w:lineRule="auto"/>
        <w:jc w:val="both"/>
        <w:rPr>
          <w:rFonts w:ascii="Verdana" w:hAnsi="Verdana"/>
        </w:rPr>
      </w:pPr>
    </w:p>
    <w:p w14:paraId="00B633A0" w14:textId="77777777" w:rsidR="00B54967" w:rsidRPr="00B54967" w:rsidRDefault="00B54967" w:rsidP="00B54967">
      <w:pPr>
        <w:spacing w:after="0" w:line="276" w:lineRule="auto"/>
        <w:jc w:val="both"/>
        <w:rPr>
          <w:rFonts w:ascii="Verdana" w:hAnsi="Verdana"/>
        </w:rPr>
      </w:pPr>
      <w:r w:rsidRPr="00B54967">
        <w:rPr>
          <w:rFonts w:ascii="Verdana" w:hAnsi="Verdana"/>
        </w:rPr>
        <w:t xml:space="preserve">Por último, lo invitamos a seguirnos en las redes sociales en las cuales se difunde información institucional: </w:t>
      </w:r>
    </w:p>
    <w:p w14:paraId="68E72696" w14:textId="77777777" w:rsidR="00B54967" w:rsidRPr="00B54967" w:rsidRDefault="00B54967" w:rsidP="00B54967">
      <w:pPr>
        <w:spacing w:after="0" w:line="276" w:lineRule="auto"/>
        <w:jc w:val="both"/>
        <w:rPr>
          <w:rFonts w:ascii="Verdana" w:hAnsi="Verdana"/>
        </w:rPr>
      </w:pPr>
      <w:r w:rsidRPr="00B54967">
        <w:rPr>
          <w:rFonts w:ascii="Verdana" w:hAnsi="Verdana"/>
        </w:rPr>
        <w:t xml:space="preserve">Twitter: </w:t>
      </w:r>
      <w:r w:rsidRPr="00B54967">
        <w:rPr>
          <w:rFonts w:ascii="Verdana" w:hAnsi="Verdana"/>
          <w:color w:val="0000FF"/>
          <w:u w:val="single"/>
        </w:rPr>
        <w:t>@colombiacompra</w:t>
      </w:r>
      <w:r w:rsidRPr="00B54967">
        <w:rPr>
          <w:rFonts w:ascii="Verdana" w:hAnsi="Verdana"/>
        </w:rPr>
        <w:t xml:space="preserve"> </w:t>
      </w:r>
    </w:p>
    <w:p w14:paraId="06C041CE" w14:textId="77777777" w:rsidR="00B54967" w:rsidRPr="00B54967" w:rsidRDefault="00B54967" w:rsidP="00B54967">
      <w:pPr>
        <w:spacing w:after="0" w:line="276" w:lineRule="auto"/>
        <w:jc w:val="both"/>
        <w:rPr>
          <w:rFonts w:ascii="Verdana" w:hAnsi="Verdana"/>
        </w:rPr>
      </w:pPr>
      <w:r w:rsidRPr="00B54967">
        <w:rPr>
          <w:rFonts w:ascii="Verdana" w:hAnsi="Verdana"/>
        </w:rPr>
        <w:t xml:space="preserve">Facebook: </w:t>
      </w:r>
      <w:proofErr w:type="spellStart"/>
      <w:r w:rsidRPr="00B54967">
        <w:rPr>
          <w:rFonts w:ascii="Verdana" w:hAnsi="Verdana"/>
          <w:color w:val="0000FF"/>
          <w:u w:val="single"/>
        </w:rPr>
        <w:t>ColombiaCompraEficiente</w:t>
      </w:r>
      <w:proofErr w:type="spellEnd"/>
    </w:p>
    <w:p w14:paraId="18A93DB3" w14:textId="77777777" w:rsidR="00B54967" w:rsidRPr="00B54967" w:rsidRDefault="00B54967" w:rsidP="00B54967">
      <w:pPr>
        <w:spacing w:after="0" w:line="276" w:lineRule="auto"/>
        <w:jc w:val="both"/>
        <w:rPr>
          <w:rFonts w:ascii="Verdana" w:hAnsi="Verdana"/>
        </w:rPr>
      </w:pPr>
      <w:r w:rsidRPr="00B54967">
        <w:rPr>
          <w:rFonts w:ascii="Verdana" w:hAnsi="Verdana"/>
        </w:rPr>
        <w:t xml:space="preserve">LinkedIn: </w:t>
      </w:r>
      <w:r w:rsidRPr="00B54967">
        <w:rPr>
          <w:rFonts w:ascii="Verdana" w:hAnsi="Verdana"/>
          <w:color w:val="0000FF"/>
          <w:u w:val="single"/>
        </w:rPr>
        <w:t>Agencia Nacional de Contratación Pública - Colombia Compra Eficiente</w:t>
      </w:r>
      <w:r w:rsidRPr="00B54967">
        <w:rPr>
          <w:rFonts w:ascii="Verdana" w:hAnsi="Verdana"/>
        </w:rPr>
        <w:t xml:space="preserve"> Instagram: </w:t>
      </w:r>
      <w:r w:rsidRPr="00B54967">
        <w:rPr>
          <w:rFonts w:ascii="Verdana" w:hAnsi="Verdana"/>
          <w:color w:val="0000FF"/>
          <w:u w:val="single"/>
        </w:rPr>
        <w:t>@colombiacompraeficiente_cce</w:t>
      </w:r>
    </w:p>
    <w:p w14:paraId="2FB0C8E8" w14:textId="77777777" w:rsidR="00B54967" w:rsidRPr="00B54967" w:rsidRDefault="00B54967" w:rsidP="00B54967">
      <w:pPr>
        <w:spacing w:after="0" w:line="276" w:lineRule="auto"/>
        <w:jc w:val="both"/>
        <w:rPr>
          <w:rFonts w:ascii="Verdana" w:hAnsi="Verdana"/>
          <w:lang w:val="es-MX"/>
        </w:rPr>
      </w:pPr>
    </w:p>
    <w:p w14:paraId="2C182DB2" w14:textId="77777777" w:rsidR="00B54967" w:rsidRPr="00B54967" w:rsidRDefault="00B54967" w:rsidP="00B54967">
      <w:pPr>
        <w:spacing w:after="0" w:line="276" w:lineRule="auto"/>
        <w:jc w:val="both"/>
        <w:rPr>
          <w:rFonts w:ascii="Verdana" w:hAnsi="Verdana"/>
          <w:lang w:val="es-MX"/>
        </w:rPr>
      </w:pPr>
      <w:r w:rsidRPr="00B54967">
        <w:rPr>
          <w:rFonts w:ascii="Verdana" w:hAnsi="Verdana"/>
          <w:lang w:val="es-MX"/>
        </w:rPr>
        <w:t>Cordialmente,</w:t>
      </w:r>
    </w:p>
    <w:p w14:paraId="369DCF18" w14:textId="19E045B1" w:rsidR="00B54967" w:rsidRPr="00B54967" w:rsidRDefault="00D12D83" w:rsidP="00B54967">
      <w:pPr>
        <w:spacing w:after="0" w:line="256" w:lineRule="auto"/>
        <w:jc w:val="center"/>
        <w:rPr>
          <w:rFonts w:ascii="Verdana" w:eastAsia="Calibri" w:hAnsi="Verdana" w:cs="Times New Roman"/>
        </w:rPr>
      </w:pPr>
      <w:r w:rsidRPr="002C3AD6">
        <w:rPr>
          <w:rFonts w:ascii="Century Gothic" w:hAnsi="Century Gothic"/>
          <w:noProof/>
        </w:rPr>
        <w:drawing>
          <wp:inline distT="0" distB="0" distL="0" distR="0" wp14:anchorId="4BDE5617" wp14:editId="2B999270">
            <wp:extent cx="3219450" cy="1195099"/>
            <wp:effectExtent l="0" t="0" r="0" b="508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234415" cy="1200654"/>
                    </a:xfrm>
                    <a:prstGeom prst="rect">
                      <a:avLst/>
                    </a:prstGeom>
                  </pic:spPr>
                </pic:pic>
              </a:graphicData>
            </a:graphic>
          </wp:inline>
        </w:drawing>
      </w:r>
    </w:p>
    <w:p w14:paraId="4DC9C2BD" w14:textId="77777777" w:rsidR="006A7195" w:rsidRDefault="006A7195" w:rsidP="00D12D83">
      <w:pPr>
        <w:spacing w:after="0" w:line="256" w:lineRule="auto"/>
        <w:rPr>
          <w:rFonts w:ascii="Verdana" w:eastAsia="Calibri" w:hAnsi="Verdana"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A7195" w:rsidRPr="00860461" w14:paraId="651A186E" w14:textId="77777777" w:rsidTr="003F0972">
        <w:trPr>
          <w:trHeight w:val="315"/>
        </w:trPr>
        <w:tc>
          <w:tcPr>
            <w:tcW w:w="893" w:type="dxa"/>
            <w:vAlign w:val="center"/>
            <w:hideMark/>
          </w:tcPr>
          <w:p w14:paraId="50409F3B" w14:textId="77777777" w:rsidR="006A7195" w:rsidRPr="008278B1" w:rsidRDefault="006A7195" w:rsidP="003F0972">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A297AB7" w14:textId="77777777" w:rsidR="006A7195" w:rsidRPr="00860461" w:rsidRDefault="006A7195" w:rsidP="003F0972">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0455A7FC" w14:textId="77777777" w:rsidR="006A7195" w:rsidRPr="00860461" w:rsidRDefault="006A7195" w:rsidP="003F0972">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6A7195" w:rsidRPr="0025661F" w14:paraId="31AED05E" w14:textId="77777777" w:rsidTr="003F0972">
        <w:trPr>
          <w:trHeight w:val="330"/>
        </w:trPr>
        <w:tc>
          <w:tcPr>
            <w:tcW w:w="893" w:type="dxa"/>
            <w:vAlign w:val="center"/>
            <w:hideMark/>
          </w:tcPr>
          <w:p w14:paraId="35282268" w14:textId="77777777" w:rsidR="006A7195" w:rsidRPr="0025661F" w:rsidRDefault="006A7195" w:rsidP="003F0972">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FBCBF94" w14:textId="77777777" w:rsidR="006A7195" w:rsidRPr="00B37171" w:rsidRDefault="006A7195" w:rsidP="003F0972">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Adriana </w:t>
            </w:r>
            <w:proofErr w:type="spellStart"/>
            <w:r>
              <w:rPr>
                <w:rFonts w:ascii="Verdana" w:hAnsi="Verdana" w:cs="Segoe UI"/>
                <w:color w:val="000000" w:themeColor="text1"/>
                <w:sz w:val="16"/>
                <w:szCs w:val="16"/>
              </w:rPr>
              <w:t>Katerine</w:t>
            </w:r>
            <w:proofErr w:type="spellEnd"/>
            <w:r>
              <w:rPr>
                <w:rFonts w:ascii="Verdana" w:hAnsi="Verdana" w:cs="Segoe UI"/>
                <w:color w:val="000000" w:themeColor="text1"/>
                <w:sz w:val="16"/>
                <w:szCs w:val="16"/>
              </w:rPr>
              <w:t xml:space="preserve"> López </w:t>
            </w:r>
            <w:proofErr w:type="spellStart"/>
            <w:r>
              <w:rPr>
                <w:rFonts w:ascii="Verdana" w:hAnsi="Verdana" w:cs="Segoe UI"/>
                <w:color w:val="000000" w:themeColor="text1"/>
                <w:sz w:val="16"/>
                <w:szCs w:val="16"/>
              </w:rPr>
              <w:t>Rodriguez</w:t>
            </w:r>
            <w:proofErr w:type="spellEnd"/>
          </w:p>
          <w:p w14:paraId="670E7BC3" w14:textId="77777777" w:rsidR="006A7195" w:rsidRPr="0025661F" w:rsidRDefault="006A7195" w:rsidP="003F0972">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6A7195" w:rsidRPr="008278B1" w14:paraId="6FD25413" w14:textId="77777777" w:rsidTr="003F0972">
        <w:trPr>
          <w:trHeight w:val="300"/>
        </w:trPr>
        <w:tc>
          <w:tcPr>
            <w:tcW w:w="893" w:type="dxa"/>
            <w:vAlign w:val="center"/>
          </w:tcPr>
          <w:p w14:paraId="1A7C688A" w14:textId="77777777" w:rsidR="006A7195" w:rsidRPr="008278B1" w:rsidRDefault="006A7195" w:rsidP="003F0972">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1C32710" w14:textId="77777777" w:rsidR="006A7195" w:rsidRPr="008278B1" w:rsidRDefault="006A7195" w:rsidP="003F0972">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26BE5BBE" w14:textId="77777777" w:rsidR="006A7195" w:rsidRPr="008278B1" w:rsidRDefault="006A7195" w:rsidP="003F0972">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1150DA86" w14:textId="77777777" w:rsidR="00B54967" w:rsidRPr="00B54967" w:rsidRDefault="00B54967" w:rsidP="006A7195">
      <w:pPr>
        <w:spacing w:after="0" w:line="256" w:lineRule="auto"/>
        <w:rPr>
          <w:rFonts w:ascii="Verdana" w:eastAsia="Calibri" w:hAnsi="Verdana" w:cs="Times New Roman"/>
          <w:lang w:val="es-ES"/>
        </w:rPr>
      </w:pPr>
    </w:p>
    <w:bookmarkEnd w:id="1"/>
    <w:p w14:paraId="65DC0FE2" w14:textId="70D7E47C" w:rsidR="00B54967" w:rsidRPr="00B54967" w:rsidRDefault="00B54967" w:rsidP="00B54967">
      <w:pPr>
        <w:spacing w:after="0"/>
        <w:rPr>
          <w:rFonts w:ascii="Verdana" w:eastAsia="Verdana" w:hAnsi="Verdana" w:cs="Verdana"/>
          <w:lang w:val="es-ES"/>
        </w:rPr>
      </w:pPr>
    </w:p>
    <w:p w14:paraId="465A3CB3" w14:textId="77777777" w:rsidR="00B54967" w:rsidRPr="00B54967" w:rsidRDefault="00B54967" w:rsidP="00B54967"/>
    <w:bookmarkEnd w:id="0"/>
    <w:p w14:paraId="12443EE0" w14:textId="77777777" w:rsidR="00C15139" w:rsidRPr="0024624F" w:rsidRDefault="00C15139" w:rsidP="30821638">
      <w:pPr>
        <w:spacing w:after="0"/>
        <w:rPr>
          <w:rFonts w:ascii="Verdana" w:eastAsia="Verdana" w:hAnsi="Verdana" w:cs="Verdana"/>
        </w:rPr>
      </w:pPr>
    </w:p>
    <w:sectPr w:rsidR="00C15139" w:rsidRPr="0024624F"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AA6A68" w14:textId="77777777" w:rsidR="00F27656" w:rsidRDefault="00F27656" w:rsidP="004A1847">
      <w:pPr>
        <w:spacing w:after="0" w:line="240" w:lineRule="auto"/>
      </w:pPr>
      <w:r>
        <w:separator/>
      </w:r>
    </w:p>
  </w:endnote>
  <w:endnote w:type="continuationSeparator" w:id="0">
    <w:p w14:paraId="26227F0E" w14:textId="77777777" w:rsidR="00F27656" w:rsidRDefault="00F2765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Weiss">
    <w:panose1 w:val="00000000000000000000"/>
    <w:charset w:val="00"/>
    <w:family w:val="roman"/>
    <w:notTrueType/>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7C19C5" w14:textId="77777777" w:rsidR="00F27656" w:rsidRDefault="00F27656" w:rsidP="004A1847">
      <w:pPr>
        <w:spacing w:after="0" w:line="240" w:lineRule="auto"/>
      </w:pPr>
      <w:r>
        <w:separator/>
      </w:r>
    </w:p>
  </w:footnote>
  <w:footnote w:type="continuationSeparator" w:id="0">
    <w:p w14:paraId="1AF028F1" w14:textId="77777777" w:rsidR="00F27656" w:rsidRDefault="00F27656" w:rsidP="004A1847">
      <w:pPr>
        <w:spacing w:after="0" w:line="240" w:lineRule="auto"/>
      </w:pPr>
      <w:r>
        <w:continuationSeparator/>
      </w:r>
    </w:p>
  </w:footnote>
  <w:footnote w:id="1">
    <w:p w14:paraId="1DDB82D1" w14:textId="77777777" w:rsidR="00B54967" w:rsidRDefault="00B54967" w:rsidP="00B54967">
      <w:pPr>
        <w:spacing w:after="0" w:line="240" w:lineRule="auto"/>
        <w:ind w:firstLine="709"/>
        <w:contextualSpacing/>
        <w:jc w:val="both"/>
        <w:rPr>
          <w:rFonts w:ascii="Verdana" w:hAnsi="Verdana" w:cs="Arial"/>
          <w:sz w:val="16"/>
          <w:szCs w:val="16"/>
        </w:rPr>
      </w:pPr>
      <w:r w:rsidRPr="00004E12">
        <w:rPr>
          <w:rStyle w:val="Refdenotaalpie"/>
          <w:rFonts w:ascii="Verdana" w:hAnsi="Verdana" w:cs="Arial"/>
          <w:sz w:val="16"/>
          <w:szCs w:val="16"/>
        </w:rPr>
        <w:footnoteRef/>
      </w:r>
      <w:r w:rsidRPr="00004E12">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004E12">
        <w:rPr>
          <w:rFonts w:ascii="Verdana" w:hAnsi="Verdana" w:cs="Arial"/>
          <w:spacing w:val="-6"/>
          <w:sz w:val="16"/>
          <w:szCs w:val="16"/>
        </w:rPr>
        <w:t xml:space="preserve"> </w:t>
      </w:r>
      <w:r w:rsidRPr="00004E12">
        <w:rPr>
          <w:rFonts w:ascii="Verdana" w:hAnsi="Verdana" w:cs="Arial"/>
          <w:sz w:val="16"/>
          <w:szCs w:val="16"/>
        </w:rPr>
        <w:t>artículo”.</w:t>
      </w:r>
    </w:p>
    <w:p w14:paraId="09365848" w14:textId="77777777" w:rsidR="00B54967" w:rsidRPr="00004E12" w:rsidRDefault="00B54967" w:rsidP="00B54967">
      <w:pPr>
        <w:spacing w:after="0" w:line="240" w:lineRule="auto"/>
        <w:ind w:firstLine="709"/>
        <w:contextualSpacing/>
        <w:jc w:val="both"/>
        <w:rPr>
          <w:rFonts w:ascii="Verdana" w:hAnsi="Verdana" w:cs="Arial"/>
          <w:sz w:val="16"/>
          <w:szCs w:val="16"/>
        </w:rPr>
      </w:pPr>
    </w:p>
  </w:footnote>
  <w:footnote w:id="2">
    <w:p w14:paraId="04E57928" w14:textId="77777777" w:rsidR="00B54967" w:rsidRPr="00004E12" w:rsidRDefault="00B54967" w:rsidP="00B54967">
      <w:pPr>
        <w:pStyle w:val="Textonotapie"/>
        <w:ind w:firstLine="708"/>
        <w:rPr>
          <w:rFonts w:ascii="Verdana" w:hAnsi="Verdana"/>
          <w:sz w:val="16"/>
          <w:szCs w:val="16"/>
        </w:rPr>
      </w:pPr>
      <w:r w:rsidRPr="00004E12">
        <w:rPr>
          <w:rStyle w:val="Refdenotaalpie"/>
          <w:rFonts w:ascii="Verdana" w:hAnsi="Verdana"/>
          <w:sz w:val="16"/>
          <w:szCs w:val="16"/>
        </w:rPr>
        <w:footnoteRef/>
      </w:r>
      <w:r w:rsidRPr="00004E12">
        <w:rPr>
          <w:rFonts w:ascii="Verdana" w:hAnsi="Verdana"/>
          <w:sz w:val="16"/>
          <w:szCs w:val="16"/>
          <w:lang w:val="pt-BR"/>
        </w:rPr>
        <w:t xml:space="preserve"> C</w:t>
      </w:r>
      <w:r>
        <w:rPr>
          <w:rFonts w:ascii="Verdana" w:hAnsi="Verdana"/>
          <w:sz w:val="16"/>
          <w:szCs w:val="16"/>
          <w:lang w:val="pt-BR"/>
        </w:rPr>
        <w:t>orte Constitucional</w:t>
      </w:r>
      <w:r w:rsidRPr="00004E12">
        <w:rPr>
          <w:rFonts w:ascii="Verdana" w:hAnsi="Verdana"/>
          <w:sz w:val="16"/>
          <w:szCs w:val="16"/>
          <w:lang w:val="pt-BR"/>
        </w:rPr>
        <w:t xml:space="preserve">. Sentencia C-671 de 2005. </w:t>
      </w:r>
      <w:r w:rsidRPr="00004E12">
        <w:rPr>
          <w:rFonts w:ascii="Verdana" w:hAnsi="Verdana"/>
          <w:sz w:val="16"/>
          <w:szCs w:val="16"/>
        </w:rPr>
        <w:t xml:space="preserve">M.P. Álvaro Tafur Galvis. </w:t>
      </w:r>
    </w:p>
  </w:footnote>
  <w:footnote w:id="3">
    <w:p w14:paraId="7265B371" w14:textId="77777777" w:rsidR="00B54967" w:rsidRDefault="00B54967" w:rsidP="00B54967">
      <w:pPr>
        <w:pStyle w:val="Textonotapie"/>
        <w:ind w:firstLine="708"/>
        <w:jc w:val="both"/>
        <w:rPr>
          <w:rFonts w:ascii="Verdana" w:hAnsi="Verdana"/>
          <w:sz w:val="16"/>
          <w:szCs w:val="16"/>
          <w:lang w:val="es-CO"/>
        </w:rPr>
      </w:pPr>
      <w:r w:rsidRPr="00004E12">
        <w:rPr>
          <w:rStyle w:val="Refdenotaalpie"/>
          <w:rFonts w:ascii="Verdana" w:hAnsi="Verdana"/>
          <w:sz w:val="16"/>
          <w:szCs w:val="16"/>
        </w:rPr>
        <w:footnoteRef/>
      </w:r>
      <w:r w:rsidRPr="00004E12">
        <w:rPr>
          <w:rFonts w:ascii="Verdana" w:hAnsi="Verdana"/>
          <w:sz w:val="16"/>
          <w:szCs w:val="16"/>
        </w:rPr>
        <w:t xml:space="preserve"> </w:t>
      </w:r>
      <w:r w:rsidRPr="00004E12">
        <w:rPr>
          <w:rFonts w:ascii="Verdana" w:hAnsi="Verdana"/>
          <w:sz w:val="16"/>
          <w:szCs w:val="16"/>
          <w:lang w:val="es-CO"/>
        </w:rPr>
        <w:t>C</w:t>
      </w:r>
      <w:r>
        <w:rPr>
          <w:rFonts w:ascii="Verdana" w:hAnsi="Verdana"/>
          <w:sz w:val="16"/>
          <w:szCs w:val="16"/>
          <w:lang w:val="es-CO"/>
        </w:rPr>
        <w:t>onsejo de Estado.</w:t>
      </w:r>
      <w:r w:rsidRPr="00004E12">
        <w:rPr>
          <w:rFonts w:ascii="Verdana" w:hAnsi="Verdana"/>
          <w:sz w:val="16"/>
          <w:szCs w:val="16"/>
          <w:lang w:val="es-CO"/>
        </w:rPr>
        <w:t xml:space="preserve"> Sala de Consulta y Servicio Civil. Concepto no. 2257 del 26 de julio de 2016, C.P. Álvaro Namén Vargas</w:t>
      </w:r>
      <w:r>
        <w:rPr>
          <w:rFonts w:ascii="Verdana" w:hAnsi="Verdana"/>
          <w:sz w:val="16"/>
          <w:szCs w:val="16"/>
          <w:lang w:val="es-CO"/>
        </w:rPr>
        <w:t>. Consejo de Estado. Sala de lo Contencioso Administrativo.</w:t>
      </w:r>
      <w:r w:rsidRPr="00004E12">
        <w:rPr>
          <w:rFonts w:ascii="Verdana" w:hAnsi="Verdana"/>
          <w:sz w:val="16"/>
          <w:szCs w:val="16"/>
          <w:lang w:val="es-CO"/>
        </w:rPr>
        <w:t xml:space="preserve"> Sección Tercera, Subsección A. Sentencia del 23 de junio de 2010. C.P. Mauricio Fajardo Gómez. </w:t>
      </w:r>
      <w:proofErr w:type="spellStart"/>
      <w:r w:rsidRPr="00004E12">
        <w:rPr>
          <w:rFonts w:ascii="Verdana" w:hAnsi="Verdana"/>
          <w:sz w:val="16"/>
          <w:szCs w:val="16"/>
          <w:lang w:val="es-CO"/>
        </w:rPr>
        <w:t>Exp</w:t>
      </w:r>
      <w:proofErr w:type="spellEnd"/>
      <w:r w:rsidRPr="00004E12">
        <w:rPr>
          <w:rFonts w:ascii="Verdana" w:hAnsi="Verdana"/>
          <w:sz w:val="16"/>
          <w:szCs w:val="16"/>
          <w:lang w:val="es-CO"/>
        </w:rPr>
        <w:t xml:space="preserve"> 17860; </w:t>
      </w:r>
      <w:r>
        <w:rPr>
          <w:rFonts w:ascii="Verdana" w:hAnsi="Verdana"/>
          <w:sz w:val="16"/>
          <w:szCs w:val="16"/>
          <w:lang w:val="es-CO"/>
        </w:rPr>
        <w:t>Consejo de Estado. Sala de lo Contencioso Administrativo.</w:t>
      </w:r>
      <w:r w:rsidRPr="00004E12">
        <w:rPr>
          <w:rFonts w:ascii="Verdana" w:hAnsi="Verdana"/>
          <w:sz w:val="16"/>
          <w:szCs w:val="16"/>
          <w:lang w:val="es-CO"/>
        </w:rPr>
        <w:t xml:space="preserve"> Sección Tercera. </w:t>
      </w:r>
      <w:r>
        <w:rPr>
          <w:rFonts w:ascii="Verdana" w:hAnsi="Verdana"/>
          <w:sz w:val="16"/>
          <w:szCs w:val="16"/>
          <w:lang w:val="es-CO"/>
        </w:rPr>
        <w:t xml:space="preserve">Subsección B. </w:t>
      </w:r>
      <w:r w:rsidRPr="00004E12">
        <w:rPr>
          <w:rFonts w:ascii="Verdana" w:hAnsi="Verdana"/>
          <w:sz w:val="16"/>
          <w:szCs w:val="16"/>
          <w:lang w:val="es-CO"/>
        </w:rPr>
        <w:t xml:space="preserve">Auto del 4 de octubre de 2024. </w:t>
      </w:r>
      <w:proofErr w:type="spellStart"/>
      <w:r w:rsidRPr="00004E12">
        <w:rPr>
          <w:rFonts w:ascii="Verdana" w:hAnsi="Verdana"/>
          <w:sz w:val="16"/>
          <w:szCs w:val="16"/>
          <w:lang w:val="es-CO"/>
        </w:rPr>
        <w:t>Exp</w:t>
      </w:r>
      <w:proofErr w:type="spellEnd"/>
      <w:r w:rsidRPr="00004E12">
        <w:rPr>
          <w:rFonts w:ascii="Verdana" w:hAnsi="Verdana"/>
          <w:sz w:val="16"/>
          <w:szCs w:val="16"/>
          <w:lang w:val="es-CO"/>
        </w:rPr>
        <w:t xml:space="preserve"> </w:t>
      </w:r>
      <w:r w:rsidRPr="00004E12">
        <w:rPr>
          <w:rFonts w:ascii="Verdana" w:hAnsi="Verdana"/>
          <w:bCs/>
          <w:sz w:val="16"/>
          <w:szCs w:val="16"/>
        </w:rPr>
        <w:t xml:space="preserve">70313. </w:t>
      </w:r>
      <w:r w:rsidRPr="00004E12">
        <w:rPr>
          <w:rFonts w:ascii="Verdana" w:hAnsi="Verdana"/>
          <w:sz w:val="16"/>
          <w:szCs w:val="16"/>
          <w:lang w:val="es-CO"/>
        </w:rPr>
        <w:t xml:space="preserve">C.P. Fredy Ibarra Martínez. </w:t>
      </w:r>
    </w:p>
    <w:p w14:paraId="42A1F3EE" w14:textId="77777777" w:rsidR="00B54967" w:rsidRPr="00004E12" w:rsidRDefault="00B54967" w:rsidP="00B54967">
      <w:pPr>
        <w:pStyle w:val="Textonotapie"/>
        <w:ind w:firstLine="708"/>
        <w:jc w:val="both"/>
        <w:rPr>
          <w:rFonts w:ascii="Verdana" w:hAnsi="Verdana"/>
          <w:sz w:val="16"/>
          <w:szCs w:val="16"/>
          <w:lang w:val="es-CO"/>
        </w:rPr>
      </w:pPr>
    </w:p>
  </w:footnote>
  <w:footnote w:id="4">
    <w:p w14:paraId="5A17D14B" w14:textId="77777777" w:rsidR="00B54967" w:rsidRDefault="00B54967" w:rsidP="00B54967">
      <w:pPr>
        <w:pStyle w:val="Textonotapie"/>
        <w:ind w:firstLine="708"/>
        <w:jc w:val="both"/>
        <w:rPr>
          <w:rFonts w:ascii="Verdana" w:hAnsi="Verdana"/>
          <w:sz w:val="16"/>
          <w:szCs w:val="16"/>
          <w:lang w:val="es-CO"/>
        </w:rPr>
      </w:pPr>
      <w:r w:rsidRPr="00004E12">
        <w:rPr>
          <w:rStyle w:val="Refdenotaalpie"/>
          <w:rFonts w:ascii="Verdana" w:hAnsi="Verdana"/>
          <w:sz w:val="16"/>
          <w:szCs w:val="16"/>
        </w:rPr>
        <w:footnoteRef/>
      </w:r>
      <w:r w:rsidRPr="00004E12">
        <w:rPr>
          <w:rFonts w:ascii="Verdana" w:hAnsi="Verdana"/>
          <w:sz w:val="16"/>
          <w:szCs w:val="16"/>
        </w:rPr>
        <w:t xml:space="preserve"> SANTOS RODRÍGUEZ, Jorge Enrique. Consideraciones sobre los contratos y convenios interadministrativos. En: Revista Digital de Derecho Administrativo, 2008. p.p. 10-11. De igual forma, Augusto Ramón Chavéz Marín expresa: “</w:t>
      </w:r>
      <w:r w:rsidRPr="00004E12">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p w14:paraId="5EC5104C" w14:textId="77777777" w:rsidR="00B54967" w:rsidRPr="00004E12" w:rsidRDefault="00B54967" w:rsidP="00B54967">
      <w:pPr>
        <w:pStyle w:val="Textonotapie"/>
        <w:ind w:firstLine="708"/>
        <w:jc w:val="both"/>
        <w:rPr>
          <w:rFonts w:ascii="Verdana" w:hAnsi="Verdana"/>
          <w:sz w:val="16"/>
          <w:szCs w:val="16"/>
          <w:lang w:val="es-CO"/>
        </w:rPr>
      </w:pPr>
    </w:p>
  </w:footnote>
  <w:footnote w:id="5">
    <w:p w14:paraId="490F1C95" w14:textId="77777777" w:rsidR="00B54967" w:rsidRPr="00D71B7F" w:rsidRDefault="00B54967" w:rsidP="00B5496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3C86C53" w14:textId="77777777" w:rsidR="00B54967" w:rsidRPr="00D71B7F" w:rsidRDefault="00B54967" w:rsidP="00B54967">
      <w:pPr>
        <w:pStyle w:val="Textonotapie"/>
        <w:ind w:firstLine="709"/>
        <w:jc w:val="both"/>
        <w:rPr>
          <w:rFonts w:ascii="Verdana" w:hAnsi="Verdana" w:cs="Arial"/>
          <w:sz w:val="16"/>
          <w:szCs w:val="16"/>
        </w:rPr>
      </w:pPr>
      <w:r w:rsidRPr="00D71B7F">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1AF09115" w14:textId="77777777" w:rsidR="00B54967" w:rsidRPr="00D71B7F" w:rsidRDefault="00B54967" w:rsidP="00B54967">
      <w:pPr>
        <w:pStyle w:val="Textonotapie"/>
        <w:ind w:firstLine="709"/>
        <w:jc w:val="both"/>
        <w:rPr>
          <w:rFonts w:ascii="Verdana" w:hAnsi="Verdana" w:cs="Arial"/>
          <w:sz w:val="16"/>
          <w:szCs w:val="16"/>
        </w:rPr>
      </w:pPr>
    </w:p>
  </w:footnote>
  <w:footnote w:id="6">
    <w:p w14:paraId="19FA9FCF" w14:textId="77777777" w:rsidR="00B54967" w:rsidRPr="00D71B7F" w:rsidRDefault="00B54967" w:rsidP="00B5496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Gaceta del Congreso de la República No. 71 del 2005.</w:t>
      </w:r>
    </w:p>
    <w:p w14:paraId="3ED17F1F" w14:textId="77777777" w:rsidR="00B54967" w:rsidRPr="00D71B7F" w:rsidRDefault="00B54967" w:rsidP="00B54967">
      <w:pPr>
        <w:pStyle w:val="Textonotapie"/>
        <w:ind w:firstLine="709"/>
        <w:jc w:val="both"/>
        <w:rPr>
          <w:rFonts w:ascii="Verdana" w:hAnsi="Verdana" w:cs="Arial"/>
          <w:sz w:val="16"/>
          <w:szCs w:val="16"/>
        </w:rPr>
      </w:pPr>
    </w:p>
  </w:footnote>
  <w:footnote w:id="7">
    <w:p w14:paraId="0606A793" w14:textId="77777777" w:rsidR="00B54967" w:rsidRPr="00D71B7F" w:rsidRDefault="00B54967" w:rsidP="00B54967">
      <w:pPr>
        <w:pStyle w:val="Textonotapie"/>
        <w:tabs>
          <w:tab w:val="left" w:pos="8145"/>
        </w:tabs>
        <w:ind w:firstLine="709"/>
        <w:jc w:val="both"/>
        <w:rPr>
          <w:rFonts w:ascii="Verdana" w:hAnsi="Verdana" w:cs="Arial"/>
          <w:sz w:val="16"/>
          <w:szCs w:val="16"/>
          <w:lang w:val="pt-PT"/>
        </w:rPr>
      </w:pPr>
      <w:r w:rsidRPr="00D71B7F">
        <w:rPr>
          <w:rStyle w:val="Refdenotaalpie"/>
          <w:rFonts w:ascii="Verdana" w:hAnsi="Verdana" w:cs="Arial"/>
          <w:sz w:val="16"/>
          <w:szCs w:val="16"/>
        </w:rPr>
        <w:footnoteRef/>
      </w:r>
      <w:r w:rsidRPr="00D71B7F">
        <w:rPr>
          <w:rFonts w:ascii="Verdana" w:hAnsi="Verdana" w:cs="Arial"/>
          <w:sz w:val="16"/>
          <w:szCs w:val="16"/>
          <w:lang w:val="pt-PT"/>
        </w:rPr>
        <w:t xml:space="preserve"> Corte Constitucional. Sentencia C- 1153 de 2005, M.P: Marco Gerardo Monroy Cabra.</w:t>
      </w:r>
      <w:r w:rsidRPr="00D71B7F">
        <w:rPr>
          <w:rFonts w:ascii="Verdana" w:hAnsi="Verdana" w:cs="Arial"/>
          <w:sz w:val="16"/>
          <w:szCs w:val="16"/>
          <w:lang w:val="pt-PT"/>
        </w:rPr>
        <w:tab/>
      </w:r>
    </w:p>
    <w:p w14:paraId="485767AD" w14:textId="77777777" w:rsidR="00B54967" w:rsidRPr="00D71B7F" w:rsidRDefault="00B54967" w:rsidP="00B54967">
      <w:pPr>
        <w:pStyle w:val="Textonotapie"/>
        <w:tabs>
          <w:tab w:val="left" w:pos="8145"/>
        </w:tabs>
        <w:ind w:firstLine="709"/>
        <w:jc w:val="both"/>
        <w:rPr>
          <w:rFonts w:ascii="Verdana" w:hAnsi="Verdana" w:cs="Arial"/>
          <w:sz w:val="16"/>
          <w:szCs w:val="16"/>
          <w:lang w:val="pt-PT"/>
        </w:rPr>
      </w:pPr>
    </w:p>
  </w:footnote>
  <w:footnote w:id="8">
    <w:p w14:paraId="5C31374E" w14:textId="77777777" w:rsidR="00B54967" w:rsidRPr="00D71B7F" w:rsidRDefault="00B54967" w:rsidP="00B54967">
      <w:pPr>
        <w:pStyle w:val="Textonotapie"/>
        <w:ind w:firstLine="709"/>
        <w:jc w:val="both"/>
        <w:rPr>
          <w:rFonts w:ascii="Verdana" w:hAnsi="Verdana" w:cs="Arial"/>
          <w:sz w:val="16"/>
          <w:szCs w:val="16"/>
          <w:lang w:val="pt-PT"/>
        </w:rPr>
      </w:pPr>
      <w:r w:rsidRPr="00D71B7F">
        <w:rPr>
          <w:rStyle w:val="Refdenotaalpie"/>
          <w:rFonts w:ascii="Verdana" w:hAnsi="Verdana" w:cs="Arial"/>
          <w:sz w:val="16"/>
          <w:szCs w:val="16"/>
        </w:rPr>
        <w:footnoteRef/>
      </w:r>
      <w:r w:rsidRPr="00D71B7F">
        <w:rPr>
          <w:rFonts w:ascii="Verdana" w:hAnsi="Verdana" w:cs="Arial"/>
          <w:sz w:val="16"/>
          <w:szCs w:val="16"/>
          <w:lang w:val="pt-PT"/>
        </w:rPr>
        <w:t xml:space="preserve"> </w:t>
      </w:r>
      <w:r w:rsidRPr="00D71B7F">
        <w:rPr>
          <w:rFonts w:ascii="Verdana" w:hAnsi="Verdana" w:cs="Arial"/>
          <w:sz w:val="16"/>
          <w:szCs w:val="16"/>
          <w:lang w:val="es-CO"/>
        </w:rPr>
        <w:t xml:space="preserve">Corte Constitucional. Sentencias: C-233 de 4 de abril de 2002. M.P: Álvaro Tafur Galvis; C-551 de 9 de julio de 2003. M.P: Eduardo Montealegre Lynnet; C-353 de 20 de mayo de 2009. M.P: Jorge Iván Palacio </w:t>
      </w:r>
      <w:proofErr w:type="spellStart"/>
      <w:r w:rsidRPr="00D71B7F">
        <w:rPr>
          <w:rFonts w:ascii="Verdana" w:hAnsi="Verdana" w:cs="Arial"/>
          <w:sz w:val="16"/>
          <w:szCs w:val="16"/>
          <w:lang w:val="es-CO"/>
        </w:rPr>
        <w:t>Palacio</w:t>
      </w:r>
      <w:proofErr w:type="spellEnd"/>
      <w:r w:rsidRPr="00D71B7F">
        <w:rPr>
          <w:rFonts w:ascii="Verdana" w:hAnsi="Verdana" w:cs="Arial"/>
          <w:sz w:val="16"/>
          <w:szCs w:val="16"/>
          <w:lang w:val="es-CO"/>
        </w:rPr>
        <w:t>; C-541 de 30 de junio de 2010. M.P: Gabriel Eduardo Mendoza Martelo; entre otras.</w:t>
      </w:r>
    </w:p>
    <w:p w14:paraId="672394E8" w14:textId="77777777" w:rsidR="00B54967" w:rsidRPr="00D71B7F" w:rsidRDefault="00B54967" w:rsidP="00B54967">
      <w:pPr>
        <w:pStyle w:val="Textonotapie"/>
        <w:ind w:firstLine="709"/>
        <w:jc w:val="both"/>
        <w:rPr>
          <w:rFonts w:ascii="Verdana" w:hAnsi="Verdana" w:cs="Arial"/>
          <w:sz w:val="16"/>
          <w:szCs w:val="16"/>
          <w:lang w:val="pt-PT"/>
        </w:rPr>
      </w:pPr>
    </w:p>
  </w:footnote>
  <w:footnote w:id="9">
    <w:p w14:paraId="5B1485DC" w14:textId="77777777" w:rsidR="00B54967" w:rsidRPr="00D71B7F" w:rsidRDefault="00B54967" w:rsidP="00B54967">
      <w:pPr>
        <w:pStyle w:val="Textonotapie"/>
        <w:ind w:firstLine="709"/>
        <w:jc w:val="both"/>
        <w:rPr>
          <w:rFonts w:ascii="Verdana" w:hAnsi="Verdana" w:cs="Arial"/>
          <w:sz w:val="16"/>
          <w:szCs w:val="16"/>
          <w:lang w:val="es-CO"/>
        </w:rPr>
      </w:pPr>
      <w:r w:rsidRPr="00D71B7F">
        <w:rPr>
          <w:rStyle w:val="Refdenotaalpie"/>
          <w:rFonts w:ascii="Verdana" w:hAnsi="Verdana" w:cs="Arial"/>
          <w:sz w:val="16"/>
          <w:szCs w:val="16"/>
        </w:rPr>
        <w:footnoteRef/>
      </w:r>
      <w:r w:rsidRPr="00D71B7F">
        <w:rPr>
          <w:rFonts w:ascii="Verdana" w:hAnsi="Verdana" w:cs="Arial"/>
          <w:sz w:val="16"/>
          <w:szCs w:val="16"/>
          <w:lang w:val="es-CO"/>
        </w:rPr>
        <w:t xml:space="preserve"> Consejo de Estado. Sala de lo Contencioso Administrativo. Sección Primera. Sentencia de 3 de marzo de 2005. Radicado: </w:t>
      </w:r>
      <w:r w:rsidRPr="00D71B7F">
        <w:rPr>
          <w:rFonts w:ascii="Verdana" w:hAnsi="Verdana" w:cs="Arial"/>
          <w:sz w:val="16"/>
          <w:szCs w:val="16"/>
          <w:lang w:val="es-ES"/>
        </w:rPr>
        <w:t xml:space="preserve">25001-23-15-000-2004-00823-01 (PI). </w:t>
      </w:r>
      <w:r w:rsidRPr="00D71B7F">
        <w:rPr>
          <w:rFonts w:ascii="Verdana" w:hAnsi="Verdana" w:cs="Arial"/>
          <w:sz w:val="16"/>
          <w:szCs w:val="16"/>
          <w:lang w:val="es-CO"/>
        </w:rPr>
        <w:t>C.P: Camilo Arciniegas Andrade. Ver también, de la Sección Tercera. Sentencia de 22 de enero de 2002, expediente número 2001-0148-01 y, Sección Tercera. Sentencia de 20 de noviembre de 2001, expediente número 2001-0130-01(PI), entre otras.</w:t>
      </w:r>
    </w:p>
    <w:p w14:paraId="3D60333F" w14:textId="77777777" w:rsidR="00B54967" w:rsidRPr="00D71B7F" w:rsidRDefault="00B54967" w:rsidP="00B54967">
      <w:pPr>
        <w:pStyle w:val="Textonotapie"/>
        <w:ind w:firstLine="709"/>
        <w:jc w:val="both"/>
        <w:rPr>
          <w:rFonts w:ascii="Verdana" w:hAnsi="Verdana" w:cs="Arial"/>
          <w:sz w:val="16"/>
          <w:szCs w:val="16"/>
          <w:lang w:val="es-CO"/>
        </w:rPr>
      </w:pPr>
    </w:p>
  </w:footnote>
  <w:footnote w:id="10">
    <w:p w14:paraId="2E9AC810" w14:textId="77777777" w:rsidR="00B54967" w:rsidRPr="00D71B7F" w:rsidRDefault="00B54967" w:rsidP="00B5496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24 de julio de 2013. Radicado: </w:t>
      </w:r>
      <w:r w:rsidRPr="00D71B7F">
        <w:rPr>
          <w:rFonts w:ascii="Verdana" w:hAnsi="Verdana" w:cs="Arial"/>
          <w:sz w:val="16"/>
          <w:szCs w:val="16"/>
          <w:lang w:val="es-CO"/>
        </w:rPr>
        <w:t xml:space="preserve">11001-03-06-000-2013-00407-00 </w:t>
      </w:r>
      <w:r w:rsidRPr="00D71B7F">
        <w:rPr>
          <w:rFonts w:ascii="Verdana" w:hAnsi="Verdana" w:cs="Arial"/>
          <w:sz w:val="16"/>
          <w:szCs w:val="16"/>
        </w:rPr>
        <w:t xml:space="preserve">(2166). C.P. Álvaro Namén Vargas.  </w:t>
      </w:r>
    </w:p>
    <w:p w14:paraId="02F9CEEE" w14:textId="77777777" w:rsidR="00B54967" w:rsidRPr="00D71B7F" w:rsidRDefault="00B54967" w:rsidP="00B54967">
      <w:pPr>
        <w:pStyle w:val="Textonotapie"/>
        <w:ind w:firstLine="709"/>
        <w:jc w:val="both"/>
        <w:rPr>
          <w:rFonts w:ascii="Verdana" w:hAnsi="Verdana" w:cs="Arial"/>
          <w:sz w:val="16"/>
          <w:szCs w:val="16"/>
        </w:rPr>
      </w:pPr>
    </w:p>
  </w:footnote>
  <w:footnote w:id="11">
    <w:p w14:paraId="44842E04" w14:textId="77777777" w:rsidR="00B54967" w:rsidRPr="00D71B7F" w:rsidRDefault="00B54967" w:rsidP="00B54967">
      <w:pPr>
        <w:spacing w:after="0" w:line="240" w:lineRule="auto"/>
        <w:ind w:firstLine="709"/>
        <w:jc w:val="both"/>
        <w:rPr>
          <w:rFonts w:ascii="Verdana" w:eastAsia="Times New Roman"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bookmarkStart w:id="4" w:name="33"/>
      <w:r w:rsidRPr="00D71B7F">
        <w:rPr>
          <w:rFonts w:ascii="Verdana" w:eastAsia="Calibri" w:hAnsi="Verdana" w:cs="Arial"/>
          <w:color w:val="000000"/>
          <w:sz w:val="16"/>
          <w:szCs w:val="16"/>
        </w:rPr>
        <w:t>“</w:t>
      </w:r>
      <w:r w:rsidRPr="00D71B7F">
        <w:rPr>
          <w:rFonts w:ascii="Verdana" w:eastAsia="Times New Roman" w:hAnsi="Verdana" w:cs="Arial"/>
          <w:sz w:val="16"/>
          <w:szCs w:val="16"/>
        </w:rPr>
        <w:t>Artículo 33. Restricciones a la contratación pública.</w:t>
      </w:r>
      <w:bookmarkEnd w:id="4"/>
      <w:r w:rsidRPr="00D71B7F">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1DE63A15" w14:textId="77777777" w:rsidR="00B54967" w:rsidRPr="00D71B7F" w:rsidRDefault="00B54967" w:rsidP="00B54967">
      <w:pPr>
        <w:spacing w:after="0" w:line="240" w:lineRule="auto"/>
        <w:ind w:firstLine="709"/>
        <w:jc w:val="both"/>
        <w:rPr>
          <w:rFonts w:ascii="Verdana" w:eastAsia="Times New Roman" w:hAnsi="Verdana" w:cs="Arial"/>
          <w:sz w:val="16"/>
          <w:szCs w:val="16"/>
        </w:rPr>
      </w:pPr>
      <w:r w:rsidRPr="00D71B7F">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44EEDF4" w14:textId="77777777" w:rsidR="00B54967" w:rsidRPr="00D71B7F" w:rsidRDefault="00B54967" w:rsidP="00B54967">
      <w:pPr>
        <w:spacing w:after="0" w:line="240" w:lineRule="auto"/>
        <w:ind w:firstLine="709"/>
        <w:jc w:val="both"/>
        <w:rPr>
          <w:rFonts w:ascii="Verdana" w:eastAsia="Times New Roman" w:hAnsi="Verdana" w:cs="Arial"/>
          <w:sz w:val="16"/>
          <w:szCs w:val="16"/>
        </w:rPr>
      </w:pPr>
    </w:p>
  </w:footnote>
  <w:footnote w:id="12">
    <w:p w14:paraId="030B7792" w14:textId="77777777" w:rsidR="00B54967" w:rsidRPr="00D71B7F" w:rsidRDefault="00B54967" w:rsidP="00B54967">
      <w:pPr>
        <w:pStyle w:val="NormalWeb"/>
        <w:spacing w:before="0" w:beforeAutospacing="0" w:after="0" w:afterAutospacing="0"/>
        <w:ind w:firstLine="709"/>
        <w:jc w:val="both"/>
        <w:rPr>
          <w:rFonts w:ascii="Verdana" w:hAnsi="Verdana" w:cs="Arial"/>
          <w:sz w:val="16"/>
          <w:szCs w:val="16"/>
          <w:lang w:val="es-MX"/>
        </w:rPr>
      </w:pPr>
      <w:r w:rsidRPr="00D71B7F">
        <w:rPr>
          <w:rStyle w:val="Refdenotaalpie"/>
          <w:rFonts w:ascii="Verdana" w:eastAsiaTheme="majorEastAsia" w:hAnsi="Verdana" w:cs="Arial"/>
          <w:sz w:val="16"/>
          <w:szCs w:val="16"/>
        </w:rPr>
        <w:footnoteRef/>
      </w:r>
      <w:r w:rsidRPr="00D71B7F">
        <w:rPr>
          <w:rFonts w:ascii="Verdana" w:hAnsi="Verdana" w:cs="Arial"/>
          <w:sz w:val="16"/>
          <w:szCs w:val="16"/>
        </w:rPr>
        <w:t xml:space="preserve"> </w:t>
      </w:r>
      <w:bookmarkStart w:id="5" w:name="38"/>
      <w:r w:rsidRPr="00D71B7F">
        <w:rPr>
          <w:rFonts w:ascii="Verdana" w:eastAsia="Calibri" w:hAnsi="Verdana" w:cs="Arial"/>
          <w:color w:val="000000"/>
          <w:sz w:val="16"/>
          <w:szCs w:val="16"/>
        </w:rPr>
        <w:t>“</w:t>
      </w:r>
      <w:r w:rsidRPr="00D71B7F">
        <w:rPr>
          <w:rFonts w:ascii="Verdana" w:hAnsi="Verdana" w:cs="Arial"/>
          <w:sz w:val="16"/>
          <w:szCs w:val="16"/>
          <w:lang w:val="es-MX"/>
        </w:rPr>
        <w:t>Artículo 38. Prohibiciones para los servidores públicos. A los empleados del Estado les está prohibido:</w:t>
      </w:r>
      <w:bookmarkEnd w:id="5"/>
    </w:p>
    <w:p w14:paraId="69F6CBEA" w14:textId="77777777" w:rsidR="00B54967" w:rsidRPr="00D71B7F" w:rsidRDefault="00B54967" w:rsidP="00B54967">
      <w:pPr>
        <w:pStyle w:val="NormalWeb"/>
        <w:spacing w:before="0" w:beforeAutospacing="0" w:after="0" w:afterAutospacing="0"/>
        <w:ind w:firstLine="709"/>
        <w:jc w:val="both"/>
        <w:rPr>
          <w:rFonts w:ascii="Verdana" w:hAnsi="Verdana" w:cs="Arial"/>
          <w:sz w:val="16"/>
          <w:szCs w:val="16"/>
          <w:lang w:val="es-MX"/>
        </w:rPr>
      </w:pPr>
      <w:r w:rsidRPr="00D71B7F">
        <w:rPr>
          <w:rFonts w:ascii="Verdana" w:hAnsi="Verdana" w:cs="Arial"/>
          <w:sz w:val="16"/>
          <w:szCs w:val="16"/>
          <w:lang w:val="es-MX"/>
        </w:rPr>
        <w:t>(…)</w:t>
      </w:r>
    </w:p>
    <w:p w14:paraId="3BF9D2D6" w14:textId="77777777" w:rsidR="00B54967" w:rsidRPr="00D71B7F" w:rsidRDefault="00B54967" w:rsidP="00B54967">
      <w:pPr>
        <w:pStyle w:val="NormalWeb"/>
        <w:spacing w:before="0" w:beforeAutospacing="0" w:after="0" w:afterAutospacing="0"/>
        <w:ind w:firstLine="709"/>
        <w:jc w:val="both"/>
        <w:rPr>
          <w:rFonts w:ascii="Verdana" w:eastAsia="Calibri" w:hAnsi="Verdana" w:cs="Arial"/>
          <w:color w:val="000000"/>
          <w:sz w:val="16"/>
          <w:szCs w:val="16"/>
        </w:rPr>
      </w:pPr>
      <w:r w:rsidRPr="00D71B7F">
        <w:rPr>
          <w:rStyle w:val="baj"/>
          <w:rFonts w:ascii="Verdana" w:hAnsi="Verdana" w:cs="Arial"/>
          <w:sz w:val="16"/>
          <w:szCs w:val="16"/>
          <w:lang w:val="es-MX"/>
        </w:rPr>
        <w:t>Parágrafo.</w:t>
      </w:r>
      <w:r w:rsidRPr="00D71B7F">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71B7F">
        <w:rPr>
          <w:rFonts w:ascii="Verdana" w:eastAsia="Calibri" w:hAnsi="Verdana" w:cs="Arial"/>
          <w:color w:val="000000"/>
          <w:sz w:val="16"/>
          <w:szCs w:val="16"/>
        </w:rPr>
        <w:t>”.</w:t>
      </w:r>
    </w:p>
    <w:p w14:paraId="7A1A2BC3" w14:textId="77777777" w:rsidR="00B54967" w:rsidRPr="00D71B7F" w:rsidRDefault="00B54967" w:rsidP="00B54967">
      <w:pPr>
        <w:pStyle w:val="NormalWeb"/>
        <w:spacing w:before="0" w:beforeAutospacing="0" w:after="0" w:afterAutospacing="0"/>
        <w:ind w:firstLine="709"/>
        <w:jc w:val="both"/>
        <w:rPr>
          <w:rFonts w:ascii="Verdana" w:hAnsi="Verdana" w:cs="Arial"/>
          <w:sz w:val="16"/>
          <w:szCs w:val="16"/>
          <w:lang w:val="es-MX"/>
        </w:rPr>
      </w:pPr>
    </w:p>
  </w:footnote>
  <w:footnote w:id="13">
    <w:p w14:paraId="590DD7BE" w14:textId="77777777" w:rsidR="00B54967" w:rsidRPr="00D71B7F" w:rsidRDefault="00B54967" w:rsidP="00B54967">
      <w:pPr>
        <w:tabs>
          <w:tab w:val="left" w:pos="2127"/>
        </w:tabs>
        <w:spacing w:after="0" w:line="240" w:lineRule="auto"/>
        <w:ind w:left="100" w:right="244"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17 de febrero de 2015. Radicado: 11001-03-06-000-2015-00164-00 (2269). C.P. William Zambrano Cetina.</w:t>
      </w:r>
    </w:p>
    <w:p w14:paraId="031A7044" w14:textId="77777777" w:rsidR="00B54967" w:rsidRPr="00D71B7F" w:rsidRDefault="00B54967" w:rsidP="00B54967">
      <w:pPr>
        <w:spacing w:after="0" w:line="240" w:lineRule="auto"/>
        <w:ind w:left="100" w:right="244" w:firstLine="709"/>
        <w:jc w:val="both"/>
        <w:rPr>
          <w:rFonts w:ascii="Verdana" w:hAnsi="Verdana" w:cs="Arial"/>
          <w:sz w:val="16"/>
          <w:szCs w:val="16"/>
          <w:lang w:val="es-ES"/>
        </w:rPr>
      </w:pPr>
    </w:p>
  </w:footnote>
  <w:footnote w:id="14">
    <w:p w14:paraId="285184D2" w14:textId="77777777" w:rsidR="00B54967" w:rsidRPr="00D71B7F" w:rsidRDefault="00B54967" w:rsidP="00B5496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sz w:val="16"/>
          <w:szCs w:val="16"/>
          <w:lang w:val="es-ES"/>
        </w:rPr>
        <w:t xml:space="preserve">[25] </w:t>
      </w:r>
      <w:r w:rsidRPr="00D71B7F">
        <w:rPr>
          <w:rFonts w:ascii="Verdana" w:hAnsi="Verdana" w:cs="Arial"/>
          <w:sz w:val="16"/>
          <w:szCs w:val="16"/>
        </w:rPr>
        <w:t>Cfr. Consejo de Estado. Sección Tercera. Sentencia de 3 de diciembre de 2007. Radicados: 24.715, 25.206, 25.409, 24.524, 27.834, 25.410, 26.105, 28.244, 31.447 -acumulados-“.</w:t>
      </w:r>
    </w:p>
    <w:p w14:paraId="5A6134E5" w14:textId="77777777" w:rsidR="00B54967" w:rsidRPr="00D71B7F" w:rsidRDefault="00B54967" w:rsidP="00B54967">
      <w:pPr>
        <w:pStyle w:val="Textonotapie"/>
        <w:ind w:firstLine="709"/>
        <w:jc w:val="both"/>
        <w:rPr>
          <w:rFonts w:ascii="Verdana" w:hAnsi="Verdana" w:cs="Arial"/>
          <w:sz w:val="16"/>
          <w:szCs w:val="16"/>
        </w:rPr>
      </w:pPr>
    </w:p>
  </w:footnote>
  <w:footnote w:id="15">
    <w:p w14:paraId="5E372668" w14:textId="77777777" w:rsidR="00B54967" w:rsidRPr="00D71B7F" w:rsidRDefault="00B54967" w:rsidP="00B5496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bookmarkStart w:id="13" w:name="_Hlk74294506"/>
      <w:r w:rsidRPr="00D71B7F">
        <w:rPr>
          <w:rFonts w:ascii="Verdana" w:hAnsi="Verdana" w:cs="Arial"/>
          <w:sz w:val="16"/>
          <w:szCs w:val="16"/>
        </w:rPr>
        <w:t>“</w:t>
      </w:r>
      <w:r w:rsidRPr="00D71B7F">
        <w:rPr>
          <w:rFonts w:ascii="Verdana" w:hAnsi="Verdana" w:cs="Arial"/>
          <w:sz w:val="16"/>
          <w:szCs w:val="16"/>
          <w:lang w:val="es-ES"/>
        </w:rPr>
        <w:t xml:space="preserve">[26] </w:t>
      </w:r>
      <w:bookmarkEnd w:id="13"/>
      <w:r w:rsidRPr="00D71B7F">
        <w:rPr>
          <w:rFonts w:ascii="Verdana" w:hAnsi="Verdana" w:cs="Arial"/>
          <w:sz w:val="16"/>
          <w:szCs w:val="16"/>
        </w:rPr>
        <w:t>Al respecto ver el concepto 1712 de 2 de febrero de 2006. Consejo de Estado Sala de Consulta y Servicio Civil”.</w:t>
      </w:r>
    </w:p>
    <w:p w14:paraId="04C94F3B" w14:textId="77777777" w:rsidR="00B54967" w:rsidRPr="00D71B7F" w:rsidRDefault="00B54967" w:rsidP="00B54967">
      <w:pPr>
        <w:pStyle w:val="Textonotapie"/>
        <w:ind w:firstLine="709"/>
        <w:jc w:val="both"/>
        <w:rPr>
          <w:rFonts w:ascii="Verdana" w:hAnsi="Verdana" w:cs="Arial"/>
          <w:sz w:val="16"/>
          <w:szCs w:val="16"/>
        </w:rPr>
      </w:pPr>
    </w:p>
  </w:footnote>
  <w:footnote w:id="16">
    <w:p w14:paraId="39F1500B" w14:textId="77777777" w:rsidR="00B54967" w:rsidRPr="00D71B7F" w:rsidRDefault="00B54967" w:rsidP="00B5496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2 de septiembre de 2013. Radicación número: 11001-03-06-000-2013-00412-00 (2168). C.P: Álvaro Namén Vargas.</w:t>
      </w:r>
    </w:p>
    <w:p w14:paraId="79988604" w14:textId="77777777" w:rsidR="00B54967" w:rsidRPr="00D71B7F" w:rsidRDefault="00B54967" w:rsidP="00B54967">
      <w:pPr>
        <w:pStyle w:val="Textonotapie"/>
        <w:ind w:firstLine="709"/>
        <w:jc w:val="both"/>
        <w:rPr>
          <w:rFonts w:ascii="Verdana" w:hAnsi="Verdana" w:cs="Arial"/>
          <w:sz w:val="16"/>
          <w:szCs w:val="16"/>
        </w:rPr>
      </w:pPr>
    </w:p>
  </w:footnote>
  <w:footnote w:id="17">
    <w:p w14:paraId="6B5A475A" w14:textId="77777777" w:rsidR="00B54967" w:rsidRPr="00D71B7F" w:rsidRDefault="00B54967" w:rsidP="00B54967">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sz w:val="16"/>
          <w:szCs w:val="16"/>
          <w:lang w:val="es-ES"/>
        </w:rPr>
        <w:t xml:space="preserve">Artículo 2. </w:t>
      </w:r>
    </w:p>
    <w:p w14:paraId="01704A4D" w14:textId="77777777" w:rsidR="00B54967" w:rsidRPr="00D71B7F" w:rsidRDefault="00B54967" w:rsidP="00B54967">
      <w:pPr>
        <w:pStyle w:val="Textonotapie"/>
        <w:ind w:firstLine="709"/>
        <w:rPr>
          <w:rFonts w:ascii="Verdana" w:hAnsi="Verdana" w:cs="Arial"/>
          <w:sz w:val="16"/>
          <w:szCs w:val="16"/>
          <w:lang w:val="es-ES"/>
        </w:rPr>
      </w:pPr>
    </w:p>
  </w:footnote>
  <w:footnote w:id="18">
    <w:p w14:paraId="4BDF102A" w14:textId="77777777" w:rsidR="00B54967" w:rsidRPr="00D71B7F" w:rsidRDefault="00B54967" w:rsidP="00B54967">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i/>
          <w:sz w:val="16"/>
          <w:szCs w:val="16"/>
          <w:lang w:val="es-ES"/>
        </w:rPr>
        <w:t>Ídem</w:t>
      </w:r>
      <w:r w:rsidRPr="00D71B7F">
        <w:rPr>
          <w:rFonts w:ascii="Verdana" w:hAnsi="Verdana" w:cs="Arial"/>
          <w:sz w:val="16"/>
          <w:szCs w:val="16"/>
          <w:lang w:val="es-ES"/>
        </w:rPr>
        <w:t>.</w:t>
      </w:r>
    </w:p>
    <w:p w14:paraId="477BEAD5" w14:textId="77777777" w:rsidR="00B54967" w:rsidRPr="00D71B7F" w:rsidRDefault="00B54967" w:rsidP="00B54967">
      <w:pPr>
        <w:pStyle w:val="Textonotapie"/>
        <w:ind w:firstLine="709"/>
        <w:rPr>
          <w:rFonts w:ascii="Verdana" w:hAnsi="Verdana" w:cs="Arial"/>
          <w:sz w:val="16"/>
          <w:szCs w:val="16"/>
          <w:lang w:val="es-ES"/>
        </w:rPr>
      </w:pPr>
    </w:p>
  </w:footnote>
  <w:footnote w:id="19">
    <w:p w14:paraId="77ECCEEF" w14:textId="77777777" w:rsidR="00B54967" w:rsidRPr="00D71B7F" w:rsidRDefault="00B54967" w:rsidP="00B54967">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Style w:val="Refdenotaalpie"/>
          <w:rFonts w:ascii="Verdana" w:hAnsi="Verdana" w:cs="Arial"/>
          <w:sz w:val="16"/>
          <w:szCs w:val="16"/>
        </w:rPr>
        <w:t xml:space="preserve"> </w:t>
      </w:r>
      <w:r w:rsidRPr="00D71B7F">
        <w:rPr>
          <w:rFonts w:ascii="Verdana" w:hAnsi="Verdana" w:cs="Arial"/>
          <w:sz w:val="16"/>
          <w:szCs w:val="16"/>
          <w:lang w:val="es-ES"/>
        </w:rPr>
        <w:t xml:space="preserve">[…] A este respecto, cabe recordar que el artículo 860 del Código de Comercio regula la licitación en el derecho privado. </w:t>
      </w:r>
    </w:p>
    <w:p w14:paraId="52CB93B2" w14:textId="77777777" w:rsidR="00B54967" w:rsidRPr="00D71B7F" w:rsidRDefault="00B54967" w:rsidP="00B54967">
      <w:pPr>
        <w:pStyle w:val="Textonotapie"/>
        <w:ind w:firstLine="709"/>
        <w:rPr>
          <w:rFonts w:ascii="Verdana" w:hAnsi="Verdana" w:cs="Arial"/>
          <w:sz w:val="16"/>
          <w:szCs w:val="16"/>
          <w:lang w:val="es-ES"/>
        </w:rPr>
      </w:pPr>
    </w:p>
  </w:footnote>
  <w:footnote w:id="20">
    <w:p w14:paraId="66EDEAA7" w14:textId="77777777" w:rsidR="00B54967" w:rsidRPr="00D71B7F" w:rsidRDefault="00B54967" w:rsidP="00B54967">
      <w:pPr>
        <w:shd w:val="clear" w:color="auto" w:fill="FFFFFF"/>
        <w:spacing w:after="0" w:line="240" w:lineRule="auto"/>
        <w:ind w:firstLine="709"/>
        <w:jc w:val="both"/>
        <w:rPr>
          <w:rFonts w:ascii="Verdana" w:hAnsi="Verdana" w:cs="Arial"/>
          <w:sz w:val="16"/>
          <w:szCs w:val="16"/>
          <w:lang w:val="es-ES"/>
        </w:rPr>
      </w:pPr>
      <w:r w:rsidRPr="00D71B7F">
        <w:rPr>
          <w:rStyle w:val="Refdenotaalpie"/>
          <w:rFonts w:ascii="Verdana" w:hAnsi="Verdana" w:cs="Arial"/>
          <w:sz w:val="16"/>
          <w:szCs w:val="16"/>
        </w:rPr>
        <w:footnoteRef/>
      </w:r>
      <w:r w:rsidRPr="00D71B7F">
        <w:rPr>
          <w:rStyle w:val="Refdenotaalpie"/>
          <w:rFonts w:ascii="Verdana" w:hAnsi="Verdana" w:cs="Arial"/>
          <w:sz w:val="16"/>
          <w:szCs w:val="16"/>
        </w:rPr>
        <w:t xml:space="preserve"> </w:t>
      </w:r>
      <w:r w:rsidRPr="00D71B7F">
        <w:rPr>
          <w:rFonts w:ascii="Verdana" w:hAnsi="Verdana" w:cs="Arial"/>
          <w:sz w:val="16"/>
          <w:szCs w:val="16"/>
          <w:lang w:val="es-ES"/>
        </w:rPr>
        <w:t>Consejo de Estado. Sala de Consulta y Servicio Civil, Concepto de 8 de mayo de 2018. Radicación Número: 11001-03-06-000-2018-00095-00 (2382). C.P: Álvaro Namén Vargas.</w:t>
      </w:r>
    </w:p>
    <w:p w14:paraId="50500473" w14:textId="77777777" w:rsidR="00B54967" w:rsidRPr="00D71B7F" w:rsidRDefault="00B54967" w:rsidP="00B54967">
      <w:pPr>
        <w:shd w:val="clear" w:color="auto" w:fill="FFFFFF"/>
        <w:spacing w:after="0" w:line="240" w:lineRule="auto"/>
        <w:ind w:firstLine="709"/>
        <w:jc w:val="both"/>
        <w:rPr>
          <w:rFonts w:ascii="Verdana" w:hAnsi="Verdana" w:cs="Arial"/>
          <w:sz w:val="16"/>
          <w:szCs w:val="16"/>
          <w:lang w:val="es-ES"/>
        </w:rPr>
      </w:pPr>
    </w:p>
  </w:footnote>
  <w:footnote w:id="21">
    <w:p w14:paraId="28C78C51" w14:textId="77777777" w:rsidR="00B54967" w:rsidRPr="00D71B7F" w:rsidRDefault="00B54967" w:rsidP="00B5496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08 de mayo de 2018. </w:t>
      </w:r>
      <w:proofErr w:type="spellStart"/>
      <w:r w:rsidRPr="00D71B7F">
        <w:rPr>
          <w:rFonts w:ascii="Verdana" w:hAnsi="Verdana" w:cs="Arial"/>
          <w:sz w:val="16"/>
          <w:szCs w:val="16"/>
        </w:rPr>
        <w:t>Exp</w:t>
      </w:r>
      <w:proofErr w:type="spellEnd"/>
      <w:r w:rsidRPr="00D71B7F">
        <w:rPr>
          <w:rFonts w:ascii="Verdana" w:hAnsi="Verdana" w:cs="Arial"/>
          <w:sz w:val="16"/>
          <w:szCs w:val="16"/>
        </w:rPr>
        <w:t>. 2.382. C.P. Álvaro Namén Vargas.</w:t>
      </w:r>
    </w:p>
    <w:p w14:paraId="0A5EBF6B" w14:textId="77777777" w:rsidR="00B54967" w:rsidRPr="00D71B7F" w:rsidRDefault="00B54967" w:rsidP="00B54967">
      <w:pPr>
        <w:pStyle w:val="Textonotapie"/>
        <w:ind w:firstLine="709"/>
        <w:jc w:val="both"/>
        <w:rPr>
          <w:rFonts w:ascii="Verdana" w:hAnsi="Verdana" w:cs="Arial"/>
          <w:sz w:val="16"/>
          <w:szCs w:val="16"/>
        </w:rPr>
      </w:pPr>
    </w:p>
  </w:footnote>
  <w:footnote w:id="22">
    <w:p w14:paraId="6FE223FD" w14:textId="77777777" w:rsidR="00B54967" w:rsidRPr="00D71B7F" w:rsidRDefault="00B54967" w:rsidP="00B54967">
      <w:pPr>
        <w:pStyle w:val="Textonotapie"/>
        <w:ind w:firstLine="709"/>
        <w:jc w:val="both"/>
        <w:rPr>
          <w:rFonts w:ascii="Verdana" w:hAnsi="Verdana"/>
          <w:sz w:val="16"/>
          <w:szCs w:val="16"/>
          <w:lang w:val="es-ES"/>
        </w:rPr>
      </w:pPr>
      <w:r w:rsidRPr="00D71B7F">
        <w:rPr>
          <w:rStyle w:val="Refdenotaalpie"/>
          <w:rFonts w:ascii="Verdana" w:hAnsi="Verdana"/>
          <w:sz w:val="16"/>
          <w:szCs w:val="16"/>
        </w:rPr>
        <w:footnoteRef/>
      </w:r>
      <w:r w:rsidRPr="00D71B7F">
        <w:rPr>
          <w:rFonts w:ascii="Verdana" w:hAnsi="Verdana"/>
          <w:sz w:val="16"/>
          <w:szCs w:val="16"/>
        </w:rPr>
        <w:t xml:space="preserve"> </w:t>
      </w:r>
      <w:r w:rsidRPr="00D71B7F">
        <w:rPr>
          <w:rFonts w:ascii="Verdana" w:hAnsi="Verdana"/>
          <w:sz w:val="16"/>
          <w:szCs w:val="16"/>
          <w:lang w:val="es-ES"/>
        </w:rPr>
        <w:t xml:space="preserve">Agencia Nacional de Contratación Pública. Circular Externa 006 del 25 de septiembre de 2025. Disponible en </w:t>
      </w:r>
      <w:hyperlink r:id="rId1" w:history="1">
        <w:r w:rsidRPr="00D71B7F">
          <w:rPr>
            <w:rStyle w:val="Hipervnculo"/>
            <w:rFonts w:ascii="Verdana" w:hAnsi="Verdana"/>
            <w:sz w:val="16"/>
            <w:szCs w:val="16"/>
            <w:lang w:val="es-CO"/>
          </w:rPr>
          <w:t>006-de-2025-Circular-Externa-L996-ajustado-comentarios-BM-BID-Rev-ARSC-V3.d-1.pdf</w:t>
        </w:r>
      </w:hyperlink>
    </w:p>
    <w:p w14:paraId="518BA2FC" w14:textId="77777777" w:rsidR="00B54967" w:rsidRPr="00D71B7F" w:rsidRDefault="00B54967" w:rsidP="00B54967">
      <w:pPr>
        <w:pStyle w:val="Textonotapie"/>
        <w:rPr>
          <w:rFonts w:ascii="Verdana" w:hAnsi="Verdana"/>
          <w:sz w:val="16"/>
          <w:szCs w:val="16"/>
          <w:lang w:val="es-ES"/>
        </w:rPr>
      </w:pPr>
    </w:p>
  </w:footnote>
  <w:footnote w:id="23">
    <w:p w14:paraId="74F883F9" w14:textId="77777777" w:rsidR="00B54967" w:rsidRPr="00D71B7F" w:rsidRDefault="00B54967" w:rsidP="00B54967">
      <w:pPr>
        <w:spacing w:after="0" w:line="240" w:lineRule="auto"/>
        <w:ind w:firstLine="709"/>
        <w:jc w:val="both"/>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7CEBCCE8" w14:textId="77777777" w:rsidR="00B54967" w:rsidRPr="00D71B7F" w:rsidRDefault="00B54967" w:rsidP="00B54967">
      <w:pPr>
        <w:spacing w:after="0" w:line="240" w:lineRule="auto"/>
        <w:ind w:firstLine="709"/>
        <w:jc w:val="both"/>
        <w:rPr>
          <w:rFonts w:ascii="Verdana" w:hAnsi="Verdana" w:cs="Arial"/>
          <w:color w:val="000000" w:themeColor="text1"/>
          <w:sz w:val="16"/>
          <w:szCs w:val="16"/>
        </w:rPr>
      </w:pPr>
    </w:p>
  </w:footnote>
  <w:footnote w:id="24">
    <w:p w14:paraId="7D20DE62" w14:textId="77777777" w:rsidR="00B54967" w:rsidRPr="00D71B7F" w:rsidRDefault="00B54967" w:rsidP="00B54967">
      <w:pPr>
        <w:pStyle w:val="Textonotapie"/>
        <w:ind w:firstLine="709"/>
        <w:jc w:val="both"/>
        <w:rPr>
          <w:rFonts w:ascii="Verdana" w:eastAsia="Times New Roman" w:hAnsi="Verdana" w:cs="Arial"/>
          <w:color w:val="000000" w:themeColor="text1"/>
          <w:sz w:val="16"/>
          <w:szCs w:val="16"/>
          <w:lang w:eastAsia="x-none"/>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6 de abril de 2006. Radicación Número: 11001-03-06-000-2006-00038-00 (1738). C.P: Enrique José Arboleda Perdomo:</w:t>
      </w:r>
      <w:r w:rsidRPr="00D71B7F">
        <w:rPr>
          <w:rFonts w:ascii="Verdana" w:eastAsia="Times New Roman" w:hAnsi="Verdana" w:cs="Arial"/>
          <w:color w:val="000000" w:themeColor="text1"/>
          <w:sz w:val="16"/>
          <w:szCs w:val="16"/>
          <w:lang w:eastAsia="x-none"/>
        </w:rPr>
        <w:t xml:space="preserve"> </w:t>
      </w:r>
      <w:bookmarkStart w:id="17" w:name="_Hlk97890572"/>
      <w:r w:rsidRPr="00D71B7F">
        <w:rPr>
          <w:rFonts w:ascii="Verdana" w:eastAsia="Times New Roman" w:hAnsi="Verdana" w:cs="Arial"/>
          <w:color w:val="000000" w:themeColor="text1"/>
          <w:sz w:val="16"/>
          <w:szCs w:val="16"/>
          <w:lang w:eastAsia="x-none"/>
        </w:rPr>
        <w:t>“</w:t>
      </w:r>
      <w:r w:rsidRPr="00D71B7F">
        <w:rPr>
          <w:rFonts w:ascii="Verdana" w:hAnsi="Verdana" w:cs="Arial"/>
          <w:color w:val="000000" w:themeColor="text1"/>
          <w:sz w:val="16"/>
          <w:szCs w:val="16"/>
        </w:rPr>
        <w:t xml:space="preserve">Si bien en el tema del concepto del que se extractaron </w:t>
      </w:r>
      <w:bookmarkEnd w:id="17"/>
      <w:r w:rsidRPr="00D71B7F">
        <w:rPr>
          <w:rFonts w:ascii="Verdana" w:hAnsi="Verdana" w:cs="Arial"/>
          <w:color w:val="000000" w:themeColor="text1"/>
          <w:sz w:val="16"/>
          <w:szCs w:val="16"/>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D71B7F">
        <w:rPr>
          <w:rFonts w:ascii="Verdana" w:eastAsia="Times New Roman" w:hAnsi="Verdana" w:cs="Arial"/>
          <w:color w:val="000000" w:themeColor="text1"/>
          <w:sz w:val="16"/>
          <w:szCs w:val="16"/>
          <w:lang w:eastAsia="x-none"/>
        </w:rPr>
        <w:t>”.</w:t>
      </w:r>
    </w:p>
    <w:p w14:paraId="71004A69" w14:textId="77777777" w:rsidR="00B54967" w:rsidRPr="00D71B7F" w:rsidRDefault="00B54967" w:rsidP="00B54967">
      <w:pPr>
        <w:pStyle w:val="Textonotapie"/>
        <w:ind w:firstLine="709"/>
        <w:jc w:val="both"/>
        <w:rPr>
          <w:rFonts w:ascii="Verdana" w:hAnsi="Verdana" w:cs="Arial"/>
          <w:color w:val="000000" w:themeColor="text1"/>
          <w:sz w:val="16"/>
          <w:szCs w:val="16"/>
        </w:rPr>
      </w:pPr>
    </w:p>
  </w:footnote>
  <w:footnote w:id="25">
    <w:p w14:paraId="3333A53E" w14:textId="77777777" w:rsidR="00B54967" w:rsidRPr="00D71B7F" w:rsidRDefault="00B54967" w:rsidP="00B54967">
      <w:pPr>
        <w:spacing w:after="0" w:line="240" w:lineRule="auto"/>
        <w:ind w:firstLine="709"/>
        <w:jc w:val="both"/>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6 de abril de 2006. Radicación Número: 11001-03-06-000-2006-00038-00(1738). C.P: Enrique José Arboleda Perdomo. </w:t>
      </w:r>
    </w:p>
    <w:p w14:paraId="5F57022E" w14:textId="77777777" w:rsidR="00B54967" w:rsidRPr="00D71B7F" w:rsidRDefault="00B54967" w:rsidP="00B54967">
      <w:pPr>
        <w:spacing w:after="0" w:line="240" w:lineRule="auto"/>
        <w:ind w:firstLine="709"/>
        <w:jc w:val="both"/>
        <w:rPr>
          <w:rFonts w:ascii="Verdana" w:hAnsi="Verdana" w:cs="Arial"/>
          <w:color w:val="000000" w:themeColor="text1"/>
          <w:sz w:val="16"/>
          <w:szCs w:val="16"/>
        </w:rPr>
      </w:pPr>
    </w:p>
  </w:footnote>
  <w:footnote w:id="26">
    <w:p w14:paraId="27FB8391" w14:textId="77777777" w:rsidR="00B54967" w:rsidRPr="00D71B7F" w:rsidRDefault="00B54967" w:rsidP="00B54967">
      <w:pPr>
        <w:pStyle w:val="Textonotapie"/>
        <w:ind w:firstLine="709"/>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ídem.</w:t>
      </w:r>
    </w:p>
    <w:p w14:paraId="76F317E1" w14:textId="77777777" w:rsidR="00B54967" w:rsidRPr="00D71B7F" w:rsidRDefault="00B54967" w:rsidP="00B54967">
      <w:pPr>
        <w:pStyle w:val="Textonotapie"/>
        <w:ind w:firstLine="709"/>
        <w:rPr>
          <w:rFonts w:ascii="Verdana" w:hAnsi="Verdana" w:cs="Arial"/>
          <w:color w:val="000000" w:themeColor="text1"/>
          <w:sz w:val="16"/>
          <w:szCs w:val="16"/>
        </w:rPr>
      </w:pPr>
    </w:p>
  </w:footnote>
  <w:footnote w:id="27">
    <w:p w14:paraId="66E81A82" w14:textId="77777777" w:rsidR="00B54967" w:rsidRPr="00D71B7F" w:rsidRDefault="00B54967" w:rsidP="00B5496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w:t>
      </w:r>
      <w:proofErr w:type="spellStart"/>
      <w:r w:rsidRPr="00D71B7F">
        <w:rPr>
          <w:rFonts w:ascii="Verdana" w:hAnsi="Verdana" w:cs="Arial"/>
          <w:sz w:val="16"/>
          <w:szCs w:val="16"/>
        </w:rPr>
        <w:t>N°</w:t>
      </w:r>
      <w:proofErr w:type="spellEnd"/>
      <w:r w:rsidRPr="00D71B7F">
        <w:rPr>
          <w:rFonts w:ascii="Verdana" w:hAnsi="Verdana" w:cs="Arial"/>
          <w:sz w:val="16"/>
          <w:szCs w:val="16"/>
        </w:rPr>
        <w:t xml:space="preserve"> 216/05 Senado, </w:t>
      </w:r>
      <w:proofErr w:type="spellStart"/>
      <w:r w:rsidRPr="00D71B7F">
        <w:rPr>
          <w:rFonts w:ascii="Verdana" w:hAnsi="Verdana" w:cs="Arial"/>
          <w:sz w:val="16"/>
          <w:szCs w:val="16"/>
        </w:rPr>
        <w:t>N°</w:t>
      </w:r>
      <w:proofErr w:type="spellEnd"/>
      <w:r w:rsidRPr="00D71B7F">
        <w:rPr>
          <w:rFonts w:ascii="Verdana" w:hAnsi="Verdana" w:cs="Arial"/>
          <w:sz w:val="16"/>
          <w:szCs w:val="16"/>
        </w:rPr>
        <w:t xml:space="preserve"> 235-Cámara que dio lugar a la Ley de Garantías Electorales.</w:t>
      </w:r>
    </w:p>
    <w:p w14:paraId="714DCC28" w14:textId="77777777" w:rsidR="00B54967" w:rsidRPr="00D71B7F" w:rsidRDefault="00B54967" w:rsidP="00B54967">
      <w:pPr>
        <w:pStyle w:val="Textonotapie"/>
        <w:ind w:firstLine="709"/>
        <w:jc w:val="both"/>
        <w:rPr>
          <w:rFonts w:ascii="Verdana" w:hAnsi="Verdana" w:cs="Arial"/>
          <w:sz w:val="16"/>
          <w:szCs w:val="16"/>
        </w:rPr>
      </w:pPr>
    </w:p>
  </w:footnote>
  <w:footnote w:id="28">
    <w:p w14:paraId="509E200E" w14:textId="77777777" w:rsidR="00B54967" w:rsidRPr="00D71B7F" w:rsidRDefault="00B54967" w:rsidP="00B54967">
      <w:pPr>
        <w:pStyle w:val="Textonotapie"/>
        <w:ind w:firstLine="708"/>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18 de febrero 2010. Rad. 11001-03-06-000-2010-00006-00 (1985). C.P. Enrique José Arboleda Perdomo.</w:t>
      </w:r>
    </w:p>
    <w:p w14:paraId="5D4086EF" w14:textId="77777777" w:rsidR="00B54967" w:rsidRPr="00D71B7F" w:rsidRDefault="00B54967" w:rsidP="00B54967">
      <w:pPr>
        <w:pStyle w:val="Textonotapie"/>
        <w:ind w:firstLine="708"/>
        <w:jc w:val="both"/>
        <w:rPr>
          <w:rFonts w:ascii="Verdana" w:hAnsi="Verdana" w:cs="Arial"/>
          <w:sz w:val="16"/>
          <w:szCs w:val="16"/>
        </w:rPr>
      </w:pPr>
    </w:p>
  </w:footnote>
  <w:footnote w:id="29">
    <w:p w14:paraId="0F857477" w14:textId="77777777" w:rsidR="00B54967" w:rsidRPr="00D71B7F" w:rsidRDefault="00B54967" w:rsidP="00B54967">
      <w:pPr>
        <w:pStyle w:val="Textonotapie"/>
        <w:ind w:firstLine="708"/>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Corte Constitucional. Sentencia C-1153 de 2005 M.P. Marco Gerardo Monroy Cabra. </w:t>
      </w:r>
    </w:p>
    <w:p w14:paraId="0DD1B374" w14:textId="77777777" w:rsidR="00B54967" w:rsidRPr="00D71B7F" w:rsidRDefault="00B54967" w:rsidP="00B54967">
      <w:pPr>
        <w:pStyle w:val="Textonotapie"/>
        <w:ind w:firstLine="708"/>
        <w:jc w:val="both"/>
        <w:rPr>
          <w:rFonts w:ascii="Verdana" w:hAnsi="Verdana" w:cs="Arial"/>
          <w:sz w:val="16"/>
          <w:szCs w:val="16"/>
        </w:rPr>
      </w:pPr>
    </w:p>
  </w:footnote>
  <w:footnote w:id="30">
    <w:p w14:paraId="40DE21C9" w14:textId="77777777" w:rsidR="00B54967" w:rsidRPr="00D71B7F" w:rsidRDefault="00B54967" w:rsidP="00B54967">
      <w:pPr>
        <w:pStyle w:val="Textonotapie"/>
        <w:ind w:firstLine="708"/>
        <w:jc w:val="both"/>
        <w:rPr>
          <w:rFonts w:ascii="Verdana" w:hAnsi="Verdana"/>
          <w:sz w:val="16"/>
          <w:szCs w:val="16"/>
          <w:lang w:val="es-CO"/>
        </w:rPr>
      </w:pPr>
      <w:r w:rsidRPr="00D71B7F">
        <w:rPr>
          <w:rStyle w:val="Refdenotaalpie"/>
          <w:rFonts w:ascii="Verdana" w:hAnsi="Verdana"/>
          <w:sz w:val="16"/>
          <w:szCs w:val="16"/>
        </w:rPr>
        <w:footnoteRef/>
      </w:r>
      <w:r w:rsidRPr="00D71B7F">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D71B7F">
        <w:rPr>
          <w:rFonts w:ascii="Verdana" w:hAnsi="Verdana"/>
          <w:i/>
          <w:sz w:val="16"/>
          <w:szCs w:val="16"/>
        </w:rPr>
        <w:t>las palabras de la ley se entenderán en su sentido natural y obvio, según el uso general de las mismas palabras</w:t>
      </w:r>
      <w:r w:rsidRPr="00D71B7F">
        <w:rPr>
          <w:rFonts w:ascii="Verdana" w:hAnsi="Verdana"/>
          <w:sz w:val="16"/>
          <w:szCs w:val="16"/>
        </w:rPr>
        <w:t>’, es decir, el uso de la gente educada. El Diccionario de la Lengua publicado por la Real Academia Española goza a este respecto de gran autoridad. ‘</w:t>
      </w:r>
      <w:r w:rsidRPr="00D71B7F">
        <w:rPr>
          <w:rFonts w:ascii="Verdana" w:hAnsi="Verdana"/>
          <w:i/>
          <w:sz w:val="16"/>
          <w:szCs w:val="16"/>
        </w:rPr>
        <w:t>Pero cuando el legislador</w:t>
      </w:r>
      <w:r w:rsidRPr="00D71B7F">
        <w:rPr>
          <w:rFonts w:ascii="Verdana" w:hAnsi="Verdana"/>
          <w:sz w:val="16"/>
          <w:szCs w:val="16"/>
        </w:rPr>
        <w:t xml:space="preserve">, agrega el artículo 20, </w:t>
      </w:r>
      <w:r w:rsidRPr="00D71B7F">
        <w:rPr>
          <w:rFonts w:ascii="Verdana" w:hAnsi="Verdana"/>
          <w:i/>
          <w:sz w:val="16"/>
          <w:szCs w:val="16"/>
        </w:rPr>
        <w:t>las haya definido expresamente para ciertas materias se les dará en éstas su significado legal</w:t>
      </w:r>
      <w:r w:rsidRPr="00D71B7F">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w:t>
      </w:r>
      <w:r w:rsidRPr="006C7BAC">
        <w:rPr>
          <w:rFonts w:ascii="Verdana" w:hAnsi="Verdana"/>
          <w:sz w:val="16"/>
          <w:szCs w:val="16"/>
        </w:rPr>
        <w:t xml:space="preserve"> </w:t>
      </w:r>
      <w:r w:rsidRPr="00D71B7F">
        <w:rPr>
          <w:rFonts w:ascii="Verdana" w:hAnsi="Verdana"/>
          <w:sz w:val="16"/>
          <w:szCs w:val="16"/>
        </w:rPr>
        <w:t>aparezca de manifiesto y con toda claridad” (CLARO SOLAR, Luis. Explicaciones de derecho civil chileno y comparado. Volumen I. Tomo I. Santiago: Editorial Jurídica de Chile, 2013. p. 117. Énfasis dentro del texto).</w:t>
      </w:r>
    </w:p>
  </w:footnote>
  <w:footnote w:id="31">
    <w:p w14:paraId="24C30226" w14:textId="77777777" w:rsidR="00B54967" w:rsidRDefault="00B54967" w:rsidP="00B54967">
      <w:pPr>
        <w:pStyle w:val="Textonotapie"/>
        <w:ind w:firstLine="709"/>
        <w:contextualSpacing/>
        <w:jc w:val="both"/>
        <w:rPr>
          <w:rFonts w:ascii="Verdana" w:hAnsi="Verdana" w:cs="Arial"/>
          <w:sz w:val="16"/>
          <w:szCs w:val="16"/>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hAnsi="Verdana" w:cs="Arial"/>
          <w:sz w:val="16"/>
          <w:szCs w:val="16"/>
        </w:rPr>
        <w:t xml:space="preserve">Consejo de Estado. Sala de lo Contencioso Administrativo. Sección Tercera. Sentencia del 21 de febrero de 2025. </w:t>
      </w:r>
      <w:proofErr w:type="spellStart"/>
      <w:r w:rsidRPr="00B8078E">
        <w:rPr>
          <w:rFonts w:ascii="Verdana" w:hAnsi="Verdana" w:cs="Arial"/>
          <w:sz w:val="16"/>
          <w:szCs w:val="16"/>
        </w:rPr>
        <w:t>Exp</w:t>
      </w:r>
      <w:proofErr w:type="spellEnd"/>
      <w:r w:rsidRPr="00B8078E">
        <w:rPr>
          <w:rFonts w:ascii="Verdana" w:hAnsi="Verdana" w:cs="Arial"/>
          <w:sz w:val="16"/>
          <w:szCs w:val="16"/>
        </w:rPr>
        <w:t>. 68.280. CP: José Roberto Sáchica Méndez.</w:t>
      </w:r>
    </w:p>
    <w:p w14:paraId="68363562" w14:textId="77777777" w:rsidR="00B54967" w:rsidRPr="009D0D83" w:rsidRDefault="00B54967" w:rsidP="00B54967">
      <w:pPr>
        <w:pStyle w:val="Textonotapie"/>
        <w:ind w:firstLine="709"/>
        <w:contextualSpacing/>
        <w:jc w:val="both"/>
        <w:rPr>
          <w:rFonts w:ascii="Verdana" w:hAnsi="Verdana" w:cs="Arial"/>
          <w:sz w:val="16"/>
          <w:szCs w:val="16"/>
        </w:rPr>
      </w:pPr>
    </w:p>
  </w:footnote>
  <w:footnote w:id="32">
    <w:p w14:paraId="02AAD8AE" w14:textId="77777777" w:rsidR="00B54967" w:rsidRPr="00B8078E" w:rsidRDefault="00B54967" w:rsidP="00B54967">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sz w:val="16"/>
          <w:szCs w:val="16"/>
          <w:vertAlign w:val="superscript"/>
        </w:rPr>
        <w:t xml:space="preserve"> </w:t>
      </w:r>
      <w:r w:rsidRPr="00B8078E">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6F474A26" w14:textId="77777777" w:rsidR="00B54967" w:rsidRPr="00B8078E" w:rsidRDefault="00B54967" w:rsidP="00B54967">
      <w:pPr>
        <w:pStyle w:val="Textonotapie"/>
        <w:ind w:firstLine="709"/>
        <w:contextualSpacing/>
        <w:jc w:val="both"/>
        <w:rPr>
          <w:rFonts w:ascii="Verdana" w:hAnsi="Verdana" w:cs="Arial"/>
          <w:sz w:val="16"/>
          <w:szCs w:val="16"/>
        </w:rPr>
      </w:pPr>
    </w:p>
  </w:footnote>
  <w:footnote w:id="33">
    <w:p w14:paraId="1CF483D4" w14:textId="77777777" w:rsidR="00B54967" w:rsidRPr="00B8078E" w:rsidRDefault="00B54967" w:rsidP="00B54967">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cs="Arial"/>
          <w:sz w:val="16"/>
          <w:szCs w:val="16"/>
          <w:vertAlign w:val="superscript"/>
        </w:rPr>
        <w:t xml:space="preserve"> </w:t>
      </w:r>
      <w:r w:rsidRPr="00B8078E">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6B721555" w14:textId="77777777" w:rsidR="00B54967" w:rsidRPr="00B8078E" w:rsidRDefault="00B54967" w:rsidP="00B54967">
      <w:pPr>
        <w:pStyle w:val="Textonotapie"/>
        <w:ind w:firstLine="709"/>
        <w:contextualSpacing/>
        <w:jc w:val="both"/>
        <w:rPr>
          <w:rFonts w:ascii="Verdana" w:hAnsi="Verdana" w:cs="Arial"/>
          <w:sz w:val="16"/>
          <w:szCs w:val="16"/>
        </w:rPr>
      </w:pPr>
    </w:p>
  </w:footnote>
  <w:footnote w:id="34">
    <w:p w14:paraId="12A95C5C" w14:textId="77777777" w:rsidR="00B54967" w:rsidRDefault="00B54967" w:rsidP="00B54967">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cs="Arial"/>
          <w:sz w:val="16"/>
          <w:szCs w:val="16"/>
          <w:vertAlign w:val="superscript"/>
        </w:rPr>
        <w:t xml:space="preserve"> </w:t>
      </w:r>
      <w:r w:rsidRPr="00B8078E">
        <w:rPr>
          <w:rFonts w:ascii="Verdana" w:hAnsi="Verdana" w:cs="Arial"/>
          <w:sz w:val="16"/>
          <w:szCs w:val="16"/>
        </w:rPr>
        <w:t>Código Civil: “Artículo 27. Cuando el sentido de la ley sea claro, no se desatenderá su tenor a pretexto de consultar su espíritu”.</w:t>
      </w:r>
    </w:p>
    <w:p w14:paraId="06490047" w14:textId="77777777" w:rsidR="00B54967" w:rsidRPr="00852048" w:rsidRDefault="00B54967" w:rsidP="00B54967">
      <w:pPr>
        <w:pStyle w:val="Textonotapie"/>
        <w:ind w:firstLine="709"/>
        <w:contextualSpacing/>
        <w:jc w:val="both"/>
        <w:rPr>
          <w:rFonts w:ascii="Verdana" w:hAnsi="Verdana" w:cs="Arial"/>
          <w:sz w:val="16"/>
          <w:szCs w:val="16"/>
        </w:rPr>
      </w:pPr>
    </w:p>
  </w:footnote>
  <w:footnote w:id="35">
    <w:p w14:paraId="399C68E1" w14:textId="77777777" w:rsidR="00B54967" w:rsidRPr="00B8078E" w:rsidRDefault="00B54967" w:rsidP="00B54967">
      <w:pPr>
        <w:pStyle w:val="Textonotapie"/>
        <w:ind w:firstLine="708"/>
        <w:jc w:val="both"/>
        <w:rPr>
          <w:rFonts w:ascii="Verdana" w:hAnsi="Verdana"/>
          <w:sz w:val="16"/>
          <w:szCs w:val="16"/>
          <w:lang w:val="es-ES"/>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proofErr w:type="spellStart"/>
      <w:r w:rsidRPr="00B8078E">
        <w:rPr>
          <w:rFonts w:ascii="Verdana" w:hAnsi="Verdana"/>
          <w:i/>
          <w:sz w:val="16"/>
          <w:szCs w:val="16"/>
          <w:lang w:val="es-ES"/>
        </w:rPr>
        <w:t>Ubi</w:t>
      </w:r>
      <w:proofErr w:type="spellEnd"/>
      <w:r w:rsidRPr="00B8078E">
        <w:rPr>
          <w:rFonts w:ascii="Verdana" w:hAnsi="Verdana"/>
          <w:i/>
          <w:sz w:val="16"/>
          <w:szCs w:val="16"/>
          <w:lang w:val="es-ES"/>
        </w:rPr>
        <w:t xml:space="preserve"> lex non </w:t>
      </w:r>
      <w:proofErr w:type="spellStart"/>
      <w:r w:rsidRPr="00B8078E">
        <w:rPr>
          <w:rFonts w:ascii="Verdana" w:hAnsi="Verdana"/>
          <w:i/>
          <w:sz w:val="16"/>
          <w:szCs w:val="16"/>
          <w:lang w:val="es-ES"/>
        </w:rPr>
        <w:t>distinguit</w:t>
      </w:r>
      <w:proofErr w:type="spellEnd"/>
      <w:r w:rsidRPr="00B8078E">
        <w:rPr>
          <w:rFonts w:ascii="Verdana" w:hAnsi="Verdana"/>
          <w:i/>
          <w:sz w:val="16"/>
          <w:szCs w:val="16"/>
          <w:lang w:val="es-ES"/>
        </w:rPr>
        <w:t xml:space="preserve"> </w:t>
      </w:r>
      <w:proofErr w:type="spellStart"/>
      <w:r w:rsidRPr="00B8078E">
        <w:rPr>
          <w:rFonts w:ascii="Verdana" w:hAnsi="Verdana"/>
          <w:i/>
          <w:sz w:val="16"/>
          <w:szCs w:val="16"/>
          <w:lang w:val="es-ES"/>
        </w:rPr>
        <w:t>nec</w:t>
      </w:r>
      <w:proofErr w:type="spellEnd"/>
      <w:r w:rsidRPr="00B8078E">
        <w:rPr>
          <w:rFonts w:ascii="Verdana" w:hAnsi="Verdana"/>
          <w:i/>
          <w:sz w:val="16"/>
          <w:szCs w:val="16"/>
          <w:lang w:val="es-ES"/>
        </w:rPr>
        <w:t xml:space="preserve"> nos </w:t>
      </w:r>
      <w:proofErr w:type="spellStart"/>
      <w:r w:rsidRPr="00B8078E">
        <w:rPr>
          <w:rFonts w:ascii="Verdana" w:hAnsi="Verdana"/>
          <w:i/>
          <w:sz w:val="16"/>
          <w:szCs w:val="16"/>
          <w:lang w:val="es-ES"/>
        </w:rPr>
        <w:t>distinguere</w:t>
      </w:r>
      <w:proofErr w:type="spellEnd"/>
      <w:r w:rsidRPr="00B8078E">
        <w:rPr>
          <w:rFonts w:ascii="Verdana" w:hAnsi="Verdana"/>
          <w:i/>
          <w:sz w:val="16"/>
          <w:szCs w:val="16"/>
          <w:lang w:val="es-ES"/>
        </w:rPr>
        <w:t xml:space="preserve"> </w:t>
      </w:r>
      <w:proofErr w:type="spellStart"/>
      <w:r w:rsidRPr="00B8078E">
        <w:rPr>
          <w:rFonts w:ascii="Verdana" w:hAnsi="Verdana"/>
          <w:i/>
          <w:sz w:val="16"/>
          <w:szCs w:val="16"/>
          <w:lang w:val="es-ES"/>
        </w:rPr>
        <w:t>debemus</w:t>
      </w:r>
      <w:proofErr w:type="spellEnd"/>
      <w:r w:rsidRPr="00B8078E">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40704559" w14:textId="77777777" w:rsidR="00B54967" w:rsidRPr="00B8078E" w:rsidRDefault="00B54967" w:rsidP="00B54967">
      <w:pPr>
        <w:pStyle w:val="Textonotapie"/>
        <w:ind w:firstLine="708"/>
        <w:jc w:val="both"/>
        <w:rPr>
          <w:rFonts w:ascii="Verdana" w:hAnsi="Verdana"/>
          <w:sz w:val="16"/>
          <w:szCs w:val="16"/>
        </w:rPr>
      </w:pPr>
      <w:r w:rsidRPr="00B8078E">
        <w:rPr>
          <w:rFonts w:ascii="Verdana" w:hAnsi="Verdana"/>
          <w:sz w:val="16"/>
          <w:szCs w:val="16"/>
          <w:lang w:val="es-ES"/>
        </w:rPr>
        <w:t xml:space="preserve">En el derecho antiguo y en el derecho canónico se distinguían las leyes en favorables y odiosas, para ampliar o restringir su interpretación. </w:t>
      </w:r>
      <w:r w:rsidRPr="00B8078E">
        <w:rPr>
          <w:rFonts w:ascii="Verdana" w:hAnsi="Verdana"/>
          <w:i/>
          <w:sz w:val="16"/>
          <w:szCs w:val="16"/>
          <w:lang w:val="es-ES"/>
        </w:rPr>
        <w:t xml:space="preserve">Odia restringí et favores </w:t>
      </w:r>
      <w:proofErr w:type="spellStart"/>
      <w:r w:rsidRPr="00B8078E">
        <w:rPr>
          <w:rFonts w:ascii="Verdana" w:hAnsi="Verdana"/>
          <w:i/>
          <w:sz w:val="16"/>
          <w:szCs w:val="16"/>
          <w:lang w:val="es-ES"/>
        </w:rPr>
        <w:t>convenit</w:t>
      </w:r>
      <w:proofErr w:type="spellEnd"/>
      <w:r w:rsidRPr="00B8078E">
        <w:rPr>
          <w:rFonts w:ascii="Verdana" w:hAnsi="Verdana"/>
          <w:i/>
          <w:sz w:val="16"/>
          <w:szCs w:val="16"/>
          <w:lang w:val="es-ES"/>
        </w:rPr>
        <w:t xml:space="preserve"> </w:t>
      </w:r>
      <w:proofErr w:type="spellStart"/>
      <w:r w:rsidRPr="00B8078E">
        <w:rPr>
          <w:rFonts w:ascii="Verdana" w:hAnsi="Verdana"/>
          <w:i/>
          <w:sz w:val="16"/>
          <w:szCs w:val="16"/>
          <w:lang w:val="es-ES"/>
        </w:rPr>
        <w:t>ampliari</w:t>
      </w:r>
      <w:proofErr w:type="spellEnd"/>
      <w:r w:rsidRPr="00B8078E">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B8078E">
        <w:rPr>
          <w:rFonts w:ascii="Verdana" w:hAnsi="Verdana"/>
          <w:sz w:val="16"/>
          <w:szCs w:val="16"/>
        </w:rPr>
        <w:t>CLARO SOLAR, Luis. Explicaciones de derecho civil chileno y comparado. Volumen I. Tomo I. Santiago: Editorial Jurídica de Chile, 2013. p. 119. Énfasis dentro del texto).</w:t>
      </w:r>
    </w:p>
    <w:p w14:paraId="2E21375B" w14:textId="77777777" w:rsidR="00B54967" w:rsidRPr="00B8078E" w:rsidRDefault="00B54967" w:rsidP="00B54967">
      <w:pPr>
        <w:pStyle w:val="Textonotapie"/>
        <w:ind w:firstLine="708"/>
        <w:jc w:val="both"/>
        <w:rPr>
          <w:rFonts w:ascii="Verdana" w:hAnsi="Verdana"/>
          <w:sz w:val="16"/>
          <w:szCs w:val="16"/>
          <w:lang w:val="es-CO"/>
        </w:rPr>
      </w:pPr>
    </w:p>
  </w:footnote>
  <w:footnote w:id="36">
    <w:p w14:paraId="4B557799" w14:textId="77777777" w:rsidR="00B54967" w:rsidRPr="00B8078E" w:rsidRDefault="00B54967" w:rsidP="00B54967">
      <w:pPr>
        <w:spacing w:after="0" w:line="240" w:lineRule="auto"/>
        <w:ind w:firstLine="709"/>
        <w:jc w:val="both"/>
        <w:rPr>
          <w:rFonts w:ascii="Verdana" w:hAnsi="Verdana" w:cs="Arial"/>
          <w:sz w:val="16"/>
          <w:szCs w:val="16"/>
          <w:lang w:eastAsia="es-ES"/>
        </w:rPr>
      </w:pPr>
      <w:r w:rsidRPr="00B8078E">
        <w:rPr>
          <w:rStyle w:val="Refdenotaalpie"/>
          <w:rFonts w:ascii="Verdana" w:hAnsi="Verdana"/>
          <w:sz w:val="16"/>
          <w:szCs w:val="16"/>
        </w:rPr>
        <w:footnoteRef/>
      </w:r>
      <w:r w:rsidRPr="00B8078E">
        <w:rPr>
          <w:rFonts w:ascii="Verdana" w:hAnsi="Verdana"/>
          <w:sz w:val="16"/>
          <w:szCs w:val="16"/>
        </w:rPr>
        <w:t xml:space="preserve"> Consejo de Estado. Sala de lo Contencioso Administrativo. Sección Tercera. Subsección B. Auto del 4 de octubre de 2024. </w:t>
      </w:r>
      <w:proofErr w:type="spellStart"/>
      <w:r w:rsidRPr="00B8078E">
        <w:rPr>
          <w:rFonts w:ascii="Verdana" w:hAnsi="Verdana"/>
          <w:sz w:val="16"/>
          <w:szCs w:val="16"/>
        </w:rPr>
        <w:t>Exp</w:t>
      </w:r>
      <w:proofErr w:type="spellEnd"/>
      <w:r w:rsidRPr="00B8078E">
        <w:rPr>
          <w:rFonts w:ascii="Verdana" w:hAnsi="Verdana"/>
          <w:sz w:val="16"/>
          <w:szCs w:val="16"/>
        </w:rPr>
        <w:t>. 70.313. C.P: Fredy Ibarra Martínez.</w:t>
      </w:r>
    </w:p>
    <w:p w14:paraId="28DA04BF" w14:textId="77777777" w:rsidR="00B54967" w:rsidRPr="00B8078E" w:rsidRDefault="00B54967" w:rsidP="00B54967">
      <w:pPr>
        <w:pStyle w:val="Textonotapie"/>
        <w:ind w:firstLine="709"/>
        <w:contextualSpacing/>
        <w:jc w:val="both"/>
        <w:rPr>
          <w:rFonts w:ascii="Verdana" w:hAnsi="Verdana"/>
          <w:sz w:val="16"/>
          <w:szCs w:val="16"/>
          <w:lang w:val="es-CO"/>
        </w:rPr>
      </w:pPr>
    </w:p>
  </w:footnote>
  <w:footnote w:id="37">
    <w:p w14:paraId="4EF4D6E6" w14:textId="77777777" w:rsidR="00B54967" w:rsidRPr="00B8078E" w:rsidRDefault="00B54967" w:rsidP="00B54967">
      <w:pPr>
        <w:pStyle w:val="Textonotapie"/>
        <w:ind w:firstLine="709"/>
        <w:contextualSpacing/>
        <w:jc w:val="both"/>
        <w:rPr>
          <w:rFonts w:ascii="Verdana" w:hAnsi="Verdana"/>
          <w:sz w:val="16"/>
          <w:szCs w:val="16"/>
          <w:lang w:val="es-CO"/>
        </w:rPr>
      </w:pPr>
      <w:r w:rsidRPr="00B8078E">
        <w:rPr>
          <w:rStyle w:val="Refdenotaalpie"/>
          <w:rFonts w:ascii="Verdana" w:hAnsi="Verdana"/>
          <w:sz w:val="16"/>
          <w:szCs w:val="16"/>
        </w:rPr>
        <w:footnoteRef/>
      </w:r>
      <w:r w:rsidRPr="00B8078E">
        <w:rPr>
          <w:rFonts w:ascii="Verdana" w:hAnsi="Verdana"/>
          <w:sz w:val="16"/>
          <w:szCs w:val="16"/>
        </w:rPr>
        <w:t xml:space="preserve"> La parte resolutiva del auto dispone lo siguiente; “</w:t>
      </w:r>
      <w:r w:rsidRPr="00B8078E">
        <w:rPr>
          <w:rFonts w:ascii="Verdana" w:hAnsi="Verdana"/>
          <w:b/>
          <w:sz w:val="16"/>
          <w:szCs w:val="16"/>
          <w:lang w:val="es-CO"/>
        </w:rPr>
        <w:t xml:space="preserve">PRIMERO: DECRETAR </w:t>
      </w:r>
      <w:r w:rsidRPr="00B8078E">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B8078E">
        <w:rPr>
          <w:rFonts w:ascii="Verdana" w:hAnsi="Verdana"/>
          <w:i/>
          <w:sz w:val="16"/>
          <w:szCs w:val="16"/>
          <w:lang w:val="es-CO"/>
        </w:rPr>
        <w:t>“[e]</w:t>
      </w:r>
      <w:proofErr w:type="spellStart"/>
      <w:r w:rsidRPr="00B8078E">
        <w:rPr>
          <w:rFonts w:ascii="Verdana" w:hAnsi="Verdana"/>
          <w:i/>
          <w:sz w:val="16"/>
          <w:szCs w:val="16"/>
          <w:lang w:val="es-CO"/>
        </w:rPr>
        <w:t>sta</w:t>
      </w:r>
      <w:proofErr w:type="spellEnd"/>
      <w:r w:rsidRPr="00B8078E">
        <w:rPr>
          <w:rFonts w:ascii="Verdana" w:hAnsi="Verdana"/>
          <w:i/>
          <w:sz w:val="16"/>
          <w:szCs w:val="16"/>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B8078E">
        <w:rPr>
          <w:rFonts w:ascii="Verdana" w:hAnsi="Verdana"/>
          <w:sz w:val="16"/>
          <w:szCs w:val="16"/>
          <w:lang w:val="es-CO"/>
        </w:rPr>
        <w:t xml:space="preserve">, por las razones expuestas en precedencia. </w:t>
      </w:r>
    </w:p>
    <w:p w14:paraId="21E50249" w14:textId="77777777" w:rsidR="00B54967" w:rsidRDefault="00B54967" w:rsidP="00B54967">
      <w:pPr>
        <w:pStyle w:val="Textonotapie"/>
        <w:ind w:firstLine="709"/>
        <w:contextualSpacing/>
        <w:jc w:val="both"/>
        <w:rPr>
          <w:rFonts w:ascii="Verdana" w:hAnsi="Verdana"/>
          <w:sz w:val="16"/>
          <w:szCs w:val="16"/>
          <w:lang w:val="es-CO"/>
        </w:rPr>
      </w:pPr>
      <w:r w:rsidRPr="00B8078E">
        <w:rPr>
          <w:rFonts w:ascii="Verdana" w:hAnsi="Verdana"/>
          <w:b/>
          <w:sz w:val="16"/>
          <w:szCs w:val="16"/>
          <w:lang w:val="es-CO"/>
        </w:rPr>
        <w:t xml:space="preserve">SEGUNDO: DECRETAR </w:t>
      </w:r>
      <w:r w:rsidRPr="00B8078E">
        <w:rPr>
          <w:rFonts w:ascii="Verdana" w:hAnsi="Verdana"/>
          <w:sz w:val="16"/>
          <w:szCs w:val="16"/>
          <w:lang w:val="es-CO"/>
        </w:rPr>
        <w:t>la suspensión provisional de la expresión “</w:t>
      </w:r>
      <w:r w:rsidRPr="00B8078E">
        <w:rPr>
          <w:rFonts w:ascii="Verdana" w:hAnsi="Verdana"/>
          <w:i/>
          <w:sz w:val="16"/>
          <w:szCs w:val="16"/>
          <w:lang w:val="es-CO"/>
        </w:rPr>
        <w:t>contratos</w:t>
      </w:r>
      <w:r w:rsidRPr="00B8078E">
        <w:rPr>
          <w:rFonts w:ascii="Verdana" w:hAnsi="Verdana"/>
          <w:sz w:val="16"/>
          <w:szCs w:val="16"/>
          <w:lang w:val="es-CO"/>
        </w:rPr>
        <w:t xml:space="preserve">” y del párrafo </w:t>
      </w:r>
      <w:r w:rsidRPr="00B8078E">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B8078E">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B8078E">
        <w:rPr>
          <w:rFonts w:ascii="Verdana" w:hAnsi="Verdana"/>
          <w:sz w:val="16"/>
          <w:szCs w:val="16"/>
          <w:lang w:val="es-CO"/>
        </w:rPr>
        <w:t>Exp</w:t>
      </w:r>
      <w:proofErr w:type="spellEnd"/>
      <w:r w:rsidRPr="00B8078E">
        <w:rPr>
          <w:rFonts w:ascii="Verdana" w:hAnsi="Verdana"/>
          <w:sz w:val="16"/>
          <w:szCs w:val="16"/>
          <w:lang w:val="es-CO"/>
        </w:rPr>
        <w:t>. 72.424. C.P: Fernando Alexei Pardo Flórez.</w:t>
      </w:r>
      <w:r w:rsidRPr="009D0D83">
        <w:rPr>
          <w:rFonts w:ascii="Verdana" w:hAnsi="Verdana"/>
          <w:sz w:val="16"/>
          <w:szCs w:val="16"/>
          <w:lang w:val="es-CO"/>
        </w:rPr>
        <w:t xml:space="preserve"> </w:t>
      </w:r>
    </w:p>
    <w:p w14:paraId="69955DFE" w14:textId="77777777" w:rsidR="00B54967" w:rsidRPr="009D0D83" w:rsidRDefault="00B54967" w:rsidP="00B54967">
      <w:pPr>
        <w:pStyle w:val="Textonotapie"/>
        <w:ind w:firstLine="709"/>
        <w:contextualSpacing/>
        <w:jc w:val="both"/>
        <w:rPr>
          <w:rFonts w:ascii="Verdana" w:hAnsi="Verdana"/>
          <w:sz w:val="16"/>
          <w:szCs w:val="16"/>
          <w:lang w:val="es-CO"/>
        </w:rPr>
      </w:pPr>
    </w:p>
  </w:footnote>
  <w:footnote w:id="38">
    <w:p w14:paraId="2243D150" w14:textId="77777777" w:rsidR="00B54967" w:rsidRDefault="00B54967" w:rsidP="00B54967">
      <w:pPr>
        <w:spacing w:after="0" w:line="240" w:lineRule="auto"/>
        <w:ind w:firstLine="709"/>
        <w:contextualSpacing/>
        <w:jc w:val="both"/>
        <w:rPr>
          <w:rFonts w:ascii="Verdana" w:eastAsia="Times New Roman" w:hAnsi="Verdana" w:cs="Times New Roman"/>
          <w:sz w:val="16"/>
          <w:szCs w:val="16"/>
          <w:lang w:eastAsia="es-ES"/>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eastAsia="Times New Roman" w:hAnsi="Verdana" w:cs="Times New Roman"/>
          <w:sz w:val="16"/>
          <w:szCs w:val="16"/>
          <w:lang w:eastAsia="es-ES"/>
        </w:rPr>
        <w:t xml:space="preserve">Consejo de Estado. Sala de lo Contencioso Administrativo. Sección Tercera. Subsección B. 17 de octubre de 2025. C.P. Fredy Ibarra Martínez. </w:t>
      </w:r>
      <w:r w:rsidRPr="00B8078E">
        <w:rPr>
          <w:rFonts w:ascii="Verdana" w:hAnsi="Verdana"/>
          <w:sz w:val="16"/>
          <w:szCs w:val="16"/>
        </w:rPr>
        <w:t xml:space="preserve">La parte de la providencia señala: </w:t>
      </w:r>
      <w:r w:rsidRPr="00B8078E">
        <w:rPr>
          <w:rFonts w:ascii="Verdana" w:eastAsia="Times New Roman" w:hAnsi="Verdana" w:cs="Times New Roman"/>
          <w:sz w:val="16"/>
          <w:szCs w:val="16"/>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roofErr w:type="spellStart"/>
      <w:r w:rsidRPr="00B8078E">
        <w:rPr>
          <w:rFonts w:ascii="Verdana" w:eastAsia="Times New Roman" w:hAnsi="Verdana" w:cs="Times New Roman"/>
          <w:sz w:val="16"/>
          <w:szCs w:val="16"/>
          <w:lang w:eastAsia="es-ES"/>
        </w:rPr>
        <w:t>ii</w:t>
      </w:r>
      <w:proofErr w:type="spellEnd"/>
      <w:r w:rsidRPr="00B8078E">
        <w:rPr>
          <w:rFonts w:ascii="Verdana" w:eastAsia="Times New Roman" w:hAnsi="Verdana" w:cs="Times New Roman"/>
          <w:sz w:val="16"/>
          <w:szCs w:val="16"/>
          <w:lang w:eastAsia="es-ES"/>
        </w:rPr>
        <w:t>)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1EC19D17" w14:textId="77777777" w:rsidR="00B54967" w:rsidRPr="00852048" w:rsidRDefault="00B54967" w:rsidP="00B54967">
      <w:pPr>
        <w:spacing w:after="0" w:line="240" w:lineRule="auto"/>
        <w:ind w:firstLine="709"/>
        <w:contextualSpacing/>
        <w:jc w:val="both"/>
        <w:rPr>
          <w:rFonts w:ascii="Verdana" w:eastAsia="Times New Roman" w:hAnsi="Verdana" w:cs="Times New Roman"/>
          <w:sz w:val="16"/>
          <w:szCs w:val="16"/>
          <w:lang w:eastAsia="es-ES"/>
        </w:rPr>
      </w:pPr>
    </w:p>
  </w:footnote>
  <w:footnote w:id="39">
    <w:p w14:paraId="04B44996" w14:textId="77777777" w:rsidR="00B54967" w:rsidRDefault="00B54967" w:rsidP="00B54967">
      <w:pPr>
        <w:pStyle w:val="Textonotapie"/>
        <w:ind w:firstLine="709"/>
        <w:jc w:val="both"/>
        <w:rPr>
          <w:rFonts w:ascii="Verdana" w:hAnsi="Verdana"/>
          <w:sz w:val="16"/>
          <w:szCs w:val="16"/>
        </w:rPr>
      </w:pPr>
      <w:r w:rsidRPr="00B8078E">
        <w:rPr>
          <w:rStyle w:val="Refdenotaalpie"/>
          <w:rFonts w:ascii="Verdana" w:hAnsi="Verdana"/>
          <w:sz w:val="16"/>
          <w:szCs w:val="16"/>
        </w:rPr>
        <w:footnoteRef/>
      </w:r>
      <w:r w:rsidRPr="00B8078E">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p w14:paraId="1377A4E2" w14:textId="77777777" w:rsidR="00B54967" w:rsidRPr="00B8078E" w:rsidRDefault="00B54967" w:rsidP="00B54967">
      <w:pPr>
        <w:pStyle w:val="Textonotapie"/>
        <w:ind w:firstLine="709"/>
        <w:jc w:val="both"/>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1FD1C243" w14:textId="2DA09289"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C719DF"/>
    <w:multiLevelType w:val="multilevel"/>
    <w:tmpl w:val="7F3224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3F7C01B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30C755D"/>
    <w:multiLevelType w:val="hybridMultilevel"/>
    <w:tmpl w:val="12B0297C"/>
    <w:lvl w:ilvl="0" w:tplc="E68C2B30">
      <w:start w:val="1"/>
      <w:numFmt w:val="lowerLetter"/>
      <w:lvlText w:val="%1."/>
      <w:lvlJc w:val="left"/>
      <w:pPr>
        <w:ind w:left="720" w:hanging="360"/>
      </w:pPr>
      <w:rPr>
        <w:rFonts w:ascii="Verdana" w:eastAsiaTheme="minorEastAsia" w:hAnsi="Verdana" w:cs="Arial"/>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0"/>
  </w:num>
  <w:num w:numId="13" w16cid:durableId="1512908409">
    <w:abstractNumId w:val="4"/>
  </w:num>
  <w:num w:numId="14" w16cid:durableId="895897244">
    <w:abstractNumId w:val="14"/>
  </w:num>
  <w:num w:numId="15" w16cid:durableId="390349800">
    <w:abstractNumId w:val="10"/>
  </w:num>
  <w:num w:numId="16" w16cid:durableId="735128110">
    <w:abstractNumId w:val="3"/>
  </w:num>
  <w:num w:numId="17" w16cid:durableId="341902732">
    <w:abstractNumId w:val="15"/>
  </w:num>
  <w:num w:numId="18" w16cid:durableId="18119007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FA4"/>
    <w:rsid w:val="00016F78"/>
    <w:rsid w:val="00046945"/>
    <w:rsid w:val="00061B2A"/>
    <w:rsid w:val="00082362"/>
    <w:rsid w:val="000A683E"/>
    <w:rsid w:val="000B19B9"/>
    <w:rsid w:val="000D0334"/>
    <w:rsid w:val="000D5DA7"/>
    <w:rsid w:val="000F6486"/>
    <w:rsid w:val="00116940"/>
    <w:rsid w:val="00122BA2"/>
    <w:rsid w:val="00125105"/>
    <w:rsid w:val="00127233"/>
    <w:rsid w:val="0015699B"/>
    <w:rsid w:val="001A33BF"/>
    <w:rsid w:val="001E4177"/>
    <w:rsid w:val="001F0B24"/>
    <w:rsid w:val="001F7DC6"/>
    <w:rsid w:val="0022400B"/>
    <w:rsid w:val="002421BB"/>
    <w:rsid w:val="0025796E"/>
    <w:rsid w:val="00261A6B"/>
    <w:rsid w:val="002707A2"/>
    <w:rsid w:val="002951A0"/>
    <w:rsid w:val="002962BC"/>
    <w:rsid w:val="002A093D"/>
    <w:rsid w:val="002A0DD0"/>
    <w:rsid w:val="002A49AC"/>
    <w:rsid w:val="002A64FD"/>
    <w:rsid w:val="002C7A84"/>
    <w:rsid w:val="002E2BF8"/>
    <w:rsid w:val="002E3F19"/>
    <w:rsid w:val="002E4FD9"/>
    <w:rsid w:val="0030657A"/>
    <w:rsid w:val="00315229"/>
    <w:rsid w:val="00322A85"/>
    <w:rsid w:val="00324168"/>
    <w:rsid w:val="00330834"/>
    <w:rsid w:val="003448F4"/>
    <w:rsid w:val="00350B9B"/>
    <w:rsid w:val="00374F5E"/>
    <w:rsid w:val="00377E0C"/>
    <w:rsid w:val="00377E3E"/>
    <w:rsid w:val="003A0482"/>
    <w:rsid w:val="003A17D7"/>
    <w:rsid w:val="003A779E"/>
    <w:rsid w:val="003D0F4D"/>
    <w:rsid w:val="003D5B0D"/>
    <w:rsid w:val="003E0499"/>
    <w:rsid w:val="003E4F80"/>
    <w:rsid w:val="003E6439"/>
    <w:rsid w:val="003F3941"/>
    <w:rsid w:val="00406575"/>
    <w:rsid w:val="00414C74"/>
    <w:rsid w:val="0042722E"/>
    <w:rsid w:val="0044248D"/>
    <w:rsid w:val="0044528D"/>
    <w:rsid w:val="00466E39"/>
    <w:rsid w:val="004A1847"/>
    <w:rsid w:val="004A305D"/>
    <w:rsid w:val="004F21C4"/>
    <w:rsid w:val="004F685F"/>
    <w:rsid w:val="005566E8"/>
    <w:rsid w:val="00574867"/>
    <w:rsid w:val="00591460"/>
    <w:rsid w:val="005A65E0"/>
    <w:rsid w:val="005C3777"/>
    <w:rsid w:val="005C5CDC"/>
    <w:rsid w:val="005D476C"/>
    <w:rsid w:val="005E524E"/>
    <w:rsid w:val="006200BF"/>
    <w:rsid w:val="006219F8"/>
    <w:rsid w:val="006302F7"/>
    <w:rsid w:val="00646B9F"/>
    <w:rsid w:val="00665D70"/>
    <w:rsid w:val="006900D9"/>
    <w:rsid w:val="006A7195"/>
    <w:rsid w:val="00706C16"/>
    <w:rsid w:val="00733E8A"/>
    <w:rsid w:val="007340C3"/>
    <w:rsid w:val="0075235A"/>
    <w:rsid w:val="00756841"/>
    <w:rsid w:val="007649AB"/>
    <w:rsid w:val="00771D0C"/>
    <w:rsid w:val="007833AC"/>
    <w:rsid w:val="007B268C"/>
    <w:rsid w:val="007B582C"/>
    <w:rsid w:val="007B7171"/>
    <w:rsid w:val="007C0C0F"/>
    <w:rsid w:val="007C3DC2"/>
    <w:rsid w:val="007D5B4A"/>
    <w:rsid w:val="007E5497"/>
    <w:rsid w:val="00806F5F"/>
    <w:rsid w:val="00820278"/>
    <w:rsid w:val="00822CEF"/>
    <w:rsid w:val="008258C9"/>
    <w:rsid w:val="00844AE9"/>
    <w:rsid w:val="00867F95"/>
    <w:rsid w:val="008843B6"/>
    <w:rsid w:val="00884AD4"/>
    <w:rsid w:val="00891928"/>
    <w:rsid w:val="008A446D"/>
    <w:rsid w:val="008B25F1"/>
    <w:rsid w:val="008D180B"/>
    <w:rsid w:val="008F0EA7"/>
    <w:rsid w:val="00923EEF"/>
    <w:rsid w:val="009419F9"/>
    <w:rsid w:val="0095685E"/>
    <w:rsid w:val="00961B09"/>
    <w:rsid w:val="00965334"/>
    <w:rsid w:val="0097093E"/>
    <w:rsid w:val="009A0DFA"/>
    <w:rsid w:val="009A1C6F"/>
    <w:rsid w:val="009A668D"/>
    <w:rsid w:val="009B2D26"/>
    <w:rsid w:val="009C71FA"/>
    <w:rsid w:val="009C72E7"/>
    <w:rsid w:val="009C7F7E"/>
    <w:rsid w:val="009D3058"/>
    <w:rsid w:val="009D4DA0"/>
    <w:rsid w:val="009F3A13"/>
    <w:rsid w:val="00A122D3"/>
    <w:rsid w:val="00A14468"/>
    <w:rsid w:val="00A17F13"/>
    <w:rsid w:val="00A20739"/>
    <w:rsid w:val="00A23AF9"/>
    <w:rsid w:val="00A33C78"/>
    <w:rsid w:val="00A917A5"/>
    <w:rsid w:val="00AB0ADB"/>
    <w:rsid w:val="00B00C0E"/>
    <w:rsid w:val="00B01B1A"/>
    <w:rsid w:val="00B0381D"/>
    <w:rsid w:val="00B44A47"/>
    <w:rsid w:val="00B54967"/>
    <w:rsid w:val="00B72CD3"/>
    <w:rsid w:val="00B72FFF"/>
    <w:rsid w:val="00BC3D36"/>
    <w:rsid w:val="00BD54A6"/>
    <w:rsid w:val="00BD7F72"/>
    <w:rsid w:val="00BF7425"/>
    <w:rsid w:val="00C04FB3"/>
    <w:rsid w:val="00C11D8B"/>
    <w:rsid w:val="00C15139"/>
    <w:rsid w:val="00C330EB"/>
    <w:rsid w:val="00C40579"/>
    <w:rsid w:val="00C50D69"/>
    <w:rsid w:val="00C5365C"/>
    <w:rsid w:val="00C754BE"/>
    <w:rsid w:val="00C76B1C"/>
    <w:rsid w:val="00C925AC"/>
    <w:rsid w:val="00CB6357"/>
    <w:rsid w:val="00CC1B26"/>
    <w:rsid w:val="00D12D83"/>
    <w:rsid w:val="00D361FD"/>
    <w:rsid w:val="00D423A2"/>
    <w:rsid w:val="00D44E26"/>
    <w:rsid w:val="00D46554"/>
    <w:rsid w:val="00D520D8"/>
    <w:rsid w:val="00D63AC2"/>
    <w:rsid w:val="00D7383B"/>
    <w:rsid w:val="00D7788A"/>
    <w:rsid w:val="00DA231B"/>
    <w:rsid w:val="00DC39FC"/>
    <w:rsid w:val="00DD5751"/>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1E4F"/>
    <w:rsid w:val="00F23FEA"/>
    <w:rsid w:val="00F27656"/>
    <w:rsid w:val="00F31EDC"/>
    <w:rsid w:val="00F462B3"/>
    <w:rsid w:val="00F5664F"/>
    <w:rsid w:val="00F56C58"/>
    <w:rsid w:val="00F666C4"/>
    <w:rsid w:val="00F76AFC"/>
    <w:rsid w:val="00FA47C0"/>
    <w:rsid w:val="00FB5DD1"/>
    <w:rsid w:val="00FC2B5D"/>
    <w:rsid w:val="00FE144F"/>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057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54967"/>
    <w:pPr>
      <w:spacing w:line="240" w:lineRule="exact"/>
    </w:pPr>
    <w:rPr>
      <w:vertAlign w:val="superscript"/>
    </w:rPr>
  </w:style>
  <w:style w:type="character" w:customStyle="1" w:styleId="NormalWebCar">
    <w:name w:val="Normal (Web) Car"/>
    <w:link w:val="NormalWeb"/>
    <w:uiPriority w:val="99"/>
    <w:locked/>
    <w:rsid w:val="00B54967"/>
    <w:rPr>
      <w:rFonts w:ascii="Times New Roman" w:eastAsia="Times New Roman" w:hAnsi="Times New Roman" w:cs="Times New Roman"/>
      <w:sz w:val="24"/>
      <w:szCs w:val="24"/>
      <w:lang w:eastAsia="es-CO"/>
    </w:rPr>
  </w:style>
  <w:style w:type="character" w:customStyle="1" w:styleId="baj">
    <w:name w:val="b_aj"/>
    <w:basedOn w:val="Fuentedeprrafopredeter"/>
    <w:rsid w:val="00B549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lombiacompra.gov.co/wp-content/uploads/2025/09/006-de-2025-Circular-Externa-L996-ajustado-comentarios-BM-BID-Rev-ARSC-V3.d-1.pdf"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06F21D8E-2E3A-4450-92CF-8EBEDBA2FE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17</TotalTime>
  <Pages>33</Pages>
  <Words>10821</Words>
  <Characters>59521</Characters>
  <Application>Microsoft Office Word</Application>
  <DocSecurity>0</DocSecurity>
  <Lines>496</Lines>
  <Paragraphs>140</Paragraphs>
  <ScaleCrop>false</ScaleCrop>
  <Company/>
  <LinksUpToDate>false</LinksUpToDate>
  <CharactersWithSpaces>70202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15</cp:revision>
  <cp:lastPrinted>2023-01-10T21:18:00Z</cp:lastPrinted>
  <dcterms:created xsi:type="dcterms:W3CDTF">2026-05-20T19:04:00Z</dcterms:created>
  <dcterms:modified xsi:type="dcterms:W3CDTF">2026-06-04T14:01:00Z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