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4A3E0" w14:textId="77777777" w:rsidR="006D11AC" w:rsidRDefault="006D11AC" w:rsidP="00EC7CD8">
      <w:pPr>
        <w:spacing w:after="0"/>
        <w:rPr>
          <w:rFonts w:ascii="Verdana" w:eastAsia="Calibri" w:hAnsi="Verdana" w:cs="Arial"/>
          <w:b/>
          <w:bCs/>
          <w:lang w:val="es-ES" w:eastAsia="es-ES"/>
        </w:rPr>
      </w:pPr>
      <w:bookmarkStart w:id="0" w:name="_Hlk143780582"/>
    </w:p>
    <w:p w14:paraId="6985E5DC" w14:textId="3530D553" w:rsidR="00EC7CD8" w:rsidRPr="00B81E15" w:rsidRDefault="00EC7CD8" w:rsidP="00EC7CD8">
      <w:pPr>
        <w:spacing w:after="0"/>
        <w:rPr>
          <w:rFonts w:ascii="Verdana" w:eastAsia="Verdana" w:hAnsi="Verdana" w:cs="Verdana"/>
          <w:b/>
          <w:bCs/>
        </w:rPr>
      </w:pPr>
      <w:r w:rsidRPr="006076BE">
        <w:rPr>
          <w:rFonts w:ascii="Verdana" w:eastAsia="Calibri" w:hAnsi="Verdana" w:cs="Arial"/>
          <w:b/>
          <w:bCs/>
          <w:lang w:val="es-ES" w:eastAsia="es-ES"/>
        </w:rPr>
        <w:t>CONTRATO DE PRESTACIÓN DE SERVICIOS –</w:t>
      </w:r>
      <w:r>
        <w:rPr>
          <w:rFonts w:ascii="Verdana" w:eastAsia="Calibri" w:hAnsi="Verdana" w:cs="Arial"/>
          <w:b/>
          <w:bCs/>
          <w:lang w:val="es-ES" w:eastAsia="es-ES"/>
        </w:rPr>
        <w:t xml:space="preserve"> </w:t>
      </w:r>
      <w:r w:rsidRPr="00EC7CD8">
        <w:rPr>
          <w:rFonts w:ascii="Verdana" w:eastAsia="Calibri" w:hAnsi="Verdana" w:cs="Arial"/>
          <w:b/>
          <w:bCs/>
          <w:lang w:val="es-ES" w:eastAsia="es-ES"/>
        </w:rPr>
        <w:t>Concepto – Características</w:t>
      </w:r>
    </w:p>
    <w:p w14:paraId="50D02514" w14:textId="77777777" w:rsidR="00EC7CD8" w:rsidRDefault="00EC7CD8" w:rsidP="00EC7CD8">
      <w:pPr>
        <w:spacing w:after="0"/>
        <w:rPr>
          <w:rFonts w:ascii="Verdana" w:eastAsia="Verdana" w:hAnsi="Verdana" w:cs="Verdana"/>
        </w:rPr>
      </w:pPr>
    </w:p>
    <w:p w14:paraId="5C2B4947" w14:textId="77777777" w:rsidR="00EC7CD8" w:rsidRPr="001E3741" w:rsidRDefault="00EC7CD8" w:rsidP="00EC7CD8">
      <w:pPr>
        <w:spacing w:after="120" w:line="276" w:lineRule="auto"/>
        <w:jc w:val="both"/>
        <w:rPr>
          <w:rFonts w:ascii="Verdana" w:eastAsia="Aptos" w:hAnsi="Verdana" w:cs="Arial"/>
          <w:color w:val="000000"/>
          <w:sz w:val="20"/>
          <w:szCs w:val="20"/>
          <w:lang w:val="es-MX"/>
        </w:rPr>
      </w:pPr>
      <w:r w:rsidRPr="001E3741">
        <w:rPr>
          <w:rFonts w:ascii="Verdana" w:eastAsia="Aptos" w:hAnsi="Verdana" w:cs="Arial"/>
          <w:color w:val="000000"/>
          <w:sz w:val="20"/>
          <w:szCs w:val="20"/>
          <w:lang w:val="es-ES_tradnl"/>
        </w:rPr>
        <w:t xml:space="preserve">El contrato de prestación de servicios </w:t>
      </w:r>
      <w:r w:rsidRPr="001E3741">
        <w:rPr>
          <w:rFonts w:ascii="Verdana" w:eastAsia="Aptos" w:hAnsi="Verdana" w:cs="Arial"/>
          <w:i/>
          <w:iCs/>
          <w:color w:val="000000"/>
          <w:sz w:val="20"/>
          <w:szCs w:val="20"/>
          <w:lang w:val="es-ES_tradnl"/>
        </w:rPr>
        <w:t>profesionales</w:t>
      </w:r>
      <w:r w:rsidRPr="001E3741">
        <w:rPr>
          <w:rFonts w:ascii="Verdana" w:eastAsia="Aptos" w:hAnsi="Verdana" w:cs="Arial"/>
          <w:color w:val="000000"/>
          <w:sz w:val="20"/>
          <w:szCs w:val="20"/>
          <w:lang w:val="es-ES_tradnl"/>
        </w:rPr>
        <w:t xml:space="preserve"> se caracteriza porque su objeto guarda relación con el desarrollo de actividades que demandan competencias y habilidades profesionales o especializadas de la persona natural o jurídica a contratar, de manera que se trata de un </w:t>
      </w:r>
      <w:r w:rsidRPr="001E3741">
        <w:rPr>
          <w:rFonts w:ascii="Verdana" w:eastAsia="Aptos" w:hAnsi="Verdana" w:cs="Arial"/>
          <w:i/>
          <w:iCs/>
          <w:color w:val="000000"/>
          <w:sz w:val="20"/>
          <w:szCs w:val="20"/>
          <w:lang w:val="es-ES_tradnl"/>
        </w:rPr>
        <w:t>saber intelectivo cualificado.</w:t>
      </w:r>
      <w:r w:rsidRPr="001E3741">
        <w:rPr>
          <w:rFonts w:ascii="Verdana" w:eastAsia="Aptos" w:hAnsi="Verdana" w:cs="Arial"/>
          <w:color w:val="000000"/>
          <w:sz w:val="20"/>
          <w:szCs w:val="20"/>
          <w:lang w:val="es-ES_tradnl"/>
        </w:rPr>
        <w:t xml:space="preserve"> En cambio, los contratos de prestación de servicios de </w:t>
      </w:r>
      <w:r w:rsidRPr="001E3741">
        <w:rPr>
          <w:rFonts w:ascii="Verdana" w:eastAsia="Aptos" w:hAnsi="Verdana" w:cs="Arial"/>
          <w:i/>
          <w:iCs/>
          <w:color w:val="000000"/>
          <w:sz w:val="20"/>
          <w:szCs w:val="20"/>
          <w:lang w:val="es-ES_tradnl"/>
        </w:rPr>
        <w:t>apoyo a la gestión</w:t>
      </w:r>
      <w:r w:rsidRPr="001E3741">
        <w:rPr>
          <w:rFonts w:ascii="Verdana" w:eastAsia="Aptos" w:hAnsi="Verdana" w:cs="Arial"/>
          <w:color w:val="000000"/>
          <w:sz w:val="20"/>
          <w:szCs w:val="20"/>
          <w:lang w:val="es-ES_tradnl"/>
        </w:rPr>
        <w:t xml:space="preserve"> y de </w:t>
      </w:r>
      <w:r w:rsidRPr="001E3741">
        <w:rPr>
          <w:rFonts w:ascii="Verdana" w:eastAsia="Aptos" w:hAnsi="Verdana" w:cs="Arial"/>
          <w:i/>
          <w:iCs/>
          <w:color w:val="000000"/>
          <w:sz w:val="20"/>
          <w:szCs w:val="20"/>
          <w:lang w:val="es-ES_tradnl"/>
        </w:rPr>
        <w:t>servicios artísticos</w:t>
      </w:r>
      <w:r w:rsidRPr="001E3741">
        <w:rPr>
          <w:rFonts w:ascii="Verdana" w:eastAsia="Aptos" w:hAnsi="Verdana" w:cs="Arial"/>
          <w:color w:val="000000"/>
          <w:sz w:val="20"/>
          <w:szCs w:val="20"/>
          <w:lang w:val="es-ES_tradnl"/>
        </w:rPr>
        <w:t xml:space="preserve"> no involucran ese conocimiento profesional </w:t>
      </w:r>
      <w:r w:rsidRPr="001E3741">
        <w:rPr>
          <w:rFonts w:ascii="Verdana" w:eastAsia="Aptos" w:hAnsi="Verdana" w:cs="Arial"/>
          <w:color w:val="000000"/>
          <w:sz w:val="20"/>
          <w:szCs w:val="20"/>
          <w:lang w:val="es-MX"/>
        </w:rPr>
        <w:t xml:space="preserve">o especializados para su ejecución. En los contratos de apoyo a la gestión </w:t>
      </w:r>
      <w:r w:rsidRPr="001E3741">
        <w:rPr>
          <w:rFonts w:ascii="Verdana" w:eastAsia="Aptos" w:hAnsi="Verdana" w:cs="Arial"/>
          <w:color w:val="000000"/>
          <w:sz w:val="20"/>
          <w:szCs w:val="20"/>
          <w:lang w:val="es-ES_tradnl"/>
        </w:rPr>
        <w:t xml:space="preserve">el contratista desempeña un esfuerzo o actividad de apoyo, acompañamiento, o soporte, </w:t>
      </w:r>
      <w:r w:rsidRPr="001E3741">
        <w:rPr>
          <w:rFonts w:ascii="Verdana" w:eastAsia="Aptos" w:hAnsi="Verdana" w:cs="Arial"/>
          <w:color w:val="000000"/>
          <w:sz w:val="20"/>
          <w:szCs w:val="20"/>
          <w:lang w:val="es-MX"/>
        </w:rPr>
        <w:t xml:space="preserve">donde </w:t>
      </w:r>
      <w:r w:rsidRPr="001E3741">
        <w:rPr>
          <w:rFonts w:ascii="Verdana" w:eastAsia="Aptos" w:hAnsi="Verdana" w:cs="Arial"/>
          <w:color w:val="000000"/>
          <w:sz w:val="20"/>
          <w:szCs w:val="20"/>
          <w:lang w:val="es-ES_tradnl"/>
        </w:rPr>
        <w:t xml:space="preserve">“lo predominante es el actuar como ejecutor, con el propósito y finalidad de satisfacer necesidades de las entidades estatales en lo relacionado con la gestión administrativa o funcionamiento de </w:t>
      </w:r>
      <w:proofErr w:type="gramStart"/>
      <w:r w:rsidRPr="001E3741">
        <w:rPr>
          <w:rFonts w:ascii="Verdana" w:eastAsia="Aptos" w:hAnsi="Verdana" w:cs="Arial"/>
          <w:color w:val="000000"/>
          <w:sz w:val="20"/>
          <w:szCs w:val="20"/>
          <w:lang w:val="es-ES_tradnl"/>
        </w:rPr>
        <w:t>la misma</w:t>
      </w:r>
      <w:proofErr w:type="gramEnd"/>
      <w:r w:rsidRPr="001E3741">
        <w:rPr>
          <w:rFonts w:ascii="Verdana" w:eastAsia="Aptos" w:hAnsi="Verdana" w:cs="Arial"/>
          <w:color w:val="000000"/>
          <w:sz w:val="20"/>
          <w:szCs w:val="20"/>
          <w:lang w:val="es-ES_tradnl"/>
        </w:rPr>
        <w:t>, por personas no profesionales y que no implican el ejercicio de funciones públicas administrativas”. Igualmente, en el contrato de prestación de servicios artísticos lo prevalente es que la persona que lo ejecute se trate de un artista, es decir, “una persona reconocida como realizador o productor de arte, de obras de arte, ejecutor de trabajos artísticos”, para lo cual es indiferente el carácter de profesional.</w:t>
      </w:r>
    </w:p>
    <w:p w14:paraId="25F5E8F1" w14:textId="77777777" w:rsidR="00B80714" w:rsidRPr="007611DD" w:rsidRDefault="00B80714" w:rsidP="00097808">
      <w:pPr>
        <w:tabs>
          <w:tab w:val="left" w:pos="0"/>
        </w:tabs>
        <w:spacing w:after="120" w:line="276" w:lineRule="auto"/>
        <w:jc w:val="both"/>
        <w:rPr>
          <w:rFonts w:ascii="Verdana" w:eastAsia="Aptos" w:hAnsi="Verdana" w:cs="Arial"/>
          <w:b/>
          <w:bCs/>
          <w:color w:val="000000"/>
          <w:sz w:val="20"/>
          <w:szCs w:val="20"/>
          <w:lang w:val="es-MX"/>
        </w:rPr>
      </w:pPr>
    </w:p>
    <w:p w14:paraId="75576A0B" w14:textId="77777777" w:rsidR="007611DD" w:rsidRPr="007611DD" w:rsidRDefault="007611DD" w:rsidP="005A5FB2">
      <w:pPr>
        <w:tabs>
          <w:tab w:val="left" w:pos="0"/>
        </w:tabs>
        <w:spacing w:after="120" w:line="276" w:lineRule="auto"/>
        <w:jc w:val="both"/>
        <w:rPr>
          <w:rFonts w:ascii="Verdana" w:eastAsia="Calibri" w:hAnsi="Verdana" w:cs="Arial"/>
          <w:b/>
          <w:bCs/>
          <w:lang w:val="es-ES" w:eastAsia="es-ES"/>
        </w:rPr>
      </w:pPr>
      <w:r w:rsidRPr="007611DD">
        <w:rPr>
          <w:rFonts w:ascii="Verdana" w:eastAsia="Calibri" w:hAnsi="Verdana" w:cs="Arial"/>
          <w:b/>
          <w:bCs/>
          <w:lang w:val="es-ES" w:eastAsia="es-ES"/>
        </w:rPr>
        <w:t xml:space="preserve">CONTRATO DE PRESTACIÓN DE SERVICIOS – Modalidad de selección – Contratación Directa – Interpretación restrictiva  </w:t>
      </w:r>
    </w:p>
    <w:p w14:paraId="2098CDC8" w14:textId="6C64E2A3" w:rsidR="00097808" w:rsidRPr="005A5FB2" w:rsidRDefault="00097808" w:rsidP="005A5FB2">
      <w:pPr>
        <w:tabs>
          <w:tab w:val="left" w:pos="0"/>
        </w:tabs>
        <w:spacing w:after="120" w:line="276" w:lineRule="auto"/>
        <w:jc w:val="both"/>
        <w:rPr>
          <w:rFonts w:ascii="Verdana" w:eastAsia="Calibri" w:hAnsi="Verdana" w:cs="Arial"/>
          <w:color w:val="000000"/>
          <w:sz w:val="20"/>
          <w:szCs w:val="20"/>
          <w:lang w:val="es-ES_tradnl"/>
        </w:rPr>
      </w:pPr>
      <w:r w:rsidRPr="00E222BE">
        <w:rPr>
          <w:rFonts w:ascii="Verdana" w:eastAsia="Aptos" w:hAnsi="Verdana" w:cs="Arial"/>
          <w:color w:val="000000"/>
          <w:sz w:val="20"/>
          <w:szCs w:val="20"/>
          <w:lang w:val="es-MX"/>
        </w:rPr>
        <w:t>El contrato de prestación de servicios es un contrato estatal típico, regulado en el numeral 3 del artículo 32 de la Ley 80 de 1993. Es definido como aquel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En ningún caso estos contratos generan relación laboral ni prestaciones sociales y se celebrarán por el término estrictamente indispensable”.</w:t>
      </w:r>
      <w:r w:rsidRPr="00E222BE">
        <w:rPr>
          <w:rFonts w:ascii="Verdana" w:eastAsia="Calibri" w:hAnsi="Verdana" w:cs="Arial"/>
          <w:color w:val="000000"/>
          <w:sz w:val="20"/>
          <w:szCs w:val="20"/>
          <w:lang w:val="es-ES_tradnl"/>
        </w:rPr>
        <w:t xml:space="preserve"> </w:t>
      </w:r>
    </w:p>
    <w:p w14:paraId="6065B962" w14:textId="77777777" w:rsidR="006076BE" w:rsidRPr="00E222BE" w:rsidRDefault="006076BE" w:rsidP="006076BE">
      <w:pPr>
        <w:tabs>
          <w:tab w:val="left" w:pos="0"/>
        </w:tabs>
        <w:spacing w:after="0" w:line="276" w:lineRule="auto"/>
        <w:jc w:val="both"/>
        <w:rPr>
          <w:rFonts w:ascii="Verdana" w:eastAsia="Calibri" w:hAnsi="Verdana" w:cs="Arial"/>
          <w:color w:val="000000"/>
          <w:sz w:val="20"/>
          <w:szCs w:val="20"/>
          <w:lang w:val="es-ES_tradnl"/>
        </w:rPr>
      </w:pPr>
      <w:r w:rsidRPr="00E222BE">
        <w:rPr>
          <w:rFonts w:ascii="Verdana" w:eastAsia="Calibri" w:hAnsi="Verdana" w:cs="Arial"/>
          <w:color w:val="000000"/>
          <w:sz w:val="20"/>
          <w:szCs w:val="20"/>
          <w:lang w:val="es-ES_tradnl"/>
        </w:rPr>
        <w:t>Ahora bien, respecto de la modalidad de selección del contratista debe señalarse que, de acuerdo el literal h), numeral 4º, del artículo 2 de la Ley 1150 de 2007 señala que el contrato de prestación de servicios y profesionales, de apoyo a la gestión y de ejecución de trabajos artísticos debe efectuarse a través de la modalidad de contratación directa. Así, el artículo antes citado expresamente dispone:</w:t>
      </w:r>
    </w:p>
    <w:p w14:paraId="3985BFDD" w14:textId="77777777" w:rsidR="006076BE" w:rsidRPr="00E222BE" w:rsidRDefault="006076BE" w:rsidP="006076BE">
      <w:pPr>
        <w:spacing w:after="0" w:line="276" w:lineRule="auto"/>
        <w:ind w:right="709"/>
        <w:jc w:val="both"/>
        <w:rPr>
          <w:rFonts w:ascii="Verdana" w:eastAsia="Calibri" w:hAnsi="Verdana" w:cs="Arial"/>
          <w:color w:val="000000"/>
          <w:sz w:val="20"/>
          <w:szCs w:val="20"/>
          <w:lang w:val="es-ES_tradnl"/>
        </w:rPr>
      </w:pPr>
    </w:p>
    <w:p w14:paraId="5B1E6444" w14:textId="77777777" w:rsidR="006076BE" w:rsidRPr="00E222BE" w:rsidRDefault="006076BE" w:rsidP="006076BE">
      <w:pPr>
        <w:spacing w:after="0" w:line="240" w:lineRule="auto"/>
        <w:ind w:left="709" w:right="709"/>
        <w:contextualSpacing/>
        <w:jc w:val="both"/>
        <w:rPr>
          <w:rFonts w:ascii="Verdana" w:eastAsia="Calibri" w:hAnsi="Verdana" w:cs="Arial"/>
          <w:color w:val="000000"/>
          <w:sz w:val="20"/>
          <w:szCs w:val="20"/>
          <w:lang w:val="es-MX"/>
        </w:rPr>
      </w:pPr>
      <w:r w:rsidRPr="00E222BE">
        <w:rPr>
          <w:rFonts w:ascii="Verdana" w:eastAsia="Calibri" w:hAnsi="Verdana" w:cs="Arial"/>
          <w:color w:val="000000"/>
          <w:sz w:val="20"/>
          <w:szCs w:val="20"/>
          <w:lang w:val="es-MX"/>
        </w:rPr>
        <w:t>“La escogencia del contratista se efectuará con arreglo a las modalidades de selección de licitación pública, selección abreviada, concurso de méritos y contratación directa, con base en las siguientes reglas:</w:t>
      </w:r>
    </w:p>
    <w:p w14:paraId="37F95C85" w14:textId="77777777" w:rsidR="006076BE" w:rsidRPr="00E222BE" w:rsidRDefault="006076BE" w:rsidP="006076BE">
      <w:pPr>
        <w:spacing w:after="0" w:line="240" w:lineRule="auto"/>
        <w:ind w:left="709" w:right="709"/>
        <w:contextualSpacing/>
        <w:jc w:val="both"/>
        <w:rPr>
          <w:rFonts w:ascii="Verdana" w:eastAsia="Calibri" w:hAnsi="Verdana" w:cs="Arial"/>
          <w:color w:val="000000"/>
          <w:sz w:val="20"/>
          <w:szCs w:val="20"/>
          <w:lang w:val="es-MX"/>
        </w:rPr>
      </w:pPr>
      <w:r w:rsidRPr="00E222BE">
        <w:rPr>
          <w:rFonts w:ascii="Verdana" w:eastAsia="Calibri" w:hAnsi="Verdana" w:cs="Arial"/>
          <w:color w:val="000000"/>
          <w:sz w:val="20"/>
          <w:szCs w:val="20"/>
          <w:lang w:val="es-MX"/>
        </w:rPr>
        <w:t>[…]</w:t>
      </w:r>
    </w:p>
    <w:p w14:paraId="745F2FA8" w14:textId="77777777" w:rsidR="006076BE" w:rsidRPr="00E222BE" w:rsidRDefault="006076BE" w:rsidP="006076BE">
      <w:pPr>
        <w:spacing w:after="0" w:line="240" w:lineRule="auto"/>
        <w:ind w:left="709" w:right="709"/>
        <w:contextualSpacing/>
        <w:jc w:val="both"/>
        <w:rPr>
          <w:rFonts w:ascii="Verdana" w:eastAsia="Calibri" w:hAnsi="Verdana" w:cs="Arial"/>
          <w:color w:val="000000"/>
          <w:sz w:val="20"/>
          <w:szCs w:val="20"/>
          <w:lang w:val="es-MX"/>
        </w:rPr>
      </w:pPr>
      <w:r w:rsidRPr="00E222BE">
        <w:rPr>
          <w:rFonts w:ascii="Verdana" w:eastAsia="Calibri" w:hAnsi="Verdana" w:cs="Arial"/>
          <w:color w:val="000000"/>
          <w:sz w:val="20"/>
          <w:szCs w:val="20"/>
          <w:lang w:val="es-MX"/>
        </w:rPr>
        <w:lastRenderedPageBreak/>
        <w:t xml:space="preserve">4. Contratación directa. La modalidad de selección de contratación </w:t>
      </w:r>
      <w:proofErr w:type="gramStart"/>
      <w:r w:rsidRPr="00E222BE">
        <w:rPr>
          <w:rFonts w:ascii="Verdana" w:eastAsia="Calibri" w:hAnsi="Verdana" w:cs="Arial"/>
          <w:color w:val="000000"/>
          <w:sz w:val="20"/>
          <w:szCs w:val="20"/>
          <w:lang w:val="es-MX"/>
        </w:rPr>
        <w:t>directa,</w:t>
      </w:r>
      <w:proofErr w:type="gramEnd"/>
      <w:r w:rsidRPr="00E222BE">
        <w:rPr>
          <w:rFonts w:ascii="Verdana" w:eastAsia="Calibri" w:hAnsi="Verdana" w:cs="Arial"/>
          <w:color w:val="000000"/>
          <w:sz w:val="20"/>
          <w:szCs w:val="20"/>
          <w:lang w:val="es-MX"/>
        </w:rPr>
        <w:t xml:space="preserve"> solamente procederá en los siguientes casos:</w:t>
      </w:r>
    </w:p>
    <w:p w14:paraId="02B43BF7" w14:textId="77777777" w:rsidR="006076BE" w:rsidRPr="00E222BE" w:rsidRDefault="006076BE" w:rsidP="006076BE">
      <w:pPr>
        <w:spacing w:after="0" w:line="240" w:lineRule="auto"/>
        <w:ind w:left="709" w:right="709"/>
        <w:contextualSpacing/>
        <w:jc w:val="both"/>
        <w:rPr>
          <w:rFonts w:ascii="Verdana" w:eastAsia="Calibri" w:hAnsi="Verdana" w:cs="Arial"/>
          <w:color w:val="000000"/>
          <w:sz w:val="20"/>
          <w:szCs w:val="20"/>
          <w:lang w:val="es-MX"/>
        </w:rPr>
      </w:pPr>
      <w:r w:rsidRPr="00E222BE">
        <w:rPr>
          <w:rFonts w:ascii="Verdana" w:eastAsia="Calibri" w:hAnsi="Verdana" w:cs="Arial"/>
          <w:color w:val="000000"/>
          <w:sz w:val="20"/>
          <w:szCs w:val="20"/>
          <w:lang w:val="es-MX"/>
        </w:rPr>
        <w:t>[…]</w:t>
      </w:r>
    </w:p>
    <w:p w14:paraId="7BFBBC54" w14:textId="5BFCAEE8" w:rsidR="00097808" w:rsidRPr="00E222BE" w:rsidRDefault="006076BE" w:rsidP="00B81E15">
      <w:pPr>
        <w:spacing w:after="0" w:line="240" w:lineRule="auto"/>
        <w:ind w:left="709" w:right="709"/>
        <w:contextualSpacing/>
        <w:jc w:val="both"/>
        <w:rPr>
          <w:rFonts w:ascii="Verdana" w:eastAsia="Calibri" w:hAnsi="Verdana" w:cs="Arial"/>
          <w:color w:val="000000"/>
          <w:sz w:val="20"/>
          <w:szCs w:val="20"/>
          <w:lang w:val="es-MX"/>
        </w:rPr>
      </w:pPr>
      <w:r w:rsidRPr="00E222BE">
        <w:rPr>
          <w:rFonts w:ascii="Verdana" w:eastAsia="Calibri" w:hAnsi="Verdana" w:cs="Arial"/>
          <w:color w:val="000000"/>
          <w:sz w:val="20"/>
          <w:szCs w:val="20"/>
          <w:lang w:val="es-MX"/>
        </w:rPr>
        <w:t xml:space="preserve">h) Para la </w:t>
      </w:r>
      <w:r w:rsidRPr="00E222BE">
        <w:rPr>
          <w:rFonts w:ascii="Verdana" w:eastAsia="Calibri" w:hAnsi="Verdana" w:cs="Arial"/>
          <w:i/>
          <w:iCs/>
          <w:color w:val="000000"/>
          <w:sz w:val="20"/>
          <w:szCs w:val="20"/>
          <w:u w:val="single"/>
          <w:lang w:val="es-MX"/>
        </w:rPr>
        <w:t>prestación de servicios profesionales y de apoyo a la gestión, o para la ejecución de trabajos artísticos que sólo puedan encomendarse a determinadas personas naturales</w:t>
      </w:r>
      <w:r w:rsidRPr="00E222BE">
        <w:rPr>
          <w:rFonts w:ascii="Verdana" w:eastAsia="Calibri" w:hAnsi="Verdana" w:cs="Arial"/>
          <w:color w:val="000000"/>
          <w:sz w:val="20"/>
          <w:szCs w:val="20"/>
          <w:lang w:val="es-MX"/>
        </w:rPr>
        <w:t xml:space="preserve">”. [Énfasis fuera del texto </w:t>
      </w:r>
      <w:proofErr w:type="spellStart"/>
      <w:r w:rsidRPr="00E222BE">
        <w:rPr>
          <w:rFonts w:ascii="Verdana" w:eastAsia="Calibri" w:hAnsi="Verdana" w:cs="Arial"/>
          <w:color w:val="000000"/>
          <w:sz w:val="20"/>
          <w:szCs w:val="20"/>
          <w:lang w:val="es-MX"/>
        </w:rPr>
        <w:t>orginal</w:t>
      </w:r>
      <w:proofErr w:type="spellEnd"/>
      <w:r w:rsidRPr="00E222BE">
        <w:rPr>
          <w:rFonts w:ascii="Verdana" w:eastAsia="Calibri" w:hAnsi="Verdana" w:cs="Arial"/>
          <w:color w:val="000000"/>
          <w:sz w:val="20"/>
          <w:szCs w:val="20"/>
          <w:lang w:val="es-MX"/>
        </w:rPr>
        <w:t>]</w:t>
      </w:r>
    </w:p>
    <w:p w14:paraId="67388A47" w14:textId="697B2D41" w:rsidR="00B81E15" w:rsidRDefault="00B81E15" w:rsidP="00E962EC">
      <w:pPr>
        <w:tabs>
          <w:tab w:val="left" w:pos="2280"/>
        </w:tabs>
        <w:spacing w:after="0" w:line="240" w:lineRule="auto"/>
        <w:ind w:right="709"/>
        <w:contextualSpacing/>
        <w:rPr>
          <w:rFonts w:ascii="Verdana" w:eastAsia="Calibri" w:hAnsi="Verdana" w:cs="Arial"/>
          <w:color w:val="000000"/>
          <w:sz w:val="20"/>
          <w:szCs w:val="20"/>
          <w:lang w:val="es-MX"/>
        </w:rPr>
      </w:pPr>
    </w:p>
    <w:p w14:paraId="25CE2B69" w14:textId="77777777" w:rsidR="00E962EC" w:rsidRPr="007611DD" w:rsidRDefault="00E962EC" w:rsidP="00E962EC">
      <w:pPr>
        <w:tabs>
          <w:tab w:val="left" w:pos="2280"/>
        </w:tabs>
        <w:spacing w:after="0" w:line="240" w:lineRule="auto"/>
        <w:ind w:right="709"/>
        <w:contextualSpacing/>
        <w:rPr>
          <w:rFonts w:ascii="Verdana" w:eastAsia="Calibri" w:hAnsi="Verdana" w:cs="Arial"/>
          <w:b/>
          <w:bCs/>
          <w:color w:val="000000"/>
          <w:sz w:val="20"/>
          <w:szCs w:val="20"/>
          <w:lang w:val="es-MX"/>
        </w:rPr>
      </w:pPr>
    </w:p>
    <w:p w14:paraId="33364556" w14:textId="77777777" w:rsidR="00B81E15" w:rsidRPr="007611DD" w:rsidRDefault="00B81E15" w:rsidP="00B81E15">
      <w:pPr>
        <w:spacing w:after="0" w:line="240" w:lineRule="auto"/>
        <w:ind w:left="709" w:right="709"/>
        <w:contextualSpacing/>
        <w:jc w:val="both"/>
        <w:rPr>
          <w:rFonts w:ascii="Verdana" w:eastAsia="Calibri" w:hAnsi="Verdana" w:cs="Arial"/>
          <w:b/>
          <w:bCs/>
          <w:color w:val="000000"/>
          <w:sz w:val="20"/>
          <w:szCs w:val="20"/>
          <w:lang w:val="es-MX"/>
        </w:rPr>
      </w:pPr>
    </w:p>
    <w:p w14:paraId="3680FCEA" w14:textId="22D3E6CC" w:rsidR="007611DD" w:rsidRPr="007611DD" w:rsidRDefault="007611DD" w:rsidP="00E962EC">
      <w:pPr>
        <w:tabs>
          <w:tab w:val="left" w:pos="3780"/>
        </w:tabs>
        <w:spacing w:after="0"/>
        <w:rPr>
          <w:rFonts w:ascii="Verdana" w:hAnsi="Verdana" w:cs="Arial"/>
          <w:b/>
          <w:bCs/>
          <w:color w:val="000000" w:themeColor="text1"/>
          <w:lang w:val="es-ES"/>
        </w:rPr>
      </w:pPr>
      <w:r w:rsidRPr="007611DD">
        <w:rPr>
          <w:rFonts w:ascii="Verdana" w:eastAsia="Calibri" w:hAnsi="Verdana" w:cs="Arial"/>
          <w:b/>
          <w:bCs/>
          <w:lang w:val="es-ES" w:eastAsia="es-ES"/>
        </w:rPr>
        <w:t xml:space="preserve">CONTRATO DE PRESTACIÓN DE SERVICIOS </w:t>
      </w:r>
      <w:r w:rsidRPr="007611DD">
        <w:rPr>
          <w:rFonts w:ascii="Verdana" w:hAnsi="Verdana"/>
          <w:b/>
          <w:bCs/>
          <w:lang w:val="es-ES"/>
        </w:rPr>
        <w:t xml:space="preserve">-MINIMA CUANTIA </w:t>
      </w:r>
      <w:r w:rsidRPr="007611DD">
        <w:rPr>
          <w:rFonts w:ascii="Verdana" w:hAnsi="Verdana" w:cs="Arial"/>
          <w:b/>
          <w:bCs/>
          <w:color w:val="000000" w:themeColor="text1"/>
          <w:lang w:val="es-ES"/>
        </w:rPr>
        <w:t>- LEY DE GARANTÍAS ELECTORALES – Propósito</w:t>
      </w:r>
    </w:p>
    <w:p w14:paraId="7FDC9FBF" w14:textId="0D5950E4" w:rsidR="001B6AE2" w:rsidRPr="007611DD" w:rsidRDefault="001B6AE2" w:rsidP="00E962EC">
      <w:pPr>
        <w:tabs>
          <w:tab w:val="left" w:pos="3780"/>
        </w:tabs>
        <w:spacing w:after="0"/>
        <w:rPr>
          <w:rFonts w:ascii="Verdana" w:eastAsia="Verdana" w:hAnsi="Verdana" w:cs="Verdana"/>
          <w:b/>
          <w:bCs/>
          <w:lang w:val="es-MX"/>
        </w:rPr>
      </w:pPr>
      <w:r w:rsidRPr="007611DD">
        <w:rPr>
          <w:rFonts w:ascii="Verdana" w:eastAsia="Verdana" w:hAnsi="Verdana" w:cs="Verdana"/>
          <w:b/>
          <w:bCs/>
          <w:lang w:val="es-MX"/>
        </w:rPr>
        <w:tab/>
      </w:r>
    </w:p>
    <w:p w14:paraId="6D228F18" w14:textId="77777777" w:rsidR="00E962EC" w:rsidRDefault="00E962EC" w:rsidP="00E962EC">
      <w:pPr>
        <w:spacing w:after="120" w:line="276" w:lineRule="auto"/>
        <w:jc w:val="both"/>
        <w:rPr>
          <w:rFonts w:ascii="Verdana" w:eastAsia="Calibri" w:hAnsi="Verdana" w:cs="Arial"/>
          <w:sz w:val="20"/>
          <w:szCs w:val="20"/>
          <w:lang w:val="es-ES_tradnl"/>
        </w:rPr>
      </w:pPr>
      <w:r w:rsidRPr="00B80714">
        <w:rPr>
          <w:rFonts w:ascii="Verdana" w:eastAsia="Calibri" w:hAnsi="Verdana" w:cs="Arial"/>
          <w:sz w:val="20"/>
          <w:szCs w:val="20"/>
          <w:lang w:val="es-ES_tradnl"/>
        </w:rPr>
        <w:t>La mínima cuantía es una modalidad de selección en virtud de la cual la entidad estatal realiza una convocatoria pública para recibir ofertas de bienes, obras o servicios cuyo valor no excede el diez por ciento –10%– de la menor cuantía. Esta modalidad de selección fue creada en el 2011 por la Ley 1450, modificada por el artículo 94 de la Ley 1474 de 2011 –que adicionó el numeral 5º al artículo 2 de la Ley 1150 de 2007– y posteriormente por la Ley 2069 de 2020, estableciendo que el factor determinante para llevar a cabo tal procedimiento es la cuantía –calculada como presupuesto oficial a partir del estudio del sector–, “independientemente de su objeto”.</w:t>
      </w:r>
    </w:p>
    <w:p w14:paraId="3CD0E6BE" w14:textId="77777777" w:rsidR="006D11AC" w:rsidRPr="00B80714" w:rsidRDefault="006D11AC" w:rsidP="00E962EC">
      <w:pPr>
        <w:spacing w:after="120" w:line="276" w:lineRule="auto"/>
        <w:jc w:val="both"/>
        <w:rPr>
          <w:rFonts w:ascii="Verdana" w:eastAsia="Calibri" w:hAnsi="Verdana" w:cs="Arial"/>
          <w:sz w:val="20"/>
          <w:szCs w:val="20"/>
          <w:lang w:val="es-ES_tradnl"/>
        </w:rPr>
      </w:pPr>
    </w:p>
    <w:p w14:paraId="7B13D57C" w14:textId="565335F8" w:rsidR="00E962EC" w:rsidRPr="00875611" w:rsidRDefault="006D11AC" w:rsidP="00E962EC">
      <w:pPr>
        <w:tabs>
          <w:tab w:val="left" w:pos="3780"/>
          <w:tab w:val="left" w:pos="4680"/>
        </w:tabs>
        <w:spacing w:after="0"/>
        <w:rPr>
          <w:rFonts w:ascii="Verdana" w:hAnsi="Verdana" w:cs="Arial"/>
          <w:b/>
          <w:bCs/>
          <w:color w:val="000000" w:themeColor="text1"/>
          <w:lang w:val="es-ES"/>
        </w:rPr>
      </w:pPr>
      <w:r w:rsidRPr="006D11AC">
        <w:rPr>
          <w:rFonts w:ascii="Verdana" w:hAnsi="Verdana" w:cs="Arial"/>
          <w:b/>
          <w:bCs/>
          <w:color w:val="000000" w:themeColor="text1"/>
          <w:lang w:val="es-ES"/>
        </w:rPr>
        <w:t xml:space="preserve"> LEY DE GARANTÍAS ELECTORALES – Propósito / LEY DE GARANTÍAS ELECTORALES – Prohibiciones</w:t>
      </w:r>
      <w:r w:rsidR="00875611" w:rsidRPr="00875611">
        <w:rPr>
          <w:rFonts w:ascii="Verdana" w:hAnsi="Verdana" w:cs="Arial"/>
          <w:b/>
          <w:bCs/>
          <w:color w:val="000000" w:themeColor="text1"/>
          <w:lang w:val="es-ES"/>
        </w:rPr>
        <w:t>– Restricciones</w:t>
      </w:r>
    </w:p>
    <w:p w14:paraId="3E41BB0F" w14:textId="77777777" w:rsidR="006D11AC" w:rsidRPr="009A53D5" w:rsidRDefault="006D11AC" w:rsidP="00E962EC">
      <w:pPr>
        <w:tabs>
          <w:tab w:val="left" w:pos="3780"/>
          <w:tab w:val="left" w:pos="4680"/>
        </w:tabs>
        <w:spacing w:after="0"/>
        <w:rPr>
          <w:rFonts w:ascii="Verdana" w:eastAsia="Calibri" w:hAnsi="Verdana" w:cs="Arial"/>
          <w:b/>
          <w:bCs/>
          <w:lang w:val="es-ES" w:eastAsia="es-ES"/>
        </w:rPr>
      </w:pPr>
    </w:p>
    <w:p w14:paraId="42F1FD4B" w14:textId="77777777" w:rsidR="00E962EC" w:rsidRPr="001E3741" w:rsidRDefault="00E962EC" w:rsidP="00E962EC">
      <w:pPr>
        <w:spacing w:after="120" w:line="276" w:lineRule="auto"/>
        <w:jc w:val="both"/>
        <w:rPr>
          <w:rFonts w:ascii="Verdana" w:eastAsia="Aptos" w:hAnsi="Verdana" w:cs="Arial"/>
          <w:color w:val="000000"/>
          <w:sz w:val="20"/>
          <w:szCs w:val="20"/>
          <w:lang w:val="es-ES_tradnl"/>
        </w:rPr>
      </w:pPr>
      <w:r w:rsidRPr="001E3741">
        <w:rPr>
          <w:rFonts w:ascii="Verdana" w:eastAsia="Aptos" w:hAnsi="Verdana" w:cs="Arial"/>
          <w:color w:val="000000"/>
          <w:sz w:val="20"/>
          <w:szCs w:val="20"/>
          <w:lang w:val="es-ES_tradnl"/>
        </w:rPr>
        <w:t xml:space="preserve"> 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588EFAD7" w14:textId="77777777" w:rsidR="00E962EC" w:rsidRPr="001E3741" w:rsidRDefault="00E962EC" w:rsidP="00E962EC">
      <w:pPr>
        <w:spacing w:after="120" w:line="276" w:lineRule="auto"/>
        <w:jc w:val="both"/>
        <w:rPr>
          <w:rFonts w:ascii="Verdana" w:eastAsia="Aptos" w:hAnsi="Verdana" w:cs="Arial"/>
          <w:color w:val="000000"/>
          <w:sz w:val="20"/>
          <w:szCs w:val="20"/>
          <w:lang w:val="es-ES_tradnl"/>
        </w:rPr>
      </w:pPr>
      <w:r w:rsidRPr="001E3741">
        <w:rPr>
          <w:rFonts w:ascii="Verdana" w:eastAsia="Aptos" w:hAnsi="Verdana" w:cs="Arial"/>
          <w:color w:val="000000"/>
          <w:sz w:val="20"/>
          <w:szCs w:val="20"/>
          <w:lang w:val="es-ES_tradnl"/>
        </w:rPr>
        <w:t>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p>
    <w:p w14:paraId="0039E6B9" w14:textId="77777777" w:rsidR="00E962EC" w:rsidRPr="001E3741" w:rsidRDefault="00E962EC" w:rsidP="00E962EC">
      <w:pPr>
        <w:spacing w:after="120" w:line="276" w:lineRule="auto"/>
        <w:jc w:val="both"/>
        <w:rPr>
          <w:rFonts w:ascii="Verdana" w:eastAsia="Aptos" w:hAnsi="Verdana" w:cs="Arial"/>
          <w:color w:val="000000"/>
          <w:sz w:val="20"/>
          <w:szCs w:val="20"/>
          <w:lang w:val="es-ES_tradnl"/>
        </w:rPr>
      </w:pPr>
      <w:r w:rsidRPr="001E3741">
        <w:rPr>
          <w:rFonts w:ascii="Verdana" w:eastAsia="Aptos" w:hAnsi="Verdana" w:cs="Arial"/>
          <w:color w:val="000000"/>
          <w:sz w:val="20"/>
          <w:szCs w:val="20"/>
          <w:lang w:val="es-ES_tradnl"/>
        </w:rPr>
        <w:t>Por un lado, el artículo 33 de la Ley 996 de 2005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4854E7CD" w14:textId="77777777" w:rsidR="00E962EC" w:rsidRDefault="00E962EC" w:rsidP="00E962EC">
      <w:pPr>
        <w:spacing w:after="120" w:line="276" w:lineRule="auto"/>
        <w:jc w:val="both"/>
        <w:rPr>
          <w:rFonts w:ascii="Verdana" w:eastAsia="Aptos" w:hAnsi="Verdana" w:cs="Arial"/>
          <w:color w:val="000000"/>
          <w:sz w:val="20"/>
          <w:szCs w:val="20"/>
          <w:lang w:val="es-ES_tradnl"/>
        </w:rPr>
      </w:pPr>
      <w:r w:rsidRPr="001E3741">
        <w:rPr>
          <w:rFonts w:ascii="Verdana" w:eastAsia="Aptos" w:hAnsi="Verdana" w:cs="Arial"/>
          <w:color w:val="000000"/>
          <w:sz w:val="20"/>
          <w:szCs w:val="20"/>
          <w:lang w:val="es-ES_tradnl"/>
        </w:rPr>
        <w:lastRenderedPageBreak/>
        <w:t>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p>
    <w:p w14:paraId="25FC2596" w14:textId="77777777" w:rsidR="00647D17" w:rsidRDefault="00647D17" w:rsidP="00E962EC">
      <w:pPr>
        <w:spacing w:after="120" w:line="276" w:lineRule="auto"/>
        <w:jc w:val="both"/>
        <w:rPr>
          <w:rFonts w:ascii="Verdana" w:eastAsia="Aptos" w:hAnsi="Verdana" w:cs="Arial"/>
          <w:color w:val="000000"/>
          <w:sz w:val="20"/>
          <w:szCs w:val="20"/>
          <w:lang w:val="es-ES_tradnl"/>
        </w:rPr>
      </w:pPr>
    </w:p>
    <w:p w14:paraId="7662C3CE" w14:textId="7AF07033" w:rsidR="00647D17" w:rsidRPr="00EF73D6" w:rsidRDefault="009E69EC" w:rsidP="00E962EC">
      <w:pPr>
        <w:spacing w:after="120" w:line="276" w:lineRule="auto"/>
        <w:jc w:val="both"/>
        <w:rPr>
          <w:rFonts w:ascii="Verdana" w:eastAsia="Aptos" w:hAnsi="Verdana" w:cs="Arial"/>
          <w:b/>
          <w:bCs/>
          <w:color w:val="000000"/>
          <w:sz w:val="20"/>
          <w:szCs w:val="20"/>
          <w:lang w:val="es-ES_tradnl"/>
        </w:rPr>
      </w:pPr>
      <w:r w:rsidRPr="00EF73D6">
        <w:rPr>
          <w:rFonts w:ascii="Verdana" w:hAnsi="Verdana" w:cs="Arial"/>
          <w:b/>
          <w:bCs/>
          <w:color w:val="000000" w:themeColor="text1"/>
          <w:lang w:val="es-ES"/>
        </w:rPr>
        <w:t>LEY DE GARANTÍAS ELECTORALES – Artículo 33 – Ámbito material</w:t>
      </w:r>
      <w:r w:rsidR="00EF73D6" w:rsidRPr="00EF73D6">
        <w:rPr>
          <w:rFonts w:ascii="Verdana" w:hAnsi="Verdana" w:cs="Arial"/>
          <w:b/>
          <w:bCs/>
          <w:color w:val="000000" w:themeColor="text1"/>
          <w:lang w:val="es-ES"/>
        </w:rPr>
        <w:t xml:space="preserve"> </w:t>
      </w:r>
      <w:r w:rsidR="00EF73D6" w:rsidRPr="00EF73D6">
        <w:rPr>
          <w:rFonts w:ascii="Verdana" w:hAnsi="Verdana" w:cs="Arial"/>
          <w:b/>
          <w:bCs/>
          <w:color w:val="000000" w:themeColor="text1"/>
          <w:lang w:val="es-ES"/>
        </w:rPr>
        <w:t>Destinatarios</w:t>
      </w:r>
    </w:p>
    <w:p w14:paraId="6435E5FB" w14:textId="5CE41AC6" w:rsidR="00097808" w:rsidRDefault="00647D17" w:rsidP="00EF39AC">
      <w:pPr>
        <w:spacing w:after="120" w:line="276" w:lineRule="auto"/>
        <w:jc w:val="both"/>
        <w:rPr>
          <w:rFonts w:ascii="Verdana" w:eastAsia="Calibri" w:hAnsi="Verdana" w:cs="Arial"/>
          <w:sz w:val="20"/>
          <w:szCs w:val="20"/>
        </w:rPr>
      </w:pPr>
      <w:r w:rsidRPr="00647D17">
        <w:rPr>
          <w:rFonts w:ascii="Verdana" w:eastAsia="Calibri" w:hAnsi="Verdana" w:cs="Arial"/>
          <w:sz w:val="20"/>
          <w:szCs w:val="20"/>
        </w:rPr>
        <w:t xml:space="preserve">Por un lado, </w:t>
      </w:r>
      <w:r w:rsidRPr="00647D17">
        <w:rPr>
          <w:rFonts w:ascii="Verdana" w:eastAsia="Calibri" w:hAnsi="Verdana" w:cs="Arial"/>
          <w:i/>
          <w:sz w:val="20"/>
          <w:szCs w:val="20"/>
        </w:rPr>
        <w:t>el artículo 33</w:t>
      </w:r>
      <w:r w:rsidRPr="00647D17">
        <w:rPr>
          <w:rFonts w:ascii="Verdana" w:eastAsia="Calibri" w:hAnsi="Verdana" w:cs="Arial"/>
          <w:sz w:val="20"/>
          <w:szCs w:val="20"/>
        </w:rPr>
        <w:t xml:space="preserve"> de la Ley 996 de 2005 prohíbe “</w:t>
      </w:r>
      <w:r w:rsidRPr="00647D17">
        <w:rPr>
          <w:rFonts w:ascii="Verdana" w:eastAsia="Calibri" w:hAnsi="Verdana" w:cs="Arial"/>
          <w:bCs/>
          <w:sz w:val="20"/>
          <w:szCs w:val="20"/>
        </w:rPr>
        <w:t xml:space="preserve">(…) </w:t>
      </w:r>
      <w:r w:rsidRPr="00647D17">
        <w:rPr>
          <w:rFonts w:ascii="Verdana" w:eastAsia="Calibri" w:hAnsi="Verdana" w:cs="Arial"/>
          <w:sz w:val="20"/>
          <w:szCs w:val="20"/>
        </w:rPr>
        <w:t>la contratación directa por parte de todos los entes del Estado</w:t>
      </w:r>
      <w:r w:rsidRPr="00647D17">
        <w:rPr>
          <w:rFonts w:ascii="Verdana" w:eastAsia="Calibri" w:hAnsi="Verdana" w:cs="Arial"/>
          <w:bCs/>
          <w:sz w:val="20"/>
          <w:szCs w:val="20"/>
        </w:rPr>
        <w:t>”</w:t>
      </w:r>
      <w:r w:rsidRPr="00647D17">
        <w:rPr>
          <w:rFonts w:ascii="Verdana" w:eastAsia="Calibri" w:hAnsi="Verdana" w:cs="Arial"/>
          <w:sz w:val="20"/>
          <w:szCs w:val="20"/>
        </w:rPr>
        <w:t xml:space="preserve"> durante los cuatro (4) meses anteriores a las elecciones presidenciales, salvo </w:t>
      </w:r>
      <w:r w:rsidRPr="00647D17">
        <w:rPr>
          <w:rFonts w:ascii="Verdana" w:eastAsia="Calibri" w:hAnsi="Verdana" w:cs="Arial"/>
          <w:bCs/>
          <w:sz w:val="20"/>
          <w:szCs w:val="20"/>
        </w:rPr>
        <w:t xml:space="preserve">“(…) </w:t>
      </w:r>
      <w:r w:rsidRPr="00647D17">
        <w:rPr>
          <w:rFonts w:ascii="Verdana" w:eastAsia="Calibri" w:hAnsi="Verdana" w:cs="Arial"/>
          <w:sz w:val="20"/>
          <w:szCs w:val="20"/>
        </w:rPr>
        <w:t>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647D17">
        <w:rPr>
          <w:rFonts w:ascii="Verdana" w:eastAsia="Calibri" w:hAnsi="Verdana" w:cs="Arial"/>
          <w:bCs/>
          <w:sz w:val="20"/>
          <w:szCs w:val="20"/>
        </w:rPr>
        <w:t>”</w:t>
      </w:r>
      <w:r w:rsidR="00CF7D1E">
        <w:rPr>
          <w:rFonts w:ascii="Verdana" w:eastAsia="Calibri" w:hAnsi="Verdana" w:cs="Arial"/>
          <w:bCs/>
          <w:sz w:val="20"/>
          <w:szCs w:val="20"/>
          <w:vertAlign w:val="superscript"/>
        </w:rPr>
        <w:t>.</w:t>
      </w:r>
    </w:p>
    <w:p w14:paraId="0A0EBF6B" w14:textId="77777777" w:rsidR="00EF39AC" w:rsidRPr="00EF39AC" w:rsidRDefault="00EF39AC" w:rsidP="00EF39AC">
      <w:pPr>
        <w:spacing w:after="120" w:line="276" w:lineRule="auto"/>
        <w:jc w:val="both"/>
        <w:rPr>
          <w:rFonts w:ascii="Verdana" w:eastAsia="Calibri" w:hAnsi="Verdana" w:cs="Arial"/>
          <w:sz w:val="20"/>
          <w:szCs w:val="20"/>
        </w:rPr>
      </w:pPr>
    </w:p>
    <w:p w14:paraId="582C799E" w14:textId="676EFAE8" w:rsidR="00EF39AC" w:rsidRPr="00EF39AC" w:rsidRDefault="004A65B2" w:rsidP="00EF39AC">
      <w:pPr>
        <w:spacing w:after="120" w:line="276" w:lineRule="auto"/>
        <w:jc w:val="both"/>
        <w:rPr>
          <w:rFonts w:ascii="Verdana" w:hAnsi="Verdana" w:cs="Arial"/>
          <w:bCs/>
          <w:color w:val="000000" w:themeColor="text1"/>
          <w:sz w:val="20"/>
          <w:szCs w:val="20"/>
          <w:lang w:val="es-MX" w:eastAsia="x-none"/>
        </w:rPr>
      </w:pPr>
      <w:r>
        <w:rPr>
          <w:rFonts w:ascii="Verdana" w:hAnsi="Verdana" w:cs="Arial"/>
          <w:color w:val="000000" w:themeColor="text1"/>
          <w:sz w:val="20"/>
          <w:szCs w:val="20"/>
          <w:lang w:val="es-MX"/>
        </w:rPr>
        <w:t>E</w:t>
      </w:r>
      <w:r w:rsidR="00EF39AC" w:rsidRPr="00EF39AC">
        <w:rPr>
          <w:rFonts w:ascii="Verdana" w:hAnsi="Verdana" w:cs="Arial"/>
          <w:color w:val="000000" w:themeColor="text1"/>
          <w:sz w:val="20"/>
          <w:szCs w:val="20"/>
          <w:lang w:val="es-MX"/>
        </w:rPr>
        <w:t>n relación con los destinatarios de las restricciones, el artículo 33 de la Ley 996 de 2005 los señala expresamente, en el sentido de que son “</w:t>
      </w:r>
      <w:r w:rsidR="00EF39AC" w:rsidRPr="00EF39AC">
        <w:rPr>
          <w:rFonts w:ascii="Verdana" w:hAnsi="Verdana" w:cs="Arial"/>
          <w:i/>
          <w:color w:val="000000" w:themeColor="text1"/>
          <w:sz w:val="20"/>
          <w:szCs w:val="20"/>
          <w:lang w:val="es-MX"/>
        </w:rPr>
        <w:t>todos los entes del Estado</w:t>
      </w:r>
      <w:r w:rsidR="00EF39AC" w:rsidRPr="00EF39AC">
        <w:rPr>
          <w:rFonts w:ascii="Verdana" w:hAnsi="Verdana" w:cs="Arial"/>
          <w:color w:val="000000" w:themeColor="text1"/>
          <w:sz w:val="20"/>
          <w:szCs w:val="20"/>
          <w:lang w:val="es-MX"/>
        </w:rPr>
        <w:t xml:space="preserve">”, expresión que contempla a los diferentes organismos o entidades autorizadas por la ley para suscribir contratos. En efecto, tal como lo ha sostenido el Consejo de Estado, el vocablo” todos”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14:paraId="00B91A24" w14:textId="77777777" w:rsidR="00EF39AC" w:rsidRDefault="00EF39AC" w:rsidP="00EF39AC">
      <w:pPr>
        <w:spacing w:after="120" w:line="276" w:lineRule="auto"/>
        <w:jc w:val="both"/>
        <w:rPr>
          <w:rFonts w:ascii="Verdana" w:eastAsia="Verdana" w:hAnsi="Verdana" w:cs="Verdana"/>
        </w:rPr>
      </w:pPr>
    </w:p>
    <w:p w14:paraId="16A46AD0" w14:textId="77777777" w:rsidR="00D56E66" w:rsidRDefault="00D56E66" w:rsidP="00D56E66">
      <w:pPr>
        <w:tabs>
          <w:tab w:val="left" w:pos="1200"/>
          <w:tab w:val="left" w:pos="1230"/>
        </w:tabs>
        <w:spacing w:after="0"/>
        <w:rPr>
          <w:rFonts w:ascii="Verdana" w:eastAsia="Calibri" w:hAnsi="Verdana" w:cs="Arial"/>
          <w:b/>
          <w:bCs/>
          <w:lang w:val="es-ES" w:eastAsia="es-ES"/>
        </w:rPr>
      </w:pPr>
      <w:r w:rsidRPr="00D56E66">
        <w:rPr>
          <w:rFonts w:ascii="Verdana" w:eastAsia="Verdana" w:hAnsi="Verdana" w:cs="Verdana"/>
          <w:b/>
          <w:bCs/>
        </w:rPr>
        <w:t xml:space="preserve">CONSEJO DE ESTADO </w:t>
      </w:r>
      <w:r w:rsidRPr="006076BE">
        <w:rPr>
          <w:rFonts w:ascii="Verdana" w:eastAsia="Calibri" w:hAnsi="Verdana" w:cs="Arial"/>
          <w:b/>
          <w:bCs/>
          <w:lang w:val="es-ES" w:eastAsia="es-ES"/>
        </w:rPr>
        <w:t>–</w:t>
      </w:r>
      <w:r>
        <w:rPr>
          <w:rFonts w:ascii="Verdana" w:eastAsia="Calibri" w:hAnsi="Verdana" w:cs="Arial"/>
          <w:b/>
          <w:bCs/>
          <w:lang w:val="es-ES" w:eastAsia="es-ES"/>
        </w:rPr>
        <w:t xml:space="preserve"> Posición </w:t>
      </w:r>
    </w:p>
    <w:p w14:paraId="12B67D33" w14:textId="4AAAD46E" w:rsidR="00097808" w:rsidRDefault="00D56E66" w:rsidP="00D56E66">
      <w:pPr>
        <w:tabs>
          <w:tab w:val="left" w:pos="1200"/>
          <w:tab w:val="left" w:pos="1230"/>
        </w:tabs>
        <w:spacing w:after="0"/>
        <w:rPr>
          <w:rFonts w:ascii="Verdana" w:eastAsia="Verdana" w:hAnsi="Verdana" w:cs="Verdana"/>
        </w:rPr>
      </w:pPr>
      <w:r>
        <w:rPr>
          <w:rFonts w:ascii="Verdana" w:eastAsia="Verdana" w:hAnsi="Verdana" w:cs="Verdana"/>
        </w:rPr>
        <w:tab/>
      </w:r>
    </w:p>
    <w:p w14:paraId="12815168" w14:textId="71B712B8" w:rsidR="00D56E66" w:rsidRPr="00D56E66" w:rsidRDefault="00D56E66" w:rsidP="00D56E66">
      <w:pPr>
        <w:spacing w:after="120" w:line="276" w:lineRule="auto"/>
        <w:jc w:val="both"/>
        <w:rPr>
          <w:rFonts w:ascii="Verdana" w:hAnsi="Verdana" w:cs="Arial"/>
          <w:bCs/>
          <w:sz w:val="20"/>
          <w:szCs w:val="20"/>
          <w:lang w:eastAsia="es-CO"/>
        </w:rPr>
      </w:pPr>
      <w:r w:rsidRPr="00D56E66">
        <w:rPr>
          <w:rFonts w:ascii="Verdana" w:hAnsi="Verdana" w:cs="Arial"/>
          <w:bCs/>
          <w:sz w:val="20"/>
          <w:szCs w:val="20"/>
          <w:lang w:eastAsia="es-CO"/>
        </w:rPr>
        <w:t xml:space="preserve">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w:t>
      </w:r>
      <w:r w:rsidRPr="00D56E66">
        <w:rPr>
          <w:rFonts w:ascii="Verdana" w:hAnsi="Verdana" w:cs="Arial"/>
          <w:bCs/>
          <w:i/>
          <w:iCs/>
          <w:sz w:val="20"/>
          <w:szCs w:val="20"/>
          <w:lang w:eastAsia="es-CO"/>
        </w:rPr>
        <w:t>“contratación directa”.</w:t>
      </w:r>
    </w:p>
    <w:p w14:paraId="34ADAD89" w14:textId="2C1AAE82" w:rsidR="00EF73D6" w:rsidRPr="003A4C68" w:rsidRDefault="00D56E66" w:rsidP="003A4C68">
      <w:pPr>
        <w:spacing w:after="120" w:line="276" w:lineRule="auto"/>
        <w:jc w:val="both"/>
        <w:rPr>
          <w:rFonts w:ascii="Verdana" w:hAnsi="Verdana" w:cs="Arial"/>
          <w:sz w:val="20"/>
          <w:szCs w:val="20"/>
          <w:vertAlign w:val="superscript"/>
          <w:lang w:eastAsia="x-none"/>
        </w:rPr>
      </w:pPr>
      <w:r w:rsidRPr="00D56E66">
        <w:rPr>
          <w:rFonts w:ascii="Verdana" w:hAnsi="Verdana" w:cs="Arial"/>
          <w:bCs/>
          <w:sz w:val="20"/>
          <w:szCs w:val="20"/>
          <w:lang w:eastAsia="x-none"/>
        </w:rPr>
        <w:lastRenderedPageBreak/>
        <w:t>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D56E66">
        <w:rPr>
          <w:rFonts w:ascii="Verdana" w:hAnsi="Verdana" w:cs="Arial"/>
          <w:sz w:val="20"/>
          <w:szCs w:val="20"/>
          <w:vertAlign w:val="superscript"/>
          <w:lang w:eastAsia="x-none"/>
        </w:rPr>
        <w:t xml:space="preserve">. </w:t>
      </w:r>
    </w:p>
    <w:p w14:paraId="0EF4B00F" w14:textId="77777777" w:rsidR="00EF73D6" w:rsidRDefault="00EF73D6" w:rsidP="30821638">
      <w:pPr>
        <w:spacing w:after="0"/>
        <w:rPr>
          <w:rFonts w:ascii="Verdana" w:hAnsi="Verdana" w:cs="Arial"/>
          <w:b/>
          <w:bCs/>
          <w:color w:val="000000" w:themeColor="text1"/>
          <w:lang w:val="es-ES"/>
        </w:rPr>
      </w:pPr>
    </w:p>
    <w:p w14:paraId="5D4D5C1C" w14:textId="77777777" w:rsidR="00EF73D6" w:rsidRPr="00965852" w:rsidRDefault="00EF73D6" w:rsidP="30821638">
      <w:pPr>
        <w:spacing w:after="0"/>
        <w:rPr>
          <w:rFonts w:ascii="Verdana" w:hAnsi="Verdana" w:cs="Arial"/>
          <w:b/>
          <w:bCs/>
          <w:color w:val="000000" w:themeColor="text1"/>
          <w:lang w:val="es-ES"/>
        </w:rPr>
      </w:pPr>
    </w:p>
    <w:p w14:paraId="26443744" w14:textId="0786D887" w:rsidR="00097808" w:rsidRPr="00965852" w:rsidRDefault="009E69EC" w:rsidP="30821638">
      <w:pPr>
        <w:spacing w:after="0"/>
        <w:rPr>
          <w:rFonts w:ascii="Verdana" w:hAnsi="Verdana" w:cs="Arial"/>
          <w:b/>
          <w:bCs/>
          <w:color w:val="000000" w:themeColor="text1"/>
          <w:lang w:val="es-ES"/>
        </w:rPr>
      </w:pPr>
      <w:r w:rsidRPr="00965852">
        <w:rPr>
          <w:rFonts w:ascii="Verdana" w:hAnsi="Verdana" w:cs="Arial"/>
          <w:b/>
          <w:bCs/>
          <w:color w:val="000000" w:themeColor="text1"/>
          <w:lang w:val="es-ES"/>
        </w:rPr>
        <w:t>LEY DE GARANTÍAS ELECTORALES – Excepciones</w:t>
      </w:r>
    </w:p>
    <w:p w14:paraId="5B0AF1FD" w14:textId="77777777" w:rsidR="00B3110F" w:rsidRDefault="00B3110F" w:rsidP="30821638">
      <w:pPr>
        <w:spacing w:after="0"/>
        <w:rPr>
          <w:rFonts w:ascii="Verdana" w:hAnsi="Verdana" w:cs="Arial"/>
          <w:color w:val="000000" w:themeColor="text1"/>
          <w:lang w:val="es-ES"/>
        </w:rPr>
      </w:pPr>
    </w:p>
    <w:p w14:paraId="66402471" w14:textId="322BC982" w:rsidR="00B3110F" w:rsidRPr="00B3110F" w:rsidRDefault="00B3110F" w:rsidP="00B3110F">
      <w:pPr>
        <w:spacing w:after="120" w:line="276" w:lineRule="auto"/>
        <w:jc w:val="both"/>
        <w:rPr>
          <w:rFonts w:ascii="Verdana" w:eastAsia="Arial" w:hAnsi="Verdana" w:cs="Arial"/>
          <w:sz w:val="20"/>
          <w:szCs w:val="20"/>
          <w:lang w:val="es-ES" w:eastAsia="es-ES" w:bidi="es-ES"/>
        </w:rPr>
      </w:pPr>
      <w:r w:rsidRPr="00B3110F">
        <w:rPr>
          <w:rFonts w:ascii="Verdana" w:eastAsia="Arial" w:hAnsi="Verdana" w:cs="Arial"/>
          <w:sz w:val="20"/>
          <w:szCs w:val="20"/>
          <w:lang w:val="es-ES" w:eastAsia="es-ES" w:bidi="es-ES"/>
        </w:rPr>
        <w:t xml:space="preserve">De conformidad con lo anterior, la Ley 996 de 2005 establece dos (2) tipos de restricciones en materia de contratación, las cuales coinciden parcialmente. </w:t>
      </w:r>
      <w:r w:rsidRPr="00B3110F">
        <w:rPr>
          <w:rFonts w:ascii="Verdana" w:eastAsia="Arial" w:hAnsi="Verdana" w:cs="Arial"/>
          <w:i/>
          <w:iCs/>
          <w:sz w:val="20"/>
          <w:szCs w:val="20"/>
          <w:lang w:val="es-ES" w:eastAsia="es-ES" w:bidi="es-ES"/>
        </w:rPr>
        <w:t>En primer lugar</w:t>
      </w:r>
      <w:r w:rsidRPr="00B3110F">
        <w:rPr>
          <w:rFonts w:ascii="Verdana" w:eastAsia="Arial" w:hAnsi="Verdana" w:cs="Arial"/>
          <w:sz w:val="20"/>
          <w:szCs w:val="20"/>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B3110F">
        <w:rPr>
          <w:rFonts w:ascii="Verdana" w:eastAsia="Arial" w:hAnsi="Verdana" w:cs="Arial"/>
          <w:i/>
          <w:iCs/>
          <w:sz w:val="20"/>
          <w:szCs w:val="20"/>
          <w:lang w:val="es-ES" w:eastAsia="es-ES" w:bidi="es-ES"/>
        </w:rPr>
        <w:t>En segundo lugar</w:t>
      </w:r>
      <w:r w:rsidRPr="00B3110F">
        <w:rPr>
          <w:rFonts w:ascii="Verdana" w:eastAsia="Arial" w:hAnsi="Verdana" w:cs="Arial"/>
          <w:sz w:val="20"/>
          <w:szCs w:val="20"/>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45C2E74E" w14:textId="77777777" w:rsidR="00B3110F" w:rsidRPr="00B3110F" w:rsidRDefault="00B3110F" w:rsidP="00CF7D1E">
      <w:pPr>
        <w:spacing w:after="120" w:line="276" w:lineRule="auto"/>
        <w:jc w:val="both"/>
        <w:rPr>
          <w:rFonts w:ascii="Verdana" w:eastAsia="Arial" w:hAnsi="Verdana" w:cs="Arial"/>
          <w:sz w:val="20"/>
          <w:szCs w:val="20"/>
          <w:lang w:val="es-ES" w:eastAsia="es-ES" w:bidi="es-ES"/>
        </w:rPr>
      </w:pPr>
      <w:r w:rsidRPr="00B3110F">
        <w:rPr>
          <w:rFonts w:ascii="Verdana" w:eastAsia="Arial" w:hAnsi="Verdana" w:cs="Arial"/>
          <w:sz w:val="20"/>
          <w:szCs w:val="20"/>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p w14:paraId="49B17605" w14:textId="77777777" w:rsidR="00097808" w:rsidRPr="00B3110F" w:rsidRDefault="00097808" w:rsidP="30821638">
      <w:pPr>
        <w:spacing w:after="0"/>
        <w:rPr>
          <w:rFonts w:ascii="Verdana" w:eastAsia="Verdana" w:hAnsi="Verdana" w:cs="Verdana"/>
          <w:sz w:val="20"/>
          <w:szCs w:val="20"/>
          <w:lang w:val="es-ES"/>
        </w:rPr>
      </w:pPr>
    </w:p>
    <w:p w14:paraId="1D1F2629" w14:textId="6D250A57" w:rsidR="00097808" w:rsidRPr="007D15FE" w:rsidRDefault="007D15FE" w:rsidP="30821638">
      <w:pPr>
        <w:spacing w:after="0"/>
        <w:rPr>
          <w:rFonts w:ascii="Verdana" w:eastAsia="Verdana" w:hAnsi="Verdana" w:cs="Verdana"/>
          <w:b/>
          <w:bCs/>
        </w:rPr>
      </w:pPr>
      <w:r w:rsidRPr="007D15FE">
        <w:rPr>
          <w:rFonts w:ascii="Verdana" w:hAnsi="Verdana" w:cs="Arial"/>
          <w:b/>
          <w:bCs/>
          <w:color w:val="000000" w:themeColor="text1"/>
          <w:lang w:val="es-ES"/>
        </w:rPr>
        <w:t>LEY DE GARANTÍAS ELECTORALES – Parágrafo del artículo 38 - Alcance</w:t>
      </w:r>
    </w:p>
    <w:p w14:paraId="2CBEC415" w14:textId="77777777" w:rsidR="00B8311A" w:rsidRDefault="00B8311A" w:rsidP="00B8311A">
      <w:pPr>
        <w:spacing w:before="120" w:after="0" w:line="276" w:lineRule="auto"/>
        <w:jc w:val="both"/>
        <w:rPr>
          <w:rFonts w:ascii="Verdana" w:eastAsia="Times New Roman" w:hAnsi="Verdana" w:cs="Arial"/>
          <w:sz w:val="20"/>
          <w:szCs w:val="20"/>
          <w:lang w:val="es-MX" w:eastAsia="x-none"/>
        </w:rPr>
      </w:pPr>
      <w:r w:rsidRPr="00B8311A">
        <w:rPr>
          <w:rFonts w:ascii="Verdana" w:hAnsi="Verdana" w:cs="Arial"/>
          <w:sz w:val="20"/>
          <w:szCs w:val="20"/>
          <w:lang w:val="es-ES"/>
        </w:rPr>
        <w:t xml:space="preserve">respecto del alcance del parágrafo </w:t>
      </w:r>
      <w:r w:rsidRPr="00B8311A">
        <w:rPr>
          <w:rFonts w:ascii="Verdana" w:hAnsi="Verdana" w:cs="Arial"/>
          <w:sz w:val="20"/>
          <w:szCs w:val="20"/>
        </w:rPr>
        <w:t xml:space="preserve">del artículo 38 de la Ley 996 de 2005, esta prohibición dispone en primera medida que: “[l]os Gobernadores, Alcaldes Municipales y/o Distritales, Secretarios, Gerentes y directores de Entidades Descentralizadas del orden Municipal, Departamental o Distrital, dentro de los cuatro (4) meses anteriores a las elecciones, no podrán celebrar </w:t>
      </w:r>
      <w:r w:rsidRPr="00B8311A">
        <w:rPr>
          <w:rFonts w:ascii="Verdana" w:hAnsi="Verdana" w:cs="Arial"/>
          <w:i/>
          <w:iCs/>
          <w:sz w:val="20"/>
          <w:szCs w:val="20"/>
        </w:rPr>
        <w:t>convenios interadministrativos</w:t>
      </w:r>
      <w:r w:rsidRPr="00B8311A">
        <w:rPr>
          <w:rFonts w:ascii="Verdana" w:hAnsi="Verdana" w:cs="Arial"/>
          <w:sz w:val="20"/>
          <w:szCs w:val="20"/>
        </w:rPr>
        <w:t xml:space="preserve"> </w:t>
      </w:r>
      <w:r w:rsidRPr="00B8311A">
        <w:rPr>
          <w:rFonts w:ascii="Verdana" w:hAnsi="Verdana" w:cs="Arial"/>
          <w:i/>
          <w:iCs/>
          <w:sz w:val="20"/>
          <w:szCs w:val="20"/>
        </w:rPr>
        <w:t>para la ejecución de recursos públicos</w:t>
      </w:r>
      <w:r w:rsidRPr="00B8311A">
        <w:rPr>
          <w:rFonts w:ascii="Verdana" w:hAnsi="Verdana" w:cs="Arial"/>
          <w:sz w:val="20"/>
          <w:szCs w:val="20"/>
        </w:rPr>
        <w:t>”.</w:t>
      </w:r>
      <w:r w:rsidRPr="00B8311A">
        <w:rPr>
          <w:rFonts w:ascii="Verdana" w:eastAsia="Times New Roman" w:hAnsi="Verdana" w:cs="Arial"/>
          <w:sz w:val="20"/>
          <w:szCs w:val="20"/>
          <w:lang w:val="es-MX" w:eastAsia="x-none"/>
        </w:rPr>
        <w:t xml:space="preserve"> (Énfasis fuera del texto original)</w:t>
      </w:r>
    </w:p>
    <w:p w14:paraId="6BD21403" w14:textId="77777777" w:rsidR="00A46552" w:rsidRPr="00B8311A" w:rsidRDefault="00A46552" w:rsidP="00B8311A">
      <w:pPr>
        <w:spacing w:before="120" w:after="0" w:line="276" w:lineRule="auto"/>
        <w:jc w:val="both"/>
        <w:rPr>
          <w:rFonts w:ascii="Verdana" w:eastAsia="Calibri" w:hAnsi="Verdana" w:cs="Arial"/>
          <w:sz w:val="20"/>
          <w:szCs w:val="20"/>
          <w:lang w:val="es-ES"/>
        </w:rPr>
      </w:pPr>
    </w:p>
    <w:p w14:paraId="4E6373FF" w14:textId="2D7516EC" w:rsidR="009A53D5" w:rsidRPr="00B8311A" w:rsidRDefault="00B8311A" w:rsidP="00A46552">
      <w:pPr>
        <w:spacing w:after="0"/>
        <w:jc w:val="both"/>
        <w:rPr>
          <w:rFonts w:ascii="Verdana" w:eastAsia="Verdana" w:hAnsi="Verdana" w:cs="Verdana"/>
          <w:sz w:val="20"/>
          <w:szCs w:val="20"/>
        </w:rPr>
      </w:pPr>
      <w:r w:rsidRPr="00B8311A">
        <w:rPr>
          <w:rFonts w:ascii="Verdana" w:eastAsia="Times New Roman" w:hAnsi="Verdana" w:cs="Arial"/>
          <w:sz w:val="20"/>
          <w:szCs w:val="20"/>
          <w:lang w:val="es-ES" w:eastAsia="es-ES"/>
        </w:rPr>
        <w:lastRenderedPageBreak/>
        <w:t xml:space="preserve">Para tales efectos, debe precisarse que </w:t>
      </w:r>
      <w:r w:rsidRPr="00B8311A">
        <w:rPr>
          <w:rFonts w:ascii="Verdana" w:eastAsia="Times New Roman" w:hAnsi="Verdana" w:cs="Arial"/>
          <w:color w:val="000000" w:themeColor="text1"/>
          <w:sz w:val="20"/>
          <w:szCs w:val="20"/>
          <w:lang w:val="es-ES" w:eastAsia="es-CO"/>
        </w:rPr>
        <w:t xml:space="preserve">los contratos o convenios interadministrativos están determinados por un criterio orgánico, pues es necesario que los extremos de la relación contractual sean entidades públicas, </w:t>
      </w:r>
      <w:r w:rsidRPr="00B8311A">
        <w:rPr>
          <w:rFonts w:ascii="Verdana" w:hAnsi="Verdana" w:cs="Arial"/>
          <w:sz w:val="20"/>
          <w:szCs w:val="20"/>
          <w:lang w:eastAsia="es-ES"/>
        </w:rPr>
        <w:t>independientemente de las normas que regulan la relación contractual. En este sentido, los convenios interadministrativos solo pueden ser celebrados entre entidades públicas, pues a éstas corresponde</w:t>
      </w:r>
    </w:p>
    <w:p w14:paraId="0FC0E082" w14:textId="77777777" w:rsidR="009E69EC" w:rsidRPr="00B8311A" w:rsidRDefault="009E69EC" w:rsidP="30821638">
      <w:pPr>
        <w:spacing w:after="0"/>
        <w:rPr>
          <w:rFonts w:ascii="Verdana" w:eastAsia="Verdana" w:hAnsi="Verdana" w:cs="Verdana"/>
          <w:sz w:val="20"/>
          <w:szCs w:val="20"/>
        </w:rPr>
      </w:pPr>
    </w:p>
    <w:p w14:paraId="1FF54725" w14:textId="77777777" w:rsidR="009E69EC" w:rsidRDefault="009E69EC" w:rsidP="30821638">
      <w:pPr>
        <w:spacing w:after="0"/>
        <w:rPr>
          <w:rFonts w:ascii="Verdana" w:eastAsia="Verdana" w:hAnsi="Verdana" w:cs="Verdana"/>
        </w:rPr>
      </w:pPr>
    </w:p>
    <w:p w14:paraId="2C410F8F" w14:textId="77777777" w:rsidR="00CF7D1E" w:rsidRDefault="00CF7D1E" w:rsidP="00CF7D1E">
      <w:pPr>
        <w:spacing w:after="0"/>
        <w:rPr>
          <w:rFonts w:ascii="Verdana" w:eastAsia="Verdana" w:hAnsi="Verdana" w:cs="Verdana"/>
        </w:rPr>
      </w:pPr>
    </w:p>
    <w:p w14:paraId="56FEB564" w14:textId="77777777" w:rsidR="00CF7D1E" w:rsidRDefault="00CF7D1E" w:rsidP="00CF7D1E">
      <w:pPr>
        <w:tabs>
          <w:tab w:val="left" w:pos="1200"/>
          <w:tab w:val="left" w:pos="1230"/>
        </w:tabs>
        <w:spacing w:after="0"/>
        <w:rPr>
          <w:rFonts w:ascii="Verdana" w:eastAsia="Calibri" w:hAnsi="Verdana" w:cs="Arial"/>
          <w:b/>
          <w:bCs/>
          <w:lang w:val="es-ES" w:eastAsia="es-ES"/>
        </w:rPr>
      </w:pPr>
      <w:r w:rsidRPr="00D56E66">
        <w:rPr>
          <w:rFonts w:ascii="Verdana" w:eastAsia="Verdana" w:hAnsi="Verdana" w:cs="Verdana"/>
          <w:b/>
          <w:bCs/>
        </w:rPr>
        <w:t xml:space="preserve">CONSEJO DE ESTADO </w:t>
      </w:r>
      <w:r w:rsidRPr="006076BE">
        <w:rPr>
          <w:rFonts w:ascii="Verdana" w:eastAsia="Calibri" w:hAnsi="Verdana" w:cs="Arial"/>
          <w:b/>
          <w:bCs/>
          <w:lang w:val="es-ES" w:eastAsia="es-ES"/>
        </w:rPr>
        <w:t>–</w:t>
      </w:r>
      <w:r>
        <w:rPr>
          <w:rFonts w:ascii="Verdana" w:eastAsia="Calibri" w:hAnsi="Verdana" w:cs="Arial"/>
          <w:b/>
          <w:bCs/>
          <w:lang w:val="es-ES" w:eastAsia="es-ES"/>
        </w:rPr>
        <w:t xml:space="preserve"> Posición </w:t>
      </w:r>
    </w:p>
    <w:p w14:paraId="0481B25F" w14:textId="77777777" w:rsidR="00CF7D1E" w:rsidRDefault="00CF7D1E" w:rsidP="003A4C68">
      <w:pPr>
        <w:tabs>
          <w:tab w:val="left" w:pos="1200"/>
          <w:tab w:val="left" w:pos="1230"/>
        </w:tabs>
        <w:spacing w:after="0"/>
        <w:jc w:val="both"/>
        <w:rPr>
          <w:rFonts w:ascii="Verdana" w:eastAsia="Verdana" w:hAnsi="Verdana" w:cs="Verdana"/>
        </w:rPr>
      </w:pPr>
      <w:r>
        <w:rPr>
          <w:rFonts w:ascii="Verdana" w:eastAsia="Verdana" w:hAnsi="Verdana" w:cs="Verdana"/>
        </w:rPr>
        <w:tab/>
      </w:r>
    </w:p>
    <w:p w14:paraId="7EA48F58" w14:textId="77777777" w:rsidR="00CF7D1E" w:rsidRPr="00D56E66" w:rsidRDefault="00CF7D1E" w:rsidP="003A4C68">
      <w:pPr>
        <w:spacing w:after="120" w:line="276" w:lineRule="auto"/>
        <w:jc w:val="both"/>
        <w:rPr>
          <w:rFonts w:ascii="Verdana" w:hAnsi="Verdana" w:cs="Arial"/>
          <w:bCs/>
          <w:sz w:val="20"/>
          <w:szCs w:val="20"/>
          <w:lang w:eastAsia="es-CO"/>
        </w:rPr>
      </w:pPr>
      <w:r w:rsidRPr="00D56E66">
        <w:rPr>
          <w:rFonts w:ascii="Verdana" w:hAnsi="Verdana" w:cs="Arial"/>
          <w:bCs/>
          <w:sz w:val="20"/>
          <w:szCs w:val="20"/>
          <w:lang w:eastAsia="es-CO"/>
        </w:rPr>
        <w:t xml:space="preserve">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w:t>
      </w:r>
      <w:r w:rsidRPr="00D56E66">
        <w:rPr>
          <w:rFonts w:ascii="Verdana" w:hAnsi="Verdana" w:cs="Arial"/>
          <w:bCs/>
          <w:i/>
          <w:iCs/>
          <w:sz w:val="20"/>
          <w:szCs w:val="20"/>
          <w:lang w:eastAsia="es-CO"/>
        </w:rPr>
        <w:t>“contratación directa”.</w:t>
      </w:r>
    </w:p>
    <w:p w14:paraId="0A1C22F3" w14:textId="77777777" w:rsidR="00CF7D1E" w:rsidRPr="00D56E66" w:rsidRDefault="00CF7D1E" w:rsidP="003A4C68">
      <w:pPr>
        <w:spacing w:after="120" w:line="276" w:lineRule="auto"/>
        <w:jc w:val="both"/>
        <w:rPr>
          <w:rFonts w:ascii="Verdana" w:hAnsi="Verdana" w:cs="Arial"/>
          <w:sz w:val="20"/>
          <w:szCs w:val="20"/>
          <w:vertAlign w:val="superscript"/>
          <w:lang w:eastAsia="x-none"/>
        </w:rPr>
      </w:pPr>
      <w:r w:rsidRPr="00D56E66">
        <w:rPr>
          <w:rFonts w:ascii="Verdana" w:hAnsi="Verdana" w:cs="Arial"/>
          <w:bCs/>
          <w:sz w:val="20"/>
          <w:szCs w:val="20"/>
          <w:lang w:eastAsia="x-none"/>
        </w:rPr>
        <w:t>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D56E66">
        <w:rPr>
          <w:rFonts w:ascii="Verdana" w:hAnsi="Verdana" w:cs="Arial"/>
          <w:sz w:val="20"/>
          <w:szCs w:val="20"/>
          <w:vertAlign w:val="superscript"/>
          <w:lang w:eastAsia="x-none"/>
        </w:rPr>
        <w:t xml:space="preserve">. </w:t>
      </w:r>
    </w:p>
    <w:p w14:paraId="7475810B" w14:textId="77777777" w:rsidR="00CF7D1E" w:rsidRDefault="00CF7D1E" w:rsidP="00CF7D1E">
      <w:pPr>
        <w:spacing w:after="0"/>
        <w:rPr>
          <w:rFonts w:ascii="Verdana" w:hAnsi="Verdana" w:cs="Arial"/>
          <w:color w:val="000000" w:themeColor="text1"/>
          <w:lang w:val="es-ES"/>
        </w:rPr>
      </w:pPr>
    </w:p>
    <w:p w14:paraId="5AE468BF" w14:textId="77777777" w:rsidR="00CF7D1E" w:rsidRDefault="00CF7D1E" w:rsidP="00CF7D1E">
      <w:pPr>
        <w:spacing w:after="0"/>
        <w:rPr>
          <w:rFonts w:ascii="Verdana" w:hAnsi="Verdana" w:cs="Arial"/>
          <w:color w:val="000000" w:themeColor="text1"/>
          <w:lang w:val="es-ES"/>
        </w:rPr>
      </w:pPr>
    </w:p>
    <w:p w14:paraId="07935B01" w14:textId="77777777" w:rsidR="00CF7D1E" w:rsidRPr="00965852" w:rsidRDefault="00CF7D1E" w:rsidP="00CF7D1E">
      <w:pPr>
        <w:spacing w:after="0"/>
        <w:rPr>
          <w:rFonts w:ascii="Verdana" w:hAnsi="Verdana" w:cs="Arial"/>
          <w:b/>
          <w:bCs/>
          <w:color w:val="000000" w:themeColor="text1"/>
          <w:lang w:val="es-ES"/>
        </w:rPr>
      </w:pPr>
    </w:p>
    <w:p w14:paraId="6727493E" w14:textId="77777777" w:rsidR="009E69EC" w:rsidRPr="00CF7D1E" w:rsidRDefault="009E69EC" w:rsidP="30821638">
      <w:pPr>
        <w:spacing w:after="0"/>
        <w:rPr>
          <w:rFonts w:ascii="Verdana" w:eastAsia="Verdana" w:hAnsi="Verdana" w:cs="Verdana"/>
          <w:lang w:val="es-ES"/>
        </w:rPr>
      </w:pPr>
    </w:p>
    <w:p w14:paraId="16EE562C" w14:textId="77777777" w:rsidR="00A46552" w:rsidRDefault="00A46552" w:rsidP="30821638">
      <w:pPr>
        <w:spacing w:after="0"/>
        <w:rPr>
          <w:rFonts w:ascii="Verdana" w:eastAsia="Verdana" w:hAnsi="Verdana" w:cs="Verdana"/>
        </w:rPr>
      </w:pPr>
    </w:p>
    <w:p w14:paraId="6ECB4692" w14:textId="77777777" w:rsidR="00A46552" w:rsidRDefault="00A46552" w:rsidP="30821638">
      <w:pPr>
        <w:spacing w:after="0"/>
        <w:rPr>
          <w:rFonts w:ascii="Verdana" w:eastAsia="Verdana" w:hAnsi="Verdana" w:cs="Verdana"/>
        </w:rPr>
      </w:pPr>
    </w:p>
    <w:p w14:paraId="6D8F995B" w14:textId="77777777" w:rsidR="00A46552" w:rsidRDefault="00A46552" w:rsidP="30821638">
      <w:pPr>
        <w:spacing w:after="0"/>
        <w:rPr>
          <w:rFonts w:ascii="Verdana" w:eastAsia="Verdana" w:hAnsi="Verdana" w:cs="Verdana"/>
        </w:rPr>
      </w:pPr>
    </w:p>
    <w:p w14:paraId="161231E4" w14:textId="77777777" w:rsidR="00A46552" w:rsidRDefault="00A46552" w:rsidP="30821638">
      <w:pPr>
        <w:spacing w:after="0"/>
        <w:rPr>
          <w:rFonts w:ascii="Verdana" w:eastAsia="Verdana" w:hAnsi="Verdana" w:cs="Verdana"/>
        </w:rPr>
      </w:pPr>
    </w:p>
    <w:p w14:paraId="40664E12" w14:textId="77777777" w:rsidR="00A46552" w:rsidRDefault="00A46552" w:rsidP="30821638">
      <w:pPr>
        <w:spacing w:after="0"/>
        <w:rPr>
          <w:rFonts w:ascii="Verdana" w:eastAsia="Verdana" w:hAnsi="Verdana" w:cs="Verdana"/>
        </w:rPr>
      </w:pPr>
    </w:p>
    <w:p w14:paraId="0783DFA6" w14:textId="77777777" w:rsidR="00A46552" w:rsidRDefault="00A46552" w:rsidP="30821638">
      <w:pPr>
        <w:spacing w:after="0"/>
        <w:rPr>
          <w:rFonts w:ascii="Verdana" w:eastAsia="Verdana" w:hAnsi="Verdana" w:cs="Verdana"/>
        </w:rPr>
      </w:pPr>
    </w:p>
    <w:p w14:paraId="2E436EAB" w14:textId="77777777" w:rsidR="00A46552" w:rsidRDefault="00A46552" w:rsidP="30821638">
      <w:pPr>
        <w:spacing w:after="0"/>
        <w:rPr>
          <w:rFonts w:ascii="Verdana" w:eastAsia="Verdana" w:hAnsi="Verdana" w:cs="Verdana"/>
        </w:rPr>
      </w:pPr>
    </w:p>
    <w:p w14:paraId="56FC1392" w14:textId="77777777" w:rsidR="00A46552" w:rsidRDefault="00A46552" w:rsidP="30821638">
      <w:pPr>
        <w:spacing w:after="0"/>
        <w:rPr>
          <w:rFonts w:ascii="Verdana" w:eastAsia="Verdana" w:hAnsi="Verdana" w:cs="Verdana"/>
        </w:rPr>
      </w:pPr>
    </w:p>
    <w:p w14:paraId="321D7D9E" w14:textId="77777777" w:rsidR="00A46552" w:rsidRDefault="00A46552" w:rsidP="30821638">
      <w:pPr>
        <w:spacing w:after="0"/>
        <w:rPr>
          <w:rFonts w:ascii="Verdana" w:eastAsia="Verdana" w:hAnsi="Verdana" w:cs="Verdana"/>
        </w:rPr>
      </w:pPr>
    </w:p>
    <w:p w14:paraId="43037AC8" w14:textId="77777777" w:rsidR="00A46552" w:rsidRDefault="00A46552" w:rsidP="30821638">
      <w:pPr>
        <w:spacing w:after="0"/>
        <w:rPr>
          <w:rFonts w:ascii="Verdana" w:eastAsia="Verdana" w:hAnsi="Verdana" w:cs="Verdana"/>
        </w:rPr>
      </w:pPr>
    </w:p>
    <w:p w14:paraId="0BE5D3F2" w14:textId="77777777" w:rsidR="00A46552" w:rsidRDefault="00A46552" w:rsidP="30821638">
      <w:pPr>
        <w:spacing w:after="0"/>
        <w:rPr>
          <w:rFonts w:ascii="Verdana" w:eastAsia="Verdana" w:hAnsi="Verdana" w:cs="Verdana"/>
        </w:rPr>
      </w:pPr>
    </w:p>
    <w:p w14:paraId="34B49260" w14:textId="77777777" w:rsidR="00A46552" w:rsidRDefault="00A46552" w:rsidP="30821638">
      <w:pPr>
        <w:spacing w:after="0"/>
        <w:rPr>
          <w:rFonts w:ascii="Verdana" w:eastAsia="Verdana" w:hAnsi="Verdana" w:cs="Verdana"/>
        </w:rPr>
      </w:pPr>
    </w:p>
    <w:p w14:paraId="1EDBE846" w14:textId="77777777" w:rsidR="00A46552" w:rsidRDefault="00A46552" w:rsidP="30821638">
      <w:pPr>
        <w:spacing w:after="0"/>
        <w:rPr>
          <w:rFonts w:ascii="Verdana" w:eastAsia="Verdana" w:hAnsi="Verdana" w:cs="Verdana"/>
        </w:rPr>
      </w:pPr>
    </w:p>
    <w:p w14:paraId="1513FB43" w14:textId="77777777" w:rsidR="00A46552" w:rsidRDefault="00A46552" w:rsidP="30821638">
      <w:pPr>
        <w:spacing w:after="0"/>
        <w:rPr>
          <w:rFonts w:ascii="Verdana" w:eastAsia="Verdana" w:hAnsi="Verdana" w:cs="Verdana"/>
        </w:rPr>
      </w:pPr>
    </w:p>
    <w:p w14:paraId="63CF675B" w14:textId="77777777" w:rsidR="00A46552" w:rsidRDefault="00A46552" w:rsidP="30821638">
      <w:pPr>
        <w:spacing w:after="0"/>
        <w:rPr>
          <w:rFonts w:ascii="Verdana" w:eastAsia="Verdana" w:hAnsi="Verdana" w:cs="Verdana"/>
        </w:rPr>
      </w:pPr>
    </w:p>
    <w:p w14:paraId="418D923D" w14:textId="77777777" w:rsidR="00A46552" w:rsidRDefault="00A46552" w:rsidP="30821638">
      <w:pPr>
        <w:spacing w:after="0"/>
        <w:rPr>
          <w:rFonts w:ascii="Verdana" w:eastAsia="Verdana" w:hAnsi="Verdana" w:cs="Verdana"/>
        </w:rPr>
      </w:pPr>
    </w:p>
    <w:p w14:paraId="21DD978F" w14:textId="77777777" w:rsidR="00A46552" w:rsidRDefault="00A46552" w:rsidP="30821638">
      <w:pPr>
        <w:spacing w:after="0"/>
        <w:rPr>
          <w:rFonts w:ascii="Verdana" w:eastAsia="Verdana" w:hAnsi="Verdana" w:cs="Verdana"/>
        </w:rPr>
      </w:pPr>
    </w:p>
    <w:p w14:paraId="35CFF1B1" w14:textId="77777777" w:rsidR="009E69EC" w:rsidRDefault="009E69EC" w:rsidP="30821638">
      <w:pPr>
        <w:spacing w:after="0"/>
        <w:rPr>
          <w:rFonts w:ascii="Verdana" w:eastAsia="Verdana" w:hAnsi="Verdana" w:cs="Verdana"/>
        </w:rPr>
      </w:pPr>
    </w:p>
    <w:p w14:paraId="574D5B2F" w14:textId="77777777" w:rsidR="009A53D5" w:rsidRDefault="009A53D5" w:rsidP="30821638">
      <w:pPr>
        <w:spacing w:after="0"/>
        <w:rPr>
          <w:rFonts w:ascii="Verdana" w:eastAsia="Verdana" w:hAnsi="Verdana" w:cs="Verdana"/>
        </w:rPr>
      </w:pPr>
    </w:p>
    <w:p w14:paraId="6CC36292" w14:textId="0D7F21B2" w:rsidR="00097808" w:rsidRPr="00A57096" w:rsidRDefault="009A53D5" w:rsidP="30821638">
      <w:pPr>
        <w:spacing w:after="0"/>
        <w:rPr>
          <w:rFonts w:ascii="Verdana" w:eastAsia="Verdana" w:hAnsi="Verdana" w:cs="Verdana"/>
          <w:b/>
          <w:bCs/>
        </w:rPr>
      </w:pPr>
      <w:r>
        <w:rPr>
          <w:rFonts w:ascii="Verdana" w:eastAsia="Verdana" w:hAnsi="Verdana" w:cs="Verdana"/>
          <w:b/>
          <w:bCs/>
        </w:rPr>
        <w:t xml:space="preserve">                                                                </w:t>
      </w:r>
      <w:r w:rsidR="00A57096" w:rsidRPr="00A57096">
        <w:rPr>
          <w:rFonts w:ascii="Verdana" w:eastAsia="Verdana" w:hAnsi="Verdana" w:cs="Verdana"/>
          <w:b/>
          <w:bCs/>
          <w:noProof/>
        </w:rPr>
        <w:drawing>
          <wp:inline distT="0" distB="0" distL="0" distR="0" wp14:anchorId="5E59A062" wp14:editId="50EFA141">
            <wp:extent cx="2057400" cy="569870"/>
            <wp:effectExtent l="0" t="0" r="0" b="1905"/>
            <wp:docPr id="18017094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1843" cy="571101"/>
                    </a:xfrm>
                    <a:prstGeom prst="rect">
                      <a:avLst/>
                    </a:prstGeom>
                    <a:noFill/>
                    <a:ln>
                      <a:noFill/>
                    </a:ln>
                  </pic:spPr>
                </pic:pic>
              </a:graphicData>
            </a:graphic>
          </wp:inline>
        </w:drawing>
      </w:r>
    </w:p>
    <w:p w14:paraId="1468C46D" w14:textId="4626F461" w:rsidR="00C15139" w:rsidRPr="00DB5A56" w:rsidRDefault="00DB5A56" w:rsidP="30821638">
      <w:pPr>
        <w:spacing w:after="0"/>
        <w:rPr>
          <w:rFonts w:ascii="Verdana" w:eastAsia="Verdana" w:hAnsi="Verdana" w:cs="Verdana"/>
        </w:rPr>
      </w:pPr>
      <w:r w:rsidRPr="00DB5A56">
        <w:rPr>
          <w:rFonts w:ascii="Verdana" w:hAnsi="Verdana"/>
        </w:rPr>
        <w:t>Bogotá D.C., 19 Mayo 2026</w:t>
      </w:r>
      <w:r w:rsidR="00C15139" w:rsidRPr="00DB5A56">
        <w:rPr>
          <w:rFonts w:ascii="Verdana" w:hAnsi="Verdana"/>
        </w:rPr>
        <w:br/>
      </w:r>
      <w:r w:rsidR="00C15139" w:rsidRPr="00DB5A56">
        <w:rPr>
          <w:rFonts w:ascii="Verdana" w:hAnsi="Verdana"/>
        </w:rPr>
        <w:tab/>
      </w:r>
    </w:p>
    <w:p w14:paraId="6B4A7965" w14:textId="77777777" w:rsidR="00CE45C7" w:rsidRPr="00CE45C7" w:rsidRDefault="00CE45C7" w:rsidP="00CE45C7">
      <w:pPr>
        <w:spacing w:after="0" w:line="240" w:lineRule="auto"/>
        <w:jc w:val="both"/>
        <w:rPr>
          <w:rFonts w:ascii="Verdana" w:eastAsia="Calibri" w:hAnsi="Verdana" w:cs="Arial"/>
          <w:lang w:eastAsia="es-ES"/>
        </w:rPr>
      </w:pPr>
      <w:r w:rsidRPr="00CE45C7">
        <w:rPr>
          <w:rFonts w:ascii="Verdana" w:eastAsia="Calibri" w:hAnsi="Verdana" w:cs="Arial"/>
          <w:lang w:eastAsia="es-ES"/>
        </w:rPr>
        <w:t>Señor</w:t>
      </w:r>
    </w:p>
    <w:p w14:paraId="231FFD85" w14:textId="77777777" w:rsidR="00CE45C7" w:rsidRPr="00CE45C7" w:rsidRDefault="00CE45C7" w:rsidP="00CE45C7">
      <w:pPr>
        <w:spacing w:after="0" w:line="240" w:lineRule="auto"/>
        <w:jc w:val="both"/>
        <w:rPr>
          <w:rFonts w:ascii="Verdana" w:eastAsia="Calibri" w:hAnsi="Verdana" w:cs="Arial"/>
          <w:b/>
          <w:bCs/>
          <w:lang w:eastAsia="es-ES"/>
        </w:rPr>
      </w:pPr>
      <w:r w:rsidRPr="00CE45C7">
        <w:rPr>
          <w:rFonts w:ascii="Verdana" w:eastAsia="Calibri" w:hAnsi="Verdana" w:cs="Arial"/>
          <w:b/>
          <w:bCs/>
          <w:lang w:eastAsia="es-ES"/>
        </w:rPr>
        <w:t xml:space="preserve">Lisandro Mosquera </w:t>
      </w:r>
      <w:proofErr w:type="spellStart"/>
      <w:r w:rsidRPr="00CE45C7">
        <w:rPr>
          <w:rFonts w:ascii="Verdana" w:eastAsia="Calibri" w:hAnsi="Verdana" w:cs="Arial"/>
          <w:b/>
          <w:bCs/>
          <w:lang w:eastAsia="es-ES"/>
        </w:rPr>
        <w:t>Mosquera</w:t>
      </w:r>
      <w:proofErr w:type="spellEnd"/>
    </w:p>
    <w:p w14:paraId="1D4DAB77" w14:textId="77777777" w:rsidR="00CE45C7" w:rsidRPr="00CE45C7" w:rsidRDefault="00CE45C7" w:rsidP="00CE45C7">
      <w:pPr>
        <w:spacing w:after="0" w:line="240" w:lineRule="auto"/>
        <w:jc w:val="both"/>
        <w:rPr>
          <w:rFonts w:ascii="Verdana" w:hAnsi="Verdana"/>
        </w:rPr>
      </w:pPr>
      <w:r w:rsidRPr="00CE45C7">
        <w:rPr>
          <w:rFonts w:ascii="Verdana" w:hAnsi="Verdana"/>
        </w:rPr>
        <w:t xml:space="preserve">Ciudad </w:t>
      </w:r>
    </w:p>
    <w:p w14:paraId="47B7A708" w14:textId="77777777" w:rsidR="00CE45C7" w:rsidRPr="00CE45C7" w:rsidRDefault="00CE45C7" w:rsidP="00CE45C7">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6237"/>
      </w:tblGrid>
      <w:tr w:rsidR="00CE45C7" w:rsidRPr="00CE45C7" w14:paraId="1F367A26" w14:textId="77777777" w:rsidTr="005C7A85">
        <w:trPr>
          <w:trHeight w:val="162"/>
        </w:trPr>
        <w:tc>
          <w:tcPr>
            <w:tcW w:w="2552" w:type="dxa"/>
          </w:tcPr>
          <w:p w14:paraId="6B8FBD96" w14:textId="77777777" w:rsidR="00CE45C7" w:rsidRPr="00CE45C7" w:rsidRDefault="00CE45C7" w:rsidP="00CE45C7">
            <w:pPr>
              <w:spacing w:after="160" w:line="259" w:lineRule="auto"/>
              <w:ind w:left="720"/>
              <w:contextualSpacing/>
              <w:jc w:val="both"/>
              <w:rPr>
                <w:rFonts w:ascii="Verdana" w:eastAsia="Calibri" w:hAnsi="Verdana" w:cs="Arial"/>
                <w:b/>
                <w:bCs/>
                <w:color w:val="7030A0"/>
                <w:lang w:val="es-ES" w:eastAsia="es-ES_tradnl"/>
              </w:rPr>
            </w:pPr>
          </w:p>
        </w:tc>
        <w:tc>
          <w:tcPr>
            <w:tcW w:w="6237" w:type="dxa"/>
          </w:tcPr>
          <w:p w14:paraId="046921FA" w14:textId="77777777" w:rsidR="00CE45C7" w:rsidRPr="00CE45C7" w:rsidRDefault="00CE45C7" w:rsidP="00CE45C7">
            <w:pPr>
              <w:spacing w:after="160" w:line="259" w:lineRule="auto"/>
              <w:ind w:left="720"/>
              <w:contextualSpacing/>
              <w:jc w:val="both"/>
              <w:rPr>
                <w:rFonts w:ascii="Verdana" w:eastAsia="Calibri" w:hAnsi="Verdana" w:cs="Arial"/>
                <w:b/>
                <w:bCs/>
                <w:lang w:val="es-ES" w:eastAsia="es-ES"/>
              </w:rPr>
            </w:pPr>
            <w:r w:rsidRPr="00CE45C7">
              <w:rPr>
                <w:rFonts w:ascii="Verdana" w:eastAsia="Calibri" w:hAnsi="Verdana" w:cs="Arial"/>
                <w:b/>
                <w:bCs/>
                <w:lang w:val="es-ES" w:eastAsia="es-ES"/>
              </w:rPr>
              <w:t>Concepto C-566 de 2026</w:t>
            </w:r>
          </w:p>
          <w:p w14:paraId="5049184F" w14:textId="77777777" w:rsidR="00CE45C7" w:rsidRPr="00CE45C7" w:rsidRDefault="00CE45C7" w:rsidP="00CE45C7">
            <w:pPr>
              <w:spacing w:after="160" w:line="259" w:lineRule="auto"/>
              <w:ind w:left="720"/>
              <w:contextualSpacing/>
              <w:jc w:val="both"/>
              <w:rPr>
                <w:rFonts w:ascii="Verdana" w:eastAsia="Calibri" w:hAnsi="Verdana" w:cs="Arial"/>
                <w:b/>
                <w:bCs/>
                <w:color w:val="7030A0"/>
                <w:lang w:val="es-ES" w:eastAsia="es-ES"/>
              </w:rPr>
            </w:pPr>
          </w:p>
        </w:tc>
      </w:tr>
      <w:tr w:rsidR="00CE45C7" w:rsidRPr="00CE45C7" w14:paraId="452E5FA6" w14:textId="77777777" w:rsidTr="005C7A85">
        <w:trPr>
          <w:trHeight w:val="884"/>
        </w:trPr>
        <w:tc>
          <w:tcPr>
            <w:tcW w:w="2552" w:type="dxa"/>
          </w:tcPr>
          <w:p w14:paraId="07F8C96B" w14:textId="77777777" w:rsidR="00CE45C7" w:rsidRPr="00CE45C7" w:rsidRDefault="00CE45C7" w:rsidP="00CE45C7">
            <w:pPr>
              <w:spacing w:after="160" w:line="259" w:lineRule="auto"/>
              <w:ind w:left="720"/>
              <w:contextualSpacing/>
              <w:jc w:val="both"/>
              <w:rPr>
                <w:rFonts w:ascii="Verdana" w:eastAsia="Calibri" w:hAnsi="Verdana" w:cs="Arial"/>
                <w:color w:val="000000"/>
                <w:lang w:val="es-ES" w:eastAsia="es-ES_tradnl"/>
              </w:rPr>
            </w:pPr>
            <w:r w:rsidRPr="00CE45C7">
              <w:rPr>
                <w:rFonts w:ascii="Verdana" w:eastAsia="Calibri" w:hAnsi="Verdana" w:cs="Arial"/>
                <w:b/>
                <w:color w:val="000000"/>
                <w:lang w:val="es-ES" w:eastAsia="es-ES_tradnl"/>
              </w:rPr>
              <w:t>Temas:</w:t>
            </w:r>
            <w:r w:rsidRPr="00CE45C7">
              <w:rPr>
                <w:rFonts w:ascii="Verdana" w:eastAsia="Calibri" w:hAnsi="Verdana" w:cs="Arial"/>
                <w:color w:val="000000"/>
                <w:lang w:val="es-ES" w:eastAsia="es-ES_tradnl"/>
              </w:rPr>
              <w:t xml:space="preserve">                   </w:t>
            </w:r>
          </w:p>
        </w:tc>
        <w:tc>
          <w:tcPr>
            <w:tcW w:w="6237" w:type="dxa"/>
          </w:tcPr>
          <w:p w14:paraId="6E53B787" w14:textId="5D5ABB79" w:rsidR="00CE45C7" w:rsidRPr="00CE45C7" w:rsidRDefault="00C00448" w:rsidP="00CE45C7">
            <w:pPr>
              <w:spacing w:after="160" w:line="276" w:lineRule="auto"/>
              <w:ind w:left="720"/>
              <w:contextualSpacing/>
              <w:jc w:val="both"/>
              <w:rPr>
                <w:rFonts w:ascii="Verdana" w:hAnsi="Verdana"/>
                <w:lang w:val="es-ES"/>
              </w:rPr>
            </w:pPr>
            <w:r w:rsidRPr="002C2C04">
              <w:rPr>
                <w:rFonts w:ascii="Verdana" w:eastAsia="Calibri" w:hAnsi="Verdana" w:cs="Arial"/>
                <w:lang w:val="es-ES" w:eastAsia="es-ES"/>
              </w:rPr>
              <w:t xml:space="preserve">CONTRATO DE PRESTACIÓN DE </w:t>
            </w:r>
            <w:r w:rsidRPr="00F906A4">
              <w:rPr>
                <w:rFonts w:ascii="Verdana" w:eastAsia="Calibri" w:hAnsi="Verdana" w:cs="Arial"/>
                <w:lang w:val="es-ES" w:eastAsia="es-ES"/>
              </w:rPr>
              <w:t>SERVICIOS – Concepto</w:t>
            </w:r>
            <w:r>
              <w:rPr>
                <w:rFonts w:ascii="Verdana" w:eastAsia="Calibri" w:hAnsi="Verdana" w:cs="Arial"/>
                <w:lang w:val="es-ES" w:eastAsia="es-ES"/>
              </w:rPr>
              <w:t xml:space="preserve"> </w:t>
            </w:r>
            <w:r w:rsidRPr="00F906A4">
              <w:rPr>
                <w:rFonts w:ascii="Verdana" w:eastAsia="Calibri" w:hAnsi="Verdana" w:cs="Arial"/>
                <w:lang w:val="es-ES" w:eastAsia="es-ES"/>
              </w:rPr>
              <w:t>– Características /</w:t>
            </w:r>
            <w:r w:rsidRPr="00E54DB1">
              <w:rPr>
                <w:rFonts w:ascii="Verdana" w:hAnsi="Verdana"/>
              </w:rPr>
              <w:t xml:space="preserve"> </w:t>
            </w:r>
            <w:r w:rsidRPr="002C2C04">
              <w:rPr>
                <w:rFonts w:ascii="Verdana" w:eastAsia="Calibri" w:hAnsi="Verdana" w:cs="Arial"/>
                <w:lang w:val="es-ES" w:eastAsia="es-ES"/>
              </w:rPr>
              <w:t xml:space="preserve">CONTRATO DE PRESTACIÓN DE </w:t>
            </w:r>
            <w:r w:rsidRPr="00F906A4">
              <w:rPr>
                <w:rFonts w:ascii="Verdana" w:eastAsia="Calibri" w:hAnsi="Verdana" w:cs="Arial"/>
                <w:lang w:val="es-ES" w:eastAsia="es-ES"/>
              </w:rPr>
              <w:t>SERVICIOS –</w:t>
            </w:r>
            <w:r>
              <w:rPr>
                <w:rFonts w:ascii="Verdana" w:eastAsia="Calibri" w:hAnsi="Verdana" w:cs="Arial"/>
                <w:lang w:val="es-ES" w:eastAsia="es-ES"/>
              </w:rPr>
              <w:t xml:space="preserve"> </w:t>
            </w:r>
            <w:r w:rsidRPr="00F906A4">
              <w:rPr>
                <w:rFonts w:ascii="Verdana" w:eastAsia="Calibri" w:hAnsi="Verdana" w:cs="Arial"/>
                <w:lang w:val="es-ES" w:eastAsia="es-ES"/>
              </w:rPr>
              <w:t xml:space="preserve">Modalidad de selección – </w:t>
            </w:r>
            <w:r>
              <w:rPr>
                <w:rFonts w:ascii="Verdana" w:eastAsia="Calibri" w:hAnsi="Verdana" w:cs="Arial"/>
                <w:lang w:val="es-ES" w:eastAsia="es-ES"/>
              </w:rPr>
              <w:t>Contratación Directa – Interpretación restrictiva</w:t>
            </w:r>
            <w:r w:rsidRPr="00F906A4">
              <w:rPr>
                <w:rFonts w:ascii="Verdana" w:eastAsia="Calibri" w:hAnsi="Verdana" w:cs="Arial"/>
                <w:lang w:val="es-ES" w:eastAsia="es-ES"/>
              </w:rPr>
              <w:t xml:space="preserve"> /</w:t>
            </w:r>
            <w:r w:rsidRPr="00E54DB1">
              <w:rPr>
                <w:rFonts w:ascii="Verdana" w:hAnsi="Verdana"/>
              </w:rPr>
              <w:t xml:space="preserve"> </w:t>
            </w:r>
            <w:r w:rsidRPr="002C2C04">
              <w:rPr>
                <w:rFonts w:ascii="Verdana" w:eastAsia="Calibri" w:hAnsi="Verdana" w:cs="Arial"/>
                <w:lang w:val="es-ES" w:eastAsia="es-ES"/>
              </w:rPr>
              <w:t xml:space="preserve">CONTRATO DE PRESTACIÓN DE </w:t>
            </w:r>
            <w:r w:rsidRPr="00F906A4">
              <w:rPr>
                <w:rFonts w:ascii="Verdana" w:eastAsia="Calibri" w:hAnsi="Verdana" w:cs="Arial"/>
                <w:lang w:val="es-ES" w:eastAsia="es-ES"/>
              </w:rPr>
              <w:t xml:space="preserve">SERVICIOS </w:t>
            </w:r>
            <w:r w:rsidR="00CE45C7" w:rsidRPr="00CE45C7">
              <w:rPr>
                <w:rFonts w:ascii="Verdana" w:hAnsi="Verdana"/>
                <w:lang w:val="es-ES"/>
              </w:rPr>
              <w:t xml:space="preserve">-MINIMA CUANTIA </w:t>
            </w:r>
            <w:r w:rsidR="00CE45C7" w:rsidRPr="00CE45C7">
              <w:rPr>
                <w:rFonts w:ascii="Verdana" w:hAnsi="Verdana" w:cs="Arial"/>
                <w:color w:val="000000" w:themeColor="text1"/>
                <w:lang w:val="es-ES"/>
              </w:rPr>
              <w:t xml:space="preserve">-  LEY DE GARANTÍAS ELECTORALES – Propósito / LEY DE GARANTÍAS ELECTORALES – Prohibiciones – Restricciones / LEY DE GARANTÍAS ELECTORALES – Artículo 33 – Ámbito material / Destinatarios / LEY DE GARANTÍAS ELECTORALES – Excepciones / LEY DE GARANTÍAS ELECTORALES – Parágrafo del artículo 38 - Alcance / LEY DE GARANTÍAS ELECTORALES –/ CONSEJO DE ESTADO -Posición </w:t>
            </w:r>
          </w:p>
          <w:p w14:paraId="1CB4B5F3" w14:textId="77777777" w:rsidR="00CE45C7" w:rsidRPr="00CE45C7" w:rsidRDefault="00CE45C7" w:rsidP="00CE45C7">
            <w:pPr>
              <w:spacing w:after="160" w:line="276" w:lineRule="auto"/>
              <w:ind w:left="720"/>
              <w:contextualSpacing/>
              <w:jc w:val="both"/>
              <w:rPr>
                <w:rFonts w:ascii="Verdana" w:hAnsi="Verdana"/>
                <w:lang w:val="es-ES"/>
              </w:rPr>
            </w:pPr>
          </w:p>
          <w:p w14:paraId="5BB4E126" w14:textId="77777777" w:rsidR="00CE45C7" w:rsidRPr="00CE45C7" w:rsidRDefault="00CE45C7" w:rsidP="00CE45C7">
            <w:pPr>
              <w:spacing w:after="160" w:line="276" w:lineRule="auto"/>
              <w:ind w:left="720"/>
              <w:contextualSpacing/>
              <w:jc w:val="both"/>
              <w:rPr>
                <w:rFonts w:ascii="Verdana" w:hAnsi="Verdana"/>
                <w:lang w:val="es-ES"/>
              </w:rPr>
            </w:pPr>
          </w:p>
        </w:tc>
      </w:tr>
      <w:tr w:rsidR="00CE45C7" w:rsidRPr="00CE45C7" w14:paraId="0C5A46C4" w14:textId="77777777" w:rsidTr="005C7A85">
        <w:tc>
          <w:tcPr>
            <w:tcW w:w="2552" w:type="dxa"/>
          </w:tcPr>
          <w:p w14:paraId="1F182BEA" w14:textId="77777777" w:rsidR="00CE45C7" w:rsidRPr="00CE45C7" w:rsidRDefault="00CE45C7" w:rsidP="00CE45C7">
            <w:pPr>
              <w:spacing w:after="160" w:line="259" w:lineRule="auto"/>
              <w:ind w:left="720"/>
              <w:contextualSpacing/>
              <w:jc w:val="both"/>
              <w:rPr>
                <w:rFonts w:ascii="Verdana" w:eastAsia="Calibri" w:hAnsi="Verdana" w:cs="Arial"/>
                <w:b/>
                <w:lang w:val="es-ES" w:eastAsia="es-ES_tradnl"/>
              </w:rPr>
            </w:pPr>
            <w:r w:rsidRPr="00CE45C7">
              <w:rPr>
                <w:rFonts w:ascii="Verdana" w:eastAsia="Calibri" w:hAnsi="Verdana" w:cs="Arial"/>
                <w:b/>
                <w:lang w:val="es-ES" w:eastAsia="es-ES_tradnl"/>
              </w:rPr>
              <w:t>Radicación:</w:t>
            </w:r>
            <w:r w:rsidRPr="00CE45C7">
              <w:rPr>
                <w:rFonts w:ascii="Verdana" w:eastAsia="Calibri" w:hAnsi="Verdana" w:cs="Arial"/>
                <w:lang w:val="es-ES" w:eastAsia="es-ES_tradnl"/>
              </w:rPr>
              <w:t xml:space="preserve">               </w:t>
            </w:r>
          </w:p>
        </w:tc>
        <w:tc>
          <w:tcPr>
            <w:tcW w:w="6237" w:type="dxa"/>
          </w:tcPr>
          <w:p w14:paraId="7D5963DB" w14:textId="77777777" w:rsidR="00CE45C7" w:rsidRPr="00CE45C7" w:rsidRDefault="00CE45C7" w:rsidP="00CE45C7">
            <w:pPr>
              <w:spacing w:after="160" w:line="259" w:lineRule="auto"/>
              <w:ind w:left="720"/>
              <w:contextualSpacing/>
              <w:jc w:val="both"/>
              <w:rPr>
                <w:rFonts w:ascii="Verdana" w:eastAsia="Calibri" w:hAnsi="Verdana" w:cs="Arial"/>
                <w:lang w:val="es-ES" w:eastAsia="es-ES_tradnl"/>
              </w:rPr>
            </w:pPr>
            <w:r w:rsidRPr="00CE45C7">
              <w:rPr>
                <w:rFonts w:ascii="Verdana" w:eastAsia="Calibri" w:hAnsi="Verdana" w:cs="Arial"/>
                <w:lang w:val="es-ES" w:eastAsia="es-ES_tradnl"/>
              </w:rPr>
              <w:t xml:space="preserve">Respuesta a consulta con radicado </w:t>
            </w:r>
            <w:r w:rsidRPr="00CE45C7">
              <w:rPr>
                <w:rFonts w:ascii="Verdana" w:hAnsi="Verdana" w:cs="Calibri"/>
                <w:color w:val="000000"/>
                <w:lang w:val="es-ES"/>
              </w:rPr>
              <w:t>1_2026_04_07_004655</w:t>
            </w:r>
          </w:p>
          <w:p w14:paraId="6958BD12" w14:textId="77777777" w:rsidR="00CE45C7" w:rsidRPr="00CE45C7" w:rsidRDefault="00CE45C7" w:rsidP="00CE45C7">
            <w:pPr>
              <w:spacing w:after="160" w:line="259" w:lineRule="auto"/>
              <w:ind w:left="720"/>
              <w:contextualSpacing/>
              <w:jc w:val="both"/>
              <w:rPr>
                <w:rFonts w:ascii="Verdana" w:eastAsia="Calibri" w:hAnsi="Verdana" w:cs="Arial"/>
                <w:lang w:val="es-ES" w:eastAsia="es-ES_tradnl"/>
              </w:rPr>
            </w:pPr>
          </w:p>
        </w:tc>
      </w:tr>
    </w:tbl>
    <w:p w14:paraId="7E597DE7" w14:textId="77777777" w:rsidR="00CE45C7" w:rsidRPr="00CE45C7" w:rsidRDefault="00CE45C7" w:rsidP="00CE45C7">
      <w:pPr>
        <w:spacing w:after="0" w:line="276" w:lineRule="auto"/>
        <w:jc w:val="both"/>
        <w:rPr>
          <w:rFonts w:ascii="Verdana" w:eastAsia="Calibri" w:hAnsi="Verdana" w:cs="Arial"/>
          <w:lang w:eastAsia="es-ES_tradnl"/>
        </w:rPr>
      </w:pPr>
      <w:r w:rsidRPr="00CE45C7">
        <w:rPr>
          <w:rFonts w:ascii="Verdana" w:eastAsia="Calibri" w:hAnsi="Verdana" w:cs="Arial"/>
          <w:lang w:eastAsia="es-ES_tradnl"/>
        </w:rPr>
        <w:t xml:space="preserve"> </w:t>
      </w:r>
    </w:p>
    <w:p w14:paraId="4A4009AB" w14:textId="77777777" w:rsidR="00CE45C7" w:rsidRPr="00CE45C7" w:rsidRDefault="00CE45C7" w:rsidP="00CE45C7">
      <w:pPr>
        <w:spacing w:after="0" w:line="276" w:lineRule="auto"/>
        <w:jc w:val="both"/>
        <w:rPr>
          <w:rFonts w:ascii="Verdana" w:eastAsia="Calibri" w:hAnsi="Verdana" w:cs="Arial"/>
          <w:lang w:eastAsia="es-ES"/>
        </w:rPr>
      </w:pPr>
      <w:r w:rsidRPr="00CE45C7">
        <w:rPr>
          <w:rFonts w:ascii="Verdana" w:eastAsia="Calibri" w:hAnsi="Verdana" w:cs="Arial"/>
          <w:lang w:eastAsia="es-ES"/>
        </w:rPr>
        <w:t xml:space="preserve">Estimado señor Mosquera: </w:t>
      </w:r>
    </w:p>
    <w:p w14:paraId="15BFBD9D" w14:textId="77777777" w:rsidR="00CE45C7" w:rsidRPr="00CE45C7" w:rsidRDefault="00CE45C7" w:rsidP="00CE45C7">
      <w:pPr>
        <w:spacing w:after="0" w:line="276" w:lineRule="auto"/>
        <w:jc w:val="both"/>
        <w:rPr>
          <w:rFonts w:ascii="Verdana" w:hAnsi="Verdana"/>
          <w:lang w:val="es-MX"/>
        </w:rPr>
      </w:pPr>
    </w:p>
    <w:p w14:paraId="7FF3A7FD" w14:textId="58E316C2" w:rsidR="00CE45C7" w:rsidRPr="007551CB" w:rsidRDefault="00CE45C7" w:rsidP="00CE45C7">
      <w:pPr>
        <w:spacing w:after="120" w:line="276" w:lineRule="auto"/>
        <w:jc w:val="both"/>
        <w:rPr>
          <w:rFonts w:ascii="Verdana" w:eastAsia="Calibri" w:hAnsi="Verdana" w:cs="Arial"/>
          <w:lang w:eastAsia="es-ES"/>
        </w:rPr>
      </w:pPr>
      <w:r w:rsidRPr="00CE45C7">
        <w:rPr>
          <w:rFonts w:ascii="Verdana" w:hAnsi="Verdana"/>
        </w:rPr>
        <w:t xml:space="preserve">La Agencia Nacional de Contratación Pública – Colombia Compra Eficiente –, en ejercicio de las competencias otorgadas </w:t>
      </w:r>
      <w:r w:rsidRPr="00CE45C7">
        <w:rPr>
          <w:rFonts w:ascii="Verdana" w:eastAsia="Calibri" w:hAnsi="Verdana" w:cs="Arial"/>
          <w:lang w:eastAsia="es-ES"/>
        </w:rPr>
        <w:t xml:space="preserve">por los artículos 3, numeral 5º, y 11, </w:t>
      </w:r>
      <w:r w:rsidRPr="00CE45C7">
        <w:rPr>
          <w:rFonts w:ascii="Verdana" w:eastAsia="Calibri" w:hAnsi="Verdana" w:cs="Arial"/>
          <w:lang w:eastAsia="es-ES"/>
        </w:rPr>
        <w:lastRenderedPageBreak/>
        <w:t xml:space="preserve">numeral 8º, del Decreto Ley 4170 de 2011 y </w:t>
      </w:r>
      <w:r w:rsidRPr="00CE45C7">
        <w:rPr>
          <w:rFonts w:ascii="Verdana" w:hAnsi="Verdana"/>
        </w:rPr>
        <w:t xml:space="preserve">de conformidad con las modalidades del derecho de petición contempladas en la Ley 1755 de 2015 y en la resolución </w:t>
      </w:r>
      <w:proofErr w:type="spellStart"/>
      <w:r w:rsidRPr="00CE45C7">
        <w:rPr>
          <w:rFonts w:ascii="Verdana" w:eastAsia="Times New Roman" w:hAnsi="Verdana" w:cs="Segoe UI"/>
          <w:lang w:eastAsia="es-CO"/>
        </w:rPr>
        <w:t>N°</w:t>
      </w:r>
      <w:proofErr w:type="spellEnd"/>
      <w:r w:rsidRPr="00CE45C7">
        <w:rPr>
          <w:rFonts w:ascii="Verdana" w:eastAsia="Times New Roman" w:hAnsi="Verdana" w:cs="Segoe UI"/>
          <w:lang w:eastAsia="es-CO"/>
        </w:rPr>
        <w:t xml:space="preserve"> 469 del 2025 </w:t>
      </w:r>
      <w:r w:rsidRPr="00CE45C7">
        <w:rPr>
          <w:rFonts w:ascii="Verdana" w:hAnsi="Verdana"/>
        </w:rPr>
        <w:t xml:space="preserve">expedida por esta Agencia, </w:t>
      </w:r>
      <w:r w:rsidRPr="00CE45C7">
        <w:rPr>
          <w:rFonts w:ascii="Verdana" w:eastAsia="Calibri" w:hAnsi="Verdana" w:cs="Arial"/>
          <w:lang w:eastAsia="es-ES"/>
        </w:rPr>
        <w:t xml:space="preserve">responde su solicitud de consulta de fecha </w:t>
      </w:r>
      <w:r w:rsidR="00E52EF3">
        <w:rPr>
          <w:rFonts w:ascii="Verdana" w:eastAsia="Calibri" w:hAnsi="Verdana" w:cs="Arial"/>
          <w:lang w:eastAsia="es-ES"/>
        </w:rPr>
        <w:t xml:space="preserve">del </w:t>
      </w:r>
      <w:r w:rsidRPr="00CE45C7">
        <w:rPr>
          <w:rFonts w:ascii="Verdana" w:eastAsia="Calibri" w:hAnsi="Verdana" w:cs="Arial"/>
          <w:lang w:eastAsia="es-ES"/>
        </w:rPr>
        <w:t>7 de abril de 2026, en la cual manifiesta lo siguiente:</w:t>
      </w:r>
    </w:p>
    <w:p w14:paraId="798D3D80" w14:textId="36824C97" w:rsidR="007551CB" w:rsidRPr="007551CB" w:rsidRDefault="003F7E54" w:rsidP="00D9716A">
      <w:pPr>
        <w:pStyle w:val="paragraph"/>
        <w:ind w:left="737" w:right="737"/>
        <w:textAlignment w:val="baseline"/>
        <w:rPr>
          <w:rFonts w:ascii="Verdana" w:hAnsi="Verdana" w:cs="Segoe UI"/>
          <w:sz w:val="22"/>
          <w:szCs w:val="22"/>
        </w:rPr>
      </w:pPr>
      <w:r>
        <w:rPr>
          <w:rStyle w:val="normaltextrun"/>
          <w:rFonts w:ascii="Verdana" w:hAnsi="Verdana" w:cs="Segoe UI"/>
          <w:b/>
          <w:bCs/>
          <w:sz w:val="22"/>
          <w:szCs w:val="22"/>
        </w:rPr>
        <w:t>“</w:t>
      </w:r>
      <w:r w:rsidR="007551CB" w:rsidRPr="007551CB">
        <w:rPr>
          <w:rStyle w:val="normaltextrun"/>
          <w:rFonts w:ascii="Verdana" w:hAnsi="Verdana" w:cs="Segoe UI"/>
          <w:b/>
          <w:bCs/>
          <w:sz w:val="22"/>
          <w:szCs w:val="22"/>
        </w:rPr>
        <w:t>Señores</w:t>
      </w:r>
      <w:r w:rsidR="007551CB" w:rsidRPr="007551CB">
        <w:rPr>
          <w:rStyle w:val="scxw252875387"/>
          <w:rFonts w:ascii="Verdana" w:hAnsi="Verdana" w:cs="Segoe UI"/>
          <w:sz w:val="22"/>
          <w:szCs w:val="22"/>
        </w:rPr>
        <w:t> </w:t>
      </w:r>
      <w:r w:rsidR="007551CB" w:rsidRPr="007551CB">
        <w:rPr>
          <w:rFonts w:ascii="Verdana" w:hAnsi="Verdana" w:cs="Segoe UI"/>
          <w:sz w:val="22"/>
          <w:szCs w:val="22"/>
        </w:rPr>
        <w:br/>
      </w:r>
      <w:r w:rsidR="007551CB" w:rsidRPr="007551CB">
        <w:rPr>
          <w:rStyle w:val="normaltextrun"/>
          <w:rFonts w:ascii="Verdana" w:hAnsi="Verdana" w:cs="Segoe UI"/>
          <w:sz w:val="22"/>
          <w:szCs w:val="22"/>
        </w:rPr>
        <w:t>COLOMBIA COMPRA EFICIENTE</w:t>
      </w:r>
      <w:r w:rsidR="007551CB" w:rsidRPr="007551CB">
        <w:rPr>
          <w:rStyle w:val="scxw252875387"/>
          <w:rFonts w:ascii="Verdana" w:hAnsi="Verdana" w:cs="Segoe UI"/>
          <w:sz w:val="22"/>
          <w:szCs w:val="22"/>
        </w:rPr>
        <w:t> </w:t>
      </w:r>
      <w:r w:rsidR="007551CB" w:rsidRPr="007551CB">
        <w:rPr>
          <w:rFonts w:ascii="Verdana" w:hAnsi="Verdana" w:cs="Segoe UI"/>
          <w:sz w:val="22"/>
          <w:szCs w:val="22"/>
        </w:rPr>
        <w:br/>
      </w:r>
      <w:r w:rsidR="007551CB" w:rsidRPr="007551CB">
        <w:rPr>
          <w:rStyle w:val="normaltextrun"/>
          <w:rFonts w:ascii="Verdana" w:hAnsi="Verdana" w:cs="Segoe UI"/>
          <w:sz w:val="22"/>
          <w:szCs w:val="22"/>
        </w:rPr>
        <w:t>E. S. D.</w:t>
      </w:r>
      <w:r w:rsidR="007551CB" w:rsidRPr="007551CB">
        <w:rPr>
          <w:rStyle w:val="eop"/>
          <w:rFonts w:ascii="Verdana" w:hAnsi="Verdana" w:cs="Segoe UI"/>
          <w:sz w:val="22"/>
          <w:szCs w:val="22"/>
        </w:rPr>
        <w:t> </w:t>
      </w:r>
    </w:p>
    <w:p w14:paraId="3A7D62A4" w14:textId="77777777" w:rsidR="007551CB" w:rsidRPr="007551CB" w:rsidRDefault="007551CB" w:rsidP="00D9716A">
      <w:pPr>
        <w:pStyle w:val="paragraph"/>
        <w:ind w:left="737" w:right="737"/>
        <w:jc w:val="both"/>
        <w:textAlignment w:val="baseline"/>
        <w:rPr>
          <w:rFonts w:ascii="Verdana" w:hAnsi="Verdana" w:cs="Segoe UI"/>
          <w:sz w:val="22"/>
          <w:szCs w:val="22"/>
        </w:rPr>
      </w:pPr>
      <w:r w:rsidRPr="007551CB">
        <w:rPr>
          <w:rStyle w:val="normaltextrun"/>
          <w:rFonts w:ascii="Verdana" w:hAnsi="Verdana" w:cs="Segoe UI"/>
          <w:b/>
          <w:bCs/>
          <w:sz w:val="22"/>
          <w:szCs w:val="22"/>
        </w:rPr>
        <w:t>Asunto:</w:t>
      </w:r>
      <w:r w:rsidRPr="007551CB">
        <w:rPr>
          <w:rStyle w:val="normaltextrun"/>
          <w:rFonts w:ascii="Verdana" w:hAnsi="Verdana" w:cs="Segoe UI"/>
          <w:sz w:val="22"/>
          <w:szCs w:val="22"/>
        </w:rPr>
        <w:t> Derecho de petición – Consulta aplicación Ley de Garantías</w:t>
      </w:r>
      <w:r w:rsidRPr="007551CB">
        <w:rPr>
          <w:rStyle w:val="eop"/>
          <w:rFonts w:ascii="Verdana" w:hAnsi="Verdana" w:cs="Segoe UI"/>
          <w:sz w:val="22"/>
          <w:szCs w:val="22"/>
        </w:rPr>
        <w:t> </w:t>
      </w:r>
    </w:p>
    <w:p w14:paraId="773E1341" w14:textId="77777777" w:rsidR="007551CB" w:rsidRPr="007551CB" w:rsidRDefault="007551CB" w:rsidP="00D9716A">
      <w:pPr>
        <w:pStyle w:val="paragraph"/>
        <w:ind w:left="737" w:right="737"/>
        <w:jc w:val="both"/>
        <w:textAlignment w:val="baseline"/>
        <w:rPr>
          <w:rFonts w:ascii="Verdana" w:hAnsi="Verdana" w:cs="Segoe UI"/>
          <w:sz w:val="22"/>
          <w:szCs w:val="22"/>
        </w:rPr>
      </w:pPr>
      <w:r w:rsidRPr="007551CB">
        <w:rPr>
          <w:rStyle w:val="normaltextrun"/>
          <w:rFonts w:ascii="Verdana" w:hAnsi="Verdana" w:cs="Segoe UI"/>
          <w:sz w:val="22"/>
          <w:szCs w:val="22"/>
        </w:rPr>
        <w:t>Yo, </w:t>
      </w:r>
      <w:r w:rsidRPr="007551CB">
        <w:rPr>
          <w:rStyle w:val="normaltextrun"/>
          <w:rFonts w:ascii="Verdana" w:hAnsi="Verdana" w:cs="Segoe UI"/>
          <w:b/>
          <w:bCs/>
          <w:sz w:val="22"/>
          <w:szCs w:val="22"/>
        </w:rPr>
        <w:t>LISANDRO MOSQUERA MOSQUERA</w:t>
      </w:r>
      <w:r w:rsidRPr="007551CB">
        <w:rPr>
          <w:rStyle w:val="normaltextrun"/>
          <w:rFonts w:ascii="Verdana" w:hAnsi="Verdana" w:cs="Segoe UI"/>
          <w:sz w:val="22"/>
          <w:szCs w:val="22"/>
        </w:rPr>
        <w:t>, identificado con la cédula de ciudadanía No. 82.260.234 de San José del Palmar – Chocó, abogado en ejercicio portador de la Tarjeta Profesional No. 167.421 del Consejo Superior de la Judicatura, </w:t>
      </w:r>
      <w:r w:rsidRPr="007551CB">
        <w:rPr>
          <w:rStyle w:val="normaltextrun"/>
          <w:rFonts w:ascii="Verdana" w:hAnsi="Verdana" w:cs="Segoe UI"/>
          <w:b/>
          <w:bCs/>
          <w:sz w:val="22"/>
          <w:szCs w:val="22"/>
        </w:rPr>
        <w:t>en calidad de asesor jurídico de una entidad territorial</w:t>
      </w:r>
      <w:r w:rsidRPr="007551CB">
        <w:rPr>
          <w:rStyle w:val="normaltextrun"/>
          <w:rFonts w:ascii="Verdana" w:hAnsi="Verdana" w:cs="Segoe UI"/>
          <w:sz w:val="22"/>
          <w:szCs w:val="22"/>
        </w:rPr>
        <w:t>, en ejercicio del derecho fundamental de petición consagrado en el artículo 23 de la Constitución Política y desarrollado por la Ley 1755 de 2015, me permito elevar la siguiente solicitud:</w:t>
      </w:r>
      <w:r w:rsidRPr="007551CB">
        <w:rPr>
          <w:rStyle w:val="eop"/>
          <w:rFonts w:ascii="Verdana" w:hAnsi="Verdana" w:cs="Segoe UI"/>
          <w:sz w:val="22"/>
          <w:szCs w:val="22"/>
        </w:rPr>
        <w:t> </w:t>
      </w:r>
    </w:p>
    <w:p w14:paraId="075332D6" w14:textId="4B8ED549" w:rsidR="00CE45C7" w:rsidRPr="003F7E54" w:rsidRDefault="007551CB" w:rsidP="00D9716A">
      <w:pPr>
        <w:pStyle w:val="paragraph"/>
        <w:ind w:left="737" w:right="737"/>
        <w:jc w:val="both"/>
        <w:textAlignment w:val="baseline"/>
        <w:rPr>
          <w:rFonts w:ascii="Verdana" w:hAnsi="Verdana" w:cs="Segoe UI"/>
          <w:sz w:val="22"/>
          <w:szCs w:val="22"/>
        </w:rPr>
      </w:pPr>
      <w:r w:rsidRPr="007551CB">
        <w:rPr>
          <w:rStyle w:val="normaltextrun"/>
          <w:rFonts w:ascii="Verdana" w:hAnsi="Verdana" w:cs="Segoe UI"/>
          <w:sz w:val="22"/>
          <w:szCs w:val="22"/>
        </w:rPr>
        <w:t>De manera respetuosa solicito se sirvan conceptuar si, durante la vigencia de la </w:t>
      </w:r>
      <w:r w:rsidRPr="007551CB">
        <w:rPr>
          <w:rStyle w:val="normaltextrun"/>
          <w:rFonts w:ascii="Verdana" w:hAnsi="Verdana" w:cs="Segoe UI"/>
          <w:b/>
          <w:bCs/>
          <w:sz w:val="22"/>
          <w:szCs w:val="22"/>
        </w:rPr>
        <w:t>Ley de Garantías Electorales</w:t>
      </w:r>
      <w:r w:rsidRPr="007551CB">
        <w:rPr>
          <w:rStyle w:val="normaltextrun"/>
          <w:rFonts w:ascii="Verdana" w:hAnsi="Verdana" w:cs="Segoe UI"/>
          <w:sz w:val="22"/>
          <w:szCs w:val="22"/>
        </w:rPr>
        <w:t>, las entidades territoriales pueden celebrar </w:t>
      </w:r>
      <w:r w:rsidRPr="007551CB">
        <w:rPr>
          <w:rStyle w:val="normaltextrun"/>
          <w:rFonts w:ascii="Verdana" w:hAnsi="Verdana" w:cs="Segoe UI"/>
          <w:b/>
          <w:bCs/>
          <w:sz w:val="22"/>
          <w:szCs w:val="22"/>
        </w:rPr>
        <w:t>contratos de prestación de servicios personales con personas naturales</w:t>
      </w:r>
      <w:r w:rsidRPr="007551CB">
        <w:rPr>
          <w:rStyle w:val="normaltextrun"/>
          <w:rFonts w:ascii="Verdana" w:hAnsi="Verdana" w:cs="Segoe UI"/>
          <w:sz w:val="22"/>
          <w:szCs w:val="22"/>
        </w:rPr>
        <w:t> mediante la modalidad de </w:t>
      </w:r>
      <w:r w:rsidRPr="007551CB">
        <w:rPr>
          <w:rStyle w:val="normaltextrun"/>
          <w:rFonts w:ascii="Verdana" w:hAnsi="Verdana" w:cs="Segoe UI"/>
          <w:b/>
          <w:bCs/>
          <w:sz w:val="22"/>
          <w:szCs w:val="22"/>
        </w:rPr>
        <w:t>mínima cuantía</w:t>
      </w:r>
      <w:r w:rsidRPr="007551CB">
        <w:rPr>
          <w:rStyle w:val="normaltextrun"/>
          <w:rFonts w:ascii="Verdana" w:hAnsi="Verdana" w:cs="Segoe UI"/>
          <w:sz w:val="22"/>
          <w:szCs w:val="22"/>
        </w:rPr>
        <w:t xml:space="preserve">, siempre que el valor del contrato se ajuste a los límites establecidos para dicha modalidad en cada </w:t>
      </w:r>
      <w:proofErr w:type="gramStart"/>
      <w:r w:rsidR="003F7E54" w:rsidRPr="007551CB">
        <w:rPr>
          <w:rStyle w:val="normaltextrun"/>
          <w:rFonts w:ascii="Verdana" w:hAnsi="Verdana" w:cs="Segoe UI"/>
          <w:sz w:val="22"/>
          <w:szCs w:val="22"/>
        </w:rPr>
        <w:t>entidad</w:t>
      </w:r>
      <w:r w:rsidR="003F7E54" w:rsidRPr="007551CB">
        <w:rPr>
          <w:rStyle w:val="eop"/>
          <w:rFonts w:ascii="Verdana" w:hAnsi="Verdana" w:cs="Segoe UI"/>
          <w:sz w:val="22"/>
          <w:szCs w:val="22"/>
        </w:rPr>
        <w:t>.</w:t>
      </w:r>
      <w:r w:rsidR="003F7E54">
        <w:rPr>
          <w:rStyle w:val="eop"/>
          <w:rFonts w:ascii="Verdana" w:hAnsi="Verdana" w:cs="Segoe UI"/>
          <w:sz w:val="22"/>
          <w:szCs w:val="22"/>
        </w:rPr>
        <w:t>“</w:t>
      </w:r>
      <w:proofErr w:type="gramEnd"/>
    </w:p>
    <w:p w14:paraId="1DD1E5C8" w14:textId="77777777" w:rsidR="00CE45C7" w:rsidRPr="00CE45C7" w:rsidRDefault="00CE45C7" w:rsidP="00CE45C7">
      <w:pPr>
        <w:spacing w:after="120" w:line="276" w:lineRule="auto"/>
        <w:ind w:firstLine="709"/>
        <w:jc w:val="both"/>
        <w:rPr>
          <w:rFonts w:ascii="Verdana" w:eastAsia="Calibri" w:hAnsi="Verdana" w:cs="Arial"/>
          <w:color w:val="000000"/>
          <w:szCs w:val="24"/>
          <w:lang w:eastAsia="es-ES_tradnl"/>
        </w:rPr>
      </w:pPr>
      <w:r w:rsidRPr="00CE45C7">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w:t>
      </w:r>
      <w:r w:rsidRPr="00CE45C7">
        <w:rPr>
          <w:rFonts w:ascii="Verdana" w:eastAsia="Calibri" w:hAnsi="Verdana" w:cs="Arial"/>
          <w:color w:val="000000"/>
          <w:lang w:eastAsia="es-ES"/>
        </w:rPr>
        <w:lastRenderedPageBreak/>
        <w:t xml:space="preserve">por definición, no puede extenderse a la resolución de controversias, ni a brindar asesorías sobre casos puntuales. </w:t>
      </w:r>
    </w:p>
    <w:p w14:paraId="1868D950" w14:textId="77777777" w:rsidR="00CE45C7" w:rsidRDefault="00CE45C7" w:rsidP="00CE45C7">
      <w:pPr>
        <w:spacing w:after="120" w:line="276" w:lineRule="auto"/>
        <w:ind w:firstLine="709"/>
        <w:jc w:val="both"/>
        <w:rPr>
          <w:rFonts w:ascii="Verdana" w:eastAsia="Calibri" w:hAnsi="Verdana" w:cs="Arial"/>
          <w:lang w:eastAsia="es-ES"/>
        </w:rPr>
      </w:pPr>
      <w:r w:rsidRPr="00CE45C7">
        <w:rPr>
          <w:rFonts w:ascii="Verdana" w:eastAsia="Calibri" w:hAnsi="Verdana" w:cs="Arial"/>
          <w:color w:val="000000"/>
          <w:lang w:eastAsia="es-ES"/>
        </w:rPr>
        <w:t>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al problema jurídico de su consulta.</w:t>
      </w:r>
      <w:r w:rsidRPr="00CE45C7">
        <w:rPr>
          <w:rFonts w:ascii="Verdana" w:eastAsia="Calibri" w:hAnsi="Verdana" w:cs="Arial"/>
          <w:lang w:eastAsia="es-ES"/>
        </w:rPr>
        <w:t xml:space="preserve">  </w:t>
      </w:r>
    </w:p>
    <w:p w14:paraId="1090E50E" w14:textId="77777777" w:rsidR="00C00448" w:rsidRDefault="00C00448" w:rsidP="00CE45C7">
      <w:pPr>
        <w:spacing w:after="120" w:line="276" w:lineRule="auto"/>
        <w:ind w:firstLine="709"/>
        <w:jc w:val="both"/>
        <w:rPr>
          <w:rFonts w:ascii="Verdana" w:eastAsia="Calibri" w:hAnsi="Verdana" w:cs="Arial"/>
          <w:lang w:eastAsia="es-ES"/>
        </w:rPr>
      </w:pPr>
    </w:p>
    <w:p w14:paraId="79BE968A" w14:textId="77777777" w:rsidR="00C00448" w:rsidRPr="00CE45C7" w:rsidRDefault="00C00448" w:rsidP="00CE45C7">
      <w:pPr>
        <w:spacing w:after="120" w:line="276" w:lineRule="auto"/>
        <w:ind w:firstLine="709"/>
        <w:jc w:val="both"/>
        <w:rPr>
          <w:rFonts w:ascii="Verdana" w:eastAsia="Calibri" w:hAnsi="Verdana" w:cs="Arial"/>
          <w:lang w:eastAsia="es-ES"/>
        </w:rPr>
      </w:pPr>
    </w:p>
    <w:p w14:paraId="0965999F" w14:textId="77777777" w:rsidR="00CE45C7" w:rsidRPr="00CE45C7" w:rsidRDefault="00CE45C7" w:rsidP="00CE45C7">
      <w:pPr>
        <w:spacing w:after="120" w:line="276" w:lineRule="auto"/>
        <w:jc w:val="both"/>
        <w:rPr>
          <w:rFonts w:ascii="Verdana" w:eastAsia="Calibri" w:hAnsi="Verdana" w:cs="Arial"/>
          <w:lang w:eastAsia="es-ES"/>
        </w:rPr>
      </w:pPr>
      <w:r w:rsidRPr="00CE45C7">
        <w:rPr>
          <w:rFonts w:ascii="Verdana" w:eastAsia="Century Gothic" w:hAnsi="Verdana" w:cs="Century Gothic"/>
          <w:b/>
          <w:bCs/>
        </w:rPr>
        <w:t>1. Problema planteado:</w:t>
      </w:r>
    </w:p>
    <w:p w14:paraId="19C32E26" w14:textId="77777777" w:rsidR="00CE45C7" w:rsidRPr="00CE45C7" w:rsidRDefault="00CE45C7" w:rsidP="00CE45C7">
      <w:pPr>
        <w:spacing w:after="120" w:line="276" w:lineRule="auto"/>
        <w:jc w:val="both"/>
        <w:rPr>
          <w:rFonts w:ascii="Verdana" w:eastAsia="Calibri" w:hAnsi="Verdana" w:cs="Arial"/>
          <w:color w:val="000000"/>
          <w:lang w:eastAsia="es-ES"/>
        </w:rPr>
      </w:pPr>
      <w:r w:rsidRPr="00CE45C7">
        <w:rPr>
          <w:rFonts w:ascii="Verdana" w:eastAsia="Calibri" w:hAnsi="Verdana" w:cs="Arial"/>
          <w:color w:val="000000"/>
          <w:lang w:eastAsia="es-ES"/>
        </w:rPr>
        <w:t>De acuerdo con el contenido de su solicitud, esta Agencia resolverá el siguiente problema jurídico: ¿Es jurídicamente viable que, durante la vigencia de la Ley de Garantías Electorales, las entidades territoriales celebren contratos de prestación de servicios personales con personas naturales mediante la modalidad de mínima cuantía?</w:t>
      </w:r>
    </w:p>
    <w:p w14:paraId="6FCE22EC" w14:textId="77777777" w:rsidR="00CE45C7" w:rsidRPr="00CE45C7" w:rsidRDefault="00CE45C7" w:rsidP="00CE45C7">
      <w:pPr>
        <w:spacing w:after="0" w:line="276" w:lineRule="auto"/>
        <w:jc w:val="both"/>
        <w:rPr>
          <w:rFonts w:ascii="Verdana" w:hAnsi="Verdana" w:cs="Arial"/>
        </w:rPr>
      </w:pPr>
      <w:r w:rsidRPr="00CE45C7">
        <w:rPr>
          <w:rFonts w:ascii="Verdana" w:eastAsia="Century Gothic" w:hAnsi="Verdana" w:cs="Century Gothic"/>
          <w:b/>
          <w:bCs/>
        </w:rPr>
        <w:t>2. Respuesta:</w:t>
      </w:r>
    </w:p>
    <w:p w14:paraId="521E9DA3" w14:textId="77777777" w:rsidR="00CE45C7" w:rsidRPr="00CE45C7" w:rsidRDefault="00CE45C7" w:rsidP="00CE45C7">
      <w:pPr>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CE45C7" w:rsidRPr="00CE45C7" w14:paraId="1D98B17A" w14:textId="77777777" w:rsidTr="238376C6">
        <w:tc>
          <w:tcPr>
            <w:tcW w:w="8828" w:type="dxa"/>
          </w:tcPr>
          <w:p w14:paraId="5B8E43BE" w14:textId="77777777" w:rsidR="00831865" w:rsidRPr="009177D6" w:rsidRDefault="00831865" w:rsidP="009177D6">
            <w:pPr>
              <w:tabs>
                <w:tab w:val="left" w:pos="709"/>
              </w:tabs>
              <w:spacing w:after="120" w:line="276" w:lineRule="auto"/>
              <w:ind w:firstLine="709"/>
              <w:contextualSpacing/>
              <w:jc w:val="both"/>
              <w:rPr>
                <w:rFonts w:ascii="Verdana" w:eastAsia="Calibri" w:hAnsi="Verdana" w:cs="Arial"/>
              </w:rPr>
            </w:pPr>
          </w:p>
          <w:p w14:paraId="19FB0A34" w14:textId="7084D8C0" w:rsidR="00B013ED" w:rsidRDefault="0006686D" w:rsidP="00FF1107">
            <w:pPr>
              <w:tabs>
                <w:tab w:val="left" w:pos="709"/>
              </w:tabs>
              <w:spacing w:before="240" w:after="120" w:line="276" w:lineRule="auto"/>
              <w:ind w:firstLine="709"/>
              <w:contextualSpacing/>
              <w:jc w:val="both"/>
              <w:rPr>
                <w:rFonts w:ascii="Verdana" w:eastAsia="Calibri" w:hAnsi="Verdana" w:cs="Arial"/>
              </w:rPr>
            </w:pPr>
            <w:r>
              <w:rPr>
                <w:rFonts w:ascii="Verdana" w:eastAsia="Calibri" w:hAnsi="Verdana" w:cs="Arial"/>
              </w:rPr>
              <w:t xml:space="preserve">En atención a </w:t>
            </w:r>
            <w:r w:rsidR="008D38E5">
              <w:rPr>
                <w:rFonts w:ascii="Verdana" w:eastAsia="Calibri" w:hAnsi="Verdana" w:cs="Arial"/>
              </w:rPr>
              <w:t>su consulta,</w:t>
            </w:r>
            <w:r w:rsidR="00B013ED" w:rsidRPr="00B013ED">
              <w:rPr>
                <w:rFonts w:ascii="Verdana" w:eastAsia="Calibri" w:hAnsi="Verdana" w:cs="Arial"/>
              </w:rPr>
              <w:t xml:space="preserve"> debe precisarse que, las Entidades Estatales, al momento de estructurar sus procesos de contratación, deben ceñirse a las situaciones fácticas y jurídicas definidas por el legislador en el artículo 2 de la Ley 1150 de 2007, a efectos de determinar la modalidad de selección procedente para la celebración de un contrato estatal, de acuerdo con su objeto y cuantía. En este contexto, resulta importante señalar que la </w:t>
            </w:r>
            <w:r w:rsidR="00B013ED" w:rsidRPr="009177D6">
              <w:rPr>
                <w:rFonts w:ascii="Verdana" w:eastAsia="Calibri" w:hAnsi="Verdana" w:cs="Arial"/>
              </w:rPr>
              <w:t xml:space="preserve">contratación directa </w:t>
            </w:r>
            <w:r w:rsidR="00B013ED" w:rsidRPr="00B013ED">
              <w:rPr>
                <w:rFonts w:ascii="Verdana" w:eastAsia="Calibri" w:hAnsi="Verdana" w:cs="Arial"/>
              </w:rPr>
              <w:t xml:space="preserve">constituye una </w:t>
            </w:r>
            <w:r w:rsidR="00B013ED" w:rsidRPr="009177D6">
              <w:rPr>
                <w:rFonts w:ascii="Verdana" w:eastAsia="Calibri" w:hAnsi="Verdana" w:cs="Arial"/>
              </w:rPr>
              <w:t>excepción al principio de libre concurrencia y competencia</w:t>
            </w:r>
            <w:r w:rsidR="00B013ED" w:rsidRPr="00B013ED">
              <w:rPr>
                <w:rFonts w:ascii="Verdana" w:eastAsia="Calibri" w:hAnsi="Verdana" w:cs="Arial"/>
              </w:rPr>
              <w:t>, el cual rige los procesos de contratación estatal y garantiza que cualquier persona interesada en satisfacer la necesidad de una entidad pueda presentar una oferta.</w:t>
            </w:r>
          </w:p>
          <w:p w14:paraId="20327622" w14:textId="77777777" w:rsidR="008D38E5" w:rsidRPr="008D38E5" w:rsidRDefault="008D38E5" w:rsidP="00FF1107">
            <w:pPr>
              <w:tabs>
                <w:tab w:val="left" w:pos="709"/>
              </w:tabs>
              <w:spacing w:before="240" w:after="120" w:line="276" w:lineRule="auto"/>
              <w:ind w:firstLine="709"/>
              <w:contextualSpacing/>
              <w:jc w:val="both"/>
              <w:rPr>
                <w:rFonts w:ascii="Verdana" w:eastAsia="Calibri" w:hAnsi="Verdana" w:cs="Arial"/>
              </w:rPr>
            </w:pPr>
          </w:p>
          <w:p w14:paraId="5AAFFB0F" w14:textId="1320915B" w:rsidR="00B013ED" w:rsidRPr="008D38E5" w:rsidRDefault="008D38E5" w:rsidP="00FF1107">
            <w:pPr>
              <w:tabs>
                <w:tab w:val="left" w:pos="709"/>
              </w:tabs>
              <w:spacing w:before="240" w:after="120" w:line="276" w:lineRule="auto"/>
              <w:ind w:firstLine="709"/>
              <w:contextualSpacing/>
              <w:jc w:val="both"/>
              <w:rPr>
                <w:rFonts w:ascii="Verdana" w:eastAsia="Calibri" w:hAnsi="Verdana" w:cs="Arial"/>
              </w:rPr>
            </w:pPr>
            <w:r w:rsidRPr="00573D1D">
              <w:rPr>
                <w:rFonts w:ascii="Verdana" w:eastAsia="Calibri" w:hAnsi="Verdana" w:cs="Arial"/>
              </w:rPr>
              <w:t>Al tratarse de una excepción a dichos principios, la contratación directa es de aplicación restrictiva, es decir, únicamente procede en los eventos expresamente señalados por la ley. Principalmente, las causales para acudir a esta modalidad se encuentran previstas en el</w:t>
            </w:r>
            <w:r w:rsidRPr="009177D6">
              <w:rPr>
                <w:rFonts w:ascii="Verdana" w:eastAsia="Calibri" w:hAnsi="Verdana" w:cs="Arial"/>
              </w:rPr>
              <w:t xml:space="preserve"> numeral 4 del artículo 2 de la Ley 1150 de 2007; no obstante, existen también otras disposiciones legales que autorizan la contratación directa en supuestos específicos.</w:t>
            </w:r>
          </w:p>
          <w:p w14:paraId="5313321F" w14:textId="505315F2" w:rsidR="00573D1D" w:rsidRDefault="00573D1D" w:rsidP="00FF1107">
            <w:pPr>
              <w:tabs>
                <w:tab w:val="left" w:pos="2076"/>
              </w:tabs>
              <w:spacing w:before="240" w:after="120" w:line="276" w:lineRule="auto"/>
              <w:ind w:firstLine="709"/>
              <w:contextualSpacing/>
              <w:jc w:val="both"/>
              <w:rPr>
                <w:rFonts w:ascii="Verdana" w:eastAsia="Calibri" w:hAnsi="Verdana" w:cs="Arial"/>
              </w:rPr>
            </w:pPr>
          </w:p>
          <w:p w14:paraId="29D7ECFD" w14:textId="77777777" w:rsidR="00573D1D" w:rsidRPr="00573D1D" w:rsidRDefault="00573D1D" w:rsidP="00FF1107">
            <w:pPr>
              <w:tabs>
                <w:tab w:val="left" w:pos="709"/>
              </w:tabs>
              <w:spacing w:before="240" w:after="120" w:line="276" w:lineRule="auto"/>
              <w:ind w:firstLine="709"/>
              <w:contextualSpacing/>
              <w:jc w:val="both"/>
              <w:rPr>
                <w:rFonts w:ascii="Verdana" w:eastAsia="Calibri" w:hAnsi="Verdana" w:cs="Arial"/>
              </w:rPr>
            </w:pPr>
            <w:r w:rsidRPr="00573D1D">
              <w:rPr>
                <w:rFonts w:ascii="Verdana" w:eastAsia="Calibri" w:hAnsi="Verdana" w:cs="Arial"/>
              </w:rPr>
              <w:lastRenderedPageBreak/>
              <w:t xml:space="preserve">En ese sentido, su aplicación no puede realizarse por fuera del contenido normativo ni extenderse más allá de lo expresamente dispuesto por el legislador dentro del ordenamiento jurídico de la contratación estatal. Así, respecto al primer problema jurídico, en virtud de la causal definida en el literal h) del citado numeral 4, la contratación directa procede específicamente para la celebración de contratos de prestación de servicios profesionales, de apoyo a la gestión o para la ejecución de trabajos artísticos, sin distinción de la cuantía u objeto, en los términos previstos en dicha disposición. </w:t>
            </w:r>
          </w:p>
          <w:p w14:paraId="5A627C2D" w14:textId="77777777" w:rsidR="00573D1D" w:rsidRPr="009177D6" w:rsidRDefault="00573D1D" w:rsidP="00FF1107">
            <w:pPr>
              <w:autoSpaceDE w:val="0"/>
              <w:autoSpaceDN w:val="0"/>
              <w:adjustRightInd w:val="0"/>
              <w:spacing w:before="240"/>
              <w:ind w:firstLine="709"/>
              <w:rPr>
                <w:rFonts w:ascii="Verdana" w:eastAsia="Calibri" w:hAnsi="Verdana" w:cs="Arial"/>
              </w:rPr>
            </w:pPr>
          </w:p>
          <w:p w14:paraId="5AB0F9EA" w14:textId="3BBFE7F1" w:rsidR="00573D1D" w:rsidRDefault="00573D1D" w:rsidP="00FF1107">
            <w:pPr>
              <w:tabs>
                <w:tab w:val="left" w:pos="709"/>
              </w:tabs>
              <w:spacing w:before="240" w:after="120" w:line="276" w:lineRule="auto"/>
              <w:ind w:firstLine="709"/>
              <w:contextualSpacing/>
              <w:jc w:val="both"/>
              <w:rPr>
                <w:rFonts w:ascii="Verdana" w:eastAsia="Calibri" w:hAnsi="Verdana" w:cs="Arial"/>
              </w:rPr>
            </w:pPr>
            <w:r w:rsidRPr="00573D1D">
              <w:rPr>
                <w:rFonts w:ascii="Verdana" w:eastAsia="Calibri" w:hAnsi="Verdana" w:cs="Arial"/>
              </w:rPr>
              <w:t>Esta precisión resulta relevante, pues en materia de selección de contratistas rige el principio de legalidad, conforme al cual la entidad debe acudir exclusivamente a la modalidad establecida por el legislador, de acuerdo con las causales o eventos previstos para la procedencia de cada una. En consecuencia, la contratación de prestación de servicios solo podrá adelantarse de forma directa cuando estos correspondan a servicios</w:t>
            </w:r>
            <w:r w:rsidR="00914549">
              <w:rPr>
                <w:rFonts w:ascii="Verdana" w:eastAsia="Calibri" w:hAnsi="Verdana" w:cs="Arial"/>
              </w:rPr>
              <w:t xml:space="preserve"> </w:t>
            </w:r>
            <w:r w:rsidR="009A03EF" w:rsidRPr="009177D6">
              <w:rPr>
                <w:rFonts w:ascii="Verdana" w:eastAsia="Calibri" w:hAnsi="Verdana" w:cs="Arial"/>
              </w:rPr>
              <w:t>profesionales, de apoyo a la gestión o artísticos</w:t>
            </w:r>
            <w:r w:rsidR="009A03EF" w:rsidRPr="009A03EF">
              <w:rPr>
                <w:rFonts w:ascii="Verdana" w:eastAsia="Calibri" w:hAnsi="Verdana" w:cs="Arial"/>
              </w:rPr>
              <w:t>, en los términos autorizados por la ley.</w:t>
            </w:r>
          </w:p>
          <w:p w14:paraId="3BC95D20" w14:textId="77777777" w:rsidR="00573D1D" w:rsidRDefault="00573D1D" w:rsidP="00FF1107">
            <w:pPr>
              <w:tabs>
                <w:tab w:val="left" w:pos="709"/>
              </w:tabs>
              <w:spacing w:before="240" w:after="120" w:line="276" w:lineRule="auto"/>
              <w:ind w:firstLine="709"/>
              <w:contextualSpacing/>
              <w:jc w:val="both"/>
              <w:rPr>
                <w:rFonts w:ascii="Verdana" w:eastAsia="Calibri" w:hAnsi="Verdana" w:cs="Arial"/>
              </w:rPr>
            </w:pPr>
          </w:p>
          <w:p w14:paraId="0CC2DD2A" w14:textId="0F5AB690" w:rsidR="00573D1D" w:rsidRDefault="002538C2" w:rsidP="00FF1107">
            <w:pPr>
              <w:tabs>
                <w:tab w:val="left" w:pos="709"/>
              </w:tabs>
              <w:spacing w:before="240" w:after="120" w:line="276" w:lineRule="auto"/>
              <w:ind w:firstLine="709"/>
              <w:contextualSpacing/>
              <w:jc w:val="both"/>
              <w:rPr>
                <w:rFonts w:ascii="Verdana" w:eastAsia="Calibri" w:hAnsi="Verdana" w:cs="Arial"/>
              </w:rPr>
            </w:pPr>
            <w:r w:rsidRPr="002538C2">
              <w:rPr>
                <w:rFonts w:ascii="Verdana" w:eastAsia="Calibri" w:hAnsi="Verdana" w:cs="Arial"/>
              </w:rPr>
              <w:t>En armonía con lo anterior, se concluye que la contratación directa, como modalidad de selección prevista en la Ley, se encuentra condicionada a la aplicación estricta y restrictiva de sus causales, por lo que no es procedente realizar interpretaciones amplias o extensivas. Ello, en atención a que su finalidad es constituir una excepción a la libre concurrencia de oferentes y no un mecanismo para impedir o restringir la competencia, de conformidad con los principios que rigen la contratación estatal, la función administrativa y la gestión fiscal.</w:t>
            </w:r>
          </w:p>
          <w:p w14:paraId="1A7EC923" w14:textId="77777777" w:rsidR="00573D1D" w:rsidRDefault="00573D1D" w:rsidP="00FF1107">
            <w:pPr>
              <w:tabs>
                <w:tab w:val="left" w:pos="709"/>
              </w:tabs>
              <w:spacing w:before="240" w:after="120" w:line="276" w:lineRule="auto"/>
              <w:ind w:firstLine="709"/>
              <w:contextualSpacing/>
              <w:jc w:val="both"/>
              <w:rPr>
                <w:rFonts w:ascii="Verdana" w:eastAsia="Calibri" w:hAnsi="Verdana" w:cs="Arial"/>
              </w:rPr>
            </w:pPr>
          </w:p>
          <w:p w14:paraId="00C512A7" w14:textId="30FAA5AC" w:rsidR="00215713" w:rsidRPr="009177D6" w:rsidRDefault="00215713" w:rsidP="00FF1107">
            <w:pPr>
              <w:autoSpaceDE w:val="0"/>
              <w:autoSpaceDN w:val="0"/>
              <w:adjustRightInd w:val="0"/>
              <w:spacing w:before="240"/>
              <w:ind w:firstLine="709"/>
              <w:jc w:val="both"/>
              <w:rPr>
                <w:rFonts w:ascii="Verdana" w:eastAsia="Calibri" w:hAnsi="Verdana" w:cs="Arial"/>
              </w:rPr>
            </w:pPr>
            <w:r w:rsidRPr="009177D6">
              <w:rPr>
                <w:rFonts w:ascii="Verdana" w:eastAsia="Calibri" w:hAnsi="Verdana" w:cs="Arial"/>
              </w:rPr>
              <w:t xml:space="preserve">Respecto </w:t>
            </w:r>
            <w:r w:rsidR="009177D6" w:rsidRPr="009177D6">
              <w:rPr>
                <w:rFonts w:ascii="Verdana" w:eastAsia="Calibri" w:hAnsi="Verdana" w:cs="Arial"/>
              </w:rPr>
              <w:t>al</w:t>
            </w:r>
            <w:r w:rsidR="009177D6">
              <w:rPr>
                <w:rFonts w:ascii="Verdana" w:eastAsia="Calibri" w:hAnsi="Verdana" w:cs="Arial"/>
              </w:rPr>
              <w:t xml:space="preserve"> problema </w:t>
            </w:r>
            <w:r w:rsidRPr="009177D6">
              <w:rPr>
                <w:rFonts w:ascii="Verdana" w:eastAsia="Calibri" w:hAnsi="Verdana" w:cs="Arial"/>
              </w:rPr>
              <w:t>jurídico</w:t>
            </w:r>
            <w:r w:rsidR="009177D6">
              <w:rPr>
                <w:rFonts w:ascii="Verdana" w:eastAsia="Calibri" w:hAnsi="Verdana" w:cs="Arial"/>
              </w:rPr>
              <w:t xml:space="preserve"> </w:t>
            </w:r>
            <w:r w:rsidR="00465E87">
              <w:rPr>
                <w:rFonts w:ascii="Verdana" w:eastAsia="Calibri" w:hAnsi="Verdana" w:cs="Arial"/>
              </w:rPr>
              <w:t>planteado,</w:t>
            </w:r>
            <w:r w:rsidRPr="009177D6">
              <w:rPr>
                <w:rFonts w:ascii="Verdana" w:eastAsia="Calibri" w:hAnsi="Verdana" w:cs="Arial"/>
              </w:rPr>
              <w:t xml:space="preserve"> la modalidad de selección de mínima cuantía, regulada en el numeral 5 del artículo 2 de la Ley 1150 de 2007, permite “la contratación cuyo valor no excede del diez por ciento (10 %) de la menor cuantía de la entidad, independientemente de su objeto”. En consecuencia, la procedencia de esta modalidad depende de un factor determinante: la cuantía del contrato que se pretende celebrar. </w:t>
            </w:r>
          </w:p>
          <w:p w14:paraId="4B783A9C" w14:textId="77777777" w:rsidR="009177D6" w:rsidRPr="009177D6" w:rsidRDefault="009177D6" w:rsidP="00FF1107">
            <w:pPr>
              <w:autoSpaceDE w:val="0"/>
              <w:autoSpaceDN w:val="0"/>
              <w:adjustRightInd w:val="0"/>
              <w:spacing w:before="240"/>
              <w:ind w:firstLine="709"/>
              <w:rPr>
                <w:rFonts w:ascii="Verdana" w:eastAsia="Calibri" w:hAnsi="Verdana" w:cs="Arial"/>
              </w:rPr>
            </w:pPr>
          </w:p>
          <w:p w14:paraId="23694F3C" w14:textId="77777777" w:rsidR="00215713" w:rsidRDefault="00215713" w:rsidP="00FF1107">
            <w:pPr>
              <w:autoSpaceDE w:val="0"/>
              <w:autoSpaceDN w:val="0"/>
              <w:adjustRightInd w:val="0"/>
              <w:spacing w:before="240"/>
              <w:ind w:firstLine="709"/>
              <w:jc w:val="both"/>
              <w:rPr>
                <w:rFonts w:ascii="Verdana" w:eastAsia="Calibri" w:hAnsi="Verdana" w:cs="Arial"/>
              </w:rPr>
            </w:pPr>
            <w:r w:rsidRPr="009177D6">
              <w:rPr>
                <w:rFonts w:ascii="Verdana" w:eastAsia="Calibri" w:hAnsi="Verdana" w:cs="Arial"/>
              </w:rPr>
              <w:t xml:space="preserve">De conformidad con lo expuesto, las Entidades Estatales deben observar, al momento de identificar la necesidad que buscan satisfacer, las situaciones fácticas y jurídicas previamente definidas por la ley para adelantar </w:t>
            </w:r>
            <w:r w:rsidRPr="009177D6">
              <w:rPr>
                <w:rFonts w:ascii="Verdana" w:eastAsia="Calibri" w:hAnsi="Verdana" w:cs="Arial"/>
              </w:rPr>
              <w:lastRenderedPageBreak/>
              <w:t xml:space="preserve">el proceso de contratación a través de la modalidad de selección correspondiente. En ese sentido, podrán contratar la adquisición de bienes, la ejecución de obras o la prestación de servicios mediante la modalidad de mínima cuantía, siempre que se cumpla el criterio de cuantía y que las normas que integran el Estatuto General de Contratación de la Administración Pública —Ley 80 de 1993, Ley 1150 de 2007, Decreto 1082 de 2015 y las demás que las modifiquen o complementen— no hayan asignado de manera expresa dichos objetos a una modalidad de selección diferente. </w:t>
            </w:r>
          </w:p>
          <w:p w14:paraId="48609958" w14:textId="77777777" w:rsidR="009177D6" w:rsidRPr="009177D6" w:rsidRDefault="009177D6" w:rsidP="00FF1107">
            <w:pPr>
              <w:autoSpaceDE w:val="0"/>
              <w:autoSpaceDN w:val="0"/>
              <w:adjustRightInd w:val="0"/>
              <w:spacing w:before="240"/>
              <w:ind w:firstLine="709"/>
              <w:jc w:val="both"/>
              <w:rPr>
                <w:rFonts w:ascii="Verdana" w:eastAsia="Calibri" w:hAnsi="Verdana" w:cs="Arial"/>
              </w:rPr>
            </w:pPr>
          </w:p>
          <w:p w14:paraId="7B758D73" w14:textId="682897A4" w:rsidR="00573D1D" w:rsidRPr="00331D3B" w:rsidRDefault="00215713" w:rsidP="00FF1107">
            <w:pPr>
              <w:tabs>
                <w:tab w:val="left" w:pos="709"/>
              </w:tabs>
              <w:spacing w:before="240" w:after="120" w:line="276" w:lineRule="auto"/>
              <w:ind w:firstLine="709"/>
              <w:contextualSpacing/>
              <w:jc w:val="both"/>
              <w:rPr>
                <w:rFonts w:ascii="Verdana" w:eastAsia="Calibri" w:hAnsi="Verdana" w:cs="Arial"/>
              </w:rPr>
            </w:pPr>
            <w:r w:rsidRPr="009177D6">
              <w:rPr>
                <w:rFonts w:ascii="Verdana" w:eastAsia="Calibri" w:hAnsi="Verdana" w:cs="Arial"/>
              </w:rPr>
              <w:t xml:space="preserve">Finalmente, debe advertirse que el análisis requerido para resolver problemas específicos en torno a la gestión contractual de las Entidades </w:t>
            </w:r>
            <w:r w:rsidR="009177D6" w:rsidRPr="009177D6">
              <w:rPr>
                <w:rFonts w:ascii="Verdana" w:eastAsia="Calibri" w:hAnsi="Verdana" w:cs="Arial"/>
              </w:rPr>
              <w:t>Estatales</w:t>
            </w:r>
            <w:r w:rsidRPr="009177D6">
              <w:rPr>
                <w:rFonts w:ascii="Verdana" w:eastAsia="Calibri" w:hAnsi="Verdana" w:cs="Arial"/>
              </w:rPr>
              <w:t xml:space="preserve"> debe ser realizado por quienes tengan interés en ello. De esta manera</w:t>
            </w:r>
            <w:r w:rsidRPr="00331D3B">
              <w:rPr>
                <w:rFonts w:ascii="Verdana" w:eastAsia="Calibri" w:hAnsi="Verdana" w:cs="Arial"/>
              </w:rPr>
              <w:t>, las afirmaciones aquí realizadas no pueden ser interpretadas como juicios de valor sobre circunstancias concretas relacionadas con los hechos que</w:t>
            </w:r>
          </w:p>
          <w:p w14:paraId="0AC43C31" w14:textId="242B9DD8" w:rsidR="00994E18" w:rsidRPr="00331D3B" w:rsidRDefault="00331D3B" w:rsidP="00FF1107">
            <w:pPr>
              <w:tabs>
                <w:tab w:val="left" w:pos="709"/>
              </w:tabs>
              <w:spacing w:before="240" w:after="120" w:line="276" w:lineRule="auto"/>
              <w:contextualSpacing/>
              <w:jc w:val="both"/>
              <w:rPr>
                <w:rFonts w:ascii="Verdana" w:eastAsia="Calibri" w:hAnsi="Verdana" w:cs="Arial"/>
              </w:rPr>
            </w:pPr>
            <w:r w:rsidRPr="00331D3B">
              <w:rPr>
                <w:rFonts w:ascii="Verdana" w:hAnsi="Verdana"/>
              </w:rPr>
              <w:t>motivan la consulta. Por lo anterior, previo concepto de sus asesores, la solución de situaciones particulares corresponde a los interesados de adoptar la decisión y, en caso de conflicto, a las autoridades judiciales, fiscales y disciplinarias.</w:t>
            </w:r>
          </w:p>
          <w:p w14:paraId="2A6C7386" w14:textId="46BF3D3E" w:rsidR="00CE45C7" w:rsidRPr="009177D6" w:rsidRDefault="00CE45C7" w:rsidP="009177D6">
            <w:pPr>
              <w:spacing w:after="120" w:line="276" w:lineRule="auto"/>
              <w:ind w:left="720" w:firstLine="709"/>
              <w:contextualSpacing/>
              <w:jc w:val="both"/>
              <w:rPr>
                <w:rFonts w:ascii="Verdana" w:eastAsia="Calibri" w:hAnsi="Verdana" w:cs="Arial"/>
              </w:rPr>
            </w:pPr>
          </w:p>
        </w:tc>
      </w:tr>
    </w:tbl>
    <w:p w14:paraId="151EED35" w14:textId="77777777" w:rsidR="00CE45C7" w:rsidRPr="00CE45C7" w:rsidRDefault="00CE45C7" w:rsidP="00CE45C7">
      <w:pPr>
        <w:tabs>
          <w:tab w:val="left" w:pos="142"/>
          <w:tab w:val="left" w:pos="284"/>
        </w:tabs>
        <w:spacing w:after="0" w:line="276" w:lineRule="auto"/>
        <w:jc w:val="both"/>
        <w:rPr>
          <w:rFonts w:ascii="Verdana" w:eastAsia="Century Gothic" w:hAnsi="Verdana" w:cs="Century Gothic"/>
          <w:b/>
          <w:bCs/>
        </w:rPr>
      </w:pPr>
    </w:p>
    <w:p w14:paraId="5E7EC43F" w14:textId="77777777" w:rsidR="00CE45C7" w:rsidRPr="00CE45C7" w:rsidRDefault="00CE45C7" w:rsidP="00CE45C7">
      <w:pPr>
        <w:tabs>
          <w:tab w:val="left" w:pos="142"/>
          <w:tab w:val="left" w:pos="284"/>
        </w:tabs>
        <w:spacing w:after="0" w:line="276" w:lineRule="auto"/>
        <w:jc w:val="both"/>
        <w:rPr>
          <w:rFonts w:ascii="Verdana" w:eastAsia="Century Gothic" w:hAnsi="Verdana" w:cs="Century Gothic"/>
          <w:b/>
          <w:bCs/>
        </w:rPr>
      </w:pPr>
    </w:p>
    <w:p w14:paraId="403B955B" w14:textId="77777777" w:rsidR="00CE45C7" w:rsidRPr="00CE45C7" w:rsidRDefault="00CE45C7" w:rsidP="00CE45C7">
      <w:pPr>
        <w:tabs>
          <w:tab w:val="left" w:pos="142"/>
          <w:tab w:val="left" w:pos="284"/>
        </w:tabs>
        <w:spacing w:after="0" w:line="276" w:lineRule="auto"/>
        <w:jc w:val="both"/>
        <w:rPr>
          <w:rFonts w:ascii="Verdana" w:eastAsia="Century Gothic" w:hAnsi="Verdana" w:cs="Century Gothic"/>
          <w:b/>
          <w:bCs/>
        </w:rPr>
      </w:pPr>
      <w:r w:rsidRPr="00CE45C7">
        <w:rPr>
          <w:rFonts w:ascii="Verdana" w:eastAsia="Century Gothic" w:hAnsi="Verdana" w:cs="Century Gothic"/>
          <w:b/>
          <w:bCs/>
        </w:rPr>
        <w:t>3. Razones de la respuesta:</w:t>
      </w:r>
    </w:p>
    <w:p w14:paraId="48DD902F" w14:textId="77777777" w:rsidR="00CE45C7" w:rsidRPr="00CE45C7" w:rsidRDefault="00CE45C7" w:rsidP="00CE45C7">
      <w:pPr>
        <w:tabs>
          <w:tab w:val="left" w:pos="142"/>
          <w:tab w:val="left" w:pos="284"/>
        </w:tabs>
        <w:spacing w:after="0" w:line="240" w:lineRule="auto"/>
        <w:jc w:val="both"/>
        <w:rPr>
          <w:rFonts w:ascii="Verdana" w:eastAsia="Calibri" w:hAnsi="Verdana" w:cs="Arial"/>
          <w:lang w:val="es-ES"/>
        </w:rPr>
      </w:pPr>
    </w:p>
    <w:p w14:paraId="76F149E4" w14:textId="77777777" w:rsidR="00CE45C7" w:rsidRPr="00CE45C7" w:rsidRDefault="00CE45C7" w:rsidP="00CE45C7">
      <w:pPr>
        <w:tabs>
          <w:tab w:val="left" w:pos="142"/>
          <w:tab w:val="left" w:pos="284"/>
          <w:tab w:val="left" w:pos="6975"/>
        </w:tabs>
        <w:spacing w:after="0" w:line="276" w:lineRule="auto"/>
        <w:jc w:val="both"/>
        <w:rPr>
          <w:rFonts w:ascii="Verdana" w:eastAsia="Calibri" w:hAnsi="Verdana" w:cs="Arial"/>
        </w:rPr>
      </w:pPr>
      <w:r w:rsidRPr="00CE45C7">
        <w:rPr>
          <w:rFonts w:ascii="Verdana" w:eastAsia="Calibri" w:hAnsi="Verdana" w:cs="Arial"/>
        </w:rPr>
        <w:t>Lo anterior se sustenta en las siguientes consideraciones:</w:t>
      </w:r>
    </w:p>
    <w:p w14:paraId="21ACA278" w14:textId="77777777" w:rsidR="00CE45C7" w:rsidRPr="00CE45C7" w:rsidRDefault="00CE45C7" w:rsidP="00CE45C7">
      <w:pPr>
        <w:tabs>
          <w:tab w:val="left" w:pos="142"/>
          <w:tab w:val="left" w:pos="284"/>
          <w:tab w:val="left" w:pos="6975"/>
        </w:tabs>
        <w:spacing w:after="0" w:line="276" w:lineRule="auto"/>
        <w:jc w:val="both"/>
        <w:rPr>
          <w:rFonts w:ascii="Verdana" w:eastAsia="Calibri" w:hAnsi="Verdana" w:cs="Arial"/>
        </w:rPr>
      </w:pPr>
    </w:p>
    <w:p w14:paraId="63151BF5" w14:textId="1840B2A4" w:rsidR="00340609" w:rsidRPr="00CE45C7" w:rsidRDefault="00CE45C7" w:rsidP="00CE45C7">
      <w:pPr>
        <w:spacing w:after="120" w:line="276" w:lineRule="auto"/>
        <w:jc w:val="both"/>
        <w:rPr>
          <w:rFonts w:ascii="Verdana" w:eastAsia="Calibri" w:hAnsi="Verdana" w:cs="Arial"/>
          <w:lang w:val="es-ES_tradnl"/>
        </w:rPr>
      </w:pPr>
      <w:r w:rsidRPr="00CE45C7">
        <w:rPr>
          <w:rFonts w:ascii="Verdana" w:eastAsia="Calibri" w:hAnsi="Verdana" w:cs="Arial"/>
          <w:lang w:val="es-ES_tradnl"/>
        </w:rPr>
        <w:t>La mínima cuantía es una modalidad de selección en virtud de la cual la entidad estatal realiza una convocatoria pública para recibir ofertas de bienes, obras o servicios cuyo valor no excede el diez por ciento –10%– de la menor cuantía. Esta modalidad de selección fue creada en el 2011 por la Ley 1450, modificada por el artículo 94 de la Ley 1474 de 2011 –que adicionó el numeral 5º al artículo 2 de la Ley 1150 de 2007– y posteriormente por la Ley 2069 de 2020, estableciendo que el factor determinante para llevar a cabo tal procedimiento es la cuantía –calculada como presupuesto oficial a partir del estudio del sector–, “independientemente de su objeto”.</w:t>
      </w:r>
    </w:p>
    <w:p w14:paraId="7A3C72D0" w14:textId="2DA36399" w:rsidR="009177D6" w:rsidRDefault="00CE45C7" w:rsidP="00A6695B">
      <w:pPr>
        <w:tabs>
          <w:tab w:val="left" w:pos="709"/>
        </w:tabs>
        <w:spacing w:after="120" w:line="276" w:lineRule="auto"/>
        <w:ind w:firstLine="709"/>
        <w:jc w:val="both"/>
        <w:rPr>
          <w:rFonts w:ascii="Verdana" w:eastAsia="Calibri" w:hAnsi="Verdana" w:cs="Arial"/>
          <w:lang w:val="es-ES_tradnl"/>
        </w:rPr>
      </w:pPr>
      <w:r w:rsidRPr="00CE45C7">
        <w:rPr>
          <w:rFonts w:ascii="Verdana" w:eastAsia="Calibri" w:hAnsi="Verdana" w:cs="Arial"/>
          <w:lang w:val="es-ES_tradnl"/>
        </w:rPr>
        <w:t xml:space="preserve">Dicho de otro modo, la mínima cuantía es un procedimiento de selección “especial”, porque es una excepción a la regla general constituida por la licitación pública. Aunque ambas modalidades implican un llamado general a presentar ofertas, efectuado por la entidad estatal interesada en contratar, la mínima </w:t>
      </w:r>
      <w:r w:rsidRPr="00CE45C7">
        <w:rPr>
          <w:rFonts w:ascii="Verdana" w:eastAsia="Calibri" w:hAnsi="Verdana" w:cs="Arial"/>
          <w:lang w:val="es-ES_tradnl"/>
        </w:rPr>
        <w:lastRenderedPageBreak/>
        <w:t>cuantía es distinta de la licitación en otros aspectos, como su conducencia y su procedimiento: lo primero, porque solo procede por razón de una cuantía específica</w:t>
      </w:r>
      <w:r w:rsidRPr="00CE45C7">
        <w:rPr>
          <w:rFonts w:ascii="Verdana" w:eastAsia="Calibri" w:hAnsi="Verdana" w:cs="Arial"/>
          <w:vertAlign w:val="superscript"/>
          <w:lang w:val="es-ES_tradnl"/>
        </w:rPr>
        <w:t>,</w:t>
      </w:r>
      <w:r w:rsidRPr="00CE45C7">
        <w:rPr>
          <w:rFonts w:ascii="Verdana" w:eastAsia="Calibri" w:hAnsi="Verdana" w:cs="Arial"/>
          <w:lang w:val="es-ES_tradnl"/>
        </w:rPr>
        <w:t xml:space="preserve"> y lo segundo, porque sus requisitos, etapas y términos son especiales.</w:t>
      </w:r>
    </w:p>
    <w:p w14:paraId="61EC0098" w14:textId="77777777" w:rsidR="00340609" w:rsidRDefault="00340609" w:rsidP="00CE45C7">
      <w:pPr>
        <w:spacing w:after="0" w:line="240" w:lineRule="auto"/>
        <w:jc w:val="both"/>
        <w:textAlignment w:val="baseline"/>
        <w:rPr>
          <w:rFonts w:ascii="Verdana" w:eastAsia="Calibri" w:hAnsi="Verdana" w:cs="Arial"/>
        </w:rPr>
      </w:pPr>
    </w:p>
    <w:p w14:paraId="04E75676" w14:textId="77777777" w:rsidR="007D4515" w:rsidRPr="007D4515" w:rsidRDefault="007D4515" w:rsidP="007D4515">
      <w:pPr>
        <w:tabs>
          <w:tab w:val="left" w:pos="0"/>
        </w:tabs>
        <w:spacing w:after="120" w:line="276" w:lineRule="auto"/>
        <w:jc w:val="both"/>
        <w:rPr>
          <w:rFonts w:ascii="Verdana" w:eastAsia="Calibri" w:hAnsi="Verdana" w:cs="Arial"/>
          <w:color w:val="000000"/>
          <w:lang w:val="es-ES_tradnl"/>
        </w:rPr>
      </w:pPr>
      <w:r w:rsidRPr="007D4515">
        <w:rPr>
          <w:rFonts w:ascii="Verdana" w:eastAsia="Aptos" w:hAnsi="Verdana" w:cs="Arial"/>
          <w:color w:val="000000"/>
          <w:lang w:val="es-MX"/>
        </w:rPr>
        <w:t>El contrato de prestación de servicios es un contrato estatal típico, regulado en el numeral 3 del artículo 32 de la Ley 80 de 1993. Es definido como aquel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En ningún caso estos contratos generan relación laboral ni prestaciones sociales y se celebrarán por el término estrictamente indispensable”.</w:t>
      </w:r>
      <w:r w:rsidRPr="007D4515">
        <w:rPr>
          <w:rFonts w:ascii="Verdana" w:eastAsia="Calibri" w:hAnsi="Verdana" w:cs="Arial"/>
          <w:color w:val="000000"/>
          <w:lang w:val="es-ES_tradnl"/>
        </w:rPr>
        <w:t xml:space="preserve"> </w:t>
      </w:r>
    </w:p>
    <w:p w14:paraId="39ECAB0F" w14:textId="77777777" w:rsidR="007D4515" w:rsidRPr="007D4515" w:rsidRDefault="007D4515" w:rsidP="007D4515">
      <w:pPr>
        <w:tabs>
          <w:tab w:val="left" w:pos="0"/>
        </w:tabs>
        <w:spacing w:after="0" w:line="276" w:lineRule="auto"/>
        <w:jc w:val="both"/>
        <w:rPr>
          <w:rFonts w:ascii="Verdana" w:eastAsia="Calibri" w:hAnsi="Verdana" w:cs="Arial"/>
          <w:color w:val="000000"/>
          <w:lang w:val="es-ES_tradnl"/>
        </w:rPr>
      </w:pPr>
      <w:r w:rsidRPr="007D4515">
        <w:rPr>
          <w:rFonts w:ascii="Verdana" w:eastAsia="Calibri" w:hAnsi="Verdana" w:cs="Arial"/>
          <w:color w:val="000000"/>
          <w:lang w:val="es-ES_tradnl"/>
        </w:rPr>
        <w:tab/>
        <w:t>Ahora bien, respecto de la modalidad de selección del contratista debe señalarse que, de acuerdo el literal h), numeral 4º, del artículo 2 de la Ley 1150 de 2007 señala que el contrato de prestación de servicios y profesionales, de apoyo a la gestión y de ejecución de trabajos artísticos debe efectuarse a través de la modalidad de contratación directa. Así, el artículo antes citado expresamente dispone:</w:t>
      </w:r>
    </w:p>
    <w:p w14:paraId="476B2F26" w14:textId="77777777" w:rsidR="007D4515" w:rsidRPr="007D4515" w:rsidRDefault="007D4515" w:rsidP="007D4515">
      <w:pPr>
        <w:spacing w:after="0" w:line="276" w:lineRule="auto"/>
        <w:ind w:right="709"/>
        <w:jc w:val="both"/>
        <w:rPr>
          <w:rFonts w:ascii="Verdana" w:eastAsia="Calibri" w:hAnsi="Verdana" w:cs="Arial"/>
          <w:color w:val="000000"/>
          <w:sz w:val="21"/>
          <w:szCs w:val="21"/>
          <w:lang w:val="es-ES_tradnl"/>
        </w:rPr>
      </w:pPr>
    </w:p>
    <w:p w14:paraId="75FC9054" w14:textId="77777777" w:rsidR="007D4515" w:rsidRPr="007D4515" w:rsidRDefault="007D4515" w:rsidP="007D4515">
      <w:pPr>
        <w:spacing w:after="0" w:line="240" w:lineRule="auto"/>
        <w:ind w:left="709" w:right="709"/>
        <w:contextualSpacing/>
        <w:jc w:val="both"/>
        <w:rPr>
          <w:rFonts w:ascii="Verdana" w:eastAsia="Calibri" w:hAnsi="Verdana" w:cs="Arial"/>
          <w:color w:val="000000"/>
          <w:sz w:val="20"/>
          <w:szCs w:val="20"/>
          <w:lang w:val="es-MX"/>
        </w:rPr>
      </w:pPr>
      <w:r w:rsidRPr="007D4515">
        <w:rPr>
          <w:rFonts w:ascii="Verdana" w:eastAsia="Calibri" w:hAnsi="Verdana" w:cs="Arial"/>
          <w:color w:val="000000"/>
          <w:sz w:val="20"/>
          <w:szCs w:val="20"/>
          <w:lang w:val="es-MX"/>
        </w:rPr>
        <w:t>“La escogencia del contratista se efectuará con arreglo a las modalidades de selección de licitación pública, selección abreviada, concurso de méritos y contratación directa, con base en las siguientes reglas:</w:t>
      </w:r>
    </w:p>
    <w:p w14:paraId="7539EA50" w14:textId="77777777" w:rsidR="007D4515" w:rsidRPr="007D4515" w:rsidRDefault="007D4515" w:rsidP="007D4515">
      <w:pPr>
        <w:spacing w:after="0" w:line="240" w:lineRule="auto"/>
        <w:ind w:left="709" w:right="709"/>
        <w:contextualSpacing/>
        <w:jc w:val="both"/>
        <w:rPr>
          <w:rFonts w:ascii="Verdana" w:eastAsia="Calibri" w:hAnsi="Verdana" w:cs="Arial"/>
          <w:color w:val="000000"/>
          <w:sz w:val="20"/>
          <w:szCs w:val="20"/>
          <w:lang w:val="es-MX"/>
        </w:rPr>
      </w:pPr>
      <w:r w:rsidRPr="007D4515">
        <w:rPr>
          <w:rFonts w:ascii="Verdana" w:eastAsia="Calibri" w:hAnsi="Verdana" w:cs="Arial"/>
          <w:color w:val="000000"/>
          <w:sz w:val="20"/>
          <w:szCs w:val="20"/>
          <w:lang w:val="es-MX"/>
        </w:rPr>
        <w:t>[…]</w:t>
      </w:r>
    </w:p>
    <w:p w14:paraId="49DEEC62" w14:textId="77777777" w:rsidR="007D4515" w:rsidRPr="007D4515" w:rsidRDefault="007D4515" w:rsidP="007D4515">
      <w:pPr>
        <w:spacing w:after="0" w:line="240" w:lineRule="auto"/>
        <w:ind w:left="709" w:right="709"/>
        <w:contextualSpacing/>
        <w:jc w:val="both"/>
        <w:rPr>
          <w:rFonts w:ascii="Verdana" w:eastAsia="Calibri" w:hAnsi="Verdana" w:cs="Arial"/>
          <w:color w:val="000000"/>
          <w:sz w:val="20"/>
          <w:szCs w:val="20"/>
          <w:lang w:val="es-MX"/>
        </w:rPr>
      </w:pPr>
      <w:r w:rsidRPr="007D4515">
        <w:rPr>
          <w:rFonts w:ascii="Verdana" w:eastAsia="Calibri" w:hAnsi="Verdana" w:cs="Arial"/>
          <w:color w:val="000000"/>
          <w:sz w:val="20"/>
          <w:szCs w:val="20"/>
          <w:lang w:val="es-MX"/>
        </w:rPr>
        <w:t xml:space="preserve">4. Contratación directa. La modalidad de selección de contratación </w:t>
      </w:r>
      <w:proofErr w:type="gramStart"/>
      <w:r w:rsidRPr="007D4515">
        <w:rPr>
          <w:rFonts w:ascii="Verdana" w:eastAsia="Calibri" w:hAnsi="Verdana" w:cs="Arial"/>
          <w:color w:val="000000"/>
          <w:sz w:val="20"/>
          <w:szCs w:val="20"/>
          <w:lang w:val="es-MX"/>
        </w:rPr>
        <w:t>directa,</w:t>
      </w:r>
      <w:proofErr w:type="gramEnd"/>
      <w:r w:rsidRPr="007D4515">
        <w:rPr>
          <w:rFonts w:ascii="Verdana" w:eastAsia="Calibri" w:hAnsi="Verdana" w:cs="Arial"/>
          <w:color w:val="000000"/>
          <w:sz w:val="20"/>
          <w:szCs w:val="20"/>
          <w:lang w:val="es-MX"/>
        </w:rPr>
        <w:t xml:space="preserve"> solamente procederá en los siguientes casos:</w:t>
      </w:r>
    </w:p>
    <w:p w14:paraId="081F460B" w14:textId="77777777" w:rsidR="007D4515" w:rsidRPr="007D4515" w:rsidRDefault="007D4515" w:rsidP="007D4515">
      <w:pPr>
        <w:spacing w:after="0" w:line="240" w:lineRule="auto"/>
        <w:ind w:left="709" w:right="709"/>
        <w:contextualSpacing/>
        <w:jc w:val="both"/>
        <w:rPr>
          <w:rFonts w:ascii="Verdana" w:eastAsia="Calibri" w:hAnsi="Verdana" w:cs="Arial"/>
          <w:color w:val="000000"/>
          <w:sz w:val="20"/>
          <w:szCs w:val="20"/>
          <w:lang w:val="es-MX"/>
        </w:rPr>
      </w:pPr>
      <w:r w:rsidRPr="007D4515">
        <w:rPr>
          <w:rFonts w:ascii="Verdana" w:eastAsia="Calibri" w:hAnsi="Verdana" w:cs="Arial"/>
          <w:color w:val="000000"/>
          <w:sz w:val="20"/>
          <w:szCs w:val="20"/>
          <w:lang w:val="es-MX"/>
        </w:rPr>
        <w:t>[…]</w:t>
      </w:r>
    </w:p>
    <w:p w14:paraId="32CED0B0" w14:textId="77777777" w:rsidR="007D4515" w:rsidRPr="007D4515" w:rsidRDefault="007D4515" w:rsidP="007D4515">
      <w:pPr>
        <w:spacing w:after="0" w:line="240" w:lineRule="auto"/>
        <w:ind w:left="709" w:right="709"/>
        <w:contextualSpacing/>
        <w:jc w:val="both"/>
        <w:rPr>
          <w:rFonts w:ascii="Verdana" w:eastAsia="Calibri" w:hAnsi="Verdana" w:cs="Arial"/>
          <w:color w:val="000000"/>
          <w:sz w:val="20"/>
          <w:szCs w:val="20"/>
          <w:lang w:val="es-MX"/>
        </w:rPr>
      </w:pPr>
      <w:r w:rsidRPr="007D4515">
        <w:rPr>
          <w:rFonts w:ascii="Verdana" w:eastAsia="Calibri" w:hAnsi="Verdana" w:cs="Arial"/>
          <w:color w:val="000000"/>
          <w:sz w:val="20"/>
          <w:szCs w:val="20"/>
          <w:lang w:val="es-MX"/>
        </w:rPr>
        <w:t xml:space="preserve">h) Para la </w:t>
      </w:r>
      <w:r w:rsidRPr="007D4515">
        <w:rPr>
          <w:rFonts w:ascii="Verdana" w:eastAsia="Calibri" w:hAnsi="Verdana" w:cs="Arial"/>
          <w:i/>
          <w:iCs/>
          <w:color w:val="000000"/>
          <w:sz w:val="20"/>
          <w:szCs w:val="20"/>
          <w:u w:val="single"/>
          <w:lang w:val="es-MX"/>
        </w:rPr>
        <w:t>prestación de servicios profesionales y de apoyo a la gestión, o para la ejecución de trabajos artísticos que sólo puedan encomendarse a determinadas personas naturales</w:t>
      </w:r>
      <w:r w:rsidRPr="007D4515">
        <w:rPr>
          <w:rFonts w:ascii="Verdana" w:eastAsia="Calibri" w:hAnsi="Verdana" w:cs="Arial"/>
          <w:color w:val="000000"/>
          <w:sz w:val="20"/>
          <w:szCs w:val="20"/>
          <w:lang w:val="es-MX"/>
        </w:rPr>
        <w:t xml:space="preserve">”. [Énfasis fuera del texto </w:t>
      </w:r>
      <w:proofErr w:type="spellStart"/>
      <w:r w:rsidRPr="007D4515">
        <w:rPr>
          <w:rFonts w:ascii="Verdana" w:eastAsia="Calibri" w:hAnsi="Verdana" w:cs="Arial"/>
          <w:color w:val="000000"/>
          <w:sz w:val="20"/>
          <w:szCs w:val="20"/>
          <w:lang w:val="es-MX"/>
        </w:rPr>
        <w:t>orginal</w:t>
      </w:r>
      <w:proofErr w:type="spellEnd"/>
      <w:r w:rsidRPr="007D4515">
        <w:rPr>
          <w:rFonts w:ascii="Verdana" w:eastAsia="Calibri" w:hAnsi="Verdana" w:cs="Arial"/>
          <w:color w:val="000000"/>
          <w:sz w:val="20"/>
          <w:szCs w:val="20"/>
          <w:lang w:val="es-MX"/>
        </w:rPr>
        <w:t>]</w:t>
      </w:r>
    </w:p>
    <w:p w14:paraId="4328CEB9" w14:textId="77777777" w:rsidR="007D4515" w:rsidRPr="007D4515" w:rsidRDefault="007D4515" w:rsidP="007D4515">
      <w:pPr>
        <w:tabs>
          <w:tab w:val="left" w:pos="0"/>
        </w:tabs>
        <w:spacing w:after="0" w:line="276" w:lineRule="auto"/>
        <w:contextualSpacing/>
        <w:jc w:val="both"/>
        <w:rPr>
          <w:rFonts w:ascii="Verdana" w:eastAsia="Aptos" w:hAnsi="Verdana" w:cs="Arial"/>
          <w:noProof/>
          <w:lang w:val="es-ES_tradnl"/>
        </w:rPr>
      </w:pPr>
      <w:r w:rsidRPr="007D4515">
        <w:rPr>
          <w:rFonts w:ascii="Verdana" w:eastAsia="Aptos" w:hAnsi="Verdana" w:cs="Arial"/>
          <w:noProof/>
          <w:lang w:val="es-ES_tradnl"/>
        </w:rPr>
        <w:tab/>
      </w:r>
    </w:p>
    <w:p w14:paraId="0F8F606F" w14:textId="77777777" w:rsidR="007D4515" w:rsidRPr="007D4515" w:rsidRDefault="007D4515" w:rsidP="007D4515">
      <w:pPr>
        <w:tabs>
          <w:tab w:val="left" w:pos="0"/>
        </w:tabs>
        <w:spacing w:after="0" w:line="276" w:lineRule="auto"/>
        <w:contextualSpacing/>
        <w:jc w:val="both"/>
        <w:rPr>
          <w:rFonts w:ascii="Verdana" w:eastAsia="Aptos" w:hAnsi="Verdana" w:cs="Arial"/>
          <w:noProof/>
          <w:lang w:val="es-ES_tradnl"/>
        </w:rPr>
      </w:pPr>
      <w:r w:rsidRPr="007D4515">
        <w:rPr>
          <w:rFonts w:ascii="Verdana" w:eastAsia="Aptos" w:hAnsi="Verdana" w:cs="Arial"/>
          <w:noProof/>
          <w:lang w:val="es-ES_tradnl"/>
        </w:rPr>
        <w:tab/>
        <w:t>En concordancia con lo anterior, el artículo 2.2.1.2.1.4.9 del Decreto 1082 de 2015 reglamenta la contratación directa para los contratos de servicios profesionales y de apoyo a la gestión, o para la ejecución de trabajos artísticos que solo puedan encomendarse a determinadas personas naturales, en los siguientes términos:</w:t>
      </w:r>
    </w:p>
    <w:p w14:paraId="0A7331E8" w14:textId="77777777" w:rsidR="007D4515" w:rsidRPr="007D4515" w:rsidRDefault="007D4515" w:rsidP="007D4515">
      <w:pPr>
        <w:tabs>
          <w:tab w:val="left" w:pos="0"/>
        </w:tabs>
        <w:spacing w:after="0" w:line="276" w:lineRule="auto"/>
        <w:contextualSpacing/>
        <w:jc w:val="both"/>
        <w:rPr>
          <w:rFonts w:ascii="Verdana" w:eastAsia="Aptos" w:hAnsi="Verdana" w:cs="Arial"/>
          <w:noProof/>
          <w:lang w:val="es-ES_tradnl"/>
        </w:rPr>
      </w:pPr>
    </w:p>
    <w:p w14:paraId="004E51E0" w14:textId="77777777" w:rsidR="007D4515" w:rsidRPr="007D4515" w:rsidRDefault="007D4515" w:rsidP="007D4515">
      <w:pPr>
        <w:spacing w:after="0" w:line="240" w:lineRule="auto"/>
        <w:ind w:left="709" w:right="709"/>
        <w:contextualSpacing/>
        <w:jc w:val="both"/>
        <w:rPr>
          <w:rFonts w:ascii="Verdana" w:eastAsia="Aptos" w:hAnsi="Verdana" w:cs="Arial"/>
          <w:sz w:val="20"/>
          <w:szCs w:val="20"/>
          <w:lang w:val="es-MX"/>
        </w:rPr>
      </w:pPr>
      <w:r w:rsidRPr="007D4515">
        <w:rPr>
          <w:rFonts w:ascii="Verdana" w:eastAsia="Aptos" w:hAnsi="Verdana" w:cs="Arial"/>
          <w:sz w:val="20"/>
          <w:szCs w:val="20"/>
          <w:lang w:val="es-MX"/>
        </w:rPr>
        <w:t xml:space="preserve">“Las Entidades Estatales </w:t>
      </w:r>
      <w:r w:rsidRPr="007D4515">
        <w:rPr>
          <w:rFonts w:ascii="Verdana" w:eastAsia="Aptos" w:hAnsi="Verdana" w:cs="Arial"/>
          <w:i/>
          <w:iCs/>
          <w:sz w:val="20"/>
          <w:szCs w:val="20"/>
          <w:u w:val="single"/>
          <w:lang w:val="es-MX"/>
        </w:rPr>
        <w:t>pueden contratar bajo la modalidad de contratación directa la prestación de servicios profesionales y de apoyo a la gestión</w:t>
      </w:r>
      <w:r w:rsidRPr="007D4515">
        <w:rPr>
          <w:rFonts w:ascii="Verdana" w:eastAsia="Aptos" w:hAnsi="Verdana" w:cs="Arial"/>
          <w:sz w:val="20"/>
          <w:szCs w:val="20"/>
          <w:lang w:val="es-MX"/>
        </w:rPr>
        <w:t xml:space="preserve"> con la persona natural o jurídica que esté en capacidad de ejecutar el objeto del contrato, siempre y cuando la Entidad Estatal verifique la idoneidad o experiencia requerida y relacionada con el área de </w:t>
      </w:r>
      <w:r w:rsidRPr="007D4515">
        <w:rPr>
          <w:rFonts w:ascii="Verdana" w:eastAsia="Aptos" w:hAnsi="Verdana" w:cs="Arial"/>
          <w:sz w:val="20"/>
          <w:szCs w:val="20"/>
          <w:lang w:val="es-MX"/>
        </w:rPr>
        <w:lastRenderedPageBreak/>
        <w:t>que se trate. En este caso, no es necesario que la Entidad Estatal haya obtenido previamente varias ofertas, de lo cual el ordenador del gasto debe dejar constancia escrita.</w:t>
      </w:r>
    </w:p>
    <w:p w14:paraId="57A7A184" w14:textId="77777777" w:rsidR="007D4515" w:rsidRPr="007D4515" w:rsidRDefault="007D4515" w:rsidP="007D4515">
      <w:pPr>
        <w:spacing w:after="0" w:line="240" w:lineRule="auto"/>
        <w:ind w:left="709" w:right="709"/>
        <w:contextualSpacing/>
        <w:jc w:val="both"/>
        <w:rPr>
          <w:rFonts w:ascii="Verdana" w:eastAsia="Aptos" w:hAnsi="Verdana" w:cs="Arial"/>
          <w:sz w:val="20"/>
          <w:szCs w:val="20"/>
        </w:rPr>
      </w:pPr>
    </w:p>
    <w:p w14:paraId="54EC2610" w14:textId="77777777" w:rsidR="007D4515" w:rsidRPr="007D4515" w:rsidRDefault="007D4515" w:rsidP="007D4515">
      <w:pPr>
        <w:spacing w:after="0" w:line="240" w:lineRule="auto"/>
        <w:ind w:left="709" w:right="709"/>
        <w:contextualSpacing/>
        <w:jc w:val="both"/>
        <w:rPr>
          <w:rFonts w:ascii="Verdana" w:eastAsia="Aptos" w:hAnsi="Verdana" w:cs="Arial"/>
          <w:sz w:val="20"/>
          <w:szCs w:val="20"/>
          <w:lang w:val="es-MX"/>
        </w:rPr>
      </w:pPr>
      <w:r w:rsidRPr="007D4515">
        <w:rPr>
          <w:rFonts w:ascii="Verdana" w:eastAsia="Aptos" w:hAnsi="Verdana" w:cs="Arial"/>
          <w:sz w:val="20"/>
          <w:szCs w:val="20"/>
          <w:lang w:val="es-MX"/>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027D0543" w14:textId="77777777" w:rsidR="007D4515" w:rsidRPr="007D4515" w:rsidRDefault="007D4515" w:rsidP="007D4515">
      <w:pPr>
        <w:spacing w:after="0" w:line="240" w:lineRule="auto"/>
        <w:ind w:left="709" w:right="709"/>
        <w:contextualSpacing/>
        <w:jc w:val="both"/>
        <w:rPr>
          <w:rFonts w:ascii="Verdana" w:eastAsia="Aptos" w:hAnsi="Verdana" w:cs="Arial"/>
          <w:sz w:val="20"/>
          <w:szCs w:val="20"/>
          <w:lang w:val="es-MX"/>
        </w:rPr>
      </w:pPr>
    </w:p>
    <w:p w14:paraId="113F9FD4" w14:textId="77777777" w:rsidR="007D4515" w:rsidRDefault="007D4515" w:rsidP="007D4515">
      <w:pPr>
        <w:spacing w:after="0" w:line="240" w:lineRule="auto"/>
        <w:ind w:left="709" w:right="709"/>
        <w:contextualSpacing/>
        <w:jc w:val="both"/>
        <w:rPr>
          <w:rFonts w:ascii="Verdana" w:eastAsia="Aptos" w:hAnsi="Verdana" w:cs="Arial"/>
          <w:sz w:val="20"/>
          <w:szCs w:val="20"/>
          <w:lang w:val="es-MX"/>
        </w:rPr>
      </w:pPr>
      <w:r w:rsidRPr="007D4515">
        <w:rPr>
          <w:rFonts w:ascii="Verdana" w:eastAsia="Aptos" w:hAnsi="Verdana" w:cs="Arial"/>
          <w:sz w:val="20"/>
          <w:szCs w:val="20"/>
          <w:lang w:val="es-MX"/>
        </w:rPr>
        <w:t>La Entidad Estatal, para la contratación de trabajos artísticos que solamente puedan en</w:t>
      </w:r>
      <w:r w:rsidRPr="007D4515">
        <w:rPr>
          <w:rFonts w:ascii="Verdana" w:eastAsia="Aptos" w:hAnsi="Verdana" w:cs="Arial"/>
          <w:sz w:val="20"/>
          <w:szCs w:val="20"/>
          <w:lang w:val="es-MX"/>
        </w:rPr>
        <w:softHyphen/>
        <w:t>comendarse a determinadas personas naturales, debe justificar esta situación en los estudios y documentos previos”. [Énfasis fuera de texto]</w:t>
      </w:r>
    </w:p>
    <w:p w14:paraId="1ABA3F29" w14:textId="77777777" w:rsidR="00F75973" w:rsidRPr="007D4515" w:rsidRDefault="00F75973" w:rsidP="007D4515">
      <w:pPr>
        <w:spacing w:after="0" w:line="240" w:lineRule="auto"/>
        <w:ind w:left="709" w:right="709"/>
        <w:contextualSpacing/>
        <w:jc w:val="both"/>
        <w:rPr>
          <w:rFonts w:ascii="Verdana" w:eastAsia="Aptos" w:hAnsi="Verdana" w:cs="Arial"/>
          <w:sz w:val="20"/>
          <w:szCs w:val="20"/>
          <w:lang w:val="es-MX"/>
        </w:rPr>
      </w:pPr>
    </w:p>
    <w:p w14:paraId="50E33C3E" w14:textId="77777777" w:rsidR="007D4515" w:rsidRPr="007D4515" w:rsidRDefault="007D4515" w:rsidP="007D4515">
      <w:pPr>
        <w:tabs>
          <w:tab w:val="left" w:pos="0"/>
        </w:tabs>
        <w:spacing w:after="0" w:line="276" w:lineRule="auto"/>
        <w:jc w:val="both"/>
        <w:rPr>
          <w:rFonts w:ascii="Verdana" w:eastAsia="Aptos" w:hAnsi="Verdana" w:cs="Arial"/>
          <w:noProof/>
        </w:rPr>
      </w:pPr>
    </w:p>
    <w:p w14:paraId="388AF828" w14:textId="77777777" w:rsidR="007D4515" w:rsidRPr="007D4515" w:rsidRDefault="007D4515" w:rsidP="007D4515">
      <w:pPr>
        <w:tabs>
          <w:tab w:val="left" w:pos="0"/>
        </w:tabs>
        <w:spacing w:after="120" w:line="276" w:lineRule="auto"/>
        <w:jc w:val="both"/>
        <w:rPr>
          <w:rFonts w:ascii="Verdana" w:eastAsia="Aptos" w:hAnsi="Verdana" w:cs="Arial"/>
          <w:color w:val="000000"/>
          <w:lang w:val="es-ES_tradnl"/>
        </w:rPr>
      </w:pPr>
      <w:r w:rsidRPr="007D4515">
        <w:rPr>
          <w:rFonts w:ascii="Verdana" w:eastAsia="Aptos" w:hAnsi="Verdana" w:cs="Arial"/>
          <w:color w:val="000000"/>
          <w:lang w:val="es-ES_tradnl"/>
        </w:rPr>
        <w:tab/>
        <w:t>A partir de las disposiciones citadas, así como de lo indicado en la Sentencia de Unificación Jurisprudencial del 9 de septiembre de 2021, emitida por el Consejo de Estado</w:t>
      </w:r>
      <w:r w:rsidRPr="007D4515">
        <w:rPr>
          <w:rFonts w:ascii="Verdana" w:eastAsia="Aptos" w:hAnsi="Verdana" w:cs="Arial"/>
          <w:bCs/>
          <w:vertAlign w:val="superscript"/>
          <w:lang w:val="es-ES"/>
        </w:rPr>
        <w:footnoteReference w:id="1"/>
      </w:r>
      <w:r w:rsidRPr="007D4515">
        <w:rPr>
          <w:rFonts w:ascii="Verdana" w:eastAsia="Aptos" w:hAnsi="Verdana" w:cs="Arial"/>
          <w:color w:val="000000"/>
          <w:lang w:val="es-ES_tradnl"/>
        </w:rPr>
        <w:t>, es posible señalar las siguientes características del contrato de prestación de servicios</w:t>
      </w:r>
      <w:r w:rsidRPr="007D4515">
        <w:rPr>
          <w:rFonts w:ascii="Verdana" w:eastAsia="Aptos" w:hAnsi="Verdana" w:cs="Arial"/>
          <w:noProof/>
          <w:lang w:val="es-ES_tradnl"/>
        </w:rPr>
        <w:t>:</w:t>
      </w:r>
    </w:p>
    <w:p w14:paraId="465EE402" w14:textId="77777777" w:rsidR="007D4515" w:rsidRPr="007D4515" w:rsidRDefault="007D4515" w:rsidP="007D4515">
      <w:pPr>
        <w:spacing w:before="120"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i) Solo puede celebrarse para realizar “actividades relacionadas con la administración o funcionamiento de la entidad”, es decir, que hagan parte de su giro ordinario o quehacer cotidiano</w:t>
      </w:r>
      <w:r w:rsidRPr="007D4515">
        <w:rPr>
          <w:rFonts w:ascii="Verdana" w:eastAsia="Aptos" w:hAnsi="Verdana" w:cs="Arial"/>
          <w:noProof/>
          <w:vertAlign w:val="superscript"/>
          <w:lang w:val="es-ES_tradnl"/>
        </w:rPr>
        <w:footnoteReference w:id="2"/>
      </w:r>
      <w:r w:rsidRPr="007D4515">
        <w:rPr>
          <w:rFonts w:ascii="Verdana" w:eastAsia="Aptos" w:hAnsi="Verdana" w:cs="Arial"/>
          <w:noProof/>
          <w:lang w:val="es-ES_tradnl"/>
        </w:rPr>
        <w:t>.</w:t>
      </w:r>
    </w:p>
    <w:p w14:paraId="415DF386" w14:textId="77777777" w:rsidR="007D4515" w:rsidRPr="007D4515" w:rsidRDefault="007D4515" w:rsidP="007D4515">
      <w:pPr>
        <w:spacing w:before="120"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 xml:space="preserve">ii) Respecto del tipo de personas que pueden ser contratadas, admite que se suscriba con personas naturales o jurídicas. Sin embargo, cuando se celebre con aquellas, la entidad estatal debe justificar, en los estudios previos, que las actividades “no puedan realizarse con personal de planta o requieran conocimientos especializados”. </w:t>
      </w:r>
    </w:p>
    <w:p w14:paraId="4C542A81" w14:textId="77777777" w:rsidR="007D4515" w:rsidRPr="007D4515" w:rsidRDefault="007D4515" w:rsidP="007D4515">
      <w:pPr>
        <w:spacing w:before="120"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 xml:space="preserve">iii) Si bien se celebran para obtener la prestación personal de un servicio, se diferencian del contrato de trabajo en que quien celebra el contrato de prestación de servicios debe mantener autonomía e independencia en la ejecución de la labor, lo que significa que no debe existir </w:t>
      </w:r>
      <w:r w:rsidRPr="007D4515">
        <w:rPr>
          <w:rFonts w:ascii="Verdana" w:eastAsia="Aptos" w:hAnsi="Verdana" w:cs="Arial"/>
          <w:i/>
          <w:noProof/>
          <w:lang w:val="es-ES_tradnl"/>
        </w:rPr>
        <w:t xml:space="preserve">subordinación </w:t>
      </w:r>
      <w:r w:rsidRPr="007D4515">
        <w:rPr>
          <w:rFonts w:ascii="Verdana" w:eastAsia="Aptos" w:hAnsi="Verdana" w:cs="Arial"/>
          <w:iCs/>
          <w:noProof/>
          <w:lang w:val="es-ES_tradnl"/>
        </w:rPr>
        <w:t>ni</w:t>
      </w:r>
      <w:r w:rsidRPr="007D4515">
        <w:rPr>
          <w:rFonts w:ascii="Verdana" w:eastAsia="Aptos" w:hAnsi="Verdana" w:cs="Arial"/>
          <w:i/>
          <w:noProof/>
          <w:lang w:val="es-ES_tradnl"/>
        </w:rPr>
        <w:t xml:space="preserve"> dependencia</w:t>
      </w:r>
      <w:r w:rsidRPr="007D4515">
        <w:rPr>
          <w:rFonts w:ascii="Verdana" w:eastAsia="Aptos" w:hAnsi="Verdana" w:cs="Arial"/>
          <w:iCs/>
          <w:noProof/>
          <w:lang w:val="es-ES_tradnl"/>
        </w:rPr>
        <w:t>,</w:t>
      </w:r>
      <w:r w:rsidRPr="007D4515">
        <w:rPr>
          <w:rFonts w:ascii="Verdana" w:eastAsia="Aptos" w:hAnsi="Verdana" w:cs="Arial"/>
          <w:noProof/>
          <w:lang w:val="es-ES_tradnl"/>
        </w:rPr>
        <w:t xml:space="preserve"> que es uno de los elementos constitutivos del vínculo laboral</w:t>
      </w:r>
      <w:r w:rsidRPr="007D4515">
        <w:rPr>
          <w:rFonts w:ascii="Verdana" w:eastAsia="Aptos" w:hAnsi="Verdana" w:cs="Arial"/>
          <w:noProof/>
          <w:vertAlign w:val="superscript"/>
          <w:lang w:val="es-ES_tradnl"/>
        </w:rPr>
        <w:footnoteReference w:id="3"/>
      </w:r>
      <w:r w:rsidRPr="007D4515">
        <w:rPr>
          <w:rFonts w:ascii="Verdana" w:eastAsia="Aptos" w:hAnsi="Verdana" w:cs="Arial"/>
          <w:noProof/>
          <w:lang w:val="es-ES_tradnl"/>
        </w:rPr>
        <w:t xml:space="preserve">. Por </w:t>
      </w:r>
      <w:r w:rsidRPr="007D4515">
        <w:rPr>
          <w:rFonts w:ascii="Verdana" w:eastAsia="Aptos" w:hAnsi="Verdana" w:cs="Arial"/>
          <w:noProof/>
          <w:lang w:val="es-ES_tradnl"/>
        </w:rPr>
        <w:lastRenderedPageBreak/>
        <w:t xml:space="preserve">eso, el artículo 32, numeral 3º, de la Ley 80 de 1993 establece que “[e]n ningún caso estos contratos generan relación laboral ni prestaciones sociales”. </w:t>
      </w:r>
    </w:p>
    <w:p w14:paraId="53EF7400" w14:textId="77777777" w:rsidR="007D4515" w:rsidRPr="007D4515" w:rsidRDefault="007D4515" w:rsidP="007D4515">
      <w:pPr>
        <w:spacing w:before="120"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 xml:space="preserve">El anterior inciso, más que un enunciado que aluda al “ser”, se refiere al “deber ser”, pues debe interpretarse en el sentido de que los contratos de prestación de servicios profesionales y apoyo a la gestión </w:t>
      </w:r>
      <w:r w:rsidRPr="007D4515">
        <w:rPr>
          <w:rFonts w:ascii="Verdana" w:eastAsia="Aptos" w:hAnsi="Verdana" w:cs="Arial"/>
          <w:i/>
          <w:noProof/>
          <w:lang w:val="es-ES_tradnl"/>
        </w:rPr>
        <w:t>no pueden</w:t>
      </w:r>
      <w:r w:rsidRPr="007D4515">
        <w:rPr>
          <w:rFonts w:ascii="Verdana" w:eastAsia="Aptos" w:hAnsi="Verdana" w:cs="Arial"/>
          <w:noProof/>
          <w:lang w:val="es-ES_tradnl"/>
        </w:rPr>
        <w:t xml:space="preserve"> generar relación laboral, ni dar lugar a que las entidades estatales paguen por su cuenta los aportes al Sistema de Seguridad Social Integral del contratista. Tal como se indicó, no puede existir subordinación y dependencia; entonces, la relación laboral está proscrita y el contratista es quien, como “trabajador independiente” –como lo califican las normas de la seguridad social– debe cotizar por su cuenta y riesgo al Sistema de Seguridad Social Integral</w:t>
      </w:r>
      <w:r w:rsidRPr="007D4515">
        <w:rPr>
          <w:rFonts w:ascii="Verdana" w:eastAsia="Aptos" w:hAnsi="Verdana" w:cs="Arial"/>
          <w:noProof/>
          <w:vertAlign w:val="superscript"/>
          <w:lang w:val="es-ES_tradnl"/>
        </w:rPr>
        <w:footnoteReference w:id="4"/>
      </w:r>
      <w:r w:rsidRPr="007D4515">
        <w:rPr>
          <w:rFonts w:ascii="Verdana" w:eastAsia="Aptos" w:hAnsi="Verdana" w:cs="Arial"/>
          <w:noProof/>
          <w:lang w:val="es-ES_tradnl"/>
        </w:rPr>
        <w:t xml:space="preserve">. </w:t>
      </w:r>
    </w:p>
    <w:p w14:paraId="2441F560" w14:textId="77777777" w:rsidR="007D4515" w:rsidRPr="007D4515" w:rsidRDefault="007D4515" w:rsidP="007D4515">
      <w:pPr>
        <w:spacing w:before="120"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 xml:space="preserve">A pesar de este mandato deontológico, es posible que en la práctica se configure una relación laboral, pues el contrato de trabajo es </w:t>
      </w:r>
      <w:r w:rsidRPr="007D4515">
        <w:rPr>
          <w:rFonts w:ascii="Verdana" w:eastAsia="Aptos" w:hAnsi="Verdana" w:cs="Arial"/>
          <w:i/>
          <w:iCs/>
          <w:noProof/>
          <w:lang w:val="es-ES_tradnl"/>
        </w:rPr>
        <w:t xml:space="preserve">de </w:t>
      </w:r>
      <w:r w:rsidRPr="007D4515">
        <w:rPr>
          <w:rFonts w:ascii="Verdana" w:eastAsia="Aptos" w:hAnsi="Verdana" w:cs="Arial"/>
          <w:i/>
          <w:noProof/>
          <w:lang w:val="es-ES_tradnl"/>
        </w:rPr>
        <w:t>realidad</w:t>
      </w:r>
      <w:r w:rsidRPr="007D4515">
        <w:rPr>
          <w:rFonts w:ascii="Verdana" w:eastAsia="Aptos" w:hAnsi="Verdana" w:cs="Arial"/>
          <w:noProof/>
          <w:lang w:val="es-ES_tradnl"/>
        </w:rPr>
        <w:t xml:space="preserve"> y para perfeccionarlo rige el principio de prevalencia de la realidad sobre las formalidades. En consonancia con lo anterior, la Corte Constitucional declaró la exequibilidad condicionada del segundo inciso del numeral 3º del artículo 32, indicando que “las expresiones acusadas del numeral 3º del artículo 32 de la Ley 80 de 1993, no vulneran los preceptos constitucionales, razón por la cual deberán ser declaradas exequibles, salvo que se acredite por parte del contratista la existencia de una relación laboral subordinada”</w:t>
      </w:r>
      <w:r w:rsidRPr="007D4515">
        <w:rPr>
          <w:rFonts w:ascii="Verdana" w:eastAsia="Aptos" w:hAnsi="Verdana" w:cs="Arial"/>
          <w:noProof/>
          <w:vertAlign w:val="superscript"/>
          <w:lang w:val="es-ES_tradnl"/>
        </w:rPr>
        <w:footnoteReference w:id="5"/>
      </w:r>
      <w:r w:rsidRPr="007D4515">
        <w:rPr>
          <w:rFonts w:ascii="Verdana" w:eastAsia="Aptos" w:hAnsi="Verdana" w:cs="Arial"/>
          <w:noProof/>
          <w:lang w:val="es-ES_tradnl"/>
        </w:rPr>
        <w:t>.</w:t>
      </w:r>
    </w:p>
    <w:p w14:paraId="116F2165" w14:textId="77777777" w:rsidR="007D4515" w:rsidRDefault="007D4515" w:rsidP="007D4515">
      <w:pPr>
        <w:spacing w:before="120" w:after="120" w:line="276" w:lineRule="auto"/>
        <w:ind w:firstLine="709"/>
        <w:jc w:val="both"/>
        <w:rPr>
          <w:rFonts w:ascii="Verdana" w:eastAsia="Aptos" w:hAnsi="Verdana" w:cs="Arial"/>
          <w:lang w:val="es-MX"/>
        </w:rPr>
      </w:pPr>
      <w:r w:rsidRPr="007D4515">
        <w:rPr>
          <w:rFonts w:ascii="Verdana" w:eastAsia="Aptos" w:hAnsi="Verdana" w:cs="Arial"/>
          <w:noProof/>
          <w:lang w:val="es-ES_tradnl"/>
        </w:rPr>
        <w:t xml:space="preserve">iv) Deben ser temporales. La mencionada sentencia de unificación jurisprudencial del Consejo de Estado, frente a la duración del contrato de </w:t>
      </w:r>
      <w:r w:rsidRPr="007D4515">
        <w:rPr>
          <w:rFonts w:ascii="Verdana" w:eastAsia="Aptos" w:hAnsi="Verdana" w:cs="Arial"/>
          <w:noProof/>
          <w:lang w:val="es-ES_tradnl"/>
        </w:rPr>
        <w:lastRenderedPageBreak/>
        <w:t>prestación de servicios señaló que solo puede celebrarse por un “término estrictamente indispensable”. En ese entendido, unificó el sentido y 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w:t>
      </w:r>
      <w:r w:rsidRPr="007D4515">
        <w:rPr>
          <w:rFonts w:ascii="Verdana" w:eastAsia="Aptos" w:hAnsi="Verdana" w:cs="Arial"/>
          <w:lang w:val="es-MX"/>
        </w:rPr>
        <w:t xml:space="preserve"> De igual manera, señaló que “no cabe su empleo para la cobertura indefinida de necesidades permanentes o recurrentes”. </w:t>
      </w:r>
    </w:p>
    <w:p w14:paraId="4EB1D625" w14:textId="77777777" w:rsidR="00752479" w:rsidRPr="007D4515" w:rsidRDefault="00752479" w:rsidP="007D4515">
      <w:pPr>
        <w:spacing w:before="120" w:after="120" w:line="276" w:lineRule="auto"/>
        <w:ind w:firstLine="709"/>
        <w:jc w:val="both"/>
        <w:rPr>
          <w:rFonts w:ascii="Verdana" w:eastAsia="Aptos" w:hAnsi="Verdana" w:cs="Arial"/>
          <w:lang w:val="es-MX"/>
        </w:rPr>
      </w:pPr>
    </w:p>
    <w:p w14:paraId="6F60D809" w14:textId="77777777" w:rsidR="007D4515" w:rsidRPr="007D4515" w:rsidRDefault="007D4515" w:rsidP="007D4515">
      <w:pPr>
        <w:spacing w:after="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En sentido similar se manifestó la Corte Constitucional en la sentencia C-154 de 1997, expresando que:</w:t>
      </w:r>
    </w:p>
    <w:p w14:paraId="714CC1E2" w14:textId="77777777" w:rsidR="007D4515" w:rsidRPr="007D4515" w:rsidRDefault="007D4515" w:rsidP="007D4515">
      <w:pPr>
        <w:spacing w:after="0" w:line="276" w:lineRule="auto"/>
        <w:contextualSpacing/>
        <w:jc w:val="both"/>
        <w:rPr>
          <w:rFonts w:ascii="Verdana" w:eastAsia="Aptos" w:hAnsi="Verdana" w:cs="Arial"/>
          <w:noProof/>
          <w:lang w:val="es-ES_tradnl"/>
        </w:rPr>
      </w:pPr>
    </w:p>
    <w:p w14:paraId="28B6FB9B" w14:textId="77777777" w:rsidR="007D4515" w:rsidRPr="007D4515" w:rsidRDefault="007D4515" w:rsidP="007D4515">
      <w:pPr>
        <w:spacing w:after="0" w:line="240" w:lineRule="auto"/>
        <w:ind w:left="709" w:right="709"/>
        <w:contextualSpacing/>
        <w:jc w:val="both"/>
        <w:rPr>
          <w:rFonts w:ascii="Verdana" w:eastAsia="Aptos" w:hAnsi="Verdana" w:cs="Arial"/>
          <w:noProof/>
          <w:sz w:val="20"/>
          <w:szCs w:val="20"/>
          <w:lang w:val="es-ES_tradnl"/>
        </w:rPr>
      </w:pPr>
      <w:r w:rsidRPr="007D4515">
        <w:rPr>
          <w:rFonts w:ascii="Verdana" w:eastAsia="Aptos" w:hAnsi="Verdana" w:cs="Arial"/>
          <w:noProof/>
          <w:sz w:val="20"/>
          <w:szCs w:val="20"/>
          <w:lang w:val="es-ES_tradnl"/>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7D4515">
        <w:rPr>
          <w:rFonts w:ascii="Verdana" w:eastAsia="Aptos" w:hAnsi="Verdana" w:cs="Arial"/>
          <w:noProof/>
          <w:sz w:val="20"/>
          <w:szCs w:val="20"/>
          <w:vertAlign w:val="superscript"/>
          <w:lang w:val="es-ES_tradnl"/>
        </w:rPr>
        <w:footnoteReference w:id="6"/>
      </w:r>
      <w:r w:rsidRPr="007D4515">
        <w:rPr>
          <w:rFonts w:ascii="Verdana" w:eastAsia="Aptos" w:hAnsi="Verdana" w:cs="Arial"/>
          <w:noProof/>
          <w:sz w:val="20"/>
          <w:szCs w:val="20"/>
          <w:lang w:val="es-ES_tradnl"/>
        </w:rPr>
        <w:t>.</w:t>
      </w:r>
    </w:p>
    <w:p w14:paraId="0EDF3092" w14:textId="77777777" w:rsidR="007D4515" w:rsidRPr="007D4515" w:rsidRDefault="007D4515" w:rsidP="007D4515">
      <w:pPr>
        <w:spacing w:after="0" w:line="276" w:lineRule="auto"/>
        <w:ind w:left="709" w:right="709"/>
        <w:contextualSpacing/>
        <w:jc w:val="both"/>
        <w:rPr>
          <w:rFonts w:ascii="Verdana" w:eastAsia="Aptos" w:hAnsi="Verdana" w:cs="Arial"/>
          <w:noProof/>
          <w:lang w:val="es-ES_tradnl"/>
        </w:rPr>
      </w:pPr>
    </w:p>
    <w:p w14:paraId="2356FA8D" w14:textId="77777777" w:rsidR="007D4515" w:rsidRPr="007D4515" w:rsidRDefault="007D4515" w:rsidP="007D4515">
      <w:pPr>
        <w:spacing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v) Se celebran a través de la modalidad de contratación directa, independientemente de la cuantía y del tipo de servicio profesional, siempre que su objeto no sea la consultoría. Esto por cuanto, como lo indicó el Consejo de Estado en otra sentencia de unificación jurisprudencial del año 2013, si bien en ambos existe un componente intelectual y profesional, el objeto del contrato de consultoría es especial y debe celebrarse, por regla general, mediante un concurso de méritos</w:t>
      </w:r>
      <w:r w:rsidRPr="007D4515">
        <w:rPr>
          <w:rFonts w:ascii="Verdana" w:eastAsia="Aptos" w:hAnsi="Verdana" w:cs="Arial"/>
          <w:noProof/>
          <w:vertAlign w:val="superscript"/>
          <w:lang w:val="es-ES_tradnl"/>
        </w:rPr>
        <w:footnoteReference w:id="7"/>
      </w:r>
      <w:r w:rsidRPr="007D4515">
        <w:rPr>
          <w:rFonts w:ascii="Verdana" w:eastAsia="Aptos" w:hAnsi="Verdana" w:cs="Arial"/>
          <w:noProof/>
          <w:lang w:val="es-ES_tradnl"/>
        </w:rPr>
        <w:t>. Esto también se deriva d</w:t>
      </w:r>
      <w:r w:rsidRPr="007D4515">
        <w:rPr>
          <w:rFonts w:ascii="Verdana" w:eastAsia="Calibri" w:hAnsi="Verdana" w:cs="Arial"/>
          <w:color w:val="000000"/>
          <w:lang w:val="es-ES_tradnl"/>
        </w:rPr>
        <w:t xml:space="preserve">el artículo 2, numeral 4º, literal </w:t>
      </w:r>
      <w:r w:rsidRPr="007D4515">
        <w:rPr>
          <w:rFonts w:ascii="Verdana" w:eastAsia="Calibri" w:hAnsi="Verdana" w:cs="Arial"/>
          <w:color w:val="000000"/>
          <w:lang w:val="es-ES_tradnl"/>
        </w:rPr>
        <w:lastRenderedPageBreak/>
        <w:t>h) de la Ley 1150 de 2007, al señalar que procede la contratación directa para la prestación de servicios profesionales y de apoyo a la gestión o para la ejecución de trabajos artísticos que solo pueden encomendarse a determinadas personas.</w:t>
      </w:r>
    </w:p>
    <w:p w14:paraId="5AD6BED3" w14:textId="77777777" w:rsidR="007D4515" w:rsidRPr="007D4515" w:rsidRDefault="007D4515" w:rsidP="007D4515">
      <w:pPr>
        <w:spacing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vi) Para su celebración no se requiere expedir un acto administrativo de justificación de la contratación directa</w:t>
      </w:r>
      <w:r w:rsidRPr="007D4515">
        <w:rPr>
          <w:rFonts w:ascii="Verdana" w:eastAsia="Aptos" w:hAnsi="Verdana" w:cs="Arial"/>
          <w:noProof/>
          <w:vertAlign w:val="superscript"/>
          <w:lang w:val="es-ES_tradnl"/>
        </w:rPr>
        <w:footnoteReference w:id="8"/>
      </w:r>
      <w:r w:rsidRPr="007D4515">
        <w:rPr>
          <w:rFonts w:ascii="Verdana" w:eastAsia="Aptos" w:hAnsi="Verdana" w:cs="Arial"/>
          <w:noProof/>
          <w:lang w:val="es-ES_tradnl"/>
        </w:rPr>
        <w:t>.</w:t>
      </w:r>
    </w:p>
    <w:p w14:paraId="7B63890E" w14:textId="77777777" w:rsidR="007D4515" w:rsidRPr="007D4515" w:rsidRDefault="007D4515" w:rsidP="007D4515">
      <w:pPr>
        <w:spacing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vii) El contrato admite la inclusión de cláusulas excepcionales. En los contratos de prestación de servicios se puede pactar la caducidad, la modificación, interpretación o terminación unilateral, como acuerdos o elementos accidentales, así que para ejercer estas exorbitancias deben incluirse expresamente, porque no se entienden pactadas como cláusula de la naturaleza. Así se infiere del artículo 14, numeral 2º, de la Ley 80 de 1993</w:t>
      </w:r>
      <w:r w:rsidRPr="007D4515">
        <w:rPr>
          <w:rFonts w:ascii="Verdana" w:eastAsia="Aptos" w:hAnsi="Verdana" w:cs="Arial"/>
          <w:noProof/>
          <w:vertAlign w:val="superscript"/>
          <w:lang w:val="es-ES_tradnl"/>
        </w:rPr>
        <w:footnoteReference w:id="9"/>
      </w:r>
      <w:r w:rsidRPr="007D4515">
        <w:rPr>
          <w:rFonts w:ascii="Verdana" w:eastAsia="Aptos" w:hAnsi="Verdana" w:cs="Arial"/>
          <w:noProof/>
          <w:lang w:val="es-ES_tradnl"/>
        </w:rPr>
        <w:t>.</w:t>
      </w:r>
    </w:p>
    <w:p w14:paraId="348DC736" w14:textId="77777777" w:rsidR="007D4515" w:rsidRPr="007D4515" w:rsidRDefault="007D4515" w:rsidP="007D4515">
      <w:pPr>
        <w:spacing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lastRenderedPageBreak/>
        <w:t>viii) No es obligatoria la liquidación de estos contratos, como lo establece el artículo 217 del Decreto 019 de 2012, que modificó el artículo 60 de la Ley 80 de 1993</w:t>
      </w:r>
      <w:r w:rsidRPr="007D4515">
        <w:rPr>
          <w:rFonts w:ascii="Verdana" w:eastAsia="Aptos" w:hAnsi="Verdana" w:cs="Arial"/>
          <w:noProof/>
          <w:vertAlign w:val="superscript"/>
          <w:lang w:val="es-ES_tradnl"/>
        </w:rPr>
        <w:footnoteReference w:id="10"/>
      </w:r>
      <w:r w:rsidRPr="007D4515">
        <w:rPr>
          <w:rFonts w:ascii="Verdana" w:eastAsia="Aptos" w:hAnsi="Verdana" w:cs="Arial"/>
          <w:noProof/>
          <w:lang w:val="es-ES_tradnl"/>
        </w:rPr>
        <w:t>.</w:t>
      </w:r>
    </w:p>
    <w:p w14:paraId="3E203676" w14:textId="77777777" w:rsidR="007D4515" w:rsidRPr="007D4515" w:rsidRDefault="007D4515" w:rsidP="007D4515">
      <w:pPr>
        <w:spacing w:after="120" w:line="276" w:lineRule="auto"/>
        <w:ind w:firstLine="709"/>
        <w:jc w:val="both"/>
        <w:rPr>
          <w:rFonts w:ascii="Verdana" w:eastAsia="Aptos" w:hAnsi="Verdana" w:cs="Arial"/>
          <w:noProof/>
          <w:lang w:val="es-ES_tradnl"/>
        </w:rPr>
      </w:pPr>
      <w:r w:rsidRPr="007D4515">
        <w:rPr>
          <w:rFonts w:ascii="Verdana" w:eastAsia="Aptos" w:hAnsi="Verdana" w:cs="Arial"/>
          <w:noProof/>
          <w:lang w:val="es-ES_tradnl"/>
        </w:rPr>
        <w:t>ix) Para su celebración el contratista no requiere estar inscrito en el Registro Único de Proponentes –RUP–, como lo señala el artículo 6 de la Ley 1150 de 2007</w:t>
      </w:r>
      <w:r w:rsidRPr="007D4515">
        <w:rPr>
          <w:rFonts w:ascii="Verdana" w:eastAsia="Aptos" w:hAnsi="Verdana" w:cs="Arial"/>
          <w:noProof/>
          <w:vertAlign w:val="superscript"/>
          <w:lang w:val="es-ES_tradnl"/>
        </w:rPr>
        <w:footnoteReference w:id="11"/>
      </w:r>
      <w:r w:rsidRPr="007D4515">
        <w:rPr>
          <w:rFonts w:ascii="Verdana" w:eastAsia="Aptos" w:hAnsi="Verdana" w:cs="Arial"/>
          <w:noProof/>
          <w:lang w:val="es-ES_tradnl"/>
        </w:rPr>
        <w:t>.</w:t>
      </w:r>
    </w:p>
    <w:p w14:paraId="74D63085" w14:textId="77777777" w:rsidR="007D4515" w:rsidRPr="007D4515" w:rsidRDefault="007D4515" w:rsidP="007D4515">
      <w:pPr>
        <w:spacing w:after="120" w:line="276" w:lineRule="auto"/>
        <w:ind w:firstLine="708"/>
        <w:jc w:val="both"/>
        <w:rPr>
          <w:rFonts w:ascii="Verdana" w:eastAsia="Aptos" w:hAnsi="Verdana" w:cs="Arial"/>
          <w:noProof/>
          <w:lang w:val="es-ES_tradnl"/>
        </w:rPr>
      </w:pPr>
      <w:r w:rsidRPr="007D4515">
        <w:rPr>
          <w:rFonts w:ascii="Verdana" w:eastAsia="Aptos" w:hAnsi="Verdana" w:cs="Arial"/>
          <w:noProof/>
          <w:lang w:val="es-ES_tradnl"/>
        </w:rPr>
        <w:t>x) No es obligtoria la exigencia de garantías</w:t>
      </w:r>
      <w:r w:rsidRPr="007D4515">
        <w:rPr>
          <w:rFonts w:ascii="Verdana" w:eastAsia="Aptos" w:hAnsi="Verdana" w:cs="Arial"/>
          <w:noProof/>
          <w:vertAlign w:val="superscript"/>
          <w:lang w:val="es-ES_tradnl"/>
        </w:rPr>
        <w:footnoteReference w:id="12"/>
      </w:r>
      <w:r w:rsidRPr="007D4515">
        <w:rPr>
          <w:rFonts w:ascii="Verdana" w:eastAsia="Aptos" w:hAnsi="Verdana" w:cs="Arial"/>
          <w:noProof/>
          <w:lang w:val="es-ES_tradnl"/>
        </w:rPr>
        <w:t>.</w:t>
      </w:r>
    </w:p>
    <w:p w14:paraId="58104E7C" w14:textId="77777777" w:rsidR="007D4515" w:rsidRPr="007D4515" w:rsidRDefault="007D4515" w:rsidP="007D4515">
      <w:pPr>
        <w:spacing w:after="120" w:line="276" w:lineRule="auto"/>
        <w:ind w:firstLine="708"/>
        <w:jc w:val="both"/>
        <w:rPr>
          <w:rFonts w:ascii="Verdana" w:eastAsia="Aptos" w:hAnsi="Verdana" w:cs="Arial"/>
          <w:noProof/>
          <w:lang w:val="es-ES"/>
        </w:rPr>
      </w:pPr>
      <w:r w:rsidRPr="007D4515">
        <w:rPr>
          <w:rFonts w:ascii="Verdana" w:eastAsia="Aptos" w:hAnsi="Verdana" w:cs="Arial"/>
          <w:noProof/>
          <w:lang w:val="es-ES_tradnl"/>
        </w:rPr>
        <w:t>xi) Como los demás contratos estatales, se trata de un contrato solemne que debe constar por escrito y debe ser publicado en el SECOP.</w:t>
      </w:r>
    </w:p>
    <w:p w14:paraId="049FC1BE" w14:textId="77777777" w:rsidR="007D4515" w:rsidRPr="007D4515" w:rsidRDefault="007D4515" w:rsidP="007D4515">
      <w:pPr>
        <w:tabs>
          <w:tab w:val="left" w:pos="0"/>
        </w:tabs>
        <w:spacing w:after="120" w:line="276" w:lineRule="auto"/>
        <w:ind w:firstLine="709"/>
        <w:jc w:val="both"/>
        <w:rPr>
          <w:rFonts w:ascii="Verdana" w:eastAsia="Aptos" w:hAnsi="Verdana" w:cs="Arial"/>
          <w:color w:val="000000"/>
          <w:lang w:val="es-ES_tradnl"/>
        </w:rPr>
      </w:pPr>
      <w:proofErr w:type="spellStart"/>
      <w:r w:rsidRPr="007D4515">
        <w:rPr>
          <w:rFonts w:ascii="Verdana" w:eastAsia="Aptos" w:hAnsi="Verdana" w:cs="Arial"/>
          <w:color w:val="000000"/>
          <w:lang w:val="es-ES"/>
        </w:rPr>
        <w:t>xii</w:t>
      </w:r>
      <w:proofErr w:type="spellEnd"/>
      <w:r w:rsidRPr="007D4515">
        <w:rPr>
          <w:rFonts w:ascii="Verdana" w:eastAsia="Aptos" w:hAnsi="Verdana" w:cs="Arial"/>
          <w:color w:val="000000"/>
          <w:lang w:val="es-ES"/>
        </w:rPr>
        <w:t>) C</w:t>
      </w:r>
      <w:proofErr w:type="spellStart"/>
      <w:r w:rsidRPr="007D4515">
        <w:rPr>
          <w:rFonts w:ascii="Verdana" w:eastAsia="Aptos" w:hAnsi="Verdana" w:cs="Arial"/>
          <w:color w:val="000000"/>
          <w:lang w:val="es-MX"/>
        </w:rPr>
        <w:t>omo</w:t>
      </w:r>
      <w:proofErr w:type="spellEnd"/>
      <w:r w:rsidRPr="007D4515">
        <w:rPr>
          <w:rFonts w:ascii="Verdana" w:eastAsia="Aptos" w:hAnsi="Verdana" w:cs="Arial"/>
          <w:color w:val="000000"/>
          <w:lang w:val="es-MX"/>
        </w:rPr>
        <w:t xml:space="preserve"> especies del género </w:t>
      </w:r>
      <w:r w:rsidRPr="007D4515">
        <w:rPr>
          <w:rFonts w:ascii="Verdana" w:eastAsia="Aptos" w:hAnsi="Verdana" w:cs="Arial"/>
          <w:iCs/>
          <w:color w:val="000000"/>
          <w:lang w:val="es-MX"/>
        </w:rPr>
        <w:t xml:space="preserve">prestación de servicios, se incluyen </w:t>
      </w:r>
      <w:r w:rsidRPr="007D4515">
        <w:rPr>
          <w:rFonts w:ascii="Verdana" w:eastAsia="Aptos" w:hAnsi="Verdana" w:cs="Arial"/>
          <w:iCs/>
          <w:color w:val="000000"/>
          <w:lang w:val="es-ES_tradnl"/>
        </w:rPr>
        <w:t>los contratos de prestación de servicios profesionales, los contratos de prestación de servicios de apoyo a la gestión y los contratos de prestación de servicios artísticos que solo pueden encomendarse a determinadas personas naturales</w:t>
      </w:r>
      <w:r w:rsidRPr="007D4515">
        <w:rPr>
          <w:rFonts w:ascii="Verdana" w:eastAsia="Aptos" w:hAnsi="Verdana" w:cs="Arial"/>
          <w:color w:val="000000"/>
          <w:vertAlign w:val="superscript"/>
          <w:lang w:val="es-ES_tradnl"/>
        </w:rPr>
        <w:footnoteReference w:id="13"/>
      </w:r>
      <w:r w:rsidRPr="007D4515">
        <w:rPr>
          <w:rFonts w:ascii="Verdana" w:eastAsia="Aptos" w:hAnsi="Verdana" w:cs="Arial"/>
          <w:color w:val="000000"/>
          <w:lang w:val="es-MX"/>
        </w:rPr>
        <w:t xml:space="preserve">. </w:t>
      </w:r>
      <w:r w:rsidRPr="007D4515">
        <w:rPr>
          <w:rFonts w:ascii="Verdana" w:eastAsia="Aptos" w:hAnsi="Verdana" w:cs="Arial"/>
          <w:color w:val="000000"/>
          <w:lang w:val="es-ES_tradnl"/>
        </w:rPr>
        <w:lastRenderedPageBreak/>
        <w:t xml:space="preserve">La diferencia entre el contrato de prestación de servicios </w:t>
      </w:r>
      <w:r w:rsidRPr="007D4515">
        <w:rPr>
          <w:rFonts w:ascii="Verdana" w:eastAsia="Aptos" w:hAnsi="Verdana" w:cs="Arial"/>
          <w:i/>
          <w:color w:val="000000"/>
          <w:lang w:val="es-ES_tradnl"/>
        </w:rPr>
        <w:t>profesionales</w:t>
      </w:r>
      <w:r w:rsidRPr="007D4515">
        <w:rPr>
          <w:rFonts w:ascii="Verdana" w:eastAsia="Aptos" w:hAnsi="Verdana" w:cs="Arial"/>
          <w:color w:val="000000"/>
          <w:lang w:val="es-ES_tradnl"/>
        </w:rPr>
        <w:t xml:space="preserve"> con las otras dos especies del género en el cual se </w:t>
      </w:r>
      <w:proofErr w:type="gramStart"/>
      <w:r w:rsidRPr="007D4515">
        <w:rPr>
          <w:rFonts w:ascii="Verdana" w:eastAsia="Aptos" w:hAnsi="Verdana" w:cs="Arial"/>
          <w:color w:val="000000"/>
          <w:lang w:val="es-ES_tradnl"/>
        </w:rPr>
        <w:t>ubican,</w:t>
      </w:r>
      <w:proofErr w:type="gramEnd"/>
      <w:r w:rsidRPr="007D4515">
        <w:rPr>
          <w:rFonts w:ascii="Verdana" w:eastAsia="Aptos" w:hAnsi="Verdana" w:cs="Arial"/>
          <w:color w:val="000000"/>
          <w:lang w:val="es-ES_tradnl"/>
        </w:rPr>
        <w:t xml:space="preserve"> radica en su contenido intelectual intangible y, al mismo tiempo, en la formación profesional que se exige para desempeñar la labor. </w:t>
      </w:r>
    </w:p>
    <w:p w14:paraId="7FD84F91" w14:textId="77777777" w:rsidR="007D4515" w:rsidRPr="007D4515" w:rsidRDefault="007D4515" w:rsidP="007D4515">
      <w:pPr>
        <w:tabs>
          <w:tab w:val="left" w:pos="0"/>
        </w:tabs>
        <w:spacing w:before="120" w:after="0" w:line="276" w:lineRule="auto"/>
        <w:ind w:firstLine="709"/>
        <w:jc w:val="both"/>
        <w:rPr>
          <w:rFonts w:ascii="Verdana" w:eastAsia="Aptos" w:hAnsi="Verdana" w:cs="Arial"/>
          <w:color w:val="000000"/>
          <w:sz w:val="21"/>
          <w:szCs w:val="21"/>
          <w:lang w:val="es-MX"/>
        </w:rPr>
      </w:pPr>
      <w:r w:rsidRPr="007D4515">
        <w:rPr>
          <w:rFonts w:ascii="Verdana" w:eastAsia="Aptos" w:hAnsi="Verdana" w:cs="Arial"/>
          <w:color w:val="000000"/>
          <w:lang w:val="es-ES_tradnl"/>
        </w:rPr>
        <w:t>Así lo consideró el Consejo de Estado en Sentencia de Unificación jurisprudencial del 2 de diciembre de 2013, al explicar que:</w:t>
      </w:r>
    </w:p>
    <w:p w14:paraId="28715AB3" w14:textId="77777777" w:rsidR="007D4515" w:rsidRPr="007D4515" w:rsidRDefault="007D4515" w:rsidP="007D4515">
      <w:pPr>
        <w:spacing w:after="0" w:line="276" w:lineRule="auto"/>
        <w:ind w:firstLine="709"/>
        <w:contextualSpacing/>
        <w:jc w:val="both"/>
        <w:rPr>
          <w:rFonts w:ascii="Verdana" w:eastAsia="Aptos" w:hAnsi="Verdana" w:cs="Arial"/>
          <w:color w:val="000000"/>
          <w:lang w:val="es-ES_tradnl"/>
        </w:rPr>
      </w:pPr>
    </w:p>
    <w:p w14:paraId="1FB14398" w14:textId="77777777" w:rsidR="007D4515" w:rsidRPr="007D4515" w:rsidRDefault="007D4515" w:rsidP="007D4515">
      <w:pPr>
        <w:spacing w:after="0" w:line="240" w:lineRule="auto"/>
        <w:ind w:left="709" w:right="709"/>
        <w:contextualSpacing/>
        <w:jc w:val="both"/>
        <w:rPr>
          <w:rFonts w:ascii="Verdana" w:eastAsia="Aptos" w:hAnsi="Verdana" w:cs="Arial"/>
          <w:color w:val="000000"/>
          <w:sz w:val="20"/>
          <w:szCs w:val="20"/>
          <w:lang w:val="es-ES_tradnl"/>
        </w:rPr>
      </w:pPr>
      <w:r w:rsidRPr="007D4515">
        <w:rPr>
          <w:rFonts w:ascii="Verdana" w:eastAsia="Aptos" w:hAnsi="Verdana" w:cs="Arial"/>
          <w:color w:val="000000"/>
          <w:sz w:val="20"/>
          <w:szCs w:val="20"/>
          <w:lang w:val="es-ES_tradnl"/>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7D4515">
        <w:rPr>
          <w:rFonts w:ascii="Verdana" w:eastAsia="Aptos" w:hAnsi="Verdana" w:cs="Arial"/>
          <w:color w:val="000000"/>
          <w:sz w:val="20"/>
          <w:szCs w:val="20"/>
          <w:vertAlign w:val="superscript"/>
          <w:lang w:val="es-ES_tradnl"/>
        </w:rPr>
        <w:footnoteReference w:id="14"/>
      </w:r>
      <w:r w:rsidRPr="007D4515">
        <w:rPr>
          <w:rFonts w:ascii="Verdana" w:eastAsia="Aptos" w:hAnsi="Verdana" w:cs="Arial"/>
          <w:color w:val="000000"/>
          <w:sz w:val="20"/>
          <w:szCs w:val="20"/>
          <w:lang w:val="es-ES_tradnl"/>
        </w:rPr>
        <w:t>.</w:t>
      </w:r>
    </w:p>
    <w:p w14:paraId="6E7AEB64" w14:textId="77777777" w:rsidR="007D4515" w:rsidRPr="007D4515" w:rsidRDefault="007D4515" w:rsidP="007D4515">
      <w:pPr>
        <w:spacing w:after="0" w:line="276" w:lineRule="auto"/>
        <w:ind w:firstLine="709"/>
        <w:jc w:val="both"/>
        <w:rPr>
          <w:rFonts w:ascii="Verdana" w:eastAsia="Aptos" w:hAnsi="Verdana" w:cs="Arial"/>
          <w:color w:val="000000"/>
          <w:lang w:val="es-ES_tradnl"/>
        </w:rPr>
      </w:pPr>
    </w:p>
    <w:p w14:paraId="7CA55EF9" w14:textId="77777777" w:rsidR="007D4515" w:rsidRPr="007D4515" w:rsidRDefault="007D4515" w:rsidP="007D4515">
      <w:pPr>
        <w:spacing w:after="0" w:line="276" w:lineRule="auto"/>
        <w:ind w:firstLine="709"/>
        <w:jc w:val="both"/>
        <w:rPr>
          <w:rFonts w:ascii="Verdana" w:eastAsia="Aptos" w:hAnsi="Verdana" w:cs="Arial"/>
          <w:color w:val="000000"/>
          <w:lang w:val="es-ES_tradnl"/>
        </w:rPr>
      </w:pPr>
      <w:r w:rsidRPr="007D4515">
        <w:rPr>
          <w:rFonts w:ascii="Verdana" w:eastAsia="Aptos" w:hAnsi="Verdana" w:cs="Arial"/>
          <w:color w:val="000000"/>
          <w:lang w:val="es-ES_tradnl"/>
        </w:rPr>
        <w:t xml:space="preserve">Lo expuesto, según la jurisprudencia citada, se diferencia del objeto del </w:t>
      </w:r>
      <w:r w:rsidRPr="007D4515">
        <w:rPr>
          <w:rFonts w:ascii="Verdana" w:eastAsia="Aptos" w:hAnsi="Verdana" w:cs="Arial"/>
          <w:i/>
          <w:iCs/>
          <w:color w:val="000000"/>
          <w:lang w:val="es-ES_tradnl"/>
        </w:rPr>
        <w:t>contrato de prestación de servicios de apoyo a la gestión</w:t>
      </w:r>
      <w:r w:rsidRPr="007D4515">
        <w:rPr>
          <w:rFonts w:ascii="Verdana" w:eastAsia="Aptos" w:hAnsi="Verdana" w:cs="Arial"/>
          <w:color w:val="000000"/>
          <w:lang w:val="es-ES_tradnl"/>
        </w:rPr>
        <w:t>, en los siguientes aspectos:</w:t>
      </w:r>
    </w:p>
    <w:p w14:paraId="6F397C34" w14:textId="77777777" w:rsidR="007D4515" w:rsidRPr="007D4515" w:rsidRDefault="007D4515" w:rsidP="007D4515">
      <w:pPr>
        <w:spacing w:after="0" w:line="276" w:lineRule="auto"/>
        <w:ind w:firstLine="709"/>
        <w:jc w:val="both"/>
        <w:rPr>
          <w:rFonts w:ascii="Verdana" w:eastAsia="Aptos" w:hAnsi="Verdana" w:cs="Arial"/>
          <w:color w:val="000000"/>
          <w:lang w:val="es-ES_tradnl"/>
        </w:rPr>
      </w:pPr>
    </w:p>
    <w:p w14:paraId="0B5EB993"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_tradnl"/>
        </w:rPr>
      </w:pPr>
      <w:r w:rsidRPr="007D4515">
        <w:rPr>
          <w:rFonts w:ascii="Verdana" w:eastAsia="Aptos" w:hAnsi="Verdana" w:cs="Arial"/>
          <w:color w:val="000000"/>
          <w:sz w:val="20"/>
          <w:szCs w:val="20"/>
          <w:lang w:val="es-ES_tradnl"/>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4C01F86B"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_tradnl"/>
        </w:rPr>
      </w:pPr>
    </w:p>
    <w:p w14:paraId="02A40DAC"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
        </w:rPr>
      </w:pPr>
      <w:r w:rsidRPr="007D4515">
        <w:rPr>
          <w:rFonts w:ascii="Verdana" w:eastAsia="Aptos" w:hAnsi="Verdana" w:cs="Arial"/>
          <w:color w:val="000000"/>
          <w:sz w:val="20"/>
          <w:szCs w:val="20"/>
          <w:lang w:val="es-ES"/>
        </w:rPr>
        <w:t xml:space="preserve">Aunque también se caracteriza por el desempeño de actividad intelectiva, ésta </w:t>
      </w:r>
      <w:proofErr w:type="gramStart"/>
      <w:r w:rsidRPr="007D4515">
        <w:rPr>
          <w:rFonts w:ascii="Verdana" w:eastAsia="Aptos" w:hAnsi="Verdana" w:cs="Arial"/>
          <w:color w:val="000000"/>
          <w:sz w:val="20"/>
          <w:szCs w:val="20"/>
          <w:lang w:val="es-ES"/>
        </w:rPr>
        <w:t>se enmarca dentro de</w:t>
      </w:r>
      <w:proofErr w:type="gramEnd"/>
      <w:r w:rsidRPr="007D4515">
        <w:rPr>
          <w:rFonts w:ascii="Verdana" w:eastAsia="Aptos" w:hAnsi="Verdana" w:cs="Arial"/>
          <w:color w:val="000000"/>
          <w:sz w:val="20"/>
          <w:szCs w:val="20"/>
          <w:lang w:val="es-ES"/>
        </w:rPr>
        <w:t xml:space="preserve"> un saber propiamente técnico; igualmente involucra actividades en donde prima el esfuerzo físico o mecánico, en donde no se requiere de personal profesional.</w:t>
      </w:r>
    </w:p>
    <w:p w14:paraId="6AAD2911"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_tradnl"/>
        </w:rPr>
      </w:pPr>
    </w:p>
    <w:p w14:paraId="100D6A1E"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_tradnl"/>
        </w:rPr>
      </w:pPr>
      <w:r w:rsidRPr="007D4515">
        <w:rPr>
          <w:rFonts w:ascii="Verdana" w:eastAsia="Aptos" w:hAnsi="Verdana" w:cs="Arial"/>
          <w:color w:val="000000"/>
          <w:sz w:val="20"/>
          <w:szCs w:val="20"/>
          <w:lang w:val="es-ES_tradnl"/>
        </w:rPr>
        <w:t>Dentro de su objeto contractual pueden tener lugar actividades operativas, logísticas o asistenciales, siempre que satisfaga los requisitos antes mencionados y sea acorde con las necesidades de la Administración y el principio de planeación”</w:t>
      </w:r>
      <w:r w:rsidRPr="007D4515">
        <w:rPr>
          <w:rFonts w:ascii="Verdana" w:eastAsia="Aptos" w:hAnsi="Verdana" w:cs="Arial"/>
          <w:color w:val="000000"/>
          <w:sz w:val="20"/>
          <w:szCs w:val="20"/>
          <w:vertAlign w:val="superscript"/>
          <w:lang w:val="es-ES_tradnl"/>
        </w:rPr>
        <w:footnoteReference w:id="15"/>
      </w:r>
      <w:r w:rsidRPr="007D4515">
        <w:rPr>
          <w:rFonts w:ascii="Verdana" w:eastAsia="Aptos" w:hAnsi="Verdana" w:cs="Arial"/>
          <w:color w:val="000000"/>
          <w:sz w:val="20"/>
          <w:szCs w:val="20"/>
          <w:lang w:val="es-ES_tradnl"/>
        </w:rPr>
        <w:t>.</w:t>
      </w:r>
    </w:p>
    <w:p w14:paraId="6DACAB75" w14:textId="77777777" w:rsidR="007D4515" w:rsidRPr="007D4515" w:rsidRDefault="007D4515" w:rsidP="007D4515">
      <w:pPr>
        <w:spacing w:after="0" w:line="276" w:lineRule="auto"/>
        <w:ind w:firstLine="709"/>
        <w:jc w:val="both"/>
        <w:rPr>
          <w:rFonts w:ascii="Verdana" w:eastAsia="Aptos" w:hAnsi="Verdana" w:cs="Arial"/>
          <w:color w:val="000000"/>
          <w:lang w:val="es-ES_tradnl"/>
        </w:rPr>
      </w:pPr>
    </w:p>
    <w:p w14:paraId="143A87F1" w14:textId="77777777" w:rsidR="007D4515" w:rsidRPr="007D4515" w:rsidRDefault="007D4515" w:rsidP="007D4515">
      <w:pPr>
        <w:spacing w:after="0" w:line="276" w:lineRule="auto"/>
        <w:ind w:firstLine="709"/>
        <w:jc w:val="both"/>
        <w:rPr>
          <w:rFonts w:ascii="Verdana" w:eastAsia="Aptos" w:hAnsi="Verdana" w:cs="Arial"/>
          <w:color w:val="000000"/>
          <w:lang w:val="es-ES_tradnl"/>
        </w:rPr>
      </w:pPr>
      <w:r w:rsidRPr="007D4515">
        <w:rPr>
          <w:rFonts w:ascii="Verdana" w:eastAsia="Aptos" w:hAnsi="Verdana" w:cs="Arial"/>
          <w:color w:val="000000"/>
          <w:lang w:val="es-ES_tradnl"/>
        </w:rPr>
        <w:lastRenderedPageBreak/>
        <w:t xml:space="preserve">En relación con el </w:t>
      </w:r>
      <w:r w:rsidRPr="007D4515">
        <w:rPr>
          <w:rFonts w:ascii="Verdana" w:eastAsia="Aptos" w:hAnsi="Verdana" w:cs="Arial"/>
          <w:i/>
          <w:iCs/>
          <w:color w:val="000000"/>
          <w:lang w:val="es-ES_tradnl"/>
        </w:rPr>
        <w:t>contrato de prestación de servicios artísticos que solo pueden encomendarse a determinadas personas naturales</w:t>
      </w:r>
      <w:r w:rsidRPr="007D4515">
        <w:rPr>
          <w:rFonts w:ascii="Verdana" w:eastAsia="Aptos" w:hAnsi="Verdana" w:cs="Arial"/>
          <w:color w:val="000000"/>
          <w:lang w:val="es-ES_tradnl"/>
        </w:rPr>
        <w:t>, señala la mencionada decisión judicial lo siguiente:</w:t>
      </w:r>
    </w:p>
    <w:p w14:paraId="247DD356" w14:textId="77777777" w:rsidR="007D4515" w:rsidRPr="007D4515" w:rsidRDefault="007D4515" w:rsidP="007D4515">
      <w:pPr>
        <w:spacing w:after="0" w:line="276" w:lineRule="auto"/>
        <w:ind w:left="709" w:right="709"/>
        <w:jc w:val="both"/>
        <w:rPr>
          <w:rFonts w:ascii="Verdana" w:eastAsia="Aptos" w:hAnsi="Verdana" w:cs="Arial"/>
          <w:color w:val="000000"/>
          <w:lang w:val="es-ES_tradnl"/>
        </w:rPr>
      </w:pPr>
    </w:p>
    <w:p w14:paraId="0A215938" w14:textId="77777777" w:rsidR="007D4515" w:rsidRPr="007D4515" w:rsidRDefault="007D4515" w:rsidP="007D4515">
      <w:pPr>
        <w:spacing w:after="0" w:line="240" w:lineRule="auto"/>
        <w:ind w:left="709" w:right="709"/>
        <w:jc w:val="both"/>
        <w:rPr>
          <w:rFonts w:ascii="Verdana" w:eastAsia="Aptos" w:hAnsi="Verdana" w:cs="Arial"/>
          <w:color w:val="000000"/>
          <w:sz w:val="20"/>
          <w:szCs w:val="20"/>
          <w:lang w:val="es-ES_tradnl"/>
        </w:rPr>
      </w:pPr>
      <w:r w:rsidRPr="007D4515">
        <w:rPr>
          <w:rFonts w:ascii="Verdana" w:eastAsia="Aptos" w:hAnsi="Verdana" w:cs="Arial"/>
          <w:color w:val="000000"/>
          <w:sz w:val="20"/>
          <w:szCs w:val="20"/>
          <w:lang w:val="es-ES_tradnl"/>
        </w:rPr>
        <w:t>“Tienen lugar dentro de esta categoría los contratos de prestación de servicios que tengan por objeto la ejecución de trabajos artísticos, esto es, trabajos que corresponden al conjunto de creaciones humanas que expresan una especial visión del mundo, tanto real como imaginaria, y que sólo pueda celebrarse con determinadas personas naturales, lo que implica que el contratista debe ser un artista, esto es, una persona reconocida como realizador o productor de arte o trabajos artísticos”</w:t>
      </w:r>
      <w:r w:rsidRPr="007D4515">
        <w:rPr>
          <w:rFonts w:ascii="Verdana" w:eastAsia="Aptos" w:hAnsi="Verdana" w:cs="Arial"/>
          <w:color w:val="000000"/>
          <w:sz w:val="20"/>
          <w:szCs w:val="20"/>
          <w:vertAlign w:val="superscript"/>
          <w:lang w:val="es-ES_tradnl"/>
        </w:rPr>
        <w:footnoteReference w:id="16"/>
      </w:r>
      <w:r w:rsidRPr="007D4515">
        <w:rPr>
          <w:rFonts w:ascii="Verdana" w:eastAsia="Aptos" w:hAnsi="Verdana" w:cs="Arial"/>
          <w:color w:val="000000"/>
          <w:sz w:val="20"/>
          <w:szCs w:val="20"/>
          <w:lang w:val="es-ES_tradnl"/>
        </w:rPr>
        <w:t>.</w:t>
      </w:r>
    </w:p>
    <w:p w14:paraId="3C687E0E" w14:textId="77777777" w:rsidR="007D4515" w:rsidRPr="007D4515" w:rsidRDefault="007D4515" w:rsidP="007D4515">
      <w:pPr>
        <w:spacing w:after="0" w:line="240" w:lineRule="auto"/>
        <w:ind w:left="709" w:right="709"/>
        <w:jc w:val="both"/>
        <w:rPr>
          <w:rFonts w:ascii="Verdana" w:eastAsia="Aptos" w:hAnsi="Verdana" w:cs="Arial"/>
          <w:color w:val="000000"/>
          <w:sz w:val="21"/>
          <w:szCs w:val="21"/>
          <w:lang w:val="es-ES_tradnl"/>
        </w:rPr>
      </w:pPr>
    </w:p>
    <w:p w14:paraId="0FB8A838" w14:textId="77777777" w:rsidR="007D4515" w:rsidRPr="007D4515" w:rsidRDefault="007D4515" w:rsidP="007D4515">
      <w:pPr>
        <w:spacing w:after="120" w:line="276" w:lineRule="auto"/>
        <w:ind w:firstLine="709"/>
        <w:jc w:val="both"/>
        <w:rPr>
          <w:rFonts w:ascii="Verdana" w:eastAsia="Aptos" w:hAnsi="Verdana" w:cs="Arial"/>
          <w:color w:val="000000"/>
          <w:lang w:val="es-MX"/>
        </w:rPr>
      </w:pPr>
      <w:r w:rsidRPr="007D4515">
        <w:rPr>
          <w:rFonts w:ascii="Verdana" w:eastAsia="Aptos" w:hAnsi="Verdana" w:cs="Arial"/>
          <w:color w:val="000000"/>
          <w:lang w:val="es-ES_tradnl"/>
        </w:rPr>
        <w:t xml:space="preserve">En este sentido, el contrato de prestación de servicios </w:t>
      </w:r>
      <w:r w:rsidRPr="007D4515">
        <w:rPr>
          <w:rFonts w:ascii="Verdana" w:eastAsia="Aptos" w:hAnsi="Verdana" w:cs="Arial"/>
          <w:i/>
          <w:iCs/>
          <w:color w:val="000000"/>
          <w:lang w:val="es-ES_tradnl"/>
        </w:rPr>
        <w:t>profesionales</w:t>
      </w:r>
      <w:r w:rsidRPr="007D4515">
        <w:rPr>
          <w:rFonts w:ascii="Verdana" w:eastAsia="Aptos" w:hAnsi="Verdana" w:cs="Arial"/>
          <w:color w:val="000000"/>
          <w:lang w:val="es-ES_tradnl"/>
        </w:rPr>
        <w:t xml:space="preserve"> se caracteriza porque su objeto guarda relación con el desarrollo de actividades que demandan competencias y habilidades profesionales o especializadas de la persona natural o jurídica a contratar, de manera que se trata de un </w:t>
      </w:r>
      <w:r w:rsidRPr="007D4515">
        <w:rPr>
          <w:rFonts w:ascii="Verdana" w:eastAsia="Aptos" w:hAnsi="Verdana" w:cs="Arial"/>
          <w:i/>
          <w:iCs/>
          <w:color w:val="000000"/>
          <w:lang w:val="es-ES_tradnl"/>
        </w:rPr>
        <w:t>saber intelectivo cualificado.</w:t>
      </w:r>
      <w:r w:rsidRPr="007D4515">
        <w:rPr>
          <w:rFonts w:ascii="Verdana" w:eastAsia="Aptos" w:hAnsi="Verdana" w:cs="Arial"/>
          <w:color w:val="000000"/>
          <w:lang w:val="es-ES_tradnl"/>
        </w:rPr>
        <w:t xml:space="preserve"> En cambio, los contratos de prestación de servicios de </w:t>
      </w:r>
      <w:r w:rsidRPr="007D4515">
        <w:rPr>
          <w:rFonts w:ascii="Verdana" w:eastAsia="Aptos" w:hAnsi="Verdana" w:cs="Arial"/>
          <w:i/>
          <w:iCs/>
          <w:color w:val="000000"/>
          <w:lang w:val="es-ES_tradnl"/>
        </w:rPr>
        <w:t>apoyo a la gestión</w:t>
      </w:r>
      <w:r w:rsidRPr="007D4515">
        <w:rPr>
          <w:rFonts w:ascii="Verdana" w:eastAsia="Aptos" w:hAnsi="Verdana" w:cs="Arial"/>
          <w:color w:val="000000"/>
          <w:lang w:val="es-ES_tradnl"/>
        </w:rPr>
        <w:t xml:space="preserve"> y de </w:t>
      </w:r>
      <w:r w:rsidRPr="007D4515">
        <w:rPr>
          <w:rFonts w:ascii="Verdana" w:eastAsia="Aptos" w:hAnsi="Verdana" w:cs="Arial"/>
          <w:i/>
          <w:iCs/>
          <w:color w:val="000000"/>
          <w:lang w:val="es-ES_tradnl"/>
        </w:rPr>
        <w:t>servicios artísticos</w:t>
      </w:r>
      <w:r w:rsidRPr="007D4515">
        <w:rPr>
          <w:rFonts w:ascii="Verdana" w:eastAsia="Aptos" w:hAnsi="Verdana" w:cs="Arial"/>
          <w:color w:val="000000"/>
          <w:lang w:val="es-ES_tradnl"/>
        </w:rPr>
        <w:t xml:space="preserve"> no involucran ese conocimiento profesional </w:t>
      </w:r>
      <w:r w:rsidRPr="007D4515">
        <w:rPr>
          <w:rFonts w:ascii="Verdana" w:eastAsia="Aptos" w:hAnsi="Verdana" w:cs="Arial"/>
          <w:color w:val="000000"/>
          <w:lang w:val="es-MX"/>
        </w:rPr>
        <w:t xml:space="preserve">o especializados para su ejecución. En los contratos de apoyo a la gestión </w:t>
      </w:r>
      <w:r w:rsidRPr="007D4515">
        <w:rPr>
          <w:rFonts w:ascii="Verdana" w:eastAsia="Aptos" w:hAnsi="Verdana" w:cs="Arial"/>
          <w:color w:val="000000"/>
          <w:lang w:val="es-ES_tradnl"/>
        </w:rPr>
        <w:t xml:space="preserve">el contratista desempeña un esfuerzo o actividad de apoyo, acompañamiento, o soporte, </w:t>
      </w:r>
      <w:r w:rsidRPr="007D4515">
        <w:rPr>
          <w:rFonts w:ascii="Verdana" w:eastAsia="Aptos" w:hAnsi="Verdana" w:cs="Arial"/>
          <w:color w:val="000000"/>
          <w:lang w:val="es-MX"/>
        </w:rPr>
        <w:t xml:space="preserve">donde </w:t>
      </w:r>
      <w:r w:rsidRPr="007D4515">
        <w:rPr>
          <w:rFonts w:ascii="Verdana" w:eastAsia="Aptos" w:hAnsi="Verdana" w:cs="Arial"/>
          <w:color w:val="000000"/>
          <w:lang w:val="es-ES_tradnl"/>
        </w:rPr>
        <w:t xml:space="preserve">“lo predominante es el actuar como ejecutor, con el propósito y finalidad de satisfacer necesidades de las entidades estatales en lo relacionado con la gestión administrativa o funcionamiento de </w:t>
      </w:r>
      <w:proofErr w:type="gramStart"/>
      <w:r w:rsidRPr="007D4515">
        <w:rPr>
          <w:rFonts w:ascii="Verdana" w:eastAsia="Aptos" w:hAnsi="Verdana" w:cs="Arial"/>
          <w:color w:val="000000"/>
          <w:lang w:val="es-ES_tradnl"/>
        </w:rPr>
        <w:t>la misma</w:t>
      </w:r>
      <w:proofErr w:type="gramEnd"/>
      <w:r w:rsidRPr="007D4515">
        <w:rPr>
          <w:rFonts w:ascii="Verdana" w:eastAsia="Aptos" w:hAnsi="Verdana" w:cs="Arial"/>
          <w:color w:val="000000"/>
          <w:lang w:val="es-ES_tradnl"/>
        </w:rPr>
        <w:t>, por personas no profesionales y que no implican el ejercicio de funciones públicas administrativas”. Igualmente, en el contrato de prestación de servicios artísticos lo prevalente es que la persona que lo ejecute se trate de un artista, es decir, “una persona reconocida como realizador o productor de arte, de obras de arte, ejecutor de trabajos artísticos</w:t>
      </w:r>
      <w:bookmarkStart w:id="1" w:name="_Hlk80118732"/>
      <w:r w:rsidRPr="007D4515">
        <w:rPr>
          <w:rFonts w:ascii="Verdana" w:eastAsia="Aptos" w:hAnsi="Verdana" w:cs="Arial"/>
          <w:color w:val="000000"/>
          <w:lang w:val="es-ES_tradnl"/>
        </w:rPr>
        <w:t>”</w:t>
      </w:r>
      <w:bookmarkEnd w:id="1"/>
      <w:r w:rsidRPr="007D4515">
        <w:rPr>
          <w:rFonts w:ascii="Verdana" w:eastAsia="Aptos" w:hAnsi="Verdana" w:cs="Arial"/>
          <w:color w:val="000000"/>
          <w:lang w:val="es-ES_tradnl"/>
        </w:rPr>
        <w:t>, para lo cual es indiferente el carácter de profesional.</w:t>
      </w:r>
    </w:p>
    <w:p w14:paraId="3A1A2A9C" w14:textId="77777777" w:rsidR="007D4515" w:rsidRPr="007D4515" w:rsidRDefault="007D4515" w:rsidP="007D4515">
      <w:pPr>
        <w:spacing w:after="120" w:line="276" w:lineRule="auto"/>
        <w:ind w:firstLine="708"/>
        <w:jc w:val="both"/>
        <w:rPr>
          <w:rFonts w:ascii="Verdana" w:eastAsia="Aptos" w:hAnsi="Verdana" w:cs="Arial"/>
          <w:lang w:eastAsia="es-MX"/>
        </w:rPr>
      </w:pPr>
      <w:r w:rsidRPr="007D4515">
        <w:rPr>
          <w:rFonts w:ascii="Verdana" w:eastAsia="Calibri" w:hAnsi="Verdana" w:cs="Arial"/>
          <w:color w:val="000000"/>
        </w:rPr>
        <w:t>Ahora bien, con el fin de atender el objeto bajo consulta, las Entidades Estatales, al momento de estructurar sus procesos de contratación, deben ceñirse a las situaciones fácticas y jurídicas definidas por el legislador en el artículo 2 de la Ley 1150 de 2007, a efectos de determinar la modalidad de selección que procede para la celebración de un contrato estatal, de acuerdo con su objeto y cuantía. En este contexto, resulta importante señalar</w:t>
      </w:r>
      <w:bookmarkStart w:id="2" w:name="_Hlk102550058"/>
      <w:r w:rsidRPr="007D4515">
        <w:rPr>
          <w:rFonts w:ascii="Verdana" w:eastAsia="Calibri" w:hAnsi="Verdana" w:cs="Arial"/>
          <w:color w:val="000000"/>
        </w:rPr>
        <w:t xml:space="preserve"> que</w:t>
      </w:r>
      <w:r w:rsidRPr="007D4515">
        <w:rPr>
          <w:rFonts w:ascii="Verdana" w:eastAsia="Arial" w:hAnsi="Verdana" w:cs="Arial"/>
        </w:rPr>
        <w:t xml:space="preserve"> la contratación directa constituye</w:t>
      </w:r>
      <w:r w:rsidRPr="007D4515">
        <w:rPr>
          <w:rFonts w:ascii="Verdana" w:eastAsia="Aptos" w:hAnsi="Verdana" w:cs="Arial"/>
          <w:lang w:eastAsia="es-MX"/>
        </w:rPr>
        <w:t xml:space="preserve"> una excepción al principio de libre concurrencia y competencia, el cual rige los procesos de contratación y garantiza que </w:t>
      </w:r>
      <w:r w:rsidRPr="007D4515">
        <w:rPr>
          <w:rFonts w:ascii="Verdana" w:eastAsia="Aptos" w:hAnsi="Verdana" w:cs="Arial"/>
          <w:lang w:eastAsia="es-MX"/>
        </w:rPr>
        <w:lastRenderedPageBreak/>
        <w:t xml:space="preserve">cualquier persona interesada en satisfacer la necesidad de una entidad pueda presentar una oferta. </w:t>
      </w:r>
      <w:bookmarkStart w:id="3" w:name="_Hlk101520178"/>
      <w:bookmarkStart w:id="4" w:name="_Hlk101520187"/>
    </w:p>
    <w:p w14:paraId="18E17A57" w14:textId="77777777" w:rsidR="007D4515" w:rsidRPr="007D4515" w:rsidRDefault="007D4515" w:rsidP="007D4515">
      <w:pPr>
        <w:spacing w:after="120" w:line="276" w:lineRule="auto"/>
        <w:ind w:firstLine="708"/>
        <w:jc w:val="both"/>
        <w:rPr>
          <w:rFonts w:ascii="Verdana" w:eastAsia="Arial" w:hAnsi="Verdana" w:cs="Arial"/>
        </w:rPr>
      </w:pPr>
      <w:r w:rsidRPr="007D4515">
        <w:rPr>
          <w:rFonts w:ascii="Verdana" w:eastAsia="Aptos" w:hAnsi="Verdana" w:cs="Arial"/>
          <w:lang w:eastAsia="es-MX"/>
        </w:rPr>
        <w:t xml:space="preserve">Al tratarse de una excepción a los mencionados principios, la </w:t>
      </w:r>
      <w:r w:rsidRPr="007D4515">
        <w:rPr>
          <w:rFonts w:ascii="Verdana" w:eastAsia="Arial" w:hAnsi="Verdana" w:cs="Arial"/>
        </w:rPr>
        <w:t xml:space="preserve">modalidad de contratación directa es de aplicación restrictiva, es decir, únicamente procede en los eventos expresamente señalados por la ley. Principalmente, las causales para acudir a esta modalidad se encuentran principalmente contenidas en el numeral 4 del artículo 2 de la Ley 1150 de 2007; no obstante, también se pueden encontrar en otras leyes eventos en los que se autorice la contratación bajo esta modalidad. </w:t>
      </w:r>
      <w:bookmarkEnd w:id="3"/>
    </w:p>
    <w:p w14:paraId="1D1F2304" w14:textId="1AB2936D" w:rsidR="007D4515" w:rsidRPr="007D4515" w:rsidRDefault="007D4515" w:rsidP="007D4515">
      <w:pPr>
        <w:spacing w:after="120" w:line="276" w:lineRule="auto"/>
        <w:ind w:firstLine="708"/>
        <w:jc w:val="both"/>
        <w:rPr>
          <w:rFonts w:ascii="Verdana" w:eastAsia="Arial" w:hAnsi="Verdana" w:cs="Arial"/>
        </w:rPr>
      </w:pPr>
      <w:r w:rsidRPr="007D4515">
        <w:rPr>
          <w:rFonts w:ascii="Verdana" w:eastAsia="Aptos" w:hAnsi="Verdana" w:cs="Arial"/>
          <w:lang w:eastAsia="es-MX"/>
        </w:rPr>
        <w:t>En ese sentido, su aplicación no puede efectuarse por fuera del contenido normativo, ni extenderse más allá de lo que la misma norma dispone dentro del contexto del ordenamiento jurídico de la contratación estatal.</w:t>
      </w:r>
      <w:bookmarkEnd w:id="2"/>
      <w:bookmarkEnd w:id="4"/>
      <w:r w:rsidRPr="007D4515">
        <w:rPr>
          <w:rFonts w:ascii="Verdana" w:eastAsia="Calibri" w:hAnsi="Verdana" w:cs="Arial"/>
          <w:color w:val="000000"/>
        </w:rPr>
        <w:t xml:space="preserve"> Así, en virtud de la causal definida en el literal h) la disposición señalada, la contratación directa procede específicamente para la celebración de contratos de prestación de servicios profesionales, de apoyo a la gestión o para la ejecución de trabajos </w:t>
      </w:r>
      <w:r w:rsidR="00D07530" w:rsidRPr="007D4515">
        <w:rPr>
          <w:rFonts w:ascii="Verdana" w:eastAsia="Calibri" w:hAnsi="Verdana" w:cs="Arial"/>
          <w:color w:val="000000"/>
        </w:rPr>
        <w:t>artísticos, sin</w:t>
      </w:r>
      <w:r w:rsidRPr="007D4515">
        <w:rPr>
          <w:rFonts w:ascii="Verdana" w:eastAsia="Calibri" w:hAnsi="Verdana" w:cs="Arial"/>
          <w:color w:val="000000"/>
        </w:rPr>
        <w:t xml:space="preserve"> distinción de la cuantía u objeto, en los términos previstos en dicha disposición.</w:t>
      </w:r>
    </w:p>
    <w:p w14:paraId="4E8F07E6" w14:textId="77777777" w:rsidR="007D4515" w:rsidRPr="007D4515" w:rsidRDefault="007D4515" w:rsidP="007D4515">
      <w:pPr>
        <w:spacing w:after="120" w:line="276" w:lineRule="auto"/>
        <w:ind w:firstLine="708"/>
        <w:jc w:val="both"/>
        <w:rPr>
          <w:rFonts w:ascii="Verdana" w:eastAsia="Aptos" w:hAnsi="Verdana" w:cs="Arial"/>
          <w:lang w:eastAsia="es-MX"/>
        </w:rPr>
      </w:pPr>
      <w:r w:rsidRPr="007D4515">
        <w:rPr>
          <w:rFonts w:ascii="Verdana" w:eastAsia="Aptos" w:hAnsi="Verdana" w:cs="Arial"/>
          <w:lang w:eastAsia="es-MX"/>
        </w:rPr>
        <w:t xml:space="preserve">La anterior precisión resulta relevante, puesto que, en materia de selección de contratistas rige el principio de legalidad, conforme al cual la entidad debe acudir exclusivamente a la modalidad establecida por el legislador, de acuerdo con las causales o eventos previstos para la procedencia de cada una. En consecuencia, la contratación de prestación de servicios solo podrá adelantarse de forma directa cuando estos correspondan a servicios profesionales, de apoyo a la gestión </w:t>
      </w:r>
      <w:proofErr w:type="gramStart"/>
      <w:r w:rsidRPr="007D4515">
        <w:rPr>
          <w:rFonts w:ascii="Verdana" w:eastAsia="Aptos" w:hAnsi="Verdana" w:cs="Arial"/>
          <w:lang w:eastAsia="es-MX"/>
        </w:rPr>
        <w:t>o  para</w:t>
      </w:r>
      <w:proofErr w:type="gramEnd"/>
      <w:r w:rsidRPr="007D4515">
        <w:rPr>
          <w:rFonts w:ascii="Verdana" w:eastAsia="Aptos" w:hAnsi="Verdana" w:cs="Arial"/>
          <w:lang w:eastAsia="es-MX"/>
        </w:rPr>
        <w:t xml:space="preserve"> la ejecución de trabajos artísticos, en los términos autorizados por la ley.</w:t>
      </w:r>
    </w:p>
    <w:p w14:paraId="602EEC47" w14:textId="77777777" w:rsidR="007D4515" w:rsidRPr="007D4515" w:rsidRDefault="007D4515" w:rsidP="007D4515">
      <w:pPr>
        <w:spacing w:after="120" w:line="276" w:lineRule="auto"/>
        <w:ind w:firstLine="708"/>
        <w:jc w:val="both"/>
        <w:rPr>
          <w:rFonts w:ascii="Verdana" w:eastAsia="Calibri" w:hAnsi="Verdana" w:cs="Arial"/>
          <w:color w:val="000000"/>
        </w:rPr>
      </w:pPr>
      <w:r w:rsidRPr="007D4515">
        <w:rPr>
          <w:rFonts w:ascii="Verdana" w:eastAsia="Aptos" w:hAnsi="Verdana" w:cs="Arial"/>
          <w:lang w:val="es-ES_tradnl"/>
        </w:rPr>
        <w:t xml:space="preserve">En armonía con lo anterior, se concluye que </w:t>
      </w:r>
      <w:r w:rsidRPr="007D4515">
        <w:rPr>
          <w:rFonts w:ascii="Verdana" w:eastAsia="Aptos" w:hAnsi="Verdana" w:cs="Arial"/>
        </w:rPr>
        <w:t>la contratación directa, como modalidad de selección regulada en la Ley, está condicionada a la aplicación de sus causales de forma estricta y restrictiva, por lo que no es posible realizar interpretaciones amplias y extensivas. Ello, en atención a que su es que la contratación directa sea una excepción a la libre concurrencia de oferentes y no un fundamento para impedir o restringir la competencia, teniendo en cuenta el cumplimiento de los principios de la contratación estatal, de la función administrativa y de la gestión fiscal.</w:t>
      </w:r>
    </w:p>
    <w:p w14:paraId="032B44F3" w14:textId="4FCE6B34" w:rsidR="007D4515" w:rsidRPr="007D4515" w:rsidRDefault="007D4515" w:rsidP="007D4515">
      <w:pPr>
        <w:spacing w:after="120" w:line="276" w:lineRule="auto"/>
        <w:ind w:firstLine="709"/>
        <w:jc w:val="both"/>
        <w:rPr>
          <w:rFonts w:ascii="Verdana" w:eastAsia="Calibri" w:hAnsi="Verdana" w:cs="Arial"/>
          <w:color w:val="000000"/>
        </w:rPr>
      </w:pPr>
      <w:r w:rsidRPr="007D4515">
        <w:rPr>
          <w:rFonts w:ascii="Verdana" w:eastAsia="Calibri" w:hAnsi="Verdana" w:cs="Arial"/>
          <w:color w:val="000000"/>
        </w:rPr>
        <w:t xml:space="preserve">Por su parte, la modalidad de selección de mínima </w:t>
      </w:r>
      <w:r w:rsidR="00D07530" w:rsidRPr="007D4515">
        <w:rPr>
          <w:rFonts w:ascii="Verdana" w:eastAsia="Calibri" w:hAnsi="Verdana" w:cs="Arial"/>
          <w:color w:val="000000"/>
        </w:rPr>
        <w:t>cuantía, dispuesta</w:t>
      </w:r>
      <w:r w:rsidRPr="007D4515">
        <w:rPr>
          <w:rFonts w:ascii="Verdana" w:eastAsia="Calibri" w:hAnsi="Verdana" w:cs="Arial"/>
          <w:color w:val="000000"/>
        </w:rPr>
        <w:t xml:space="preserve"> en el numeral 5 del artículo 2 ibidem, permite “la contratación cuyo valor no excede del diez por ciento (10 %) de la menor cuantía de la entidad independientemente </w:t>
      </w:r>
      <w:r w:rsidRPr="007D4515">
        <w:rPr>
          <w:rFonts w:ascii="Verdana" w:eastAsia="Calibri" w:hAnsi="Verdana" w:cs="Arial"/>
          <w:color w:val="000000"/>
        </w:rPr>
        <w:lastRenderedPageBreak/>
        <w:t xml:space="preserve">de su objeto […]”. En consecuencia, la procedencia de esta modalidad de contratación dependerá de un factor determinante, la “cuantía” del contrato que se pretende celebrar. </w:t>
      </w:r>
    </w:p>
    <w:p w14:paraId="3C14B43A" w14:textId="72DADDB2" w:rsidR="00D60876" w:rsidRPr="00BB116B" w:rsidRDefault="007D4515" w:rsidP="00BB116B">
      <w:pPr>
        <w:spacing w:after="120" w:line="276" w:lineRule="auto"/>
        <w:ind w:firstLine="709"/>
        <w:jc w:val="both"/>
        <w:rPr>
          <w:rFonts w:ascii="Verdana" w:eastAsia="Calibri" w:hAnsi="Verdana" w:cs="Arial"/>
          <w:color w:val="000000"/>
        </w:rPr>
      </w:pPr>
      <w:r w:rsidRPr="007D4515">
        <w:rPr>
          <w:rFonts w:ascii="Verdana" w:eastAsia="Calibri" w:hAnsi="Verdana" w:cs="Arial"/>
          <w:color w:val="000000"/>
        </w:rPr>
        <w:t xml:space="preserve"> Conforme a lo expuesto, las Entidades Estatales deben observar al momento de identificar la necesidad que pretenden satisfacer, las situaciones fácticas y jurídicas previamente dispuestas en la ley para adelantar un proceso de contratación a través de una determinada modalidad de selección correspondiente. En ese sentido, las Entidades Estatales podrán contratar la prestación de bienes, obras o servicios mediante la modalidad de selección de mínima cuantía, siempre y cuando se encausen en el factor determinante de la cuantía y las normas que integran el Estatuto General de Contratación de la Administración Pública –Ley 80 de 1993, Ley 1150 de 2007, Decreto 1082 de 2015 y demás normas que lo modifiquen o complementen– no los hayan delimitado de manera concreta y especial, a otras modalidades de selección</w:t>
      </w:r>
      <w:r w:rsidR="00BB116B">
        <w:rPr>
          <w:rFonts w:ascii="Verdana" w:eastAsia="Calibri" w:hAnsi="Verdana" w:cs="Arial"/>
          <w:color w:val="000000"/>
        </w:rPr>
        <w:t>.</w:t>
      </w:r>
    </w:p>
    <w:p w14:paraId="641D43E7" w14:textId="77777777" w:rsidR="00D60876" w:rsidRPr="00CE45C7" w:rsidRDefault="00D60876" w:rsidP="00CE45C7">
      <w:pPr>
        <w:spacing w:after="0" w:line="240" w:lineRule="auto"/>
        <w:jc w:val="both"/>
        <w:textAlignment w:val="baseline"/>
        <w:rPr>
          <w:rFonts w:ascii="Verdana" w:eastAsia="Calibri" w:hAnsi="Verdana" w:cs="Arial"/>
        </w:rPr>
      </w:pPr>
    </w:p>
    <w:p w14:paraId="427200DD" w14:textId="77777777" w:rsidR="00CE45C7" w:rsidRPr="00CE45C7" w:rsidRDefault="00CE45C7" w:rsidP="00CE45C7">
      <w:pPr>
        <w:tabs>
          <w:tab w:val="left" w:pos="142"/>
          <w:tab w:val="left" w:pos="284"/>
          <w:tab w:val="left" w:pos="6912"/>
        </w:tabs>
        <w:spacing w:after="120" w:line="276" w:lineRule="auto"/>
        <w:jc w:val="both"/>
        <w:rPr>
          <w:rFonts w:ascii="Verdana" w:eastAsia="Times New Roman" w:hAnsi="Verdana" w:cs="Arial"/>
          <w:bCs/>
          <w:lang w:eastAsia="es-CO"/>
        </w:rPr>
      </w:pPr>
      <w:r w:rsidRPr="00BB116B">
        <w:rPr>
          <w:rFonts w:ascii="Verdana" w:eastAsia="Times New Roman" w:hAnsi="Verdana" w:cs="Arial"/>
          <w:bCs/>
          <w:lang w:eastAsia="es-CO"/>
        </w:rPr>
        <w:t>Respecto del alcance de la Ley de Garantías Electorales y su incidencia en la aplicación en los</w:t>
      </w:r>
      <w:r w:rsidRPr="00CE45C7">
        <w:rPr>
          <w:rFonts w:ascii="Verdana" w:eastAsia="Times New Roman" w:hAnsi="Verdana" w:cs="Arial"/>
          <w:bCs/>
          <w:lang w:eastAsia="es-CO"/>
        </w:rPr>
        <w:t xml:space="preserve"> convenios interadministrativos y aquellos contratos definidos en el artículo 355 de la Constitución Política y de los convenios del Decreto 092 de 2017, el ordenamiento jurídico colombiano contempla previsiones claras para evitar la obtención de beneficios personales en asuntos propios de la administración pública. Por ejemplo, el artículo 127 de la Constitución Política establece una prohibición contractual a los servidores públicos y en cuanto a aspectos políticos establece restricciones a ciertos empleados del Estado, incluso en época no electoral</w:t>
      </w:r>
      <w:r w:rsidRPr="00CE45C7">
        <w:rPr>
          <w:rFonts w:ascii="Verdana" w:eastAsia="Calibri" w:hAnsi="Verdana" w:cs="Arial"/>
          <w:bCs/>
          <w:vertAlign w:val="superscript"/>
        </w:rPr>
        <w:footnoteReference w:id="17"/>
      </w:r>
      <w:r w:rsidRPr="00CE45C7">
        <w:rPr>
          <w:rFonts w:ascii="Verdana" w:eastAsia="Calibri" w:hAnsi="Verdana" w:cs="Arial"/>
          <w:bCs/>
        </w:rPr>
        <w:t xml:space="preserve">. </w:t>
      </w:r>
    </w:p>
    <w:p w14:paraId="2A98034A" w14:textId="77777777" w:rsidR="00CE45C7" w:rsidRPr="00CE45C7" w:rsidRDefault="00CE45C7" w:rsidP="00CE45C7">
      <w:pPr>
        <w:tabs>
          <w:tab w:val="left" w:pos="426"/>
        </w:tabs>
        <w:spacing w:after="120" w:line="276" w:lineRule="auto"/>
        <w:ind w:firstLine="709"/>
        <w:jc w:val="both"/>
        <w:rPr>
          <w:rFonts w:ascii="Verdana" w:eastAsia="Calibri" w:hAnsi="Verdana" w:cs="Arial"/>
          <w:noProof/>
          <w:lang w:val="es-ES_tradnl"/>
        </w:rPr>
      </w:pPr>
      <w:r w:rsidRPr="00CE45C7">
        <w:rPr>
          <w:rFonts w:ascii="Verdana" w:eastAsia="Times New Roman" w:hAnsi="Verdana" w:cs="Arial"/>
          <w:bCs/>
          <w:lang w:eastAsia="es-CO"/>
        </w:rPr>
        <w:t xml:space="preserve">En el mismo sentido,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w:t>
      </w:r>
      <w:r w:rsidRPr="00CE45C7">
        <w:rPr>
          <w:rFonts w:ascii="Verdana" w:eastAsia="Times New Roman" w:hAnsi="Verdana" w:cs="Arial"/>
          <w:bCs/>
          <w:lang w:eastAsia="es-CO"/>
        </w:rPr>
        <w:lastRenderedPageBreak/>
        <w:t>del Estado en las campañas o falta de garantías en la elección presidencial</w:t>
      </w:r>
      <w:r w:rsidRPr="00CE45C7">
        <w:rPr>
          <w:rFonts w:ascii="Verdana" w:eastAsia="Times New Roman" w:hAnsi="Verdana" w:cs="Arial"/>
          <w:bCs/>
          <w:vertAlign w:val="superscript"/>
          <w:lang w:eastAsia="es-CO"/>
        </w:rPr>
        <w:footnoteReference w:id="18"/>
      </w:r>
      <w:r w:rsidRPr="00CE45C7">
        <w:rPr>
          <w:rFonts w:ascii="Verdana" w:eastAsia="Times New Roman" w:hAnsi="Verdana" w:cs="Arial"/>
          <w:bCs/>
          <w:lang w:eastAsia="es-CO"/>
        </w:rPr>
        <w:t>. En esta medida, introduce limitaciones para realizar nombramientos, postulaciones, contrataciones o cualquier otro tipo de actividad que implique destinación de recursos públicos bajo el devenir propio de las entidades estatales.</w:t>
      </w:r>
      <w:r w:rsidRPr="00CE45C7">
        <w:rPr>
          <w:rFonts w:ascii="Verdana" w:eastAsia="Calibri" w:hAnsi="Verdana" w:cs="Arial"/>
          <w:noProof/>
          <w:lang w:val="es-ES_tradnl"/>
        </w:rPr>
        <w:t xml:space="preserve"> </w:t>
      </w:r>
    </w:p>
    <w:p w14:paraId="24C30207" w14:textId="77777777" w:rsidR="00CE45C7" w:rsidRPr="00CE45C7" w:rsidRDefault="00CE45C7" w:rsidP="00CE45C7">
      <w:pPr>
        <w:tabs>
          <w:tab w:val="left" w:pos="426"/>
        </w:tabs>
        <w:spacing w:after="0" w:line="276" w:lineRule="auto"/>
        <w:ind w:firstLine="709"/>
        <w:jc w:val="both"/>
        <w:rPr>
          <w:rFonts w:ascii="Verdana" w:eastAsia="Times New Roman" w:hAnsi="Verdana" w:cs="Arial"/>
          <w:bCs/>
          <w:lang w:eastAsia="es-CO"/>
        </w:rPr>
      </w:pPr>
      <w:r w:rsidRPr="00CE45C7">
        <w:rPr>
          <w:rFonts w:ascii="Verdana" w:eastAsia="Times New Roman" w:hAnsi="Verdana" w:cs="Arial"/>
          <w:bCs/>
          <w:lang w:eastAsia="es-CO"/>
        </w:rPr>
        <w:t>En armonía con lo anterior, la Corte Constitucional ha abordado la definición de la Ley de Garantías Electorales. De esta manera, explica que tiene como propósito:</w:t>
      </w:r>
    </w:p>
    <w:p w14:paraId="68319FB5" w14:textId="77777777" w:rsidR="00CE45C7" w:rsidRPr="00CE45C7" w:rsidRDefault="00CE45C7" w:rsidP="00CE45C7">
      <w:pPr>
        <w:tabs>
          <w:tab w:val="left" w:pos="426"/>
        </w:tabs>
        <w:spacing w:after="0" w:line="276" w:lineRule="auto"/>
        <w:ind w:firstLine="709"/>
        <w:jc w:val="both"/>
        <w:rPr>
          <w:rFonts w:ascii="Verdana" w:eastAsia="Times New Roman" w:hAnsi="Verdana" w:cs="Arial"/>
          <w:bCs/>
          <w:lang w:eastAsia="es-CO"/>
        </w:rPr>
      </w:pPr>
    </w:p>
    <w:p w14:paraId="52C8C270" w14:textId="77777777" w:rsidR="00CE45C7" w:rsidRPr="00CE45C7" w:rsidRDefault="00CE45C7" w:rsidP="00CE45C7">
      <w:pPr>
        <w:spacing w:after="0" w:line="240" w:lineRule="auto"/>
        <w:ind w:left="709" w:right="709"/>
        <w:jc w:val="both"/>
        <w:rPr>
          <w:rFonts w:ascii="Verdana" w:eastAsia="Times New Roman" w:hAnsi="Verdana" w:cs="Arial"/>
          <w:sz w:val="20"/>
          <w:szCs w:val="20"/>
          <w:lang w:val="es-ES" w:eastAsia="es-CO"/>
        </w:rPr>
      </w:pPr>
      <w:r w:rsidRPr="00CE45C7">
        <w:rPr>
          <w:rFonts w:ascii="Verdana" w:eastAsia="Times New Roman" w:hAnsi="Verdana" w:cs="Arial"/>
          <w:sz w:val="20"/>
          <w:szCs w:val="20"/>
          <w:lang w:val="es-ES" w:eastAsia="es-CO"/>
        </w:rPr>
        <w:t xml:space="preserve">“(…) </w:t>
      </w:r>
      <w:r w:rsidRPr="00CE45C7">
        <w:rPr>
          <w:rFonts w:ascii="Verdana" w:eastAsia="Times New Roman" w:hAnsi="Verdana" w:cs="Arial"/>
          <w:bCs/>
          <w:sz w:val="20"/>
          <w:szCs w:val="20"/>
          <w:lang w:eastAsia="es-CO"/>
        </w:rPr>
        <w:t>La definición de reglas claras que permitan acceder a los canales de expresión democrática de manera efectiva e igualitaria. El objetivo de una ley de garantías es definir esas reglas.</w:t>
      </w:r>
    </w:p>
    <w:p w14:paraId="7AD81ACD" w14:textId="77777777" w:rsidR="00CE45C7" w:rsidRDefault="00CE45C7" w:rsidP="00CE45C7">
      <w:pPr>
        <w:spacing w:after="0" w:line="240" w:lineRule="auto"/>
        <w:ind w:left="709" w:right="709"/>
        <w:jc w:val="both"/>
        <w:rPr>
          <w:rFonts w:ascii="Verdana" w:eastAsia="Times New Roman" w:hAnsi="Verdana" w:cs="Arial"/>
          <w:bCs/>
          <w:sz w:val="20"/>
          <w:szCs w:val="20"/>
          <w:lang w:eastAsia="es-CO"/>
        </w:rPr>
      </w:pPr>
      <w:r w:rsidRPr="00CE45C7">
        <w:rPr>
          <w:rFonts w:ascii="Verdana" w:eastAsia="Times New Roman" w:hAnsi="Verdana" w:cs="Arial"/>
          <w:bCs/>
          <w:sz w:val="20"/>
          <w:szCs w:val="20"/>
          <w:lang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 (…)”</w:t>
      </w:r>
      <w:r w:rsidRPr="00CE45C7">
        <w:rPr>
          <w:rFonts w:ascii="Verdana" w:hAnsi="Verdana" w:cs="Arial"/>
          <w:sz w:val="20"/>
          <w:szCs w:val="20"/>
          <w:vertAlign w:val="superscript"/>
        </w:rPr>
        <w:footnoteReference w:id="19"/>
      </w:r>
      <w:r w:rsidRPr="00CE45C7">
        <w:rPr>
          <w:rFonts w:ascii="Verdana" w:eastAsia="Times New Roman" w:hAnsi="Verdana" w:cs="Arial"/>
          <w:bCs/>
          <w:sz w:val="20"/>
          <w:szCs w:val="20"/>
          <w:lang w:eastAsia="es-CO"/>
        </w:rPr>
        <w:t xml:space="preserve">. </w:t>
      </w:r>
      <w:bookmarkStart w:id="5" w:name="_Hlk78818186"/>
    </w:p>
    <w:p w14:paraId="09CEC03B" w14:textId="77777777" w:rsidR="00312FE7" w:rsidRPr="00CE45C7" w:rsidRDefault="00312FE7" w:rsidP="00CE45C7">
      <w:pPr>
        <w:spacing w:after="0" w:line="240" w:lineRule="auto"/>
        <w:ind w:left="709" w:right="709"/>
        <w:jc w:val="both"/>
        <w:rPr>
          <w:rFonts w:ascii="Verdana" w:eastAsia="Times New Roman" w:hAnsi="Verdana" w:cs="Arial"/>
          <w:bCs/>
          <w:sz w:val="20"/>
          <w:szCs w:val="20"/>
          <w:lang w:eastAsia="es-CO"/>
        </w:rPr>
      </w:pPr>
    </w:p>
    <w:p w14:paraId="4F891BB0" w14:textId="77777777" w:rsidR="00CE45C7" w:rsidRPr="00CE45C7" w:rsidRDefault="00CE45C7" w:rsidP="00CE45C7">
      <w:pPr>
        <w:spacing w:after="120" w:line="276" w:lineRule="auto"/>
        <w:ind w:firstLine="709"/>
        <w:jc w:val="both"/>
        <w:rPr>
          <w:rFonts w:ascii="Verdana" w:eastAsia="Times New Roman" w:hAnsi="Verdana" w:cs="Arial"/>
          <w:bCs/>
          <w:lang w:eastAsia="es-CO"/>
        </w:rPr>
      </w:pPr>
      <w:r w:rsidRPr="00CE45C7">
        <w:rPr>
          <w:rFonts w:ascii="Verdana" w:eastAsia="Times New Roman" w:hAnsi="Verdana" w:cs="Arial"/>
          <w:bCs/>
          <w:lang w:eastAsia="es-CO"/>
        </w:rPr>
        <w:t xml:space="preserve">En este contexto, la Ley de Garantías Electorales establece el marco jurídico para el desarrollo de las elecciones, procurando condiciones de igualdad y transparencia para los aspirantes. Paralelamente, incluye restricciones en el actuar de los servidores públicos, evitando interferencias en la contienda electoral, así como la posible desviación de recursos públicos en aspiraciones electorales. </w:t>
      </w:r>
      <w:bookmarkEnd w:id="5"/>
      <w:r w:rsidRPr="00CE45C7">
        <w:rPr>
          <w:rFonts w:ascii="Verdana" w:eastAsia="Times New Roman" w:hAnsi="Verdana" w:cs="Arial"/>
          <w:bCs/>
          <w:lang w:eastAsia="es-CO"/>
        </w:rPr>
        <w:t xml:space="preserve">Por ello, varias de las disposiciones de la Ley 996 de 2005, al contener normas prohibitivas, no admiten una interpretación amplia, sino que deben interpretarse restrictivamente. </w:t>
      </w:r>
    </w:p>
    <w:p w14:paraId="59F81A75" w14:textId="77777777" w:rsidR="00CE45C7" w:rsidRPr="00CE45C7" w:rsidRDefault="00CE45C7" w:rsidP="00CE45C7">
      <w:pPr>
        <w:spacing w:after="0" w:line="276" w:lineRule="auto"/>
        <w:ind w:firstLine="709"/>
        <w:jc w:val="both"/>
        <w:rPr>
          <w:rFonts w:ascii="Verdana" w:eastAsia="Times New Roman" w:hAnsi="Verdana" w:cs="Arial"/>
          <w:bCs/>
          <w:lang w:eastAsia="es-CO"/>
        </w:rPr>
      </w:pPr>
      <w:r w:rsidRPr="00CE45C7">
        <w:rPr>
          <w:rFonts w:ascii="Verdana" w:eastAsia="Times New Roman" w:hAnsi="Verdana" w:cs="Arial"/>
          <w:bCs/>
          <w:lang w:eastAsia="es-CO"/>
        </w:rPr>
        <w:t>En efecto, la Sala de Consulta y Servicio Civil del Consejo de Estado al analizar la referida Ley, precisó lo siguiente:</w:t>
      </w:r>
    </w:p>
    <w:p w14:paraId="1E1BED72" w14:textId="77777777" w:rsidR="00CE45C7" w:rsidRPr="00CE45C7" w:rsidRDefault="00CE45C7" w:rsidP="00CE45C7">
      <w:pPr>
        <w:spacing w:after="0" w:line="240" w:lineRule="auto"/>
        <w:ind w:firstLine="709"/>
        <w:jc w:val="both"/>
        <w:rPr>
          <w:rFonts w:ascii="Verdana" w:eastAsia="Times New Roman" w:hAnsi="Verdana" w:cs="Arial"/>
          <w:bCs/>
          <w:lang w:eastAsia="es-CO"/>
        </w:rPr>
      </w:pPr>
    </w:p>
    <w:p w14:paraId="3070FA51" w14:textId="77777777" w:rsidR="00CE45C7" w:rsidRPr="00CE45C7" w:rsidRDefault="00CE45C7" w:rsidP="00CE45C7">
      <w:pPr>
        <w:spacing w:after="0" w:line="240" w:lineRule="auto"/>
        <w:ind w:left="709" w:right="709"/>
        <w:jc w:val="both"/>
        <w:rPr>
          <w:rFonts w:ascii="Verdana" w:eastAsia="Times New Roman" w:hAnsi="Verdana" w:cs="Arial"/>
          <w:bCs/>
          <w:sz w:val="20"/>
          <w:szCs w:val="20"/>
          <w:lang w:eastAsia="es-CO"/>
        </w:rPr>
      </w:pPr>
      <w:r w:rsidRPr="00CE45C7">
        <w:rPr>
          <w:rFonts w:ascii="Verdana" w:eastAsia="Times New Roman" w:hAnsi="Verdana" w:cs="Arial"/>
          <w:bCs/>
          <w:sz w:val="20"/>
          <w:szCs w:val="20"/>
          <w:lang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w:t>
      </w:r>
      <w:r w:rsidRPr="00CE45C7">
        <w:rPr>
          <w:rFonts w:ascii="Verdana" w:eastAsia="Times New Roman" w:hAnsi="Verdana" w:cs="Arial"/>
          <w:bCs/>
          <w:sz w:val="20"/>
          <w:szCs w:val="20"/>
          <w:lang w:eastAsia="es-CO"/>
        </w:rPr>
        <w:lastRenderedPageBreak/>
        <w:t>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793FCF56" w14:textId="77777777" w:rsidR="00CE45C7" w:rsidRPr="00CE45C7" w:rsidRDefault="00CE45C7" w:rsidP="00CE45C7">
      <w:pPr>
        <w:spacing w:after="0" w:line="240" w:lineRule="auto"/>
        <w:ind w:left="709" w:right="709"/>
        <w:jc w:val="both"/>
        <w:rPr>
          <w:rFonts w:ascii="Verdana" w:eastAsia="Times New Roman" w:hAnsi="Verdana" w:cs="Arial"/>
          <w:bCs/>
          <w:sz w:val="20"/>
          <w:szCs w:val="20"/>
          <w:lang w:eastAsia="es-CO"/>
        </w:rPr>
      </w:pPr>
    </w:p>
    <w:p w14:paraId="2002153F" w14:textId="77777777" w:rsidR="00CE45C7" w:rsidRDefault="00CE45C7" w:rsidP="00CE45C7">
      <w:pPr>
        <w:spacing w:after="0" w:line="240" w:lineRule="auto"/>
        <w:ind w:left="709" w:right="709"/>
        <w:jc w:val="both"/>
        <w:rPr>
          <w:rFonts w:ascii="Verdana" w:eastAsia="Times New Roman" w:hAnsi="Verdana" w:cs="Arial"/>
          <w:bCs/>
          <w:sz w:val="20"/>
          <w:szCs w:val="20"/>
          <w:lang w:eastAsia="es-CO"/>
        </w:rPr>
      </w:pPr>
      <w:r w:rsidRPr="00CE45C7">
        <w:rPr>
          <w:rFonts w:ascii="Verdana" w:eastAsia="Times New Roman" w:hAnsi="Verdana" w:cs="Arial"/>
          <w:bCs/>
          <w:sz w:val="20"/>
          <w:szCs w:val="20"/>
          <w:lang w:eastAsia="es-CO"/>
        </w:rPr>
        <w:t>La jurisprudencia de la Corte Constitucional</w:t>
      </w:r>
      <w:r w:rsidRPr="00CE45C7">
        <w:rPr>
          <w:rFonts w:ascii="Verdana" w:eastAsia="Times New Roman" w:hAnsi="Verdana" w:cs="Arial"/>
          <w:bCs/>
          <w:sz w:val="20"/>
          <w:szCs w:val="20"/>
          <w:vertAlign w:val="superscript"/>
          <w:lang w:eastAsia="es-CO"/>
        </w:rPr>
        <w:footnoteReference w:id="20"/>
      </w:r>
      <w:r w:rsidRPr="00CE45C7">
        <w:rPr>
          <w:rFonts w:ascii="Verdana" w:eastAsia="Times New Roman" w:hAnsi="Verdana" w:cs="Arial"/>
          <w:bCs/>
          <w:sz w:val="20"/>
          <w:szCs w:val="20"/>
          <w:lang w:eastAsia="es-CO"/>
        </w:rPr>
        <w:t> y del Consejo de Estado</w:t>
      </w:r>
      <w:r w:rsidRPr="00CE45C7">
        <w:rPr>
          <w:rFonts w:ascii="Verdana" w:eastAsia="Times New Roman" w:hAnsi="Verdana" w:cs="Arial"/>
          <w:bCs/>
          <w:sz w:val="20"/>
          <w:szCs w:val="20"/>
          <w:vertAlign w:val="superscript"/>
          <w:lang w:eastAsia="es-CO"/>
        </w:rPr>
        <w:footnoteReference w:id="21"/>
      </w:r>
      <w:r w:rsidRPr="00CE45C7">
        <w:rPr>
          <w:rFonts w:ascii="Verdana" w:eastAsia="Times New Roman" w:hAnsi="Verdana" w:cs="Arial"/>
          <w:bCs/>
          <w:sz w:val="20"/>
          <w:szCs w:val="20"/>
          <w:lang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CE45C7">
        <w:rPr>
          <w:rFonts w:ascii="Verdana" w:eastAsia="Times New Roman" w:hAnsi="Verdana" w:cs="Arial"/>
          <w:bCs/>
          <w:sz w:val="20"/>
          <w:szCs w:val="20"/>
          <w:vertAlign w:val="superscript"/>
          <w:lang w:eastAsia="es-CO"/>
        </w:rPr>
        <w:footnoteReference w:id="22"/>
      </w:r>
      <w:r w:rsidRPr="00CE45C7">
        <w:rPr>
          <w:rFonts w:ascii="Verdana" w:eastAsia="Times New Roman" w:hAnsi="Verdana" w:cs="Arial"/>
          <w:bCs/>
          <w:sz w:val="20"/>
          <w:szCs w:val="20"/>
          <w:lang w:eastAsia="es-CO"/>
        </w:rPr>
        <w:t>.</w:t>
      </w:r>
    </w:p>
    <w:p w14:paraId="777494E0" w14:textId="77777777" w:rsidR="00B03B48" w:rsidRPr="00CE45C7" w:rsidRDefault="00B03B48" w:rsidP="00CE45C7">
      <w:pPr>
        <w:spacing w:after="0" w:line="240" w:lineRule="auto"/>
        <w:ind w:left="709" w:right="709"/>
        <w:jc w:val="both"/>
        <w:rPr>
          <w:rFonts w:ascii="Verdana" w:eastAsia="Times New Roman" w:hAnsi="Verdana" w:cs="Arial"/>
          <w:bCs/>
          <w:sz w:val="20"/>
          <w:szCs w:val="20"/>
          <w:lang w:eastAsia="es-CO"/>
        </w:rPr>
      </w:pPr>
    </w:p>
    <w:p w14:paraId="0AF5E73C" w14:textId="77777777" w:rsidR="00CE45C7" w:rsidRPr="00CE45C7" w:rsidRDefault="00CE45C7" w:rsidP="00CE45C7">
      <w:pPr>
        <w:spacing w:after="120" w:line="276" w:lineRule="auto"/>
        <w:ind w:firstLine="709"/>
        <w:jc w:val="both"/>
        <w:rPr>
          <w:rFonts w:ascii="Verdana" w:eastAsia="Arial" w:hAnsi="Verdana" w:cs="Arial"/>
          <w:lang w:val="es-ES" w:eastAsia="es-ES" w:bidi="es-ES"/>
        </w:rPr>
      </w:pPr>
      <w:r w:rsidRPr="00CE45C7">
        <w:rPr>
          <w:rFonts w:ascii="Verdana" w:eastAsia="Times New Roman" w:hAnsi="Verdana" w:cs="Arial"/>
          <w:bCs/>
          <w:lang w:eastAsia="es-CO"/>
        </w:rPr>
        <w:t>De</w:t>
      </w:r>
      <w:r w:rsidRPr="00CE45C7">
        <w:rPr>
          <w:rFonts w:ascii="Verdana" w:eastAsia="Arial" w:hAnsi="Verdana" w:cs="Arial"/>
          <w:lang w:val="es-ES" w:eastAsia="es-ES" w:bidi="es-ES"/>
        </w:rPr>
        <w:t xml:space="preserve"> conformidad con lo anterior, </w:t>
      </w:r>
      <w:bookmarkStart w:id="6" w:name="_Hlk77236098"/>
      <w:r w:rsidRPr="00CE45C7">
        <w:rPr>
          <w:rFonts w:ascii="Verdana" w:eastAsia="Arial" w:hAnsi="Verdana" w:cs="Arial"/>
          <w:lang w:val="es-ES" w:eastAsia="es-ES" w:bidi="es-ES"/>
        </w:rPr>
        <w:t xml:space="preserve">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16B49801" w14:textId="77777777" w:rsidR="00CE45C7" w:rsidRPr="00CE45C7" w:rsidRDefault="00CE45C7" w:rsidP="00CE45C7">
      <w:pPr>
        <w:spacing w:after="120" w:line="276" w:lineRule="auto"/>
        <w:ind w:firstLine="709"/>
        <w:jc w:val="both"/>
        <w:rPr>
          <w:rFonts w:ascii="Verdana" w:eastAsia="Arial" w:hAnsi="Verdana" w:cs="Arial"/>
          <w:lang w:val="es-ES" w:eastAsia="es-ES" w:bidi="es-ES"/>
        </w:rPr>
      </w:pPr>
      <w:r w:rsidRPr="00CE45C7">
        <w:rPr>
          <w:rFonts w:ascii="Verdana" w:eastAsia="Arial" w:hAnsi="Verdana" w:cs="Arial"/>
          <w:lang w:val="es-ES" w:eastAsia="es-ES" w:bidi="es-ES"/>
        </w:rPr>
        <w:t>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bookmarkEnd w:id="6"/>
    </w:p>
    <w:p w14:paraId="2938227A" w14:textId="77777777" w:rsidR="00CE45C7" w:rsidRPr="00CE45C7" w:rsidRDefault="00CE45C7" w:rsidP="00CE45C7">
      <w:pPr>
        <w:spacing w:after="120" w:line="276" w:lineRule="auto"/>
        <w:ind w:firstLine="709"/>
        <w:jc w:val="both"/>
        <w:rPr>
          <w:rFonts w:ascii="Verdana" w:eastAsia="Calibri" w:hAnsi="Verdana" w:cs="Arial"/>
        </w:rPr>
      </w:pPr>
      <w:r w:rsidRPr="00CE45C7">
        <w:rPr>
          <w:rFonts w:ascii="Verdana" w:eastAsia="Calibri" w:hAnsi="Verdana" w:cs="Arial"/>
        </w:rPr>
        <w:t xml:space="preserve">Por un lado, </w:t>
      </w:r>
      <w:r w:rsidRPr="00CE45C7">
        <w:rPr>
          <w:rFonts w:ascii="Verdana" w:eastAsia="Calibri" w:hAnsi="Verdana" w:cs="Arial"/>
          <w:i/>
        </w:rPr>
        <w:t>el artículo 33</w:t>
      </w:r>
      <w:r w:rsidRPr="00CE45C7">
        <w:rPr>
          <w:rFonts w:ascii="Verdana" w:eastAsia="Calibri" w:hAnsi="Verdana" w:cs="Arial"/>
        </w:rPr>
        <w:t xml:space="preserve"> de la Ley 996 de 2005 prohíbe “</w:t>
      </w:r>
      <w:r w:rsidRPr="00CE45C7">
        <w:rPr>
          <w:rFonts w:ascii="Verdana" w:eastAsia="Calibri" w:hAnsi="Verdana" w:cs="Arial"/>
          <w:bCs/>
        </w:rPr>
        <w:t xml:space="preserve">(…) </w:t>
      </w:r>
      <w:r w:rsidRPr="00CE45C7">
        <w:rPr>
          <w:rFonts w:ascii="Verdana" w:eastAsia="Calibri" w:hAnsi="Verdana" w:cs="Arial"/>
        </w:rPr>
        <w:t>la contratación directa por parte de todos los entes del Estado</w:t>
      </w:r>
      <w:r w:rsidRPr="00CE45C7">
        <w:rPr>
          <w:rFonts w:ascii="Verdana" w:eastAsia="Calibri" w:hAnsi="Verdana" w:cs="Arial"/>
          <w:bCs/>
        </w:rPr>
        <w:t>”</w:t>
      </w:r>
      <w:r w:rsidRPr="00CE45C7">
        <w:rPr>
          <w:rFonts w:ascii="Verdana" w:eastAsia="Calibri" w:hAnsi="Verdana" w:cs="Arial"/>
        </w:rPr>
        <w:t xml:space="preserve"> durante los cuatro (4) meses anteriores a las elecciones presidenciales, salvo </w:t>
      </w:r>
      <w:r w:rsidRPr="00CE45C7">
        <w:rPr>
          <w:rFonts w:ascii="Verdana" w:eastAsia="Calibri" w:hAnsi="Verdana" w:cs="Arial"/>
          <w:bCs/>
        </w:rPr>
        <w:t xml:space="preserve">“(…) </w:t>
      </w:r>
      <w:r w:rsidRPr="00CE45C7">
        <w:rPr>
          <w:rFonts w:ascii="Verdana" w:eastAsia="Calibri" w:hAnsi="Verdana" w:cs="Arial"/>
        </w:rPr>
        <w:t xml:space="preserve">lo referente a la defensa y seguridad del Estado, los contratos de crédito público, los requeridos para cubrir las emergencias educativas, sanitarias y desastres, así como también </w:t>
      </w:r>
      <w:r w:rsidRPr="00CE45C7">
        <w:rPr>
          <w:rFonts w:ascii="Verdana" w:eastAsia="Calibri" w:hAnsi="Verdana" w:cs="Arial"/>
        </w:rPr>
        <w:lastRenderedPageBreak/>
        <w:t>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CE45C7">
        <w:rPr>
          <w:rFonts w:ascii="Verdana" w:eastAsia="Calibri" w:hAnsi="Verdana" w:cs="Arial"/>
          <w:bCs/>
        </w:rPr>
        <w:t>”</w:t>
      </w:r>
      <w:r w:rsidRPr="00CE45C7">
        <w:rPr>
          <w:rFonts w:ascii="Verdana" w:eastAsia="Calibri" w:hAnsi="Verdana" w:cs="Arial"/>
          <w:bCs/>
          <w:vertAlign w:val="superscript"/>
        </w:rPr>
        <w:footnoteReference w:id="23"/>
      </w:r>
      <w:r w:rsidRPr="00CE45C7">
        <w:rPr>
          <w:rFonts w:ascii="Verdana" w:eastAsia="Calibri" w:hAnsi="Verdana" w:cs="Arial"/>
        </w:rPr>
        <w:t>.</w:t>
      </w:r>
    </w:p>
    <w:p w14:paraId="698F5A11" w14:textId="77777777" w:rsidR="00CE45C7" w:rsidRPr="00CE45C7" w:rsidRDefault="00CE45C7" w:rsidP="00CE45C7">
      <w:pPr>
        <w:widowControl w:val="0"/>
        <w:autoSpaceDE w:val="0"/>
        <w:autoSpaceDN w:val="0"/>
        <w:spacing w:after="120" w:line="276" w:lineRule="auto"/>
        <w:ind w:firstLine="709"/>
        <w:jc w:val="both"/>
        <w:rPr>
          <w:rFonts w:ascii="Verdana" w:eastAsia="Arial" w:hAnsi="Verdana" w:cs="Arial"/>
          <w:lang w:val="es-ES" w:eastAsia="es-ES" w:bidi="es-ES"/>
        </w:rPr>
      </w:pPr>
      <w:r w:rsidRPr="00CE45C7">
        <w:rPr>
          <w:rFonts w:ascii="Verdana" w:eastAsia="Calibri" w:hAnsi="Verdana" w:cs="Arial"/>
        </w:rPr>
        <w:t xml:space="preserve">Por otro lado, </w:t>
      </w:r>
      <w:r w:rsidRPr="00CE45C7">
        <w:rPr>
          <w:rFonts w:ascii="Verdana" w:eastAsia="Calibri" w:hAnsi="Verdana" w:cs="Arial"/>
          <w:i/>
        </w:rPr>
        <w:t xml:space="preserve">el parágrafo del artículo 38 </w:t>
      </w:r>
      <w:r w:rsidRPr="00CE45C7">
        <w:rPr>
          <w:rFonts w:ascii="Verdana" w:eastAsia="Calibri" w:hAnsi="Verdana" w:cs="Arial"/>
        </w:rPr>
        <w:t xml:space="preserve">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w:t>
      </w:r>
      <w:r w:rsidRPr="00CE45C7">
        <w:rPr>
          <w:rFonts w:ascii="Verdana" w:eastAsia="Calibri" w:hAnsi="Verdana" w:cs="Arial"/>
          <w:bCs/>
        </w:rPr>
        <w:t xml:space="preserve">“(…) </w:t>
      </w:r>
      <w:r w:rsidRPr="00CE45C7">
        <w:rPr>
          <w:rFonts w:ascii="Verdana" w:eastAsia="Calibri" w:hAnsi="Verdana" w:cs="Arial"/>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CE45C7">
        <w:rPr>
          <w:rFonts w:ascii="Verdana" w:eastAsia="Calibri" w:hAnsi="Verdana" w:cs="Arial"/>
          <w:bCs/>
        </w:rPr>
        <w:t>”</w:t>
      </w:r>
      <w:r w:rsidRPr="00CE45C7">
        <w:rPr>
          <w:rFonts w:ascii="Verdana" w:eastAsia="Calibri" w:hAnsi="Verdana" w:cs="Arial"/>
          <w:bCs/>
          <w:vertAlign w:val="superscript"/>
        </w:rPr>
        <w:footnoteReference w:id="24"/>
      </w:r>
      <w:r w:rsidRPr="00CE45C7">
        <w:rPr>
          <w:rFonts w:ascii="Verdana" w:eastAsia="Calibri" w:hAnsi="Verdana" w:cs="Arial"/>
        </w:rPr>
        <w:t>.</w:t>
      </w:r>
      <w:r w:rsidRPr="00CE45C7">
        <w:rPr>
          <w:rFonts w:ascii="Verdana" w:eastAsia="Arial" w:hAnsi="Verdana" w:cs="Arial"/>
          <w:lang w:val="es-ES" w:eastAsia="es-ES" w:bidi="es-ES"/>
        </w:rPr>
        <w:t xml:space="preserve"> </w:t>
      </w:r>
    </w:p>
    <w:p w14:paraId="3B7F1D69" w14:textId="77777777" w:rsidR="00CE45C7" w:rsidRPr="00CE45C7" w:rsidRDefault="00CE45C7" w:rsidP="00CE45C7">
      <w:pPr>
        <w:widowControl w:val="0"/>
        <w:autoSpaceDE w:val="0"/>
        <w:autoSpaceDN w:val="0"/>
        <w:spacing w:after="0" w:line="276" w:lineRule="auto"/>
        <w:ind w:firstLine="709"/>
        <w:jc w:val="both"/>
        <w:rPr>
          <w:rFonts w:ascii="Verdana" w:eastAsia="Arial" w:hAnsi="Verdana" w:cs="Arial"/>
          <w:lang w:val="es-ES" w:eastAsia="es-ES" w:bidi="es-ES"/>
        </w:rPr>
      </w:pPr>
      <w:r w:rsidRPr="00CE45C7">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 que:</w:t>
      </w:r>
    </w:p>
    <w:p w14:paraId="169819D1" w14:textId="77777777" w:rsidR="00CE45C7" w:rsidRPr="00CE45C7" w:rsidRDefault="00CE45C7" w:rsidP="00CE45C7">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p>
    <w:p w14:paraId="64232424" w14:textId="77777777" w:rsidR="00CE45C7" w:rsidRPr="00CE45C7" w:rsidRDefault="00CE45C7" w:rsidP="00CE45C7">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r w:rsidRPr="00CE45C7">
        <w:rPr>
          <w:rFonts w:ascii="Verdana" w:eastAsia="Arial" w:hAnsi="Verdana" w:cs="Arial"/>
          <w:sz w:val="20"/>
          <w:szCs w:val="20"/>
          <w:lang w:val="es-ES"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9" w:name="_Hlk76109421"/>
      <w:r w:rsidRPr="00CE45C7">
        <w:rPr>
          <w:rFonts w:ascii="Verdana" w:eastAsia="Arial" w:hAnsi="Verdana" w:cs="Arial"/>
          <w:sz w:val="20"/>
          <w:szCs w:val="20"/>
          <w:lang w:val="es-ES" w:eastAsia="es-ES" w:bidi="es-ES"/>
        </w:rPr>
        <w:t>se integran parcialmente</w:t>
      </w:r>
      <w:bookmarkEnd w:id="9"/>
      <w:r w:rsidRPr="00CE45C7">
        <w:rPr>
          <w:rFonts w:ascii="Verdana" w:eastAsia="Arial" w:hAnsi="Verdana" w:cs="Arial"/>
          <w:sz w:val="20"/>
          <w:szCs w:val="20"/>
          <w:lang w:val="es-ES" w:eastAsia="es-ES" w:bidi="es-ES"/>
        </w:rPr>
        <w:t xml:space="preserve">, lo que permite concluir que en periodo preelectoral para elección de Presidente de la República, a todos los entes del Estado, incluidos los territoriales, se aplican las </w:t>
      </w:r>
      <w:r w:rsidRPr="00CE45C7">
        <w:rPr>
          <w:rFonts w:ascii="Verdana" w:eastAsia="Arial" w:hAnsi="Verdana" w:cs="Arial"/>
          <w:sz w:val="20"/>
          <w:szCs w:val="20"/>
          <w:lang w:val="es-ES" w:eastAsia="es-ES" w:bidi="es-ES"/>
        </w:rPr>
        <w:lastRenderedPageBreak/>
        <w:t xml:space="preserve">restricciones de los artículos 32 y 33 con sus excepciones, así como las del parágrafo del artículo 38. </w:t>
      </w:r>
      <w:r w:rsidRPr="00CE45C7">
        <w:rPr>
          <w:rFonts w:ascii="Verdana" w:eastAsia="Arial" w:hAnsi="Verdana" w:cs="Arial"/>
          <w:bCs/>
          <w:sz w:val="20"/>
          <w:szCs w:val="20"/>
          <w:lang w:val="es-ES" w:eastAsia="es-ES" w:bidi="es-ES"/>
        </w:rPr>
        <w:t>En cambio, para elecciones en general, excluyendo las correspondientes a Presidente de la República, a las autoridades territoriales allí mencionadas sólo se aplican las restricciones contenidas en el parágrafo del artículo 38</w:t>
      </w:r>
      <w:r w:rsidRPr="00CE45C7">
        <w:rPr>
          <w:rFonts w:ascii="Verdana" w:eastAsia="Arial" w:hAnsi="Verdana" w:cs="Arial"/>
          <w:sz w:val="20"/>
          <w:szCs w:val="20"/>
          <w:lang w:val="es-ES" w:eastAsia="es-ES" w:bidi="es-ES"/>
        </w:rPr>
        <w:t>”</w:t>
      </w:r>
      <w:r w:rsidRPr="00CE45C7">
        <w:rPr>
          <w:rFonts w:ascii="Verdana" w:eastAsia="Arial" w:hAnsi="Verdana" w:cs="Arial"/>
          <w:sz w:val="20"/>
          <w:szCs w:val="20"/>
          <w:vertAlign w:val="superscript"/>
          <w:lang w:val="es-ES" w:eastAsia="es-ES" w:bidi="es-ES"/>
        </w:rPr>
        <w:footnoteReference w:id="25"/>
      </w:r>
      <w:r w:rsidRPr="00CE45C7">
        <w:rPr>
          <w:rFonts w:ascii="Verdana" w:eastAsia="Arial" w:hAnsi="Verdana" w:cs="Arial"/>
          <w:sz w:val="20"/>
          <w:szCs w:val="20"/>
          <w:lang w:val="es-ES" w:eastAsia="es-ES" w:bidi="es-ES"/>
        </w:rPr>
        <w:t>.</w:t>
      </w:r>
    </w:p>
    <w:p w14:paraId="332E6247" w14:textId="77777777" w:rsidR="00CE45C7" w:rsidRPr="00CE45C7" w:rsidRDefault="00CE45C7" w:rsidP="00CE45C7">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p>
    <w:p w14:paraId="157D1889" w14:textId="77777777" w:rsidR="00CE45C7" w:rsidRPr="00CE45C7" w:rsidRDefault="00CE45C7" w:rsidP="00CE45C7">
      <w:pPr>
        <w:spacing w:after="120" w:line="276" w:lineRule="auto"/>
        <w:ind w:firstLine="709"/>
        <w:jc w:val="both"/>
        <w:rPr>
          <w:rFonts w:ascii="Verdana" w:eastAsia="Arial" w:hAnsi="Verdana" w:cs="Arial"/>
          <w:lang w:val="es-ES" w:eastAsia="es-ES" w:bidi="es-ES"/>
        </w:rPr>
      </w:pPr>
      <w:r w:rsidRPr="00CE45C7">
        <w:rPr>
          <w:rFonts w:ascii="Verdana" w:eastAsia="Arial" w:hAnsi="Verdana" w:cs="Arial"/>
          <w:lang w:val="es-ES" w:eastAsia="es-ES" w:bidi="es-ES"/>
        </w:rPr>
        <w:t>De conformidad con lo anterior</w:t>
      </w:r>
      <w:bookmarkStart w:id="10" w:name="_Hlk99438241"/>
      <w:r w:rsidRPr="00CE45C7">
        <w:rPr>
          <w:rFonts w:ascii="Verdana" w:eastAsia="Arial" w:hAnsi="Verdana" w:cs="Arial"/>
          <w:lang w:val="es-ES" w:eastAsia="es-ES" w:bidi="es-ES"/>
        </w:rPr>
        <w:t xml:space="preserve">, </w:t>
      </w:r>
      <w:bookmarkStart w:id="11" w:name="_Hlk77236420"/>
      <w:bookmarkStart w:id="12" w:name="_Hlk78818435"/>
      <w:bookmarkStart w:id="13" w:name="_Hlk75780333"/>
      <w:r w:rsidRPr="00CE45C7">
        <w:rPr>
          <w:rFonts w:ascii="Verdana" w:eastAsia="Arial" w:hAnsi="Verdana" w:cs="Arial"/>
          <w:lang w:val="es-ES" w:eastAsia="es-ES" w:bidi="es-ES"/>
        </w:rPr>
        <w:t xml:space="preserve">la Ley 996 de 2005 establece dos (2) tipos de restricciones en materia de contratación, las cuales coinciden parcialmente. </w:t>
      </w:r>
      <w:r w:rsidRPr="00CE45C7">
        <w:rPr>
          <w:rFonts w:ascii="Verdana" w:eastAsia="Arial" w:hAnsi="Verdana" w:cs="Arial"/>
          <w:i/>
          <w:iCs/>
          <w:lang w:val="es-ES" w:eastAsia="es-ES" w:bidi="es-ES"/>
        </w:rPr>
        <w:t>En primer lugar</w:t>
      </w:r>
      <w:r w:rsidRPr="00CE45C7">
        <w:rPr>
          <w:rFonts w:ascii="Verdana" w:eastAsia="Arial" w:hAnsi="Verdana" w:cs="Arial"/>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CE45C7">
        <w:rPr>
          <w:rFonts w:ascii="Verdana" w:eastAsia="Arial" w:hAnsi="Verdana" w:cs="Arial"/>
          <w:i/>
          <w:iCs/>
          <w:lang w:val="es-ES" w:eastAsia="es-ES" w:bidi="es-ES"/>
        </w:rPr>
        <w:t>En segundo lugar</w:t>
      </w:r>
      <w:r w:rsidRPr="00CE45C7">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11"/>
    </w:p>
    <w:bookmarkEnd w:id="10"/>
    <w:bookmarkEnd w:id="12"/>
    <w:p w14:paraId="7B22F1F8" w14:textId="77777777" w:rsidR="00CE45C7" w:rsidRPr="00CE45C7" w:rsidRDefault="00CE45C7" w:rsidP="00CE45C7">
      <w:pPr>
        <w:spacing w:after="120" w:line="276" w:lineRule="auto"/>
        <w:ind w:firstLine="709"/>
        <w:jc w:val="both"/>
        <w:rPr>
          <w:rFonts w:ascii="Verdana" w:eastAsia="Arial" w:hAnsi="Verdana" w:cs="Arial"/>
          <w:lang w:val="es-ES" w:eastAsia="es-ES" w:bidi="es-ES"/>
        </w:rPr>
      </w:pPr>
      <w:r w:rsidRPr="00CE45C7">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3"/>
    <w:p w14:paraId="06A9ABC3" w14:textId="77777777" w:rsidR="00CE45C7" w:rsidRPr="00CE45C7" w:rsidRDefault="00CE45C7" w:rsidP="00CE45C7">
      <w:pPr>
        <w:spacing w:after="120" w:line="276" w:lineRule="auto"/>
        <w:ind w:firstLine="709"/>
        <w:jc w:val="both"/>
        <w:rPr>
          <w:rFonts w:ascii="Verdana" w:eastAsia="Times New Roman" w:hAnsi="Verdana" w:cs="Arial"/>
          <w:bCs/>
          <w:lang w:val="es-ES" w:eastAsia="es-CO"/>
        </w:rPr>
      </w:pPr>
      <w:r w:rsidRPr="00CE45C7">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meses antes de la elección en primera vuelta, de acuerdo con el artículo 9 de la Ley 996 de 2005. Sin embargo, el condicionamiento impuesto por la Corte Constitucional, relacionado con el </w:t>
      </w:r>
      <w:r w:rsidRPr="00CE45C7">
        <w:rPr>
          <w:rFonts w:ascii="Verdana" w:eastAsia="Arial" w:hAnsi="Verdana" w:cs="Arial"/>
          <w:lang w:val="es-ES" w:eastAsia="es-ES" w:bidi="es-ES"/>
        </w:rPr>
        <w:lastRenderedPageBreak/>
        <w:t xml:space="preserve">momento en que estas restricciones empiezan a regir para el Presidente y el Vicepresidente de la República, ha perdido vigencia ante la prohibición de la reelección presidencial, restablecida por el Acto Legislativo 2 de 2015, excepto para el Vicepresidente que no haya ejercido la presidencia o que la haya ejercido por un tiempo inferior a tres (3) meses durante el respectivo cuatrienio, en forma continua o discontinua, conforme al artículo 197 de la Constitución Política.  </w:t>
      </w:r>
    </w:p>
    <w:p w14:paraId="362F0446" w14:textId="77777777" w:rsidR="00CE45C7" w:rsidRPr="00CE45C7" w:rsidRDefault="00CE45C7" w:rsidP="00CE45C7">
      <w:pPr>
        <w:spacing w:after="120" w:line="276" w:lineRule="auto"/>
        <w:ind w:firstLine="709"/>
        <w:jc w:val="both"/>
        <w:rPr>
          <w:rFonts w:ascii="Verdana" w:eastAsia="Arial" w:hAnsi="Verdana" w:cs="Arial"/>
          <w:lang w:val="es-ES" w:eastAsia="es-ES" w:bidi="es-ES"/>
        </w:rPr>
      </w:pPr>
      <w:r w:rsidRPr="00CE45C7">
        <w:rPr>
          <w:rFonts w:ascii="Verdana" w:eastAsia="Times New Roman" w:hAnsi="Verdana" w:cs="Arial"/>
          <w:bCs/>
          <w:lang w:val="es-ES" w:eastAsia="es-CO"/>
        </w:rPr>
        <w:t xml:space="preserve">Teniendo en cuenta lo anterior, a continuación, se hará un análisis sobre los dos tipos de restricciones, con el fin de determinar si los convenios interadministrativos o los convenios o contratos celebrados con entidades sin ánimo de lucro se enmarcan en alguno de los supuestos que señalan las normas. </w:t>
      </w:r>
    </w:p>
    <w:p w14:paraId="44C3C041" w14:textId="77777777" w:rsidR="00CE45C7" w:rsidRPr="00CE45C7" w:rsidRDefault="00CE45C7" w:rsidP="00CE45C7">
      <w:pPr>
        <w:spacing w:after="0" w:line="276" w:lineRule="auto"/>
        <w:ind w:firstLine="709"/>
        <w:jc w:val="both"/>
        <w:rPr>
          <w:rFonts w:ascii="Verdana" w:hAnsi="Verdana" w:cs="Arial"/>
          <w:lang w:eastAsia="es-CO"/>
        </w:rPr>
      </w:pPr>
      <w:r w:rsidRPr="00CE45C7">
        <w:rPr>
          <w:rFonts w:ascii="Verdana" w:hAnsi="Verdana" w:cs="Arial"/>
          <w:bCs/>
          <w:lang w:eastAsia="x-none"/>
        </w:rPr>
        <w:t xml:space="preserve">En primer lugar, el ámbito material de la prohibición contenida </w:t>
      </w:r>
      <w:bookmarkStart w:id="14" w:name="_Hlk75628761"/>
      <w:r w:rsidRPr="00CE45C7">
        <w:rPr>
          <w:rFonts w:ascii="Verdana" w:hAnsi="Verdana" w:cs="Arial"/>
          <w:bCs/>
          <w:lang w:eastAsia="x-none"/>
        </w:rPr>
        <w:t xml:space="preserve">en el artículo 33 de la Ley 996 de 2005 </w:t>
      </w:r>
      <w:bookmarkEnd w:id="14"/>
      <w:r w:rsidRPr="00CE45C7">
        <w:rPr>
          <w:rFonts w:ascii="Verdana" w:hAnsi="Verdana" w:cs="Arial"/>
          <w:bCs/>
          <w:lang w:eastAsia="x-none"/>
        </w:rPr>
        <w:t xml:space="preserve">está delimitado por la expresión </w:t>
      </w:r>
      <w:r w:rsidRPr="00CE45C7">
        <w:rPr>
          <w:rFonts w:ascii="Verdana" w:eastAsia="Calibri" w:hAnsi="Verdana" w:cs="Arial"/>
          <w:bCs/>
          <w:i/>
          <w:iCs/>
          <w:sz w:val="20"/>
          <w:szCs w:val="20"/>
        </w:rPr>
        <w:t>“</w:t>
      </w:r>
      <w:r w:rsidRPr="00CE45C7">
        <w:rPr>
          <w:rFonts w:ascii="Verdana" w:hAnsi="Verdana" w:cs="Arial"/>
          <w:bCs/>
          <w:i/>
          <w:iCs/>
          <w:lang w:eastAsia="x-none"/>
        </w:rPr>
        <w:t>queda prohibida la contratación directa</w:t>
      </w:r>
      <w:r w:rsidRPr="00CE45C7">
        <w:rPr>
          <w:rFonts w:ascii="Verdana" w:hAnsi="Verdana" w:cs="Arial"/>
          <w:sz w:val="20"/>
          <w:szCs w:val="20"/>
        </w:rPr>
        <w:t>”</w:t>
      </w:r>
      <w:r w:rsidRPr="00CE45C7">
        <w:rPr>
          <w:rFonts w:ascii="Verdana" w:hAnsi="Verdana" w:cs="Arial"/>
          <w:bCs/>
          <w:lang w:eastAsia="x-none"/>
        </w:rPr>
        <w:t>.</w:t>
      </w:r>
      <w:r w:rsidRPr="00CE45C7">
        <w:rPr>
          <w:rFonts w:ascii="Verdana" w:hAnsi="Verdana" w:cs="Arial"/>
          <w:lang w:eastAsia="es-CO"/>
        </w:rPr>
        <w:t xml:space="preserve"> A propósito de esta restricción de la Ley de Garantías Electorales, la Sala de Consulta y Servicio Civil del Consejo de Estado ha considerado que:</w:t>
      </w:r>
    </w:p>
    <w:p w14:paraId="24B35AC0" w14:textId="77777777" w:rsidR="00CE45C7" w:rsidRPr="00CE45C7" w:rsidRDefault="00CE45C7" w:rsidP="00CE45C7">
      <w:pPr>
        <w:spacing w:after="0" w:line="240" w:lineRule="auto"/>
        <w:ind w:left="709" w:right="709"/>
        <w:jc w:val="both"/>
        <w:rPr>
          <w:rFonts w:ascii="Verdana" w:hAnsi="Verdana" w:cs="Arial"/>
          <w:sz w:val="20"/>
          <w:szCs w:val="20"/>
        </w:rPr>
      </w:pPr>
      <w:r w:rsidRPr="00CE45C7">
        <w:rPr>
          <w:rFonts w:ascii="Verdana" w:hAnsi="Verdana" w:cs="Arial"/>
          <w:sz w:val="20"/>
          <w:szCs w:val="20"/>
        </w:rPr>
        <w:t>“(…) 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CE45C7">
        <w:rPr>
          <w:rFonts w:ascii="Verdana" w:hAnsi="Verdana" w:cs="Arial"/>
          <w:sz w:val="20"/>
          <w:szCs w:val="20"/>
          <w:vertAlign w:val="superscript"/>
          <w:lang w:eastAsia="es-CO"/>
        </w:rPr>
        <w:footnoteReference w:id="26"/>
      </w:r>
      <w:r w:rsidRPr="00CE45C7">
        <w:rPr>
          <w:rFonts w:ascii="Verdana" w:hAnsi="Verdana" w:cs="Arial"/>
          <w:sz w:val="20"/>
          <w:szCs w:val="20"/>
        </w:rPr>
        <w:t>.</w:t>
      </w:r>
    </w:p>
    <w:p w14:paraId="0FAD4920" w14:textId="77777777" w:rsidR="00CE45C7" w:rsidRPr="00CE45C7" w:rsidRDefault="00CE45C7" w:rsidP="00CE45C7">
      <w:pPr>
        <w:spacing w:after="0" w:line="240" w:lineRule="auto"/>
        <w:ind w:left="709" w:right="709"/>
        <w:jc w:val="both"/>
        <w:rPr>
          <w:rFonts w:ascii="Verdana" w:hAnsi="Verdana" w:cs="Arial"/>
          <w:sz w:val="20"/>
          <w:szCs w:val="20"/>
        </w:rPr>
      </w:pPr>
      <w:r w:rsidRPr="00CE45C7">
        <w:rPr>
          <w:rFonts w:ascii="Verdana" w:hAnsi="Verdana" w:cs="Arial"/>
          <w:sz w:val="20"/>
          <w:szCs w:val="20"/>
        </w:rPr>
        <w:t xml:space="preserve">Esta Sala ha entendido </w:t>
      </w:r>
      <w:proofErr w:type="gramStart"/>
      <w:r w:rsidRPr="00CE45C7">
        <w:rPr>
          <w:rFonts w:ascii="Verdana" w:hAnsi="Verdana" w:cs="Arial"/>
          <w:sz w:val="20"/>
          <w:szCs w:val="20"/>
        </w:rPr>
        <w:t>que</w:t>
      </w:r>
      <w:proofErr w:type="gramEnd"/>
      <w:r w:rsidRPr="00CE45C7">
        <w:rPr>
          <w:rFonts w:ascii="Verdana" w:hAnsi="Verdana" w:cs="Arial"/>
          <w:sz w:val="20"/>
          <w:szCs w:val="20"/>
        </w:rPr>
        <w:t xml:space="preserve"> para los efectos de la ley de garantías, y dada su finalidad, el enunciado ´contratación directa´ es sinónimo </w:t>
      </w:r>
      <w:bookmarkStart w:id="15" w:name="_Hlk75741738"/>
      <w:r w:rsidRPr="00CE45C7">
        <w:rPr>
          <w:rFonts w:ascii="Verdana" w:hAnsi="Verdana" w:cs="Arial"/>
          <w:sz w:val="20"/>
          <w:szCs w:val="20"/>
        </w:rPr>
        <w:t xml:space="preserve">de cualquier sistema que no implique convocatoria pública y posibilidad de pluralidad de oferentes, </w:t>
      </w:r>
      <w:bookmarkEnd w:id="15"/>
      <w:r w:rsidRPr="00CE45C7">
        <w:rPr>
          <w:rFonts w:ascii="Verdana" w:hAnsi="Verdana" w:cs="Arial"/>
          <w:sz w:val="20"/>
          <w:szCs w:val="20"/>
        </w:rPr>
        <w:t>y que, además, no necesariamente hace referencia al procedimiento especial regulado por la ley de contratación estatal, sino a cualquier otro que prescinda de un proceso de licitación pública o concurso</w:t>
      </w:r>
      <w:r w:rsidRPr="00CE45C7">
        <w:rPr>
          <w:rFonts w:ascii="Verdana" w:hAnsi="Verdana" w:cs="Arial"/>
          <w:sz w:val="20"/>
          <w:szCs w:val="20"/>
          <w:vertAlign w:val="superscript"/>
        </w:rPr>
        <w:footnoteReference w:id="27"/>
      </w:r>
      <w:r w:rsidRPr="00CE45C7">
        <w:rPr>
          <w:rFonts w:ascii="Verdana" w:hAnsi="Verdana" w:cs="Arial"/>
          <w:sz w:val="20"/>
          <w:szCs w:val="20"/>
          <w:vertAlign w:val="superscript"/>
        </w:rPr>
        <w:t>.</w:t>
      </w:r>
      <w:r w:rsidRPr="00CE45C7">
        <w:rPr>
          <w:rFonts w:ascii="Verdana" w:hAnsi="Verdana" w:cs="Arial"/>
          <w:sz w:val="20"/>
          <w:szCs w:val="20"/>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CE45C7">
        <w:rPr>
          <w:rFonts w:ascii="Verdana" w:hAnsi="Verdana" w:cs="Arial"/>
          <w:sz w:val="20"/>
          <w:szCs w:val="20"/>
          <w:vertAlign w:val="superscript"/>
          <w:lang w:eastAsia="es-CO"/>
        </w:rPr>
        <w:footnoteReference w:id="28"/>
      </w:r>
      <w:r w:rsidRPr="00CE45C7">
        <w:rPr>
          <w:rFonts w:ascii="Verdana" w:hAnsi="Verdana" w:cs="Arial"/>
          <w:sz w:val="20"/>
          <w:szCs w:val="20"/>
        </w:rPr>
        <w:t>.</w:t>
      </w:r>
    </w:p>
    <w:p w14:paraId="05DB0E25" w14:textId="77777777" w:rsidR="00CE45C7" w:rsidRPr="00CE45C7" w:rsidRDefault="00CE45C7" w:rsidP="00CE45C7">
      <w:pPr>
        <w:spacing w:after="0" w:line="240" w:lineRule="auto"/>
        <w:ind w:left="709" w:right="709"/>
        <w:jc w:val="both"/>
        <w:rPr>
          <w:rFonts w:ascii="Verdana" w:hAnsi="Verdana" w:cs="Arial"/>
        </w:rPr>
      </w:pPr>
    </w:p>
    <w:p w14:paraId="3FBA59CA" w14:textId="77777777" w:rsidR="00CE45C7" w:rsidRPr="00CE45C7" w:rsidRDefault="00CE45C7" w:rsidP="00CE45C7">
      <w:pPr>
        <w:spacing w:after="120" w:line="276" w:lineRule="auto"/>
        <w:ind w:firstLine="709"/>
        <w:jc w:val="both"/>
        <w:rPr>
          <w:rFonts w:ascii="Verdana" w:hAnsi="Verdana" w:cs="Arial"/>
          <w:bCs/>
          <w:lang w:eastAsia="x-none"/>
        </w:rPr>
      </w:pPr>
      <w:bookmarkStart w:id="17" w:name="_Hlk94521748"/>
      <w:r w:rsidRPr="00CE45C7">
        <w:rPr>
          <w:rFonts w:ascii="Verdana" w:hAnsi="Verdana" w:cs="Arial"/>
          <w:lang w:eastAsia="x-none"/>
        </w:rPr>
        <w:lastRenderedPageBreak/>
        <w:t xml:space="preserve">De acuerdo con el citado concepto, la prohibición del artículo 33 de la Ley de Garantías Electorales se refiere a </w:t>
      </w:r>
      <w:r w:rsidRPr="00CE45C7">
        <w:rPr>
          <w:rFonts w:ascii="Verdana" w:hAnsi="Verdana" w:cs="Arial"/>
          <w:lang w:eastAsia="en-GB"/>
        </w:rPr>
        <w:t>“</w:t>
      </w:r>
      <w:r w:rsidRPr="00CE45C7">
        <w:rPr>
          <w:rFonts w:ascii="Verdana" w:hAnsi="Verdana" w:cs="Arial"/>
          <w:lang w:eastAsia="x-none"/>
        </w:rPr>
        <w:t>cualquier sistema que no implique convocatoria pública y posibilidad de pluralidad de oferentes</w:t>
      </w:r>
      <w:r w:rsidRPr="00CE45C7">
        <w:rPr>
          <w:rFonts w:ascii="Verdana" w:hAnsi="Verdana" w:cs="Arial"/>
          <w:lang w:eastAsia="en-GB"/>
        </w:rPr>
        <w:t>”</w:t>
      </w:r>
      <w:r w:rsidRPr="00CE45C7">
        <w:rPr>
          <w:rFonts w:ascii="Verdana" w:hAnsi="Verdana" w:cs="Arial"/>
          <w:lang w:eastAsia="x-none"/>
        </w:rPr>
        <w:t xml:space="preserve">, por lo que excluye las demás modalidades de contratación previstas en la Ley 1150 de 2007, es decir, la licitación pública, la selección abreviada, el concurso de méritos </w:t>
      </w:r>
      <w:r w:rsidRPr="00CE45C7">
        <w:rPr>
          <w:rFonts w:ascii="Verdana" w:hAnsi="Verdana" w:cs="Arial"/>
          <w:lang w:val="es-ES_tradnl" w:eastAsia="x-none"/>
        </w:rPr>
        <w:t>y la mínima cuantía</w:t>
      </w:r>
      <w:r w:rsidRPr="00CE45C7" w:rsidDel="00A85D9F">
        <w:rPr>
          <w:rFonts w:ascii="Verdana" w:hAnsi="Verdana" w:cs="Arial"/>
          <w:lang w:eastAsia="x-none"/>
        </w:rPr>
        <w:t xml:space="preserve"> </w:t>
      </w:r>
      <w:r w:rsidRPr="00CE45C7">
        <w:rPr>
          <w:rFonts w:ascii="Verdana" w:hAnsi="Verdana" w:cs="Arial"/>
          <w:lang w:eastAsia="x-none"/>
        </w:rPr>
        <w:t>u otros procedimientos abiertos y competitivos previstos en normas especiales. Esta posición es congruente con la expedición de la Ley 1150 de 2007 que, entre otras reformas, introdujo la selección abreviada, rediseñó el concurso de méritos</w:t>
      </w:r>
      <w:r w:rsidRPr="00CE45C7">
        <w:rPr>
          <w:rFonts w:ascii="Verdana" w:hAnsi="Verdana" w:cs="Arial"/>
          <w:vertAlign w:val="superscript"/>
          <w:lang w:val="en-GB" w:eastAsia="x-none"/>
        </w:rPr>
        <w:footnoteReference w:id="29"/>
      </w:r>
      <w:r w:rsidRPr="00CE45C7">
        <w:rPr>
          <w:rFonts w:ascii="Verdana" w:hAnsi="Verdana" w:cs="Arial"/>
          <w:lang w:eastAsia="x-none"/>
        </w:rPr>
        <w:t xml:space="preserve"> y sistematizó las causales de contratación directa</w:t>
      </w:r>
      <w:r w:rsidRPr="00CE45C7">
        <w:rPr>
          <w:rFonts w:ascii="Verdana" w:hAnsi="Verdana" w:cs="Arial"/>
          <w:vertAlign w:val="superscript"/>
          <w:lang w:val="en-GB" w:eastAsia="x-none"/>
        </w:rPr>
        <w:footnoteReference w:id="30"/>
      </w:r>
      <w:r w:rsidRPr="00CE45C7">
        <w:rPr>
          <w:rFonts w:ascii="Verdana" w:hAnsi="Verdana" w:cs="Arial"/>
          <w:lang w:eastAsia="x-none"/>
        </w:rPr>
        <w:t>, además lo es con la posterior creación de la modalidad de mínima cuantía establecida actualmente en el numeral 5 del artículo 2 de la Ley 1150 de 2007, de acuerdo con las modificaciones realizadas por leyes posteriores.</w:t>
      </w:r>
    </w:p>
    <w:bookmarkEnd w:id="17"/>
    <w:p w14:paraId="6B1364A2" w14:textId="77777777" w:rsidR="00CE45C7" w:rsidRPr="00CE45C7" w:rsidRDefault="00CE45C7" w:rsidP="00CE45C7">
      <w:pPr>
        <w:spacing w:after="120" w:line="276" w:lineRule="auto"/>
        <w:ind w:firstLine="709"/>
        <w:jc w:val="both"/>
        <w:rPr>
          <w:rFonts w:ascii="Verdana" w:hAnsi="Verdana" w:cs="Arial"/>
          <w:lang w:eastAsia="x-none"/>
        </w:rPr>
      </w:pPr>
      <w:r w:rsidRPr="00CE45C7">
        <w:rPr>
          <w:rFonts w:ascii="Verdana" w:hAnsi="Verdana" w:cs="Arial"/>
          <w:lang w:eastAsia="x-none"/>
        </w:rPr>
        <w:t xml:space="preserve">De esta forma, con fundamento en la evolución de la normativa sobre la contratación pública, se ha depurado la noción de </w:t>
      </w:r>
      <w:r w:rsidRPr="00CE45C7">
        <w:rPr>
          <w:rFonts w:ascii="Verdana" w:hAnsi="Verdana" w:cs="Arial"/>
          <w:i/>
          <w:lang w:eastAsia="en-GB"/>
        </w:rPr>
        <w:t>“</w:t>
      </w:r>
      <w:r w:rsidRPr="00CE45C7">
        <w:rPr>
          <w:rFonts w:ascii="Verdana" w:hAnsi="Verdana" w:cs="Arial"/>
          <w:i/>
          <w:iCs/>
          <w:lang w:eastAsia="x-none"/>
        </w:rPr>
        <w:t>contratación directa</w:t>
      </w:r>
      <w:r w:rsidRPr="00CE45C7">
        <w:rPr>
          <w:rFonts w:ascii="Verdana" w:hAnsi="Verdana" w:cs="Arial"/>
          <w:lang w:eastAsia="en-GB"/>
        </w:rPr>
        <w:t>”</w:t>
      </w:r>
      <w:r w:rsidRPr="00CE45C7">
        <w:rPr>
          <w:rFonts w:ascii="Verdana" w:hAnsi="Verdana" w:cs="Arial"/>
          <w:lang w:eastAsia="x-none"/>
        </w:rPr>
        <w:t>, precisando el Consejo de Estado –en el concepto citado– que, “aun cuando no coincide única y exactamente con la regulación que de dicho sistema de selección hace el artículo 2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CE45C7">
        <w:rPr>
          <w:rFonts w:ascii="Verdana" w:hAnsi="Verdana" w:cs="Arial"/>
          <w:vertAlign w:val="superscript"/>
          <w:lang w:val="en-GB" w:eastAsia="x-none"/>
        </w:rPr>
        <w:footnoteReference w:id="31"/>
      </w:r>
      <w:r w:rsidRPr="00CE45C7">
        <w:rPr>
          <w:rFonts w:ascii="Verdana" w:hAnsi="Verdana" w:cs="Arial"/>
          <w:lang w:eastAsia="x-none"/>
        </w:rPr>
        <w:t>, han establecido sistemas de contratación que implican convocatoria pública y participación de varios oferentes</w:t>
      </w:r>
      <w:r w:rsidRPr="00CE45C7">
        <w:rPr>
          <w:rFonts w:ascii="Verdana" w:hAnsi="Verdana" w:cs="Arial"/>
          <w:lang w:eastAsia="en-GB"/>
        </w:rPr>
        <w:t>”</w:t>
      </w:r>
      <w:r w:rsidRPr="00CE45C7">
        <w:rPr>
          <w:rFonts w:ascii="Verdana" w:hAnsi="Verdana" w:cs="Arial"/>
          <w:lang w:eastAsia="x-none"/>
        </w:rPr>
        <w:t>.</w:t>
      </w:r>
    </w:p>
    <w:p w14:paraId="62089B47" w14:textId="77777777" w:rsidR="00CE45C7" w:rsidRPr="00CE45C7" w:rsidRDefault="00CE45C7" w:rsidP="00CE45C7">
      <w:pPr>
        <w:spacing w:after="120" w:line="276" w:lineRule="auto"/>
        <w:ind w:firstLine="709"/>
        <w:jc w:val="both"/>
        <w:rPr>
          <w:rFonts w:ascii="Verdana" w:hAnsi="Verdana" w:cs="Arial"/>
          <w:bCs/>
          <w:lang w:eastAsia="es-CO"/>
        </w:rPr>
      </w:pPr>
      <w:r w:rsidRPr="00CE45C7">
        <w:rPr>
          <w:rFonts w:ascii="Verdana" w:hAnsi="Verdana" w:cs="Arial"/>
          <w:bCs/>
          <w:lang w:eastAsia="x-none"/>
        </w:rPr>
        <w:t>E</w:t>
      </w:r>
      <w:r w:rsidRPr="00CE45C7">
        <w:rPr>
          <w:rFonts w:ascii="Verdana" w:hAnsi="Verdana" w:cs="Arial"/>
          <w:lang w:eastAsia="x-none"/>
        </w:rPr>
        <w:t xml:space="preserve">n efecto, vale la pena mencionar que, </w:t>
      </w:r>
      <w:bookmarkStart w:id="18" w:name="_Hlk75636073"/>
      <w:r w:rsidRPr="00CE45C7">
        <w:rPr>
          <w:rFonts w:ascii="Verdana" w:hAnsi="Verdana" w:cs="Arial"/>
          <w:lang w:eastAsia="x-none"/>
        </w:rPr>
        <w:t xml:space="preserve">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w:t>
      </w:r>
      <w:r w:rsidRPr="00CE45C7">
        <w:rPr>
          <w:rFonts w:ascii="Verdana" w:hAnsi="Verdana" w:cs="Arial"/>
          <w:i/>
          <w:iCs/>
          <w:lang w:eastAsia="x-none"/>
        </w:rPr>
        <w:t>“contratación directa</w:t>
      </w:r>
      <w:r w:rsidRPr="00CE45C7">
        <w:rPr>
          <w:rFonts w:ascii="Verdana" w:hAnsi="Verdana" w:cs="Arial"/>
          <w:lang w:eastAsia="x-none"/>
        </w:rPr>
        <w:t xml:space="preserve">”, es que la convocatoria para </w:t>
      </w:r>
      <w:r w:rsidRPr="00CE45C7">
        <w:rPr>
          <w:rFonts w:ascii="Verdana" w:hAnsi="Verdana" w:cs="Arial"/>
          <w:lang w:eastAsia="x-none"/>
        </w:rPr>
        <w:lastRenderedPageBreak/>
        <w:t>inscribirse en forma previa se haga de manera pública, y que se permita la participación de una pluralidad de oferentes</w:t>
      </w:r>
      <w:bookmarkEnd w:id="18"/>
      <w:r w:rsidRPr="00CE45C7">
        <w:rPr>
          <w:rFonts w:ascii="Verdana" w:hAnsi="Verdana" w:cs="Arial"/>
          <w:vertAlign w:val="superscript"/>
          <w:lang w:eastAsia="x-none"/>
        </w:rPr>
        <w:footnoteReference w:id="32"/>
      </w:r>
      <w:r w:rsidRPr="00CE45C7">
        <w:rPr>
          <w:rFonts w:ascii="Verdana" w:hAnsi="Verdana" w:cs="Arial"/>
          <w:lang w:eastAsia="x-none"/>
        </w:rPr>
        <w:t xml:space="preserve">. </w:t>
      </w:r>
    </w:p>
    <w:p w14:paraId="7F39D984" w14:textId="77777777" w:rsidR="00CE45C7" w:rsidRPr="00CE45C7" w:rsidRDefault="00CE45C7" w:rsidP="00CE45C7">
      <w:pPr>
        <w:spacing w:after="120" w:line="276" w:lineRule="auto"/>
        <w:ind w:firstLine="709"/>
        <w:jc w:val="both"/>
        <w:rPr>
          <w:rFonts w:ascii="Verdana" w:hAnsi="Verdana" w:cs="Arial"/>
          <w:bCs/>
          <w:lang w:eastAsia="es-CO"/>
        </w:rPr>
      </w:pPr>
      <w:r w:rsidRPr="00CE45C7">
        <w:rPr>
          <w:rFonts w:ascii="Verdana" w:hAnsi="Verdana" w:cs="Arial"/>
          <w:bCs/>
          <w:lang w:eastAsia="es-CO"/>
        </w:rPr>
        <w:t xml:space="preserve">Como se advierte de lo anterior,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w:t>
      </w:r>
      <w:r w:rsidRPr="00CE45C7">
        <w:rPr>
          <w:rFonts w:ascii="Verdana" w:hAnsi="Verdana" w:cs="Arial"/>
          <w:bCs/>
          <w:i/>
          <w:iCs/>
          <w:lang w:eastAsia="es-CO"/>
        </w:rPr>
        <w:t>“contratación directa”.</w:t>
      </w:r>
    </w:p>
    <w:p w14:paraId="695A9E47" w14:textId="77777777" w:rsidR="00CE45C7" w:rsidRPr="00CE45C7" w:rsidRDefault="00CE45C7" w:rsidP="00CE45C7">
      <w:pPr>
        <w:spacing w:after="120" w:line="276" w:lineRule="auto"/>
        <w:ind w:firstLine="709"/>
        <w:jc w:val="both"/>
        <w:rPr>
          <w:rFonts w:ascii="Verdana" w:hAnsi="Verdana" w:cs="Arial"/>
          <w:vertAlign w:val="superscript"/>
          <w:lang w:eastAsia="x-none"/>
        </w:rPr>
      </w:pPr>
      <w:bookmarkStart w:id="19" w:name="_Hlk78818796"/>
      <w:r w:rsidRPr="00CE45C7">
        <w:rPr>
          <w:rFonts w:ascii="Verdana" w:hAnsi="Verdana" w:cs="Arial"/>
          <w:bCs/>
          <w:lang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CE45C7">
        <w:rPr>
          <w:rFonts w:ascii="Verdana" w:hAnsi="Verdana" w:cs="Arial"/>
          <w:vertAlign w:val="superscript"/>
          <w:lang w:eastAsia="x-none"/>
        </w:rPr>
        <w:footnoteReference w:id="33"/>
      </w:r>
      <w:r w:rsidRPr="00CE45C7">
        <w:rPr>
          <w:rFonts w:ascii="Verdana" w:hAnsi="Verdana" w:cs="Arial"/>
          <w:lang w:eastAsia="x-none"/>
        </w:rPr>
        <w:t>.</w:t>
      </w:r>
      <w:r w:rsidRPr="00CE45C7">
        <w:rPr>
          <w:rFonts w:ascii="Verdana" w:hAnsi="Verdana" w:cs="Arial"/>
          <w:vertAlign w:val="superscript"/>
          <w:lang w:eastAsia="x-none"/>
        </w:rPr>
        <w:t xml:space="preserve"> </w:t>
      </w:r>
    </w:p>
    <w:p w14:paraId="5476F76A" w14:textId="77777777" w:rsidR="00CE45C7" w:rsidRPr="00CE45C7" w:rsidRDefault="00CE45C7" w:rsidP="00CE45C7">
      <w:pPr>
        <w:spacing w:after="120" w:line="276" w:lineRule="auto"/>
        <w:ind w:firstLine="709"/>
        <w:jc w:val="both"/>
        <w:rPr>
          <w:rFonts w:ascii="Verdana" w:hAnsi="Verdana" w:cs="Arial"/>
          <w:lang w:eastAsia="x-none"/>
        </w:rPr>
      </w:pPr>
      <w:r w:rsidRPr="00CE45C7">
        <w:rPr>
          <w:rFonts w:ascii="Verdana" w:hAnsi="Verdana" w:cs="Arial"/>
          <w:lang w:eastAsia="x-none"/>
        </w:rPr>
        <w:t>Lo anterior supone que, en aquellos procedimientos que contemplen convocatorias o invitaciones para contratar que se limiten a aquellas personas que previamente se hayan inscrito en una lista de precalificados o de interesados, lo determinante para considerar que dicho sistema no constituye “contratación directa”, es que la convocatoria para inscribirse en forma previa se haga de manera pública, y que se permita la participación de una pluralidad de oferentes. Esta circunstancia no se extiende a la contratación directa aplicable en algunos regímenes especiales con listas de precalificados, ya que a efecto de que no se configure la contratación directa, la selección del futuro contratista debe darse en términos de competencia</w:t>
      </w:r>
      <w:r w:rsidRPr="00CE45C7">
        <w:rPr>
          <w:rFonts w:ascii="Verdana" w:hAnsi="Verdana" w:cs="Arial"/>
          <w:vertAlign w:val="superscript"/>
          <w:lang w:eastAsia="x-none"/>
        </w:rPr>
        <w:footnoteReference w:id="34"/>
      </w:r>
      <w:r w:rsidRPr="00CE45C7">
        <w:rPr>
          <w:rFonts w:ascii="Verdana" w:hAnsi="Verdana" w:cs="Arial"/>
          <w:lang w:eastAsia="x-none"/>
        </w:rPr>
        <w:t>.</w:t>
      </w:r>
    </w:p>
    <w:bookmarkEnd w:id="19"/>
    <w:p w14:paraId="72FE6D61" w14:textId="77777777" w:rsidR="00CE45C7" w:rsidRPr="00CE45C7" w:rsidRDefault="00CE45C7" w:rsidP="00CE45C7">
      <w:pPr>
        <w:spacing w:after="120" w:line="276" w:lineRule="auto"/>
        <w:ind w:firstLine="709"/>
        <w:jc w:val="both"/>
        <w:rPr>
          <w:rFonts w:ascii="Verdana" w:hAnsi="Verdana" w:cs="Arial"/>
          <w:lang w:eastAsia="x-none"/>
        </w:rPr>
      </w:pPr>
      <w:r w:rsidRPr="00CE45C7">
        <w:rPr>
          <w:rFonts w:ascii="Verdana" w:hAnsi="Verdana" w:cs="Arial"/>
          <w:bCs/>
          <w:lang w:eastAsia="x-none"/>
        </w:rPr>
        <w:t>De lo anterior se desprende que la restricción aplica, sin perjuicio de las excepciones establecidas en la misma ley, para celebrar cualquier contrato de forma directa, esto es, sin que exista un proceso abierto y competitivo.</w:t>
      </w:r>
      <w:r w:rsidRPr="00CE45C7">
        <w:rPr>
          <w:rFonts w:ascii="Verdana" w:hAnsi="Verdana" w:cs="Arial"/>
          <w:lang w:eastAsia="x-none"/>
        </w:rPr>
        <w:t xml:space="preserve"> Por tanto, no son materia de la prohibición las demás modalidades de selección previstas </w:t>
      </w:r>
      <w:r w:rsidRPr="00CE45C7">
        <w:rPr>
          <w:rFonts w:ascii="Verdana" w:hAnsi="Verdana" w:cs="Arial"/>
          <w:lang w:eastAsia="x-none"/>
        </w:rPr>
        <w:lastRenderedPageBreak/>
        <w:t>en la Ley 1150 de 2007, es decir, la licitación pública, el concurso de méritos, la selección abreviada y la contratación de mínima cuantía, razón por la cual en el período preelectoral de que trata la disposición las entidades públicas pueden seguir contratando bajo estos sistemas.</w:t>
      </w:r>
    </w:p>
    <w:p w14:paraId="25B71435" w14:textId="77777777" w:rsidR="00CE45C7" w:rsidRPr="00CE45C7" w:rsidRDefault="00CE45C7" w:rsidP="00CE45C7">
      <w:pPr>
        <w:spacing w:after="120" w:line="276" w:lineRule="auto"/>
        <w:ind w:firstLine="709"/>
        <w:jc w:val="both"/>
        <w:rPr>
          <w:rFonts w:ascii="Verdana" w:hAnsi="Verdana" w:cs="Arial"/>
          <w:bCs/>
          <w:color w:val="000000" w:themeColor="text1"/>
          <w:lang w:val="es-MX" w:eastAsia="x-none"/>
        </w:rPr>
      </w:pPr>
      <w:r w:rsidRPr="00CE45C7">
        <w:rPr>
          <w:rFonts w:ascii="Verdana" w:hAnsi="Verdana" w:cs="Arial"/>
          <w:color w:val="000000" w:themeColor="text1"/>
          <w:lang w:val="es-MX"/>
        </w:rPr>
        <w:t>Ahora bien, en relación con los destinatarios de las restricciones, el artículo 33 de la Ley 996 de 2005 los señala expresamente, en el sentido de que son “</w:t>
      </w:r>
      <w:r w:rsidRPr="00CE45C7">
        <w:rPr>
          <w:rFonts w:ascii="Verdana" w:hAnsi="Verdana" w:cs="Arial"/>
          <w:i/>
          <w:color w:val="000000" w:themeColor="text1"/>
          <w:lang w:val="es-MX"/>
        </w:rPr>
        <w:t>todos los entes del Estado</w:t>
      </w:r>
      <w:r w:rsidRPr="00CE45C7">
        <w:rPr>
          <w:rFonts w:ascii="Verdana" w:hAnsi="Verdana" w:cs="Arial"/>
          <w:color w:val="000000" w:themeColor="text1"/>
          <w:lang w:val="es-MX"/>
        </w:rPr>
        <w:t xml:space="preserve">”, expresión que contempla a los diferentes organismos o entidades autorizadas por la ley para suscribir contratos. En efecto, tal como lo ha sostenido el Consejo de Estado, el vocablo” todos”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14:paraId="7B8EF35E" w14:textId="77777777" w:rsidR="00CE45C7" w:rsidRPr="00CE45C7" w:rsidRDefault="00CE45C7" w:rsidP="00CE45C7">
      <w:pPr>
        <w:spacing w:after="120" w:line="276" w:lineRule="auto"/>
        <w:ind w:firstLine="709"/>
        <w:jc w:val="both"/>
        <w:rPr>
          <w:rFonts w:ascii="Verdana" w:hAnsi="Verdana" w:cs="Arial"/>
          <w:color w:val="000000" w:themeColor="text1"/>
          <w:lang w:val="es-MX"/>
        </w:rPr>
      </w:pPr>
      <w:r w:rsidRPr="00CE45C7">
        <w:rPr>
          <w:rFonts w:ascii="Verdana" w:hAnsi="Verdana" w:cs="Arial"/>
          <w:color w:val="000000" w:themeColor="text1"/>
          <w:lang w:val="es-MX"/>
        </w:rPr>
        <w:t>La Sala de Consulta y Servicio Civil del Consejo de Estado, en Concepto 1727 del 20 de febrero de 2006, consideró que el artículo 33 de la Ley 996 de 2005, efectivamente se aplica incluso a las entidades estatales con régimen especial de contratación y que están exceptuadas del ámbito de aplicación del Estatuto General de Contratación de la Administración Pública, como por ejemplo “los prestadores de servicios públicos domiciliarios (empresas de servicios públicos oficiales y empresas industriales y comerciales del Estado) y a los municipios prestadores directos, incluyendo las excepciones contenidas en el segundo inciso de esta norma”</w:t>
      </w:r>
      <w:r w:rsidRPr="00CE45C7">
        <w:rPr>
          <w:rFonts w:ascii="Verdana" w:hAnsi="Verdana" w:cs="Arial"/>
          <w:color w:val="000000" w:themeColor="text1"/>
          <w:vertAlign w:val="superscript"/>
          <w:lang w:val="es-MX"/>
        </w:rPr>
        <w:footnoteReference w:id="35"/>
      </w:r>
      <w:r w:rsidRPr="00CE45C7">
        <w:rPr>
          <w:rFonts w:ascii="Verdana" w:hAnsi="Verdana" w:cs="Arial"/>
          <w:color w:val="000000" w:themeColor="text1"/>
          <w:lang w:val="es-MX"/>
        </w:rPr>
        <w:t xml:space="preserve">. </w:t>
      </w:r>
    </w:p>
    <w:p w14:paraId="361B4D3E" w14:textId="77777777" w:rsidR="00CE45C7" w:rsidRPr="00CE45C7" w:rsidRDefault="00CE45C7" w:rsidP="00CE45C7">
      <w:pPr>
        <w:spacing w:after="0" w:line="276" w:lineRule="auto"/>
        <w:ind w:firstLine="709"/>
        <w:jc w:val="both"/>
        <w:rPr>
          <w:rFonts w:ascii="Verdana" w:hAnsi="Verdana" w:cs="Arial"/>
          <w:color w:val="000000" w:themeColor="text1"/>
          <w:lang w:val="es-MX"/>
        </w:rPr>
      </w:pPr>
      <w:r w:rsidRPr="00CE45C7">
        <w:rPr>
          <w:rFonts w:ascii="Verdana" w:hAnsi="Verdana" w:cs="Arial"/>
          <w:color w:val="000000" w:themeColor="text1"/>
          <w:lang w:val="es-MX"/>
        </w:rPr>
        <w:t>De igual forma, en Concepto con radicado 1738 del 6 de abril de 2006, esa misma Corporación manifestó que “Las restricciones de la Ley de Garantías en materia de contratación directa y celebración de convenios interadministrativos, se aplican a las empresas industriales y comerciales del Estado y a las Sociedades de Economía Mixta, salvo cuando la celebración de un convenio interadministrativo sea ordenada, para ambas partes, por el Legislador”</w:t>
      </w:r>
      <w:r w:rsidRPr="00CE45C7">
        <w:rPr>
          <w:rFonts w:ascii="Verdana" w:hAnsi="Verdana" w:cs="Arial"/>
          <w:color w:val="000000" w:themeColor="text1"/>
          <w:vertAlign w:val="superscript"/>
          <w:lang w:val="es-MX"/>
        </w:rPr>
        <w:footnoteReference w:id="36"/>
      </w:r>
      <w:r w:rsidRPr="00CE45C7">
        <w:rPr>
          <w:rFonts w:ascii="Verdana" w:hAnsi="Verdana" w:cs="Arial"/>
          <w:color w:val="000000" w:themeColor="text1"/>
          <w:lang w:val="es-MX"/>
        </w:rPr>
        <w:t xml:space="preserve">. Además, la Sala de Consulta y Servicio Civil del Consejo de Estado </w:t>
      </w:r>
      <w:r w:rsidRPr="00CE45C7">
        <w:rPr>
          <w:rFonts w:ascii="Verdana" w:hAnsi="Verdana" w:cs="Arial"/>
          <w:color w:val="000000" w:themeColor="text1"/>
          <w:lang w:val="es-MX"/>
        </w:rPr>
        <w:lastRenderedPageBreak/>
        <w:t>realizó la siguiente distinción, retomando el pronunciamiento de la misma sala del 20 de febrero de 2006, citado anteriormente:</w:t>
      </w:r>
    </w:p>
    <w:p w14:paraId="506F132C" w14:textId="77777777" w:rsidR="00CE45C7" w:rsidRPr="00CE45C7" w:rsidRDefault="00CE45C7" w:rsidP="00CE45C7">
      <w:pPr>
        <w:spacing w:after="0" w:line="240" w:lineRule="auto"/>
        <w:ind w:firstLine="709"/>
        <w:jc w:val="both"/>
        <w:rPr>
          <w:rFonts w:ascii="Verdana" w:hAnsi="Verdana" w:cs="Arial"/>
          <w:color w:val="000000" w:themeColor="text1"/>
          <w:lang w:val="es-MX"/>
        </w:rPr>
      </w:pPr>
    </w:p>
    <w:p w14:paraId="503F5C0B" w14:textId="77777777" w:rsidR="00CE45C7" w:rsidRPr="00CE45C7" w:rsidRDefault="00CE45C7" w:rsidP="00CE45C7">
      <w:pPr>
        <w:spacing w:after="0" w:line="240" w:lineRule="auto"/>
        <w:ind w:left="709" w:right="709"/>
        <w:jc w:val="both"/>
        <w:rPr>
          <w:rFonts w:ascii="Verdana" w:hAnsi="Verdana" w:cs="Arial"/>
          <w:color w:val="000000" w:themeColor="text1"/>
          <w:sz w:val="20"/>
          <w:szCs w:val="20"/>
          <w:lang w:val="es-MX"/>
        </w:rPr>
      </w:pPr>
      <w:r w:rsidRPr="00CE45C7">
        <w:rPr>
          <w:rFonts w:ascii="Verdana" w:hAnsi="Verdana" w:cs="Arial"/>
          <w:color w:val="000000" w:themeColor="text1"/>
          <w:sz w:val="20"/>
          <w:szCs w:val="20"/>
          <w:lang w:val="es-MX"/>
        </w:rPr>
        <w:t>“(…) En el concepto No. 1727 de fecha 20 de febrero de 2006, ésta Sala distinguió dos clases de contratos en relación con las empresas de servicios públicos domiciliarios: unos, en los que la posición de la empresa es la de consumidora de las prestaciones objeto del contrato, que utiliza para la prestación de los servicios a su cargo, y los otros, en los que la empresa entrega esos servicios a los usuarios, conforme a unas reglas uniformes para todos ellos y sin que haya privilegios o tratos desiguales. En los primeros contratos, es claro que la empresa debe adquirir esos bienes previa licitación pública, según se expuso anteriormente, pero en el segundo caso,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p>
    <w:p w14:paraId="29BB02C4" w14:textId="77777777" w:rsidR="00CE45C7" w:rsidRPr="00CE45C7" w:rsidRDefault="00CE45C7" w:rsidP="00CE45C7">
      <w:pPr>
        <w:spacing w:after="0" w:line="240" w:lineRule="auto"/>
        <w:ind w:left="709" w:right="709"/>
        <w:jc w:val="both"/>
        <w:rPr>
          <w:rFonts w:ascii="Verdana" w:hAnsi="Verdana" w:cs="Arial"/>
          <w:color w:val="000000" w:themeColor="text1"/>
          <w:sz w:val="20"/>
          <w:szCs w:val="20"/>
          <w:lang w:val="es-MX"/>
        </w:rPr>
      </w:pPr>
    </w:p>
    <w:p w14:paraId="0665DAD8" w14:textId="77777777" w:rsidR="00CE45C7" w:rsidRPr="00CE45C7" w:rsidRDefault="00CE45C7" w:rsidP="00CE45C7">
      <w:pPr>
        <w:spacing w:after="0" w:line="240" w:lineRule="auto"/>
        <w:ind w:left="709" w:right="709"/>
        <w:jc w:val="both"/>
        <w:rPr>
          <w:rFonts w:ascii="Verdana" w:hAnsi="Verdana" w:cs="Arial"/>
          <w:color w:val="000000" w:themeColor="text1"/>
          <w:sz w:val="20"/>
          <w:szCs w:val="20"/>
          <w:lang w:val="es-MX" w:eastAsia="x-none"/>
        </w:rPr>
      </w:pPr>
      <w:r w:rsidRPr="00CE45C7">
        <w:rPr>
          <w:rFonts w:ascii="Verdana" w:hAnsi="Verdana" w:cs="Arial"/>
          <w:color w:val="000000" w:themeColor="text1"/>
          <w:sz w:val="20"/>
          <w:szCs w:val="20"/>
          <w:lang w:val="es-MX"/>
        </w:rPr>
        <w:t>Aplicando este razonamiento a los establecimientos de crédito, a las sociedades de servicios financieros y a las entidades aseguradoras, encontramos que no pueden adquirir los suministros de bienes y servicios necesarios para la realización de su actividad por contratación directa sino por el mecanismo de la licitación pública, pero es obvio que si una de éstas entidades va a prestar un servicio financiero o de seguros a un particular, lo puede hacer, pues éstos se ofrecen a toda la comunidad en condiciones de igualdad. Si se supusiera que está prohibida su contratación directa, significaría la parálisis de tal actividad de interés público, lo que de ninguna manera es lo querido por la ley 996 de 2005”</w:t>
      </w:r>
      <w:r w:rsidRPr="00CE45C7">
        <w:rPr>
          <w:rFonts w:ascii="Verdana" w:hAnsi="Verdana" w:cs="Arial"/>
          <w:color w:val="000000" w:themeColor="text1"/>
          <w:sz w:val="20"/>
          <w:szCs w:val="20"/>
          <w:vertAlign w:val="superscript"/>
          <w:lang w:val="es-MX"/>
        </w:rPr>
        <w:footnoteReference w:id="37"/>
      </w:r>
      <w:r w:rsidRPr="00CE45C7">
        <w:rPr>
          <w:rFonts w:ascii="Verdana" w:hAnsi="Verdana" w:cs="Arial"/>
          <w:color w:val="000000" w:themeColor="text1"/>
          <w:sz w:val="20"/>
          <w:szCs w:val="20"/>
          <w:lang w:val="es-MX" w:eastAsia="x-none"/>
        </w:rPr>
        <w:t>.</w:t>
      </w:r>
    </w:p>
    <w:p w14:paraId="0C894872" w14:textId="77777777" w:rsidR="00CE45C7" w:rsidRPr="00CE45C7" w:rsidRDefault="00CE45C7" w:rsidP="00CE45C7">
      <w:pPr>
        <w:spacing w:after="0" w:line="240" w:lineRule="auto"/>
        <w:ind w:firstLine="709"/>
        <w:jc w:val="both"/>
        <w:rPr>
          <w:rFonts w:ascii="Verdana" w:hAnsi="Verdana" w:cs="Arial"/>
          <w:color w:val="000000" w:themeColor="text1"/>
          <w:lang w:val="es-MX"/>
        </w:rPr>
      </w:pPr>
    </w:p>
    <w:p w14:paraId="09ACE4D4" w14:textId="77777777" w:rsidR="00CE45C7" w:rsidRPr="00CE45C7" w:rsidRDefault="00CE45C7" w:rsidP="00CE45C7">
      <w:pPr>
        <w:spacing w:after="120" w:line="276" w:lineRule="auto"/>
        <w:ind w:firstLine="709"/>
        <w:jc w:val="both"/>
        <w:rPr>
          <w:rFonts w:ascii="Verdana" w:hAnsi="Verdana" w:cs="Arial"/>
          <w:color w:val="000000" w:themeColor="text1"/>
          <w:lang w:eastAsia="es-CO"/>
        </w:rPr>
      </w:pPr>
      <w:r w:rsidRPr="00CE45C7">
        <w:rPr>
          <w:rFonts w:ascii="Verdana" w:hAnsi="Verdana" w:cs="Arial"/>
          <w:color w:val="000000" w:themeColor="text1"/>
          <w:lang w:val="es-MX"/>
        </w:rPr>
        <w:t xml:space="preserve">De acuerdo con estos pronunciamientos de la Sala de Consulta y Servicio Civil del Consejo de Estado, la prohibición de la contratación directa también aplica frente a las entidades exceptuadas del Estatuto General de Contratación de la Administración Pública y que se rigen en materia contractual por el derecho privado. Sin embargo, señaló que algunas de estas entidades, como sucede con las empresas de servicios públicos domiciliarios, los establecimientos de crédito, las sociedades de servicios financieros y las entidades aseguradoras no pueden </w:t>
      </w:r>
      <w:r w:rsidRPr="00CE45C7">
        <w:rPr>
          <w:rFonts w:ascii="Verdana" w:hAnsi="Verdana" w:cs="Arial"/>
          <w:color w:val="000000" w:themeColor="text1"/>
          <w:lang w:val="es-MX"/>
        </w:rPr>
        <w:lastRenderedPageBreak/>
        <w:t>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r w:rsidRPr="00CE45C7">
        <w:rPr>
          <w:rFonts w:ascii="Verdana" w:hAnsi="Verdana" w:cs="Arial"/>
          <w:color w:val="000000" w:themeColor="text1"/>
          <w:vertAlign w:val="superscript"/>
          <w:lang w:val="es-MX"/>
        </w:rPr>
        <w:footnoteReference w:id="38"/>
      </w:r>
      <w:r w:rsidRPr="00CE45C7">
        <w:rPr>
          <w:rFonts w:ascii="Verdana" w:hAnsi="Verdana" w:cs="Arial"/>
          <w:color w:val="000000" w:themeColor="text1"/>
          <w:lang w:val="es-MX"/>
        </w:rPr>
        <w:t>.</w:t>
      </w:r>
      <w:r w:rsidRPr="00CE45C7">
        <w:rPr>
          <w:rFonts w:ascii="Verdana" w:hAnsi="Verdana" w:cs="Arial"/>
          <w:color w:val="000000" w:themeColor="text1"/>
          <w:lang w:eastAsia="es-CO"/>
        </w:rPr>
        <w:t xml:space="preserve"> </w:t>
      </w:r>
    </w:p>
    <w:p w14:paraId="48D36152" w14:textId="77777777" w:rsidR="00CE45C7" w:rsidRPr="00CE45C7" w:rsidRDefault="00CE45C7" w:rsidP="00CE45C7">
      <w:pPr>
        <w:spacing w:after="120" w:line="276" w:lineRule="auto"/>
        <w:ind w:firstLine="709"/>
        <w:jc w:val="both"/>
        <w:rPr>
          <w:rFonts w:ascii="Verdana" w:hAnsi="Verdana" w:cs="Arial"/>
          <w:color w:val="000000" w:themeColor="text1"/>
          <w:lang w:eastAsia="es-CO"/>
        </w:rPr>
      </w:pPr>
      <w:r w:rsidRPr="00CE45C7">
        <w:rPr>
          <w:rFonts w:ascii="Verdana" w:hAnsi="Verdana" w:cs="Arial"/>
          <w:color w:val="000000" w:themeColor="text1"/>
          <w:lang w:eastAsia="es-CO"/>
        </w:rPr>
        <w:t>Conforme los pronunciamientos de la Sala de Consulta y Servicio Civil</w:t>
      </w:r>
      <w:r w:rsidRPr="00CE45C7">
        <w:rPr>
          <w:rFonts w:ascii="Verdana" w:hAnsi="Verdana" w:cs="Arial"/>
          <w:color w:val="000000" w:themeColor="text1"/>
          <w:lang w:val="es-MX"/>
        </w:rPr>
        <w:t xml:space="preserve">, la restricción prevista en la Ley 996 de 2005 </w:t>
      </w:r>
      <w:r w:rsidRPr="00CE45C7">
        <w:rPr>
          <w:rFonts w:ascii="Verdana" w:hAnsi="Verdana" w:cs="Arial"/>
          <w:bCs/>
          <w:color w:val="000000" w:themeColor="text1"/>
          <w:lang w:val="es-MX" w:eastAsia="x-none"/>
        </w:rPr>
        <w:t xml:space="preserve">cobija a cualquier entidad pública independiente del régimen jurídico, que pueda mediante la contratación directa romper el equilibrio entre los candidatos en desarrollo de las elecciones presidenciales. </w:t>
      </w:r>
    </w:p>
    <w:p w14:paraId="70496B7D" w14:textId="77777777" w:rsidR="00CE45C7" w:rsidRPr="00CE45C7" w:rsidRDefault="00CE45C7" w:rsidP="00CE45C7">
      <w:pPr>
        <w:spacing w:after="120" w:line="276" w:lineRule="auto"/>
        <w:ind w:firstLine="709"/>
        <w:jc w:val="both"/>
        <w:rPr>
          <w:rFonts w:ascii="Verdana" w:hAnsi="Verdana" w:cs="Arial"/>
          <w:bCs/>
          <w:color w:val="000000" w:themeColor="text1"/>
          <w:lang w:val="es-MX" w:eastAsia="x-none"/>
        </w:rPr>
      </w:pPr>
      <w:r w:rsidRPr="00CE45C7">
        <w:rPr>
          <w:rFonts w:ascii="Verdana" w:hAnsi="Verdana" w:cs="Arial"/>
          <w:color w:val="000000" w:themeColor="text1"/>
          <w:lang w:val="es-MX"/>
        </w:rPr>
        <w:t xml:space="preserve">No existe un supuesto de exoneración a la prohibición por tener un régimen especial de los actos o contratos, pues, la posibilidad de que los entes del Estado utilicen la contratación con fines políticos, esto es, con la intención de influir a los electores y alterar la voluntad popular en las contiendas electorales, puede presentarse tanto en la contratación regulada por la Ley 80 de 1993 como en la regida por normas especiales. </w:t>
      </w:r>
    </w:p>
    <w:p w14:paraId="4BAD9F68" w14:textId="77777777" w:rsidR="00CE45C7" w:rsidRPr="00CE45C7" w:rsidRDefault="00CE45C7" w:rsidP="00CE45C7">
      <w:pPr>
        <w:spacing w:after="120" w:line="276" w:lineRule="auto"/>
        <w:ind w:firstLine="709"/>
        <w:jc w:val="both"/>
        <w:rPr>
          <w:rFonts w:ascii="Verdana" w:eastAsia="Times New Roman" w:hAnsi="Verdana" w:cs="Arial"/>
          <w:bCs/>
          <w:lang w:val="es-ES" w:eastAsia="es-CO" w:bidi="es-ES"/>
        </w:rPr>
      </w:pPr>
      <w:r w:rsidRPr="00CE45C7">
        <w:rPr>
          <w:rFonts w:ascii="Verdana" w:eastAsia="Times New Roman" w:hAnsi="Verdana" w:cs="Arial"/>
          <w:bCs/>
          <w:lang w:val="es-ES" w:eastAsia="es-CO" w:bidi="es-ES"/>
        </w:rPr>
        <w:t xml:space="preserve">Ahora bien, las entidades públicas, de acuerdo con el inciso final del artículo 33 de la Ley 996 de 2005 –Ley de Garantías Electorales–, y previo análisis de la naturaleza de las actividades que adelantan, podrán realizar procedimientos de selección directa en períodos previos a la contienda electoral por la Presidencia, cuando el contrato a celebrar se enmarquen dentro de algunas de las excepciones consagradas en dicha disposición, esto es: i) la defensa y seguridad del Estado; </w:t>
      </w:r>
      <w:proofErr w:type="spellStart"/>
      <w:r w:rsidRPr="00CE45C7">
        <w:rPr>
          <w:rFonts w:ascii="Verdana" w:eastAsia="Times New Roman" w:hAnsi="Verdana" w:cs="Arial"/>
          <w:bCs/>
          <w:lang w:val="es-ES" w:eastAsia="es-CO" w:bidi="es-ES"/>
        </w:rPr>
        <w:t>ii</w:t>
      </w:r>
      <w:proofErr w:type="spellEnd"/>
      <w:r w:rsidRPr="00CE45C7">
        <w:rPr>
          <w:rFonts w:ascii="Verdana" w:eastAsia="Times New Roman" w:hAnsi="Verdana" w:cs="Arial"/>
          <w:bCs/>
          <w:lang w:val="es-ES" w:eastAsia="es-CO" w:bidi="es-ES"/>
        </w:rPr>
        <w:t xml:space="preserve">) los contratos de crédito público; </w:t>
      </w:r>
      <w:proofErr w:type="spellStart"/>
      <w:r w:rsidRPr="00CE45C7">
        <w:rPr>
          <w:rFonts w:ascii="Verdana" w:eastAsia="Times New Roman" w:hAnsi="Verdana" w:cs="Arial"/>
          <w:bCs/>
          <w:lang w:val="es-ES" w:eastAsia="es-CO" w:bidi="es-ES"/>
        </w:rPr>
        <w:t>iii</w:t>
      </w:r>
      <w:proofErr w:type="spellEnd"/>
      <w:r w:rsidRPr="00CE45C7">
        <w:rPr>
          <w:rFonts w:ascii="Verdana" w:eastAsia="Times New Roman" w:hAnsi="Verdana" w:cs="Arial"/>
          <w:bCs/>
          <w:lang w:val="es-ES" w:eastAsia="es-CO" w:bidi="es-ES"/>
        </w:rPr>
        <w:t xml:space="preserve">) los requeridos para cubrir las emergencias educativas, sanitarias y desastres; </w:t>
      </w:r>
      <w:proofErr w:type="spellStart"/>
      <w:r w:rsidRPr="00CE45C7">
        <w:rPr>
          <w:rFonts w:ascii="Verdana" w:eastAsia="Times New Roman" w:hAnsi="Verdana" w:cs="Arial"/>
          <w:bCs/>
          <w:lang w:val="es-ES" w:eastAsia="es-CO" w:bidi="es-ES"/>
        </w:rPr>
        <w:t>iv</w:t>
      </w:r>
      <w:proofErr w:type="spellEnd"/>
      <w:r w:rsidRPr="00CE45C7">
        <w:rPr>
          <w:rFonts w:ascii="Verdana" w:eastAsia="Times New Roman" w:hAnsi="Verdana" w:cs="Arial"/>
          <w:bCs/>
          <w:lang w:val="es-ES" w:eastAsia="es-CO" w:bidi="es-ES"/>
        </w:rPr>
        <w:t xml:space="preserve">)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w:t>
      </w:r>
    </w:p>
    <w:p w14:paraId="5EC94281" w14:textId="77777777" w:rsidR="00CE45C7" w:rsidRPr="00CE45C7" w:rsidRDefault="00CE45C7" w:rsidP="00CE45C7">
      <w:pPr>
        <w:spacing w:after="120" w:line="276" w:lineRule="auto"/>
        <w:ind w:firstLine="709"/>
        <w:jc w:val="both"/>
        <w:rPr>
          <w:rFonts w:ascii="Verdana" w:hAnsi="Verdana" w:cs="Arial"/>
          <w:bCs/>
          <w:lang w:eastAsia="x-none"/>
        </w:rPr>
      </w:pPr>
      <w:r w:rsidRPr="00CE45C7">
        <w:rPr>
          <w:rFonts w:ascii="Verdana" w:eastAsia="Times New Roman" w:hAnsi="Verdana" w:cs="Arial"/>
          <w:bCs/>
          <w:lang w:val="es-ES" w:eastAsia="es-CO" w:bidi="es-ES"/>
        </w:rPr>
        <w:t xml:space="preserve">En todo caso, </w:t>
      </w:r>
      <w:r w:rsidRPr="00CE45C7">
        <w:rPr>
          <w:rFonts w:ascii="Verdana" w:hAnsi="Verdana" w:cs="Arial"/>
          <w:bCs/>
          <w:lang w:eastAsia="x-none"/>
        </w:rPr>
        <w:t xml:space="preserve">se aclara que, la planeación, los estudios técnicos, jurídicos y económicos, que debe preceder la celebración de cada contrato, y que determinan su viabilidad desde tales perspectivas, son asuntos que competen a </w:t>
      </w:r>
      <w:r w:rsidRPr="00CE45C7">
        <w:rPr>
          <w:rFonts w:ascii="Verdana" w:hAnsi="Verdana" w:cs="Arial"/>
          <w:bCs/>
          <w:lang w:eastAsia="x-none"/>
        </w:rPr>
        <w:lastRenderedPageBreak/>
        <w:t xml:space="preserve">las entidades estatales que adelantan los procesos de contratación respectivos, con el apoyo de sus funcionarios y órganos asesores.   </w:t>
      </w:r>
    </w:p>
    <w:p w14:paraId="6A093404" w14:textId="77777777" w:rsidR="00CE45C7" w:rsidRPr="00CE45C7" w:rsidRDefault="00CE45C7" w:rsidP="00CE45C7">
      <w:pPr>
        <w:spacing w:after="120" w:line="276" w:lineRule="auto"/>
        <w:ind w:firstLine="709"/>
        <w:jc w:val="both"/>
        <w:rPr>
          <w:rFonts w:ascii="Verdana" w:hAnsi="Verdana" w:cs="Arial"/>
          <w:bCs/>
          <w:lang w:val="es-MX" w:eastAsia="x-none"/>
        </w:rPr>
      </w:pPr>
      <w:r w:rsidRPr="00CE45C7">
        <w:rPr>
          <w:rFonts w:ascii="Verdana" w:hAnsi="Verdana" w:cs="Arial"/>
          <w:bCs/>
          <w:lang w:val="es-MX" w:eastAsia="x-none"/>
        </w:rPr>
        <w:t xml:space="preserve">En esta labor es importante tener en cuenta, como lo anotó la Corte Constitucional, en Sentencia C-1153 de noviembre 11 de 2005 </w:t>
      </w:r>
      <w:bookmarkStart w:id="21" w:name="_Hlk74309042"/>
      <w:r w:rsidRPr="00CE45C7">
        <w:rPr>
          <w:rFonts w:ascii="Verdana" w:hAnsi="Verdana" w:cs="Arial"/>
          <w:bCs/>
          <w:lang w:val="es-MX" w:eastAsia="x-none"/>
        </w:rPr>
        <w:t>que “</w:t>
      </w:r>
      <w:bookmarkEnd w:id="21"/>
      <w:r w:rsidRPr="00CE45C7">
        <w:rPr>
          <w:rFonts w:ascii="Verdana" w:hAnsi="Verdana" w:cs="Arial"/>
          <w:bCs/>
          <w:lang w:val="es-MX" w:eastAsia="x-none"/>
        </w:rPr>
        <w:t xml:space="preserve">si bien la limitación garantiza la igualdad de condiciones, también es necesario que tal limitación que pretende la igualdad </w:t>
      </w:r>
      <w:bookmarkStart w:id="22" w:name="_Hlk75768308"/>
      <w:r w:rsidRPr="00CE45C7">
        <w:rPr>
          <w:rFonts w:ascii="Verdana" w:hAnsi="Verdana" w:cs="Arial"/>
          <w:bCs/>
          <w:lang w:val="es-MX" w:eastAsia="x-none"/>
        </w:rPr>
        <w:t>no termine yendo en detrimento de intereses públicos, cuya garantía está en cabeza del ejecutivo, como son los inmersos en las excepciones para la prohibición de contratación”</w:t>
      </w:r>
      <w:r w:rsidRPr="00CE45C7">
        <w:rPr>
          <w:rFonts w:ascii="Verdana" w:hAnsi="Verdana" w:cs="Arial"/>
          <w:vertAlign w:val="superscript"/>
          <w:lang w:val="es-MX"/>
        </w:rPr>
        <w:footnoteReference w:id="39"/>
      </w:r>
      <w:r w:rsidRPr="00CE45C7">
        <w:rPr>
          <w:rFonts w:ascii="Verdana" w:hAnsi="Verdana" w:cs="Arial"/>
          <w:bCs/>
          <w:lang w:val="es-MX" w:eastAsia="x-none"/>
        </w:rPr>
        <w:t>. De ahí que la Corte haya señalado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bookmarkEnd w:id="22"/>
    </w:p>
    <w:p w14:paraId="7E1D5F88" w14:textId="77777777" w:rsidR="00CE45C7" w:rsidRPr="00CE45C7" w:rsidRDefault="00CE45C7" w:rsidP="00CE45C7">
      <w:pPr>
        <w:spacing w:after="120" w:line="276" w:lineRule="auto"/>
        <w:ind w:firstLine="709"/>
        <w:jc w:val="both"/>
        <w:rPr>
          <w:rFonts w:ascii="Verdana" w:hAnsi="Verdana" w:cs="Arial"/>
          <w:bCs/>
          <w:lang w:val="es-MX" w:eastAsia="x-none"/>
        </w:rPr>
      </w:pPr>
      <w:r w:rsidRPr="00CE45C7">
        <w:rPr>
          <w:rFonts w:ascii="Verdana" w:hAnsi="Verdana" w:cs="Arial"/>
          <w:bCs/>
          <w:lang w:val="es-MX" w:eastAsia="x-none"/>
        </w:rPr>
        <w:t>Es importante reiterar que el segundo inciso del artículo 33 de la Ley de Garantías Electorales consagró las excepciones aplicables a la prohibición de contratación directa establecida en el mismo artículo. La Sala de Consulta y Servicio Civil del Consejo de Estado, en Concepto del 4 de febrero de 2010, explica que “(…) Las excepciones establecidas en los artículos 32 y 33 en comento, guardan relación, exclusivamente, con algunos servicios públicos que por su naturaleza no admiten postergaciones en la atención de sus necesidades de personal, bienes y servicios (…)”</w:t>
      </w:r>
      <w:r w:rsidRPr="00CE45C7">
        <w:rPr>
          <w:rFonts w:ascii="Verdana" w:hAnsi="Verdana" w:cs="Arial"/>
          <w:vertAlign w:val="superscript"/>
          <w:lang w:val="es-ES_tradnl" w:eastAsia="es-CO"/>
        </w:rPr>
        <w:footnoteReference w:id="40"/>
      </w:r>
      <w:r w:rsidRPr="00CE45C7">
        <w:rPr>
          <w:rFonts w:ascii="Verdana" w:hAnsi="Verdana" w:cs="Arial"/>
          <w:bCs/>
          <w:lang w:val="es-MX" w:eastAsia="x-none"/>
        </w:rPr>
        <w:t>.</w:t>
      </w:r>
    </w:p>
    <w:p w14:paraId="47E6DBB1" w14:textId="77777777" w:rsidR="00CE45C7" w:rsidRPr="00CE45C7" w:rsidRDefault="00CE45C7" w:rsidP="00CE45C7">
      <w:pPr>
        <w:shd w:val="clear" w:color="auto" w:fill="FFFFFF" w:themeFill="background1"/>
        <w:spacing w:after="120" w:line="276" w:lineRule="auto"/>
        <w:ind w:firstLine="709"/>
        <w:jc w:val="both"/>
        <w:rPr>
          <w:rFonts w:ascii="Verdana" w:hAnsi="Verdana" w:cs="Arial"/>
          <w:lang w:val="es-ES" w:eastAsia="es-CO"/>
        </w:rPr>
      </w:pPr>
      <w:r w:rsidRPr="00CE45C7">
        <w:rPr>
          <w:rFonts w:ascii="Verdana" w:hAnsi="Verdana" w:cs="Arial"/>
          <w:lang w:val="es-ES" w:eastAsia="es-CO"/>
        </w:rPr>
        <w:t xml:space="preserve">A su vez, la Corte Constitucional, al analizar la constitucionalidad de la Ley de Garantías Electorales, consideró que las prohibiciones consagradas en los artículos 32 y 33 de la Ley mencionada no pueden ir en detrimento de intereses públicos. Por lo anterior, la Alta Corte consideró que las excepciones para la prohibición de contratación se encontraban justificadas, declarando su </w:t>
      </w:r>
      <w:proofErr w:type="spellStart"/>
      <w:r w:rsidRPr="00CE45C7">
        <w:rPr>
          <w:rFonts w:ascii="Verdana" w:hAnsi="Verdana" w:cs="Arial"/>
          <w:lang w:val="es-ES" w:eastAsia="es-CO"/>
        </w:rPr>
        <w:t>exequibilidad</w:t>
      </w:r>
      <w:proofErr w:type="spellEnd"/>
      <w:r w:rsidRPr="00CE45C7">
        <w:rPr>
          <w:rFonts w:ascii="Verdana" w:hAnsi="Verdana" w:cs="Arial"/>
          <w:lang w:val="es-ES" w:eastAsia="es-CO"/>
        </w:rPr>
        <w:t>. Así, por ejemplo, la Corte Constitucional explicó que “(…) las excepciones de limitación protegen diversos tipos de urgencias de defensa, salud, educación, infraestructura vial y de servicios públicos y ecológicas tienden a no limitar desproporcionadamente la acción del Estado en el cumplimiento de sus fines, en procura de la igualdad entre candidatos como garantía electoral”</w:t>
      </w:r>
      <w:r w:rsidRPr="00CE45C7">
        <w:rPr>
          <w:rFonts w:ascii="Verdana" w:hAnsi="Verdana" w:cs="Arial"/>
          <w:vertAlign w:val="superscript"/>
          <w:lang w:val="es-ES" w:eastAsia="es-CO"/>
        </w:rPr>
        <w:footnoteReference w:id="41"/>
      </w:r>
      <w:r w:rsidRPr="00CE45C7">
        <w:rPr>
          <w:rFonts w:ascii="Verdana" w:hAnsi="Verdana" w:cs="Arial"/>
          <w:lang w:val="es-ES" w:eastAsia="es-CO"/>
        </w:rPr>
        <w:t xml:space="preserve">. </w:t>
      </w:r>
    </w:p>
    <w:p w14:paraId="7E86F5BB" w14:textId="77777777" w:rsidR="00CE45C7" w:rsidRPr="00CE45C7" w:rsidRDefault="00CE45C7" w:rsidP="00CE45C7">
      <w:pPr>
        <w:shd w:val="clear" w:color="auto" w:fill="FFFFFF"/>
        <w:spacing w:after="120" w:line="276" w:lineRule="auto"/>
        <w:ind w:firstLine="709"/>
        <w:jc w:val="both"/>
        <w:rPr>
          <w:rFonts w:ascii="Verdana" w:hAnsi="Verdana" w:cs="Arial"/>
          <w:lang w:val="es-ES_tradnl" w:eastAsia="es-CO"/>
        </w:rPr>
      </w:pPr>
      <w:r w:rsidRPr="00CE45C7">
        <w:rPr>
          <w:rFonts w:ascii="Verdana" w:hAnsi="Verdana" w:cs="Arial"/>
          <w:bCs/>
          <w:lang w:val="es-ES_tradnl"/>
        </w:rPr>
        <w:lastRenderedPageBreak/>
        <w:t>Por tanto, las excepciones a la prohibición contenida en el inciso segundo de artículo 33 de la ley de garantías electorales tienen por finalidad garantizar la prestación ininterrumpida de algunos servicios públicos que, dada su importancia en el orden interno, se verían irrazonablemente afectados por la restricción explicada. Lo anterior implica que las excepciones al artículo 33 en comento deben interpretarse y aplicarse de manera restrictiva. En otras palabras, que no sería factible hacer interpretaciones extensivas para incluir otros supuestos de hecho similares a las circunstancias previstas en dicho artículo, pues el carácter taxativo implica que solo en los eventos consagrados expresamente en la norma permiten que ciertas entidades estatales se vean exceptuadas de la prohibición.</w:t>
      </w:r>
    </w:p>
    <w:p w14:paraId="1A8DFE5F" w14:textId="77777777" w:rsidR="00CE45C7" w:rsidRPr="00CE45C7" w:rsidRDefault="00CE45C7" w:rsidP="00CE45C7">
      <w:pPr>
        <w:spacing w:after="120" w:line="276" w:lineRule="auto"/>
        <w:ind w:firstLine="708"/>
        <w:jc w:val="both"/>
        <w:rPr>
          <w:rFonts w:ascii="Verdana" w:eastAsia="Calibri" w:hAnsi="Verdana" w:cs="Arial"/>
        </w:rPr>
      </w:pPr>
      <w:r w:rsidRPr="00CE45C7">
        <w:rPr>
          <w:rFonts w:ascii="Verdana" w:hAnsi="Verdana" w:cs="Arial"/>
          <w:bCs/>
          <w:lang w:val="es-MX" w:eastAsia="x-none"/>
        </w:rPr>
        <w:t>Entre las excepciones del artículo en comento se encuentran “(…) l</w:t>
      </w:r>
      <w:r w:rsidRPr="00CE45C7">
        <w:rPr>
          <w:rFonts w:ascii="Verdana" w:hAnsi="Verdana" w:cs="Arial"/>
          <w:bCs/>
          <w:lang w:eastAsia="x-none"/>
        </w:rPr>
        <w:t>os requeridos para cubrir las emergencias educativas, sanitarias y desastres (…)</w:t>
      </w:r>
      <w:r w:rsidRPr="00CE45C7">
        <w:rPr>
          <w:rFonts w:ascii="Verdana" w:hAnsi="Verdana" w:cs="Arial"/>
          <w:bCs/>
          <w:lang w:val="es-MX" w:eastAsia="x-none"/>
        </w:rPr>
        <w:t>”</w:t>
      </w:r>
      <w:r w:rsidRPr="00CE45C7">
        <w:rPr>
          <w:rFonts w:ascii="Verdana" w:eastAsia="Calibri" w:hAnsi="Verdana" w:cs="Arial"/>
        </w:rPr>
        <w:t xml:space="preserve">. Sobre el alcance de estas excepciones, es necesario tener en cuenta que el </w:t>
      </w:r>
      <w:r w:rsidRPr="00CE45C7">
        <w:rPr>
          <w:rFonts w:ascii="Verdana" w:eastAsia="Calibri" w:hAnsi="Verdana" w:cs="Arial"/>
          <w:bCs/>
          <w:color w:val="000000" w:themeColor="text1"/>
        </w:rPr>
        <w:t xml:space="preserve">artículo 28 del Código Civil dispone que “Las palabras de la ley se entenderán en su sentido natural y obvio, según el uso general de las mismas palabras; pero cuando el legislador las haya definido expresamente para ciertas materias, se les dará en éstas su significado legal”; igualmente, el artículo 29 </w:t>
      </w:r>
      <w:r w:rsidRPr="00CE45C7">
        <w:rPr>
          <w:rFonts w:ascii="Verdana" w:eastAsia="Calibri" w:hAnsi="Verdana" w:cs="Arial"/>
          <w:bCs/>
          <w:i/>
          <w:iCs/>
          <w:color w:val="000000" w:themeColor="text1"/>
        </w:rPr>
        <w:t>ibidem</w:t>
      </w:r>
      <w:r w:rsidRPr="00CE45C7">
        <w:rPr>
          <w:rFonts w:ascii="Verdana" w:eastAsia="Calibri" w:hAnsi="Verdana" w:cs="Arial"/>
          <w:bCs/>
          <w:color w:val="000000" w:themeColor="text1"/>
        </w:rPr>
        <w:t xml:space="preserve"> prescribe lo siguiente: “Las palabras técnicas de toda ciencia o arte se tomarán en el sentido que les den los que profesan la misma ciencia o arte; a menos que aparezca claramente que se han formado en sentido diverso”</w:t>
      </w:r>
      <w:r w:rsidRPr="00CE45C7">
        <w:rPr>
          <w:rFonts w:ascii="Verdana" w:eastAsia="Calibri" w:hAnsi="Verdana" w:cs="Arial"/>
          <w:bCs/>
          <w:color w:val="000000" w:themeColor="text1"/>
          <w:vertAlign w:val="superscript"/>
        </w:rPr>
        <w:footnoteReference w:id="42"/>
      </w:r>
      <w:r w:rsidRPr="00CE45C7">
        <w:rPr>
          <w:rFonts w:ascii="Verdana" w:eastAsia="Calibri" w:hAnsi="Verdana" w:cs="Arial"/>
          <w:bCs/>
          <w:color w:val="000000" w:themeColor="text1"/>
        </w:rPr>
        <w:t>.</w:t>
      </w:r>
      <w:r w:rsidRPr="00CE45C7">
        <w:rPr>
          <w:rFonts w:ascii="Verdana" w:eastAsia="Calibri" w:hAnsi="Verdana" w:cs="Arial"/>
          <w:lang w:val="es-ES"/>
        </w:rPr>
        <w:t xml:space="preserve"> </w:t>
      </w:r>
    </w:p>
    <w:p w14:paraId="54644AAB" w14:textId="77777777" w:rsidR="00CE45C7" w:rsidRPr="00CE45C7" w:rsidRDefault="00CE45C7" w:rsidP="00CE45C7">
      <w:pPr>
        <w:spacing w:before="120" w:after="0" w:line="276" w:lineRule="auto"/>
        <w:ind w:firstLine="709"/>
        <w:jc w:val="both"/>
        <w:rPr>
          <w:rFonts w:ascii="Verdana" w:eastAsia="Calibri" w:hAnsi="Verdana" w:cs="Arial"/>
          <w:lang w:val="es-ES"/>
        </w:rPr>
      </w:pPr>
      <w:r w:rsidRPr="00CE45C7">
        <w:rPr>
          <w:rFonts w:ascii="Verdana" w:hAnsi="Verdana" w:cs="Arial"/>
          <w:lang w:val="es-ES"/>
        </w:rPr>
        <w:t xml:space="preserve">En segundo lugar, respecto del alcance del parágrafo </w:t>
      </w:r>
      <w:r w:rsidRPr="00CE45C7">
        <w:rPr>
          <w:rFonts w:ascii="Verdana" w:hAnsi="Verdana" w:cs="Arial"/>
        </w:rPr>
        <w:t xml:space="preserve">del artículo 38 de la Ley 996 de 2005, esta prohibición dispone en primera medida que: “[l]os Gobernadores, Alcaldes Municipales y/o Distritales, Secretarios, Gerentes y directores de Entidades Descentralizadas del orden Municipal, Departamental o Distrital, dentro de los cuatro (4) meses anteriores a las elecciones, no podrán celebrar </w:t>
      </w:r>
      <w:r w:rsidRPr="00CE45C7">
        <w:rPr>
          <w:rFonts w:ascii="Verdana" w:hAnsi="Verdana" w:cs="Arial"/>
          <w:i/>
          <w:iCs/>
        </w:rPr>
        <w:t>convenios interadministrativos</w:t>
      </w:r>
      <w:r w:rsidRPr="00CE45C7">
        <w:rPr>
          <w:rFonts w:ascii="Verdana" w:hAnsi="Verdana" w:cs="Arial"/>
        </w:rPr>
        <w:t xml:space="preserve"> </w:t>
      </w:r>
      <w:r w:rsidRPr="00CE45C7">
        <w:rPr>
          <w:rFonts w:ascii="Verdana" w:hAnsi="Verdana" w:cs="Arial"/>
          <w:i/>
          <w:iCs/>
        </w:rPr>
        <w:t>para la ejecución de recursos públicos</w:t>
      </w:r>
      <w:r w:rsidRPr="00CE45C7">
        <w:rPr>
          <w:rFonts w:ascii="Verdana" w:hAnsi="Verdana" w:cs="Arial"/>
        </w:rPr>
        <w:t>”.</w:t>
      </w:r>
      <w:r w:rsidRPr="00CE45C7">
        <w:rPr>
          <w:rFonts w:ascii="Verdana" w:eastAsia="Times New Roman" w:hAnsi="Verdana" w:cs="Arial"/>
          <w:lang w:val="es-MX" w:eastAsia="x-none"/>
        </w:rPr>
        <w:t xml:space="preserve"> (Énfasis fuera del texto original)</w:t>
      </w:r>
    </w:p>
    <w:p w14:paraId="269158E4" w14:textId="77777777" w:rsidR="00CE45C7" w:rsidRPr="00CE45C7" w:rsidRDefault="00CE45C7" w:rsidP="00CE45C7">
      <w:pPr>
        <w:spacing w:before="120" w:after="0" w:line="276" w:lineRule="auto"/>
        <w:ind w:firstLine="709"/>
        <w:jc w:val="both"/>
        <w:rPr>
          <w:rFonts w:ascii="Verdana" w:eastAsia="Calibri" w:hAnsi="Verdana" w:cs="Arial"/>
          <w:lang w:val="es-ES"/>
        </w:rPr>
      </w:pPr>
      <w:r w:rsidRPr="00CE45C7">
        <w:rPr>
          <w:rFonts w:ascii="Verdana" w:eastAsia="Times New Roman" w:hAnsi="Verdana" w:cs="Arial"/>
          <w:lang w:val="es-ES" w:eastAsia="es-ES"/>
        </w:rPr>
        <w:lastRenderedPageBreak/>
        <w:t xml:space="preserve">Para tales efectos, debe precisarse que </w:t>
      </w:r>
      <w:r w:rsidRPr="00CE45C7">
        <w:rPr>
          <w:rFonts w:ascii="Verdana" w:eastAsia="Times New Roman" w:hAnsi="Verdana" w:cs="Arial"/>
          <w:color w:val="000000" w:themeColor="text1"/>
          <w:lang w:val="es-ES" w:eastAsia="es-CO"/>
        </w:rPr>
        <w:t xml:space="preserve">los contratos o convenios interadministrativos están determinados por un criterio orgánico, pues es necesario que los extremos de la relación contractual sean entidades públicas, </w:t>
      </w:r>
      <w:r w:rsidRPr="00CE45C7">
        <w:rPr>
          <w:rFonts w:ascii="Verdana" w:hAnsi="Verdana" w:cs="Arial"/>
          <w:lang w:eastAsia="es-ES"/>
        </w:rPr>
        <w:t>independientemente de las normas que regulan la relación contractual. En este sentido, los convenios interadministrativos solo pueden ser celebrados entre entidades públicas, pues a éstas corresponde la realización de los fines y tareas que el legislador les ha asignado</w:t>
      </w:r>
      <w:r w:rsidRPr="00CE45C7">
        <w:rPr>
          <w:rFonts w:ascii="Verdana" w:hAnsi="Verdana" w:cs="Arial"/>
          <w:vertAlign w:val="superscript"/>
          <w:lang w:eastAsia="es-ES"/>
        </w:rPr>
        <w:footnoteReference w:id="43"/>
      </w:r>
      <w:r w:rsidRPr="00CE45C7">
        <w:rPr>
          <w:rFonts w:ascii="Verdana" w:hAnsi="Verdana" w:cs="Arial"/>
          <w:lang w:eastAsia="es-ES"/>
        </w:rPr>
        <w:t>.</w:t>
      </w:r>
    </w:p>
    <w:p w14:paraId="310BE358" w14:textId="77777777" w:rsidR="00CE45C7" w:rsidRPr="00CE45C7" w:rsidRDefault="00CE45C7" w:rsidP="00CE45C7">
      <w:pPr>
        <w:spacing w:before="120" w:after="0" w:line="276" w:lineRule="auto"/>
        <w:ind w:firstLine="709"/>
        <w:jc w:val="both"/>
        <w:rPr>
          <w:rFonts w:ascii="Verdana" w:eastAsia="Calibri" w:hAnsi="Verdana" w:cs="Arial"/>
          <w:lang w:val="es-ES"/>
        </w:rPr>
      </w:pPr>
      <w:r w:rsidRPr="00CE45C7">
        <w:rPr>
          <w:rFonts w:ascii="Verdana" w:hAnsi="Verdana" w:cs="Arial"/>
          <w:color w:val="000000" w:themeColor="text1"/>
          <w:lang w:val="es-ES_tradnl"/>
        </w:rPr>
        <w:t>Si bien los contratos o convenios interadministrativos están previstos en la Ley 80 de 1993, en la Ley 1150 de 2007 y en el Decreto 1082 de 2015, no quiere decir que solo puedan celebrarse entre Entidades Estatales que apliquen el régimen de contratación allí previsto. En efecto, una Entidad Estatal de la Ley 80 de 1993 – como es el caso de un municipio – bien puede celebrar esta clase de convenios con una Entidad Estatal de régimen especial y no por ello dejará de ser un contrato o convenio interadministrativo.</w:t>
      </w:r>
    </w:p>
    <w:p w14:paraId="301D6982" w14:textId="77777777" w:rsidR="00CE45C7" w:rsidRPr="00CE45C7" w:rsidRDefault="00CE45C7" w:rsidP="00CE45C7">
      <w:pPr>
        <w:spacing w:before="120" w:after="0" w:line="276" w:lineRule="auto"/>
        <w:ind w:firstLine="708"/>
        <w:jc w:val="both"/>
        <w:rPr>
          <w:rFonts w:ascii="Verdana" w:hAnsi="Verdana" w:cs="Arial"/>
          <w:lang w:val="es-ES_tradnl"/>
        </w:rPr>
      </w:pPr>
      <w:r w:rsidRPr="00CE45C7">
        <w:rPr>
          <w:rFonts w:ascii="Verdana" w:hAnsi="Verdana" w:cs="Arial"/>
          <w:lang w:val="es-ES"/>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w:t>
      </w:r>
      <w:r w:rsidRPr="00CE45C7">
        <w:rPr>
          <w:rFonts w:ascii="Verdana" w:hAnsi="Verdana" w:cs="Arial"/>
          <w:vertAlign w:val="superscript"/>
          <w:lang w:val="es-ES"/>
        </w:rPr>
        <w:footnoteReference w:id="44"/>
      </w:r>
      <w:r w:rsidRPr="00CE45C7">
        <w:rPr>
          <w:rFonts w:ascii="Verdana" w:hAnsi="Verdana" w:cs="Arial"/>
          <w:lang w:val="es-ES"/>
        </w:rPr>
        <w:t>. Nótese que, en este caso, lo que cambia es la modalidad de selección y no la naturaleza de contrato interadministrativo.</w:t>
      </w:r>
    </w:p>
    <w:p w14:paraId="73655F17" w14:textId="77777777" w:rsidR="00CE45C7" w:rsidRPr="00CE45C7" w:rsidRDefault="00CE45C7" w:rsidP="00CE45C7">
      <w:pPr>
        <w:spacing w:before="120" w:after="0" w:line="276" w:lineRule="auto"/>
        <w:ind w:firstLine="708"/>
        <w:jc w:val="both"/>
        <w:rPr>
          <w:rFonts w:ascii="Verdana" w:hAnsi="Verdana" w:cs="Arial"/>
          <w:lang w:val="es-ES_tradnl"/>
        </w:rPr>
      </w:pPr>
      <w:r w:rsidRPr="00CE45C7">
        <w:rPr>
          <w:rFonts w:ascii="Verdana" w:hAnsi="Verdana" w:cs="Arial"/>
          <w:lang w:val="es-ES"/>
        </w:rPr>
        <w:t>Además, es necesario tener en cuenta que para que un contrato o convenio interadministrativo exista debe cumplir con los siguientes elementos: acuerdo sobre el objeto y la contraprestación y que conste por escrito</w:t>
      </w:r>
      <w:r w:rsidRPr="00CE45C7">
        <w:rPr>
          <w:rFonts w:ascii="Verdana" w:hAnsi="Verdana" w:cs="Arial"/>
          <w:vertAlign w:val="superscript"/>
          <w:lang w:val="es-ES"/>
        </w:rPr>
        <w:footnoteReference w:id="45"/>
      </w:r>
      <w:r w:rsidRPr="00CE45C7">
        <w:rPr>
          <w:rFonts w:ascii="Verdana" w:hAnsi="Verdana" w:cs="Arial"/>
          <w:lang w:val="es-ES"/>
        </w:rPr>
        <w:t xml:space="preserve">. Entonces, si ambas partes son entidades estatales, pueden celebrar convenios interadministrativos, porque las disposiciones que regulan esta tipología hacen </w:t>
      </w:r>
      <w:r w:rsidRPr="00CE45C7">
        <w:rPr>
          <w:rFonts w:ascii="Verdana" w:hAnsi="Verdana" w:cs="Arial"/>
          <w:lang w:val="es-ES"/>
        </w:rPr>
        <w:lastRenderedPageBreak/>
        <w:t>referencia a la calidad de los sujetos que intervienen en la contratación, que deben ser entidades estatales o de derecho público.</w:t>
      </w:r>
    </w:p>
    <w:p w14:paraId="12FDDE68" w14:textId="77777777" w:rsidR="00CE45C7" w:rsidRPr="00CE45C7" w:rsidRDefault="00CE45C7" w:rsidP="00CE45C7">
      <w:pPr>
        <w:spacing w:before="120" w:after="0" w:line="276" w:lineRule="auto"/>
        <w:ind w:firstLine="708"/>
        <w:jc w:val="both"/>
        <w:rPr>
          <w:rFonts w:ascii="Verdana" w:hAnsi="Verdana"/>
          <w:lang w:eastAsia="es-CO"/>
        </w:rPr>
      </w:pPr>
      <w:r w:rsidRPr="00CE45C7">
        <w:rPr>
          <w:rFonts w:ascii="Verdana" w:hAnsi="Verdana" w:cs="Arial"/>
          <w:lang w:val="es-ES"/>
        </w:rPr>
        <w:t>Sobre este aspecto, se resalta que la Corte Constitucional señaló en la Sentencia C–671 de 2015 que “Lo que hace interadministrativo a un contrato o convenio no es el procedimiento de selección aplicable, sino la calidad de los sujetos contratantes, esto es que las dos partes de la relación jurídica contractual formen parte de la administración pública”. Así las cosas, atendiendo a la literalidad de las normas enunciadas, no cabe una interpretación diferente</w:t>
      </w:r>
      <w:r w:rsidRPr="00CE45C7">
        <w:rPr>
          <w:rFonts w:ascii="Verdana" w:hAnsi="Verdana" w:cs="Arial"/>
          <w:vertAlign w:val="superscript"/>
          <w:lang w:val="es-ES"/>
        </w:rPr>
        <w:footnoteReference w:id="46"/>
      </w:r>
      <w:r w:rsidRPr="00CE45C7">
        <w:rPr>
          <w:rFonts w:ascii="Verdana" w:hAnsi="Verdana" w:cs="Arial"/>
          <w:lang w:val="es-ES"/>
        </w:rPr>
        <w:t>, pues, de acuerdo con lo anotado, esta clase de acuerdos de voluntades se definen por un criterio orgánico, por lo que uno de sus elementos esenciales es que en los extremos de la relación jurídico negocial concurran personas de derecho público</w:t>
      </w:r>
      <w:r w:rsidRPr="00CE45C7">
        <w:rPr>
          <w:rFonts w:ascii="Verdana" w:hAnsi="Verdana"/>
          <w:lang w:eastAsia="es-CO"/>
        </w:rPr>
        <w:t>.</w:t>
      </w:r>
    </w:p>
    <w:p w14:paraId="304A08BC" w14:textId="77777777" w:rsidR="00CE45C7" w:rsidRPr="00CE45C7" w:rsidRDefault="00CE45C7" w:rsidP="00CE45C7">
      <w:pPr>
        <w:spacing w:before="120" w:after="0" w:line="276" w:lineRule="auto"/>
        <w:ind w:firstLine="708"/>
        <w:jc w:val="both"/>
        <w:rPr>
          <w:rFonts w:ascii="Verdana" w:eastAsia="Times New Roman" w:hAnsi="Verdana" w:cs="Arial"/>
          <w:lang w:val="es-MX" w:eastAsia="es-CO"/>
        </w:rPr>
      </w:pPr>
      <w:r w:rsidRPr="00CE45C7">
        <w:rPr>
          <w:rFonts w:ascii="Verdana" w:eastAsia="Arial" w:hAnsi="Verdana" w:cs="Arial"/>
          <w:lang w:val="es-MX" w:eastAsia="es-ES" w:bidi="es-ES"/>
        </w:rPr>
        <w:t>De esta manera, se</w:t>
      </w:r>
      <w:r w:rsidRPr="00CE45C7">
        <w:rPr>
          <w:rFonts w:ascii="Verdana" w:eastAsia="Times New Roman" w:hAnsi="Verdana" w:cs="Arial"/>
          <w:lang w:eastAsia="es-CO"/>
        </w:rPr>
        <w:t xml:space="preserve"> observa entonces que </w:t>
      </w:r>
      <w:r w:rsidRPr="00CE45C7">
        <w:rPr>
          <w:rFonts w:ascii="Verdana" w:eastAsia="Times New Roman" w:hAnsi="Verdana" w:cs="Arial"/>
          <w:lang w:val="es-MX" w:eastAsia="es-CO"/>
        </w:rPr>
        <w:t xml:space="preserve">el parágrafo del artículo 38 de la Ley 996 de 2005 prohíbe a los Alcaldes, Gobernadores, Secretarios, Gerentes y Directores de las entidades del orden municipal, departamental o distrital celebrar </w:t>
      </w:r>
      <w:r w:rsidRPr="00CE45C7">
        <w:rPr>
          <w:rFonts w:ascii="Verdana" w:eastAsia="Times New Roman" w:hAnsi="Verdana" w:cs="Arial"/>
          <w:i/>
          <w:iCs/>
          <w:lang w:val="es-MX" w:eastAsia="es-CO"/>
        </w:rPr>
        <w:t>convenios interadministrativos</w:t>
      </w:r>
      <w:r w:rsidRPr="00CE45C7">
        <w:rPr>
          <w:rFonts w:ascii="Verdana" w:eastAsia="Times New Roman" w:hAnsi="Verdana" w:cs="Arial"/>
          <w:lang w:val="es-MX" w:eastAsia="es-CO"/>
        </w:rPr>
        <w:t xml:space="preserve"> para la ejecución de recursos públicos. En este sentido, si una o ambas partes de la relación contractual es una entidad de aquellas descritas en el parágrafo </w:t>
      </w:r>
      <w:r w:rsidRPr="00CE45C7">
        <w:rPr>
          <w:rFonts w:ascii="Verdana" w:eastAsia="Times New Roman" w:hAnsi="Verdana" w:cs="Arial"/>
          <w:i/>
          <w:lang w:val="es-MX" w:eastAsia="es-CO"/>
        </w:rPr>
        <w:t>ibidem</w:t>
      </w:r>
      <w:r w:rsidRPr="00CE45C7">
        <w:rPr>
          <w:rFonts w:ascii="Verdana" w:eastAsia="Times New Roman" w:hAnsi="Verdana" w:cs="Arial"/>
          <w:lang w:val="es-MX" w:eastAsia="es-CO"/>
        </w:rPr>
        <w:t xml:space="preserve">, es decir, </w:t>
      </w:r>
      <w:r w:rsidRPr="00CE45C7">
        <w:rPr>
          <w:rFonts w:ascii="Verdana" w:eastAsia="Times New Roman" w:hAnsi="Verdana" w:cs="Arial"/>
          <w:lang w:eastAsia="es-CO"/>
        </w:rPr>
        <w:t xml:space="preserve">alcaldías, gobernaciones, secretarías de despacho, así como entidades descentralizadas por servicios del orden municipal, departamental o distrital </w:t>
      </w:r>
      <w:r w:rsidRPr="00CE45C7">
        <w:rPr>
          <w:rFonts w:ascii="Verdana" w:eastAsia="Times New Roman" w:hAnsi="Verdana" w:cs="Arial"/>
          <w:lang w:val="es-MX" w:eastAsia="es-CO"/>
        </w:rPr>
        <w:t xml:space="preserve">no podrá celebrar tales </w:t>
      </w:r>
      <w:r w:rsidRPr="00CE45C7">
        <w:rPr>
          <w:rFonts w:ascii="Verdana" w:eastAsia="Times New Roman" w:hAnsi="Verdana" w:cs="Arial"/>
          <w:i/>
          <w:iCs/>
          <w:lang w:val="es-MX" w:eastAsia="es-CO"/>
        </w:rPr>
        <w:t>convenios</w:t>
      </w:r>
      <w:r w:rsidRPr="00CE45C7">
        <w:rPr>
          <w:rFonts w:ascii="Verdana" w:eastAsia="Times New Roman" w:hAnsi="Verdana" w:cs="Arial"/>
          <w:lang w:val="es-MX" w:eastAsia="es-CO"/>
        </w:rPr>
        <w:t xml:space="preserve"> durante la aplicación de la Ley de Garantías Electorales, toda vez que la citada disposición se refiere a dicha tipología contractual sin que el legislador hubiere contemplado un efecto extensivo a otra tipología. </w:t>
      </w:r>
    </w:p>
    <w:p w14:paraId="233DDCAE" w14:textId="77777777" w:rsidR="00CE45C7" w:rsidRDefault="00CE45C7" w:rsidP="00CE45C7">
      <w:pPr>
        <w:spacing w:before="120" w:after="0" w:line="276" w:lineRule="auto"/>
        <w:ind w:firstLine="708"/>
        <w:jc w:val="both"/>
        <w:rPr>
          <w:rFonts w:ascii="Verdana" w:eastAsia="Times New Roman" w:hAnsi="Verdana" w:cs="Arial"/>
          <w:lang w:eastAsia="es-CO"/>
        </w:rPr>
      </w:pPr>
      <w:r w:rsidRPr="00CE45C7">
        <w:rPr>
          <w:rFonts w:ascii="Verdana" w:eastAsia="Times New Roman" w:hAnsi="Verdana" w:cs="Arial"/>
          <w:lang w:val="es-MX" w:eastAsia="es-CO"/>
        </w:rPr>
        <w:t xml:space="preserve">Respecto del alcance de esta prohibición la Circular Externa No. 006 de 2025 expedida por la ANCP -CCE, en los literales </w:t>
      </w:r>
      <w:proofErr w:type="spellStart"/>
      <w:r w:rsidRPr="00CE45C7">
        <w:rPr>
          <w:rFonts w:ascii="Verdana" w:eastAsia="Times New Roman" w:hAnsi="Verdana" w:cs="Arial"/>
          <w:lang w:val="es-MX" w:eastAsia="es-CO"/>
        </w:rPr>
        <w:t>ii</w:t>
      </w:r>
      <w:proofErr w:type="spellEnd"/>
      <w:r w:rsidRPr="00CE45C7">
        <w:rPr>
          <w:rFonts w:ascii="Verdana" w:eastAsia="Times New Roman" w:hAnsi="Verdana" w:cs="Arial"/>
          <w:lang w:val="es-MX" w:eastAsia="es-CO"/>
        </w:rPr>
        <w:t xml:space="preserve">) y </w:t>
      </w:r>
      <w:proofErr w:type="spellStart"/>
      <w:r w:rsidRPr="00CE45C7">
        <w:rPr>
          <w:rFonts w:ascii="Verdana" w:eastAsia="Times New Roman" w:hAnsi="Verdana" w:cs="Arial"/>
          <w:lang w:val="es-MX" w:eastAsia="es-CO"/>
        </w:rPr>
        <w:t>iv</w:t>
      </w:r>
      <w:proofErr w:type="spellEnd"/>
      <w:r w:rsidRPr="00CE45C7">
        <w:rPr>
          <w:rFonts w:ascii="Verdana" w:eastAsia="Times New Roman" w:hAnsi="Verdana" w:cs="Arial"/>
          <w:lang w:val="es-MX" w:eastAsia="es-CO"/>
        </w:rPr>
        <w:t>) del numeral 2</w:t>
      </w:r>
      <w:r w:rsidRPr="00CE45C7">
        <w:rPr>
          <w:rFonts w:ascii="Verdana" w:eastAsia="Times New Roman" w:hAnsi="Verdana" w:cs="Arial"/>
          <w:lang w:eastAsia="es-CO"/>
        </w:rPr>
        <w:t>,</w:t>
      </w:r>
      <w:r w:rsidRPr="00CE45C7">
        <w:rPr>
          <w:rFonts w:ascii="Verdana" w:eastAsia="Times New Roman" w:hAnsi="Verdana" w:cs="Arial"/>
          <w:lang w:val="es-MX" w:eastAsia="es-CO"/>
        </w:rPr>
        <w:t xml:space="preserve"> indica que el </w:t>
      </w:r>
      <w:r w:rsidRPr="00CE45C7">
        <w:rPr>
          <w:rFonts w:ascii="Verdana" w:eastAsia="Times New Roman" w:hAnsi="Verdana" w:cs="Arial"/>
          <w:lang w:eastAsia="es-CO"/>
        </w:rPr>
        <w:t xml:space="preserve">parágrafo del artículo 38 de la Ley 996 de 2005 cobija expresamente a los </w:t>
      </w:r>
      <w:r w:rsidRPr="00CE45C7">
        <w:rPr>
          <w:rFonts w:ascii="Verdana" w:eastAsia="Times New Roman" w:hAnsi="Verdana" w:cs="Arial"/>
          <w:i/>
          <w:iCs/>
          <w:lang w:eastAsia="es-CO"/>
        </w:rPr>
        <w:t>convenios interadministrativos</w:t>
      </w:r>
      <w:r w:rsidRPr="00CE45C7">
        <w:rPr>
          <w:rFonts w:ascii="Verdana" w:eastAsia="Times New Roman" w:hAnsi="Verdana" w:cs="Arial"/>
          <w:lang w:eastAsia="es-CO"/>
        </w:rPr>
        <w:t xml:space="preserve"> en los que se contemple la ejecución de recursos públicos. Además, precisa que el parágrafo referido no estableció ningún supuesto que exceptúe la aplicación de esta prohibición, por lo que la restricción referida a la celebración de convenios interadministrativos aplicará a los sujetos allí señalados, </w:t>
      </w:r>
      <w:r w:rsidRPr="00CE45C7">
        <w:rPr>
          <w:rFonts w:ascii="Verdana" w:eastAsia="Times New Roman" w:hAnsi="Verdana" w:cs="Arial"/>
          <w:i/>
          <w:iCs/>
          <w:lang w:eastAsia="es-CO"/>
        </w:rPr>
        <w:t>“aunque se configure alguno de los supuestos de excepción que señaló el inciso final del artículo 33”.</w:t>
      </w:r>
      <w:r w:rsidRPr="00CE45C7">
        <w:rPr>
          <w:rFonts w:ascii="Verdana" w:eastAsia="Times New Roman" w:hAnsi="Verdana" w:cs="Arial"/>
          <w:lang w:eastAsia="es-CO"/>
        </w:rPr>
        <w:t xml:space="preserve"> </w:t>
      </w:r>
    </w:p>
    <w:p w14:paraId="6570CB3F" w14:textId="77777777" w:rsidR="0053258C" w:rsidRPr="00CE45C7" w:rsidRDefault="0053258C" w:rsidP="00CE45C7">
      <w:pPr>
        <w:spacing w:before="120" w:after="0" w:line="276" w:lineRule="auto"/>
        <w:ind w:firstLine="708"/>
        <w:jc w:val="both"/>
        <w:rPr>
          <w:rFonts w:ascii="Verdana" w:eastAsia="Times New Roman" w:hAnsi="Verdana" w:cs="Arial"/>
          <w:lang w:eastAsia="es-CO"/>
        </w:rPr>
      </w:pPr>
    </w:p>
    <w:p w14:paraId="6D219BCD" w14:textId="77777777" w:rsidR="00CE45C7" w:rsidRDefault="00CE45C7" w:rsidP="00CE45C7">
      <w:pPr>
        <w:spacing w:after="120" w:line="276" w:lineRule="auto"/>
        <w:ind w:firstLine="709"/>
        <w:jc w:val="both"/>
        <w:rPr>
          <w:rFonts w:ascii="Verdana" w:hAnsi="Verdana" w:cs="Arial"/>
          <w:bCs/>
          <w:color w:val="000000" w:themeColor="text1"/>
        </w:rPr>
      </w:pPr>
      <w:r w:rsidRPr="00CE45C7">
        <w:rPr>
          <w:rFonts w:ascii="Verdana" w:hAnsi="Verdana" w:cs="Arial"/>
          <w:bCs/>
          <w:color w:val="000000" w:themeColor="text1"/>
        </w:rPr>
        <w:lastRenderedPageBreak/>
        <w:t>Al margen de la explicación precedente, debe advertirse que el análisis requerido para resolver problemas específicos en torno a la gestión contractual de las entidades públicas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E3FAF3E" w14:textId="77777777" w:rsidR="006A21D0" w:rsidRPr="00CE45C7" w:rsidRDefault="006A21D0" w:rsidP="00CE45C7">
      <w:pPr>
        <w:spacing w:after="120" w:line="276" w:lineRule="auto"/>
        <w:ind w:firstLine="709"/>
        <w:jc w:val="both"/>
        <w:rPr>
          <w:rFonts w:ascii="Verdana" w:hAnsi="Verdana"/>
          <w:lang w:val="es-ES_tradnl"/>
        </w:rPr>
      </w:pPr>
    </w:p>
    <w:p w14:paraId="3D62F40B" w14:textId="77777777" w:rsidR="00CE45C7" w:rsidRPr="00CE45C7" w:rsidRDefault="00CE45C7" w:rsidP="00CE45C7">
      <w:pPr>
        <w:spacing w:after="0" w:line="276" w:lineRule="auto"/>
        <w:ind w:firstLine="709"/>
        <w:jc w:val="both"/>
        <w:rPr>
          <w:rFonts w:ascii="Verdana" w:hAnsi="Verdana" w:cs="Arial"/>
          <w:bCs/>
          <w:color w:val="000000" w:themeColor="text1"/>
        </w:rPr>
      </w:pPr>
      <w:r w:rsidRPr="00CE45C7">
        <w:rPr>
          <w:rFonts w:ascii="Verdana"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18392B7B" w14:textId="77777777" w:rsidR="00CE45C7" w:rsidRDefault="00CE45C7" w:rsidP="00CE45C7">
      <w:pPr>
        <w:spacing w:after="0" w:line="240" w:lineRule="auto"/>
        <w:jc w:val="both"/>
        <w:rPr>
          <w:rFonts w:ascii="Verdana" w:hAnsi="Verdana" w:cs="Arial"/>
          <w:bCs/>
          <w:color w:val="000000" w:themeColor="text1"/>
        </w:rPr>
      </w:pPr>
    </w:p>
    <w:p w14:paraId="7ED8BD28" w14:textId="77777777" w:rsidR="00BB116B" w:rsidRDefault="00BB116B" w:rsidP="00CE45C7">
      <w:pPr>
        <w:spacing w:after="0" w:line="240" w:lineRule="auto"/>
        <w:jc w:val="both"/>
        <w:rPr>
          <w:rFonts w:ascii="Verdana" w:hAnsi="Verdana" w:cs="Arial"/>
          <w:bCs/>
          <w:color w:val="000000" w:themeColor="text1"/>
        </w:rPr>
      </w:pPr>
    </w:p>
    <w:p w14:paraId="5ECF67C4" w14:textId="77777777" w:rsidR="00BB116B" w:rsidRDefault="00BB116B" w:rsidP="00CE45C7">
      <w:pPr>
        <w:spacing w:after="0" w:line="240" w:lineRule="auto"/>
        <w:jc w:val="both"/>
        <w:rPr>
          <w:rFonts w:ascii="Verdana" w:hAnsi="Verdana" w:cs="Arial"/>
          <w:bCs/>
          <w:color w:val="000000" w:themeColor="text1"/>
        </w:rPr>
      </w:pPr>
    </w:p>
    <w:p w14:paraId="5DCF2E2D" w14:textId="77777777" w:rsidR="00BB116B" w:rsidRPr="00CE45C7" w:rsidRDefault="00BB116B" w:rsidP="00CE45C7">
      <w:pPr>
        <w:spacing w:after="0" w:line="240" w:lineRule="auto"/>
        <w:jc w:val="both"/>
        <w:rPr>
          <w:rFonts w:ascii="Verdana" w:hAnsi="Verdana" w:cs="Arial"/>
          <w:bCs/>
          <w:color w:val="000000" w:themeColor="text1"/>
        </w:rPr>
      </w:pPr>
    </w:p>
    <w:p w14:paraId="6445CD39" w14:textId="77777777" w:rsidR="00CE45C7" w:rsidRPr="00CE45C7" w:rsidRDefault="00CE45C7" w:rsidP="00CE45C7">
      <w:pPr>
        <w:spacing w:after="0" w:line="276" w:lineRule="auto"/>
        <w:jc w:val="both"/>
        <w:rPr>
          <w:rFonts w:ascii="Verdana" w:eastAsia="Century Gothic" w:hAnsi="Verdana" w:cs="Century Gothic"/>
          <w:b/>
          <w:bCs/>
        </w:rPr>
      </w:pPr>
      <w:bookmarkStart w:id="23" w:name="_Hlk204854194"/>
      <w:r w:rsidRPr="00CE45C7">
        <w:rPr>
          <w:rFonts w:ascii="Verdana" w:hAnsi="Verdana" w:cs="Arial"/>
          <w:b/>
          <w:color w:val="000000" w:themeColor="text1"/>
        </w:rPr>
        <w:t>4.</w:t>
      </w:r>
      <w:r w:rsidRPr="00CE45C7">
        <w:rPr>
          <w:rFonts w:ascii="Verdana" w:hAnsi="Verdana" w:cs="Arial"/>
          <w:bCs/>
          <w:color w:val="000000" w:themeColor="text1"/>
        </w:rPr>
        <w:t xml:space="preserve"> </w:t>
      </w:r>
      <w:r w:rsidRPr="00CE45C7">
        <w:rPr>
          <w:rFonts w:ascii="Verdana" w:eastAsia="Century Gothic" w:hAnsi="Verdana" w:cs="Century Gothic"/>
          <w:b/>
          <w:bCs/>
        </w:rPr>
        <w:t>Referencias normativas y jurisprudenciales:</w:t>
      </w:r>
      <w:bookmarkEnd w:id="23"/>
    </w:p>
    <w:p w14:paraId="64DEDEBE" w14:textId="77777777" w:rsidR="00CE45C7" w:rsidRPr="00CE45C7" w:rsidRDefault="00CE45C7" w:rsidP="00CE45C7">
      <w:pPr>
        <w:spacing w:after="0" w:line="276" w:lineRule="auto"/>
        <w:jc w:val="both"/>
        <w:rPr>
          <w:rFonts w:ascii="Verdana" w:hAnsi="Verdana" w:cs="Arial"/>
          <w:bCs/>
          <w:color w:val="000000" w:themeColor="text1"/>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E45C7" w:rsidRPr="00CE45C7" w14:paraId="2600FAD7" w14:textId="77777777" w:rsidTr="005C7A85">
        <w:trPr>
          <w:trHeight w:val="56"/>
          <w:jc w:val="center"/>
        </w:trPr>
        <w:tc>
          <w:tcPr>
            <w:tcW w:w="8647" w:type="dxa"/>
          </w:tcPr>
          <w:p w14:paraId="55141376"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Constitución Política. Artículo 127</w:t>
            </w:r>
          </w:p>
          <w:p w14:paraId="7E3B7A0B"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 xml:space="preserve">Ley 80 de 1993. Artículo 41. </w:t>
            </w:r>
          </w:p>
          <w:p w14:paraId="0A55C6D0" w14:textId="719E4BF2" w:rsidR="006A21D0" w:rsidRPr="006A21D0" w:rsidRDefault="00CE45C7" w:rsidP="006A21D0">
            <w:pPr>
              <w:widowControl w:val="0"/>
              <w:numPr>
                <w:ilvl w:val="0"/>
                <w:numId w:val="17"/>
              </w:numPr>
              <w:autoSpaceDE w:val="0"/>
              <w:autoSpaceDN w:val="0"/>
              <w:spacing w:after="160" w:line="276" w:lineRule="auto"/>
              <w:contextualSpacing/>
              <w:jc w:val="both"/>
              <w:rPr>
                <w:rFonts w:ascii="Verdana" w:eastAsia="Aptos" w:hAnsi="Verdana" w:cs="Arial"/>
              </w:rPr>
            </w:pPr>
            <w:r w:rsidRPr="00CE45C7">
              <w:rPr>
                <w:rFonts w:ascii="Verdana" w:hAnsi="Verdana" w:cs="Arial"/>
                <w:lang w:val="es-ES" w:eastAsia="es-ES"/>
              </w:rPr>
              <w:t>Ley 996 de 2005. Artículos 33 y 38.</w:t>
            </w:r>
            <w:r w:rsidR="006A21D0" w:rsidRPr="006A21D0">
              <w:rPr>
                <w:rFonts w:ascii="Verdana" w:eastAsia="Calibri" w:hAnsi="Verdana" w:cs="Arial"/>
                <w:lang w:val="es-ES"/>
              </w:rPr>
              <w:t xml:space="preserve"> Ley 80 de 1993. Artículo 32, numeral 3</w:t>
            </w:r>
          </w:p>
          <w:p w14:paraId="17B8C300" w14:textId="77777777" w:rsidR="006A21D0" w:rsidRPr="006A21D0" w:rsidRDefault="006A21D0" w:rsidP="006A21D0">
            <w:pPr>
              <w:widowControl w:val="0"/>
              <w:numPr>
                <w:ilvl w:val="0"/>
                <w:numId w:val="17"/>
              </w:numPr>
              <w:autoSpaceDE w:val="0"/>
              <w:autoSpaceDN w:val="0"/>
              <w:spacing w:line="276" w:lineRule="auto"/>
              <w:contextualSpacing/>
              <w:jc w:val="both"/>
              <w:rPr>
                <w:rFonts w:ascii="Verdana" w:eastAsia="Aptos" w:hAnsi="Verdana" w:cs="Arial"/>
              </w:rPr>
            </w:pPr>
            <w:r w:rsidRPr="006A21D0">
              <w:rPr>
                <w:rFonts w:ascii="Verdana" w:eastAsia="Aptos" w:hAnsi="Verdana" w:cs="Arial"/>
              </w:rPr>
              <w:t>Ley 1150 de 2007. Artículo 2, numeral 4, literal h y numeral 5.</w:t>
            </w:r>
          </w:p>
          <w:p w14:paraId="261D9BA3" w14:textId="77777777" w:rsidR="006A21D0" w:rsidRPr="006A21D0" w:rsidRDefault="006A21D0" w:rsidP="006A21D0">
            <w:pPr>
              <w:widowControl w:val="0"/>
              <w:numPr>
                <w:ilvl w:val="0"/>
                <w:numId w:val="17"/>
              </w:numPr>
              <w:autoSpaceDE w:val="0"/>
              <w:autoSpaceDN w:val="0"/>
              <w:spacing w:line="276" w:lineRule="auto"/>
              <w:contextualSpacing/>
              <w:jc w:val="both"/>
              <w:rPr>
                <w:rFonts w:ascii="Verdana" w:eastAsia="Aptos" w:hAnsi="Verdana" w:cs="Arial"/>
              </w:rPr>
            </w:pPr>
            <w:r w:rsidRPr="006A21D0">
              <w:rPr>
                <w:rFonts w:ascii="Verdana" w:eastAsia="Aptos" w:hAnsi="Verdana" w:cs="Arial"/>
              </w:rPr>
              <w:t xml:space="preserve">Decreto 1082 de 2015. Artículo 2.2.1.2.1.4.1 y </w:t>
            </w:r>
            <w:r w:rsidRPr="006A21D0">
              <w:rPr>
                <w:rFonts w:ascii="Verdana" w:eastAsia="Aptos" w:hAnsi="Verdana" w:cs="Arial"/>
                <w:noProof/>
                <w:lang w:val="es-ES_tradnl"/>
              </w:rPr>
              <w:t>2.2.1.2.1.4.9.</w:t>
            </w:r>
          </w:p>
          <w:p w14:paraId="4AC5F294" w14:textId="43EC231F" w:rsidR="00CE45C7" w:rsidRPr="006A21D0" w:rsidRDefault="006A21D0" w:rsidP="006A21D0">
            <w:pPr>
              <w:widowControl w:val="0"/>
              <w:numPr>
                <w:ilvl w:val="0"/>
                <w:numId w:val="17"/>
              </w:numPr>
              <w:autoSpaceDE w:val="0"/>
              <w:autoSpaceDN w:val="0"/>
              <w:spacing w:line="276" w:lineRule="auto"/>
              <w:contextualSpacing/>
              <w:jc w:val="both"/>
              <w:rPr>
                <w:rFonts w:ascii="Verdana" w:eastAsia="Aptos" w:hAnsi="Verdana" w:cs="Arial"/>
              </w:rPr>
            </w:pPr>
            <w:r w:rsidRPr="006A21D0">
              <w:rPr>
                <w:rFonts w:ascii="Verdana" w:eastAsia="Aptos" w:hAnsi="Verdana" w:cs="Arial"/>
              </w:rPr>
              <w:t>Corte Constitucional. Sentencia C-154 de 1997.</w:t>
            </w:r>
          </w:p>
          <w:p w14:paraId="26F7F7E7"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Ley 1150 de 2007. Artículo 2, numeral 4 literal c).</w:t>
            </w:r>
          </w:p>
          <w:p w14:paraId="11EE0E1F"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 xml:space="preserve">Consejo de Estado. Sala de Consulta y Servicio Civil. Concepto no. 2257 del 26 de julio de 2016, C.P. Álvaro Namén Vargas. </w:t>
            </w:r>
          </w:p>
          <w:p w14:paraId="74A06D63"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 xml:space="preserve">Consejo de Estado. Sala de lo Contencioso Administrativo. Sección Tercera, Subsección A. Sentencia del 23 de junio de 2010. C.P. Mauricio Fajardo Gómez. </w:t>
            </w:r>
            <w:proofErr w:type="spellStart"/>
            <w:r w:rsidRPr="00CE45C7">
              <w:rPr>
                <w:rFonts w:ascii="Verdana" w:hAnsi="Verdana" w:cs="Arial"/>
                <w:lang w:val="es-ES" w:eastAsia="es-ES"/>
              </w:rPr>
              <w:t>Exp</w:t>
            </w:r>
            <w:proofErr w:type="spellEnd"/>
            <w:r w:rsidRPr="00CE45C7">
              <w:rPr>
                <w:rFonts w:ascii="Verdana" w:hAnsi="Verdana" w:cs="Arial"/>
                <w:lang w:val="es-ES" w:eastAsia="es-ES"/>
              </w:rPr>
              <w:t xml:space="preserve"> 17860.</w:t>
            </w:r>
          </w:p>
          <w:p w14:paraId="49915CA9"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lastRenderedPageBreak/>
              <w:t xml:space="preserve">Consejo de Estado. Sala de lo Contencioso Administrativo. Sección Tercera. Subsección B. Auto del 4 de octubre de 2024. </w:t>
            </w:r>
            <w:proofErr w:type="spellStart"/>
            <w:r w:rsidRPr="00CE45C7">
              <w:rPr>
                <w:rFonts w:ascii="Verdana" w:hAnsi="Verdana" w:cs="Arial"/>
                <w:lang w:val="es-ES" w:eastAsia="es-ES"/>
              </w:rPr>
              <w:t>Exp</w:t>
            </w:r>
            <w:proofErr w:type="spellEnd"/>
            <w:r w:rsidRPr="00CE45C7">
              <w:rPr>
                <w:rFonts w:ascii="Verdana" w:hAnsi="Verdana" w:cs="Arial"/>
                <w:lang w:val="es-ES" w:eastAsia="es-ES"/>
              </w:rPr>
              <w:t xml:space="preserve"> 70313. C.P. Fredy Ibarra Martínez.</w:t>
            </w:r>
          </w:p>
          <w:p w14:paraId="689C963C"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lang w:val="es-ES"/>
              </w:rPr>
              <w:t xml:space="preserve">Consejo De Estado. Sala de Consulta y Servicio Civil. Concepto del 30 de mayo de 2017. Rad. 2.319. C.P. Edgar González López. </w:t>
            </w:r>
          </w:p>
          <w:p w14:paraId="5A3C69A4"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Plena. Auto del 15 de marzo de 2022. Expediente: 62.003. C.P: Rocío Araujo Oñate.</w:t>
            </w:r>
          </w:p>
          <w:p w14:paraId="5AAD9D5B"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 xml:space="preserve">Consejo de Estado. Sala de lo Contencioso Administrativo. Sección Primera. Sentencia de 3 de marzo de 2005. Radicado: 25001-23-15-000-2004-00823-01 (PI). C.P: Camilo Arciniegas Andrade. </w:t>
            </w:r>
          </w:p>
          <w:p w14:paraId="517A91A9"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 xml:space="preserve">Consejo de Estado, Sala de Consulta y Servicio Civil. 24 de julio de 2013. Radicado: 11001-03-06-000-2013-00407-00 (2166). C.P. Álvaro Namén Vargas.  </w:t>
            </w:r>
          </w:p>
          <w:p w14:paraId="6632E5EC"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del 17 de febrero de 2015. Radicado: 11001-03-06-000-2015-00164-00 (2269). C.P. William Zambrano Cetina.</w:t>
            </w:r>
          </w:p>
          <w:p w14:paraId="49AB6D4B"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del 2 de septiembre de 2013. Radicación número: 11001-03-06-000-2013-00412-00 (2168). C.P: Álvaro Namén Vargas.</w:t>
            </w:r>
          </w:p>
          <w:p w14:paraId="508CB8ED"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 8 de mayo de 2018. Radicación Número: 11001-03-06-000-2018-00095-00 (2382). C.P: Álvaro Namén Vargas.</w:t>
            </w:r>
          </w:p>
          <w:p w14:paraId="419F3E67"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 20 de febrero de 2006. Radicación Número: 11001-03-06-000-2006-00026-00 (1727). C.P: Enrique José Arboleda Perdomo.</w:t>
            </w:r>
          </w:p>
          <w:p w14:paraId="1529DB40"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 6 de abril de 2006. Radicación Número: 11001-03-06-000-2006-00038-00 (1738). C.P: Enrique José Arboleda Perdomo.</w:t>
            </w:r>
          </w:p>
          <w:p w14:paraId="01CCD3F6"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Consejo de Estado. Sala de Consulta y Servicio Civil. Concepto del 18 de febrero 2010. Rad. 11001-03-06-000-2010-00006-00 (1985). C.P. Enrique José Arboleda Perdomo.</w:t>
            </w:r>
          </w:p>
          <w:p w14:paraId="29EC3034" w14:textId="77777777" w:rsidR="00CE45C7" w:rsidRPr="00CE45C7" w:rsidRDefault="00CE45C7" w:rsidP="00CE45C7">
            <w:pPr>
              <w:numPr>
                <w:ilvl w:val="0"/>
                <w:numId w:val="16"/>
              </w:numPr>
              <w:spacing w:after="160" w:line="276" w:lineRule="auto"/>
              <w:ind w:left="714" w:hanging="357"/>
              <w:contextualSpacing/>
              <w:jc w:val="both"/>
              <w:rPr>
                <w:rFonts w:ascii="Verdana" w:hAnsi="Verdana" w:cs="Arial"/>
                <w:lang w:val="es-ES" w:eastAsia="es-ES"/>
              </w:rPr>
            </w:pPr>
            <w:r w:rsidRPr="00CE45C7">
              <w:rPr>
                <w:rFonts w:ascii="Verdana" w:hAnsi="Verdana" w:cs="Arial"/>
                <w:lang w:val="es-ES" w:eastAsia="es-ES"/>
              </w:rPr>
              <w:t>Corte Constitucional. Sentencia C- 1153 de 2005, M.P: Marco Gerardo Monroy Cabra.</w:t>
            </w:r>
            <w:r w:rsidRPr="00CE45C7">
              <w:rPr>
                <w:rFonts w:ascii="Verdana" w:hAnsi="Verdana" w:cs="Arial"/>
                <w:lang w:val="es-ES" w:eastAsia="es-ES"/>
              </w:rPr>
              <w:tab/>
            </w:r>
          </w:p>
          <w:p w14:paraId="6501F855"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cs="Arial"/>
                <w:lang w:val="es-ES" w:eastAsia="es-ES"/>
              </w:rPr>
              <w:t xml:space="preserve">Corte Constitucional. Sentencia C-671 de 2005. M.P. Álvaro Tafur Galvis. </w:t>
            </w:r>
          </w:p>
          <w:p w14:paraId="17A0C3A0"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lang w:val="es-ES"/>
              </w:rPr>
              <w:t xml:space="preserve">Agencia Nacional de Contratación Pública – Colombia Compra Eficiente. Circular Externa 006 del 25 de septiembre de 2025. </w:t>
            </w:r>
            <w:r w:rsidRPr="00CE45C7">
              <w:rPr>
                <w:rFonts w:ascii="Verdana" w:hAnsi="Verdana"/>
                <w:lang w:val="es-ES"/>
              </w:rPr>
              <w:lastRenderedPageBreak/>
              <w:t xml:space="preserve">Disponible en </w:t>
            </w:r>
            <w:hyperlink r:id="rId11" w:history="1">
              <w:r w:rsidRPr="00CE45C7">
                <w:rPr>
                  <w:rFonts w:ascii="Verdana" w:hAnsi="Verdana"/>
                  <w:color w:val="0000FF"/>
                  <w:u w:val="single"/>
                </w:rPr>
                <w:t>006-de-2025-Circular-Externa-L996-ajustado-comentarios-BM-BID-Rev-ARSC-V3.d-1.pdf</w:t>
              </w:r>
            </w:hyperlink>
          </w:p>
          <w:p w14:paraId="0D7D9670" w14:textId="77777777" w:rsidR="00CE45C7" w:rsidRPr="00CE45C7" w:rsidRDefault="00CE45C7" w:rsidP="00CE45C7">
            <w:pPr>
              <w:numPr>
                <w:ilvl w:val="0"/>
                <w:numId w:val="16"/>
              </w:numPr>
              <w:spacing w:after="120" w:line="276" w:lineRule="auto"/>
              <w:contextualSpacing/>
              <w:jc w:val="both"/>
              <w:rPr>
                <w:rFonts w:ascii="Verdana" w:hAnsi="Verdana" w:cs="Arial"/>
                <w:lang w:val="es-ES" w:eastAsia="es-ES"/>
              </w:rPr>
            </w:pPr>
            <w:r w:rsidRPr="00CE45C7">
              <w:rPr>
                <w:rFonts w:ascii="Verdana" w:hAnsi="Verdana"/>
                <w:lang w:val="es-ES"/>
              </w:rPr>
              <w:t>SANTOS RODRÍGUEZ, Jorge Enrique. Consideraciones sobre los contratos y convenios interadministrativos. En: Revista Digital de Derecho Administrativo, 2008.</w:t>
            </w:r>
          </w:p>
        </w:tc>
      </w:tr>
    </w:tbl>
    <w:p w14:paraId="0EA3CDC5" w14:textId="77777777" w:rsidR="00CE45C7" w:rsidRPr="00CE45C7" w:rsidRDefault="00CE45C7" w:rsidP="00CE45C7">
      <w:pPr>
        <w:tabs>
          <w:tab w:val="left" w:pos="142"/>
          <w:tab w:val="left" w:pos="284"/>
          <w:tab w:val="left" w:pos="3828"/>
        </w:tabs>
        <w:spacing w:after="0" w:line="276" w:lineRule="auto"/>
        <w:jc w:val="both"/>
        <w:rPr>
          <w:rFonts w:ascii="Verdana" w:eastAsia="Century Gothic" w:hAnsi="Verdana" w:cs="Century Gothic"/>
          <w:b/>
          <w:bCs/>
        </w:rPr>
      </w:pPr>
    </w:p>
    <w:p w14:paraId="3D19B2DE" w14:textId="77777777" w:rsidR="00CE45C7" w:rsidRPr="00CE45C7" w:rsidRDefault="00CE45C7" w:rsidP="00CE45C7">
      <w:pPr>
        <w:tabs>
          <w:tab w:val="left" w:pos="142"/>
          <w:tab w:val="left" w:pos="284"/>
          <w:tab w:val="left" w:pos="3828"/>
        </w:tabs>
        <w:spacing w:after="0" w:line="276" w:lineRule="auto"/>
        <w:jc w:val="both"/>
        <w:rPr>
          <w:rFonts w:ascii="Verdana" w:eastAsia="Century Gothic" w:hAnsi="Verdana" w:cs="Century Gothic"/>
          <w:b/>
          <w:bCs/>
        </w:rPr>
      </w:pPr>
      <w:r w:rsidRPr="00CE45C7">
        <w:rPr>
          <w:rFonts w:ascii="Verdana" w:eastAsia="Century Gothic" w:hAnsi="Verdana" w:cs="Century Gothic"/>
          <w:b/>
          <w:bCs/>
        </w:rPr>
        <w:t>5. Doctrina de la Agencia Nacional de Contratación Pública:</w:t>
      </w:r>
    </w:p>
    <w:p w14:paraId="11AF0350" w14:textId="77777777" w:rsidR="00CE45C7" w:rsidRPr="00CE45C7" w:rsidRDefault="00CE45C7" w:rsidP="006B6010">
      <w:pPr>
        <w:widowControl w:val="0"/>
        <w:autoSpaceDE w:val="0"/>
        <w:autoSpaceDN w:val="0"/>
        <w:spacing w:after="0" w:line="240" w:lineRule="auto"/>
        <w:jc w:val="both"/>
        <w:rPr>
          <w:rFonts w:ascii="Verdana" w:hAnsi="Verdana" w:cs="Arial"/>
          <w:shd w:val="clear" w:color="auto" w:fill="FFFFFF"/>
        </w:rPr>
      </w:pPr>
    </w:p>
    <w:p w14:paraId="021EC00D" w14:textId="032B42E1" w:rsidR="00CE45C7" w:rsidRPr="00CE45C7" w:rsidRDefault="00CE45C7" w:rsidP="006B6010">
      <w:pPr>
        <w:widowControl w:val="0"/>
        <w:autoSpaceDE w:val="0"/>
        <w:autoSpaceDN w:val="0"/>
        <w:spacing w:after="120" w:line="240" w:lineRule="auto"/>
        <w:jc w:val="both"/>
        <w:rPr>
          <w:rFonts w:ascii="Verdana" w:hAnsi="Verdana" w:cs="Arial"/>
          <w:shd w:val="clear" w:color="auto" w:fill="FFFFFF"/>
        </w:rPr>
      </w:pPr>
      <w:r w:rsidRPr="00CE45C7">
        <w:rPr>
          <w:rFonts w:ascii="Verdana" w:hAnsi="Verdana" w:cs="Arial"/>
          <w:shd w:val="clear" w:color="auto" w:fill="FFFFFF"/>
        </w:rPr>
        <w:t xml:space="preserve">Esta Subdirección se ha pronunciado sobre la Ley de Garantías Electorales en  los conceptos C-681 del 7 de diciembre de 2021, C-686 del 21 de diciembre de 2021, C-134 del 7 de abril de 2022, C-697 del 3 de enero de 2022, C-180 del 21 de marzo de 2025, C-317 del 25 de abril de 2025, C-510 del 4 de junio de 2025, C -635 del 27 de junio de 2025, C–750 de 17 de julio 2025, C-868 del 12 de agosto de 2025, C-1124 del 18 de septiembre de 2025, C-1174 del 29 de septiembre de 2025, C-1491 del 20 de noviembre de 2025, C- 1492 del </w:t>
      </w:r>
      <w:r w:rsidRPr="00CE45C7">
        <w:rPr>
          <w:rFonts w:ascii="Verdana" w:hAnsi="Verdana"/>
        </w:rPr>
        <w:t>21 de noviembre del 2025, C-1629, C-1646 del 17 de diciembre de 2025, C-1662 del 22 de diciembre de 2025</w:t>
      </w:r>
      <w:r w:rsidRPr="00CE45C7">
        <w:rPr>
          <w:rFonts w:ascii="Verdana" w:hAnsi="Verdana" w:cs="Arial"/>
          <w:shd w:val="clear" w:color="auto" w:fill="FFFFFF"/>
          <w:lang w:val="es-ES"/>
        </w:rPr>
        <w:t>, C-063 del 23 de febrero de 2026, C-160 del 24 de febrero de 2026, C-095 del 4 de marzo de 2026, C-108 del 4 de marzo de 2026, C-177 del 16 de marzo de 2026, C-276 del 5 de abril de 2026, entre otros.</w:t>
      </w:r>
      <w:r w:rsidR="00F93B3A">
        <w:rPr>
          <w:rFonts w:ascii="Verdana" w:hAnsi="Verdana" w:cs="Arial"/>
          <w:shd w:val="clear" w:color="auto" w:fill="FFFFFF"/>
          <w:lang w:val="es-ES"/>
        </w:rPr>
        <w:t xml:space="preserve"> Por otro lado </w:t>
      </w:r>
      <w:r w:rsidR="00F93B3A" w:rsidRPr="009472DB">
        <w:rPr>
          <w:rFonts w:ascii="Verdana" w:eastAsia="Aptos" w:hAnsi="Verdana" w:cs="Arial"/>
          <w:shd w:val="clear" w:color="auto" w:fill="FFFFFF"/>
          <w:lang w:val="es-ES"/>
        </w:rPr>
        <w:t xml:space="preserve">Sobre el </w:t>
      </w:r>
      <w:r w:rsidR="00F93B3A" w:rsidRPr="00872102">
        <w:rPr>
          <w:rFonts w:ascii="Verdana" w:eastAsia="Aptos" w:hAnsi="Verdana" w:cs="Arial"/>
          <w:shd w:val="clear" w:color="auto" w:fill="FFFFFF"/>
          <w:lang w:val="es-ES"/>
        </w:rPr>
        <w:t>marco jurídico del contrato de prestación de servicios profesionales, de apoyo a la gestión y para la ejecución de trabajos artísticos, esta Subdirección se ha referido en los Conceptos</w:t>
      </w:r>
      <w:r w:rsidR="00F93B3A" w:rsidRPr="00AD24B9">
        <w:rPr>
          <w:rFonts w:ascii="Verdana" w:eastAsia="Calibri" w:hAnsi="Verdana" w:cs="Arial"/>
          <w:lang w:val="es-ES_tradnl" w:eastAsia="es-MX"/>
        </w:rPr>
        <w:t xml:space="preserve"> C-004 del 12 de febrero de 2021, C-145 del 08 de abril de 2021, C-654 del 22 de noviembre de 2021, C-019 del 21 de febrero de 2022, C-181 del 8 de abril de 2022, C-491 del 01 de agosto de 2022</w:t>
      </w:r>
      <w:r w:rsidR="00F93B3A" w:rsidRPr="00AD24B9">
        <w:rPr>
          <w:rFonts w:ascii="Verdana" w:eastAsia="Aptos" w:hAnsi="Verdana" w:cs="Arial"/>
          <w:shd w:val="clear" w:color="auto" w:fill="FFFFFF"/>
          <w:lang w:val="es-ES"/>
        </w:rPr>
        <w:t>,</w:t>
      </w:r>
      <w:r w:rsidR="00F93B3A" w:rsidRPr="00AD24B9">
        <w:rPr>
          <w:rFonts w:ascii="Verdana" w:eastAsia="Calibri" w:hAnsi="Verdana" w:cs="Arial"/>
          <w:lang w:val="es-ES_tradnl" w:eastAsia="es-MX"/>
        </w:rPr>
        <w:t xml:space="preserve"> C-024 del 4 de marzo de 2022, C-102 del 4 de mayo de 2023, C-100 de 03 mayo de 2023, C-067 del 16 mayo de 2024, </w:t>
      </w:r>
      <w:r w:rsidR="00F93B3A" w:rsidRPr="00AD24B9">
        <w:rPr>
          <w:rFonts w:ascii="Verdana" w:eastAsia="Aptos" w:hAnsi="Verdana" w:cs="Arial"/>
          <w:shd w:val="clear" w:color="auto" w:fill="FFFFFF"/>
          <w:lang w:val="es-ES"/>
        </w:rPr>
        <w:t>C-054 del 24 de febrero de 2026, C-098 del 5 marzo de 2026, C-142 del 11 de marzo de 2026, C-151 del 12 de marzo de 2026 entre otros</w:t>
      </w:r>
      <w:r w:rsidRPr="00CE45C7">
        <w:rPr>
          <w:rFonts w:ascii="Verdana" w:hAnsi="Verdana" w:cs="Arial"/>
          <w:shd w:val="clear" w:color="auto" w:fill="FFFFFF"/>
          <w:lang w:val="es-ES"/>
        </w:rPr>
        <w:t xml:space="preserve"> </w:t>
      </w:r>
      <w:r w:rsidRPr="00CE45C7">
        <w:rPr>
          <w:rFonts w:ascii="Verdana" w:hAnsi="Verdana" w:cs="Arial"/>
        </w:rPr>
        <w:t xml:space="preserve">Estos y otros </w:t>
      </w:r>
      <w:r w:rsidRPr="00CE45C7">
        <w:rPr>
          <w:rFonts w:ascii="Verdana" w:hAnsi="Verdana"/>
        </w:rPr>
        <w:t>conceptos se encuentran disponibles para consulta en el Sistema de relatoría de la Agencia, al cual se puede acceder a través del siguiente enlace:</w:t>
      </w:r>
      <w:r w:rsidRPr="00CE45C7">
        <w:rPr>
          <w:rFonts w:ascii="Verdana" w:hAnsi="Verdana" w:cs="Arial"/>
          <w:shd w:val="clear" w:color="auto" w:fill="FFFFFF"/>
        </w:rPr>
        <w:t xml:space="preserve"> </w:t>
      </w:r>
      <w:hyperlink r:id="rId12" w:history="1">
        <w:r w:rsidRPr="00CE45C7">
          <w:rPr>
            <w:rFonts w:ascii="Verdana" w:hAnsi="Verdana" w:cs="Arial"/>
            <w:color w:val="0563C1" w:themeColor="hyperlink"/>
            <w:u w:val="single"/>
            <w:shd w:val="clear" w:color="auto" w:fill="FFFFFF"/>
          </w:rPr>
          <w:t>https://relatoria.colombiacompra.gov.co/busqueda/conceptos</w:t>
        </w:r>
      </w:hyperlink>
      <w:r w:rsidRPr="00CE45C7">
        <w:rPr>
          <w:rFonts w:ascii="Verdana" w:hAnsi="Verdana" w:cs="Arial"/>
          <w:shd w:val="clear" w:color="auto" w:fill="FFFFFF"/>
        </w:rPr>
        <w:t>.</w:t>
      </w:r>
      <w:r w:rsidRPr="00CE45C7">
        <w:rPr>
          <w:rFonts w:ascii="Verdana" w:hAnsi="Verdana" w:cs="Arial"/>
          <w:color w:val="FF0000"/>
          <w:shd w:val="clear" w:color="auto" w:fill="FFFFFF"/>
        </w:rPr>
        <w:t xml:space="preserve"> </w:t>
      </w:r>
      <w:r w:rsidRPr="00CE45C7">
        <w:rPr>
          <w:rFonts w:ascii="Verdana" w:hAnsi="Verdana" w:cs="Arial"/>
          <w:color w:val="000000" w:themeColor="text1"/>
          <w:shd w:val="clear" w:color="auto" w:fill="FFFFFF"/>
        </w:rPr>
        <w:t>  </w:t>
      </w:r>
    </w:p>
    <w:p w14:paraId="70BA57BC" w14:textId="77777777" w:rsidR="00CE45C7" w:rsidRPr="00CE45C7" w:rsidRDefault="00CE45C7" w:rsidP="006B6010">
      <w:pPr>
        <w:widowControl w:val="0"/>
        <w:autoSpaceDE w:val="0"/>
        <w:autoSpaceDN w:val="0"/>
        <w:spacing w:after="120" w:line="240" w:lineRule="auto"/>
        <w:jc w:val="both"/>
        <w:rPr>
          <w:rFonts w:ascii="Verdana" w:hAnsi="Verdana" w:cs="Arial"/>
        </w:rPr>
      </w:pPr>
      <w:r w:rsidRPr="00CE45C7">
        <w:rPr>
          <w:rFonts w:ascii="Verdana" w:hAnsi="Verdana"/>
        </w:rPr>
        <w:t xml:space="preserve">La sostenibilidad no es una opción, es una obligación. Por ello, la Agencia Nacional de Contratación Pública –Colombia Compra Eficiente– te invita a realizar el </w:t>
      </w:r>
      <w:r w:rsidRPr="00CE45C7">
        <w:rPr>
          <w:rFonts w:ascii="Verdana" w:hAnsi="Verdana"/>
          <w:b/>
          <w:bCs/>
        </w:rPr>
        <w:t>Curso de Contratación Pública Sostenible y Socialmente Responsable</w:t>
      </w:r>
      <w:r w:rsidRPr="00CE45C7">
        <w:rPr>
          <w:rFonts w:ascii="Verdana" w:hAnsi="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CE45C7">
        <w:rPr>
          <w:rFonts w:ascii="Verdana" w:hAnsi="Verdana"/>
        </w:rPr>
        <w:br/>
      </w:r>
      <w:hyperlink r:id="rId13" w:tgtFrame="_new" w:history="1">
        <w:r w:rsidRPr="00CE45C7">
          <w:rPr>
            <w:rFonts w:ascii="Verdana" w:hAnsi="Verdana"/>
            <w:color w:val="0000FF"/>
            <w:u w:val="single"/>
          </w:rPr>
          <w:t>https://formacionvirtual.colombiacompra.gov.co/mod/page/view.php?id=3718</w:t>
        </w:r>
      </w:hyperlink>
    </w:p>
    <w:p w14:paraId="37C4BD2A" w14:textId="77777777" w:rsidR="00CE45C7" w:rsidRPr="00CE45C7" w:rsidRDefault="00CE45C7" w:rsidP="006B6010">
      <w:pPr>
        <w:widowControl w:val="0"/>
        <w:autoSpaceDE w:val="0"/>
        <w:autoSpaceDN w:val="0"/>
        <w:spacing w:after="120" w:line="240" w:lineRule="auto"/>
        <w:jc w:val="both"/>
        <w:rPr>
          <w:rFonts w:ascii="Verdana" w:hAnsi="Verdana" w:cs="Arial"/>
        </w:rPr>
      </w:pPr>
      <w:r w:rsidRPr="00CE45C7">
        <w:rPr>
          <w:rFonts w:ascii="Verdana" w:hAnsi="Verdana"/>
        </w:rPr>
        <w:t xml:space="preserve">De otro lado, te contamos que esta Agencia ha dado un paso decisivo en la estandarización y modernización del </w:t>
      </w:r>
      <w:r w:rsidRPr="00CE45C7">
        <w:rPr>
          <w:rFonts w:ascii="Verdana" w:hAnsi="Verdana"/>
          <w:b/>
          <w:bCs/>
        </w:rPr>
        <w:t>sector social</w:t>
      </w:r>
      <w:r w:rsidRPr="00CE45C7">
        <w:rPr>
          <w:rFonts w:ascii="Verdana" w:hAnsi="Verdana"/>
        </w:rPr>
        <w:t xml:space="preserve"> con la expedición de las </w:t>
      </w:r>
      <w:r w:rsidRPr="00CE45C7">
        <w:rPr>
          <w:rFonts w:ascii="Verdana" w:hAnsi="Verdana"/>
          <w:b/>
          <w:bCs/>
        </w:rPr>
        <w:t>Resoluciones 539, 540, 541, 952 y 953 de 2025</w:t>
      </w:r>
      <w:r w:rsidRPr="00CE45C7">
        <w:rPr>
          <w:rFonts w:ascii="Verdana" w:hAnsi="Verdana"/>
        </w:rPr>
        <w:t xml:space="preserve">, </w:t>
      </w:r>
      <w:r w:rsidRPr="00CE45C7">
        <w:rPr>
          <w:rFonts w:ascii="Verdana" w:hAnsi="Verdana"/>
          <w:b/>
          <w:bCs/>
        </w:rPr>
        <w:t xml:space="preserve">mediante las cuales </w:t>
      </w:r>
      <w:r w:rsidRPr="00CE45C7">
        <w:rPr>
          <w:rFonts w:ascii="Verdana" w:hAnsi="Verdana"/>
          <w:b/>
          <w:bCs/>
        </w:rPr>
        <w:lastRenderedPageBreak/>
        <w:t>adoptó Documentos Tipo</w:t>
      </w:r>
      <w:r w:rsidRPr="00CE45C7">
        <w:rPr>
          <w:rFonts w:ascii="Verdana" w:hAnsi="Verdana"/>
        </w:rPr>
        <w:t xml:space="preserve"> para las modalidades de selección de</w:t>
      </w:r>
      <w:r w:rsidRPr="00CE45C7">
        <w:rPr>
          <w:rFonts w:ascii="Verdana" w:hAnsi="Verdana"/>
          <w:b/>
          <w:bCs/>
        </w:rPr>
        <w:t xml:space="preserve"> licitación pública (versión 2), selección abreviada de menor cuantía, mínima cuantía, consultoría e interventoría</w:t>
      </w:r>
      <w:r w:rsidRPr="00CE45C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CE45C7">
          <w:rPr>
            <w:rFonts w:ascii="Verdana" w:hAnsi="Verdana"/>
            <w:color w:val="0000FF"/>
            <w:u w:val="single"/>
          </w:rPr>
          <w:t>https://www.colombiacompra.gov.co/normativa-y-relatoria/documentos-tipo</w:t>
        </w:r>
      </w:hyperlink>
    </w:p>
    <w:p w14:paraId="1199B406" w14:textId="77777777" w:rsidR="00CE45C7" w:rsidRPr="00CE45C7" w:rsidRDefault="00CE45C7" w:rsidP="006B6010">
      <w:pPr>
        <w:widowControl w:val="0"/>
        <w:autoSpaceDE w:val="0"/>
        <w:autoSpaceDN w:val="0"/>
        <w:spacing w:after="120" w:line="240" w:lineRule="auto"/>
        <w:jc w:val="both"/>
        <w:rPr>
          <w:rFonts w:ascii="Verdana" w:hAnsi="Verdana" w:cs="Arial"/>
        </w:rPr>
      </w:pPr>
      <w:r w:rsidRPr="00CE45C7">
        <w:rPr>
          <w:rFonts w:ascii="Verdana" w:hAnsi="Verdana"/>
        </w:rPr>
        <w:t xml:space="preserve">Si quieres conocer más sobre la aplicación de Documentos Tipo puedes consultar la última versión de la </w:t>
      </w:r>
      <w:r w:rsidRPr="00CE45C7">
        <w:rPr>
          <w:rFonts w:ascii="Verdana" w:hAnsi="Verdana"/>
          <w:b/>
          <w:bCs/>
        </w:rPr>
        <w:t>Guía para la comprensión e implementación de los Documentos Tipo de obra pública de infraestructura de transporte</w:t>
      </w:r>
      <w:r w:rsidRPr="00CE45C7">
        <w:rPr>
          <w:rFonts w:ascii="Verdana" w:hAnsi="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CE45C7">
        <w:rPr>
          <w:rFonts w:ascii="Verdana" w:hAnsi="Verdana"/>
        </w:rPr>
        <w:br/>
      </w:r>
      <w:hyperlink r:id="rId15" w:tgtFrame="_new" w:history="1">
        <w:r w:rsidRPr="00CE45C7">
          <w:rPr>
            <w:rFonts w:ascii="Verdana" w:hAnsi="Verdana"/>
            <w:color w:val="0000FF"/>
            <w:u w:val="single"/>
          </w:rPr>
          <w:t>https://www.colombiacompra.gov.co/archivos/manual/guia-para-la-comprension-e-implementacion-de-los-documentos-tipo-de-obra-publica-de-infraestructura-de-transporte-bajo-las-diferentes-modalidades-de-contratacion-vigentes</w:t>
        </w:r>
      </w:hyperlink>
    </w:p>
    <w:p w14:paraId="509C13C2" w14:textId="77777777" w:rsidR="00CE45C7" w:rsidRPr="00CE45C7" w:rsidRDefault="00CE45C7" w:rsidP="006B6010">
      <w:pPr>
        <w:widowControl w:val="0"/>
        <w:autoSpaceDE w:val="0"/>
        <w:autoSpaceDN w:val="0"/>
        <w:spacing w:after="120" w:line="240" w:lineRule="auto"/>
        <w:jc w:val="both"/>
        <w:rPr>
          <w:rFonts w:ascii="Verdana" w:hAnsi="Verdana" w:cs="Arial"/>
        </w:rPr>
      </w:pPr>
      <w:r w:rsidRPr="00CE45C7">
        <w:rPr>
          <w:rFonts w:ascii="Verdana" w:hAnsi="Verdana"/>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0EAEE18E" w14:textId="77777777" w:rsidR="00CE45C7" w:rsidRPr="00CE45C7" w:rsidRDefault="00CE45C7" w:rsidP="006B6010">
      <w:pPr>
        <w:numPr>
          <w:ilvl w:val="0"/>
          <w:numId w:val="15"/>
        </w:numPr>
        <w:spacing w:after="0" w:line="240" w:lineRule="auto"/>
        <w:jc w:val="both"/>
        <w:rPr>
          <w:rFonts w:ascii="Verdana" w:eastAsia="Verdana" w:hAnsi="Verdana" w:cs="Verdana"/>
          <w:color w:val="4472C4" w:themeColor="accent1"/>
          <w:u w:val="single"/>
          <w:lang w:val="es-MX"/>
        </w:rPr>
      </w:pPr>
      <w:r w:rsidRPr="00CE45C7">
        <w:rPr>
          <w:rFonts w:ascii="Verdana" w:eastAsia="Verdana" w:hAnsi="Verdana" w:cs="Verdana"/>
          <w:lang w:val="es-MX"/>
        </w:rPr>
        <w:t xml:space="preserve">Línea nacional gratuita o servicio a la ciudadanía (Mesa de servicio): </w:t>
      </w:r>
      <w:r w:rsidRPr="00CE45C7">
        <w:rPr>
          <w:rFonts w:ascii="Verdana" w:hAnsi="Verdana"/>
          <w:color w:val="0000FF"/>
          <w:u w:val="single"/>
          <w:lang w:val="es-ES"/>
        </w:rPr>
        <w:t>01800 0520808</w:t>
      </w:r>
    </w:p>
    <w:p w14:paraId="660FC386" w14:textId="77777777" w:rsidR="00CE45C7" w:rsidRPr="00CE45C7" w:rsidRDefault="00CE45C7" w:rsidP="006B6010">
      <w:pPr>
        <w:numPr>
          <w:ilvl w:val="0"/>
          <w:numId w:val="15"/>
        </w:numPr>
        <w:spacing w:after="0" w:line="240" w:lineRule="auto"/>
        <w:rPr>
          <w:rFonts w:ascii="Verdana" w:eastAsia="Verdana" w:hAnsi="Verdana" w:cs="Verdana"/>
          <w:color w:val="4472C4" w:themeColor="accent1"/>
          <w:u w:val="single"/>
          <w:lang w:val="es-MX"/>
        </w:rPr>
      </w:pPr>
      <w:r w:rsidRPr="00CE45C7">
        <w:rPr>
          <w:rFonts w:ascii="Verdana" w:eastAsia="Verdana" w:hAnsi="Verdana" w:cs="Verdana"/>
          <w:lang w:val="es-MX"/>
        </w:rPr>
        <w:t>Línea en Bogotá (Mesa de servicio</w:t>
      </w:r>
      <w:proofErr w:type="gramStart"/>
      <w:r w:rsidRPr="00CE45C7">
        <w:rPr>
          <w:rFonts w:ascii="Verdana" w:eastAsia="Verdana" w:hAnsi="Verdana" w:cs="Verdana"/>
          <w:lang w:val="es-MX"/>
        </w:rPr>
        <w:t>):</w:t>
      </w:r>
      <w:r w:rsidRPr="00CE45C7">
        <w:rPr>
          <w:rFonts w:ascii="Verdana" w:hAnsi="Verdana"/>
          <w:color w:val="0000FF"/>
          <w:u w:val="single"/>
          <w:lang w:val="es-ES"/>
        </w:rPr>
        <w:t>+</w:t>
      </w:r>
      <w:proofErr w:type="gramEnd"/>
      <w:r w:rsidRPr="00CE45C7">
        <w:rPr>
          <w:rFonts w:ascii="Verdana" w:hAnsi="Verdana"/>
          <w:color w:val="0000FF"/>
          <w:u w:val="single"/>
          <w:lang w:val="es-ES"/>
        </w:rPr>
        <w:t>57 601 7456788</w:t>
      </w:r>
    </w:p>
    <w:p w14:paraId="05CCDBB4" w14:textId="77777777" w:rsidR="00CE45C7" w:rsidRPr="00CE45C7" w:rsidRDefault="00CE45C7" w:rsidP="006B6010">
      <w:pPr>
        <w:numPr>
          <w:ilvl w:val="0"/>
          <w:numId w:val="15"/>
        </w:numPr>
        <w:spacing w:after="0" w:line="240" w:lineRule="auto"/>
        <w:rPr>
          <w:rFonts w:ascii="Verdana" w:eastAsia="Verdana" w:hAnsi="Verdana" w:cs="Verdana"/>
          <w:color w:val="0000FF"/>
          <w:u w:val="single"/>
          <w:lang w:val="es-MX"/>
        </w:rPr>
      </w:pPr>
      <w:r w:rsidRPr="00CE45C7">
        <w:rPr>
          <w:rFonts w:ascii="Verdana" w:eastAsia="Verdana" w:hAnsi="Verdana" w:cs="Verdana"/>
          <w:lang w:val="es-MX"/>
        </w:rPr>
        <w:t xml:space="preserve">Correo de radicación de correspondencia: </w:t>
      </w:r>
      <w:hyperlink r:id="rId16">
        <w:r w:rsidRPr="00CE45C7">
          <w:rPr>
            <w:rFonts w:ascii="Verdana" w:eastAsia="Verdana" w:hAnsi="Verdana" w:cs="Verdana"/>
            <w:color w:val="0000FF"/>
            <w:u w:val="single"/>
            <w:lang w:val="es-MX"/>
          </w:rPr>
          <w:t>ventanilladeradicacion@colombiacompra.gov.co</w:t>
        </w:r>
      </w:hyperlink>
    </w:p>
    <w:p w14:paraId="1F152AB6" w14:textId="77777777" w:rsidR="00CE45C7" w:rsidRPr="00CE45C7" w:rsidRDefault="00CE45C7" w:rsidP="006B6010">
      <w:pPr>
        <w:numPr>
          <w:ilvl w:val="0"/>
          <w:numId w:val="15"/>
        </w:numPr>
        <w:spacing w:after="0" w:line="240" w:lineRule="auto"/>
        <w:rPr>
          <w:rFonts w:ascii="Verdana" w:eastAsia="Verdana" w:hAnsi="Verdana" w:cs="Verdana"/>
          <w:color w:val="0000FF"/>
          <w:u w:val="single"/>
          <w:lang w:val="es-MX"/>
        </w:rPr>
      </w:pPr>
      <w:r w:rsidRPr="00CE45C7">
        <w:rPr>
          <w:rFonts w:ascii="Verdana" w:eastAsia="Verdana" w:hAnsi="Verdana" w:cs="Verdana"/>
          <w:lang w:val="es-ES"/>
        </w:rPr>
        <w:t>Formulario web para</w:t>
      </w:r>
      <w:r w:rsidRPr="00CE45C7">
        <w:rPr>
          <w:rFonts w:ascii="Verdana" w:eastAsia="Verdana" w:hAnsi="Verdana" w:cs="Verdana"/>
          <w:lang w:val="es"/>
        </w:rPr>
        <w:t xml:space="preserve"> PQRSD: </w:t>
      </w:r>
      <w:hyperlink r:id="rId17">
        <w:r w:rsidRPr="00CE45C7">
          <w:rPr>
            <w:rFonts w:ascii="Verdana" w:eastAsia="Verdana" w:hAnsi="Verdana" w:cs="Verdana"/>
            <w:color w:val="0000FF"/>
            <w:u w:val="single"/>
            <w:lang w:val="es-MX"/>
          </w:rPr>
          <w:t>https://www.colombiacompra.gov.co/pqrsd/informacion-importante-antes-de-formular-una-pqrsd</w:t>
        </w:r>
      </w:hyperlink>
    </w:p>
    <w:p w14:paraId="0A1442F1" w14:textId="77777777" w:rsidR="00CE45C7" w:rsidRPr="00CE45C7" w:rsidRDefault="00CE45C7" w:rsidP="006B6010">
      <w:pPr>
        <w:spacing w:after="0" w:line="240" w:lineRule="auto"/>
        <w:ind w:left="720"/>
        <w:jc w:val="both"/>
        <w:rPr>
          <w:rFonts w:ascii="Verdana" w:hAnsi="Verdana"/>
        </w:rPr>
      </w:pPr>
    </w:p>
    <w:p w14:paraId="4658BB37" w14:textId="77777777" w:rsidR="00CE45C7" w:rsidRPr="00CE45C7" w:rsidRDefault="00CE45C7" w:rsidP="006B6010">
      <w:pPr>
        <w:spacing w:after="0" w:line="240" w:lineRule="auto"/>
        <w:jc w:val="both"/>
        <w:rPr>
          <w:rFonts w:ascii="Verdana" w:hAnsi="Verdana"/>
        </w:rPr>
      </w:pPr>
      <w:r w:rsidRPr="00CE45C7">
        <w:rPr>
          <w:rFonts w:ascii="Verdana" w:hAnsi="Verdana"/>
        </w:rPr>
        <w:t xml:space="preserve">Evalúa el servicio que ofrece la Agencia por el canal de atención de PQRSD en el siguiente enlace: </w:t>
      </w:r>
      <w:hyperlink r:id="rId18" w:history="1">
        <w:r w:rsidRPr="00CE45C7">
          <w:rPr>
            <w:rFonts w:ascii="Verdana" w:eastAsia="Verdana" w:hAnsi="Verdana" w:cs="Verdana"/>
            <w:color w:val="0000FF"/>
            <w:u w:val="single"/>
            <w:lang w:val="es-MX"/>
          </w:rPr>
          <w:t>https://forms.office.com/r/pPHyWVs2SZ</w:t>
        </w:r>
      </w:hyperlink>
      <w:r w:rsidRPr="00CE45C7">
        <w:rPr>
          <w:rFonts w:ascii="Verdana" w:eastAsia="Verdana" w:hAnsi="Verdana" w:cs="Verdana"/>
          <w:color w:val="0000FF"/>
          <w:u w:val="single"/>
          <w:lang w:val="es-MX"/>
        </w:rPr>
        <w:t>.</w:t>
      </w:r>
      <w:r w:rsidRPr="00CE45C7">
        <w:rPr>
          <w:rFonts w:ascii="Verdana" w:hAnsi="Verdana"/>
        </w:rPr>
        <w:t xml:space="preserve"> ¡Ayúdanos a mejorar porque el compromiso es de todos!</w:t>
      </w:r>
    </w:p>
    <w:p w14:paraId="55131880" w14:textId="77777777" w:rsidR="00CE45C7" w:rsidRPr="00CE45C7" w:rsidRDefault="00CE45C7" w:rsidP="006B6010">
      <w:pPr>
        <w:spacing w:after="0" w:line="240" w:lineRule="auto"/>
        <w:jc w:val="both"/>
        <w:rPr>
          <w:rFonts w:ascii="Verdana" w:hAnsi="Verdana"/>
        </w:rPr>
      </w:pPr>
    </w:p>
    <w:p w14:paraId="589FD970" w14:textId="77777777" w:rsidR="00CE45C7" w:rsidRPr="00CE45C7" w:rsidRDefault="00CE45C7" w:rsidP="006B6010">
      <w:pPr>
        <w:spacing w:after="0" w:line="240" w:lineRule="auto"/>
        <w:jc w:val="both"/>
        <w:rPr>
          <w:rFonts w:ascii="Verdana" w:hAnsi="Verdana"/>
        </w:rPr>
      </w:pPr>
      <w:r w:rsidRPr="00CE45C7">
        <w:rPr>
          <w:rFonts w:ascii="Verdana" w:hAnsi="Verdana"/>
        </w:rPr>
        <w:t xml:space="preserve">Por último, lo invitamos a seguirnos en las redes sociales en las cuales se difunde información institucional: </w:t>
      </w:r>
    </w:p>
    <w:p w14:paraId="07658FF5" w14:textId="77777777" w:rsidR="00CE45C7" w:rsidRPr="00CE45C7" w:rsidRDefault="00CE45C7" w:rsidP="006B6010">
      <w:pPr>
        <w:spacing w:after="0" w:line="240" w:lineRule="auto"/>
        <w:jc w:val="both"/>
        <w:rPr>
          <w:rFonts w:ascii="Verdana" w:hAnsi="Verdana"/>
        </w:rPr>
      </w:pPr>
      <w:r w:rsidRPr="00CE45C7">
        <w:rPr>
          <w:rFonts w:ascii="Verdana" w:hAnsi="Verdana"/>
        </w:rPr>
        <w:t xml:space="preserve">Twitter: </w:t>
      </w:r>
      <w:r w:rsidRPr="00CE45C7">
        <w:rPr>
          <w:rFonts w:ascii="Verdana" w:hAnsi="Verdana"/>
          <w:color w:val="0000FF"/>
          <w:u w:val="single"/>
        </w:rPr>
        <w:t>@colombiacompra</w:t>
      </w:r>
      <w:r w:rsidRPr="00CE45C7">
        <w:rPr>
          <w:rFonts w:ascii="Verdana" w:hAnsi="Verdana"/>
        </w:rPr>
        <w:t xml:space="preserve"> </w:t>
      </w:r>
    </w:p>
    <w:p w14:paraId="5E505D8E" w14:textId="77777777" w:rsidR="00CE45C7" w:rsidRPr="00CE45C7" w:rsidRDefault="00CE45C7" w:rsidP="006B6010">
      <w:pPr>
        <w:spacing w:after="0" w:line="240" w:lineRule="auto"/>
        <w:jc w:val="both"/>
        <w:rPr>
          <w:rFonts w:ascii="Verdana" w:hAnsi="Verdana"/>
        </w:rPr>
      </w:pPr>
      <w:r w:rsidRPr="00CE45C7">
        <w:rPr>
          <w:rFonts w:ascii="Verdana" w:hAnsi="Verdana"/>
        </w:rPr>
        <w:t xml:space="preserve">Facebook: </w:t>
      </w:r>
      <w:proofErr w:type="spellStart"/>
      <w:r w:rsidRPr="00CE45C7">
        <w:rPr>
          <w:rFonts w:ascii="Verdana" w:hAnsi="Verdana"/>
          <w:color w:val="0000FF"/>
          <w:u w:val="single"/>
        </w:rPr>
        <w:t>ColombiaCompraEficiente</w:t>
      </w:r>
      <w:proofErr w:type="spellEnd"/>
    </w:p>
    <w:p w14:paraId="4C21E93A" w14:textId="77777777" w:rsidR="00CE45C7" w:rsidRPr="00CE45C7" w:rsidRDefault="00CE45C7" w:rsidP="006B6010">
      <w:pPr>
        <w:spacing w:after="0" w:line="240" w:lineRule="auto"/>
        <w:jc w:val="both"/>
        <w:rPr>
          <w:rFonts w:ascii="Verdana" w:hAnsi="Verdana"/>
        </w:rPr>
      </w:pPr>
      <w:r w:rsidRPr="00CE45C7">
        <w:rPr>
          <w:rFonts w:ascii="Verdana" w:hAnsi="Verdana"/>
        </w:rPr>
        <w:lastRenderedPageBreak/>
        <w:t xml:space="preserve">LinkedIn: </w:t>
      </w:r>
      <w:r w:rsidRPr="00CE45C7">
        <w:rPr>
          <w:rFonts w:ascii="Verdana" w:hAnsi="Verdana"/>
          <w:color w:val="0000FF"/>
          <w:u w:val="single"/>
        </w:rPr>
        <w:t>Agencia Nacional de Contratación Pública - Colombia Compra Eficiente</w:t>
      </w:r>
      <w:r w:rsidRPr="00CE45C7">
        <w:rPr>
          <w:rFonts w:ascii="Verdana" w:hAnsi="Verdana"/>
        </w:rPr>
        <w:t xml:space="preserve"> Instagram: </w:t>
      </w:r>
      <w:r w:rsidRPr="00CE45C7">
        <w:rPr>
          <w:rFonts w:ascii="Verdana" w:hAnsi="Verdana"/>
          <w:color w:val="0000FF"/>
          <w:u w:val="single"/>
        </w:rPr>
        <w:t>@colombiacompraeficiente_cce</w:t>
      </w:r>
    </w:p>
    <w:p w14:paraId="4BFD2B57" w14:textId="77777777" w:rsidR="00CE45C7" w:rsidRPr="00CE45C7" w:rsidRDefault="00CE45C7" w:rsidP="00CE45C7">
      <w:pPr>
        <w:spacing w:after="0" w:line="276" w:lineRule="auto"/>
        <w:jc w:val="both"/>
        <w:rPr>
          <w:rFonts w:ascii="Verdana" w:hAnsi="Verdana"/>
          <w:lang w:val="es-MX"/>
        </w:rPr>
      </w:pPr>
    </w:p>
    <w:p w14:paraId="40BDEC7C" w14:textId="1D56E366" w:rsidR="00CE45C7" w:rsidRPr="006B6010" w:rsidRDefault="00CE45C7" w:rsidP="006B6010">
      <w:pPr>
        <w:spacing w:after="0" w:line="276" w:lineRule="auto"/>
        <w:jc w:val="both"/>
        <w:rPr>
          <w:rFonts w:ascii="Verdana" w:hAnsi="Verdana"/>
          <w:lang w:val="es-MX"/>
        </w:rPr>
      </w:pPr>
      <w:r w:rsidRPr="00CE45C7">
        <w:rPr>
          <w:rFonts w:ascii="Verdana" w:hAnsi="Verdana"/>
          <w:lang w:val="es-MX"/>
        </w:rPr>
        <w:t>Cordialmente</w:t>
      </w:r>
    </w:p>
    <w:p w14:paraId="0D1B2764" w14:textId="2F9A70D3" w:rsidR="00D62776" w:rsidRDefault="00D62776" w:rsidP="00D62776">
      <w:pPr>
        <w:spacing w:after="0" w:line="256" w:lineRule="auto"/>
        <w:jc w:val="center"/>
        <w:rPr>
          <w:rFonts w:ascii="Verdana" w:eastAsia="Calibri" w:hAnsi="Verdana" w:cs="Times New Roman"/>
        </w:rPr>
      </w:pPr>
    </w:p>
    <w:p w14:paraId="65C2E4B1" w14:textId="709876F7" w:rsidR="00D62776" w:rsidRDefault="00D62776" w:rsidP="00D62776">
      <w:pPr>
        <w:spacing w:after="0" w:line="256" w:lineRule="auto"/>
        <w:rPr>
          <w:rFonts w:ascii="Verdana" w:eastAsia="Calibri" w:hAnsi="Verdana" w:cs="Times New Roman"/>
        </w:rPr>
      </w:pPr>
    </w:p>
    <w:p w14:paraId="00CC5171" w14:textId="71BF01F6" w:rsidR="00D62776" w:rsidRDefault="00D62776" w:rsidP="00D62776">
      <w:pPr>
        <w:spacing w:after="0" w:line="256" w:lineRule="auto"/>
        <w:rPr>
          <w:rFonts w:ascii="Verdana" w:eastAsia="Calibri" w:hAnsi="Verdana" w:cs="Times New Roman"/>
        </w:rPr>
      </w:pPr>
    </w:p>
    <w:p w14:paraId="395D082F" w14:textId="7D1CCAA9" w:rsidR="00D62776" w:rsidRDefault="00D62776" w:rsidP="00D62776">
      <w:pPr>
        <w:spacing w:after="0" w:line="256" w:lineRule="auto"/>
        <w:jc w:val="center"/>
        <w:rPr>
          <w:rFonts w:ascii="Verdana" w:eastAsia="Calibri" w:hAnsi="Verdana" w:cs="Times New Roman"/>
        </w:rPr>
      </w:pPr>
    </w:p>
    <w:p w14:paraId="09795668" w14:textId="77777777" w:rsidR="00A57096" w:rsidRDefault="00A57096" w:rsidP="00D62776">
      <w:pPr>
        <w:spacing w:after="0" w:line="256" w:lineRule="auto"/>
        <w:jc w:val="center"/>
        <w:rPr>
          <w:rFonts w:ascii="Verdana" w:eastAsia="Calibri" w:hAnsi="Verdana" w:cs="Times New Roman"/>
        </w:rPr>
      </w:pPr>
    </w:p>
    <w:p w14:paraId="0CBA60F2" w14:textId="77777777" w:rsidR="00A57096" w:rsidRDefault="00A57096" w:rsidP="00D62776">
      <w:pPr>
        <w:spacing w:after="0" w:line="256" w:lineRule="auto"/>
        <w:jc w:val="center"/>
        <w:rPr>
          <w:rFonts w:ascii="Verdana" w:eastAsia="Calibri" w:hAnsi="Verdana" w:cs="Times New Roman"/>
        </w:rPr>
      </w:pPr>
    </w:p>
    <w:p w14:paraId="7A208DD7" w14:textId="14BF2B12" w:rsidR="00A57096" w:rsidRDefault="0009082A" w:rsidP="00D62776">
      <w:pPr>
        <w:spacing w:after="0" w:line="256" w:lineRule="auto"/>
        <w:jc w:val="center"/>
        <w:rPr>
          <w:rFonts w:ascii="Verdana" w:eastAsia="Calibri" w:hAnsi="Verdana" w:cs="Times New Roman"/>
        </w:rPr>
      </w:pPr>
      <w:r w:rsidRPr="002C3AD6">
        <w:rPr>
          <w:rFonts w:ascii="Century Gothic" w:hAnsi="Century Gothic"/>
          <w:noProof/>
        </w:rPr>
        <w:drawing>
          <wp:inline distT="0" distB="0" distL="0" distR="0" wp14:anchorId="04E41222" wp14:editId="1F805A44">
            <wp:extent cx="2258008" cy="838200"/>
            <wp:effectExtent l="0" t="0" r="9525"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2269514" cy="842471"/>
                    </a:xfrm>
                    <a:prstGeom prst="rect">
                      <a:avLst/>
                    </a:prstGeom>
                  </pic:spPr>
                </pic:pic>
              </a:graphicData>
            </a:graphic>
          </wp:inline>
        </w:drawing>
      </w:r>
    </w:p>
    <w:p w14:paraId="21702406" w14:textId="77777777" w:rsidR="00D62776" w:rsidRDefault="00D62776" w:rsidP="006B6010">
      <w:pPr>
        <w:spacing w:after="0" w:line="256" w:lineRule="auto"/>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62776" w:rsidRPr="00860461" w14:paraId="01714FC7" w14:textId="77777777" w:rsidTr="005C7A85">
        <w:trPr>
          <w:trHeight w:val="315"/>
        </w:trPr>
        <w:tc>
          <w:tcPr>
            <w:tcW w:w="893" w:type="dxa"/>
            <w:vAlign w:val="center"/>
            <w:hideMark/>
          </w:tcPr>
          <w:p w14:paraId="6622CB2D" w14:textId="77777777" w:rsidR="00D62776" w:rsidRPr="008278B1" w:rsidRDefault="00D62776" w:rsidP="005C7A85">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FD964BF" w14:textId="77777777" w:rsidR="00D62776" w:rsidRPr="00860461" w:rsidRDefault="00D62776" w:rsidP="005C7A85">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31FAE6B4" w14:textId="77777777" w:rsidR="00D62776" w:rsidRPr="00860461" w:rsidRDefault="00D62776" w:rsidP="005C7A85">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D62776" w:rsidRPr="0025661F" w14:paraId="323A13FA" w14:textId="77777777" w:rsidTr="005C7A85">
        <w:trPr>
          <w:trHeight w:val="330"/>
        </w:trPr>
        <w:tc>
          <w:tcPr>
            <w:tcW w:w="893" w:type="dxa"/>
            <w:vAlign w:val="center"/>
            <w:hideMark/>
          </w:tcPr>
          <w:p w14:paraId="730E243C" w14:textId="77777777" w:rsidR="00D62776" w:rsidRPr="0025661F" w:rsidRDefault="00D62776" w:rsidP="005C7A85">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09112AE" w14:textId="77777777" w:rsidR="00D62776" w:rsidRPr="00B37171" w:rsidRDefault="00D62776" w:rsidP="005C7A85">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 xml:space="preserve">Adriana </w:t>
            </w:r>
            <w:proofErr w:type="spellStart"/>
            <w:r>
              <w:rPr>
                <w:rFonts w:ascii="Verdana" w:hAnsi="Verdana" w:cs="Segoe UI"/>
                <w:color w:val="000000" w:themeColor="text1"/>
                <w:sz w:val="16"/>
                <w:szCs w:val="16"/>
              </w:rPr>
              <w:t>Katerine</w:t>
            </w:r>
            <w:proofErr w:type="spellEnd"/>
            <w:r>
              <w:rPr>
                <w:rFonts w:ascii="Verdana" w:hAnsi="Verdana" w:cs="Segoe UI"/>
                <w:color w:val="000000" w:themeColor="text1"/>
                <w:sz w:val="16"/>
                <w:szCs w:val="16"/>
              </w:rPr>
              <w:t xml:space="preserve"> López </w:t>
            </w:r>
            <w:proofErr w:type="spellStart"/>
            <w:r>
              <w:rPr>
                <w:rFonts w:ascii="Verdana" w:hAnsi="Verdana" w:cs="Segoe UI"/>
                <w:color w:val="000000" w:themeColor="text1"/>
                <w:sz w:val="16"/>
                <w:szCs w:val="16"/>
              </w:rPr>
              <w:t>Rodriguez</w:t>
            </w:r>
            <w:proofErr w:type="spellEnd"/>
          </w:p>
          <w:p w14:paraId="5886460C" w14:textId="77777777" w:rsidR="00D62776" w:rsidRPr="0025661F" w:rsidRDefault="00D62776" w:rsidP="005C7A85">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D62776" w:rsidRPr="008278B1" w14:paraId="4C7B9A32" w14:textId="77777777" w:rsidTr="005C7A85">
        <w:trPr>
          <w:trHeight w:val="300"/>
        </w:trPr>
        <w:tc>
          <w:tcPr>
            <w:tcW w:w="893" w:type="dxa"/>
            <w:vAlign w:val="center"/>
          </w:tcPr>
          <w:p w14:paraId="791D260C" w14:textId="77777777" w:rsidR="00D62776" w:rsidRPr="008278B1" w:rsidRDefault="00D62776" w:rsidP="005C7A85">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E499E75" w14:textId="77777777" w:rsidR="00D62776" w:rsidRPr="008278B1" w:rsidRDefault="00D62776" w:rsidP="005C7A85">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1950D156" w14:textId="77777777" w:rsidR="00D62776" w:rsidRPr="008278B1" w:rsidRDefault="00D62776" w:rsidP="005C7A85">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3CD754B8" w14:textId="77777777" w:rsidR="00D62776" w:rsidRPr="00227361" w:rsidRDefault="00D62776" w:rsidP="00D62776">
      <w:pPr>
        <w:spacing w:after="0" w:line="256" w:lineRule="auto"/>
        <w:jc w:val="center"/>
        <w:rPr>
          <w:rFonts w:ascii="Verdana" w:eastAsia="Calibri" w:hAnsi="Verdana" w:cs="Times New Roman"/>
          <w:lang w:val="es-ES"/>
        </w:rPr>
      </w:pPr>
    </w:p>
    <w:p w14:paraId="2BD9E78B" w14:textId="22945555" w:rsidR="00D62776" w:rsidRPr="008E53E8" w:rsidRDefault="00D62776" w:rsidP="00D62776">
      <w:pPr>
        <w:spacing w:after="0"/>
        <w:rPr>
          <w:rFonts w:ascii="Verdana" w:eastAsia="Verdana" w:hAnsi="Verdana" w:cs="Verdana"/>
          <w:lang w:val="es-ES"/>
        </w:rPr>
      </w:pPr>
    </w:p>
    <w:p w14:paraId="1D5FC0BB" w14:textId="77777777" w:rsidR="0007674C" w:rsidRDefault="0007674C" w:rsidP="00CE45C7">
      <w:pPr>
        <w:spacing w:after="0" w:line="256" w:lineRule="auto"/>
        <w:jc w:val="center"/>
        <w:rPr>
          <w:rFonts w:ascii="Verdana" w:eastAsia="Calibri" w:hAnsi="Verdana" w:cs="Times New Roman"/>
          <w:lang w:val="es-ES"/>
        </w:rPr>
      </w:pPr>
    </w:p>
    <w:p w14:paraId="09DD6E2F" w14:textId="77777777" w:rsidR="0007674C" w:rsidRDefault="0007674C" w:rsidP="00CE45C7">
      <w:pPr>
        <w:spacing w:after="0" w:line="256" w:lineRule="auto"/>
        <w:jc w:val="center"/>
        <w:rPr>
          <w:rFonts w:ascii="Verdana" w:eastAsia="Calibri" w:hAnsi="Verdana" w:cs="Times New Roman"/>
          <w:lang w:val="es-ES"/>
        </w:rPr>
      </w:pPr>
    </w:p>
    <w:p w14:paraId="2C20050D" w14:textId="77777777" w:rsidR="0007674C" w:rsidRPr="00CE45C7" w:rsidRDefault="0007674C" w:rsidP="00CE45C7">
      <w:pPr>
        <w:spacing w:after="0" w:line="256" w:lineRule="auto"/>
        <w:jc w:val="center"/>
        <w:rPr>
          <w:rFonts w:ascii="Verdana" w:eastAsia="Calibri" w:hAnsi="Verdana" w:cs="Times New Roman"/>
          <w:lang w:val="es-ES"/>
        </w:rPr>
      </w:pPr>
    </w:p>
    <w:p w14:paraId="512635AD" w14:textId="1DD02A97" w:rsidR="00CE45C7" w:rsidRPr="00CE45C7" w:rsidRDefault="00CE45C7" w:rsidP="00CE45C7">
      <w:pPr>
        <w:spacing w:after="0"/>
        <w:rPr>
          <w:rFonts w:ascii="Verdana" w:eastAsia="Verdana" w:hAnsi="Verdana" w:cs="Verdana"/>
          <w:lang w:val="es-ES"/>
        </w:rPr>
      </w:pPr>
    </w:p>
    <w:p w14:paraId="41E60584" w14:textId="77777777" w:rsidR="00CE45C7" w:rsidRPr="00CE45C7" w:rsidRDefault="00CE45C7" w:rsidP="00CE45C7"/>
    <w:bookmarkEnd w:id="0"/>
    <w:p w14:paraId="12443EE0" w14:textId="77777777" w:rsidR="00C15139" w:rsidRPr="0024624F" w:rsidRDefault="00C15139" w:rsidP="30821638">
      <w:pPr>
        <w:spacing w:after="0"/>
        <w:rPr>
          <w:rFonts w:ascii="Verdana" w:eastAsia="Verdana" w:hAnsi="Verdana" w:cs="Verdana"/>
        </w:rPr>
      </w:pPr>
    </w:p>
    <w:sectPr w:rsidR="00C15139" w:rsidRPr="0024624F"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D000F" w14:textId="77777777" w:rsidR="00915524" w:rsidRDefault="00915524" w:rsidP="004A1847">
      <w:pPr>
        <w:spacing w:after="0" w:line="240" w:lineRule="auto"/>
      </w:pPr>
      <w:r>
        <w:separator/>
      </w:r>
    </w:p>
  </w:endnote>
  <w:endnote w:type="continuationSeparator" w:id="0">
    <w:p w14:paraId="16D853DD" w14:textId="77777777" w:rsidR="00915524" w:rsidRDefault="0091552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CD39C" w14:textId="77777777" w:rsidR="00915524" w:rsidRDefault="00915524" w:rsidP="004A1847">
      <w:pPr>
        <w:spacing w:after="0" w:line="240" w:lineRule="auto"/>
      </w:pPr>
      <w:r>
        <w:separator/>
      </w:r>
    </w:p>
  </w:footnote>
  <w:footnote w:type="continuationSeparator" w:id="0">
    <w:p w14:paraId="6EBD0197" w14:textId="77777777" w:rsidR="00915524" w:rsidRDefault="00915524" w:rsidP="004A1847">
      <w:pPr>
        <w:spacing w:after="0" w:line="240" w:lineRule="auto"/>
      </w:pPr>
      <w:r>
        <w:continuationSeparator/>
      </w:r>
    </w:p>
  </w:footnote>
  <w:footnote w:id="1">
    <w:p w14:paraId="3C600B1F" w14:textId="77777777" w:rsidR="007D4515" w:rsidRPr="00CE5CFC" w:rsidRDefault="007D4515" w:rsidP="007D4515">
      <w:pPr>
        <w:pStyle w:val="Textonotapie"/>
        <w:ind w:firstLine="709"/>
        <w:jc w:val="both"/>
        <w:rPr>
          <w:rFonts w:ascii="Verdana" w:hAnsi="Verdana" w:cs="Arial"/>
          <w:sz w:val="16"/>
          <w:szCs w:val="16"/>
        </w:rPr>
      </w:pPr>
      <w:r w:rsidRPr="00CE5CFC">
        <w:rPr>
          <w:rStyle w:val="Refdenotaalpie"/>
          <w:rFonts w:ascii="Verdana" w:hAnsi="Verdana" w:cs="Arial"/>
          <w:sz w:val="16"/>
          <w:szCs w:val="16"/>
        </w:rPr>
        <w:footnoteRef/>
      </w:r>
      <w:r w:rsidRPr="00CE5CFC">
        <w:rPr>
          <w:rFonts w:ascii="Verdana" w:hAnsi="Verdana" w:cs="Arial"/>
          <w:sz w:val="16"/>
          <w:szCs w:val="16"/>
        </w:rPr>
        <w:t xml:space="preserve"> Consejo de Estado. Sección Segunda. Sentencia del 9 de septiembre de 2021. Expediente No. 05001-23-33-000-2013-01143-01(1317-16). M.P. Dra. Sandra Lisset Ibarra Vélez.</w:t>
      </w:r>
    </w:p>
    <w:p w14:paraId="4B977B07" w14:textId="77777777" w:rsidR="007D4515" w:rsidRPr="00CE5CFC" w:rsidRDefault="007D4515" w:rsidP="007D4515">
      <w:pPr>
        <w:pStyle w:val="Textonotapie"/>
        <w:ind w:firstLine="709"/>
        <w:jc w:val="both"/>
        <w:rPr>
          <w:rFonts w:ascii="Verdana" w:hAnsi="Verdana" w:cs="Arial"/>
          <w:sz w:val="16"/>
          <w:szCs w:val="16"/>
        </w:rPr>
      </w:pPr>
    </w:p>
  </w:footnote>
  <w:footnote w:id="2">
    <w:p w14:paraId="0D57A26C" w14:textId="77777777" w:rsidR="007D4515" w:rsidRDefault="007D4515" w:rsidP="007D4515">
      <w:pPr>
        <w:pStyle w:val="Textonotapie"/>
        <w:ind w:firstLine="709"/>
        <w:jc w:val="both"/>
        <w:rPr>
          <w:rFonts w:ascii="Verdana" w:hAnsi="Verdana" w:cs="Arial"/>
          <w:sz w:val="16"/>
          <w:szCs w:val="16"/>
        </w:rPr>
      </w:pPr>
      <w:r w:rsidRPr="00CE5CFC">
        <w:rPr>
          <w:rStyle w:val="Refdenotaalpie"/>
          <w:rFonts w:ascii="Verdana" w:hAnsi="Verdana" w:cs="Arial"/>
          <w:sz w:val="16"/>
          <w:szCs w:val="16"/>
        </w:rPr>
        <w:footnoteRef/>
      </w:r>
      <w:r w:rsidRPr="00CE5CFC">
        <w:rPr>
          <w:rFonts w:ascii="Verdana" w:hAnsi="Verdana" w:cs="Arial"/>
          <w:sz w:val="16"/>
          <w:szCs w:val="16"/>
        </w:rPr>
        <w:t xml:space="preserve"> Así lo señaló el Consejo de Estado en la sentencia de unificación en mención, al indicar que “cualquier contrato de prestación de servicios tiene por objeto genérico “desarrollar actividades relacionadas con la administración o funcionamiento de la entidad””.</w:t>
      </w:r>
    </w:p>
    <w:p w14:paraId="75FECBC5" w14:textId="77777777" w:rsidR="007D4515" w:rsidRPr="00CE5CFC" w:rsidRDefault="007D4515" w:rsidP="007D4515">
      <w:pPr>
        <w:pStyle w:val="Textonotapie"/>
        <w:ind w:firstLine="709"/>
        <w:jc w:val="both"/>
        <w:rPr>
          <w:rFonts w:ascii="Verdana" w:hAnsi="Verdana" w:cs="Arial"/>
          <w:sz w:val="16"/>
          <w:szCs w:val="16"/>
          <w:lang w:val="es-ES_tradnl"/>
        </w:rPr>
      </w:pPr>
    </w:p>
  </w:footnote>
  <w:footnote w:id="3">
    <w:p w14:paraId="4ADC29CB"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p w14:paraId="7B3C39DE" w14:textId="77777777" w:rsidR="007D4515" w:rsidRPr="00CE5CFC" w:rsidRDefault="007D4515" w:rsidP="007D4515">
      <w:pPr>
        <w:pStyle w:val="Textonotapie"/>
        <w:ind w:firstLine="709"/>
        <w:jc w:val="both"/>
        <w:rPr>
          <w:rFonts w:ascii="Verdana" w:hAnsi="Verdana" w:cs="Arial"/>
          <w:sz w:val="16"/>
          <w:szCs w:val="16"/>
          <w:lang w:val="es-ES"/>
        </w:rPr>
      </w:pPr>
    </w:p>
  </w:footnote>
  <w:footnote w:id="4">
    <w:p w14:paraId="5084F3C8"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17891C7F" w14:textId="77777777" w:rsidR="007D4515" w:rsidRPr="00CE5CFC" w:rsidRDefault="007D4515" w:rsidP="007D4515">
      <w:pPr>
        <w:pStyle w:val="Textonotapie"/>
        <w:ind w:firstLine="709"/>
        <w:jc w:val="both"/>
        <w:rPr>
          <w:rFonts w:ascii="Verdana" w:hAnsi="Verdana" w:cs="Arial"/>
          <w:sz w:val="16"/>
          <w:szCs w:val="16"/>
          <w:lang w:val="es-ES"/>
        </w:rPr>
      </w:pPr>
    </w:p>
    <w:p w14:paraId="0216E9A4"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440DE037" w14:textId="77777777" w:rsidR="007D4515" w:rsidRPr="00CE5CFC" w:rsidRDefault="007D4515" w:rsidP="007D4515">
      <w:pPr>
        <w:pStyle w:val="Textonotapie"/>
        <w:ind w:firstLine="709"/>
        <w:jc w:val="both"/>
        <w:rPr>
          <w:rFonts w:ascii="Verdana" w:hAnsi="Verdana" w:cs="Arial"/>
          <w:sz w:val="16"/>
          <w:szCs w:val="16"/>
          <w:lang w:val="es-ES"/>
        </w:rPr>
      </w:pPr>
    </w:p>
    <w:p w14:paraId="635F7B31"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El Gobierno nacional reglamentará el mecanismo para realizar la mensualización de que trata el presente artículo.</w:t>
      </w:r>
    </w:p>
    <w:p w14:paraId="6105F624" w14:textId="77777777" w:rsidR="007D4515" w:rsidRDefault="007D4515" w:rsidP="007D4515">
      <w:pPr>
        <w:pStyle w:val="Textonotapie"/>
        <w:ind w:firstLine="709"/>
        <w:jc w:val="both"/>
        <w:rPr>
          <w:rFonts w:ascii="Verdana" w:hAnsi="Verdana" w:cs="Arial"/>
          <w:sz w:val="16"/>
          <w:szCs w:val="16"/>
          <w:lang w:val="pt-BR"/>
        </w:rPr>
      </w:pPr>
      <w:r w:rsidRPr="00CE5CFC">
        <w:rPr>
          <w:rFonts w:ascii="Verdana" w:hAnsi="Verdana" w:cs="Arial"/>
          <w:sz w:val="16"/>
          <w:szCs w:val="16"/>
          <w:lang w:val="pt-BR"/>
        </w:rPr>
        <w:t>[…]”.</w:t>
      </w:r>
    </w:p>
    <w:p w14:paraId="3CC0C022" w14:textId="77777777" w:rsidR="007D4515" w:rsidRPr="00CE5CFC" w:rsidRDefault="007D4515" w:rsidP="007D4515">
      <w:pPr>
        <w:pStyle w:val="Textonotapie"/>
        <w:ind w:firstLine="709"/>
        <w:jc w:val="both"/>
        <w:rPr>
          <w:rFonts w:ascii="Verdana" w:hAnsi="Verdana" w:cs="Arial"/>
          <w:sz w:val="16"/>
          <w:szCs w:val="16"/>
          <w:lang w:val="pt-BR"/>
        </w:rPr>
      </w:pPr>
    </w:p>
  </w:footnote>
  <w:footnote w:id="5">
    <w:p w14:paraId="4997B842"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lang w:val="pt-BR"/>
        </w:rPr>
        <w:t xml:space="preserve"> Corte Constitucional. Sentencia C-154 de 1997. </w:t>
      </w:r>
      <w:r w:rsidRPr="00CE5CFC">
        <w:rPr>
          <w:rFonts w:ascii="Verdana" w:hAnsi="Verdana" w:cs="Arial"/>
          <w:sz w:val="16"/>
          <w:szCs w:val="16"/>
          <w:lang w:val="es-ES"/>
        </w:rPr>
        <w:t>MP: Hernando Herrera Vergara.</w:t>
      </w:r>
    </w:p>
  </w:footnote>
  <w:footnote w:id="6">
    <w:p w14:paraId="5C84A8FF" w14:textId="77777777" w:rsidR="007D4515" w:rsidRPr="00CE5CFC" w:rsidRDefault="007D4515" w:rsidP="007D4515">
      <w:pPr>
        <w:pStyle w:val="Textonotapie"/>
        <w:ind w:firstLine="709"/>
        <w:jc w:val="both"/>
        <w:rPr>
          <w:rFonts w:ascii="Verdana" w:hAnsi="Verdana" w:cs="Arial"/>
          <w:sz w:val="16"/>
          <w:szCs w:val="16"/>
        </w:rPr>
      </w:pPr>
    </w:p>
    <w:p w14:paraId="6854237D"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proofErr w:type="spellStart"/>
      <w:r w:rsidRPr="00CE5CFC">
        <w:rPr>
          <w:rFonts w:ascii="Verdana" w:hAnsi="Verdana" w:cs="Arial"/>
          <w:sz w:val="16"/>
          <w:szCs w:val="16"/>
          <w:lang w:val="es-ES"/>
        </w:rPr>
        <w:t>Ibíd</w:t>
      </w:r>
      <w:proofErr w:type="spellEnd"/>
      <w:r w:rsidRPr="00CE5CFC">
        <w:rPr>
          <w:rFonts w:ascii="Verdana" w:hAnsi="Verdana" w:cs="Arial"/>
          <w:sz w:val="16"/>
          <w:szCs w:val="16"/>
          <w:lang w:val="es-ES"/>
        </w:rPr>
        <w:t>.</w:t>
      </w:r>
    </w:p>
    <w:p w14:paraId="7EE25EFA" w14:textId="77777777" w:rsidR="007D4515" w:rsidRPr="00CE5CFC" w:rsidRDefault="007D4515" w:rsidP="007D4515">
      <w:pPr>
        <w:pStyle w:val="Textonotapie"/>
        <w:ind w:firstLine="709"/>
        <w:jc w:val="both"/>
        <w:rPr>
          <w:rFonts w:ascii="Verdana" w:hAnsi="Verdana" w:cs="Arial"/>
          <w:sz w:val="16"/>
          <w:szCs w:val="16"/>
          <w:lang w:val="es-ES"/>
        </w:rPr>
      </w:pPr>
    </w:p>
  </w:footnote>
  <w:footnote w:id="7">
    <w:p w14:paraId="4D62A497" w14:textId="77777777" w:rsidR="007D4515" w:rsidRPr="00CE5CFC" w:rsidRDefault="007D4515" w:rsidP="007D4515">
      <w:pPr>
        <w:pStyle w:val="Textonotapie"/>
        <w:ind w:firstLine="709"/>
        <w:jc w:val="both"/>
        <w:rPr>
          <w:rFonts w:ascii="Verdana" w:hAnsi="Verdana" w:cs="Arial"/>
          <w:sz w:val="16"/>
          <w:szCs w:val="16"/>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7D4515">
        <w:rPr>
          <w:rFonts w:ascii="Verdana" w:hAnsi="Verdana" w:cs="Arial"/>
          <w:color w:val="000000"/>
          <w:sz w:val="16"/>
          <w:szCs w:val="16"/>
          <w:lang w:val="es-ES"/>
        </w:rPr>
        <w:t xml:space="preserve">CONSEJO DE ESTADO. Sección Tercera. Subsección C. Sentencia de Unificación del 2 de diciembre de 2013. </w:t>
      </w:r>
      <w:proofErr w:type="spellStart"/>
      <w:r w:rsidRPr="007D4515">
        <w:rPr>
          <w:rFonts w:ascii="Verdana" w:hAnsi="Verdana" w:cs="Arial"/>
          <w:color w:val="000000"/>
          <w:sz w:val="16"/>
          <w:szCs w:val="16"/>
          <w:lang w:val="es-ES"/>
        </w:rPr>
        <w:t>Exp</w:t>
      </w:r>
      <w:proofErr w:type="spellEnd"/>
      <w:r w:rsidRPr="007D4515">
        <w:rPr>
          <w:rFonts w:ascii="Verdana" w:hAnsi="Verdana" w:cs="Arial"/>
          <w:color w:val="000000"/>
          <w:sz w:val="16"/>
          <w:szCs w:val="16"/>
          <w:lang w:val="es-ES"/>
        </w:rPr>
        <w:t>. 41.719. C.P. Jaime Orlando Santofimio Gamboa.</w:t>
      </w:r>
      <w:r w:rsidRPr="00CE5CFC">
        <w:rPr>
          <w:rFonts w:ascii="Verdana" w:hAnsi="Verdana" w:cs="Arial"/>
          <w:sz w:val="16"/>
          <w:szCs w:val="16"/>
        </w:rPr>
        <w:t xml:space="preserve"> </w:t>
      </w:r>
    </w:p>
    <w:p w14:paraId="5C5113CA" w14:textId="77777777" w:rsidR="007D4515" w:rsidRPr="00CE5CFC" w:rsidRDefault="007D4515" w:rsidP="007D4515">
      <w:pPr>
        <w:pStyle w:val="Textonotapie"/>
        <w:ind w:firstLine="709"/>
        <w:jc w:val="both"/>
        <w:rPr>
          <w:rFonts w:ascii="Verdana" w:hAnsi="Verdana" w:cs="Arial"/>
          <w:sz w:val="16"/>
          <w:szCs w:val="16"/>
        </w:rPr>
      </w:pPr>
    </w:p>
    <w:p w14:paraId="2D710B8B"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Además,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64D4A132" w14:textId="77777777" w:rsidR="007D4515" w:rsidRPr="00CE5CFC" w:rsidRDefault="007D4515" w:rsidP="007D4515">
      <w:pPr>
        <w:pStyle w:val="Textonotapie"/>
        <w:ind w:firstLine="709"/>
        <w:jc w:val="both"/>
        <w:rPr>
          <w:rFonts w:ascii="Verdana" w:hAnsi="Verdana" w:cs="Arial"/>
          <w:sz w:val="16"/>
          <w:szCs w:val="16"/>
          <w:lang w:val="es-ES"/>
        </w:rPr>
      </w:pPr>
    </w:p>
    <w:p w14:paraId="4C38E2DD"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Son también contratos de consultoría los que tienen por objeto la interventoría, asesoría, gerencia de obra o de proyectos, dirección, programación y la ejecución de diseños, planos, anteproyectos y proyectos.</w:t>
      </w:r>
    </w:p>
    <w:p w14:paraId="3D64211C" w14:textId="77777777" w:rsidR="007D4515" w:rsidRPr="00CE5CFC" w:rsidRDefault="007D4515" w:rsidP="007D4515">
      <w:pPr>
        <w:pStyle w:val="Textonotapie"/>
        <w:ind w:firstLine="709"/>
        <w:jc w:val="both"/>
        <w:rPr>
          <w:rFonts w:ascii="Verdana" w:hAnsi="Verdana" w:cs="Arial"/>
          <w:sz w:val="16"/>
          <w:szCs w:val="16"/>
          <w:lang w:val="es-ES"/>
        </w:rPr>
      </w:pPr>
    </w:p>
    <w:p w14:paraId="45570D6F"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 xml:space="preserve">Ninguna orden del interventor de una obra podrá darse verbalmente. Es obligatorio para el interventor entregar por escrito sus órdenes o sugerencias y ellas deben </w:t>
      </w:r>
      <w:proofErr w:type="gramStart"/>
      <w:r w:rsidRPr="00CE5CFC">
        <w:rPr>
          <w:rFonts w:ascii="Verdana" w:hAnsi="Verdana" w:cs="Arial"/>
          <w:sz w:val="16"/>
          <w:szCs w:val="16"/>
          <w:lang w:val="es-ES"/>
        </w:rPr>
        <w:t>enmarcarse dentro de</w:t>
      </w:r>
      <w:proofErr w:type="gramEnd"/>
      <w:r w:rsidRPr="00CE5CFC">
        <w:rPr>
          <w:rFonts w:ascii="Verdana" w:hAnsi="Verdana" w:cs="Arial"/>
          <w:sz w:val="16"/>
          <w:szCs w:val="16"/>
          <w:lang w:val="es-ES"/>
        </w:rPr>
        <w:t xml:space="preserve"> los términos del respectivo contrato”.</w:t>
      </w:r>
    </w:p>
    <w:p w14:paraId="37AB2222" w14:textId="77777777" w:rsidR="007D4515" w:rsidRPr="00CE5CFC" w:rsidRDefault="007D4515" w:rsidP="007D4515">
      <w:pPr>
        <w:pStyle w:val="Textonotapie"/>
        <w:ind w:firstLine="709"/>
        <w:jc w:val="both"/>
        <w:rPr>
          <w:rFonts w:ascii="Verdana" w:hAnsi="Verdana" w:cs="Arial"/>
          <w:sz w:val="16"/>
          <w:szCs w:val="16"/>
          <w:lang w:val="es-ES"/>
        </w:rPr>
      </w:pPr>
    </w:p>
  </w:footnote>
  <w:footnote w:id="8">
    <w:p w14:paraId="3B493EC7"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Así lo dispone el artículo 2.2.1.2.1.4.1. del Decreto 1082 de 2015: “La Entidad Estatal debe señalar en un acto administrativo la justificación para contratar bajo la modalidad de contratación directa, el cual debe contener:</w:t>
      </w:r>
    </w:p>
    <w:p w14:paraId="03FA3CA0"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1. La causal que invoca para contratar directamente.</w:t>
      </w:r>
    </w:p>
    <w:p w14:paraId="31F481EB"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2. El objeto del contrato.</w:t>
      </w:r>
    </w:p>
    <w:p w14:paraId="0C28EC44"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3. El presupuesto para la contratación y las condiciones que exigirá al contratista.</w:t>
      </w:r>
    </w:p>
    <w:p w14:paraId="18FCA2A7"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4. El lugar en el cual los interesados pueden consultar los estudios y documentos previos.</w:t>
      </w:r>
    </w:p>
    <w:p w14:paraId="2EF8B21E" w14:textId="77777777" w:rsidR="007D4515" w:rsidRPr="00CE5CFC" w:rsidRDefault="007D4515" w:rsidP="007D4515">
      <w:pPr>
        <w:pStyle w:val="Textonotapie"/>
        <w:ind w:firstLine="709"/>
        <w:jc w:val="both"/>
        <w:rPr>
          <w:rFonts w:ascii="Verdana" w:hAnsi="Verdana" w:cs="Arial"/>
          <w:sz w:val="16"/>
          <w:szCs w:val="16"/>
          <w:lang w:val="es-ES"/>
        </w:rPr>
      </w:pPr>
    </w:p>
    <w:p w14:paraId="15D5ED63"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Este acto administrativo no es necesario cuando el contrato a celebrar es de prestación de servicios profesionales y de apoyo a la gestión, y para los contratos de que tratan los literales (a) y (b) del artículo 2.2.1.2.1.4.3 del presente decreto”.</w:t>
      </w:r>
    </w:p>
  </w:footnote>
  <w:footnote w:id="9">
    <w:p w14:paraId="4B00A331" w14:textId="77777777" w:rsidR="007D4515" w:rsidRPr="00CE5CFC" w:rsidRDefault="007D4515" w:rsidP="007D4515">
      <w:pPr>
        <w:pStyle w:val="Textonotapie"/>
        <w:ind w:firstLine="709"/>
        <w:jc w:val="both"/>
        <w:rPr>
          <w:rFonts w:ascii="Verdana" w:hAnsi="Verdana" w:cs="Arial"/>
          <w:sz w:val="16"/>
          <w:szCs w:val="16"/>
        </w:rPr>
      </w:pPr>
    </w:p>
    <w:p w14:paraId="7281596D"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 xml:space="preserve">La norma expresa: “Art. 14. </w:t>
      </w:r>
      <w:r w:rsidRPr="00CE5CFC">
        <w:rPr>
          <w:rFonts w:ascii="Verdana" w:hAnsi="Verdana" w:cs="Arial"/>
          <w:sz w:val="16"/>
          <w:szCs w:val="16"/>
        </w:rPr>
        <w:t>P</w:t>
      </w:r>
      <w:r w:rsidRPr="00CE5CFC">
        <w:rPr>
          <w:rFonts w:ascii="Verdana" w:hAnsi="Verdana" w:cs="Arial"/>
          <w:sz w:val="16"/>
          <w:szCs w:val="16"/>
          <w:lang w:val="es-ES"/>
        </w:rPr>
        <w:t>ara el cumplimiento de los fines de la contratación, las entidades estatales al celebrar un contrato:</w:t>
      </w:r>
    </w:p>
    <w:p w14:paraId="6750A780"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w:t>
      </w:r>
    </w:p>
    <w:p w14:paraId="1C36D1EA"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7E1FAD82" w14:textId="77777777" w:rsidR="007D4515" w:rsidRPr="00CE5CFC" w:rsidRDefault="007D4515" w:rsidP="007D4515">
      <w:pPr>
        <w:pStyle w:val="Textonotapie"/>
        <w:ind w:firstLine="709"/>
        <w:jc w:val="both"/>
        <w:rPr>
          <w:rFonts w:ascii="Verdana" w:hAnsi="Verdana" w:cs="Arial"/>
          <w:sz w:val="16"/>
          <w:szCs w:val="16"/>
          <w:lang w:val="es-ES"/>
        </w:rPr>
      </w:pPr>
    </w:p>
    <w:p w14:paraId="20505A93"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Las entidades estatales podrán pactar estas cláusulas en los contratos de suministro y de prestación de servicios.</w:t>
      </w:r>
    </w:p>
    <w:p w14:paraId="45AF871A" w14:textId="77777777" w:rsidR="007D4515" w:rsidRPr="00CE5CFC" w:rsidRDefault="007D4515" w:rsidP="007D4515">
      <w:pPr>
        <w:pStyle w:val="Textonotapie"/>
        <w:ind w:firstLine="709"/>
        <w:jc w:val="both"/>
        <w:rPr>
          <w:rFonts w:ascii="Verdana" w:hAnsi="Verdana" w:cs="Arial"/>
          <w:sz w:val="16"/>
          <w:szCs w:val="16"/>
          <w:lang w:val="es-ES"/>
        </w:rPr>
      </w:pPr>
      <w:r w:rsidRPr="00CE5CFC">
        <w:rPr>
          <w:rFonts w:ascii="Verdana" w:hAnsi="Verdana" w:cs="Arial"/>
          <w:sz w:val="16"/>
          <w:szCs w:val="16"/>
          <w:lang w:val="es-ES"/>
        </w:rPr>
        <w:t>[…]”.</w:t>
      </w:r>
    </w:p>
    <w:p w14:paraId="79DED825" w14:textId="77777777" w:rsidR="007D4515" w:rsidRPr="00CE5CFC" w:rsidRDefault="007D4515" w:rsidP="007D4515">
      <w:pPr>
        <w:pStyle w:val="Textonotapie"/>
        <w:ind w:firstLine="709"/>
        <w:jc w:val="both"/>
        <w:rPr>
          <w:rFonts w:ascii="Verdana" w:hAnsi="Verdana" w:cs="Arial"/>
          <w:sz w:val="16"/>
          <w:szCs w:val="16"/>
          <w:lang w:val="es-ES"/>
        </w:rPr>
      </w:pPr>
    </w:p>
  </w:footnote>
  <w:footnote w:id="10">
    <w:p w14:paraId="7516EC43"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La norma dispone: “La liquidación a que se refiere el presente artículo no será obligatoria en los contratos de prestación de servicios profesionales y de apoyo a la gestión”.</w:t>
      </w:r>
    </w:p>
    <w:p w14:paraId="0B72CB0B" w14:textId="77777777" w:rsidR="007D4515" w:rsidRPr="00CE5CFC" w:rsidRDefault="007D4515" w:rsidP="007D4515">
      <w:pPr>
        <w:pStyle w:val="Textonotapie"/>
        <w:ind w:firstLine="709"/>
        <w:jc w:val="both"/>
        <w:rPr>
          <w:rFonts w:ascii="Verdana" w:hAnsi="Verdana" w:cs="Arial"/>
          <w:sz w:val="16"/>
          <w:szCs w:val="16"/>
          <w:lang w:val="es-ES"/>
        </w:rPr>
      </w:pPr>
    </w:p>
  </w:footnote>
  <w:footnote w:id="11">
    <w:p w14:paraId="4DE40C7C" w14:textId="77777777" w:rsidR="007D4515" w:rsidRPr="00CE5CFC" w:rsidRDefault="007D4515" w:rsidP="007D4515">
      <w:pPr>
        <w:pStyle w:val="Textonotapie"/>
        <w:ind w:firstLine="709"/>
        <w:jc w:val="both"/>
        <w:rPr>
          <w:rFonts w:ascii="Verdana" w:hAnsi="Verdana" w:cs="Arial"/>
          <w:sz w:val="16"/>
          <w:szCs w:val="16"/>
        </w:rPr>
      </w:pPr>
      <w:r w:rsidRPr="00CE5CFC">
        <w:rPr>
          <w:rStyle w:val="Refdenotaalpie"/>
          <w:rFonts w:ascii="Verdana" w:hAnsi="Verdana" w:cs="Arial"/>
          <w:sz w:val="16"/>
          <w:szCs w:val="16"/>
        </w:rPr>
        <w:footnoteRef/>
      </w:r>
      <w:r w:rsidRPr="00CE5CFC">
        <w:rPr>
          <w:rFonts w:ascii="Verdana" w:hAnsi="Verdana" w:cs="Arial"/>
          <w:sz w:val="16"/>
          <w:szCs w:val="16"/>
        </w:rPr>
        <w:t xml:space="preserve"> Según dicho artículo: “Art. 6.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40BFC052" w14:textId="77777777" w:rsidR="007D4515" w:rsidRPr="00CE5CFC" w:rsidRDefault="007D4515" w:rsidP="007D4515">
      <w:pPr>
        <w:pStyle w:val="Textonotapie"/>
        <w:ind w:firstLine="709"/>
        <w:jc w:val="both"/>
        <w:rPr>
          <w:rFonts w:ascii="Verdana" w:hAnsi="Verdana" w:cs="Arial"/>
          <w:sz w:val="16"/>
          <w:szCs w:val="16"/>
        </w:rPr>
      </w:pPr>
    </w:p>
    <w:p w14:paraId="1741EA60" w14:textId="77777777" w:rsidR="007D4515" w:rsidRPr="00CE5CFC" w:rsidRDefault="007D4515" w:rsidP="007D4515">
      <w:pPr>
        <w:pStyle w:val="Textonotapie"/>
        <w:ind w:firstLine="709"/>
        <w:jc w:val="both"/>
        <w:rPr>
          <w:rFonts w:ascii="Verdana" w:hAnsi="Verdana" w:cs="Arial"/>
          <w:sz w:val="16"/>
          <w:szCs w:val="16"/>
        </w:rPr>
      </w:pPr>
      <w:r w:rsidRPr="00CE5CFC">
        <w:rPr>
          <w:rFonts w:ascii="Verdana" w:hAnsi="Verdana" w:cs="Arial"/>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56C91D85" w14:textId="77777777" w:rsidR="007D4515" w:rsidRPr="00CE5CFC" w:rsidRDefault="007D4515" w:rsidP="007D4515">
      <w:pPr>
        <w:pStyle w:val="Textonotapie"/>
        <w:ind w:firstLine="709"/>
        <w:jc w:val="both"/>
        <w:rPr>
          <w:rFonts w:ascii="Verdana" w:hAnsi="Verdana" w:cs="Arial"/>
          <w:sz w:val="16"/>
          <w:szCs w:val="16"/>
        </w:rPr>
      </w:pPr>
      <w:r w:rsidRPr="00CE5CFC">
        <w:rPr>
          <w:rFonts w:ascii="Verdana" w:hAnsi="Verdana" w:cs="Arial"/>
          <w:sz w:val="16"/>
          <w:szCs w:val="16"/>
        </w:rPr>
        <w:t>[…]”.</w:t>
      </w:r>
    </w:p>
    <w:p w14:paraId="7C7E5D71" w14:textId="77777777" w:rsidR="007D4515" w:rsidRPr="00CE5CFC" w:rsidRDefault="007D4515" w:rsidP="007D4515">
      <w:pPr>
        <w:pStyle w:val="Textonotapie"/>
        <w:ind w:firstLine="709"/>
        <w:jc w:val="both"/>
        <w:rPr>
          <w:rFonts w:ascii="Verdana" w:hAnsi="Verdana" w:cs="Arial"/>
          <w:sz w:val="16"/>
          <w:szCs w:val="16"/>
          <w:lang w:val="es-ES"/>
        </w:rPr>
      </w:pPr>
    </w:p>
  </w:footnote>
  <w:footnote w:id="12">
    <w:p w14:paraId="16D3A7FF" w14:textId="77777777" w:rsidR="007D4515" w:rsidRPr="00CE5CFC" w:rsidRDefault="007D4515" w:rsidP="007D4515">
      <w:pPr>
        <w:pStyle w:val="Textonotapie"/>
        <w:ind w:firstLine="709"/>
        <w:jc w:val="both"/>
        <w:rPr>
          <w:rFonts w:ascii="Verdana" w:hAnsi="Verdana" w:cs="Arial"/>
          <w:sz w:val="16"/>
          <w:szCs w:val="16"/>
          <w:lang w:val="es-ES"/>
        </w:rPr>
      </w:pPr>
      <w:r w:rsidRPr="00CE5CFC">
        <w:rPr>
          <w:rStyle w:val="Refdenotaalpie"/>
          <w:rFonts w:ascii="Verdana" w:hAnsi="Verdana" w:cs="Arial"/>
          <w:sz w:val="16"/>
          <w:szCs w:val="16"/>
        </w:rPr>
        <w:footnoteRef/>
      </w:r>
      <w:r w:rsidRPr="00CE5CFC">
        <w:rPr>
          <w:rFonts w:ascii="Verdana" w:hAnsi="Verdana" w:cs="Arial"/>
          <w:sz w:val="16"/>
          <w:szCs w:val="16"/>
        </w:rPr>
        <w:t xml:space="preserve"> </w:t>
      </w:r>
      <w:r w:rsidRPr="00CE5CFC">
        <w:rPr>
          <w:rFonts w:ascii="Verdana" w:hAnsi="Verdana" w:cs="Arial"/>
          <w:sz w:val="16"/>
          <w:szCs w:val="16"/>
          <w:lang w:val="es-ES"/>
        </w:rPr>
        <w:t>Así lo establece el Decreto 1082 de 2015: “Artículo 2.2.1.2.1.4.5. No obligatoriedad de garantías. En la contratación directa la exigencia de garantías establecidas en la Sección 3, que comprende los artículos 2.2.1.2.3.1.1 al 2.2.1.2.3.5.1. del presente decreto no es obligatoria y la justificación para exigirlas o no debe estar en los estudios y documentos previos”.</w:t>
      </w:r>
    </w:p>
    <w:p w14:paraId="50E0A37F" w14:textId="77777777" w:rsidR="007D4515" w:rsidRPr="00CE5CFC" w:rsidRDefault="007D4515" w:rsidP="007D4515">
      <w:pPr>
        <w:pStyle w:val="Textonotapie"/>
        <w:ind w:firstLine="709"/>
        <w:jc w:val="both"/>
        <w:rPr>
          <w:rFonts w:ascii="Verdana" w:hAnsi="Verdana" w:cs="Arial"/>
          <w:sz w:val="16"/>
          <w:szCs w:val="16"/>
          <w:lang w:val="es-ES"/>
        </w:rPr>
      </w:pPr>
    </w:p>
  </w:footnote>
  <w:footnote w:id="13">
    <w:p w14:paraId="54ED3260"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Style w:val="Refdenotaalpie"/>
          <w:rFonts w:ascii="Verdana" w:hAnsi="Verdana" w:cs="Arial"/>
          <w:color w:val="000000"/>
          <w:sz w:val="16"/>
          <w:szCs w:val="16"/>
        </w:rPr>
        <w:footnoteRef/>
      </w:r>
      <w:r w:rsidRPr="007D4515">
        <w:rPr>
          <w:rFonts w:ascii="Verdana" w:hAnsi="Verdana" w:cs="Arial"/>
          <w:color w:val="000000"/>
          <w:sz w:val="16"/>
          <w:szCs w:val="16"/>
        </w:rPr>
        <w:t xml:space="preserve"> </w:t>
      </w:r>
      <w:r w:rsidRPr="007D4515">
        <w:rPr>
          <w:rFonts w:ascii="Verdana" w:hAnsi="Verdana" w:cs="Arial"/>
          <w:color w:val="000000"/>
          <w:sz w:val="16"/>
          <w:szCs w:val="16"/>
          <w:lang w:val="es-ES"/>
        </w:rPr>
        <w:t>El Decreto 1082 de 2015 lo establece de la siguiente manera: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2AB274A7" w14:textId="77777777" w:rsidR="007D4515" w:rsidRPr="007D4515" w:rsidRDefault="007D4515" w:rsidP="007D4515">
      <w:pPr>
        <w:pStyle w:val="Textonotapie"/>
        <w:ind w:firstLine="709"/>
        <w:jc w:val="both"/>
        <w:rPr>
          <w:rFonts w:ascii="Verdana" w:hAnsi="Verdana" w:cs="Arial"/>
          <w:color w:val="000000"/>
          <w:sz w:val="16"/>
          <w:szCs w:val="16"/>
          <w:lang w:val="es-ES"/>
        </w:rPr>
      </w:pPr>
    </w:p>
    <w:p w14:paraId="1B31F41A"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Fonts w:ascii="Verdana" w:hAnsi="Verdana" w:cs="Arial"/>
          <w:color w:val="000000"/>
          <w:sz w:val="16"/>
          <w:szCs w:val="16"/>
          <w:lang w:val="es-ES"/>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666E3D38" w14:textId="77777777" w:rsidR="007D4515" w:rsidRPr="007D4515" w:rsidRDefault="007D4515" w:rsidP="007D4515">
      <w:pPr>
        <w:pStyle w:val="Textonotapie"/>
        <w:ind w:firstLine="709"/>
        <w:jc w:val="both"/>
        <w:rPr>
          <w:rFonts w:ascii="Verdana" w:hAnsi="Verdana" w:cs="Arial"/>
          <w:color w:val="000000"/>
          <w:sz w:val="16"/>
          <w:szCs w:val="16"/>
          <w:lang w:val="es-ES"/>
        </w:rPr>
      </w:pPr>
    </w:p>
    <w:p w14:paraId="2E2F7AE4"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Fonts w:ascii="Verdana" w:hAnsi="Verdana" w:cs="Arial"/>
          <w:color w:val="000000"/>
          <w:sz w:val="16"/>
          <w:szCs w:val="16"/>
          <w:lang w:val="es-ES"/>
        </w:rPr>
        <w:t>La Entidad Estatal, para la contratación de trabajos artísticos que solamente puedan en</w:t>
      </w:r>
      <w:r w:rsidRPr="007D4515">
        <w:rPr>
          <w:rFonts w:ascii="Verdana" w:hAnsi="Verdana" w:cs="Arial"/>
          <w:color w:val="000000"/>
          <w:sz w:val="16"/>
          <w:szCs w:val="16"/>
          <w:lang w:val="es-ES"/>
        </w:rPr>
        <w:softHyphen/>
        <w:t>comendarse a determinadas personas naturales, debe justificar esta situación en los estudios y documentos previos”.</w:t>
      </w:r>
    </w:p>
    <w:p w14:paraId="6E8A45BB" w14:textId="77777777" w:rsidR="007D4515" w:rsidRPr="007D4515" w:rsidRDefault="007D4515" w:rsidP="007D4515">
      <w:pPr>
        <w:pStyle w:val="Textonotapie"/>
        <w:ind w:firstLine="709"/>
        <w:jc w:val="both"/>
        <w:rPr>
          <w:rFonts w:ascii="Verdana" w:hAnsi="Verdana" w:cs="Arial"/>
          <w:color w:val="000000"/>
          <w:sz w:val="16"/>
          <w:szCs w:val="16"/>
          <w:lang w:val="es-ES"/>
        </w:rPr>
      </w:pPr>
    </w:p>
  </w:footnote>
  <w:footnote w:id="14">
    <w:p w14:paraId="49A20D05"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Style w:val="Refdenotaalpie"/>
          <w:rFonts w:ascii="Verdana" w:hAnsi="Verdana" w:cs="Arial"/>
          <w:color w:val="000000"/>
          <w:sz w:val="16"/>
          <w:szCs w:val="16"/>
        </w:rPr>
        <w:footnoteRef/>
      </w:r>
      <w:r w:rsidRPr="007D4515">
        <w:rPr>
          <w:rFonts w:ascii="Verdana" w:hAnsi="Verdana" w:cs="Arial"/>
          <w:color w:val="000000"/>
          <w:sz w:val="16"/>
          <w:szCs w:val="16"/>
        </w:rPr>
        <w:t xml:space="preserve"> </w:t>
      </w:r>
      <w:r w:rsidRPr="007D4515">
        <w:rPr>
          <w:rFonts w:ascii="Verdana" w:hAnsi="Verdana" w:cs="Arial"/>
          <w:color w:val="000000"/>
          <w:sz w:val="16"/>
          <w:szCs w:val="16"/>
          <w:lang w:val="es-ES"/>
        </w:rPr>
        <w:t xml:space="preserve">CONSEJO DE ESTADO. Sección Tercera. Subsección C. Sentencia de Unificación del 2 de diciembre de 2013. </w:t>
      </w:r>
      <w:proofErr w:type="spellStart"/>
      <w:r w:rsidRPr="007D4515">
        <w:rPr>
          <w:rFonts w:ascii="Verdana" w:hAnsi="Verdana" w:cs="Arial"/>
          <w:color w:val="000000"/>
          <w:sz w:val="16"/>
          <w:szCs w:val="16"/>
          <w:lang w:val="es-ES"/>
        </w:rPr>
        <w:t>Exp</w:t>
      </w:r>
      <w:proofErr w:type="spellEnd"/>
      <w:r w:rsidRPr="007D4515">
        <w:rPr>
          <w:rFonts w:ascii="Verdana" w:hAnsi="Verdana" w:cs="Arial"/>
          <w:color w:val="000000"/>
          <w:sz w:val="16"/>
          <w:szCs w:val="16"/>
          <w:lang w:val="es-ES"/>
        </w:rPr>
        <w:t>. 41.719. C.P. Jaime Orlando Santofimio Gamboa.</w:t>
      </w:r>
    </w:p>
    <w:p w14:paraId="68DA5CD8" w14:textId="77777777" w:rsidR="007D4515" w:rsidRPr="007D4515" w:rsidRDefault="007D4515" w:rsidP="007D4515">
      <w:pPr>
        <w:pStyle w:val="Textonotapie"/>
        <w:ind w:firstLine="709"/>
        <w:jc w:val="both"/>
        <w:rPr>
          <w:rFonts w:ascii="Verdana" w:hAnsi="Verdana" w:cs="Arial"/>
          <w:color w:val="000000"/>
          <w:sz w:val="16"/>
          <w:szCs w:val="16"/>
          <w:lang w:val="es-ES"/>
        </w:rPr>
      </w:pPr>
    </w:p>
  </w:footnote>
  <w:footnote w:id="15">
    <w:p w14:paraId="1C28B71E"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Style w:val="Refdenotaalpie"/>
          <w:rFonts w:ascii="Verdana" w:hAnsi="Verdana" w:cs="Arial"/>
          <w:color w:val="000000"/>
          <w:sz w:val="16"/>
          <w:szCs w:val="16"/>
        </w:rPr>
        <w:footnoteRef/>
      </w:r>
      <w:r w:rsidRPr="007D4515">
        <w:rPr>
          <w:rFonts w:ascii="Verdana" w:hAnsi="Verdana" w:cs="Arial"/>
          <w:color w:val="000000"/>
          <w:sz w:val="16"/>
          <w:szCs w:val="16"/>
        </w:rPr>
        <w:t xml:space="preserve"> </w:t>
      </w:r>
      <w:proofErr w:type="spellStart"/>
      <w:r w:rsidRPr="007D4515">
        <w:rPr>
          <w:rFonts w:ascii="Verdana" w:hAnsi="Verdana" w:cs="Arial"/>
          <w:i/>
          <w:iCs/>
          <w:color w:val="000000"/>
          <w:sz w:val="16"/>
          <w:szCs w:val="16"/>
          <w:lang w:val="es-ES"/>
        </w:rPr>
        <w:t>Ibíd</w:t>
      </w:r>
      <w:proofErr w:type="spellEnd"/>
      <w:r w:rsidRPr="007D4515">
        <w:rPr>
          <w:rFonts w:ascii="Verdana" w:hAnsi="Verdana" w:cs="Arial"/>
          <w:color w:val="000000"/>
          <w:sz w:val="16"/>
          <w:szCs w:val="16"/>
          <w:lang w:val="es-ES"/>
        </w:rPr>
        <w:t>.</w:t>
      </w:r>
    </w:p>
    <w:p w14:paraId="6105BBE9" w14:textId="77777777" w:rsidR="007D4515" w:rsidRPr="007D4515" w:rsidRDefault="007D4515" w:rsidP="007D4515">
      <w:pPr>
        <w:pStyle w:val="Textonotapie"/>
        <w:ind w:firstLine="709"/>
        <w:jc w:val="both"/>
        <w:rPr>
          <w:rFonts w:ascii="Verdana" w:hAnsi="Verdana" w:cs="Arial"/>
          <w:color w:val="000000"/>
          <w:sz w:val="16"/>
          <w:szCs w:val="16"/>
          <w:lang w:val="es-ES"/>
        </w:rPr>
      </w:pPr>
    </w:p>
  </w:footnote>
  <w:footnote w:id="16">
    <w:p w14:paraId="3406B475" w14:textId="77777777" w:rsidR="007D4515" w:rsidRPr="007D4515" w:rsidRDefault="007D4515" w:rsidP="007D4515">
      <w:pPr>
        <w:pStyle w:val="Textonotapie"/>
        <w:ind w:firstLine="709"/>
        <w:jc w:val="both"/>
        <w:rPr>
          <w:rFonts w:ascii="Verdana" w:hAnsi="Verdana" w:cs="Arial"/>
          <w:color w:val="000000"/>
          <w:sz w:val="16"/>
          <w:szCs w:val="16"/>
          <w:lang w:val="es-ES"/>
        </w:rPr>
      </w:pPr>
      <w:r w:rsidRPr="007D4515">
        <w:rPr>
          <w:rStyle w:val="Refdenotaalpie"/>
          <w:rFonts w:ascii="Verdana" w:hAnsi="Verdana" w:cs="Arial"/>
          <w:color w:val="000000"/>
          <w:sz w:val="16"/>
          <w:szCs w:val="16"/>
        </w:rPr>
        <w:footnoteRef/>
      </w:r>
      <w:r w:rsidRPr="007D4515">
        <w:rPr>
          <w:rFonts w:ascii="Verdana" w:hAnsi="Verdana" w:cs="Arial"/>
          <w:color w:val="000000"/>
          <w:sz w:val="16"/>
          <w:szCs w:val="16"/>
        </w:rPr>
        <w:t xml:space="preserve"> </w:t>
      </w:r>
      <w:proofErr w:type="spellStart"/>
      <w:r w:rsidRPr="007D4515">
        <w:rPr>
          <w:rFonts w:ascii="Verdana" w:hAnsi="Verdana" w:cs="Arial"/>
          <w:i/>
          <w:iCs/>
          <w:color w:val="000000"/>
          <w:sz w:val="16"/>
          <w:szCs w:val="16"/>
          <w:lang w:val="es-ES"/>
        </w:rPr>
        <w:t>Ibíd</w:t>
      </w:r>
      <w:proofErr w:type="spellEnd"/>
      <w:r w:rsidRPr="007D4515">
        <w:rPr>
          <w:rFonts w:ascii="Verdana" w:hAnsi="Verdana" w:cs="Arial"/>
          <w:color w:val="000000"/>
          <w:sz w:val="16"/>
          <w:szCs w:val="16"/>
          <w:lang w:val="es-ES"/>
        </w:rPr>
        <w:t>.</w:t>
      </w:r>
    </w:p>
  </w:footnote>
  <w:footnote w:id="17">
    <w:p w14:paraId="3C79F8DD"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2E4D021D" w14:textId="77777777" w:rsidR="00CE45C7" w:rsidRPr="00D71B7F" w:rsidRDefault="00CE45C7" w:rsidP="00CE45C7">
      <w:pPr>
        <w:pStyle w:val="Textonotapie"/>
        <w:ind w:firstLine="709"/>
        <w:jc w:val="both"/>
        <w:rPr>
          <w:rFonts w:ascii="Verdana" w:hAnsi="Verdana" w:cs="Arial"/>
          <w:sz w:val="16"/>
          <w:szCs w:val="16"/>
        </w:rPr>
      </w:pPr>
      <w:r w:rsidRPr="00D71B7F">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p w14:paraId="5B56E57B" w14:textId="77777777" w:rsidR="00CE45C7" w:rsidRPr="00D71B7F" w:rsidRDefault="00CE45C7" w:rsidP="00CE45C7">
      <w:pPr>
        <w:pStyle w:val="Textonotapie"/>
        <w:ind w:firstLine="709"/>
        <w:jc w:val="both"/>
        <w:rPr>
          <w:rFonts w:ascii="Verdana" w:hAnsi="Verdana" w:cs="Arial"/>
          <w:sz w:val="16"/>
          <w:szCs w:val="16"/>
        </w:rPr>
      </w:pPr>
    </w:p>
  </w:footnote>
  <w:footnote w:id="18">
    <w:p w14:paraId="2FAE7C72"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Gaceta del Congreso de la República No. 71 del 2005.</w:t>
      </w:r>
    </w:p>
    <w:p w14:paraId="53E8F64F" w14:textId="77777777" w:rsidR="00CE45C7" w:rsidRPr="00D71B7F" w:rsidRDefault="00CE45C7" w:rsidP="00CE45C7">
      <w:pPr>
        <w:pStyle w:val="Textonotapie"/>
        <w:ind w:firstLine="709"/>
        <w:jc w:val="both"/>
        <w:rPr>
          <w:rFonts w:ascii="Verdana" w:hAnsi="Verdana" w:cs="Arial"/>
          <w:sz w:val="16"/>
          <w:szCs w:val="16"/>
        </w:rPr>
      </w:pPr>
    </w:p>
  </w:footnote>
  <w:footnote w:id="19">
    <w:p w14:paraId="2B3E06D2" w14:textId="77777777" w:rsidR="00CE45C7" w:rsidRPr="00D71B7F" w:rsidRDefault="00CE45C7" w:rsidP="00CE45C7">
      <w:pPr>
        <w:pStyle w:val="Textonotapie"/>
        <w:tabs>
          <w:tab w:val="left" w:pos="8145"/>
        </w:tabs>
        <w:ind w:firstLine="709"/>
        <w:jc w:val="both"/>
        <w:rPr>
          <w:rFonts w:ascii="Verdana" w:hAnsi="Verdana" w:cs="Arial"/>
          <w:sz w:val="16"/>
          <w:szCs w:val="16"/>
          <w:lang w:val="pt-PT"/>
        </w:rPr>
      </w:pPr>
      <w:r w:rsidRPr="00D71B7F">
        <w:rPr>
          <w:rStyle w:val="Refdenotaalpie"/>
          <w:rFonts w:ascii="Verdana" w:hAnsi="Verdana" w:cs="Arial"/>
          <w:sz w:val="16"/>
          <w:szCs w:val="16"/>
        </w:rPr>
        <w:footnoteRef/>
      </w:r>
      <w:r w:rsidRPr="00D71B7F">
        <w:rPr>
          <w:rFonts w:ascii="Verdana" w:hAnsi="Verdana" w:cs="Arial"/>
          <w:sz w:val="16"/>
          <w:szCs w:val="16"/>
          <w:lang w:val="pt-PT"/>
        </w:rPr>
        <w:t xml:space="preserve"> </w:t>
      </w:r>
      <w:r w:rsidRPr="00D71B7F">
        <w:rPr>
          <w:rFonts w:ascii="Verdana" w:hAnsi="Verdana" w:cs="Arial"/>
          <w:sz w:val="16"/>
          <w:szCs w:val="16"/>
          <w:lang w:val="pt-PT"/>
        </w:rPr>
        <w:t>Corte Constitucional. Sentencia C- 1153 de 2005, M.P: Marco Gerardo Monroy Cabra.</w:t>
      </w:r>
      <w:r w:rsidRPr="00D71B7F">
        <w:rPr>
          <w:rFonts w:ascii="Verdana" w:hAnsi="Verdana" w:cs="Arial"/>
          <w:sz w:val="16"/>
          <w:szCs w:val="16"/>
          <w:lang w:val="pt-PT"/>
        </w:rPr>
        <w:tab/>
      </w:r>
    </w:p>
    <w:p w14:paraId="05988321" w14:textId="77777777" w:rsidR="00CE45C7" w:rsidRPr="00D71B7F" w:rsidRDefault="00CE45C7" w:rsidP="00CE45C7">
      <w:pPr>
        <w:pStyle w:val="Textonotapie"/>
        <w:tabs>
          <w:tab w:val="left" w:pos="8145"/>
        </w:tabs>
        <w:ind w:firstLine="709"/>
        <w:jc w:val="both"/>
        <w:rPr>
          <w:rFonts w:ascii="Verdana" w:hAnsi="Verdana" w:cs="Arial"/>
          <w:sz w:val="16"/>
          <w:szCs w:val="16"/>
          <w:lang w:val="pt-PT"/>
        </w:rPr>
      </w:pPr>
    </w:p>
  </w:footnote>
  <w:footnote w:id="20">
    <w:p w14:paraId="46EB3E7D" w14:textId="77777777" w:rsidR="00CE45C7" w:rsidRPr="00D71B7F" w:rsidRDefault="00CE45C7" w:rsidP="00CE45C7">
      <w:pPr>
        <w:pStyle w:val="Textonotapie"/>
        <w:ind w:firstLine="709"/>
        <w:jc w:val="both"/>
        <w:rPr>
          <w:rFonts w:ascii="Verdana" w:hAnsi="Verdana" w:cs="Arial"/>
          <w:sz w:val="16"/>
          <w:szCs w:val="16"/>
          <w:lang w:val="pt-PT"/>
        </w:rPr>
      </w:pPr>
      <w:r w:rsidRPr="00D71B7F">
        <w:rPr>
          <w:rStyle w:val="Refdenotaalpie"/>
          <w:rFonts w:ascii="Verdana" w:hAnsi="Verdana" w:cs="Arial"/>
          <w:sz w:val="16"/>
          <w:szCs w:val="16"/>
        </w:rPr>
        <w:footnoteRef/>
      </w:r>
      <w:r w:rsidRPr="00D71B7F">
        <w:rPr>
          <w:rFonts w:ascii="Verdana" w:hAnsi="Verdana" w:cs="Arial"/>
          <w:sz w:val="16"/>
          <w:szCs w:val="16"/>
          <w:lang w:val="pt-PT"/>
        </w:rPr>
        <w:t xml:space="preserve"> </w:t>
      </w:r>
      <w:r w:rsidRPr="00D71B7F">
        <w:rPr>
          <w:rFonts w:ascii="Verdana" w:hAnsi="Verdana" w:cs="Arial"/>
          <w:sz w:val="16"/>
          <w:szCs w:val="16"/>
          <w:lang w:val="es-CO"/>
        </w:rPr>
        <w:t xml:space="preserve">Corte Constitucional. Sentencias: C-233 de 4 de abril de 2002. M.P: Álvaro Tafur Galvis; C-551 de 9 de julio de 2003. M.P: Eduardo Montealegre Lynnet; C-353 de 20 de mayo de 2009. M.P: Jorge Iván Palacio </w:t>
      </w:r>
      <w:proofErr w:type="spellStart"/>
      <w:r w:rsidRPr="00D71B7F">
        <w:rPr>
          <w:rFonts w:ascii="Verdana" w:hAnsi="Verdana" w:cs="Arial"/>
          <w:sz w:val="16"/>
          <w:szCs w:val="16"/>
          <w:lang w:val="es-CO"/>
        </w:rPr>
        <w:t>Palacio</w:t>
      </w:r>
      <w:proofErr w:type="spellEnd"/>
      <w:r w:rsidRPr="00D71B7F">
        <w:rPr>
          <w:rFonts w:ascii="Verdana" w:hAnsi="Verdana" w:cs="Arial"/>
          <w:sz w:val="16"/>
          <w:szCs w:val="16"/>
          <w:lang w:val="es-CO"/>
        </w:rPr>
        <w:t>; C-541 de 30 de junio de 2010. M.P: Gabriel Eduardo Mendoza Martelo; entre otras.</w:t>
      </w:r>
    </w:p>
    <w:p w14:paraId="49C90F69" w14:textId="77777777" w:rsidR="00CE45C7" w:rsidRPr="00D71B7F" w:rsidRDefault="00CE45C7" w:rsidP="00CE45C7">
      <w:pPr>
        <w:pStyle w:val="Textonotapie"/>
        <w:ind w:firstLine="709"/>
        <w:jc w:val="both"/>
        <w:rPr>
          <w:rFonts w:ascii="Verdana" w:hAnsi="Verdana" w:cs="Arial"/>
          <w:sz w:val="16"/>
          <w:szCs w:val="16"/>
          <w:lang w:val="pt-PT"/>
        </w:rPr>
      </w:pPr>
    </w:p>
  </w:footnote>
  <w:footnote w:id="21">
    <w:p w14:paraId="41610C5B" w14:textId="77777777" w:rsidR="00CE45C7" w:rsidRPr="00D71B7F" w:rsidRDefault="00CE45C7" w:rsidP="00CE45C7">
      <w:pPr>
        <w:pStyle w:val="Textonotapie"/>
        <w:ind w:firstLine="709"/>
        <w:jc w:val="both"/>
        <w:rPr>
          <w:rFonts w:ascii="Verdana" w:hAnsi="Verdana" w:cs="Arial"/>
          <w:sz w:val="16"/>
          <w:szCs w:val="16"/>
          <w:lang w:val="es-CO"/>
        </w:rPr>
      </w:pPr>
      <w:r w:rsidRPr="00D71B7F">
        <w:rPr>
          <w:rStyle w:val="Refdenotaalpie"/>
          <w:rFonts w:ascii="Verdana" w:hAnsi="Verdana" w:cs="Arial"/>
          <w:sz w:val="16"/>
          <w:szCs w:val="16"/>
        </w:rPr>
        <w:footnoteRef/>
      </w:r>
      <w:r w:rsidRPr="00D71B7F">
        <w:rPr>
          <w:rFonts w:ascii="Verdana" w:hAnsi="Verdana" w:cs="Arial"/>
          <w:sz w:val="16"/>
          <w:szCs w:val="16"/>
          <w:lang w:val="es-CO"/>
        </w:rPr>
        <w:t xml:space="preserve"> Consejo de Estado. Sala de lo Contencioso Administrativo. Sección Primera. Sentencia de 3 de marzo de 2005. Radicado: </w:t>
      </w:r>
      <w:r w:rsidRPr="00D71B7F">
        <w:rPr>
          <w:rFonts w:ascii="Verdana" w:hAnsi="Verdana" w:cs="Arial"/>
          <w:sz w:val="16"/>
          <w:szCs w:val="16"/>
          <w:lang w:val="es-ES"/>
        </w:rPr>
        <w:t xml:space="preserve">25001-23-15-000-2004-00823-01 (PI). </w:t>
      </w:r>
      <w:r w:rsidRPr="00D71B7F">
        <w:rPr>
          <w:rFonts w:ascii="Verdana" w:hAnsi="Verdana" w:cs="Arial"/>
          <w:sz w:val="16"/>
          <w:szCs w:val="16"/>
          <w:lang w:val="es-CO"/>
        </w:rPr>
        <w:t>C.P: Camilo Arciniegas Andrade. Ver también, de la Sección Tercera. Sentencia de 22 de enero de 2002, expediente número 2001-0148-01 y, Sección Tercera. Sentencia de 20 de noviembre de 2001, expediente número 2001-0130-01(PI), entre otras.</w:t>
      </w:r>
    </w:p>
    <w:p w14:paraId="4323D766" w14:textId="77777777" w:rsidR="00CE45C7" w:rsidRPr="00D71B7F" w:rsidRDefault="00CE45C7" w:rsidP="00CE45C7">
      <w:pPr>
        <w:pStyle w:val="Textonotapie"/>
        <w:ind w:firstLine="709"/>
        <w:jc w:val="both"/>
        <w:rPr>
          <w:rFonts w:ascii="Verdana" w:hAnsi="Verdana" w:cs="Arial"/>
          <w:sz w:val="16"/>
          <w:szCs w:val="16"/>
          <w:lang w:val="es-CO"/>
        </w:rPr>
      </w:pPr>
    </w:p>
  </w:footnote>
  <w:footnote w:id="22">
    <w:p w14:paraId="510B43D0"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24 de julio de 2013. Radicado: </w:t>
      </w:r>
      <w:r w:rsidRPr="00D71B7F">
        <w:rPr>
          <w:rFonts w:ascii="Verdana" w:hAnsi="Verdana" w:cs="Arial"/>
          <w:sz w:val="16"/>
          <w:szCs w:val="16"/>
          <w:lang w:val="es-CO"/>
        </w:rPr>
        <w:t xml:space="preserve">11001-03-06-000-2013-00407-00 </w:t>
      </w:r>
      <w:r w:rsidRPr="00D71B7F">
        <w:rPr>
          <w:rFonts w:ascii="Verdana" w:hAnsi="Verdana" w:cs="Arial"/>
          <w:sz w:val="16"/>
          <w:szCs w:val="16"/>
        </w:rPr>
        <w:t xml:space="preserve">(2166). C.P. Álvaro Namén Vargas.  </w:t>
      </w:r>
    </w:p>
    <w:p w14:paraId="383561A6" w14:textId="77777777" w:rsidR="00CE45C7" w:rsidRPr="00D71B7F" w:rsidRDefault="00CE45C7" w:rsidP="00CE45C7">
      <w:pPr>
        <w:pStyle w:val="Textonotapie"/>
        <w:ind w:firstLine="709"/>
        <w:jc w:val="both"/>
        <w:rPr>
          <w:rFonts w:ascii="Verdana" w:hAnsi="Verdana" w:cs="Arial"/>
          <w:sz w:val="16"/>
          <w:szCs w:val="16"/>
        </w:rPr>
      </w:pPr>
    </w:p>
  </w:footnote>
  <w:footnote w:id="23">
    <w:p w14:paraId="72EFE409" w14:textId="77777777" w:rsidR="00CE45C7" w:rsidRPr="00D71B7F" w:rsidRDefault="00CE45C7" w:rsidP="00CE45C7">
      <w:pPr>
        <w:spacing w:after="0" w:line="240" w:lineRule="auto"/>
        <w:ind w:firstLine="709"/>
        <w:jc w:val="both"/>
        <w:rPr>
          <w:rFonts w:ascii="Verdana" w:eastAsia="Times New Roman"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w:t>
      </w:r>
      <w:bookmarkStart w:id="7" w:name="33"/>
      <w:r w:rsidRPr="00D71B7F">
        <w:rPr>
          <w:rFonts w:ascii="Verdana" w:eastAsia="Calibri" w:hAnsi="Verdana" w:cs="Arial"/>
          <w:color w:val="000000"/>
          <w:sz w:val="16"/>
          <w:szCs w:val="16"/>
        </w:rPr>
        <w:t>“</w:t>
      </w:r>
      <w:r w:rsidRPr="00D71B7F">
        <w:rPr>
          <w:rFonts w:ascii="Verdana" w:eastAsia="Times New Roman" w:hAnsi="Verdana" w:cs="Arial"/>
          <w:sz w:val="16"/>
          <w:szCs w:val="16"/>
        </w:rPr>
        <w:t>Artículo 33. Restricciones a la contratación pública.</w:t>
      </w:r>
      <w:bookmarkEnd w:id="7"/>
      <w:r w:rsidRPr="00D71B7F">
        <w:rPr>
          <w:rFonts w:ascii="Verdana" w:eastAsia="Times New Roman" w:hAnsi="Verdana" w:cs="Arial"/>
          <w:sz w:val="16"/>
          <w:szCs w:val="16"/>
        </w:rPr>
        <w:t> Durante los cuatro (4) meses anteriores a la elección presidencial y hasta la realización de la elección en la segunda vuelta, si fuere el caso, queda prohibida la contratación directa por parte de todos los entes del Estado.</w:t>
      </w:r>
    </w:p>
    <w:p w14:paraId="780C1917" w14:textId="77777777" w:rsidR="00CE45C7" w:rsidRPr="00D71B7F" w:rsidRDefault="00CE45C7" w:rsidP="00CE45C7">
      <w:pPr>
        <w:spacing w:after="0" w:line="240" w:lineRule="auto"/>
        <w:ind w:firstLine="709"/>
        <w:jc w:val="both"/>
        <w:rPr>
          <w:rFonts w:ascii="Verdana" w:eastAsia="Times New Roman" w:hAnsi="Verdana" w:cs="Arial"/>
          <w:sz w:val="16"/>
          <w:szCs w:val="16"/>
        </w:rPr>
      </w:pPr>
      <w:r w:rsidRPr="00D71B7F">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032B6FE2" w14:textId="77777777" w:rsidR="00CE45C7" w:rsidRPr="00D71B7F" w:rsidRDefault="00CE45C7" w:rsidP="00CE45C7">
      <w:pPr>
        <w:spacing w:after="0" w:line="240" w:lineRule="auto"/>
        <w:ind w:firstLine="709"/>
        <w:jc w:val="both"/>
        <w:rPr>
          <w:rFonts w:ascii="Verdana" w:eastAsia="Times New Roman" w:hAnsi="Verdana" w:cs="Arial"/>
          <w:sz w:val="16"/>
          <w:szCs w:val="16"/>
        </w:rPr>
      </w:pPr>
    </w:p>
  </w:footnote>
  <w:footnote w:id="24">
    <w:p w14:paraId="346FF390" w14:textId="77777777" w:rsidR="00CE45C7" w:rsidRPr="00D71B7F" w:rsidRDefault="00CE45C7" w:rsidP="00CE45C7">
      <w:pPr>
        <w:pStyle w:val="NormalWeb"/>
        <w:spacing w:before="0" w:beforeAutospacing="0" w:after="0" w:afterAutospacing="0"/>
        <w:ind w:firstLine="709"/>
        <w:jc w:val="both"/>
        <w:rPr>
          <w:rFonts w:ascii="Verdana" w:hAnsi="Verdana" w:cs="Arial"/>
          <w:sz w:val="16"/>
          <w:szCs w:val="16"/>
          <w:lang w:val="es-MX"/>
        </w:rPr>
      </w:pPr>
      <w:r w:rsidRPr="00D71B7F">
        <w:rPr>
          <w:rStyle w:val="Refdenotaalpie"/>
          <w:rFonts w:ascii="Verdana" w:eastAsiaTheme="majorEastAsia" w:hAnsi="Verdana" w:cs="Arial"/>
          <w:sz w:val="16"/>
          <w:szCs w:val="16"/>
        </w:rPr>
        <w:footnoteRef/>
      </w:r>
      <w:r w:rsidRPr="00D71B7F">
        <w:rPr>
          <w:rFonts w:ascii="Verdana" w:hAnsi="Verdana" w:cs="Arial"/>
          <w:sz w:val="16"/>
          <w:szCs w:val="16"/>
        </w:rPr>
        <w:t xml:space="preserve"> </w:t>
      </w:r>
      <w:bookmarkStart w:id="8" w:name="38"/>
      <w:r w:rsidRPr="00D71B7F">
        <w:rPr>
          <w:rFonts w:ascii="Verdana" w:eastAsia="Calibri" w:hAnsi="Verdana" w:cs="Arial"/>
          <w:color w:val="000000"/>
          <w:sz w:val="16"/>
          <w:szCs w:val="16"/>
        </w:rPr>
        <w:t>“</w:t>
      </w:r>
      <w:r w:rsidRPr="00D71B7F">
        <w:rPr>
          <w:rFonts w:ascii="Verdana" w:hAnsi="Verdana" w:cs="Arial"/>
          <w:sz w:val="16"/>
          <w:szCs w:val="16"/>
          <w:lang w:val="es-MX"/>
        </w:rPr>
        <w:t>Artículo 38. Prohibiciones para los servidores públicos. A los empleados del Estado les está prohibido:</w:t>
      </w:r>
      <w:bookmarkEnd w:id="8"/>
    </w:p>
    <w:p w14:paraId="45DFB993" w14:textId="77777777" w:rsidR="00CE45C7" w:rsidRPr="00D71B7F" w:rsidRDefault="00CE45C7" w:rsidP="00CE45C7">
      <w:pPr>
        <w:pStyle w:val="NormalWeb"/>
        <w:spacing w:before="0" w:beforeAutospacing="0" w:after="0" w:afterAutospacing="0"/>
        <w:ind w:firstLine="709"/>
        <w:jc w:val="both"/>
        <w:rPr>
          <w:rFonts w:ascii="Verdana" w:hAnsi="Verdana" w:cs="Arial"/>
          <w:sz w:val="16"/>
          <w:szCs w:val="16"/>
          <w:lang w:val="es-MX"/>
        </w:rPr>
      </w:pPr>
      <w:r w:rsidRPr="00D71B7F">
        <w:rPr>
          <w:rFonts w:ascii="Verdana" w:hAnsi="Verdana" w:cs="Arial"/>
          <w:sz w:val="16"/>
          <w:szCs w:val="16"/>
          <w:lang w:val="es-MX"/>
        </w:rPr>
        <w:t>(…)</w:t>
      </w:r>
    </w:p>
    <w:p w14:paraId="32DF1A37" w14:textId="77777777" w:rsidR="00CE45C7" w:rsidRPr="00D71B7F" w:rsidRDefault="00CE45C7" w:rsidP="00CE45C7">
      <w:pPr>
        <w:pStyle w:val="NormalWeb"/>
        <w:spacing w:before="0" w:beforeAutospacing="0" w:after="0" w:afterAutospacing="0"/>
        <w:ind w:firstLine="709"/>
        <w:jc w:val="both"/>
        <w:rPr>
          <w:rFonts w:ascii="Verdana" w:eastAsia="Calibri" w:hAnsi="Verdana" w:cs="Arial"/>
          <w:color w:val="000000"/>
          <w:sz w:val="16"/>
          <w:szCs w:val="16"/>
        </w:rPr>
      </w:pPr>
      <w:r w:rsidRPr="00D71B7F">
        <w:rPr>
          <w:rStyle w:val="baj"/>
          <w:rFonts w:ascii="Verdana" w:hAnsi="Verdana" w:cs="Arial"/>
          <w:sz w:val="16"/>
          <w:szCs w:val="16"/>
          <w:lang w:val="es-MX"/>
        </w:rPr>
        <w:t>Parágrafo.</w:t>
      </w:r>
      <w:r w:rsidRPr="00D71B7F">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D71B7F">
        <w:rPr>
          <w:rFonts w:ascii="Verdana" w:eastAsia="Calibri" w:hAnsi="Verdana" w:cs="Arial"/>
          <w:color w:val="000000"/>
          <w:sz w:val="16"/>
          <w:szCs w:val="16"/>
        </w:rPr>
        <w:t>”.</w:t>
      </w:r>
    </w:p>
    <w:p w14:paraId="33FD7358" w14:textId="77777777" w:rsidR="00CE45C7" w:rsidRPr="00D71B7F" w:rsidRDefault="00CE45C7" w:rsidP="00CE45C7">
      <w:pPr>
        <w:pStyle w:val="NormalWeb"/>
        <w:spacing w:before="0" w:beforeAutospacing="0" w:after="0" w:afterAutospacing="0"/>
        <w:ind w:firstLine="709"/>
        <w:jc w:val="both"/>
        <w:rPr>
          <w:rFonts w:ascii="Verdana" w:hAnsi="Verdana" w:cs="Arial"/>
          <w:sz w:val="16"/>
          <w:szCs w:val="16"/>
          <w:lang w:val="es-MX"/>
        </w:rPr>
      </w:pPr>
    </w:p>
  </w:footnote>
  <w:footnote w:id="25">
    <w:p w14:paraId="1D3EB5C3" w14:textId="77777777" w:rsidR="00CE45C7" w:rsidRPr="00D71B7F" w:rsidRDefault="00CE45C7" w:rsidP="00CE45C7">
      <w:pPr>
        <w:tabs>
          <w:tab w:val="left" w:pos="2127"/>
        </w:tabs>
        <w:spacing w:after="0" w:line="240" w:lineRule="auto"/>
        <w:ind w:left="100" w:right="244"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17 de febrero de 2015. Radicado: 11001-03-06-000-2015-00164-00 (2269). C.P. William Zambrano Cetina.</w:t>
      </w:r>
    </w:p>
    <w:p w14:paraId="09CFB590" w14:textId="77777777" w:rsidR="00CE45C7" w:rsidRPr="00D71B7F" w:rsidRDefault="00CE45C7" w:rsidP="00CE45C7">
      <w:pPr>
        <w:spacing w:after="0" w:line="240" w:lineRule="auto"/>
        <w:ind w:left="100" w:right="244" w:firstLine="709"/>
        <w:jc w:val="both"/>
        <w:rPr>
          <w:rFonts w:ascii="Verdana" w:hAnsi="Verdana" w:cs="Arial"/>
          <w:sz w:val="16"/>
          <w:szCs w:val="16"/>
          <w:lang w:val="es-ES"/>
        </w:rPr>
      </w:pPr>
    </w:p>
  </w:footnote>
  <w:footnote w:id="26">
    <w:p w14:paraId="0074FFE0"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w:t>
      </w:r>
      <w:r w:rsidRPr="00D71B7F">
        <w:rPr>
          <w:rFonts w:ascii="Verdana" w:hAnsi="Verdana" w:cs="Arial"/>
          <w:sz w:val="16"/>
          <w:szCs w:val="16"/>
          <w:lang w:val="es-ES"/>
        </w:rPr>
        <w:t xml:space="preserve">[25] </w:t>
      </w:r>
      <w:r w:rsidRPr="00D71B7F">
        <w:rPr>
          <w:rFonts w:ascii="Verdana" w:hAnsi="Verdana" w:cs="Arial"/>
          <w:sz w:val="16"/>
          <w:szCs w:val="16"/>
        </w:rPr>
        <w:t>Cfr. Consejo de Estado. Sección Tercera. Sentencia de 3 de diciembre de 2007. Radicados: 24.715, 25.206, 25.409, 24.524, 27.834, 25.410, 26.105, 28.244, 31.447 -acumulados</w:t>
      </w:r>
      <w:proofErr w:type="gramStart"/>
      <w:r w:rsidRPr="00D71B7F">
        <w:rPr>
          <w:rFonts w:ascii="Verdana" w:hAnsi="Verdana" w:cs="Arial"/>
          <w:sz w:val="16"/>
          <w:szCs w:val="16"/>
        </w:rPr>
        <w:t>-“</w:t>
      </w:r>
      <w:proofErr w:type="gramEnd"/>
      <w:r w:rsidRPr="00D71B7F">
        <w:rPr>
          <w:rFonts w:ascii="Verdana" w:hAnsi="Verdana" w:cs="Arial"/>
          <w:sz w:val="16"/>
          <w:szCs w:val="16"/>
        </w:rPr>
        <w:t>.</w:t>
      </w:r>
    </w:p>
    <w:p w14:paraId="2388EE72" w14:textId="77777777" w:rsidR="00CE45C7" w:rsidRPr="00D71B7F" w:rsidRDefault="00CE45C7" w:rsidP="00CE45C7">
      <w:pPr>
        <w:pStyle w:val="Textonotapie"/>
        <w:ind w:firstLine="709"/>
        <w:jc w:val="both"/>
        <w:rPr>
          <w:rFonts w:ascii="Verdana" w:hAnsi="Verdana" w:cs="Arial"/>
          <w:sz w:val="16"/>
          <w:szCs w:val="16"/>
        </w:rPr>
      </w:pPr>
    </w:p>
  </w:footnote>
  <w:footnote w:id="27">
    <w:p w14:paraId="57305C7D"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w:t>
      </w:r>
      <w:bookmarkStart w:id="16" w:name="_Hlk74294506"/>
      <w:r w:rsidRPr="00D71B7F">
        <w:rPr>
          <w:rFonts w:ascii="Verdana" w:hAnsi="Verdana" w:cs="Arial"/>
          <w:sz w:val="16"/>
          <w:szCs w:val="16"/>
        </w:rPr>
        <w:t>“</w:t>
      </w:r>
      <w:r w:rsidRPr="00D71B7F">
        <w:rPr>
          <w:rFonts w:ascii="Verdana" w:hAnsi="Verdana" w:cs="Arial"/>
          <w:sz w:val="16"/>
          <w:szCs w:val="16"/>
          <w:lang w:val="es-ES"/>
        </w:rPr>
        <w:t xml:space="preserve">[26] </w:t>
      </w:r>
      <w:bookmarkEnd w:id="16"/>
      <w:r w:rsidRPr="00D71B7F">
        <w:rPr>
          <w:rFonts w:ascii="Verdana" w:hAnsi="Verdana" w:cs="Arial"/>
          <w:sz w:val="16"/>
          <w:szCs w:val="16"/>
        </w:rPr>
        <w:t>Al respecto ver el concepto 1712 de 2 de febrero de 2006. Consejo de Estado Sala de Consulta y Servicio Civil”.</w:t>
      </w:r>
    </w:p>
    <w:p w14:paraId="7558FAEA" w14:textId="77777777" w:rsidR="00CE45C7" w:rsidRPr="00D71B7F" w:rsidRDefault="00CE45C7" w:rsidP="00CE45C7">
      <w:pPr>
        <w:pStyle w:val="Textonotapie"/>
        <w:ind w:firstLine="709"/>
        <w:jc w:val="both"/>
        <w:rPr>
          <w:rFonts w:ascii="Verdana" w:hAnsi="Verdana" w:cs="Arial"/>
          <w:sz w:val="16"/>
          <w:szCs w:val="16"/>
        </w:rPr>
      </w:pPr>
    </w:p>
  </w:footnote>
  <w:footnote w:id="28">
    <w:p w14:paraId="719EE0E2"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2 de septiembre de 2013. Radicación número: 11001-03-06-000-2013-00412-00 (2168). C.P: Álvaro Namén Vargas.</w:t>
      </w:r>
    </w:p>
    <w:p w14:paraId="7726444C" w14:textId="77777777" w:rsidR="00CE45C7" w:rsidRPr="00D71B7F" w:rsidRDefault="00CE45C7" w:rsidP="00CE45C7">
      <w:pPr>
        <w:pStyle w:val="Textonotapie"/>
        <w:ind w:firstLine="709"/>
        <w:jc w:val="both"/>
        <w:rPr>
          <w:rFonts w:ascii="Verdana" w:hAnsi="Verdana" w:cs="Arial"/>
          <w:sz w:val="16"/>
          <w:szCs w:val="16"/>
        </w:rPr>
      </w:pPr>
    </w:p>
  </w:footnote>
  <w:footnote w:id="29">
    <w:p w14:paraId="1216FDBD" w14:textId="77777777" w:rsidR="00CE45C7" w:rsidRPr="00D71B7F" w:rsidRDefault="00CE45C7" w:rsidP="00CE45C7">
      <w:pPr>
        <w:pStyle w:val="Textonotapie"/>
        <w:ind w:firstLine="709"/>
        <w:rPr>
          <w:rFonts w:ascii="Verdana" w:hAnsi="Verdana" w:cs="Arial"/>
          <w:sz w:val="16"/>
          <w:szCs w:val="16"/>
          <w:lang w:val="es-ES"/>
        </w:rPr>
      </w:pPr>
      <w:r w:rsidRPr="00D71B7F">
        <w:rPr>
          <w:rStyle w:val="Refdenotaalpie"/>
          <w:rFonts w:ascii="Verdana" w:hAnsi="Verdana" w:cs="Arial"/>
          <w:sz w:val="16"/>
          <w:szCs w:val="16"/>
        </w:rPr>
        <w:footnoteRef/>
      </w:r>
      <w:r w:rsidRPr="00D71B7F">
        <w:rPr>
          <w:rFonts w:ascii="Verdana" w:hAnsi="Verdana" w:cs="Arial"/>
          <w:sz w:val="16"/>
          <w:szCs w:val="16"/>
        </w:rPr>
        <w:t xml:space="preserve"> </w:t>
      </w:r>
      <w:r w:rsidRPr="00D71B7F">
        <w:rPr>
          <w:rFonts w:ascii="Verdana" w:hAnsi="Verdana" w:cs="Arial"/>
          <w:sz w:val="16"/>
          <w:szCs w:val="16"/>
          <w:lang w:val="es-ES"/>
        </w:rPr>
        <w:t xml:space="preserve">Artículo 2. </w:t>
      </w:r>
    </w:p>
    <w:p w14:paraId="17110551" w14:textId="77777777" w:rsidR="00CE45C7" w:rsidRPr="00D71B7F" w:rsidRDefault="00CE45C7" w:rsidP="00CE45C7">
      <w:pPr>
        <w:pStyle w:val="Textonotapie"/>
        <w:ind w:firstLine="709"/>
        <w:rPr>
          <w:rFonts w:ascii="Verdana" w:hAnsi="Verdana" w:cs="Arial"/>
          <w:sz w:val="16"/>
          <w:szCs w:val="16"/>
          <w:lang w:val="es-ES"/>
        </w:rPr>
      </w:pPr>
    </w:p>
  </w:footnote>
  <w:footnote w:id="30">
    <w:p w14:paraId="0305BD1C" w14:textId="77777777" w:rsidR="00CE45C7" w:rsidRPr="00D71B7F" w:rsidRDefault="00CE45C7" w:rsidP="00CE45C7">
      <w:pPr>
        <w:pStyle w:val="Textonotapie"/>
        <w:ind w:firstLine="709"/>
        <w:rPr>
          <w:rFonts w:ascii="Verdana" w:hAnsi="Verdana" w:cs="Arial"/>
          <w:sz w:val="16"/>
          <w:szCs w:val="16"/>
          <w:lang w:val="es-ES"/>
        </w:rPr>
      </w:pPr>
      <w:r w:rsidRPr="00D71B7F">
        <w:rPr>
          <w:rStyle w:val="Refdenotaalpie"/>
          <w:rFonts w:ascii="Verdana" w:hAnsi="Verdana" w:cs="Arial"/>
          <w:sz w:val="16"/>
          <w:szCs w:val="16"/>
        </w:rPr>
        <w:footnoteRef/>
      </w:r>
      <w:r w:rsidRPr="00D71B7F">
        <w:rPr>
          <w:rFonts w:ascii="Verdana" w:hAnsi="Verdana" w:cs="Arial"/>
          <w:sz w:val="16"/>
          <w:szCs w:val="16"/>
        </w:rPr>
        <w:t xml:space="preserve"> </w:t>
      </w:r>
      <w:r w:rsidRPr="00D71B7F">
        <w:rPr>
          <w:rFonts w:ascii="Verdana" w:hAnsi="Verdana" w:cs="Arial"/>
          <w:i/>
          <w:sz w:val="16"/>
          <w:szCs w:val="16"/>
          <w:lang w:val="es-ES"/>
        </w:rPr>
        <w:t>Ídem</w:t>
      </w:r>
      <w:r w:rsidRPr="00D71B7F">
        <w:rPr>
          <w:rFonts w:ascii="Verdana" w:hAnsi="Verdana" w:cs="Arial"/>
          <w:sz w:val="16"/>
          <w:szCs w:val="16"/>
          <w:lang w:val="es-ES"/>
        </w:rPr>
        <w:t>.</w:t>
      </w:r>
    </w:p>
    <w:p w14:paraId="0E3495FE" w14:textId="77777777" w:rsidR="00CE45C7" w:rsidRPr="00D71B7F" w:rsidRDefault="00CE45C7" w:rsidP="00CE45C7">
      <w:pPr>
        <w:pStyle w:val="Textonotapie"/>
        <w:ind w:firstLine="709"/>
        <w:rPr>
          <w:rFonts w:ascii="Verdana" w:hAnsi="Verdana" w:cs="Arial"/>
          <w:sz w:val="16"/>
          <w:szCs w:val="16"/>
          <w:lang w:val="es-ES"/>
        </w:rPr>
      </w:pPr>
    </w:p>
  </w:footnote>
  <w:footnote w:id="31">
    <w:p w14:paraId="126AFB4F" w14:textId="77777777" w:rsidR="00CE45C7" w:rsidRPr="00D71B7F" w:rsidRDefault="00CE45C7" w:rsidP="00CE45C7">
      <w:pPr>
        <w:pStyle w:val="Textonotapie"/>
        <w:ind w:firstLine="709"/>
        <w:rPr>
          <w:rFonts w:ascii="Verdana" w:hAnsi="Verdana" w:cs="Arial"/>
          <w:sz w:val="16"/>
          <w:szCs w:val="16"/>
          <w:lang w:val="es-ES"/>
        </w:rPr>
      </w:pPr>
      <w:r w:rsidRPr="00D71B7F">
        <w:rPr>
          <w:rStyle w:val="Refdenotaalpie"/>
          <w:rFonts w:ascii="Verdana" w:hAnsi="Verdana" w:cs="Arial"/>
          <w:sz w:val="16"/>
          <w:szCs w:val="16"/>
        </w:rPr>
        <w:footnoteRef/>
      </w:r>
      <w:r w:rsidRPr="00D71B7F">
        <w:rPr>
          <w:rStyle w:val="Refdenotaalpie"/>
          <w:rFonts w:ascii="Verdana" w:hAnsi="Verdana" w:cs="Arial"/>
          <w:sz w:val="16"/>
          <w:szCs w:val="16"/>
        </w:rPr>
        <w:t xml:space="preserve"> </w:t>
      </w:r>
      <w:r w:rsidRPr="00D71B7F">
        <w:rPr>
          <w:rFonts w:ascii="Verdana" w:hAnsi="Verdana" w:cs="Arial"/>
          <w:sz w:val="16"/>
          <w:szCs w:val="16"/>
          <w:lang w:val="es-ES"/>
        </w:rPr>
        <w:t xml:space="preserve">[…] A este respecto, cabe recordar que el artículo 860 del Código de Comercio regula la licitación en el derecho privado. </w:t>
      </w:r>
    </w:p>
    <w:p w14:paraId="2D37BB80" w14:textId="77777777" w:rsidR="00CE45C7" w:rsidRPr="00D71B7F" w:rsidRDefault="00CE45C7" w:rsidP="00CE45C7">
      <w:pPr>
        <w:pStyle w:val="Textonotapie"/>
        <w:ind w:firstLine="709"/>
        <w:rPr>
          <w:rFonts w:ascii="Verdana" w:hAnsi="Verdana" w:cs="Arial"/>
          <w:sz w:val="16"/>
          <w:szCs w:val="16"/>
          <w:lang w:val="es-ES"/>
        </w:rPr>
      </w:pPr>
    </w:p>
  </w:footnote>
  <w:footnote w:id="32">
    <w:p w14:paraId="4E20E103" w14:textId="77777777" w:rsidR="00CE45C7" w:rsidRPr="00D71B7F" w:rsidRDefault="00CE45C7" w:rsidP="00CE45C7">
      <w:pPr>
        <w:shd w:val="clear" w:color="auto" w:fill="FFFFFF"/>
        <w:spacing w:after="0" w:line="240" w:lineRule="auto"/>
        <w:ind w:firstLine="709"/>
        <w:jc w:val="both"/>
        <w:rPr>
          <w:rFonts w:ascii="Verdana" w:hAnsi="Verdana" w:cs="Arial"/>
          <w:sz w:val="16"/>
          <w:szCs w:val="16"/>
          <w:lang w:val="es-ES"/>
        </w:rPr>
      </w:pPr>
      <w:r w:rsidRPr="00D71B7F">
        <w:rPr>
          <w:rStyle w:val="Refdenotaalpie"/>
          <w:rFonts w:ascii="Verdana" w:hAnsi="Verdana" w:cs="Arial"/>
          <w:sz w:val="16"/>
          <w:szCs w:val="16"/>
        </w:rPr>
        <w:footnoteRef/>
      </w:r>
      <w:r w:rsidRPr="00D71B7F">
        <w:rPr>
          <w:rStyle w:val="Refdenotaalpie"/>
          <w:rFonts w:ascii="Verdana" w:hAnsi="Verdana" w:cs="Arial"/>
          <w:sz w:val="16"/>
          <w:szCs w:val="16"/>
        </w:rPr>
        <w:t xml:space="preserve"> </w:t>
      </w:r>
      <w:r w:rsidRPr="00D71B7F">
        <w:rPr>
          <w:rFonts w:ascii="Verdana" w:hAnsi="Verdana" w:cs="Arial"/>
          <w:sz w:val="16"/>
          <w:szCs w:val="16"/>
          <w:lang w:val="es-ES"/>
        </w:rPr>
        <w:t>Consejo de Estado. Sala de Consulta y Servicio Civil, Concepto de 8 de mayo de 2018. Radicación Número: 11001-03-06-000-2018-00095-00 (2382). C.P: Álvaro Namén Vargas.</w:t>
      </w:r>
    </w:p>
    <w:p w14:paraId="5E64FCD1" w14:textId="77777777" w:rsidR="00CE45C7" w:rsidRPr="00D71B7F" w:rsidRDefault="00CE45C7" w:rsidP="00CE45C7">
      <w:pPr>
        <w:shd w:val="clear" w:color="auto" w:fill="FFFFFF"/>
        <w:spacing w:after="0" w:line="240" w:lineRule="auto"/>
        <w:ind w:firstLine="709"/>
        <w:jc w:val="both"/>
        <w:rPr>
          <w:rFonts w:ascii="Verdana" w:hAnsi="Verdana" w:cs="Arial"/>
          <w:sz w:val="16"/>
          <w:szCs w:val="16"/>
          <w:lang w:val="es-ES"/>
        </w:rPr>
      </w:pPr>
    </w:p>
  </w:footnote>
  <w:footnote w:id="33">
    <w:p w14:paraId="6343B7C3"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08 de mayo de 2018. </w:t>
      </w:r>
      <w:proofErr w:type="spellStart"/>
      <w:r w:rsidRPr="00D71B7F">
        <w:rPr>
          <w:rFonts w:ascii="Verdana" w:hAnsi="Verdana" w:cs="Arial"/>
          <w:sz w:val="16"/>
          <w:szCs w:val="16"/>
        </w:rPr>
        <w:t>Exp</w:t>
      </w:r>
      <w:proofErr w:type="spellEnd"/>
      <w:r w:rsidRPr="00D71B7F">
        <w:rPr>
          <w:rFonts w:ascii="Verdana" w:hAnsi="Verdana" w:cs="Arial"/>
          <w:sz w:val="16"/>
          <w:szCs w:val="16"/>
        </w:rPr>
        <w:t>. 2.382. C.P. Álvaro Namén Vargas.</w:t>
      </w:r>
    </w:p>
    <w:p w14:paraId="37EDABE0" w14:textId="77777777" w:rsidR="00CE45C7" w:rsidRPr="00D71B7F" w:rsidRDefault="00CE45C7" w:rsidP="00CE45C7">
      <w:pPr>
        <w:pStyle w:val="Textonotapie"/>
        <w:ind w:firstLine="709"/>
        <w:jc w:val="both"/>
        <w:rPr>
          <w:rFonts w:ascii="Verdana" w:hAnsi="Verdana" w:cs="Arial"/>
          <w:sz w:val="16"/>
          <w:szCs w:val="16"/>
        </w:rPr>
      </w:pPr>
    </w:p>
  </w:footnote>
  <w:footnote w:id="34">
    <w:p w14:paraId="33E789C4" w14:textId="77777777" w:rsidR="00CE45C7" w:rsidRPr="00D71B7F" w:rsidRDefault="00CE45C7" w:rsidP="00CE45C7">
      <w:pPr>
        <w:pStyle w:val="Textonotapie"/>
        <w:ind w:firstLine="709"/>
        <w:jc w:val="both"/>
        <w:rPr>
          <w:rFonts w:ascii="Verdana" w:hAnsi="Verdana"/>
          <w:sz w:val="16"/>
          <w:szCs w:val="16"/>
          <w:lang w:val="es-ES"/>
        </w:rPr>
      </w:pPr>
      <w:r w:rsidRPr="00D71B7F">
        <w:rPr>
          <w:rStyle w:val="Refdenotaalpie"/>
          <w:rFonts w:ascii="Verdana" w:hAnsi="Verdana"/>
          <w:sz w:val="16"/>
          <w:szCs w:val="16"/>
        </w:rPr>
        <w:footnoteRef/>
      </w:r>
      <w:r w:rsidRPr="00D71B7F">
        <w:rPr>
          <w:rFonts w:ascii="Verdana" w:hAnsi="Verdana"/>
          <w:sz w:val="16"/>
          <w:szCs w:val="16"/>
        </w:rPr>
        <w:t xml:space="preserve"> </w:t>
      </w:r>
      <w:r w:rsidRPr="00D71B7F">
        <w:rPr>
          <w:rFonts w:ascii="Verdana" w:hAnsi="Verdana"/>
          <w:sz w:val="16"/>
          <w:szCs w:val="16"/>
          <w:lang w:val="es-ES"/>
        </w:rPr>
        <w:t xml:space="preserve">Agencia Nacional de Contratación Pública. Circular Externa 006 del 25 de septiembre de 2025. Disponible en </w:t>
      </w:r>
      <w:hyperlink r:id="rId1" w:history="1">
        <w:r w:rsidRPr="00D71B7F">
          <w:rPr>
            <w:rStyle w:val="Hipervnculo"/>
            <w:rFonts w:ascii="Verdana" w:hAnsi="Verdana"/>
            <w:sz w:val="16"/>
            <w:szCs w:val="16"/>
            <w:lang w:val="es-CO"/>
          </w:rPr>
          <w:t>006-de-2025-Circular-Externa-L996-ajustado-comentarios-BM-BID-Rev-ARSC-V3.d-1.pdf</w:t>
        </w:r>
      </w:hyperlink>
    </w:p>
    <w:p w14:paraId="549CF26D" w14:textId="77777777" w:rsidR="00CE45C7" w:rsidRPr="00D71B7F" w:rsidRDefault="00CE45C7" w:rsidP="00CE45C7">
      <w:pPr>
        <w:pStyle w:val="Textonotapie"/>
        <w:rPr>
          <w:rFonts w:ascii="Verdana" w:hAnsi="Verdana"/>
          <w:sz w:val="16"/>
          <w:szCs w:val="16"/>
          <w:lang w:val="es-ES"/>
        </w:rPr>
      </w:pPr>
    </w:p>
  </w:footnote>
  <w:footnote w:id="35">
    <w:p w14:paraId="240D31B7" w14:textId="77777777" w:rsidR="00CE45C7" w:rsidRPr="00D71B7F" w:rsidRDefault="00CE45C7" w:rsidP="00CE45C7">
      <w:pPr>
        <w:spacing w:after="0" w:line="240" w:lineRule="auto"/>
        <w:ind w:firstLine="709"/>
        <w:jc w:val="both"/>
        <w:rPr>
          <w:rFonts w:ascii="Verdana" w:hAnsi="Verdana" w:cs="Arial"/>
          <w:color w:val="000000" w:themeColor="text1"/>
          <w:sz w:val="16"/>
          <w:szCs w:val="16"/>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Concepto de 20 de febrero de 2006. Radicación Número: 11001-03-06-000-2006-00026-00 (1727). C.P: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p w14:paraId="29390576" w14:textId="77777777" w:rsidR="00CE45C7" w:rsidRPr="00D71B7F" w:rsidRDefault="00CE45C7" w:rsidP="00CE45C7">
      <w:pPr>
        <w:spacing w:after="0" w:line="240" w:lineRule="auto"/>
        <w:ind w:firstLine="709"/>
        <w:jc w:val="both"/>
        <w:rPr>
          <w:rFonts w:ascii="Verdana" w:hAnsi="Verdana" w:cs="Arial"/>
          <w:color w:val="000000" w:themeColor="text1"/>
          <w:sz w:val="16"/>
          <w:szCs w:val="16"/>
        </w:rPr>
      </w:pPr>
    </w:p>
  </w:footnote>
  <w:footnote w:id="36">
    <w:p w14:paraId="0B933A64" w14:textId="77777777" w:rsidR="00CE45C7" w:rsidRPr="00D71B7F" w:rsidRDefault="00CE45C7" w:rsidP="00CE45C7">
      <w:pPr>
        <w:pStyle w:val="Textonotapie"/>
        <w:ind w:firstLine="709"/>
        <w:jc w:val="both"/>
        <w:rPr>
          <w:rFonts w:ascii="Verdana" w:eastAsia="Times New Roman" w:hAnsi="Verdana" w:cs="Arial"/>
          <w:color w:val="000000" w:themeColor="text1"/>
          <w:sz w:val="16"/>
          <w:szCs w:val="16"/>
          <w:lang w:eastAsia="x-none"/>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Concepto de 6 de abril de 2006. Radicación Número: 11001-03-06-000-2006-00038-00 (1738). C.P: Enrique José Arboleda Perdomo:</w:t>
      </w:r>
      <w:r w:rsidRPr="00D71B7F">
        <w:rPr>
          <w:rFonts w:ascii="Verdana" w:eastAsia="Times New Roman" w:hAnsi="Verdana" w:cs="Arial"/>
          <w:color w:val="000000" w:themeColor="text1"/>
          <w:sz w:val="16"/>
          <w:szCs w:val="16"/>
          <w:lang w:eastAsia="x-none"/>
        </w:rPr>
        <w:t xml:space="preserve"> </w:t>
      </w:r>
      <w:bookmarkStart w:id="20" w:name="_Hlk97890572"/>
      <w:r w:rsidRPr="00D71B7F">
        <w:rPr>
          <w:rFonts w:ascii="Verdana" w:eastAsia="Times New Roman" w:hAnsi="Verdana" w:cs="Arial"/>
          <w:color w:val="000000" w:themeColor="text1"/>
          <w:sz w:val="16"/>
          <w:szCs w:val="16"/>
          <w:lang w:eastAsia="x-none"/>
        </w:rPr>
        <w:t>“</w:t>
      </w:r>
      <w:r w:rsidRPr="00D71B7F">
        <w:rPr>
          <w:rFonts w:ascii="Verdana" w:hAnsi="Verdana" w:cs="Arial"/>
          <w:color w:val="000000" w:themeColor="text1"/>
          <w:sz w:val="16"/>
          <w:szCs w:val="16"/>
        </w:rPr>
        <w:t xml:space="preserve">Si bien en el tema del concepto del que se extractaron </w:t>
      </w:r>
      <w:bookmarkEnd w:id="20"/>
      <w:r w:rsidRPr="00D71B7F">
        <w:rPr>
          <w:rFonts w:ascii="Verdana" w:hAnsi="Verdana" w:cs="Arial"/>
          <w:color w:val="000000" w:themeColor="text1"/>
          <w:sz w:val="16"/>
          <w:szCs w:val="16"/>
        </w:rPr>
        <w:t>los párrafos transcritos, se hacía referencia a las empresas de servicios públicos domiciliarios mixtas, la explicación dada cobija también a las empresas industriales y comerciales del estado y a las de crédito, pues todas ellas hacen parte de la definición de administración pública de la ley 489 de 1998, y además encajan dentro de la noción de todos los entes del Estado que trae la ley 996 de 2005 en el artículo 33, de manera que no es lógico pretender exonerarse de ésta prohibición alegando un régimen especial de los actos o contratos</w:t>
      </w:r>
      <w:r w:rsidRPr="00D71B7F">
        <w:rPr>
          <w:rFonts w:ascii="Verdana" w:eastAsia="Times New Roman" w:hAnsi="Verdana" w:cs="Arial"/>
          <w:color w:val="000000" w:themeColor="text1"/>
          <w:sz w:val="16"/>
          <w:szCs w:val="16"/>
          <w:lang w:eastAsia="x-none"/>
        </w:rPr>
        <w:t>”.</w:t>
      </w:r>
    </w:p>
    <w:p w14:paraId="2A33BC7C" w14:textId="77777777" w:rsidR="00CE45C7" w:rsidRPr="00D71B7F" w:rsidRDefault="00CE45C7" w:rsidP="00CE45C7">
      <w:pPr>
        <w:pStyle w:val="Textonotapie"/>
        <w:ind w:firstLine="709"/>
        <w:jc w:val="both"/>
        <w:rPr>
          <w:rFonts w:ascii="Verdana" w:hAnsi="Verdana" w:cs="Arial"/>
          <w:color w:val="000000" w:themeColor="text1"/>
          <w:sz w:val="16"/>
          <w:szCs w:val="16"/>
        </w:rPr>
      </w:pPr>
    </w:p>
  </w:footnote>
  <w:footnote w:id="37">
    <w:p w14:paraId="1DD2B6B1" w14:textId="77777777" w:rsidR="00CE45C7" w:rsidRPr="00D71B7F" w:rsidRDefault="00CE45C7" w:rsidP="00CE45C7">
      <w:pPr>
        <w:spacing w:after="0" w:line="240" w:lineRule="auto"/>
        <w:ind w:firstLine="709"/>
        <w:jc w:val="both"/>
        <w:rPr>
          <w:rFonts w:ascii="Verdana" w:hAnsi="Verdana" w:cs="Arial"/>
          <w:color w:val="000000" w:themeColor="text1"/>
          <w:sz w:val="16"/>
          <w:szCs w:val="16"/>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Concepto de 6 de abril de 2006. Radicación Número: 11001-03-06-000-2006-00038-00(1738). C.P: Enrique José Arboleda Perdomo. </w:t>
      </w:r>
    </w:p>
    <w:p w14:paraId="37B76F61" w14:textId="77777777" w:rsidR="00CE45C7" w:rsidRPr="00D71B7F" w:rsidRDefault="00CE45C7" w:rsidP="00CE45C7">
      <w:pPr>
        <w:spacing w:after="0" w:line="240" w:lineRule="auto"/>
        <w:ind w:firstLine="709"/>
        <w:jc w:val="both"/>
        <w:rPr>
          <w:rFonts w:ascii="Verdana" w:hAnsi="Verdana" w:cs="Arial"/>
          <w:color w:val="000000" w:themeColor="text1"/>
          <w:sz w:val="16"/>
          <w:szCs w:val="16"/>
        </w:rPr>
      </w:pPr>
    </w:p>
  </w:footnote>
  <w:footnote w:id="38">
    <w:p w14:paraId="1338B63B" w14:textId="77777777" w:rsidR="00CE45C7" w:rsidRPr="00D71B7F" w:rsidRDefault="00CE45C7" w:rsidP="00CE45C7">
      <w:pPr>
        <w:pStyle w:val="Textonotapie"/>
        <w:ind w:firstLine="709"/>
        <w:rPr>
          <w:rFonts w:ascii="Verdana" w:hAnsi="Verdana" w:cs="Arial"/>
          <w:color w:val="000000" w:themeColor="text1"/>
          <w:sz w:val="16"/>
          <w:szCs w:val="16"/>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ídem.</w:t>
      </w:r>
    </w:p>
    <w:p w14:paraId="01B3AEAF" w14:textId="77777777" w:rsidR="00CE45C7" w:rsidRPr="00D71B7F" w:rsidRDefault="00CE45C7" w:rsidP="00CE45C7">
      <w:pPr>
        <w:pStyle w:val="Textonotapie"/>
        <w:ind w:firstLine="709"/>
        <w:rPr>
          <w:rFonts w:ascii="Verdana" w:hAnsi="Verdana" w:cs="Arial"/>
          <w:color w:val="000000" w:themeColor="text1"/>
          <w:sz w:val="16"/>
          <w:szCs w:val="16"/>
        </w:rPr>
      </w:pPr>
    </w:p>
  </w:footnote>
  <w:footnote w:id="39">
    <w:p w14:paraId="65411A5B" w14:textId="77777777" w:rsidR="00CE45C7" w:rsidRPr="00D71B7F" w:rsidRDefault="00CE45C7" w:rsidP="00CE45C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La Corte Constitucional mediante Sentencia C-1153-05 de 11 de noviembre de 2005, Magistrado Ponente Marco Gerardo Monroy Cabra, efectuó el Control constitucional al Proyecto de Ley Estatutaria </w:t>
      </w:r>
      <w:proofErr w:type="spellStart"/>
      <w:r w:rsidRPr="00D71B7F">
        <w:rPr>
          <w:rFonts w:ascii="Verdana" w:hAnsi="Verdana" w:cs="Arial"/>
          <w:sz w:val="16"/>
          <w:szCs w:val="16"/>
        </w:rPr>
        <w:t>N°</w:t>
      </w:r>
      <w:proofErr w:type="spellEnd"/>
      <w:r w:rsidRPr="00D71B7F">
        <w:rPr>
          <w:rFonts w:ascii="Verdana" w:hAnsi="Verdana" w:cs="Arial"/>
          <w:sz w:val="16"/>
          <w:szCs w:val="16"/>
        </w:rPr>
        <w:t xml:space="preserve"> 216/05 Senado, </w:t>
      </w:r>
      <w:proofErr w:type="spellStart"/>
      <w:r w:rsidRPr="00D71B7F">
        <w:rPr>
          <w:rFonts w:ascii="Verdana" w:hAnsi="Verdana" w:cs="Arial"/>
          <w:sz w:val="16"/>
          <w:szCs w:val="16"/>
        </w:rPr>
        <w:t>N°</w:t>
      </w:r>
      <w:proofErr w:type="spellEnd"/>
      <w:r w:rsidRPr="00D71B7F">
        <w:rPr>
          <w:rFonts w:ascii="Verdana" w:hAnsi="Verdana" w:cs="Arial"/>
          <w:sz w:val="16"/>
          <w:szCs w:val="16"/>
        </w:rPr>
        <w:t xml:space="preserve"> 235-Cámara que dio lugar a la Ley de Garantías Electorales.</w:t>
      </w:r>
    </w:p>
    <w:p w14:paraId="0D9D0A67" w14:textId="77777777" w:rsidR="00CE45C7" w:rsidRPr="00D71B7F" w:rsidRDefault="00CE45C7" w:rsidP="00CE45C7">
      <w:pPr>
        <w:pStyle w:val="Textonotapie"/>
        <w:ind w:firstLine="709"/>
        <w:jc w:val="both"/>
        <w:rPr>
          <w:rFonts w:ascii="Verdana" w:hAnsi="Verdana" w:cs="Arial"/>
          <w:sz w:val="16"/>
          <w:szCs w:val="16"/>
        </w:rPr>
      </w:pPr>
    </w:p>
  </w:footnote>
  <w:footnote w:id="40">
    <w:p w14:paraId="5CA4C6C4" w14:textId="77777777" w:rsidR="00CE45C7" w:rsidRPr="00D71B7F" w:rsidRDefault="00CE45C7" w:rsidP="00CE45C7">
      <w:pPr>
        <w:pStyle w:val="Textonotapie"/>
        <w:ind w:firstLine="708"/>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18 de febrero 2010. Rad. 11001-03-06-000-2010-00006-00 (1985). C.P. Enrique José Arboleda Perdomo.</w:t>
      </w:r>
    </w:p>
    <w:p w14:paraId="386A33A2" w14:textId="77777777" w:rsidR="00CE45C7" w:rsidRPr="00D71B7F" w:rsidRDefault="00CE45C7" w:rsidP="00CE45C7">
      <w:pPr>
        <w:pStyle w:val="Textonotapie"/>
        <w:ind w:firstLine="708"/>
        <w:jc w:val="both"/>
        <w:rPr>
          <w:rFonts w:ascii="Verdana" w:hAnsi="Verdana" w:cs="Arial"/>
          <w:sz w:val="16"/>
          <w:szCs w:val="16"/>
        </w:rPr>
      </w:pPr>
    </w:p>
  </w:footnote>
  <w:footnote w:id="41">
    <w:p w14:paraId="5D4B8CF1" w14:textId="77777777" w:rsidR="00CE45C7" w:rsidRPr="00D71B7F" w:rsidRDefault="00CE45C7" w:rsidP="00CE45C7">
      <w:pPr>
        <w:pStyle w:val="Textonotapie"/>
        <w:ind w:firstLine="708"/>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Corte Constitucional. Sentencia C-1153 de 2005 M.P. Marco Gerardo Monroy Cabra. </w:t>
      </w:r>
    </w:p>
    <w:p w14:paraId="366AD125" w14:textId="77777777" w:rsidR="00CE45C7" w:rsidRPr="00D71B7F" w:rsidRDefault="00CE45C7" w:rsidP="00CE45C7">
      <w:pPr>
        <w:pStyle w:val="Textonotapie"/>
        <w:ind w:firstLine="708"/>
        <w:jc w:val="both"/>
        <w:rPr>
          <w:rFonts w:ascii="Verdana" w:hAnsi="Verdana" w:cs="Arial"/>
          <w:sz w:val="16"/>
          <w:szCs w:val="16"/>
        </w:rPr>
      </w:pPr>
    </w:p>
  </w:footnote>
  <w:footnote w:id="42">
    <w:p w14:paraId="3AE638E1" w14:textId="77777777" w:rsidR="00CE45C7" w:rsidRPr="00D71B7F" w:rsidRDefault="00CE45C7" w:rsidP="00CE45C7">
      <w:pPr>
        <w:pStyle w:val="Textonotapie"/>
        <w:ind w:firstLine="708"/>
        <w:jc w:val="both"/>
        <w:rPr>
          <w:rFonts w:ascii="Verdana" w:hAnsi="Verdana"/>
          <w:sz w:val="16"/>
          <w:szCs w:val="16"/>
          <w:lang w:val="es-CO"/>
        </w:rPr>
      </w:pPr>
      <w:r w:rsidRPr="00D71B7F">
        <w:rPr>
          <w:rStyle w:val="Refdenotaalpie"/>
          <w:rFonts w:ascii="Verdana" w:hAnsi="Verdana"/>
          <w:sz w:val="16"/>
          <w:szCs w:val="16"/>
        </w:rPr>
        <w:footnoteRef/>
      </w:r>
      <w:r w:rsidRPr="00D71B7F">
        <w:rPr>
          <w:rFonts w:ascii="Verdana" w:hAnsi="Verdana"/>
          <w:sz w:val="16"/>
          <w:szCs w:val="16"/>
        </w:rPr>
        <w:t xml:space="preserve"> Sobre el alcance de las normas equivalentes en el Código Civil chileno, CLARO SOLAR explica lo siguiente: “Las palabras de que el legislador se sirve pueden tener dos significaciones: el sentido vulgar y el sentido técnico. Según el artículo 20, ‘</w:t>
      </w:r>
      <w:r w:rsidRPr="00D71B7F">
        <w:rPr>
          <w:rFonts w:ascii="Verdana" w:hAnsi="Verdana"/>
          <w:i/>
          <w:sz w:val="16"/>
          <w:szCs w:val="16"/>
        </w:rPr>
        <w:t>las palabras de la ley se entenderán en su sentido natural y obvio, según el uso general de las mismas palabras</w:t>
      </w:r>
      <w:r w:rsidRPr="00D71B7F">
        <w:rPr>
          <w:rFonts w:ascii="Verdana" w:hAnsi="Verdana"/>
          <w:sz w:val="16"/>
          <w:szCs w:val="16"/>
        </w:rPr>
        <w:t>’, es decir, el uso de la gente educada. El Diccionario de la Lengua publicado por la Real Academia Española goza a este respecto de gran autoridad. ‘</w:t>
      </w:r>
      <w:r w:rsidRPr="00D71B7F">
        <w:rPr>
          <w:rFonts w:ascii="Verdana" w:hAnsi="Verdana"/>
          <w:i/>
          <w:sz w:val="16"/>
          <w:szCs w:val="16"/>
        </w:rPr>
        <w:t>Pero cuando el legislador</w:t>
      </w:r>
      <w:r w:rsidRPr="00D71B7F">
        <w:rPr>
          <w:rFonts w:ascii="Verdana" w:hAnsi="Verdana"/>
          <w:sz w:val="16"/>
          <w:szCs w:val="16"/>
        </w:rPr>
        <w:t xml:space="preserve">, agrega el artículo 20, </w:t>
      </w:r>
      <w:r w:rsidRPr="00D71B7F">
        <w:rPr>
          <w:rFonts w:ascii="Verdana" w:hAnsi="Verdana"/>
          <w:i/>
          <w:sz w:val="16"/>
          <w:szCs w:val="16"/>
        </w:rPr>
        <w:t>las haya definido expresamente para ciertas materias se les dará en éstas su significado legal</w:t>
      </w:r>
      <w:r w:rsidRPr="00D71B7F">
        <w:rPr>
          <w:rFonts w:ascii="Verdana" w:hAnsi="Verdana"/>
          <w:sz w:val="16"/>
          <w:szCs w:val="16"/>
        </w:rPr>
        <w:t>’. Por la inversa, según el artículo 21, ‘las palabras técnicas de toda ciencia o arte se tomarán en el sentido que les den los que profesan la misma ciencia o arte; a menos que aparezca claramente que se han tomado en sentido diverso’. Es de suponer que el legislador conozca bastante el idioma en que legisla y sea suficientemente instruido en la ciencia o arte para dar a las palabras de la lengua y a las palabras especiales de la ciencia o arte a que se refiere, el significado que les es propio; en el caso contrario, es necesario que ello</w:t>
      </w:r>
      <w:r w:rsidRPr="006C7BAC">
        <w:rPr>
          <w:rFonts w:ascii="Verdana" w:hAnsi="Verdana"/>
          <w:sz w:val="16"/>
          <w:szCs w:val="16"/>
        </w:rPr>
        <w:t xml:space="preserve"> </w:t>
      </w:r>
      <w:r w:rsidRPr="00D71B7F">
        <w:rPr>
          <w:rFonts w:ascii="Verdana" w:hAnsi="Verdana"/>
          <w:sz w:val="16"/>
          <w:szCs w:val="16"/>
        </w:rPr>
        <w:t>aparezca de manifiesto y con toda claridad” (CLARO SOLAR, Luis. Explicaciones de derecho civil chileno y comparado. Volumen I. Tomo I. Santiago: Editorial Jurídica de Chile, 2013. p. 117. Énfasis dentro del texto).</w:t>
      </w:r>
    </w:p>
  </w:footnote>
  <w:footnote w:id="43">
    <w:p w14:paraId="2D20F1AC" w14:textId="77777777" w:rsidR="00CE45C7" w:rsidRDefault="00CE45C7" w:rsidP="00CE45C7">
      <w:pPr>
        <w:pStyle w:val="Textonotapie"/>
        <w:ind w:firstLine="709"/>
        <w:contextualSpacing/>
        <w:jc w:val="both"/>
        <w:rPr>
          <w:rFonts w:ascii="Verdana" w:hAnsi="Verdana" w:cs="Arial"/>
          <w:sz w:val="16"/>
          <w:szCs w:val="16"/>
        </w:rPr>
      </w:pPr>
      <w:r w:rsidRPr="00B8078E">
        <w:rPr>
          <w:rStyle w:val="Refdenotaalpie"/>
          <w:rFonts w:ascii="Verdana" w:hAnsi="Verdana"/>
          <w:sz w:val="16"/>
          <w:szCs w:val="16"/>
        </w:rPr>
        <w:footnoteRef/>
      </w:r>
      <w:r w:rsidRPr="00B8078E">
        <w:rPr>
          <w:rFonts w:ascii="Verdana" w:hAnsi="Verdana"/>
          <w:sz w:val="16"/>
          <w:szCs w:val="16"/>
        </w:rPr>
        <w:t xml:space="preserve"> </w:t>
      </w:r>
      <w:r w:rsidRPr="00B8078E">
        <w:rPr>
          <w:rFonts w:ascii="Verdana" w:hAnsi="Verdana" w:cs="Arial"/>
          <w:sz w:val="16"/>
          <w:szCs w:val="16"/>
        </w:rPr>
        <w:t xml:space="preserve">Consejo de Estado. Sala de lo Contencioso Administrativo. Sección Tercera. Sentencia del 21 de febrero de 2025. </w:t>
      </w:r>
      <w:proofErr w:type="spellStart"/>
      <w:r w:rsidRPr="00B8078E">
        <w:rPr>
          <w:rFonts w:ascii="Verdana" w:hAnsi="Verdana" w:cs="Arial"/>
          <w:sz w:val="16"/>
          <w:szCs w:val="16"/>
        </w:rPr>
        <w:t>Exp</w:t>
      </w:r>
      <w:proofErr w:type="spellEnd"/>
      <w:r w:rsidRPr="00B8078E">
        <w:rPr>
          <w:rFonts w:ascii="Verdana" w:hAnsi="Verdana" w:cs="Arial"/>
          <w:sz w:val="16"/>
          <w:szCs w:val="16"/>
        </w:rPr>
        <w:t>. 68.280. CP: José Roberto Sáchica Méndez.</w:t>
      </w:r>
    </w:p>
    <w:p w14:paraId="63E41678" w14:textId="77777777" w:rsidR="00CE45C7" w:rsidRPr="009D0D83" w:rsidRDefault="00CE45C7" w:rsidP="00CE45C7">
      <w:pPr>
        <w:pStyle w:val="Textonotapie"/>
        <w:ind w:firstLine="709"/>
        <w:contextualSpacing/>
        <w:jc w:val="both"/>
        <w:rPr>
          <w:rFonts w:ascii="Verdana" w:hAnsi="Verdana" w:cs="Arial"/>
          <w:sz w:val="16"/>
          <w:szCs w:val="16"/>
        </w:rPr>
      </w:pPr>
    </w:p>
  </w:footnote>
  <w:footnote w:id="44">
    <w:p w14:paraId="403EE245" w14:textId="77777777" w:rsidR="00CE45C7" w:rsidRPr="00B8078E" w:rsidRDefault="00CE45C7" w:rsidP="00CE45C7">
      <w:pPr>
        <w:pStyle w:val="Textonotapie"/>
        <w:ind w:firstLine="709"/>
        <w:contextualSpacing/>
        <w:jc w:val="both"/>
        <w:rPr>
          <w:rFonts w:ascii="Verdana" w:hAnsi="Verdana" w:cs="Arial"/>
          <w:sz w:val="16"/>
          <w:szCs w:val="16"/>
        </w:rPr>
      </w:pPr>
      <w:r w:rsidRPr="00B8078E">
        <w:rPr>
          <w:rFonts w:ascii="Verdana" w:hAnsi="Verdana"/>
          <w:sz w:val="16"/>
          <w:szCs w:val="16"/>
          <w:vertAlign w:val="superscript"/>
        </w:rPr>
        <w:footnoteRef/>
      </w:r>
      <w:r w:rsidRPr="00B8078E">
        <w:rPr>
          <w:rFonts w:ascii="Verdana" w:hAnsi="Verdana"/>
          <w:sz w:val="16"/>
          <w:szCs w:val="16"/>
          <w:vertAlign w:val="superscript"/>
        </w:rPr>
        <w:t xml:space="preserve"> </w:t>
      </w:r>
      <w:r w:rsidRPr="00B8078E">
        <w:rPr>
          <w:rFonts w:ascii="Verdana" w:hAnsi="Verdana" w:cs="Arial"/>
          <w:sz w:val="16"/>
          <w:szCs w:val="16"/>
        </w:rPr>
        <w:t>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14:paraId="477B4164" w14:textId="77777777" w:rsidR="00CE45C7" w:rsidRPr="00B8078E" w:rsidRDefault="00CE45C7" w:rsidP="00CE45C7">
      <w:pPr>
        <w:pStyle w:val="Textonotapie"/>
        <w:ind w:firstLine="709"/>
        <w:contextualSpacing/>
        <w:jc w:val="both"/>
        <w:rPr>
          <w:rFonts w:ascii="Verdana" w:hAnsi="Verdana" w:cs="Arial"/>
          <w:sz w:val="16"/>
          <w:szCs w:val="16"/>
        </w:rPr>
      </w:pPr>
    </w:p>
  </w:footnote>
  <w:footnote w:id="45">
    <w:p w14:paraId="5E886860" w14:textId="77777777" w:rsidR="00CE45C7" w:rsidRPr="00B8078E" w:rsidRDefault="00CE45C7" w:rsidP="00CE45C7">
      <w:pPr>
        <w:pStyle w:val="Textonotapie"/>
        <w:ind w:firstLine="709"/>
        <w:contextualSpacing/>
        <w:jc w:val="both"/>
        <w:rPr>
          <w:rFonts w:ascii="Verdana" w:hAnsi="Verdana" w:cs="Arial"/>
          <w:sz w:val="16"/>
          <w:szCs w:val="16"/>
        </w:rPr>
      </w:pPr>
      <w:r w:rsidRPr="00B8078E">
        <w:rPr>
          <w:rFonts w:ascii="Verdana" w:hAnsi="Verdana"/>
          <w:sz w:val="16"/>
          <w:szCs w:val="16"/>
          <w:vertAlign w:val="superscript"/>
        </w:rPr>
        <w:footnoteRef/>
      </w:r>
      <w:r w:rsidRPr="00B8078E">
        <w:rPr>
          <w:rFonts w:ascii="Verdana" w:hAnsi="Verdana" w:cs="Arial"/>
          <w:sz w:val="16"/>
          <w:szCs w:val="16"/>
          <w:vertAlign w:val="superscript"/>
        </w:rPr>
        <w:t xml:space="preserve"> </w:t>
      </w:r>
      <w:r w:rsidRPr="00B8078E">
        <w:rPr>
          <w:rFonts w:ascii="Verdana" w:hAnsi="Verdana" w:cs="Arial"/>
          <w:sz w:val="16"/>
          <w:szCs w:val="16"/>
        </w:rPr>
        <w:t>Ley 80 de 1993: “Artículo 41. Del perfeccionamiento del contrato. Los contratos del Estado se perfeccionan cuando se logre acuerdo sobre el objeto y la contraprestación y éste se eleve a escrito.</w:t>
      </w:r>
    </w:p>
    <w:p w14:paraId="32191CEB" w14:textId="77777777" w:rsidR="00CE45C7" w:rsidRPr="00B8078E" w:rsidRDefault="00CE45C7" w:rsidP="00CE45C7">
      <w:pPr>
        <w:pStyle w:val="Textonotapie"/>
        <w:ind w:firstLine="709"/>
        <w:contextualSpacing/>
        <w:jc w:val="both"/>
        <w:rPr>
          <w:rFonts w:ascii="Verdana" w:hAnsi="Verdana" w:cs="Arial"/>
          <w:sz w:val="16"/>
          <w:szCs w:val="16"/>
        </w:rPr>
      </w:pPr>
    </w:p>
  </w:footnote>
  <w:footnote w:id="46">
    <w:p w14:paraId="08772862" w14:textId="77777777" w:rsidR="00CE45C7" w:rsidRDefault="00CE45C7" w:rsidP="00CE45C7">
      <w:pPr>
        <w:pStyle w:val="Textonotapie"/>
        <w:ind w:firstLine="709"/>
        <w:contextualSpacing/>
        <w:jc w:val="both"/>
        <w:rPr>
          <w:rFonts w:ascii="Verdana" w:hAnsi="Verdana" w:cs="Arial"/>
          <w:sz w:val="16"/>
          <w:szCs w:val="16"/>
        </w:rPr>
      </w:pPr>
      <w:r w:rsidRPr="00B8078E">
        <w:rPr>
          <w:rFonts w:ascii="Verdana" w:hAnsi="Verdana"/>
          <w:sz w:val="16"/>
          <w:szCs w:val="16"/>
          <w:vertAlign w:val="superscript"/>
        </w:rPr>
        <w:footnoteRef/>
      </w:r>
      <w:r w:rsidRPr="00B8078E">
        <w:rPr>
          <w:rFonts w:ascii="Verdana" w:hAnsi="Verdana" w:cs="Arial"/>
          <w:sz w:val="16"/>
          <w:szCs w:val="16"/>
          <w:vertAlign w:val="superscript"/>
        </w:rPr>
        <w:t xml:space="preserve"> </w:t>
      </w:r>
      <w:r w:rsidRPr="00B8078E">
        <w:rPr>
          <w:rFonts w:ascii="Verdana" w:hAnsi="Verdana" w:cs="Arial"/>
          <w:sz w:val="16"/>
          <w:szCs w:val="16"/>
        </w:rPr>
        <w:t>Código Civil: “Artículo 27. Cuando el sentido de la ley sea claro, no se desatenderá su tenor a pretexto de consultar su espíritu”.</w:t>
      </w:r>
    </w:p>
    <w:p w14:paraId="5E54F63D" w14:textId="77777777" w:rsidR="00CE45C7" w:rsidRPr="00852048" w:rsidRDefault="00CE45C7" w:rsidP="00CE45C7">
      <w:pPr>
        <w:pStyle w:val="Textonotapie"/>
        <w:ind w:firstLine="709"/>
        <w:contextualSpacing/>
        <w:jc w:val="both"/>
        <w:rPr>
          <w:rFonts w:ascii="Verdana" w:hAnsi="Verdana"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59E7293"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576F1AF0" w14:textId="577351E6" w:rsidR="005F5DB0" w:rsidRPr="00C925AC" w:rsidRDefault="005F5DB0" w:rsidP="005F5DB0">
    <w:pPr>
      <w:tabs>
        <w:tab w:val="left" w:pos="1860"/>
      </w:tabs>
      <w:spacing w:after="0" w:line="480" w:lineRule="auto"/>
      <w:rPr>
        <w:rFonts w:ascii="Verdana" w:hAnsi="Verdana"/>
        <w:b/>
        <w:bCs/>
        <w:sz w:val="24"/>
        <w:szCs w:val="24"/>
      </w:rPr>
    </w:pPr>
    <w:r>
      <w:rPr>
        <w:rFonts w:ascii="Verdana" w:hAnsi="Verdana"/>
        <w:b/>
        <w:b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FBC25EC"/>
    <w:multiLevelType w:val="hybridMultilevel"/>
    <w:tmpl w:val="3F7C01B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9982792">
    <w:abstractNumId w:val="6"/>
  </w:num>
  <w:num w:numId="2" w16cid:durableId="132216212">
    <w:abstractNumId w:val="1"/>
  </w:num>
  <w:num w:numId="3" w16cid:durableId="1940872757">
    <w:abstractNumId w:val="4"/>
  </w:num>
  <w:num w:numId="4" w16cid:durableId="4117802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5558617">
    <w:abstractNumId w:val="1"/>
  </w:num>
  <w:num w:numId="6" w16cid:durableId="1576041752">
    <w:abstractNumId w:val="13"/>
  </w:num>
  <w:num w:numId="7" w16cid:durableId="590774167">
    <w:abstractNumId w:val="5"/>
  </w:num>
  <w:num w:numId="8" w16cid:durableId="1005479657">
    <w:abstractNumId w:val="12"/>
  </w:num>
  <w:num w:numId="9" w16cid:durableId="863058083">
    <w:abstractNumId w:val="7"/>
  </w:num>
  <w:num w:numId="10" w16cid:durableId="1942100095">
    <w:abstractNumId w:val="11"/>
  </w:num>
  <w:num w:numId="11" w16cid:durableId="363486969">
    <w:abstractNumId w:val="8"/>
  </w:num>
  <w:num w:numId="12" w16cid:durableId="505943570">
    <w:abstractNumId w:val="0"/>
  </w:num>
  <w:num w:numId="13" w16cid:durableId="451022090">
    <w:abstractNumId w:val="3"/>
  </w:num>
  <w:num w:numId="14" w16cid:durableId="1339580922">
    <w:abstractNumId w:val="14"/>
  </w:num>
  <w:num w:numId="15" w16cid:durableId="676005120">
    <w:abstractNumId w:val="10"/>
  </w:num>
  <w:num w:numId="16" w16cid:durableId="766967870">
    <w:abstractNumId w:val="2"/>
  </w:num>
  <w:num w:numId="17" w16cid:durableId="14928658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6686D"/>
    <w:rsid w:val="00073AF9"/>
    <w:rsid w:val="0007674C"/>
    <w:rsid w:val="00082362"/>
    <w:rsid w:val="0009082A"/>
    <w:rsid w:val="00097808"/>
    <w:rsid w:val="000A683E"/>
    <w:rsid w:val="000B19B9"/>
    <w:rsid w:val="000D0334"/>
    <w:rsid w:val="000D5DA7"/>
    <w:rsid w:val="000F4190"/>
    <w:rsid w:val="000F6486"/>
    <w:rsid w:val="00116940"/>
    <w:rsid w:val="00125105"/>
    <w:rsid w:val="00127233"/>
    <w:rsid w:val="001274CB"/>
    <w:rsid w:val="0015453B"/>
    <w:rsid w:val="0015699B"/>
    <w:rsid w:val="001A33BF"/>
    <w:rsid w:val="001B6AE2"/>
    <w:rsid w:val="001E0445"/>
    <w:rsid w:val="001E3741"/>
    <w:rsid w:val="001E39A3"/>
    <w:rsid w:val="001E4177"/>
    <w:rsid w:val="001F0B24"/>
    <w:rsid w:val="001F47B3"/>
    <w:rsid w:val="001F7DC6"/>
    <w:rsid w:val="00215713"/>
    <w:rsid w:val="0022400B"/>
    <w:rsid w:val="002421BB"/>
    <w:rsid w:val="00245739"/>
    <w:rsid w:val="002538C2"/>
    <w:rsid w:val="0025796E"/>
    <w:rsid w:val="002707A2"/>
    <w:rsid w:val="002825E7"/>
    <w:rsid w:val="002951A0"/>
    <w:rsid w:val="002962BC"/>
    <w:rsid w:val="002A093D"/>
    <w:rsid w:val="002A0DD0"/>
    <w:rsid w:val="002A49AC"/>
    <w:rsid w:val="002A64FD"/>
    <w:rsid w:val="002C7A84"/>
    <w:rsid w:val="002E0A05"/>
    <w:rsid w:val="002E2BF8"/>
    <w:rsid w:val="002E4FD9"/>
    <w:rsid w:val="0030657A"/>
    <w:rsid w:val="00312FE7"/>
    <w:rsid w:val="00322A85"/>
    <w:rsid w:val="00324168"/>
    <w:rsid w:val="00330834"/>
    <w:rsid w:val="00330ABE"/>
    <w:rsid w:val="00331D3B"/>
    <w:rsid w:val="00340609"/>
    <w:rsid w:val="003448F4"/>
    <w:rsid w:val="00361538"/>
    <w:rsid w:val="00374F5E"/>
    <w:rsid w:val="00377E3E"/>
    <w:rsid w:val="003A4C68"/>
    <w:rsid w:val="003A779E"/>
    <w:rsid w:val="003D0F4D"/>
    <w:rsid w:val="003D5B0D"/>
    <w:rsid w:val="003E0499"/>
    <w:rsid w:val="003E21B2"/>
    <w:rsid w:val="003E3DF9"/>
    <w:rsid w:val="003E4F80"/>
    <w:rsid w:val="003E6439"/>
    <w:rsid w:val="003F3941"/>
    <w:rsid w:val="003F4B0B"/>
    <w:rsid w:val="003F7E54"/>
    <w:rsid w:val="00406575"/>
    <w:rsid w:val="00414C74"/>
    <w:rsid w:val="0042722E"/>
    <w:rsid w:val="0044528D"/>
    <w:rsid w:val="004476A2"/>
    <w:rsid w:val="00451A9A"/>
    <w:rsid w:val="00465E87"/>
    <w:rsid w:val="00466E39"/>
    <w:rsid w:val="004932D2"/>
    <w:rsid w:val="004A1847"/>
    <w:rsid w:val="004A305D"/>
    <w:rsid w:val="004A5313"/>
    <w:rsid w:val="004A65B2"/>
    <w:rsid w:val="004F21C4"/>
    <w:rsid w:val="004F685F"/>
    <w:rsid w:val="005015E2"/>
    <w:rsid w:val="0050478F"/>
    <w:rsid w:val="0053258C"/>
    <w:rsid w:val="005566E8"/>
    <w:rsid w:val="00573D1D"/>
    <w:rsid w:val="00574867"/>
    <w:rsid w:val="00591460"/>
    <w:rsid w:val="005A5FB2"/>
    <w:rsid w:val="005A65E0"/>
    <w:rsid w:val="005C3777"/>
    <w:rsid w:val="005C3D1E"/>
    <w:rsid w:val="005C5CDC"/>
    <w:rsid w:val="005C6B14"/>
    <w:rsid w:val="005C7A85"/>
    <w:rsid w:val="005D476C"/>
    <w:rsid w:val="005F5DB0"/>
    <w:rsid w:val="005F7C63"/>
    <w:rsid w:val="006076BE"/>
    <w:rsid w:val="006200BF"/>
    <w:rsid w:val="006219F8"/>
    <w:rsid w:val="006302F7"/>
    <w:rsid w:val="00646B9F"/>
    <w:rsid w:val="00647D17"/>
    <w:rsid w:val="00665D70"/>
    <w:rsid w:val="0068368F"/>
    <w:rsid w:val="006900D9"/>
    <w:rsid w:val="006A21D0"/>
    <w:rsid w:val="006B6010"/>
    <w:rsid w:val="006D11AC"/>
    <w:rsid w:val="00700074"/>
    <w:rsid w:val="00706C16"/>
    <w:rsid w:val="0071582F"/>
    <w:rsid w:val="007340C3"/>
    <w:rsid w:val="007436E8"/>
    <w:rsid w:val="00747F54"/>
    <w:rsid w:val="0075235A"/>
    <w:rsid w:val="00752479"/>
    <w:rsid w:val="007551CB"/>
    <w:rsid w:val="00756841"/>
    <w:rsid w:val="007611DD"/>
    <w:rsid w:val="007649AB"/>
    <w:rsid w:val="00771D0C"/>
    <w:rsid w:val="007833AC"/>
    <w:rsid w:val="007B15C9"/>
    <w:rsid w:val="007B268C"/>
    <w:rsid w:val="007B582C"/>
    <w:rsid w:val="007B7171"/>
    <w:rsid w:val="007C0C0F"/>
    <w:rsid w:val="007C3DC2"/>
    <w:rsid w:val="007D15FE"/>
    <w:rsid w:val="007D1D1F"/>
    <w:rsid w:val="007D4515"/>
    <w:rsid w:val="007E5497"/>
    <w:rsid w:val="00806F5F"/>
    <w:rsid w:val="00820278"/>
    <w:rsid w:val="008258C9"/>
    <w:rsid w:val="00831865"/>
    <w:rsid w:val="00844AE9"/>
    <w:rsid w:val="008647AC"/>
    <w:rsid w:val="00867F95"/>
    <w:rsid w:val="00875611"/>
    <w:rsid w:val="008843B6"/>
    <w:rsid w:val="00891928"/>
    <w:rsid w:val="00896319"/>
    <w:rsid w:val="008A446D"/>
    <w:rsid w:val="008B25F1"/>
    <w:rsid w:val="008D180B"/>
    <w:rsid w:val="008D38E5"/>
    <w:rsid w:val="008E7A81"/>
    <w:rsid w:val="008F0EA7"/>
    <w:rsid w:val="00905CC9"/>
    <w:rsid w:val="00914549"/>
    <w:rsid w:val="00915524"/>
    <w:rsid w:val="009177D6"/>
    <w:rsid w:val="00923EEF"/>
    <w:rsid w:val="009419F9"/>
    <w:rsid w:val="0095685E"/>
    <w:rsid w:val="00961B09"/>
    <w:rsid w:val="009649D0"/>
    <w:rsid w:val="00965334"/>
    <w:rsid w:val="00965852"/>
    <w:rsid w:val="0097093E"/>
    <w:rsid w:val="00994E18"/>
    <w:rsid w:val="009A03EF"/>
    <w:rsid w:val="009A0DFA"/>
    <w:rsid w:val="009A1C6F"/>
    <w:rsid w:val="009A53D5"/>
    <w:rsid w:val="009B2D26"/>
    <w:rsid w:val="009C3B81"/>
    <w:rsid w:val="009C71FA"/>
    <w:rsid w:val="009C72E7"/>
    <w:rsid w:val="009C7F7E"/>
    <w:rsid w:val="009D3058"/>
    <w:rsid w:val="009E69EC"/>
    <w:rsid w:val="009F3A13"/>
    <w:rsid w:val="00A122D3"/>
    <w:rsid w:val="00A14468"/>
    <w:rsid w:val="00A17F13"/>
    <w:rsid w:val="00A17F81"/>
    <w:rsid w:val="00A20739"/>
    <w:rsid w:val="00A23AF9"/>
    <w:rsid w:val="00A33C78"/>
    <w:rsid w:val="00A46552"/>
    <w:rsid w:val="00A57096"/>
    <w:rsid w:val="00A6695B"/>
    <w:rsid w:val="00A9519D"/>
    <w:rsid w:val="00AB0ADB"/>
    <w:rsid w:val="00AC0982"/>
    <w:rsid w:val="00AD4578"/>
    <w:rsid w:val="00B00C0E"/>
    <w:rsid w:val="00B013ED"/>
    <w:rsid w:val="00B01B1A"/>
    <w:rsid w:val="00B0381D"/>
    <w:rsid w:val="00B03B48"/>
    <w:rsid w:val="00B06EB9"/>
    <w:rsid w:val="00B3110F"/>
    <w:rsid w:val="00B44A47"/>
    <w:rsid w:val="00B72CD3"/>
    <w:rsid w:val="00B72FFF"/>
    <w:rsid w:val="00B73DB3"/>
    <w:rsid w:val="00B80714"/>
    <w:rsid w:val="00B81E15"/>
    <w:rsid w:val="00B8311A"/>
    <w:rsid w:val="00BB116B"/>
    <w:rsid w:val="00BC3D36"/>
    <w:rsid w:val="00BD54A6"/>
    <w:rsid w:val="00BD7F72"/>
    <w:rsid w:val="00BF0BA8"/>
    <w:rsid w:val="00BF7425"/>
    <w:rsid w:val="00C00448"/>
    <w:rsid w:val="00C04FB3"/>
    <w:rsid w:val="00C11D8B"/>
    <w:rsid w:val="00C15139"/>
    <w:rsid w:val="00C330EB"/>
    <w:rsid w:val="00C50D69"/>
    <w:rsid w:val="00C5365C"/>
    <w:rsid w:val="00C754BE"/>
    <w:rsid w:val="00C76B1C"/>
    <w:rsid w:val="00C925AC"/>
    <w:rsid w:val="00CB4663"/>
    <w:rsid w:val="00CB6357"/>
    <w:rsid w:val="00CC1B26"/>
    <w:rsid w:val="00CC34A6"/>
    <w:rsid w:val="00CD7BA1"/>
    <w:rsid w:val="00CE45C7"/>
    <w:rsid w:val="00CF7D1E"/>
    <w:rsid w:val="00D07530"/>
    <w:rsid w:val="00D361FD"/>
    <w:rsid w:val="00D423A2"/>
    <w:rsid w:val="00D44E26"/>
    <w:rsid w:val="00D520D8"/>
    <w:rsid w:val="00D528C9"/>
    <w:rsid w:val="00D56E66"/>
    <w:rsid w:val="00D60876"/>
    <w:rsid w:val="00D62776"/>
    <w:rsid w:val="00D63AC2"/>
    <w:rsid w:val="00D7383B"/>
    <w:rsid w:val="00D7788A"/>
    <w:rsid w:val="00D9716A"/>
    <w:rsid w:val="00DA231B"/>
    <w:rsid w:val="00DB5A56"/>
    <w:rsid w:val="00DC39FC"/>
    <w:rsid w:val="00DC7866"/>
    <w:rsid w:val="00DD3E72"/>
    <w:rsid w:val="00DD5751"/>
    <w:rsid w:val="00DE2BC5"/>
    <w:rsid w:val="00DF5254"/>
    <w:rsid w:val="00E02524"/>
    <w:rsid w:val="00E16408"/>
    <w:rsid w:val="00E16FCB"/>
    <w:rsid w:val="00E20894"/>
    <w:rsid w:val="00E222BE"/>
    <w:rsid w:val="00E245AB"/>
    <w:rsid w:val="00E2764C"/>
    <w:rsid w:val="00E27F2E"/>
    <w:rsid w:val="00E50AFE"/>
    <w:rsid w:val="00E52EF3"/>
    <w:rsid w:val="00E67E79"/>
    <w:rsid w:val="00E75C92"/>
    <w:rsid w:val="00E771DC"/>
    <w:rsid w:val="00E82F01"/>
    <w:rsid w:val="00E8772A"/>
    <w:rsid w:val="00E90F6B"/>
    <w:rsid w:val="00E92C27"/>
    <w:rsid w:val="00E962EC"/>
    <w:rsid w:val="00EA0E3D"/>
    <w:rsid w:val="00EC38A7"/>
    <w:rsid w:val="00EC7CD8"/>
    <w:rsid w:val="00ED0886"/>
    <w:rsid w:val="00ED0AFE"/>
    <w:rsid w:val="00EE1AA8"/>
    <w:rsid w:val="00EF39AC"/>
    <w:rsid w:val="00EF73D6"/>
    <w:rsid w:val="00F23FEA"/>
    <w:rsid w:val="00F31EDC"/>
    <w:rsid w:val="00F462B3"/>
    <w:rsid w:val="00F5664F"/>
    <w:rsid w:val="00F666C4"/>
    <w:rsid w:val="00F75973"/>
    <w:rsid w:val="00F76AFC"/>
    <w:rsid w:val="00F929E6"/>
    <w:rsid w:val="00F93B3A"/>
    <w:rsid w:val="00FA47C0"/>
    <w:rsid w:val="00FB5B51"/>
    <w:rsid w:val="00FB5DD1"/>
    <w:rsid w:val="00FC2B5D"/>
    <w:rsid w:val="00FF1107"/>
    <w:rsid w:val="00FF1449"/>
    <w:rsid w:val="00FF7963"/>
    <w:rsid w:val="071B8F93"/>
    <w:rsid w:val="07C73DD1"/>
    <w:rsid w:val="09908A09"/>
    <w:rsid w:val="0EFE6349"/>
    <w:rsid w:val="0FCC24B4"/>
    <w:rsid w:val="0FF4CCA8"/>
    <w:rsid w:val="13CFC91B"/>
    <w:rsid w:val="19A2EC2C"/>
    <w:rsid w:val="21779BE6"/>
    <w:rsid w:val="238376C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2C21FB"/>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4D00E613-EE7D-4816-9045-D4FEA3BD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9A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CE45C7"/>
    <w:pPr>
      <w:spacing w:line="240" w:lineRule="exact"/>
    </w:pPr>
    <w:rPr>
      <w:vertAlign w:val="superscript"/>
    </w:rPr>
  </w:style>
  <w:style w:type="character" w:customStyle="1" w:styleId="NormalWebCar">
    <w:name w:val="Normal (Web) Car"/>
    <w:link w:val="NormalWeb"/>
    <w:uiPriority w:val="99"/>
    <w:locked/>
    <w:rsid w:val="00CE45C7"/>
    <w:rPr>
      <w:rFonts w:ascii="Times New Roman" w:eastAsia="Times New Roman" w:hAnsi="Times New Roman" w:cs="Times New Roman"/>
      <w:sz w:val="24"/>
      <w:szCs w:val="24"/>
      <w:lang w:eastAsia="es-CO"/>
    </w:rPr>
  </w:style>
  <w:style w:type="character" w:customStyle="1" w:styleId="baj">
    <w:name w:val="b_aj"/>
    <w:basedOn w:val="Fuentedeprrafopredeter"/>
    <w:rsid w:val="00CE45C7"/>
  </w:style>
  <w:style w:type="character" w:customStyle="1" w:styleId="scxw252875387">
    <w:name w:val="scxw252875387"/>
    <w:basedOn w:val="Fuentedeprrafopredeter"/>
    <w:rsid w:val="007551CB"/>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lombiacompra.gov.co/wp-content/uploads/2025/09/006-de-2025-Circular-Externa-L996-ajustado-comentarios-BM-BID-Rev-ARSC-V3.d-1.pdf"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wp-content/uploads/2025/09/006-de-2025-Circular-Externa-L996-ajustado-comentarios-BM-BID-Rev-ARSC-V3.d-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82A2FFE-6200-4D63-965B-66EB91E25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TotalTime>
  <Pages>39</Pages>
  <Words>12777</Words>
  <Characters>70274</Characters>
  <Application>Microsoft Office Word</Application>
  <DocSecurity>0</DocSecurity>
  <Lines>585</Lines>
  <Paragraphs>165</Paragraphs>
  <ScaleCrop>false</ScaleCrop>
  <Company/>
  <LinksUpToDate>false</LinksUpToDate>
  <CharactersWithSpaces>82886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Oscar David Mórelo Pedroza</cp:lastModifiedBy>
  <cp:revision>2</cp:revision>
  <cp:lastPrinted>2023-01-10T18:18:00Z</cp:lastPrinted>
  <dcterms:created xsi:type="dcterms:W3CDTF">2026-08-25T15:39:00Z</dcterms:created>
  <dcterms:modified xsi:type="dcterms:W3CDTF">2026-08-25T15:39:00Z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