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42AB9" w14:textId="77777777" w:rsidR="00097808" w:rsidRPr="006076BE" w:rsidRDefault="00097808" w:rsidP="00097808">
      <w:pPr>
        <w:tabs>
          <w:tab w:val="left" w:pos="0"/>
        </w:tabs>
        <w:spacing w:after="120" w:line="276" w:lineRule="auto"/>
        <w:jc w:val="both"/>
        <w:rPr>
          <w:rFonts w:ascii="Verdana" w:eastAsia="Aptos" w:hAnsi="Verdana" w:cs="Arial"/>
          <w:b/>
          <w:bCs/>
          <w:color w:val="000000"/>
          <w:sz w:val="20"/>
          <w:szCs w:val="20"/>
          <w:lang w:val="es-MX"/>
        </w:rPr>
      </w:pPr>
      <w:bookmarkStart w:id="0" w:name="_Hlk143780582"/>
    </w:p>
    <w:p w14:paraId="3CBEE245" w14:textId="1008F4E2" w:rsidR="00097808" w:rsidRPr="006076BE" w:rsidRDefault="00097808" w:rsidP="00097808">
      <w:pPr>
        <w:tabs>
          <w:tab w:val="left" w:pos="0"/>
        </w:tabs>
        <w:spacing w:after="120" w:line="276" w:lineRule="auto"/>
        <w:jc w:val="both"/>
        <w:rPr>
          <w:rFonts w:ascii="Verdana" w:eastAsia="Aptos" w:hAnsi="Verdana" w:cs="Arial"/>
          <w:b/>
          <w:bCs/>
          <w:color w:val="000000"/>
          <w:sz w:val="20"/>
          <w:szCs w:val="20"/>
          <w:lang w:val="es-MX"/>
        </w:rPr>
      </w:pPr>
      <w:r w:rsidRPr="006076BE">
        <w:rPr>
          <w:rFonts w:ascii="Verdana" w:eastAsia="Calibri" w:hAnsi="Verdana" w:cs="Arial"/>
          <w:b/>
          <w:bCs/>
          <w:lang w:val="es-ES" w:eastAsia="es-ES"/>
        </w:rPr>
        <w:t>CONTRATO DE PRESTACIÓN DE SERVICIOS</w:t>
      </w:r>
      <w:r w:rsidRPr="006076BE">
        <w:rPr>
          <w:rFonts w:ascii="Verdana" w:eastAsia="Calibri" w:hAnsi="Verdana" w:cs="Arial"/>
          <w:b/>
          <w:bCs/>
          <w:lang w:val="es-ES" w:eastAsia="es-ES"/>
        </w:rPr>
        <w:t xml:space="preserve"> </w:t>
      </w:r>
      <w:r w:rsidR="006076BE" w:rsidRPr="006076BE">
        <w:rPr>
          <w:rFonts w:ascii="Verdana" w:eastAsia="Calibri" w:hAnsi="Verdana" w:cs="Arial"/>
          <w:b/>
          <w:bCs/>
          <w:lang w:val="es-ES" w:eastAsia="es-ES"/>
        </w:rPr>
        <w:t>–</w:t>
      </w:r>
      <w:r w:rsidR="006076BE">
        <w:rPr>
          <w:rFonts w:ascii="Verdana" w:eastAsia="Calibri" w:hAnsi="Verdana" w:cs="Arial"/>
          <w:b/>
          <w:bCs/>
          <w:lang w:val="es-ES" w:eastAsia="es-ES"/>
        </w:rPr>
        <w:t xml:space="preserve"> </w:t>
      </w:r>
      <w:r w:rsidR="006076BE" w:rsidRPr="006076BE">
        <w:rPr>
          <w:rFonts w:ascii="Verdana" w:eastAsia="Calibri" w:hAnsi="Verdana" w:cs="Arial"/>
          <w:b/>
          <w:bCs/>
          <w:color w:val="000000"/>
          <w:lang w:val="es-ES"/>
        </w:rPr>
        <w:t>M</w:t>
      </w:r>
      <w:proofErr w:type="spellStart"/>
      <w:r w:rsidR="006076BE" w:rsidRPr="006076BE">
        <w:rPr>
          <w:rFonts w:ascii="Verdana" w:eastAsia="Calibri" w:hAnsi="Verdana" w:cs="Arial"/>
          <w:b/>
          <w:bCs/>
          <w:color w:val="000000"/>
          <w:lang w:val="es-ES_tradnl"/>
        </w:rPr>
        <w:t>odalidad</w:t>
      </w:r>
      <w:proofErr w:type="spellEnd"/>
      <w:r w:rsidR="006076BE" w:rsidRPr="006076BE">
        <w:rPr>
          <w:rFonts w:ascii="Verdana" w:eastAsia="Calibri" w:hAnsi="Verdana" w:cs="Arial"/>
          <w:b/>
          <w:bCs/>
          <w:color w:val="000000"/>
          <w:lang w:val="es-ES_tradnl"/>
        </w:rPr>
        <w:t xml:space="preserve"> de </w:t>
      </w:r>
      <w:r w:rsidR="006076BE" w:rsidRPr="006076BE">
        <w:rPr>
          <w:rFonts w:ascii="Verdana" w:eastAsia="Calibri" w:hAnsi="Verdana" w:cs="Arial"/>
          <w:b/>
          <w:bCs/>
          <w:color w:val="000000"/>
          <w:lang w:val="es-ES_tradnl"/>
        </w:rPr>
        <w:t>S</w:t>
      </w:r>
      <w:r w:rsidR="006076BE" w:rsidRPr="006076BE">
        <w:rPr>
          <w:rFonts w:ascii="Verdana" w:eastAsia="Calibri" w:hAnsi="Verdana" w:cs="Arial"/>
          <w:b/>
          <w:bCs/>
          <w:color w:val="000000"/>
          <w:lang w:val="es-ES_tradnl"/>
        </w:rPr>
        <w:t>elección</w:t>
      </w:r>
      <w:r w:rsidR="006076BE" w:rsidRPr="006076BE">
        <w:rPr>
          <w:rFonts w:ascii="Verdana" w:eastAsia="Calibri" w:hAnsi="Verdana" w:cs="Arial"/>
          <w:b/>
          <w:bCs/>
          <w:color w:val="000000"/>
          <w:lang w:val="es-ES_tradnl"/>
        </w:rPr>
        <w:t xml:space="preserve"> </w:t>
      </w:r>
    </w:p>
    <w:p w14:paraId="1EA968D0" w14:textId="50B7F856" w:rsidR="00097808" w:rsidRPr="00E222BE" w:rsidRDefault="00097808" w:rsidP="00097808">
      <w:pPr>
        <w:tabs>
          <w:tab w:val="left" w:pos="0"/>
        </w:tabs>
        <w:spacing w:after="120" w:line="276" w:lineRule="auto"/>
        <w:jc w:val="both"/>
        <w:rPr>
          <w:rFonts w:ascii="Verdana" w:eastAsia="Calibri" w:hAnsi="Verdana" w:cs="Arial"/>
          <w:color w:val="000000"/>
          <w:sz w:val="20"/>
          <w:szCs w:val="20"/>
          <w:lang w:val="es-ES_tradnl"/>
        </w:rPr>
      </w:pPr>
      <w:r w:rsidRPr="00E222BE">
        <w:rPr>
          <w:rFonts w:ascii="Verdana" w:eastAsia="Aptos" w:hAnsi="Verdana" w:cs="Arial"/>
          <w:color w:val="000000"/>
          <w:sz w:val="20"/>
          <w:szCs w:val="20"/>
          <w:lang w:val="es-MX"/>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E222BE">
        <w:rPr>
          <w:rFonts w:ascii="Verdana" w:eastAsia="Calibri" w:hAnsi="Verdana" w:cs="Arial"/>
          <w:color w:val="000000"/>
          <w:sz w:val="20"/>
          <w:szCs w:val="20"/>
          <w:lang w:val="es-ES_tradnl"/>
        </w:rPr>
        <w:t xml:space="preserve"> </w:t>
      </w:r>
    </w:p>
    <w:p w14:paraId="2098CDC8" w14:textId="77777777" w:rsidR="00097808" w:rsidRPr="00E222BE" w:rsidRDefault="00097808" w:rsidP="30821638">
      <w:pPr>
        <w:spacing w:after="0"/>
        <w:rPr>
          <w:rFonts w:ascii="Verdana" w:eastAsia="Verdana" w:hAnsi="Verdana" w:cs="Verdana"/>
          <w:sz w:val="20"/>
          <w:szCs w:val="20"/>
        </w:rPr>
      </w:pPr>
    </w:p>
    <w:p w14:paraId="6065B962" w14:textId="77777777" w:rsidR="006076BE" w:rsidRPr="00E222BE" w:rsidRDefault="006076BE" w:rsidP="006076BE">
      <w:pPr>
        <w:tabs>
          <w:tab w:val="left" w:pos="0"/>
        </w:tabs>
        <w:spacing w:after="0" w:line="276" w:lineRule="auto"/>
        <w:jc w:val="both"/>
        <w:rPr>
          <w:rFonts w:ascii="Verdana" w:eastAsia="Calibri" w:hAnsi="Verdana" w:cs="Arial"/>
          <w:color w:val="000000"/>
          <w:sz w:val="20"/>
          <w:szCs w:val="20"/>
          <w:lang w:val="es-ES_tradnl"/>
        </w:rPr>
      </w:pPr>
      <w:r w:rsidRPr="00E222BE">
        <w:rPr>
          <w:rFonts w:ascii="Verdana" w:eastAsia="Calibri" w:hAnsi="Verdana" w:cs="Arial"/>
          <w:color w:val="000000"/>
          <w:sz w:val="20"/>
          <w:szCs w:val="20"/>
          <w:lang w:val="es-ES_tradnl"/>
        </w:rPr>
        <w:t>Ahora bien, respecto de la modalidad de selección del contratista debe señalarse que, de acuerdo el literal h), numeral 4º, del artículo 2 de la Ley 1150 de 2007 señala que el contrato de prestación de servicios y profesionales, de apoyo a la gestión y de ejecución de trabajos artísticos debe efectuarse a través de la modalidad de contratación directa. Así, el artículo antes citado expresamente dispone:</w:t>
      </w:r>
    </w:p>
    <w:p w14:paraId="3985BFDD" w14:textId="77777777" w:rsidR="006076BE" w:rsidRPr="00E222BE" w:rsidRDefault="006076BE" w:rsidP="006076BE">
      <w:pPr>
        <w:spacing w:after="0" w:line="276" w:lineRule="auto"/>
        <w:ind w:right="709"/>
        <w:jc w:val="both"/>
        <w:rPr>
          <w:rFonts w:ascii="Verdana" w:eastAsia="Calibri" w:hAnsi="Verdana" w:cs="Arial"/>
          <w:color w:val="000000"/>
          <w:sz w:val="20"/>
          <w:szCs w:val="20"/>
          <w:lang w:val="es-ES_tradnl"/>
        </w:rPr>
      </w:pPr>
    </w:p>
    <w:p w14:paraId="5B1E6444" w14:textId="77777777" w:rsidR="006076BE" w:rsidRPr="00E222BE" w:rsidRDefault="006076BE" w:rsidP="006076BE">
      <w:pPr>
        <w:spacing w:after="0" w:line="240" w:lineRule="auto"/>
        <w:ind w:left="709" w:right="709"/>
        <w:contextualSpacing/>
        <w:jc w:val="both"/>
        <w:rPr>
          <w:rFonts w:ascii="Verdana" w:eastAsia="Calibri" w:hAnsi="Verdana" w:cs="Arial"/>
          <w:color w:val="000000"/>
          <w:sz w:val="20"/>
          <w:szCs w:val="20"/>
          <w:lang w:val="es-MX"/>
        </w:rPr>
      </w:pPr>
      <w:r w:rsidRPr="00E222BE">
        <w:rPr>
          <w:rFonts w:ascii="Verdana" w:eastAsia="Calibri" w:hAnsi="Verdana" w:cs="Arial"/>
          <w:color w:val="000000"/>
          <w:sz w:val="20"/>
          <w:szCs w:val="20"/>
          <w:lang w:val="es-MX"/>
        </w:rPr>
        <w:t>“La escogencia del contratista se efectuará con arreglo a las modalidades de selección de licitación pública, selección abreviada, concurso de méritos y contratación directa, con base en las siguientes reglas:</w:t>
      </w:r>
    </w:p>
    <w:p w14:paraId="37F95C85" w14:textId="77777777" w:rsidR="006076BE" w:rsidRPr="00E222BE" w:rsidRDefault="006076BE" w:rsidP="006076BE">
      <w:pPr>
        <w:spacing w:after="0" w:line="240" w:lineRule="auto"/>
        <w:ind w:left="709" w:right="709"/>
        <w:contextualSpacing/>
        <w:jc w:val="both"/>
        <w:rPr>
          <w:rFonts w:ascii="Verdana" w:eastAsia="Calibri" w:hAnsi="Verdana" w:cs="Arial"/>
          <w:color w:val="000000"/>
          <w:sz w:val="20"/>
          <w:szCs w:val="20"/>
          <w:lang w:val="es-MX"/>
        </w:rPr>
      </w:pPr>
      <w:r w:rsidRPr="00E222BE">
        <w:rPr>
          <w:rFonts w:ascii="Verdana" w:eastAsia="Calibri" w:hAnsi="Verdana" w:cs="Arial"/>
          <w:color w:val="000000"/>
          <w:sz w:val="20"/>
          <w:szCs w:val="20"/>
          <w:lang w:val="es-MX"/>
        </w:rPr>
        <w:t>[…]</w:t>
      </w:r>
    </w:p>
    <w:p w14:paraId="745F2FA8" w14:textId="77777777" w:rsidR="006076BE" w:rsidRPr="00E222BE" w:rsidRDefault="006076BE" w:rsidP="006076BE">
      <w:pPr>
        <w:spacing w:after="0" w:line="240" w:lineRule="auto"/>
        <w:ind w:left="709" w:right="709"/>
        <w:contextualSpacing/>
        <w:jc w:val="both"/>
        <w:rPr>
          <w:rFonts w:ascii="Verdana" w:eastAsia="Calibri" w:hAnsi="Verdana" w:cs="Arial"/>
          <w:color w:val="000000"/>
          <w:sz w:val="20"/>
          <w:szCs w:val="20"/>
          <w:lang w:val="es-MX"/>
        </w:rPr>
      </w:pPr>
      <w:r w:rsidRPr="00E222BE">
        <w:rPr>
          <w:rFonts w:ascii="Verdana" w:eastAsia="Calibri" w:hAnsi="Verdana" w:cs="Arial"/>
          <w:color w:val="000000"/>
          <w:sz w:val="20"/>
          <w:szCs w:val="20"/>
          <w:lang w:val="es-MX"/>
        </w:rPr>
        <w:t>4. Contratación directa. La modalidad de selección de contratación directa, solamente procederá en los siguientes casos:</w:t>
      </w:r>
    </w:p>
    <w:p w14:paraId="02B43BF7" w14:textId="77777777" w:rsidR="006076BE" w:rsidRPr="00E222BE" w:rsidRDefault="006076BE" w:rsidP="006076BE">
      <w:pPr>
        <w:spacing w:after="0" w:line="240" w:lineRule="auto"/>
        <w:ind w:left="709" w:right="709"/>
        <w:contextualSpacing/>
        <w:jc w:val="both"/>
        <w:rPr>
          <w:rFonts w:ascii="Verdana" w:eastAsia="Calibri" w:hAnsi="Verdana" w:cs="Arial"/>
          <w:color w:val="000000"/>
          <w:sz w:val="20"/>
          <w:szCs w:val="20"/>
          <w:lang w:val="es-MX"/>
        </w:rPr>
      </w:pPr>
      <w:r w:rsidRPr="00E222BE">
        <w:rPr>
          <w:rFonts w:ascii="Verdana" w:eastAsia="Calibri" w:hAnsi="Verdana" w:cs="Arial"/>
          <w:color w:val="000000"/>
          <w:sz w:val="20"/>
          <w:szCs w:val="20"/>
          <w:lang w:val="es-MX"/>
        </w:rPr>
        <w:t>[…]</w:t>
      </w:r>
    </w:p>
    <w:p w14:paraId="7BFBBC54" w14:textId="5BFCAEE8" w:rsidR="00097808" w:rsidRPr="00E222BE" w:rsidRDefault="006076BE" w:rsidP="00B81E15">
      <w:pPr>
        <w:spacing w:after="0" w:line="240" w:lineRule="auto"/>
        <w:ind w:left="709" w:right="709"/>
        <w:contextualSpacing/>
        <w:jc w:val="both"/>
        <w:rPr>
          <w:rFonts w:ascii="Verdana" w:eastAsia="Calibri" w:hAnsi="Verdana" w:cs="Arial"/>
          <w:color w:val="000000"/>
          <w:sz w:val="20"/>
          <w:szCs w:val="20"/>
          <w:lang w:val="es-MX"/>
        </w:rPr>
      </w:pPr>
      <w:r w:rsidRPr="00E222BE">
        <w:rPr>
          <w:rFonts w:ascii="Verdana" w:eastAsia="Calibri" w:hAnsi="Verdana" w:cs="Arial"/>
          <w:color w:val="000000"/>
          <w:sz w:val="20"/>
          <w:szCs w:val="20"/>
          <w:lang w:val="es-MX"/>
        </w:rPr>
        <w:t xml:space="preserve">h) Para la </w:t>
      </w:r>
      <w:r w:rsidRPr="00E222BE">
        <w:rPr>
          <w:rFonts w:ascii="Verdana" w:eastAsia="Calibri" w:hAnsi="Verdana" w:cs="Arial"/>
          <w:i/>
          <w:iCs/>
          <w:color w:val="000000"/>
          <w:sz w:val="20"/>
          <w:szCs w:val="20"/>
          <w:u w:val="single"/>
          <w:lang w:val="es-MX"/>
        </w:rPr>
        <w:t>prestación de servicios profesionales y de apoyo a la gestión, o para la ejecución de trabajos artísticos que sólo puedan encomendarse a determinadas personas naturales</w:t>
      </w:r>
      <w:r w:rsidRPr="00E222BE">
        <w:rPr>
          <w:rFonts w:ascii="Verdana" w:eastAsia="Calibri" w:hAnsi="Verdana" w:cs="Arial"/>
          <w:color w:val="000000"/>
          <w:sz w:val="20"/>
          <w:szCs w:val="20"/>
          <w:lang w:val="es-MX"/>
        </w:rPr>
        <w:t xml:space="preserve">”. [Énfasis fuera del texto </w:t>
      </w:r>
      <w:proofErr w:type="spellStart"/>
      <w:r w:rsidRPr="00E222BE">
        <w:rPr>
          <w:rFonts w:ascii="Verdana" w:eastAsia="Calibri" w:hAnsi="Verdana" w:cs="Arial"/>
          <w:color w:val="000000"/>
          <w:sz w:val="20"/>
          <w:szCs w:val="20"/>
          <w:lang w:val="es-MX"/>
        </w:rPr>
        <w:t>orginal</w:t>
      </w:r>
      <w:proofErr w:type="spellEnd"/>
      <w:r w:rsidRPr="00E222BE">
        <w:rPr>
          <w:rFonts w:ascii="Verdana" w:eastAsia="Calibri" w:hAnsi="Verdana" w:cs="Arial"/>
          <w:color w:val="000000"/>
          <w:sz w:val="20"/>
          <w:szCs w:val="20"/>
          <w:lang w:val="es-MX"/>
        </w:rPr>
        <w:t>]</w:t>
      </w:r>
    </w:p>
    <w:p w14:paraId="282A72B7" w14:textId="77777777" w:rsidR="00B81E15" w:rsidRPr="00E222BE" w:rsidRDefault="00B81E15" w:rsidP="00B81E15">
      <w:pPr>
        <w:spacing w:after="0" w:line="240" w:lineRule="auto"/>
        <w:ind w:left="709" w:right="709"/>
        <w:contextualSpacing/>
        <w:jc w:val="both"/>
        <w:rPr>
          <w:rFonts w:ascii="Verdana" w:eastAsia="Calibri" w:hAnsi="Verdana" w:cs="Arial"/>
          <w:color w:val="000000"/>
          <w:sz w:val="20"/>
          <w:szCs w:val="20"/>
          <w:lang w:val="es-MX"/>
        </w:rPr>
      </w:pPr>
    </w:p>
    <w:p w14:paraId="5E320744" w14:textId="77777777" w:rsidR="00B81E15" w:rsidRPr="00E222BE" w:rsidRDefault="00B81E15" w:rsidP="00B81E15">
      <w:pPr>
        <w:spacing w:after="0" w:line="240" w:lineRule="auto"/>
        <w:ind w:left="709" w:right="709"/>
        <w:contextualSpacing/>
        <w:jc w:val="both"/>
        <w:rPr>
          <w:rFonts w:ascii="Verdana" w:eastAsia="Calibri" w:hAnsi="Verdana" w:cs="Arial"/>
          <w:color w:val="000000"/>
          <w:sz w:val="20"/>
          <w:szCs w:val="20"/>
          <w:lang w:val="es-MX"/>
        </w:rPr>
      </w:pPr>
    </w:p>
    <w:p w14:paraId="7BED4179" w14:textId="77777777" w:rsidR="00B81E15" w:rsidRPr="00E222BE" w:rsidRDefault="00B81E15" w:rsidP="00B81E15">
      <w:pPr>
        <w:spacing w:after="0" w:line="240" w:lineRule="auto"/>
        <w:ind w:left="709" w:right="709"/>
        <w:contextualSpacing/>
        <w:jc w:val="both"/>
        <w:rPr>
          <w:rFonts w:ascii="Verdana" w:eastAsia="Calibri" w:hAnsi="Verdana" w:cs="Arial"/>
          <w:color w:val="000000"/>
          <w:sz w:val="20"/>
          <w:szCs w:val="20"/>
          <w:lang w:val="es-MX"/>
        </w:rPr>
      </w:pPr>
    </w:p>
    <w:p w14:paraId="0B348851" w14:textId="77777777" w:rsidR="00B81E15" w:rsidRPr="00E222BE" w:rsidRDefault="00B81E15" w:rsidP="00B81E15">
      <w:pPr>
        <w:spacing w:after="0" w:line="240" w:lineRule="auto"/>
        <w:ind w:left="709" w:right="709"/>
        <w:contextualSpacing/>
        <w:jc w:val="both"/>
        <w:rPr>
          <w:rFonts w:ascii="Verdana" w:eastAsia="Calibri" w:hAnsi="Verdana" w:cs="Arial"/>
          <w:color w:val="000000"/>
          <w:sz w:val="20"/>
          <w:szCs w:val="20"/>
          <w:lang w:val="es-MX"/>
        </w:rPr>
      </w:pPr>
    </w:p>
    <w:p w14:paraId="2E556477" w14:textId="77777777" w:rsidR="00B81E15" w:rsidRPr="00E222BE" w:rsidRDefault="00B81E15" w:rsidP="00B81E15">
      <w:pPr>
        <w:spacing w:after="0" w:line="240" w:lineRule="auto"/>
        <w:ind w:left="709" w:right="709"/>
        <w:contextualSpacing/>
        <w:jc w:val="both"/>
        <w:rPr>
          <w:rFonts w:ascii="Verdana" w:eastAsia="Calibri" w:hAnsi="Verdana" w:cs="Arial"/>
          <w:color w:val="000000"/>
          <w:sz w:val="20"/>
          <w:szCs w:val="20"/>
          <w:lang w:val="es-MX"/>
        </w:rPr>
      </w:pPr>
    </w:p>
    <w:p w14:paraId="0748C6AB" w14:textId="77777777" w:rsidR="00B81E15" w:rsidRPr="00E222BE" w:rsidRDefault="00B81E15" w:rsidP="00B81E15">
      <w:pPr>
        <w:spacing w:after="0" w:line="240" w:lineRule="auto"/>
        <w:ind w:left="709" w:right="709"/>
        <w:contextualSpacing/>
        <w:jc w:val="both"/>
        <w:rPr>
          <w:rFonts w:ascii="Verdana" w:eastAsia="Calibri" w:hAnsi="Verdana" w:cs="Arial"/>
          <w:color w:val="000000"/>
          <w:sz w:val="20"/>
          <w:szCs w:val="20"/>
          <w:lang w:val="es-MX"/>
        </w:rPr>
      </w:pPr>
    </w:p>
    <w:p w14:paraId="552C16D2" w14:textId="77777777" w:rsidR="00B81E15" w:rsidRPr="00E222BE" w:rsidRDefault="00B81E15" w:rsidP="00B81E15">
      <w:pPr>
        <w:spacing w:after="0" w:line="240" w:lineRule="auto"/>
        <w:ind w:left="709" w:right="709"/>
        <w:contextualSpacing/>
        <w:jc w:val="both"/>
        <w:rPr>
          <w:rFonts w:ascii="Verdana" w:eastAsia="Calibri" w:hAnsi="Verdana" w:cs="Arial"/>
          <w:color w:val="000000"/>
          <w:sz w:val="20"/>
          <w:szCs w:val="20"/>
          <w:lang w:val="es-MX"/>
        </w:rPr>
      </w:pPr>
    </w:p>
    <w:p w14:paraId="66F0341A" w14:textId="77777777" w:rsidR="00B81E15" w:rsidRPr="00E222BE" w:rsidRDefault="00B81E15" w:rsidP="00B81E15">
      <w:pPr>
        <w:spacing w:after="0" w:line="240" w:lineRule="auto"/>
        <w:ind w:left="709" w:right="709"/>
        <w:contextualSpacing/>
        <w:jc w:val="both"/>
        <w:rPr>
          <w:rFonts w:ascii="Verdana" w:eastAsia="Calibri" w:hAnsi="Verdana" w:cs="Arial"/>
          <w:color w:val="000000"/>
          <w:sz w:val="20"/>
          <w:szCs w:val="20"/>
          <w:lang w:val="es-MX"/>
        </w:rPr>
      </w:pPr>
    </w:p>
    <w:p w14:paraId="65FC05B8" w14:textId="77777777" w:rsidR="00B81E15" w:rsidRPr="00E222BE" w:rsidRDefault="00B81E15" w:rsidP="00B81E15">
      <w:pPr>
        <w:spacing w:after="0" w:line="240" w:lineRule="auto"/>
        <w:ind w:left="709" w:right="709"/>
        <w:contextualSpacing/>
        <w:jc w:val="both"/>
        <w:rPr>
          <w:rFonts w:ascii="Verdana" w:eastAsia="Calibri" w:hAnsi="Verdana" w:cs="Arial"/>
          <w:color w:val="000000"/>
          <w:sz w:val="20"/>
          <w:szCs w:val="20"/>
          <w:lang w:val="es-MX"/>
        </w:rPr>
      </w:pPr>
    </w:p>
    <w:p w14:paraId="57C824BA" w14:textId="77777777" w:rsidR="00B81E15" w:rsidRPr="00E222BE" w:rsidRDefault="00B81E15" w:rsidP="00B81E15">
      <w:pPr>
        <w:spacing w:after="0" w:line="240" w:lineRule="auto"/>
        <w:ind w:left="709" w:right="709"/>
        <w:contextualSpacing/>
        <w:jc w:val="both"/>
        <w:rPr>
          <w:rFonts w:ascii="Verdana" w:eastAsia="Calibri" w:hAnsi="Verdana" w:cs="Arial"/>
          <w:color w:val="000000"/>
          <w:sz w:val="20"/>
          <w:szCs w:val="20"/>
          <w:lang w:val="es-MX"/>
        </w:rPr>
      </w:pPr>
    </w:p>
    <w:p w14:paraId="0FA5C05A" w14:textId="77777777" w:rsidR="00B81E15" w:rsidRPr="00E222BE" w:rsidRDefault="00B81E15" w:rsidP="00B81E15">
      <w:pPr>
        <w:spacing w:after="0" w:line="240" w:lineRule="auto"/>
        <w:ind w:left="709" w:right="709"/>
        <w:contextualSpacing/>
        <w:jc w:val="both"/>
        <w:rPr>
          <w:rFonts w:ascii="Verdana" w:eastAsia="Calibri" w:hAnsi="Verdana" w:cs="Arial"/>
          <w:color w:val="000000"/>
          <w:sz w:val="20"/>
          <w:szCs w:val="20"/>
          <w:lang w:val="es-MX"/>
        </w:rPr>
      </w:pPr>
    </w:p>
    <w:p w14:paraId="4226F0CA" w14:textId="77777777" w:rsidR="00B81E15" w:rsidRPr="00E222BE" w:rsidRDefault="00B81E15" w:rsidP="00B81E15">
      <w:pPr>
        <w:spacing w:after="0" w:line="240" w:lineRule="auto"/>
        <w:ind w:left="709" w:right="709"/>
        <w:contextualSpacing/>
        <w:jc w:val="both"/>
        <w:rPr>
          <w:rFonts w:ascii="Verdana" w:eastAsia="Calibri" w:hAnsi="Verdana" w:cs="Arial"/>
          <w:color w:val="000000"/>
          <w:sz w:val="20"/>
          <w:szCs w:val="20"/>
          <w:lang w:val="es-MX"/>
        </w:rPr>
      </w:pPr>
    </w:p>
    <w:p w14:paraId="205B4C89" w14:textId="77777777" w:rsidR="00B81E15" w:rsidRDefault="00B81E15" w:rsidP="00B81E15">
      <w:pPr>
        <w:spacing w:after="0" w:line="240" w:lineRule="auto"/>
        <w:ind w:left="709" w:right="709"/>
        <w:contextualSpacing/>
        <w:jc w:val="both"/>
        <w:rPr>
          <w:rFonts w:ascii="Verdana" w:eastAsia="Calibri" w:hAnsi="Verdana" w:cs="Arial"/>
          <w:color w:val="000000"/>
          <w:sz w:val="20"/>
          <w:szCs w:val="20"/>
          <w:lang w:val="es-MX"/>
        </w:rPr>
      </w:pPr>
    </w:p>
    <w:p w14:paraId="6B4D342C" w14:textId="77777777" w:rsidR="00B81E15" w:rsidRDefault="00B81E15" w:rsidP="00B81E15">
      <w:pPr>
        <w:spacing w:after="0" w:line="240" w:lineRule="auto"/>
        <w:ind w:left="709" w:right="709"/>
        <w:contextualSpacing/>
        <w:jc w:val="both"/>
        <w:rPr>
          <w:rFonts w:ascii="Verdana" w:eastAsia="Calibri" w:hAnsi="Verdana" w:cs="Arial"/>
          <w:color w:val="000000"/>
          <w:sz w:val="20"/>
          <w:szCs w:val="20"/>
          <w:lang w:val="es-MX"/>
        </w:rPr>
      </w:pPr>
    </w:p>
    <w:p w14:paraId="47542CF9" w14:textId="77777777" w:rsidR="005F5DB0" w:rsidRDefault="005F5DB0" w:rsidP="00B81E15">
      <w:pPr>
        <w:spacing w:after="0" w:line="240" w:lineRule="auto"/>
        <w:ind w:left="709" w:right="709"/>
        <w:contextualSpacing/>
        <w:jc w:val="both"/>
        <w:rPr>
          <w:rFonts w:ascii="Verdana" w:eastAsia="Calibri" w:hAnsi="Verdana" w:cs="Arial"/>
          <w:color w:val="000000"/>
          <w:sz w:val="20"/>
          <w:szCs w:val="20"/>
          <w:lang w:val="es-MX"/>
        </w:rPr>
      </w:pPr>
    </w:p>
    <w:p w14:paraId="68791F45" w14:textId="77777777" w:rsidR="005F5DB0" w:rsidRDefault="005F5DB0" w:rsidP="00B81E15">
      <w:pPr>
        <w:spacing w:after="0" w:line="240" w:lineRule="auto"/>
        <w:ind w:left="709" w:right="709"/>
        <w:contextualSpacing/>
        <w:jc w:val="both"/>
        <w:rPr>
          <w:rFonts w:ascii="Verdana" w:eastAsia="Calibri" w:hAnsi="Verdana" w:cs="Arial"/>
          <w:color w:val="000000"/>
          <w:sz w:val="20"/>
          <w:szCs w:val="20"/>
          <w:lang w:val="es-MX"/>
        </w:rPr>
      </w:pPr>
    </w:p>
    <w:p w14:paraId="67388A47" w14:textId="154D6A9F" w:rsidR="00B81E15" w:rsidRDefault="00B81E15" w:rsidP="001E3741">
      <w:pPr>
        <w:tabs>
          <w:tab w:val="left" w:pos="2745"/>
        </w:tabs>
        <w:spacing w:after="0" w:line="240" w:lineRule="auto"/>
        <w:ind w:right="709"/>
        <w:contextualSpacing/>
        <w:jc w:val="both"/>
        <w:rPr>
          <w:rFonts w:ascii="Verdana" w:eastAsia="Calibri" w:hAnsi="Verdana" w:cs="Arial"/>
          <w:color w:val="000000"/>
          <w:sz w:val="20"/>
          <w:szCs w:val="20"/>
          <w:lang w:val="es-MX"/>
        </w:rPr>
      </w:pPr>
    </w:p>
    <w:p w14:paraId="33364556" w14:textId="77777777" w:rsidR="00B81E15" w:rsidRPr="00B81E15" w:rsidRDefault="00B81E15" w:rsidP="00B81E15">
      <w:pPr>
        <w:spacing w:after="0" w:line="240" w:lineRule="auto"/>
        <w:ind w:left="709" w:right="709"/>
        <w:contextualSpacing/>
        <w:jc w:val="both"/>
        <w:rPr>
          <w:rFonts w:ascii="Verdana" w:eastAsia="Calibri" w:hAnsi="Verdana" w:cs="Arial"/>
          <w:color w:val="000000"/>
          <w:sz w:val="20"/>
          <w:szCs w:val="20"/>
          <w:lang w:val="es-MX"/>
        </w:rPr>
      </w:pPr>
    </w:p>
    <w:p w14:paraId="34A66FFA" w14:textId="356CE875" w:rsidR="00097808" w:rsidRPr="00B81E15" w:rsidRDefault="003F4B0B" w:rsidP="30821638">
      <w:pPr>
        <w:spacing w:after="0"/>
        <w:rPr>
          <w:rFonts w:ascii="Verdana" w:eastAsia="Verdana" w:hAnsi="Verdana" w:cs="Verdana"/>
          <w:b/>
          <w:bCs/>
        </w:rPr>
      </w:pPr>
      <w:r w:rsidRPr="006076BE">
        <w:rPr>
          <w:rFonts w:ascii="Verdana" w:eastAsia="Calibri" w:hAnsi="Verdana" w:cs="Arial"/>
          <w:b/>
          <w:bCs/>
          <w:lang w:val="es-ES" w:eastAsia="es-ES"/>
        </w:rPr>
        <w:t>CONTRATO DE PRESTACIÓN DE SERVICIOS –</w:t>
      </w:r>
      <w:r w:rsidR="00ED0AFE">
        <w:rPr>
          <w:rFonts w:ascii="Verdana" w:eastAsia="Calibri" w:hAnsi="Verdana" w:cs="Arial"/>
          <w:b/>
          <w:bCs/>
          <w:lang w:val="es-ES" w:eastAsia="es-ES"/>
        </w:rPr>
        <w:t xml:space="preserve"> </w:t>
      </w:r>
      <w:r w:rsidR="00B81E15" w:rsidRPr="00B81E15">
        <w:rPr>
          <w:rFonts w:ascii="Verdana" w:eastAsia="Aptos" w:hAnsi="Verdana" w:cs="Arial"/>
          <w:b/>
          <w:bCs/>
          <w:color w:val="000000"/>
          <w:lang w:val="es-ES_tradnl"/>
        </w:rPr>
        <w:t>Características</w:t>
      </w:r>
    </w:p>
    <w:p w14:paraId="67B08DE9" w14:textId="77777777" w:rsidR="00097808" w:rsidRDefault="00097808" w:rsidP="30821638">
      <w:pPr>
        <w:spacing w:after="0"/>
        <w:rPr>
          <w:rFonts w:ascii="Verdana" w:eastAsia="Verdana" w:hAnsi="Verdana" w:cs="Verdana"/>
        </w:rPr>
      </w:pPr>
    </w:p>
    <w:p w14:paraId="2906B62C" w14:textId="29DD4F7E" w:rsidR="00ED0AFE" w:rsidRPr="001E3741" w:rsidRDefault="00ED0AFE" w:rsidP="00ED0AFE">
      <w:pPr>
        <w:spacing w:after="120" w:line="276" w:lineRule="auto"/>
        <w:jc w:val="both"/>
        <w:rPr>
          <w:rFonts w:ascii="Verdana" w:eastAsia="Aptos" w:hAnsi="Verdana" w:cs="Arial"/>
          <w:color w:val="000000"/>
          <w:sz w:val="20"/>
          <w:szCs w:val="20"/>
          <w:lang w:val="es-MX"/>
        </w:rPr>
      </w:pPr>
      <w:r w:rsidRPr="001E3741">
        <w:rPr>
          <w:rFonts w:ascii="Verdana" w:eastAsia="Aptos" w:hAnsi="Verdana" w:cs="Arial"/>
          <w:color w:val="000000"/>
          <w:sz w:val="20"/>
          <w:szCs w:val="20"/>
          <w:lang w:val="es-ES_tradnl"/>
        </w:rPr>
        <w:t>E</w:t>
      </w:r>
      <w:r w:rsidRPr="001E3741">
        <w:rPr>
          <w:rFonts w:ascii="Verdana" w:eastAsia="Aptos" w:hAnsi="Verdana" w:cs="Arial"/>
          <w:color w:val="000000"/>
          <w:sz w:val="20"/>
          <w:szCs w:val="20"/>
          <w:lang w:val="es-ES_tradnl"/>
        </w:rPr>
        <w:t xml:space="preserve">l contrato de prestación de servicios </w:t>
      </w:r>
      <w:r w:rsidRPr="001E3741">
        <w:rPr>
          <w:rFonts w:ascii="Verdana" w:eastAsia="Aptos" w:hAnsi="Verdana" w:cs="Arial"/>
          <w:i/>
          <w:iCs/>
          <w:color w:val="000000"/>
          <w:sz w:val="20"/>
          <w:szCs w:val="20"/>
          <w:lang w:val="es-ES_tradnl"/>
        </w:rPr>
        <w:t>profesionales</w:t>
      </w:r>
      <w:r w:rsidRPr="001E3741">
        <w:rPr>
          <w:rFonts w:ascii="Verdana" w:eastAsia="Aptos" w:hAnsi="Verdana" w:cs="Arial"/>
          <w:color w:val="000000"/>
          <w:sz w:val="20"/>
          <w:szCs w:val="20"/>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1E3741">
        <w:rPr>
          <w:rFonts w:ascii="Verdana" w:eastAsia="Aptos" w:hAnsi="Verdana" w:cs="Arial"/>
          <w:i/>
          <w:iCs/>
          <w:color w:val="000000"/>
          <w:sz w:val="20"/>
          <w:szCs w:val="20"/>
          <w:lang w:val="es-ES_tradnl"/>
        </w:rPr>
        <w:t>saber intelectivo cualificado.</w:t>
      </w:r>
      <w:r w:rsidRPr="001E3741">
        <w:rPr>
          <w:rFonts w:ascii="Verdana" w:eastAsia="Aptos" w:hAnsi="Verdana" w:cs="Arial"/>
          <w:color w:val="000000"/>
          <w:sz w:val="20"/>
          <w:szCs w:val="20"/>
          <w:lang w:val="es-ES_tradnl"/>
        </w:rPr>
        <w:t xml:space="preserve"> En cambio, los contratos de prestación de servicios de </w:t>
      </w:r>
      <w:r w:rsidRPr="001E3741">
        <w:rPr>
          <w:rFonts w:ascii="Verdana" w:eastAsia="Aptos" w:hAnsi="Verdana" w:cs="Arial"/>
          <w:i/>
          <w:iCs/>
          <w:color w:val="000000"/>
          <w:sz w:val="20"/>
          <w:szCs w:val="20"/>
          <w:lang w:val="es-ES_tradnl"/>
        </w:rPr>
        <w:t>apoyo a la gestión</w:t>
      </w:r>
      <w:r w:rsidRPr="001E3741">
        <w:rPr>
          <w:rFonts w:ascii="Verdana" w:eastAsia="Aptos" w:hAnsi="Verdana" w:cs="Arial"/>
          <w:color w:val="000000"/>
          <w:sz w:val="20"/>
          <w:szCs w:val="20"/>
          <w:lang w:val="es-ES_tradnl"/>
        </w:rPr>
        <w:t xml:space="preserve"> y de </w:t>
      </w:r>
      <w:r w:rsidRPr="001E3741">
        <w:rPr>
          <w:rFonts w:ascii="Verdana" w:eastAsia="Aptos" w:hAnsi="Verdana" w:cs="Arial"/>
          <w:i/>
          <w:iCs/>
          <w:color w:val="000000"/>
          <w:sz w:val="20"/>
          <w:szCs w:val="20"/>
          <w:lang w:val="es-ES_tradnl"/>
        </w:rPr>
        <w:t>servicios artísticos</w:t>
      </w:r>
      <w:r w:rsidRPr="001E3741">
        <w:rPr>
          <w:rFonts w:ascii="Verdana" w:eastAsia="Aptos" w:hAnsi="Verdana" w:cs="Arial"/>
          <w:color w:val="000000"/>
          <w:sz w:val="20"/>
          <w:szCs w:val="20"/>
          <w:lang w:val="es-ES_tradnl"/>
        </w:rPr>
        <w:t xml:space="preserve"> no involucran ese conocimiento profesional </w:t>
      </w:r>
      <w:r w:rsidRPr="001E3741">
        <w:rPr>
          <w:rFonts w:ascii="Verdana" w:eastAsia="Aptos" w:hAnsi="Verdana" w:cs="Arial"/>
          <w:color w:val="000000"/>
          <w:sz w:val="20"/>
          <w:szCs w:val="20"/>
          <w:lang w:val="es-MX"/>
        </w:rPr>
        <w:t xml:space="preserve">o especializados para su ejecución. En los contratos de apoyo a la gestión </w:t>
      </w:r>
      <w:r w:rsidRPr="001E3741">
        <w:rPr>
          <w:rFonts w:ascii="Verdana" w:eastAsia="Aptos" w:hAnsi="Verdana" w:cs="Arial"/>
          <w:color w:val="000000"/>
          <w:sz w:val="20"/>
          <w:szCs w:val="20"/>
          <w:lang w:val="es-ES_tradnl"/>
        </w:rPr>
        <w:t xml:space="preserve">el contratista desempeña un esfuerzo o actividad de apoyo, acompañamiento, o soporte, </w:t>
      </w:r>
      <w:r w:rsidRPr="001E3741">
        <w:rPr>
          <w:rFonts w:ascii="Verdana" w:eastAsia="Aptos" w:hAnsi="Verdana" w:cs="Arial"/>
          <w:color w:val="000000"/>
          <w:sz w:val="20"/>
          <w:szCs w:val="20"/>
          <w:lang w:val="es-MX"/>
        </w:rPr>
        <w:t xml:space="preserve">donde </w:t>
      </w:r>
      <w:r w:rsidRPr="001E3741">
        <w:rPr>
          <w:rFonts w:ascii="Verdana" w:eastAsia="Aptos" w:hAnsi="Verdana" w:cs="Arial"/>
          <w:color w:val="000000"/>
          <w:sz w:val="20"/>
          <w:szCs w:val="20"/>
          <w:lang w:val="es-ES_tradnl"/>
        </w:rPr>
        <w:t>“lo predominante es el actuar como ejecutor, con el propósito y finalidad de satisfacer necesidades de las entidades estatales en lo relacionado con la gestión administrativa o funcionamiento de la misma, por personas no profesionales y que no implican el ejercicio de funciones públicas administrativas”. Igualmente, en el contrato de prestación de servicios artísticos lo prevalente es que la persona que lo ejecute se trate de un artista, es decir, “una persona reconocida como realizador o productor de arte, de obras de arte, ejecutor de trabajos artísticos”, para lo cual es indiferente el carácter de profesional.</w:t>
      </w:r>
    </w:p>
    <w:p w14:paraId="0BAE71FA" w14:textId="77777777" w:rsidR="001B6AE2" w:rsidRDefault="001B6AE2" w:rsidP="001B6AE2">
      <w:pPr>
        <w:tabs>
          <w:tab w:val="left" w:pos="3780"/>
        </w:tabs>
        <w:spacing w:after="0"/>
        <w:rPr>
          <w:rFonts w:ascii="Verdana" w:eastAsia="Verdana" w:hAnsi="Verdana" w:cs="Verdana"/>
          <w:lang w:val="es-MX"/>
        </w:rPr>
      </w:pPr>
      <w:r>
        <w:rPr>
          <w:rFonts w:ascii="Verdana" w:eastAsia="Verdana" w:hAnsi="Verdana" w:cs="Verdana"/>
          <w:lang w:val="es-MX"/>
        </w:rPr>
        <w:tab/>
      </w:r>
    </w:p>
    <w:p w14:paraId="46E7375E" w14:textId="77777777" w:rsidR="001B6AE2" w:rsidRPr="001B6AE2" w:rsidRDefault="001B6AE2" w:rsidP="001B6AE2">
      <w:pPr>
        <w:tabs>
          <w:tab w:val="left" w:pos="3780"/>
        </w:tabs>
        <w:spacing w:after="0"/>
        <w:rPr>
          <w:rFonts w:ascii="Verdana" w:eastAsia="Verdana" w:hAnsi="Verdana" w:cs="Verdana"/>
          <w:b/>
          <w:bCs/>
          <w:lang w:val="es-MX"/>
        </w:rPr>
      </w:pPr>
    </w:p>
    <w:p w14:paraId="295C4CB2" w14:textId="751F688A" w:rsidR="001B6AE2" w:rsidRDefault="001B6AE2" w:rsidP="009A53D5">
      <w:pPr>
        <w:tabs>
          <w:tab w:val="left" w:pos="3780"/>
          <w:tab w:val="left" w:pos="4680"/>
        </w:tabs>
        <w:spacing w:after="0"/>
        <w:rPr>
          <w:rFonts w:ascii="Verdana" w:eastAsia="Calibri" w:hAnsi="Verdana" w:cs="Arial"/>
          <w:b/>
          <w:bCs/>
          <w:lang w:val="es-ES" w:eastAsia="es-ES"/>
        </w:rPr>
      </w:pPr>
      <w:r w:rsidRPr="001B6AE2">
        <w:rPr>
          <w:rFonts w:ascii="Verdana" w:eastAsia="Arial" w:hAnsi="Verdana" w:cs="Arial"/>
          <w:b/>
          <w:bCs/>
          <w:lang w:val="es-ES" w:eastAsia="es-ES" w:bidi="es-ES"/>
        </w:rPr>
        <w:t>LEY DE GARANTÍAS ELECTORALE</w:t>
      </w:r>
      <w:r>
        <w:rPr>
          <w:rFonts w:ascii="Verdana" w:eastAsia="Arial" w:hAnsi="Verdana" w:cs="Arial"/>
          <w:b/>
          <w:bCs/>
          <w:lang w:val="es-ES" w:eastAsia="es-ES" w:bidi="es-ES"/>
        </w:rPr>
        <w:t xml:space="preserve">S </w:t>
      </w:r>
      <w:r w:rsidRPr="006076BE">
        <w:rPr>
          <w:rFonts w:ascii="Verdana" w:eastAsia="Calibri" w:hAnsi="Verdana" w:cs="Arial"/>
          <w:b/>
          <w:bCs/>
          <w:lang w:val="es-ES" w:eastAsia="es-ES"/>
        </w:rPr>
        <w:t>–</w:t>
      </w:r>
      <w:r w:rsidRPr="001B6AE2">
        <w:rPr>
          <w:rFonts w:ascii="Verdana" w:eastAsia="Aptos" w:hAnsi="Verdana" w:cs="Arial"/>
          <w:color w:val="000000"/>
          <w:lang w:val="es-ES_tradnl"/>
        </w:rPr>
        <w:t xml:space="preserve"> </w:t>
      </w:r>
      <w:r w:rsidR="001E3741">
        <w:rPr>
          <w:rFonts w:ascii="Verdana" w:eastAsia="Aptos" w:hAnsi="Verdana" w:cs="Arial"/>
          <w:b/>
          <w:bCs/>
          <w:color w:val="000000"/>
          <w:lang w:val="es-ES_tradnl"/>
        </w:rPr>
        <w:t>P</w:t>
      </w:r>
      <w:r w:rsidR="001E3741" w:rsidRPr="001B6AE2">
        <w:rPr>
          <w:rFonts w:ascii="Verdana" w:eastAsia="Aptos" w:hAnsi="Verdana" w:cs="Arial"/>
          <w:b/>
          <w:bCs/>
          <w:color w:val="000000"/>
          <w:lang w:val="es-ES_tradnl"/>
        </w:rPr>
        <w:t>rohi</w:t>
      </w:r>
      <w:r w:rsidR="001E3741">
        <w:rPr>
          <w:rFonts w:ascii="Verdana" w:eastAsia="Aptos" w:hAnsi="Verdana" w:cs="Arial"/>
          <w:b/>
          <w:bCs/>
          <w:color w:val="000000"/>
          <w:lang w:val="es-ES_tradnl"/>
        </w:rPr>
        <w:t>bi</w:t>
      </w:r>
      <w:r w:rsidR="001E3741" w:rsidRPr="001B6AE2">
        <w:rPr>
          <w:rFonts w:ascii="Verdana" w:eastAsia="Aptos" w:hAnsi="Verdana" w:cs="Arial"/>
          <w:b/>
          <w:bCs/>
          <w:color w:val="000000"/>
          <w:lang w:val="es-ES_tradnl"/>
        </w:rPr>
        <w:t>cion</w:t>
      </w:r>
      <w:r w:rsidR="001E3741">
        <w:rPr>
          <w:rFonts w:ascii="Verdana" w:eastAsia="Aptos" w:hAnsi="Verdana" w:cs="Arial"/>
          <w:b/>
          <w:bCs/>
          <w:color w:val="000000"/>
          <w:lang w:val="es-ES_tradnl"/>
        </w:rPr>
        <w:t>es</w:t>
      </w:r>
      <w:r w:rsidR="001E3741" w:rsidRPr="006076BE">
        <w:rPr>
          <w:rFonts w:ascii="Verdana" w:eastAsia="Calibri" w:hAnsi="Verdana" w:cs="Arial"/>
          <w:b/>
          <w:bCs/>
          <w:lang w:val="es-ES" w:eastAsia="es-ES"/>
        </w:rPr>
        <w:t>–</w:t>
      </w:r>
      <w:r w:rsidR="001E3741">
        <w:rPr>
          <w:rFonts w:ascii="Verdana" w:eastAsia="Calibri" w:hAnsi="Verdana" w:cs="Arial"/>
          <w:b/>
          <w:bCs/>
          <w:lang w:val="es-ES" w:eastAsia="es-ES"/>
        </w:rPr>
        <w:t xml:space="preserve"> Restricciones </w:t>
      </w:r>
    </w:p>
    <w:p w14:paraId="331C18AE" w14:textId="77777777" w:rsidR="009A53D5" w:rsidRPr="009A53D5" w:rsidRDefault="009A53D5" w:rsidP="009A53D5">
      <w:pPr>
        <w:tabs>
          <w:tab w:val="left" w:pos="3780"/>
          <w:tab w:val="left" w:pos="4680"/>
        </w:tabs>
        <w:spacing w:after="0"/>
        <w:rPr>
          <w:rFonts w:ascii="Verdana" w:eastAsia="Calibri" w:hAnsi="Verdana" w:cs="Arial"/>
          <w:b/>
          <w:bCs/>
          <w:lang w:val="es-ES" w:eastAsia="es-ES"/>
        </w:rPr>
      </w:pPr>
    </w:p>
    <w:p w14:paraId="4DE962BD" w14:textId="0E5286CE" w:rsidR="001B6AE2" w:rsidRPr="001E3741" w:rsidRDefault="001B6AE2" w:rsidP="001B6AE2">
      <w:pPr>
        <w:spacing w:after="120" w:line="276" w:lineRule="auto"/>
        <w:jc w:val="both"/>
        <w:rPr>
          <w:rFonts w:ascii="Verdana" w:eastAsia="Aptos" w:hAnsi="Verdana" w:cs="Arial"/>
          <w:color w:val="000000"/>
          <w:sz w:val="20"/>
          <w:szCs w:val="20"/>
          <w:lang w:val="es-ES_tradnl"/>
        </w:rPr>
      </w:pPr>
      <w:r w:rsidRPr="001E3741">
        <w:rPr>
          <w:rFonts w:ascii="Verdana" w:eastAsia="Aptos" w:hAnsi="Verdana" w:cs="Arial"/>
          <w:color w:val="000000"/>
          <w:sz w:val="20"/>
          <w:szCs w:val="20"/>
          <w:lang w:val="es-ES_tradnl"/>
        </w:rPr>
        <w:t xml:space="preserve"> </w:t>
      </w:r>
      <w:r w:rsidR="001E3741" w:rsidRPr="001E3741">
        <w:rPr>
          <w:rFonts w:ascii="Verdana" w:eastAsia="Aptos" w:hAnsi="Verdana" w:cs="Arial"/>
          <w:color w:val="000000"/>
          <w:sz w:val="20"/>
          <w:szCs w:val="20"/>
          <w:lang w:val="es-ES_tradnl"/>
        </w:rPr>
        <w:t xml:space="preserve">La </w:t>
      </w:r>
      <w:r w:rsidRPr="001E3741">
        <w:rPr>
          <w:rFonts w:ascii="Verdana" w:eastAsia="Aptos" w:hAnsi="Verdana" w:cs="Arial"/>
          <w:color w:val="000000"/>
          <w:sz w:val="20"/>
          <w:szCs w:val="20"/>
          <w:lang w:val="es-ES_tradnl"/>
        </w:rPr>
        <w:t xml:space="preserve">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0D7DCC59" w14:textId="77777777" w:rsidR="001B6AE2" w:rsidRPr="001E3741" w:rsidRDefault="001B6AE2" w:rsidP="001B6AE2">
      <w:pPr>
        <w:spacing w:after="120" w:line="276" w:lineRule="auto"/>
        <w:jc w:val="both"/>
        <w:rPr>
          <w:rFonts w:ascii="Verdana" w:eastAsia="Aptos" w:hAnsi="Verdana" w:cs="Arial"/>
          <w:color w:val="000000"/>
          <w:sz w:val="20"/>
          <w:szCs w:val="20"/>
          <w:lang w:val="es-ES_tradnl"/>
        </w:rPr>
      </w:pPr>
      <w:r w:rsidRPr="001E3741">
        <w:rPr>
          <w:rFonts w:ascii="Verdana" w:eastAsia="Aptos" w:hAnsi="Verdana" w:cs="Arial"/>
          <w:color w:val="000000"/>
          <w:sz w:val="20"/>
          <w:szCs w:val="20"/>
          <w:lang w:val="es-ES_tradnl"/>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2E152416" w14:textId="200375EF" w:rsidR="001B6AE2" w:rsidRPr="001E3741" w:rsidRDefault="001B6AE2" w:rsidP="001B6AE2">
      <w:pPr>
        <w:spacing w:after="120" w:line="276" w:lineRule="auto"/>
        <w:jc w:val="both"/>
        <w:rPr>
          <w:rFonts w:ascii="Verdana" w:eastAsia="Aptos" w:hAnsi="Verdana" w:cs="Arial"/>
          <w:color w:val="000000"/>
          <w:sz w:val="20"/>
          <w:szCs w:val="20"/>
          <w:lang w:val="es-ES_tradnl"/>
        </w:rPr>
      </w:pPr>
      <w:r w:rsidRPr="001E3741">
        <w:rPr>
          <w:rFonts w:ascii="Verdana" w:eastAsia="Aptos" w:hAnsi="Verdana" w:cs="Arial"/>
          <w:color w:val="000000"/>
          <w:sz w:val="20"/>
          <w:szCs w:val="20"/>
          <w:lang w:val="es-ES_tradnl"/>
        </w:rPr>
        <w:t xml:space="preserve">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w:t>
      </w:r>
      <w:r w:rsidRPr="001E3741">
        <w:rPr>
          <w:rFonts w:ascii="Verdana" w:eastAsia="Aptos" w:hAnsi="Verdana" w:cs="Arial"/>
          <w:color w:val="000000"/>
          <w:sz w:val="20"/>
          <w:szCs w:val="20"/>
          <w:lang w:val="es-ES_tradnl"/>
        </w:rPr>
        <w:lastRenderedPageBreak/>
        <w:t>hayan sido objeto de atentados, acciones terroristas, desastres naturales o casos de fuerza mayor, y los que deban realizar las entidades sanitarias y hospitalarias</w:t>
      </w:r>
      <w:r w:rsidRPr="001E3741">
        <w:rPr>
          <w:rFonts w:ascii="Verdana" w:eastAsia="Aptos" w:hAnsi="Verdana" w:cs="Arial"/>
          <w:color w:val="000000"/>
          <w:sz w:val="20"/>
          <w:szCs w:val="20"/>
          <w:lang w:val="es-ES_tradnl"/>
        </w:rPr>
        <w:t>”.</w:t>
      </w:r>
    </w:p>
    <w:p w14:paraId="7C162AD8" w14:textId="2A43936E" w:rsidR="001B6AE2" w:rsidRPr="001E3741" w:rsidRDefault="001B6AE2" w:rsidP="001B6AE2">
      <w:pPr>
        <w:spacing w:after="120" w:line="276" w:lineRule="auto"/>
        <w:jc w:val="both"/>
        <w:rPr>
          <w:rFonts w:ascii="Verdana" w:eastAsia="Aptos" w:hAnsi="Verdana" w:cs="Arial"/>
          <w:color w:val="000000"/>
          <w:sz w:val="20"/>
          <w:szCs w:val="20"/>
          <w:lang w:val="es-ES_tradnl"/>
        </w:rPr>
      </w:pPr>
      <w:r w:rsidRPr="001E3741">
        <w:rPr>
          <w:rFonts w:ascii="Verdana" w:eastAsia="Aptos" w:hAnsi="Verdana" w:cs="Arial"/>
          <w:color w:val="000000"/>
          <w:sz w:val="20"/>
          <w:szCs w:val="20"/>
          <w:lang w:val="es-ES_tradnl"/>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E3741">
        <w:rPr>
          <w:rFonts w:ascii="Verdana" w:eastAsia="Aptos" w:hAnsi="Verdana" w:cs="Arial"/>
          <w:color w:val="000000"/>
          <w:sz w:val="20"/>
          <w:szCs w:val="20"/>
          <w:lang w:val="es-ES_tradnl"/>
        </w:rPr>
        <w:t>.</w:t>
      </w:r>
    </w:p>
    <w:p w14:paraId="7FDC9FBF" w14:textId="77777777" w:rsidR="001B6AE2" w:rsidRPr="001E3741" w:rsidRDefault="001B6AE2" w:rsidP="001B6AE2">
      <w:pPr>
        <w:spacing w:after="120" w:line="276" w:lineRule="auto"/>
        <w:jc w:val="both"/>
        <w:rPr>
          <w:rFonts w:ascii="Verdana" w:eastAsia="Aptos" w:hAnsi="Verdana" w:cs="Arial"/>
          <w:color w:val="000000"/>
          <w:sz w:val="20"/>
          <w:szCs w:val="20"/>
          <w:lang w:val="es-ES_tradnl"/>
        </w:rPr>
      </w:pPr>
    </w:p>
    <w:p w14:paraId="5FAD672B" w14:textId="77777777" w:rsidR="00097808" w:rsidRPr="001E3741" w:rsidRDefault="00097808" w:rsidP="001B6AE2">
      <w:pPr>
        <w:spacing w:after="120" w:line="276" w:lineRule="auto"/>
        <w:jc w:val="both"/>
        <w:rPr>
          <w:rFonts w:ascii="Verdana" w:eastAsia="Aptos" w:hAnsi="Verdana" w:cs="Arial"/>
          <w:color w:val="000000"/>
          <w:sz w:val="20"/>
          <w:szCs w:val="20"/>
          <w:lang w:val="es-ES_tradnl"/>
        </w:rPr>
      </w:pPr>
    </w:p>
    <w:p w14:paraId="4DBE0428" w14:textId="77777777" w:rsidR="00097808" w:rsidRPr="001B6AE2" w:rsidRDefault="00097808" w:rsidP="001B6AE2">
      <w:pPr>
        <w:spacing w:after="120" w:line="276" w:lineRule="auto"/>
        <w:jc w:val="both"/>
        <w:rPr>
          <w:rFonts w:ascii="Verdana" w:eastAsia="Aptos" w:hAnsi="Verdana" w:cs="Arial"/>
          <w:color w:val="000000"/>
          <w:lang w:val="es-ES_tradnl"/>
        </w:rPr>
      </w:pPr>
    </w:p>
    <w:p w14:paraId="0C95E546" w14:textId="77777777" w:rsidR="00097808" w:rsidRDefault="00097808" w:rsidP="30821638">
      <w:pPr>
        <w:spacing w:after="0"/>
        <w:rPr>
          <w:rFonts w:ascii="Verdana" w:eastAsia="Verdana" w:hAnsi="Verdana" w:cs="Verdana"/>
        </w:rPr>
      </w:pPr>
    </w:p>
    <w:p w14:paraId="49F3D929" w14:textId="77777777" w:rsidR="00097808" w:rsidRDefault="00097808" w:rsidP="30821638">
      <w:pPr>
        <w:spacing w:after="0"/>
        <w:rPr>
          <w:rFonts w:ascii="Verdana" w:eastAsia="Verdana" w:hAnsi="Verdana" w:cs="Verdana"/>
        </w:rPr>
      </w:pPr>
    </w:p>
    <w:p w14:paraId="42481B24" w14:textId="77777777" w:rsidR="00097808" w:rsidRDefault="00097808" w:rsidP="30821638">
      <w:pPr>
        <w:spacing w:after="0"/>
        <w:rPr>
          <w:rFonts w:ascii="Verdana" w:eastAsia="Verdana" w:hAnsi="Verdana" w:cs="Verdana"/>
        </w:rPr>
      </w:pPr>
    </w:p>
    <w:p w14:paraId="108E0DAF" w14:textId="77777777" w:rsidR="00097808" w:rsidRDefault="00097808" w:rsidP="30821638">
      <w:pPr>
        <w:spacing w:after="0"/>
        <w:rPr>
          <w:rFonts w:ascii="Verdana" w:eastAsia="Verdana" w:hAnsi="Verdana" w:cs="Verdana"/>
        </w:rPr>
      </w:pPr>
    </w:p>
    <w:p w14:paraId="5547E6F1" w14:textId="77777777" w:rsidR="00097808" w:rsidRDefault="00097808" w:rsidP="30821638">
      <w:pPr>
        <w:spacing w:after="0"/>
        <w:rPr>
          <w:rFonts w:ascii="Verdana" w:eastAsia="Verdana" w:hAnsi="Verdana" w:cs="Verdana"/>
        </w:rPr>
      </w:pPr>
    </w:p>
    <w:p w14:paraId="6435E5FB" w14:textId="77777777" w:rsidR="00097808" w:rsidRDefault="00097808" w:rsidP="30821638">
      <w:pPr>
        <w:spacing w:after="0"/>
        <w:rPr>
          <w:rFonts w:ascii="Verdana" w:eastAsia="Verdana" w:hAnsi="Verdana" w:cs="Verdana"/>
        </w:rPr>
      </w:pPr>
    </w:p>
    <w:p w14:paraId="51F80B9A" w14:textId="77777777" w:rsidR="00097808" w:rsidRDefault="00097808" w:rsidP="30821638">
      <w:pPr>
        <w:spacing w:after="0"/>
        <w:rPr>
          <w:rFonts w:ascii="Verdana" w:eastAsia="Verdana" w:hAnsi="Verdana" w:cs="Verdana"/>
        </w:rPr>
      </w:pPr>
    </w:p>
    <w:p w14:paraId="00A9DCA4" w14:textId="77777777" w:rsidR="00097808" w:rsidRDefault="00097808" w:rsidP="30821638">
      <w:pPr>
        <w:spacing w:after="0"/>
        <w:rPr>
          <w:rFonts w:ascii="Verdana" w:eastAsia="Verdana" w:hAnsi="Verdana" w:cs="Verdana"/>
        </w:rPr>
      </w:pPr>
    </w:p>
    <w:p w14:paraId="12B67D33" w14:textId="77777777" w:rsidR="00097808" w:rsidRDefault="00097808" w:rsidP="30821638">
      <w:pPr>
        <w:spacing w:after="0"/>
        <w:rPr>
          <w:rFonts w:ascii="Verdana" w:eastAsia="Verdana" w:hAnsi="Verdana" w:cs="Verdana"/>
        </w:rPr>
      </w:pPr>
    </w:p>
    <w:p w14:paraId="26443744" w14:textId="77777777" w:rsidR="00097808" w:rsidRDefault="00097808" w:rsidP="30821638">
      <w:pPr>
        <w:spacing w:after="0"/>
        <w:rPr>
          <w:rFonts w:ascii="Verdana" w:eastAsia="Verdana" w:hAnsi="Verdana" w:cs="Verdana"/>
        </w:rPr>
      </w:pPr>
    </w:p>
    <w:p w14:paraId="49B17605" w14:textId="77777777" w:rsidR="00097808" w:rsidRDefault="00097808" w:rsidP="30821638">
      <w:pPr>
        <w:spacing w:after="0"/>
        <w:rPr>
          <w:rFonts w:ascii="Verdana" w:eastAsia="Verdana" w:hAnsi="Verdana" w:cs="Verdana"/>
        </w:rPr>
      </w:pPr>
    </w:p>
    <w:p w14:paraId="5F5FACC5" w14:textId="77777777" w:rsidR="00097808" w:rsidRDefault="00097808" w:rsidP="30821638">
      <w:pPr>
        <w:spacing w:after="0"/>
        <w:rPr>
          <w:rFonts w:ascii="Verdana" w:eastAsia="Verdana" w:hAnsi="Verdana" w:cs="Verdana"/>
        </w:rPr>
      </w:pPr>
    </w:p>
    <w:p w14:paraId="1D1F2629" w14:textId="77777777" w:rsidR="00097808" w:rsidRDefault="00097808" w:rsidP="30821638">
      <w:pPr>
        <w:spacing w:after="0"/>
        <w:rPr>
          <w:rFonts w:ascii="Verdana" w:eastAsia="Verdana" w:hAnsi="Verdana" w:cs="Verdana"/>
        </w:rPr>
      </w:pPr>
    </w:p>
    <w:p w14:paraId="76213E2D" w14:textId="77777777" w:rsidR="00097808" w:rsidRDefault="00097808" w:rsidP="30821638">
      <w:pPr>
        <w:spacing w:after="0"/>
        <w:rPr>
          <w:rFonts w:ascii="Verdana" w:eastAsia="Verdana" w:hAnsi="Verdana" w:cs="Verdana"/>
        </w:rPr>
      </w:pPr>
    </w:p>
    <w:p w14:paraId="06862EFE" w14:textId="77777777" w:rsidR="006076BE" w:rsidRDefault="006076BE" w:rsidP="30821638">
      <w:pPr>
        <w:spacing w:after="0"/>
        <w:rPr>
          <w:rFonts w:ascii="Verdana" w:eastAsia="Verdana" w:hAnsi="Verdana" w:cs="Verdana"/>
        </w:rPr>
      </w:pPr>
    </w:p>
    <w:p w14:paraId="058F5C41" w14:textId="77777777" w:rsidR="009A53D5" w:rsidRDefault="009A53D5" w:rsidP="30821638">
      <w:pPr>
        <w:spacing w:after="0"/>
        <w:rPr>
          <w:rFonts w:ascii="Verdana" w:eastAsia="Verdana" w:hAnsi="Verdana" w:cs="Verdana"/>
        </w:rPr>
      </w:pPr>
    </w:p>
    <w:p w14:paraId="1DA4021C" w14:textId="77777777" w:rsidR="009A53D5" w:rsidRDefault="009A53D5" w:rsidP="30821638">
      <w:pPr>
        <w:spacing w:after="0"/>
        <w:rPr>
          <w:rFonts w:ascii="Verdana" w:eastAsia="Verdana" w:hAnsi="Verdana" w:cs="Verdana"/>
        </w:rPr>
      </w:pPr>
    </w:p>
    <w:p w14:paraId="4E6373FF" w14:textId="77777777" w:rsidR="009A53D5" w:rsidRDefault="009A53D5" w:rsidP="30821638">
      <w:pPr>
        <w:spacing w:after="0"/>
        <w:rPr>
          <w:rFonts w:ascii="Verdana" w:eastAsia="Verdana" w:hAnsi="Verdana" w:cs="Verdana"/>
        </w:rPr>
      </w:pPr>
    </w:p>
    <w:p w14:paraId="5974ED8C" w14:textId="77777777" w:rsidR="009A53D5" w:rsidRDefault="009A53D5" w:rsidP="30821638">
      <w:pPr>
        <w:spacing w:after="0"/>
        <w:rPr>
          <w:rFonts w:ascii="Verdana" w:eastAsia="Verdana" w:hAnsi="Verdana" w:cs="Verdana"/>
        </w:rPr>
      </w:pPr>
    </w:p>
    <w:p w14:paraId="5FFB4ED3" w14:textId="77777777" w:rsidR="009A53D5" w:rsidRDefault="009A53D5" w:rsidP="30821638">
      <w:pPr>
        <w:spacing w:after="0"/>
        <w:rPr>
          <w:rFonts w:ascii="Verdana" w:eastAsia="Verdana" w:hAnsi="Verdana" w:cs="Verdana"/>
        </w:rPr>
      </w:pPr>
    </w:p>
    <w:p w14:paraId="2EA69F49" w14:textId="77777777" w:rsidR="009A53D5" w:rsidRDefault="009A53D5" w:rsidP="30821638">
      <w:pPr>
        <w:spacing w:after="0"/>
        <w:rPr>
          <w:rFonts w:ascii="Verdana" w:eastAsia="Verdana" w:hAnsi="Verdana" w:cs="Verdana"/>
        </w:rPr>
      </w:pPr>
    </w:p>
    <w:p w14:paraId="3FC2D62A" w14:textId="77777777" w:rsidR="009A53D5" w:rsidRDefault="009A53D5" w:rsidP="30821638">
      <w:pPr>
        <w:spacing w:after="0"/>
        <w:rPr>
          <w:rFonts w:ascii="Verdana" w:eastAsia="Verdana" w:hAnsi="Verdana" w:cs="Verdana"/>
        </w:rPr>
      </w:pPr>
    </w:p>
    <w:p w14:paraId="58CBDB27" w14:textId="77777777" w:rsidR="009A53D5" w:rsidRDefault="009A53D5" w:rsidP="30821638">
      <w:pPr>
        <w:spacing w:after="0"/>
        <w:rPr>
          <w:rFonts w:ascii="Verdana" w:eastAsia="Verdana" w:hAnsi="Verdana" w:cs="Verdana"/>
        </w:rPr>
      </w:pPr>
    </w:p>
    <w:p w14:paraId="559734AC" w14:textId="77777777" w:rsidR="009A53D5" w:rsidRDefault="009A53D5" w:rsidP="30821638">
      <w:pPr>
        <w:spacing w:after="0"/>
        <w:rPr>
          <w:rFonts w:ascii="Verdana" w:eastAsia="Verdana" w:hAnsi="Verdana" w:cs="Verdana"/>
        </w:rPr>
      </w:pPr>
    </w:p>
    <w:p w14:paraId="574D5B2F" w14:textId="77777777" w:rsidR="009A53D5" w:rsidRDefault="009A53D5" w:rsidP="30821638">
      <w:pPr>
        <w:spacing w:after="0"/>
        <w:rPr>
          <w:rFonts w:ascii="Verdana" w:eastAsia="Verdana" w:hAnsi="Verdana" w:cs="Verdana"/>
        </w:rPr>
      </w:pPr>
    </w:p>
    <w:p w14:paraId="6CC36292" w14:textId="0D7F21B2" w:rsidR="00097808" w:rsidRPr="00A57096" w:rsidRDefault="009A53D5" w:rsidP="30821638">
      <w:pPr>
        <w:spacing w:after="0"/>
        <w:rPr>
          <w:rFonts w:ascii="Verdana" w:eastAsia="Verdana" w:hAnsi="Verdana" w:cs="Verdana"/>
          <w:b/>
          <w:bCs/>
        </w:rPr>
      </w:pPr>
      <w:r>
        <w:rPr>
          <w:rFonts w:ascii="Verdana" w:eastAsia="Verdana" w:hAnsi="Verdana" w:cs="Verdana"/>
          <w:b/>
          <w:bCs/>
        </w:rPr>
        <w:t xml:space="preserve">                                                                </w:t>
      </w:r>
      <w:r w:rsidR="00A57096" w:rsidRPr="00A57096">
        <w:rPr>
          <w:rFonts w:ascii="Verdana" w:eastAsia="Verdana" w:hAnsi="Verdana" w:cs="Verdana"/>
          <w:b/>
          <w:bCs/>
          <w:noProof/>
        </w:rPr>
        <w:drawing>
          <wp:inline distT="0" distB="0" distL="0" distR="0" wp14:anchorId="5E59A062" wp14:editId="50EFA141">
            <wp:extent cx="2057400" cy="569870"/>
            <wp:effectExtent l="0" t="0" r="0" b="1905"/>
            <wp:docPr id="180170940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61843" cy="571101"/>
                    </a:xfrm>
                    <a:prstGeom prst="rect">
                      <a:avLst/>
                    </a:prstGeom>
                    <a:noFill/>
                    <a:ln>
                      <a:noFill/>
                    </a:ln>
                  </pic:spPr>
                </pic:pic>
              </a:graphicData>
            </a:graphic>
          </wp:inline>
        </w:drawing>
      </w:r>
    </w:p>
    <w:p w14:paraId="1468C46D" w14:textId="4626F461" w:rsidR="00C15139" w:rsidRPr="00DB5A56" w:rsidRDefault="00DB5A56" w:rsidP="30821638">
      <w:pPr>
        <w:spacing w:after="0"/>
        <w:rPr>
          <w:rFonts w:ascii="Verdana" w:eastAsia="Verdana" w:hAnsi="Verdana" w:cs="Verdana"/>
        </w:rPr>
      </w:pPr>
      <w:r w:rsidRPr="00DB5A56">
        <w:rPr>
          <w:rFonts w:ascii="Verdana" w:hAnsi="Verdana"/>
        </w:rPr>
        <w:t>Bogotá D.C., 19 Mayo 2026</w:t>
      </w:r>
      <w:r w:rsidR="00C15139" w:rsidRPr="00DB5A56">
        <w:rPr>
          <w:rFonts w:ascii="Verdana" w:hAnsi="Verdana"/>
        </w:rPr>
        <w:br/>
      </w:r>
      <w:r w:rsidR="00C15139" w:rsidRPr="00DB5A56">
        <w:rPr>
          <w:rFonts w:ascii="Verdana" w:hAnsi="Verdana"/>
        </w:rPr>
        <w:tab/>
      </w:r>
    </w:p>
    <w:p w14:paraId="6B4A7965" w14:textId="77777777" w:rsidR="00CE45C7" w:rsidRPr="00CE45C7" w:rsidRDefault="00CE45C7" w:rsidP="00CE45C7">
      <w:pPr>
        <w:spacing w:after="0" w:line="240" w:lineRule="auto"/>
        <w:jc w:val="both"/>
        <w:rPr>
          <w:rFonts w:ascii="Verdana" w:eastAsia="Calibri" w:hAnsi="Verdana" w:cs="Arial"/>
          <w:lang w:eastAsia="es-ES"/>
        </w:rPr>
      </w:pPr>
      <w:r w:rsidRPr="00CE45C7">
        <w:rPr>
          <w:rFonts w:ascii="Verdana" w:eastAsia="Calibri" w:hAnsi="Verdana" w:cs="Arial"/>
          <w:lang w:eastAsia="es-ES"/>
        </w:rPr>
        <w:t>Señor</w:t>
      </w:r>
    </w:p>
    <w:p w14:paraId="231FFD85" w14:textId="77777777" w:rsidR="00CE45C7" w:rsidRPr="00CE45C7" w:rsidRDefault="00CE45C7" w:rsidP="00CE45C7">
      <w:pPr>
        <w:spacing w:after="0" w:line="240" w:lineRule="auto"/>
        <w:jc w:val="both"/>
        <w:rPr>
          <w:rFonts w:ascii="Verdana" w:eastAsia="Calibri" w:hAnsi="Verdana" w:cs="Arial"/>
          <w:b/>
          <w:bCs/>
          <w:lang w:eastAsia="es-ES"/>
        </w:rPr>
      </w:pPr>
      <w:r w:rsidRPr="00CE45C7">
        <w:rPr>
          <w:rFonts w:ascii="Verdana" w:eastAsia="Calibri" w:hAnsi="Verdana" w:cs="Arial"/>
          <w:b/>
          <w:bCs/>
          <w:lang w:eastAsia="es-ES"/>
        </w:rPr>
        <w:t xml:space="preserve">Lisandro Mosquera </w:t>
      </w:r>
      <w:proofErr w:type="spellStart"/>
      <w:r w:rsidRPr="00CE45C7">
        <w:rPr>
          <w:rFonts w:ascii="Verdana" w:eastAsia="Calibri" w:hAnsi="Verdana" w:cs="Arial"/>
          <w:b/>
          <w:bCs/>
          <w:lang w:eastAsia="es-ES"/>
        </w:rPr>
        <w:t>Mosquera</w:t>
      </w:r>
      <w:proofErr w:type="spellEnd"/>
    </w:p>
    <w:p w14:paraId="1D4DAB77" w14:textId="77777777" w:rsidR="00CE45C7" w:rsidRPr="00CE45C7" w:rsidRDefault="00CE45C7" w:rsidP="00CE45C7">
      <w:pPr>
        <w:spacing w:after="0" w:line="240" w:lineRule="auto"/>
        <w:jc w:val="both"/>
        <w:rPr>
          <w:rFonts w:ascii="Verdana" w:hAnsi="Verdana"/>
        </w:rPr>
      </w:pPr>
      <w:r w:rsidRPr="00CE45C7">
        <w:rPr>
          <w:rFonts w:ascii="Verdana" w:hAnsi="Verdana"/>
        </w:rPr>
        <w:t xml:space="preserve">Ciudad </w:t>
      </w:r>
    </w:p>
    <w:p w14:paraId="47B7A708" w14:textId="77777777" w:rsidR="00CE45C7" w:rsidRPr="00CE45C7" w:rsidRDefault="00CE45C7" w:rsidP="00CE45C7">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237"/>
      </w:tblGrid>
      <w:tr w:rsidR="00CE45C7" w:rsidRPr="00CE45C7" w14:paraId="1F367A26" w14:textId="77777777" w:rsidTr="003F0972">
        <w:trPr>
          <w:trHeight w:val="162"/>
        </w:trPr>
        <w:tc>
          <w:tcPr>
            <w:tcW w:w="2552" w:type="dxa"/>
          </w:tcPr>
          <w:p w14:paraId="6B8FBD96" w14:textId="77777777" w:rsidR="00CE45C7" w:rsidRPr="00CE45C7" w:rsidRDefault="00CE45C7" w:rsidP="00CE45C7">
            <w:pPr>
              <w:spacing w:after="160" w:line="259" w:lineRule="auto"/>
              <w:ind w:left="720"/>
              <w:contextualSpacing/>
              <w:jc w:val="both"/>
              <w:rPr>
                <w:rFonts w:ascii="Verdana" w:eastAsia="Calibri" w:hAnsi="Verdana" w:cs="Arial"/>
                <w:b/>
                <w:bCs/>
                <w:color w:val="7030A0"/>
                <w:lang w:val="es-ES" w:eastAsia="es-ES_tradnl"/>
              </w:rPr>
            </w:pPr>
          </w:p>
        </w:tc>
        <w:tc>
          <w:tcPr>
            <w:tcW w:w="6237" w:type="dxa"/>
          </w:tcPr>
          <w:p w14:paraId="046921FA" w14:textId="77777777" w:rsidR="00CE45C7" w:rsidRPr="00CE45C7" w:rsidRDefault="00CE45C7" w:rsidP="00CE45C7">
            <w:pPr>
              <w:spacing w:after="160" w:line="259" w:lineRule="auto"/>
              <w:ind w:left="720"/>
              <w:contextualSpacing/>
              <w:jc w:val="both"/>
              <w:rPr>
                <w:rFonts w:ascii="Verdana" w:eastAsia="Calibri" w:hAnsi="Verdana" w:cs="Arial"/>
                <w:b/>
                <w:bCs/>
                <w:lang w:val="es-ES" w:eastAsia="es-ES"/>
              </w:rPr>
            </w:pPr>
            <w:r w:rsidRPr="00CE45C7">
              <w:rPr>
                <w:rFonts w:ascii="Verdana" w:eastAsia="Calibri" w:hAnsi="Verdana" w:cs="Arial"/>
                <w:b/>
                <w:bCs/>
                <w:lang w:val="es-ES" w:eastAsia="es-ES"/>
              </w:rPr>
              <w:t>Concepto C-566 de 2026</w:t>
            </w:r>
          </w:p>
          <w:p w14:paraId="5049184F" w14:textId="77777777" w:rsidR="00CE45C7" w:rsidRPr="00CE45C7" w:rsidRDefault="00CE45C7" w:rsidP="00CE45C7">
            <w:pPr>
              <w:spacing w:after="160" w:line="259" w:lineRule="auto"/>
              <w:ind w:left="720"/>
              <w:contextualSpacing/>
              <w:jc w:val="both"/>
              <w:rPr>
                <w:rFonts w:ascii="Verdana" w:eastAsia="Calibri" w:hAnsi="Verdana" w:cs="Arial"/>
                <w:b/>
                <w:bCs/>
                <w:color w:val="7030A0"/>
                <w:lang w:val="es-ES" w:eastAsia="es-ES"/>
              </w:rPr>
            </w:pPr>
          </w:p>
        </w:tc>
      </w:tr>
      <w:tr w:rsidR="00CE45C7" w:rsidRPr="00CE45C7" w14:paraId="452E5FA6" w14:textId="77777777" w:rsidTr="003F0972">
        <w:trPr>
          <w:trHeight w:val="884"/>
        </w:trPr>
        <w:tc>
          <w:tcPr>
            <w:tcW w:w="2552" w:type="dxa"/>
          </w:tcPr>
          <w:p w14:paraId="07F8C96B" w14:textId="77777777" w:rsidR="00CE45C7" w:rsidRPr="00CE45C7" w:rsidRDefault="00CE45C7" w:rsidP="00CE45C7">
            <w:pPr>
              <w:spacing w:after="160" w:line="259" w:lineRule="auto"/>
              <w:ind w:left="720"/>
              <w:contextualSpacing/>
              <w:jc w:val="both"/>
              <w:rPr>
                <w:rFonts w:ascii="Verdana" w:eastAsia="Calibri" w:hAnsi="Verdana" w:cs="Arial"/>
                <w:color w:val="000000"/>
                <w:lang w:val="es-ES" w:eastAsia="es-ES_tradnl"/>
              </w:rPr>
            </w:pPr>
            <w:r w:rsidRPr="00CE45C7">
              <w:rPr>
                <w:rFonts w:ascii="Verdana" w:eastAsia="Calibri" w:hAnsi="Verdana" w:cs="Arial"/>
                <w:b/>
                <w:color w:val="000000"/>
                <w:lang w:val="es-ES" w:eastAsia="es-ES_tradnl"/>
              </w:rPr>
              <w:t>Temas:</w:t>
            </w:r>
            <w:r w:rsidRPr="00CE45C7">
              <w:rPr>
                <w:rFonts w:ascii="Verdana" w:eastAsia="Calibri" w:hAnsi="Verdana" w:cs="Arial"/>
                <w:color w:val="000000"/>
                <w:lang w:val="es-ES" w:eastAsia="es-ES_tradnl"/>
              </w:rPr>
              <w:t xml:space="preserve">                   </w:t>
            </w:r>
          </w:p>
        </w:tc>
        <w:tc>
          <w:tcPr>
            <w:tcW w:w="6237" w:type="dxa"/>
          </w:tcPr>
          <w:p w14:paraId="6E53B787" w14:textId="5D5ABB79" w:rsidR="00CE45C7" w:rsidRPr="00CE45C7" w:rsidRDefault="00C00448" w:rsidP="00CE45C7">
            <w:pPr>
              <w:spacing w:after="160" w:line="276" w:lineRule="auto"/>
              <w:ind w:left="720"/>
              <w:contextualSpacing/>
              <w:jc w:val="both"/>
              <w:rPr>
                <w:rFonts w:ascii="Verdana" w:hAnsi="Verdana"/>
                <w:lang w:val="es-ES"/>
              </w:rPr>
            </w:pPr>
            <w:r w:rsidRPr="002C2C04">
              <w:rPr>
                <w:rFonts w:ascii="Verdana" w:eastAsia="Calibri" w:hAnsi="Verdana" w:cs="Arial"/>
                <w:lang w:val="es-ES" w:eastAsia="es-ES"/>
              </w:rPr>
              <w:t xml:space="preserve">CONTRATO DE PRESTACIÓN DE </w:t>
            </w:r>
            <w:r w:rsidRPr="00F906A4">
              <w:rPr>
                <w:rFonts w:ascii="Verdana" w:eastAsia="Calibri" w:hAnsi="Verdana" w:cs="Arial"/>
                <w:lang w:val="es-ES" w:eastAsia="es-ES"/>
              </w:rPr>
              <w:t>SERVICIOS – Concepto</w:t>
            </w:r>
            <w:r>
              <w:rPr>
                <w:rFonts w:ascii="Verdana" w:eastAsia="Calibri" w:hAnsi="Verdana" w:cs="Arial"/>
                <w:lang w:val="es-ES" w:eastAsia="es-ES"/>
              </w:rPr>
              <w:t xml:space="preserve"> </w:t>
            </w:r>
            <w:r w:rsidRPr="00F906A4">
              <w:rPr>
                <w:rFonts w:ascii="Verdana" w:eastAsia="Calibri" w:hAnsi="Verdana" w:cs="Arial"/>
                <w:lang w:val="es-ES" w:eastAsia="es-ES"/>
              </w:rPr>
              <w:t>– Características /</w:t>
            </w:r>
            <w:r w:rsidRPr="00E54DB1">
              <w:rPr>
                <w:rFonts w:ascii="Verdana" w:hAnsi="Verdana"/>
              </w:rPr>
              <w:t xml:space="preserve"> </w:t>
            </w:r>
            <w:r w:rsidRPr="002C2C04">
              <w:rPr>
                <w:rFonts w:ascii="Verdana" w:eastAsia="Calibri" w:hAnsi="Verdana" w:cs="Arial"/>
                <w:lang w:val="es-ES" w:eastAsia="es-ES"/>
              </w:rPr>
              <w:t xml:space="preserve">CONTRATO DE PRESTACIÓN DE </w:t>
            </w:r>
            <w:r w:rsidRPr="00F906A4">
              <w:rPr>
                <w:rFonts w:ascii="Verdana" w:eastAsia="Calibri" w:hAnsi="Verdana" w:cs="Arial"/>
                <w:lang w:val="es-ES" w:eastAsia="es-ES"/>
              </w:rPr>
              <w:t>SERVICIOS –</w:t>
            </w:r>
            <w:r>
              <w:rPr>
                <w:rFonts w:ascii="Verdana" w:eastAsia="Calibri" w:hAnsi="Verdana" w:cs="Arial"/>
                <w:lang w:val="es-ES" w:eastAsia="es-ES"/>
              </w:rPr>
              <w:t xml:space="preserve"> </w:t>
            </w:r>
            <w:r w:rsidRPr="00F906A4">
              <w:rPr>
                <w:rFonts w:ascii="Verdana" w:eastAsia="Calibri" w:hAnsi="Verdana" w:cs="Arial"/>
                <w:lang w:val="es-ES" w:eastAsia="es-ES"/>
              </w:rPr>
              <w:t xml:space="preserve">Modalidad de selección – </w:t>
            </w:r>
            <w:r>
              <w:rPr>
                <w:rFonts w:ascii="Verdana" w:eastAsia="Calibri" w:hAnsi="Verdana" w:cs="Arial"/>
                <w:lang w:val="es-ES" w:eastAsia="es-ES"/>
              </w:rPr>
              <w:t>Contratación Directa – Interpretación restrictiva</w:t>
            </w:r>
            <w:r w:rsidRPr="00F906A4">
              <w:rPr>
                <w:rFonts w:ascii="Verdana" w:eastAsia="Calibri" w:hAnsi="Verdana" w:cs="Arial"/>
                <w:lang w:val="es-ES" w:eastAsia="es-ES"/>
              </w:rPr>
              <w:t xml:space="preserve"> /</w:t>
            </w:r>
            <w:r w:rsidRPr="00E54DB1">
              <w:rPr>
                <w:rFonts w:ascii="Verdana" w:hAnsi="Verdana"/>
              </w:rPr>
              <w:t xml:space="preserve"> </w:t>
            </w:r>
            <w:r w:rsidRPr="002C2C04">
              <w:rPr>
                <w:rFonts w:ascii="Verdana" w:eastAsia="Calibri" w:hAnsi="Verdana" w:cs="Arial"/>
                <w:lang w:val="es-ES" w:eastAsia="es-ES"/>
              </w:rPr>
              <w:t xml:space="preserve">CONTRATO DE PRESTACIÓN DE </w:t>
            </w:r>
            <w:r w:rsidRPr="00F906A4">
              <w:rPr>
                <w:rFonts w:ascii="Verdana" w:eastAsia="Calibri" w:hAnsi="Verdana" w:cs="Arial"/>
                <w:lang w:val="es-ES" w:eastAsia="es-ES"/>
              </w:rPr>
              <w:t xml:space="preserve">SERVICIOS </w:t>
            </w:r>
            <w:r w:rsidR="00CE45C7" w:rsidRPr="00CE45C7">
              <w:rPr>
                <w:rFonts w:ascii="Verdana" w:hAnsi="Verdana"/>
                <w:lang w:val="es-ES"/>
              </w:rPr>
              <w:t xml:space="preserve">-MINIMA CUANTIA </w:t>
            </w:r>
            <w:r w:rsidR="00CE45C7" w:rsidRPr="00CE45C7">
              <w:rPr>
                <w:rFonts w:ascii="Verdana" w:hAnsi="Verdana" w:cs="Arial"/>
                <w:color w:val="000000" w:themeColor="text1"/>
                <w:lang w:val="es-ES"/>
              </w:rPr>
              <w:t xml:space="preserve">-  LEY DE GARANTÍAS ELECTORALES – Propósito / LEY DE GARANTÍAS ELECTORALES – Prohibiciones – Restricciones / LEY DE GARANTÍAS ELECTORALES – Artículo 33 – Ámbito material / Destinatarios / LEY DE GARANTÍAS ELECTORALES – Excepciones / LEY DE GARANTÍAS ELECTORALES – Parágrafo del artículo 38 - Alcance / LEY DE GARANTÍAS ELECTORALES –/ CONSEJO DE ESTADO -Posición </w:t>
            </w:r>
          </w:p>
          <w:p w14:paraId="1CB4B5F3" w14:textId="77777777" w:rsidR="00CE45C7" w:rsidRPr="00CE45C7" w:rsidRDefault="00CE45C7" w:rsidP="00CE45C7">
            <w:pPr>
              <w:spacing w:after="160" w:line="276" w:lineRule="auto"/>
              <w:ind w:left="720"/>
              <w:contextualSpacing/>
              <w:jc w:val="both"/>
              <w:rPr>
                <w:rFonts w:ascii="Verdana" w:hAnsi="Verdana"/>
                <w:lang w:val="es-ES"/>
              </w:rPr>
            </w:pPr>
          </w:p>
          <w:p w14:paraId="5BB4E126" w14:textId="77777777" w:rsidR="00CE45C7" w:rsidRPr="00CE45C7" w:rsidRDefault="00CE45C7" w:rsidP="00CE45C7">
            <w:pPr>
              <w:spacing w:after="160" w:line="276" w:lineRule="auto"/>
              <w:ind w:left="720"/>
              <w:contextualSpacing/>
              <w:jc w:val="both"/>
              <w:rPr>
                <w:rFonts w:ascii="Verdana" w:hAnsi="Verdana"/>
                <w:lang w:val="es-ES"/>
              </w:rPr>
            </w:pPr>
          </w:p>
        </w:tc>
      </w:tr>
      <w:tr w:rsidR="00CE45C7" w:rsidRPr="00CE45C7" w14:paraId="0C5A46C4" w14:textId="77777777" w:rsidTr="003F0972">
        <w:tc>
          <w:tcPr>
            <w:tcW w:w="2552" w:type="dxa"/>
          </w:tcPr>
          <w:p w14:paraId="1F182BEA" w14:textId="77777777" w:rsidR="00CE45C7" w:rsidRPr="00CE45C7" w:rsidRDefault="00CE45C7" w:rsidP="00CE45C7">
            <w:pPr>
              <w:spacing w:after="160" w:line="259" w:lineRule="auto"/>
              <w:ind w:left="720"/>
              <w:contextualSpacing/>
              <w:jc w:val="both"/>
              <w:rPr>
                <w:rFonts w:ascii="Verdana" w:eastAsia="Calibri" w:hAnsi="Verdana" w:cs="Arial"/>
                <w:b/>
                <w:lang w:val="es-ES" w:eastAsia="es-ES_tradnl"/>
              </w:rPr>
            </w:pPr>
            <w:r w:rsidRPr="00CE45C7">
              <w:rPr>
                <w:rFonts w:ascii="Verdana" w:eastAsia="Calibri" w:hAnsi="Verdana" w:cs="Arial"/>
                <w:b/>
                <w:lang w:val="es-ES" w:eastAsia="es-ES_tradnl"/>
              </w:rPr>
              <w:t>Radicación:</w:t>
            </w:r>
            <w:r w:rsidRPr="00CE45C7">
              <w:rPr>
                <w:rFonts w:ascii="Verdana" w:eastAsia="Calibri" w:hAnsi="Verdana" w:cs="Arial"/>
                <w:lang w:val="es-ES" w:eastAsia="es-ES_tradnl"/>
              </w:rPr>
              <w:t xml:space="preserve">               </w:t>
            </w:r>
          </w:p>
        </w:tc>
        <w:tc>
          <w:tcPr>
            <w:tcW w:w="6237" w:type="dxa"/>
          </w:tcPr>
          <w:p w14:paraId="7D5963DB" w14:textId="77777777" w:rsidR="00CE45C7" w:rsidRPr="00CE45C7" w:rsidRDefault="00CE45C7" w:rsidP="00CE45C7">
            <w:pPr>
              <w:spacing w:after="160" w:line="259" w:lineRule="auto"/>
              <w:ind w:left="720"/>
              <w:contextualSpacing/>
              <w:jc w:val="both"/>
              <w:rPr>
                <w:rFonts w:ascii="Verdana" w:eastAsia="Calibri" w:hAnsi="Verdana" w:cs="Arial"/>
                <w:lang w:val="es-ES" w:eastAsia="es-ES_tradnl"/>
              </w:rPr>
            </w:pPr>
            <w:r w:rsidRPr="00CE45C7">
              <w:rPr>
                <w:rFonts w:ascii="Verdana" w:eastAsia="Calibri" w:hAnsi="Verdana" w:cs="Arial"/>
                <w:lang w:val="es-ES" w:eastAsia="es-ES_tradnl"/>
              </w:rPr>
              <w:t xml:space="preserve">Respuesta a consulta con radicado </w:t>
            </w:r>
            <w:r w:rsidRPr="00CE45C7">
              <w:rPr>
                <w:rFonts w:ascii="Verdana" w:hAnsi="Verdana" w:cs="Calibri"/>
                <w:color w:val="000000"/>
                <w:lang w:val="es-ES"/>
              </w:rPr>
              <w:t>1_2026_04_07_004655</w:t>
            </w:r>
          </w:p>
          <w:p w14:paraId="6958BD12" w14:textId="77777777" w:rsidR="00CE45C7" w:rsidRPr="00CE45C7" w:rsidRDefault="00CE45C7" w:rsidP="00CE45C7">
            <w:pPr>
              <w:spacing w:after="160" w:line="259" w:lineRule="auto"/>
              <w:ind w:left="720"/>
              <w:contextualSpacing/>
              <w:jc w:val="both"/>
              <w:rPr>
                <w:rFonts w:ascii="Verdana" w:eastAsia="Calibri" w:hAnsi="Verdana" w:cs="Arial"/>
                <w:lang w:val="es-ES" w:eastAsia="es-ES_tradnl"/>
              </w:rPr>
            </w:pPr>
          </w:p>
        </w:tc>
      </w:tr>
    </w:tbl>
    <w:p w14:paraId="7E597DE7" w14:textId="77777777" w:rsidR="00CE45C7" w:rsidRPr="00CE45C7" w:rsidRDefault="00CE45C7" w:rsidP="00CE45C7">
      <w:pPr>
        <w:spacing w:after="0" w:line="276" w:lineRule="auto"/>
        <w:jc w:val="both"/>
        <w:rPr>
          <w:rFonts w:ascii="Verdana" w:eastAsia="Calibri" w:hAnsi="Verdana" w:cs="Arial"/>
          <w:lang w:eastAsia="es-ES_tradnl"/>
        </w:rPr>
      </w:pPr>
      <w:r w:rsidRPr="00CE45C7">
        <w:rPr>
          <w:rFonts w:ascii="Verdana" w:eastAsia="Calibri" w:hAnsi="Verdana" w:cs="Arial"/>
          <w:lang w:eastAsia="es-ES_tradnl"/>
        </w:rPr>
        <w:t xml:space="preserve"> </w:t>
      </w:r>
    </w:p>
    <w:p w14:paraId="4A4009AB" w14:textId="77777777" w:rsidR="00CE45C7" w:rsidRPr="00CE45C7" w:rsidRDefault="00CE45C7" w:rsidP="00CE45C7">
      <w:pPr>
        <w:spacing w:after="0" w:line="276" w:lineRule="auto"/>
        <w:jc w:val="both"/>
        <w:rPr>
          <w:rFonts w:ascii="Verdana" w:eastAsia="Calibri" w:hAnsi="Verdana" w:cs="Arial"/>
          <w:lang w:eastAsia="es-ES"/>
        </w:rPr>
      </w:pPr>
      <w:r w:rsidRPr="00CE45C7">
        <w:rPr>
          <w:rFonts w:ascii="Verdana" w:eastAsia="Calibri" w:hAnsi="Verdana" w:cs="Arial"/>
          <w:lang w:eastAsia="es-ES"/>
        </w:rPr>
        <w:t xml:space="preserve">Estimado señor Mosquera: </w:t>
      </w:r>
    </w:p>
    <w:p w14:paraId="15BFBD9D" w14:textId="77777777" w:rsidR="00CE45C7" w:rsidRPr="00CE45C7" w:rsidRDefault="00CE45C7" w:rsidP="00CE45C7">
      <w:pPr>
        <w:spacing w:after="0" w:line="276" w:lineRule="auto"/>
        <w:jc w:val="both"/>
        <w:rPr>
          <w:rFonts w:ascii="Verdana" w:hAnsi="Verdana"/>
          <w:lang w:val="es-MX"/>
        </w:rPr>
      </w:pPr>
    </w:p>
    <w:p w14:paraId="7FF3A7FD" w14:textId="58E316C2" w:rsidR="00CE45C7" w:rsidRPr="007551CB" w:rsidRDefault="00CE45C7" w:rsidP="00CE45C7">
      <w:pPr>
        <w:spacing w:after="120" w:line="276" w:lineRule="auto"/>
        <w:jc w:val="both"/>
        <w:rPr>
          <w:rFonts w:ascii="Verdana" w:eastAsia="Calibri" w:hAnsi="Verdana" w:cs="Arial"/>
          <w:lang w:eastAsia="es-ES"/>
        </w:rPr>
      </w:pPr>
      <w:r w:rsidRPr="00CE45C7">
        <w:rPr>
          <w:rFonts w:ascii="Verdana" w:hAnsi="Verdana"/>
        </w:rPr>
        <w:t xml:space="preserve">La Agencia Nacional de Contratación Pública – Colombia Compra Eficiente –, en ejercicio de las competencias otorgadas </w:t>
      </w:r>
      <w:r w:rsidRPr="00CE45C7">
        <w:rPr>
          <w:rFonts w:ascii="Verdana" w:eastAsia="Calibri" w:hAnsi="Verdana" w:cs="Arial"/>
          <w:lang w:eastAsia="es-ES"/>
        </w:rPr>
        <w:t xml:space="preserve">por los artículos 3, numeral 5º, y 11, numeral 8º, del Decreto Ley 4170 de 2011 y </w:t>
      </w:r>
      <w:r w:rsidRPr="00CE45C7">
        <w:rPr>
          <w:rFonts w:ascii="Verdana" w:hAnsi="Verdana"/>
        </w:rPr>
        <w:t xml:space="preserve">de conformidad con las modalidades </w:t>
      </w:r>
      <w:r w:rsidRPr="00CE45C7">
        <w:rPr>
          <w:rFonts w:ascii="Verdana" w:hAnsi="Verdana"/>
        </w:rPr>
        <w:lastRenderedPageBreak/>
        <w:t xml:space="preserve">del derecho de petición contempladas en la Ley 1755 de 2015 y en la resolución </w:t>
      </w:r>
      <w:proofErr w:type="spellStart"/>
      <w:r w:rsidRPr="00CE45C7">
        <w:rPr>
          <w:rFonts w:ascii="Verdana" w:eastAsia="Times New Roman" w:hAnsi="Verdana" w:cs="Segoe UI"/>
          <w:lang w:eastAsia="es-CO"/>
        </w:rPr>
        <w:t>N°</w:t>
      </w:r>
      <w:proofErr w:type="spellEnd"/>
      <w:r w:rsidRPr="00CE45C7">
        <w:rPr>
          <w:rFonts w:ascii="Verdana" w:eastAsia="Times New Roman" w:hAnsi="Verdana" w:cs="Segoe UI"/>
          <w:lang w:eastAsia="es-CO"/>
        </w:rPr>
        <w:t xml:space="preserve"> 469 del 2025 </w:t>
      </w:r>
      <w:r w:rsidRPr="00CE45C7">
        <w:rPr>
          <w:rFonts w:ascii="Verdana" w:hAnsi="Verdana"/>
        </w:rPr>
        <w:t xml:space="preserve">expedida por esta Agencia, </w:t>
      </w:r>
      <w:r w:rsidRPr="00CE45C7">
        <w:rPr>
          <w:rFonts w:ascii="Verdana" w:eastAsia="Calibri" w:hAnsi="Verdana" w:cs="Arial"/>
          <w:lang w:eastAsia="es-ES"/>
        </w:rPr>
        <w:t xml:space="preserve">responde su solicitud de consulta de fecha </w:t>
      </w:r>
      <w:r w:rsidR="00E52EF3">
        <w:rPr>
          <w:rFonts w:ascii="Verdana" w:eastAsia="Calibri" w:hAnsi="Verdana" w:cs="Arial"/>
          <w:lang w:eastAsia="es-ES"/>
        </w:rPr>
        <w:t xml:space="preserve">del </w:t>
      </w:r>
      <w:r w:rsidRPr="00CE45C7">
        <w:rPr>
          <w:rFonts w:ascii="Verdana" w:eastAsia="Calibri" w:hAnsi="Verdana" w:cs="Arial"/>
          <w:lang w:eastAsia="es-ES"/>
        </w:rPr>
        <w:t>7 de abril de 2026, en la cual manifiesta lo siguiente:</w:t>
      </w:r>
    </w:p>
    <w:p w14:paraId="798D3D80" w14:textId="36824C97" w:rsidR="007551CB" w:rsidRPr="007551CB" w:rsidRDefault="003F7E54" w:rsidP="00D9716A">
      <w:pPr>
        <w:pStyle w:val="paragraph"/>
        <w:ind w:left="737" w:right="737"/>
        <w:textAlignment w:val="baseline"/>
        <w:rPr>
          <w:rFonts w:ascii="Verdana" w:hAnsi="Verdana" w:cs="Segoe UI"/>
          <w:sz w:val="22"/>
          <w:szCs w:val="22"/>
        </w:rPr>
      </w:pPr>
      <w:r>
        <w:rPr>
          <w:rStyle w:val="normaltextrun"/>
          <w:rFonts w:ascii="Verdana" w:hAnsi="Verdana" w:cs="Segoe UI"/>
          <w:b/>
          <w:bCs/>
          <w:sz w:val="22"/>
          <w:szCs w:val="22"/>
        </w:rPr>
        <w:t>“</w:t>
      </w:r>
      <w:r w:rsidR="007551CB" w:rsidRPr="007551CB">
        <w:rPr>
          <w:rStyle w:val="normaltextrun"/>
          <w:rFonts w:ascii="Verdana" w:hAnsi="Verdana" w:cs="Segoe UI"/>
          <w:b/>
          <w:bCs/>
          <w:sz w:val="22"/>
          <w:szCs w:val="22"/>
        </w:rPr>
        <w:t>Señores</w:t>
      </w:r>
      <w:r w:rsidR="007551CB" w:rsidRPr="007551CB">
        <w:rPr>
          <w:rStyle w:val="scxw252875387"/>
          <w:rFonts w:ascii="Verdana" w:hAnsi="Verdana" w:cs="Segoe UI"/>
          <w:sz w:val="22"/>
          <w:szCs w:val="22"/>
        </w:rPr>
        <w:t> </w:t>
      </w:r>
      <w:r w:rsidR="007551CB" w:rsidRPr="007551CB">
        <w:rPr>
          <w:rFonts w:ascii="Verdana" w:hAnsi="Verdana" w:cs="Segoe UI"/>
          <w:sz w:val="22"/>
          <w:szCs w:val="22"/>
        </w:rPr>
        <w:br/>
      </w:r>
      <w:r w:rsidR="007551CB" w:rsidRPr="007551CB">
        <w:rPr>
          <w:rStyle w:val="normaltextrun"/>
          <w:rFonts w:ascii="Verdana" w:hAnsi="Verdana" w:cs="Segoe UI"/>
          <w:sz w:val="22"/>
          <w:szCs w:val="22"/>
        </w:rPr>
        <w:t>COLOMBIA COMPRA EFICIENTE</w:t>
      </w:r>
      <w:r w:rsidR="007551CB" w:rsidRPr="007551CB">
        <w:rPr>
          <w:rStyle w:val="scxw252875387"/>
          <w:rFonts w:ascii="Verdana" w:hAnsi="Verdana" w:cs="Segoe UI"/>
          <w:sz w:val="22"/>
          <w:szCs w:val="22"/>
        </w:rPr>
        <w:t> </w:t>
      </w:r>
      <w:r w:rsidR="007551CB" w:rsidRPr="007551CB">
        <w:rPr>
          <w:rFonts w:ascii="Verdana" w:hAnsi="Verdana" w:cs="Segoe UI"/>
          <w:sz w:val="22"/>
          <w:szCs w:val="22"/>
        </w:rPr>
        <w:br/>
      </w:r>
      <w:r w:rsidR="007551CB" w:rsidRPr="007551CB">
        <w:rPr>
          <w:rStyle w:val="normaltextrun"/>
          <w:rFonts w:ascii="Verdana" w:hAnsi="Verdana" w:cs="Segoe UI"/>
          <w:sz w:val="22"/>
          <w:szCs w:val="22"/>
        </w:rPr>
        <w:t>E. S. D.</w:t>
      </w:r>
      <w:r w:rsidR="007551CB" w:rsidRPr="007551CB">
        <w:rPr>
          <w:rStyle w:val="eop"/>
          <w:rFonts w:ascii="Verdana" w:hAnsi="Verdana" w:cs="Segoe UI"/>
          <w:sz w:val="22"/>
          <w:szCs w:val="22"/>
        </w:rPr>
        <w:t> </w:t>
      </w:r>
    </w:p>
    <w:p w14:paraId="3A7D62A4" w14:textId="77777777" w:rsidR="007551CB" w:rsidRPr="007551CB" w:rsidRDefault="007551CB" w:rsidP="00D9716A">
      <w:pPr>
        <w:pStyle w:val="paragraph"/>
        <w:ind w:left="737" w:right="737"/>
        <w:jc w:val="both"/>
        <w:textAlignment w:val="baseline"/>
        <w:rPr>
          <w:rFonts w:ascii="Verdana" w:hAnsi="Verdana" w:cs="Segoe UI"/>
          <w:sz w:val="22"/>
          <w:szCs w:val="22"/>
        </w:rPr>
      </w:pPr>
      <w:r w:rsidRPr="007551CB">
        <w:rPr>
          <w:rStyle w:val="normaltextrun"/>
          <w:rFonts w:ascii="Verdana" w:hAnsi="Verdana" w:cs="Segoe UI"/>
          <w:b/>
          <w:bCs/>
          <w:sz w:val="22"/>
          <w:szCs w:val="22"/>
        </w:rPr>
        <w:t>Asunto:</w:t>
      </w:r>
      <w:r w:rsidRPr="007551CB">
        <w:rPr>
          <w:rStyle w:val="normaltextrun"/>
          <w:rFonts w:ascii="Verdana" w:hAnsi="Verdana" w:cs="Segoe UI"/>
          <w:sz w:val="22"/>
          <w:szCs w:val="22"/>
        </w:rPr>
        <w:t> Derecho de petición – Consulta aplicación Ley de Garantías</w:t>
      </w:r>
      <w:r w:rsidRPr="007551CB">
        <w:rPr>
          <w:rStyle w:val="eop"/>
          <w:rFonts w:ascii="Verdana" w:hAnsi="Verdana" w:cs="Segoe UI"/>
          <w:sz w:val="22"/>
          <w:szCs w:val="22"/>
        </w:rPr>
        <w:t> </w:t>
      </w:r>
    </w:p>
    <w:p w14:paraId="773E1341" w14:textId="77777777" w:rsidR="007551CB" w:rsidRPr="007551CB" w:rsidRDefault="007551CB" w:rsidP="00D9716A">
      <w:pPr>
        <w:pStyle w:val="paragraph"/>
        <w:ind w:left="737" w:right="737"/>
        <w:jc w:val="both"/>
        <w:textAlignment w:val="baseline"/>
        <w:rPr>
          <w:rFonts w:ascii="Verdana" w:hAnsi="Verdana" w:cs="Segoe UI"/>
          <w:sz w:val="22"/>
          <w:szCs w:val="22"/>
        </w:rPr>
      </w:pPr>
      <w:r w:rsidRPr="007551CB">
        <w:rPr>
          <w:rStyle w:val="normaltextrun"/>
          <w:rFonts w:ascii="Verdana" w:hAnsi="Verdana" w:cs="Segoe UI"/>
          <w:sz w:val="22"/>
          <w:szCs w:val="22"/>
        </w:rPr>
        <w:t>Yo, </w:t>
      </w:r>
      <w:r w:rsidRPr="007551CB">
        <w:rPr>
          <w:rStyle w:val="normaltextrun"/>
          <w:rFonts w:ascii="Verdana" w:hAnsi="Verdana" w:cs="Segoe UI"/>
          <w:b/>
          <w:bCs/>
          <w:sz w:val="22"/>
          <w:szCs w:val="22"/>
        </w:rPr>
        <w:t>LISANDRO MOSQUERA MOSQUERA</w:t>
      </w:r>
      <w:r w:rsidRPr="007551CB">
        <w:rPr>
          <w:rStyle w:val="normaltextrun"/>
          <w:rFonts w:ascii="Verdana" w:hAnsi="Verdana" w:cs="Segoe UI"/>
          <w:sz w:val="22"/>
          <w:szCs w:val="22"/>
        </w:rPr>
        <w:t>, identificado con la cédula de ciudadanía No. 82.260.234 de San José del Palmar – Chocó, abogado en ejercicio portador de la Tarjeta Profesional No. 167.421 del Consejo Superior de la Judicatura, </w:t>
      </w:r>
      <w:r w:rsidRPr="007551CB">
        <w:rPr>
          <w:rStyle w:val="normaltextrun"/>
          <w:rFonts w:ascii="Verdana" w:hAnsi="Verdana" w:cs="Segoe UI"/>
          <w:b/>
          <w:bCs/>
          <w:sz w:val="22"/>
          <w:szCs w:val="22"/>
        </w:rPr>
        <w:t>en calidad de asesor jurídico de una entidad territorial</w:t>
      </w:r>
      <w:r w:rsidRPr="007551CB">
        <w:rPr>
          <w:rStyle w:val="normaltextrun"/>
          <w:rFonts w:ascii="Verdana" w:hAnsi="Verdana" w:cs="Segoe UI"/>
          <w:sz w:val="22"/>
          <w:szCs w:val="22"/>
        </w:rPr>
        <w:t>, en ejercicio del derecho fundamental de petición consagrado en el artículo 23 de la Constitución Política y desarrollado por la Ley 1755 de 2015, me permito elevar la siguiente solicitud:</w:t>
      </w:r>
      <w:r w:rsidRPr="007551CB">
        <w:rPr>
          <w:rStyle w:val="eop"/>
          <w:rFonts w:ascii="Verdana" w:hAnsi="Verdana" w:cs="Segoe UI"/>
          <w:sz w:val="22"/>
          <w:szCs w:val="22"/>
        </w:rPr>
        <w:t> </w:t>
      </w:r>
    </w:p>
    <w:p w14:paraId="075332D6" w14:textId="4B8ED549" w:rsidR="00CE45C7" w:rsidRPr="003F7E54" w:rsidRDefault="007551CB" w:rsidP="00D9716A">
      <w:pPr>
        <w:pStyle w:val="paragraph"/>
        <w:ind w:left="737" w:right="737"/>
        <w:jc w:val="both"/>
        <w:textAlignment w:val="baseline"/>
        <w:rPr>
          <w:rFonts w:ascii="Verdana" w:hAnsi="Verdana" w:cs="Segoe UI"/>
          <w:sz w:val="22"/>
          <w:szCs w:val="22"/>
        </w:rPr>
      </w:pPr>
      <w:r w:rsidRPr="007551CB">
        <w:rPr>
          <w:rStyle w:val="normaltextrun"/>
          <w:rFonts w:ascii="Verdana" w:hAnsi="Verdana" w:cs="Segoe UI"/>
          <w:sz w:val="22"/>
          <w:szCs w:val="22"/>
        </w:rPr>
        <w:t>De manera respetuosa solicito se sirvan conceptuar si, durante la vigencia de la </w:t>
      </w:r>
      <w:r w:rsidRPr="007551CB">
        <w:rPr>
          <w:rStyle w:val="normaltextrun"/>
          <w:rFonts w:ascii="Verdana" w:hAnsi="Verdana" w:cs="Segoe UI"/>
          <w:b/>
          <w:bCs/>
          <w:sz w:val="22"/>
          <w:szCs w:val="22"/>
        </w:rPr>
        <w:t>Ley de Garantías Electorales</w:t>
      </w:r>
      <w:r w:rsidRPr="007551CB">
        <w:rPr>
          <w:rStyle w:val="normaltextrun"/>
          <w:rFonts w:ascii="Verdana" w:hAnsi="Verdana" w:cs="Segoe UI"/>
          <w:sz w:val="22"/>
          <w:szCs w:val="22"/>
        </w:rPr>
        <w:t>, las entidades territoriales pueden celebrar </w:t>
      </w:r>
      <w:r w:rsidRPr="007551CB">
        <w:rPr>
          <w:rStyle w:val="normaltextrun"/>
          <w:rFonts w:ascii="Verdana" w:hAnsi="Verdana" w:cs="Segoe UI"/>
          <w:b/>
          <w:bCs/>
          <w:sz w:val="22"/>
          <w:szCs w:val="22"/>
        </w:rPr>
        <w:t>contratos de prestación de servicios personales con personas naturales</w:t>
      </w:r>
      <w:r w:rsidRPr="007551CB">
        <w:rPr>
          <w:rStyle w:val="normaltextrun"/>
          <w:rFonts w:ascii="Verdana" w:hAnsi="Verdana" w:cs="Segoe UI"/>
          <w:sz w:val="22"/>
          <w:szCs w:val="22"/>
        </w:rPr>
        <w:t> mediante la modalidad de </w:t>
      </w:r>
      <w:r w:rsidRPr="007551CB">
        <w:rPr>
          <w:rStyle w:val="normaltextrun"/>
          <w:rFonts w:ascii="Verdana" w:hAnsi="Verdana" w:cs="Segoe UI"/>
          <w:b/>
          <w:bCs/>
          <w:sz w:val="22"/>
          <w:szCs w:val="22"/>
        </w:rPr>
        <w:t>mínima cuantía</w:t>
      </w:r>
      <w:r w:rsidRPr="007551CB">
        <w:rPr>
          <w:rStyle w:val="normaltextrun"/>
          <w:rFonts w:ascii="Verdana" w:hAnsi="Verdana" w:cs="Segoe UI"/>
          <w:sz w:val="22"/>
          <w:szCs w:val="22"/>
        </w:rPr>
        <w:t xml:space="preserve">, siempre que el valor del contrato se ajuste a los límites establecidos para dicha modalidad en cada </w:t>
      </w:r>
      <w:r w:rsidR="003F7E54" w:rsidRPr="007551CB">
        <w:rPr>
          <w:rStyle w:val="normaltextrun"/>
          <w:rFonts w:ascii="Verdana" w:hAnsi="Verdana" w:cs="Segoe UI"/>
          <w:sz w:val="22"/>
          <w:szCs w:val="22"/>
        </w:rPr>
        <w:t>entidad</w:t>
      </w:r>
      <w:r w:rsidR="003F7E54" w:rsidRPr="007551CB">
        <w:rPr>
          <w:rStyle w:val="eop"/>
          <w:rFonts w:ascii="Verdana" w:hAnsi="Verdana" w:cs="Segoe UI"/>
          <w:sz w:val="22"/>
          <w:szCs w:val="22"/>
        </w:rPr>
        <w:t>.</w:t>
      </w:r>
      <w:r w:rsidR="003F7E54">
        <w:rPr>
          <w:rStyle w:val="eop"/>
          <w:rFonts w:ascii="Verdana" w:hAnsi="Verdana" w:cs="Segoe UI"/>
          <w:sz w:val="22"/>
          <w:szCs w:val="22"/>
        </w:rPr>
        <w:t>“</w:t>
      </w:r>
    </w:p>
    <w:p w14:paraId="1DD1E5C8" w14:textId="77777777" w:rsidR="00CE45C7" w:rsidRPr="00CE45C7" w:rsidRDefault="00CE45C7" w:rsidP="00CE45C7">
      <w:pPr>
        <w:spacing w:after="120" w:line="276" w:lineRule="auto"/>
        <w:ind w:firstLine="709"/>
        <w:jc w:val="both"/>
        <w:rPr>
          <w:rFonts w:ascii="Verdana" w:eastAsia="Calibri" w:hAnsi="Verdana" w:cs="Arial"/>
          <w:color w:val="000000"/>
          <w:szCs w:val="24"/>
          <w:lang w:eastAsia="es-ES_tradnl"/>
        </w:rPr>
      </w:pPr>
      <w:r w:rsidRPr="00CE45C7">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w:t>
      </w:r>
      <w:r w:rsidRPr="00CE45C7">
        <w:rPr>
          <w:rFonts w:ascii="Verdana" w:eastAsia="Calibri" w:hAnsi="Verdana" w:cs="Arial"/>
          <w:color w:val="000000"/>
          <w:lang w:eastAsia="es-ES"/>
        </w:rPr>
        <w:lastRenderedPageBreak/>
        <w:t xml:space="preserve">por definición, no puede extenderse a la resolución de controversias, ni a brindar asesorías sobre casos puntuales. </w:t>
      </w:r>
    </w:p>
    <w:p w14:paraId="1868D950" w14:textId="77777777" w:rsidR="00CE45C7" w:rsidRDefault="00CE45C7" w:rsidP="00CE45C7">
      <w:pPr>
        <w:spacing w:after="120" w:line="276" w:lineRule="auto"/>
        <w:ind w:firstLine="709"/>
        <w:jc w:val="both"/>
        <w:rPr>
          <w:rFonts w:ascii="Verdana" w:eastAsia="Calibri" w:hAnsi="Verdana" w:cs="Arial"/>
          <w:lang w:eastAsia="es-ES"/>
        </w:rPr>
      </w:pPr>
      <w:r w:rsidRPr="00CE45C7">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al problema jurídico de su consulta.</w:t>
      </w:r>
      <w:r w:rsidRPr="00CE45C7">
        <w:rPr>
          <w:rFonts w:ascii="Verdana" w:eastAsia="Calibri" w:hAnsi="Verdana" w:cs="Arial"/>
          <w:lang w:eastAsia="es-ES"/>
        </w:rPr>
        <w:t xml:space="preserve">  </w:t>
      </w:r>
    </w:p>
    <w:p w14:paraId="1090E50E" w14:textId="77777777" w:rsidR="00C00448" w:rsidRDefault="00C00448" w:rsidP="00CE45C7">
      <w:pPr>
        <w:spacing w:after="120" w:line="276" w:lineRule="auto"/>
        <w:ind w:firstLine="709"/>
        <w:jc w:val="both"/>
        <w:rPr>
          <w:rFonts w:ascii="Verdana" w:eastAsia="Calibri" w:hAnsi="Verdana" w:cs="Arial"/>
          <w:lang w:eastAsia="es-ES"/>
        </w:rPr>
      </w:pPr>
    </w:p>
    <w:p w14:paraId="79BE968A" w14:textId="77777777" w:rsidR="00C00448" w:rsidRPr="00CE45C7" w:rsidRDefault="00C00448" w:rsidP="00CE45C7">
      <w:pPr>
        <w:spacing w:after="120" w:line="276" w:lineRule="auto"/>
        <w:ind w:firstLine="709"/>
        <w:jc w:val="both"/>
        <w:rPr>
          <w:rFonts w:ascii="Verdana" w:eastAsia="Calibri" w:hAnsi="Verdana" w:cs="Arial"/>
          <w:lang w:eastAsia="es-ES"/>
        </w:rPr>
      </w:pPr>
    </w:p>
    <w:p w14:paraId="0965999F" w14:textId="77777777" w:rsidR="00CE45C7" w:rsidRPr="00CE45C7" w:rsidRDefault="00CE45C7" w:rsidP="00CE45C7">
      <w:pPr>
        <w:spacing w:after="120" w:line="276" w:lineRule="auto"/>
        <w:jc w:val="both"/>
        <w:rPr>
          <w:rFonts w:ascii="Verdana" w:eastAsia="Calibri" w:hAnsi="Verdana" w:cs="Arial"/>
          <w:lang w:eastAsia="es-ES"/>
        </w:rPr>
      </w:pPr>
      <w:r w:rsidRPr="00CE45C7">
        <w:rPr>
          <w:rFonts w:ascii="Verdana" w:eastAsia="Century Gothic" w:hAnsi="Verdana" w:cs="Century Gothic"/>
          <w:b/>
          <w:bCs/>
        </w:rPr>
        <w:t>1. Problema planteado:</w:t>
      </w:r>
    </w:p>
    <w:p w14:paraId="19C32E26" w14:textId="77777777" w:rsidR="00CE45C7" w:rsidRPr="00CE45C7" w:rsidRDefault="00CE45C7" w:rsidP="00CE45C7">
      <w:pPr>
        <w:spacing w:after="120" w:line="276" w:lineRule="auto"/>
        <w:jc w:val="both"/>
        <w:rPr>
          <w:rFonts w:ascii="Verdana" w:eastAsia="Calibri" w:hAnsi="Verdana" w:cs="Arial"/>
          <w:color w:val="000000"/>
          <w:lang w:eastAsia="es-ES"/>
        </w:rPr>
      </w:pPr>
      <w:r w:rsidRPr="00CE45C7">
        <w:rPr>
          <w:rFonts w:ascii="Verdana" w:eastAsia="Calibri" w:hAnsi="Verdana" w:cs="Arial"/>
          <w:color w:val="000000"/>
          <w:lang w:eastAsia="es-ES"/>
        </w:rPr>
        <w:t>De acuerdo con el contenido de su solicitud, esta Agencia resolverá el siguiente problema jurídico: ¿Es jurídicamente viable que, durante la vigencia de la Ley de Garantías Electorales, las entidades territoriales celebren contratos de prestación de servicios personales con personas naturales mediante la modalidad de mínima cuantía?</w:t>
      </w:r>
    </w:p>
    <w:p w14:paraId="6FCE22EC" w14:textId="77777777" w:rsidR="00CE45C7" w:rsidRPr="00CE45C7" w:rsidRDefault="00CE45C7" w:rsidP="00CE45C7">
      <w:pPr>
        <w:spacing w:after="0" w:line="276" w:lineRule="auto"/>
        <w:jc w:val="both"/>
        <w:rPr>
          <w:rFonts w:ascii="Verdana" w:hAnsi="Verdana" w:cs="Arial"/>
        </w:rPr>
      </w:pPr>
      <w:r w:rsidRPr="00CE45C7">
        <w:rPr>
          <w:rFonts w:ascii="Verdana" w:eastAsia="Century Gothic" w:hAnsi="Verdana" w:cs="Century Gothic"/>
          <w:b/>
          <w:bCs/>
        </w:rPr>
        <w:t>2. Respuesta:</w:t>
      </w:r>
    </w:p>
    <w:p w14:paraId="521E9DA3" w14:textId="77777777" w:rsidR="00CE45C7" w:rsidRPr="00CE45C7" w:rsidRDefault="00CE45C7" w:rsidP="00CE45C7">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CE45C7" w:rsidRPr="00CE45C7" w14:paraId="1D98B17A" w14:textId="77777777" w:rsidTr="238376C6">
        <w:tc>
          <w:tcPr>
            <w:tcW w:w="8828" w:type="dxa"/>
          </w:tcPr>
          <w:p w14:paraId="5B8E43BE" w14:textId="77777777" w:rsidR="00831865" w:rsidRPr="009177D6" w:rsidRDefault="00831865" w:rsidP="009177D6">
            <w:pPr>
              <w:tabs>
                <w:tab w:val="left" w:pos="709"/>
              </w:tabs>
              <w:spacing w:after="120" w:line="276" w:lineRule="auto"/>
              <w:ind w:firstLine="709"/>
              <w:contextualSpacing/>
              <w:jc w:val="both"/>
              <w:rPr>
                <w:rFonts w:ascii="Verdana" w:eastAsia="Calibri" w:hAnsi="Verdana" w:cs="Arial"/>
              </w:rPr>
            </w:pPr>
          </w:p>
          <w:p w14:paraId="19FB0A34" w14:textId="7084D8C0" w:rsidR="00B013ED" w:rsidRDefault="0006686D" w:rsidP="00FF1107">
            <w:pPr>
              <w:tabs>
                <w:tab w:val="left" w:pos="709"/>
              </w:tabs>
              <w:spacing w:before="240" w:after="120" w:line="276" w:lineRule="auto"/>
              <w:ind w:firstLine="709"/>
              <w:contextualSpacing/>
              <w:jc w:val="both"/>
              <w:rPr>
                <w:rFonts w:ascii="Verdana" w:eastAsia="Calibri" w:hAnsi="Verdana" w:cs="Arial"/>
              </w:rPr>
            </w:pPr>
            <w:r>
              <w:rPr>
                <w:rFonts w:ascii="Verdana" w:eastAsia="Calibri" w:hAnsi="Verdana" w:cs="Arial"/>
              </w:rPr>
              <w:t xml:space="preserve">En atención a </w:t>
            </w:r>
            <w:r w:rsidR="008D38E5">
              <w:rPr>
                <w:rFonts w:ascii="Verdana" w:eastAsia="Calibri" w:hAnsi="Verdana" w:cs="Arial"/>
              </w:rPr>
              <w:t>su consulta,</w:t>
            </w:r>
            <w:r w:rsidR="00B013ED" w:rsidRPr="00B013ED">
              <w:rPr>
                <w:rFonts w:ascii="Verdana" w:eastAsia="Calibri" w:hAnsi="Verdana" w:cs="Arial"/>
              </w:rPr>
              <w:t xml:space="preserve"> debe precisarse que, las Entidades Estatales, al momento de estructurar sus procesos de contratación, deben ceñirse a las situaciones fácticas y jurídicas definidas por el legislador en el artículo 2 de la Ley 1150 de 2007, a efectos de determinar la modalidad de selección procedente para la celebración de un contrato estatal, de acuerdo con su objeto y cuantía. En este contexto, resulta importante señalar que la </w:t>
            </w:r>
            <w:r w:rsidR="00B013ED" w:rsidRPr="009177D6">
              <w:rPr>
                <w:rFonts w:ascii="Verdana" w:eastAsia="Calibri" w:hAnsi="Verdana" w:cs="Arial"/>
              </w:rPr>
              <w:t xml:space="preserve">contratación directa </w:t>
            </w:r>
            <w:r w:rsidR="00B013ED" w:rsidRPr="00B013ED">
              <w:rPr>
                <w:rFonts w:ascii="Verdana" w:eastAsia="Calibri" w:hAnsi="Verdana" w:cs="Arial"/>
              </w:rPr>
              <w:t xml:space="preserve">constituye una </w:t>
            </w:r>
            <w:r w:rsidR="00B013ED" w:rsidRPr="009177D6">
              <w:rPr>
                <w:rFonts w:ascii="Verdana" w:eastAsia="Calibri" w:hAnsi="Verdana" w:cs="Arial"/>
              </w:rPr>
              <w:t>excepción al principio de libre concurrencia y competencia</w:t>
            </w:r>
            <w:r w:rsidR="00B013ED" w:rsidRPr="00B013ED">
              <w:rPr>
                <w:rFonts w:ascii="Verdana" w:eastAsia="Calibri" w:hAnsi="Verdana" w:cs="Arial"/>
              </w:rPr>
              <w:t>, el cual rige los procesos de contratación estatal y garantiza que cualquier persona interesada en satisfacer la necesidad de una entidad pueda presentar una oferta.</w:t>
            </w:r>
          </w:p>
          <w:p w14:paraId="20327622" w14:textId="77777777" w:rsidR="008D38E5" w:rsidRPr="008D38E5" w:rsidRDefault="008D38E5" w:rsidP="00FF1107">
            <w:pPr>
              <w:tabs>
                <w:tab w:val="left" w:pos="709"/>
              </w:tabs>
              <w:spacing w:before="240" w:after="120" w:line="276" w:lineRule="auto"/>
              <w:ind w:firstLine="709"/>
              <w:contextualSpacing/>
              <w:jc w:val="both"/>
              <w:rPr>
                <w:rFonts w:ascii="Verdana" w:eastAsia="Calibri" w:hAnsi="Verdana" w:cs="Arial"/>
              </w:rPr>
            </w:pPr>
          </w:p>
          <w:p w14:paraId="5AAFFB0F" w14:textId="1320915B" w:rsidR="00B013ED" w:rsidRPr="008D38E5" w:rsidRDefault="008D38E5" w:rsidP="00FF1107">
            <w:pPr>
              <w:tabs>
                <w:tab w:val="left" w:pos="709"/>
              </w:tabs>
              <w:spacing w:before="240" w:after="120" w:line="276" w:lineRule="auto"/>
              <w:ind w:firstLine="709"/>
              <w:contextualSpacing/>
              <w:jc w:val="both"/>
              <w:rPr>
                <w:rFonts w:ascii="Verdana" w:eastAsia="Calibri" w:hAnsi="Verdana" w:cs="Arial"/>
              </w:rPr>
            </w:pPr>
            <w:r w:rsidRPr="00573D1D">
              <w:rPr>
                <w:rFonts w:ascii="Verdana" w:eastAsia="Calibri" w:hAnsi="Verdana" w:cs="Arial"/>
              </w:rPr>
              <w:t>Al tratarse de una excepción a dichos principios, la contratación directa es de aplicación restrictiva, es decir, únicamente procede en los eventos expresamente señalados por la ley. Principalmente, las causales para acudir a esta modalidad se encuentran previstas en el</w:t>
            </w:r>
            <w:r w:rsidRPr="009177D6">
              <w:rPr>
                <w:rFonts w:ascii="Verdana" w:eastAsia="Calibri" w:hAnsi="Verdana" w:cs="Arial"/>
              </w:rPr>
              <w:t xml:space="preserve"> numeral 4 del artículo 2 de la </w:t>
            </w:r>
            <w:r w:rsidRPr="009177D6">
              <w:rPr>
                <w:rFonts w:ascii="Verdana" w:eastAsia="Calibri" w:hAnsi="Verdana" w:cs="Arial"/>
              </w:rPr>
              <w:lastRenderedPageBreak/>
              <w:t>Ley 1150 de 2007; no obstante, existen también otras disposiciones legales que autorizan la contratación directa en supuestos específicos.</w:t>
            </w:r>
          </w:p>
          <w:p w14:paraId="5313321F" w14:textId="505315F2" w:rsidR="00573D1D" w:rsidRDefault="00573D1D" w:rsidP="00FF1107">
            <w:pPr>
              <w:tabs>
                <w:tab w:val="left" w:pos="2076"/>
              </w:tabs>
              <w:spacing w:before="240" w:after="120" w:line="276" w:lineRule="auto"/>
              <w:ind w:firstLine="709"/>
              <w:contextualSpacing/>
              <w:jc w:val="both"/>
              <w:rPr>
                <w:rFonts w:ascii="Verdana" w:eastAsia="Calibri" w:hAnsi="Verdana" w:cs="Arial"/>
              </w:rPr>
            </w:pPr>
          </w:p>
          <w:p w14:paraId="29D7ECFD" w14:textId="77777777" w:rsidR="00573D1D" w:rsidRPr="00573D1D" w:rsidRDefault="00573D1D" w:rsidP="00FF1107">
            <w:pPr>
              <w:tabs>
                <w:tab w:val="left" w:pos="709"/>
              </w:tabs>
              <w:spacing w:before="240" w:after="120" w:line="276" w:lineRule="auto"/>
              <w:ind w:firstLine="709"/>
              <w:contextualSpacing/>
              <w:jc w:val="both"/>
              <w:rPr>
                <w:rFonts w:ascii="Verdana" w:eastAsia="Calibri" w:hAnsi="Verdana" w:cs="Arial"/>
              </w:rPr>
            </w:pPr>
            <w:r w:rsidRPr="00573D1D">
              <w:rPr>
                <w:rFonts w:ascii="Verdana" w:eastAsia="Calibri" w:hAnsi="Verdana" w:cs="Arial"/>
              </w:rPr>
              <w:t xml:space="preserve">En ese sentido, su aplicación no puede realizarse por fuera del contenido normativo ni extenderse más allá de lo expresamente dispuesto por el legislador dentro del ordenamiento jurídico de la contratación estatal. Así, respecto al primer problema jurídico, en virtud de la causal definida en el literal h) del citado numeral 4, la contratación directa procede específicamente para la celebración de contratos de prestación de servicios profesionales, de apoyo a la gestión o para la ejecución de trabajos artísticos, sin distinción de la cuantía u objeto, en los términos previstos en dicha disposición. </w:t>
            </w:r>
          </w:p>
          <w:p w14:paraId="5A627C2D" w14:textId="77777777" w:rsidR="00573D1D" w:rsidRPr="009177D6" w:rsidRDefault="00573D1D" w:rsidP="00FF1107">
            <w:pPr>
              <w:autoSpaceDE w:val="0"/>
              <w:autoSpaceDN w:val="0"/>
              <w:adjustRightInd w:val="0"/>
              <w:spacing w:before="240"/>
              <w:ind w:firstLine="709"/>
              <w:rPr>
                <w:rFonts w:ascii="Verdana" w:eastAsia="Calibri" w:hAnsi="Verdana" w:cs="Arial"/>
              </w:rPr>
            </w:pPr>
          </w:p>
          <w:p w14:paraId="5AB0F9EA" w14:textId="3BBFE7F1" w:rsidR="00573D1D" w:rsidRDefault="00573D1D" w:rsidP="00FF1107">
            <w:pPr>
              <w:tabs>
                <w:tab w:val="left" w:pos="709"/>
              </w:tabs>
              <w:spacing w:before="240" w:after="120" w:line="276" w:lineRule="auto"/>
              <w:ind w:firstLine="709"/>
              <w:contextualSpacing/>
              <w:jc w:val="both"/>
              <w:rPr>
                <w:rFonts w:ascii="Verdana" w:eastAsia="Calibri" w:hAnsi="Verdana" w:cs="Arial"/>
              </w:rPr>
            </w:pPr>
            <w:r w:rsidRPr="00573D1D">
              <w:rPr>
                <w:rFonts w:ascii="Verdana" w:eastAsia="Calibri" w:hAnsi="Verdana" w:cs="Arial"/>
              </w:rPr>
              <w:t>Esta precisión resulta relevante, pues en materia de selección de contratistas rige el principio de legalidad, conforme al cual la entidad debe acudir exclusivamente a la modalidad establecida por el legislador, de acuerdo con las causales o eventos previstos para la procedencia de cada una. En consecuencia, la contratación de prestación de servicios solo podrá adelantarse de forma directa cuando estos correspondan a servicios</w:t>
            </w:r>
            <w:r w:rsidR="00914549">
              <w:rPr>
                <w:rFonts w:ascii="Verdana" w:eastAsia="Calibri" w:hAnsi="Verdana" w:cs="Arial"/>
              </w:rPr>
              <w:t xml:space="preserve"> </w:t>
            </w:r>
            <w:r w:rsidR="009A03EF" w:rsidRPr="009177D6">
              <w:rPr>
                <w:rFonts w:ascii="Verdana" w:eastAsia="Calibri" w:hAnsi="Verdana" w:cs="Arial"/>
              </w:rPr>
              <w:t>profesionales, de apoyo a la gestión o artísticos</w:t>
            </w:r>
            <w:r w:rsidR="009A03EF" w:rsidRPr="009A03EF">
              <w:rPr>
                <w:rFonts w:ascii="Verdana" w:eastAsia="Calibri" w:hAnsi="Verdana" w:cs="Arial"/>
              </w:rPr>
              <w:t>, en los términos autorizados por la ley.</w:t>
            </w:r>
          </w:p>
          <w:p w14:paraId="3BC95D20" w14:textId="77777777" w:rsidR="00573D1D" w:rsidRDefault="00573D1D" w:rsidP="00FF1107">
            <w:pPr>
              <w:tabs>
                <w:tab w:val="left" w:pos="709"/>
              </w:tabs>
              <w:spacing w:before="240" w:after="120" w:line="276" w:lineRule="auto"/>
              <w:ind w:firstLine="709"/>
              <w:contextualSpacing/>
              <w:jc w:val="both"/>
              <w:rPr>
                <w:rFonts w:ascii="Verdana" w:eastAsia="Calibri" w:hAnsi="Verdana" w:cs="Arial"/>
              </w:rPr>
            </w:pPr>
          </w:p>
          <w:p w14:paraId="0CC2DD2A" w14:textId="0F5AB690" w:rsidR="00573D1D" w:rsidRDefault="002538C2" w:rsidP="00FF1107">
            <w:pPr>
              <w:tabs>
                <w:tab w:val="left" w:pos="709"/>
              </w:tabs>
              <w:spacing w:before="240" w:after="120" w:line="276" w:lineRule="auto"/>
              <w:ind w:firstLine="709"/>
              <w:contextualSpacing/>
              <w:jc w:val="both"/>
              <w:rPr>
                <w:rFonts w:ascii="Verdana" w:eastAsia="Calibri" w:hAnsi="Verdana" w:cs="Arial"/>
              </w:rPr>
            </w:pPr>
            <w:r w:rsidRPr="002538C2">
              <w:rPr>
                <w:rFonts w:ascii="Verdana" w:eastAsia="Calibri" w:hAnsi="Verdana" w:cs="Arial"/>
              </w:rPr>
              <w:t>En armonía con lo anterior, se concluye que la contratación directa, como modalidad de selección prevista en la Ley, se encuentra condicionada a la aplicación estricta y restrictiva de sus causales, por lo que no es procedente realizar interpretaciones amplias o extensivas. Ello, en atención a que su finalidad es constituir una excepción a la libre concurrencia de oferentes y no un mecanismo para impedir o restringir la competencia, de conformidad con los principios que rigen la contratación estatal, la función administrativa y la gestión fiscal.</w:t>
            </w:r>
          </w:p>
          <w:p w14:paraId="1A7EC923" w14:textId="77777777" w:rsidR="00573D1D" w:rsidRDefault="00573D1D" w:rsidP="00FF1107">
            <w:pPr>
              <w:tabs>
                <w:tab w:val="left" w:pos="709"/>
              </w:tabs>
              <w:spacing w:before="240" w:after="120" w:line="276" w:lineRule="auto"/>
              <w:ind w:firstLine="709"/>
              <w:contextualSpacing/>
              <w:jc w:val="both"/>
              <w:rPr>
                <w:rFonts w:ascii="Verdana" w:eastAsia="Calibri" w:hAnsi="Verdana" w:cs="Arial"/>
              </w:rPr>
            </w:pPr>
          </w:p>
          <w:p w14:paraId="00C512A7" w14:textId="30FAA5AC" w:rsidR="00215713" w:rsidRPr="009177D6" w:rsidRDefault="00215713" w:rsidP="00FF1107">
            <w:pPr>
              <w:autoSpaceDE w:val="0"/>
              <w:autoSpaceDN w:val="0"/>
              <w:adjustRightInd w:val="0"/>
              <w:spacing w:before="240"/>
              <w:ind w:firstLine="709"/>
              <w:jc w:val="both"/>
              <w:rPr>
                <w:rFonts w:ascii="Verdana" w:eastAsia="Calibri" w:hAnsi="Verdana" w:cs="Arial"/>
              </w:rPr>
            </w:pPr>
            <w:r w:rsidRPr="009177D6">
              <w:rPr>
                <w:rFonts w:ascii="Verdana" w:eastAsia="Calibri" w:hAnsi="Verdana" w:cs="Arial"/>
              </w:rPr>
              <w:t xml:space="preserve">Respecto </w:t>
            </w:r>
            <w:r w:rsidR="009177D6" w:rsidRPr="009177D6">
              <w:rPr>
                <w:rFonts w:ascii="Verdana" w:eastAsia="Calibri" w:hAnsi="Verdana" w:cs="Arial"/>
              </w:rPr>
              <w:t>al</w:t>
            </w:r>
            <w:r w:rsidR="009177D6">
              <w:rPr>
                <w:rFonts w:ascii="Verdana" w:eastAsia="Calibri" w:hAnsi="Verdana" w:cs="Arial"/>
              </w:rPr>
              <w:t xml:space="preserve"> problema </w:t>
            </w:r>
            <w:r w:rsidRPr="009177D6">
              <w:rPr>
                <w:rFonts w:ascii="Verdana" w:eastAsia="Calibri" w:hAnsi="Verdana" w:cs="Arial"/>
              </w:rPr>
              <w:t>jurídico</w:t>
            </w:r>
            <w:r w:rsidR="009177D6">
              <w:rPr>
                <w:rFonts w:ascii="Verdana" w:eastAsia="Calibri" w:hAnsi="Verdana" w:cs="Arial"/>
              </w:rPr>
              <w:t xml:space="preserve"> </w:t>
            </w:r>
            <w:r w:rsidR="00465E87">
              <w:rPr>
                <w:rFonts w:ascii="Verdana" w:eastAsia="Calibri" w:hAnsi="Verdana" w:cs="Arial"/>
              </w:rPr>
              <w:t>planteado,</w:t>
            </w:r>
            <w:r w:rsidRPr="009177D6">
              <w:rPr>
                <w:rFonts w:ascii="Verdana" w:eastAsia="Calibri" w:hAnsi="Verdana" w:cs="Arial"/>
              </w:rPr>
              <w:t xml:space="preserve"> la modalidad de selección de mínima cuantía, regulada en el numeral 5 del artículo 2 de la Ley 1150 de 2007, permite “la contratación cuyo valor no excede del diez por ciento (10 %) de la menor cuantía de la entidad, independientemente de su objeto”. En consecuencia, la procedencia de esta modalidad depende de un factor determinante: la cuantía del contrato que se pretende celebrar. </w:t>
            </w:r>
          </w:p>
          <w:p w14:paraId="4B783A9C" w14:textId="77777777" w:rsidR="009177D6" w:rsidRPr="009177D6" w:rsidRDefault="009177D6" w:rsidP="00FF1107">
            <w:pPr>
              <w:autoSpaceDE w:val="0"/>
              <w:autoSpaceDN w:val="0"/>
              <w:adjustRightInd w:val="0"/>
              <w:spacing w:before="240"/>
              <w:ind w:firstLine="709"/>
              <w:rPr>
                <w:rFonts w:ascii="Verdana" w:eastAsia="Calibri" w:hAnsi="Verdana" w:cs="Arial"/>
              </w:rPr>
            </w:pPr>
          </w:p>
          <w:p w14:paraId="23694F3C" w14:textId="77777777" w:rsidR="00215713" w:rsidRDefault="00215713" w:rsidP="00FF1107">
            <w:pPr>
              <w:autoSpaceDE w:val="0"/>
              <w:autoSpaceDN w:val="0"/>
              <w:adjustRightInd w:val="0"/>
              <w:spacing w:before="240"/>
              <w:ind w:firstLine="709"/>
              <w:jc w:val="both"/>
              <w:rPr>
                <w:rFonts w:ascii="Verdana" w:eastAsia="Calibri" w:hAnsi="Verdana" w:cs="Arial"/>
              </w:rPr>
            </w:pPr>
            <w:r w:rsidRPr="009177D6">
              <w:rPr>
                <w:rFonts w:ascii="Verdana" w:eastAsia="Calibri" w:hAnsi="Verdana" w:cs="Arial"/>
              </w:rPr>
              <w:t xml:space="preserve">De conformidad con lo expuesto, las Entidades Estatales deben observar, al momento de identificar la necesidad que buscan satisfacer, las situaciones fácticas y jurídicas previamente definidas por la ley para adelantar el proceso de contratación a través de la modalidad de selección correspondiente. En ese sentido, podrán contratar la adquisición de bienes, la ejecución de obras o la prestación de servicios mediante la modalidad de mínima cuantía, siempre que se cumpla el criterio de cuantía y que las normas que integran el Estatuto General de Contratación de la Administración Pública —Ley 80 de 1993, Ley 1150 de 2007, Decreto 1082 de 2015 y las demás que las modifiquen o complementen— no hayan asignado de manera expresa dichos objetos a una modalidad de selección diferente. </w:t>
            </w:r>
          </w:p>
          <w:p w14:paraId="48609958" w14:textId="77777777" w:rsidR="009177D6" w:rsidRPr="009177D6" w:rsidRDefault="009177D6" w:rsidP="00FF1107">
            <w:pPr>
              <w:autoSpaceDE w:val="0"/>
              <w:autoSpaceDN w:val="0"/>
              <w:adjustRightInd w:val="0"/>
              <w:spacing w:before="240"/>
              <w:ind w:firstLine="709"/>
              <w:jc w:val="both"/>
              <w:rPr>
                <w:rFonts w:ascii="Verdana" w:eastAsia="Calibri" w:hAnsi="Verdana" w:cs="Arial"/>
              </w:rPr>
            </w:pPr>
          </w:p>
          <w:p w14:paraId="7B758D73" w14:textId="682897A4" w:rsidR="00573D1D" w:rsidRPr="00331D3B" w:rsidRDefault="00215713" w:rsidP="00FF1107">
            <w:pPr>
              <w:tabs>
                <w:tab w:val="left" w:pos="709"/>
              </w:tabs>
              <w:spacing w:before="240" w:after="120" w:line="276" w:lineRule="auto"/>
              <w:ind w:firstLine="709"/>
              <w:contextualSpacing/>
              <w:jc w:val="both"/>
              <w:rPr>
                <w:rFonts w:ascii="Verdana" w:eastAsia="Calibri" w:hAnsi="Verdana" w:cs="Arial"/>
              </w:rPr>
            </w:pPr>
            <w:r w:rsidRPr="009177D6">
              <w:rPr>
                <w:rFonts w:ascii="Verdana" w:eastAsia="Calibri" w:hAnsi="Verdana" w:cs="Arial"/>
              </w:rPr>
              <w:t xml:space="preserve">Finalmente, debe advertirse que el análisis requerido para resolver problemas específicos en torno a la gestión contractual de las Entidades </w:t>
            </w:r>
            <w:r w:rsidR="009177D6" w:rsidRPr="009177D6">
              <w:rPr>
                <w:rFonts w:ascii="Verdana" w:eastAsia="Calibri" w:hAnsi="Verdana" w:cs="Arial"/>
              </w:rPr>
              <w:t>Estatales</w:t>
            </w:r>
            <w:r w:rsidRPr="009177D6">
              <w:rPr>
                <w:rFonts w:ascii="Verdana" w:eastAsia="Calibri" w:hAnsi="Verdana" w:cs="Arial"/>
              </w:rPr>
              <w:t xml:space="preserve"> debe ser realizado por quienes tengan interés en ello. De esta manera</w:t>
            </w:r>
            <w:r w:rsidRPr="00331D3B">
              <w:rPr>
                <w:rFonts w:ascii="Verdana" w:eastAsia="Calibri" w:hAnsi="Verdana" w:cs="Arial"/>
              </w:rPr>
              <w:t>, las afirmaciones aquí realizadas no pueden ser interpretadas como juicios de valor sobre circunstancias concretas relacionadas con los hechos que</w:t>
            </w:r>
          </w:p>
          <w:p w14:paraId="0AC43C31" w14:textId="242B9DD8" w:rsidR="00994E18" w:rsidRPr="00331D3B" w:rsidRDefault="00331D3B" w:rsidP="00FF1107">
            <w:pPr>
              <w:tabs>
                <w:tab w:val="left" w:pos="709"/>
              </w:tabs>
              <w:spacing w:before="240" w:after="120" w:line="276" w:lineRule="auto"/>
              <w:contextualSpacing/>
              <w:jc w:val="both"/>
              <w:rPr>
                <w:rFonts w:ascii="Verdana" w:eastAsia="Calibri" w:hAnsi="Verdana" w:cs="Arial"/>
              </w:rPr>
            </w:pPr>
            <w:r w:rsidRPr="00331D3B">
              <w:rPr>
                <w:rFonts w:ascii="Verdana" w:hAnsi="Verdana"/>
              </w:rPr>
              <w:t>motivan la consulta. Por lo anterior, previo concepto de sus asesores, la solución de situaciones particulares corresponde a los interesados de adoptar la decisión y, en caso de conflicto, a las autoridades judiciales, fiscales y disciplinarias.</w:t>
            </w:r>
          </w:p>
          <w:p w14:paraId="2A6C7386" w14:textId="46BF3D3E" w:rsidR="00CE45C7" w:rsidRPr="009177D6" w:rsidRDefault="00CE45C7" w:rsidP="009177D6">
            <w:pPr>
              <w:spacing w:after="120" w:line="276" w:lineRule="auto"/>
              <w:ind w:left="720" w:firstLine="709"/>
              <w:contextualSpacing/>
              <w:jc w:val="both"/>
              <w:rPr>
                <w:rFonts w:ascii="Verdana" w:eastAsia="Calibri" w:hAnsi="Verdana" w:cs="Arial"/>
              </w:rPr>
            </w:pPr>
          </w:p>
        </w:tc>
      </w:tr>
    </w:tbl>
    <w:p w14:paraId="151EED35" w14:textId="77777777" w:rsidR="00CE45C7" w:rsidRPr="00CE45C7" w:rsidRDefault="00CE45C7" w:rsidP="00CE45C7">
      <w:pPr>
        <w:tabs>
          <w:tab w:val="left" w:pos="142"/>
          <w:tab w:val="left" w:pos="284"/>
        </w:tabs>
        <w:spacing w:after="0" w:line="276" w:lineRule="auto"/>
        <w:jc w:val="both"/>
        <w:rPr>
          <w:rFonts w:ascii="Verdana" w:eastAsia="Century Gothic" w:hAnsi="Verdana" w:cs="Century Gothic"/>
          <w:b/>
          <w:bCs/>
        </w:rPr>
      </w:pPr>
    </w:p>
    <w:p w14:paraId="5E7EC43F" w14:textId="77777777" w:rsidR="00CE45C7" w:rsidRPr="00CE45C7" w:rsidRDefault="00CE45C7" w:rsidP="00CE45C7">
      <w:pPr>
        <w:tabs>
          <w:tab w:val="left" w:pos="142"/>
          <w:tab w:val="left" w:pos="284"/>
        </w:tabs>
        <w:spacing w:after="0" w:line="276" w:lineRule="auto"/>
        <w:jc w:val="both"/>
        <w:rPr>
          <w:rFonts w:ascii="Verdana" w:eastAsia="Century Gothic" w:hAnsi="Verdana" w:cs="Century Gothic"/>
          <w:b/>
          <w:bCs/>
        </w:rPr>
      </w:pPr>
    </w:p>
    <w:p w14:paraId="403B955B" w14:textId="77777777" w:rsidR="00CE45C7" w:rsidRPr="00CE45C7" w:rsidRDefault="00CE45C7" w:rsidP="00CE45C7">
      <w:pPr>
        <w:tabs>
          <w:tab w:val="left" w:pos="142"/>
          <w:tab w:val="left" w:pos="284"/>
        </w:tabs>
        <w:spacing w:after="0" w:line="276" w:lineRule="auto"/>
        <w:jc w:val="both"/>
        <w:rPr>
          <w:rFonts w:ascii="Verdana" w:eastAsia="Century Gothic" w:hAnsi="Verdana" w:cs="Century Gothic"/>
          <w:b/>
          <w:bCs/>
        </w:rPr>
      </w:pPr>
      <w:r w:rsidRPr="00CE45C7">
        <w:rPr>
          <w:rFonts w:ascii="Verdana" w:eastAsia="Century Gothic" w:hAnsi="Verdana" w:cs="Century Gothic"/>
          <w:b/>
          <w:bCs/>
        </w:rPr>
        <w:t>3. Razones de la respuesta:</w:t>
      </w:r>
    </w:p>
    <w:p w14:paraId="48DD902F" w14:textId="77777777" w:rsidR="00CE45C7" w:rsidRPr="00CE45C7" w:rsidRDefault="00CE45C7" w:rsidP="00CE45C7">
      <w:pPr>
        <w:tabs>
          <w:tab w:val="left" w:pos="142"/>
          <w:tab w:val="left" w:pos="284"/>
        </w:tabs>
        <w:spacing w:after="0" w:line="240" w:lineRule="auto"/>
        <w:jc w:val="both"/>
        <w:rPr>
          <w:rFonts w:ascii="Verdana" w:eastAsia="Calibri" w:hAnsi="Verdana" w:cs="Arial"/>
          <w:lang w:val="es-ES"/>
        </w:rPr>
      </w:pPr>
    </w:p>
    <w:p w14:paraId="76F149E4" w14:textId="77777777" w:rsidR="00CE45C7" w:rsidRPr="00CE45C7" w:rsidRDefault="00CE45C7" w:rsidP="00CE45C7">
      <w:pPr>
        <w:tabs>
          <w:tab w:val="left" w:pos="142"/>
          <w:tab w:val="left" w:pos="284"/>
          <w:tab w:val="left" w:pos="6975"/>
        </w:tabs>
        <w:spacing w:after="0" w:line="276" w:lineRule="auto"/>
        <w:jc w:val="both"/>
        <w:rPr>
          <w:rFonts w:ascii="Verdana" w:eastAsia="Calibri" w:hAnsi="Verdana" w:cs="Arial"/>
        </w:rPr>
      </w:pPr>
      <w:r w:rsidRPr="00CE45C7">
        <w:rPr>
          <w:rFonts w:ascii="Verdana" w:eastAsia="Calibri" w:hAnsi="Verdana" w:cs="Arial"/>
        </w:rPr>
        <w:t>Lo anterior se sustenta en las siguientes consideraciones:</w:t>
      </w:r>
    </w:p>
    <w:p w14:paraId="21ACA278" w14:textId="77777777" w:rsidR="00CE45C7" w:rsidRPr="00CE45C7" w:rsidRDefault="00CE45C7" w:rsidP="00CE45C7">
      <w:pPr>
        <w:tabs>
          <w:tab w:val="left" w:pos="142"/>
          <w:tab w:val="left" w:pos="284"/>
          <w:tab w:val="left" w:pos="6975"/>
        </w:tabs>
        <w:spacing w:after="0" w:line="276" w:lineRule="auto"/>
        <w:jc w:val="both"/>
        <w:rPr>
          <w:rFonts w:ascii="Verdana" w:eastAsia="Calibri" w:hAnsi="Verdana" w:cs="Arial"/>
        </w:rPr>
      </w:pPr>
    </w:p>
    <w:p w14:paraId="63151BF5" w14:textId="1840B2A4" w:rsidR="00340609" w:rsidRPr="00CE45C7" w:rsidRDefault="00CE45C7" w:rsidP="00CE45C7">
      <w:pPr>
        <w:spacing w:after="120" w:line="276" w:lineRule="auto"/>
        <w:jc w:val="both"/>
        <w:rPr>
          <w:rFonts w:ascii="Verdana" w:eastAsia="Calibri" w:hAnsi="Verdana" w:cs="Arial"/>
          <w:lang w:val="es-ES_tradnl"/>
        </w:rPr>
      </w:pPr>
      <w:r w:rsidRPr="00CE45C7">
        <w:rPr>
          <w:rFonts w:ascii="Verdana" w:eastAsia="Calibri" w:hAnsi="Verdana" w:cs="Arial"/>
          <w:lang w:val="es-ES_tradnl"/>
        </w:rPr>
        <w:t xml:space="preserve">La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estableciendo que el factor determinante para llevar a cabo tal procedimiento es </w:t>
      </w:r>
      <w:r w:rsidRPr="00CE45C7">
        <w:rPr>
          <w:rFonts w:ascii="Verdana" w:eastAsia="Calibri" w:hAnsi="Verdana" w:cs="Arial"/>
          <w:lang w:val="es-ES_tradnl"/>
        </w:rPr>
        <w:lastRenderedPageBreak/>
        <w:t>la cuantía –calculada como presupuesto oficial a partir del estudio del sector–, “independientemente de su objeto”.</w:t>
      </w:r>
    </w:p>
    <w:p w14:paraId="7A3C72D0" w14:textId="2DA36399" w:rsidR="009177D6" w:rsidRDefault="00CE45C7" w:rsidP="00A6695B">
      <w:pPr>
        <w:tabs>
          <w:tab w:val="left" w:pos="709"/>
        </w:tabs>
        <w:spacing w:after="120" w:line="276" w:lineRule="auto"/>
        <w:ind w:firstLine="709"/>
        <w:jc w:val="both"/>
        <w:rPr>
          <w:rFonts w:ascii="Verdana" w:eastAsia="Calibri" w:hAnsi="Verdana" w:cs="Arial"/>
          <w:lang w:val="es-ES_tradnl"/>
        </w:rPr>
      </w:pPr>
      <w:r w:rsidRPr="00CE45C7">
        <w:rPr>
          <w:rFonts w:ascii="Verdana" w:eastAsia="Calibri" w:hAnsi="Verdana" w:cs="Arial"/>
          <w:lang w:val="es-ES_tradnl"/>
        </w:rPr>
        <w:t>Dicho de otro modo, la mínima cuantía es un procedimiento de selección “especial”, porque es una excepción a la regla general constituida por la licitación pública. Aunque ambas modalidades implican un llamado general a presentar ofertas, efectuado por la entidad estatal interesada en contratar, la mínima cuantía es distinta de la licitación en otros aspectos, como su conducencia y su procedimiento: lo primero, porque solo procede por razón de una cuantía específica</w:t>
      </w:r>
      <w:r w:rsidRPr="00CE45C7">
        <w:rPr>
          <w:rFonts w:ascii="Verdana" w:eastAsia="Calibri" w:hAnsi="Verdana" w:cs="Arial"/>
          <w:vertAlign w:val="superscript"/>
          <w:lang w:val="es-ES_tradnl"/>
        </w:rPr>
        <w:t>,</w:t>
      </w:r>
      <w:r w:rsidRPr="00CE45C7">
        <w:rPr>
          <w:rFonts w:ascii="Verdana" w:eastAsia="Calibri" w:hAnsi="Verdana" w:cs="Arial"/>
          <w:lang w:val="es-ES_tradnl"/>
        </w:rPr>
        <w:t xml:space="preserve"> y lo segundo, porque sus requisitos, etapas y términos son especiales.</w:t>
      </w:r>
    </w:p>
    <w:p w14:paraId="61EC0098" w14:textId="77777777" w:rsidR="00340609" w:rsidRDefault="00340609" w:rsidP="00CE45C7">
      <w:pPr>
        <w:spacing w:after="0" w:line="240" w:lineRule="auto"/>
        <w:jc w:val="both"/>
        <w:textAlignment w:val="baseline"/>
        <w:rPr>
          <w:rFonts w:ascii="Verdana" w:eastAsia="Calibri" w:hAnsi="Verdana" w:cs="Arial"/>
        </w:rPr>
      </w:pPr>
    </w:p>
    <w:p w14:paraId="04E75676" w14:textId="77777777" w:rsidR="007D4515" w:rsidRPr="007D4515" w:rsidRDefault="007D4515" w:rsidP="007D4515">
      <w:pPr>
        <w:tabs>
          <w:tab w:val="left" w:pos="0"/>
        </w:tabs>
        <w:spacing w:after="120" w:line="276" w:lineRule="auto"/>
        <w:jc w:val="both"/>
        <w:rPr>
          <w:rFonts w:ascii="Verdana" w:eastAsia="Calibri" w:hAnsi="Verdana" w:cs="Arial"/>
          <w:color w:val="000000"/>
          <w:lang w:val="es-ES_tradnl"/>
        </w:rPr>
      </w:pPr>
      <w:r w:rsidRPr="007D4515">
        <w:rPr>
          <w:rFonts w:ascii="Verdana" w:eastAsia="Aptos" w:hAnsi="Verdana" w:cs="Arial"/>
          <w:color w:val="000000"/>
          <w:lang w:val="es-MX"/>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7D4515">
        <w:rPr>
          <w:rFonts w:ascii="Verdana" w:eastAsia="Calibri" w:hAnsi="Verdana" w:cs="Arial"/>
          <w:color w:val="000000"/>
          <w:lang w:val="es-ES_tradnl"/>
        </w:rPr>
        <w:t xml:space="preserve"> </w:t>
      </w:r>
    </w:p>
    <w:p w14:paraId="39ECAB0F" w14:textId="77777777" w:rsidR="007D4515" w:rsidRPr="007D4515" w:rsidRDefault="007D4515" w:rsidP="007D4515">
      <w:pPr>
        <w:tabs>
          <w:tab w:val="left" w:pos="0"/>
        </w:tabs>
        <w:spacing w:after="0" w:line="276" w:lineRule="auto"/>
        <w:jc w:val="both"/>
        <w:rPr>
          <w:rFonts w:ascii="Verdana" w:eastAsia="Calibri" w:hAnsi="Verdana" w:cs="Arial"/>
          <w:color w:val="000000"/>
          <w:lang w:val="es-ES_tradnl"/>
        </w:rPr>
      </w:pPr>
      <w:r w:rsidRPr="007D4515">
        <w:rPr>
          <w:rFonts w:ascii="Verdana" w:eastAsia="Calibri" w:hAnsi="Verdana" w:cs="Arial"/>
          <w:color w:val="000000"/>
          <w:lang w:val="es-ES_tradnl"/>
        </w:rPr>
        <w:tab/>
        <w:t>Ahora bien, respecto de la modalidad de selección del contratista debe señalarse que, de acuerdo el literal h), numeral 4º, del artículo 2 de la Ley 1150 de 2007 señala que el contrato de prestación de servicios y profesionales, de apoyo a la gestión y de ejecución de trabajos artísticos debe efectuarse a través de la modalidad de contratación directa. Así, el artículo antes citado expresamente dispone:</w:t>
      </w:r>
    </w:p>
    <w:p w14:paraId="476B2F26" w14:textId="77777777" w:rsidR="007D4515" w:rsidRPr="007D4515" w:rsidRDefault="007D4515" w:rsidP="007D4515">
      <w:pPr>
        <w:spacing w:after="0" w:line="276" w:lineRule="auto"/>
        <w:ind w:right="709"/>
        <w:jc w:val="both"/>
        <w:rPr>
          <w:rFonts w:ascii="Verdana" w:eastAsia="Calibri" w:hAnsi="Verdana" w:cs="Arial"/>
          <w:color w:val="000000"/>
          <w:sz w:val="21"/>
          <w:szCs w:val="21"/>
          <w:lang w:val="es-ES_tradnl"/>
        </w:rPr>
      </w:pPr>
    </w:p>
    <w:p w14:paraId="75FC9054" w14:textId="77777777" w:rsidR="007D4515" w:rsidRPr="007D4515" w:rsidRDefault="007D4515" w:rsidP="007D4515">
      <w:pPr>
        <w:spacing w:after="0" w:line="240" w:lineRule="auto"/>
        <w:ind w:left="709" w:right="709"/>
        <w:contextualSpacing/>
        <w:jc w:val="both"/>
        <w:rPr>
          <w:rFonts w:ascii="Verdana" w:eastAsia="Calibri" w:hAnsi="Verdana" w:cs="Arial"/>
          <w:color w:val="000000"/>
          <w:sz w:val="20"/>
          <w:szCs w:val="20"/>
          <w:lang w:val="es-MX"/>
        </w:rPr>
      </w:pPr>
      <w:r w:rsidRPr="007D4515">
        <w:rPr>
          <w:rFonts w:ascii="Verdana" w:eastAsia="Calibri" w:hAnsi="Verdana" w:cs="Arial"/>
          <w:color w:val="000000"/>
          <w:sz w:val="20"/>
          <w:szCs w:val="20"/>
          <w:lang w:val="es-MX"/>
        </w:rPr>
        <w:t>“La escogencia del contratista se efectuará con arreglo a las modalidades de selección de licitación pública, selección abreviada, concurso de méritos y contratación directa, con base en las siguientes reglas:</w:t>
      </w:r>
    </w:p>
    <w:p w14:paraId="7539EA50" w14:textId="77777777" w:rsidR="007D4515" w:rsidRPr="007D4515" w:rsidRDefault="007D4515" w:rsidP="007D4515">
      <w:pPr>
        <w:spacing w:after="0" w:line="240" w:lineRule="auto"/>
        <w:ind w:left="709" w:right="709"/>
        <w:contextualSpacing/>
        <w:jc w:val="both"/>
        <w:rPr>
          <w:rFonts w:ascii="Verdana" w:eastAsia="Calibri" w:hAnsi="Verdana" w:cs="Arial"/>
          <w:color w:val="000000"/>
          <w:sz w:val="20"/>
          <w:szCs w:val="20"/>
          <w:lang w:val="es-MX"/>
        </w:rPr>
      </w:pPr>
      <w:r w:rsidRPr="007D4515">
        <w:rPr>
          <w:rFonts w:ascii="Verdana" w:eastAsia="Calibri" w:hAnsi="Verdana" w:cs="Arial"/>
          <w:color w:val="000000"/>
          <w:sz w:val="20"/>
          <w:szCs w:val="20"/>
          <w:lang w:val="es-MX"/>
        </w:rPr>
        <w:t>[…]</w:t>
      </w:r>
    </w:p>
    <w:p w14:paraId="49DEEC62" w14:textId="77777777" w:rsidR="007D4515" w:rsidRPr="007D4515" w:rsidRDefault="007D4515" w:rsidP="007D4515">
      <w:pPr>
        <w:spacing w:after="0" w:line="240" w:lineRule="auto"/>
        <w:ind w:left="709" w:right="709"/>
        <w:contextualSpacing/>
        <w:jc w:val="both"/>
        <w:rPr>
          <w:rFonts w:ascii="Verdana" w:eastAsia="Calibri" w:hAnsi="Verdana" w:cs="Arial"/>
          <w:color w:val="000000"/>
          <w:sz w:val="20"/>
          <w:szCs w:val="20"/>
          <w:lang w:val="es-MX"/>
        </w:rPr>
      </w:pPr>
      <w:r w:rsidRPr="007D4515">
        <w:rPr>
          <w:rFonts w:ascii="Verdana" w:eastAsia="Calibri" w:hAnsi="Verdana" w:cs="Arial"/>
          <w:color w:val="000000"/>
          <w:sz w:val="20"/>
          <w:szCs w:val="20"/>
          <w:lang w:val="es-MX"/>
        </w:rPr>
        <w:t>4. Contratación directa. La modalidad de selección de contratación directa, solamente procederá en los siguientes casos:</w:t>
      </w:r>
    </w:p>
    <w:p w14:paraId="081F460B" w14:textId="77777777" w:rsidR="007D4515" w:rsidRPr="007D4515" w:rsidRDefault="007D4515" w:rsidP="007D4515">
      <w:pPr>
        <w:spacing w:after="0" w:line="240" w:lineRule="auto"/>
        <w:ind w:left="709" w:right="709"/>
        <w:contextualSpacing/>
        <w:jc w:val="both"/>
        <w:rPr>
          <w:rFonts w:ascii="Verdana" w:eastAsia="Calibri" w:hAnsi="Verdana" w:cs="Arial"/>
          <w:color w:val="000000"/>
          <w:sz w:val="20"/>
          <w:szCs w:val="20"/>
          <w:lang w:val="es-MX"/>
        </w:rPr>
      </w:pPr>
      <w:r w:rsidRPr="007D4515">
        <w:rPr>
          <w:rFonts w:ascii="Verdana" w:eastAsia="Calibri" w:hAnsi="Verdana" w:cs="Arial"/>
          <w:color w:val="000000"/>
          <w:sz w:val="20"/>
          <w:szCs w:val="20"/>
          <w:lang w:val="es-MX"/>
        </w:rPr>
        <w:t>[…]</w:t>
      </w:r>
    </w:p>
    <w:p w14:paraId="32CED0B0" w14:textId="77777777" w:rsidR="007D4515" w:rsidRPr="007D4515" w:rsidRDefault="007D4515" w:rsidP="007D4515">
      <w:pPr>
        <w:spacing w:after="0" w:line="240" w:lineRule="auto"/>
        <w:ind w:left="709" w:right="709"/>
        <w:contextualSpacing/>
        <w:jc w:val="both"/>
        <w:rPr>
          <w:rFonts w:ascii="Verdana" w:eastAsia="Calibri" w:hAnsi="Verdana" w:cs="Arial"/>
          <w:color w:val="000000"/>
          <w:sz w:val="20"/>
          <w:szCs w:val="20"/>
          <w:lang w:val="es-MX"/>
        </w:rPr>
      </w:pPr>
      <w:r w:rsidRPr="007D4515">
        <w:rPr>
          <w:rFonts w:ascii="Verdana" w:eastAsia="Calibri" w:hAnsi="Verdana" w:cs="Arial"/>
          <w:color w:val="000000"/>
          <w:sz w:val="20"/>
          <w:szCs w:val="20"/>
          <w:lang w:val="es-MX"/>
        </w:rPr>
        <w:t xml:space="preserve">h) Para la </w:t>
      </w:r>
      <w:r w:rsidRPr="007D4515">
        <w:rPr>
          <w:rFonts w:ascii="Verdana" w:eastAsia="Calibri" w:hAnsi="Verdana" w:cs="Arial"/>
          <w:i/>
          <w:iCs/>
          <w:color w:val="000000"/>
          <w:sz w:val="20"/>
          <w:szCs w:val="20"/>
          <w:u w:val="single"/>
          <w:lang w:val="es-MX"/>
        </w:rPr>
        <w:t>prestación de servicios profesionales y de apoyo a la gestión, o para la ejecución de trabajos artísticos que sólo puedan encomendarse a determinadas personas naturales</w:t>
      </w:r>
      <w:r w:rsidRPr="007D4515">
        <w:rPr>
          <w:rFonts w:ascii="Verdana" w:eastAsia="Calibri" w:hAnsi="Verdana" w:cs="Arial"/>
          <w:color w:val="000000"/>
          <w:sz w:val="20"/>
          <w:szCs w:val="20"/>
          <w:lang w:val="es-MX"/>
        </w:rPr>
        <w:t xml:space="preserve">”. [Énfasis fuera del texto </w:t>
      </w:r>
      <w:proofErr w:type="spellStart"/>
      <w:r w:rsidRPr="007D4515">
        <w:rPr>
          <w:rFonts w:ascii="Verdana" w:eastAsia="Calibri" w:hAnsi="Verdana" w:cs="Arial"/>
          <w:color w:val="000000"/>
          <w:sz w:val="20"/>
          <w:szCs w:val="20"/>
          <w:lang w:val="es-MX"/>
        </w:rPr>
        <w:t>orginal</w:t>
      </w:r>
      <w:proofErr w:type="spellEnd"/>
      <w:r w:rsidRPr="007D4515">
        <w:rPr>
          <w:rFonts w:ascii="Verdana" w:eastAsia="Calibri" w:hAnsi="Verdana" w:cs="Arial"/>
          <w:color w:val="000000"/>
          <w:sz w:val="20"/>
          <w:szCs w:val="20"/>
          <w:lang w:val="es-MX"/>
        </w:rPr>
        <w:t>]</w:t>
      </w:r>
    </w:p>
    <w:p w14:paraId="4328CEB9" w14:textId="77777777" w:rsidR="007D4515" w:rsidRPr="007D4515" w:rsidRDefault="007D4515" w:rsidP="007D4515">
      <w:pPr>
        <w:tabs>
          <w:tab w:val="left" w:pos="0"/>
        </w:tabs>
        <w:spacing w:after="0" w:line="276" w:lineRule="auto"/>
        <w:contextualSpacing/>
        <w:jc w:val="both"/>
        <w:rPr>
          <w:rFonts w:ascii="Verdana" w:eastAsia="Aptos" w:hAnsi="Verdana" w:cs="Arial"/>
          <w:noProof/>
          <w:lang w:val="es-ES_tradnl"/>
        </w:rPr>
      </w:pPr>
      <w:r w:rsidRPr="007D4515">
        <w:rPr>
          <w:rFonts w:ascii="Verdana" w:eastAsia="Aptos" w:hAnsi="Verdana" w:cs="Arial"/>
          <w:noProof/>
          <w:lang w:val="es-ES_tradnl"/>
        </w:rPr>
        <w:tab/>
      </w:r>
    </w:p>
    <w:p w14:paraId="0F8F606F" w14:textId="77777777" w:rsidR="007D4515" w:rsidRPr="007D4515" w:rsidRDefault="007D4515" w:rsidP="007D4515">
      <w:pPr>
        <w:tabs>
          <w:tab w:val="left" w:pos="0"/>
        </w:tabs>
        <w:spacing w:after="0" w:line="276" w:lineRule="auto"/>
        <w:contextualSpacing/>
        <w:jc w:val="both"/>
        <w:rPr>
          <w:rFonts w:ascii="Verdana" w:eastAsia="Aptos" w:hAnsi="Verdana" w:cs="Arial"/>
          <w:noProof/>
          <w:lang w:val="es-ES_tradnl"/>
        </w:rPr>
      </w:pPr>
      <w:r w:rsidRPr="007D4515">
        <w:rPr>
          <w:rFonts w:ascii="Verdana" w:eastAsia="Aptos" w:hAnsi="Verdana" w:cs="Arial"/>
          <w:noProof/>
          <w:lang w:val="es-ES_tradnl"/>
        </w:rPr>
        <w:lastRenderedPageBreak/>
        <w:tab/>
        <w:t>En concordancia con lo anterior, el artículo 2.2.1.2.1.4.9 del Decreto 1082 de 2015 reglamenta la contratación directa para los contratos de servicios profesionales y de apoyo a la gestión, o para la ejecución de trabajos artísticos que solo puedan encomendarse a determinadas personas naturales, en los siguientes términos:</w:t>
      </w:r>
    </w:p>
    <w:p w14:paraId="0A7331E8" w14:textId="77777777" w:rsidR="007D4515" w:rsidRPr="007D4515" w:rsidRDefault="007D4515" w:rsidP="007D4515">
      <w:pPr>
        <w:tabs>
          <w:tab w:val="left" w:pos="0"/>
        </w:tabs>
        <w:spacing w:after="0" w:line="276" w:lineRule="auto"/>
        <w:contextualSpacing/>
        <w:jc w:val="both"/>
        <w:rPr>
          <w:rFonts w:ascii="Verdana" w:eastAsia="Aptos" w:hAnsi="Verdana" w:cs="Arial"/>
          <w:noProof/>
          <w:lang w:val="es-ES_tradnl"/>
        </w:rPr>
      </w:pPr>
    </w:p>
    <w:p w14:paraId="004E51E0" w14:textId="77777777" w:rsidR="007D4515" w:rsidRPr="007D4515" w:rsidRDefault="007D4515" w:rsidP="007D4515">
      <w:pPr>
        <w:spacing w:after="0" w:line="240" w:lineRule="auto"/>
        <w:ind w:left="709" w:right="709"/>
        <w:contextualSpacing/>
        <w:jc w:val="both"/>
        <w:rPr>
          <w:rFonts w:ascii="Verdana" w:eastAsia="Aptos" w:hAnsi="Verdana" w:cs="Arial"/>
          <w:sz w:val="20"/>
          <w:szCs w:val="20"/>
          <w:lang w:val="es-MX"/>
        </w:rPr>
      </w:pPr>
      <w:r w:rsidRPr="007D4515">
        <w:rPr>
          <w:rFonts w:ascii="Verdana" w:eastAsia="Aptos" w:hAnsi="Verdana" w:cs="Arial"/>
          <w:sz w:val="20"/>
          <w:szCs w:val="20"/>
          <w:lang w:val="es-MX"/>
        </w:rPr>
        <w:t xml:space="preserve">“Las Entidades Estatales </w:t>
      </w:r>
      <w:r w:rsidRPr="007D4515">
        <w:rPr>
          <w:rFonts w:ascii="Verdana" w:eastAsia="Aptos" w:hAnsi="Verdana" w:cs="Arial"/>
          <w:i/>
          <w:iCs/>
          <w:sz w:val="20"/>
          <w:szCs w:val="20"/>
          <w:u w:val="single"/>
          <w:lang w:val="es-MX"/>
        </w:rPr>
        <w:t>pueden contratar bajo la modalidad de contratación directa la prestación de servicios profesionales y de apoyo a la gestión</w:t>
      </w:r>
      <w:r w:rsidRPr="007D4515">
        <w:rPr>
          <w:rFonts w:ascii="Verdana" w:eastAsia="Aptos" w:hAnsi="Verdana" w:cs="Arial"/>
          <w:sz w:val="20"/>
          <w:szCs w:val="20"/>
          <w:lang w:val="es-MX"/>
        </w:rPr>
        <w:t xml:space="preserve">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7A7A184" w14:textId="77777777" w:rsidR="007D4515" w:rsidRPr="007D4515" w:rsidRDefault="007D4515" w:rsidP="007D4515">
      <w:pPr>
        <w:spacing w:after="0" w:line="240" w:lineRule="auto"/>
        <w:ind w:left="709" w:right="709"/>
        <w:contextualSpacing/>
        <w:jc w:val="both"/>
        <w:rPr>
          <w:rFonts w:ascii="Verdana" w:eastAsia="Aptos" w:hAnsi="Verdana" w:cs="Arial"/>
          <w:sz w:val="20"/>
          <w:szCs w:val="20"/>
        </w:rPr>
      </w:pPr>
    </w:p>
    <w:p w14:paraId="54EC2610" w14:textId="77777777" w:rsidR="007D4515" w:rsidRPr="007D4515" w:rsidRDefault="007D4515" w:rsidP="007D4515">
      <w:pPr>
        <w:spacing w:after="0" w:line="240" w:lineRule="auto"/>
        <w:ind w:left="709" w:right="709"/>
        <w:contextualSpacing/>
        <w:jc w:val="both"/>
        <w:rPr>
          <w:rFonts w:ascii="Verdana" w:eastAsia="Aptos" w:hAnsi="Verdana" w:cs="Arial"/>
          <w:sz w:val="20"/>
          <w:szCs w:val="20"/>
          <w:lang w:val="es-MX"/>
        </w:rPr>
      </w:pPr>
      <w:r w:rsidRPr="007D4515">
        <w:rPr>
          <w:rFonts w:ascii="Verdana" w:eastAsia="Aptos"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027D0543" w14:textId="77777777" w:rsidR="007D4515" w:rsidRPr="007D4515" w:rsidRDefault="007D4515" w:rsidP="007D4515">
      <w:pPr>
        <w:spacing w:after="0" w:line="240" w:lineRule="auto"/>
        <w:ind w:left="709" w:right="709"/>
        <w:contextualSpacing/>
        <w:jc w:val="both"/>
        <w:rPr>
          <w:rFonts w:ascii="Verdana" w:eastAsia="Aptos" w:hAnsi="Verdana" w:cs="Arial"/>
          <w:sz w:val="20"/>
          <w:szCs w:val="20"/>
          <w:lang w:val="es-MX"/>
        </w:rPr>
      </w:pPr>
    </w:p>
    <w:p w14:paraId="113F9FD4" w14:textId="77777777" w:rsidR="007D4515" w:rsidRDefault="007D4515" w:rsidP="007D4515">
      <w:pPr>
        <w:spacing w:after="0" w:line="240" w:lineRule="auto"/>
        <w:ind w:left="709" w:right="709"/>
        <w:contextualSpacing/>
        <w:jc w:val="both"/>
        <w:rPr>
          <w:rFonts w:ascii="Verdana" w:eastAsia="Aptos" w:hAnsi="Verdana" w:cs="Arial"/>
          <w:sz w:val="20"/>
          <w:szCs w:val="20"/>
          <w:lang w:val="es-MX"/>
        </w:rPr>
      </w:pPr>
      <w:r w:rsidRPr="007D4515">
        <w:rPr>
          <w:rFonts w:ascii="Verdana" w:eastAsia="Aptos" w:hAnsi="Verdana" w:cs="Arial"/>
          <w:sz w:val="20"/>
          <w:szCs w:val="20"/>
          <w:lang w:val="es-MX"/>
        </w:rPr>
        <w:t>La Entidad Estatal, para la contratación de trabajos artísticos que solamente puedan en</w:t>
      </w:r>
      <w:r w:rsidRPr="007D4515">
        <w:rPr>
          <w:rFonts w:ascii="Verdana" w:eastAsia="Aptos" w:hAnsi="Verdana" w:cs="Arial"/>
          <w:sz w:val="20"/>
          <w:szCs w:val="20"/>
          <w:lang w:val="es-MX"/>
        </w:rPr>
        <w:softHyphen/>
        <w:t>comendarse a determinadas personas naturales, debe justificar esta situación en los estudios y documentos previos”. [Énfasis fuera de texto]</w:t>
      </w:r>
    </w:p>
    <w:p w14:paraId="1ABA3F29" w14:textId="77777777" w:rsidR="00F75973" w:rsidRPr="007D4515" w:rsidRDefault="00F75973" w:rsidP="007D4515">
      <w:pPr>
        <w:spacing w:after="0" w:line="240" w:lineRule="auto"/>
        <w:ind w:left="709" w:right="709"/>
        <w:contextualSpacing/>
        <w:jc w:val="both"/>
        <w:rPr>
          <w:rFonts w:ascii="Verdana" w:eastAsia="Aptos" w:hAnsi="Verdana" w:cs="Arial"/>
          <w:sz w:val="20"/>
          <w:szCs w:val="20"/>
          <w:lang w:val="es-MX"/>
        </w:rPr>
      </w:pPr>
    </w:p>
    <w:p w14:paraId="50E33C3E" w14:textId="77777777" w:rsidR="007D4515" w:rsidRPr="007D4515" w:rsidRDefault="007D4515" w:rsidP="007D4515">
      <w:pPr>
        <w:tabs>
          <w:tab w:val="left" w:pos="0"/>
        </w:tabs>
        <w:spacing w:after="0" w:line="276" w:lineRule="auto"/>
        <w:jc w:val="both"/>
        <w:rPr>
          <w:rFonts w:ascii="Verdana" w:eastAsia="Aptos" w:hAnsi="Verdana" w:cs="Arial"/>
          <w:noProof/>
        </w:rPr>
      </w:pPr>
    </w:p>
    <w:p w14:paraId="388AF828" w14:textId="77777777" w:rsidR="007D4515" w:rsidRPr="007D4515" w:rsidRDefault="007D4515" w:rsidP="007D4515">
      <w:pPr>
        <w:tabs>
          <w:tab w:val="left" w:pos="0"/>
        </w:tabs>
        <w:spacing w:after="120" w:line="276" w:lineRule="auto"/>
        <w:jc w:val="both"/>
        <w:rPr>
          <w:rFonts w:ascii="Verdana" w:eastAsia="Aptos" w:hAnsi="Verdana" w:cs="Arial"/>
          <w:color w:val="000000"/>
          <w:lang w:val="es-ES_tradnl"/>
        </w:rPr>
      </w:pPr>
      <w:r w:rsidRPr="007D4515">
        <w:rPr>
          <w:rFonts w:ascii="Verdana" w:eastAsia="Aptos" w:hAnsi="Verdana" w:cs="Arial"/>
          <w:color w:val="000000"/>
          <w:lang w:val="es-ES_tradnl"/>
        </w:rPr>
        <w:tab/>
        <w:t>A partir de las disposiciones citadas, así como de lo indicado en la Sentencia de Unificación Jurisprudencial del 9 de septiembre de 2021, emitida por el Consejo de Estado</w:t>
      </w:r>
      <w:r w:rsidRPr="007D4515">
        <w:rPr>
          <w:rFonts w:ascii="Verdana" w:eastAsia="Aptos" w:hAnsi="Verdana" w:cs="Arial"/>
          <w:bCs/>
          <w:vertAlign w:val="superscript"/>
          <w:lang w:val="es-ES"/>
        </w:rPr>
        <w:footnoteReference w:id="1"/>
      </w:r>
      <w:r w:rsidRPr="007D4515">
        <w:rPr>
          <w:rFonts w:ascii="Verdana" w:eastAsia="Aptos" w:hAnsi="Verdana" w:cs="Arial"/>
          <w:color w:val="000000"/>
          <w:lang w:val="es-ES_tradnl"/>
        </w:rPr>
        <w:t>, es posible señalar las siguientes características del contrato de prestación de servicios</w:t>
      </w:r>
      <w:r w:rsidRPr="007D4515">
        <w:rPr>
          <w:rFonts w:ascii="Verdana" w:eastAsia="Aptos" w:hAnsi="Verdana" w:cs="Arial"/>
          <w:noProof/>
          <w:lang w:val="es-ES_tradnl"/>
        </w:rPr>
        <w:t>:</w:t>
      </w:r>
    </w:p>
    <w:p w14:paraId="465EE402" w14:textId="77777777" w:rsidR="007D4515" w:rsidRPr="007D4515" w:rsidRDefault="007D4515" w:rsidP="007D4515">
      <w:pPr>
        <w:spacing w:before="120" w:after="120" w:line="276" w:lineRule="auto"/>
        <w:ind w:firstLine="709"/>
        <w:jc w:val="both"/>
        <w:rPr>
          <w:rFonts w:ascii="Verdana" w:eastAsia="Aptos" w:hAnsi="Verdana" w:cs="Arial"/>
          <w:noProof/>
          <w:lang w:val="es-ES_tradnl"/>
        </w:rPr>
      </w:pPr>
      <w:r w:rsidRPr="007D4515">
        <w:rPr>
          <w:rFonts w:ascii="Verdana" w:eastAsia="Aptos" w:hAnsi="Verdana" w:cs="Arial"/>
          <w:noProof/>
          <w:lang w:val="es-ES_tradnl"/>
        </w:rPr>
        <w:t>i) Solo puede celebrarse para realizar “actividades relacionadas con la administración o funcionamiento de la entidad”, es decir, que hagan parte de su giro ordinario o quehacer cotidiano</w:t>
      </w:r>
      <w:r w:rsidRPr="007D4515">
        <w:rPr>
          <w:rFonts w:ascii="Verdana" w:eastAsia="Aptos" w:hAnsi="Verdana" w:cs="Arial"/>
          <w:noProof/>
          <w:vertAlign w:val="superscript"/>
          <w:lang w:val="es-ES_tradnl"/>
        </w:rPr>
        <w:footnoteReference w:id="2"/>
      </w:r>
      <w:r w:rsidRPr="007D4515">
        <w:rPr>
          <w:rFonts w:ascii="Verdana" w:eastAsia="Aptos" w:hAnsi="Verdana" w:cs="Arial"/>
          <w:noProof/>
          <w:lang w:val="es-ES_tradnl"/>
        </w:rPr>
        <w:t>.</w:t>
      </w:r>
    </w:p>
    <w:p w14:paraId="415DF386" w14:textId="77777777" w:rsidR="007D4515" w:rsidRPr="007D4515" w:rsidRDefault="007D4515" w:rsidP="007D4515">
      <w:pPr>
        <w:spacing w:before="120" w:after="120" w:line="276" w:lineRule="auto"/>
        <w:ind w:firstLine="709"/>
        <w:jc w:val="both"/>
        <w:rPr>
          <w:rFonts w:ascii="Verdana" w:eastAsia="Aptos" w:hAnsi="Verdana" w:cs="Arial"/>
          <w:noProof/>
          <w:lang w:val="es-ES_tradnl"/>
        </w:rPr>
      </w:pPr>
      <w:r w:rsidRPr="007D4515">
        <w:rPr>
          <w:rFonts w:ascii="Verdana" w:eastAsia="Aptos" w:hAnsi="Verdana" w:cs="Arial"/>
          <w:noProof/>
          <w:lang w:val="es-ES_tradnl"/>
        </w:rPr>
        <w:lastRenderedPageBreak/>
        <w:t xml:space="preserve">ii) Respecto del tipo de personas que pueden ser contratadas, admite que se suscriba con personas naturales o jurídicas. Sin embargo, cuando se celebre con aquellas, la entidad estatal debe justificar, en los estudios previos, que las actividades “no puedan realizarse con personal de planta o requieran conocimientos especializados”. </w:t>
      </w:r>
    </w:p>
    <w:p w14:paraId="4C542A81" w14:textId="77777777" w:rsidR="007D4515" w:rsidRPr="007D4515" w:rsidRDefault="007D4515" w:rsidP="007D4515">
      <w:pPr>
        <w:spacing w:before="120" w:after="120" w:line="276" w:lineRule="auto"/>
        <w:ind w:firstLine="709"/>
        <w:jc w:val="both"/>
        <w:rPr>
          <w:rFonts w:ascii="Verdana" w:eastAsia="Aptos" w:hAnsi="Verdana" w:cs="Arial"/>
          <w:noProof/>
          <w:lang w:val="es-ES_tradnl"/>
        </w:rPr>
      </w:pPr>
      <w:r w:rsidRPr="007D4515">
        <w:rPr>
          <w:rFonts w:ascii="Verdana" w:eastAsia="Aptos" w:hAnsi="Verdana" w:cs="Arial"/>
          <w:noProof/>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7D4515">
        <w:rPr>
          <w:rFonts w:ascii="Verdana" w:eastAsia="Aptos" w:hAnsi="Verdana" w:cs="Arial"/>
          <w:i/>
          <w:noProof/>
          <w:lang w:val="es-ES_tradnl"/>
        </w:rPr>
        <w:t xml:space="preserve">subordinación </w:t>
      </w:r>
      <w:r w:rsidRPr="007D4515">
        <w:rPr>
          <w:rFonts w:ascii="Verdana" w:eastAsia="Aptos" w:hAnsi="Verdana" w:cs="Arial"/>
          <w:iCs/>
          <w:noProof/>
          <w:lang w:val="es-ES_tradnl"/>
        </w:rPr>
        <w:t>ni</w:t>
      </w:r>
      <w:r w:rsidRPr="007D4515">
        <w:rPr>
          <w:rFonts w:ascii="Verdana" w:eastAsia="Aptos" w:hAnsi="Verdana" w:cs="Arial"/>
          <w:i/>
          <w:noProof/>
          <w:lang w:val="es-ES_tradnl"/>
        </w:rPr>
        <w:t xml:space="preserve"> dependencia</w:t>
      </w:r>
      <w:r w:rsidRPr="007D4515">
        <w:rPr>
          <w:rFonts w:ascii="Verdana" w:eastAsia="Aptos" w:hAnsi="Verdana" w:cs="Arial"/>
          <w:iCs/>
          <w:noProof/>
          <w:lang w:val="es-ES_tradnl"/>
        </w:rPr>
        <w:t>,</w:t>
      </w:r>
      <w:r w:rsidRPr="007D4515">
        <w:rPr>
          <w:rFonts w:ascii="Verdana" w:eastAsia="Aptos" w:hAnsi="Verdana" w:cs="Arial"/>
          <w:noProof/>
          <w:lang w:val="es-ES_tradnl"/>
        </w:rPr>
        <w:t xml:space="preserve"> que es uno de los elementos constitutivos del vínculo laboral</w:t>
      </w:r>
      <w:r w:rsidRPr="007D4515">
        <w:rPr>
          <w:rFonts w:ascii="Verdana" w:eastAsia="Aptos" w:hAnsi="Verdana" w:cs="Arial"/>
          <w:noProof/>
          <w:vertAlign w:val="superscript"/>
          <w:lang w:val="es-ES_tradnl"/>
        </w:rPr>
        <w:footnoteReference w:id="3"/>
      </w:r>
      <w:r w:rsidRPr="007D4515">
        <w:rPr>
          <w:rFonts w:ascii="Verdana" w:eastAsia="Aptos" w:hAnsi="Verdana" w:cs="Arial"/>
          <w:noProof/>
          <w:lang w:val="es-ES_tradnl"/>
        </w:rPr>
        <w:t xml:space="preserve">. Por eso, el artículo 32, numeral 3º, de la Ley 80 de 1993 establece que “[e]n ningún caso estos contratos generan relación laboral ni prestaciones sociales”. </w:t>
      </w:r>
    </w:p>
    <w:p w14:paraId="53EF7400" w14:textId="77777777" w:rsidR="007D4515" w:rsidRPr="007D4515" w:rsidRDefault="007D4515" w:rsidP="007D4515">
      <w:pPr>
        <w:spacing w:before="120" w:after="120" w:line="276" w:lineRule="auto"/>
        <w:ind w:firstLine="709"/>
        <w:jc w:val="both"/>
        <w:rPr>
          <w:rFonts w:ascii="Verdana" w:eastAsia="Aptos" w:hAnsi="Verdana" w:cs="Arial"/>
          <w:noProof/>
          <w:lang w:val="es-ES_tradnl"/>
        </w:rPr>
      </w:pPr>
      <w:r w:rsidRPr="007D4515">
        <w:rPr>
          <w:rFonts w:ascii="Verdana" w:eastAsia="Aptos" w:hAnsi="Verdana" w:cs="Arial"/>
          <w:noProof/>
          <w:lang w:val="es-ES_tradnl"/>
        </w:rPr>
        <w:t xml:space="preserve">El anterior inciso, más que un enunciado que aluda al “ser”, se refiere al “deber ser”, pues debe interpretarse en el sentido de que los contratos de prestación de servicios profesionales y apoyo a la gestión </w:t>
      </w:r>
      <w:r w:rsidRPr="007D4515">
        <w:rPr>
          <w:rFonts w:ascii="Verdana" w:eastAsia="Aptos" w:hAnsi="Verdana" w:cs="Arial"/>
          <w:i/>
          <w:noProof/>
          <w:lang w:val="es-ES_tradnl"/>
        </w:rPr>
        <w:t>no pueden</w:t>
      </w:r>
      <w:r w:rsidRPr="007D4515">
        <w:rPr>
          <w:rFonts w:ascii="Verdana" w:eastAsia="Aptos" w:hAnsi="Verdana" w:cs="Arial"/>
          <w:noProof/>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r w:rsidRPr="007D4515">
        <w:rPr>
          <w:rFonts w:ascii="Verdana" w:eastAsia="Aptos" w:hAnsi="Verdana" w:cs="Arial"/>
          <w:noProof/>
          <w:vertAlign w:val="superscript"/>
          <w:lang w:val="es-ES_tradnl"/>
        </w:rPr>
        <w:footnoteReference w:id="4"/>
      </w:r>
      <w:r w:rsidRPr="007D4515">
        <w:rPr>
          <w:rFonts w:ascii="Verdana" w:eastAsia="Aptos" w:hAnsi="Verdana" w:cs="Arial"/>
          <w:noProof/>
          <w:lang w:val="es-ES_tradnl"/>
        </w:rPr>
        <w:t xml:space="preserve">. </w:t>
      </w:r>
    </w:p>
    <w:p w14:paraId="2441F560" w14:textId="77777777" w:rsidR="007D4515" w:rsidRPr="007D4515" w:rsidRDefault="007D4515" w:rsidP="007D4515">
      <w:pPr>
        <w:spacing w:before="120" w:after="120" w:line="276" w:lineRule="auto"/>
        <w:ind w:firstLine="709"/>
        <w:jc w:val="both"/>
        <w:rPr>
          <w:rFonts w:ascii="Verdana" w:eastAsia="Aptos" w:hAnsi="Verdana" w:cs="Arial"/>
          <w:noProof/>
          <w:lang w:val="es-ES_tradnl"/>
        </w:rPr>
      </w:pPr>
      <w:r w:rsidRPr="007D4515">
        <w:rPr>
          <w:rFonts w:ascii="Verdana" w:eastAsia="Aptos" w:hAnsi="Verdana" w:cs="Arial"/>
          <w:noProof/>
          <w:lang w:val="es-ES_tradnl"/>
        </w:rPr>
        <w:lastRenderedPageBreak/>
        <w:t xml:space="preserve">A pesar de este mandato deontológico, es posible que en la práctica se configure una relación laboral, pues el contrato de trabajo es </w:t>
      </w:r>
      <w:r w:rsidRPr="007D4515">
        <w:rPr>
          <w:rFonts w:ascii="Verdana" w:eastAsia="Aptos" w:hAnsi="Verdana" w:cs="Arial"/>
          <w:i/>
          <w:iCs/>
          <w:noProof/>
          <w:lang w:val="es-ES_tradnl"/>
        </w:rPr>
        <w:t xml:space="preserve">de </w:t>
      </w:r>
      <w:r w:rsidRPr="007D4515">
        <w:rPr>
          <w:rFonts w:ascii="Verdana" w:eastAsia="Aptos" w:hAnsi="Verdana" w:cs="Arial"/>
          <w:i/>
          <w:noProof/>
          <w:lang w:val="es-ES_tradnl"/>
        </w:rPr>
        <w:t>realidad</w:t>
      </w:r>
      <w:r w:rsidRPr="007D4515">
        <w:rPr>
          <w:rFonts w:ascii="Verdana" w:eastAsia="Aptos" w:hAnsi="Verdana" w:cs="Arial"/>
          <w:noProof/>
          <w:lang w:val="es-ES_tradnl"/>
        </w:rPr>
        <w:t xml:space="preserve"> y para perfeccionarlo rige el principio de prevalencia de la realidad sobre las formalidades. En consonancia con lo anterior, la Corte Constitucional declaró la exequibilidad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7D4515">
        <w:rPr>
          <w:rFonts w:ascii="Verdana" w:eastAsia="Aptos" w:hAnsi="Verdana" w:cs="Arial"/>
          <w:noProof/>
          <w:vertAlign w:val="superscript"/>
          <w:lang w:val="es-ES_tradnl"/>
        </w:rPr>
        <w:footnoteReference w:id="5"/>
      </w:r>
      <w:r w:rsidRPr="007D4515">
        <w:rPr>
          <w:rFonts w:ascii="Verdana" w:eastAsia="Aptos" w:hAnsi="Verdana" w:cs="Arial"/>
          <w:noProof/>
          <w:lang w:val="es-ES_tradnl"/>
        </w:rPr>
        <w:t>.</w:t>
      </w:r>
    </w:p>
    <w:p w14:paraId="116F2165" w14:textId="77777777" w:rsidR="007D4515" w:rsidRDefault="007D4515" w:rsidP="007D4515">
      <w:pPr>
        <w:spacing w:before="120" w:after="120" w:line="276" w:lineRule="auto"/>
        <w:ind w:firstLine="709"/>
        <w:jc w:val="both"/>
        <w:rPr>
          <w:rFonts w:ascii="Verdana" w:eastAsia="Aptos" w:hAnsi="Verdana" w:cs="Arial"/>
          <w:lang w:val="es-MX"/>
        </w:rPr>
      </w:pPr>
      <w:r w:rsidRPr="007D4515">
        <w:rPr>
          <w:rFonts w:ascii="Verdana" w:eastAsia="Aptos" w:hAnsi="Verdana" w:cs="Arial"/>
          <w:noProof/>
          <w:lang w:val="es-ES_tradnl"/>
        </w:rPr>
        <w:t>iv) Deben ser temporales. La mencionada sentencia de unificación jurisprudencial del Consejo de Estado, frente a la duración del contrato de prestación de servicios señaló que solo puede celebrarse por un “término estrictamente indispensable”. En ese entendido,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sidRPr="007D4515">
        <w:rPr>
          <w:rFonts w:ascii="Verdana" w:eastAsia="Aptos" w:hAnsi="Verdana" w:cs="Arial"/>
          <w:lang w:val="es-MX"/>
        </w:rPr>
        <w:t xml:space="preserve"> De igual manera, señaló que “no cabe su empleo para la cobertura indefinida de necesidades permanentes o recurrentes”. </w:t>
      </w:r>
    </w:p>
    <w:p w14:paraId="4EB1D625" w14:textId="77777777" w:rsidR="00752479" w:rsidRPr="007D4515" w:rsidRDefault="00752479" w:rsidP="007D4515">
      <w:pPr>
        <w:spacing w:before="120" w:after="120" w:line="276" w:lineRule="auto"/>
        <w:ind w:firstLine="709"/>
        <w:jc w:val="both"/>
        <w:rPr>
          <w:rFonts w:ascii="Verdana" w:eastAsia="Aptos" w:hAnsi="Verdana" w:cs="Arial"/>
          <w:lang w:val="es-MX"/>
        </w:rPr>
      </w:pPr>
    </w:p>
    <w:p w14:paraId="6F60D809" w14:textId="77777777" w:rsidR="007D4515" w:rsidRPr="007D4515" w:rsidRDefault="007D4515" w:rsidP="007D4515">
      <w:pPr>
        <w:spacing w:after="0" w:line="276" w:lineRule="auto"/>
        <w:ind w:firstLine="709"/>
        <w:jc w:val="both"/>
        <w:rPr>
          <w:rFonts w:ascii="Verdana" w:eastAsia="Aptos" w:hAnsi="Verdana" w:cs="Arial"/>
          <w:noProof/>
          <w:lang w:val="es-ES_tradnl"/>
        </w:rPr>
      </w:pPr>
      <w:r w:rsidRPr="007D4515">
        <w:rPr>
          <w:rFonts w:ascii="Verdana" w:eastAsia="Aptos" w:hAnsi="Verdana" w:cs="Arial"/>
          <w:noProof/>
          <w:lang w:val="es-ES_tradnl"/>
        </w:rPr>
        <w:t>En sentido similar se manifestó la Corte Constitucional en la sentencia C-154 de 1997, expresando que:</w:t>
      </w:r>
    </w:p>
    <w:p w14:paraId="714CC1E2" w14:textId="77777777" w:rsidR="007D4515" w:rsidRPr="007D4515" w:rsidRDefault="007D4515" w:rsidP="007D4515">
      <w:pPr>
        <w:spacing w:after="0" w:line="276" w:lineRule="auto"/>
        <w:contextualSpacing/>
        <w:jc w:val="both"/>
        <w:rPr>
          <w:rFonts w:ascii="Verdana" w:eastAsia="Aptos" w:hAnsi="Verdana" w:cs="Arial"/>
          <w:noProof/>
          <w:lang w:val="es-ES_tradnl"/>
        </w:rPr>
      </w:pPr>
    </w:p>
    <w:p w14:paraId="28B6FB9B" w14:textId="77777777" w:rsidR="007D4515" w:rsidRPr="007D4515" w:rsidRDefault="007D4515" w:rsidP="007D4515">
      <w:pPr>
        <w:spacing w:after="0" w:line="240" w:lineRule="auto"/>
        <w:ind w:left="709" w:right="709"/>
        <w:contextualSpacing/>
        <w:jc w:val="both"/>
        <w:rPr>
          <w:rFonts w:ascii="Verdana" w:eastAsia="Aptos" w:hAnsi="Verdana" w:cs="Arial"/>
          <w:noProof/>
          <w:sz w:val="20"/>
          <w:szCs w:val="20"/>
          <w:lang w:val="es-ES_tradnl"/>
        </w:rPr>
      </w:pPr>
      <w:r w:rsidRPr="007D4515">
        <w:rPr>
          <w:rFonts w:ascii="Verdana" w:eastAsia="Aptos" w:hAnsi="Verdana" w:cs="Arial"/>
          <w:noProof/>
          <w:sz w:val="20"/>
          <w:szCs w:val="20"/>
          <w:lang w:val="es-ES_tradnl"/>
        </w:rPr>
        <w:t xml:space="preserve">“La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w:t>
      </w:r>
      <w:r w:rsidRPr="007D4515">
        <w:rPr>
          <w:rFonts w:ascii="Verdana" w:eastAsia="Aptos" w:hAnsi="Verdana" w:cs="Arial"/>
          <w:noProof/>
          <w:sz w:val="20"/>
          <w:szCs w:val="20"/>
          <w:lang w:val="es-ES_tradnl"/>
        </w:rPr>
        <w:lastRenderedPageBreak/>
        <w:t>contemplado en la respectiva planta y previstos sus emolumentos en el presupuesto correspondiente”</w:t>
      </w:r>
      <w:r w:rsidRPr="007D4515">
        <w:rPr>
          <w:rFonts w:ascii="Verdana" w:eastAsia="Aptos" w:hAnsi="Verdana" w:cs="Arial"/>
          <w:noProof/>
          <w:sz w:val="20"/>
          <w:szCs w:val="20"/>
          <w:vertAlign w:val="superscript"/>
          <w:lang w:val="es-ES_tradnl"/>
        </w:rPr>
        <w:footnoteReference w:id="6"/>
      </w:r>
      <w:r w:rsidRPr="007D4515">
        <w:rPr>
          <w:rFonts w:ascii="Verdana" w:eastAsia="Aptos" w:hAnsi="Verdana" w:cs="Arial"/>
          <w:noProof/>
          <w:sz w:val="20"/>
          <w:szCs w:val="20"/>
          <w:lang w:val="es-ES_tradnl"/>
        </w:rPr>
        <w:t>.</w:t>
      </w:r>
    </w:p>
    <w:p w14:paraId="0EDF3092" w14:textId="77777777" w:rsidR="007D4515" w:rsidRPr="007D4515" w:rsidRDefault="007D4515" w:rsidP="007D4515">
      <w:pPr>
        <w:spacing w:after="0" w:line="276" w:lineRule="auto"/>
        <w:ind w:left="709" w:right="709"/>
        <w:contextualSpacing/>
        <w:jc w:val="both"/>
        <w:rPr>
          <w:rFonts w:ascii="Verdana" w:eastAsia="Aptos" w:hAnsi="Verdana" w:cs="Arial"/>
          <w:noProof/>
          <w:lang w:val="es-ES_tradnl"/>
        </w:rPr>
      </w:pPr>
    </w:p>
    <w:p w14:paraId="2356FA8D" w14:textId="77777777" w:rsidR="007D4515" w:rsidRPr="007D4515" w:rsidRDefault="007D4515" w:rsidP="007D4515">
      <w:pPr>
        <w:spacing w:after="120" w:line="276" w:lineRule="auto"/>
        <w:ind w:firstLine="709"/>
        <w:jc w:val="both"/>
        <w:rPr>
          <w:rFonts w:ascii="Verdana" w:eastAsia="Aptos" w:hAnsi="Verdana" w:cs="Arial"/>
          <w:noProof/>
          <w:lang w:val="es-ES_tradnl"/>
        </w:rPr>
      </w:pPr>
      <w:r w:rsidRPr="007D4515">
        <w:rPr>
          <w:rFonts w:ascii="Verdana" w:eastAsia="Aptos" w:hAnsi="Verdana" w:cs="Arial"/>
          <w:noProof/>
          <w:lang w:val="es-ES_tradnl"/>
        </w:rPr>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7D4515">
        <w:rPr>
          <w:rFonts w:ascii="Verdana" w:eastAsia="Aptos" w:hAnsi="Verdana" w:cs="Arial"/>
          <w:noProof/>
          <w:vertAlign w:val="superscript"/>
          <w:lang w:val="es-ES_tradnl"/>
        </w:rPr>
        <w:footnoteReference w:id="7"/>
      </w:r>
      <w:r w:rsidRPr="007D4515">
        <w:rPr>
          <w:rFonts w:ascii="Verdana" w:eastAsia="Aptos" w:hAnsi="Verdana" w:cs="Arial"/>
          <w:noProof/>
          <w:lang w:val="es-ES_tradnl"/>
        </w:rPr>
        <w:t>. Esto también se deriva d</w:t>
      </w:r>
      <w:r w:rsidRPr="007D4515">
        <w:rPr>
          <w:rFonts w:ascii="Verdana" w:eastAsia="Calibri" w:hAnsi="Verdana" w:cs="Arial"/>
          <w:color w:val="000000"/>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5AD6BED3" w14:textId="77777777" w:rsidR="007D4515" w:rsidRPr="007D4515" w:rsidRDefault="007D4515" w:rsidP="007D4515">
      <w:pPr>
        <w:spacing w:after="120" w:line="276" w:lineRule="auto"/>
        <w:ind w:firstLine="709"/>
        <w:jc w:val="both"/>
        <w:rPr>
          <w:rFonts w:ascii="Verdana" w:eastAsia="Aptos" w:hAnsi="Verdana" w:cs="Arial"/>
          <w:noProof/>
          <w:lang w:val="es-ES_tradnl"/>
        </w:rPr>
      </w:pPr>
      <w:r w:rsidRPr="007D4515">
        <w:rPr>
          <w:rFonts w:ascii="Verdana" w:eastAsia="Aptos" w:hAnsi="Verdana" w:cs="Arial"/>
          <w:noProof/>
          <w:lang w:val="es-ES_tradnl"/>
        </w:rPr>
        <w:t>vi) Para su celebración no se requiere expedir un acto administrativo de justificación de la contratación directa</w:t>
      </w:r>
      <w:r w:rsidRPr="007D4515">
        <w:rPr>
          <w:rFonts w:ascii="Verdana" w:eastAsia="Aptos" w:hAnsi="Verdana" w:cs="Arial"/>
          <w:noProof/>
          <w:vertAlign w:val="superscript"/>
          <w:lang w:val="es-ES_tradnl"/>
        </w:rPr>
        <w:footnoteReference w:id="8"/>
      </w:r>
      <w:r w:rsidRPr="007D4515">
        <w:rPr>
          <w:rFonts w:ascii="Verdana" w:eastAsia="Aptos" w:hAnsi="Verdana" w:cs="Arial"/>
          <w:noProof/>
          <w:lang w:val="es-ES_tradnl"/>
        </w:rPr>
        <w:t>.</w:t>
      </w:r>
    </w:p>
    <w:p w14:paraId="7B63890E" w14:textId="77777777" w:rsidR="007D4515" w:rsidRPr="007D4515" w:rsidRDefault="007D4515" w:rsidP="007D4515">
      <w:pPr>
        <w:spacing w:after="120" w:line="276" w:lineRule="auto"/>
        <w:ind w:firstLine="709"/>
        <w:jc w:val="both"/>
        <w:rPr>
          <w:rFonts w:ascii="Verdana" w:eastAsia="Aptos" w:hAnsi="Verdana" w:cs="Arial"/>
          <w:noProof/>
          <w:lang w:val="es-ES_tradnl"/>
        </w:rPr>
      </w:pPr>
      <w:r w:rsidRPr="007D4515">
        <w:rPr>
          <w:rFonts w:ascii="Verdana" w:eastAsia="Aptos" w:hAnsi="Verdana" w:cs="Arial"/>
          <w:noProof/>
          <w:lang w:val="es-ES_tradnl"/>
        </w:rPr>
        <w:lastRenderedPageBreak/>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7D4515">
        <w:rPr>
          <w:rFonts w:ascii="Verdana" w:eastAsia="Aptos" w:hAnsi="Verdana" w:cs="Arial"/>
          <w:noProof/>
          <w:vertAlign w:val="superscript"/>
          <w:lang w:val="es-ES_tradnl"/>
        </w:rPr>
        <w:footnoteReference w:id="9"/>
      </w:r>
      <w:r w:rsidRPr="007D4515">
        <w:rPr>
          <w:rFonts w:ascii="Verdana" w:eastAsia="Aptos" w:hAnsi="Verdana" w:cs="Arial"/>
          <w:noProof/>
          <w:lang w:val="es-ES_tradnl"/>
        </w:rPr>
        <w:t>.</w:t>
      </w:r>
    </w:p>
    <w:p w14:paraId="348DC736" w14:textId="77777777" w:rsidR="007D4515" w:rsidRPr="007D4515" w:rsidRDefault="007D4515" w:rsidP="007D4515">
      <w:pPr>
        <w:spacing w:after="120" w:line="276" w:lineRule="auto"/>
        <w:ind w:firstLine="709"/>
        <w:jc w:val="both"/>
        <w:rPr>
          <w:rFonts w:ascii="Verdana" w:eastAsia="Aptos" w:hAnsi="Verdana" w:cs="Arial"/>
          <w:noProof/>
          <w:lang w:val="es-ES_tradnl"/>
        </w:rPr>
      </w:pPr>
      <w:r w:rsidRPr="007D4515">
        <w:rPr>
          <w:rFonts w:ascii="Verdana" w:eastAsia="Aptos" w:hAnsi="Verdana" w:cs="Arial"/>
          <w:noProof/>
          <w:lang w:val="es-ES_tradnl"/>
        </w:rPr>
        <w:t>viii) No es obligatoria la liquidación de estos contratos, como lo establece el artículo 217 del Decreto 019 de 2012, que modificó el artículo 60 de la Ley 80 de 1993</w:t>
      </w:r>
      <w:r w:rsidRPr="007D4515">
        <w:rPr>
          <w:rFonts w:ascii="Verdana" w:eastAsia="Aptos" w:hAnsi="Verdana" w:cs="Arial"/>
          <w:noProof/>
          <w:vertAlign w:val="superscript"/>
          <w:lang w:val="es-ES_tradnl"/>
        </w:rPr>
        <w:footnoteReference w:id="10"/>
      </w:r>
      <w:r w:rsidRPr="007D4515">
        <w:rPr>
          <w:rFonts w:ascii="Verdana" w:eastAsia="Aptos" w:hAnsi="Verdana" w:cs="Arial"/>
          <w:noProof/>
          <w:lang w:val="es-ES_tradnl"/>
        </w:rPr>
        <w:t>.</w:t>
      </w:r>
    </w:p>
    <w:p w14:paraId="3E203676" w14:textId="77777777" w:rsidR="007D4515" w:rsidRPr="007D4515" w:rsidRDefault="007D4515" w:rsidP="007D4515">
      <w:pPr>
        <w:spacing w:after="120" w:line="276" w:lineRule="auto"/>
        <w:ind w:firstLine="709"/>
        <w:jc w:val="both"/>
        <w:rPr>
          <w:rFonts w:ascii="Verdana" w:eastAsia="Aptos" w:hAnsi="Verdana" w:cs="Arial"/>
          <w:noProof/>
          <w:lang w:val="es-ES_tradnl"/>
        </w:rPr>
      </w:pPr>
      <w:r w:rsidRPr="007D4515">
        <w:rPr>
          <w:rFonts w:ascii="Verdana" w:eastAsia="Aptos" w:hAnsi="Verdana" w:cs="Arial"/>
          <w:noProof/>
          <w:lang w:val="es-ES_tradnl"/>
        </w:rPr>
        <w:t>ix) Para su celebración el contratista no requiere estar inscrito en el Registro Único de Proponentes –RUP–, como lo señala el artículo 6 de la Ley 1150 de 2007</w:t>
      </w:r>
      <w:r w:rsidRPr="007D4515">
        <w:rPr>
          <w:rFonts w:ascii="Verdana" w:eastAsia="Aptos" w:hAnsi="Verdana" w:cs="Arial"/>
          <w:noProof/>
          <w:vertAlign w:val="superscript"/>
          <w:lang w:val="es-ES_tradnl"/>
        </w:rPr>
        <w:footnoteReference w:id="11"/>
      </w:r>
      <w:r w:rsidRPr="007D4515">
        <w:rPr>
          <w:rFonts w:ascii="Verdana" w:eastAsia="Aptos" w:hAnsi="Verdana" w:cs="Arial"/>
          <w:noProof/>
          <w:lang w:val="es-ES_tradnl"/>
        </w:rPr>
        <w:t>.</w:t>
      </w:r>
    </w:p>
    <w:p w14:paraId="74D63085" w14:textId="77777777" w:rsidR="007D4515" w:rsidRPr="007D4515" w:rsidRDefault="007D4515" w:rsidP="007D4515">
      <w:pPr>
        <w:spacing w:after="120" w:line="276" w:lineRule="auto"/>
        <w:ind w:firstLine="708"/>
        <w:jc w:val="both"/>
        <w:rPr>
          <w:rFonts w:ascii="Verdana" w:eastAsia="Aptos" w:hAnsi="Verdana" w:cs="Arial"/>
          <w:noProof/>
          <w:lang w:val="es-ES_tradnl"/>
        </w:rPr>
      </w:pPr>
      <w:r w:rsidRPr="007D4515">
        <w:rPr>
          <w:rFonts w:ascii="Verdana" w:eastAsia="Aptos" w:hAnsi="Verdana" w:cs="Arial"/>
          <w:noProof/>
          <w:lang w:val="es-ES_tradnl"/>
        </w:rPr>
        <w:lastRenderedPageBreak/>
        <w:t>x) No es obligtoria la exigencia de garantías</w:t>
      </w:r>
      <w:r w:rsidRPr="007D4515">
        <w:rPr>
          <w:rFonts w:ascii="Verdana" w:eastAsia="Aptos" w:hAnsi="Verdana" w:cs="Arial"/>
          <w:noProof/>
          <w:vertAlign w:val="superscript"/>
          <w:lang w:val="es-ES_tradnl"/>
        </w:rPr>
        <w:footnoteReference w:id="12"/>
      </w:r>
      <w:r w:rsidRPr="007D4515">
        <w:rPr>
          <w:rFonts w:ascii="Verdana" w:eastAsia="Aptos" w:hAnsi="Verdana" w:cs="Arial"/>
          <w:noProof/>
          <w:lang w:val="es-ES_tradnl"/>
        </w:rPr>
        <w:t>.</w:t>
      </w:r>
    </w:p>
    <w:p w14:paraId="58104E7C" w14:textId="77777777" w:rsidR="007D4515" w:rsidRPr="007D4515" w:rsidRDefault="007D4515" w:rsidP="007D4515">
      <w:pPr>
        <w:spacing w:after="120" w:line="276" w:lineRule="auto"/>
        <w:ind w:firstLine="708"/>
        <w:jc w:val="both"/>
        <w:rPr>
          <w:rFonts w:ascii="Verdana" w:eastAsia="Aptos" w:hAnsi="Verdana" w:cs="Arial"/>
          <w:noProof/>
          <w:lang w:val="es-ES"/>
        </w:rPr>
      </w:pPr>
      <w:r w:rsidRPr="007D4515">
        <w:rPr>
          <w:rFonts w:ascii="Verdana" w:eastAsia="Aptos" w:hAnsi="Verdana" w:cs="Arial"/>
          <w:noProof/>
          <w:lang w:val="es-ES_tradnl"/>
        </w:rPr>
        <w:t>xi) Como los demás contratos estatales, se trata de un contrato solemne que debe constar por escrito y debe ser publicado en el SECOP.</w:t>
      </w:r>
    </w:p>
    <w:p w14:paraId="049FC1BE" w14:textId="77777777" w:rsidR="007D4515" w:rsidRPr="007D4515" w:rsidRDefault="007D4515" w:rsidP="007D4515">
      <w:pPr>
        <w:tabs>
          <w:tab w:val="left" w:pos="0"/>
        </w:tabs>
        <w:spacing w:after="120" w:line="276" w:lineRule="auto"/>
        <w:ind w:firstLine="709"/>
        <w:jc w:val="both"/>
        <w:rPr>
          <w:rFonts w:ascii="Verdana" w:eastAsia="Aptos" w:hAnsi="Verdana" w:cs="Arial"/>
          <w:color w:val="000000"/>
          <w:lang w:val="es-ES_tradnl"/>
        </w:rPr>
      </w:pPr>
      <w:proofErr w:type="spellStart"/>
      <w:r w:rsidRPr="007D4515">
        <w:rPr>
          <w:rFonts w:ascii="Verdana" w:eastAsia="Aptos" w:hAnsi="Verdana" w:cs="Arial"/>
          <w:color w:val="000000"/>
          <w:lang w:val="es-ES"/>
        </w:rPr>
        <w:t>xii</w:t>
      </w:r>
      <w:proofErr w:type="spellEnd"/>
      <w:r w:rsidRPr="007D4515">
        <w:rPr>
          <w:rFonts w:ascii="Verdana" w:eastAsia="Aptos" w:hAnsi="Verdana" w:cs="Arial"/>
          <w:color w:val="000000"/>
          <w:lang w:val="es-ES"/>
        </w:rPr>
        <w:t>) C</w:t>
      </w:r>
      <w:proofErr w:type="spellStart"/>
      <w:r w:rsidRPr="007D4515">
        <w:rPr>
          <w:rFonts w:ascii="Verdana" w:eastAsia="Aptos" w:hAnsi="Verdana" w:cs="Arial"/>
          <w:color w:val="000000"/>
          <w:lang w:val="es-MX"/>
        </w:rPr>
        <w:t>omo</w:t>
      </w:r>
      <w:proofErr w:type="spellEnd"/>
      <w:r w:rsidRPr="007D4515">
        <w:rPr>
          <w:rFonts w:ascii="Verdana" w:eastAsia="Aptos" w:hAnsi="Verdana" w:cs="Arial"/>
          <w:color w:val="000000"/>
          <w:lang w:val="es-MX"/>
        </w:rPr>
        <w:t xml:space="preserve"> especies del género </w:t>
      </w:r>
      <w:r w:rsidRPr="007D4515">
        <w:rPr>
          <w:rFonts w:ascii="Verdana" w:eastAsia="Aptos" w:hAnsi="Verdana" w:cs="Arial"/>
          <w:iCs/>
          <w:color w:val="000000"/>
          <w:lang w:val="es-MX"/>
        </w:rPr>
        <w:t xml:space="preserve">prestación de servicios, se incluyen </w:t>
      </w:r>
      <w:r w:rsidRPr="007D4515">
        <w:rPr>
          <w:rFonts w:ascii="Verdana" w:eastAsia="Aptos" w:hAnsi="Verdana" w:cs="Arial"/>
          <w:iCs/>
          <w:color w:val="000000"/>
          <w:lang w:val="es-ES_tradnl"/>
        </w:rPr>
        <w:t>los contratos de prestación de servicios profesionales, los contratos de prestación de servicios de apoyo a la gestión y los contratos de prestación de servicios artísticos que solo pueden encomendarse a determinadas personas naturales</w:t>
      </w:r>
      <w:r w:rsidRPr="007D4515">
        <w:rPr>
          <w:rFonts w:ascii="Verdana" w:eastAsia="Aptos" w:hAnsi="Verdana" w:cs="Arial"/>
          <w:color w:val="000000"/>
          <w:vertAlign w:val="superscript"/>
          <w:lang w:val="es-ES_tradnl"/>
        </w:rPr>
        <w:footnoteReference w:id="13"/>
      </w:r>
      <w:r w:rsidRPr="007D4515">
        <w:rPr>
          <w:rFonts w:ascii="Verdana" w:eastAsia="Aptos" w:hAnsi="Verdana" w:cs="Arial"/>
          <w:color w:val="000000"/>
          <w:lang w:val="es-MX"/>
        </w:rPr>
        <w:t xml:space="preserve">. </w:t>
      </w:r>
      <w:r w:rsidRPr="007D4515">
        <w:rPr>
          <w:rFonts w:ascii="Verdana" w:eastAsia="Aptos" w:hAnsi="Verdana" w:cs="Arial"/>
          <w:color w:val="000000"/>
          <w:lang w:val="es-ES_tradnl"/>
        </w:rPr>
        <w:t xml:space="preserve">La diferencia entre el contrato de prestación de servicios </w:t>
      </w:r>
      <w:r w:rsidRPr="007D4515">
        <w:rPr>
          <w:rFonts w:ascii="Verdana" w:eastAsia="Aptos" w:hAnsi="Verdana" w:cs="Arial"/>
          <w:i/>
          <w:color w:val="000000"/>
          <w:lang w:val="es-ES_tradnl"/>
        </w:rPr>
        <w:t>profesionales</w:t>
      </w:r>
      <w:r w:rsidRPr="007D4515">
        <w:rPr>
          <w:rFonts w:ascii="Verdana" w:eastAsia="Aptos" w:hAnsi="Verdana" w:cs="Arial"/>
          <w:color w:val="000000"/>
          <w:lang w:val="es-ES_tradnl"/>
        </w:rPr>
        <w:t xml:space="preserve"> con las otras dos especies del género en el cual se ubican, radica en su contenido intelectual intangible y, al mismo tiempo, en la formación profesional que se exige para desempeñar la labor. </w:t>
      </w:r>
    </w:p>
    <w:p w14:paraId="7FD84F91" w14:textId="77777777" w:rsidR="007D4515" w:rsidRPr="007D4515" w:rsidRDefault="007D4515" w:rsidP="007D4515">
      <w:pPr>
        <w:tabs>
          <w:tab w:val="left" w:pos="0"/>
        </w:tabs>
        <w:spacing w:before="120" w:after="0" w:line="276" w:lineRule="auto"/>
        <w:ind w:firstLine="709"/>
        <w:jc w:val="both"/>
        <w:rPr>
          <w:rFonts w:ascii="Verdana" w:eastAsia="Aptos" w:hAnsi="Verdana" w:cs="Arial"/>
          <w:color w:val="000000"/>
          <w:sz w:val="21"/>
          <w:szCs w:val="21"/>
          <w:lang w:val="es-MX"/>
        </w:rPr>
      </w:pPr>
      <w:r w:rsidRPr="007D4515">
        <w:rPr>
          <w:rFonts w:ascii="Verdana" w:eastAsia="Aptos" w:hAnsi="Verdana" w:cs="Arial"/>
          <w:color w:val="000000"/>
          <w:lang w:val="es-ES_tradnl"/>
        </w:rPr>
        <w:t>Así lo consideró el Consejo de Estado en Sentencia de Unificación jurisprudencial del 2 de diciembre de 2013, al explicar que:</w:t>
      </w:r>
    </w:p>
    <w:p w14:paraId="28715AB3" w14:textId="77777777" w:rsidR="007D4515" w:rsidRPr="007D4515" w:rsidRDefault="007D4515" w:rsidP="007D4515">
      <w:pPr>
        <w:spacing w:after="0" w:line="276" w:lineRule="auto"/>
        <w:ind w:firstLine="709"/>
        <w:contextualSpacing/>
        <w:jc w:val="both"/>
        <w:rPr>
          <w:rFonts w:ascii="Verdana" w:eastAsia="Aptos" w:hAnsi="Verdana" w:cs="Arial"/>
          <w:color w:val="000000"/>
          <w:lang w:val="es-ES_tradnl"/>
        </w:rPr>
      </w:pPr>
    </w:p>
    <w:p w14:paraId="1FB14398" w14:textId="77777777" w:rsidR="007D4515" w:rsidRPr="007D4515" w:rsidRDefault="007D4515" w:rsidP="007D4515">
      <w:pPr>
        <w:spacing w:after="0" w:line="240" w:lineRule="auto"/>
        <w:ind w:left="709" w:right="709"/>
        <w:contextualSpacing/>
        <w:jc w:val="both"/>
        <w:rPr>
          <w:rFonts w:ascii="Verdana" w:eastAsia="Aptos" w:hAnsi="Verdana" w:cs="Arial"/>
          <w:color w:val="000000"/>
          <w:sz w:val="20"/>
          <w:szCs w:val="20"/>
          <w:lang w:val="es-ES_tradnl"/>
        </w:rPr>
      </w:pPr>
      <w:r w:rsidRPr="007D4515">
        <w:rPr>
          <w:rFonts w:ascii="Verdana" w:eastAsia="Aptos" w:hAnsi="Verdana" w:cs="Arial"/>
          <w:color w:val="000000"/>
          <w:sz w:val="20"/>
          <w:szCs w:val="20"/>
          <w:lang w:val="es-ES_tradnl"/>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w:t>
      </w:r>
      <w:r w:rsidRPr="007D4515">
        <w:rPr>
          <w:rFonts w:ascii="Verdana" w:eastAsia="Aptos" w:hAnsi="Verdana" w:cs="Arial"/>
          <w:color w:val="000000"/>
          <w:sz w:val="20"/>
          <w:szCs w:val="20"/>
          <w:lang w:val="es-ES_tradnl"/>
        </w:rPr>
        <w:lastRenderedPageBreak/>
        <w:t>Se caracteriza por demandar un conocimiento intelectivo cualificado: el saber profesional”</w:t>
      </w:r>
      <w:r w:rsidRPr="007D4515">
        <w:rPr>
          <w:rFonts w:ascii="Verdana" w:eastAsia="Aptos" w:hAnsi="Verdana" w:cs="Arial"/>
          <w:color w:val="000000"/>
          <w:sz w:val="20"/>
          <w:szCs w:val="20"/>
          <w:vertAlign w:val="superscript"/>
          <w:lang w:val="es-ES_tradnl"/>
        </w:rPr>
        <w:footnoteReference w:id="14"/>
      </w:r>
      <w:r w:rsidRPr="007D4515">
        <w:rPr>
          <w:rFonts w:ascii="Verdana" w:eastAsia="Aptos" w:hAnsi="Verdana" w:cs="Arial"/>
          <w:color w:val="000000"/>
          <w:sz w:val="20"/>
          <w:szCs w:val="20"/>
          <w:lang w:val="es-ES_tradnl"/>
        </w:rPr>
        <w:t>.</w:t>
      </w:r>
    </w:p>
    <w:p w14:paraId="6E7AEB64" w14:textId="77777777" w:rsidR="007D4515" w:rsidRPr="007D4515" w:rsidRDefault="007D4515" w:rsidP="007D4515">
      <w:pPr>
        <w:spacing w:after="0" w:line="276" w:lineRule="auto"/>
        <w:ind w:firstLine="709"/>
        <w:jc w:val="both"/>
        <w:rPr>
          <w:rFonts w:ascii="Verdana" w:eastAsia="Aptos" w:hAnsi="Verdana" w:cs="Arial"/>
          <w:color w:val="000000"/>
          <w:lang w:val="es-ES_tradnl"/>
        </w:rPr>
      </w:pPr>
    </w:p>
    <w:p w14:paraId="7CA55EF9" w14:textId="77777777" w:rsidR="007D4515" w:rsidRPr="007D4515" w:rsidRDefault="007D4515" w:rsidP="007D4515">
      <w:pPr>
        <w:spacing w:after="0" w:line="276" w:lineRule="auto"/>
        <w:ind w:firstLine="709"/>
        <w:jc w:val="both"/>
        <w:rPr>
          <w:rFonts w:ascii="Verdana" w:eastAsia="Aptos" w:hAnsi="Verdana" w:cs="Arial"/>
          <w:color w:val="000000"/>
          <w:lang w:val="es-ES_tradnl"/>
        </w:rPr>
      </w:pPr>
      <w:r w:rsidRPr="007D4515">
        <w:rPr>
          <w:rFonts w:ascii="Verdana" w:eastAsia="Aptos" w:hAnsi="Verdana" w:cs="Arial"/>
          <w:color w:val="000000"/>
          <w:lang w:val="es-ES_tradnl"/>
        </w:rPr>
        <w:t xml:space="preserve">Lo expuesto, según la jurisprudencia citada, se diferencia del objeto del </w:t>
      </w:r>
      <w:r w:rsidRPr="007D4515">
        <w:rPr>
          <w:rFonts w:ascii="Verdana" w:eastAsia="Aptos" w:hAnsi="Verdana" w:cs="Arial"/>
          <w:i/>
          <w:iCs/>
          <w:color w:val="000000"/>
          <w:lang w:val="es-ES_tradnl"/>
        </w:rPr>
        <w:t>contrato de prestación de servicios de apoyo a la gestión</w:t>
      </w:r>
      <w:r w:rsidRPr="007D4515">
        <w:rPr>
          <w:rFonts w:ascii="Verdana" w:eastAsia="Aptos" w:hAnsi="Verdana" w:cs="Arial"/>
          <w:color w:val="000000"/>
          <w:lang w:val="es-ES_tradnl"/>
        </w:rPr>
        <w:t>, en los siguientes aspectos:</w:t>
      </w:r>
    </w:p>
    <w:p w14:paraId="6F397C34" w14:textId="77777777" w:rsidR="007D4515" w:rsidRPr="007D4515" w:rsidRDefault="007D4515" w:rsidP="007D4515">
      <w:pPr>
        <w:spacing w:after="0" w:line="276" w:lineRule="auto"/>
        <w:ind w:firstLine="709"/>
        <w:jc w:val="both"/>
        <w:rPr>
          <w:rFonts w:ascii="Verdana" w:eastAsia="Aptos" w:hAnsi="Verdana" w:cs="Arial"/>
          <w:color w:val="000000"/>
          <w:lang w:val="es-ES_tradnl"/>
        </w:rPr>
      </w:pPr>
    </w:p>
    <w:p w14:paraId="0B5EB993" w14:textId="77777777" w:rsidR="007D4515" w:rsidRPr="007D4515" w:rsidRDefault="007D4515" w:rsidP="007D4515">
      <w:pPr>
        <w:spacing w:after="0" w:line="240" w:lineRule="auto"/>
        <w:ind w:left="709" w:right="709"/>
        <w:jc w:val="both"/>
        <w:rPr>
          <w:rFonts w:ascii="Verdana" w:eastAsia="Aptos" w:hAnsi="Verdana" w:cs="Arial"/>
          <w:color w:val="000000"/>
          <w:sz w:val="20"/>
          <w:szCs w:val="20"/>
          <w:lang w:val="es-ES_tradnl"/>
        </w:rPr>
      </w:pPr>
      <w:r w:rsidRPr="007D4515">
        <w:rPr>
          <w:rFonts w:ascii="Verdana" w:eastAsia="Aptos" w:hAnsi="Verdana" w:cs="Arial"/>
          <w:color w:val="000000"/>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4C01F86B" w14:textId="77777777" w:rsidR="007D4515" w:rsidRPr="007D4515" w:rsidRDefault="007D4515" w:rsidP="007D4515">
      <w:pPr>
        <w:spacing w:after="0" w:line="240" w:lineRule="auto"/>
        <w:ind w:left="709" w:right="709"/>
        <w:jc w:val="both"/>
        <w:rPr>
          <w:rFonts w:ascii="Verdana" w:eastAsia="Aptos" w:hAnsi="Verdana" w:cs="Arial"/>
          <w:color w:val="000000"/>
          <w:sz w:val="20"/>
          <w:szCs w:val="20"/>
          <w:lang w:val="es-ES_tradnl"/>
        </w:rPr>
      </w:pPr>
    </w:p>
    <w:p w14:paraId="02A40DAC" w14:textId="77777777" w:rsidR="007D4515" w:rsidRPr="007D4515" w:rsidRDefault="007D4515" w:rsidP="007D4515">
      <w:pPr>
        <w:spacing w:after="0" w:line="240" w:lineRule="auto"/>
        <w:ind w:left="709" w:right="709"/>
        <w:jc w:val="both"/>
        <w:rPr>
          <w:rFonts w:ascii="Verdana" w:eastAsia="Aptos" w:hAnsi="Verdana" w:cs="Arial"/>
          <w:color w:val="000000"/>
          <w:sz w:val="20"/>
          <w:szCs w:val="20"/>
          <w:lang w:val="es-ES"/>
        </w:rPr>
      </w:pPr>
      <w:r w:rsidRPr="007D4515">
        <w:rPr>
          <w:rFonts w:ascii="Verdana" w:eastAsia="Aptos" w:hAnsi="Verdana" w:cs="Arial"/>
          <w:color w:val="000000"/>
          <w:sz w:val="20"/>
          <w:szCs w:val="20"/>
          <w:lang w:val="es-ES"/>
        </w:rPr>
        <w:t>Aunque también se caracteriza por el desempeño de actividad intelectiva, ésta se enmarca dentro de un saber propiamente técnico; igualmente involucra actividades en donde prima el esfuerzo físico o mecánico, en donde no se requiere de personal profesional.</w:t>
      </w:r>
    </w:p>
    <w:p w14:paraId="6AAD2911" w14:textId="77777777" w:rsidR="007D4515" w:rsidRPr="007D4515" w:rsidRDefault="007D4515" w:rsidP="007D4515">
      <w:pPr>
        <w:spacing w:after="0" w:line="240" w:lineRule="auto"/>
        <w:ind w:left="709" w:right="709"/>
        <w:jc w:val="both"/>
        <w:rPr>
          <w:rFonts w:ascii="Verdana" w:eastAsia="Aptos" w:hAnsi="Verdana" w:cs="Arial"/>
          <w:color w:val="000000"/>
          <w:sz w:val="20"/>
          <w:szCs w:val="20"/>
          <w:lang w:val="es-ES_tradnl"/>
        </w:rPr>
      </w:pPr>
    </w:p>
    <w:p w14:paraId="100D6A1E" w14:textId="77777777" w:rsidR="007D4515" w:rsidRPr="007D4515" w:rsidRDefault="007D4515" w:rsidP="007D4515">
      <w:pPr>
        <w:spacing w:after="0" w:line="240" w:lineRule="auto"/>
        <w:ind w:left="709" w:right="709"/>
        <w:jc w:val="both"/>
        <w:rPr>
          <w:rFonts w:ascii="Verdana" w:eastAsia="Aptos" w:hAnsi="Verdana" w:cs="Arial"/>
          <w:color w:val="000000"/>
          <w:sz w:val="20"/>
          <w:szCs w:val="20"/>
          <w:lang w:val="es-ES_tradnl"/>
        </w:rPr>
      </w:pPr>
      <w:r w:rsidRPr="007D4515">
        <w:rPr>
          <w:rFonts w:ascii="Verdana" w:eastAsia="Aptos" w:hAnsi="Verdana" w:cs="Arial"/>
          <w:color w:val="000000"/>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7D4515">
        <w:rPr>
          <w:rFonts w:ascii="Verdana" w:eastAsia="Aptos" w:hAnsi="Verdana" w:cs="Arial"/>
          <w:color w:val="000000"/>
          <w:sz w:val="20"/>
          <w:szCs w:val="20"/>
          <w:vertAlign w:val="superscript"/>
          <w:lang w:val="es-ES_tradnl"/>
        </w:rPr>
        <w:footnoteReference w:id="15"/>
      </w:r>
      <w:r w:rsidRPr="007D4515">
        <w:rPr>
          <w:rFonts w:ascii="Verdana" w:eastAsia="Aptos" w:hAnsi="Verdana" w:cs="Arial"/>
          <w:color w:val="000000"/>
          <w:sz w:val="20"/>
          <w:szCs w:val="20"/>
          <w:lang w:val="es-ES_tradnl"/>
        </w:rPr>
        <w:t>.</w:t>
      </w:r>
    </w:p>
    <w:p w14:paraId="6DACAB75" w14:textId="77777777" w:rsidR="007D4515" w:rsidRPr="007D4515" w:rsidRDefault="007D4515" w:rsidP="007D4515">
      <w:pPr>
        <w:spacing w:after="0" w:line="276" w:lineRule="auto"/>
        <w:ind w:firstLine="709"/>
        <w:jc w:val="both"/>
        <w:rPr>
          <w:rFonts w:ascii="Verdana" w:eastAsia="Aptos" w:hAnsi="Verdana" w:cs="Arial"/>
          <w:color w:val="000000"/>
          <w:lang w:val="es-ES_tradnl"/>
        </w:rPr>
      </w:pPr>
    </w:p>
    <w:p w14:paraId="143A87F1" w14:textId="77777777" w:rsidR="007D4515" w:rsidRPr="007D4515" w:rsidRDefault="007D4515" w:rsidP="007D4515">
      <w:pPr>
        <w:spacing w:after="0" w:line="276" w:lineRule="auto"/>
        <w:ind w:firstLine="709"/>
        <w:jc w:val="both"/>
        <w:rPr>
          <w:rFonts w:ascii="Verdana" w:eastAsia="Aptos" w:hAnsi="Verdana" w:cs="Arial"/>
          <w:color w:val="000000"/>
          <w:lang w:val="es-ES_tradnl"/>
        </w:rPr>
      </w:pPr>
      <w:r w:rsidRPr="007D4515">
        <w:rPr>
          <w:rFonts w:ascii="Verdana" w:eastAsia="Aptos" w:hAnsi="Verdana" w:cs="Arial"/>
          <w:color w:val="000000"/>
          <w:lang w:val="es-ES_tradnl"/>
        </w:rPr>
        <w:t xml:space="preserve">En relación con el </w:t>
      </w:r>
      <w:r w:rsidRPr="007D4515">
        <w:rPr>
          <w:rFonts w:ascii="Verdana" w:eastAsia="Aptos" w:hAnsi="Verdana" w:cs="Arial"/>
          <w:i/>
          <w:iCs/>
          <w:color w:val="000000"/>
          <w:lang w:val="es-ES_tradnl"/>
        </w:rPr>
        <w:t>contrato de prestación de servicios artísticos que solo pueden encomendarse a determinadas personas naturales</w:t>
      </w:r>
      <w:r w:rsidRPr="007D4515">
        <w:rPr>
          <w:rFonts w:ascii="Verdana" w:eastAsia="Aptos" w:hAnsi="Verdana" w:cs="Arial"/>
          <w:color w:val="000000"/>
          <w:lang w:val="es-ES_tradnl"/>
        </w:rPr>
        <w:t>, señala la mencionada decisión judicial lo siguiente:</w:t>
      </w:r>
    </w:p>
    <w:p w14:paraId="247DD356" w14:textId="77777777" w:rsidR="007D4515" w:rsidRPr="007D4515" w:rsidRDefault="007D4515" w:rsidP="007D4515">
      <w:pPr>
        <w:spacing w:after="0" w:line="276" w:lineRule="auto"/>
        <w:ind w:left="709" w:right="709"/>
        <w:jc w:val="both"/>
        <w:rPr>
          <w:rFonts w:ascii="Verdana" w:eastAsia="Aptos" w:hAnsi="Verdana" w:cs="Arial"/>
          <w:color w:val="000000"/>
          <w:lang w:val="es-ES_tradnl"/>
        </w:rPr>
      </w:pPr>
    </w:p>
    <w:p w14:paraId="0A215938" w14:textId="77777777" w:rsidR="007D4515" w:rsidRPr="007D4515" w:rsidRDefault="007D4515" w:rsidP="007D4515">
      <w:pPr>
        <w:spacing w:after="0" w:line="240" w:lineRule="auto"/>
        <w:ind w:left="709" w:right="709"/>
        <w:jc w:val="both"/>
        <w:rPr>
          <w:rFonts w:ascii="Verdana" w:eastAsia="Aptos" w:hAnsi="Verdana" w:cs="Arial"/>
          <w:color w:val="000000"/>
          <w:sz w:val="20"/>
          <w:szCs w:val="20"/>
          <w:lang w:val="es-ES_tradnl"/>
        </w:rPr>
      </w:pPr>
      <w:r w:rsidRPr="007D4515">
        <w:rPr>
          <w:rFonts w:ascii="Verdana" w:eastAsia="Aptos" w:hAnsi="Verdana" w:cs="Arial"/>
          <w:color w:val="000000"/>
          <w:sz w:val="20"/>
          <w:szCs w:val="20"/>
          <w:lang w:val="es-ES_tradnl"/>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7D4515">
        <w:rPr>
          <w:rFonts w:ascii="Verdana" w:eastAsia="Aptos" w:hAnsi="Verdana" w:cs="Arial"/>
          <w:color w:val="000000"/>
          <w:sz w:val="20"/>
          <w:szCs w:val="20"/>
          <w:vertAlign w:val="superscript"/>
          <w:lang w:val="es-ES_tradnl"/>
        </w:rPr>
        <w:footnoteReference w:id="16"/>
      </w:r>
      <w:r w:rsidRPr="007D4515">
        <w:rPr>
          <w:rFonts w:ascii="Verdana" w:eastAsia="Aptos" w:hAnsi="Verdana" w:cs="Arial"/>
          <w:color w:val="000000"/>
          <w:sz w:val="20"/>
          <w:szCs w:val="20"/>
          <w:lang w:val="es-ES_tradnl"/>
        </w:rPr>
        <w:t>.</w:t>
      </w:r>
    </w:p>
    <w:p w14:paraId="3C687E0E" w14:textId="77777777" w:rsidR="007D4515" w:rsidRPr="007D4515" w:rsidRDefault="007D4515" w:rsidP="007D4515">
      <w:pPr>
        <w:spacing w:after="0" w:line="240" w:lineRule="auto"/>
        <w:ind w:left="709" w:right="709"/>
        <w:jc w:val="both"/>
        <w:rPr>
          <w:rFonts w:ascii="Verdana" w:eastAsia="Aptos" w:hAnsi="Verdana" w:cs="Arial"/>
          <w:color w:val="000000"/>
          <w:sz w:val="21"/>
          <w:szCs w:val="21"/>
          <w:lang w:val="es-ES_tradnl"/>
        </w:rPr>
      </w:pPr>
    </w:p>
    <w:p w14:paraId="0FB8A838" w14:textId="77777777" w:rsidR="007D4515" w:rsidRPr="007D4515" w:rsidRDefault="007D4515" w:rsidP="007D4515">
      <w:pPr>
        <w:spacing w:after="120" w:line="276" w:lineRule="auto"/>
        <w:ind w:firstLine="709"/>
        <w:jc w:val="both"/>
        <w:rPr>
          <w:rFonts w:ascii="Verdana" w:eastAsia="Aptos" w:hAnsi="Verdana" w:cs="Arial"/>
          <w:color w:val="000000"/>
          <w:lang w:val="es-MX"/>
        </w:rPr>
      </w:pPr>
      <w:r w:rsidRPr="007D4515">
        <w:rPr>
          <w:rFonts w:ascii="Verdana" w:eastAsia="Aptos" w:hAnsi="Verdana" w:cs="Arial"/>
          <w:color w:val="000000"/>
          <w:lang w:val="es-ES_tradnl"/>
        </w:rPr>
        <w:t xml:space="preserve">En este sentido, el contrato de prestación de servicios </w:t>
      </w:r>
      <w:r w:rsidRPr="007D4515">
        <w:rPr>
          <w:rFonts w:ascii="Verdana" w:eastAsia="Aptos" w:hAnsi="Verdana" w:cs="Arial"/>
          <w:i/>
          <w:iCs/>
          <w:color w:val="000000"/>
          <w:lang w:val="es-ES_tradnl"/>
        </w:rPr>
        <w:t>profesionales</w:t>
      </w:r>
      <w:r w:rsidRPr="007D4515">
        <w:rPr>
          <w:rFonts w:ascii="Verdana" w:eastAsia="Aptos" w:hAnsi="Verdana" w:cs="Arial"/>
          <w:color w:val="000000"/>
          <w:lang w:val="es-ES_tradnl"/>
        </w:rPr>
        <w:t xml:space="preserve"> se caracteriza porque su objeto guarda relación con el desarrollo de actividades que </w:t>
      </w:r>
      <w:r w:rsidRPr="007D4515">
        <w:rPr>
          <w:rFonts w:ascii="Verdana" w:eastAsia="Aptos" w:hAnsi="Verdana" w:cs="Arial"/>
          <w:color w:val="000000"/>
          <w:lang w:val="es-ES_tradnl"/>
        </w:rPr>
        <w:lastRenderedPageBreak/>
        <w:t xml:space="preserve">demandan competencias y habilidades profesionales o especializadas de la persona natural o jurídica a contratar, de manera que se trata de un </w:t>
      </w:r>
      <w:r w:rsidRPr="007D4515">
        <w:rPr>
          <w:rFonts w:ascii="Verdana" w:eastAsia="Aptos" w:hAnsi="Verdana" w:cs="Arial"/>
          <w:i/>
          <w:iCs/>
          <w:color w:val="000000"/>
          <w:lang w:val="es-ES_tradnl"/>
        </w:rPr>
        <w:t>saber intelectivo cualificado.</w:t>
      </w:r>
      <w:r w:rsidRPr="007D4515">
        <w:rPr>
          <w:rFonts w:ascii="Verdana" w:eastAsia="Aptos" w:hAnsi="Verdana" w:cs="Arial"/>
          <w:color w:val="000000"/>
          <w:lang w:val="es-ES_tradnl"/>
        </w:rPr>
        <w:t xml:space="preserve"> En cambio, los contratos de prestación de servicios de </w:t>
      </w:r>
      <w:r w:rsidRPr="007D4515">
        <w:rPr>
          <w:rFonts w:ascii="Verdana" w:eastAsia="Aptos" w:hAnsi="Verdana" w:cs="Arial"/>
          <w:i/>
          <w:iCs/>
          <w:color w:val="000000"/>
          <w:lang w:val="es-ES_tradnl"/>
        </w:rPr>
        <w:t>apoyo a la gestión</w:t>
      </w:r>
      <w:r w:rsidRPr="007D4515">
        <w:rPr>
          <w:rFonts w:ascii="Verdana" w:eastAsia="Aptos" w:hAnsi="Verdana" w:cs="Arial"/>
          <w:color w:val="000000"/>
          <w:lang w:val="es-ES_tradnl"/>
        </w:rPr>
        <w:t xml:space="preserve"> y de </w:t>
      </w:r>
      <w:r w:rsidRPr="007D4515">
        <w:rPr>
          <w:rFonts w:ascii="Verdana" w:eastAsia="Aptos" w:hAnsi="Verdana" w:cs="Arial"/>
          <w:i/>
          <w:iCs/>
          <w:color w:val="000000"/>
          <w:lang w:val="es-ES_tradnl"/>
        </w:rPr>
        <w:t>servicios artísticos</w:t>
      </w:r>
      <w:r w:rsidRPr="007D4515">
        <w:rPr>
          <w:rFonts w:ascii="Verdana" w:eastAsia="Aptos" w:hAnsi="Verdana" w:cs="Arial"/>
          <w:color w:val="000000"/>
          <w:lang w:val="es-ES_tradnl"/>
        </w:rPr>
        <w:t xml:space="preserve"> no involucran ese conocimiento profesional </w:t>
      </w:r>
      <w:r w:rsidRPr="007D4515">
        <w:rPr>
          <w:rFonts w:ascii="Verdana" w:eastAsia="Aptos" w:hAnsi="Verdana" w:cs="Arial"/>
          <w:color w:val="000000"/>
          <w:lang w:val="es-MX"/>
        </w:rPr>
        <w:t xml:space="preserve">o especializados para su ejecución. En los contratos de apoyo a la gestión </w:t>
      </w:r>
      <w:r w:rsidRPr="007D4515">
        <w:rPr>
          <w:rFonts w:ascii="Verdana" w:eastAsia="Aptos" w:hAnsi="Verdana" w:cs="Arial"/>
          <w:color w:val="000000"/>
          <w:lang w:val="es-ES_tradnl"/>
        </w:rPr>
        <w:t xml:space="preserve">el contratista desempeña un esfuerzo o actividad de apoyo, acompañamiento, o soporte, </w:t>
      </w:r>
      <w:r w:rsidRPr="007D4515">
        <w:rPr>
          <w:rFonts w:ascii="Verdana" w:eastAsia="Aptos" w:hAnsi="Verdana" w:cs="Arial"/>
          <w:color w:val="000000"/>
          <w:lang w:val="es-MX"/>
        </w:rPr>
        <w:t xml:space="preserve">donde </w:t>
      </w:r>
      <w:r w:rsidRPr="007D4515">
        <w:rPr>
          <w:rFonts w:ascii="Verdana" w:eastAsia="Aptos" w:hAnsi="Verdana" w:cs="Arial"/>
          <w:color w:val="000000"/>
          <w:lang w:val="es-ES_tradnl"/>
        </w:rPr>
        <w:t>“lo predominante es el actuar como ejecutor, con el propósito y finalidad de satisfacer necesidades de las entidades estatales en lo relacionado con la gestión administrativa o funcionamiento de la misma, por personas no profesionales y que no implican el ejercicio de funciones públicas administrativas”. Igualmente, en el contrato de prestación de servicios artísticos lo prevalente es que la persona que lo ejecute se trate de un artista, es decir, “una persona reconocida como realizador o productor de arte, de obras de arte, ejecutor de trabajos artísticos</w:t>
      </w:r>
      <w:bookmarkStart w:id="1" w:name="_Hlk80118732"/>
      <w:r w:rsidRPr="007D4515">
        <w:rPr>
          <w:rFonts w:ascii="Verdana" w:eastAsia="Aptos" w:hAnsi="Verdana" w:cs="Arial"/>
          <w:color w:val="000000"/>
          <w:lang w:val="es-ES_tradnl"/>
        </w:rPr>
        <w:t>”</w:t>
      </w:r>
      <w:bookmarkEnd w:id="1"/>
      <w:r w:rsidRPr="007D4515">
        <w:rPr>
          <w:rFonts w:ascii="Verdana" w:eastAsia="Aptos" w:hAnsi="Verdana" w:cs="Arial"/>
          <w:color w:val="000000"/>
          <w:lang w:val="es-ES_tradnl"/>
        </w:rPr>
        <w:t>, para lo cual es indiferente el carácter de profesional.</w:t>
      </w:r>
    </w:p>
    <w:p w14:paraId="3A1A2A9C" w14:textId="77777777" w:rsidR="007D4515" w:rsidRPr="007D4515" w:rsidRDefault="007D4515" w:rsidP="007D4515">
      <w:pPr>
        <w:spacing w:after="120" w:line="276" w:lineRule="auto"/>
        <w:ind w:firstLine="708"/>
        <w:jc w:val="both"/>
        <w:rPr>
          <w:rFonts w:ascii="Verdana" w:eastAsia="Aptos" w:hAnsi="Verdana" w:cs="Arial"/>
          <w:lang w:eastAsia="es-MX"/>
        </w:rPr>
      </w:pPr>
      <w:r w:rsidRPr="007D4515">
        <w:rPr>
          <w:rFonts w:ascii="Verdana" w:eastAsia="Calibri" w:hAnsi="Verdana" w:cs="Arial"/>
          <w:color w:val="000000"/>
        </w:rPr>
        <w:t>Ahora bien, con el fin de atender el objeto bajo consulta, las Entidades Estatales, al momento de estructurar sus procesos de contratación, deben ceñirse a las situaciones fácticas y jurídicas definidas por el legislador en el artículo 2 de la Ley 1150 de 2007, a efectos de determinar la modalidad de selección que procede para la celebración de un contrato estatal, de acuerdo con su objeto y cuantía. En este contexto, resulta importante señalar</w:t>
      </w:r>
      <w:bookmarkStart w:id="2" w:name="_Hlk102550058"/>
      <w:r w:rsidRPr="007D4515">
        <w:rPr>
          <w:rFonts w:ascii="Verdana" w:eastAsia="Calibri" w:hAnsi="Verdana" w:cs="Arial"/>
          <w:color w:val="000000"/>
        </w:rPr>
        <w:t xml:space="preserve"> que</w:t>
      </w:r>
      <w:r w:rsidRPr="007D4515">
        <w:rPr>
          <w:rFonts w:ascii="Verdana" w:eastAsia="Arial" w:hAnsi="Verdana" w:cs="Arial"/>
        </w:rPr>
        <w:t xml:space="preserve"> la contratación directa constituye</w:t>
      </w:r>
      <w:r w:rsidRPr="007D4515">
        <w:rPr>
          <w:rFonts w:ascii="Verdana" w:eastAsia="Aptos" w:hAnsi="Verdana" w:cs="Arial"/>
          <w:lang w:eastAsia="es-MX"/>
        </w:rPr>
        <w:t xml:space="preserve"> una excepción al principio de libre concurrencia y competencia, el cual rige los procesos de contratación y garantiza que cualquier persona interesada en satisfacer la necesidad de una entidad pueda presentar una oferta. </w:t>
      </w:r>
      <w:bookmarkStart w:id="3" w:name="_Hlk101520178"/>
      <w:bookmarkStart w:id="4" w:name="_Hlk101520187"/>
    </w:p>
    <w:p w14:paraId="18E17A57" w14:textId="77777777" w:rsidR="007D4515" w:rsidRPr="007D4515" w:rsidRDefault="007D4515" w:rsidP="007D4515">
      <w:pPr>
        <w:spacing w:after="120" w:line="276" w:lineRule="auto"/>
        <w:ind w:firstLine="708"/>
        <w:jc w:val="both"/>
        <w:rPr>
          <w:rFonts w:ascii="Verdana" w:eastAsia="Arial" w:hAnsi="Verdana" w:cs="Arial"/>
        </w:rPr>
      </w:pPr>
      <w:r w:rsidRPr="007D4515">
        <w:rPr>
          <w:rFonts w:ascii="Verdana" w:eastAsia="Aptos" w:hAnsi="Verdana" w:cs="Arial"/>
          <w:lang w:eastAsia="es-MX"/>
        </w:rPr>
        <w:t xml:space="preserve">Al tratarse de una excepción a los mencionados principios, la </w:t>
      </w:r>
      <w:r w:rsidRPr="007D4515">
        <w:rPr>
          <w:rFonts w:ascii="Verdana" w:eastAsia="Arial" w:hAnsi="Verdana" w:cs="Arial"/>
        </w:rPr>
        <w:t xml:space="preserve">modalidad de contratación directa es de aplicación restrictiva, es decir, únicamente procede en los eventos expresamente señalados por la ley. Principalmente, las causales para acudir a esta modalidad se encuentran principalmente contenidas en el numeral 4 del artículo 2 de la Ley 1150 de 2007; no obstante, también se pueden encontrar en otras leyes eventos en los que se autorice la contratación bajo esta modalidad. </w:t>
      </w:r>
      <w:bookmarkEnd w:id="3"/>
    </w:p>
    <w:p w14:paraId="1D1F2304" w14:textId="1AB2936D" w:rsidR="007D4515" w:rsidRPr="007D4515" w:rsidRDefault="007D4515" w:rsidP="007D4515">
      <w:pPr>
        <w:spacing w:after="120" w:line="276" w:lineRule="auto"/>
        <w:ind w:firstLine="708"/>
        <w:jc w:val="both"/>
        <w:rPr>
          <w:rFonts w:ascii="Verdana" w:eastAsia="Arial" w:hAnsi="Verdana" w:cs="Arial"/>
        </w:rPr>
      </w:pPr>
      <w:r w:rsidRPr="007D4515">
        <w:rPr>
          <w:rFonts w:ascii="Verdana" w:eastAsia="Aptos" w:hAnsi="Verdana" w:cs="Arial"/>
          <w:lang w:eastAsia="es-MX"/>
        </w:rPr>
        <w:t>En ese sentido, su aplicación no puede efectuarse por fuera del contenido normativo, ni extenderse más allá de lo que la misma norma dispone dentro del contexto del ordenamiento jurídico de la contratación estatal.</w:t>
      </w:r>
      <w:bookmarkEnd w:id="2"/>
      <w:bookmarkEnd w:id="4"/>
      <w:r w:rsidRPr="007D4515">
        <w:rPr>
          <w:rFonts w:ascii="Verdana" w:eastAsia="Calibri" w:hAnsi="Verdana" w:cs="Arial"/>
          <w:color w:val="000000"/>
        </w:rPr>
        <w:t xml:space="preserve"> Así, en virtud de </w:t>
      </w:r>
      <w:r w:rsidRPr="007D4515">
        <w:rPr>
          <w:rFonts w:ascii="Verdana" w:eastAsia="Calibri" w:hAnsi="Verdana" w:cs="Arial"/>
          <w:color w:val="000000"/>
        </w:rPr>
        <w:lastRenderedPageBreak/>
        <w:t xml:space="preserve">la causal definida en el literal h) la disposición señalada, la contratación directa procede específicamente para la celebración de contratos de prestación de servicios profesionales, de apoyo a la gestión o para la ejecución de trabajos </w:t>
      </w:r>
      <w:r w:rsidR="00D07530" w:rsidRPr="007D4515">
        <w:rPr>
          <w:rFonts w:ascii="Verdana" w:eastAsia="Calibri" w:hAnsi="Verdana" w:cs="Arial"/>
          <w:color w:val="000000"/>
        </w:rPr>
        <w:t>artísticos, sin</w:t>
      </w:r>
      <w:r w:rsidRPr="007D4515">
        <w:rPr>
          <w:rFonts w:ascii="Verdana" w:eastAsia="Calibri" w:hAnsi="Verdana" w:cs="Arial"/>
          <w:color w:val="000000"/>
        </w:rPr>
        <w:t xml:space="preserve"> distinción de la cuantía u objeto, en los términos previstos en dicha disposición.</w:t>
      </w:r>
    </w:p>
    <w:p w14:paraId="4E8F07E6" w14:textId="77777777" w:rsidR="007D4515" w:rsidRPr="007D4515" w:rsidRDefault="007D4515" w:rsidP="007D4515">
      <w:pPr>
        <w:spacing w:after="120" w:line="276" w:lineRule="auto"/>
        <w:ind w:firstLine="708"/>
        <w:jc w:val="both"/>
        <w:rPr>
          <w:rFonts w:ascii="Verdana" w:eastAsia="Aptos" w:hAnsi="Verdana" w:cs="Arial"/>
          <w:lang w:eastAsia="es-MX"/>
        </w:rPr>
      </w:pPr>
      <w:r w:rsidRPr="007D4515">
        <w:rPr>
          <w:rFonts w:ascii="Verdana" w:eastAsia="Aptos" w:hAnsi="Verdana" w:cs="Arial"/>
          <w:lang w:eastAsia="es-MX"/>
        </w:rPr>
        <w:t>La anterior precisión resulta relevante, puesto que, en materia de selección de contratistas rige el principio de legalidad, conforme al cual la entidad debe acudir exclusivamente a la modalidad establecida por el legislador, de acuerdo con las causales o eventos previstos para la procedencia de cada una. En consecuencia, la contratación de prestación de servicios solo podrá adelantarse de forma directa cuando estos correspondan a servicios profesionales, de apoyo a la gestión o  para la ejecución de trabajos artísticos, en los términos autorizados por la ley.</w:t>
      </w:r>
    </w:p>
    <w:p w14:paraId="602EEC47" w14:textId="77777777" w:rsidR="007D4515" w:rsidRPr="007D4515" w:rsidRDefault="007D4515" w:rsidP="007D4515">
      <w:pPr>
        <w:spacing w:after="120" w:line="276" w:lineRule="auto"/>
        <w:ind w:firstLine="708"/>
        <w:jc w:val="both"/>
        <w:rPr>
          <w:rFonts w:ascii="Verdana" w:eastAsia="Calibri" w:hAnsi="Verdana" w:cs="Arial"/>
          <w:color w:val="000000"/>
        </w:rPr>
      </w:pPr>
      <w:r w:rsidRPr="007D4515">
        <w:rPr>
          <w:rFonts w:ascii="Verdana" w:eastAsia="Aptos" w:hAnsi="Verdana" w:cs="Arial"/>
          <w:lang w:val="es-ES_tradnl"/>
        </w:rPr>
        <w:t xml:space="preserve">En armonía con lo anterior, se concluye que </w:t>
      </w:r>
      <w:r w:rsidRPr="007D4515">
        <w:rPr>
          <w:rFonts w:ascii="Verdana" w:eastAsia="Aptos" w:hAnsi="Verdana" w:cs="Arial"/>
        </w:rPr>
        <w:t>la contratación directa, como modalidad de selección regulada en la Ley, está condicionada a la aplicación de sus causales de forma estricta y restrictiva, por lo que no es posible realizar interpretaciones amplias y extensivas. Ello, en atención a que su es que la contratación directa sea una excepción a la libre concurrencia de oferentes y no un fundamento para impedir o restringir la competencia, teniendo en cuenta el cumplimiento de los principios de la contratación estatal, de la función administrativa y de la gestión fiscal.</w:t>
      </w:r>
    </w:p>
    <w:p w14:paraId="032B44F3" w14:textId="4FCE6B34" w:rsidR="007D4515" w:rsidRPr="007D4515" w:rsidRDefault="007D4515" w:rsidP="007D4515">
      <w:pPr>
        <w:spacing w:after="120" w:line="276" w:lineRule="auto"/>
        <w:ind w:firstLine="709"/>
        <w:jc w:val="both"/>
        <w:rPr>
          <w:rFonts w:ascii="Verdana" w:eastAsia="Calibri" w:hAnsi="Verdana" w:cs="Arial"/>
          <w:color w:val="000000"/>
        </w:rPr>
      </w:pPr>
      <w:r w:rsidRPr="007D4515">
        <w:rPr>
          <w:rFonts w:ascii="Verdana" w:eastAsia="Calibri" w:hAnsi="Verdana" w:cs="Arial"/>
          <w:color w:val="000000"/>
        </w:rPr>
        <w:t xml:space="preserve">Por su parte, la modalidad de selección de mínima </w:t>
      </w:r>
      <w:r w:rsidR="00D07530" w:rsidRPr="007D4515">
        <w:rPr>
          <w:rFonts w:ascii="Verdana" w:eastAsia="Calibri" w:hAnsi="Verdana" w:cs="Arial"/>
          <w:color w:val="000000"/>
        </w:rPr>
        <w:t>cuantía, dispuesta</w:t>
      </w:r>
      <w:r w:rsidRPr="007D4515">
        <w:rPr>
          <w:rFonts w:ascii="Verdana" w:eastAsia="Calibri" w:hAnsi="Verdana" w:cs="Arial"/>
          <w:color w:val="000000"/>
        </w:rPr>
        <w:t xml:space="preserve"> en el numeral 5 del artículo 2 ibidem, permite “la contratación cuyo valor no excede del diez por ciento (10 %) de la menor cuantía de la entidad independientemente de su objeto […]”. En consecuencia, la procedencia de esta modalidad de contratación dependerá de un factor determinante, la “cuantía” del contrato que se pretende celebrar. </w:t>
      </w:r>
    </w:p>
    <w:p w14:paraId="3C14B43A" w14:textId="72DADDB2" w:rsidR="00D60876" w:rsidRPr="00BB116B" w:rsidRDefault="007D4515" w:rsidP="00BB116B">
      <w:pPr>
        <w:spacing w:after="120" w:line="276" w:lineRule="auto"/>
        <w:ind w:firstLine="709"/>
        <w:jc w:val="both"/>
        <w:rPr>
          <w:rFonts w:ascii="Verdana" w:eastAsia="Calibri" w:hAnsi="Verdana" w:cs="Arial"/>
          <w:color w:val="000000"/>
        </w:rPr>
      </w:pPr>
      <w:r w:rsidRPr="007D4515">
        <w:rPr>
          <w:rFonts w:ascii="Verdana" w:eastAsia="Calibri" w:hAnsi="Verdana" w:cs="Arial"/>
          <w:color w:val="000000"/>
        </w:rPr>
        <w:t xml:space="preserve"> Conforme a lo expuesto, las Entidades Estatales deben observar al momento de identificar la necesidad que pretenden satisfacer, las situaciones fácticas y jurídicas previamente dispuestas en la ley para adelantar un proceso de contratación a través de una determinada modalidad de selección correspondiente. En ese sentido, las Entidades Estatales podrán contratar la prestación de bienes, obras o servicios mediante la modalidad de selección de mínima cuantía, siempre y cuando se encausen en el factor determinante de la cuantía y las normas que integran el Estatuto General de Contratación de la </w:t>
      </w:r>
      <w:r w:rsidRPr="007D4515">
        <w:rPr>
          <w:rFonts w:ascii="Verdana" w:eastAsia="Calibri" w:hAnsi="Verdana" w:cs="Arial"/>
          <w:color w:val="000000"/>
        </w:rPr>
        <w:lastRenderedPageBreak/>
        <w:t>Administración Pública –Ley 80 de 1993, Ley 1150 de 2007, Decreto 1082 de 2015 y demás normas que lo modifiquen o complementen– no los hayan delimitado de manera concreta y especial, a otras modalidades de selección</w:t>
      </w:r>
      <w:r w:rsidR="00BB116B">
        <w:rPr>
          <w:rFonts w:ascii="Verdana" w:eastAsia="Calibri" w:hAnsi="Verdana" w:cs="Arial"/>
          <w:color w:val="000000"/>
        </w:rPr>
        <w:t>.</w:t>
      </w:r>
    </w:p>
    <w:p w14:paraId="641D43E7" w14:textId="77777777" w:rsidR="00D60876" w:rsidRPr="00CE45C7" w:rsidRDefault="00D60876" w:rsidP="00CE45C7">
      <w:pPr>
        <w:spacing w:after="0" w:line="240" w:lineRule="auto"/>
        <w:jc w:val="both"/>
        <w:textAlignment w:val="baseline"/>
        <w:rPr>
          <w:rFonts w:ascii="Verdana" w:eastAsia="Calibri" w:hAnsi="Verdana" w:cs="Arial"/>
        </w:rPr>
      </w:pPr>
    </w:p>
    <w:p w14:paraId="427200DD" w14:textId="77777777" w:rsidR="00CE45C7" w:rsidRPr="00CE45C7" w:rsidRDefault="00CE45C7" w:rsidP="00CE45C7">
      <w:pPr>
        <w:tabs>
          <w:tab w:val="left" w:pos="142"/>
          <w:tab w:val="left" w:pos="284"/>
          <w:tab w:val="left" w:pos="6912"/>
        </w:tabs>
        <w:spacing w:after="120" w:line="276" w:lineRule="auto"/>
        <w:jc w:val="both"/>
        <w:rPr>
          <w:rFonts w:ascii="Verdana" w:eastAsia="Times New Roman" w:hAnsi="Verdana" w:cs="Arial"/>
          <w:bCs/>
          <w:lang w:eastAsia="es-CO"/>
        </w:rPr>
      </w:pPr>
      <w:r w:rsidRPr="00BB116B">
        <w:rPr>
          <w:rFonts w:ascii="Verdana" w:eastAsia="Times New Roman" w:hAnsi="Verdana" w:cs="Arial"/>
          <w:bCs/>
          <w:lang w:eastAsia="es-CO"/>
        </w:rPr>
        <w:t>Respecto del alcance de la Ley de Garantías Electorales y su incidencia en la aplicación en los</w:t>
      </w:r>
      <w:r w:rsidRPr="00CE45C7">
        <w:rPr>
          <w:rFonts w:ascii="Verdana" w:eastAsia="Times New Roman" w:hAnsi="Verdana" w:cs="Arial"/>
          <w:bCs/>
          <w:lang w:eastAsia="es-CO"/>
        </w:rPr>
        <w:t xml:space="preserve"> convenios interadministrativos y aquellos contratos definidos en el artículo 355 de la Constitución Política y de los convenios del Decreto 092 de 2017, 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CE45C7">
        <w:rPr>
          <w:rFonts w:ascii="Verdana" w:eastAsia="Calibri" w:hAnsi="Verdana" w:cs="Arial"/>
          <w:bCs/>
          <w:vertAlign w:val="superscript"/>
        </w:rPr>
        <w:footnoteReference w:id="17"/>
      </w:r>
      <w:r w:rsidRPr="00CE45C7">
        <w:rPr>
          <w:rFonts w:ascii="Verdana" w:eastAsia="Calibri" w:hAnsi="Verdana" w:cs="Arial"/>
          <w:bCs/>
        </w:rPr>
        <w:t xml:space="preserve">. </w:t>
      </w:r>
    </w:p>
    <w:p w14:paraId="2A98034A" w14:textId="77777777" w:rsidR="00CE45C7" w:rsidRPr="00CE45C7" w:rsidRDefault="00CE45C7" w:rsidP="00CE45C7">
      <w:pPr>
        <w:tabs>
          <w:tab w:val="left" w:pos="426"/>
        </w:tabs>
        <w:spacing w:after="120" w:line="276" w:lineRule="auto"/>
        <w:ind w:firstLine="709"/>
        <w:jc w:val="both"/>
        <w:rPr>
          <w:rFonts w:ascii="Verdana" w:eastAsia="Calibri" w:hAnsi="Verdana" w:cs="Arial"/>
          <w:noProof/>
          <w:lang w:val="es-ES_tradnl"/>
        </w:rPr>
      </w:pPr>
      <w:r w:rsidRPr="00CE45C7">
        <w:rPr>
          <w:rFonts w:ascii="Verdana" w:eastAsia="Times New Roman" w:hAnsi="Verdana" w:cs="Arial"/>
          <w:bCs/>
          <w:lang w:eastAsia="es-CO"/>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CE45C7">
        <w:rPr>
          <w:rFonts w:ascii="Verdana" w:eastAsia="Times New Roman" w:hAnsi="Verdana" w:cs="Arial"/>
          <w:bCs/>
          <w:vertAlign w:val="superscript"/>
          <w:lang w:eastAsia="es-CO"/>
        </w:rPr>
        <w:footnoteReference w:id="18"/>
      </w:r>
      <w:r w:rsidRPr="00CE45C7">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CE45C7">
        <w:rPr>
          <w:rFonts w:ascii="Verdana" w:eastAsia="Calibri" w:hAnsi="Verdana" w:cs="Arial"/>
          <w:noProof/>
          <w:lang w:val="es-ES_tradnl"/>
        </w:rPr>
        <w:t xml:space="preserve"> </w:t>
      </w:r>
    </w:p>
    <w:p w14:paraId="24C30207" w14:textId="77777777" w:rsidR="00CE45C7" w:rsidRPr="00CE45C7" w:rsidRDefault="00CE45C7" w:rsidP="00CE45C7">
      <w:pPr>
        <w:tabs>
          <w:tab w:val="left" w:pos="426"/>
        </w:tabs>
        <w:spacing w:after="0" w:line="276" w:lineRule="auto"/>
        <w:ind w:firstLine="709"/>
        <w:jc w:val="both"/>
        <w:rPr>
          <w:rFonts w:ascii="Verdana" w:eastAsia="Times New Roman" w:hAnsi="Verdana" w:cs="Arial"/>
          <w:bCs/>
          <w:lang w:eastAsia="es-CO"/>
        </w:rPr>
      </w:pPr>
      <w:r w:rsidRPr="00CE45C7">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68319FB5" w14:textId="77777777" w:rsidR="00CE45C7" w:rsidRPr="00CE45C7" w:rsidRDefault="00CE45C7" w:rsidP="00CE45C7">
      <w:pPr>
        <w:tabs>
          <w:tab w:val="left" w:pos="426"/>
        </w:tabs>
        <w:spacing w:after="0" w:line="276" w:lineRule="auto"/>
        <w:ind w:firstLine="709"/>
        <w:jc w:val="both"/>
        <w:rPr>
          <w:rFonts w:ascii="Verdana" w:eastAsia="Times New Roman" w:hAnsi="Verdana" w:cs="Arial"/>
          <w:bCs/>
          <w:lang w:eastAsia="es-CO"/>
        </w:rPr>
      </w:pPr>
    </w:p>
    <w:p w14:paraId="52C8C270" w14:textId="77777777" w:rsidR="00CE45C7" w:rsidRPr="00CE45C7" w:rsidRDefault="00CE45C7" w:rsidP="00CE45C7">
      <w:pPr>
        <w:spacing w:after="0" w:line="240" w:lineRule="auto"/>
        <w:ind w:left="709" w:right="709"/>
        <w:jc w:val="both"/>
        <w:rPr>
          <w:rFonts w:ascii="Verdana" w:eastAsia="Times New Roman" w:hAnsi="Verdana" w:cs="Arial"/>
          <w:sz w:val="20"/>
          <w:szCs w:val="20"/>
          <w:lang w:val="es-ES" w:eastAsia="es-CO"/>
        </w:rPr>
      </w:pPr>
      <w:r w:rsidRPr="00CE45C7">
        <w:rPr>
          <w:rFonts w:ascii="Verdana" w:eastAsia="Times New Roman" w:hAnsi="Verdana" w:cs="Arial"/>
          <w:sz w:val="20"/>
          <w:szCs w:val="20"/>
          <w:lang w:val="es-ES" w:eastAsia="es-CO"/>
        </w:rPr>
        <w:lastRenderedPageBreak/>
        <w:t xml:space="preserve">“(…) </w:t>
      </w:r>
      <w:r w:rsidRPr="00CE45C7">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7AD81ACD" w14:textId="77777777" w:rsidR="00CE45C7" w:rsidRDefault="00CE45C7" w:rsidP="00CE45C7">
      <w:pPr>
        <w:spacing w:after="0" w:line="240" w:lineRule="auto"/>
        <w:ind w:left="709" w:right="709"/>
        <w:jc w:val="both"/>
        <w:rPr>
          <w:rFonts w:ascii="Verdana" w:eastAsia="Times New Roman" w:hAnsi="Verdana" w:cs="Arial"/>
          <w:bCs/>
          <w:sz w:val="20"/>
          <w:szCs w:val="20"/>
          <w:lang w:eastAsia="es-CO"/>
        </w:rPr>
      </w:pPr>
      <w:r w:rsidRPr="00CE45C7">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 (…)”</w:t>
      </w:r>
      <w:r w:rsidRPr="00CE45C7">
        <w:rPr>
          <w:rFonts w:ascii="Verdana" w:hAnsi="Verdana" w:cs="Arial"/>
          <w:sz w:val="20"/>
          <w:szCs w:val="20"/>
          <w:vertAlign w:val="superscript"/>
        </w:rPr>
        <w:footnoteReference w:id="19"/>
      </w:r>
      <w:r w:rsidRPr="00CE45C7">
        <w:rPr>
          <w:rFonts w:ascii="Verdana" w:eastAsia="Times New Roman" w:hAnsi="Verdana" w:cs="Arial"/>
          <w:bCs/>
          <w:sz w:val="20"/>
          <w:szCs w:val="20"/>
          <w:lang w:eastAsia="es-CO"/>
        </w:rPr>
        <w:t xml:space="preserve">. </w:t>
      </w:r>
      <w:bookmarkStart w:id="5" w:name="_Hlk78818186"/>
    </w:p>
    <w:p w14:paraId="09CEC03B" w14:textId="77777777" w:rsidR="00312FE7" w:rsidRPr="00CE45C7" w:rsidRDefault="00312FE7" w:rsidP="00CE45C7">
      <w:pPr>
        <w:spacing w:after="0" w:line="240" w:lineRule="auto"/>
        <w:ind w:left="709" w:right="709"/>
        <w:jc w:val="both"/>
        <w:rPr>
          <w:rFonts w:ascii="Verdana" w:eastAsia="Times New Roman" w:hAnsi="Verdana" w:cs="Arial"/>
          <w:bCs/>
          <w:sz w:val="20"/>
          <w:szCs w:val="20"/>
          <w:lang w:eastAsia="es-CO"/>
        </w:rPr>
      </w:pPr>
    </w:p>
    <w:p w14:paraId="4F891BB0" w14:textId="77777777" w:rsidR="00CE45C7" w:rsidRPr="00CE45C7" w:rsidRDefault="00CE45C7" w:rsidP="00CE45C7">
      <w:pPr>
        <w:spacing w:after="120" w:line="276" w:lineRule="auto"/>
        <w:ind w:firstLine="709"/>
        <w:jc w:val="both"/>
        <w:rPr>
          <w:rFonts w:ascii="Verdana" w:eastAsia="Times New Roman" w:hAnsi="Verdana" w:cs="Arial"/>
          <w:bCs/>
          <w:lang w:eastAsia="es-CO"/>
        </w:rPr>
      </w:pPr>
      <w:r w:rsidRPr="00CE45C7">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Paralelamente, incluye restricciones en el actuar de los servidores públicos, evitando interferencias en la contienda electoral, así como la posible desviación de recursos públicos en aspiraciones electorales. </w:t>
      </w:r>
      <w:bookmarkEnd w:id="5"/>
      <w:r w:rsidRPr="00CE45C7">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59F81A75" w14:textId="77777777" w:rsidR="00CE45C7" w:rsidRPr="00CE45C7" w:rsidRDefault="00CE45C7" w:rsidP="00CE45C7">
      <w:pPr>
        <w:spacing w:after="0" w:line="276" w:lineRule="auto"/>
        <w:ind w:firstLine="709"/>
        <w:jc w:val="both"/>
        <w:rPr>
          <w:rFonts w:ascii="Verdana" w:eastAsia="Times New Roman" w:hAnsi="Verdana" w:cs="Arial"/>
          <w:bCs/>
          <w:lang w:eastAsia="es-CO"/>
        </w:rPr>
      </w:pPr>
      <w:r w:rsidRPr="00CE45C7">
        <w:rPr>
          <w:rFonts w:ascii="Verdana" w:eastAsia="Times New Roman" w:hAnsi="Verdana" w:cs="Arial"/>
          <w:bCs/>
          <w:lang w:eastAsia="es-CO"/>
        </w:rPr>
        <w:t>En efecto, la Sala de Consulta y Servicio Civil del Consejo de Estado al analizar la referida Ley, precisó lo siguiente:</w:t>
      </w:r>
    </w:p>
    <w:p w14:paraId="1E1BED72" w14:textId="77777777" w:rsidR="00CE45C7" w:rsidRPr="00CE45C7" w:rsidRDefault="00CE45C7" w:rsidP="00CE45C7">
      <w:pPr>
        <w:spacing w:after="0" w:line="240" w:lineRule="auto"/>
        <w:ind w:firstLine="709"/>
        <w:jc w:val="both"/>
        <w:rPr>
          <w:rFonts w:ascii="Verdana" w:eastAsia="Times New Roman" w:hAnsi="Verdana" w:cs="Arial"/>
          <w:bCs/>
          <w:lang w:eastAsia="es-CO"/>
        </w:rPr>
      </w:pPr>
    </w:p>
    <w:p w14:paraId="3070FA51" w14:textId="77777777" w:rsidR="00CE45C7" w:rsidRPr="00CE45C7" w:rsidRDefault="00CE45C7" w:rsidP="00CE45C7">
      <w:pPr>
        <w:spacing w:after="0" w:line="240" w:lineRule="auto"/>
        <w:ind w:left="709" w:right="709"/>
        <w:jc w:val="both"/>
        <w:rPr>
          <w:rFonts w:ascii="Verdana" w:eastAsia="Times New Roman" w:hAnsi="Verdana" w:cs="Arial"/>
          <w:bCs/>
          <w:sz w:val="20"/>
          <w:szCs w:val="20"/>
          <w:lang w:eastAsia="es-CO"/>
        </w:rPr>
      </w:pPr>
      <w:r w:rsidRPr="00CE45C7">
        <w:rPr>
          <w:rFonts w:ascii="Verdana" w:eastAsia="Times New Roman" w:hAnsi="Verdana" w:cs="Arial"/>
          <w:bCs/>
          <w:sz w:val="20"/>
          <w:szCs w:val="20"/>
          <w:lang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93FCF56" w14:textId="77777777" w:rsidR="00CE45C7" w:rsidRPr="00CE45C7" w:rsidRDefault="00CE45C7" w:rsidP="00CE45C7">
      <w:pPr>
        <w:spacing w:after="0" w:line="240" w:lineRule="auto"/>
        <w:ind w:left="709" w:right="709"/>
        <w:jc w:val="both"/>
        <w:rPr>
          <w:rFonts w:ascii="Verdana" w:eastAsia="Times New Roman" w:hAnsi="Verdana" w:cs="Arial"/>
          <w:bCs/>
          <w:sz w:val="20"/>
          <w:szCs w:val="20"/>
          <w:lang w:eastAsia="es-CO"/>
        </w:rPr>
      </w:pPr>
    </w:p>
    <w:p w14:paraId="2002153F" w14:textId="77777777" w:rsidR="00CE45C7" w:rsidRDefault="00CE45C7" w:rsidP="00CE45C7">
      <w:pPr>
        <w:spacing w:after="0" w:line="240" w:lineRule="auto"/>
        <w:ind w:left="709" w:right="709"/>
        <w:jc w:val="both"/>
        <w:rPr>
          <w:rFonts w:ascii="Verdana" w:eastAsia="Times New Roman" w:hAnsi="Verdana" w:cs="Arial"/>
          <w:bCs/>
          <w:sz w:val="20"/>
          <w:szCs w:val="20"/>
          <w:lang w:eastAsia="es-CO"/>
        </w:rPr>
      </w:pPr>
      <w:r w:rsidRPr="00CE45C7">
        <w:rPr>
          <w:rFonts w:ascii="Verdana" w:eastAsia="Times New Roman" w:hAnsi="Verdana" w:cs="Arial"/>
          <w:bCs/>
          <w:sz w:val="20"/>
          <w:szCs w:val="20"/>
          <w:lang w:eastAsia="es-CO"/>
        </w:rPr>
        <w:lastRenderedPageBreak/>
        <w:t>La jurisprudencia de la Corte Constitucional</w:t>
      </w:r>
      <w:r w:rsidRPr="00CE45C7">
        <w:rPr>
          <w:rFonts w:ascii="Verdana" w:eastAsia="Times New Roman" w:hAnsi="Verdana" w:cs="Arial"/>
          <w:bCs/>
          <w:sz w:val="20"/>
          <w:szCs w:val="20"/>
          <w:vertAlign w:val="superscript"/>
          <w:lang w:eastAsia="es-CO"/>
        </w:rPr>
        <w:footnoteReference w:id="20"/>
      </w:r>
      <w:r w:rsidRPr="00CE45C7">
        <w:rPr>
          <w:rFonts w:ascii="Verdana" w:eastAsia="Times New Roman" w:hAnsi="Verdana" w:cs="Arial"/>
          <w:bCs/>
          <w:sz w:val="20"/>
          <w:szCs w:val="20"/>
          <w:lang w:eastAsia="es-CO"/>
        </w:rPr>
        <w:t> y del Consejo de Estado</w:t>
      </w:r>
      <w:r w:rsidRPr="00CE45C7">
        <w:rPr>
          <w:rFonts w:ascii="Verdana" w:eastAsia="Times New Roman" w:hAnsi="Verdana" w:cs="Arial"/>
          <w:bCs/>
          <w:sz w:val="20"/>
          <w:szCs w:val="20"/>
          <w:vertAlign w:val="superscript"/>
          <w:lang w:eastAsia="es-CO"/>
        </w:rPr>
        <w:footnoteReference w:id="21"/>
      </w:r>
      <w:r w:rsidRPr="00CE45C7">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CE45C7">
        <w:rPr>
          <w:rFonts w:ascii="Verdana" w:eastAsia="Times New Roman" w:hAnsi="Verdana" w:cs="Arial"/>
          <w:bCs/>
          <w:sz w:val="20"/>
          <w:szCs w:val="20"/>
          <w:vertAlign w:val="superscript"/>
          <w:lang w:eastAsia="es-CO"/>
        </w:rPr>
        <w:footnoteReference w:id="22"/>
      </w:r>
      <w:r w:rsidRPr="00CE45C7">
        <w:rPr>
          <w:rFonts w:ascii="Verdana" w:eastAsia="Times New Roman" w:hAnsi="Verdana" w:cs="Arial"/>
          <w:bCs/>
          <w:sz w:val="20"/>
          <w:szCs w:val="20"/>
          <w:lang w:eastAsia="es-CO"/>
        </w:rPr>
        <w:t>.</w:t>
      </w:r>
    </w:p>
    <w:p w14:paraId="777494E0" w14:textId="77777777" w:rsidR="00B03B48" w:rsidRPr="00CE45C7" w:rsidRDefault="00B03B48" w:rsidP="00CE45C7">
      <w:pPr>
        <w:spacing w:after="0" w:line="240" w:lineRule="auto"/>
        <w:ind w:left="709" w:right="709"/>
        <w:jc w:val="both"/>
        <w:rPr>
          <w:rFonts w:ascii="Verdana" w:eastAsia="Times New Roman" w:hAnsi="Verdana" w:cs="Arial"/>
          <w:bCs/>
          <w:sz w:val="20"/>
          <w:szCs w:val="20"/>
          <w:lang w:eastAsia="es-CO"/>
        </w:rPr>
      </w:pPr>
    </w:p>
    <w:p w14:paraId="0AF5E73C" w14:textId="77777777" w:rsidR="00CE45C7" w:rsidRPr="00CE45C7" w:rsidRDefault="00CE45C7" w:rsidP="00CE45C7">
      <w:pPr>
        <w:spacing w:after="120" w:line="276" w:lineRule="auto"/>
        <w:ind w:firstLine="709"/>
        <w:jc w:val="both"/>
        <w:rPr>
          <w:rFonts w:ascii="Verdana" w:eastAsia="Arial" w:hAnsi="Verdana" w:cs="Arial"/>
          <w:lang w:val="es-ES" w:eastAsia="es-ES" w:bidi="es-ES"/>
        </w:rPr>
      </w:pPr>
      <w:r w:rsidRPr="00CE45C7">
        <w:rPr>
          <w:rFonts w:ascii="Verdana" w:eastAsia="Times New Roman" w:hAnsi="Verdana" w:cs="Arial"/>
          <w:bCs/>
          <w:lang w:eastAsia="es-CO"/>
        </w:rPr>
        <w:t>De</w:t>
      </w:r>
      <w:r w:rsidRPr="00CE45C7">
        <w:rPr>
          <w:rFonts w:ascii="Verdana" w:eastAsia="Arial" w:hAnsi="Verdana" w:cs="Arial"/>
          <w:lang w:val="es-ES" w:eastAsia="es-ES" w:bidi="es-ES"/>
        </w:rPr>
        <w:t xml:space="preserve"> conformidad con lo anterior, </w:t>
      </w:r>
      <w:bookmarkStart w:id="6" w:name="_Hlk77236098"/>
      <w:r w:rsidRPr="00CE45C7">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6B49801" w14:textId="77777777" w:rsidR="00CE45C7" w:rsidRPr="00CE45C7" w:rsidRDefault="00CE45C7" w:rsidP="00CE45C7">
      <w:pPr>
        <w:spacing w:after="120" w:line="276" w:lineRule="auto"/>
        <w:ind w:firstLine="709"/>
        <w:jc w:val="both"/>
        <w:rPr>
          <w:rFonts w:ascii="Verdana" w:eastAsia="Arial" w:hAnsi="Verdana" w:cs="Arial"/>
          <w:lang w:val="es-ES" w:eastAsia="es-ES" w:bidi="es-ES"/>
        </w:rPr>
      </w:pPr>
      <w:r w:rsidRPr="00CE45C7">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6"/>
    </w:p>
    <w:p w14:paraId="2938227A" w14:textId="77777777" w:rsidR="00CE45C7" w:rsidRPr="00CE45C7" w:rsidRDefault="00CE45C7" w:rsidP="00CE45C7">
      <w:pPr>
        <w:spacing w:after="120" w:line="276" w:lineRule="auto"/>
        <w:ind w:firstLine="709"/>
        <w:jc w:val="both"/>
        <w:rPr>
          <w:rFonts w:ascii="Verdana" w:eastAsia="Calibri" w:hAnsi="Verdana" w:cs="Arial"/>
        </w:rPr>
      </w:pPr>
      <w:r w:rsidRPr="00CE45C7">
        <w:rPr>
          <w:rFonts w:ascii="Verdana" w:eastAsia="Calibri" w:hAnsi="Verdana" w:cs="Arial"/>
        </w:rPr>
        <w:t xml:space="preserve">Por un lado, </w:t>
      </w:r>
      <w:r w:rsidRPr="00CE45C7">
        <w:rPr>
          <w:rFonts w:ascii="Verdana" w:eastAsia="Calibri" w:hAnsi="Verdana" w:cs="Arial"/>
          <w:i/>
        </w:rPr>
        <w:t>el artículo 33</w:t>
      </w:r>
      <w:r w:rsidRPr="00CE45C7">
        <w:rPr>
          <w:rFonts w:ascii="Verdana" w:eastAsia="Calibri" w:hAnsi="Verdana" w:cs="Arial"/>
        </w:rPr>
        <w:t xml:space="preserve"> de la Ley 996 de 2005 prohíbe “</w:t>
      </w:r>
      <w:r w:rsidRPr="00CE45C7">
        <w:rPr>
          <w:rFonts w:ascii="Verdana" w:eastAsia="Calibri" w:hAnsi="Verdana" w:cs="Arial"/>
          <w:bCs/>
        </w:rPr>
        <w:t xml:space="preserve">(…) </w:t>
      </w:r>
      <w:r w:rsidRPr="00CE45C7">
        <w:rPr>
          <w:rFonts w:ascii="Verdana" w:eastAsia="Calibri" w:hAnsi="Verdana" w:cs="Arial"/>
        </w:rPr>
        <w:t>la contratación directa por parte de todos los entes del Estado</w:t>
      </w:r>
      <w:r w:rsidRPr="00CE45C7">
        <w:rPr>
          <w:rFonts w:ascii="Verdana" w:eastAsia="Calibri" w:hAnsi="Verdana" w:cs="Arial"/>
          <w:bCs/>
        </w:rPr>
        <w:t>”</w:t>
      </w:r>
      <w:r w:rsidRPr="00CE45C7">
        <w:rPr>
          <w:rFonts w:ascii="Verdana" w:eastAsia="Calibri" w:hAnsi="Verdana" w:cs="Arial"/>
        </w:rPr>
        <w:t xml:space="preserve"> durante los cuatro (4) meses anteriores a las elecciones presidenciales, salvo </w:t>
      </w:r>
      <w:r w:rsidRPr="00CE45C7">
        <w:rPr>
          <w:rFonts w:ascii="Verdana" w:eastAsia="Calibri" w:hAnsi="Verdana" w:cs="Arial"/>
          <w:bCs/>
        </w:rPr>
        <w:t xml:space="preserve">“(…) </w:t>
      </w:r>
      <w:r w:rsidRPr="00CE45C7">
        <w:rPr>
          <w:rFonts w:ascii="Verdana" w:eastAsia="Calibri" w:hAnsi="Verdana" w:cs="Arial"/>
        </w:rPr>
        <w:t xml:space="preserve">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CE45C7">
        <w:rPr>
          <w:rFonts w:ascii="Verdana" w:eastAsia="Calibri" w:hAnsi="Verdana" w:cs="Arial"/>
        </w:rPr>
        <w:lastRenderedPageBreak/>
        <w:t>acciones terroristas, desastres naturales o casos de fuerza mayor, y los que deban realizar las entidades sanitarias y hospitalarias</w:t>
      </w:r>
      <w:r w:rsidRPr="00CE45C7">
        <w:rPr>
          <w:rFonts w:ascii="Verdana" w:eastAsia="Calibri" w:hAnsi="Verdana" w:cs="Arial"/>
          <w:bCs/>
        </w:rPr>
        <w:t>”</w:t>
      </w:r>
      <w:r w:rsidRPr="00CE45C7">
        <w:rPr>
          <w:rFonts w:ascii="Verdana" w:eastAsia="Calibri" w:hAnsi="Verdana" w:cs="Arial"/>
          <w:bCs/>
          <w:vertAlign w:val="superscript"/>
        </w:rPr>
        <w:footnoteReference w:id="23"/>
      </w:r>
      <w:r w:rsidRPr="00CE45C7">
        <w:rPr>
          <w:rFonts w:ascii="Verdana" w:eastAsia="Calibri" w:hAnsi="Verdana" w:cs="Arial"/>
        </w:rPr>
        <w:t>.</w:t>
      </w:r>
    </w:p>
    <w:p w14:paraId="698F5A11" w14:textId="77777777" w:rsidR="00CE45C7" w:rsidRPr="00CE45C7" w:rsidRDefault="00CE45C7" w:rsidP="00CE45C7">
      <w:pPr>
        <w:widowControl w:val="0"/>
        <w:autoSpaceDE w:val="0"/>
        <w:autoSpaceDN w:val="0"/>
        <w:spacing w:after="120" w:line="276" w:lineRule="auto"/>
        <w:ind w:firstLine="709"/>
        <w:jc w:val="both"/>
        <w:rPr>
          <w:rFonts w:ascii="Verdana" w:eastAsia="Arial" w:hAnsi="Verdana" w:cs="Arial"/>
          <w:lang w:val="es-ES" w:eastAsia="es-ES" w:bidi="es-ES"/>
        </w:rPr>
      </w:pPr>
      <w:r w:rsidRPr="00CE45C7">
        <w:rPr>
          <w:rFonts w:ascii="Verdana" w:eastAsia="Calibri" w:hAnsi="Verdana" w:cs="Arial"/>
        </w:rPr>
        <w:t xml:space="preserve">Por otro lado, </w:t>
      </w:r>
      <w:r w:rsidRPr="00CE45C7">
        <w:rPr>
          <w:rFonts w:ascii="Verdana" w:eastAsia="Calibri" w:hAnsi="Verdana" w:cs="Arial"/>
          <w:i/>
        </w:rPr>
        <w:t xml:space="preserve">el parágrafo del artículo 38 </w:t>
      </w:r>
      <w:r w:rsidRPr="00CE45C7">
        <w:rPr>
          <w:rFonts w:ascii="Verdana" w:eastAsia="Calibri" w:hAnsi="Verdana" w:cs="Arial"/>
        </w:rPr>
        <w:t xml:space="preserve">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CE45C7">
        <w:rPr>
          <w:rFonts w:ascii="Verdana" w:eastAsia="Calibri" w:hAnsi="Verdana" w:cs="Arial"/>
          <w:bCs/>
        </w:rPr>
        <w:t xml:space="preserve">“(…) </w:t>
      </w:r>
      <w:r w:rsidRPr="00CE45C7">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E45C7">
        <w:rPr>
          <w:rFonts w:ascii="Verdana" w:eastAsia="Calibri" w:hAnsi="Verdana" w:cs="Arial"/>
          <w:bCs/>
        </w:rPr>
        <w:t>”</w:t>
      </w:r>
      <w:r w:rsidRPr="00CE45C7">
        <w:rPr>
          <w:rFonts w:ascii="Verdana" w:eastAsia="Calibri" w:hAnsi="Verdana" w:cs="Arial"/>
          <w:bCs/>
          <w:vertAlign w:val="superscript"/>
        </w:rPr>
        <w:footnoteReference w:id="24"/>
      </w:r>
      <w:r w:rsidRPr="00CE45C7">
        <w:rPr>
          <w:rFonts w:ascii="Verdana" w:eastAsia="Calibri" w:hAnsi="Verdana" w:cs="Arial"/>
        </w:rPr>
        <w:t>.</w:t>
      </w:r>
      <w:r w:rsidRPr="00CE45C7">
        <w:rPr>
          <w:rFonts w:ascii="Verdana" w:eastAsia="Arial" w:hAnsi="Verdana" w:cs="Arial"/>
          <w:lang w:val="es-ES" w:eastAsia="es-ES" w:bidi="es-ES"/>
        </w:rPr>
        <w:t xml:space="preserve"> </w:t>
      </w:r>
    </w:p>
    <w:p w14:paraId="3B7F1D69" w14:textId="77777777" w:rsidR="00CE45C7" w:rsidRPr="00CE45C7" w:rsidRDefault="00CE45C7" w:rsidP="00CE45C7">
      <w:pPr>
        <w:widowControl w:val="0"/>
        <w:autoSpaceDE w:val="0"/>
        <w:autoSpaceDN w:val="0"/>
        <w:spacing w:after="0" w:line="276" w:lineRule="auto"/>
        <w:ind w:firstLine="709"/>
        <w:jc w:val="both"/>
        <w:rPr>
          <w:rFonts w:ascii="Verdana" w:eastAsia="Arial" w:hAnsi="Verdana" w:cs="Arial"/>
          <w:lang w:val="es-ES" w:eastAsia="es-ES" w:bidi="es-ES"/>
        </w:rPr>
      </w:pPr>
      <w:r w:rsidRPr="00CE45C7">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69819D1" w14:textId="77777777" w:rsidR="00CE45C7" w:rsidRPr="00CE45C7" w:rsidRDefault="00CE45C7" w:rsidP="00CE45C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64232424" w14:textId="77777777" w:rsidR="00CE45C7" w:rsidRPr="00CE45C7" w:rsidRDefault="00CE45C7" w:rsidP="00CE45C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CE45C7">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CE45C7">
        <w:rPr>
          <w:rFonts w:ascii="Verdana" w:eastAsia="Arial" w:hAnsi="Verdana" w:cs="Arial"/>
          <w:sz w:val="20"/>
          <w:szCs w:val="20"/>
          <w:lang w:val="es-ES" w:eastAsia="es-ES" w:bidi="es-ES"/>
        </w:rPr>
        <w:t>se integran parcialmente</w:t>
      </w:r>
      <w:bookmarkEnd w:id="9"/>
      <w:r w:rsidRPr="00CE45C7">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w:t>
      </w:r>
      <w:r w:rsidRPr="00CE45C7">
        <w:rPr>
          <w:rFonts w:ascii="Verdana" w:eastAsia="Arial" w:hAnsi="Verdana" w:cs="Arial"/>
          <w:sz w:val="20"/>
          <w:szCs w:val="20"/>
          <w:lang w:val="es-ES" w:eastAsia="es-ES" w:bidi="es-ES"/>
        </w:rPr>
        <w:lastRenderedPageBreak/>
        <w:t xml:space="preserve">restricciones de los artículos 32 y 33 con sus excepciones, así como las del parágrafo del artículo 38. </w:t>
      </w:r>
      <w:r w:rsidRPr="00CE45C7">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sidRPr="00CE45C7">
        <w:rPr>
          <w:rFonts w:ascii="Verdana" w:eastAsia="Arial" w:hAnsi="Verdana" w:cs="Arial"/>
          <w:sz w:val="20"/>
          <w:szCs w:val="20"/>
          <w:lang w:val="es-ES" w:eastAsia="es-ES" w:bidi="es-ES"/>
        </w:rPr>
        <w:t>”</w:t>
      </w:r>
      <w:r w:rsidRPr="00CE45C7">
        <w:rPr>
          <w:rFonts w:ascii="Verdana" w:eastAsia="Arial" w:hAnsi="Verdana" w:cs="Arial"/>
          <w:sz w:val="20"/>
          <w:szCs w:val="20"/>
          <w:vertAlign w:val="superscript"/>
          <w:lang w:val="es-ES" w:eastAsia="es-ES" w:bidi="es-ES"/>
        </w:rPr>
        <w:footnoteReference w:id="25"/>
      </w:r>
      <w:r w:rsidRPr="00CE45C7">
        <w:rPr>
          <w:rFonts w:ascii="Verdana" w:eastAsia="Arial" w:hAnsi="Verdana" w:cs="Arial"/>
          <w:sz w:val="20"/>
          <w:szCs w:val="20"/>
          <w:lang w:val="es-ES" w:eastAsia="es-ES" w:bidi="es-ES"/>
        </w:rPr>
        <w:t>.</w:t>
      </w:r>
    </w:p>
    <w:p w14:paraId="332E6247" w14:textId="77777777" w:rsidR="00CE45C7" w:rsidRPr="00CE45C7" w:rsidRDefault="00CE45C7" w:rsidP="00CE45C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157D1889" w14:textId="77777777" w:rsidR="00CE45C7" w:rsidRPr="00CE45C7" w:rsidRDefault="00CE45C7" w:rsidP="00CE45C7">
      <w:pPr>
        <w:spacing w:after="120" w:line="276" w:lineRule="auto"/>
        <w:ind w:firstLine="709"/>
        <w:jc w:val="both"/>
        <w:rPr>
          <w:rFonts w:ascii="Verdana" w:eastAsia="Arial" w:hAnsi="Verdana" w:cs="Arial"/>
          <w:lang w:val="es-ES" w:eastAsia="es-ES" w:bidi="es-ES"/>
        </w:rPr>
      </w:pPr>
      <w:r w:rsidRPr="00CE45C7">
        <w:rPr>
          <w:rFonts w:ascii="Verdana" w:eastAsia="Arial" w:hAnsi="Verdana" w:cs="Arial"/>
          <w:lang w:val="es-ES" w:eastAsia="es-ES" w:bidi="es-ES"/>
        </w:rPr>
        <w:t>De conformidad con lo anterior</w:t>
      </w:r>
      <w:bookmarkStart w:id="10" w:name="_Hlk99438241"/>
      <w:r w:rsidRPr="00CE45C7">
        <w:rPr>
          <w:rFonts w:ascii="Verdana" w:eastAsia="Arial" w:hAnsi="Verdana" w:cs="Arial"/>
          <w:lang w:val="es-ES" w:eastAsia="es-ES" w:bidi="es-ES"/>
        </w:rPr>
        <w:t xml:space="preserve">, </w:t>
      </w:r>
      <w:bookmarkStart w:id="11" w:name="_Hlk77236420"/>
      <w:bookmarkStart w:id="12" w:name="_Hlk78818435"/>
      <w:bookmarkStart w:id="13" w:name="_Hlk75780333"/>
      <w:r w:rsidRPr="00CE45C7">
        <w:rPr>
          <w:rFonts w:ascii="Verdana" w:eastAsia="Arial" w:hAnsi="Verdana" w:cs="Arial"/>
          <w:lang w:val="es-ES" w:eastAsia="es-ES" w:bidi="es-ES"/>
        </w:rPr>
        <w:t xml:space="preserve">la Ley 996 de 2005 establece dos (2) tipos de restricciones en materia de contratación, las cuales coinciden parcialmente. </w:t>
      </w:r>
      <w:r w:rsidRPr="00CE45C7">
        <w:rPr>
          <w:rFonts w:ascii="Verdana" w:eastAsia="Arial" w:hAnsi="Verdana" w:cs="Arial"/>
          <w:i/>
          <w:iCs/>
          <w:lang w:val="es-ES" w:eastAsia="es-ES" w:bidi="es-ES"/>
        </w:rPr>
        <w:t>En primer lugar</w:t>
      </w:r>
      <w:r w:rsidRPr="00CE45C7">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CE45C7">
        <w:rPr>
          <w:rFonts w:ascii="Verdana" w:eastAsia="Arial" w:hAnsi="Verdana" w:cs="Arial"/>
          <w:i/>
          <w:iCs/>
          <w:lang w:val="es-ES" w:eastAsia="es-ES" w:bidi="es-ES"/>
        </w:rPr>
        <w:t>En segundo lugar</w:t>
      </w:r>
      <w:r w:rsidRPr="00CE45C7">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1"/>
    </w:p>
    <w:bookmarkEnd w:id="10"/>
    <w:bookmarkEnd w:id="12"/>
    <w:p w14:paraId="7B22F1F8" w14:textId="77777777" w:rsidR="00CE45C7" w:rsidRPr="00CE45C7" w:rsidRDefault="00CE45C7" w:rsidP="00CE45C7">
      <w:pPr>
        <w:spacing w:after="120" w:line="276" w:lineRule="auto"/>
        <w:ind w:firstLine="709"/>
        <w:jc w:val="both"/>
        <w:rPr>
          <w:rFonts w:ascii="Verdana" w:eastAsia="Arial" w:hAnsi="Verdana" w:cs="Arial"/>
          <w:lang w:val="es-ES" w:eastAsia="es-ES" w:bidi="es-ES"/>
        </w:rPr>
      </w:pPr>
      <w:r w:rsidRPr="00CE45C7">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3"/>
    <w:p w14:paraId="06A9ABC3" w14:textId="77777777" w:rsidR="00CE45C7" w:rsidRPr="00CE45C7" w:rsidRDefault="00CE45C7" w:rsidP="00CE45C7">
      <w:pPr>
        <w:spacing w:after="120" w:line="276" w:lineRule="auto"/>
        <w:ind w:firstLine="709"/>
        <w:jc w:val="both"/>
        <w:rPr>
          <w:rFonts w:ascii="Verdana" w:eastAsia="Times New Roman" w:hAnsi="Verdana" w:cs="Arial"/>
          <w:bCs/>
          <w:lang w:val="es-ES" w:eastAsia="es-CO"/>
        </w:rPr>
      </w:pPr>
      <w:r w:rsidRPr="00CE45C7">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w:t>
      </w:r>
      <w:r w:rsidRPr="00CE45C7">
        <w:rPr>
          <w:rFonts w:ascii="Verdana" w:eastAsia="Arial" w:hAnsi="Verdana" w:cs="Arial"/>
          <w:lang w:val="es-ES" w:eastAsia="es-ES" w:bidi="es-ES"/>
        </w:rPr>
        <w:lastRenderedPageBreak/>
        <w:t xml:space="preserve">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362F0446" w14:textId="77777777" w:rsidR="00CE45C7" w:rsidRPr="00CE45C7" w:rsidRDefault="00CE45C7" w:rsidP="00CE45C7">
      <w:pPr>
        <w:spacing w:after="120" w:line="276" w:lineRule="auto"/>
        <w:ind w:firstLine="709"/>
        <w:jc w:val="both"/>
        <w:rPr>
          <w:rFonts w:ascii="Verdana" w:eastAsia="Arial" w:hAnsi="Verdana" w:cs="Arial"/>
          <w:lang w:val="es-ES" w:eastAsia="es-ES" w:bidi="es-ES"/>
        </w:rPr>
      </w:pPr>
      <w:r w:rsidRPr="00CE45C7">
        <w:rPr>
          <w:rFonts w:ascii="Verdana" w:eastAsia="Times New Roman" w:hAnsi="Verdana" w:cs="Arial"/>
          <w:bCs/>
          <w:lang w:val="es-ES" w:eastAsia="es-CO"/>
        </w:rPr>
        <w:t xml:space="preserve">Teniendo en cuenta lo anterior, a continuación, se hará un análisis sobre los dos tipos de restricciones, con el fin de determinar si los convenios interadministrativos o los convenios o contratos celebrados con entidades sin ánimo de lucro se enmarcan en alguno de los supuestos que señalan las normas. </w:t>
      </w:r>
    </w:p>
    <w:p w14:paraId="44C3C041" w14:textId="77777777" w:rsidR="00CE45C7" w:rsidRPr="00CE45C7" w:rsidRDefault="00CE45C7" w:rsidP="00CE45C7">
      <w:pPr>
        <w:spacing w:after="0" w:line="276" w:lineRule="auto"/>
        <w:ind w:firstLine="709"/>
        <w:jc w:val="both"/>
        <w:rPr>
          <w:rFonts w:ascii="Verdana" w:hAnsi="Verdana" w:cs="Arial"/>
          <w:lang w:eastAsia="es-CO"/>
        </w:rPr>
      </w:pPr>
      <w:r w:rsidRPr="00CE45C7">
        <w:rPr>
          <w:rFonts w:ascii="Verdana" w:hAnsi="Verdana" w:cs="Arial"/>
          <w:bCs/>
          <w:lang w:eastAsia="x-none"/>
        </w:rPr>
        <w:t xml:space="preserve">En primer lugar, el ámbito material de la prohibición contenida </w:t>
      </w:r>
      <w:bookmarkStart w:id="14" w:name="_Hlk75628761"/>
      <w:r w:rsidRPr="00CE45C7">
        <w:rPr>
          <w:rFonts w:ascii="Verdana" w:hAnsi="Verdana" w:cs="Arial"/>
          <w:bCs/>
          <w:lang w:eastAsia="x-none"/>
        </w:rPr>
        <w:t xml:space="preserve">en el artículo 33 de la Ley 996 de 2005 </w:t>
      </w:r>
      <w:bookmarkEnd w:id="14"/>
      <w:r w:rsidRPr="00CE45C7">
        <w:rPr>
          <w:rFonts w:ascii="Verdana" w:hAnsi="Verdana" w:cs="Arial"/>
          <w:bCs/>
          <w:lang w:eastAsia="x-none"/>
        </w:rPr>
        <w:t xml:space="preserve">está delimitado por la expresión </w:t>
      </w:r>
      <w:r w:rsidRPr="00CE45C7">
        <w:rPr>
          <w:rFonts w:ascii="Verdana" w:eastAsia="Calibri" w:hAnsi="Verdana" w:cs="Arial"/>
          <w:bCs/>
          <w:i/>
          <w:iCs/>
          <w:sz w:val="20"/>
          <w:szCs w:val="20"/>
        </w:rPr>
        <w:t>“</w:t>
      </w:r>
      <w:r w:rsidRPr="00CE45C7">
        <w:rPr>
          <w:rFonts w:ascii="Verdana" w:hAnsi="Verdana" w:cs="Arial"/>
          <w:bCs/>
          <w:i/>
          <w:iCs/>
          <w:lang w:eastAsia="x-none"/>
        </w:rPr>
        <w:t>queda prohibida la contratación directa</w:t>
      </w:r>
      <w:r w:rsidRPr="00CE45C7">
        <w:rPr>
          <w:rFonts w:ascii="Verdana" w:hAnsi="Verdana" w:cs="Arial"/>
          <w:sz w:val="20"/>
          <w:szCs w:val="20"/>
        </w:rPr>
        <w:t>”</w:t>
      </w:r>
      <w:r w:rsidRPr="00CE45C7">
        <w:rPr>
          <w:rFonts w:ascii="Verdana" w:hAnsi="Verdana" w:cs="Arial"/>
          <w:bCs/>
          <w:lang w:eastAsia="x-none"/>
        </w:rPr>
        <w:t>.</w:t>
      </w:r>
      <w:r w:rsidRPr="00CE45C7">
        <w:rPr>
          <w:rFonts w:ascii="Verdana" w:hAnsi="Verdana" w:cs="Arial"/>
          <w:lang w:eastAsia="es-CO"/>
        </w:rPr>
        <w:t xml:space="preserve"> A propósito de esta restricción de la Ley de Garantías Electorales, la Sala de Consulta y Servicio Civil del Consejo de Estado ha considerado que:</w:t>
      </w:r>
    </w:p>
    <w:p w14:paraId="24B35AC0" w14:textId="77777777" w:rsidR="00CE45C7" w:rsidRPr="00CE45C7" w:rsidRDefault="00CE45C7" w:rsidP="00CE45C7">
      <w:pPr>
        <w:spacing w:after="0" w:line="240" w:lineRule="auto"/>
        <w:ind w:left="709" w:right="709"/>
        <w:jc w:val="both"/>
        <w:rPr>
          <w:rFonts w:ascii="Verdana" w:hAnsi="Verdana" w:cs="Arial"/>
          <w:sz w:val="20"/>
          <w:szCs w:val="20"/>
        </w:rPr>
      </w:pPr>
      <w:r w:rsidRPr="00CE45C7">
        <w:rPr>
          <w:rFonts w:ascii="Verdana" w:hAnsi="Verdana" w:cs="Arial"/>
          <w:sz w:val="20"/>
          <w:szCs w:val="20"/>
        </w:rPr>
        <w:t>“(…) 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CE45C7">
        <w:rPr>
          <w:rFonts w:ascii="Verdana" w:hAnsi="Verdana" w:cs="Arial"/>
          <w:sz w:val="20"/>
          <w:szCs w:val="20"/>
          <w:vertAlign w:val="superscript"/>
          <w:lang w:eastAsia="es-CO"/>
        </w:rPr>
        <w:footnoteReference w:id="26"/>
      </w:r>
      <w:r w:rsidRPr="00CE45C7">
        <w:rPr>
          <w:rFonts w:ascii="Verdana" w:hAnsi="Verdana" w:cs="Arial"/>
          <w:sz w:val="20"/>
          <w:szCs w:val="20"/>
        </w:rPr>
        <w:t>.</w:t>
      </w:r>
    </w:p>
    <w:p w14:paraId="0FAD4920" w14:textId="77777777" w:rsidR="00CE45C7" w:rsidRPr="00CE45C7" w:rsidRDefault="00CE45C7" w:rsidP="00CE45C7">
      <w:pPr>
        <w:spacing w:after="0" w:line="240" w:lineRule="auto"/>
        <w:ind w:left="709" w:right="709"/>
        <w:jc w:val="both"/>
        <w:rPr>
          <w:rFonts w:ascii="Verdana" w:hAnsi="Verdana" w:cs="Arial"/>
          <w:sz w:val="20"/>
          <w:szCs w:val="20"/>
        </w:rPr>
      </w:pPr>
      <w:r w:rsidRPr="00CE45C7">
        <w:rPr>
          <w:rFonts w:ascii="Verdana" w:hAnsi="Verdana" w:cs="Arial"/>
          <w:sz w:val="20"/>
          <w:szCs w:val="20"/>
        </w:rPr>
        <w:t xml:space="preserve">Esta Sala ha entendido que para los efectos de la ley de garantías, y dada su finalidad, el enunciado ´contratación directa´ es sinónimo </w:t>
      </w:r>
      <w:bookmarkStart w:id="15" w:name="_Hlk75741738"/>
      <w:r w:rsidRPr="00CE45C7">
        <w:rPr>
          <w:rFonts w:ascii="Verdana" w:hAnsi="Verdana" w:cs="Arial"/>
          <w:sz w:val="20"/>
          <w:szCs w:val="20"/>
        </w:rPr>
        <w:t xml:space="preserve">de cualquier sistema que no implique convocatoria pública y posibilidad de pluralidad de oferentes, </w:t>
      </w:r>
      <w:bookmarkEnd w:id="15"/>
      <w:r w:rsidRPr="00CE45C7">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CE45C7">
        <w:rPr>
          <w:rFonts w:ascii="Verdana" w:hAnsi="Verdana" w:cs="Arial"/>
          <w:sz w:val="20"/>
          <w:szCs w:val="20"/>
          <w:vertAlign w:val="superscript"/>
        </w:rPr>
        <w:footnoteReference w:id="27"/>
      </w:r>
      <w:r w:rsidRPr="00CE45C7">
        <w:rPr>
          <w:rFonts w:ascii="Verdana" w:hAnsi="Verdana" w:cs="Arial"/>
          <w:sz w:val="20"/>
          <w:szCs w:val="20"/>
          <w:vertAlign w:val="superscript"/>
        </w:rPr>
        <w:t>.</w:t>
      </w:r>
      <w:r w:rsidRPr="00CE45C7">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w:t>
      </w:r>
      <w:r w:rsidRPr="00CE45C7">
        <w:rPr>
          <w:rFonts w:ascii="Verdana" w:hAnsi="Verdana" w:cs="Arial"/>
          <w:sz w:val="20"/>
          <w:szCs w:val="20"/>
        </w:rPr>
        <w:lastRenderedPageBreak/>
        <w:t>por la cual en ese periodo preelectoral de que trata la disposición pueden las entidades públicas seguir contratando bajo estos sistemas. (…)”</w:t>
      </w:r>
      <w:r w:rsidRPr="00CE45C7">
        <w:rPr>
          <w:rFonts w:ascii="Verdana" w:hAnsi="Verdana" w:cs="Arial"/>
          <w:sz w:val="20"/>
          <w:szCs w:val="20"/>
          <w:vertAlign w:val="superscript"/>
          <w:lang w:eastAsia="es-CO"/>
        </w:rPr>
        <w:footnoteReference w:id="28"/>
      </w:r>
      <w:r w:rsidRPr="00CE45C7">
        <w:rPr>
          <w:rFonts w:ascii="Verdana" w:hAnsi="Verdana" w:cs="Arial"/>
          <w:sz w:val="20"/>
          <w:szCs w:val="20"/>
        </w:rPr>
        <w:t>.</w:t>
      </w:r>
    </w:p>
    <w:p w14:paraId="05DB0E25" w14:textId="77777777" w:rsidR="00CE45C7" w:rsidRPr="00CE45C7" w:rsidRDefault="00CE45C7" w:rsidP="00CE45C7">
      <w:pPr>
        <w:spacing w:after="0" w:line="240" w:lineRule="auto"/>
        <w:ind w:left="709" w:right="709"/>
        <w:jc w:val="both"/>
        <w:rPr>
          <w:rFonts w:ascii="Verdana" w:hAnsi="Verdana" w:cs="Arial"/>
        </w:rPr>
      </w:pPr>
    </w:p>
    <w:p w14:paraId="3FBA59CA" w14:textId="77777777" w:rsidR="00CE45C7" w:rsidRPr="00CE45C7" w:rsidRDefault="00CE45C7" w:rsidP="00CE45C7">
      <w:pPr>
        <w:spacing w:after="120" w:line="276" w:lineRule="auto"/>
        <w:ind w:firstLine="709"/>
        <w:jc w:val="both"/>
        <w:rPr>
          <w:rFonts w:ascii="Verdana" w:hAnsi="Verdana" w:cs="Arial"/>
          <w:bCs/>
          <w:lang w:eastAsia="x-none"/>
        </w:rPr>
      </w:pPr>
      <w:bookmarkStart w:id="17" w:name="_Hlk94521748"/>
      <w:r w:rsidRPr="00CE45C7">
        <w:rPr>
          <w:rFonts w:ascii="Verdana" w:hAnsi="Verdana" w:cs="Arial"/>
          <w:lang w:eastAsia="x-none"/>
        </w:rPr>
        <w:t xml:space="preserve">De acuerdo con el citado concepto, la prohibición del artículo 33 de la Ley de Garantías Electorales se refiere a </w:t>
      </w:r>
      <w:r w:rsidRPr="00CE45C7">
        <w:rPr>
          <w:rFonts w:ascii="Verdana" w:hAnsi="Verdana" w:cs="Arial"/>
          <w:lang w:eastAsia="en-GB"/>
        </w:rPr>
        <w:t>“</w:t>
      </w:r>
      <w:r w:rsidRPr="00CE45C7">
        <w:rPr>
          <w:rFonts w:ascii="Verdana" w:hAnsi="Verdana" w:cs="Arial"/>
          <w:lang w:eastAsia="x-none"/>
        </w:rPr>
        <w:t>cualquier sistema que no implique convocatoria pública y posibilidad de pluralidad de oferentes</w:t>
      </w:r>
      <w:r w:rsidRPr="00CE45C7">
        <w:rPr>
          <w:rFonts w:ascii="Verdana" w:hAnsi="Verdana" w:cs="Arial"/>
          <w:lang w:eastAsia="en-GB"/>
        </w:rPr>
        <w:t>”</w:t>
      </w:r>
      <w:r w:rsidRPr="00CE45C7">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CE45C7">
        <w:rPr>
          <w:rFonts w:ascii="Verdana" w:hAnsi="Verdana" w:cs="Arial"/>
          <w:lang w:val="es-ES_tradnl" w:eastAsia="x-none"/>
        </w:rPr>
        <w:t>y la mínima cuantía</w:t>
      </w:r>
      <w:r w:rsidRPr="00CE45C7" w:rsidDel="00A85D9F">
        <w:rPr>
          <w:rFonts w:ascii="Verdana" w:hAnsi="Verdana" w:cs="Arial"/>
          <w:lang w:eastAsia="x-none"/>
        </w:rPr>
        <w:t xml:space="preserve"> </w:t>
      </w:r>
      <w:r w:rsidRPr="00CE45C7">
        <w:rPr>
          <w:rFonts w:ascii="Verdana" w:hAnsi="Verdana" w:cs="Arial"/>
          <w:lang w:eastAsia="x-none"/>
        </w:rPr>
        <w:t>u otros procedimientos abiertos y competitivos previstos en normas especiales. Esta posición es congruente con la expedición de la Ley 1150 de 2007 que, entre otras reformas, introdujo la selección abreviada, rediseñó el concurso de méritos</w:t>
      </w:r>
      <w:r w:rsidRPr="00CE45C7">
        <w:rPr>
          <w:rFonts w:ascii="Verdana" w:hAnsi="Verdana" w:cs="Arial"/>
          <w:vertAlign w:val="superscript"/>
          <w:lang w:val="en-GB" w:eastAsia="x-none"/>
        </w:rPr>
        <w:footnoteReference w:id="29"/>
      </w:r>
      <w:r w:rsidRPr="00CE45C7">
        <w:rPr>
          <w:rFonts w:ascii="Verdana" w:hAnsi="Verdana" w:cs="Arial"/>
          <w:lang w:eastAsia="x-none"/>
        </w:rPr>
        <w:t xml:space="preserve"> y sistematizó las causales de contratación directa</w:t>
      </w:r>
      <w:r w:rsidRPr="00CE45C7">
        <w:rPr>
          <w:rFonts w:ascii="Verdana" w:hAnsi="Verdana" w:cs="Arial"/>
          <w:vertAlign w:val="superscript"/>
          <w:lang w:val="en-GB" w:eastAsia="x-none"/>
        </w:rPr>
        <w:footnoteReference w:id="30"/>
      </w:r>
      <w:r w:rsidRPr="00CE45C7">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7"/>
    <w:p w14:paraId="6B1364A2" w14:textId="77777777" w:rsidR="00CE45C7" w:rsidRPr="00CE45C7" w:rsidRDefault="00CE45C7" w:rsidP="00CE45C7">
      <w:pPr>
        <w:spacing w:after="120" w:line="276" w:lineRule="auto"/>
        <w:ind w:firstLine="709"/>
        <w:jc w:val="both"/>
        <w:rPr>
          <w:rFonts w:ascii="Verdana" w:hAnsi="Verdana" w:cs="Arial"/>
          <w:lang w:eastAsia="x-none"/>
        </w:rPr>
      </w:pPr>
      <w:r w:rsidRPr="00CE45C7">
        <w:rPr>
          <w:rFonts w:ascii="Verdana" w:hAnsi="Verdana" w:cs="Arial"/>
          <w:lang w:eastAsia="x-none"/>
        </w:rPr>
        <w:t xml:space="preserve">De esta forma, con fundamento en la evolución de la normativa sobre la contratación pública, se ha depurado la noción de </w:t>
      </w:r>
      <w:r w:rsidRPr="00CE45C7">
        <w:rPr>
          <w:rFonts w:ascii="Verdana" w:hAnsi="Verdana" w:cs="Arial"/>
          <w:i/>
          <w:lang w:eastAsia="en-GB"/>
        </w:rPr>
        <w:t>“</w:t>
      </w:r>
      <w:r w:rsidRPr="00CE45C7">
        <w:rPr>
          <w:rFonts w:ascii="Verdana" w:hAnsi="Verdana" w:cs="Arial"/>
          <w:i/>
          <w:iCs/>
          <w:lang w:eastAsia="x-none"/>
        </w:rPr>
        <w:t>contratación directa</w:t>
      </w:r>
      <w:r w:rsidRPr="00CE45C7">
        <w:rPr>
          <w:rFonts w:ascii="Verdana" w:hAnsi="Verdana" w:cs="Arial"/>
          <w:lang w:eastAsia="en-GB"/>
        </w:rPr>
        <w:t>”</w:t>
      </w:r>
      <w:r w:rsidRPr="00CE45C7">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CE45C7">
        <w:rPr>
          <w:rFonts w:ascii="Verdana" w:hAnsi="Verdana" w:cs="Arial"/>
          <w:vertAlign w:val="superscript"/>
          <w:lang w:val="en-GB" w:eastAsia="x-none"/>
        </w:rPr>
        <w:footnoteReference w:id="31"/>
      </w:r>
      <w:r w:rsidRPr="00CE45C7">
        <w:rPr>
          <w:rFonts w:ascii="Verdana" w:hAnsi="Verdana" w:cs="Arial"/>
          <w:lang w:eastAsia="x-none"/>
        </w:rPr>
        <w:t>, han establecido sistemas de contratación que implican convocatoria pública y participación de varios oferentes</w:t>
      </w:r>
      <w:r w:rsidRPr="00CE45C7">
        <w:rPr>
          <w:rFonts w:ascii="Verdana" w:hAnsi="Verdana" w:cs="Arial"/>
          <w:lang w:eastAsia="en-GB"/>
        </w:rPr>
        <w:t>”</w:t>
      </w:r>
      <w:r w:rsidRPr="00CE45C7">
        <w:rPr>
          <w:rFonts w:ascii="Verdana" w:hAnsi="Verdana" w:cs="Arial"/>
          <w:lang w:eastAsia="x-none"/>
        </w:rPr>
        <w:t>.</w:t>
      </w:r>
    </w:p>
    <w:p w14:paraId="62089B47" w14:textId="77777777" w:rsidR="00CE45C7" w:rsidRPr="00CE45C7" w:rsidRDefault="00CE45C7" w:rsidP="00CE45C7">
      <w:pPr>
        <w:spacing w:after="120" w:line="276" w:lineRule="auto"/>
        <w:ind w:firstLine="709"/>
        <w:jc w:val="both"/>
        <w:rPr>
          <w:rFonts w:ascii="Verdana" w:hAnsi="Verdana" w:cs="Arial"/>
          <w:bCs/>
          <w:lang w:eastAsia="es-CO"/>
        </w:rPr>
      </w:pPr>
      <w:r w:rsidRPr="00CE45C7">
        <w:rPr>
          <w:rFonts w:ascii="Verdana" w:hAnsi="Verdana" w:cs="Arial"/>
          <w:bCs/>
          <w:lang w:eastAsia="x-none"/>
        </w:rPr>
        <w:t>E</w:t>
      </w:r>
      <w:r w:rsidRPr="00CE45C7">
        <w:rPr>
          <w:rFonts w:ascii="Verdana" w:hAnsi="Verdana" w:cs="Arial"/>
          <w:lang w:eastAsia="x-none"/>
        </w:rPr>
        <w:t xml:space="preserve">n efecto, vale la pena mencionar que, </w:t>
      </w:r>
      <w:bookmarkStart w:id="18" w:name="_Hlk75636073"/>
      <w:r w:rsidRPr="00CE45C7">
        <w:rPr>
          <w:rFonts w:ascii="Verdana" w:hAnsi="Verdana" w:cs="Arial"/>
          <w:lang w:eastAsia="x-none"/>
        </w:rPr>
        <w:t xml:space="preserve">en algunos sistemas de contratación, utilizados por entidades públicas con regímenes especiales, o sujetas al derecho privado, la convocatoria o invitación para contratar puede </w:t>
      </w:r>
      <w:r w:rsidRPr="00CE45C7">
        <w:rPr>
          <w:rFonts w:ascii="Verdana" w:hAnsi="Verdana" w:cs="Arial"/>
          <w:lang w:eastAsia="x-none"/>
        </w:rPr>
        <w:lastRenderedPageBreak/>
        <w:t xml:space="preserve">limitarse a aquellas personas que previamente se hayan inscrito en una lista de precalificados o de simples interesados, o en un determinado registro o banco de datos de proveedores. En estos casos, lo determinante para considerar que dicho sistema no constituye </w:t>
      </w:r>
      <w:r w:rsidRPr="00CE45C7">
        <w:rPr>
          <w:rFonts w:ascii="Verdana" w:hAnsi="Verdana" w:cs="Arial"/>
          <w:i/>
          <w:iCs/>
          <w:lang w:eastAsia="x-none"/>
        </w:rPr>
        <w:t>“contratación directa</w:t>
      </w:r>
      <w:r w:rsidRPr="00CE45C7">
        <w:rPr>
          <w:rFonts w:ascii="Verdana" w:hAnsi="Verdana" w:cs="Arial"/>
          <w:lang w:eastAsia="x-none"/>
        </w:rPr>
        <w:t>”, es que la convocatoria para inscribirse en forma previa se haga de manera pública, y que se permita la participación de una pluralidad de oferentes</w:t>
      </w:r>
      <w:bookmarkEnd w:id="18"/>
      <w:r w:rsidRPr="00CE45C7">
        <w:rPr>
          <w:rFonts w:ascii="Verdana" w:hAnsi="Verdana" w:cs="Arial"/>
          <w:vertAlign w:val="superscript"/>
          <w:lang w:eastAsia="x-none"/>
        </w:rPr>
        <w:footnoteReference w:id="32"/>
      </w:r>
      <w:r w:rsidRPr="00CE45C7">
        <w:rPr>
          <w:rFonts w:ascii="Verdana" w:hAnsi="Verdana" w:cs="Arial"/>
          <w:lang w:eastAsia="x-none"/>
        </w:rPr>
        <w:t xml:space="preserve">. </w:t>
      </w:r>
    </w:p>
    <w:p w14:paraId="7F39D984" w14:textId="77777777" w:rsidR="00CE45C7" w:rsidRPr="00CE45C7" w:rsidRDefault="00CE45C7" w:rsidP="00CE45C7">
      <w:pPr>
        <w:spacing w:after="120" w:line="276" w:lineRule="auto"/>
        <w:ind w:firstLine="709"/>
        <w:jc w:val="both"/>
        <w:rPr>
          <w:rFonts w:ascii="Verdana" w:hAnsi="Verdana" w:cs="Arial"/>
          <w:bCs/>
          <w:lang w:eastAsia="es-CO"/>
        </w:rPr>
      </w:pPr>
      <w:r w:rsidRPr="00CE45C7">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CE45C7">
        <w:rPr>
          <w:rFonts w:ascii="Verdana" w:hAnsi="Verdana" w:cs="Arial"/>
          <w:bCs/>
          <w:i/>
          <w:iCs/>
          <w:lang w:eastAsia="es-CO"/>
        </w:rPr>
        <w:t>“contratación directa”.</w:t>
      </w:r>
    </w:p>
    <w:p w14:paraId="695A9E47" w14:textId="77777777" w:rsidR="00CE45C7" w:rsidRPr="00CE45C7" w:rsidRDefault="00CE45C7" w:rsidP="00CE45C7">
      <w:pPr>
        <w:spacing w:after="120" w:line="276" w:lineRule="auto"/>
        <w:ind w:firstLine="709"/>
        <w:jc w:val="both"/>
        <w:rPr>
          <w:rFonts w:ascii="Verdana" w:hAnsi="Verdana" w:cs="Arial"/>
          <w:vertAlign w:val="superscript"/>
          <w:lang w:eastAsia="x-none"/>
        </w:rPr>
      </w:pPr>
      <w:bookmarkStart w:id="19" w:name="_Hlk78818796"/>
      <w:r w:rsidRPr="00CE45C7">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CE45C7">
        <w:rPr>
          <w:rFonts w:ascii="Verdana" w:hAnsi="Verdana" w:cs="Arial"/>
          <w:vertAlign w:val="superscript"/>
          <w:lang w:eastAsia="x-none"/>
        </w:rPr>
        <w:footnoteReference w:id="33"/>
      </w:r>
      <w:r w:rsidRPr="00CE45C7">
        <w:rPr>
          <w:rFonts w:ascii="Verdana" w:hAnsi="Verdana" w:cs="Arial"/>
          <w:lang w:eastAsia="x-none"/>
        </w:rPr>
        <w:t>.</w:t>
      </w:r>
      <w:r w:rsidRPr="00CE45C7">
        <w:rPr>
          <w:rFonts w:ascii="Verdana" w:hAnsi="Verdana" w:cs="Arial"/>
          <w:vertAlign w:val="superscript"/>
          <w:lang w:eastAsia="x-none"/>
        </w:rPr>
        <w:t xml:space="preserve"> </w:t>
      </w:r>
    </w:p>
    <w:p w14:paraId="5476F76A" w14:textId="77777777" w:rsidR="00CE45C7" w:rsidRPr="00CE45C7" w:rsidRDefault="00CE45C7" w:rsidP="00CE45C7">
      <w:pPr>
        <w:spacing w:after="120" w:line="276" w:lineRule="auto"/>
        <w:ind w:firstLine="709"/>
        <w:jc w:val="both"/>
        <w:rPr>
          <w:rFonts w:ascii="Verdana" w:hAnsi="Verdana" w:cs="Arial"/>
          <w:lang w:eastAsia="x-none"/>
        </w:rPr>
      </w:pPr>
      <w:r w:rsidRPr="00CE45C7">
        <w:rPr>
          <w:rFonts w:ascii="Verdana" w:hAnsi="Verdana" w:cs="Arial"/>
          <w:lang w:eastAsia="x-none"/>
        </w:rPr>
        <w:t xml:space="preserve">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w:t>
      </w:r>
      <w:r w:rsidRPr="00CE45C7">
        <w:rPr>
          <w:rFonts w:ascii="Verdana" w:hAnsi="Verdana" w:cs="Arial"/>
          <w:lang w:eastAsia="x-none"/>
        </w:rPr>
        <w:lastRenderedPageBreak/>
        <w:t>que no se configure la contratación directa, la selección del futuro contratista debe darse en términos de competencia</w:t>
      </w:r>
      <w:r w:rsidRPr="00CE45C7">
        <w:rPr>
          <w:rFonts w:ascii="Verdana" w:hAnsi="Verdana" w:cs="Arial"/>
          <w:vertAlign w:val="superscript"/>
          <w:lang w:eastAsia="x-none"/>
        </w:rPr>
        <w:footnoteReference w:id="34"/>
      </w:r>
      <w:r w:rsidRPr="00CE45C7">
        <w:rPr>
          <w:rFonts w:ascii="Verdana" w:hAnsi="Verdana" w:cs="Arial"/>
          <w:lang w:eastAsia="x-none"/>
        </w:rPr>
        <w:t>.</w:t>
      </w:r>
    </w:p>
    <w:bookmarkEnd w:id="19"/>
    <w:p w14:paraId="72FE6D61" w14:textId="77777777" w:rsidR="00CE45C7" w:rsidRPr="00CE45C7" w:rsidRDefault="00CE45C7" w:rsidP="00CE45C7">
      <w:pPr>
        <w:spacing w:after="120" w:line="276" w:lineRule="auto"/>
        <w:ind w:firstLine="709"/>
        <w:jc w:val="both"/>
        <w:rPr>
          <w:rFonts w:ascii="Verdana" w:hAnsi="Verdana" w:cs="Arial"/>
          <w:lang w:eastAsia="x-none"/>
        </w:rPr>
      </w:pPr>
      <w:r w:rsidRPr="00CE45C7">
        <w:rPr>
          <w:rFonts w:ascii="Verdana"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CE45C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 período preelectoral de que trata la disposición las entidades públicas pueden seguir contratando bajo estos sistemas.</w:t>
      </w:r>
    </w:p>
    <w:p w14:paraId="25B71435" w14:textId="77777777" w:rsidR="00CE45C7" w:rsidRPr="00CE45C7" w:rsidRDefault="00CE45C7" w:rsidP="00CE45C7">
      <w:pPr>
        <w:spacing w:after="120" w:line="276" w:lineRule="auto"/>
        <w:ind w:firstLine="709"/>
        <w:jc w:val="both"/>
        <w:rPr>
          <w:rFonts w:ascii="Verdana" w:hAnsi="Verdana" w:cs="Arial"/>
          <w:bCs/>
          <w:color w:val="000000" w:themeColor="text1"/>
          <w:lang w:val="es-MX" w:eastAsia="x-none"/>
        </w:rPr>
      </w:pPr>
      <w:r w:rsidRPr="00CE45C7">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00CE45C7">
        <w:rPr>
          <w:rFonts w:ascii="Verdana" w:hAnsi="Verdana" w:cs="Arial"/>
          <w:i/>
          <w:color w:val="000000" w:themeColor="text1"/>
          <w:lang w:val="es-MX"/>
        </w:rPr>
        <w:t>todos los entes del Estado</w:t>
      </w:r>
      <w:r w:rsidRPr="00CE45C7">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7B8EF35E" w14:textId="77777777" w:rsidR="00CE45C7" w:rsidRPr="00CE45C7" w:rsidRDefault="00CE45C7" w:rsidP="00CE45C7">
      <w:pPr>
        <w:spacing w:after="120" w:line="276" w:lineRule="auto"/>
        <w:ind w:firstLine="709"/>
        <w:jc w:val="both"/>
        <w:rPr>
          <w:rFonts w:ascii="Verdana" w:hAnsi="Verdana" w:cs="Arial"/>
          <w:color w:val="000000" w:themeColor="text1"/>
          <w:lang w:val="es-MX"/>
        </w:rPr>
      </w:pPr>
      <w:r w:rsidRPr="00CE45C7">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CE45C7">
        <w:rPr>
          <w:rFonts w:ascii="Verdana" w:hAnsi="Verdana" w:cs="Arial"/>
          <w:color w:val="000000" w:themeColor="text1"/>
          <w:vertAlign w:val="superscript"/>
          <w:lang w:val="es-MX"/>
        </w:rPr>
        <w:footnoteReference w:id="35"/>
      </w:r>
      <w:r w:rsidRPr="00CE45C7">
        <w:rPr>
          <w:rFonts w:ascii="Verdana" w:hAnsi="Verdana" w:cs="Arial"/>
          <w:color w:val="000000" w:themeColor="text1"/>
          <w:lang w:val="es-MX"/>
        </w:rPr>
        <w:t xml:space="preserve">. </w:t>
      </w:r>
    </w:p>
    <w:p w14:paraId="361B4D3E" w14:textId="77777777" w:rsidR="00CE45C7" w:rsidRPr="00CE45C7" w:rsidRDefault="00CE45C7" w:rsidP="00CE45C7">
      <w:pPr>
        <w:spacing w:after="0" w:line="276" w:lineRule="auto"/>
        <w:ind w:firstLine="709"/>
        <w:jc w:val="both"/>
        <w:rPr>
          <w:rFonts w:ascii="Verdana" w:hAnsi="Verdana" w:cs="Arial"/>
          <w:color w:val="000000" w:themeColor="text1"/>
          <w:lang w:val="es-MX"/>
        </w:rPr>
      </w:pPr>
      <w:r w:rsidRPr="00CE45C7">
        <w:rPr>
          <w:rFonts w:ascii="Verdana" w:hAnsi="Verdana" w:cs="Arial"/>
          <w:color w:val="000000" w:themeColor="text1"/>
          <w:lang w:val="es-MX"/>
        </w:rPr>
        <w:lastRenderedPageBreak/>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45C7">
        <w:rPr>
          <w:rFonts w:ascii="Verdana" w:hAnsi="Verdana" w:cs="Arial"/>
          <w:color w:val="000000" w:themeColor="text1"/>
          <w:vertAlign w:val="superscript"/>
          <w:lang w:val="es-MX"/>
        </w:rPr>
        <w:footnoteReference w:id="36"/>
      </w:r>
      <w:r w:rsidRPr="00CE45C7">
        <w:rPr>
          <w:rFonts w:ascii="Verdana" w:hAnsi="Verdana" w:cs="Arial"/>
          <w:color w:val="000000" w:themeColor="text1"/>
          <w:lang w:val="es-MX"/>
        </w:rPr>
        <w:t>. Además, la Sala de Consulta y Servicio Civil del Consejo de Estado realizó la siguiente distinción, retomando el pronunciamiento de la misma sala del 20 de febrero de 2006, citado anteriormente:</w:t>
      </w:r>
    </w:p>
    <w:p w14:paraId="506F132C" w14:textId="77777777" w:rsidR="00CE45C7" w:rsidRPr="00CE45C7" w:rsidRDefault="00CE45C7" w:rsidP="00CE45C7">
      <w:pPr>
        <w:spacing w:after="0" w:line="240" w:lineRule="auto"/>
        <w:ind w:firstLine="709"/>
        <w:jc w:val="both"/>
        <w:rPr>
          <w:rFonts w:ascii="Verdana" w:hAnsi="Verdana" w:cs="Arial"/>
          <w:color w:val="000000" w:themeColor="text1"/>
          <w:lang w:val="es-MX"/>
        </w:rPr>
      </w:pPr>
    </w:p>
    <w:p w14:paraId="503F5C0B" w14:textId="77777777" w:rsidR="00CE45C7" w:rsidRPr="00CE45C7" w:rsidRDefault="00CE45C7" w:rsidP="00CE45C7">
      <w:pPr>
        <w:spacing w:after="0" w:line="240" w:lineRule="auto"/>
        <w:ind w:left="709" w:right="709"/>
        <w:jc w:val="both"/>
        <w:rPr>
          <w:rFonts w:ascii="Verdana" w:hAnsi="Verdana" w:cs="Arial"/>
          <w:color w:val="000000" w:themeColor="text1"/>
          <w:sz w:val="20"/>
          <w:szCs w:val="20"/>
          <w:lang w:val="es-MX"/>
        </w:rPr>
      </w:pPr>
      <w:r w:rsidRPr="00CE45C7">
        <w:rPr>
          <w:rFonts w:ascii="Verdana" w:hAnsi="Verdana" w:cs="Arial"/>
          <w:color w:val="000000" w:themeColor="text1"/>
          <w:sz w:val="20"/>
          <w:szCs w:val="20"/>
          <w:lang w:val="es-MX"/>
        </w:rPr>
        <w:t>“(…)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29BB02C4" w14:textId="77777777" w:rsidR="00CE45C7" w:rsidRPr="00CE45C7" w:rsidRDefault="00CE45C7" w:rsidP="00CE45C7">
      <w:pPr>
        <w:spacing w:after="0" w:line="240" w:lineRule="auto"/>
        <w:ind w:left="709" w:right="709"/>
        <w:jc w:val="both"/>
        <w:rPr>
          <w:rFonts w:ascii="Verdana" w:hAnsi="Verdana" w:cs="Arial"/>
          <w:color w:val="000000" w:themeColor="text1"/>
          <w:sz w:val="20"/>
          <w:szCs w:val="20"/>
          <w:lang w:val="es-MX"/>
        </w:rPr>
      </w:pPr>
    </w:p>
    <w:p w14:paraId="0665DAD8" w14:textId="77777777" w:rsidR="00CE45C7" w:rsidRPr="00CE45C7" w:rsidRDefault="00CE45C7" w:rsidP="00CE45C7">
      <w:pPr>
        <w:spacing w:after="0" w:line="240" w:lineRule="auto"/>
        <w:ind w:left="709" w:right="709"/>
        <w:jc w:val="both"/>
        <w:rPr>
          <w:rFonts w:ascii="Verdana" w:hAnsi="Verdana" w:cs="Arial"/>
          <w:color w:val="000000" w:themeColor="text1"/>
          <w:sz w:val="20"/>
          <w:szCs w:val="20"/>
          <w:lang w:val="es-MX" w:eastAsia="x-none"/>
        </w:rPr>
      </w:pPr>
      <w:r w:rsidRPr="00CE45C7">
        <w:rPr>
          <w:rFonts w:ascii="Verdana" w:hAnsi="Verdana" w:cs="Arial"/>
          <w:color w:val="000000" w:themeColor="text1"/>
          <w:sz w:val="20"/>
          <w:szCs w:val="20"/>
          <w:lang w:val="es-MX"/>
        </w:rPr>
        <w:t xml:space="preserve">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w:t>
      </w:r>
      <w:r w:rsidRPr="00CE45C7">
        <w:rPr>
          <w:rFonts w:ascii="Verdana" w:hAnsi="Verdana" w:cs="Arial"/>
          <w:color w:val="000000" w:themeColor="text1"/>
          <w:sz w:val="20"/>
          <w:szCs w:val="20"/>
          <w:lang w:val="es-MX"/>
        </w:rPr>
        <w:lastRenderedPageBreak/>
        <w:t>significaría la parálisis de tal actividad de interés público, lo que de ninguna manera es lo querido por la ley 996 de 2005”</w:t>
      </w:r>
      <w:r w:rsidRPr="00CE45C7">
        <w:rPr>
          <w:rFonts w:ascii="Verdana" w:hAnsi="Verdana" w:cs="Arial"/>
          <w:color w:val="000000" w:themeColor="text1"/>
          <w:sz w:val="20"/>
          <w:szCs w:val="20"/>
          <w:vertAlign w:val="superscript"/>
          <w:lang w:val="es-MX"/>
        </w:rPr>
        <w:footnoteReference w:id="37"/>
      </w:r>
      <w:r w:rsidRPr="00CE45C7">
        <w:rPr>
          <w:rFonts w:ascii="Verdana" w:hAnsi="Verdana" w:cs="Arial"/>
          <w:color w:val="000000" w:themeColor="text1"/>
          <w:sz w:val="20"/>
          <w:szCs w:val="20"/>
          <w:lang w:val="es-MX" w:eastAsia="x-none"/>
        </w:rPr>
        <w:t>.</w:t>
      </w:r>
    </w:p>
    <w:p w14:paraId="0C894872" w14:textId="77777777" w:rsidR="00CE45C7" w:rsidRPr="00CE45C7" w:rsidRDefault="00CE45C7" w:rsidP="00CE45C7">
      <w:pPr>
        <w:spacing w:after="0" w:line="240" w:lineRule="auto"/>
        <w:ind w:firstLine="709"/>
        <w:jc w:val="both"/>
        <w:rPr>
          <w:rFonts w:ascii="Verdana" w:hAnsi="Verdana" w:cs="Arial"/>
          <w:color w:val="000000" w:themeColor="text1"/>
          <w:lang w:val="es-MX"/>
        </w:rPr>
      </w:pPr>
    </w:p>
    <w:p w14:paraId="09ACE4D4" w14:textId="77777777" w:rsidR="00CE45C7" w:rsidRPr="00CE45C7" w:rsidRDefault="00CE45C7" w:rsidP="00CE45C7">
      <w:pPr>
        <w:spacing w:after="120" w:line="276" w:lineRule="auto"/>
        <w:ind w:firstLine="709"/>
        <w:jc w:val="both"/>
        <w:rPr>
          <w:rFonts w:ascii="Verdana" w:hAnsi="Verdana" w:cs="Arial"/>
          <w:color w:val="000000" w:themeColor="text1"/>
          <w:lang w:eastAsia="es-CO"/>
        </w:rPr>
      </w:pPr>
      <w:r w:rsidRPr="00CE45C7">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Estatuto General de Contratación de la Administración Pública y que se rigen en materia contractual por el derecho privado. Sin embargo, señaló que algunas de estas entidades, como sucede con las empresas de servicios públicos domiciliarios, los establecimientos de crédito, las sociedades de servicios 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CE45C7">
        <w:rPr>
          <w:rFonts w:ascii="Verdana" w:hAnsi="Verdana" w:cs="Arial"/>
          <w:color w:val="000000" w:themeColor="text1"/>
          <w:vertAlign w:val="superscript"/>
          <w:lang w:val="es-MX"/>
        </w:rPr>
        <w:footnoteReference w:id="38"/>
      </w:r>
      <w:r w:rsidRPr="00CE45C7">
        <w:rPr>
          <w:rFonts w:ascii="Verdana" w:hAnsi="Verdana" w:cs="Arial"/>
          <w:color w:val="000000" w:themeColor="text1"/>
          <w:lang w:val="es-MX"/>
        </w:rPr>
        <w:t>.</w:t>
      </w:r>
      <w:r w:rsidRPr="00CE45C7">
        <w:rPr>
          <w:rFonts w:ascii="Verdana" w:hAnsi="Verdana" w:cs="Arial"/>
          <w:color w:val="000000" w:themeColor="text1"/>
          <w:lang w:eastAsia="es-CO"/>
        </w:rPr>
        <w:t xml:space="preserve"> </w:t>
      </w:r>
    </w:p>
    <w:p w14:paraId="48D36152" w14:textId="77777777" w:rsidR="00CE45C7" w:rsidRPr="00CE45C7" w:rsidRDefault="00CE45C7" w:rsidP="00CE45C7">
      <w:pPr>
        <w:spacing w:after="120" w:line="276" w:lineRule="auto"/>
        <w:ind w:firstLine="709"/>
        <w:jc w:val="both"/>
        <w:rPr>
          <w:rFonts w:ascii="Verdana" w:hAnsi="Verdana" w:cs="Arial"/>
          <w:color w:val="000000" w:themeColor="text1"/>
          <w:lang w:eastAsia="es-CO"/>
        </w:rPr>
      </w:pPr>
      <w:r w:rsidRPr="00CE45C7">
        <w:rPr>
          <w:rFonts w:ascii="Verdana" w:hAnsi="Verdana" w:cs="Arial"/>
          <w:color w:val="000000" w:themeColor="text1"/>
          <w:lang w:eastAsia="es-CO"/>
        </w:rPr>
        <w:t>Conforme los pronunciamientos de la Sala de Consulta y Servicio Civil</w:t>
      </w:r>
      <w:r w:rsidRPr="00CE45C7">
        <w:rPr>
          <w:rFonts w:ascii="Verdana" w:hAnsi="Verdana" w:cs="Arial"/>
          <w:color w:val="000000" w:themeColor="text1"/>
          <w:lang w:val="es-MX"/>
        </w:rPr>
        <w:t xml:space="preserve">, la restricción prevista en la Ley 996 de 2005 </w:t>
      </w:r>
      <w:r w:rsidRPr="00CE45C7">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70496B7D" w14:textId="77777777" w:rsidR="00CE45C7" w:rsidRPr="00CE45C7" w:rsidRDefault="00CE45C7" w:rsidP="00CE45C7">
      <w:pPr>
        <w:spacing w:after="120" w:line="276" w:lineRule="auto"/>
        <w:ind w:firstLine="709"/>
        <w:jc w:val="both"/>
        <w:rPr>
          <w:rFonts w:ascii="Verdana" w:hAnsi="Verdana" w:cs="Arial"/>
          <w:bCs/>
          <w:color w:val="000000" w:themeColor="text1"/>
          <w:lang w:val="es-MX" w:eastAsia="x-none"/>
        </w:rPr>
      </w:pPr>
      <w:r w:rsidRPr="00CE45C7">
        <w:rPr>
          <w:rFonts w:ascii="Verdana" w:hAnsi="Verdana" w:cs="Arial"/>
          <w:color w:val="000000" w:themeColor="text1"/>
          <w:lang w:val="es-MX"/>
        </w:rPr>
        <w:t xml:space="preserve">No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4BAD9F68" w14:textId="77777777" w:rsidR="00CE45C7" w:rsidRPr="00CE45C7" w:rsidRDefault="00CE45C7" w:rsidP="00CE45C7">
      <w:pPr>
        <w:spacing w:after="120" w:line="276" w:lineRule="auto"/>
        <w:ind w:firstLine="709"/>
        <w:jc w:val="both"/>
        <w:rPr>
          <w:rFonts w:ascii="Verdana" w:eastAsia="Times New Roman" w:hAnsi="Verdana" w:cs="Arial"/>
          <w:bCs/>
          <w:lang w:val="es-ES" w:eastAsia="es-CO" w:bidi="es-ES"/>
        </w:rPr>
      </w:pPr>
      <w:r w:rsidRPr="00CE45C7">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w:t>
      </w:r>
      <w:r w:rsidRPr="00CE45C7">
        <w:rPr>
          <w:rFonts w:ascii="Verdana" w:eastAsia="Times New Roman" w:hAnsi="Verdana" w:cs="Arial"/>
          <w:bCs/>
          <w:lang w:val="es-ES" w:eastAsia="es-CO" w:bidi="es-ES"/>
        </w:rPr>
        <w:lastRenderedPageBreak/>
        <w:t xml:space="preserve">por la Presidencia, cuando el contrato a celebrar se enmarquen dentro de algunas de las excepciones consagradas en dicha disposición, esto es: i) la defensa y seguridad del Estado; </w:t>
      </w:r>
      <w:proofErr w:type="spellStart"/>
      <w:r w:rsidRPr="00CE45C7">
        <w:rPr>
          <w:rFonts w:ascii="Verdana" w:eastAsia="Times New Roman" w:hAnsi="Verdana" w:cs="Arial"/>
          <w:bCs/>
          <w:lang w:val="es-ES" w:eastAsia="es-CO" w:bidi="es-ES"/>
        </w:rPr>
        <w:t>ii</w:t>
      </w:r>
      <w:proofErr w:type="spellEnd"/>
      <w:r w:rsidRPr="00CE45C7">
        <w:rPr>
          <w:rFonts w:ascii="Verdana" w:eastAsia="Times New Roman" w:hAnsi="Verdana" w:cs="Arial"/>
          <w:bCs/>
          <w:lang w:val="es-ES" w:eastAsia="es-CO" w:bidi="es-ES"/>
        </w:rPr>
        <w:t xml:space="preserve">) los contratos de crédito público; </w:t>
      </w:r>
      <w:proofErr w:type="spellStart"/>
      <w:r w:rsidRPr="00CE45C7">
        <w:rPr>
          <w:rFonts w:ascii="Verdana" w:eastAsia="Times New Roman" w:hAnsi="Verdana" w:cs="Arial"/>
          <w:bCs/>
          <w:lang w:val="es-ES" w:eastAsia="es-CO" w:bidi="es-ES"/>
        </w:rPr>
        <w:t>iii</w:t>
      </w:r>
      <w:proofErr w:type="spellEnd"/>
      <w:r w:rsidRPr="00CE45C7">
        <w:rPr>
          <w:rFonts w:ascii="Verdana" w:eastAsia="Times New Roman" w:hAnsi="Verdana" w:cs="Arial"/>
          <w:bCs/>
          <w:lang w:val="es-ES" w:eastAsia="es-CO" w:bidi="es-ES"/>
        </w:rPr>
        <w:t xml:space="preserve">) los requeridos para cubrir las emergencias educativas, sanitarias y desastres; </w:t>
      </w:r>
      <w:proofErr w:type="spellStart"/>
      <w:r w:rsidRPr="00CE45C7">
        <w:rPr>
          <w:rFonts w:ascii="Verdana" w:eastAsia="Times New Roman" w:hAnsi="Verdana" w:cs="Arial"/>
          <w:bCs/>
          <w:lang w:val="es-ES" w:eastAsia="es-CO" w:bidi="es-ES"/>
        </w:rPr>
        <w:t>iv</w:t>
      </w:r>
      <w:proofErr w:type="spellEnd"/>
      <w:r w:rsidRPr="00CE45C7">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5EC94281" w14:textId="77777777" w:rsidR="00CE45C7" w:rsidRPr="00CE45C7" w:rsidRDefault="00CE45C7" w:rsidP="00CE45C7">
      <w:pPr>
        <w:spacing w:after="120" w:line="276" w:lineRule="auto"/>
        <w:ind w:firstLine="709"/>
        <w:jc w:val="both"/>
        <w:rPr>
          <w:rFonts w:ascii="Verdana" w:hAnsi="Verdana" w:cs="Arial"/>
          <w:bCs/>
          <w:lang w:eastAsia="x-none"/>
        </w:rPr>
      </w:pPr>
      <w:r w:rsidRPr="00CE45C7">
        <w:rPr>
          <w:rFonts w:ascii="Verdana" w:eastAsia="Times New Roman" w:hAnsi="Verdana" w:cs="Arial"/>
          <w:bCs/>
          <w:lang w:val="es-ES" w:eastAsia="es-CO" w:bidi="es-ES"/>
        </w:rPr>
        <w:t xml:space="preserve">En todo caso, </w:t>
      </w:r>
      <w:r w:rsidRPr="00CE45C7">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6A093404" w14:textId="77777777" w:rsidR="00CE45C7" w:rsidRPr="00CE45C7" w:rsidRDefault="00CE45C7" w:rsidP="00CE45C7">
      <w:pPr>
        <w:spacing w:after="120" w:line="276" w:lineRule="auto"/>
        <w:ind w:firstLine="709"/>
        <w:jc w:val="both"/>
        <w:rPr>
          <w:rFonts w:ascii="Verdana" w:hAnsi="Verdana" w:cs="Arial"/>
          <w:bCs/>
          <w:lang w:val="es-MX" w:eastAsia="x-none"/>
        </w:rPr>
      </w:pPr>
      <w:r w:rsidRPr="00CE45C7">
        <w:rPr>
          <w:rFonts w:ascii="Verdana" w:hAnsi="Verdana" w:cs="Arial"/>
          <w:bCs/>
          <w:lang w:val="es-MX" w:eastAsia="x-none"/>
        </w:rPr>
        <w:t xml:space="preserve">En esta labor es importante tener en cuenta, como lo anotó la Corte Constitucional, en Sentencia C-1153 de noviembre 11 de 2005 </w:t>
      </w:r>
      <w:bookmarkStart w:id="21" w:name="_Hlk74309042"/>
      <w:r w:rsidRPr="00CE45C7">
        <w:rPr>
          <w:rFonts w:ascii="Verdana" w:hAnsi="Verdana" w:cs="Arial"/>
          <w:bCs/>
          <w:lang w:val="es-MX" w:eastAsia="x-none"/>
        </w:rPr>
        <w:t>que “</w:t>
      </w:r>
      <w:bookmarkEnd w:id="21"/>
      <w:r w:rsidRPr="00CE45C7">
        <w:rPr>
          <w:rFonts w:ascii="Verdana" w:hAnsi="Verdana" w:cs="Arial"/>
          <w:bCs/>
          <w:lang w:val="es-MX" w:eastAsia="x-none"/>
        </w:rPr>
        <w:t xml:space="preserve">si bien la limitación garantiza la igualdad de condiciones, también es necesario que tal limitación que pretende la igualdad </w:t>
      </w:r>
      <w:bookmarkStart w:id="22" w:name="_Hlk75768308"/>
      <w:r w:rsidRPr="00CE45C7">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sidRPr="00CE45C7">
        <w:rPr>
          <w:rFonts w:ascii="Verdana" w:hAnsi="Verdana" w:cs="Arial"/>
          <w:vertAlign w:val="superscript"/>
          <w:lang w:val="es-MX"/>
        </w:rPr>
        <w:footnoteReference w:id="39"/>
      </w:r>
      <w:r w:rsidRPr="00CE45C7">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22"/>
    </w:p>
    <w:p w14:paraId="7E1D5F88" w14:textId="77777777" w:rsidR="00CE45C7" w:rsidRPr="00CE45C7" w:rsidRDefault="00CE45C7" w:rsidP="00CE45C7">
      <w:pPr>
        <w:spacing w:after="120" w:line="276" w:lineRule="auto"/>
        <w:ind w:firstLine="709"/>
        <w:jc w:val="both"/>
        <w:rPr>
          <w:rFonts w:ascii="Verdana" w:hAnsi="Verdana" w:cs="Arial"/>
          <w:bCs/>
          <w:lang w:val="es-MX" w:eastAsia="x-none"/>
        </w:rPr>
      </w:pPr>
      <w:r w:rsidRPr="00CE45C7">
        <w:rPr>
          <w:rFonts w:ascii="Verdana" w:hAnsi="Verdana" w:cs="Arial"/>
          <w:bCs/>
          <w:lang w:val="es-MX" w:eastAsia="x-none"/>
        </w:rPr>
        <w:t xml:space="preserve">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w:t>
      </w:r>
      <w:r w:rsidRPr="00CE45C7">
        <w:rPr>
          <w:rFonts w:ascii="Verdana" w:hAnsi="Verdana" w:cs="Arial"/>
          <w:bCs/>
          <w:lang w:val="es-MX" w:eastAsia="x-none"/>
        </w:rPr>
        <w:lastRenderedPageBreak/>
        <w:t>por su naturaleza no admiten postergaciones en la atención de sus necesidades de personal, bienes y servicios (…)”</w:t>
      </w:r>
      <w:r w:rsidRPr="00CE45C7">
        <w:rPr>
          <w:rFonts w:ascii="Verdana" w:hAnsi="Verdana" w:cs="Arial"/>
          <w:vertAlign w:val="superscript"/>
          <w:lang w:val="es-ES_tradnl" w:eastAsia="es-CO"/>
        </w:rPr>
        <w:footnoteReference w:id="40"/>
      </w:r>
      <w:r w:rsidRPr="00CE45C7">
        <w:rPr>
          <w:rFonts w:ascii="Verdana" w:hAnsi="Verdana" w:cs="Arial"/>
          <w:bCs/>
          <w:lang w:val="es-MX" w:eastAsia="x-none"/>
        </w:rPr>
        <w:t>.</w:t>
      </w:r>
    </w:p>
    <w:p w14:paraId="47E6DBB1" w14:textId="77777777" w:rsidR="00CE45C7" w:rsidRPr="00CE45C7" w:rsidRDefault="00CE45C7" w:rsidP="00CE45C7">
      <w:pPr>
        <w:shd w:val="clear" w:color="auto" w:fill="FFFFFF" w:themeFill="background1"/>
        <w:spacing w:after="120" w:line="276" w:lineRule="auto"/>
        <w:ind w:firstLine="709"/>
        <w:jc w:val="both"/>
        <w:rPr>
          <w:rFonts w:ascii="Verdana" w:hAnsi="Verdana" w:cs="Arial"/>
          <w:lang w:val="es-ES" w:eastAsia="es-CO"/>
        </w:rPr>
      </w:pPr>
      <w:r w:rsidRPr="00CE45C7">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00CE45C7">
        <w:rPr>
          <w:rFonts w:ascii="Verdana" w:hAnsi="Verdana" w:cs="Arial"/>
          <w:lang w:val="es-ES" w:eastAsia="es-CO"/>
        </w:rPr>
        <w:t>exequibilidad</w:t>
      </w:r>
      <w:proofErr w:type="spellEnd"/>
      <w:r w:rsidRPr="00CE45C7">
        <w:rPr>
          <w:rFonts w:ascii="Verdana" w:hAnsi="Verdana" w:cs="Arial"/>
          <w:lang w:val="es-ES" w:eastAsia="es-CO"/>
        </w:rPr>
        <w:t>.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00CE45C7">
        <w:rPr>
          <w:rFonts w:ascii="Verdana" w:hAnsi="Verdana" w:cs="Arial"/>
          <w:vertAlign w:val="superscript"/>
          <w:lang w:val="es-ES" w:eastAsia="es-CO"/>
        </w:rPr>
        <w:footnoteReference w:id="41"/>
      </w:r>
      <w:r w:rsidRPr="00CE45C7">
        <w:rPr>
          <w:rFonts w:ascii="Verdana" w:hAnsi="Verdana" w:cs="Arial"/>
          <w:lang w:val="es-ES" w:eastAsia="es-CO"/>
        </w:rPr>
        <w:t xml:space="preserve">. </w:t>
      </w:r>
    </w:p>
    <w:p w14:paraId="7E86F5BB" w14:textId="77777777" w:rsidR="00CE45C7" w:rsidRPr="00CE45C7" w:rsidRDefault="00CE45C7" w:rsidP="00CE45C7">
      <w:pPr>
        <w:shd w:val="clear" w:color="auto" w:fill="FFFFFF"/>
        <w:spacing w:after="120" w:line="276" w:lineRule="auto"/>
        <w:ind w:firstLine="709"/>
        <w:jc w:val="both"/>
        <w:rPr>
          <w:rFonts w:ascii="Verdana" w:hAnsi="Verdana" w:cs="Arial"/>
          <w:lang w:val="es-ES_tradnl" w:eastAsia="es-CO"/>
        </w:rPr>
      </w:pPr>
      <w:r w:rsidRPr="00CE45C7">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1A8DFE5F" w14:textId="77777777" w:rsidR="00CE45C7" w:rsidRPr="00CE45C7" w:rsidRDefault="00CE45C7" w:rsidP="00CE45C7">
      <w:pPr>
        <w:spacing w:after="120" w:line="276" w:lineRule="auto"/>
        <w:ind w:firstLine="708"/>
        <w:jc w:val="both"/>
        <w:rPr>
          <w:rFonts w:ascii="Verdana" w:eastAsia="Calibri" w:hAnsi="Verdana" w:cs="Arial"/>
        </w:rPr>
      </w:pPr>
      <w:r w:rsidRPr="00CE45C7">
        <w:rPr>
          <w:rFonts w:ascii="Verdana" w:hAnsi="Verdana" w:cs="Arial"/>
          <w:bCs/>
          <w:lang w:val="es-MX" w:eastAsia="x-none"/>
        </w:rPr>
        <w:t>Entre las excepciones del artículo en comento se encuentran “(…) l</w:t>
      </w:r>
      <w:r w:rsidRPr="00CE45C7">
        <w:rPr>
          <w:rFonts w:ascii="Verdana" w:hAnsi="Verdana" w:cs="Arial"/>
          <w:bCs/>
          <w:lang w:eastAsia="x-none"/>
        </w:rPr>
        <w:t>os requeridos para cubrir las emergencias educativas, sanitarias y desastres (…)</w:t>
      </w:r>
      <w:r w:rsidRPr="00CE45C7">
        <w:rPr>
          <w:rFonts w:ascii="Verdana" w:hAnsi="Verdana" w:cs="Arial"/>
          <w:bCs/>
          <w:lang w:val="es-MX" w:eastAsia="x-none"/>
        </w:rPr>
        <w:t>”</w:t>
      </w:r>
      <w:r w:rsidRPr="00CE45C7">
        <w:rPr>
          <w:rFonts w:ascii="Verdana" w:eastAsia="Calibri" w:hAnsi="Verdana" w:cs="Arial"/>
        </w:rPr>
        <w:t xml:space="preserve">. Sobre el alcance de estas excepciones, es necesario tener en cuenta que el </w:t>
      </w:r>
      <w:r w:rsidRPr="00CE45C7">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CE45C7">
        <w:rPr>
          <w:rFonts w:ascii="Verdana" w:eastAsia="Calibri" w:hAnsi="Verdana" w:cs="Arial"/>
          <w:bCs/>
          <w:i/>
          <w:iCs/>
          <w:color w:val="000000" w:themeColor="text1"/>
        </w:rPr>
        <w:t>ibidem</w:t>
      </w:r>
      <w:r w:rsidRPr="00CE45C7">
        <w:rPr>
          <w:rFonts w:ascii="Verdana" w:eastAsia="Calibri" w:hAnsi="Verdana" w:cs="Arial"/>
          <w:bCs/>
          <w:color w:val="000000" w:themeColor="text1"/>
        </w:rPr>
        <w:t xml:space="preserve"> prescribe lo siguiente: “Las palabras técnicas de toda ciencia o arte se tomarán </w:t>
      </w:r>
      <w:r w:rsidRPr="00CE45C7">
        <w:rPr>
          <w:rFonts w:ascii="Verdana" w:eastAsia="Calibri" w:hAnsi="Verdana" w:cs="Arial"/>
          <w:bCs/>
          <w:color w:val="000000" w:themeColor="text1"/>
        </w:rPr>
        <w:lastRenderedPageBreak/>
        <w:t>en el sentido que les den los que profesan la misma ciencia o arte; a menos que aparezca claramente que se han formado en sentido diverso”</w:t>
      </w:r>
      <w:r w:rsidRPr="00CE45C7">
        <w:rPr>
          <w:rFonts w:ascii="Verdana" w:eastAsia="Calibri" w:hAnsi="Verdana" w:cs="Arial"/>
          <w:bCs/>
          <w:color w:val="000000" w:themeColor="text1"/>
          <w:vertAlign w:val="superscript"/>
        </w:rPr>
        <w:footnoteReference w:id="42"/>
      </w:r>
      <w:r w:rsidRPr="00CE45C7">
        <w:rPr>
          <w:rFonts w:ascii="Verdana" w:eastAsia="Calibri" w:hAnsi="Verdana" w:cs="Arial"/>
          <w:bCs/>
          <w:color w:val="000000" w:themeColor="text1"/>
        </w:rPr>
        <w:t>.</w:t>
      </w:r>
      <w:r w:rsidRPr="00CE45C7">
        <w:rPr>
          <w:rFonts w:ascii="Verdana" w:eastAsia="Calibri" w:hAnsi="Verdana" w:cs="Arial"/>
          <w:lang w:val="es-ES"/>
        </w:rPr>
        <w:t xml:space="preserve"> </w:t>
      </w:r>
    </w:p>
    <w:p w14:paraId="54644AAB" w14:textId="77777777" w:rsidR="00CE45C7" w:rsidRPr="00CE45C7" w:rsidRDefault="00CE45C7" w:rsidP="00CE45C7">
      <w:pPr>
        <w:spacing w:before="120" w:after="0" w:line="276" w:lineRule="auto"/>
        <w:ind w:firstLine="709"/>
        <w:jc w:val="both"/>
        <w:rPr>
          <w:rFonts w:ascii="Verdana" w:eastAsia="Calibri" w:hAnsi="Verdana" w:cs="Arial"/>
          <w:lang w:val="es-ES"/>
        </w:rPr>
      </w:pPr>
      <w:r w:rsidRPr="00CE45C7">
        <w:rPr>
          <w:rFonts w:ascii="Verdana" w:hAnsi="Verdana" w:cs="Arial"/>
          <w:lang w:val="es-ES"/>
        </w:rPr>
        <w:t xml:space="preserve">En segundo lugar, respecto del alcance del parágrafo </w:t>
      </w:r>
      <w:r w:rsidRPr="00CE45C7">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CE45C7">
        <w:rPr>
          <w:rFonts w:ascii="Verdana" w:hAnsi="Verdana" w:cs="Arial"/>
          <w:i/>
          <w:iCs/>
        </w:rPr>
        <w:t>convenios interadministrativos</w:t>
      </w:r>
      <w:r w:rsidRPr="00CE45C7">
        <w:rPr>
          <w:rFonts w:ascii="Verdana" w:hAnsi="Verdana" w:cs="Arial"/>
        </w:rPr>
        <w:t xml:space="preserve"> </w:t>
      </w:r>
      <w:r w:rsidRPr="00CE45C7">
        <w:rPr>
          <w:rFonts w:ascii="Verdana" w:hAnsi="Verdana" w:cs="Arial"/>
          <w:i/>
          <w:iCs/>
        </w:rPr>
        <w:t>para la ejecución de recursos públicos</w:t>
      </w:r>
      <w:r w:rsidRPr="00CE45C7">
        <w:rPr>
          <w:rFonts w:ascii="Verdana" w:hAnsi="Verdana" w:cs="Arial"/>
        </w:rPr>
        <w:t>”.</w:t>
      </w:r>
      <w:r w:rsidRPr="00CE45C7">
        <w:rPr>
          <w:rFonts w:ascii="Verdana" w:eastAsia="Times New Roman" w:hAnsi="Verdana" w:cs="Arial"/>
          <w:lang w:val="es-MX" w:eastAsia="x-none"/>
        </w:rPr>
        <w:t xml:space="preserve"> (Énfasis fuera del texto original)</w:t>
      </w:r>
    </w:p>
    <w:p w14:paraId="269158E4" w14:textId="77777777" w:rsidR="00CE45C7" w:rsidRPr="00CE45C7" w:rsidRDefault="00CE45C7" w:rsidP="00CE45C7">
      <w:pPr>
        <w:spacing w:before="120" w:after="0" w:line="276" w:lineRule="auto"/>
        <w:ind w:firstLine="709"/>
        <w:jc w:val="both"/>
        <w:rPr>
          <w:rFonts w:ascii="Verdana" w:eastAsia="Calibri" w:hAnsi="Verdana" w:cs="Arial"/>
          <w:lang w:val="es-ES"/>
        </w:rPr>
      </w:pPr>
      <w:r w:rsidRPr="00CE45C7">
        <w:rPr>
          <w:rFonts w:ascii="Verdana" w:eastAsia="Times New Roman" w:hAnsi="Verdana" w:cs="Arial"/>
          <w:lang w:val="es-ES" w:eastAsia="es-ES"/>
        </w:rPr>
        <w:t xml:space="preserve">Para tales efectos, debe precisarse que </w:t>
      </w:r>
      <w:r w:rsidRPr="00CE45C7">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E45C7">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CE45C7">
        <w:rPr>
          <w:rFonts w:ascii="Verdana" w:hAnsi="Verdana" w:cs="Arial"/>
          <w:vertAlign w:val="superscript"/>
          <w:lang w:eastAsia="es-ES"/>
        </w:rPr>
        <w:footnoteReference w:id="43"/>
      </w:r>
      <w:r w:rsidRPr="00CE45C7">
        <w:rPr>
          <w:rFonts w:ascii="Verdana" w:hAnsi="Verdana" w:cs="Arial"/>
          <w:lang w:eastAsia="es-ES"/>
        </w:rPr>
        <w:t>.</w:t>
      </w:r>
    </w:p>
    <w:p w14:paraId="310BE358" w14:textId="77777777" w:rsidR="00CE45C7" w:rsidRPr="00CE45C7" w:rsidRDefault="00CE45C7" w:rsidP="00CE45C7">
      <w:pPr>
        <w:spacing w:before="120" w:after="0" w:line="276" w:lineRule="auto"/>
        <w:ind w:firstLine="709"/>
        <w:jc w:val="both"/>
        <w:rPr>
          <w:rFonts w:ascii="Verdana" w:eastAsia="Calibri" w:hAnsi="Verdana" w:cs="Arial"/>
          <w:lang w:val="es-ES"/>
        </w:rPr>
      </w:pPr>
      <w:r w:rsidRPr="00CE45C7">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301D6982" w14:textId="77777777" w:rsidR="00CE45C7" w:rsidRPr="00CE45C7" w:rsidRDefault="00CE45C7" w:rsidP="00CE45C7">
      <w:pPr>
        <w:spacing w:before="120" w:after="0" w:line="276" w:lineRule="auto"/>
        <w:ind w:firstLine="708"/>
        <w:jc w:val="both"/>
        <w:rPr>
          <w:rFonts w:ascii="Verdana" w:hAnsi="Verdana" w:cs="Arial"/>
          <w:lang w:val="es-ES_tradnl"/>
        </w:rPr>
      </w:pPr>
      <w:r w:rsidRPr="00CE45C7">
        <w:rPr>
          <w:rFonts w:ascii="Verdana" w:hAnsi="Verdana" w:cs="Arial"/>
          <w:lang w:val="es-ES"/>
        </w:rPr>
        <w:lastRenderedPageBreak/>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CE45C7">
        <w:rPr>
          <w:rFonts w:ascii="Verdana" w:hAnsi="Verdana" w:cs="Arial"/>
          <w:vertAlign w:val="superscript"/>
          <w:lang w:val="es-ES"/>
        </w:rPr>
        <w:footnoteReference w:id="44"/>
      </w:r>
      <w:r w:rsidRPr="00CE45C7">
        <w:rPr>
          <w:rFonts w:ascii="Verdana" w:hAnsi="Verdana" w:cs="Arial"/>
          <w:lang w:val="es-ES"/>
        </w:rPr>
        <w:t>. Nótese que, en este caso, lo que cambia es la modalidad de selección y no la naturaleza de contrato interadministrativo.</w:t>
      </w:r>
    </w:p>
    <w:p w14:paraId="73655F17" w14:textId="77777777" w:rsidR="00CE45C7" w:rsidRPr="00CE45C7" w:rsidRDefault="00CE45C7" w:rsidP="00CE45C7">
      <w:pPr>
        <w:spacing w:before="120" w:after="0" w:line="276" w:lineRule="auto"/>
        <w:ind w:firstLine="708"/>
        <w:jc w:val="both"/>
        <w:rPr>
          <w:rFonts w:ascii="Verdana" w:hAnsi="Verdana" w:cs="Arial"/>
          <w:lang w:val="es-ES_tradnl"/>
        </w:rPr>
      </w:pPr>
      <w:r w:rsidRPr="00CE45C7">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00CE45C7">
        <w:rPr>
          <w:rFonts w:ascii="Verdana" w:hAnsi="Verdana" w:cs="Arial"/>
          <w:vertAlign w:val="superscript"/>
          <w:lang w:val="es-ES"/>
        </w:rPr>
        <w:footnoteReference w:id="45"/>
      </w:r>
      <w:r w:rsidRPr="00CE45C7">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12FDDE68" w14:textId="77777777" w:rsidR="00CE45C7" w:rsidRPr="00CE45C7" w:rsidRDefault="00CE45C7" w:rsidP="00CE45C7">
      <w:pPr>
        <w:spacing w:before="120" w:after="0" w:line="276" w:lineRule="auto"/>
        <w:ind w:firstLine="708"/>
        <w:jc w:val="both"/>
        <w:rPr>
          <w:rFonts w:ascii="Verdana" w:hAnsi="Verdana"/>
          <w:lang w:eastAsia="es-CO"/>
        </w:rPr>
      </w:pPr>
      <w:r w:rsidRPr="00CE45C7">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CE45C7">
        <w:rPr>
          <w:rFonts w:ascii="Verdana" w:hAnsi="Verdana" w:cs="Arial"/>
          <w:vertAlign w:val="superscript"/>
          <w:lang w:val="es-ES"/>
        </w:rPr>
        <w:footnoteReference w:id="46"/>
      </w:r>
      <w:r w:rsidRPr="00CE45C7">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CE45C7">
        <w:rPr>
          <w:rFonts w:ascii="Verdana" w:hAnsi="Verdana"/>
          <w:lang w:eastAsia="es-CO"/>
        </w:rPr>
        <w:t>.</w:t>
      </w:r>
    </w:p>
    <w:p w14:paraId="304A08BC" w14:textId="77777777" w:rsidR="00CE45C7" w:rsidRPr="00CE45C7" w:rsidRDefault="00CE45C7" w:rsidP="00CE45C7">
      <w:pPr>
        <w:spacing w:before="120" w:after="0" w:line="276" w:lineRule="auto"/>
        <w:ind w:firstLine="708"/>
        <w:jc w:val="both"/>
        <w:rPr>
          <w:rFonts w:ascii="Verdana" w:eastAsia="Times New Roman" w:hAnsi="Verdana" w:cs="Arial"/>
          <w:lang w:val="es-MX" w:eastAsia="es-CO"/>
        </w:rPr>
      </w:pPr>
      <w:r w:rsidRPr="00CE45C7">
        <w:rPr>
          <w:rFonts w:ascii="Verdana" w:eastAsia="Arial" w:hAnsi="Verdana" w:cs="Arial"/>
          <w:lang w:val="es-MX" w:eastAsia="es-ES" w:bidi="es-ES"/>
        </w:rPr>
        <w:lastRenderedPageBreak/>
        <w:t>De esta manera, se</w:t>
      </w:r>
      <w:r w:rsidRPr="00CE45C7">
        <w:rPr>
          <w:rFonts w:ascii="Verdana" w:eastAsia="Times New Roman" w:hAnsi="Verdana" w:cs="Arial"/>
          <w:lang w:eastAsia="es-CO"/>
        </w:rPr>
        <w:t xml:space="preserve"> observa entonces que </w:t>
      </w:r>
      <w:r w:rsidRPr="00CE45C7">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CE45C7">
        <w:rPr>
          <w:rFonts w:ascii="Verdana" w:eastAsia="Times New Roman" w:hAnsi="Verdana" w:cs="Arial"/>
          <w:i/>
          <w:iCs/>
          <w:lang w:val="es-MX" w:eastAsia="es-CO"/>
        </w:rPr>
        <w:t>convenios interadministrativos</w:t>
      </w:r>
      <w:r w:rsidRPr="00CE45C7">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E45C7">
        <w:rPr>
          <w:rFonts w:ascii="Verdana" w:eastAsia="Times New Roman" w:hAnsi="Verdana" w:cs="Arial"/>
          <w:i/>
          <w:lang w:val="es-MX" w:eastAsia="es-CO"/>
        </w:rPr>
        <w:t>ibidem</w:t>
      </w:r>
      <w:r w:rsidRPr="00CE45C7">
        <w:rPr>
          <w:rFonts w:ascii="Verdana" w:eastAsia="Times New Roman" w:hAnsi="Verdana" w:cs="Arial"/>
          <w:lang w:val="es-MX" w:eastAsia="es-CO"/>
        </w:rPr>
        <w:t xml:space="preserve">, es decir, </w:t>
      </w:r>
      <w:r w:rsidRPr="00CE45C7">
        <w:rPr>
          <w:rFonts w:ascii="Verdana" w:eastAsia="Times New Roman" w:hAnsi="Verdana" w:cs="Arial"/>
          <w:lang w:eastAsia="es-CO"/>
        </w:rPr>
        <w:t xml:space="preserve">alcaldías, gobernaciones, secretarías de despacho, así como entidades descentralizadas por servicios del orden municipal, departamental o distrital </w:t>
      </w:r>
      <w:r w:rsidRPr="00CE45C7">
        <w:rPr>
          <w:rFonts w:ascii="Verdana" w:eastAsia="Times New Roman" w:hAnsi="Verdana" w:cs="Arial"/>
          <w:lang w:val="es-MX" w:eastAsia="es-CO"/>
        </w:rPr>
        <w:t xml:space="preserve">no podrá celebrar tales </w:t>
      </w:r>
      <w:r w:rsidRPr="00CE45C7">
        <w:rPr>
          <w:rFonts w:ascii="Verdana" w:eastAsia="Times New Roman" w:hAnsi="Verdana" w:cs="Arial"/>
          <w:i/>
          <w:iCs/>
          <w:lang w:val="es-MX" w:eastAsia="es-CO"/>
        </w:rPr>
        <w:t>convenios</w:t>
      </w:r>
      <w:r w:rsidRPr="00CE45C7">
        <w:rPr>
          <w:rFonts w:ascii="Verdana" w:eastAsia="Times New Roman" w:hAnsi="Verdana" w:cs="Arial"/>
          <w:lang w:val="es-MX" w:eastAsia="es-CO"/>
        </w:rPr>
        <w:t xml:space="preserve"> durante la aplicación de la Ley de Garantías Electorales, toda vez que la citada disposición se refiere a dicha tipología contractual sin que el legislador hubiere contemplado un efecto extensivo a otra tipología. </w:t>
      </w:r>
    </w:p>
    <w:p w14:paraId="233DDCAE" w14:textId="77777777" w:rsidR="00CE45C7" w:rsidRDefault="00CE45C7" w:rsidP="00CE45C7">
      <w:pPr>
        <w:spacing w:before="120" w:after="0" w:line="276" w:lineRule="auto"/>
        <w:ind w:firstLine="708"/>
        <w:jc w:val="both"/>
        <w:rPr>
          <w:rFonts w:ascii="Verdana" w:eastAsia="Times New Roman" w:hAnsi="Verdana" w:cs="Arial"/>
          <w:lang w:eastAsia="es-CO"/>
        </w:rPr>
      </w:pPr>
      <w:r w:rsidRPr="00CE45C7">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CE45C7">
        <w:rPr>
          <w:rFonts w:ascii="Verdana" w:eastAsia="Times New Roman" w:hAnsi="Verdana" w:cs="Arial"/>
          <w:lang w:val="es-MX" w:eastAsia="es-CO"/>
        </w:rPr>
        <w:t>ii</w:t>
      </w:r>
      <w:proofErr w:type="spellEnd"/>
      <w:r w:rsidRPr="00CE45C7">
        <w:rPr>
          <w:rFonts w:ascii="Verdana" w:eastAsia="Times New Roman" w:hAnsi="Verdana" w:cs="Arial"/>
          <w:lang w:val="es-MX" w:eastAsia="es-CO"/>
        </w:rPr>
        <w:t xml:space="preserve">) y </w:t>
      </w:r>
      <w:proofErr w:type="spellStart"/>
      <w:r w:rsidRPr="00CE45C7">
        <w:rPr>
          <w:rFonts w:ascii="Verdana" w:eastAsia="Times New Roman" w:hAnsi="Verdana" w:cs="Arial"/>
          <w:lang w:val="es-MX" w:eastAsia="es-CO"/>
        </w:rPr>
        <w:t>iv</w:t>
      </w:r>
      <w:proofErr w:type="spellEnd"/>
      <w:r w:rsidRPr="00CE45C7">
        <w:rPr>
          <w:rFonts w:ascii="Verdana" w:eastAsia="Times New Roman" w:hAnsi="Verdana" w:cs="Arial"/>
          <w:lang w:val="es-MX" w:eastAsia="es-CO"/>
        </w:rPr>
        <w:t>) del numeral 2</w:t>
      </w:r>
      <w:r w:rsidRPr="00CE45C7">
        <w:rPr>
          <w:rFonts w:ascii="Verdana" w:eastAsia="Times New Roman" w:hAnsi="Verdana" w:cs="Arial"/>
          <w:lang w:eastAsia="es-CO"/>
        </w:rPr>
        <w:t>,</w:t>
      </w:r>
      <w:r w:rsidRPr="00CE45C7">
        <w:rPr>
          <w:rFonts w:ascii="Verdana" w:eastAsia="Times New Roman" w:hAnsi="Verdana" w:cs="Arial"/>
          <w:lang w:val="es-MX" w:eastAsia="es-CO"/>
        </w:rPr>
        <w:t xml:space="preserve"> indica que el </w:t>
      </w:r>
      <w:r w:rsidRPr="00CE45C7">
        <w:rPr>
          <w:rFonts w:ascii="Verdana" w:eastAsia="Times New Roman" w:hAnsi="Verdana" w:cs="Arial"/>
          <w:lang w:eastAsia="es-CO"/>
        </w:rPr>
        <w:t xml:space="preserve">parágrafo del artículo 38 de la Ley 996 de 2005 cobija expresamente a los </w:t>
      </w:r>
      <w:r w:rsidRPr="00CE45C7">
        <w:rPr>
          <w:rFonts w:ascii="Verdana" w:eastAsia="Times New Roman" w:hAnsi="Verdana" w:cs="Arial"/>
          <w:i/>
          <w:iCs/>
          <w:lang w:eastAsia="es-CO"/>
        </w:rPr>
        <w:t>convenios interadministrativos</w:t>
      </w:r>
      <w:r w:rsidRPr="00CE45C7">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CE45C7">
        <w:rPr>
          <w:rFonts w:ascii="Verdana" w:eastAsia="Times New Roman" w:hAnsi="Verdana" w:cs="Arial"/>
          <w:i/>
          <w:iCs/>
          <w:lang w:eastAsia="es-CO"/>
        </w:rPr>
        <w:t>“aunque se configure alguno de los supuestos de excepción que señaló el inciso final del artículo 33”.</w:t>
      </w:r>
      <w:r w:rsidRPr="00CE45C7">
        <w:rPr>
          <w:rFonts w:ascii="Verdana" w:eastAsia="Times New Roman" w:hAnsi="Verdana" w:cs="Arial"/>
          <w:lang w:eastAsia="es-CO"/>
        </w:rPr>
        <w:t xml:space="preserve"> </w:t>
      </w:r>
    </w:p>
    <w:p w14:paraId="6570CB3F" w14:textId="77777777" w:rsidR="0053258C" w:rsidRPr="00CE45C7" w:rsidRDefault="0053258C" w:rsidP="00CE45C7">
      <w:pPr>
        <w:spacing w:before="120" w:after="0" w:line="276" w:lineRule="auto"/>
        <w:ind w:firstLine="708"/>
        <w:jc w:val="both"/>
        <w:rPr>
          <w:rFonts w:ascii="Verdana" w:eastAsia="Times New Roman" w:hAnsi="Verdana" w:cs="Arial"/>
          <w:lang w:eastAsia="es-CO"/>
        </w:rPr>
      </w:pPr>
    </w:p>
    <w:p w14:paraId="6D219BCD" w14:textId="77777777" w:rsidR="00CE45C7" w:rsidRDefault="00CE45C7" w:rsidP="00CE45C7">
      <w:pPr>
        <w:spacing w:after="120" w:line="276" w:lineRule="auto"/>
        <w:ind w:firstLine="709"/>
        <w:jc w:val="both"/>
        <w:rPr>
          <w:rFonts w:ascii="Verdana" w:hAnsi="Verdana" w:cs="Arial"/>
          <w:bCs/>
          <w:color w:val="000000" w:themeColor="text1"/>
        </w:rPr>
      </w:pPr>
      <w:r w:rsidRPr="00CE45C7">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E3FAF3E" w14:textId="77777777" w:rsidR="006A21D0" w:rsidRPr="00CE45C7" w:rsidRDefault="006A21D0" w:rsidP="00CE45C7">
      <w:pPr>
        <w:spacing w:after="120" w:line="276" w:lineRule="auto"/>
        <w:ind w:firstLine="709"/>
        <w:jc w:val="both"/>
        <w:rPr>
          <w:rFonts w:ascii="Verdana" w:hAnsi="Verdana"/>
          <w:lang w:val="es-ES_tradnl"/>
        </w:rPr>
      </w:pPr>
    </w:p>
    <w:p w14:paraId="3D62F40B" w14:textId="77777777" w:rsidR="00CE45C7" w:rsidRPr="00CE45C7" w:rsidRDefault="00CE45C7" w:rsidP="00CE45C7">
      <w:pPr>
        <w:spacing w:after="0" w:line="276" w:lineRule="auto"/>
        <w:ind w:firstLine="709"/>
        <w:jc w:val="both"/>
        <w:rPr>
          <w:rFonts w:ascii="Verdana" w:hAnsi="Verdana" w:cs="Arial"/>
          <w:bCs/>
          <w:color w:val="000000" w:themeColor="text1"/>
        </w:rPr>
      </w:pPr>
      <w:r w:rsidRPr="00CE45C7">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CE45C7">
        <w:rPr>
          <w:rFonts w:ascii="Verdana" w:hAnsi="Verdana" w:cs="Arial"/>
          <w:bCs/>
          <w:color w:val="000000" w:themeColor="text1"/>
        </w:rPr>
        <w:lastRenderedPageBreak/>
        <w:t xml:space="preserve">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8392B7B" w14:textId="77777777" w:rsidR="00CE45C7" w:rsidRDefault="00CE45C7" w:rsidP="00CE45C7">
      <w:pPr>
        <w:spacing w:after="0" w:line="240" w:lineRule="auto"/>
        <w:jc w:val="both"/>
        <w:rPr>
          <w:rFonts w:ascii="Verdana" w:hAnsi="Verdana" w:cs="Arial"/>
          <w:bCs/>
          <w:color w:val="000000" w:themeColor="text1"/>
        </w:rPr>
      </w:pPr>
    </w:p>
    <w:p w14:paraId="7ED8BD28" w14:textId="77777777" w:rsidR="00BB116B" w:rsidRDefault="00BB116B" w:rsidP="00CE45C7">
      <w:pPr>
        <w:spacing w:after="0" w:line="240" w:lineRule="auto"/>
        <w:jc w:val="both"/>
        <w:rPr>
          <w:rFonts w:ascii="Verdana" w:hAnsi="Verdana" w:cs="Arial"/>
          <w:bCs/>
          <w:color w:val="000000" w:themeColor="text1"/>
        </w:rPr>
      </w:pPr>
    </w:p>
    <w:p w14:paraId="5ECF67C4" w14:textId="77777777" w:rsidR="00BB116B" w:rsidRDefault="00BB116B" w:rsidP="00CE45C7">
      <w:pPr>
        <w:spacing w:after="0" w:line="240" w:lineRule="auto"/>
        <w:jc w:val="both"/>
        <w:rPr>
          <w:rFonts w:ascii="Verdana" w:hAnsi="Verdana" w:cs="Arial"/>
          <w:bCs/>
          <w:color w:val="000000" w:themeColor="text1"/>
        </w:rPr>
      </w:pPr>
    </w:p>
    <w:p w14:paraId="5DCF2E2D" w14:textId="77777777" w:rsidR="00BB116B" w:rsidRPr="00CE45C7" w:rsidRDefault="00BB116B" w:rsidP="00CE45C7">
      <w:pPr>
        <w:spacing w:after="0" w:line="240" w:lineRule="auto"/>
        <w:jc w:val="both"/>
        <w:rPr>
          <w:rFonts w:ascii="Verdana" w:hAnsi="Verdana" w:cs="Arial"/>
          <w:bCs/>
          <w:color w:val="000000" w:themeColor="text1"/>
        </w:rPr>
      </w:pPr>
    </w:p>
    <w:p w14:paraId="6445CD39" w14:textId="77777777" w:rsidR="00CE45C7" w:rsidRPr="00CE45C7" w:rsidRDefault="00CE45C7" w:rsidP="00CE45C7">
      <w:pPr>
        <w:spacing w:after="0" w:line="276" w:lineRule="auto"/>
        <w:jc w:val="both"/>
        <w:rPr>
          <w:rFonts w:ascii="Verdana" w:eastAsia="Century Gothic" w:hAnsi="Verdana" w:cs="Century Gothic"/>
          <w:b/>
          <w:bCs/>
        </w:rPr>
      </w:pPr>
      <w:bookmarkStart w:id="23" w:name="_Hlk204854194"/>
      <w:r w:rsidRPr="00CE45C7">
        <w:rPr>
          <w:rFonts w:ascii="Verdana" w:hAnsi="Verdana" w:cs="Arial"/>
          <w:b/>
          <w:color w:val="000000" w:themeColor="text1"/>
        </w:rPr>
        <w:t>4.</w:t>
      </w:r>
      <w:r w:rsidRPr="00CE45C7">
        <w:rPr>
          <w:rFonts w:ascii="Verdana" w:hAnsi="Verdana" w:cs="Arial"/>
          <w:bCs/>
          <w:color w:val="000000" w:themeColor="text1"/>
        </w:rPr>
        <w:t xml:space="preserve"> </w:t>
      </w:r>
      <w:r w:rsidRPr="00CE45C7">
        <w:rPr>
          <w:rFonts w:ascii="Verdana" w:eastAsia="Century Gothic" w:hAnsi="Verdana" w:cs="Century Gothic"/>
          <w:b/>
          <w:bCs/>
        </w:rPr>
        <w:t>Referencias normativas y jurisprudenciales:</w:t>
      </w:r>
      <w:bookmarkEnd w:id="23"/>
    </w:p>
    <w:p w14:paraId="64DEDEBE" w14:textId="77777777" w:rsidR="00CE45C7" w:rsidRPr="00CE45C7" w:rsidRDefault="00CE45C7" w:rsidP="00CE45C7">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E45C7" w:rsidRPr="00CE45C7" w14:paraId="2600FAD7" w14:textId="77777777" w:rsidTr="003F0972">
        <w:trPr>
          <w:trHeight w:val="56"/>
          <w:jc w:val="center"/>
        </w:trPr>
        <w:tc>
          <w:tcPr>
            <w:tcW w:w="8647" w:type="dxa"/>
          </w:tcPr>
          <w:p w14:paraId="55141376"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t>Constitución Política. Artículo 127</w:t>
            </w:r>
          </w:p>
          <w:p w14:paraId="7E3B7A0B"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t xml:space="preserve">Ley 80 de 1993. Artículo 41. </w:t>
            </w:r>
          </w:p>
          <w:p w14:paraId="0A55C6D0" w14:textId="719E4BF2" w:rsidR="006A21D0" w:rsidRPr="006A21D0" w:rsidRDefault="00CE45C7" w:rsidP="006A21D0">
            <w:pPr>
              <w:widowControl w:val="0"/>
              <w:numPr>
                <w:ilvl w:val="0"/>
                <w:numId w:val="17"/>
              </w:numPr>
              <w:autoSpaceDE w:val="0"/>
              <w:autoSpaceDN w:val="0"/>
              <w:spacing w:after="160" w:line="276" w:lineRule="auto"/>
              <w:contextualSpacing/>
              <w:jc w:val="both"/>
              <w:rPr>
                <w:rFonts w:ascii="Verdana" w:eastAsia="Aptos" w:hAnsi="Verdana" w:cs="Arial"/>
              </w:rPr>
            </w:pPr>
            <w:r w:rsidRPr="00CE45C7">
              <w:rPr>
                <w:rFonts w:ascii="Verdana" w:hAnsi="Verdana" w:cs="Arial"/>
                <w:lang w:val="es-ES" w:eastAsia="es-ES"/>
              </w:rPr>
              <w:t>Ley 996 de 2005. Artículos 33 y 38.</w:t>
            </w:r>
            <w:r w:rsidR="006A21D0" w:rsidRPr="006A21D0">
              <w:rPr>
                <w:rFonts w:ascii="Verdana" w:eastAsia="Calibri" w:hAnsi="Verdana" w:cs="Arial"/>
                <w:lang w:val="es-ES"/>
              </w:rPr>
              <w:t xml:space="preserve"> Ley 80 de 1993. Artículo 32, numeral 3</w:t>
            </w:r>
          </w:p>
          <w:p w14:paraId="17B8C300" w14:textId="77777777" w:rsidR="006A21D0" w:rsidRPr="006A21D0" w:rsidRDefault="006A21D0" w:rsidP="006A21D0">
            <w:pPr>
              <w:widowControl w:val="0"/>
              <w:numPr>
                <w:ilvl w:val="0"/>
                <w:numId w:val="17"/>
              </w:numPr>
              <w:autoSpaceDE w:val="0"/>
              <w:autoSpaceDN w:val="0"/>
              <w:spacing w:line="276" w:lineRule="auto"/>
              <w:contextualSpacing/>
              <w:jc w:val="both"/>
              <w:rPr>
                <w:rFonts w:ascii="Verdana" w:eastAsia="Aptos" w:hAnsi="Verdana" w:cs="Arial"/>
              </w:rPr>
            </w:pPr>
            <w:r w:rsidRPr="006A21D0">
              <w:rPr>
                <w:rFonts w:ascii="Verdana" w:eastAsia="Aptos" w:hAnsi="Verdana" w:cs="Arial"/>
              </w:rPr>
              <w:t>Ley 1150 de 2007. Artículo 2, numeral 4, literal h y numeral 5.</w:t>
            </w:r>
          </w:p>
          <w:p w14:paraId="261D9BA3" w14:textId="77777777" w:rsidR="006A21D0" w:rsidRPr="006A21D0" w:rsidRDefault="006A21D0" w:rsidP="006A21D0">
            <w:pPr>
              <w:widowControl w:val="0"/>
              <w:numPr>
                <w:ilvl w:val="0"/>
                <w:numId w:val="17"/>
              </w:numPr>
              <w:autoSpaceDE w:val="0"/>
              <w:autoSpaceDN w:val="0"/>
              <w:spacing w:line="276" w:lineRule="auto"/>
              <w:contextualSpacing/>
              <w:jc w:val="both"/>
              <w:rPr>
                <w:rFonts w:ascii="Verdana" w:eastAsia="Aptos" w:hAnsi="Verdana" w:cs="Arial"/>
              </w:rPr>
            </w:pPr>
            <w:r w:rsidRPr="006A21D0">
              <w:rPr>
                <w:rFonts w:ascii="Verdana" w:eastAsia="Aptos" w:hAnsi="Verdana" w:cs="Arial"/>
              </w:rPr>
              <w:t xml:space="preserve">Decreto 1082 de 2015. Artículo 2.2.1.2.1.4.1 y </w:t>
            </w:r>
            <w:r w:rsidRPr="006A21D0">
              <w:rPr>
                <w:rFonts w:ascii="Verdana" w:eastAsia="Aptos" w:hAnsi="Verdana" w:cs="Arial"/>
                <w:noProof/>
                <w:lang w:val="es-ES_tradnl"/>
              </w:rPr>
              <w:t>2.2.1.2.1.4.9.</w:t>
            </w:r>
          </w:p>
          <w:p w14:paraId="4AC5F294" w14:textId="43EC231F" w:rsidR="00CE45C7" w:rsidRPr="006A21D0" w:rsidRDefault="006A21D0" w:rsidP="006A21D0">
            <w:pPr>
              <w:widowControl w:val="0"/>
              <w:numPr>
                <w:ilvl w:val="0"/>
                <w:numId w:val="17"/>
              </w:numPr>
              <w:autoSpaceDE w:val="0"/>
              <w:autoSpaceDN w:val="0"/>
              <w:spacing w:line="276" w:lineRule="auto"/>
              <w:contextualSpacing/>
              <w:jc w:val="both"/>
              <w:rPr>
                <w:rFonts w:ascii="Verdana" w:eastAsia="Aptos" w:hAnsi="Verdana" w:cs="Arial"/>
              </w:rPr>
            </w:pPr>
            <w:r w:rsidRPr="006A21D0">
              <w:rPr>
                <w:rFonts w:ascii="Verdana" w:eastAsia="Aptos" w:hAnsi="Verdana" w:cs="Arial"/>
              </w:rPr>
              <w:t>Corte Constitucional. Sentencia C-154 de 1997.</w:t>
            </w:r>
          </w:p>
          <w:p w14:paraId="26F7F7E7"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t>Ley 1150 de 2007. Artículo 2, numeral 4 literal c).</w:t>
            </w:r>
          </w:p>
          <w:p w14:paraId="11EE0E1F"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t xml:space="preserve">Consejo de Estado. Sala de Consulta y Servicio Civil. Concepto no. 2257 del 26 de julio de 2016, C.P. Álvaro Namén Vargas. </w:t>
            </w:r>
          </w:p>
          <w:p w14:paraId="74A06D63"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t xml:space="preserve">Consejo de Estado. Sala de lo Contencioso Administrativo. Sección Tercera, Subsección A. Sentencia del 23 de junio de 2010. C.P. Mauricio Fajardo Gómez. </w:t>
            </w:r>
            <w:proofErr w:type="spellStart"/>
            <w:r w:rsidRPr="00CE45C7">
              <w:rPr>
                <w:rFonts w:ascii="Verdana" w:hAnsi="Verdana" w:cs="Arial"/>
                <w:lang w:val="es-ES" w:eastAsia="es-ES"/>
              </w:rPr>
              <w:t>Exp</w:t>
            </w:r>
            <w:proofErr w:type="spellEnd"/>
            <w:r w:rsidRPr="00CE45C7">
              <w:rPr>
                <w:rFonts w:ascii="Verdana" w:hAnsi="Verdana" w:cs="Arial"/>
                <w:lang w:val="es-ES" w:eastAsia="es-ES"/>
              </w:rPr>
              <w:t xml:space="preserve"> 17860.</w:t>
            </w:r>
          </w:p>
          <w:p w14:paraId="49915CA9"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t xml:space="preserve">Consejo de Estado. Sala de lo Contencioso Administrativo. Sección Tercera. Subsección B. Auto del 4 de octubre de 2024. </w:t>
            </w:r>
            <w:proofErr w:type="spellStart"/>
            <w:r w:rsidRPr="00CE45C7">
              <w:rPr>
                <w:rFonts w:ascii="Verdana" w:hAnsi="Verdana" w:cs="Arial"/>
                <w:lang w:val="es-ES" w:eastAsia="es-ES"/>
              </w:rPr>
              <w:t>Exp</w:t>
            </w:r>
            <w:proofErr w:type="spellEnd"/>
            <w:r w:rsidRPr="00CE45C7">
              <w:rPr>
                <w:rFonts w:ascii="Verdana" w:hAnsi="Verdana" w:cs="Arial"/>
                <w:lang w:val="es-ES" w:eastAsia="es-ES"/>
              </w:rPr>
              <w:t xml:space="preserve"> 70313. C.P. Fredy Ibarra Martínez.</w:t>
            </w:r>
          </w:p>
          <w:p w14:paraId="689C963C"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lang w:val="es-ES"/>
              </w:rPr>
              <w:t xml:space="preserve">Consejo De Estado. Sala de Consulta y Servicio Civil. Concepto del 30 de mayo de 2017. Rad. 2.319. C.P. Edgar González López. </w:t>
            </w:r>
          </w:p>
          <w:p w14:paraId="5A3C69A4"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t>Consejo de Estado. Sala Plena. Auto del 15 de marzo de 2022. Expediente: 62.003. C.P: Rocío Araujo Oñate.</w:t>
            </w:r>
          </w:p>
          <w:p w14:paraId="5AAD9D5B"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t xml:space="preserve">Consejo de Estado. Sala de lo Contencioso Administrativo. Sección Primera. Sentencia de 3 de marzo de 2005. Radicado: 25001-23-15-000-2004-00823-01 (PI). C.P: Camilo Arciniegas Andrade. </w:t>
            </w:r>
          </w:p>
          <w:p w14:paraId="517A91A9"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t xml:space="preserve">Consejo de Estado, Sala de Consulta y Servicio Civil. 24 de julio de 2013. Radicado: 11001-03-06-000-2013-00407-00 (2166). C.P. Álvaro Namén Vargas.  </w:t>
            </w:r>
          </w:p>
          <w:p w14:paraId="6632E5EC"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lastRenderedPageBreak/>
              <w:t>Consejo de Estado. Sala de Consulta y Servicio Civil. Concepto del 17 de febrero de 2015. Radicado: 11001-03-06-000-2015-00164-00 (2269). C.P. William Zambrano Cetina.</w:t>
            </w:r>
          </w:p>
          <w:p w14:paraId="49AB6D4B"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t>Consejo de Estado. Sala de Consulta y Servicio Civil. Concepto del 2 de septiembre de 2013. Radicación número: 11001-03-06-000-2013-00412-00 (2168). C.P: Álvaro Namén Vargas.</w:t>
            </w:r>
          </w:p>
          <w:p w14:paraId="508CB8ED"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t>Consejo de Estado. Sala de Consulta y Servicio Civil, Concepto de 8 de mayo de 2018. Radicación Número: 11001-03-06-000-2018-00095-00 (2382). C.P: Álvaro Namén Vargas.</w:t>
            </w:r>
          </w:p>
          <w:p w14:paraId="419F3E67"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t>Consejo de Estado. Sala de Consulta y Servicio Civil. Concepto de 20 de febrero de 2006. Radicación Número: 11001-03-06-000-2006-00026-00 (1727). C.P: Enrique José Arboleda Perdomo.</w:t>
            </w:r>
          </w:p>
          <w:p w14:paraId="1529DB40"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t>Consejo de Estado. Sala de Consulta y Servicio Civil. Concepto de 6 de abril de 2006. Radicación Número: 11001-03-06-000-2006-00038-00 (1738). C.P: Enrique José Arboleda Perdomo.</w:t>
            </w:r>
          </w:p>
          <w:p w14:paraId="01CCD3F6"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t>Consejo de Estado. Sala de Consulta y Servicio Civil. Concepto del 18 de febrero 2010. Rad. 11001-03-06-000-2010-00006-00 (1985). C.P. Enrique José Arboleda Perdomo.</w:t>
            </w:r>
          </w:p>
          <w:p w14:paraId="29EC3034" w14:textId="77777777" w:rsidR="00CE45C7" w:rsidRPr="00CE45C7" w:rsidRDefault="00CE45C7" w:rsidP="00CE45C7">
            <w:pPr>
              <w:numPr>
                <w:ilvl w:val="0"/>
                <w:numId w:val="16"/>
              </w:numPr>
              <w:spacing w:after="160" w:line="276" w:lineRule="auto"/>
              <w:ind w:left="714" w:hanging="357"/>
              <w:contextualSpacing/>
              <w:jc w:val="both"/>
              <w:rPr>
                <w:rFonts w:ascii="Verdana" w:hAnsi="Verdana" w:cs="Arial"/>
                <w:lang w:val="es-ES" w:eastAsia="es-ES"/>
              </w:rPr>
            </w:pPr>
            <w:r w:rsidRPr="00CE45C7">
              <w:rPr>
                <w:rFonts w:ascii="Verdana" w:hAnsi="Verdana" w:cs="Arial"/>
                <w:lang w:val="es-ES" w:eastAsia="es-ES"/>
              </w:rPr>
              <w:t>Corte Constitucional. Sentencia C- 1153 de 2005, M.P: Marco Gerardo Monroy Cabra.</w:t>
            </w:r>
            <w:r w:rsidRPr="00CE45C7">
              <w:rPr>
                <w:rFonts w:ascii="Verdana" w:hAnsi="Verdana" w:cs="Arial"/>
                <w:lang w:val="es-ES" w:eastAsia="es-ES"/>
              </w:rPr>
              <w:tab/>
            </w:r>
          </w:p>
          <w:p w14:paraId="6501F855"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cs="Arial"/>
                <w:lang w:val="es-ES" w:eastAsia="es-ES"/>
              </w:rPr>
              <w:t xml:space="preserve">Corte Constitucional. Sentencia C-671 de 2005. M.P. Álvaro Tafur Galvis. </w:t>
            </w:r>
          </w:p>
          <w:p w14:paraId="17A0C3A0"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lang w:val="es-ES"/>
              </w:rPr>
              <w:t xml:space="preserve">Agencia Nacional de Contratación Pública – Colombia Compra Eficiente. Circular Externa 006 del 25 de septiembre de 2025. Disponible en </w:t>
            </w:r>
            <w:hyperlink r:id="rId11" w:history="1">
              <w:r w:rsidRPr="00CE45C7">
                <w:rPr>
                  <w:rFonts w:ascii="Verdana" w:hAnsi="Verdana"/>
                  <w:color w:val="0000FF"/>
                  <w:u w:val="single"/>
                </w:rPr>
                <w:t>006-de-2025-Circular-Externa-L996-ajustado-comentarios-BM-BID-Rev-ARSC-V3.d-1.pdf</w:t>
              </w:r>
            </w:hyperlink>
          </w:p>
          <w:p w14:paraId="0D7D9670" w14:textId="77777777" w:rsidR="00CE45C7" w:rsidRPr="00CE45C7" w:rsidRDefault="00CE45C7" w:rsidP="00CE45C7">
            <w:pPr>
              <w:numPr>
                <w:ilvl w:val="0"/>
                <w:numId w:val="16"/>
              </w:numPr>
              <w:spacing w:after="120" w:line="276" w:lineRule="auto"/>
              <w:contextualSpacing/>
              <w:jc w:val="both"/>
              <w:rPr>
                <w:rFonts w:ascii="Verdana" w:hAnsi="Verdana" w:cs="Arial"/>
                <w:lang w:val="es-ES" w:eastAsia="es-ES"/>
              </w:rPr>
            </w:pPr>
            <w:r w:rsidRPr="00CE45C7">
              <w:rPr>
                <w:rFonts w:ascii="Verdana" w:hAnsi="Verdana"/>
                <w:lang w:val="es-ES"/>
              </w:rPr>
              <w:t>SANTOS RODRÍGUEZ, Jorge Enrique. Consideraciones sobre los contratos y convenios interadministrativos. En: Revista Digital de Derecho Administrativo, 2008.</w:t>
            </w:r>
          </w:p>
        </w:tc>
      </w:tr>
    </w:tbl>
    <w:p w14:paraId="0EA3CDC5" w14:textId="77777777" w:rsidR="00CE45C7" w:rsidRPr="00CE45C7" w:rsidRDefault="00CE45C7" w:rsidP="00CE45C7">
      <w:pPr>
        <w:tabs>
          <w:tab w:val="left" w:pos="142"/>
          <w:tab w:val="left" w:pos="284"/>
          <w:tab w:val="left" w:pos="3828"/>
        </w:tabs>
        <w:spacing w:after="0" w:line="276" w:lineRule="auto"/>
        <w:jc w:val="both"/>
        <w:rPr>
          <w:rFonts w:ascii="Verdana" w:eastAsia="Century Gothic" w:hAnsi="Verdana" w:cs="Century Gothic"/>
          <w:b/>
          <w:bCs/>
        </w:rPr>
      </w:pPr>
    </w:p>
    <w:p w14:paraId="3D19B2DE" w14:textId="77777777" w:rsidR="00CE45C7" w:rsidRPr="00CE45C7" w:rsidRDefault="00CE45C7" w:rsidP="00CE45C7">
      <w:pPr>
        <w:tabs>
          <w:tab w:val="left" w:pos="142"/>
          <w:tab w:val="left" w:pos="284"/>
          <w:tab w:val="left" w:pos="3828"/>
        </w:tabs>
        <w:spacing w:after="0" w:line="276" w:lineRule="auto"/>
        <w:jc w:val="both"/>
        <w:rPr>
          <w:rFonts w:ascii="Verdana" w:eastAsia="Century Gothic" w:hAnsi="Verdana" w:cs="Century Gothic"/>
          <w:b/>
          <w:bCs/>
        </w:rPr>
      </w:pPr>
      <w:r w:rsidRPr="00CE45C7">
        <w:rPr>
          <w:rFonts w:ascii="Verdana" w:eastAsia="Century Gothic" w:hAnsi="Verdana" w:cs="Century Gothic"/>
          <w:b/>
          <w:bCs/>
        </w:rPr>
        <w:t>5. Doctrina de la Agencia Nacional de Contratación Pública:</w:t>
      </w:r>
    </w:p>
    <w:p w14:paraId="11AF0350" w14:textId="77777777" w:rsidR="00CE45C7" w:rsidRPr="00CE45C7" w:rsidRDefault="00CE45C7" w:rsidP="006B6010">
      <w:pPr>
        <w:widowControl w:val="0"/>
        <w:autoSpaceDE w:val="0"/>
        <w:autoSpaceDN w:val="0"/>
        <w:spacing w:after="0" w:line="240" w:lineRule="auto"/>
        <w:jc w:val="both"/>
        <w:rPr>
          <w:rFonts w:ascii="Verdana" w:hAnsi="Verdana" w:cs="Arial"/>
          <w:shd w:val="clear" w:color="auto" w:fill="FFFFFF"/>
        </w:rPr>
      </w:pPr>
    </w:p>
    <w:p w14:paraId="021EC00D" w14:textId="032B42E1" w:rsidR="00CE45C7" w:rsidRPr="00CE45C7" w:rsidRDefault="00CE45C7" w:rsidP="006B6010">
      <w:pPr>
        <w:widowControl w:val="0"/>
        <w:autoSpaceDE w:val="0"/>
        <w:autoSpaceDN w:val="0"/>
        <w:spacing w:after="120" w:line="240" w:lineRule="auto"/>
        <w:jc w:val="both"/>
        <w:rPr>
          <w:rFonts w:ascii="Verdana" w:hAnsi="Verdana" w:cs="Arial"/>
          <w:shd w:val="clear" w:color="auto" w:fill="FFFFFF"/>
        </w:rPr>
      </w:pPr>
      <w:r w:rsidRPr="00CE45C7">
        <w:rPr>
          <w:rFonts w:ascii="Verdana" w:hAnsi="Verdana" w:cs="Arial"/>
          <w:shd w:val="clear" w:color="auto" w:fill="FFFFFF"/>
        </w:rPr>
        <w:t xml:space="preserve">Esta Subdirección se ha pronunciado sobre la Ley de Garantías Electorales en  los conceptos C-681 del 7 de diciembre de 2021, C-686 del 21 de diciembre de 2021, C-134 del 7 de abril de 2022, C-697 del 3 de enero de 2022, C-180 del 21 de marzo de 2025, C-317 del 25 de abril de 2025, C-510 del 4 de junio de 2025, C -635 del 27 de junio de 2025, C–750 de 17 de julio 2025, C-868 del 12 </w:t>
      </w:r>
      <w:r w:rsidRPr="00CE45C7">
        <w:rPr>
          <w:rFonts w:ascii="Verdana" w:hAnsi="Verdana" w:cs="Arial"/>
          <w:shd w:val="clear" w:color="auto" w:fill="FFFFFF"/>
        </w:rPr>
        <w:lastRenderedPageBreak/>
        <w:t xml:space="preserve">de agosto de 2025, C-1124 del 18 de septiembre de 2025, C-1174 del 29 de septiembre de 2025, C-1491 del 20 de noviembre de 2025, C- 1492 del </w:t>
      </w:r>
      <w:r w:rsidRPr="00CE45C7">
        <w:rPr>
          <w:rFonts w:ascii="Verdana" w:hAnsi="Verdana"/>
        </w:rPr>
        <w:t>21 de noviembre del 2025, C-1629, C-1646 del 17 de diciembre de 2025, C-1662 del 22 de diciembre de 2025</w:t>
      </w:r>
      <w:r w:rsidRPr="00CE45C7">
        <w:rPr>
          <w:rFonts w:ascii="Verdana" w:hAnsi="Verdana" w:cs="Arial"/>
          <w:shd w:val="clear" w:color="auto" w:fill="FFFFFF"/>
          <w:lang w:val="es-ES"/>
        </w:rPr>
        <w:t>, C-063 del 23 de febrero de 2026, C-160 del 24 de febrero de 2026, C-095 del 4 de marzo de 2026, C-108 del 4 de marzo de 2026, C-177 del 16 de marzo de 2026, C-276 del 5 de abril de 2026, entre otros.</w:t>
      </w:r>
      <w:r w:rsidR="00F93B3A">
        <w:rPr>
          <w:rFonts w:ascii="Verdana" w:hAnsi="Verdana" w:cs="Arial"/>
          <w:shd w:val="clear" w:color="auto" w:fill="FFFFFF"/>
          <w:lang w:val="es-ES"/>
        </w:rPr>
        <w:t xml:space="preserve"> Por otro lado </w:t>
      </w:r>
      <w:r w:rsidR="00F93B3A" w:rsidRPr="009472DB">
        <w:rPr>
          <w:rFonts w:ascii="Verdana" w:eastAsia="Aptos" w:hAnsi="Verdana" w:cs="Arial"/>
          <w:shd w:val="clear" w:color="auto" w:fill="FFFFFF"/>
          <w:lang w:val="es-ES"/>
        </w:rPr>
        <w:t xml:space="preserve">Sobre el </w:t>
      </w:r>
      <w:r w:rsidR="00F93B3A" w:rsidRPr="00872102">
        <w:rPr>
          <w:rFonts w:ascii="Verdana" w:eastAsia="Aptos" w:hAnsi="Verdana" w:cs="Arial"/>
          <w:shd w:val="clear" w:color="auto" w:fill="FFFFFF"/>
          <w:lang w:val="es-ES"/>
        </w:rPr>
        <w:t>marco jurídico del contrato de prestación de servicios profesionales, de apoyo a la gestión y para la ejecución de trabajos artísticos, esta Subdirección se ha referido en los Conceptos</w:t>
      </w:r>
      <w:r w:rsidR="00F93B3A" w:rsidRPr="00AD24B9">
        <w:rPr>
          <w:rFonts w:ascii="Verdana" w:eastAsia="Calibri" w:hAnsi="Verdana" w:cs="Arial"/>
          <w:lang w:val="es-ES_tradnl" w:eastAsia="es-MX"/>
        </w:rPr>
        <w:t xml:space="preserve"> C-004 del 12 de febrero de 2021, C-145 del 08 de abril de 2021, C-654 del 22 de noviembre de 2021, C-019 del 21 de febrero de 2022, C-181 del 8 de abril de 2022, C-491 del 01 de agosto de 2022</w:t>
      </w:r>
      <w:r w:rsidR="00F93B3A" w:rsidRPr="00AD24B9">
        <w:rPr>
          <w:rFonts w:ascii="Verdana" w:eastAsia="Aptos" w:hAnsi="Verdana" w:cs="Arial"/>
          <w:shd w:val="clear" w:color="auto" w:fill="FFFFFF"/>
          <w:lang w:val="es-ES"/>
        </w:rPr>
        <w:t>,</w:t>
      </w:r>
      <w:r w:rsidR="00F93B3A" w:rsidRPr="00AD24B9">
        <w:rPr>
          <w:rFonts w:ascii="Verdana" w:eastAsia="Calibri" w:hAnsi="Verdana" w:cs="Arial"/>
          <w:lang w:val="es-ES_tradnl" w:eastAsia="es-MX"/>
        </w:rPr>
        <w:t xml:space="preserve"> C-024 del 4 de marzo de 2022, C-102 del 4 de mayo de 2023, C-100 de 03 mayo de 2023, C-067 del 16 mayo de 2024, </w:t>
      </w:r>
      <w:r w:rsidR="00F93B3A" w:rsidRPr="00AD24B9">
        <w:rPr>
          <w:rFonts w:ascii="Verdana" w:eastAsia="Aptos" w:hAnsi="Verdana" w:cs="Arial"/>
          <w:shd w:val="clear" w:color="auto" w:fill="FFFFFF"/>
          <w:lang w:val="es-ES"/>
        </w:rPr>
        <w:t>C-054 del 24 de febrero de 2026, C-098 del 5 marzo de 2026, C-142 del 11 de marzo de 2026, C-151 del 12 de marzo de 2026 entre otros</w:t>
      </w:r>
      <w:r w:rsidRPr="00CE45C7">
        <w:rPr>
          <w:rFonts w:ascii="Verdana" w:hAnsi="Verdana" w:cs="Arial"/>
          <w:shd w:val="clear" w:color="auto" w:fill="FFFFFF"/>
          <w:lang w:val="es-ES"/>
        </w:rPr>
        <w:t xml:space="preserve"> </w:t>
      </w:r>
      <w:r w:rsidRPr="00CE45C7">
        <w:rPr>
          <w:rFonts w:ascii="Verdana" w:hAnsi="Verdana" w:cs="Arial"/>
        </w:rPr>
        <w:t xml:space="preserve">Estos y otros </w:t>
      </w:r>
      <w:r w:rsidRPr="00CE45C7">
        <w:rPr>
          <w:rFonts w:ascii="Verdana" w:hAnsi="Verdana"/>
        </w:rPr>
        <w:t>conceptos se encuentran disponibles para consulta en el Sistema de relatoría de la Agencia, al cual se puede acceder a través del siguiente enlace:</w:t>
      </w:r>
      <w:r w:rsidRPr="00CE45C7">
        <w:rPr>
          <w:rFonts w:ascii="Verdana" w:hAnsi="Verdana" w:cs="Arial"/>
          <w:shd w:val="clear" w:color="auto" w:fill="FFFFFF"/>
        </w:rPr>
        <w:t xml:space="preserve"> </w:t>
      </w:r>
      <w:hyperlink r:id="rId12" w:history="1">
        <w:r w:rsidRPr="00CE45C7">
          <w:rPr>
            <w:rFonts w:ascii="Verdana" w:hAnsi="Verdana" w:cs="Arial"/>
            <w:color w:val="0563C1" w:themeColor="hyperlink"/>
            <w:u w:val="single"/>
            <w:shd w:val="clear" w:color="auto" w:fill="FFFFFF"/>
          </w:rPr>
          <w:t>https://relatoria.colombiacompra.gov.co/busqueda/conceptos</w:t>
        </w:r>
      </w:hyperlink>
      <w:r w:rsidRPr="00CE45C7">
        <w:rPr>
          <w:rFonts w:ascii="Verdana" w:hAnsi="Verdana" w:cs="Arial"/>
          <w:shd w:val="clear" w:color="auto" w:fill="FFFFFF"/>
        </w:rPr>
        <w:t>.</w:t>
      </w:r>
      <w:r w:rsidRPr="00CE45C7">
        <w:rPr>
          <w:rFonts w:ascii="Verdana" w:hAnsi="Verdana" w:cs="Arial"/>
          <w:color w:val="FF0000"/>
          <w:shd w:val="clear" w:color="auto" w:fill="FFFFFF"/>
        </w:rPr>
        <w:t xml:space="preserve"> </w:t>
      </w:r>
      <w:r w:rsidRPr="00CE45C7">
        <w:rPr>
          <w:rFonts w:ascii="Verdana" w:hAnsi="Verdana" w:cs="Arial"/>
          <w:color w:val="000000" w:themeColor="text1"/>
          <w:shd w:val="clear" w:color="auto" w:fill="FFFFFF"/>
        </w:rPr>
        <w:t>  </w:t>
      </w:r>
    </w:p>
    <w:p w14:paraId="70BA57BC" w14:textId="77777777" w:rsidR="00CE45C7" w:rsidRPr="00CE45C7" w:rsidRDefault="00CE45C7" w:rsidP="006B6010">
      <w:pPr>
        <w:widowControl w:val="0"/>
        <w:autoSpaceDE w:val="0"/>
        <w:autoSpaceDN w:val="0"/>
        <w:spacing w:after="120" w:line="240" w:lineRule="auto"/>
        <w:jc w:val="both"/>
        <w:rPr>
          <w:rFonts w:ascii="Verdana" w:hAnsi="Verdana" w:cs="Arial"/>
        </w:rPr>
      </w:pPr>
      <w:r w:rsidRPr="00CE45C7">
        <w:rPr>
          <w:rFonts w:ascii="Verdana" w:hAnsi="Verdana"/>
        </w:rPr>
        <w:t xml:space="preserve">La sostenibilidad no es una opción, es una obligación. Por ello, la Agencia Nacional de Contratación Pública –Colombia Compra Eficiente– te invita a realizar el </w:t>
      </w:r>
      <w:r w:rsidRPr="00CE45C7">
        <w:rPr>
          <w:rFonts w:ascii="Verdana" w:hAnsi="Verdana"/>
          <w:b/>
          <w:bCs/>
        </w:rPr>
        <w:t>Curso de Contratación Pública Sostenible y Socialmente Responsable</w:t>
      </w:r>
      <w:r w:rsidRPr="00CE45C7">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E45C7">
        <w:rPr>
          <w:rFonts w:ascii="Verdana" w:hAnsi="Verdana"/>
        </w:rPr>
        <w:br/>
      </w:r>
      <w:hyperlink r:id="rId13" w:tgtFrame="_new" w:history="1">
        <w:r w:rsidRPr="00CE45C7">
          <w:rPr>
            <w:rFonts w:ascii="Verdana" w:hAnsi="Verdana"/>
            <w:color w:val="0000FF"/>
            <w:u w:val="single"/>
          </w:rPr>
          <w:t>https://formacionvirtual.colombiacompra.gov.co/mod/page/view.php?id=3718</w:t>
        </w:r>
      </w:hyperlink>
    </w:p>
    <w:p w14:paraId="37C4BD2A" w14:textId="77777777" w:rsidR="00CE45C7" w:rsidRPr="00CE45C7" w:rsidRDefault="00CE45C7" w:rsidP="006B6010">
      <w:pPr>
        <w:widowControl w:val="0"/>
        <w:autoSpaceDE w:val="0"/>
        <w:autoSpaceDN w:val="0"/>
        <w:spacing w:after="120" w:line="240" w:lineRule="auto"/>
        <w:jc w:val="both"/>
        <w:rPr>
          <w:rFonts w:ascii="Verdana" w:hAnsi="Verdana" w:cs="Arial"/>
        </w:rPr>
      </w:pPr>
      <w:r w:rsidRPr="00CE45C7">
        <w:rPr>
          <w:rFonts w:ascii="Verdana" w:hAnsi="Verdana"/>
        </w:rPr>
        <w:t xml:space="preserve">De otro lado, te contamos que esta Agencia ha dado un paso decisivo en la estandarización y modernización del </w:t>
      </w:r>
      <w:r w:rsidRPr="00CE45C7">
        <w:rPr>
          <w:rFonts w:ascii="Verdana" w:hAnsi="Verdana"/>
          <w:b/>
          <w:bCs/>
        </w:rPr>
        <w:t>sector social</w:t>
      </w:r>
      <w:r w:rsidRPr="00CE45C7">
        <w:rPr>
          <w:rFonts w:ascii="Verdana" w:hAnsi="Verdana"/>
        </w:rPr>
        <w:t xml:space="preserve"> con la expedición de las </w:t>
      </w:r>
      <w:r w:rsidRPr="00CE45C7">
        <w:rPr>
          <w:rFonts w:ascii="Verdana" w:hAnsi="Verdana"/>
          <w:b/>
          <w:bCs/>
        </w:rPr>
        <w:t>Resoluciones 539, 540, 541, 952 y 953 de 2025</w:t>
      </w:r>
      <w:r w:rsidRPr="00CE45C7">
        <w:rPr>
          <w:rFonts w:ascii="Verdana" w:hAnsi="Verdana"/>
        </w:rPr>
        <w:t xml:space="preserve">, </w:t>
      </w:r>
      <w:r w:rsidRPr="00CE45C7">
        <w:rPr>
          <w:rFonts w:ascii="Verdana" w:hAnsi="Verdana"/>
          <w:b/>
          <w:bCs/>
        </w:rPr>
        <w:t>mediante las cuales adoptó Documentos Tipo</w:t>
      </w:r>
      <w:r w:rsidRPr="00CE45C7">
        <w:rPr>
          <w:rFonts w:ascii="Verdana" w:hAnsi="Verdana"/>
        </w:rPr>
        <w:t xml:space="preserve"> para las modalidades de selección de</w:t>
      </w:r>
      <w:r w:rsidRPr="00CE45C7">
        <w:rPr>
          <w:rFonts w:ascii="Verdana" w:hAnsi="Verdana"/>
          <w:b/>
          <w:bCs/>
        </w:rPr>
        <w:t xml:space="preserve"> licitación pública (versión 2), selección abreviada de menor cuantía, mínima cuantía, consultoría e interventoría</w:t>
      </w:r>
      <w:r w:rsidRPr="00CE45C7">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CE45C7">
          <w:rPr>
            <w:rFonts w:ascii="Verdana" w:hAnsi="Verdana"/>
            <w:color w:val="0000FF"/>
            <w:u w:val="single"/>
          </w:rPr>
          <w:t>https://www.colombiacompra.gov.co/normativa-y-relatoria/documentos-tipo</w:t>
        </w:r>
      </w:hyperlink>
    </w:p>
    <w:p w14:paraId="1199B406" w14:textId="77777777" w:rsidR="00CE45C7" w:rsidRPr="00CE45C7" w:rsidRDefault="00CE45C7" w:rsidP="006B6010">
      <w:pPr>
        <w:widowControl w:val="0"/>
        <w:autoSpaceDE w:val="0"/>
        <w:autoSpaceDN w:val="0"/>
        <w:spacing w:after="120" w:line="240" w:lineRule="auto"/>
        <w:jc w:val="both"/>
        <w:rPr>
          <w:rFonts w:ascii="Verdana" w:hAnsi="Verdana" w:cs="Arial"/>
        </w:rPr>
      </w:pPr>
      <w:r w:rsidRPr="00CE45C7">
        <w:rPr>
          <w:rFonts w:ascii="Verdana" w:hAnsi="Verdana"/>
        </w:rPr>
        <w:t xml:space="preserve">Si quieres conocer más sobre la aplicación de Documentos Tipo puedes consultar la última versión de la </w:t>
      </w:r>
      <w:r w:rsidRPr="00CE45C7">
        <w:rPr>
          <w:rFonts w:ascii="Verdana" w:hAnsi="Verdana"/>
          <w:b/>
          <w:bCs/>
        </w:rPr>
        <w:t>Guía para la comprensión e implementación de los Documentos Tipo de obra pública de infraestructura de transporte</w:t>
      </w:r>
      <w:r w:rsidRPr="00CE45C7">
        <w:rPr>
          <w:rFonts w:ascii="Verdana" w:hAnsi="Verdana"/>
        </w:rPr>
        <w:t xml:space="preserve">. En esta actualización se incorporaron orientaciones prácticas dirigidas a entidades </w:t>
      </w:r>
      <w:r w:rsidRPr="00CE45C7">
        <w:rPr>
          <w:rFonts w:ascii="Verdana" w:hAnsi="Verdana"/>
        </w:rPr>
        <w:lastRenderedPageBreak/>
        <w:t>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E45C7">
        <w:rPr>
          <w:rFonts w:ascii="Verdana" w:hAnsi="Verdana"/>
        </w:rPr>
        <w:br/>
      </w:r>
      <w:hyperlink r:id="rId15" w:tgtFrame="_new" w:history="1">
        <w:r w:rsidRPr="00CE45C7">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509C13C2" w14:textId="77777777" w:rsidR="00CE45C7" w:rsidRPr="00CE45C7" w:rsidRDefault="00CE45C7" w:rsidP="006B6010">
      <w:pPr>
        <w:widowControl w:val="0"/>
        <w:autoSpaceDE w:val="0"/>
        <w:autoSpaceDN w:val="0"/>
        <w:spacing w:after="120" w:line="240" w:lineRule="auto"/>
        <w:jc w:val="both"/>
        <w:rPr>
          <w:rFonts w:ascii="Verdana" w:hAnsi="Verdana" w:cs="Arial"/>
        </w:rPr>
      </w:pPr>
      <w:r w:rsidRPr="00CE45C7">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EAEE18E" w14:textId="77777777" w:rsidR="00CE45C7" w:rsidRPr="00CE45C7" w:rsidRDefault="00CE45C7" w:rsidP="006B6010">
      <w:pPr>
        <w:numPr>
          <w:ilvl w:val="0"/>
          <w:numId w:val="15"/>
        </w:numPr>
        <w:spacing w:after="0" w:line="240" w:lineRule="auto"/>
        <w:jc w:val="both"/>
        <w:rPr>
          <w:rFonts w:ascii="Verdana" w:eastAsia="Verdana" w:hAnsi="Verdana" w:cs="Verdana"/>
          <w:color w:val="4472C4" w:themeColor="accent1"/>
          <w:u w:val="single"/>
          <w:lang w:val="es-MX"/>
        </w:rPr>
      </w:pPr>
      <w:r w:rsidRPr="00CE45C7">
        <w:rPr>
          <w:rFonts w:ascii="Verdana" w:eastAsia="Verdana" w:hAnsi="Verdana" w:cs="Verdana"/>
          <w:lang w:val="es-MX"/>
        </w:rPr>
        <w:t xml:space="preserve">Línea nacional gratuita o servicio a la ciudadanía (Mesa de servicio): </w:t>
      </w:r>
      <w:r w:rsidRPr="00CE45C7">
        <w:rPr>
          <w:rFonts w:ascii="Verdana" w:hAnsi="Verdana"/>
          <w:color w:val="0000FF"/>
          <w:u w:val="single"/>
          <w:lang w:val="es-ES"/>
        </w:rPr>
        <w:t>01800 0520808</w:t>
      </w:r>
    </w:p>
    <w:p w14:paraId="660FC386" w14:textId="77777777" w:rsidR="00CE45C7" w:rsidRPr="00CE45C7" w:rsidRDefault="00CE45C7" w:rsidP="006B6010">
      <w:pPr>
        <w:numPr>
          <w:ilvl w:val="0"/>
          <w:numId w:val="15"/>
        </w:numPr>
        <w:spacing w:after="0" w:line="240" w:lineRule="auto"/>
        <w:rPr>
          <w:rFonts w:ascii="Verdana" w:eastAsia="Verdana" w:hAnsi="Verdana" w:cs="Verdana"/>
          <w:color w:val="4472C4" w:themeColor="accent1"/>
          <w:u w:val="single"/>
          <w:lang w:val="es-MX"/>
        </w:rPr>
      </w:pPr>
      <w:r w:rsidRPr="00CE45C7">
        <w:rPr>
          <w:rFonts w:ascii="Verdana" w:eastAsia="Verdana" w:hAnsi="Verdana" w:cs="Verdana"/>
          <w:lang w:val="es-MX"/>
        </w:rPr>
        <w:t>Línea en Bogotá (Mesa de servicio):</w:t>
      </w:r>
      <w:r w:rsidRPr="00CE45C7">
        <w:rPr>
          <w:rFonts w:ascii="Verdana" w:hAnsi="Verdana"/>
          <w:color w:val="0000FF"/>
          <w:u w:val="single"/>
          <w:lang w:val="es-ES"/>
        </w:rPr>
        <w:t>+57 601 7456788</w:t>
      </w:r>
    </w:p>
    <w:p w14:paraId="05CCDBB4" w14:textId="77777777" w:rsidR="00CE45C7" w:rsidRPr="00CE45C7" w:rsidRDefault="00CE45C7" w:rsidP="006B6010">
      <w:pPr>
        <w:numPr>
          <w:ilvl w:val="0"/>
          <w:numId w:val="15"/>
        </w:numPr>
        <w:spacing w:after="0" w:line="240" w:lineRule="auto"/>
        <w:rPr>
          <w:rFonts w:ascii="Verdana" w:eastAsia="Verdana" w:hAnsi="Verdana" w:cs="Verdana"/>
          <w:color w:val="0000FF"/>
          <w:u w:val="single"/>
          <w:lang w:val="es-MX"/>
        </w:rPr>
      </w:pPr>
      <w:r w:rsidRPr="00CE45C7">
        <w:rPr>
          <w:rFonts w:ascii="Verdana" w:eastAsia="Verdana" w:hAnsi="Verdana" w:cs="Verdana"/>
          <w:lang w:val="es-MX"/>
        </w:rPr>
        <w:t xml:space="preserve">Correo de radicación de correspondencia: </w:t>
      </w:r>
      <w:hyperlink r:id="rId16">
        <w:r w:rsidRPr="00CE45C7">
          <w:rPr>
            <w:rFonts w:ascii="Verdana" w:eastAsia="Verdana" w:hAnsi="Verdana" w:cs="Verdana"/>
            <w:color w:val="0000FF"/>
            <w:u w:val="single"/>
            <w:lang w:val="es-MX"/>
          </w:rPr>
          <w:t>ventanilladeradicacion@colombiacompra.gov.co</w:t>
        </w:r>
      </w:hyperlink>
    </w:p>
    <w:p w14:paraId="1F152AB6" w14:textId="77777777" w:rsidR="00CE45C7" w:rsidRPr="00CE45C7" w:rsidRDefault="00CE45C7" w:rsidP="006B6010">
      <w:pPr>
        <w:numPr>
          <w:ilvl w:val="0"/>
          <w:numId w:val="15"/>
        </w:numPr>
        <w:spacing w:after="0" w:line="240" w:lineRule="auto"/>
        <w:rPr>
          <w:rFonts w:ascii="Verdana" w:eastAsia="Verdana" w:hAnsi="Verdana" w:cs="Verdana"/>
          <w:color w:val="0000FF"/>
          <w:u w:val="single"/>
          <w:lang w:val="es-MX"/>
        </w:rPr>
      </w:pPr>
      <w:r w:rsidRPr="00CE45C7">
        <w:rPr>
          <w:rFonts w:ascii="Verdana" w:eastAsia="Verdana" w:hAnsi="Verdana" w:cs="Verdana"/>
          <w:lang w:val="es-ES"/>
        </w:rPr>
        <w:t>Formulario web para</w:t>
      </w:r>
      <w:r w:rsidRPr="00CE45C7">
        <w:rPr>
          <w:rFonts w:ascii="Verdana" w:eastAsia="Verdana" w:hAnsi="Verdana" w:cs="Verdana"/>
          <w:lang w:val="es"/>
        </w:rPr>
        <w:t xml:space="preserve"> PQRSD: </w:t>
      </w:r>
      <w:hyperlink r:id="rId17">
        <w:r w:rsidRPr="00CE45C7">
          <w:rPr>
            <w:rFonts w:ascii="Verdana" w:eastAsia="Verdana" w:hAnsi="Verdana" w:cs="Verdana"/>
            <w:color w:val="0000FF"/>
            <w:u w:val="single"/>
            <w:lang w:val="es-MX"/>
          </w:rPr>
          <w:t>https://www.colombiacompra.gov.co/pqrsd/informacion-importante-antes-de-formular-una-pqrsd</w:t>
        </w:r>
      </w:hyperlink>
    </w:p>
    <w:p w14:paraId="0A1442F1" w14:textId="77777777" w:rsidR="00CE45C7" w:rsidRPr="00CE45C7" w:rsidRDefault="00CE45C7" w:rsidP="006B6010">
      <w:pPr>
        <w:spacing w:after="0" w:line="240" w:lineRule="auto"/>
        <w:ind w:left="720"/>
        <w:jc w:val="both"/>
        <w:rPr>
          <w:rFonts w:ascii="Verdana" w:hAnsi="Verdana"/>
        </w:rPr>
      </w:pPr>
    </w:p>
    <w:p w14:paraId="4658BB37" w14:textId="77777777" w:rsidR="00CE45C7" w:rsidRPr="00CE45C7" w:rsidRDefault="00CE45C7" w:rsidP="006B6010">
      <w:pPr>
        <w:spacing w:after="0" w:line="240" w:lineRule="auto"/>
        <w:jc w:val="both"/>
        <w:rPr>
          <w:rFonts w:ascii="Verdana" w:hAnsi="Verdana"/>
        </w:rPr>
      </w:pPr>
      <w:r w:rsidRPr="00CE45C7">
        <w:rPr>
          <w:rFonts w:ascii="Verdana" w:hAnsi="Verdana"/>
        </w:rPr>
        <w:t xml:space="preserve">Evalúa el servicio que ofrece la Agencia por el canal de atención de PQRSD en el siguiente enlace: </w:t>
      </w:r>
      <w:hyperlink r:id="rId18" w:history="1">
        <w:r w:rsidRPr="00CE45C7">
          <w:rPr>
            <w:rFonts w:ascii="Verdana" w:eastAsia="Verdana" w:hAnsi="Verdana" w:cs="Verdana"/>
            <w:color w:val="0000FF"/>
            <w:u w:val="single"/>
            <w:lang w:val="es-MX"/>
          </w:rPr>
          <w:t>https://forms.office.com/r/pPHyWVs2SZ</w:t>
        </w:r>
      </w:hyperlink>
      <w:r w:rsidRPr="00CE45C7">
        <w:rPr>
          <w:rFonts w:ascii="Verdana" w:eastAsia="Verdana" w:hAnsi="Verdana" w:cs="Verdana"/>
          <w:color w:val="0000FF"/>
          <w:u w:val="single"/>
          <w:lang w:val="es-MX"/>
        </w:rPr>
        <w:t>.</w:t>
      </w:r>
      <w:r w:rsidRPr="00CE45C7">
        <w:rPr>
          <w:rFonts w:ascii="Verdana" w:hAnsi="Verdana"/>
        </w:rPr>
        <w:t xml:space="preserve"> ¡Ayúdanos a mejorar porque el compromiso es de todos!</w:t>
      </w:r>
    </w:p>
    <w:p w14:paraId="55131880" w14:textId="77777777" w:rsidR="00CE45C7" w:rsidRPr="00CE45C7" w:rsidRDefault="00CE45C7" w:rsidP="006B6010">
      <w:pPr>
        <w:spacing w:after="0" w:line="240" w:lineRule="auto"/>
        <w:jc w:val="both"/>
        <w:rPr>
          <w:rFonts w:ascii="Verdana" w:hAnsi="Verdana"/>
        </w:rPr>
      </w:pPr>
    </w:p>
    <w:p w14:paraId="589FD970" w14:textId="77777777" w:rsidR="00CE45C7" w:rsidRPr="00CE45C7" w:rsidRDefault="00CE45C7" w:rsidP="006B6010">
      <w:pPr>
        <w:spacing w:after="0" w:line="240" w:lineRule="auto"/>
        <w:jc w:val="both"/>
        <w:rPr>
          <w:rFonts w:ascii="Verdana" w:hAnsi="Verdana"/>
        </w:rPr>
      </w:pPr>
      <w:r w:rsidRPr="00CE45C7">
        <w:rPr>
          <w:rFonts w:ascii="Verdana" w:hAnsi="Verdana"/>
        </w:rPr>
        <w:t xml:space="preserve">Por último, lo invitamos a seguirnos en las redes sociales en las cuales se difunde información institucional: </w:t>
      </w:r>
    </w:p>
    <w:p w14:paraId="07658FF5" w14:textId="77777777" w:rsidR="00CE45C7" w:rsidRPr="00CE45C7" w:rsidRDefault="00CE45C7" w:rsidP="006B6010">
      <w:pPr>
        <w:spacing w:after="0" w:line="240" w:lineRule="auto"/>
        <w:jc w:val="both"/>
        <w:rPr>
          <w:rFonts w:ascii="Verdana" w:hAnsi="Verdana"/>
        </w:rPr>
      </w:pPr>
      <w:r w:rsidRPr="00CE45C7">
        <w:rPr>
          <w:rFonts w:ascii="Verdana" w:hAnsi="Verdana"/>
        </w:rPr>
        <w:t xml:space="preserve">Twitter: </w:t>
      </w:r>
      <w:r w:rsidRPr="00CE45C7">
        <w:rPr>
          <w:rFonts w:ascii="Verdana" w:hAnsi="Verdana"/>
          <w:color w:val="0000FF"/>
          <w:u w:val="single"/>
        </w:rPr>
        <w:t>@colombiacompra</w:t>
      </w:r>
      <w:r w:rsidRPr="00CE45C7">
        <w:rPr>
          <w:rFonts w:ascii="Verdana" w:hAnsi="Verdana"/>
        </w:rPr>
        <w:t xml:space="preserve"> </w:t>
      </w:r>
    </w:p>
    <w:p w14:paraId="5E505D8E" w14:textId="77777777" w:rsidR="00CE45C7" w:rsidRPr="00CE45C7" w:rsidRDefault="00CE45C7" w:rsidP="006B6010">
      <w:pPr>
        <w:spacing w:after="0" w:line="240" w:lineRule="auto"/>
        <w:jc w:val="both"/>
        <w:rPr>
          <w:rFonts w:ascii="Verdana" w:hAnsi="Verdana"/>
        </w:rPr>
      </w:pPr>
      <w:r w:rsidRPr="00CE45C7">
        <w:rPr>
          <w:rFonts w:ascii="Verdana" w:hAnsi="Verdana"/>
        </w:rPr>
        <w:t xml:space="preserve">Facebook: </w:t>
      </w:r>
      <w:proofErr w:type="spellStart"/>
      <w:r w:rsidRPr="00CE45C7">
        <w:rPr>
          <w:rFonts w:ascii="Verdana" w:hAnsi="Verdana"/>
          <w:color w:val="0000FF"/>
          <w:u w:val="single"/>
        </w:rPr>
        <w:t>ColombiaCompraEficiente</w:t>
      </w:r>
      <w:proofErr w:type="spellEnd"/>
    </w:p>
    <w:p w14:paraId="4C21E93A" w14:textId="77777777" w:rsidR="00CE45C7" w:rsidRPr="00CE45C7" w:rsidRDefault="00CE45C7" w:rsidP="006B6010">
      <w:pPr>
        <w:spacing w:after="0" w:line="240" w:lineRule="auto"/>
        <w:jc w:val="both"/>
        <w:rPr>
          <w:rFonts w:ascii="Verdana" w:hAnsi="Verdana"/>
        </w:rPr>
      </w:pPr>
      <w:r w:rsidRPr="00CE45C7">
        <w:rPr>
          <w:rFonts w:ascii="Verdana" w:hAnsi="Verdana"/>
        </w:rPr>
        <w:t xml:space="preserve">LinkedIn: </w:t>
      </w:r>
      <w:r w:rsidRPr="00CE45C7">
        <w:rPr>
          <w:rFonts w:ascii="Verdana" w:hAnsi="Verdana"/>
          <w:color w:val="0000FF"/>
          <w:u w:val="single"/>
        </w:rPr>
        <w:t>Agencia Nacional de Contratación Pública - Colombia Compra Eficiente</w:t>
      </w:r>
      <w:r w:rsidRPr="00CE45C7">
        <w:rPr>
          <w:rFonts w:ascii="Verdana" w:hAnsi="Verdana"/>
        </w:rPr>
        <w:t xml:space="preserve"> Instagram: </w:t>
      </w:r>
      <w:r w:rsidRPr="00CE45C7">
        <w:rPr>
          <w:rFonts w:ascii="Verdana" w:hAnsi="Verdana"/>
          <w:color w:val="0000FF"/>
          <w:u w:val="single"/>
        </w:rPr>
        <w:t>@colombiacompraeficiente_cce</w:t>
      </w:r>
    </w:p>
    <w:p w14:paraId="4BFD2B57" w14:textId="77777777" w:rsidR="00CE45C7" w:rsidRPr="00CE45C7" w:rsidRDefault="00CE45C7" w:rsidP="00CE45C7">
      <w:pPr>
        <w:spacing w:after="0" w:line="276" w:lineRule="auto"/>
        <w:jc w:val="both"/>
        <w:rPr>
          <w:rFonts w:ascii="Verdana" w:hAnsi="Verdana"/>
          <w:lang w:val="es-MX"/>
        </w:rPr>
      </w:pPr>
    </w:p>
    <w:p w14:paraId="40BDEC7C" w14:textId="1D56E366" w:rsidR="00CE45C7" w:rsidRPr="006B6010" w:rsidRDefault="00CE45C7" w:rsidP="006B6010">
      <w:pPr>
        <w:spacing w:after="0" w:line="276" w:lineRule="auto"/>
        <w:jc w:val="both"/>
        <w:rPr>
          <w:rFonts w:ascii="Verdana" w:hAnsi="Verdana"/>
          <w:lang w:val="es-MX"/>
        </w:rPr>
      </w:pPr>
      <w:r w:rsidRPr="00CE45C7">
        <w:rPr>
          <w:rFonts w:ascii="Verdana" w:hAnsi="Verdana"/>
          <w:lang w:val="es-MX"/>
        </w:rPr>
        <w:t>Cordialmente</w:t>
      </w:r>
    </w:p>
    <w:p w14:paraId="0D1B2764" w14:textId="2F9A70D3" w:rsidR="00D62776" w:rsidRDefault="00D62776" w:rsidP="00D62776">
      <w:pPr>
        <w:spacing w:after="0" w:line="256" w:lineRule="auto"/>
        <w:jc w:val="center"/>
        <w:rPr>
          <w:rFonts w:ascii="Verdana" w:eastAsia="Calibri" w:hAnsi="Verdana" w:cs="Times New Roman"/>
        </w:rPr>
      </w:pPr>
    </w:p>
    <w:p w14:paraId="65C2E4B1" w14:textId="709876F7" w:rsidR="00D62776" w:rsidRDefault="00D62776" w:rsidP="00D62776">
      <w:pPr>
        <w:spacing w:after="0" w:line="256" w:lineRule="auto"/>
        <w:rPr>
          <w:rFonts w:ascii="Verdana" w:eastAsia="Calibri" w:hAnsi="Verdana" w:cs="Times New Roman"/>
        </w:rPr>
      </w:pPr>
    </w:p>
    <w:p w14:paraId="00CC5171" w14:textId="71BF01F6" w:rsidR="00D62776" w:rsidRDefault="00D62776" w:rsidP="00D62776">
      <w:pPr>
        <w:spacing w:after="0" w:line="256" w:lineRule="auto"/>
        <w:rPr>
          <w:rFonts w:ascii="Verdana" w:eastAsia="Calibri" w:hAnsi="Verdana" w:cs="Times New Roman"/>
        </w:rPr>
      </w:pPr>
    </w:p>
    <w:p w14:paraId="395D082F" w14:textId="7D1CCAA9" w:rsidR="00D62776" w:rsidRDefault="00D62776" w:rsidP="00D62776">
      <w:pPr>
        <w:spacing w:after="0" w:line="256" w:lineRule="auto"/>
        <w:jc w:val="center"/>
        <w:rPr>
          <w:rFonts w:ascii="Verdana" w:eastAsia="Calibri" w:hAnsi="Verdana" w:cs="Times New Roman"/>
        </w:rPr>
      </w:pPr>
    </w:p>
    <w:p w14:paraId="09795668" w14:textId="77777777" w:rsidR="00A57096" w:rsidRDefault="00A57096" w:rsidP="00D62776">
      <w:pPr>
        <w:spacing w:after="0" w:line="256" w:lineRule="auto"/>
        <w:jc w:val="center"/>
        <w:rPr>
          <w:rFonts w:ascii="Verdana" w:eastAsia="Calibri" w:hAnsi="Verdana" w:cs="Times New Roman"/>
        </w:rPr>
      </w:pPr>
    </w:p>
    <w:p w14:paraId="0CBA60F2" w14:textId="77777777" w:rsidR="00A57096" w:rsidRDefault="00A57096" w:rsidP="00D62776">
      <w:pPr>
        <w:spacing w:after="0" w:line="256" w:lineRule="auto"/>
        <w:jc w:val="center"/>
        <w:rPr>
          <w:rFonts w:ascii="Verdana" w:eastAsia="Calibri" w:hAnsi="Verdana" w:cs="Times New Roman"/>
        </w:rPr>
      </w:pPr>
    </w:p>
    <w:p w14:paraId="7A208DD7" w14:textId="14BF2B12" w:rsidR="00A57096" w:rsidRDefault="0009082A" w:rsidP="00D62776">
      <w:pPr>
        <w:spacing w:after="0" w:line="256" w:lineRule="auto"/>
        <w:jc w:val="center"/>
        <w:rPr>
          <w:rFonts w:ascii="Verdana" w:eastAsia="Calibri" w:hAnsi="Verdana" w:cs="Times New Roman"/>
        </w:rPr>
      </w:pPr>
      <w:r w:rsidRPr="002C3AD6">
        <w:rPr>
          <w:rFonts w:ascii="Century Gothic" w:hAnsi="Century Gothic"/>
          <w:noProof/>
        </w:rPr>
        <w:drawing>
          <wp:inline distT="0" distB="0" distL="0" distR="0" wp14:anchorId="04E41222" wp14:editId="1F805A44">
            <wp:extent cx="2258008" cy="838200"/>
            <wp:effectExtent l="0" t="0" r="9525"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2269514" cy="842471"/>
                    </a:xfrm>
                    <a:prstGeom prst="rect">
                      <a:avLst/>
                    </a:prstGeom>
                  </pic:spPr>
                </pic:pic>
              </a:graphicData>
            </a:graphic>
          </wp:inline>
        </w:drawing>
      </w:r>
    </w:p>
    <w:p w14:paraId="21702406" w14:textId="77777777" w:rsidR="00D62776" w:rsidRDefault="00D62776" w:rsidP="006B6010">
      <w:pPr>
        <w:spacing w:after="0" w:line="256" w:lineRule="auto"/>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62776" w:rsidRPr="00860461" w14:paraId="01714FC7" w14:textId="77777777" w:rsidTr="003F0972">
        <w:trPr>
          <w:trHeight w:val="315"/>
        </w:trPr>
        <w:tc>
          <w:tcPr>
            <w:tcW w:w="893" w:type="dxa"/>
            <w:vAlign w:val="center"/>
            <w:hideMark/>
          </w:tcPr>
          <w:p w14:paraId="6622CB2D" w14:textId="77777777" w:rsidR="00D62776" w:rsidRPr="008278B1" w:rsidRDefault="00D62776" w:rsidP="003F0972">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FD964BF" w14:textId="77777777" w:rsidR="00D62776" w:rsidRPr="00860461" w:rsidRDefault="00D62776" w:rsidP="003F0972">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31FAE6B4" w14:textId="77777777" w:rsidR="00D62776" w:rsidRPr="00860461" w:rsidRDefault="00D62776" w:rsidP="003F0972">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D62776" w:rsidRPr="0025661F" w14:paraId="323A13FA" w14:textId="77777777" w:rsidTr="003F0972">
        <w:trPr>
          <w:trHeight w:val="330"/>
        </w:trPr>
        <w:tc>
          <w:tcPr>
            <w:tcW w:w="893" w:type="dxa"/>
            <w:vAlign w:val="center"/>
            <w:hideMark/>
          </w:tcPr>
          <w:p w14:paraId="730E243C" w14:textId="77777777" w:rsidR="00D62776" w:rsidRPr="0025661F" w:rsidRDefault="00D62776" w:rsidP="003F0972">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09112AE" w14:textId="77777777" w:rsidR="00D62776" w:rsidRPr="00B37171" w:rsidRDefault="00D62776" w:rsidP="003F0972">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Adriana </w:t>
            </w:r>
            <w:proofErr w:type="spellStart"/>
            <w:r>
              <w:rPr>
                <w:rFonts w:ascii="Verdana" w:hAnsi="Verdana" w:cs="Segoe UI"/>
                <w:color w:val="000000" w:themeColor="text1"/>
                <w:sz w:val="16"/>
                <w:szCs w:val="16"/>
              </w:rPr>
              <w:t>Katerine</w:t>
            </w:r>
            <w:proofErr w:type="spellEnd"/>
            <w:r>
              <w:rPr>
                <w:rFonts w:ascii="Verdana" w:hAnsi="Verdana" w:cs="Segoe UI"/>
                <w:color w:val="000000" w:themeColor="text1"/>
                <w:sz w:val="16"/>
                <w:szCs w:val="16"/>
              </w:rPr>
              <w:t xml:space="preserve"> López </w:t>
            </w:r>
            <w:proofErr w:type="spellStart"/>
            <w:r>
              <w:rPr>
                <w:rFonts w:ascii="Verdana" w:hAnsi="Verdana" w:cs="Segoe UI"/>
                <w:color w:val="000000" w:themeColor="text1"/>
                <w:sz w:val="16"/>
                <w:szCs w:val="16"/>
              </w:rPr>
              <w:t>Rodriguez</w:t>
            </w:r>
            <w:proofErr w:type="spellEnd"/>
          </w:p>
          <w:p w14:paraId="5886460C" w14:textId="77777777" w:rsidR="00D62776" w:rsidRPr="0025661F" w:rsidRDefault="00D62776" w:rsidP="003F0972">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D62776" w:rsidRPr="008278B1" w14:paraId="4C7B9A32" w14:textId="77777777" w:rsidTr="003F0972">
        <w:trPr>
          <w:trHeight w:val="300"/>
        </w:trPr>
        <w:tc>
          <w:tcPr>
            <w:tcW w:w="893" w:type="dxa"/>
            <w:vAlign w:val="center"/>
          </w:tcPr>
          <w:p w14:paraId="791D260C" w14:textId="77777777" w:rsidR="00D62776" w:rsidRPr="008278B1" w:rsidRDefault="00D62776" w:rsidP="003F0972">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E499E75" w14:textId="77777777" w:rsidR="00D62776" w:rsidRPr="008278B1" w:rsidRDefault="00D62776" w:rsidP="003F0972">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1950D156" w14:textId="77777777" w:rsidR="00D62776" w:rsidRPr="008278B1" w:rsidRDefault="00D62776" w:rsidP="003F0972">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3CD754B8" w14:textId="77777777" w:rsidR="00D62776" w:rsidRPr="00227361" w:rsidRDefault="00D62776" w:rsidP="00D62776">
      <w:pPr>
        <w:spacing w:after="0" w:line="256" w:lineRule="auto"/>
        <w:jc w:val="center"/>
        <w:rPr>
          <w:rFonts w:ascii="Verdana" w:eastAsia="Calibri" w:hAnsi="Verdana" w:cs="Times New Roman"/>
          <w:lang w:val="es-ES"/>
        </w:rPr>
      </w:pPr>
    </w:p>
    <w:p w14:paraId="2BD9E78B" w14:textId="22945555" w:rsidR="00D62776" w:rsidRPr="008E53E8" w:rsidRDefault="00D62776" w:rsidP="00D62776">
      <w:pPr>
        <w:spacing w:after="0"/>
        <w:rPr>
          <w:rFonts w:ascii="Verdana" w:eastAsia="Verdana" w:hAnsi="Verdana" w:cs="Verdana"/>
          <w:lang w:val="es-ES"/>
        </w:rPr>
      </w:pPr>
    </w:p>
    <w:p w14:paraId="1D5FC0BB" w14:textId="77777777" w:rsidR="0007674C" w:rsidRDefault="0007674C" w:rsidP="00CE45C7">
      <w:pPr>
        <w:spacing w:after="0" w:line="256" w:lineRule="auto"/>
        <w:jc w:val="center"/>
        <w:rPr>
          <w:rFonts w:ascii="Verdana" w:eastAsia="Calibri" w:hAnsi="Verdana" w:cs="Times New Roman"/>
          <w:lang w:val="es-ES"/>
        </w:rPr>
      </w:pPr>
    </w:p>
    <w:p w14:paraId="09DD6E2F" w14:textId="77777777" w:rsidR="0007674C" w:rsidRDefault="0007674C" w:rsidP="00CE45C7">
      <w:pPr>
        <w:spacing w:after="0" w:line="256" w:lineRule="auto"/>
        <w:jc w:val="center"/>
        <w:rPr>
          <w:rFonts w:ascii="Verdana" w:eastAsia="Calibri" w:hAnsi="Verdana" w:cs="Times New Roman"/>
          <w:lang w:val="es-ES"/>
        </w:rPr>
      </w:pPr>
    </w:p>
    <w:p w14:paraId="2C20050D" w14:textId="77777777" w:rsidR="0007674C" w:rsidRPr="00CE45C7" w:rsidRDefault="0007674C" w:rsidP="00CE45C7">
      <w:pPr>
        <w:spacing w:after="0" w:line="256" w:lineRule="auto"/>
        <w:jc w:val="center"/>
        <w:rPr>
          <w:rFonts w:ascii="Verdana" w:eastAsia="Calibri" w:hAnsi="Verdana" w:cs="Times New Roman"/>
          <w:lang w:val="es-ES"/>
        </w:rPr>
      </w:pPr>
    </w:p>
    <w:p w14:paraId="512635AD" w14:textId="1DD02A97" w:rsidR="00CE45C7" w:rsidRPr="00CE45C7" w:rsidRDefault="00CE45C7" w:rsidP="00CE45C7">
      <w:pPr>
        <w:spacing w:after="0"/>
        <w:rPr>
          <w:rFonts w:ascii="Verdana" w:eastAsia="Verdana" w:hAnsi="Verdana" w:cs="Verdana"/>
          <w:lang w:val="es-ES"/>
        </w:rPr>
      </w:pPr>
    </w:p>
    <w:p w14:paraId="41E60584" w14:textId="77777777" w:rsidR="00CE45C7" w:rsidRPr="00CE45C7" w:rsidRDefault="00CE45C7" w:rsidP="00CE45C7"/>
    <w:bookmarkEnd w:id="0"/>
    <w:p w14:paraId="12443EE0" w14:textId="77777777" w:rsidR="00C15139" w:rsidRPr="0024624F" w:rsidRDefault="00C15139" w:rsidP="30821638">
      <w:pPr>
        <w:spacing w:after="0"/>
        <w:rPr>
          <w:rFonts w:ascii="Verdana" w:eastAsia="Verdana" w:hAnsi="Verdana" w:cs="Verdana"/>
        </w:rPr>
      </w:pPr>
    </w:p>
    <w:sectPr w:rsidR="00C15139" w:rsidRPr="0024624F"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72C004" w14:textId="77777777" w:rsidR="003E3DF9" w:rsidRDefault="003E3DF9" w:rsidP="004A1847">
      <w:pPr>
        <w:spacing w:after="0" w:line="240" w:lineRule="auto"/>
      </w:pPr>
      <w:r>
        <w:separator/>
      </w:r>
    </w:p>
  </w:endnote>
  <w:endnote w:type="continuationSeparator" w:id="0">
    <w:p w14:paraId="15E36417" w14:textId="77777777" w:rsidR="003E3DF9" w:rsidRDefault="003E3DF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A343B" w14:textId="77777777" w:rsidR="003E3DF9" w:rsidRDefault="003E3DF9" w:rsidP="004A1847">
      <w:pPr>
        <w:spacing w:after="0" w:line="240" w:lineRule="auto"/>
      </w:pPr>
      <w:r>
        <w:separator/>
      </w:r>
    </w:p>
  </w:footnote>
  <w:footnote w:type="continuationSeparator" w:id="0">
    <w:p w14:paraId="2505BCB9" w14:textId="77777777" w:rsidR="003E3DF9" w:rsidRDefault="003E3DF9" w:rsidP="004A1847">
      <w:pPr>
        <w:spacing w:after="0" w:line="240" w:lineRule="auto"/>
      </w:pPr>
      <w:r>
        <w:continuationSeparator/>
      </w:r>
    </w:p>
  </w:footnote>
  <w:footnote w:id="1">
    <w:p w14:paraId="3C600B1F" w14:textId="77777777" w:rsidR="007D4515" w:rsidRPr="00CE5CFC" w:rsidRDefault="007D4515" w:rsidP="007D4515">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Consejo de Estado. Sección Segunda. Sentencia del 9 de septiembre de 2021. Expediente No. 05001-23-33-000-2013-01143-01(1317-16). M.P. Dra. Sandra Lisset Ibarra Vélez.</w:t>
      </w:r>
    </w:p>
    <w:p w14:paraId="4B977B07" w14:textId="77777777" w:rsidR="007D4515" w:rsidRPr="00CE5CFC" w:rsidRDefault="007D4515" w:rsidP="007D4515">
      <w:pPr>
        <w:pStyle w:val="Textonotapie"/>
        <w:ind w:firstLine="709"/>
        <w:jc w:val="both"/>
        <w:rPr>
          <w:rFonts w:ascii="Verdana" w:hAnsi="Verdana" w:cs="Arial"/>
          <w:sz w:val="16"/>
          <w:szCs w:val="16"/>
        </w:rPr>
      </w:pPr>
    </w:p>
  </w:footnote>
  <w:footnote w:id="2">
    <w:p w14:paraId="0D57A26C" w14:textId="77777777" w:rsidR="007D4515" w:rsidRDefault="007D4515" w:rsidP="007D4515">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75FECBC5" w14:textId="77777777" w:rsidR="007D4515" w:rsidRPr="00CE5CFC" w:rsidRDefault="007D4515" w:rsidP="007D4515">
      <w:pPr>
        <w:pStyle w:val="Textonotapie"/>
        <w:ind w:firstLine="709"/>
        <w:jc w:val="both"/>
        <w:rPr>
          <w:rFonts w:ascii="Verdana" w:hAnsi="Verdana" w:cs="Arial"/>
          <w:sz w:val="16"/>
          <w:szCs w:val="16"/>
          <w:lang w:val="es-ES_tradnl"/>
        </w:rPr>
      </w:pPr>
    </w:p>
  </w:footnote>
  <w:footnote w:id="3">
    <w:p w14:paraId="4ADC29CB" w14:textId="77777777" w:rsidR="007D4515" w:rsidRPr="00CE5CFC" w:rsidRDefault="007D4515" w:rsidP="007D4515">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7B3C39DE" w14:textId="77777777" w:rsidR="007D4515" w:rsidRPr="00CE5CFC" w:rsidRDefault="007D4515" w:rsidP="007D4515">
      <w:pPr>
        <w:pStyle w:val="Textonotapie"/>
        <w:ind w:firstLine="709"/>
        <w:jc w:val="both"/>
        <w:rPr>
          <w:rFonts w:ascii="Verdana" w:hAnsi="Verdana" w:cs="Arial"/>
          <w:sz w:val="16"/>
          <w:szCs w:val="16"/>
          <w:lang w:val="es-ES"/>
        </w:rPr>
      </w:pPr>
    </w:p>
  </w:footnote>
  <w:footnote w:id="4">
    <w:p w14:paraId="5084F3C8" w14:textId="77777777" w:rsidR="007D4515" w:rsidRPr="00CE5CFC" w:rsidRDefault="007D4515" w:rsidP="007D4515">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17891C7F" w14:textId="77777777" w:rsidR="007D4515" w:rsidRPr="00CE5CFC" w:rsidRDefault="007D4515" w:rsidP="007D4515">
      <w:pPr>
        <w:pStyle w:val="Textonotapie"/>
        <w:ind w:firstLine="709"/>
        <w:jc w:val="both"/>
        <w:rPr>
          <w:rFonts w:ascii="Verdana" w:hAnsi="Verdana" w:cs="Arial"/>
          <w:sz w:val="16"/>
          <w:szCs w:val="16"/>
          <w:lang w:val="es-ES"/>
        </w:rPr>
      </w:pPr>
    </w:p>
    <w:p w14:paraId="0216E9A4" w14:textId="77777777" w:rsidR="007D4515" w:rsidRPr="00CE5CFC" w:rsidRDefault="007D4515" w:rsidP="007D4515">
      <w:pPr>
        <w:pStyle w:val="Textonotapie"/>
        <w:ind w:firstLine="709"/>
        <w:jc w:val="both"/>
        <w:rPr>
          <w:rFonts w:ascii="Verdana" w:hAnsi="Verdana" w:cs="Arial"/>
          <w:sz w:val="16"/>
          <w:szCs w:val="16"/>
          <w:lang w:val="es-ES"/>
        </w:rPr>
      </w:pPr>
      <w:r w:rsidRPr="00CE5CFC">
        <w:rPr>
          <w:rFonts w:ascii="Verdana" w:hAnsi="Verdana"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440DE037" w14:textId="77777777" w:rsidR="007D4515" w:rsidRPr="00CE5CFC" w:rsidRDefault="007D4515" w:rsidP="007D4515">
      <w:pPr>
        <w:pStyle w:val="Textonotapie"/>
        <w:ind w:firstLine="709"/>
        <w:jc w:val="both"/>
        <w:rPr>
          <w:rFonts w:ascii="Verdana" w:hAnsi="Verdana" w:cs="Arial"/>
          <w:sz w:val="16"/>
          <w:szCs w:val="16"/>
          <w:lang w:val="es-ES"/>
        </w:rPr>
      </w:pPr>
    </w:p>
    <w:p w14:paraId="635F7B31" w14:textId="77777777" w:rsidR="007D4515" w:rsidRPr="00CE5CFC" w:rsidRDefault="007D4515" w:rsidP="007D4515">
      <w:pPr>
        <w:pStyle w:val="Textonotapie"/>
        <w:ind w:firstLine="709"/>
        <w:jc w:val="both"/>
        <w:rPr>
          <w:rFonts w:ascii="Verdana" w:hAnsi="Verdana" w:cs="Arial"/>
          <w:sz w:val="16"/>
          <w:szCs w:val="16"/>
          <w:lang w:val="es-ES"/>
        </w:rPr>
      </w:pPr>
      <w:r w:rsidRPr="00CE5CFC">
        <w:rPr>
          <w:rFonts w:ascii="Verdana" w:hAnsi="Verdana" w:cs="Arial"/>
          <w:sz w:val="16"/>
          <w:szCs w:val="16"/>
          <w:lang w:val="es-ES"/>
        </w:rPr>
        <w:t>El Gobierno nacional reglamentará el mecanismo para realizar la mensualización de que trata el presente artículo.</w:t>
      </w:r>
    </w:p>
    <w:p w14:paraId="6105F624" w14:textId="77777777" w:rsidR="007D4515" w:rsidRDefault="007D4515" w:rsidP="007D4515">
      <w:pPr>
        <w:pStyle w:val="Textonotapie"/>
        <w:ind w:firstLine="709"/>
        <w:jc w:val="both"/>
        <w:rPr>
          <w:rFonts w:ascii="Verdana" w:hAnsi="Verdana" w:cs="Arial"/>
          <w:sz w:val="16"/>
          <w:szCs w:val="16"/>
          <w:lang w:val="pt-BR"/>
        </w:rPr>
      </w:pPr>
      <w:r w:rsidRPr="00CE5CFC">
        <w:rPr>
          <w:rFonts w:ascii="Verdana" w:hAnsi="Verdana" w:cs="Arial"/>
          <w:sz w:val="16"/>
          <w:szCs w:val="16"/>
          <w:lang w:val="pt-BR"/>
        </w:rPr>
        <w:t>[…]”.</w:t>
      </w:r>
    </w:p>
    <w:p w14:paraId="3CC0C022" w14:textId="77777777" w:rsidR="007D4515" w:rsidRPr="00CE5CFC" w:rsidRDefault="007D4515" w:rsidP="007D4515">
      <w:pPr>
        <w:pStyle w:val="Textonotapie"/>
        <w:ind w:firstLine="709"/>
        <w:jc w:val="both"/>
        <w:rPr>
          <w:rFonts w:ascii="Verdana" w:hAnsi="Verdana" w:cs="Arial"/>
          <w:sz w:val="16"/>
          <w:szCs w:val="16"/>
          <w:lang w:val="pt-BR"/>
        </w:rPr>
      </w:pPr>
    </w:p>
  </w:footnote>
  <w:footnote w:id="5">
    <w:p w14:paraId="4997B842" w14:textId="77777777" w:rsidR="007D4515" w:rsidRPr="00CE5CFC" w:rsidRDefault="007D4515" w:rsidP="007D4515">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lang w:val="pt-BR"/>
        </w:rPr>
        <w:t xml:space="preserve"> Corte Constitucional. Sentencia C-154 de 1997. </w:t>
      </w:r>
      <w:r w:rsidRPr="00CE5CFC">
        <w:rPr>
          <w:rFonts w:ascii="Verdana" w:hAnsi="Verdana" w:cs="Arial"/>
          <w:sz w:val="16"/>
          <w:szCs w:val="16"/>
          <w:lang w:val="es-ES"/>
        </w:rPr>
        <w:t>MP: Hernando Herrera Vergara.</w:t>
      </w:r>
    </w:p>
  </w:footnote>
  <w:footnote w:id="6">
    <w:p w14:paraId="5C84A8FF" w14:textId="77777777" w:rsidR="007D4515" w:rsidRPr="00CE5CFC" w:rsidRDefault="007D4515" w:rsidP="007D4515">
      <w:pPr>
        <w:pStyle w:val="Textonotapie"/>
        <w:ind w:firstLine="709"/>
        <w:jc w:val="both"/>
        <w:rPr>
          <w:rFonts w:ascii="Verdana" w:hAnsi="Verdana" w:cs="Arial"/>
          <w:sz w:val="16"/>
          <w:szCs w:val="16"/>
        </w:rPr>
      </w:pPr>
    </w:p>
    <w:p w14:paraId="6854237D" w14:textId="77777777" w:rsidR="007D4515" w:rsidRPr="00CE5CFC" w:rsidRDefault="007D4515" w:rsidP="007D4515">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Ibíd.</w:t>
      </w:r>
    </w:p>
    <w:p w14:paraId="7EE25EFA" w14:textId="77777777" w:rsidR="007D4515" w:rsidRPr="00CE5CFC" w:rsidRDefault="007D4515" w:rsidP="007D4515">
      <w:pPr>
        <w:pStyle w:val="Textonotapie"/>
        <w:ind w:firstLine="709"/>
        <w:jc w:val="both"/>
        <w:rPr>
          <w:rFonts w:ascii="Verdana" w:hAnsi="Verdana" w:cs="Arial"/>
          <w:sz w:val="16"/>
          <w:szCs w:val="16"/>
          <w:lang w:val="es-ES"/>
        </w:rPr>
      </w:pPr>
    </w:p>
  </w:footnote>
  <w:footnote w:id="7">
    <w:p w14:paraId="4D62A497" w14:textId="77777777" w:rsidR="007D4515" w:rsidRPr="00CE5CFC" w:rsidRDefault="007D4515" w:rsidP="007D4515">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7D4515">
        <w:rPr>
          <w:rFonts w:ascii="Verdana" w:hAnsi="Verdana" w:cs="Arial"/>
          <w:color w:val="000000"/>
          <w:sz w:val="16"/>
          <w:szCs w:val="16"/>
          <w:lang w:val="es-ES"/>
        </w:rPr>
        <w:t>CONSEJO DE ESTADO. Sección Tercera. Subsección C. Sentencia de Unificación del 2 de diciembre de 2013. Exp. 41.719. C.P. Jaime Orlando Santofimio Gamboa.</w:t>
      </w:r>
      <w:r w:rsidRPr="00CE5CFC">
        <w:rPr>
          <w:rFonts w:ascii="Verdana" w:hAnsi="Verdana" w:cs="Arial"/>
          <w:sz w:val="16"/>
          <w:szCs w:val="16"/>
        </w:rPr>
        <w:t xml:space="preserve"> </w:t>
      </w:r>
    </w:p>
    <w:p w14:paraId="5C5113CA" w14:textId="77777777" w:rsidR="007D4515" w:rsidRPr="00CE5CFC" w:rsidRDefault="007D4515" w:rsidP="007D4515">
      <w:pPr>
        <w:pStyle w:val="Textonotapie"/>
        <w:ind w:firstLine="709"/>
        <w:jc w:val="both"/>
        <w:rPr>
          <w:rFonts w:ascii="Verdana" w:hAnsi="Verdana" w:cs="Arial"/>
          <w:sz w:val="16"/>
          <w:szCs w:val="16"/>
        </w:rPr>
      </w:pPr>
    </w:p>
    <w:p w14:paraId="2D710B8B" w14:textId="77777777" w:rsidR="007D4515" w:rsidRPr="00CE5CFC" w:rsidRDefault="007D4515" w:rsidP="007D4515">
      <w:pPr>
        <w:pStyle w:val="Textonotapie"/>
        <w:ind w:firstLine="709"/>
        <w:jc w:val="both"/>
        <w:rPr>
          <w:rFonts w:ascii="Verdana" w:hAnsi="Verdana" w:cs="Arial"/>
          <w:sz w:val="16"/>
          <w:szCs w:val="16"/>
          <w:lang w:val="es-ES"/>
        </w:rPr>
      </w:pPr>
      <w:r w:rsidRPr="00CE5CFC">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64D4A132" w14:textId="77777777" w:rsidR="007D4515" w:rsidRPr="00CE5CFC" w:rsidRDefault="007D4515" w:rsidP="007D4515">
      <w:pPr>
        <w:pStyle w:val="Textonotapie"/>
        <w:ind w:firstLine="709"/>
        <w:jc w:val="both"/>
        <w:rPr>
          <w:rFonts w:ascii="Verdana" w:hAnsi="Verdana" w:cs="Arial"/>
          <w:sz w:val="16"/>
          <w:szCs w:val="16"/>
          <w:lang w:val="es-ES"/>
        </w:rPr>
      </w:pPr>
    </w:p>
    <w:p w14:paraId="4C38E2DD" w14:textId="77777777" w:rsidR="007D4515" w:rsidRPr="00CE5CFC" w:rsidRDefault="007D4515" w:rsidP="007D4515">
      <w:pPr>
        <w:pStyle w:val="Textonotapie"/>
        <w:ind w:firstLine="709"/>
        <w:jc w:val="both"/>
        <w:rPr>
          <w:rFonts w:ascii="Verdana" w:hAnsi="Verdana" w:cs="Arial"/>
          <w:sz w:val="16"/>
          <w:szCs w:val="16"/>
          <w:lang w:val="es-ES"/>
        </w:rPr>
      </w:pPr>
      <w:r w:rsidRPr="00CE5CFC">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3D64211C" w14:textId="77777777" w:rsidR="007D4515" w:rsidRPr="00CE5CFC" w:rsidRDefault="007D4515" w:rsidP="007D4515">
      <w:pPr>
        <w:pStyle w:val="Textonotapie"/>
        <w:ind w:firstLine="709"/>
        <w:jc w:val="both"/>
        <w:rPr>
          <w:rFonts w:ascii="Verdana" w:hAnsi="Verdana" w:cs="Arial"/>
          <w:sz w:val="16"/>
          <w:szCs w:val="16"/>
          <w:lang w:val="es-ES"/>
        </w:rPr>
      </w:pPr>
    </w:p>
    <w:p w14:paraId="45570D6F" w14:textId="77777777" w:rsidR="007D4515" w:rsidRPr="00CE5CFC" w:rsidRDefault="007D4515" w:rsidP="007D4515">
      <w:pPr>
        <w:pStyle w:val="Textonotapie"/>
        <w:ind w:firstLine="709"/>
        <w:jc w:val="both"/>
        <w:rPr>
          <w:rFonts w:ascii="Verdana" w:hAnsi="Verdana" w:cs="Arial"/>
          <w:sz w:val="16"/>
          <w:szCs w:val="16"/>
          <w:lang w:val="es-ES"/>
        </w:rPr>
      </w:pPr>
      <w:r w:rsidRPr="00CE5CFC">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37AB2222" w14:textId="77777777" w:rsidR="007D4515" w:rsidRPr="00CE5CFC" w:rsidRDefault="007D4515" w:rsidP="007D4515">
      <w:pPr>
        <w:pStyle w:val="Textonotapie"/>
        <w:ind w:firstLine="709"/>
        <w:jc w:val="both"/>
        <w:rPr>
          <w:rFonts w:ascii="Verdana" w:hAnsi="Verdana" w:cs="Arial"/>
          <w:sz w:val="16"/>
          <w:szCs w:val="16"/>
          <w:lang w:val="es-ES"/>
        </w:rPr>
      </w:pPr>
    </w:p>
  </w:footnote>
  <w:footnote w:id="8">
    <w:p w14:paraId="3B493EC7" w14:textId="77777777" w:rsidR="007D4515" w:rsidRPr="00CE5CFC" w:rsidRDefault="007D4515" w:rsidP="007D4515">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03FA3CA0" w14:textId="77777777" w:rsidR="007D4515" w:rsidRPr="00CE5CFC" w:rsidRDefault="007D4515" w:rsidP="007D4515">
      <w:pPr>
        <w:pStyle w:val="Textonotapie"/>
        <w:ind w:firstLine="709"/>
        <w:jc w:val="both"/>
        <w:rPr>
          <w:rFonts w:ascii="Verdana" w:hAnsi="Verdana" w:cs="Arial"/>
          <w:sz w:val="16"/>
          <w:szCs w:val="16"/>
          <w:lang w:val="es-ES"/>
        </w:rPr>
      </w:pPr>
      <w:r w:rsidRPr="00CE5CFC">
        <w:rPr>
          <w:rFonts w:ascii="Verdana" w:hAnsi="Verdana" w:cs="Arial"/>
          <w:sz w:val="16"/>
          <w:szCs w:val="16"/>
          <w:lang w:val="es-ES"/>
        </w:rPr>
        <w:t>1. La causal que invoca para contratar directamente.</w:t>
      </w:r>
    </w:p>
    <w:p w14:paraId="31F481EB" w14:textId="77777777" w:rsidR="007D4515" w:rsidRPr="00CE5CFC" w:rsidRDefault="007D4515" w:rsidP="007D4515">
      <w:pPr>
        <w:pStyle w:val="Textonotapie"/>
        <w:ind w:firstLine="709"/>
        <w:jc w:val="both"/>
        <w:rPr>
          <w:rFonts w:ascii="Verdana" w:hAnsi="Verdana" w:cs="Arial"/>
          <w:sz w:val="16"/>
          <w:szCs w:val="16"/>
          <w:lang w:val="es-ES"/>
        </w:rPr>
      </w:pPr>
      <w:r w:rsidRPr="00CE5CFC">
        <w:rPr>
          <w:rFonts w:ascii="Verdana" w:hAnsi="Verdana" w:cs="Arial"/>
          <w:sz w:val="16"/>
          <w:szCs w:val="16"/>
          <w:lang w:val="es-ES"/>
        </w:rPr>
        <w:t>2. El objeto del contrato.</w:t>
      </w:r>
    </w:p>
    <w:p w14:paraId="0C28EC44" w14:textId="77777777" w:rsidR="007D4515" w:rsidRPr="00CE5CFC" w:rsidRDefault="007D4515" w:rsidP="007D4515">
      <w:pPr>
        <w:pStyle w:val="Textonotapie"/>
        <w:ind w:firstLine="709"/>
        <w:jc w:val="both"/>
        <w:rPr>
          <w:rFonts w:ascii="Verdana" w:hAnsi="Verdana" w:cs="Arial"/>
          <w:sz w:val="16"/>
          <w:szCs w:val="16"/>
          <w:lang w:val="es-ES"/>
        </w:rPr>
      </w:pPr>
      <w:r w:rsidRPr="00CE5CFC">
        <w:rPr>
          <w:rFonts w:ascii="Verdana" w:hAnsi="Verdana" w:cs="Arial"/>
          <w:sz w:val="16"/>
          <w:szCs w:val="16"/>
          <w:lang w:val="es-ES"/>
        </w:rPr>
        <w:t>3. El presupuesto para la contratación y las condiciones que exigirá al contratista.</w:t>
      </w:r>
    </w:p>
    <w:p w14:paraId="18FCA2A7" w14:textId="77777777" w:rsidR="007D4515" w:rsidRPr="00CE5CFC" w:rsidRDefault="007D4515" w:rsidP="007D4515">
      <w:pPr>
        <w:pStyle w:val="Textonotapie"/>
        <w:ind w:firstLine="709"/>
        <w:jc w:val="both"/>
        <w:rPr>
          <w:rFonts w:ascii="Verdana" w:hAnsi="Verdana" w:cs="Arial"/>
          <w:sz w:val="16"/>
          <w:szCs w:val="16"/>
          <w:lang w:val="es-ES"/>
        </w:rPr>
      </w:pPr>
      <w:r w:rsidRPr="00CE5CFC">
        <w:rPr>
          <w:rFonts w:ascii="Verdana" w:hAnsi="Verdana" w:cs="Arial"/>
          <w:sz w:val="16"/>
          <w:szCs w:val="16"/>
          <w:lang w:val="es-ES"/>
        </w:rPr>
        <w:t>4. El lugar en el cual los interesados pueden consultar los estudios y documentos previos.</w:t>
      </w:r>
    </w:p>
    <w:p w14:paraId="2EF8B21E" w14:textId="77777777" w:rsidR="007D4515" w:rsidRPr="00CE5CFC" w:rsidRDefault="007D4515" w:rsidP="007D4515">
      <w:pPr>
        <w:pStyle w:val="Textonotapie"/>
        <w:ind w:firstLine="709"/>
        <w:jc w:val="both"/>
        <w:rPr>
          <w:rFonts w:ascii="Verdana" w:hAnsi="Verdana" w:cs="Arial"/>
          <w:sz w:val="16"/>
          <w:szCs w:val="16"/>
          <w:lang w:val="es-ES"/>
        </w:rPr>
      </w:pPr>
    </w:p>
    <w:p w14:paraId="15D5ED63" w14:textId="77777777" w:rsidR="007D4515" w:rsidRPr="00CE5CFC" w:rsidRDefault="007D4515" w:rsidP="007D4515">
      <w:pPr>
        <w:pStyle w:val="Textonotapie"/>
        <w:ind w:firstLine="709"/>
        <w:jc w:val="both"/>
        <w:rPr>
          <w:rFonts w:ascii="Verdana" w:hAnsi="Verdana" w:cs="Arial"/>
          <w:sz w:val="16"/>
          <w:szCs w:val="16"/>
          <w:lang w:val="es-ES"/>
        </w:rPr>
      </w:pPr>
      <w:r w:rsidRPr="00CE5CFC">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9">
    <w:p w14:paraId="4B00A331" w14:textId="77777777" w:rsidR="007D4515" w:rsidRPr="00CE5CFC" w:rsidRDefault="007D4515" w:rsidP="007D4515">
      <w:pPr>
        <w:pStyle w:val="Textonotapie"/>
        <w:ind w:firstLine="709"/>
        <w:jc w:val="both"/>
        <w:rPr>
          <w:rFonts w:ascii="Verdana" w:hAnsi="Verdana" w:cs="Arial"/>
          <w:sz w:val="16"/>
          <w:szCs w:val="16"/>
        </w:rPr>
      </w:pPr>
    </w:p>
    <w:p w14:paraId="7281596D" w14:textId="77777777" w:rsidR="007D4515" w:rsidRPr="00CE5CFC" w:rsidRDefault="007D4515" w:rsidP="007D4515">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 xml:space="preserve">La norma expresa: “Art. 14. </w:t>
      </w:r>
      <w:r w:rsidRPr="00CE5CFC">
        <w:rPr>
          <w:rFonts w:ascii="Verdana" w:hAnsi="Verdana" w:cs="Arial"/>
          <w:sz w:val="16"/>
          <w:szCs w:val="16"/>
        </w:rPr>
        <w:t>P</w:t>
      </w:r>
      <w:r w:rsidRPr="00CE5CFC">
        <w:rPr>
          <w:rFonts w:ascii="Verdana" w:hAnsi="Verdana" w:cs="Arial"/>
          <w:sz w:val="16"/>
          <w:szCs w:val="16"/>
          <w:lang w:val="es-ES"/>
        </w:rPr>
        <w:t>ara el cumplimiento de los fines de la contratación, las entidades estatales al celebrar un contrato:</w:t>
      </w:r>
    </w:p>
    <w:p w14:paraId="6750A780" w14:textId="77777777" w:rsidR="007D4515" w:rsidRPr="00CE5CFC" w:rsidRDefault="007D4515" w:rsidP="007D4515">
      <w:pPr>
        <w:pStyle w:val="Textonotapie"/>
        <w:ind w:firstLine="709"/>
        <w:jc w:val="both"/>
        <w:rPr>
          <w:rFonts w:ascii="Verdana" w:hAnsi="Verdana" w:cs="Arial"/>
          <w:sz w:val="16"/>
          <w:szCs w:val="16"/>
          <w:lang w:val="es-ES"/>
        </w:rPr>
      </w:pPr>
      <w:r w:rsidRPr="00CE5CFC">
        <w:rPr>
          <w:rFonts w:ascii="Verdana" w:hAnsi="Verdana" w:cs="Arial"/>
          <w:sz w:val="16"/>
          <w:szCs w:val="16"/>
          <w:lang w:val="es-ES"/>
        </w:rPr>
        <w:t>[…]</w:t>
      </w:r>
    </w:p>
    <w:p w14:paraId="1C36D1EA" w14:textId="77777777" w:rsidR="007D4515" w:rsidRPr="00CE5CFC" w:rsidRDefault="007D4515" w:rsidP="007D4515">
      <w:pPr>
        <w:pStyle w:val="Textonotapie"/>
        <w:ind w:firstLine="709"/>
        <w:jc w:val="both"/>
        <w:rPr>
          <w:rFonts w:ascii="Verdana" w:hAnsi="Verdana" w:cs="Arial"/>
          <w:sz w:val="16"/>
          <w:szCs w:val="16"/>
          <w:lang w:val="es-ES"/>
        </w:rPr>
      </w:pPr>
      <w:r w:rsidRPr="00CE5CFC">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7E1FAD82" w14:textId="77777777" w:rsidR="007D4515" w:rsidRPr="00CE5CFC" w:rsidRDefault="007D4515" w:rsidP="007D4515">
      <w:pPr>
        <w:pStyle w:val="Textonotapie"/>
        <w:ind w:firstLine="709"/>
        <w:jc w:val="both"/>
        <w:rPr>
          <w:rFonts w:ascii="Verdana" w:hAnsi="Verdana" w:cs="Arial"/>
          <w:sz w:val="16"/>
          <w:szCs w:val="16"/>
          <w:lang w:val="es-ES"/>
        </w:rPr>
      </w:pPr>
    </w:p>
    <w:p w14:paraId="20505A93" w14:textId="77777777" w:rsidR="007D4515" w:rsidRPr="00CE5CFC" w:rsidRDefault="007D4515" w:rsidP="007D4515">
      <w:pPr>
        <w:pStyle w:val="Textonotapie"/>
        <w:ind w:firstLine="709"/>
        <w:jc w:val="both"/>
        <w:rPr>
          <w:rFonts w:ascii="Verdana" w:hAnsi="Verdana" w:cs="Arial"/>
          <w:sz w:val="16"/>
          <w:szCs w:val="16"/>
          <w:lang w:val="es-ES"/>
        </w:rPr>
      </w:pPr>
      <w:r w:rsidRPr="00CE5CFC">
        <w:rPr>
          <w:rFonts w:ascii="Verdana" w:hAnsi="Verdana" w:cs="Arial"/>
          <w:sz w:val="16"/>
          <w:szCs w:val="16"/>
          <w:lang w:val="es-ES"/>
        </w:rPr>
        <w:t>Las entidades estatales podrán pactar estas cláusulas en los contratos de suministro y de prestación de servicios.</w:t>
      </w:r>
    </w:p>
    <w:p w14:paraId="45AF871A" w14:textId="77777777" w:rsidR="007D4515" w:rsidRPr="00CE5CFC" w:rsidRDefault="007D4515" w:rsidP="007D4515">
      <w:pPr>
        <w:pStyle w:val="Textonotapie"/>
        <w:ind w:firstLine="709"/>
        <w:jc w:val="both"/>
        <w:rPr>
          <w:rFonts w:ascii="Verdana" w:hAnsi="Verdana" w:cs="Arial"/>
          <w:sz w:val="16"/>
          <w:szCs w:val="16"/>
          <w:lang w:val="es-ES"/>
        </w:rPr>
      </w:pPr>
      <w:r w:rsidRPr="00CE5CFC">
        <w:rPr>
          <w:rFonts w:ascii="Verdana" w:hAnsi="Verdana" w:cs="Arial"/>
          <w:sz w:val="16"/>
          <w:szCs w:val="16"/>
          <w:lang w:val="es-ES"/>
        </w:rPr>
        <w:t>[…]”.</w:t>
      </w:r>
    </w:p>
    <w:p w14:paraId="79DED825" w14:textId="77777777" w:rsidR="007D4515" w:rsidRPr="00CE5CFC" w:rsidRDefault="007D4515" w:rsidP="007D4515">
      <w:pPr>
        <w:pStyle w:val="Textonotapie"/>
        <w:ind w:firstLine="709"/>
        <w:jc w:val="both"/>
        <w:rPr>
          <w:rFonts w:ascii="Verdana" w:hAnsi="Verdana" w:cs="Arial"/>
          <w:sz w:val="16"/>
          <w:szCs w:val="16"/>
          <w:lang w:val="es-ES"/>
        </w:rPr>
      </w:pPr>
    </w:p>
  </w:footnote>
  <w:footnote w:id="10">
    <w:p w14:paraId="7516EC43" w14:textId="77777777" w:rsidR="007D4515" w:rsidRPr="00CE5CFC" w:rsidRDefault="007D4515" w:rsidP="007D4515">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0B72CB0B" w14:textId="77777777" w:rsidR="007D4515" w:rsidRPr="00CE5CFC" w:rsidRDefault="007D4515" w:rsidP="007D4515">
      <w:pPr>
        <w:pStyle w:val="Textonotapie"/>
        <w:ind w:firstLine="709"/>
        <w:jc w:val="both"/>
        <w:rPr>
          <w:rFonts w:ascii="Verdana" w:hAnsi="Verdana" w:cs="Arial"/>
          <w:sz w:val="16"/>
          <w:szCs w:val="16"/>
          <w:lang w:val="es-ES"/>
        </w:rPr>
      </w:pPr>
    </w:p>
  </w:footnote>
  <w:footnote w:id="11">
    <w:p w14:paraId="4DE40C7C" w14:textId="77777777" w:rsidR="007D4515" w:rsidRPr="00CE5CFC" w:rsidRDefault="007D4515" w:rsidP="007D4515">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40BFC052" w14:textId="77777777" w:rsidR="007D4515" w:rsidRPr="00CE5CFC" w:rsidRDefault="007D4515" w:rsidP="007D4515">
      <w:pPr>
        <w:pStyle w:val="Textonotapie"/>
        <w:ind w:firstLine="709"/>
        <w:jc w:val="both"/>
        <w:rPr>
          <w:rFonts w:ascii="Verdana" w:hAnsi="Verdana" w:cs="Arial"/>
          <w:sz w:val="16"/>
          <w:szCs w:val="16"/>
        </w:rPr>
      </w:pPr>
    </w:p>
    <w:p w14:paraId="1741EA60" w14:textId="77777777" w:rsidR="007D4515" w:rsidRPr="00CE5CFC" w:rsidRDefault="007D4515" w:rsidP="007D4515">
      <w:pPr>
        <w:pStyle w:val="Textonotapie"/>
        <w:ind w:firstLine="709"/>
        <w:jc w:val="both"/>
        <w:rPr>
          <w:rFonts w:ascii="Verdana" w:hAnsi="Verdana" w:cs="Arial"/>
          <w:sz w:val="16"/>
          <w:szCs w:val="16"/>
        </w:rPr>
      </w:pPr>
      <w:r w:rsidRPr="00CE5CFC">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56C91D85" w14:textId="77777777" w:rsidR="007D4515" w:rsidRPr="00CE5CFC" w:rsidRDefault="007D4515" w:rsidP="007D4515">
      <w:pPr>
        <w:pStyle w:val="Textonotapie"/>
        <w:ind w:firstLine="709"/>
        <w:jc w:val="both"/>
        <w:rPr>
          <w:rFonts w:ascii="Verdana" w:hAnsi="Verdana" w:cs="Arial"/>
          <w:sz w:val="16"/>
          <w:szCs w:val="16"/>
        </w:rPr>
      </w:pPr>
      <w:r w:rsidRPr="00CE5CFC">
        <w:rPr>
          <w:rFonts w:ascii="Verdana" w:hAnsi="Verdana" w:cs="Arial"/>
          <w:sz w:val="16"/>
          <w:szCs w:val="16"/>
        </w:rPr>
        <w:t>[…]”.</w:t>
      </w:r>
    </w:p>
    <w:p w14:paraId="7C7E5D71" w14:textId="77777777" w:rsidR="007D4515" w:rsidRPr="00CE5CFC" w:rsidRDefault="007D4515" w:rsidP="007D4515">
      <w:pPr>
        <w:pStyle w:val="Textonotapie"/>
        <w:ind w:firstLine="709"/>
        <w:jc w:val="both"/>
        <w:rPr>
          <w:rFonts w:ascii="Verdana" w:hAnsi="Verdana" w:cs="Arial"/>
          <w:sz w:val="16"/>
          <w:szCs w:val="16"/>
          <w:lang w:val="es-ES"/>
        </w:rPr>
      </w:pPr>
    </w:p>
  </w:footnote>
  <w:footnote w:id="12">
    <w:p w14:paraId="16D3A7FF" w14:textId="77777777" w:rsidR="007D4515" w:rsidRPr="00CE5CFC" w:rsidRDefault="007D4515" w:rsidP="007D4515">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50E0A37F" w14:textId="77777777" w:rsidR="007D4515" w:rsidRPr="00CE5CFC" w:rsidRDefault="007D4515" w:rsidP="007D4515">
      <w:pPr>
        <w:pStyle w:val="Textonotapie"/>
        <w:ind w:firstLine="709"/>
        <w:jc w:val="both"/>
        <w:rPr>
          <w:rFonts w:ascii="Verdana" w:hAnsi="Verdana" w:cs="Arial"/>
          <w:sz w:val="16"/>
          <w:szCs w:val="16"/>
          <w:lang w:val="es-ES"/>
        </w:rPr>
      </w:pPr>
    </w:p>
  </w:footnote>
  <w:footnote w:id="13">
    <w:p w14:paraId="54ED3260" w14:textId="77777777" w:rsidR="007D4515" w:rsidRPr="007D4515" w:rsidRDefault="007D4515" w:rsidP="007D4515">
      <w:pPr>
        <w:pStyle w:val="Textonotapie"/>
        <w:ind w:firstLine="709"/>
        <w:jc w:val="both"/>
        <w:rPr>
          <w:rFonts w:ascii="Verdana" w:hAnsi="Verdana" w:cs="Arial"/>
          <w:color w:val="000000"/>
          <w:sz w:val="16"/>
          <w:szCs w:val="16"/>
          <w:lang w:val="es-ES"/>
        </w:rPr>
      </w:pPr>
      <w:r w:rsidRPr="007D4515">
        <w:rPr>
          <w:rStyle w:val="Refdenotaalpie"/>
          <w:rFonts w:ascii="Verdana" w:hAnsi="Verdana" w:cs="Arial"/>
          <w:color w:val="000000"/>
          <w:sz w:val="16"/>
          <w:szCs w:val="16"/>
        </w:rPr>
        <w:footnoteRef/>
      </w:r>
      <w:r w:rsidRPr="007D4515">
        <w:rPr>
          <w:rFonts w:ascii="Verdana" w:hAnsi="Verdana" w:cs="Arial"/>
          <w:color w:val="000000"/>
          <w:sz w:val="16"/>
          <w:szCs w:val="16"/>
        </w:rPr>
        <w:t xml:space="preserve"> </w:t>
      </w:r>
      <w:r w:rsidRPr="007D4515">
        <w:rPr>
          <w:rFonts w:ascii="Verdana" w:hAnsi="Verdana" w:cs="Arial"/>
          <w:color w:val="000000"/>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2AB274A7" w14:textId="77777777" w:rsidR="007D4515" w:rsidRPr="007D4515" w:rsidRDefault="007D4515" w:rsidP="007D4515">
      <w:pPr>
        <w:pStyle w:val="Textonotapie"/>
        <w:ind w:firstLine="709"/>
        <w:jc w:val="both"/>
        <w:rPr>
          <w:rFonts w:ascii="Verdana" w:hAnsi="Verdana" w:cs="Arial"/>
          <w:color w:val="000000"/>
          <w:sz w:val="16"/>
          <w:szCs w:val="16"/>
          <w:lang w:val="es-ES"/>
        </w:rPr>
      </w:pPr>
    </w:p>
    <w:p w14:paraId="1B31F41A" w14:textId="77777777" w:rsidR="007D4515" w:rsidRPr="007D4515" w:rsidRDefault="007D4515" w:rsidP="007D4515">
      <w:pPr>
        <w:pStyle w:val="Textonotapie"/>
        <w:ind w:firstLine="709"/>
        <w:jc w:val="both"/>
        <w:rPr>
          <w:rFonts w:ascii="Verdana" w:hAnsi="Verdana" w:cs="Arial"/>
          <w:color w:val="000000"/>
          <w:sz w:val="16"/>
          <w:szCs w:val="16"/>
          <w:lang w:val="es-ES"/>
        </w:rPr>
      </w:pPr>
      <w:r w:rsidRPr="007D4515">
        <w:rPr>
          <w:rFonts w:ascii="Verdana" w:hAnsi="Verdana" w:cs="Arial"/>
          <w:color w:val="000000"/>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666E3D38" w14:textId="77777777" w:rsidR="007D4515" w:rsidRPr="007D4515" w:rsidRDefault="007D4515" w:rsidP="007D4515">
      <w:pPr>
        <w:pStyle w:val="Textonotapie"/>
        <w:ind w:firstLine="709"/>
        <w:jc w:val="both"/>
        <w:rPr>
          <w:rFonts w:ascii="Verdana" w:hAnsi="Verdana" w:cs="Arial"/>
          <w:color w:val="000000"/>
          <w:sz w:val="16"/>
          <w:szCs w:val="16"/>
          <w:lang w:val="es-ES"/>
        </w:rPr>
      </w:pPr>
    </w:p>
    <w:p w14:paraId="2E2F7AE4" w14:textId="77777777" w:rsidR="007D4515" w:rsidRPr="007D4515" w:rsidRDefault="007D4515" w:rsidP="007D4515">
      <w:pPr>
        <w:pStyle w:val="Textonotapie"/>
        <w:ind w:firstLine="709"/>
        <w:jc w:val="both"/>
        <w:rPr>
          <w:rFonts w:ascii="Verdana" w:hAnsi="Verdana" w:cs="Arial"/>
          <w:color w:val="000000"/>
          <w:sz w:val="16"/>
          <w:szCs w:val="16"/>
          <w:lang w:val="es-ES"/>
        </w:rPr>
      </w:pPr>
      <w:r w:rsidRPr="007D4515">
        <w:rPr>
          <w:rFonts w:ascii="Verdana" w:hAnsi="Verdana" w:cs="Arial"/>
          <w:color w:val="000000"/>
          <w:sz w:val="16"/>
          <w:szCs w:val="16"/>
          <w:lang w:val="es-ES"/>
        </w:rPr>
        <w:t>La Entidad Estatal, para la contratación de trabajos artísticos que solamente puedan en</w:t>
      </w:r>
      <w:r w:rsidRPr="007D4515">
        <w:rPr>
          <w:rFonts w:ascii="Verdana" w:hAnsi="Verdana" w:cs="Arial"/>
          <w:color w:val="000000"/>
          <w:sz w:val="16"/>
          <w:szCs w:val="16"/>
          <w:lang w:val="es-ES"/>
        </w:rPr>
        <w:softHyphen/>
        <w:t>comendarse a determinadas personas naturales, debe justificar esta situación en los estudios y documentos previos”.</w:t>
      </w:r>
    </w:p>
    <w:p w14:paraId="6E8A45BB" w14:textId="77777777" w:rsidR="007D4515" w:rsidRPr="007D4515" w:rsidRDefault="007D4515" w:rsidP="007D4515">
      <w:pPr>
        <w:pStyle w:val="Textonotapie"/>
        <w:ind w:firstLine="709"/>
        <w:jc w:val="both"/>
        <w:rPr>
          <w:rFonts w:ascii="Verdana" w:hAnsi="Verdana" w:cs="Arial"/>
          <w:color w:val="000000"/>
          <w:sz w:val="16"/>
          <w:szCs w:val="16"/>
          <w:lang w:val="es-ES"/>
        </w:rPr>
      </w:pPr>
    </w:p>
  </w:footnote>
  <w:footnote w:id="14">
    <w:p w14:paraId="49A20D05" w14:textId="77777777" w:rsidR="007D4515" w:rsidRPr="007D4515" w:rsidRDefault="007D4515" w:rsidP="007D4515">
      <w:pPr>
        <w:pStyle w:val="Textonotapie"/>
        <w:ind w:firstLine="709"/>
        <w:jc w:val="both"/>
        <w:rPr>
          <w:rFonts w:ascii="Verdana" w:hAnsi="Verdana" w:cs="Arial"/>
          <w:color w:val="000000"/>
          <w:sz w:val="16"/>
          <w:szCs w:val="16"/>
          <w:lang w:val="es-ES"/>
        </w:rPr>
      </w:pPr>
      <w:r w:rsidRPr="007D4515">
        <w:rPr>
          <w:rStyle w:val="Refdenotaalpie"/>
          <w:rFonts w:ascii="Verdana" w:hAnsi="Verdana" w:cs="Arial"/>
          <w:color w:val="000000"/>
          <w:sz w:val="16"/>
          <w:szCs w:val="16"/>
        </w:rPr>
        <w:footnoteRef/>
      </w:r>
      <w:r w:rsidRPr="007D4515">
        <w:rPr>
          <w:rFonts w:ascii="Verdana" w:hAnsi="Verdana" w:cs="Arial"/>
          <w:color w:val="000000"/>
          <w:sz w:val="16"/>
          <w:szCs w:val="16"/>
        </w:rPr>
        <w:t xml:space="preserve"> </w:t>
      </w:r>
      <w:r w:rsidRPr="007D4515">
        <w:rPr>
          <w:rFonts w:ascii="Verdana" w:hAnsi="Verdana" w:cs="Arial"/>
          <w:color w:val="000000"/>
          <w:sz w:val="16"/>
          <w:szCs w:val="16"/>
          <w:lang w:val="es-ES"/>
        </w:rPr>
        <w:t>CONSEJO DE ESTADO. Sección Tercera. Subsección C. Sentencia de Unificación del 2 de diciembre de 2013. Exp. 41.719. C.P. Jaime Orlando Santofimio Gamboa.</w:t>
      </w:r>
    </w:p>
    <w:p w14:paraId="68DA5CD8" w14:textId="77777777" w:rsidR="007D4515" w:rsidRPr="007D4515" w:rsidRDefault="007D4515" w:rsidP="007D4515">
      <w:pPr>
        <w:pStyle w:val="Textonotapie"/>
        <w:ind w:firstLine="709"/>
        <w:jc w:val="both"/>
        <w:rPr>
          <w:rFonts w:ascii="Verdana" w:hAnsi="Verdana" w:cs="Arial"/>
          <w:color w:val="000000"/>
          <w:sz w:val="16"/>
          <w:szCs w:val="16"/>
          <w:lang w:val="es-ES"/>
        </w:rPr>
      </w:pPr>
    </w:p>
  </w:footnote>
  <w:footnote w:id="15">
    <w:p w14:paraId="1C28B71E" w14:textId="77777777" w:rsidR="007D4515" w:rsidRPr="007D4515" w:rsidRDefault="007D4515" w:rsidP="007D4515">
      <w:pPr>
        <w:pStyle w:val="Textonotapie"/>
        <w:ind w:firstLine="709"/>
        <w:jc w:val="both"/>
        <w:rPr>
          <w:rFonts w:ascii="Verdana" w:hAnsi="Verdana" w:cs="Arial"/>
          <w:color w:val="000000"/>
          <w:sz w:val="16"/>
          <w:szCs w:val="16"/>
          <w:lang w:val="es-ES"/>
        </w:rPr>
      </w:pPr>
      <w:r w:rsidRPr="007D4515">
        <w:rPr>
          <w:rStyle w:val="Refdenotaalpie"/>
          <w:rFonts w:ascii="Verdana" w:hAnsi="Verdana" w:cs="Arial"/>
          <w:color w:val="000000"/>
          <w:sz w:val="16"/>
          <w:szCs w:val="16"/>
        </w:rPr>
        <w:footnoteRef/>
      </w:r>
      <w:r w:rsidRPr="007D4515">
        <w:rPr>
          <w:rFonts w:ascii="Verdana" w:hAnsi="Verdana" w:cs="Arial"/>
          <w:color w:val="000000"/>
          <w:sz w:val="16"/>
          <w:szCs w:val="16"/>
        </w:rPr>
        <w:t xml:space="preserve"> </w:t>
      </w:r>
      <w:r w:rsidRPr="007D4515">
        <w:rPr>
          <w:rFonts w:ascii="Verdana" w:hAnsi="Verdana" w:cs="Arial"/>
          <w:i/>
          <w:iCs/>
          <w:color w:val="000000"/>
          <w:sz w:val="16"/>
          <w:szCs w:val="16"/>
          <w:lang w:val="es-ES"/>
        </w:rPr>
        <w:t>Ibíd</w:t>
      </w:r>
      <w:r w:rsidRPr="007D4515">
        <w:rPr>
          <w:rFonts w:ascii="Verdana" w:hAnsi="Verdana" w:cs="Arial"/>
          <w:color w:val="000000"/>
          <w:sz w:val="16"/>
          <w:szCs w:val="16"/>
          <w:lang w:val="es-ES"/>
        </w:rPr>
        <w:t>.</w:t>
      </w:r>
    </w:p>
    <w:p w14:paraId="6105BBE9" w14:textId="77777777" w:rsidR="007D4515" w:rsidRPr="007D4515" w:rsidRDefault="007D4515" w:rsidP="007D4515">
      <w:pPr>
        <w:pStyle w:val="Textonotapie"/>
        <w:ind w:firstLine="709"/>
        <w:jc w:val="both"/>
        <w:rPr>
          <w:rFonts w:ascii="Verdana" w:hAnsi="Verdana" w:cs="Arial"/>
          <w:color w:val="000000"/>
          <w:sz w:val="16"/>
          <w:szCs w:val="16"/>
          <w:lang w:val="es-ES"/>
        </w:rPr>
      </w:pPr>
    </w:p>
  </w:footnote>
  <w:footnote w:id="16">
    <w:p w14:paraId="3406B475" w14:textId="77777777" w:rsidR="007D4515" w:rsidRPr="007D4515" w:rsidRDefault="007D4515" w:rsidP="007D4515">
      <w:pPr>
        <w:pStyle w:val="Textonotapie"/>
        <w:ind w:firstLine="709"/>
        <w:jc w:val="both"/>
        <w:rPr>
          <w:rFonts w:ascii="Verdana" w:hAnsi="Verdana" w:cs="Arial"/>
          <w:color w:val="000000"/>
          <w:sz w:val="16"/>
          <w:szCs w:val="16"/>
          <w:lang w:val="es-ES"/>
        </w:rPr>
      </w:pPr>
      <w:r w:rsidRPr="007D4515">
        <w:rPr>
          <w:rStyle w:val="Refdenotaalpie"/>
          <w:rFonts w:ascii="Verdana" w:hAnsi="Verdana" w:cs="Arial"/>
          <w:color w:val="000000"/>
          <w:sz w:val="16"/>
          <w:szCs w:val="16"/>
        </w:rPr>
        <w:footnoteRef/>
      </w:r>
      <w:r w:rsidRPr="007D4515">
        <w:rPr>
          <w:rFonts w:ascii="Verdana" w:hAnsi="Verdana" w:cs="Arial"/>
          <w:color w:val="000000"/>
          <w:sz w:val="16"/>
          <w:szCs w:val="16"/>
        </w:rPr>
        <w:t xml:space="preserve"> </w:t>
      </w:r>
      <w:r w:rsidRPr="007D4515">
        <w:rPr>
          <w:rFonts w:ascii="Verdana" w:hAnsi="Verdana" w:cs="Arial"/>
          <w:i/>
          <w:iCs/>
          <w:color w:val="000000"/>
          <w:sz w:val="16"/>
          <w:szCs w:val="16"/>
          <w:lang w:val="es-ES"/>
        </w:rPr>
        <w:t>Ibíd</w:t>
      </w:r>
      <w:r w:rsidRPr="007D4515">
        <w:rPr>
          <w:rFonts w:ascii="Verdana" w:hAnsi="Verdana" w:cs="Arial"/>
          <w:color w:val="000000"/>
          <w:sz w:val="16"/>
          <w:szCs w:val="16"/>
          <w:lang w:val="es-ES"/>
        </w:rPr>
        <w:t>.</w:t>
      </w:r>
    </w:p>
  </w:footnote>
  <w:footnote w:id="17">
    <w:p w14:paraId="3C79F8DD" w14:textId="77777777" w:rsidR="00CE45C7" w:rsidRPr="00D71B7F" w:rsidRDefault="00CE45C7" w:rsidP="00CE45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E4D021D" w14:textId="77777777" w:rsidR="00CE45C7" w:rsidRPr="00D71B7F" w:rsidRDefault="00CE45C7" w:rsidP="00CE45C7">
      <w:pPr>
        <w:pStyle w:val="Textonotapie"/>
        <w:ind w:firstLine="709"/>
        <w:jc w:val="both"/>
        <w:rPr>
          <w:rFonts w:ascii="Verdana" w:hAnsi="Verdana" w:cs="Arial"/>
          <w:sz w:val="16"/>
          <w:szCs w:val="16"/>
        </w:rPr>
      </w:pPr>
      <w:r w:rsidRPr="00D71B7F">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5B56E57B" w14:textId="77777777" w:rsidR="00CE45C7" w:rsidRPr="00D71B7F" w:rsidRDefault="00CE45C7" w:rsidP="00CE45C7">
      <w:pPr>
        <w:pStyle w:val="Textonotapie"/>
        <w:ind w:firstLine="709"/>
        <w:jc w:val="both"/>
        <w:rPr>
          <w:rFonts w:ascii="Verdana" w:hAnsi="Verdana" w:cs="Arial"/>
          <w:sz w:val="16"/>
          <w:szCs w:val="16"/>
        </w:rPr>
      </w:pPr>
    </w:p>
  </w:footnote>
  <w:footnote w:id="18">
    <w:p w14:paraId="2FAE7C72" w14:textId="77777777" w:rsidR="00CE45C7" w:rsidRPr="00D71B7F" w:rsidRDefault="00CE45C7" w:rsidP="00CE45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Gaceta del Congreso de la República No. 71 del 2005.</w:t>
      </w:r>
    </w:p>
    <w:p w14:paraId="53E8F64F" w14:textId="77777777" w:rsidR="00CE45C7" w:rsidRPr="00D71B7F" w:rsidRDefault="00CE45C7" w:rsidP="00CE45C7">
      <w:pPr>
        <w:pStyle w:val="Textonotapie"/>
        <w:ind w:firstLine="709"/>
        <w:jc w:val="both"/>
        <w:rPr>
          <w:rFonts w:ascii="Verdana" w:hAnsi="Verdana" w:cs="Arial"/>
          <w:sz w:val="16"/>
          <w:szCs w:val="16"/>
        </w:rPr>
      </w:pPr>
    </w:p>
  </w:footnote>
  <w:footnote w:id="19">
    <w:p w14:paraId="2B3E06D2" w14:textId="77777777" w:rsidR="00CE45C7" w:rsidRPr="00D71B7F" w:rsidRDefault="00CE45C7" w:rsidP="00CE45C7">
      <w:pPr>
        <w:pStyle w:val="Textonotapie"/>
        <w:tabs>
          <w:tab w:val="left" w:pos="8145"/>
        </w:tabs>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Corte Constitucional. Sentencia C- 1153 de 2005, M.P: Marco Gerardo Monroy Cabra.</w:t>
      </w:r>
      <w:r w:rsidRPr="00D71B7F">
        <w:rPr>
          <w:rFonts w:ascii="Verdana" w:hAnsi="Verdana" w:cs="Arial"/>
          <w:sz w:val="16"/>
          <w:szCs w:val="16"/>
          <w:lang w:val="pt-PT"/>
        </w:rPr>
        <w:tab/>
      </w:r>
    </w:p>
    <w:p w14:paraId="05988321" w14:textId="77777777" w:rsidR="00CE45C7" w:rsidRPr="00D71B7F" w:rsidRDefault="00CE45C7" w:rsidP="00CE45C7">
      <w:pPr>
        <w:pStyle w:val="Textonotapie"/>
        <w:tabs>
          <w:tab w:val="left" w:pos="8145"/>
        </w:tabs>
        <w:ind w:firstLine="709"/>
        <w:jc w:val="both"/>
        <w:rPr>
          <w:rFonts w:ascii="Verdana" w:hAnsi="Verdana" w:cs="Arial"/>
          <w:sz w:val="16"/>
          <w:szCs w:val="16"/>
          <w:lang w:val="pt-PT"/>
        </w:rPr>
      </w:pPr>
    </w:p>
  </w:footnote>
  <w:footnote w:id="20">
    <w:p w14:paraId="46EB3E7D" w14:textId="77777777" w:rsidR="00CE45C7" w:rsidRPr="00D71B7F" w:rsidRDefault="00CE45C7" w:rsidP="00CE45C7">
      <w:pPr>
        <w:pStyle w:val="Textonotapie"/>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w:t>
      </w:r>
      <w:r w:rsidRPr="00D71B7F">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49C90F69" w14:textId="77777777" w:rsidR="00CE45C7" w:rsidRPr="00D71B7F" w:rsidRDefault="00CE45C7" w:rsidP="00CE45C7">
      <w:pPr>
        <w:pStyle w:val="Textonotapie"/>
        <w:ind w:firstLine="709"/>
        <w:jc w:val="both"/>
        <w:rPr>
          <w:rFonts w:ascii="Verdana" w:hAnsi="Verdana" w:cs="Arial"/>
          <w:sz w:val="16"/>
          <w:szCs w:val="16"/>
          <w:lang w:val="pt-PT"/>
        </w:rPr>
      </w:pPr>
    </w:p>
  </w:footnote>
  <w:footnote w:id="21">
    <w:p w14:paraId="41610C5B" w14:textId="77777777" w:rsidR="00CE45C7" w:rsidRPr="00D71B7F" w:rsidRDefault="00CE45C7" w:rsidP="00CE45C7">
      <w:pPr>
        <w:pStyle w:val="Textonotapie"/>
        <w:ind w:firstLine="709"/>
        <w:jc w:val="both"/>
        <w:rPr>
          <w:rFonts w:ascii="Verdana" w:hAnsi="Verdana" w:cs="Arial"/>
          <w:sz w:val="16"/>
          <w:szCs w:val="16"/>
          <w:lang w:val="es-CO"/>
        </w:rPr>
      </w:pPr>
      <w:r w:rsidRPr="00D71B7F">
        <w:rPr>
          <w:rStyle w:val="Refdenotaalpie"/>
          <w:rFonts w:ascii="Verdana" w:hAnsi="Verdana" w:cs="Arial"/>
          <w:sz w:val="16"/>
          <w:szCs w:val="16"/>
        </w:rPr>
        <w:footnoteRef/>
      </w:r>
      <w:r w:rsidRPr="00D71B7F">
        <w:rPr>
          <w:rFonts w:ascii="Verdana" w:hAnsi="Verdana" w:cs="Arial"/>
          <w:sz w:val="16"/>
          <w:szCs w:val="16"/>
          <w:lang w:val="es-CO"/>
        </w:rPr>
        <w:t xml:space="preserve"> Consejo de Estado. Sala de lo Contencioso Administrativo. Sección Primera. Sentencia de 3 de marzo de 2005. Radicado: </w:t>
      </w:r>
      <w:r w:rsidRPr="00D71B7F">
        <w:rPr>
          <w:rFonts w:ascii="Verdana" w:hAnsi="Verdana" w:cs="Arial"/>
          <w:sz w:val="16"/>
          <w:szCs w:val="16"/>
          <w:lang w:val="es-ES"/>
        </w:rPr>
        <w:t xml:space="preserve">25001-23-15-000-2004-00823-01 (PI). </w:t>
      </w:r>
      <w:r w:rsidRPr="00D71B7F">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4323D766" w14:textId="77777777" w:rsidR="00CE45C7" w:rsidRPr="00D71B7F" w:rsidRDefault="00CE45C7" w:rsidP="00CE45C7">
      <w:pPr>
        <w:pStyle w:val="Textonotapie"/>
        <w:ind w:firstLine="709"/>
        <w:jc w:val="both"/>
        <w:rPr>
          <w:rFonts w:ascii="Verdana" w:hAnsi="Verdana" w:cs="Arial"/>
          <w:sz w:val="16"/>
          <w:szCs w:val="16"/>
          <w:lang w:val="es-CO"/>
        </w:rPr>
      </w:pPr>
    </w:p>
  </w:footnote>
  <w:footnote w:id="22">
    <w:p w14:paraId="510B43D0" w14:textId="77777777" w:rsidR="00CE45C7" w:rsidRPr="00D71B7F" w:rsidRDefault="00CE45C7" w:rsidP="00CE45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24 de julio de 2013. Radicado: </w:t>
      </w:r>
      <w:r w:rsidRPr="00D71B7F">
        <w:rPr>
          <w:rFonts w:ascii="Verdana" w:hAnsi="Verdana" w:cs="Arial"/>
          <w:sz w:val="16"/>
          <w:szCs w:val="16"/>
          <w:lang w:val="es-CO"/>
        </w:rPr>
        <w:t xml:space="preserve">11001-03-06-000-2013-00407-00 </w:t>
      </w:r>
      <w:r w:rsidRPr="00D71B7F">
        <w:rPr>
          <w:rFonts w:ascii="Verdana" w:hAnsi="Verdana" w:cs="Arial"/>
          <w:sz w:val="16"/>
          <w:szCs w:val="16"/>
        </w:rPr>
        <w:t xml:space="preserve">(2166). C.P. Álvaro Namén Vargas.  </w:t>
      </w:r>
    </w:p>
    <w:p w14:paraId="383561A6" w14:textId="77777777" w:rsidR="00CE45C7" w:rsidRPr="00D71B7F" w:rsidRDefault="00CE45C7" w:rsidP="00CE45C7">
      <w:pPr>
        <w:pStyle w:val="Textonotapie"/>
        <w:ind w:firstLine="709"/>
        <w:jc w:val="both"/>
        <w:rPr>
          <w:rFonts w:ascii="Verdana" w:hAnsi="Verdana" w:cs="Arial"/>
          <w:sz w:val="16"/>
          <w:szCs w:val="16"/>
        </w:rPr>
      </w:pPr>
    </w:p>
  </w:footnote>
  <w:footnote w:id="23">
    <w:p w14:paraId="72EFE409" w14:textId="77777777" w:rsidR="00CE45C7" w:rsidRPr="00D71B7F" w:rsidRDefault="00CE45C7" w:rsidP="00CE45C7">
      <w:pPr>
        <w:spacing w:after="0" w:line="240" w:lineRule="auto"/>
        <w:ind w:firstLine="709"/>
        <w:jc w:val="both"/>
        <w:rPr>
          <w:rFonts w:ascii="Verdana" w:eastAsia="Times New Roman"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7" w:name="33"/>
      <w:r w:rsidRPr="00D71B7F">
        <w:rPr>
          <w:rFonts w:ascii="Verdana" w:eastAsia="Calibri" w:hAnsi="Verdana" w:cs="Arial"/>
          <w:color w:val="000000"/>
          <w:sz w:val="16"/>
          <w:szCs w:val="16"/>
        </w:rPr>
        <w:t>“</w:t>
      </w:r>
      <w:r w:rsidRPr="00D71B7F">
        <w:rPr>
          <w:rFonts w:ascii="Verdana" w:eastAsia="Times New Roman" w:hAnsi="Verdana" w:cs="Arial"/>
          <w:sz w:val="16"/>
          <w:szCs w:val="16"/>
        </w:rPr>
        <w:t>Artículo 33. Restricciones a la contratación pública.</w:t>
      </w:r>
      <w:bookmarkEnd w:id="7"/>
      <w:r w:rsidRPr="00D71B7F">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780C1917" w14:textId="77777777" w:rsidR="00CE45C7" w:rsidRPr="00D71B7F" w:rsidRDefault="00CE45C7" w:rsidP="00CE45C7">
      <w:pPr>
        <w:spacing w:after="0" w:line="240" w:lineRule="auto"/>
        <w:ind w:firstLine="709"/>
        <w:jc w:val="both"/>
        <w:rPr>
          <w:rFonts w:ascii="Verdana" w:eastAsia="Times New Roman" w:hAnsi="Verdana" w:cs="Arial"/>
          <w:sz w:val="16"/>
          <w:szCs w:val="16"/>
        </w:rPr>
      </w:pPr>
      <w:r w:rsidRPr="00D71B7F">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32B6FE2" w14:textId="77777777" w:rsidR="00CE45C7" w:rsidRPr="00D71B7F" w:rsidRDefault="00CE45C7" w:rsidP="00CE45C7">
      <w:pPr>
        <w:spacing w:after="0" w:line="240" w:lineRule="auto"/>
        <w:ind w:firstLine="709"/>
        <w:jc w:val="both"/>
        <w:rPr>
          <w:rFonts w:ascii="Verdana" w:eastAsia="Times New Roman" w:hAnsi="Verdana" w:cs="Arial"/>
          <w:sz w:val="16"/>
          <w:szCs w:val="16"/>
        </w:rPr>
      </w:pPr>
    </w:p>
  </w:footnote>
  <w:footnote w:id="24">
    <w:p w14:paraId="346FF390" w14:textId="77777777" w:rsidR="00CE45C7" w:rsidRPr="00D71B7F" w:rsidRDefault="00CE45C7" w:rsidP="00CE45C7">
      <w:pPr>
        <w:pStyle w:val="NormalWeb"/>
        <w:spacing w:before="0" w:beforeAutospacing="0" w:after="0" w:afterAutospacing="0"/>
        <w:ind w:firstLine="709"/>
        <w:jc w:val="both"/>
        <w:rPr>
          <w:rFonts w:ascii="Verdana" w:hAnsi="Verdana" w:cs="Arial"/>
          <w:sz w:val="16"/>
          <w:szCs w:val="16"/>
          <w:lang w:val="es-MX"/>
        </w:rPr>
      </w:pPr>
      <w:r w:rsidRPr="00D71B7F">
        <w:rPr>
          <w:rStyle w:val="Refdenotaalpie"/>
          <w:rFonts w:ascii="Verdana" w:eastAsiaTheme="majorEastAsia" w:hAnsi="Verdana" w:cs="Arial"/>
          <w:sz w:val="16"/>
          <w:szCs w:val="16"/>
        </w:rPr>
        <w:footnoteRef/>
      </w:r>
      <w:r w:rsidRPr="00D71B7F">
        <w:rPr>
          <w:rFonts w:ascii="Verdana" w:hAnsi="Verdana" w:cs="Arial"/>
          <w:sz w:val="16"/>
          <w:szCs w:val="16"/>
        </w:rPr>
        <w:t xml:space="preserve"> </w:t>
      </w:r>
      <w:bookmarkStart w:id="8" w:name="38"/>
      <w:r w:rsidRPr="00D71B7F">
        <w:rPr>
          <w:rFonts w:ascii="Verdana" w:eastAsia="Calibri" w:hAnsi="Verdana" w:cs="Arial"/>
          <w:color w:val="000000"/>
          <w:sz w:val="16"/>
          <w:szCs w:val="16"/>
        </w:rPr>
        <w:t>“</w:t>
      </w:r>
      <w:r w:rsidRPr="00D71B7F">
        <w:rPr>
          <w:rFonts w:ascii="Verdana" w:hAnsi="Verdana" w:cs="Arial"/>
          <w:sz w:val="16"/>
          <w:szCs w:val="16"/>
          <w:lang w:val="es-MX"/>
        </w:rPr>
        <w:t>Artículo 38. Prohibiciones para los servidores públicos. A los empleados del Estado les está prohibido:</w:t>
      </w:r>
      <w:bookmarkEnd w:id="8"/>
    </w:p>
    <w:p w14:paraId="45DFB993" w14:textId="77777777" w:rsidR="00CE45C7" w:rsidRPr="00D71B7F" w:rsidRDefault="00CE45C7" w:rsidP="00CE45C7">
      <w:pPr>
        <w:pStyle w:val="NormalWeb"/>
        <w:spacing w:before="0" w:beforeAutospacing="0" w:after="0" w:afterAutospacing="0"/>
        <w:ind w:firstLine="709"/>
        <w:jc w:val="both"/>
        <w:rPr>
          <w:rFonts w:ascii="Verdana" w:hAnsi="Verdana" w:cs="Arial"/>
          <w:sz w:val="16"/>
          <w:szCs w:val="16"/>
          <w:lang w:val="es-MX"/>
        </w:rPr>
      </w:pPr>
      <w:r w:rsidRPr="00D71B7F">
        <w:rPr>
          <w:rFonts w:ascii="Verdana" w:hAnsi="Verdana" w:cs="Arial"/>
          <w:sz w:val="16"/>
          <w:szCs w:val="16"/>
          <w:lang w:val="es-MX"/>
        </w:rPr>
        <w:t>(…)</w:t>
      </w:r>
    </w:p>
    <w:p w14:paraId="32DF1A37" w14:textId="77777777" w:rsidR="00CE45C7" w:rsidRPr="00D71B7F" w:rsidRDefault="00CE45C7" w:rsidP="00CE45C7">
      <w:pPr>
        <w:pStyle w:val="NormalWeb"/>
        <w:spacing w:before="0" w:beforeAutospacing="0" w:after="0" w:afterAutospacing="0"/>
        <w:ind w:firstLine="709"/>
        <w:jc w:val="both"/>
        <w:rPr>
          <w:rFonts w:ascii="Verdana" w:eastAsia="Calibri" w:hAnsi="Verdana" w:cs="Arial"/>
          <w:color w:val="000000"/>
          <w:sz w:val="16"/>
          <w:szCs w:val="16"/>
        </w:rPr>
      </w:pPr>
      <w:r w:rsidRPr="00D71B7F">
        <w:rPr>
          <w:rStyle w:val="baj"/>
          <w:rFonts w:ascii="Verdana" w:hAnsi="Verdana" w:cs="Arial"/>
          <w:sz w:val="16"/>
          <w:szCs w:val="16"/>
          <w:lang w:val="es-MX"/>
        </w:rPr>
        <w:t>Parágrafo.</w:t>
      </w:r>
      <w:r w:rsidRPr="00D71B7F">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71B7F">
        <w:rPr>
          <w:rFonts w:ascii="Verdana" w:eastAsia="Calibri" w:hAnsi="Verdana" w:cs="Arial"/>
          <w:color w:val="000000"/>
          <w:sz w:val="16"/>
          <w:szCs w:val="16"/>
        </w:rPr>
        <w:t>”.</w:t>
      </w:r>
    </w:p>
    <w:p w14:paraId="33FD7358" w14:textId="77777777" w:rsidR="00CE45C7" w:rsidRPr="00D71B7F" w:rsidRDefault="00CE45C7" w:rsidP="00CE45C7">
      <w:pPr>
        <w:pStyle w:val="NormalWeb"/>
        <w:spacing w:before="0" w:beforeAutospacing="0" w:after="0" w:afterAutospacing="0"/>
        <w:ind w:firstLine="709"/>
        <w:jc w:val="both"/>
        <w:rPr>
          <w:rFonts w:ascii="Verdana" w:hAnsi="Verdana" w:cs="Arial"/>
          <w:sz w:val="16"/>
          <w:szCs w:val="16"/>
          <w:lang w:val="es-MX"/>
        </w:rPr>
      </w:pPr>
    </w:p>
  </w:footnote>
  <w:footnote w:id="25">
    <w:p w14:paraId="1D3EB5C3" w14:textId="77777777" w:rsidR="00CE45C7" w:rsidRPr="00D71B7F" w:rsidRDefault="00CE45C7" w:rsidP="00CE45C7">
      <w:pPr>
        <w:tabs>
          <w:tab w:val="left" w:pos="2127"/>
        </w:tabs>
        <w:spacing w:after="0" w:line="240" w:lineRule="auto"/>
        <w:ind w:left="100" w:right="244"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17 de febrero de 2015. Radicado: 11001-03-06-000-2015-00164-00 (2269). C.P. William Zambrano Cetina.</w:t>
      </w:r>
    </w:p>
    <w:p w14:paraId="09CFB590" w14:textId="77777777" w:rsidR="00CE45C7" w:rsidRPr="00D71B7F" w:rsidRDefault="00CE45C7" w:rsidP="00CE45C7">
      <w:pPr>
        <w:spacing w:after="0" w:line="240" w:lineRule="auto"/>
        <w:ind w:left="100" w:right="244" w:firstLine="709"/>
        <w:jc w:val="both"/>
        <w:rPr>
          <w:rFonts w:ascii="Verdana" w:hAnsi="Verdana" w:cs="Arial"/>
          <w:sz w:val="16"/>
          <w:szCs w:val="16"/>
          <w:lang w:val="es-ES"/>
        </w:rPr>
      </w:pPr>
    </w:p>
  </w:footnote>
  <w:footnote w:id="26">
    <w:p w14:paraId="0074FFE0" w14:textId="77777777" w:rsidR="00CE45C7" w:rsidRPr="00D71B7F" w:rsidRDefault="00CE45C7" w:rsidP="00CE45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[25] </w:t>
      </w:r>
      <w:r w:rsidRPr="00D71B7F">
        <w:rPr>
          <w:rFonts w:ascii="Verdana" w:hAnsi="Verdana" w:cs="Arial"/>
          <w:sz w:val="16"/>
          <w:szCs w:val="16"/>
        </w:rPr>
        <w:t>Cfr. Consejo de Estado. Sección Tercera. Sentencia de 3 de diciembre de 2007. Radicados: 24.715, 25.206, 25.409, 24.524, 27.834, 25.410, 26.105, 28.244, 31.447 -acumulados-“.</w:t>
      </w:r>
    </w:p>
    <w:p w14:paraId="2388EE72" w14:textId="77777777" w:rsidR="00CE45C7" w:rsidRPr="00D71B7F" w:rsidRDefault="00CE45C7" w:rsidP="00CE45C7">
      <w:pPr>
        <w:pStyle w:val="Textonotapie"/>
        <w:ind w:firstLine="709"/>
        <w:jc w:val="both"/>
        <w:rPr>
          <w:rFonts w:ascii="Verdana" w:hAnsi="Verdana" w:cs="Arial"/>
          <w:sz w:val="16"/>
          <w:szCs w:val="16"/>
        </w:rPr>
      </w:pPr>
    </w:p>
  </w:footnote>
  <w:footnote w:id="27">
    <w:p w14:paraId="57305C7D" w14:textId="77777777" w:rsidR="00CE45C7" w:rsidRPr="00D71B7F" w:rsidRDefault="00CE45C7" w:rsidP="00CE45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16" w:name="_Hlk74294506"/>
      <w:r w:rsidRPr="00D71B7F">
        <w:rPr>
          <w:rFonts w:ascii="Verdana" w:hAnsi="Verdana" w:cs="Arial"/>
          <w:sz w:val="16"/>
          <w:szCs w:val="16"/>
        </w:rPr>
        <w:t>“</w:t>
      </w:r>
      <w:r w:rsidRPr="00D71B7F">
        <w:rPr>
          <w:rFonts w:ascii="Verdana" w:hAnsi="Verdana" w:cs="Arial"/>
          <w:sz w:val="16"/>
          <w:szCs w:val="16"/>
          <w:lang w:val="es-ES"/>
        </w:rPr>
        <w:t xml:space="preserve">[26] </w:t>
      </w:r>
      <w:bookmarkEnd w:id="16"/>
      <w:r w:rsidRPr="00D71B7F">
        <w:rPr>
          <w:rFonts w:ascii="Verdana" w:hAnsi="Verdana" w:cs="Arial"/>
          <w:sz w:val="16"/>
          <w:szCs w:val="16"/>
        </w:rPr>
        <w:t>Al respecto ver el concepto 1712 de 2 de febrero de 2006. Consejo de Estado Sala de Consulta y Servicio Civil”.</w:t>
      </w:r>
    </w:p>
    <w:p w14:paraId="7558FAEA" w14:textId="77777777" w:rsidR="00CE45C7" w:rsidRPr="00D71B7F" w:rsidRDefault="00CE45C7" w:rsidP="00CE45C7">
      <w:pPr>
        <w:pStyle w:val="Textonotapie"/>
        <w:ind w:firstLine="709"/>
        <w:jc w:val="both"/>
        <w:rPr>
          <w:rFonts w:ascii="Verdana" w:hAnsi="Verdana" w:cs="Arial"/>
          <w:sz w:val="16"/>
          <w:szCs w:val="16"/>
        </w:rPr>
      </w:pPr>
    </w:p>
  </w:footnote>
  <w:footnote w:id="28">
    <w:p w14:paraId="719EE0E2" w14:textId="77777777" w:rsidR="00CE45C7" w:rsidRPr="00D71B7F" w:rsidRDefault="00CE45C7" w:rsidP="00CE45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2 de septiembre de 2013. Radicación número: 11001-03-06-000-2013-00412-00 (2168). C.P: Álvaro Namén Vargas.</w:t>
      </w:r>
    </w:p>
    <w:p w14:paraId="7726444C" w14:textId="77777777" w:rsidR="00CE45C7" w:rsidRPr="00D71B7F" w:rsidRDefault="00CE45C7" w:rsidP="00CE45C7">
      <w:pPr>
        <w:pStyle w:val="Textonotapie"/>
        <w:ind w:firstLine="709"/>
        <w:jc w:val="both"/>
        <w:rPr>
          <w:rFonts w:ascii="Verdana" w:hAnsi="Verdana" w:cs="Arial"/>
          <w:sz w:val="16"/>
          <w:szCs w:val="16"/>
        </w:rPr>
      </w:pPr>
    </w:p>
  </w:footnote>
  <w:footnote w:id="29">
    <w:p w14:paraId="1216FDBD" w14:textId="77777777" w:rsidR="00CE45C7" w:rsidRPr="00D71B7F" w:rsidRDefault="00CE45C7" w:rsidP="00CE45C7">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Artículo 2. </w:t>
      </w:r>
    </w:p>
    <w:p w14:paraId="17110551" w14:textId="77777777" w:rsidR="00CE45C7" w:rsidRPr="00D71B7F" w:rsidRDefault="00CE45C7" w:rsidP="00CE45C7">
      <w:pPr>
        <w:pStyle w:val="Textonotapie"/>
        <w:ind w:firstLine="709"/>
        <w:rPr>
          <w:rFonts w:ascii="Verdana" w:hAnsi="Verdana" w:cs="Arial"/>
          <w:sz w:val="16"/>
          <w:szCs w:val="16"/>
          <w:lang w:val="es-ES"/>
        </w:rPr>
      </w:pPr>
    </w:p>
  </w:footnote>
  <w:footnote w:id="30">
    <w:p w14:paraId="0305BD1C" w14:textId="77777777" w:rsidR="00CE45C7" w:rsidRPr="00D71B7F" w:rsidRDefault="00CE45C7" w:rsidP="00CE45C7">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i/>
          <w:sz w:val="16"/>
          <w:szCs w:val="16"/>
          <w:lang w:val="es-ES"/>
        </w:rPr>
        <w:t>Ídem</w:t>
      </w:r>
      <w:r w:rsidRPr="00D71B7F">
        <w:rPr>
          <w:rFonts w:ascii="Verdana" w:hAnsi="Verdana" w:cs="Arial"/>
          <w:sz w:val="16"/>
          <w:szCs w:val="16"/>
          <w:lang w:val="es-ES"/>
        </w:rPr>
        <w:t>.</w:t>
      </w:r>
    </w:p>
    <w:p w14:paraId="0E3495FE" w14:textId="77777777" w:rsidR="00CE45C7" w:rsidRPr="00D71B7F" w:rsidRDefault="00CE45C7" w:rsidP="00CE45C7">
      <w:pPr>
        <w:pStyle w:val="Textonotapie"/>
        <w:ind w:firstLine="709"/>
        <w:rPr>
          <w:rFonts w:ascii="Verdana" w:hAnsi="Verdana" w:cs="Arial"/>
          <w:sz w:val="16"/>
          <w:szCs w:val="16"/>
          <w:lang w:val="es-ES"/>
        </w:rPr>
      </w:pPr>
    </w:p>
  </w:footnote>
  <w:footnote w:id="31">
    <w:p w14:paraId="126AFB4F" w14:textId="77777777" w:rsidR="00CE45C7" w:rsidRPr="00D71B7F" w:rsidRDefault="00CE45C7" w:rsidP="00CE45C7">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 xml:space="preserve">[…] A este respecto, cabe recordar que el artículo 860 del Código de Comercio regula la licitación en el derecho privado. </w:t>
      </w:r>
    </w:p>
    <w:p w14:paraId="2D37BB80" w14:textId="77777777" w:rsidR="00CE45C7" w:rsidRPr="00D71B7F" w:rsidRDefault="00CE45C7" w:rsidP="00CE45C7">
      <w:pPr>
        <w:pStyle w:val="Textonotapie"/>
        <w:ind w:firstLine="709"/>
        <w:rPr>
          <w:rFonts w:ascii="Verdana" w:hAnsi="Verdana" w:cs="Arial"/>
          <w:sz w:val="16"/>
          <w:szCs w:val="16"/>
          <w:lang w:val="es-ES"/>
        </w:rPr>
      </w:pPr>
    </w:p>
  </w:footnote>
  <w:footnote w:id="32">
    <w:p w14:paraId="4E20E103" w14:textId="77777777" w:rsidR="00CE45C7" w:rsidRPr="00D71B7F" w:rsidRDefault="00CE45C7" w:rsidP="00CE45C7">
      <w:pPr>
        <w:shd w:val="clear" w:color="auto" w:fill="FFFFFF"/>
        <w:spacing w:after="0" w:line="240" w:lineRule="auto"/>
        <w:ind w:firstLine="709"/>
        <w:jc w:val="both"/>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Consejo de Estado. Sala de Consulta y Servicio Civil, Concepto de 8 de mayo de 2018. Radicación Número: 11001-03-06-000-2018-00095-00 (2382). C.P: Álvaro Namén Vargas.</w:t>
      </w:r>
    </w:p>
    <w:p w14:paraId="5E64FCD1" w14:textId="77777777" w:rsidR="00CE45C7" w:rsidRPr="00D71B7F" w:rsidRDefault="00CE45C7" w:rsidP="00CE45C7">
      <w:pPr>
        <w:shd w:val="clear" w:color="auto" w:fill="FFFFFF"/>
        <w:spacing w:after="0" w:line="240" w:lineRule="auto"/>
        <w:ind w:firstLine="709"/>
        <w:jc w:val="both"/>
        <w:rPr>
          <w:rFonts w:ascii="Verdana" w:hAnsi="Verdana" w:cs="Arial"/>
          <w:sz w:val="16"/>
          <w:szCs w:val="16"/>
          <w:lang w:val="es-ES"/>
        </w:rPr>
      </w:pPr>
    </w:p>
  </w:footnote>
  <w:footnote w:id="33">
    <w:p w14:paraId="6343B7C3" w14:textId="77777777" w:rsidR="00CE45C7" w:rsidRPr="00D71B7F" w:rsidRDefault="00CE45C7" w:rsidP="00CE45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08 de mayo de 2018. Exp. 2.382. C.P. Álvaro Namén Vargas.</w:t>
      </w:r>
    </w:p>
    <w:p w14:paraId="37EDABE0" w14:textId="77777777" w:rsidR="00CE45C7" w:rsidRPr="00D71B7F" w:rsidRDefault="00CE45C7" w:rsidP="00CE45C7">
      <w:pPr>
        <w:pStyle w:val="Textonotapie"/>
        <w:ind w:firstLine="709"/>
        <w:jc w:val="both"/>
        <w:rPr>
          <w:rFonts w:ascii="Verdana" w:hAnsi="Verdana" w:cs="Arial"/>
          <w:sz w:val="16"/>
          <w:szCs w:val="16"/>
        </w:rPr>
      </w:pPr>
    </w:p>
  </w:footnote>
  <w:footnote w:id="34">
    <w:p w14:paraId="33E789C4" w14:textId="77777777" w:rsidR="00CE45C7" w:rsidRPr="00D71B7F" w:rsidRDefault="00CE45C7" w:rsidP="00CE45C7">
      <w:pPr>
        <w:pStyle w:val="Textonotapie"/>
        <w:ind w:firstLine="709"/>
        <w:jc w:val="both"/>
        <w:rPr>
          <w:rFonts w:ascii="Verdana" w:hAnsi="Verdana"/>
          <w:sz w:val="16"/>
          <w:szCs w:val="16"/>
          <w:lang w:val="es-ES"/>
        </w:rPr>
      </w:pPr>
      <w:r w:rsidRPr="00D71B7F">
        <w:rPr>
          <w:rStyle w:val="Refdenotaalpie"/>
          <w:rFonts w:ascii="Verdana" w:hAnsi="Verdana"/>
          <w:sz w:val="16"/>
          <w:szCs w:val="16"/>
        </w:rPr>
        <w:footnoteRef/>
      </w:r>
      <w:r w:rsidRPr="00D71B7F">
        <w:rPr>
          <w:rFonts w:ascii="Verdana" w:hAnsi="Verdana"/>
          <w:sz w:val="16"/>
          <w:szCs w:val="16"/>
        </w:rPr>
        <w:t xml:space="preserve"> </w:t>
      </w:r>
      <w:r w:rsidRPr="00D71B7F">
        <w:rPr>
          <w:rFonts w:ascii="Verdana" w:hAnsi="Verdana"/>
          <w:sz w:val="16"/>
          <w:szCs w:val="16"/>
          <w:lang w:val="es-ES"/>
        </w:rPr>
        <w:t xml:space="preserve">Agencia Nacional de Contratación Pública. Circular Externa 006 del 25 de septiembre de 2025. Disponible en </w:t>
      </w:r>
      <w:hyperlink r:id="rId1" w:history="1">
        <w:r w:rsidRPr="00D71B7F">
          <w:rPr>
            <w:rStyle w:val="Hipervnculo"/>
            <w:rFonts w:ascii="Verdana" w:hAnsi="Verdana"/>
            <w:sz w:val="16"/>
            <w:szCs w:val="16"/>
            <w:lang w:val="es-CO"/>
          </w:rPr>
          <w:t>006-de-2025-Circular-Externa-L996-ajustado-comentarios-BM-BID-Rev-ARSC-V3.d-1.pdf</w:t>
        </w:r>
      </w:hyperlink>
    </w:p>
    <w:p w14:paraId="549CF26D" w14:textId="77777777" w:rsidR="00CE45C7" w:rsidRPr="00D71B7F" w:rsidRDefault="00CE45C7" w:rsidP="00CE45C7">
      <w:pPr>
        <w:pStyle w:val="Textonotapie"/>
        <w:rPr>
          <w:rFonts w:ascii="Verdana" w:hAnsi="Verdana"/>
          <w:sz w:val="16"/>
          <w:szCs w:val="16"/>
          <w:lang w:val="es-ES"/>
        </w:rPr>
      </w:pPr>
    </w:p>
  </w:footnote>
  <w:footnote w:id="35">
    <w:p w14:paraId="240D31B7" w14:textId="77777777" w:rsidR="00CE45C7" w:rsidRPr="00D71B7F" w:rsidRDefault="00CE45C7" w:rsidP="00CE45C7">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29390576" w14:textId="77777777" w:rsidR="00CE45C7" w:rsidRPr="00D71B7F" w:rsidRDefault="00CE45C7" w:rsidP="00CE45C7">
      <w:pPr>
        <w:spacing w:after="0" w:line="240" w:lineRule="auto"/>
        <w:ind w:firstLine="709"/>
        <w:jc w:val="both"/>
        <w:rPr>
          <w:rFonts w:ascii="Verdana" w:hAnsi="Verdana" w:cs="Arial"/>
          <w:color w:val="000000" w:themeColor="text1"/>
          <w:sz w:val="16"/>
          <w:szCs w:val="16"/>
        </w:rPr>
      </w:pPr>
    </w:p>
  </w:footnote>
  <w:footnote w:id="36">
    <w:p w14:paraId="0B933A64" w14:textId="77777777" w:rsidR="00CE45C7" w:rsidRPr="00D71B7F" w:rsidRDefault="00CE45C7" w:rsidP="00CE45C7">
      <w:pPr>
        <w:pStyle w:val="Textonotapie"/>
        <w:ind w:firstLine="709"/>
        <w:jc w:val="both"/>
        <w:rPr>
          <w:rFonts w:ascii="Verdana" w:eastAsia="Times New Roman" w:hAnsi="Verdana" w:cs="Arial"/>
          <w:color w:val="000000" w:themeColor="text1"/>
          <w:sz w:val="16"/>
          <w:szCs w:val="16"/>
          <w:lang w:eastAsia="x-none"/>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 (1738). C.P: Enrique José Arboleda Perdomo:</w:t>
      </w:r>
      <w:r w:rsidRPr="00D71B7F">
        <w:rPr>
          <w:rFonts w:ascii="Verdana" w:eastAsia="Times New Roman" w:hAnsi="Verdana" w:cs="Arial"/>
          <w:color w:val="000000" w:themeColor="text1"/>
          <w:sz w:val="16"/>
          <w:szCs w:val="16"/>
          <w:lang w:eastAsia="x-none"/>
        </w:rPr>
        <w:t xml:space="preserve"> </w:t>
      </w:r>
      <w:bookmarkStart w:id="20" w:name="_Hlk97890572"/>
      <w:r w:rsidRPr="00D71B7F">
        <w:rPr>
          <w:rFonts w:ascii="Verdana" w:eastAsia="Times New Roman" w:hAnsi="Verdana" w:cs="Arial"/>
          <w:color w:val="000000" w:themeColor="text1"/>
          <w:sz w:val="16"/>
          <w:szCs w:val="16"/>
          <w:lang w:eastAsia="x-none"/>
        </w:rPr>
        <w:t>“</w:t>
      </w:r>
      <w:r w:rsidRPr="00D71B7F">
        <w:rPr>
          <w:rFonts w:ascii="Verdana" w:hAnsi="Verdana" w:cs="Arial"/>
          <w:color w:val="000000" w:themeColor="text1"/>
          <w:sz w:val="16"/>
          <w:szCs w:val="16"/>
        </w:rPr>
        <w:t xml:space="preserve">Si bien en el tema del concepto del que se extractaron </w:t>
      </w:r>
      <w:bookmarkEnd w:id="20"/>
      <w:r w:rsidRPr="00D71B7F">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D71B7F">
        <w:rPr>
          <w:rFonts w:ascii="Verdana" w:eastAsia="Times New Roman" w:hAnsi="Verdana" w:cs="Arial"/>
          <w:color w:val="000000" w:themeColor="text1"/>
          <w:sz w:val="16"/>
          <w:szCs w:val="16"/>
          <w:lang w:eastAsia="x-none"/>
        </w:rPr>
        <w:t>”.</w:t>
      </w:r>
    </w:p>
    <w:p w14:paraId="2A33BC7C" w14:textId="77777777" w:rsidR="00CE45C7" w:rsidRPr="00D71B7F" w:rsidRDefault="00CE45C7" w:rsidP="00CE45C7">
      <w:pPr>
        <w:pStyle w:val="Textonotapie"/>
        <w:ind w:firstLine="709"/>
        <w:jc w:val="both"/>
        <w:rPr>
          <w:rFonts w:ascii="Verdana" w:hAnsi="Verdana" w:cs="Arial"/>
          <w:color w:val="000000" w:themeColor="text1"/>
          <w:sz w:val="16"/>
          <w:szCs w:val="16"/>
        </w:rPr>
      </w:pPr>
    </w:p>
  </w:footnote>
  <w:footnote w:id="37">
    <w:p w14:paraId="1DD2B6B1" w14:textId="77777777" w:rsidR="00CE45C7" w:rsidRPr="00D71B7F" w:rsidRDefault="00CE45C7" w:rsidP="00CE45C7">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11001-03-06-000-2006-00038-00(1738). C.P: Enrique José Arboleda Perdomo. </w:t>
      </w:r>
    </w:p>
    <w:p w14:paraId="37B76F61" w14:textId="77777777" w:rsidR="00CE45C7" w:rsidRPr="00D71B7F" w:rsidRDefault="00CE45C7" w:rsidP="00CE45C7">
      <w:pPr>
        <w:spacing w:after="0" w:line="240" w:lineRule="auto"/>
        <w:ind w:firstLine="709"/>
        <w:jc w:val="both"/>
        <w:rPr>
          <w:rFonts w:ascii="Verdana" w:hAnsi="Verdana" w:cs="Arial"/>
          <w:color w:val="000000" w:themeColor="text1"/>
          <w:sz w:val="16"/>
          <w:szCs w:val="16"/>
        </w:rPr>
      </w:pPr>
    </w:p>
  </w:footnote>
  <w:footnote w:id="38">
    <w:p w14:paraId="1338B63B" w14:textId="77777777" w:rsidR="00CE45C7" w:rsidRPr="00D71B7F" w:rsidRDefault="00CE45C7" w:rsidP="00CE45C7">
      <w:pPr>
        <w:pStyle w:val="Textonotapie"/>
        <w:ind w:firstLine="709"/>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ídem.</w:t>
      </w:r>
    </w:p>
    <w:p w14:paraId="01B3AEAF" w14:textId="77777777" w:rsidR="00CE45C7" w:rsidRPr="00D71B7F" w:rsidRDefault="00CE45C7" w:rsidP="00CE45C7">
      <w:pPr>
        <w:pStyle w:val="Textonotapie"/>
        <w:ind w:firstLine="709"/>
        <w:rPr>
          <w:rFonts w:ascii="Verdana" w:hAnsi="Verdana" w:cs="Arial"/>
          <w:color w:val="000000" w:themeColor="text1"/>
          <w:sz w:val="16"/>
          <w:szCs w:val="16"/>
        </w:rPr>
      </w:pPr>
    </w:p>
  </w:footnote>
  <w:footnote w:id="39">
    <w:p w14:paraId="65411A5B" w14:textId="77777777" w:rsidR="00CE45C7" w:rsidRPr="00D71B7F" w:rsidRDefault="00CE45C7" w:rsidP="00CE45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0D9D0A67" w14:textId="77777777" w:rsidR="00CE45C7" w:rsidRPr="00D71B7F" w:rsidRDefault="00CE45C7" w:rsidP="00CE45C7">
      <w:pPr>
        <w:pStyle w:val="Textonotapie"/>
        <w:ind w:firstLine="709"/>
        <w:jc w:val="both"/>
        <w:rPr>
          <w:rFonts w:ascii="Verdana" w:hAnsi="Verdana" w:cs="Arial"/>
          <w:sz w:val="16"/>
          <w:szCs w:val="16"/>
        </w:rPr>
      </w:pPr>
    </w:p>
  </w:footnote>
  <w:footnote w:id="40">
    <w:p w14:paraId="5CA4C6C4" w14:textId="77777777" w:rsidR="00CE45C7" w:rsidRPr="00D71B7F" w:rsidRDefault="00CE45C7" w:rsidP="00CE45C7">
      <w:pPr>
        <w:pStyle w:val="Textonotapie"/>
        <w:ind w:firstLine="708"/>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18 de febrero 2010. Rad. 11001-03-06-000-2010-00006-00 (1985). C.P. Enrique José Arboleda Perdomo.</w:t>
      </w:r>
    </w:p>
    <w:p w14:paraId="386A33A2" w14:textId="77777777" w:rsidR="00CE45C7" w:rsidRPr="00D71B7F" w:rsidRDefault="00CE45C7" w:rsidP="00CE45C7">
      <w:pPr>
        <w:pStyle w:val="Textonotapie"/>
        <w:ind w:firstLine="708"/>
        <w:jc w:val="both"/>
        <w:rPr>
          <w:rFonts w:ascii="Verdana" w:hAnsi="Verdana" w:cs="Arial"/>
          <w:sz w:val="16"/>
          <w:szCs w:val="16"/>
        </w:rPr>
      </w:pPr>
    </w:p>
  </w:footnote>
  <w:footnote w:id="41">
    <w:p w14:paraId="5D4B8CF1" w14:textId="77777777" w:rsidR="00CE45C7" w:rsidRPr="00D71B7F" w:rsidRDefault="00CE45C7" w:rsidP="00CE45C7">
      <w:pPr>
        <w:pStyle w:val="Textonotapie"/>
        <w:ind w:firstLine="708"/>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Corte Constitucional. Sentencia C-1153 de 2005 M.P. Marco Gerardo Monroy Cabra. </w:t>
      </w:r>
    </w:p>
    <w:p w14:paraId="366AD125" w14:textId="77777777" w:rsidR="00CE45C7" w:rsidRPr="00D71B7F" w:rsidRDefault="00CE45C7" w:rsidP="00CE45C7">
      <w:pPr>
        <w:pStyle w:val="Textonotapie"/>
        <w:ind w:firstLine="708"/>
        <w:jc w:val="both"/>
        <w:rPr>
          <w:rFonts w:ascii="Verdana" w:hAnsi="Verdana" w:cs="Arial"/>
          <w:sz w:val="16"/>
          <w:szCs w:val="16"/>
        </w:rPr>
      </w:pPr>
    </w:p>
  </w:footnote>
  <w:footnote w:id="42">
    <w:p w14:paraId="3AE638E1" w14:textId="77777777" w:rsidR="00CE45C7" w:rsidRPr="00D71B7F" w:rsidRDefault="00CE45C7" w:rsidP="00CE45C7">
      <w:pPr>
        <w:pStyle w:val="Textonotapie"/>
        <w:ind w:firstLine="708"/>
        <w:jc w:val="both"/>
        <w:rPr>
          <w:rFonts w:ascii="Verdana" w:hAnsi="Verdana"/>
          <w:sz w:val="16"/>
          <w:szCs w:val="16"/>
          <w:lang w:val="es-CO"/>
        </w:rPr>
      </w:pPr>
      <w:r w:rsidRPr="00D71B7F">
        <w:rPr>
          <w:rStyle w:val="Refdenotaalpie"/>
          <w:rFonts w:ascii="Verdana" w:hAnsi="Verdana"/>
          <w:sz w:val="16"/>
          <w:szCs w:val="16"/>
        </w:rPr>
        <w:footnoteRef/>
      </w:r>
      <w:r w:rsidRPr="00D71B7F">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D71B7F">
        <w:rPr>
          <w:rFonts w:ascii="Verdana" w:hAnsi="Verdana"/>
          <w:i/>
          <w:sz w:val="16"/>
          <w:szCs w:val="16"/>
        </w:rPr>
        <w:t>las palabras de la ley se entenderán en su sentido natural y obvio, según el uso general de las mismas palabras</w:t>
      </w:r>
      <w:r w:rsidRPr="00D71B7F">
        <w:rPr>
          <w:rFonts w:ascii="Verdana" w:hAnsi="Verdana"/>
          <w:sz w:val="16"/>
          <w:szCs w:val="16"/>
        </w:rPr>
        <w:t>’, es decir, el uso de la gente educada. El Diccionario de la Lengua publicado por la Real Academia Española goza a este respecto de gran autoridad. ‘</w:t>
      </w:r>
      <w:r w:rsidRPr="00D71B7F">
        <w:rPr>
          <w:rFonts w:ascii="Verdana" w:hAnsi="Verdana"/>
          <w:i/>
          <w:sz w:val="16"/>
          <w:szCs w:val="16"/>
        </w:rPr>
        <w:t>Pero cuando el legislador</w:t>
      </w:r>
      <w:r w:rsidRPr="00D71B7F">
        <w:rPr>
          <w:rFonts w:ascii="Verdana" w:hAnsi="Verdana"/>
          <w:sz w:val="16"/>
          <w:szCs w:val="16"/>
        </w:rPr>
        <w:t xml:space="preserve">, agrega el artículo 20, </w:t>
      </w:r>
      <w:r w:rsidRPr="00D71B7F">
        <w:rPr>
          <w:rFonts w:ascii="Verdana" w:hAnsi="Verdana"/>
          <w:i/>
          <w:sz w:val="16"/>
          <w:szCs w:val="16"/>
        </w:rPr>
        <w:t>las haya definido expresamente para ciertas materias se les dará en éstas su significado legal</w:t>
      </w:r>
      <w:r w:rsidRPr="00D71B7F">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w:t>
      </w:r>
      <w:r w:rsidRPr="006C7BAC">
        <w:rPr>
          <w:rFonts w:ascii="Verdana" w:hAnsi="Verdana"/>
          <w:sz w:val="16"/>
          <w:szCs w:val="16"/>
        </w:rPr>
        <w:t xml:space="preserve"> </w:t>
      </w:r>
      <w:r w:rsidRPr="00D71B7F">
        <w:rPr>
          <w:rFonts w:ascii="Verdana" w:hAnsi="Verdana"/>
          <w:sz w:val="16"/>
          <w:szCs w:val="16"/>
        </w:rPr>
        <w:t>aparezca de manifiesto y con toda claridad” (CLARO SOLAR, Luis. Explicaciones de derecho civil chileno y comparado. Volumen I. Tomo I. Santiago: Editorial Jurídica de Chile, 2013. p. 117. Énfasis dentro del texto).</w:t>
      </w:r>
    </w:p>
  </w:footnote>
  <w:footnote w:id="43">
    <w:p w14:paraId="2D20F1AC" w14:textId="77777777" w:rsidR="00CE45C7" w:rsidRDefault="00CE45C7" w:rsidP="00CE45C7">
      <w:pPr>
        <w:pStyle w:val="Textonotapie"/>
        <w:ind w:firstLine="709"/>
        <w:contextualSpacing/>
        <w:jc w:val="both"/>
        <w:rPr>
          <w:rFonts w:ascii="Verdana" w:hAnsi="Verdana" w:cs="Arial"/>
          <w:sz w:val="16"/>
          <w:szCs w:val="16"/>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cs="Arial"/>
          <w:sz w:val="16"/>
          <w:szCs w:val="16"/>
        </w:rPr>
        <w:t>Consejo de Estado. Sala de lo Contencioso Administrativo. Sección Tercera. Sentencia del 21 de febrero de 2025. Exp. 68.280. CP: José Roberto Sáchica Méndez.</w:t>
      </w:r>
    </w:p>
    <w:p w14:paraId="63E41678" w14:textId="77777777" w:rsidR="00CE45C7" w:rsidRPr="009D0D83" w:rsidRDefault="00CE45C7" w:rsidP="00CE45C7">
      <w:pPr>
        <w:pStyle w:val="Textonotapie"/>
        <w:ind w:firstLine="709"/>
        <w:contextualSpacing/>
        <w:jc w:val="both"/>
        <w:rPr>
          <w:rFonts w:ascii="Verdana" w:hAnsi="Verdana" w:cs="Arial"/>
          <w:sz w:val="16"/>
          <w:szCs w:val="16"/>
        </w:rPr>
      </w:pPr>
    </w:p>
  </w:footnote>
  <w:footnote w:id="44">
    <w:p w14:paraId="403EE245" w14:textId="77777777" w:rsidR="00CE45C7" w:rsidRPr="00B8078E" w:rsidRDefault="00CE45C7" w:rsidP="00CE45C7">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sz w:val="16"/>
          <w:szCs w:val="16"/>
          <w:vertAlign w:val="superscript"/>
        </w:rPr>
        <w:t xml:space="preserve"> </w:t>
      </w:r>
      <w:r w:rsidRPr="00B8078E">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477B4164" w14:textId="77777777" w:rsidR="00CE45C7" w:rsidRPr="00B8078E" w:rsidRDefault="00CE45C7" w:rsidP="00CE45C7">
      <w:pPr>
        <w:pStyle w:val="Textonotapie"/>
        <w:ind w:firstLine="709"/>
        <w:contextualSpacing/>
        <w:jc w:val="both"/>
        <w:rPr>
          <w:rFonts w:ascii="Verdana" w:hAnsi="Verdana" w:cs="Arial"/>
          <w:sz w:val="16"/>
          <w:szCs w:val="16"/>
        </w:rPr>
      </w:pPr>
    </w:p>
  </w:footnote>
  <w:footnote w:id="45">
    <w:p w14:paraId="5E886860" w14:textId="77777777" w:rsidR="00CE45C7" w:rsidRPr="00B8078E" w:rsidRDefault="00CE45C7" w:rsidP="00CE45C7">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32191CEB" w14:textId="77777777" w:rsidR="00CE45C7" w:rsidRPr="00B8078E" w:rsidRDefault="00CE45C7" w:rsidP="00CE45C7">
      <w:pPr>
        <w:pStyle w:val="Textonotapie"/>
        <w:ind w:firstLine="709"/>
        <w:contextualSpacing/>
        <w:jc w:val="both"/>
        <w:rPr>
          <w:rFonts w:ascii="Verdana" w:hAnsi="Verdana" w:cs="Arial"/>
          <w:sz w:val="16"/>
          <w:szCs w:val="16"/>
        </w:rPr>
      </w:pPr>
    </w:p>
  </w:footnote>
  <w:footnote w:id="46">
    <w:p w14:paraId="08772862" w14:textId="77777777" w:rsidR="00CE45C7" w:rsidRDefault="00CE45C7" w:rsidP="00CE45C7">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Código Civil: “Artículo 27. Cuando el sentido de la ley sea claro, no se desatenderá su tenor a pretexto de consultar su espíritu”.</w:t>
      </w:r>
    </w:p>
    <w:p w14:paraId="5E54F63D" w14:textId="77777777" w:rsidR="00CE45C7" w:rsidRPr="00852048" w:rsidRDefault="00CE45C7" w:rsidP="00CE45C7">
      <w:pPr>
        <w:pStyle w:val="Textonotapie"/>
        <w:ind w:firstLine="709"/>
        <w:contextualSpacing/>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02958D81" w:rsidR="008A446D" w:rsidRDefault="005F5DB0" w:rsidP="005F5DB0">
    <w:pPr>
      <w:tabs>
        <w:tab w:val="left" w:pos="1860"/>
      </w:tabs>
      <w:spacing w:after="0" w:line="480" w:lineRule="auto"/>
      <w:rPr>
        <w:rFonts w:ascii="Verdana" w:hAnsi="Verdana"/>
        <w:b/>
        <w:bCs/>
        <w:sz w:val="24"/>
        <w:szCs w:val="24"/>
      </w:rPr>
    </w:pPr>
    <w:r>
      <w:rPr>
        <w:rFonts w:ascii="Verdana" w:hAnsi="Verdana"/>
        <w:b/>
        <w:bCs/>
        <w:sz w:val="24"/>
        <w:szCs w:val="24"/>
      </w:rPr>
      <w:tab/>
    </w:r>
  </w:p>
  <w:p w14:paraId="576F1AF0" w14:textId="77777777" w:rsidR="005F5DB0" w:rsidRPr="00C925AC" w:rsidRDefault="005F5DB0" w:rsidP="005F5DB0">
    <w:pPr>
      <w:tabs>
        <w:tab w:val="left" w:pos="1860"/>
      </w:tabs>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FBC25EC"/>
    <w:multiLevelType w:val="hybridMultilevel"/>
    <w:tmpl w:val="3F7C01B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99982792">
    <w:abstractNumId w:val="6"/>
  </w:num>
  <w:num w:numId="2" w16cid:durableId="132216212">
    <w:abstractNumId w:val="1"/>
  </w:num>
  <w:num w:numId="3" w16cid:durableId="1940872757">
    <w:abstractNumId w:val="4"/>
  </w:num>
  <w:num w:numId="4" w16cid:durableId="41178024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05558617">
    <w:abstractNumId w:val="1"/>
  </w:num>
  <w:num w:numId="6" w16cid:durableId="1576041752">
    <w:abstractNumId w:val="13"/>
  </w:num>
  <w:num w:numId="7" w16cid:durableId="590774167">
    <w:abstractNumId w:val="5"/>
  </w:num>
  <w:num w:numId="8" w16cid:durableId="1005479657">
    <w:abstractNumId w:val="12"/>
  </w:num>
  <w:num w:numId="9" w16cid:durableId="863058083">
    <w:abstractNumId w:val="7"/>
  </w:num>
  <w:num w:numId="10" w16cid:durableId="1942100095">
    <w:abstractNumId w:val="11"/>
  </w:num>
  <w:num w:numId="11" w16cid:durableId="363486969">
    <w:abstractNumId w:val="8"/>
  </w:num>
  <w:num w:numId="12" w16cid:durableId="505943570">
    <w:abstractNumId w:val="0"/>
  </w:num>
  <w:num w:numId="13" w16cid:durableId="451022090">
    <w:abstractNumId w:val="3"/>
  </w:num>
  <w:num w:numId="14" w16cid:durableId="1339580922">
    <w:abstractNumId w:val="14"/>
  </w:num>
  <w:num w:numId="15" w16cid:durableId="676005120">
    <w:abstractNumId w:val="10"/>
  </w:num>
  <w:num w:numId="16" w16cid:durableId="766967870">
    <w:abstractNumId w:val="2"/>
  </w:num>
  <w:num w:numId="17" w16cid:durableId="149286587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686D"/>
    <w:rsid w:val="00073AF9"/>
    <w:rsid w:val="0007674C"/>
    <w:rsid w:val="00082362"/>
    <w:rsid w:val="0009082A"/>
    <w:rsid w:val="00097808"/>
    <w:rsid w:val="000A683E"/>
    <w:rsid w:val="000B19B9"/>
    <w:rsid w:val="000D0334"/>
    <w:rsid w:val="000D5DA7"/>
    <w:rsid w:val="000F4190"/>
    <w:rsid w:val="000F6486"/>
    <w:rsid w:val="00116940"/>
    <w:rsid w:val="00125105"/>
    <w:rsid w:val="00127233"/>
    <w:rsid w:val="001274CB"/>
    <w:rsid w:val="0015453B"/>
    <w:rsid w:val="0015699B"/>
    <w:rsid w:val="001A33BF"/>
    <w:rsid w:val="001B6AE2"/>
    <w:rsid w:val="001E0445"/>
    <w:rsid w:val="001E3741"/>
    <w:rsid w:val="001E39A3"/>
    <w:rsid w:val="001E4177"/>
    <w:rsid w:val="001F0B24"/>
    <w:rsid w:val="001F47B3"/>
    <w:rsid w:val="001F7DC6"/>
    <w:rsid w:val="00215713"/>
    <w:rsid w:val="0022400B"/>
    <w:rsid w:val="002421BB"/>
    <w:rsid w:val="002538C2"/>
    <w:rsid w:val="0025796E"/>
    <w:rsid w:val="002707A2"/>
    <w:rsid w:val="002951A0"/>
    <w:rsid w:val="002962BC"/>
    <w:rsid w:val="002A093D"/>
    <w:rsid w:val="002A0DD0"/>
    <w:rsid w:val="002A49AC"/>
    <w:rsid w:val="002A64FD"/>
    <w:rsid w:val="002C7A84"/>
    <w:rsid w:val="002E2BF8"/>
    <w:rsid w:val="002E4FD9"/>
    <w:rsid w:val="0030657A"/>
    <w:rsid w:val="00312FE7"/>
    <w:rsid w:val="00322A85"/>
    <w:rsid w:val="00324168"/>
    <w:rsid w:val="00330834"/>
    <w:rsid w:val="00330ABE"/>
    <w:rsid w:val="00331D3B"/>
    <w:rsid w:val="00340609"/>
    <w:rsid w:val="003448F4"/>
    <w:rsid w:val="00361538"/>
    <w:rsid w:val="00374F5E"/>
    <w:rsid w:val="00377E3E"/>
    <w:rsid w:val="003A779E"/>
    <w:rsid w:val="003D0F4D"/>
    <w:rsid w:val="003D5B0D"/>
    <w:rsid w:val="003E0499"/>
    <w:rsid w:val="003E21B2"/>
    <w:rsid w:val="003E3DF9"/>
    <w:rsid w:val="003E4F80"/>
    <w:rsid w:val="003E6439"/>
    <w:rsid w:val="003F3941"/>
    <w:rsid w:val="003F4B0B"/>
    <w:rsid w:val="003F7E54"/>
    <w:rsid w:val="00406575"/>
    <w:rsid w:val="00414C74"/>
    <w:rsid w:val="0042722E"/>
    <w:rsid w:val="0044528D"/>
    <w:rsid w:val="004476A2"/>
    <w:rsid w:val="00451A9A"/>
    <w:rsid w:val="00465E87"/>
    <w:rsid w:val="00466E39"/>
    <w:rsid w:val="004A1847"/>
    <w:rsid w:val="004A305D"/>
    <w:rsid w:val="004A5313"/>
    <w:rsid w:val="004F21C4"/>
    <w:rsid w:val="004F685F"/>
    <w:rsid w:val="005015E2"/>
    <w:rsid w:val="0050478F"/>
    <w:rsid w:val="0053258C"/>
    <w:rsid w:val="005566E8"/>
    <w:rsid w:val="00573D1D"/>
    <w:rsid w:val="00574867"/>
    <w:rsid w:val="00591460"/>
    <w:rsid w:val="005A65E0"/>
    <w:rsid w:val="005C3777"/>
    <w:rsid w:val="005C5CDC"/>
    <w:rsid w:val="005D476C"/>
    <w:rsid w:val="005F5DB0"/>
    <w:rsid w:val="006076BE"/>
    <w:rsid w:val="006200BF"/>
    <w:rsid w:val="006219F8"/>
    <w:rsid w:val="006302F7"/>
    <w:rsid w:val="00646B9F"/>
    <w:rsid w:val="00665D70"/>
    <w:rsid w:val="0068368F"/>
    <w:rsid w:val="006900D9"/>
    <w:rsid w:val="006A21D0"/>
    <w:rsid w:val="006B6010"/>
    <w:rsid w:val="00700074"/>
    <w:rsid w:val="00706C16"/>
    <w:rsid w:val="0071582F"/>
    <w:rsid w:val="007340C3"/>
    <w:rsid w:val="007436E8"/>
    <w:rsid w:val="0075235A"/>
    <w:rsid w:val="00752479"/>
    <w:rsid w:val="007551CB"/>
    <w:rsid w:val="00756841"/>
    <w:rsid w:val="007649AB"/>
    <w:rsid w:val="00771D0C"/>
    <w:rsid w:val="007833AC"/>
    <w:rsid w:val="007B268C"/>
    <w:rsid w:val="007B582C"/>
    <w:rsid w:val="007B7171"/>
    <w:rsid w:val="007C0C0F"/>
    <w:rsid w:val="007C3DC2"/>
    <w:rsid w:val="007D4515"/>
    <w:rsid w:val="007E5497"/>
    <w:rsid w:val="00806F5F"/>
    <w:rsid w:val="00820278"/>
    <w:rsid w:val="008258C9"/>
    <w:rsid w:val="00831865"/>
    <w:rsid w:val="00844AE9"/>
    <w:rsid w:val="008647AC"/>
    <w:rsid w:val="00867F95"/>
    <w:rsid w:val="008843B6"/>
    <w:rsid w:val="00891928"/>
    <w:rsid w:val="00896319"/>
    <w:rsid w:val="008A446D"/>
    <w:rsid w:val="008B25F1"/>
    <w:rsid w:val="008D180B"/>
    <w:rsid w:val="008D38E5"/>
    <w:rsid w:val="008E7A81"/>
    <w:rsid w:val="008F0EA7"/>
    <w:rsid w:val="00914549"/>
    <w:rsid w:val="009177D6"/>
    <w:rsid w:val="00923EEF"/>
    <w:rsid w:val="009419F9"/>
    <w:rsid w:val="0095685E"/>
    <w:rsid w:val="00961B09"/>
    <w:rsid w:val="009649D0"/>
    <w:rsid w:val="00965334"/>
    <w:rsid w:val="0097093E"/>
    <w:rsid w:val="00994E18"/>
    <w:rsid w:val="009A03EF"/>
    <w:rsid w:val="009A0DFA"/>
    <w:rsid w:val="009A1C6F"/>
    <w:rsid w:val="009A53D5"/>
    <w:rsid w:val="009B2D26"/>
    <w:rsid w:val="009C3B81"/>
    <w:rsid w:val="009C71FA"/>
    <w:rsid w:val="009C72E7"/>
    <w:rsid w:val="009C7F7E"/>
    <w:rsid w:val="009D3058"/>
    <w:rsid w:val="009F3A13"/>
    <w:rsid w:val="00A122D3"/>
    <w:rsid w:val="00A14468"/>
    <w:rsid w:val="00A17F13"/>
    <w:rsid w:val="00A17F81"/>
    <w:rsid w:val="00A20739"/>
    <w:rsid w:val="00A23AF9"/>
    <w:rsid w:val="00A33C78"/>
    <w:rsid w:val="00A57096"/>
    <w:rsid w:val="00A6695B"/>
    <w:rsid w:val="00A9519D"/>
    <w:rsid w:val="00AB0ADB"/>
    <w:rsid w:val="00AC0982"/>
    <w:rsid w:val="00AD4578"/>
    <w:rsid w:val="00B00C0E"/>
    <w:rsid w:val="00B013ED"/>
    <w:rsid w:val="00B01B1A"/>
    <w:rsid w:val="00B0381D"/>
    <w:rsid w:val="00B03B48"/>
    <w:rsid w:val="00B44A47"/>
    <w:rsid w:val="00B72CD3"/>
    <w:rsid w:val="00B72FFF"/>
    <w:rsid w:val="00B73DB3"/>
    <w:rsid w:val="00B81E15"/>
    <w:rsid w:val="00BB116B"/>
    <w:rsid w:val="00BC3D36"/>
    <w:rsid w:val="00BD54A6"/>
    <w:rsid w:val="00BD7F72"/>
    <w:rsid w:val="00BF7425"/>
    <w:rsid w:val="00C00448"/>
    <w:rsid w:val="00C04FB3"/>
    <w:rsid w:val="00C11D8B"/>
    <w:rsid w:val="00C15139"/>
    <w:rsid w:val="00C330EB"/>
    <w:rsid w:val="00C50D69"/>
    <w:rsid w:val="00C5365C"/>
    <w:rsid w:val="00C754BE"/>
    <w:rsid w:val="00C76B1C"/>
    <w:rsid w:val="00C925AC"/>
    <w:rsid w:val="00CB4663"/>
    <w:rsid w:val="00CB6357"/>
    <w:rsid w:val="00CC1B26"/>
    <w:rsid w:val="00CC34A6"/>
    <w:rsid w:val="00CD7BA1"/>
    <w:rsid w:val="00CE45C7"/>
    <w:rsid w:val="00D07530"/>
    <w:rsid w:val="00D361FD"/>
    <w:rsid w:val="00D423A2"/>
    <w:rsid w:val="00D44E26"/>
    <w:rsid w:val="00D520D8"/>
    <w:rsid w:val="00D528C9"/>
    <w:rsid w:val="00D60876"/>
    <w:rsid w:val="00D62776"/>
    <w:rsid w:val="00D63AC2"/>
    <w:rsid w:val="00D7383B"/>
    <w:rsid w:val="00D7788A"/>
    <w:rsid w:val="00D9716A"/>
    <w:rsid w:val="00DA231B"/>
    <w:rsid w:val="00DB5A56"/>
    <w:rsid w:val="00DC39FC"/>
    <w:rsid w:val="00DD3E72"/>
    <w:rsid w:val="00DD5751"/>
    <w:rsid w:val="00DE2BC5"/>
    <w:rsid w:val="00DF5254"/>
    <w:rsid w:val="00E02524"/>
    <w:rsid w:val="00E16408"/>
    <w:rsid w:val="00E16FCB"/>
    <w:rsid w:val="00E20894"/>
    <w:rsid w:val="00E222BE"/>
    <w:rsid w:val="00E245AB"/>
    <w:rsid w:val="00E2764C"/>
    <w:rsid w:val="00E27F2E"/>
    <w:rsid w:val="00E50AFE"/>
    <w:rsid w:val="00E52EF3"/>
    <w:rsid w:val="00E67E79"/>
    <w:rsid w:val="00E75C92"/>
    <w:rsid w:val="00E771DC"/>
    <w:rsid w:val="00E82F01"/>
    <w:rsid w:val="00E8772A"/>
    <w:rsid w:val="00E90F6B"/>
    <w:rsid w:val="00E92C27"/>
    <w:rsid w:val="00EA0E3D"/>
    <w:rsid w:val="00EC38A7"/>
    <w:rsid w:val="00ED0886"/>
    <w:rsid w:val="00ED0AFE"/>
    <w:rsid w:val="00EE1AA8"/>
    <w:rsid w:val="00F23FEA"/>
    <w:rsid w:val="00F31EDC"/>
    <w:rsid w:val="00F462B3"/>
    <w:rsid w:val="00F5664F"/>
    <w:rsid w:val="00F666C4"/>
    <w:rsid w:val="00F75973"/>
    <w:rsid w:val="00F76AFC"/>
    <w:rsid w:val="00F929E6"/>
    <w:rsid w:val="00F93B3A"/>
    <w:rsid w:val="00FA47C0"/>
    <w:rsid w:val="00FB5B51"/>
    <w:rsid w:val="00FB5DD1"/>
    <w:rsid w:val="00FC2B5D"/>
    <w:rsid w:val="00FF1107"/>
    <w:rsid w:val="00FF1449"/>
    <w:rsid w:val="00FF7963"/>
    <w:rsid w:val="071B8F93"/>
    <w:rsid w:val="07C73DD1"/>
    <w:rsid w:val="09908A09"/>
    <w:rsid w:val="0EFE6349"/>
    <w:rsid w:val="0FF4CCA8"/>
    <w:rsid w:val="13CFC91B"/>
    <w:rsid w:val="19A2EC2C"/>
    <w:rsid w:val="21779BE6"/>
    <w:rsid w:val="238376C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2C21FB"/>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AE2"/>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E45C7"/>
    <w:pPr>
      <w:spacing w:line="240" w:lineRule="exact"/>
    </w:pPr>
    <w:rPr>
      <w:vertAlign w:val="superscript"/>
    </w:rPr>
  </w:style>
  <w:style w:type="character" w:customStyle="1" w:styleId="NormalWebCar">
    <w:name w:val="Normal (Web) Car"/>
    <w:link w:val="NormalWeb"/>
    <w:uiPriority w:val="99"/>
    <w:locked/>
    <w:rsid w:val="00CE45C7"/>
    <w:rPr>
      <w:rFonts w:ascii="Times New Roman" w:eastAsia="Times New Roman" w:hAnsi="Times New Roman" w:cs="Times New Roman"/>
      <w:sz w:val="24"/>
      <w:szCs w:val="24"/>
      <w:lang w:eastAsia="es-CO"/>
    </w:rPr>
  </w:style>
  <w:style w:type="character" w:customStyle="1" w:styleId="baj">
    <w:name w:val="b_aj"/>
    <w:basedOn w:val="Fuentedeprrafopredeter"/>
    <w:rsid w:val="00CE45C7"/>
  </w:style>
  <w:style w:type="character" w:customStyle="1" w:styleId="scxw252875387">
    <w:name w:val="scxw252875387"/>
    <w:basedOn w:val="Fuentedeprrafopredeter"/>
    <w:rsid w:val="007551CB"/>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lombiacompra.gov.co/wp-content/uploads/2025/09/006-de-2025-Circular-Externa-L996-ajustado-comentarios-BM-BID-Rev-ARSC-V3.d-1.pdf"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82A2FFE-6200-4D63-965B-66EB91E2556D}"/>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18</TotalTime>
  <Pages>39</Pages>
  <Words>11665</Words>
  <Characters>64160</Characters>
  <Application>Microsoft Office Word</Application>
  <DocSecurity>0</DocSecurity>
  <Lines>534</Lines>
  <Paragraphs>151</Paragraphs>
  <ScaleCrop>false</ScaleCrop>
  <Company/>
  <LinksUpToDate>false</LinksUpToDate>
  <CharactersWithSpaces>75674</CharactersWithSpaces>
  <SharedDoc>false</SharedDoc>
  <HLinks>
    <vt:vector size="54"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3407907</vt:i4>
      </vt:variant>
      <vt:variant>
        <vt:i4>0</vt:i4>
      </vt:variant>
      <vt:variant>
        <vt:i4>0</vt:i4>
      </vt:variant>
      <vt:variant>
        <vt:i4>5</vt:i4>
      </vt:variant>
      <vt:variant>
        <vt:lpwstr>https://colombiacompra.gov.co/wp-content/uploads/2025/09/006-de-2025-Circular-Externa-L996-ajustado-comentarios-BM-BID-Rev-ARSC-V3.d-1.pdf</vt:lpwstr>
      </vt:variant>
      <vt:variant>
        <vt:lpwstr/>
      </vt:variant>
      <vt:variant>
        <vt:i4>3407907</vt:i4>
      </vt:variant>
      <vt:variant>
        <vt:i4>0</vt:i4>
      </vt:variant>
      <vt:variant>
        <vt:i4>0</vt:i4>
      </vt:variant>
      <vt:variant>
        <vt:i4>5</vt:i4>
      </vt:variant>
      <vt:variant>
        <vt:lpwstr>https://colombiacompra.gov.co/wp-content/uploads/2025/09/006-de-2025-Circular-Externa-L996-ajustado-comentarios-BM-BID-Rev-ARSC-V3.d-1.pdf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16</cp:revision>
  <cp:lastPrinted>2023-01-10T21:18:00Z</cp:lastPrinted>
  <dcterms:created xsi:type="dcterms:W3CDTF">2026-05-19T19:50:00Z</dcterms:created>
  <dcterms:modified xsi:type="dcterms:W3CDTF">2026-05-29T19:31:00Z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