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876D3"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167361F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381BDA8" w14:textId="77777777" w:rsidR="004C63A3" w:rsidRDefault="004C63A3" w:rsidP="004C63A3">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0355C514" w14:textId="77777777" w:rsidR="004C63A3" w:rsidRPr="007B5AD4" w:rsidRDefault="004C63A3" w:rsidP="004C63A3">
      <w:pPr>
        <w:spacing w:after="0" w:line="240" w:lineRule="auto"/>
        <w:contextualSpacing/>
        <w:jc w:val="both"/>
        <w:rPr>
          <w:rFonts w:ascii="Verdana" w:eastAsia="Calibri" w:hAnsi="Verdana" w:cs="Arial"/>
          <w:sz w:val="20"/>
          <w:szCs w:val="20"/>
          <w:lang w:eastAsia="es-ES"/>
        </w:rPr>
      </w:pPr>
    </w:p>
    <w:p w14:paraId="0C764B16"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312B5506"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66698C56"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A39B22E"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27580FB"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40E1D0CF"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321474CF"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sidRPr="00FA1AEB">
        <w:rPr>
          <w:rFonts w:ascii="Verdana" w:eastAsia="Calibri" w:hAnsi="Verdana" w:cs="Arial"/>
          <w:sz w:val="20"/>
          <w:szCs w:val="20"/>
          <w:lang w:eastAsia="es-ES"/>
        </w:rPr>
        <w:t>Estos sujetos no tienen en cuenta el género, es decir si son PcD hombres o mujeres, por lo que la definición es aplicable independientemente del género de la PcD y no afecta las medidas afirmativas a aplicar. Por otra parte,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5D1FA58"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37DF74E" w14:textId="554818B1"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Puntaje adicional del 2% ‒ Vinculación de personas con discapacidad ‒ </w:t>
      </w:r>
      <w:r w:rsidR="00442687">
        <w:rPr>
          <w:rFonts w:ascii="Verdana" w:eastAsia="Calibri" w:hAnsi="Verdana" w:cs="Arial"/>
          <w:b/>
          <w:bCs/>
          <w:lang w:eastAsia="es-ES"/>
        </w:rPr>
        <w:t>Certificaciones</w:t>
      </w:r>
    </w:p>
    <w:p w14:paraId="42855669" w14:textId="77777777" w:rsidR="004C63A3" w:rsidRPr="00206556" w:rsidRDefault="004C63A3" w:rsidP="004C63A3">
      <w:pPr>
        <w:spacing w:after="0" w:line="240" w:lineRule="auto"/>
        <w:contextualSpacing/>
        <w:jc w:val="both"/>
        <w:rPr>
          <w:rFonts w:ascii="Verdana" w:eastAsia="Calibri" w:hAnsi="Verdana" w:cs="Arial"/>
          <w:sz w:val="20"/>
          <w:szCs w:val="20"/>
          <w:lang w:eastAsia="es-ES"/>
        </w:rPr>
      </w:pPr>
    </w:p>
    <w:p w14:paraId="503F7849" w14:textId="77777777" w:rsidR="00CB0DB3" w:rsidRDefault="00CB0DB3" w:rsidP="00CB0DB3">
      <w:pPr>
        <w:spacing w:after="0" w:line="240" w:lineRule="auto"/>
        <w:contextualSpacing/>
        <w:jc w:val="both"/>
        <w:rPr>
          <w:rFonts w:ascii="Verdana" w:eastAsia="Calibri" w:hAnsi="Verdana" w:cs="Arial"/>
          <w:sz w:val="20"/>
          <w:szCs w:val="20"/>
          <w:lang w:eastAsia="es-ES"/>
        </w:rPr>
      </w:pPr>
      <w:r w:rsidRPr="00CB0DB3">
        <w:rPr>
          <w:rFonts w:ascii="Verdana" w:eastAsia="Calibri" w:hAnsi="Verdana" w:cs="Arial"/>
          <w:sz w:val="20"/>
          <w:szCs w:val="20"/>
          <w:lang w:eastAsia="es-ES"/>
        </w:rPr>
        <w:t>Respecto de las medidas del sistema, una de estas es el puntaje adicional del dos por ciento (2%), el cual es único, total y no acumulable. 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p>
    <w:p w14:paraId="64B5AD1A" w14:textId="77777777" w:rsidR="00CB0DB3" w:rsidRPr="00CB0DB3" w:rsidRDefault="00CB0DB3" w:rsidP="00CB0DB3">
      <w:pPr>
        <w:spacing w:after="0" w:line="240" w:lineRule="auto"/>
        <w:contextualSpacing/>
        <w:jc w:val="both"/>
        <w:rPr>
          <w:rFonts w:ascii="Verdana" w:eastAsia="Calibri" w:hAnsi="Verdana" w:cs="Arial"/>
          <w:sz w:val="20"/>
          <w:szCs w:val="20"/>
          <w:lang w:eastAsia="es-ES"/>
        </w:rPr>
      </w:pPr>
    </w:p>
    <w:p w14:paraId="2DF65BFE" w14:textId="77777777" w:rsidR="00CB0DB3" w:rsidRDefault="00CB0DB3" w:rsidP="00CB0DB3">
      <w:pPr>
        <w:spacing w:after="0" w:line="240" w:lineRule="auto"/>
        <w:contextualSpacing/>
        <w:jc w:val="both"/>
        <w:rPr>
          <w:rFonts w:ascii="Verdana" w:eastAsia="Calibri" w:hAnsi="Verdana" w:cs="Arial"/>
          <w:sz w:val="20"/>
          <w:szCs w:val="20"/>
          <w:lang w:eastAsia="es-ES"/>
        </w:rPr>
      </w:pPr>
      <w:r w:rsidRPr="00CB0DB3">
        <w:rPr>
          <w:rFonts w:ascii="Verdana" w:eastAsia="Calibri" w:hAnsi="Verdana" w:cs="Arial"/>
          <w:sz w:val="20"/>
          <w:szCs w:val="20"/>
          <w:lang w:eastAsia="es-ES"/>
        </w:rPr>
        <w:t>Ahora bien, la documentación para la acreditación de las condiciones bajo las cuales se otorga el puntaje depende del sujeto de que se trate, y teniendo en cuenta su consulta, en la condición de empleador de PcD, los documentos están dispuestos en el artículo 2.2.1.2.4.2.7.4 el cual exige:</w:t>
      </w:r>
    </w:p>
    <w:p w14:paraId="3690EFE7" w14:textId="77777777" w:rsidR="00CB0DB3" w:rsidRPr="00CB0DB3" w:rsidRDefault="00CB0DB3" w:rsidP="00CB0DB3">
      <w:pPr>
        <w:spacing w:after="0" w:line="240" w:lineRule="auto"/>
        <w:contextualSpacing/>
        <w:jc w:val="both"/>
        <w:rPr>
          <w:rFonts w:ascii="Verdana" w:eastAsia="Calibri" w:hAnsi="Verdana" w:cs="Arial"/>
          <w:sz w:val="20"/>
          <w:szCs w:val="20"/>
          <w:lang w:eastAsia="es-ES"/>
        </w:rPr>
      </w:pPr>
    </w:p>
    <w:p w14:paraId="5F33E016" w14:textId="77777777" w:rsidR="00CB0DB3" w:rsidRPr="00CB0DB3" w:rsidRDefault="00CB0DB3" w:rsidP="00CB0DB3">
      <w:pPr>
        <w:spacing w:after="0" w:line="240" w:lineRule="auto"/>
        <w:contextualSpacing/>
        <w:jc w:val="both"/>
        <w:rPr>
          <w:rFonts w:ascii="Verdana" w:eastAsia="Calibri" w:hAnsi="Verdana" w:cs="Arial"/>
          <w:sz w:val="20"/>
          <w:szCs w:val="20"/>
          <w:lang w:eastAsia="es-ES"/>
        </w:rPr>
      </w:pPr>
      <w:r w:rsidRPr="00CB0DB3">
        <w:rPr>
          <w:rFonts w:ascii="Verdana" w:eastAsia="Calibri" w:hAnsi="Verdana" w:cs="Arial"/>
          <w:sz w:val="20"/>
          <w:szCs w:val="20"/>
          <w:lang w:eastAsia="es-ES"/>
        </w:rPr>
        <w:t xml:space="preserve">- Certificación expedida con una antelación no mayor a treinta (30) días calendario respecto a la fecha de presentación de la oferta, suscrita por el representante legal del proponente y el revisor fiscal, cuando exista de acuerdo con los requerimientos de ley, o el contador, en la que conste el número de personas con discapacidad que conforman su planta de personal. La certificación deberá relacionar el nombre completo y el número de documento de identidad de cada una de las personas con discapacidad. Como soporte, se anexará copia de 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w:t>
      </w:r>
      <w:r w:rsidRPr="00CB0DB3">
        <w:rPr>
          <w:rFonts w:ascii="Verdana" w:eastAsia="Calibri" w:hAnsi="Verdana" w:cs="Arial"/>
          <w:sz w:val="20"/>
          <w:szCs w:val="20"/>
          <w:lang w:eastAsia="es-ES"/>
        </w:rPr>
        <w:lastRenderedPageBreak/>
        <w:t>realizados por el empleador, y el certificado de discapacidad expedido conforme a la normativa vigente del Ministerio de Salud y Protección Social.</w:t>
      </w:r>
    </w:p>
    <w:p w14:paraId="64288A66" w14:textId="77777777" w:rsidR="00CB0DB3" w:rsidRDefault="00CB0DB3" w:rsidP="00CB0DB3">
      <w:pPr>
        <w:spacing w:after="0" w:line="240" w:lineRule="auto"/>
        <w:contextualSpacing/>
        <w:jc w:val="both"/>
        <w:rPr>
          <w:rFonts w:ascii="Verdana" w:eastAsia="Calibri" w:hAnsi="Verdana" w:cs="Arial"/>
          <w:sz w:val="20"/>
          <w:szCs w:val="20"/>
          <w:lang w:eastAsia="es-ES"/>
        </w:rPr>
      </w:pPr>
      <w:r w:rsidRPr="00CB0DB3">
        <w:rPr>
          <w:rFonts w:ascii="Verdana" w:eastAsia="Calibri" w:hAnsi="Verdana" w:cs="Arial"/>
          <w:sz w:val="20"/>
          <w:szCs w:val="20"/>
          <w:lang w:eastAsia="es-ES"/>
        </w:rPr>
        <w:t>- También, esta verificación se hará con el certificado que para el efecto expide el Ministerio de Trabajo y la entidad estatal contratante verificará la vigencia de dicha certificación, de conformidad con la normativa aplicable.</w:t>
      </w:r>
    </w:p>
    <w:p w14:paraId="2F84AF55" w14:textId="77777777" w:rsidR="00CB0DB3" w:rsidRPr="00CB0DB3" w:rsidRDefault="00CB0DB3" w:rsidP="00CB0DB3">
      <w:pPr>
        <w:spacing w:after="0" w:line="240" w:lineRule="auto"/>
        <w:contextualSpacing/>
        <w:jc w:val="both"/>
        <w:rPr>
          <w:rFonts w:ascii="Verdana" w:eastAsia="Calibri" w:hAnsi="Verdana" w:cs="Arial"/>
          <w:sz w:val="20"/>
          <w:szCs w:val="20"/>
          <w:lang w:eastAsia="es-ES"/>
        </w:rPr>
      </w:pPr>
    </w:p>
    <w:p w14:paraId="0252662A" w14:textId="77777777" w:rsidR="00CB0DB3" w:rsidRDefault="00CB0DB3" w:rsidP="00CB0DB3">
      <w:pPr>
        <w:spacing w:after="0" w:line="240" w:lineRule="auto"/>
        <w:contextualSpacing/>
        <w:jc w:val="both"/>
        <w:rPr>
          <w:rFonts w:ascii="Verdana" w:eastAsia="Calibri" w:hAnsi="Verdana" w:cs="Arial"/>
          <w:sz w:val="20"/>
          <w:szCs w:val="20"/>
          <w:lang w:eastAsia="es-ES"/>
        </w:rPr>
      </w:pPr>
      <w:r w:rsidRPr="00CB0DB3">
        <w:rPr>
          <w:rFonts w:ascii="Verdana" w:eastAsia="Calibri" w:hAnsi="Verdana" w:cs="Arial"/>
          <w:sz w:val="20"/>
          <w:szCs w:val="20"/>
          <w:lang w:eastAsia="es-ES"/>
        </w:rPr>
        <w:t>Como se observa, entre otros documentos, se requiere el certificado de discapacidad expedido por el Ministerio de Salud y Protección Social, y el mismo decreto señala que también se requiere la certificación del Ministerio del Trabajo. En ese sentido, la norma es clara en que todos los documentos enlistados son necesarios para la obtención del puntaje, y sobre los certificados señalados en su consulta, ambos son necesarios porque acreditan situaciones diferentes, el certificado de discapacidad acredita la condición de la persona, y el certificado del Ministerio del Trabajo se refiere a la empresa que la contrata y acredita el número de trabajadores con discapacidad que existen en su planta de personal.</w:t>
      </w:r>
    </w:p>
    <w:p w14:paraId="12E4E2DE" w14:textId="77777777" w:rsidR="00CB0DB3" w:rsidRPr="00CB0DB3" w:rsidRDefault="00CB0DB3" w:rsidP="00CB0DB3">
      <w:pPr>
        <w:spacing w:after="0" w:line="240" w:lineRule="auto"/>
        <w:contextualSpacing/>
        <w:jc w:val="both"/>
        <w:rPr>
          <w:rFonts w:ascii="Verdana" w:eastAsia="Calibri" w:hAnsi="Verdana" w:cs="Arial"/>
          <w:sz w:val="20"/>
          <w:szCs w:val="20"/>
          <w:lang w:eastAsia="es-ES"/>
        </w:rPr>
      </w:pPr>
    </w:p>
    <w:p w14:paraId="45C03602" w14:textId="71E013C5" w:rsidR="004C63A3" w:rsidRPr="003C64A5" w:rsidRDefault="00CB0DB3" w:rsidP="00CB0DB3">
      <w:pPr>
        <w:spacing w:after="0" w:line="240" w:lineRule="auto"/>
        <w:contextualSpacing/>
        <w:jc w:val="both"/>
        <w:rPr>
          <w:rFonts w:ascii="Verdana" w:eastAsia="Calibri" w:hAnsi="Verdana" w:cs="Arial"/>
          <w:sz w:val="20"/>
          <w:szCs w:val="20"/>
          <w:lang w:eastAsia="es-ES"/>
        </w:rPr>
      </w:pPr>
      <w:r w:rsidRPr="00CB0DB3">
        <w:rPr>
          <w:rFonts w:ascii="Verdana" w:eastAsia="Calibri" w:hAnsi="Verdana" w:cs="Arial"/>
          <w:sz w:val="20"/>
          <w:szCs w:val="20"/>
          <w:lang w:eastAsia="es-ES"/>
        </w:rPr>
        <w:t>La consecuencia de no contar con la documentación enunciada, es la imposibilidad de acceder al puntaje, pero es posible que el proponente continúe participando en el proceso de contratación, puesto que se recuerda que lo regulado por el Decreto 287 de 2026 son incentivos para la población con discapacidad, que en ningún caso comportan la exclusión de proponentes del procedimiento contractual sino que pueden seguir participando con su oferta en igualdad de condiciones frente a otras ofertas que opten por hacerlas más competitivas buscando acceder a los incentivos previo cumplimiento de los requisitos que establece la norma.</w:t>
      </w:r>
    </w:p>
    <w:p w14:paraId="79E4B281" w14:textId="77777777" w:rsidR="004C63A3" w:rsidRPr="007B5AD4" w:rsidRDefault="004C63A3" w:rsidP="004C63A3">
      <w:pPr>
        <w:spacing w:after="0" w:line="240" w:lineRule="auto"/>
        <w:contextualSpacing/>
        <w:jc w:val="both"/>
        <w:rPr>
          <w:rFonts w:ascii="Verdana" w:eastAsia="Calibri" w:hAnsi="Verdana" w:cs="Arial"/>
          <w:sz w:val="20"/>
          <w:szCs w:val="20"/>
          <w:lang w:eastAsia="es-ES"/>
        </w:rPr>
      </w:pPr>
    </w:p>
    <w:p w14:paraId="105450DB" w14:textId="78806C64" w:rsidR="00DF709C" w:rsidRPr="004C046B" w:rsidRDefault="00DF709C" w:rsidP="00DF709C">
      <w:pPr>
        <w:spacing w:after="0" w:line="240" w:lineRule="auto"/>
        <w:contextualSpacing/>
        <w:jc w:val="both"/>
        <w:rPr>
          <w:rFonts w:ascii="Verdana" w:eastAsia="Calibri" w:hAnsi="Verdana" w:cs="Arial"/>
          <w:b/>
          <w:bCs/>
          <w:lang w:eastAsia="es-ES"/>
        </w:rPr>
      </w:pPr>
      <w:r w:rsidRPr="0042186B">
        <w:rPr>
          <w:rFonts w:ascii="Verdana" w:eastAsia="Calibri" w:hAnsi="Verdana" w:cs="Arial"/>
          <w:b/>
          <w:bCs/>
          <w:lang w:eastAsia="es-ES"/>
        </w:rPr>
        <w:t>DECRETO 0287 DE 2026 ‒ Puntaje adicional del 2% ‒ Vinculación de personas con discapacidad ‒ Contrato laboral</w:t>
      </w:r>
    </w:p>
    <w:p w14:paraId="03C33B1F"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05C19519" w14:textId="77777777" w:rsidR="009635C0" w:rsidRPr="009635C0" w:rsidRDefault="009635C0" w:rsidP="0042186B">
      <w:pPr>
        <w:spacing w:after="0" w:line="240" w:lineRule="auto"/>
        <w:contextualSpacing/>
        <w:jc w:val="both"/>
        <w:rPr>
          <w:rFonts w:ascii="Verdana" w:eastAsia="Calibri" w:hAnsi="Verdana" w:cs="Arial"/>
          <w:sz w:val="20"/>
          <w:szCs w:val="20"/>
          <w:lang w:eastAsia="es-ES"/>
        </w:rPr>
      </w:pPr>
      <w:r w:rsidRPr="009635C0">
        <w:rPr>
          <w:rFonts w:ascii="Verdana" w:eastAsia="Calibri" w:hAnsi="Verdana" w:cs="Arial"/>
          <w:sz w:val="20"/>
          <w:szCs w:val="20"/>
          <w:lang w:eastAsia="es-ES"/>
        </w:rPr>
        <w:t>Sobre la vinculación de trabajadores con discapacidad para la obtención del puntaje establecido en el artículo 2.2.1.2.4.2.7.4 del Decreto 287 de 2026, esta debe ser a través de contrato laboral con dedicación exclusiva, y frente a esto la Circular Externa No. 003 del 12 de mayo de 2026 expedida por esta Agencia aclara que:</w:t>
      </w:r>
    </w:p>
    <w:p w14:paraId="6E819F52" w14:textId="77777777" w:rsidR="009635C0" w:rsidRPr="009635C0" w:rsidRDefault="009635C0" w:rsidP="0042186B">
      <w:pPr>
        <w:spacing w:after="0" w:line="240" w:lineRule="auto"/>
        <w:contextualSpacing/>
        <w:jc w:val="both"/>
        <w:rPr>
          <w:rFonts w:ascii="Verdana" w:eastAsia="Calibri" w:hAnsi="Verdana" w:cs="Arial"/>
          <w:sz w:val="20"/>
          <w:szCs w:val="20"/>
          <w:lang w:eastAsia="es-ES"/>
        </w:rPr>
      </w:pPr>
      <w:r w:rsidRPr="009635C0">
        <w:rPr>
          <w:rFonts w:ascii="Verdana" w:eastAsia="Calibri" w:hAnsi="Verdana" w:cs="Arial"/>
          <w:sz w:val="20"/>
          <w:szCs w:val="20"/>
          <w:lang w:eastAsia="es-ES"/>
        </w:rPr>
        <w:t>“(…) Respecto de la situación de vinculación de PcD en la planta de personal de las empresas, el Decreto 287 de 2026 en su artículo 2.2.1.2.4.2.7.4. condiciona esa vinculación a que sea contrato laboral reglado por el Código Sustantivo del Trabajo, con dedicación exclusiva, entendiendo esta como la relación laboral con un único empleador, lo cual se acreditará en el contrato o la certificación laboral correspondiente”.</w:t>
      </w:r>
    </w:p>
    <w:p w14:paraId="7DC9F250" w14:textId="4329D172" w:rsidR="009635C0" w:rsidRPr="009635C0" w:rsidRDefault="009635C0" w:rsidP="0042186B">
      <w:pPr>
        <w:spacing w:after="0" w:line="240" w:lineRule="auto"/>
        <w:contextualSpacing/>
        <w:jc w:val="both"/>
        <w:rPr>
          <w:rFonts w:ascii="Verdana" w:eastAsia="Calibri" w:hAnsi="Verdana" w:cs="Arial"/>
          <w:sz w:val="20"/>
          <w:szCs w:val="20"/>
          <w:lang w:eastAsia="es-ES"/>
        </w:rPr>
      </w:pPr>
      <w:r w:rsidRPr="009635C0">
        <w:rPr>
          <w:rFonts w:ascii="Verdana" w:eastAsia="Calibri" w:hAnsi="Verdana" w:cs="Arial"/>
          <w:sz w:val="20"/>
          <w:szCs w:val="20"/>
          <w:lang w:eastAsia="es-ES"/>
        </w:rPr>
        <w:t>En consecuencia, la persona con discapacidad, si bien puede tener varias relaciones laborales siempre que las cláusulas contractuales se lo permitan, para efectos del cumplimiento de los requisitos para que su empleador obtenga el puntaje de la norma referida, no es posible que tenga simultáneamente empleadores diferentes</w:t>
      </w:r>
      <w:r w:rsidR="002D34FB">
        <w:rPr>
          <w:rFonts w:ascii="Verdana" w:eastAsia="Calibri" w:hAnsi="Verdana" w:cs="Arial"/>
          <w:sz w:val="20"/>
          <w:szCs w:val="20"/>
          <w:lang w:eastAsia="es-ES"/>
        </w:rPr>
        <w:t>,</w:t>
      </w:r>
      <w:r w:rsidRPr="009635C0">
        <w:rPr>
          <w:rFonts w:ascii="Verdana" w:eastAsia="Calibri" w:hAnsi="Verdana" w:cs="Arial"/>
          <w:sz w:val="20"/>
          <w:szCs w:val="20"/>
          <w:lang w:eastAsia="es-ES"/>
        </w:rPr>
        <w:t xml:space="preserve"> so pena de que no se obtengan los puntos adicionales.</w:t>
      </w:r>
    </w:p>
    <w:p w14:paraId="5553AA85" w14:textId="77777777" w:rsidR="009635C0" w:rsidRDefault="009635C0" w:rsidP="004C63A3">
      <w:pPr>
        <w:spacing w:after="0" w:line="240" w:lineRule="auto"/>
        <w:contextualSpacing/>
        <w:jc w:val="both"/>
        <w:rPr>
          <w:rFonts w:ascii="Verdana" w:eastAsia="Calibri" w:hAnsi="Verdana" w:cs="Arial"/>
          <w:sz w:val="20"/>
          <w:szCs w:val="20"/>
          <w:lang w:eastAsia="es-ES"/>
        </w:rPr>
      </w:pPr>
    </w:p>
    <w:p w14:paraId="59576E06" w14:textId="77777777" w:rsidR="00D83BD2" w:rsidRDefault="00D83BD2" w:rsidP="004C63A3">
      <w:pPr>
        <w:spacing w:after="0" w:line="240" w:lineRule="auto"/>
        <w:contextualSpacing/>
        <w:jc w:val="both"/>
        <w:rPr>
          <w:rFonts w:ascii="Verdana" w:eastAsia="Calibri" w:hAnsi="Verdana" w:cs="Arial"/>
          <w:sz w:val="20"/>
          <w:szCs w:val="20"/>
          <w:lang w:eastAsia="es-ES"/>
        </w:rPr>
      </w:pPr>
    </w:p>
    <w:p w14:paraId="3C7ED9F7" w14:textId="77777777" w:rsidR="00D83BD2" w:rsidRDefault="00D83BD2" w:rsidP="004C63A3">
      <w:pPr>
        <w:spacing w:after="0" w:line="240" w:lineRule="auto"/>
        <w:contextualSpacing/>
        <w:jc w:val="both"/>
        <w:rPr>
          <w:rFonts w:ascii="Verdana" w:eastAsia="Calibri" w:hAnsi="Verdana" w:cs="Arial"/>
          <w:sz w:val="20"/>
          <w:szCs w:val="20"/>
          <w:lang w:eastAsia="es-ES"/>
        </w:rPr>
      </w:pPr>
    </w:p>
    <w:p w14:paraId="6E125145" w14:textId="77777777" w:rsidR="00D83BD2" w:rsidRDefault="00D83BD2" w:rsidP="004C63A3">
      <w:pPr>
        <w:spacing w:after="0" w:line="240" w:lineRule="auto"/>
        <w:contextualSpacing/>
        <w:jc w:val="both"/>
        <w:rPr>
          <w:rFonts w:ascii="Verdana" w:eastAsia="Calibri" w:hAnsi="Verdana" w:cs="Arial"/>
          <w:sz w:val="20"/>
          <w:szCs w:val="20"/>
          <w:lang w:eastAsia="es-ES"/>
        </w:rPr>
      </w:pPr>
    </w:p>
    <w:p w14:paraId="521B95BD" w14:textId="702EEC08" w:rsidR="00B418FD" w:rsidRDefault="00701BF5" w:rsidP="00701BF5">
      <w:pPr>
        <w:spacing w:after="0"/>
        <w:rPr>
          <w:rFonts w:ascii="Verdana" w:hAnsi="Verdana"/>
          <w:lang w:val="es-ES"/>
        </w:rPr>
      </w:pPr>
      <w:r w:rsidRPr="00701BF5">
        <w:rPr>
          <w:rFonts w:ascii="Verdana" w:hAnsi="Verdana"/>
          <w:lang w:val="es-ES"/>
        </w:rPr>
        <w:lastRenderedPageBreak/>
        <w:t xml:space="preserve">Bogotá D.C., </w:t>
      </w:r>
      <w:r w:rsidR="0097662E">
        <w:rPr>
          <w:rFonts w:ascii="Verdana" w:hAnsi="Verdana"/>
          <w:lang w:val="es-ES"/>
        </w:rPr>
        <w:t>22 de mayo de 2026</w:t>
      </w:r>
    </w:p>
    <w:p w14:paraId="55F34CF5" w14:textId="77777777" w:rsidR="0097662E" w:rsidRDefault="0097662E" w:rsidP="00701BF5">
      <w:pPr>
        <w:spacing w:after="0"/>
        <w:rPr>
          <w:rFonts w:ascii="Verdana" w:hAnsi="Verdana"/>
          <w:lang w:val="es-ES"/>
        </w:rPr>
      </w:pPr>
    </w:p>
    <w:p w14:paraId="28BF347A" w14:textId="34D43D81" w:rsidR="0097662E" w:rsidRPr="00777292" w:rsidRDefault="0097662E" w:rsidP="0097662E">
      <w:pPr>
        <w:spacing w:after="0"/>
        <w:jc w:val="right"/>
        <w:rPr>
          <w:rFonts w:ascii="Verdana" w:hAnsi="Verdana"/>
          <w:lang w:val="es-ES"/>
        </w:rPr>
      </w:pPr>
      <w:r w:rsidRPr="0097662E">
        <w:rPr>
          <w:rFonts w:ascii="Verdana" w:hAnsi="Verdana"/>
          <w:lang w:val="es-ES"/>
        </w:rPr>
        <w:drawing>
          <wp:inline distT="0" distB="0" distL="0" distR="0" wp14:anchorId="4D4843D9" wp14:editId="685FA855">
            <wp:extent cx="3667637" cy="943107"/>
            <wp:effectExtent l="0" t="0" r="0" b="9525"/>
            <wp:docPr id="4843497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349703" name=""/>
                    <pic:cNvPicPr/>
                  </pic:nvPicPr>
                  <pic:blipFill>
                    <a:blip r:embed="rId10"/>
                    <a:stretch>
                      <a:fillRect/>
                    </a:stretch>
                  </pic:blipFill>
                  <pic:spPr>
                    <a:xfrm>
                      <a:off x="0" y="0"/>
                      <a:ext cx="3667637" cy="943107"/>
                    </a:xfrm>
                    <a:prstGeom prst="rect">
                      <a:avLst/>
                    </a:prstGeom>
                  </pic:spPr>
                </pic:pic>
              </a:graphicData>
            </a:graphic>
          </wp:inline>
        </w:drawing>
      </w:r>
    </w:p>
    <w:p w14:paraId="14261663" w14:textId="77777777" w:rsidR="004C63A3" w:rsidRPr="00777292" w:rsidRDefault="004C63A3" w:rsidP="004C63A3">
      <w:pPr>
        <w:spacing w:after="0"/>
        <w:rPr>
          <w:rFonts w:ascii="Verdana" w:hAnsi="Verdana"/>
          <w:lang w:val="es-ES_tradnl"/>
        </w:rPr>
      </w:pPr>
    </w:p>
    <w:p w14:paraId="143585DF" w14:textId="03408B8A" w:rsidR="004C63A3" w:rsidRPr="006A7B59" w:rsidRDefault="004C63A3" w:rsidP="004C63A3">
      <w:pPr>
        <w:spacing w:after="0" w:line="240" w:lineRule="auto"/>
        <w:rPr>
          <w:rFonts w:ascii="Verdana" w:hAnsi="Verdana"/>
          <w:lang w:val="es-ES"/>
        </w:rPr>
      </w:pPr>
      <w:bookmarkStart w:id="0" w:name="_Hlk143780582"/>
      <w:r w:rsidRPr="006A7B59">
        <w:rPr>
          <w:rFonts w:ascii="Verdana" w:eastAsia="Calibri" w:hAnsi="Verdana" w:cs="Arial"/>
          <w:lang w:val="es-ES" w:eastAsia="es-ES"/>
        </w:rPr>
        <w:t>Señor</w:t>
      </w:r>
      <w:r w:rsidR="00A67F0C">
        <w:rPr>
          <w:rFonts w:ascii="Verdana" w:eastAsia="Calibri" w:hAnsi="Verdana" w:cs="Arial"/>
          <w:lang w:val="es-ES" w:eastAsia="es-ES"/>
        </w:rPr>
        <w:t>a</w:t>
      </w:r>
    </w:p>
    <w:p w14:paraId="645D6E70" w14:textId="488507AA" w:rsidR="004C63A3" w:rsidRPr="006A7B59" w:rsidRDefault="00EC08F2" w:rsidP="004C63A3">
      <w:pPr>
        <w:spacing w:after="0"/>
        <w:rPr>
          <w:rFonts w:ascii="Verdana" w:eastAsia="Calibri" w:hAnsi="Verdana" w:cs="Arial"/>
          <w:b/>
          <w:bCs/>
          <w:lang w:val="es-ES" w:eastAsia="es-ES"/>
        </w:rPr>
      </w:pPr>
      <w:r>
        <w:rPr>
          <w:rFonts w:ascii="Verdana" w:eastAsia="Calibri" w:hAnsi="Verdana" w:cs="Arial"/>
          <w:b/>
          <w:bCs/>
          <w:lang w:val="es-ES" w:eastAsia="es-ES"/>
        </w:rPr>
        <w:t>Diana Marcela Delgado Barrera</w:t>
      </w:r>
    </w:p>
    <w:p w14:paraId="35E9948D" w14:textId="77777777" w:rsidR="004C63A3" w:rsidRPr="00777292" w:rsidRDefault="004C63A3" w:rsidP="004C63A3">
      <w:pPr>
        <w:spacing w:after="0"/>
        <w:rPr>
          <w:rFonts w:ascii="Verdana" w:eastAsia="Calibri" w:hAnsi="Verdana" w:cs="Arial"/>
          <w:lang w:eastAsia="es-ES"/>
        </w:rPr>
      </w:pPr>
      <w:r w:rsidRPr="006A7B59">
        <w:rPr>
          <w:rFonts w:ascii="Verdana" w:eastAsia="Calibri" w:hAnsi="Verdana" w:cs="Arial"/>
          <w:lang w:eastAsia="es-ES"/>
        </w:rPr>
        <w:t>Ciudad</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63A3" w:rsidRPr="00777292" w14:paraId="33A3497E" w14:textId="77777777" w:rsidTr="000A6384">
        <w:trPr>
          <w:trHeight w:val="190"/>
        </w:trPr>
        <w:tc>
          <w:tcPr>
            <w:tcW w:w="2689" w:type="dxa"/>
          </w:tcPr>
          <w:p w14:paraId="5CF4AE47" w14:textId="77777777" w:rsidR="004C63A3" w:rsidRPr="00777292" w:rsidRDefault="004C63A3" w:rsidP="000A6384">
            <w:pPr>
              <w:jc w:val="both"/>
              <w:rPr>
                <w:rFonts w:ascii="Verdana" w:eastAsia="Calibri" w:hAnsi="Verdana" w:cs="Arial"/>
                <w:b/>
                <w:bCs/>
                <w:lang w:eastAsia="es-ES_tradnl"/>
              </w:rPr>
            </w:pPr>
          </w:p>
        </w:tc>
        <w:tc>
          <w:tcPr>
            <w:tcW w:w="6100" w:type="dxa"/>
          </w:tcPr>
          <w:p w14:paraId="31CEB774" w14:textId="325C82EF" w:rsidR="004C63A3" w:rsidRPr="00777292" w:rsidRDefault="004C63A3" w:rsidP="000A6384">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sidR="00EC08F2">
              <w:rPr>
                <w:rFonts w:ascii="Verdana" w:eastAsia="Calibri" w:hAnsi="Verdana" w:cs="Arial"/>
                <w:b/>
                <w:bCs/>
                <w:lang w:eastAsia="es-ES"/>
              </w:rPr>
              <w:t>604</w:t>
            </w:r>
            <w:r w:rsidRPr="00777292">
              <w:rPr>
                <w:rFonts w:ascii="Verdana" w:eastAsia="Calibri" w:hAnsi="Verdana" w:cs="Arial"/>
                <w:b/>
                <w:bCs/>
                <w:lang w:eastAsia="es-ES"/>
              </w:rPr>
              <w:t xml:space="preserve"> de 2026</w:t>
            </w:r>
          </w:p>
          <w:p w14:paraId="6260B8ED" w14:textId="77777777" w:rsidR="004C63A3" w:rsidRPr="00777292" w:rsidRDefault="004C63A3" w:rsidP="000A6384">
            <w:pPr>
              <w:jc w:val="both"/>
              <w:rPr>
                <w:rFonts w:ascii="Verdana" w:eastAsia="Calibri" w:hAnsi="Verdana" w:cs="Arial"/>
                <w:b/>
                <w:bCs/>
                <w:lang w:eastAsia="es-ES"/>
              </w:rPr>
            </w:pPr>
          </w:p>
        </w:tc>
      </w:tr>
      <w:tr w:rsidR="004C63A3" w:rsidRPr="00777292" w14:paraId="6C1E8E35" w14:textId="77777777" w:rsidTr="000A6384">
        <w:trPr>
          <w:trHeight w:val="884"/>
        </w:trPr>
        <w:tc>
          <w:tcPr>
            <w:tcW w:w="2689" w:type="dxa"/>
          </w:tcPr>
          <w:p w14:paraId="1A47481C" w14:textId="77777777"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3BA60BC6" w14:textId="29845B0E" w:rsidR="004C63A3" w:rsidRPr="00777292" w:rsidRDefault="004C63A3" w:rsidP="000A6384">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2902D0">
              <w:rPr>
                <w:rFonts w:ascii="Verdana" w:eastAsia="Calibri" w:hAnsi="Verdana" w:cs="Arial"/>
                <w:lang w:eastAsia="es-ES"/>
              </w:rPr>
              <w:t xml:space="preserve">DECRETO 0287 DE 2026 ‒ Puntaje adicional del 2% ‒ Vinculación de personas con discapacidad ‒ </w:t>
            </w:r>
            <w:r w:rsidR="00442687">
              <w:rPr>
                <w:rFonts w:ascii="Verdana" w:eastAsia="Calibri" w:hAnsi="Verdana" w:cs="Arial"/>
                <w:lang w:eastAsia="es-ES"/>
              </w:rPr>
              <w:t>Certificaciones</w:t>
            </w:r>
            <w:r w:rsidR="00DF709C">
              <w:rPr>
                <w:rFonts w:ascii="Verdana" w:eastAsia="Calibri" w:hAnsi="Verdana" w:cs="Arial"/>
                <w:lang w:eastAsia="es-ES"/>
              </w:rPr>
              <w:t xml:space="preserve"> / </w:t>
            </w:r>
            <w:r w:rsidR="00DF709C" w:rsidRPr="00DF709C">
              <w:rPr>
                <w:rFonts w:ascii="Verdana" w:eastAsia="Calibri" w:hAnsi="Verdana" w:cs="Arial"/>
                <w:lang w:eastAsia="es-ES"/>
              </w:rPr>
              <w:t>DECRETO 0287 DE 2026 ‒ Puntaje adicional del 2% ‒ Vinculación de personas con discapacidad ‒ Contrato laboral</w:t>
            </w:r>
          </w:p>
        </w:tc>
      </w:tr>
      <w:tr w:rsidR="004C63A3" w:rsidRPr="00777292" w14:paraId="146E3513" w14:textId="77777777" w:rsidTr="000A6384">
        <w:tc>
          <w:tcPr>
            <w:tcW w:w="2689" w:type="dxa"/>
          </w:tcPr>
          <w:p w14:paraId="6B427AF1" w14:textId="77777777" w:rsidR="004C63A3" w:rsidRPr="00777292" w:rsidRDefault="004C63A3" w:rsidP="000A6384">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70735AC5" w14:textId="198ECB5B"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CC26C0" w:rsidRPr="00CC26C0">
              <w:rPr>
                <w:rFonts w:ascii="Verdana" w:hAnsi="Verdana" w:cs="Segoe UI"/>
                <w:color w:val="2B2B2B"/>
                <w:shd w:val="clear" w:color="auto" w:fill="FFFFFF"/>
              </w:rPr>
              <w:t>1_2026_04_14_004983</w:t>
            </w:r>
          </w:p>
        </w:tc>
      </w:tr>
    </w:tbl>
    <w:p w14:paraId="62F6D6F8" w14:textId="77777777" w:rsidR="004C63A3" w:rsidRPr="00206556" w:rsidRDefault="004C63A3" w:rsidP="004C63A3">
      <w:pPr>
        <w:tabs>
          <w:tab w:val="left" w:pos="1520"/>
        </w:tabs>
        <w:spacing w:after="0" w:line="276" w:lineRule="auto"/>
        <w:jc w:val="both"/>
        <w:rPr>
          <w:rFonts w:ascii="Verdana" w:eastAsia="Calibri" w:hAnsi="Verdana" w:cs="Arial"/>
          <w:color w:val="ED7D31" w:themeColor="accent2"/>
          <w:sz w:val="20"/>
          <w:szCs w:val="20"/>
          <w:lang w:val="es-ES" w:eastAsia="es-ES"/>
        </w:rPr>
      </w:pPr>
    </w:p>
    <w:p w14:paraId="32A1C35C" w14:textId="77777777" w:rsidR="004C63A3" w:rsidRPr="00206556" w:rsidRDefault="004C63A3" w:rsidP="004C63A3">
      <w:pPr>
        <w:spacing w:after="0" w:line="276" w:lineRule="auto"/>
        <w:jc w:val="both"/>
        <w:rPr>
          <w:rFonts w:ascii="Verdana" w:eastAsia="Calibri" w:hAnsi="Verdana" w:cs="Arial"/>
          <w:color w:val="ED7D31" w:themeColor="accent2"/>
          <w:lang w:val="es-ES" w:eastAsia="es-ES"/>
        </w:rPr>
      </w:pPr>
    </w:p>
    <w:p w14:paraId="02D05D0B" w14:textId="1AA1B421" w:rsidR="004C63A3" w:rsidRPr="00206556" w:rsidRDefault="004C63A3" w:rsidP="004C63A3">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sidR="00A67F0C">
        <w:rPr>
          <w:rFonts w:ascii="Verdana" w:eastAsia="Calibri" w:hAnsi="Verdana" w:cs="Arial"/>
          <w:lang w:val="es-ES" w:eastAsia="es-ES"/>
        </w:rPr>
        <w:t>a</w:t>
      </w:r>
      <w:r w:rsidRPr="006A7B59">
        <w:rPr>
          <w:rFonts w:ascii="Verdana" w:eastAsia="Calibri" w:hAnsi="Verdana" w:cs="Arial"/>
          <w:lang w:val="es-ES" w:eastAsia="es-ES"/>
        </w:rPr>
        <w:t xml:space="preserve"> Señor</w:t>
      </w:r>
      <w:r w:rsidR="00A67F0C">
        <w:rPr>
          <w:rFonts w:ascii="Verdana" w:eastAsia="Calibri" w:hAnsi="Verdana" w:cs="Arial"/>
          <w:lang w:val="es-ES" w:eastAsia="es-ES"/>
        </w:rPr>
        <w:t>a</w:t>
      </w:r>
      <w:r w:rsidRPr="006A7B59">
        <w:rPr>
          <w:rFonts w:ascii="Verdana" w:eastAsia="Calibri" w:hAnsi="Verdana" w:cs="Arial"/>
          <w:lang w:val="es-ES" w:eastAsia="es-ES"/>
        </w:rPr>
        <w:t xml:space="preserve"> </w:t>
      </w:r>
      <w:r w:rsidR="00EC08F2">
        <w:rPr>
          <w:rFonts w:ascii="Verdana" w:eastAsia="Calibri" w:hAnsi="Verdana" w:cs="Arial"/>
          <w:lang w:val="es-ES" w:eastAsia="es-ES"/>
        </w:rPr>
        <w:t>Delgado</w:t>
      </w:r>
      <w:r w:rsidRPr="006A7B59">
        <w:rPr>
          <w:rFonts w:ascii="Verdana" w:eastAsia="Calibri" w:hAnsi="Verdana" w:cs="Arial"/>
          <w:lang w:val="es-ES" w:eastAsia="es-ES"/>
        </w:rPr>
        <w:t>,</w:t>
      </w:r>
    </w:p>
    <w:p w14:paraId="0E8E2074" w14:textId="77777777" w:rsidR="004C63A3" w:rsidRPr="00206556" w:rsidRDefault="004C63A3" w:rsidP="004C63A3">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7D7FB11F" w14:textId="28421238" w:rsidR="004C63A3" w:rsidRPr="00206556" w:rsidRDefault="004C63A3" w:rsidP="004C63A3">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 xml:space="preserve">consulta de fecha </w:t>
      </w:r>
      <w:r w:rsidR="00555454">
        <w:rPr>
          <w:rFonts w:ascii="Verdana" w:eastAsia="Calibri" w:hAnsi="Verdana" w:cs="Arial"/>
          <w:lang w:val="es-ES" w:eastAsia="es-ES"/>
        </w:rPr>
        <w:t>14</w:t>
      </w:r>
      <w:r w:rsidRPr="00FB46F9">
        <w:rPr>
          <w:rFonts w:ascii="Verdana" w:eastAsia="Calibri" w:hAnsi="Verdana" w:cs="Arial"/>
          <w:lang w:val="es-ES" w:eastAsia="es-ES"/>
        </w:rPr>
        <w:t xml:space="preserve"> de </w:t>
      </w:r>
      <w:r w:rsidR="00CB08B2">
        <w:rPr>
          <w:rFonts w:ascii="Verdana" w:eastAsia="Calibri" w:hAnsi="Verdana" w:cs="Arial"/>
          <w:lang w:val="es-ES" w:eastAsia="es-ES"/>
        </w:rPr>
        <w:t>abril</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26BADED6" w14:textId="77777777" w:rsidR="004C63A3" w:rsidRDefault="004C63A3" w:rsidP="004C63A3">
      <w:pPr>
        <w:spacing w:before="120" w:after="120" w:line="240" w:lineRule="auto"/>
        <w:ind w:right="709"/>
        <w:contextualSpacing/>
        <w:jc w:val="both"/>
        <w:rPr>
          <w:rFonts w:ascii="Verdana" w:eastAsia="Century Gothic" w:hAnsi="Verdana" w:cs="Century Gothic"/>
          <w:i/>
          <w:iCs/>
          <w:sz w:val="20"/>
          <w:szCs w:val="20"/>
          <w:lang w:val="es-ES"/>
        </w:rPr>
      </w:pPr>
    </w:p>
    <w:p w14:paraId="2BA29078" w14:textId="5E62652C" w:rsidR="004C63A3" w:rsidRDefault="00DA5B3B" w:rsidP="006125FC">
      <w:pPr>
        <w:spacing w:before="120" w:after="120" w:line="240" w:lineRule="auto"/>
        <w:ind w:left="709" w:right="709"/>
        <w:contextualSpacing/>
        <w:jc w:val="both"/>
        <w:rPr>
          <w:rFonts w:ascii="Verdana" w:eastAsia="Century Gothic" w:hAnsi="Verdana" w:cs="Century Gothic"/>
          <w:i/>
          <w:sz w:val="20"/>
          <w:szCs w:val="20"/>
          <w:lang w:val="es-ES"/>
        </w:rPr>
      </w:pPr>
      <w:r>
        <w:rPr>
          <w:rFonts w:ascii="Verdana" w:eastAsia="Century Gothic" w:hAnsi="Verdana" w:cs="Century Gothic"/>
          <w:i/>
          <w:sz w:val="20"/>
          <w:szCs w:val="20"/>
          <w:lang w:val="es-ES"/>
        </w:rPr>
        <w:lastRenderedPageBreak/>
        <w:t>(…)</w:t>
      </w:r>
      <w:r w:rsidR="00EF1EC3">
        <w:rPr>
          <w:rFonts w:ascii="Verdana" w:eastAsia="Century Gothic" w:hAnsi="Verdana" w:cs="Century Gothic"/>
          <w:i/>
          <w:sz w:val="20"/>
          <w:szCs w:val="20"/>
          <w:lang w:val="es-ES"/>
        </w:rPr>
        <w:t xml:space="preserve"> </w:t>
      </w:r>
      <w:r w:rsidR="006125FC" w:rsidRPr="006125FC">
        <w:rPr>
          <w:rFonts w:ascii="Verdana" w:eastAsia="Century Gothic" w:hAnsi="Verdana" w:cs="Century Gothic"/>
          <w:i/>
          <w:sz w:val="20"/>
          <w:szCs w:val="20"/>
          <w:lang w:val="es-ES"/>
        </w:rPr>
        <w:t>¿Es suficiente aportar únicamente el certificado de discapacidad expedido por el Ministerio de Salud y Protección Social conforme a la normativa del RLCPD para acreditar el puntaje adicional del artículo 2.2.1.2.4.2.7.4., o resulta obligatorio aportar adicionalmente el certificado expedido por</w:t>
      </w:r>
      <w:r w:rsidR="006125FC">
        <w:rPr>
          <w:rFonts w:ascii="Verdana" w:eastAsia="Century Gothic" w:hAnsi="Verdana" w:cs="Century Gothic"/>
          <w:i/>
          <w:sz w:val="20"/>
          <w:szCs w:val="20"/>
          <w:lang w:val="es-ES"/>
        </w:rPr>
        <w:t xml:space="preserve"> </w:t>
      </w:r>
      <w:r w:rsidR="006125FC" w:rsidRPr="006125FC">
        <w:rPr>
          <w:rFonts w:ascii="Verdana" w:eastAsia="Century Gothic" w:hAnsi="Verdana" w:cs="Century Gothic"/>
          <w:i/>
          <w:sz w:val="20"/>
          <w:szCs w:val="20"/>
          <w:lang w:val="es-ES"/>
        </w:rPr>
        <w:t>el Ministerio de Trabajo? En caso de ser ambos obligatorios, ¿cuál es la consecuencia de no contar con el certificado del Ministerio de Trabajo al momento del cierre del proceso de selección?</w:t>
      </w:r>
    </w:p>
    <w:p w14:paraId="70186BEA" w14:textId="5D87B43A" w:rsidR="00DA5B3B" w:rsidRDefault="00DA5B3B" w:rsidP="006125FC">
      <w:pPr>
        <w:spacing w:before="120" w:after="120" w:line="240" w:lineRule="auto"/>
        <w:ind w:left="709" w:right="709"/>
        <w:contextualSpacing/>
        <w:jc w:val="both"/>
        <w:rPr>
          <w:rFonts w:ascii="Verdana" w:eastAsia="Century Gothic" w:hAnsi="Verdana" w:cs="Century Gothic"/>
          <w:i/>
          <w:sz w:val="20"/>
          <w:szCs w:val="20"/>
          <w:lang w:val="es-ES"/>
        </w:rPr>
      </w:pPr>
      <w:r>
        <w:rPr>
          <w:rFonts w:ascii="Verdana" w:eastAsia="Century Gothic" w:hAnsi="Verdana" w:cs="Century Gothic"/>
          <w:i/>
          <w:sz w:val="20"/>
          <w:szCs w:val="20"/>
          <w:lang w:val="es-ES"/>
        </w:rPr>
        <w:t>(…)</w:t>
      </w:r>
    </w:p>
    <w:p w14:paraId="67BB4BCF" w14:textId="4386478E" w:rsidR="00C7259A" w:rsidRPr="00C7259A" w:rsidRDefault="00C7259A" w:rsidP="00C7259A">
      <w:pPr>
        <w:spacing w:before="120" w:after="120" w:line="240" w:lineRule="auto"/>
        <w:ind w:left="709" w:right="709"/>
        <w:contextualSpacing/>
        <w:jc w:val="both"/>
        <w:rPr>
          <w:rFonts w:ascii="Verdana" w:eastAsia="Century Gothic" w:hAnsi="Verdana" w:cs="Century Gothic"/>
          <w:i/>
          <w:sz w:val="20"/>
          <w:szCs w:val="20"/>
          <w:lang w:val="es-ES"/>
        </w:rPr>
      </w:pPr>
      <w:r w:rsidRPr="00C7259A">
        <w:rPr>
          <w:rFonts w:ascii="Verdana" w:eastAsia="Century Gothic" w:hAnsi="Verdana" w:cs="Century Gothic"/>
          <w:i/>
          <w:sz w:val="20"/>
          <w:szCs w:val="20"/>
          <w:lang w:val="es-ES"/>
        </w:rPr>
        <w:t>¿Qué debe entenderse por "dedicación exclusiva" en el contexto del artículo 2.2.1.2.4.2.7.4. del Decreto 0287 de 2026: equivale a jornada laboral completa (tiempo completo), o</w:t>
      </w:r>
      <w:r>
        <w:rPr>
          <w:rFonts w:ascii="Verdana" w:eastAsia="Century Gothic" w:hAnsi="Verdana" w:cs="Century Gothic"/>
          <w:i/>
          <w:sz w:val="20"/>
          <w:szCs w:val="20"/>
          <w:lang w:val="es-ES"/>
        </w:rPr>
        <w:t xml:space="preserve"> </w:t>
      </w:r>
      <w:r w:rsidRPr="00C7259A">
        <w:rPr>
          <w:rFonts w:ascii="Verdana" w:eastAsia="Century Gothic" w:hAnsi="Verdana" w:cs="Century Gothic"/>
          <w:i/>
          <w:sz w:val="20"/>
          <w:szCs w:val="20"/>
          <w:lang w:val="es-ES"/>
        </w:rPr>
        <w:t>implica únicamente la ausencia de pluriempleo con independencia de la jornada pactada?</w:t>
      </w:r>
    </w:p>
    <w:p w14:paraId="5F6E346D" w14:textId="074C2271" w:rsidR="00C7259A" w:rsidRPr="00C7259A" w:rsidRDefault="00C7259A" w:rsidP="00C7259A">
      <w:pPr>
        <w:spacing w:before="120" w:after="120" w:line="240" w:lineRule="auto"/>
        <w:ind w:left="709" w:right="709"/>
        <w:contextualSpacing/>
        <w:jc w:val="both"/>
        <w:rPr>
          <w:rFonts w:ascii="Verdana" w:eastAsia="Century Gothic" w:hAnsi="Verdana" w:cs="Century Gothic"/>
          <w:i/>
          <w:sz w:val="20"/>
          <w:szCs w:val="20"/>
          <w:lang w:val="es-ES"/>
        </w:rPr>
      </w:pPr>
      <w:r w:rsidRPr="00C7259A">
        <w:rPr>
          <w:rFonts w:ascii="Verdana" w:eastAsia="Century Gothic" w:hAnsi="Verdana" w:cs="Century Gothic"/>
          <w:i/>
          <w:sz w:val="20"/>
          <w:szCs w:val="20"/>
          <w:lang w:val="es-ES"/>
        </w:rPr>
        <w:t>• ¿Puede un proponente acreditar el puntaje adicional del 2% vinculando trabajadores con discapacidad bajo contratos de medio tiempo o jornada parcial, siempre que dichos trabajadores no tengan simultáneamente otro vínculo laboral?</w:t>
      </w:r>
    </w:p>
    <w:p w14:paraId="101D3040" w14:textId="30E877F4" w:rsidR="00DA5B3B" w:rsidRDefault="00C7259A" w:rsidP="00C7259A">
      <w:pPr>
        <w:spacing w:before="120" w:after="120" w:line="240" w:lineRule="auto"/>
        <w:ind w:left="709" w:right="709"/>
        <w:contextualSpacing/>
        <w:jc w:val="both"/>
        <w:rPr>
          <w:rFonts w:ascii="Verdana" w:eastAsia="Century Gothic" w:hAnsi="Verdana" w:cs="Century Gothic"/>
          <w:i/>
          <w:sz w:val="20"/>
          <w:szCs w:val="20"/>
          <w:lang w:val="es-ES"/>
        </w:rPr>
      </w:pPr>
      <w:r w:rsidRPr="00C7259A">
        <w:rPr>
          <w:rFonts w:ascii="Verdana" w:eastAsia="Century Gothic" w:hAnsi="Verdana" w:cs="Century Gothic"/>
          <w:i/>
          <w:sz w:val="20"/>
          <w:szCs w:val="20"/>
          <w:lang w:val="es-ES"/>
        </w:rPr>
        <w:t>• ¿Puede una misma persona con discapacidad, vinculada a medio tiempo por dos empleadores distintos, ser presentada simultáneamente por cada uno de ellos para efectos de acreditar el puntaje adicional del 2%? ¿Cuál sería la consecuencia jurídica de dicha presentación simultánea?</w:t>
      </w:r>
    </w:p>
    <w:p w14:paraId="1F67F4B4" w14:textId="6163D4DF" w:rsidR="00E34816" w:rsidRDefault="00056E19" w:rsidP="00C7259A">
      <w:pPr>
        <w:spacing w:before="120" w:after="120" w:line="240" w:lineRule="auto"/>
        <w:ind w:left="709" w:right="709"/>
        <w:contextualSpacing/>
        <w:jc w:val="both"/>
        <w:rPr>
          <w:rFonts w:ascii="Verdana" w:eastAsia="Century Gothic" w:hAnsi="Verdana" w:cs="Century Gothic"/>
          <w:i/>
          <w:sz w:val="20"/>
          <w:szCs w:val="20"/>
          <w:lang w:val="es-ES"/>
        </w:rPr>
      </w:pPr>
      <w:r>
        <w:rPr>
          <w:rFonts w:ascii="Verdana" w:eastAsia="Century Gothic" w:hAnsi="Verdana" w:cs="Century Gothic"/>
          <w:i/>
          <w:sz w:val="20"/>
          <w:szCs w:val="20"/>
          <w:lang w:val="es-ES"/>
        </w:rPr>
        <w:t>(…)</w:t>
      </w:r>
    </w:p>
    <w:p w14:paraId="3C02F64F" w14:textId="200AA04E" w:rsidR="00056E19" w:rsidRPr="00056E19" w:rsidRDefault="00056E19" w:rsidP="00056E19">
      <w:pPr>
        <w:spacing w:before="120" w:after="120" w:line="240" w:lineRule="auto"/>
        <w:ind w:left="709" w:right="709"/>
        <w:contextualSpacing/>
        <w:jc w:val="both"/>
        <w:rPr>
          <w:rFonts w:ascii="Verdana" w:eastAsia="Century Gothic" w:hAnsi="Verdana" w:cs="Century Gothic"/>
          <w:i/>
          <w:sz w:val="20"/>
          <w:szCs w:val="20"/>
          <w:lang w:val="es-ES"/>
        </w:rPr>
      </w:pPr>
      <w:r w:rsidRPr="00056E19">
        <w:rPr>
          <w:rFonts w:ascii="Verdana" w:eastAsia="Century Gothic" w:hAnsi="Verdana" w:cs="Century Gothic"/>
          <w:i/>
          <w:sz w:val="20"/>
          <w:szCs w:val="20"/>
          <w:lang w:val="es-ES"/>
        </w:rPr>
        <w:t>¿El requisito de acreditar tres (3) meses de aportes a seguridad social de las personas con discapacidad vinculadas admite alguna excepción o mecanismo de flexibilización para proponentes que vinculen PcD por primera vez en el marco de un proceso de selección cuyo plazo no permita completar dicho período antes del cierre?</w:t>
      </w:r>
    </w:p>
    <w:p w14:paraId="478837ED" w14:textId="718C6545" w:rsidR="00056E19" w:rsidRPr="00056E19" w:rsidRDefault="00056E19" w:rsidP="00056E19">
      <w:pPr>
        <w:spacing w:before="120" w:after="120" w:line="240" w:lineRule="auto"/>
        <w:ind w:left="709" w:right="709"/>
        <w:contextualSpacing/>
        <w:jc w:val="both"/>
        <w:rPr>
          <w:rFonts w:ascii="Verdana" w:eastAsia="Century Gothic" w:hAnsi="Verdana" w:cs="Century Gothic"/>
          <w:i/>
          <w:sz w:val="20"/>
          <w:szCs w:val="20"/>
          <w:lang w:val="es-ES"/>
        </w:rPr>
      </w:pPr>
      <w:r w:rsidRPr="00056E19">
        <w:rPr>
          <w:rFonts w:ascii="Verdana" w:eastAsia="Century Gothic" w:hAnsi="Verdana" w:cs="Century Gothic"/>
          <w:i/>
          <w:sz w:val="20"/>
          <w:szCs w:val="20"/>
          <w:lang w:val="es-ES"/>
        </w:rPr>
        <w:t>• ¿Contempla el Decreto 0287 de 2026 o puede Colombia Compra Eficiente establecer mediante lineamiento algún período de transición o mecanismo equivalente que permita a nuevos vinculadores de PcD acceder progresivamente al puntaje adicional del 2%, sin que el requisito temporal opere como una barrera de entrada?</w:t>
      </w:r>
    </w:p>
    <w:p w14:paraId="333E1F3C" w14:textId="545EF51B" w:rsidR="00056E19" w:rsidRDefault="00056E19" w:rsidP="00056E19">
      <w:pPr>
        <w:spacing w:before="120" w:after="120" w:line="240" w:lineRule="auto"/>
        <w:ind w:left="709" w:right="709"/>
        <w:contextualSpacing/>
        <w:jc w:val="both"/>
        <w:rPr>
          <w:rFonts w:ascii="Verdana" w:eastAsia="Century Gothic" w:hAnsi="Verdana" w:cs="Century Gothic"/>
          <w:i/>
          <w:sz w:val="20"/>
          <w:szCs w:val="20"/>
          <w:lang w:val="es-ES"/>
        </w:rPr>
      </w:pPr>
      <w:r w:rsidRPr="00056E19">
        <w:rPr>
          <w:rFonts w:ascii="Verdana" w:eastAsia="Century Gothic" w:hAnsi="Verdana" w:cs="Century Gothic"/>
          <w:i/>
          <w:sz w:val="20"/>
          <w:szCs w:val="20"/>
          <w:lang w:val="es-ES"/>
        </w:rPr>
        <w:t>• ¿Considera el DNP que el efecto diferencial identificado, en el que el requisito de los 3 meses de aportes favorece estructuralmente a quienes ya tenían PcD vinculadas por mandato de la Ley 2466 de 2025 frente a quienes desean vincularse por primera vez, es consistente con los principios de igualdad real y efectiva y de fomento a la inclusión que orientan la Ley Estatutaria 1618 de 2013?</w:t>
      </w:r>
    </w:p>
    <w:p w14:paraId="4501DCD3" w14:textId="22B0D858" w:rsidR="003514DA" w:rsidRDefault="001A002B" w:rsidP="006125FC">
      <w:pPr>
        <w:spacing w:before="120" w:after="120" w:line="240" w:lineRule="auto"/>
        <w:ind w:left="709" w:right="709"/>
        <w:contextualSpacing/>
        <w:jc w:val="both"/>
        <w:rPr>
          <w:rFonts w:ascii="Verdana" w:eastAsia="Century Gothic" w:hAnsi="Verdana" w:cs="Century Gothic"/>
          <w:i/>
          <w:sz w:val="20"/>
          <w:szCs w:val="20"/>
          <w:lang w:val="es-ES"/>
        </w:rPr>
      </w:pPr>
      <w:r>
        <w:rPr>
          <w:rFonts w:ascii="Verdana" w:eastAsia="Century Gothic" w:hAnsi="Verdana" w:cs="Century Gothic"/>
          <w:i/>
          <w:sz w:val="20"/>
          <w:szCs w:val="20"/>
          <w:lang w:val="es-ES"/>
        </w:rPr>
        <w:t>(…)</w:t>
      </w:r>
    </w:p>
    <w:p w14:paraId="40692C00" w14:textId="4457738B" w:rsidR="001A002B" w:rsidRDefault="001A002B" w:rsidP="001A002B">
      <w:pPr>
        <w:spacing w:before="120" w:after="120" w:line="240" w:lineRule="auto"/>
        <w:ind w:left="709" w:right="709"/>
        <w:contextualSpacing/>
        <w:jc w:val="both"/>
        <w:rPr>
          <w:rFonts w:ascii="Verdana" w:eastAsia="Century Gothic" w:hAnsi="Verdana" w:cs="Century Gothic"/>
          <w:i/>
          <w:sz w:val="20"/>
          <w:szCs w:val="20"/>
          <w:lang w:val="es-ES"/>
        </w:rPr>
      </w:pPr>
      <w:r w:rsidRPr="001A002B">
        <w:rPr>
          <w:rFonts w:ascii="Verdana" w:eastAsia="Century Gothic" w:hAnsi="Verdana" w:cs="Century Gothic"/>
          <w:i/>
          <w:sz w:val="20"/>
          <w:szCs w:val="20"/>
          <w:lang w:val="es-ES"/>
        </w:rPr>
        <w:t>Evaluar la conveniencia de expedir norma aclaratoria, circular o lineamiento que establezca mecanismos de flexibilización o transición frente al requisito de los tres (3) meses de aportes a seguridad social, con el fin de eliminar la barrera de entrada que dicho requisito genera para proponentes que deseen vincular PcD por primera vez, garantizando que el sistema de preferencias sea efectivamente incluyente y no reduzca la competencia en los procesos de selección.</w:t>
      </w:r>
    </w:p>
    <w:p w14:paraId="0887D9AA" w14:textId="77777777" w:rsidR="006125FC" w:rsidRPr="00206556" w:rsidRDefault="006125FC" w:rsidP="006125FC">
      <w:pPr>
        <w:spacing w:before="120" w:after="120" w:line="240" w:lineRule="auto"/>
        <w:ind w:left="709" w:right="709"/>
        <w:contextualSpacing/>
        <w:jc w:val="both"/>
        <w:rPr>
          <w:rFonts w:ascii="Verdana" w:eastAsia="Century Gothic" w:hAnsi="Verdana" w:cs="Century Gothic"/>
          <w:i/>
          <w:iCs/>
          <w:sz w:val="20"/>
          <w:szCs w:val="20"/>
          <w:lang w:val="es-ES"/>
        </w:rPr>
      </w:pPr>
    </w:p>
    <w:p w14:paraId="168D273C" w14:textId="6BA2920E" w:rsidR="004C63A3" w:rsidRPr="00206556" w:rsidRDefault="004C63A3" w:rsidP="004C63A3">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CD661D">
        <w:rPr>
          <w:rFonts w:ascii="Verdana" w:eastAsia="Calibri" w:hAnsi="Verdana" w:cs="Arial"/>
          <w:lang w:val="es-ES" w:eastAsia="es-ES"/>
        </w:rPr>
        <w:t xml:space="preserve">la Agencia Nacional de Contratación Pública - </w:t>
      </w:r>
      <w:r w:rsidRPr="00206556">
        <w:rPr>
          <w:rFonts w:ascii="Verdana" w:eastAsia="Calibri" w:hAnsi="Verdana" w:cs="Arial"/>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4026E1E4" w14:textId="77777777" w:rsidR="004C63A3" w:rsidRPr="00206556" w:rsidRDefault="004C63A3" w:rsidP="004C63A3">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 xml:space="preserve">los </w:t>
      </w:r>
      <w:r w:rsidRPr="00206556">
        <w:rPr>
          <w:rFonts w:ascii="Verdana" w:eastAsia="Calibri" w:hAnsi="Verdana" w:cs="Arial"/>
          <w:lang w:val="es-ES" w:eastAsia="es-ES"/>
        </w:rPr>
        <w:t>problema</w:t>
      </w:r>
      <w:r>
        <w:rPr>
          <w:rFonts w:ascii="Verdana" w:eastAsia="Calibri" w:hAnsi="Verdana" w:cs="Arial"/>
          <w:lang w:val="es-ES" w:eastAsia="es-ES"/>
        </w:rPr>
        <w:t>s</w:t>
      </w:r>
      <w:r w:rsidRPr="00206556">
        <w:rPr>
          <w:rFonts w:ascii="Verdana" w:eastAsia="Calibri" w:hAnsi="Verdana" w:cs="Arial"/>
          <w:lang w:val="es-ES" w:eastAsia="es-ES"/>
        </w:rPr>
        <w:t xml:space="preserve"> jurídico</w:t>
      </w:r>
      <w:r>
        <w:rPr>
          <w:rFonts w:ascii="Verdana" w:eastAsia="Calibri" w:hAnsi="Verdana" w:cs="Arial"/>
          <w:lang w:val="es-ES" w:eastAsia="es-ES"/>
        </w:rPr>
        <w:t>s</w:t>
      </w:r>
      <w:r w:rsidRPr="00206556">
        <w:rPr>
          <w:rFonts w:ascii="Verdana" w:eastAsia="Calibri" w:hAnsi="Verdana" w:cs="Arial"/>
          <w:lang w:val="es-ES" w:eastAsia="es-ES"/>
        </w:rPr>
        <w:t xml:space="preserve"> de su consulta. </w:t>
      </w:r>
    </w:p>
    <w:p w14:paraId="2EB4D167" w14:textId="77777777" w:rsidR="004C63A3" w:rsidRPr="00206556" w:rsidRDefault="004C63A3" w:rsidP="004C63A3">
      <w:pPr>
        <w:spacing w:after="0" w:line="276" w:lineRule="auto"/>
        <w:ind w:firstLine="709"/>
        <w:jc w:val="both"/>
        <w:rPr>
          <w:rFonts w:ascii="Verdana" w:eastAsia="Calibri" w:hAnsi="Verdana" w:cs="Arial"/>
          <w:lang w:val="es-ES" w:eastAsia="es-ES"/>
        </w:rPr>
      </w:pPr>
    </w:p>
    <w:p w14:paraId="69D233A2" w14:textId="77777777" w:rsidR="004C63A3" w:rsidRPr="00206556" w:rsidRDefault="004C63A3" w:rsidP="004C63A3">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w:t>
      </w:r>
      <w:r>
        <w:rPr>
          <w:rFonts w:ascii="Verdana" w:eastAsia="Century Gothic" w:hAnsi="Verdana" w:cs="Century Gothic"/>
          <w:b/>
          <w:lang w:val="es-ES"/>
        </w:rPr>
        <w:t>s</w:t>
      </w:r>
      <w:r w:rsidRPr="00206556">
        <w:rPr>
          <w:rFonts w:ascii="Verdana" w:eastAsia="Century Gothic" w:hAnsi="Verdana" w:cs="Century Gothic"/>
          <w:b/>
          <w:lang w:val="es-ES"/>
        </w:rPr>
        <w:t xml:space="preserve"> planteado</w:t>
      </w:r>
      <w:r>
        <w:rPr>
          <w:rFonts w:ascii="Verdana" w:eastAsia="Century Gothic" w:hAnsi="Verdana" w:cs="Century Gothic"/>
          <w:b/>
          <w:lang w:val="es-ES"/>
        </w:rPr>
        <w:t>s</w:t>
      </w:r>
      <w:r w:rsidRPr="00206556">
        <w:rPr>
          <w:rFonts w:ascii="Verdana" w:eastAsia="Century Gothic" w:hAnsi="Verdana" w:cs="Century Gothic"/>
          <w:b/>
          <w:lang w:val="es-ES"/>
        </w:rPr>
        <w:t>:</w:t>
      </w:r>
    </w:p>
    <w:p w14:paraId="4013B82D" w14:textId="77777777" w:rsidR="004C63A3" w:rsidRPr="00206556" w:rsidRDefault="004C63A3" w:rsidP="004C63A3">
      <w:pPr>
        <w:tabs>
          <w:tab w:val="left" w:pos="426"/>
        </w:tabs>
        <w:spacing w:after="0" w:line="276" w:lineRule="auto"/>
        <w:jc w:val="both"/>
        <w:rPr>
          <w:rFonts w:ascii="Verdana" w:eastAsia="Century Gothic" w:hAnsi="Verdana" w:cs="Century Gothic"/>
          <w:color w:val="ED7D31" w:themeColor="accent2"/>
          <w:lang w:val="es-ES"/>
        </w:rPr>
      </w:pPr>
    </w:p>
    <w:p w14:paraId="4F8D6685" w14:textId="6FC00AB5" w:rsidR="004C63A3" w:rsidRDefault="004C63A3" w:rsidP="004C63A3">
      <w:pPr>
        <w:spacing w:after="0" w:line="276" w:lineRule="auto"/>
        <w:jc w:val="both"/>
        <w:rPr>
          <w:rFonts w:ascii="Verdana" w:eastAsia="Century Gothic" w:hAnsi="Verdana" w:cs="Century Gothic"/>
        </w:rPr>
      </w:pPr>
      <w:r w:rsidRPr="00206556">
        <w:rPr>
          <w:rFonts w:ascii="Verdana" w:eastAsia="Century Gothic" w:hAnsi="Verdana" w:cs="Century Gothic"/>
          <w:lang w:val="es-ES"/>
        </w:rPr>
        <w:t>De acuerdo con el contenido de su solicitud, esta Agencia resolverá l</w:t>
      </w:r>
      <w:r w:rsidR="00FC6937">
        <w:rPr>
          <w:rFonts w:ascii="Verdana" w:eastAsia="Century Gothic" w:hAnsi="Verdana" w:cs="Century Gothic"/>
          <w:lang w:val="es-ES"/>
        </w:rPr>
        <w:t>os</w:t>
      </w:r>
      <w:r w:rsidRPr="00206556">
        <w:rPr>
          <w:rFonts w:ascii="Verdana" w:eastAsia="Century Gothic" w:hAnsi="Verdana" w:cs="Century Gothic"/>
          <w:lang w:val="es-ES"/>
        </w:rPr>
        <w:t xml:space="preserve"> siguiente</w:t>
      </w:r>
      <w:r w:rsidR="00FC6937">
        <w:rPr>
          <w:rFonts w:ascii="Verdana" w:eastAsia="Century Gothic" w:hAnsi="Verdana" w:cs="Century Gothic"/>
          <w:lang w:val="es-ES"/>
        </w:rPr>
        <w:t>s</w:t>
      </w:r>
      <w:r w:rsidRPr="00206556">
        <w:rPr>
          <w:rFonts w:ascii="Verdana" w:eastAsia="Century Gothic" w:hAnsi="Verdana" w:cs="Century Gothic"/>
          <w:lang w:val="es-ES"/>
        </w:rPr>
        <w:t xml:space="preserve"> problema</w:t>
      </w:r>
      <w:r w:rsidR="00FC6937">
        <w:rPr>
          <w:rFonts w:ascii="Verdana" w:eastAsia="Century Gothic" w:hAnsi="Verdana" w:cs="Century Gothic"/>
          <w:lang w:val="es-ES"/>
        </w:rPr>
        <w:t>s</w:t>
      </w:r>
      <w:r w:rsidRPr="00206556">
        <w:rPr>
          <w:rFonts w:ascii="Verdana" w:eastAsia="Century Gothic" w:hAnsi="Verdana" w:cs="Century Gothic"/>
          <w:lang w:val="es-ES"/>
        </w:rPr>
        <w:t xml:space="preserve"> jurídico</w:t>
      </w:r>
      <w:r w:rsidR="00FC6937">
        <w:rPr>
          <w:rFonts w:ascii="Verdana" w:eastAsia="Century Gothic" w:hAnsi="Verdana" w:cs="Century Gothic"/>
          <w:lang w:val="es-ES"/>
        </w:rPr>
        <w:t>s</w:t>
      </w:r>
      <w:r w:rsidRPr="00206556">
        <w:rPr>
          <w:rFonts w:ascii="Verdana" w:eastAsia="Century Gothic" w:hAnsi="Verdana" w:cs="Century Gothic"/>
          <w:lang w:val="es-ES"/>
        </w:rPr>
        <w:t xml:space="preserve">: </w:t>
      </w:r>
      <w:r>
        <w:rPr>
          <w:rFonts w:ascii="Verdana" w:eastAsia="Century Gothic" w:hAnsi="Verdana" w:cs="Century Gothic"/>
          <w:lang w:val="es-ES"/>
        </w:rPr>
        <w:t xml:space="preserve">i) </w:t>
      </w:r>
      <w:r w:rsidRPr="00206556">
        <w:rPr>
          <w:rFonts w:ascii="Verdana" w:eastAsia="Century Gothic" w:hAnsi="Verdana" w:cs="Century Gothic"/>
        </w:rPr>
        <w:t>¿</w:t>
      </w:r>
      <w:r w:rsidR="00DA5B3B">
        <w:rPr>
          <w:rFonts w:ascii="Verdana" w:eastAsia="Century Gothic" w:hAnsi="Verdana" w:cs="Century Gothic"/>
        </w:rPr>
        <w:t>Qué</w:t>
      </w:r>
      <w:r w:rsidR="004A4215">
        <w:rPr>
          <w:rFonts w:ascii="Verdana" w:eastAsia="Century Gothic" w:hAnsi="Verdana" w:cs="Century Gothic"/>
        </w:rPr>
        <w:t xml:space="preserve"> certificados </w:t>
      </w:r>
      <w:r w:rsidR="00DA5B3B">
        <w:rPr>
          <w:rFonts w:ascii="Verdana" w:eastAsia="Century Gothic" w:hAnsi="Verdana" w:cs="Century Gothic"/>
        </w:rPr>
        <w:t xml:space="preserve">se requieren </w:t>
      </w:r>
      <w:r w:rsidR="004A4215">
        <w:rPr>
          <w:rFonts w:ascii="Verdana" w:eastAsia="Century Gothic" w:hAnsi="Verdana" w:cs="Century Gothic"/>
        </w:rPr>
        <w:t>para la aplicación</w:t>
      </w:r>
      <w:r>
        <w:rPr>
          <w:rFonts w:ascii="Verdana" w:eastAsia="Century Gothic" w:hAnsi="Verdana" w:cs="Century Gothic"/>
        </w:rPr>
        <w:t xml:space="preserve"> </w:t>
      </w:r>
      <w:r w:rsidR="004A4215">
        <w:rPr>
          <w:rFonts w:ascii="Verdana" w:eastAsia="Century Gothic" w:hAnsi="Verdana" w:cs="Century Gothic"/>
        </w:rPr>
        <w:t>d</w:t>
      </w:r>
      <w:r>
        <w:rPr>
          <w:rFonts w:ascii="Verdana" w:eastAsia="Century Gothic" w:hAnsi="Verdana" w:cs="Century Gothic"/>
        </w:rPr>
        <w:t>el puntaje para empleadores de personas con discapacidad</w:t>
      </w:r>
      <w:r w:rsidRPr="00206556">
        <w:rPr>
          <w:rFonts w:ascii="Verdana" w:eastAsia="Century Gothic" w:hAnsi="Verdana" w:cs="Century Gothic"/>
        </w:rPr>
        <w:t>?</w:t>
      </w:r>
      <w:r w:rsidR="00E34816">
        <w:rPr>
          <w:rFonts w:ascii="Verdana" w:eastAsia="Century Gothic" w:hAnsi="Verdana" w:cs="Century Gothic"/>
        </w:rPr>
        <w:t xml:space="preserve">, </w:t>
      </w:r>
      <w:proofErr w:type="spellStart"/>
      <w:r w:rsidR="00E34816">
        <w:rPr>
          <w:rFonts w:ascii="Verdana" w:eastAsia="Century Gothic" w:hAnsi="Verdana" w:cs="Century Gothic"/>
        </w:rPr>
        <w:t>i</w:t>
      </w:r>
      <w:r w:rsidR="00312A08">
        <w:rPr>
          <w:rFonts w:ascii="Verdana" w:eastAsia="Century Gothic" w:hAnsi="Verdana" w:cs="Century Gothic"/>
        </w:rPr>
        <w:t>i</w:t>
      </w:r>
      <w:proofErr w:type="spellEnd"/>
      <w:r w:rsidR="00312A08">
        <w:rPr>
          <w:rFonts w:ascii="Verdana" w:eastAsia="Century Gothic" w:hAnsi="Verdana" w:cs="Century Gothic"/>
        </w:rPr>
        <w:t>) ¿Cómo debe ser la vinculación laboral de las personas con discapacidad por parte de empleadores que busquen obtener el puntaje del Decreto 287 de 2026?,</w:t>
      </w:r>
      <w:r w:rsidR="008E4FD7">
        <w:rPr>
          <w:rFonts w:ascii="Verdana" w:eastAsia="Century Gothic" w:hAnsi="Verdana" w:cs="Century Gothic"/>
        </w:rPr>
        <w:t xml:space="preserve"> y</w:t>
      </w:r>
      <w:r w:rsidR="00312A08">
        <w:rPr>
          <w:rFonts w:ascii="Verdana" w:eastAsia="Century Gothic" w:hAnsi="Verdana" w:cs="Century Gothic"/>
        </w:rPr>
        <w:t xml:space="preserve"> </w:t>
      </w:r>
      <w:proofErr w:type="spellStart"/>
      <w:r w:rsidR="00312A08">
        <w:rPr>
          <w:rFonts w:ascii="Verdana" w:eastAsia="Century Gothic" w:hAnsi="Verdana" w:cs="Century Gothic"/>
        </w:rPr>
        <w:t>iii</w:t>
      </w:r>
      <w:proofErr w:type="spellEnd"/>
      <w:r w:rsidR="00312A08">
        <w:rPr>
          <w:rFonts w:ascii="Verdana" w:eastAsia="Century Gothic" w:hAnsi="Verdana" w:cs="Century Gothic"/>
        </w:rPr>
        <w:t xml:space="preserve">) </w:t>
      </w:r>
      <w:r w:rsidR="008E4FD7">
        <w:rPr>
          <w:rFonts w:ascii="Verdana" w:eastAsia="Century Gothic" w:hAnsi="Verdana" w:cs="Century Gothic"/>
        </w:rPr>
        <w:t>r</w:t>
      </w:r>
      <w:r w:rsidR="001A002B">
        <w:rPr>
          <w:rFonts w:ascii="Verdana" w:eastAsia="Century Gothic" w:hAnsi="Verdana" w:cs="Century Gothic"/>
        </w:rPr>
        <w:t>especto de los aportes a seguridad social de las personas con discapacidad vinculadas por las empresas para la obtención del puntaje, ¿Existen excepciones?</w:t>
      </w:r>
    </w:p>
    <w:p w14:paraId="7EA2E3CA" w14:textId="77777777" w:rsidR="004C63A3" w:rsidRPr="00206556" w:rsidRDefault="004C63A3" w:rsidP="004C63A3">
      <w:pPr>
        <w:spacing w:after="0" w:line="276" w:lineRule="auto"/>
        <w:jc w:val="both"/>
        <w:rPr>
          <w:rFonts w:ascii="Verdana" w:eastAsia="Century Gothic" w:hAnsi="Verdana" w:cs="Century Gothic"/>
          <w:color w:val="ED7D31" w:themeColor="accent2"/>
        </w:rPr>
      </w:pPr>
    </w:p>
    <w:p w14:paraId="4A09B6AA"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71B18261"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63A3" w:rsidRPr="00206556" w14:paraId="466A1F71" w14:textId="77777777" w:rsidTr="000A6384">
        <w:tc>
          <w:tcPr>
            <w:tcW w:w="8828" w:type="dxa"/>
          </w:tcPr>
          <w:p w14:paraId="321BAB19" w14:textId="03115B00" w:rsidR="00E16E74" w:rsidRDefault="004C63A3" w:rsidP="00E16E74">
            <w:pPr>
              <w:spacing w:after="120" w:line="276" w:lineRule="auto"/>
              <w:jc w:val="both"/>
              <w:rPr>
                <w:rFonts w:ascii="Verdana" w:eastAsia="Calibri" w:hAnsi="Verdana" w:cs="Arial"/>
              </w:rPr>
            </w:pPr>
            <w:r>
              <w:rPr>
                <w:rFonts w:ascii="Verdana" w:eastAsia="Calibri" w:hAnsi="Verdana" w:cs="Arial"/>
              </w:rPr>
              <w:t>i) En atención al problema jurídico planteado</w:t>
            </w:r>
            <w:r w:rsidR="00221F73">
              <w:rPr>
                <w:rFonts w:ascii="Verdana" w:eastAsia="Calibri" w:hAnsi="Verdana" w:cs="Arial"/>
              </w:rPr>
              <w:t xml:space="preserve">, </w:t>
            </w:r>
            <w:r>
              <w:rPr>
                <w:rFonts w:ascii="Verdana" w:eastAsia="Calibri" w:hAnsi="Verdana" w:cs="Arial"/>
              </w:rPr>
              <w:t>es necesario indicar que e</w:t>
            </w:r>
            <w:r w:rsidR="00221F73">
              <w:rPr>
                <w:rFonts w:ascii="Verdana" w:eastAsia="Calibri" w:hAnsi="Verdana" w:cs="Arial"/>
              </w:rPr>
              <w:t>l Decreto 287 de 2026</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w:t>
            </w:r>
            <w:r w:rsidRPr="00E54F30">
              <w:rPr>
                <w:rFonts w:ascii="Verdana" w:eastAsia="Calibri" w:hAnsi="Verdana" w:cs="Arial"/>
              </w:rPr>
              <w:lastRenderedPageBreak/>
              <w:t xml:space="preserve">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w:t>
            </w:r>
          </w:p>
          <w:p w14:paraId="41E3AF49" w14:textId="48E00D56" w:rsidR="004C63A3" w:rsidRDefault="004C63A3" w:rsidP="005A72BA">
            <w:pPr>
              <w:spacing w:after="120" w:line="276" w:lineRule="auto"/>
              <w:ind w:firstLine="709"/>
              <w:jc w:val="both"/>
              <w:rPr>
                <w:rFonts w:ascii="Verdana" w:eastAsia="Calibri" w:hAnsi="Verdana" w:cs="Arial"/>
              </w:rPr>
            </w:pPr>
            <w:r w:rsidRPr="00073658">
              <w:rPr>
                <w:rFonts w:ascii="Verdana" w:eastAsia="Calibri" w:hAnsi="Verdana" w:cs="Arial"/>
              </w:rPr>
              <w:t xml:space="preserve">Este sistema está compuesto por cinco medidas: herramientas de planeación para procesos inclusivos, criterios habilitantes diferenciales, puntaje adicional del </w:t>
            </w:r>
            <w:r w:rsidR="002B5A42">
              <w:rPr>
                <w:rFonts w:ascii="Verdana" w:eastAsia="Calibri" w:hAnsi="Verdana" w:cs="Arial"/>
              </w:rPr>
              <w:t>dos por ciento (</w:t>
            </w:r>
            <w:r w:rsidRPr="00073658">
              <w:rPr>
                <w:rFonts w:ascii="Verdana" w:eastAsia="Calibri" w:hAnsi="Verdana" w:cs="Arial"/>
              </w:rPr>
              <w:t>2%</w:t>
            </w:r>
            <w:r w:rsidR="002B5A42">
              <w:rPr>
                <w:rFonts w:ascii="Verdana" w:eastAsia="Calibri" w:hAnsi="Verdana" w:cs="Arial"/>
              </w:rPr>
              <w:t>)</w:t>
            </w:r>
            <w:r w:rsidRPr="00073658">
              <w:rPr>
                <w:rFonts w:ascii="Verdana" w:eastAsia="Calibri" w:hAnsi="Verdana" w:cs="Arial"/>
              </w:rPr>
              <w:t>,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56C85AA9" w14:textId="77777777" w:rsidR="004C63A3" w:rsidRDefault="004C63A3" w:rsidP="000A6384">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Pr>
                <w:rFonts w:ascii="Verdana" w:eastAsia="Calibri" w:hAnsi="Verdana" w:cs="Arial"/>
              </w:rPr>
              <w:t>Estos sujetos no tienen en cuenta el género, es decir si son PcD hombres o mujeres, por lo que la definición es aplicable independientemente del género de la PcD y no afecta las medidas afirmativas a aplicar. Por otra parte, c</w:t>
            </w:r>
            <w:r w:rsidRPr="00073658">
              <w:rPr>
                <w:rFonts w:ascii="Verdana" w:eastAsia="Calibri" w:hAnsi="Verdana" w:cs="Arial"/>
              </w:rPr>
              <w:t xml:space="preserve">onfundir los dos sujetos genera aplicaciones incorrectas del sistema, razón por la cual resulta esencial que las entidades contratantes identifiquen </w:t>
            </w:r>
            <w:r w:rsidRPr="00073658">
              <w:rPr>
                <w:rFonts w:ascii="Verdana" w:eastAsia="Calibri" w:hAnsi="Verdana" w:cs="Arial"/>
              </w:rPr>
              <w:lastRenderedPageBreak/>
              <w:t>en cada caso qué sujeto está acreditando el proponente y qué documentación y medidas corresponden a ese sujeto específico.</w:t>
            </w:r>
          </w:p>
          <w:p w14:paraId="7B908A8B" w14:textId="1332B0D7" w:rsidR="004C63A3" w:rsidRDefault="004C63A3" w:rsidP="008020FA">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65C72557" w14:textId="787A355D" w:rsidR="00B36E66" w:rsidRDefault="004C63A3" w:rsidP="000A6384">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00C85047">
              <w:rPr>
                <w:rFonts w:ascii="Verdana" w:eastAsia="Calibri" w:hAnsi="Verdana" w:cs="Arial"/>
              </w:rPr>
              <w:t xml:space="preserve"> y</w:t>
            </w:r>
            <w:r w:rsidR="007327C3">
              <w:rPr>
                <w:rFonts w:ascii="Verdana" w:eastAsia="Calibri" w:hAnsi="Verdana" w:cs="Arial"/>
              </w:rPr>
              <w:t xml:space="preserve"> teniendo en cuenta su consulta,</w:t>
            </w:r>
            <w:r w:rsidRPr="00073658">
              <w:rPr>
                <w:rFonts w:ascii="Verdana" w:eastAsia="Calibri" w:hAnsi="Verdana" w:cs="Arial"/>
              </w:rPr>
              <w:t xml:space="preserve"> en la condición de empleador de PcD</w:t>
            </w:r>
            <w:r>
              <w:rPr>
                <w:rFonts w:ascii="Verdana" w:eastAsia="Calibri" w:hAnsi="Verdana" w:cs="Arial"/>
              </w:rPr>
              <w:t>, los documentos están dispuestos en el artículo 2.2.1.2.4.2.7.4 el cual</w:t>
            </w:r>
            <w:r w:rsidRPr="00073658">
              <w:rPr>
                <w:rFonts w:ascii="Verdana" w:eastAsia="Calibri" w:hAnsi="Verdana" w:cs="Arial"/>
              </w:rPr>
              <w:t xml:space="preserve"> exige</w:t>
            </w:r>
            <w:r w:rsidR="00B36E66">
              <w:rPr>
                <w:rFonts w:ascii="Verdana" w:eastAsia="Calibri" w:hAnsi="Verdana" w:cs="Arial"/>
              </w:rPr>
              <w:t>:</w:t>
            </w:r>
          </w:p>
          <w:p w14:paraId="788CA8F4" w14:textId="77777777" w:rsidR="00415D53" w:rsidRPr="00AB7BF7" w:rsidRDefault="00415D53" w:rsidP="008B41F3">
            <w:pPr>
              <w:spacing w:before="100" w:after="180"/>
              <w:ind w:left="709" w:right="709"/>
              <w:jc w:val="both"/>
              <w:rPr>
                <w:rFonts w:ascii="Verdana" w:eastAsia="Times New Roman" w:hAnsi="Verdana" w:cs="Times New Roman"/>
                <w:i/>
                <w:iCs/>
                <w:sz w:val="21"/>
                <w:szCs w:val="21"/>
              </w:rPr>
            </w:pPr>
            <w:r w:rsidRPr="00AB7BF7">
              <w:rPr>
                <w:rFonts w:ascii="Verdana" w:eastAsia="Times New Roman" w:hAnsi="Verdana" w:cs="Times New Roman"/>
                <w:i/>
                <w:iCs/>
                <w:sz w:val="21"/>
                <w:szCs w:val="21"/>
              </w:rPr>
              <w:t>- Certificación expedida con una antelación no mayor a treinta (30) días calendario respecto a la fecha de presentación de la oferta, suscrita por el representante legal del proponente y el revisor fiscal, cuando exista de acuerdo con los requerimientos de ley, o el contador, en la que conste el número de personas con discapacidad que conforman su planta de personal. La certificación deberá relacionar el nombre completo y el número de documento de identidad de cada una de las personas con discapacidad. Como soporte, se anexará copia de 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realizados por el empleador, y el certificado de discapacidad expedido conforme a la normativa vigente del Ministerio de Salud y Protección Social.</w:t>
            </w:r>
          </w:p>
          <w:p w14:paraId="2C5CFB5B" w14:textId="2CEBF9FD" w:rsidR="00415D53" w:rsidRPr="00AB7BF7" w:rsidRDefault="00415D53" w:rsidP="008B41F3">
            <w:pPr>
              <w:spacing w:before="100" w:after="180"/>
              <w:ind w:left="709" w:right="709"/>
              <w:jc w:val="both"/>
              <w:rPr>
                <w:rFonts w:ascii="Verdana" w:eastAsia="Times New Roman" w:hAnsi="Verdana" w:cs="Times New Roman"/>
                <w:i/>
                <w:iCs/>
                <w:sz w:val="21"/>
                <w:szCs w:val="21"/>
              </w:rPr>
            </w:pPr>
            <w:r w:rsidRPr="00AB7BF7">
              <w:rPr>
                <w:rFonts w:ascii="Verdana" w:eastAsia="Times New Roman" w:hAnsi="Verdana" w:cs="Times New Roman"/>
                <w:i/>
                <w:iCs/>
                <w:sz w:val="21"/>
                <w:szCs w:val="21"/>
              </w:rPr>
              <w:t xml:space="preserve">- También, esta verificación se hará con el certificado que para el efecto expide el Ministerio de Trabajo y la entidad estatal contratante </w:t>
            </w:r>
            <w:r w:rsidRPr="00AB7BF7">
              <w:rPr>
                <w:rFonts w:ascii="Verdana" w:eastAsia="Times New Roman" w:hAnsi="Verdana" w:cs="Times New Roman"/>
                <w:i/>
                <w:iCs/>
                <w:sz w:val="21"/>
                <w:szCs w:val="21"/>
              </w:rPr>
              <w:lastRenderedPageBreak/>
              <w:t>verificará la vigencia de dicha certificación, de conformidad con la normativa aplicable.</w:t>
            </w:r>
          </w:p>
          <w:p w14:paraId="4C7F2D8B" w14:textId="77777777" w:rsidR="00E97A59" w:rsidRDefault="00AB7BF7" w:rsidP="000A6384">
            <w:pPr>
              <w:spacing w:before="120" w:after="120" w:line="276" w:lineRule="auto"/>
              <w:ind w:firstLine="709"/>
              <w:jc w:val="both"/>
              <w:rPr>
                <w:rFonts w:ascii="Verdana" w:eastAsia="Calibri" w:hAnsi="Verdana" w:cs="Arial"/>
              </w:rPr>
            </w:pPr>
            <w:r>
              <w:rPr>
                <w:rFonts w:ascii="Verdana" w:eastAsia="Calibri" w:hAnsi="Verdana" w:cs="Arial"/>
              </w:rPr>
              <w:t>Como se observa,</w:t>
            </w:r>
            <w:r w:rsidR="004C63A3" w:rsidRPr="00073658">
              <w:rPr>
                <w:rFonts w:ascii="Verdana" w:eastAsia="Calibri" w:hAnsi="Verdana" w:cs="Arial"/>
              </w:rPr>
              <w:t xml:space="preserve"> entre otros documentos,</w:t>
            </w:r>
            <w:r>
              <w:rPr>
                <w:rFonts w:ascii="Verdana" w:eastAsia="Calibri" w:hAnsi="Verdana" w:cs="Arial"/>
              </w:rPr>
              <w:t xml:space="preserve"> se requiere</w:t>
            </w:r>
            <w:r w:rsidR="004C63A3" w:rsidRPr="00073658">
              <w:rPr>
                <w:rFonts w:ascii="Verdana" w:eastAsia="Calibri" w:hAnsi="Verdana" w:cs="Arial"/>
              </w:rPr>
              <w:t xml:space="preserve"> </w:t>
            </w:r>
            <w:r w:rsidR="00B746E9">
              <w:rPr>
                <w:rFonts w:ascii="Verdana" w:eastAsia="Calibri" w:hAnsi="Verdana" w:cs="Arial"/>
              </w:rPr>
              <w:t xml:space="preserve">el certificado de discapacidad expedido por el </w:t>
            </w:r>
            <w:r w:rsidR="00B746E9" w:rsidRPr="00B746E9">
              <w:rPr>
                <w:rFonts w:ascii="Verdana" w:eastAsia="Calibri" w:hAnsi="Verdana" w:cs="Arial"/>
              </w:rPr>
              <w:t>Ministerio de Salud y Protección Social</w:t>
            </w:r>
            <w:r w:rsidR="00542856">
              <w:rPr>
                <w:rFonts w:ascii="Verdana" w:eastAsia="Calibri" w:hAnsi="Verdana" w:cs="Arial"/>
              </w:rPr>
              <w:t>,</w:t>
            </w:r>
            <w:r w:rsidR="00E47DFF">
              <w:rPr>
                <w:rFonts w:ascii="Verdana" w:eastAsia="Calibri" w:hAnsi="Verdana" w:cs="Arial"/>
              </w:rPr>
              <w:t xml:space="preserve"> y el mismo decreto señala que también se requiere</w:t>
            </w:r>
            <w:r w:rsidR="00542856">
              <w:rPr>
                <w:rFonts w:ascii="Verdana" w:eastAsia="Calibri" w:hAnsi="Verdana" w:cs="Arial"/>
              </w:rPr>
              <w:t xml:space="preserve"> la certificación del Ministerio del Trabajo</w:t>
            </w:r>
            <w:r w:rsidR="004C63A3" w:rsidRPr="00073658">
              <w:rPr>
                <w:rFonts w:ascii="Verdana" w:eastAsia="Calibri" w:hAnsi="Verdana" w:cs="Arial"/>
              </w:rPr>
              <w:t xml:space="preserve">. </w:t>
            </w:r>
            <w:r w:rsidR="00F67064">
              <w:rPr>
                <w:rFonts w:ascii="Verdana" w:eastAsia="Calibri" w:hAnsi="Verdana" w:cs="Arial"/>
              </w:rPr>
              <w:t xml:space="preserve">En ese sentido, </w:t>
            </w:r>
            <w:r w:rsidR="00E47DFF">
              <w:rPr>
                <w:rFonts w:ascii="Verdana" w:eastAsia="Calibri" w:hAnsi="Verdana" w:cs="Arial"/>
              </w:rPr>
              <w:t xml:space="preserve">la norma es clara </w:t>
            </w:r>
            <w:r w:rsidR="00851BE0">
              <w:rPr>
                <w:rFonts w:ascii="Verdana" w:eastAsia="Calibri" w:hAnsi="Verdana" w:cs="Arial"/>
              </w:rPr>
              <w:t>en que todos los documentos enlistados son necesarios para la obtención del puntaje</w:t>
            </w:r>
            <w:r w:rsidR="004D0174">
              <w:rPr>
                <w:rFonts w:ascii="Verdana" w:eastAsia="Calibri" w:hAnsi="Verdana" w:cs="Arial"/>
              </w:rPr>
              <w:t>, y sobre los certificados señalados en su consulta, ambos son necesarios porque acreditan situaciones diferentes, el certificado de discapacidad acredita la condición de la persona, y el certificado del Ministerio del Trabajo se refiere a la empresa que la contrata y acredita</w:t>
            </w:r>
            <w:r w:rsidR="00E97A59">
              <w:rPr>
                <w:rFonts w:ascii="Verdana" w:eastAsia="Calibri" w:hAnsi="Verdana" w:cs="Arial"/>
              </w:rPr>
              <w:t xml:space="preserve"> el número de trabajadores con discapacidad que existen en su planta de personal</w:t>
            </w:r>
            <w:r w:rsidR="0069615C">
              <w:rPr>
                <w:rFonts w:ascii="Verdana" w:eastAsia="Calibri" w:hAnsi="Verdana" w:cs="Arial"/>
              </w:rPr>
              <w:t>.</w:t>
            </w:r>
          </w:p>
          <w:p w14:paraId="69BA0DCE" w14:textId="29824127" w:rsidR="0069615C" w:rsidRDefault="00E97A59" w:rsidP="000A6384">
            <w:pPr>
              <w:spacing w:before="120" w:after="120" w:line="276" w:lineRule="auto"/>
              <w:ind w:firstLine="709"/>
              <w:jc w:val="both"/>
              <w:rPr>
                <w:rFonts w:ascii="Verdana" w:eastAsia="Calibri" w:hAnsi="Verdana" w:cs="Arial"/>
              </w:rPr>
            </w:pPr>
            <w:r>
              <w:rPr>
                <w:rFonts w:ascii="Verdana" w:eastAsia="Calibri" w:hAnsi="Verdana" w:cs="Arial"/>
              </w:rPr>
              <w:t xml:space="preserve">La consecuencia de no contar con la documentación enunciada, es la imposibilidad de acceder al puntaje, pero es posible que el proponente continúe participando en el proceso de contratación, puesto que se recuerda que lo regulado por el Decreto 287 de 2026 son incentivos para la población con discapacidad, que en ningún caso comportan la exclusión de proponentes del procedimiento contractual sino que </w:t>
            </w:r>
            <w:r w:rsidR="00742180">
              <w:rPr>
                <w:rFonts w:ascii="Verdana" w:eastAsia="Calibri" w:hAnsi="Verdana" w:cs="Arial"/>
              </w:rPr>
              <w:t>pueden seguir participando con su oferta en igualdad de condiciones frente a otras ofertas que opten por hacerlas más competitivas buscando acceder a los incentivos previo cumplimiento de los requisitos que establece la norma.</w:t>
            </w:r>
            <w:r w:rsidR="0069615C">
              <w:rPr>
                <w:rFonts w:ascii="Verdana" w:eastAsia="Calibri" w:hAnsi="Verdana" w:cs="Arial"/>
              </w:rPr>
              <w:t xml:space="preserve"> </w:t>
            </w:r>
          </w:p>
          <w:p w14:paraId="2D4CFCFE" w14:textId="70759AB3" w:rsidR="00D4753E" w:rsidRDefault="00355933" w:rsidP="00D4753E">
            <w:pPr>
              <w:spacing w:before="120" w:after="120" w:line="276" w:lineRule="auto"/>
              <w:ind w:firstLine="709"/>
              <w:jc w:val="both"/>
              <w:rPr>
                <w:rFonts w:ascii="Verdana" w:eastAsia="Times New Roman" w:hAnsi="Verdana" w:cs="Times New Roman"/>
              </w:rPr>
            </w:pPr>
            <w:proofErr w:type="spellStart"/>
            <w:r>
              <w:rPr>
                <w:rFonts w:ascii="Verdana" w:eastAsia="Times New Roman" w:hAnsi="Verdana" w:cs="Times New Roman"/>
              </w:rPr>
              <w:t>ii</w:t>
            </w:r>
            <w:proofErr w:type="spellEnd"/>
            <w:r>
              <w:rPr>
                <w:rFonts w:ascii="Verdana" w:eastAsia="Times New Roman" w:hAnsi="Verdana" w:cs="Times New Roman"/>
              </w:rPr>
              <w:t xml:space="preserve">) </w:t>
            </w:r>
            <w:r w:rsidR="00C64A64">
              <w:rPr>
                <w:rFonts w:ascii="Verdana" w:eastAsia="Times New Roman" w:hAnsi="Verdana" w:cs="Times New Roman"/>
              </w:rPr>
              <w:t xml:space="preserve">Sobre la vinculación de trabajadores con discapacidad para la obtención del puntaje establecido en el artículo 2.2.1.2.4.2.7.4 del Decreto 287 de 2026, </w:t>
            </w:r>
            <w:r w:rsidR="00C826E3">
              <w:rPr>
                <w:rFonts w:ascii="Verdana" w:eastAsia="Times New Roman" w:hAnsi="Verdana" w:cs="Times New Roman"/>
              </w:rPr>
              <w:t xml:space="preserve">esta </w:t>
            </w:r>
            <w:r w:rsidR="00D4753E">
              <w:rPr>
                <w:rFonts w:ascii="Verdana" w:eastAsia="Times New Roman" w:hAnsi="Verdana" w:cs="Times New Roman"/>
              </w:rPr>
              <w:t xml:space="preserve">debe ser a través de contrato laboral con dedicación exclusiva, </w:t>
            </w:r>
            <w:r w:rsidR="00C826E3">
              <w:rPr>
                <w:rFonts w:ascii="Verdana" w:eastAsia="Times New Roman" w:hAnsi="Verdana" w:cs="Times New Roman"/>
              </w:rPr>
              <w:t>y frente a esto la Circular Externa No. 003 de</w:t>
            </w:r>
            <w:r w:rsidR="003F67F8">
              <w:rPr>
                <w:rFonts w:ascii="Verdana" w:eastAsia="Times New Roman" w:hAnsi="Verdana" w:cs="Times New Roman"/>
              </w:rPr>
              <w:t>l 12 de mayo de</w:t>
            </w:r>
            <w:r w:rsidR="00C826E3">
              <w:rPr>
                <w:rFonts w:ascii="Verdana" w:eastAsia="Times New Roman" w:hAnsi="Verdana" w:cs="Times New Roman"/>
              </w:rPr>
              <w:t xml:space="preserve"> 2026</w:t>
            </w:r>
            <w:r w:rsidR="0040408D">
              <w:rPr>
                <w:rFonts w:ascii="Verdana" w:eastAsia="Times New Roman" w:hAnsi="Verdana" w:cs="Times New Roman"/>
              </w:rPr>
              <w:t xml:space="preserve"> expedida por esta Agencia aclara que</w:t>
            </w:r>
            <w:r w:rsidR="000D566D">
              <w:rPr>
                <w:rFonts w:ascii="Verdana" w:eastAsia="Times New Roman" w:hAnsi="Verdana" w:cs="Times New Roman"/>
              </w:rPr>
              <w:t>:</w:t>
            </w:r>
          </w:p>
          <w:p w14:paraId="130CD45C" w14:textId="241C50C4" w:rsidR="000D566D" w:rsidRPr="000D566D" w:rsidRDefault="000D566D" w:rsidP="000D566D">
            <w:pPr>
              <w:spacing w:before="100" w:after="180"/>
              <w:ind w:left="709" w:right="709"/>
              <w:jc w:val="both"/>
              <w:rPr>
                <w:rFonts w:ascii="Verdana" w:eastAsia="Times New Roman" w:hAnsi="Verdana" w:cs="Times New Roman"/>
                <w:i/>
                <w:iCs/>
                <w:sz w:val="21"/>
                <w:szCs w:val="21"/>
              </w:rPr>
            </w:pPr>
            <w:r w:rsidRPr="000D566D">
              <w:rPr>
                <w:rFonts w:ascii="Verdana" w:eastAsia="Times New Roman" w:hAnsi="Verdana" w:cs="Times New Roman"/>
                <w:i/>
                <w:iCs/>
                <w:sz w:val="21"/>
                <w:szCs w:val="21"/>
              </w:rPr>
              <w:t>“(…) Respecto de la situación de vinculación de PcD en la planta de personal de las empresas, el Decreto 287 de 2026 en su artículo 2.2.1.2.4.2.7.4. condiciona esa vinculación a que sea contrato laboral reglado por el Código Sustantivo del Trabajo, con dedicación exclusiva, entendiendo esta como la relación laboral con un único empleador, lo cual se acreditará en el contrato o la certificación laboral correspondiente”.</w:t>
            </w:r>
          </w:p>
          <w:p w14:paraId="114E27A7" w14:textId="78C35503" w:rsidR="003D12E9" w:rsidRDefault="00EA596B" w:rsidP="003D12E9">
            <w:pPr>
              <w:spacing w:before="120" w:after="120" w:line="276" w:lineRule="auto"/>
              <w:ind w:firstLine="709"/>
              <w:jc w:val="both"/>
              <w:rPr>
                <w:rFonts w:ascii="Verdana" w:eastAsia="Calibri" w:hAnsi="Verdana" w:cs="Arial"/>
              </w:rPr>
            </w:pPr>
            <w:r>
              <w:rPr>
                <w:rFonts w:ascii="Verdana" w:eastAsia="Calibri" w:hAnsi="Verdana" w:cs="Arial"/>
              </w:rPr>
              <w:t xml:space="preserve">En consecuencia, </w:t>
            </w:r>
            <w:r w:rsidR="00DD728B">
              <w:rPr>
                <w:rFonts w:ascii="Verdana" w:eastAsia="Calibri" w:hAnsi="Verdana" w:cs="Arial"/>
              </w:rPr>
              <w:t xml:space="preserve">la persona con discapacidad, si bien puede tener varias relaciones laborales </w:t>
            </w:r>
            <w:r w:rsidR="005321F3">
              <w:rPr>
                <w:rFonts w:ascii="Verdana" w:eastAsia="Calibri" w:hAnsi="Verdana" w:cs="Arial"/>
              </w:rPr>
              <w:t xml:space="preserve">siempre que las cláusulas contractuales se lo </w:t>
            </w:r>
            <w:r w:rsidR="005321F3">
              <w:rPr>
                <w:rFonts w:ascii="Verdana" w:eastAsia="Calibri" w:hAnsi="Verdana" w:cs="Arial"/>
              </w:rPr>
              <w:lastRenderedPageBreak/>
              <w:t>permitan</w:t>
            </w:r>
            <w:r w:rsidR="00496DFE">
              <w:rPr>
                <w:rFonts w:ascii="Verdana" w:eastAsia="Calibri" w:hAnsi="Verdana" w:cs="Arial"/>
              </w:rPr>
              <w:t xml:space="preserve">, para efectos </w:t>
            </w:r>
            <w:r w:rsidR="00B764A4">
              <w:rPr>
                <w:rFonts w:ascii="Verdana" w:eastAsia="Calibri" w:hAnsi="Verdana" w:cs="Arial"/>
              </w:rPr>
              <w:t xml:space="preserve">del cumplimiento de los requisitos para que su empleador obtenga el puntaje de la norma referida, no es posible que </w:t>
            </w:r>
            <w:r w:rsidR="003E4224">
              <w:rPr>
                <w:rFonts w:ascii="Verdana" w:eastAsia="Calibri" w:hAnsi="Verdana" w:cs="Arial"/>
              </w:rPr>
              <w:t>tenga simultáneamente empleadores</w:t>
            </w:r>
            <w:r w:rsidR="00F13A0A">
              <w:rPr>
                <w:rFonts w:ascii="Verdana" w:eastAsia="Calibri" w:hAnsi="Verdana" w:cs="Arial"/>
              </w:rPr>
              <w:t xml:space="preserve"> diferentes</w:t>
            </w:r>
            <w:r w:rsidR="003A4AA0">
              <w:rPr>
                <w:rFonts w:ascii="Verdana" w:eastAsia="Calibri" w:hAnsi="Verdana" w:cs="Arial"/>
              </w:rPr>
              <w:t>,</w:t>
            </w:r>
            <w:r w:rsidR="00330DC0">
              <w:rPr>
                <w:rFonts w:ascii="Verdana" w:eastAsia="Calibri" w:hAnsi="Verdana" w:cs="Arial"/>
              </w:rPr>
              <w:t xml:space="preserve"> so pena de que no se obtengan los puntos</w:t>
            </w:r>
            <w:r w:rsidR="009635C0">
              <w:rPr>
                <w:rFonts w:ascii="Verdana" w:eastAsia="Calibri" w:hAnsi="Verdana" w:cs="Arial"/>
              </w:rPr>
              <w:t xml:space="preserve"> adicionales</w:t>
            </w:r>
            <w:r w:rsidR="003E4224">
              <w:rPr>
                <w:rFonts w:ascii="Verdana" w:eastAsia="Calibri" w:hAnsi="Verdana" w:cs="Arial"/>
              </w:rPr>
              <w:t>.</w:t>
            </w:r>
          </w:p>
          <w:p w14:paraId="0C425BC2" w14:textId="77777777" w:rsidR="003D12E9" w:rsidRDefault="003D12E9" w:rsidP="001E7F1A">
            <w:pPr>
              <w:spacing w:before="120" w:after="120" w:line="276" w:lineRule="auto"/>
              <w:ind w:firstLine="709"/>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w:t>
            </w:r>
            <w:r w:rsidR="000D7A78">
              <w:rPr>
                <w:rFonts w:ascii="Verdana" w:eastAsia="Calibri" w:hAnsi="Verdana" w:cs="Arial"/>
              </w:rPr>
              <w:t xml:space="preserve"> E</w:t>
            </w:r>
            <w:r w:rsidR="003A4AA0" w:rsidRPr="00073658">
              <w:rPr>
                <w:rFonts w:ascii="Verdana" w:eastAsia="Calibri" w:hAnsi="Verdana" w:cs="Arial"/>
              </w:rPr>
              <w:t xml:space="preserve">n la condición de empleador de </w:t>
            </w:r>
            <w:r w:rsidR="000D7A78">
              <w:rPr>
                <w:rFonts w:ascii="Verdana" w:eastAsia="Calibri" w:hAnsi="Verdana" w:cs="Arial"/>
              </w:rPr>
              <w:t>personas con discapacidad</w:t>
            </w:r>
            <w:r w:rsidR="003A4AA0">
              <w:rPr>
                <w:rFonts w:ascii="Verdana" w:eastAsia="Calibri" w:hAnsi="Verdana" w:cs="Arial"/>
              </w:rPr>
              <w:t>, el artículo 2.2.1.2.4.2.7.4</w:t>
            </w:r>
            <w:r w:rsidR="000D7A78">
              <w:rPr>
                <w:rFonts w:ascii="Verdana" w:eastAsia="Calibri" w:hAnsi="Verdana" w:cs="Arial"/>
              </w:rPr>
              <w:t xml:space="preserve"> </w:t>
            </w:r>
            <w:r w:rsidR="003A4AA0" w:rsidRPr="00073658">
              <w:rPr>
                <w:rFonts w:ascii="Verdana" w:eastAsia="Calibri" w:hAnsi="Verdana" w:cs="Arial"/>
              </w:rPr>
              <w:t>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w:t>
            </w:r>
            <w:r w:rsidR="003A4AA0">
              <w:rPr>
                <w:rFonts w:ascii="Verdana" w:eastAsia="Calibri" w:hAnsi="Verdana" w:cs="Arial"/>
              </w:rPr>
              <w:t xml:space="preserve"> El término de tres (3) </w:t>
            </w:r>
            <w:proofErr w:type="gramStart"/>
            <w:r w:rsidR="003A4AA0">
              <w:rPr>
                <w:rFonts w:ascii="Verdana" w:eastAsia="Calibri" w:hAnsi="Verdana" w:cs="Arial"/>
              </w:rPr>
              <w:t>meses aquí mencionado</w:t>
            </w:r>
            <w:proofErr w:type="gramEnd"/>
            <w:r w:rsidR="003A4AA0">
              <w:rPr>
                <w:rFonts w:ascii="Verdana" w:eastAsia="Calibri" w:hAnsi="Verdana" w:cs="Arial"/>
              </w:rPr>
              <w:t xml:space="preserve"> es diferente al término de un (1) año mencionado en el artículo 2.2.1.2.4.2.6 respecto de los emprendimientos y empresas de PcD.</w:t>
            </w:r>
          </w:p>
          <w:p w14:paraId="6CB7133E" w14:textId="246C5668" w:rsidR="00F80676" w:rsidRPr="00670CFB" w:rsidRDefault="00F80676" w:rsidP="001E7F1A">
            <w:pPr>
              <w:spacing w:before="120" w:after="120" w:line="276" w:lineRule="auto"/>
              <w:ind w:firstLine="709"/>
              <w:jc w:val="both"/>
              <w:rPr>
                <w:rFonts w:ascii="Verdana" w:eastAsia="Calibri" w:hAnsi="Verdana" w:cs="Arial"/>
              </w:rPr>
            </w:pPr>
            <w:r>
              <w:rPr>
                <w:rFonts w:ascii="Verdana" w:eastAsia="Calibri" w:hAnsi="Verdana" w:cs="Arial"/>
              </w:rPr>
              <w:t xml:space="preserve">En todo caso, es importante precisar que </w:t>
            </w:r>
            <w:r w:rsidR="00B54ACA">
              <w:rPr>
                <w:rFonts w:ascii="Verdana" w:eastAsia="Calibri" w:hAnsi="Verdana" w:cs="Arial"/>
              </w:rPr>
              <w:t>esta disposición surge de la necesidad de evitar la mercantilización de las personas con discapacidad y/o que sean utilizadas para la obtención de beneficios, en ese sentido, el decreto es compatible con</w:t>
            </w:r>
            <w:r w:rsidR="00673FDE">
              <w:rPr>
                <w:rFonts w:ascii="Verdana" w:eastAsia="Calibri" w:hAnsi="Verdana" w:cs="Arial"/>
              </w:rPr>
              <w:t xml:space="preserve"> el derecho de estas personas a una inclusión real que no busque la obtención de un puntaje, sino el beneficio de contar con sus capacidades en el desarrollo de las actividades de una empresa.</w:t>
            </w:r>
            <w:r w:rsidR="00090870">
              <w:rPr>
                <w:rFonts w:ascii="Verdana" w:eastAsia="Calibri" w:hAnsi="Verdana" w:cs="Arial"/>
              </w:rPr>
              <w:t xml:space="preserve"> Por tanto, la inclusión que busca el Decreto 287 de 2026, es respecto de las personas con discapacidad y no de las empresas que las contratan, cambiando el paradigma de que las personas con discapacidad deben actuar a través de intermediarios, por lo que ahora los beneficios son directos, sin que en ningún caso se establezcan barreras para los proponentes.</w:t>
            </w:r>
            <w:r w:rsidR="00673FDE">
              <w:rPr>
                <w:rFonts w:ascii="Verdana" w:eastAsia="Calibri" w:hAnsi="Verdana" w:cs="Arial"/>
              </w:rPr>
              <w:t xml:space="preserve"> </w:t>
            </w:r>
            <w:r w:rsidR="00090870">
              <w:rPr>
                <w:rFonts w:ascii="Verdana" w:eastAsia="Calibri" w:hAnsi="Verdana" w:cs="Arial"/>
              </w:rPr>
              <w:t>Esto</w:t>
            </w:r>
            <w:r w:rsidR="00673FDE">
              <w:rPr>
                <w:rFonts w:ascii="Verdana" w:eastAsia="Calibri" w:hAnsi="Verdana" w:cs="Arial"/>
              </w:rPr>
              <w:t>, de acuerdo con lo establecido en el concepto de abogacía de la competencia de la Superintendencia de Industria y Comercio</w:t>
            </w:r>
            <w:r w:rsidR="00697C55">
              <w:rPr>
                <w:rFonts w:ascii="Verdana" w:eastAsia="Calibri" w:hAnsi="Verdana" w:cs="Arial"/>
              </w:rPr>
              <w:t xml:space="preserve"> </w:t>
            </w:r>
            <w:r w:rsidR="00532662">
              <w:rPr>
                <w:rFonts w:ascii="Verdana" w:eastAsia="Calibri" w:hAnsi="Verdana" w:cs="Arial"/>
              </w:rPr>
              <w:t>que,</w:t>
            </w:r>
            <w:r w:rsidR="00673FDE">
              <w:rPr>
                <w:rFonts w:ascii="Verdana" w:eastAsia="Calibri" w:hAnsi="Verdana" w:cs="Arial"/>
              </w:rPr>
              <w:t xml:space="preserve"> para que el decreto fuera compatible con los principios de selección objetiva y libre competencia y concurrencia, solicitó que la memoria justificativa fuera clara en que </w:t>
            </w:r>
            <w:r w:rsidR="00651584">
              <w:rPr>
                <w:rFonts w:ascii="Verdana" w:eastAsia="Calibri" w:hAnsi="Verdana" w:cs="Arial"/>
              </w:rPr>
              <w:t>el puntaje no es de obligatoria obtención, por lo que los proponentes pueden participar sin el puntaje</w:t>
            </w:r>
            <w:r w:rsidR="00353D6F">
              <w:rPr>
                <w:rFonts w:ascii="Verdana" w:eastAsia="Calibri" w:hAnsi="Verdana" w:cs="Arial"/>
              </w:rPr>
              <w:t xml:space="preserve"> en caso de que no cuenten con la vinculación de personas con discapacidad.</w:t>
            </w:r>
          </w:p>
        </w:tc>
      </w:tr>
    </w:tbl>
    <w:p w14:paraId="70451DDF"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2697DC77"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w:t>
      </w:r>
      <w:r>
        <w:rPr>
          <w:rFonts w:ascii="Verdana" w:eastAsia="Century Gothic" w:hAnsi="Verdana" w:cs="Century Gothic"/>
          <w:b/>
          <w:lang w:val="es-ES"/>
        </w:rPr>
        <w:t>s</w:t>
      </w:r>
      <w:r w:rsidRPr="00206556">
        <w:rPr>
          <w:rFonts w:ascii="Verdana" w:eastAsia="Century Gothic" w:hAnsi="Verdana" w:cs="Century Gothic"/>
          <w:b/>
          <w:lang w:val="es-ES"/>
        </w:rPr>
        <w:t xml:space="preserve">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2AF17CCD"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color w:val="ED7D31" w:themeColor="accent2"/>
          <w:lang w:val="es-ES"/>
        </w:rPr>
      </w:pPr>
    </w:p>
    <w:p w14:paraId="0D4D8776" w14:textId="77777777" w:rsidR="004C63A3" w:rsidRPr="00206556" w:rsidRDefault="004C63A3" w:rsidP="004C63A3">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72527C2D" w14:textId="77777777" w:rsidR="004C63A3" w:rsidRPr="00206556" w:rsidRDefault="004C63A3" w:rsidP="004C63A3">
      <w:pPr>
        <w:spacing w:after="0" w:line="276" w:lineRule="auto"/>
        <w:jc w:val="both"/>
        <w:rPr>
          <w:rFonts w:ascii="Verdana" w:eastAsia="Calibri" w:hAnsi="Verdana" w:cs="Arial"/>
          <w:lang w:val="es-ES"/>
        </w:rPr>
      </w:pPr>
    </w:p>
    <w:p w14:paraId="6172C108" w14:textId="77777777" w:rsidR="004C63A3" w:rsidRPr="00206556" w:rsidRDefault="004C63A3" w:rsidP="004C63A3">
      <w:pPr>
        <w:spacing w:after="120" w:line="276" w:lineRule="auto"/>
        <w:jc w:val="both"/>
        <w:rPr>
          <w:rFonts w:ascii="Verdana" w:hAnsi="Verdana"/>
        </w:rPr>
      </w:pPr>
      <w:r w:rsidRPr="00206556">
        <w:rPr>
          <w:rFonts w:ascii="Verdana" w:eastAsia="Calibri" w:hAnsi="Verdana" w:cs="Arial"/>
          <w:lang w:val="es-ES"/>
        </w:rPr>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El fundamento del Sistema de Preferencias para PcD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PcD</w:t>
      </w:r>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0A644553" w14:textId="77777777" w:rsidR="004C63A3" w:rsidRPr="00206556" w:rsidRDefault="004C63A3" w:rsidP="004C63A3">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PcD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w:t>
      </w:r>
      <w:r w:rsidRPr="00206556">
        <w:rPr>
          <w:rFonts w:ascii="Verdana" w:eastAsia="Times New Roman" w:hAnsi="Verdana" w:cs="Times New Roman"/>
        </w:rPr>
        <w:lastRenderedPageBreak/>
        <w:t>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PcD en materia de empleo.</w:t>
      </w:r>
    </w:p>
    <w:p w14:paraId="43C42677"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para los empleadores que tuvieran al menos el 10% de su nómina compuesta por PcD</w:t>
      </w:r>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PcD, pero su alcance era limitado: una preferencia residual aplicable solo en caso de empate, que beneficiaba únicamente a los empleadores de PcD sin considerar a las propias PcD como proponentes directos.</w:t>
      </w:r>
    </w:p>
    <w:p w14:paraId="57048E9A"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PcD,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64DF8EF2" w14:textId="77777777" w:rsidR="004C63A3" w:rsidRPr="00E727F0" w:rsidRDefault="004C63A3" w:rsidP="004C63A3">
      <w:pPr>
        <w:spacing w:after="120" w:line="276" w:lineRule="auto"/>
        <w:ind w:firstLine="709"/>
        <w:jc w:val="both"/>
        <w:rPr>
          <w:rFonts w:ascii="Verdana" w:hAnsi="Verdana"/>
        </w:rPr>
      </w:pPr>
      <w:r w:rsidRPr="00E727F0">
        <w:rPr>
          <w:rFonts w:ascii="Verdana" w:hAnsi="Verdana"/>
        </w:rPr>
        <w:lastRenderedPageBreak/>
        <w:t>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6F7BD46B" w14:textId="77777777" w:rsidR="004C63A3" w:rsidRPr="00A420A9" w:rsidRDefault="004C63A3" w:rsidP="004C63A3">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C910C65" w14:textId="77777777" w:rsidR="004C63A3" w:rsidRDefault="004C63A3" w:rsidP="004C63A3">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PcD y los empleadores de PcD. A continuación, se desarrolla el alcance de cada aspecto del sistema planteado en los problemas jurídicos. </w:t>
      </w:r>
    </w:p>
    <w:p w14:paraId="639584E3" w14:textId="77777777" w:rsidR="004C63A3" w:rsidRPr="00E727F0" w:rsidRDefault="004C63A3" w:rsidP="004C63A3">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w:t>
      </w:r>
      <w:r w:rsidRPr="00E727F0">
        <w:rPr>
          <w:rFonts w:ascii="Verdana" w:eastAsia="Times New Roman" w:hAnsi="Verdana" w:cs="Times New Roman"/>
        </w:rPr>
        <w:lastRenderedPageBreak/>
        <w:t>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7A17DE97" w14:textId="77777777" w:rsidR="004C63A3" w:rsidRPr="00E727F0" w:rsidRDefault="004C63A3" w:rsidP="004C63A3">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00C336CD" w14:textId="77777777" w:rsidR="004C63A3" w:rsidRPr="00206556" w:rsidRDefault="004C63A3" w:rsidP="004C63A3">
      <w:pPr>
        <w:spacing w:after="120" w:line="276" w:lineRule="auto"/>
        <w:ind w:firstLine="709"/>
        <w:jc w:val="both"/>
        <w:rPr>
          <w:rFonts w:ascii="Verdana" w:hAnsi="Verdana"/>
        </w:rPr>
      </w:pPr>
      <w:r w:rsidRPr="00E727F0">
        <w:rPr>
          <w:rFonts w:ascii="Verdana" w:eastAsia="Times New Roman" w:hAnsi="Verdana" w:cs="Times New Roman"/>
        </w:rPr>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5C1A1855" w14:textId="77777777" w:rsidR="004C63A3" w:rsidRPr="00D22B7C" w:rsidRDefault="004C63A3" w:rsidP="004C63A3">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En cuanto a la exigencia del número mínimo de PcD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PcD,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7024681E" w14:textId="77777777" w:rsidR="004C63A3" w:rsidRPr="00D22B7C" w:rsidRDefault="004C63A3" w:rsidP="004C63A3">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4C63A3" w:rsidRPr="00D22B7C" w14:paraId="2C33C2F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FBB3A23"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CB238A5"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mínimo de trabajadores con discapacidad requerido</w:t>
            </w:r>
          </w:p>
        </w:tc>
      </w:tr>
      <w:tr w:rsidR="004C63A3" w:rsidRPr="00D22B7C" w14:paraId="73C657FF"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8CA8FCF" w14:textId="77777777" w:rsidR="004C63A3" w:rsidRPr="00D22B7C" w:rsidRDefault="004C63A3" w:rsidP="000A6384">
            <w:pPr>
              <w:jc w:val="center"/>
              <w:rPr>
                <w:rFonts w:ascii="Verdana" w:hAnsi="Verdana"/>
              </w:rPr>
            </w:pPr>
            <w:r w:rsidRPr="00D22B7C">
              <w:rPr>
                <w:rFonts w:ascii="Verdana" w:eastAsia="Times New Roman" w:hAnsi="Verdana" w:cs="Times New Roman"/>
              </w:rPr>
              <w:lastRenderedPageBreak/>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DFBE67E" w14:textId="77777777" w:rsidR="004C63A3" w:rsidRPr="00D22B7C" w:rsidRDefault="004C63A3" w:rsidP="000A6384">
            <w:pPr>
              <w:jc w:val="center"/>
              <w:rPr>
                <w:rFonts w:ascii="Verdana" w:hAnsi="Verdana"/>
              </w:rPr>
            </w:pPr>
            <w:r w:rsidRPr="00D22B7C">
              <w:rPr>
                <w:rFonts w:ascii="Verdana" w:eastAsia="Times New Roman" w:hAnsi="Verdana" w:cs="Times New Roman"/>
              </w:rPr>
              <w:t>2</w:t>
            </w:r>
          </w:p>
        </w:tc>
      </w:tr>
      <w:tr w:rsidR="004C63A3" w:rsidRPr="00D22B7C" w14:paraId="727BC45B"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2AC4F4" w14:textId="77777777" w:rsidR="004C63A3" w:rsidRPr="00D22B7C" w:rsidRDefault="004C63A3" w:rsidP="000A6384">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D28D18" w14:textId="77777777" w:rsidR="004C63A3" w:rsidRPr="00D22B7C" w:rsidRDefault="004C63A3" w:rsidP="000A6384">
            <w:pPr>
              <w:jc w:val="center"/>
              <w:rPr>
                <w:rFonts w:ascii="Verdana" w:hAnsi="Verdana"/>
              </w:rPr>
            </w:pPr>
            <w:r w:rsidRPr="00D22B7C">
              <w:rPr>
                <w:rFonts w:ascii="Verdana" w:eastAsia="Times New Roman" w:hAnsi="Verdana" w:cs="Times New Roman"/>
              </w:rPr>
              <w:t>3</w:t>
            </w:r>
          </w:p>
        </w:tc>
      </w:tr>
      <w:tr w:rsidR="004C63A3" w:rsidRPr="00D22B7C" w14:paraId="0F2AE06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128D3D1" w14:textId="77777777" w:rsidR="004C63A3" w:rsidRPr="00D22B7C" w:rsidRDefault="004C63A3" w:rsidP="000A6384">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652BD09" w14:textId="77777777" w:rsidR="004C63A3" w:rsidRPr="00D22B7C" w:rsidRDefault="004C63A3" w:rsidP="000A6384">
            <w:pPr>
              <w:jc w:val="center"/>
              <w:rPr>
                <w:rFonts w:ascii="Verdana" w:hAnsi="Verdana"/>
              </w:rPr>
            </w:pPr>
            <w:r w:rsidRPr="00D22B7C">
              <w:rPr>
                <w:rFonts w:ascii="Verdana" w:eastAsia="Times New Roman" w:hAnsi="Verdana" w:cs="Times New Roman"/>
              </w:rPr>
              <w:t>4</w:t>
            </w:r>
          </w:p>
        </w:tc>
      </w:tr>
      <w:tr w:rsidR="004C63A3" w:rsidRPr="00D22B7C" w14:paraId="150B43DC"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AEEC878" w14:textId="77777777" w:rsidR="004C63A3" w:rsidRPr="00D22B7C" w:rsidRDefault="004C63A3" w:rsidP="000A6384">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58D9EA1" w14:textId="77777777" w:rsidR="004C63A3" w:rsidRPr="00D22B7C" w:rsidRDefault="004C63A3" w:rsidP="000A6384">
            <w:pPr>
              <w:jc w:val="center"/>
              <w:rPr>
                <w:rFonts w:ascii="Verdana" w:hAnsi="Verdana"/>
              </w:rPr>
            </w:pPr>
            <w:r w:rsidRPr="00D22B7C">
              <w:rPr>
                <w:rFonts w:ascii="Verdana" w:eastAsia="Times New Roman" w:hAnsi="Verdana" w:cs="Times New Roman"/>
              </w:rPr>
              <w:t>5</w:t>
            </w:r>
          </w:p>
        </w:tc>
      </w:tr>
      <w:tr w:rsidR="004C63A3" w:rsidRPr="00D22B7C" w14:paraId="129CB04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C36F954" w14:textId="77777777" w:rsidR="004C63A3" w:rsidRPr="00D22B7C" w:rsidRDefault="004C63A3" w:rsidP="000A6384">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4080461" w14:textId="77777777" w:rsidR="004C63A3" w:rsidRPr="00D22B7C" w:rsidRDefault="004C63A3" w:rsidP="000A6384">
            <w:pPr>
              <w:jc w:val="center"/>
              <w:rPr>
                <w:rFonts w:ascii="Verdana" w:hAnsi="Verdana"/>
              </w:rPr>
            </w:pPr>
            <w:r w:rsidRPr="00D22B7C">
              <w:rPr>
                <w:rFonts w:ascii="Verdana" w:eastAsia="Times New Roman" w:hAnsi="Verdana" w:cs="Times New Roman"/>
              </w:rPr>
              <w:t>7</w:t>
            </w:r>
          </w:p>
        </w:tc>
      </w:tr>
      <w:tr w:rsidR="004C63A3" w:rsidRPr="00D22B7C" w14:paraId="4456C5F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22EEEE" w14:textId="77777777" w:rsidR="004C63A3" w:rsidRPr="00D22B7C" w:rsidRDefault="004C63A3" w:rsidP="000A6384">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734EC36" w14:textId="77777777" w:rsidR="004C63A3" w:rsidRPr="00D22B7C" w:rsidRDefault="004C63A3" w:rsidP="000A6384">
            <w:pPr>
              <w:jc w:val="center"/>
              <w:rPr>
                <w:rFonts w:ascii="Verdana" w:hAnsi="Verdana"/>
              </w:rPr>
            </w:pPr>
            <w:r w:rsidRPr="00D22B7C">
              <w:rPr>
                <w:rFonts w:ascii="Verdana" w:eastAsia="Times New Roman" w:hAnsi="Verdana" w:cs="Times New Roman"/>
              </w:rPr>
              <w:t>10</w:t>
            </w:r>
          </w:p>
        </w:tc>
      </w:tr>
      <w:tr w:rsidR="004C63A3" w:rsidRPr="00D22B7C" w14:paraId="69D84CF8"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FF52909" w14:textId="77777777" w:rsidR="004C63A3" w:rsidRPr="00D22B7C" w:rsidRDefault="004C63A3" w:rsidP="000A6384">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B3420BB" w14:textId="77777777" w:rsidR="004C63A3" w:rsidRPr="00D22B7C" w:rsidRDefault="004C63A3" w:rsidP="000A6384">
            <w:pPr>
              <w:jc w:val="center"/>
              <w:rPr>
                <w:rFonts w:ascii="Verdana" w:hAnsi="Verdana"/>
              </w:rPr>
            </w:pPr>
            <w:r w:rsidRPr="00D22B7C">
              <w:rPr>
                <w:rFonts w:ascii="Verdana" w:eastAsia="Times New Roman" w:hAnsi="Verdana" w:cs="Times New Roman"/>
              </w:rPr>
              <w:t>12</w:t>
            </w:r>
          </w:p>
        </w:tc>
      </w:tr>
      <w:tr w:rsidR="004C63A3" w:rsidRPr="00D22B7C" w14:paraId="675000FD"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A0DB849" w14:textId="77777777" w:rsidR="004C63A3" w:rsidRPr="00D22B7C" w:rsidRDefault="004C63A3" w:rsidP="000A6384">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B639B76" w14:textId="77777777" w:rsidR="004C63A3" w:rsidRPr="00D22B7C" w:rsidRDefault="004C63A3" w:rsidP="000A6384">
            <w:pPr>
              <w:jc w:val="center"/>
              <w:rPr>
                <w:rFonts w:ascii="Verdana" w:hAnsi="Verdana"/>
              </w:rPr>
            </w:pPr>
            <w:r w:rsidRPr="00D22B7C">
              <w:rPr>
                <w:rFonts w:ascii="Verdana" w:eastAsia="Times New Roman" w:hAnsi="Verdana" w:cs="Times New Roman"/>
              </w:rPr>
              <w:t>14</w:t>
            </w:r>
          </w:p>
        </w:tc>
      </w:tr>
      <w:tr w:rsidR="004C63A3" w:rsidRPr="00D22B7C" w14:paraId="773E4DA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42E552" w14:textId="77777777" w:rsidR="004C63A3" w:rsidRPr="00D22B7C" w:rsidRDefault="004C63A3" w:rsidP="000A6384">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64347C" w14:textId="77777777" w:rsidR="004C63A3" w:rsidRPr="00D22B7C" w:rsidRDefault="004C63A3" w:rsidP="000A6384">
            <w:pPr>
              <w:jc w:val="center"/>
              <w:rPr>
                <w:rFonts w:ascii="Verdana" w:hAnsi="Verdana"/>
              </w:rPr>
            </w:pPr>
            <w:r w:rsidRPr="00D22B7C">
              <w:rPr>
                <w:rFonts w:ascii="Verdana" w:eastAsia="Times New Roman" w:hAnsi="Verdana" w:cs="Times New Roman"/>
              </w:rPr>
              <w:t>16</w:t>
            </w:r>
          </w:p>
        </w:tc>
      </w:tr>
      <w:tr w:rsidR="004C63A3" w:rsidRPr="00D22B7C" w14:paraId="27D5202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C358032" w14:textId="77777777" w:rsidR="004C63A3" w:rsidRPr="00D22B7C" w:rsidRDefault="004C63A3" w:rsidP="000A6384">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83BC22" w14:textId="77777777" w:rsidR="004C63A3" w:rsidRPr="00D22B7C" w:rsidRDefault="004C63A3" w:rsidP="000A6384">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363F0355" w14:textId="77777777" w:rsidR="004C63A3" w:rsidRPr="00D22B7C" w:rsidRDefault="004C63A3" w:rsidP="004C63A3">
      <w:pPr>
        <w:spacing w:after="0" w:line="276" w:lineRule="auto"/>
        <w:rPr>
          <w:rFonts w:ascii="Verdana" w:hAnsi="Verdana"/>
        </w:rPr>
      </w:pPr>
    </w:p>
    <w:p w14:paraId="2A6FB031"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19C71940"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PcD incluida en el cómputo, sin distinción entre vinculaciones iniciales e incrementos posteriores, junto con el </w:t>
      </w:r>
      <w:r w:rsidRPr="00D22B7C">
        <w:rPr>
          <w:rFonts w:ascii="Verdana" w:eastAsia="Times New Roman" w:hAnsi="Verdana" w:cs="Times New Roman"/>
        </w:rPr>
        <w:lastRenderedPageBreak/>
        <w:t>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062070BD" w14:textId="77777777" w:rsidR="004C63A3" w:rsidRPr="003C3B8B" w:rsidRDefault="004C63A3" w:rsidP="004C63A3">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"no se exige vinculación de las PcD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2591B6E3" w14:textId="77777777" w:rsidR="004C63A3" w:rsidRDefault="004C63A3" w:rsidP="004C63A3">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El período de tres meses es el umbral mínimo de estabilidad laboral que diferencia un compromiso genuino con la inclusión de una vinculación oportunista. La norma aplica este requisito para cada PcD incluida en la acreditación, independientemente de si es una vinculación original o una nueva incorporación. Si una empresa ha incrementado recientemente su planta de PcD y alguna de estas vinculaciones no alcanza el período requerido, el proponente puede participar en el proceso utilizando únicamente las PcD que sí cumplan el requisito temporal. La consecuencia de no alcanzar el período no es la exclusión del proceso sino la imposibilidad de obtener el puntaje adicional respecto de esas PcD específicas, lo que es coherente con los principios de participación y pluralidad de oferentes.</w:t>
      </w:r>
    </w:p>
    <w:p w14:paraId="6221ED17" w14:textId="04895058" w:rsidR="004C63A3" w:rsidRDefault="004C63A3" w:rsidP="004C63A3">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PcD a las plantas de personal debe realizarse mediante contrato laboral con dedicación exclusiva, </w:t>
      </w:r>
      <w:r w:rsidR="000E3E5A">
        <w:rPr>
          <w:rFonts w:ascii="Verdana" w:eastAsia="Times New Roman" w:hAnsi="Verdana" w:cs="Times New Roman"/>
        </w:rPr>
        <w:t xml:space="preserve">lo cual corresponde a </w:t>
      </w:r>
      <w:r w:rsidR="00AE7741">
        <w:rPr>
          <w:rFonts w:ascii="Verdana" w:eastAsia="Times New Roman" w:hAnsi="Verdana" w:cs="Times New Roman"/>
        </w:rPr>
        <w:t xml:space="preserve">una </w:t>
      </w:r>
      <w:r w:rsidR="00AE7741" w:rsidRPr="00AE7741">
        <w:rPr>
          <w:rFonts w:ascii="Verdana" w:eastAsia="Times New Roman" w:hAnsi="Verdana" w:cs="Times New Roman"/>
        </w:rPr>
        <w:t>relación laboral con un único empleador, lo cual se acreditará en el contrato o la certificación laboral correspondiente</w:t>
      </w:r>
      <w:r w:rsidRPr="007B01BA">
        <w:rPr>
          <w:rFonts w:ascii="Verdana" w:eastAsia="Times New Roman" w:hAnsi="Verdana" w:cs="Times New Roman"/>
        </w:rPr>
        <w:t>. Adicionalmente, debe destacarse la diferencia entre los documentos exigidos según el sujeto que acredita el puntaje: cuando se trata de un empleador de PcD,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PcD, los documentos requeridos son los establecidos en el artículo 2.2.1.2.4.2.6., que varían según la categoría que se acredite. En ningún caso los documentos del artículo 2.2.1.2.4.2.7.4. son exigibles a los emprendimientos y empresas de PcD,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PcD, por lo que no deben confundirse.</w:t>
      </w:r>
    </w:p>
    <w:p w14:paraId="4A918843" w14:textId="77777777" w:rsidR="004C63A3" w:rsidRPr="00D22B7C" w:rsidRDefault="004C63A3" w:rsidP="004C63A3">
      <w:pPr>
        <w:spacing w:after="120" w:line="276" w:lineRule="auto"/>
        <w:ind w:firstLine="709"/>
        <w:jc w:val="both"/>
        <w:rPr>
          <w:rFonts w:ascii="Verdana" w:hAnsi="Verdana"/>
        </w:rPr>
      </w:pPr>
      <w:r w:rsidRPr="00206556">
        <w:rPr>
          <w:rFonts w:ascii="Verdana" w:hAnsi="Verdana"/>
        </w:rPr>
        <w:lastRenderedPageBreak/>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0E08C336" w14:textId="2F50B9AB" w:rsidR="004C63A3" w:rsidRPr="00670CFB" w:rsidRDefault="004C63A3" w:rsidP="00FF213B">
      <w:pPr>
        <w:spacing w:after="120" w:line="276" w:lineRule="auto"/>
        <w:ind w:firstLine="708"/>
        <w:jc w:val="both"/>
        <w:rPr>
          <w:rFonts w:ascii="Verdana" w:hAnsi="Verdana"/>
        </w:rPr>
      </w:pPr>
      <w:r w:rsidRPr="00206556">
        <w:rPr>
          <w:rFonts w:ascii="Verdana" w:hAnsi="Verdana"/>
        </w:rPr>
        <w:t>(</w:t>
      </w:r>
      <w:r>
        <w:rPr>
          <w:rFonts w:ascii="Verdana" w:hAnsi="Verdana"/>
        </w:rPr>
        <w:t>v</w:t>
      </w:r>
      <w:r w:rsidRPr="00206556">
        <w:rPr>
          <w:rFonts w:ascii="Verdana" w:hAnsi="Verdana"/>
        </w:rPr>
        <w:t xml:space="preserve">) </w:t>
      </w:r>
      <w:r w:rsidRPr="00670CFB">
        <w:rPr>
          <w:rFonts w:ascii="Verdana" w:hAnsi="Verdana"/>
        </w:rPr>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0135AC83"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w:t>
      </w:r>
      <w:r w:rsidRPr="00670CFB">
        <w:rPr>
          <w:rFonts w:ascii="Verdana" w:hAnsi="Verdana"/>
        </w:rPr>
        <w:lastRenderedPageBreak/>
        <w:t xml:space="preserve">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0327D26B" w14:textId="3886C232"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w:t>
      </w:r>
      <w:r w:rsidR="00121FA5">
        <w:rPr>
          <w:rFonts w:ascii="Verdana" w:hAnsi="Verdana"/>
        </w:rPr>
        <w:t>uno</w:t>
      </w:r>
      <w:r w:rsidRPr="00670CFB">
        <w:rPr>
          <w:rFonts w:ascii="Verdana" w:hAnsi="Verdana"/>
        </w:rPr>
        <w:t xml:space="preserve"> de estos requisitos de acuerdo con lo que resulte justificado en sus estudios previos, garantizando en todo caso que </w:t>
      </w:r>
      <w:r w:rsidR="00C4675B">
        <w:rPr>
          <w:rFonts w:ascii="Verdana" w:hAnsi="Verdana"/>
        </w:rPr>
        <w:t>el</w:t>
      </w:r>
      <w:r w:rsidRPr="00670CFB">
        <w:rPr>
          <w:rFonts w:ascii="Verdana" w:hAnsi="Verdana"/>
        </w:rPr>
        <w:t xml:space="preserve"> requisito ajustado sea suficiente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29C00886"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w:t>
      </w:r>
      <w:r w:rsidRPr="00670CFB">
        <w:rPr>
          <w:rFonts w:ascii="Verdana" w:hAnsi="Verdana"/>
        </w:rPr>
        <w:lastRenderedPageBreak/>
        <w:t xml:space="preserve">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4713BDC1"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5B6361BA"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lastRenderedPageBreak/>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0EA8FF2E"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04523CB0"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De esta manera, el Sistema Integral de Preferencias establecido por el Decreto 0287 de 2026 constituye un cambio estructural en la forma en que el </w:t>
      </w:r>
      <w:r w:rsidRPr="00670CFB">
        <w:rPr>
          <w:rFonts w:ascii="Verdana" w:hAnsi="Verdana"/>
        </w:rPr>
        <w:lastRenderedPageBreak/>
        <w:t>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61EEEF85" w14:textId="77777777" w:rsidR="004C63A3" w:rsidRPr="00206556" w:rsidRDefault="004C63A3" w:rsidP="004C63A3">
      <w:pPr>
        <w:spacing w:after="0" w:line="276" w:lineRule="auto"/>
        <w:jc w:val="both"/>
        <w:rPr>
          <w:rFonts w:ascii="Verdana" w:eastAsia="Calibri" w:hAnsi="Verdana" w:cs="Arial"/>
          <w:lang w:val="es-ES"/>
        </w:rPr>
      </w:pPr>
    </w:p>
    <w:p w14:paraId="2667BB60" w14:textId="77777777" w:rsidR="004C63A3" w:rsidRPr="00206556" w:rsidRDefault="004C63A3" w:rsidP="004C63A3">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63A3" w:rsidRPr="00206556" w14:paraId="6DD4B878" w14:textId="77777777" w:rsidTr="000A6384">
        <w:trPr>
          <w:trHeight w:val="297"/>
        </w:trPr>
        <w:tc>
          <w:tcPr>
            <w:tcW w:w="8647" w:type="dxa"/>
          </w:tcPr>
          <w:p w14:paraId="748C2797" w14:textId="77777777" w:rsidR="004C63A3" w:rsidRPr="00670CFB"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3FD7C444"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3913AA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0583B2E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2872C4B3"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5F0C1C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10468BFE"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7D75588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19D30BC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507813E2"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299F943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6A0647B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0DFA1EB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4F79D15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0F5FBAB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6689B67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4C2B07B1"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Corte Constitucional. Sentencia SU-049 de 2017. M.P. María Victoria Calle Correa.</w:t>
            </w:r>
          </w:p>
          <w:p w14:paraId="29D2FE2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1E6DB4E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1C1D05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336386C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C3772F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4642374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7550B9C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34F3C63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0708B57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7425EBD1" w14:textId="77777777" w:rsidR="004C63A3" w:rsidRPr="00206556" w:rsidRDefault="004C63A3" w:rsidP="000A6384">
            <w:pPr>
              <w:widowControl w:val="0"/>
              <w:autoSpaceDE w:val="0"/>
              <w:autoSpaceDN w:val="0"/>
              <w:spacing w:line="276" w:lineRule="auto"/>
              <w:jc w:val="both"/>
              <w:rPr>
                <w:rFonts w:ascii="Verdana" w:eastAsia="Arial MT" w:hAnsi="Verdana" w:cs="Arial"/>
                <w:lang w:val="es-ES" w:eastAsia="es-ES" w:bidi="es-ES"/>
              </w:rPr>
            </w:pPr>
          </w:p>
        </w:tc>
      </w:tr>
    </w:tbl>
    <w:p w14:paraId="14B5C410"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C2F6604" w14:textId="77777777" w:rsidR="004C63A3"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616976E0" w14:textId="77777777" w:rsidR="004C63A3" w:rsidRPr="00670CFB" w:rsidRDefault="004C63A3" w:rsidP="004C63A3">
      <w:pPr>
        <w:tabs>
          <w:tab w:val="left" w:pos="142"/>
          <w:tab w:val="left" w:pos="284"/>
        </w:tabs>
        <w:spacing w:after="0" w:line="276" w:lineRule="auto"/>
        <w:jc w:val="both"/>
        <w:rPr>
          <w:rFonts w:ascii="Verdana" w:eastAsia="Century Gothic" w:hAnsi="Verdana" w:cs="Century Gothic"/>
          <w:b/>
          <w:lang w:val="es-ES"/>
        </w:rPr>
      </w:pPr>
    </w:p>
    <w:p w14:paraId="26025DE5" w14:textId="3D9E6D1D" w:rsidR="004C63A3" w:rsidRPr="00206556" w:rsidRDefault="004C63A3" w:rsidP="004C63A3">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 xml:space="preserve">sobre el alcance del Decreto 0287 de 2026 en </w:t>
      </w:r>
      <w:r w:rsidR="001445D7">
        <w:rPr>
          <w:rFonts w:ascii="Verdana" w:hAnsi="Verdana" w:cs="Arial"/>
          <w:shd w:val="clear" w:color="auto" w:fill="FFFFFF"/>
          <w:lang w:val="es-ES"/>
        </w:rPr>
        <w:t>los conceptos C-</w:t>
      </w:r>
      <w:r w:rsidR="00701C3C">
        <w:rPr>
          <w:rFonts w:ascii="Verdana" w:hAnsi="Verdana" w:cs="Arial"/>
          <w:shd w:val="clear" w:color="auto" w:fill="FFFFFF"/>
          <w:lang w:val="es-ES"/>
        </w:rPr>
        <w:t>473 del 7 de mayo de 2026</w:t>
      </w:r>
      <w:r w:rsidR="00B86811">
        <w:rPr>
          <w:rFonts w:ascii="Verdana" w:hAnsi="Verdana" w:cs="Arial"/>
          <w:shd w:val="clear" w:color="auto" w:fill="FFFFFF"/>
          <w:lang w:val="es-ES"/>
        </w:rPr>
        <w:t>,</w:t>
      </w:r>
      <w:r w:rsidR="001445D7">
        <w:rPr>
          <w:rFonts w:ascii="Verdana" w:hAnsi="Verdana" w:cs="Arial"/>
          <w:shd w:val="clear" w:color="auto" w:fill="FFFFFF"/>
          <w:lang w:val="es-ES"/>
        </w:rPr>
        <w:t xml:space="preserve"> C-</w:t>
      </w:r>
      <w:r w:rsidR="001445D7" w:rsidRPr="001445D7">
        <w:rPr>
          <w:rFonts w:ascii="Verdana" w:hAnsi="Verdana" w:cs="Arial"/>
          <w:shd w:val="clear" w:color="auto" w:fill="FFFFFF"/>
          <w:lang w:val="es-ES"/>
        </w:rPr>
        <w:t>498 de</w:t>
      </w:r>
      <w:r w:rsidR="001445D7">
        <w:rPr>
          <w:rFonts w:ascii="Verdana" w:hAnsi="Verdana" w:cs="Arial"/>
          <w:shd w:val="clear" w:color="auto" w:fill="FFFFFF"/>
          <w:lang w:val="es-ES"/>
        </w:rPr>
        <w:t>l 8 de mayo de</w:t>
      </w:r>
      <w:r w:rsidR="001445D7" w:rsidRPr="001445D7">
        <w:rPr>
          <w:rFonts w:ascii="Verdana" w:hAnsi="Verdana" w:cs="Arial"/>
          <w:shd w:val="clear" w:color="auto" w:fill="FFFFFF"/>
          <w:lang w:val="es-ES"/>
        </w:rPr>
        <w:t xml:space="preserve"> 2026</w:t>
      </w:r>
      <w:r w:rsidR="00B86811">
        <w:rPr>
          <w:rFonts w:ascii="Verdana" w:hAnsi="Verdana" w:cs="Arial"/>
          <w:shd w:val="clear" w:color="auto" w:fill="FFFFFF"/>
          <w:lang w:val="es-ES"/>
        </w:rPr>
        <w:t xml:space="preserve"> y C-576 del 19 de mayo de 2026</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sidR="001445D7">
        <w:rPr>
          <w:rFonts w:ascii="Verdana" w:hAnsi="Verdana" w:cs="Arial"/>
          <w:shd w:val="clear" w:color="auto" w:fill="FFFFFF"/>
          <w:lang w:val="es-ES"/>
        </w:rPr>
        <w:t>os</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1" w:history="1">
        <w:r w:rsidRPr="00206556">
          <w:rPr>
            <w:rStyle w:val="Hipervnculo"/>
            <w:rFonts w:ascii="Verdana" w:hAnsi="Verdana" w:cs="Arial"/>
            <w:shd w:val="clear" w:color="auto" w:fill="FFFFFF"/>
            <w:lang w:val="es-ES"/>
          </w:rPr>
          <w:t>https://relatoria.colombiacompra.gov.co/busqueda/conceptos</w:t>
        </w:r>
      </w:hyperlink>
    </w:p>
    <w:p w14:paraId="43D8F0F5" w14:textId="77777777" w:rsidR="004C63A3" w:rsidRPr="00206556" w:rsidRDefault="004C63A3" w:rsidP="004C63A3">
      <w:pPr>
        <w:spacing w:after="0" w:line="276" w:lineRule="auto"/>
        <w:jc w:val="both"/>
        <w:rPr>
          <w:rFonts w:ascii="Verdana" w:hAnsi="Verdana" w:cs="Arial"/>
          <w:color w:val="ED7D31" w:themeColor="accent2"/>
          <w:shd w:val="clear" w:color="auto" w:fill="FFFFFF"/>
          <w:lang w:val="es-ES"/>
        </w:rPr>
      </w:pPr>
    </w:p>
    <w:p w14:paraId="74A0CDE1"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lastRenderedPageBreak/>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2"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80719A3" w14:textId="77777777" w:rsidR="004C63A3" w:rsidRPr="00206556" w:rsidRDefault="004C63A3" w:rsidP="004C63A3">
      <w:pPr>
        <w:spacing w:after="0" w:line="276" w:lineRule="auto"/>
        <w:jc w:val="both"/>
        <w:rPr>
          <w:rFonts w:ascii="Verdana" w:hAnsi="Verdana" w:cs="Arial"/>
          <w:shd w:val="clear" w:color="auto" w:fill="FFFFFF"/>
        </w:rPr>
      </w:pPr>
    </w:p>
    <w:p w14:paraId="236F6772"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3" w:history="1">
        <w:r w:rsidRPr="00206556">
          <w:rPr>
            <w:rStyle w:val="Hipervnculo"/>
            <w:rFonts w:ascii="Verdana" w:hAnsi="Verdana" w:cs="Arial"/>
            <w:shd w:val="clear" w:color="auto" w:fill="FFFFFF"/>
          </w:rPr>
          <w:t>https://www.colombiacompra.gov.co/normativa-y-relatoria/documentos-tipo</w:t>
        </w:r>
      </w:hyperlink>
    </w:p>
    <w:p w14:paraId="03E0431B" w14:textId="77777777" w:rsidR="004C63A3" w:rsidRPr="00206556" w:rsidRDefault="004C63A3" w:rsidP="004C63A3">
      <w:pPr>
        <w:spacing w:after="0" w:line="276" w:lineRule="auto"/>
        <w:jc w:val="both"/>
        <w:rPr>
          <w:rFonts w:ascii="Verdana" w:hAnsi="Verdana" w:cs="Arial"/>
          <w:shd w:val="clear" w:color="auto" w:fill="FFFFFF"/>
        </w:rPr>
      </w:pPr>
    </w:p>
    <w:p w14:paraId="4D7B093F"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041E96B3" w14:textId="77777777" w:rsidR="004C63A3" w:rsidRPr="00206556" w:rsidRDefault="004C63A3" w:rsidP="004C63A3">
      <w:pPr>
        <w:spacing w:after="0" w:line="276" w:lineRule="auto"/>
        <w:jc w:val="both"/>
        <w:rPr>
          <w:rFonts w:ascii="Verdana" w:hAnsi="Verdana" w:cs="Arial"/>
          <w:color w:val="ED7D31" w:themeColor="accent2"/>
          <w:shd w:val="clear" w:color="auto" w:fill="FFFFFF"/>
        </w:rPr>
      </w:pPr>
    </w:p>
    <w:p w14:paraId="2487F838"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0F4A2FBF" w14:textId="77777777" w:rsidR="004C63A3" w:rsidRPr="00206556" w:rsidRDefault="004C63A3" w:rsidP="004C63A3">
      <w:pPr>
        <w:spacing w:after="0"/>
        <w:jc w:val="both"/>
        <w:rPr>
          <w:rFonts w:ascii="Verdana" w:hAnsi="Verdana" w:cs="Arial"/>
          <w:shd w:val="clear" w:color="auto" w:fill="FFFFFF"/>
        </w:rPr>
      </w:pPr>
    </w:p>
    <w:p w14:paraId="2C167D17"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75C9B8DD"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56C5EA7F"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01C1FFDA"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A810F63"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437FD7F"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304A1E8"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p>
    <w:p w14:paraId="23C41564" w14:textId="77777777" w:rsidR="004C63A3" w:rsidRPr="00206556" w:rsidRDefault="004C63A3" w:rsidP="004C63A3">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34755FDE" w14:textId="77777777" w:rsidR="004C63A3" w:rsidRPr="00206556" w:rsidRDefault="004C63A3" w:rsidP="004C63A3">
      <w:pPr>
        <w:autoSpaceDE w:val="0"/>
        <w:autoSpaceDN w:val="0"/>
        <w:adjustRightInd w:val="0"/>
        <w:spacing w:after="0" w:line="276" w:lineRule="auto"/>
        <w:rPr>
          <w:rFonts w:ascii="Verdana" w:eastAsia="Calibri" w:hAnsi="Verdana" w:cs="Arial"/>
          <w:noProof/>
          <w:sz w:val="20"/>
          <w:szCs w:val="20"/>
        </w:rPr>
      </w:pPr>
    </w:p>
    <w:p w14:paraId="15EB8684" w14:textId="74467142" w:rsidR="004C63A3" w:rsidRPr="00206556" w:rsidRDefault="00C7540E" w:rsidP="004C63A3">
      <w:pPr>
        <w:spacing w:after="0" w:line="256" w:lineRule="auto"/>
        <w:jc w:val="center"/>
        <w:rPr>
          <w:rFonts w:ascii="Verdana" w:eastAsia="Times New Roman" w:hAnsi="Verdana" w:cs="Arial"/>
          <w:lang w:eastAsia="es-ES"/>
        </w:rPr>
      </w:pPr>
      <w:r>
        <w:rPr>
          <w:noProof/>
        </w:rPr>
        <w:drawing>
          <wp:inline distT="0" distB="0" distL="0" distR="0" wp14:anchorId="4D73E916" wp14:editId="72C1D16C">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p w14:paraId="079438A5" w14:textId="77777777" w:rsidR="004C63A3" w:rsidRPr="00206556" w:rsidRDefault="004C63A3" w:rsidP="004C63A3">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4C63A3" w:rsidRPr="00206556" w14:paraId="63402B68" w14:textId="77777777" w:rsidTr="000A6384">
        <w:trPr>
          <w:trHeight w:val="322"/>
        </w:trPr>
        <w:tc>
          <w:tcPr>
            <w:tcW w:w="733" w:type="dxa"/>
            <w:tcBorders>
              <w:top w:val="nil"/>
              <w:left w:val="nil"/>
              <w:bottom w:val="nil"/>
              <w:right w:val="nil"/>
            </w:tcBorders>
            <w:vAlign w:val="center"/>
            <w:hideMark/>
          </w:tcPr>
          <w:p w14:paraId="5C4DB861"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CA7420C"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279D93E9" w14:textId="77777777" w:rsidR="004C63A3" w:rsidRPr="00A5703A" w:rsidRDefault="004C63A3" w:rsidP="000A6384">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4C63A3" w:rsidRPr="00206556" w14:paraId="4015DB90" w14:textId="77777777" w:rsidTr="000A6384">
        <w:trPr>
          <w:trHeight w:val="322"/>
        </w:trPr>
        <w:tc>
          <w:tcPr>
            <w:tcW w:w="733" w:type="dxa"/>
            <w:tcBorders>
              <w:top w:val="nil"/>
              <w:left w:val="nil"/>
              <w:bottom w:val="nil"/>
              <w:right w:val="nil"/>
            </w:tcBorders>
            <w:vAlign w:val="center"/>
            <w:hideMark/>
          </w:tcPr>
          <w:p w14:paraId="2FCE25D9"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128ED358"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w:t>
            </w:r>
          </w:p>
          <w:p w14:paraId="0C4EA4D3" w14:textId="77777777" w:rsidR="004C63A3" w:rsidRPr="00A5703A" w:rsidRDefault="004C63A3" w:rsidP="000A6384">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4C63A3" w:rsidRPr="00206556" w14:paraId="07D5D7B1" w14:textId="77777777" w:rsidTr="000A6384">
        <w:trPr>
          <w:trHeight w:val="307"/>
        </w:trPr>
        <w:tc>
          <w:tcPr>
            <w:tcW w:w="733" w:type="dxa"/>
            <w:tcBorders>
              <w:top w:val="nil"/>
              <w:left w:val="nil"/>
              <w:bottom w:val="nil"/>
              <w:right w:val="nil"/>
            </w:tcBorders>
            <w:vAlign w:val="center"/>
            <w:hideMark/>
          </w:tcPr>
          <w:p w14:paraId="219503E6"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6CC34733"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1A8F55A8"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31C0439E" w14:textId="77777777" w:rsidR="004C63A3" w:rsidRDefault="004C63A3" w:rsidP="004C63A3">
      <w:pPr>
        <w:autoSpaceDE w:val="0"/>
        <w:autoSpaceDN w:val="0"/>
        <w:adjustRightInd w:val="0"/>
        <w:spacing w:after="0" w:line="276" w:lineRule="auto"/>
        <w:jc w:val="center"/>
        <w:rPr>
          <w:rFonts w:ascii="Verdana" w:eastAsia="Calibri" w:hAnsi="Verdana" w:cs="Arial"/>
        </w:rPr>
      </w:pPr>
    </w:p>
    <w:p w14:paraId="0F293BF4" w14:textId="38C9B02D" w:rsidR="00127233" w:rsidRPr="004C63A3" w:rsidRDefault="00127233" w:rsidP="004C63A3"/>
    <w:sectPr w:rsidR="00127233" w:rsidRPr="004C63A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377E4" w14:textId="77777777" w:rsidR="0046335F" w:rsidRDefault="0046335F" w:rsidP="004A1847">
      <w:pPr>
        <w:spacing w:after="0" w:line="240" w:lineRule="auto"/>
      </w:pPr>
      <w:r>
        <w:separator/>
      </w:r>
    </w:p>
  </w:endnote>
  <w:endnote w:type="continuationSeparator" w:id="0">
    <w:p w14:paraId="5AA0CB0A" w14:textId="77777777" w:rsidR="0046335F" w:rsidRDefault="0046335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869445" w14:textId="77777777" w:rsidR="0046335F" w:rsidRDefault="0046335F" w:rsidP="004A1847">
      <w:pPr>
        <w:spacing w:after="0" w:line="240" w:lineRule="auto"/>
      </w:pPr>
      <w:r>
        <w:separator/>
      </w:r>
    </w:p>
  </w:footnote>
  <w:footnote w:type="continuationSeparator" w:id="0">
    <w:p w14:paraId="58716A94" w14:textId="77777777" w:rsidR="0046335F" w:rsidRDefault="0046335F" w:rsidP="004A1847">
      <w:pPr>
        <w:spacing w:after="0" w:line="240" w:lineRule="auto"/>
      </w:pPr>
      <w:r>
        <w:continuationSeparator/>
      </w:r>
    </w:p>
  </w:footnote>
  <w:footnote w:id="1">
    <w:p w14:paraId="51EB9D0D"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56F4EEA9" w14:textId="77777777" w:rsidR="004C63A3" w:rsidRPr="00206556" w:rsidRDefault="004C63A3" w:rsidP="004C63A3">
      <w:pPr>
        <w:spacing w:after="80" w:line="240" w:lineRule="auto"/>
        <w:ind w:firstLine="708"/>
        <w:jc w:val="both"/>
        <w:rPr>
          <w:rFonts w:ascii="Verdana" w:hAnsi="Verdana"/>
          <w:sz w:val="16"/>
          <w:szCs w:val="16"/>
        </w:rPr>
      </w:pPr>
    </w:p>
  </w:footnote>
  <w:footnote w:id="2">
    <w:p w14:paraId="0D74BBA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52501C4F" w14:textId="77777777" w:rsidR="004C63A3" w:rsidRPr="00206556" w:rsidRDefault="004C63A3" w:rsidP="004C63A3">
      <w:pPr>
        <w:pStyle w:val="Textonotapie"/>
        <w:ind w:firstLine="708"/>
        <w:jc w:val="both"/>
        <w:rPr>
          <w:rFonts w:ascii="Verdana" w:hAnsi="Verdana"/>
          <w:sz w:val="16"/>
          <w:szCs w:val="16"/>
          <w:lang w:val="es-ES"/>
        </w:rPr>
      </w:pPr>
    </w:p>
  </w:footnote>
  <w:footnote w:id="3">
    <w:p w14:paraId="665ADB56"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69D6DE0" w14:textId="77777777" w:rsidR="004C63A3" w:rsidRPr="00206556" w:rsidRDefault="004C63A3" w:rsidP="004C63A3">
      <w:pPr>
        <w:spacing w:after="80" w:line="240" w:lineRule="auto"/>
        <w:ind w:firstLine="708"/>
        <w:jc w:val="both"/>
        <w:rPr>
          <w:rFonts w:ascii="Verdana" w:hAnsi="Verdana"/>
          <w:sz w:val="16"/>
          <w:szCs w:val="16"/>
        </w:rPr>
      </w:pPr>
    </w:p>
  </w:footnote>
  <w:footnote w:id="4">
    <w:p w14:paraId="208CF8F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5B38570D" w14:textId="77777777" w:rsidR="004C63A3" w:rsidRPr="00206556" w:rsidRDefault="004C63A3" w:rsidP="004C63A3">
      <w:pPr>
        <w:pStyle w:val="Textonotapie"/>
        <w:ind w:firstLine="708"/>
        <w:jc w:val="both"/>
        <w:rPr>
          <w:rFonts w:ascii="Verdana" w:hAnsi="Verdana"/>
          <w:sz w:val="16"/>
          <w:szCs w:val="16"/>
          <w:lang w:val="es-ES"/>
        </w:rPr>
      </w:pPr>
    </w:p>
  </w:footnote>
  <w:footnote w:id="5">
    <w:p w14:paraId="1B706B76" w14:textId="77777777" w:rsidR="004C63A3" w:rsidRPr="00206556" w:rsidRDefault="004C63A3" w:rsidP="004C63A3">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42D74A42" w14:textId="77777777" w:rsidR="004C63A3" w:rsidRPr="00206556" w:rsidRDefault="004C63A3" w:rsidP="004C63A3">
      <w:pPr>
        <w:pStyle w:val="Textonotapie"/>
        <w:ind w:firstLine="708"/>
        <w:jc w:val="both"/>
        <w:rPr>
          <w:rFonts w:ascii="Verdana" w:hAnsi="Verdana"/>
          <w:sz w:val="16"/>
          <w:szCs w:val="16"/>
          <w:lang w:val="es-ES"/>
        </w:rPr>
      </w:pPr>
    </w:p>
  </w:footnote>
  <w:footnote w:id="6">
    <w:p w14:paraId="5848AF40"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77780BF4" w14:textId="77777777" w:rsidR="004C63A3" w:rsidRPr="00206556" w:rsidRDefault="004C63A3" w:rsidP="004C63A3">
      <w:pPr>
        <w:pStyle w:val="Textonotapie"/>
        <w:ind w:firstLine="708"/>
        <w:rPr>
          <w:rFonts w:ascii="Verdana" w:hAnsi="Verdana"/>
          <w:sz w:val="16"/>
          <w:szCs w:val="16"/>
          <w:lang w:val="es-ES"/>
        </w:rPr>
      </w:pPr>
    </w:p>
  </w:footnote>
  <w:footnote w:id="7">
    <w:p w14:paraId="536F8A72"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91F2C86" w14:textId="77777777" w:rsidR="004C63A3" w:rsidRPr="00206556" w:rsidRDefault="004C63A3" w:rsidP="004C63A3">
      <w:pPr>
        <w:pStyle w:val="Textonotapie"/>
        <w:ind w:firstLine="708"/>
        <w:rPr>
          <w:rFonts w:ascii="Verdana" w:hAnsi="Verdana"/>
          <w:sz w:val="16"/>
          <w:szCs w:val="16"/>
          <w:lang w:val="es-ES"/>
        </w:rPr>
      </w:pPr>
    </w:p>
  </w:footnote>
  <w:footnote w:id="8">
    <w:p w14:paraId="3BFC0D36" w14:textId="77777777" w:rsidR="004C63A3" w:rsidRPr="00206556" w:rsidRDefault="004C63A3" w:rsidP="004C63A3">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54F"/>
    <w:rsid w:val="0001101B"/>
    <w:rsid w:val="00016F78"/>
    <w:rsid w:val="00046945"/>
    <w:rsid w:val="00056E19"/>
    <w:rsid w:val="00061B2A"/>
    <w:rsid w:val="000632F6"/>
    <w:rsid w:val="00065997"/>
    <w:rsid w:val="00082362"/>
    <w:rsid w:val="00090870"/>
    <w:rsid w:val="000918AD"/>
    <w:rsid w:val="000A683E"/>
    <w:rsid w:val="000B19B9"/>
    <w:rsid w:val="000D0334"/>
    <w:rsid w:val="000D566D"/>
    <w:rsid w:val="000D5DA7"/>
    <w:rsid w:val="000D7A78"/>
    <w:rsid w:val="000E3E5A"/>
    <w:rsid w:val="000F6486"/>
    <w:rsid w:val="00116940"/>
    <w:rsid w:val="00121FA5"/>
    <w:rsid w:val="00125105"/>
    <w:rsid w:val="00127233"/>
    <w:rsid w:val="0013150D"/>
    <w:rsid w:val="00140425"/>
    <w:rsid w:val="001445D7"/>
    <w:rsid w:val="0015037E"/>
    <w:rsid w:val="0015699B"/>
    <w:rsid w:val="00162B86"/>
    <w:rsid w:val="001A002B"/>
    <w:rsid w:val="001A33BF"/>
    <w:rsid w:val="001E4177"/>
    <w:rsid w:val="001E7DB6"/>
    <w:rsid w:val="001E7F1A"/>
    <w:rsid w:val="001F0B24"/>
    <w:rsid w:val="001F22AB"/>
    <w:rsid w:val="001F7DC6"/>
    <w:rsid w:val="00221F73"/>
    <w:rsid w:val="0022400B"/>
    <w:rsid w:val="002421BB"/>
    <w:rsid w:val="0025796E"/>
    <w:rsid w:val="002707A2"/>
    <w:rsid w:val="002951A0"/>
    <w:rsid w:val="002962BC"/>
    <w:rsid w:val="002A093D"/>
    <w:rsid w:val="002A0DD0"/>
    <w:rsid w:val="002A49AC"/>
    <w:rsid w:val="002A64FD"/>
    <w:rsid w:val="002B5A42"/>
    <w:rsid w:val="002B5D3A"/>
    <w:rsid w:val="002C7A84"/>
    <w:rsid w:val="002D34FB"/>
    <w:rsid w:val="002E208D"/>
    <w:rsid w:val="002E2BF8"/>
    <w:rsid w:val="002E4FD9"/>
    <w:rsid w:val="0030657A"/>
    <w:rsid w:val="00312A08"/>
    <w:rsid w:val="00322A85"/>
    <w:rsid w:val="00324168"/>
    <w:rsid w:val="00325DB4"/>
    <w:rsid w:val="00330834"/>
    <w:rsid w:val="00330DC0"/>
    <w:rsid w:val="00343662"/>
    <w:rsid w:val="003448F4"/>
    <w:rsid w:val="003514DA"/>
    <w:rsid w:val="00353D6F"/>
    <w:rsid w:val="00355933"/>
    <w:rsid w:val="00374F5E"/>
    <w:rsid w:val="00377E3E"/>
    <w:rsid w:val="00394428"/>
    <w:rsid w:val="003A49F6"/>
    <w:rsid w:val="003A4AA0"/>
    <w:rsid w:val="003A779E"/>
    <w:rsid w:val="003D0F4D"/>
    <w:rsid w:val="003D12E9"/>
    <w:rsid w:val="003D5B0D"/>
    <w:rsid w:val="003E0499"/>
    <w:rsid w:val="003E4224"/>
    <w:rsid w:val="003E4F80"/>
    <w:rsid w:val="003E6439"/>
    <w:rsid w:val="003F3941"/>
    <w:rsid w:val="003F67F8"/>
    <w:rsid w:val="0040408D"/>
    <w:rsid w:val="00406575"/>
    <w:rsid w:val="00414C74"/>
    <w:rsid w:val="00415D53"/>
    <w:rsid w:val="0042186B"/>
    <w:rsid w:val="0042722E"/>
    <w:rsid w:val="00442687"/>
    <w:rsid w:val="0044528D"/>
    <w:rsid w:val="0046335F"/>
    <w:rsid w:val="00466E39"/>
    <w:rsid w:val="004933DA"/>
    <w:rsid w:val="00496DFE"/>
    <w:rsid w:val="004A1847"/>
    <w:rsid w:val="004A305D"/>
    <w:rsid w:val="004A4215"/>
    <w:rsid w:val="004B0785"/>
    <w:rsid w:val="004B7084"/>
    <w:rsid w:val="004C63A3"/>
    <w:rsid w:val="004D0174"/>
    <w:rsid w:val="004D73B1"/>
    <w:rsid w:val="004F21C4"/>
    <w:rsid w:val="004F50AB"/>
    <w:rsid w:val="004F52EC"/>
    <w:rsid w:val="004F685F"/>
    <w:rsid w:val="004F7B00"/>
    <w:rsid w:val="00505EB3"/>
    <w:rsid w:val="00522D9E"/>
    <w:rsid w:val="00522E94"/>
    <w:rsid w:val="005321F3"/>
    <w:rsid w:val="00532662"/>
    <w:rsid w:val="00542856"/>
    <w:rsid w:val="00543658"/>
    <w:rsid w:val="00551A3D"/>
    <w:rsid w:val="00553936"/>
    <w:rsid w:val="00555454"/>
    <w:rsid w:val="005566E8"/>
    <w:rsid w:val="005640D7"/>
    <w:rsid w:val="00574867"/>
    <w:rsid w:val="00585D2C"/>
    <w:rsid w:val="00590106"/>
    <w:rsid w:val="00591460"/>
    <w:rsid w:val="005A0A1D"/>
    <w:rsid w:val="005A65E0"/>
    <w:rsid w:val="005A72BA"/>
    <w:rsid w:val="005C3777"/>
    <w:rsid w:val="005C5CDC"/>
    <w:rsid w:val="005D476C"/>
    <w:rsid w:val="005E3211"/>
    <w:rsid w:val="006125FC"/>
    <w:rsid w:val="006200BF"/>
    <w:rsid w:val="006219F8"/>
    <w:rsid w:val="006302F7"/>
    <w:rsid w:val="00646B9F"/>
    <w:rsid w:val="00651584"/>
    <w:rsid w:val="00665D70"/>
    <w:rsid w:val="00673FDE"/>
    <w:rsid w:val="006900D9"/>
    <w:rsid w:val="0069615C"/>
    <w:rsid w:val="00696F75"/>
    <w:rsid w:val="00697C55"/>
    <w:rsid w:val="006A3522"/>
    <w:rsid w:val="006C4CCF"/>
    <w:rsid w:val="00701BF5"/>
    <w:rsid w:val="00701C3C"/>
    <w:rsid w:val="00706C16"/>
    <w:rsid w:val="007327C3"/>
    <w:rsid w:val="007340C3"/>
    <w:rsid w:val="00742180"/>
    <w:rsid w:val="007449A0"/>
    <w:rsid w:val="0075235A"/>
    <w:rsid w:val="00756841"/>
    <w:rsid w:val="007649AB"/>
    <w:rsid w:val="007661E2"/>
    <w:rsid w:val="00771D0C"/>
    <w:rsid w:val="007833AC"/>
    <w:rsid w:val="007937F6"/>
    <w:rsid w:val="007B268C"/>
    <w:rsid w:val="007B7171"/>
    <w:rsid w:val="007C0C0F"/>
    <w:rsid w:val="007C3DC2"/>
    <w:rsid w:val="007C40AC"/>
    <w:rsid w:val="007E5497"/>
    <w:rsid w:val="007F5048"/>
    <w:rsid w:val="007F53CB"/>
    <w:rsid w:val="008020FA"/>
    <w:rsid w:val="00806F5F"/>
    <w:rsid w:val="00811DAF"/>
    <w:rsid w:val="00820278"/>
    <w:rsid w:val="008258C9"/>
    <w:rsid w:val="00842801"/>
    <w:rsid w:val="00844AE9"/>
    <w:rsid w:val="00851BE0"/>
    <w:rsid w:val="00867F95"/>
    <w:rsid w:val="008843B6"/>
    <w:rsid w:val="00891928"/>
    <w:rsid w:val="008A446D"/>
    <w:rsid w:val="008B25F1"/>
    <w:rsid w:val="008B41F3"/>
    <w:rsid w:val="008D180B"/>
    <w:rsid w:val="008E4FD7"/>
    <w:rsid w:val="008F0EA7"/>
    <w:rsid w:val="00901C09"/>
    <w:rsid w:val="00923EEF"/>
    <w:rsid w:val="009419F9"/>
    <w:rsid w:val="0095685E"/>
    <w:rsid w:val="00961B09"/>
    <w:rsid w:val="009635C0"/>
    <w:rsid w:val="00965334"/>
    <w:rsid w:val="0097093E"/>
    <w:rsid w:val="0097662E"/>
    <w:rsid w:val="009A0DFA"/>
    <w:rsid w:val="009A1AAD"/>
    <w:rsid w:val="009A1C6F"/>
    <w:rsid w:val="009A56AC"/>
    <w:rsid w:val="009B2D26"/>
    <w:rsid w:val="009B5C83"/>
    <w:rsid w:val="009B66E5"/>
    <w:rsid w:val="009C71FA"/>
    <w:rsid w:val="009C72E7"/>
    <w:rsid w:val="009C7F7E"/>
    <w:rsid w:val="009D3058"/>
    <w:rsid w:val="009F3A13"/>
    <w:rsid w:val="00A122D3"/>
    <w:rsid w:val="00A13D80"/>
    <w:rsid w:val="00A14468"/>
    <w:rsid w:val="00A16D82"/>
    <w:rsid w:val="00A17F13"/>
    <w:rsid w:val="00A20739"/>
    <w:rsid w:val="00A23AF9"/>
    <w:rsid w:val="00A33C78"/>
    <w:rsid w:val="00A47F55"/>
    <w:rsid w:val="00A67F0C"/>
    <w:rsid w:val="00A804C5"/>
    <w:rsid w:val="00A9551C"/>
    <w:rsid w:val="00AB0ADB"/>
    <w:rsid w:val="00AB7BF7"/>
    <w:rsid w:val="00AD6E7A"/>
    <w:rsid w:val="00AD700F"/>
    <w:rsid w:val="00AE5B64"/>
    <w:rsid w:val="00AE7741"/>
    <w:rsid w:val="00B00C0E"/>
    <w:rsid w:val="00B01B1A"/>
    <w:rsid w:val="00B0381D"/>
    <w:rsid w:val="00B316D0"/>
    <w:rsid w:val="00B36E66"/>
    <w:rsid w:val="00B418FD"/>
    <w:rsid w:val="00B44A47"/>
    <w:rsid w:val="00B54ACA"/>
    <w:rsid w:val="00B70A56"/>
    <w:rsid w:val="00B72CD3"/>
    <w:rsid w:val="00B72FFF"/>
    <w:rsid w:val="00B746E9"/>
    <w:rsid w:val="00B764A4"/>
    <w:rsid w:val="00B86811"/>
    <w:rsid w:val="00BB1DC5"/>
    <w:rsid w:val="00BC3D36"/>
    <w:rsid w:val="00BD33DE"/>
    <w:rsid w:val="00BD54A6"/>
    <w:rsid w:val="00BD7F72"/>
    <w:rsid w:val="00BE77BD"/>
    <w:rsid w:val="00BF7425"/>
    <w:rsid w:val="00C04FB3"/>
    <w:rsid w:val="00C05733"/>
    <w:rsid w:val="00C11D8B"/>
    <w:rsid w:val="00C15139"/>
    <w:rsid w:val="00C267E7"/>
    <w:rsid w:val="00C330EB"/>
    <w:rsid w:val="00C378CB"/>
    <w:rsid w:val="00C4675B"/>
    <w:rsid w:val="00C50D69"/>
    <w:rsid w:val="00C5365C"/>
    <w:rsid w:val="00C64A64"/>
    <w:rsid w:val="00C7259A"/>
    <w:rsid w:val="00C7540E"/>
    <w:rsid w:val="00C754BE"/>
    <w:rsid w:val="00C76B1C"/>
    <w:rsid w:val="00C826E3"/>
    <w:rsid w:val="00C85047"/>
    <w:rsid w:val="00C925AC"/>
    <w:rsid w:val="00CA1CD2"/>
    <w:rsid w:val="00CB08B2"/>
    <w:rsid w:val="00CB0DB3"/>
    <w:rsid w:val="00CB6357"/>
    <w:rsid w:val="00CC1B26"/>
    <w:rsid w:val="00CC26C0"/>
    <w:rsid w:val="00CC297F"/>
    <w:rsid w:val="00CD661D"/>
    <w:rsid w:val="00CE57BF"/>
    <w:rsid w:val="00D361FD"/>
    <w:rsid w:val="00D423A2"/>
    <w:rsid w:val="00D44E26"/>
    <w:rsid w:val="00D45069"/>
    <w:rsid w:val="00D4753E"/>
    <w:rsid w:val="00D520D8"/>
    <w:rsid w:val="00D63AC2"/>
    <w:rsid w:val="00D7383B"/>
    <w:rsid w:val="00D7788A"/>
    <w:rsid w:val="00D83BD2"/>
    <w:rsid w:val="00DA231B"/>
    <w:rsid w:val="00DA5B3B"/>
    <w:rsid w:val="00DB1A42"/>
    <w:rsid w:val="00DC0222"/>
    <w:rsid w:val="00DC39FC"/>
    <w:rsid w:val="00DC7E78"/>
    <w:rsid w:val="00DD728B"/>
    <w:rsid w:val="00DF5254"/>
    <w:rsid w:val="00DF709C"/>
    <w:rsid w:val="00E02524"/>
    <w:rsid w:val="00E16408"/>
    <w:rsid w:val="00E16E74"/>
    <w:rsid w:val="00E20894"/>
    <w:rsid w:val="00E22EFB"/>
    <w:rsid w:val="00E245AB"/>
    <w:rsid w:val="00E26377"/>
    <w:rsid w:val="00E2764C"/>
    <w:rsid w:val="00E27F2E"/>
    <w:rsid w:val="00E34816"/>
    <w:rsid w:val="00E47DFF"/>
    <w:rsid w:val="00E50AFE"/>
    <w:rsid w:val="00E75C92"/>
    <w:rsid w:val="00E771DC"/>
    <w:rsid w:val="00E82856"/>
    <w:rsid w:val="00E8772A"/>
    <w:rsid w:val="00E90F6B"/>
    <w:rsid w:val="00E92002"/>
    <w:rsid w:val="00E92C27"/>
    <w:rsid w:val="00E97A59"/>
    <w:rsid w:val="00EA0E3D"/>
    <w:rsid w:val="00EA596B"/>
    <w:rsid w:val="00EC08F2"/>
    <w:rsid w:val="00EC38A7"/>
    <w:rsid w:val="00ED7B6B"/>
    <w:rsid w:val="00EE1AA8"/>
    <w:rsid w:val="00EF1EC3"/>
    <w:rsid w:val="00EF7B51"/>
    <w:rsid w:val="00F13A0A"/>
    <w:rsid w:val="00F23FEA"/>
    <w:rsid w:val="00F31EDC"/>
    <w:rsid w:val="00F462B3"/>
    <w:rsid w:val="00F5664F"/>
    <w:rsid w:val="00F666C4"/>
    <w:rsid w:val="00F67064"/>
    <w:rsid w:val="00F76AFC"/>
    <w:rsid w:val="00F80676"/>
    <w:rsid w:val="00FA47C0"/>
    <w:rsid w:val="00FB5DD1"/>
    <w:rsid w:val="00FC2B5D"/>
    <w:rsid w:val="00FC349E"/>
    <w:rsid w:val="00FC6937"/>
    <w:rsid w:val="00FE5955"/>
    <w:rsid w:val="00FF1449"/>
    <w:rsid w:val="00FF213B"/>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1EE397B"/>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C63A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14D1537-7A37-4512-998F-93F05DF9B65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161</TotalTime>
  <Pages>24</Pages>
  <Words>8501</Words>
  <Characters>46756</Characters>
  <Application>Microsoft Office Word</Application>
  <DocSecurity>0</DocSecurity>
  <Lines>389</Lines>
  <Paragraphs>110</Paragraphs>
  <ScaleCrop>false</ScaleCrop>
  <Company/>
  <LinksUpToDate>false</LinksUpToDate>
  <CharactersWithSpaces>55147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95</cp:revision>
  <cp:lastPrinted>2023-01-10T21:18:00Z</cp:lastPrinted>
  <dcterms:created xsi:type="dcterms:W3CDTF">2026-05-20T19:57:00Z</dcterms:created>
  <dcterms:modified xsi:type="dcterms:W3CDTF">2026-05-25T15:09:00Z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