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B5270" w14:textId="77777777" w:rsidR="00164E23" w:rsidRPr="004C046B" w:rsidRDefault="00164E23" w:rsidP="00164E2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5DE664F5"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ABBF5C6" w14:textId="77777777" w:rsidR="00164E23" w:rsidRDefault="00164E23" w:rsidP="00164E23">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47D0A6EA" w14:textId="77777777" w:rsidR="00164E23" w:rsidRPr="007B5AD4" w:rsidRDefault="00164E23" w:rsidP="00164E23">
      <w:pPr>
        <w:spacing w:after="0" w:line="240" w:lineRule="auto"/>
        <w:contextualSpacing/>
        <w:jc w:val="both"/>
        <w:rPr>
          <w:rFonts w:ascii="Verdana" w:eastAsia="Calibri" w:hAnsi="Verdana" w:cs="Arial"/>
          <w:sz w:val="20"/>
          <w:szCs w:val="20"/>
          <w:lang w:eastAsia="es-ES"/>
        </w:rPr>
      </w:pPr>
    </w:p>
    <w:p w14:paraId="2AA02DC2" w14:textId="77777777" w:rsidR="00164E23" w:rsidRPr="004C046B" w:rsidRDefault="00164E23" w:rsidP="00164E2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5E0841A5" w14:textId="77777777" w:rsidR="00164E23" w:rsidRPr="007B5AD4" w:rsidRDefault="00164E23" w:rsidP="00164E23">
      <w:pPr>
        <w:spacing w:after="0" w:line="240" w:lineRule="auto"/>
        <w:contextualSpacing/>
        <w:jc w:val="both"/>
        <w:rPr>
          <w:rFonts w:ascii="Verdana" w:eastAsia="Calibri" w:hAnsi="Verdana" w:cs="Arial"/>
          <w:b/>
          <w:bCs/>
          <w:sz w:val="20"/>
          <w:szCs w:val="20"/>
          <w:lang w:eastAsia="es-ES"/>
        </w:rPr>
      </w:pPr>
    </w:p>
    <w:p w14:paraId="7DCB2C6E" w14:textId="77777777" w:rsidR="00164E23" w:rsidRDefault="00164E23" w:rsidP="00164E2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767481D3"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EA5843E" w14:textId="77777777" w:rsidR="00164E23" w:rsidRPr="004C046B" w:rsidRDefault="00164E23" w:rsidP="00164E2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5ECF43D2" w14:textId="77777777" w:rsidR="00164E23" w:rsidRPr="007B5AD4" w:rsidRDefault="00164E23" w:rsidP="00164E23">
      <w:pPr>
        <w:spacing w:after="0" w:line="240" w:lineRule="auto"/>
        <w:contextualSpacing/>
        <w:jc w:val="both"/>
        <w:rPr>
          <w:rFonts w:ascii="Verdana" w:eastAsia="Calibri" w:hAnsi="Verdana" w:cs="Arial"/>
          <w:b/>
          <w:bCs/>
          <w:sz w:val="20"/>
          <w:szCs w:val="20"/>
          <w:lang w:eastAsia="es-ES"/>
        </w:rPr>
      </w:pPr>
    </w:p>
    <w:p w14:paraId="5069AE86" w14:textId="77777777" w:rsidR="00164E23" w:rsidRPr="00206556" w:rsidRDefault="00164E23" w:rsidP="00164E2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r w:rsidRPr="007B5AD4">
        <w:rPr>
          <w:rFonts w:ascii="Verdana" w:eastAsia="Calibri" w:hAnsi="Verdana" w:cs="Arial"/>
          <w:sz w:val="20"/>
          <w:szCs w:val="20"/>
          <w:lang w:eastAsia="es-ES"/>
        </w:rPr>
        <w:t>.</w:t>
      </w:r>
    </w:p>
    <w:p w14:paraId="01591F5A" w14:textId="77777777" w:rsidR="00164E23" w:rsidRPr="007B5AD4" w:rsidRDefault="00164E23" w:rsidP="00164E23">
      <w:pPr>
        <w:spacing w:after="0" w:line="240" w:lineRule="auto"/>
        <w:contextualSpacing/>
        <w:jc w:val="both"/>
        <w:rPr>
          <w:rFonts w:ascii="Verdana" w:eastAsia="Calibri" w:hAnsi="Verdana" w:cs="Arial"/>
          <w:sz w:val="20"/>
          <w:szCs w:val="20"/>
          <w:lang w:eastAsia="es-ES"/>
        </w:rPr>
      </w:pPr>
    </w:p>
    <w:p w14:paraId="0F9FB0F0" w14:textId="146BC1EC" w:rsidR="00164E23" w:rsidRPr="0072655D" w:rsidRDefault="00164E23" w:rsidP="00164E23">
      <w:pPr>
        <w:spacing w:after="0" w:line="240" w:lineRule="auto"/>
        <w:contextualSpacing/>
        <w:jc w:val="both"/>
        <w:rPr>
          <w:rFonts w:ascii="Verdana" w:eastAsia="Calibri" w:hAnsi="Verdana" w:cs="Arial"/>
          <w:b/>
          <w:bCs/>
          <w:lang w:eastAsia="es-ES"/>
        </w:rPr>
      </w:pPr>
      <w:r w:rsidRPr="0072655D">
        <w:rPr>
          <w:rFonts w:ascii="Verdana" w:eastAsia="Calibri" w:hAnsi="Verdana" w:cs="Arial"/>
          <w:b/>
          <w:bCs/>
          <w:lang w:eastAsia="es-ES"/>
        </w:rPr>
        <w:t xml:space="preserve">DECRETO 0287 DE 2026 ‒ </w:t>
      </w:r>
      <w:r w:rsidR="00A760BB" w:rsidRPr="0072655D">
        <w:rPr>
          <w:rFonts w:ascii="Verdana" w:eastAsia="Calibri" w:hAnsi="Verdana" w:cs="Arial"/>
          <w:b/>
          <w:bCs/>
          <w:lang w:eastAsia="es-ES"/>
        </w:rPr>
        <w:t>Sistema de preferencias</w:t>
      </w:r>
      <w:r w:rsidRPr="0072655D">
        <w:rPr>
          <w:rFonts w:ascii="Verdana" w:eastAsia="Calibri" w:hAnsi="Verdana" w:cs="Arial"/>
          <w:b/>
          <w:bCs/>
          <w:lang w:eastAsia="es-ES"/>
        </w:rPr>
        <w:t xml:space="preserve"> ‒ </w:t>
      </w:r>
      <w:r w:rsidR="00A760BB" w:rsidRPr="0072655D">
        <w:rPr>
          <w:rFonts w:ascii="Verdana" w:eastAsia="Calibri" w:hAnsi="Verdana" w:cs="Arial"/>
          <w:b/>
          <w:bCs/>
          <w:lang w:eastAsia="es-ES"/>
        </w:rPr>
        <w:t>Medidas</w:t>
      </w:r>
      <w:r w:rsidRPr="0072655D">
        <w:rPr>
          <w:rFonts w:ascii="Verdana" w:eastAsia="Calibri" w:hAnsi="Verdana" w:cs="Arial"/>
          <w:b/>
          <w:bCs/>
          <w:lang w:eastAsia="es-ES"/>
        </w:rPr>
        <w:t xml:space="preserve"> ‒ </w:t>
      </w:r>
      <w:r w:rsidR="00A760BB" w:rsidRPr="0072655D">
        <w:rPr>
          <w:rFonts w:ascii="Verdana" w:eastAsia="Calibri" w:hAnsi="Verdana" w:cs="Arial"/>
          <w:b/>
          <w:bCs/>
          <w:lang w:eastAsia="es-ES"/>
        </w:rPr>
        <w:t>Selección abreviada</w:t>
      </w:r>
      <w:r w:rsidRPr="0072655D">
        <w:rPr>
          <w:rFonts w:ascii="Verdana" w:eastAsia="Calibri" w:hAnsi="Verdana" w:cs="Arial"/>
          <w:b/>
          <w:bCs/>
          <w:lang w:eastAsia="es-ES"/>
        </w:rPr>
        <w:t xml:space="preserve"> ‒ </w:t>
      </w:r>
      <w:r w:rsidR="00A760BB" w:rsidRPr="0072655D">
        <w:rPr>
          <w:rFonts w:ascii="Verdana" w:eastAsia="Calibri" w:hAnsi="Verdana" w:cs="Arial"/>
          <w:b/>
          <w:bCs/>
          <w:lang w:eastAsia="es-ES"/>
        </w:rPr>
        <w:t>Aplicación</w:t>
      </w:r>
    </w:p>
    <w:p w14:paraId="7C53AD78" w14:textId="77777777" w:rsidR="00164E23" w:rsidRPr="002E47C3" w:rsidRDefault="00164E23" w:rsidP="00164E23">
      <w:pPr>
        <w:spacing w:after="0" w:line="240" w:lineRule="auto"/>
        <w:contextualSpacing/>
        <w:jc w:val="both"/>
        <w:rPr>
          <w:rFonts w:ascii="Verdana" w:eastAsia="Calibri" w:hAnsi="Verdana" w:cs="Arial"/>
          <w:b/>
          <w:bCs/>
          <w:sz w:val="20"/>
          <w:szCs w:val="20"/>
          <w:highlight w:val="yellow"/>
          <w:lang w:eastAsia="es-ES"/>
        </w:rPr>
      </w:pPr>
    </w:p>
    <w:p w14:paraId="028850FC" w14:textId="112BE748" w:rsidR="00164E23" w:rsidRDefault="00A760BB" w:rsidP="00164E23">
      <w:pPr>
        <w:spacing w:after="0" w:line="240" w:lineRule="auto"/>
        <w:contextualSpacing/>
        <w:jc w:val="both"/>
        <w:rPr>
          <w:rFonts w:ascii="Verdana" w:eastAsia="Calibri" w:hAnsi="Verdana" w:cs="Arial"/>
          <w:sz w:val="20"/>
          <w:szCs w:val="20"/>
          <w:lang w:eastAsia="es-ES"/>
        </w:rPr>
      </w:pPr>
      <w:r w:rsidRPr="00A760BB">
        <w:rPr>
          <w:rFonts w:ascii="Verdana" w:eastAsia="Calibri" w:hAnsi="Verdana" w:cs="Arial"/>
          <w:sz w:val="20"/>
          <w:szCs w:val="20"/>
          <w:lang w:eastAsia="es-ES"/>
        </w:rPr>
        <w:t xml:space="preserve">La aplicación del Decreto 287 de 2026 en los procesos de contratación que se adelantan mediante la modalidad de selección abreviada depende de la medida del sistema de preferencias que se establece en la nueva norma, es decir, las cinco (5) medidas antes mencionadas, ya que en la selección abreviada son aplicables tres (3): i) herramientas de planeación, </w:t>
      </w:r>
      <w:proofErr w:type="spellStart"/>
      <w:r w:rsidRPr="00A760BB">
        <w:rPr>
          <w:rFonts w:ascii="Verdana" w:eastAsia="Calibri" w:hAnsi="Verdana" w:cs="Arial"/>
          <w:sz w:val="20"/>
          <w:szCs w:val="20"/>
          <w:lang w:eastAsia="es-ES"/>
        </w:rPr>
        <w:t>ii</w:t>
      </w:r>
      <w:proofErr w:type="spellEnd"/>
      <w:r w:rsidRPr="00A760BB">
        <w:rPr>
          <w:rFonts w:ascii="Verdana" w:eastAsia="Calibri" w:hAnsi="Verdana" w:cs="Arial"/>
          <w:sz w:val="20"/>
          <w:szCs w:val="20"/>
          <w:lang w:eastAsia="es-ES"/>
        </w:rPr>
        <w:t xml:space="preserve">) criterios habilitantes diferenciales y </w:t>
      </w:r>
      <w:proofErr w:type="spellStart"/>
      <w:r w:rsidRPr="00A760BB">
        <w:rPr>
          <w:rFonts w:ascii="Verdana" w:eastAsia="Calibri" w:hAnsi="Verdana" w:cs="Arial"/>
          <w:sz w:val="20"/>
          <w:szCs w:val="20"/>
          <w:lang w:eastAsia="es-ES"/>
        </w:rPr>
        <w:t>iii</w:t>
      </w:r>
      <w:proofErr w:type="spellEnd"/>
      <w:r w:rsidRPr="00A760BB">
        <w:rPr>
          <w:rFonts w:ascii="Verdana" w:eastAsia="Calibri" w:hAnsi="Verdana" w:cs="Arial"/>
          <w:sz w:val="20"/>
          <w:szCs w:val="20"/>
          <w:lang w:eastAsia="es-ES"/>
        </w:rPr>
        <w:t>) condiciones especiales de ejecución, es decir, que las medidas que no aplican a la selección abreviada son el puntaje adicional, debido a que la Ley 1618 de 2013 mencionó que las modalidades son únicamente licitación pública y concurso de méritos; y tampoco es aplicable los contratos de prestación de servicios con personas con discapacidad ya que la modalidad de estos es la contratación directa.</w:t>
      </w:r>
    </w:p>
    <w:p w14:paraId="6C047F2D"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109FB8D0" w14:textId="77777777" w:rsidR="00A760BB" w:rsidRPr="00AB4696" w:rsidRDefault="00A760BB" w:rsidP="00A760BB">
      <w:pPr>
        <w:spacing w:after="0" w:line="240" w:lineRule="auto"/>
        <w:contextualSpacing/>
        <w:jc w:val="both"/>
        <w:rPr>
          <w:rFonts w:ascii="Verdana" w:eastAsia="Calibri" w:hAnsi="Verdana" w:cs="Arial"/>
          <w:b/>
          <w:bCs/>
          <w:lang w:eastAsia="es-ES"/>
        </w:rPr>
      </w:pPr>
      <w:r w:rsidRPr="00AB4696">
        <w:rPr>
          <w:rFonts w:ascii="Verdana" w:eastAsia="Calibri" w:hAnsi="Verdana" w:cs="Arial"/>
          <w:b/>
          <w:bCs/>
          <w:lang w:eastAsia="es-ES"/>
        </w:rPr>
        <w:t>DECRETO 0287 DE 2026 ‒ Sistema de preferencias ‒ Medidas ‒ Selección abreviada ‒ Aplicación</w:t>
      </w:r>
    </w:p>
    <w:p w14:paraId="5A81C8CC" w14:textId="77777777" w:rsidR="00A760BB" w:rsidRPr="002E47C3" w:rsidRDefault="00A760BB" w:rsidP="00A760BB">
      <w:pPr>
        <w:spacing w:after="0" w:line="240" w:lineRule="auto"/>
        <w:contextualSpacing/>
        <w:jc w:val="both"/>
        <w:rPr>
          <w:rFonts w:ascii="Verdana" w:eastAsia="Calibri" w:hAnsi="Verdana" w:cs="Arial"/>
          <w:b/>
          <w:bCs/>
          <w:sz w:val="20"/>
          <w:szCs w:val="20"/>
          <w:highlight w:val="yellow"/>
          <w:lang w:eastAsia="es-ES"/>
        </w:rPr>
      </w:pPr>
    </w:p>
    <w:p w14:paraId="40010DA8" w14:textId="77777777" w:rsidR="00A760BB" w:rsidRDefault="00A760BB" w:rsidP="00A760BB">
      <w:pPr>
        <w:spacing w:after="0" w:line="240" w:lineRule="auto"/>
        <w:contextualSpacing/>
        <w:jc w:val="both"/>
        <w:rPr>
          <w:rFonts w:ascii="Verdana" w:eastAsia="Calibri" w:hAnsi="Verdana" w:cs="Arial"/>
          <w:sz w:val="20"/>
          <w:szCs w:val="20"/>
          <w:lang w:eastAsia="es-ES"/>
        </w:rPr>
      </w:pPr>
      <w:r w:rsidRPr="00A760BB">
        <w:rPr>
          <w:rFonts w:ascii="Verdana" w:eastAsia="Calibri" w:hAnsi="Verdana" w:cs="Arial"/>
          <w:sz w:val="20"/>
          <w:szCs w:val="20"/>
          <w:lang w:eastAsia="es-ES"/>
        </w:rPr>
        <w:t xml:space="preserve">La aplicación del Decreto 287 de 2026 en los procesos de contratación que se adelantan mediante la modalidad de selección abreviada depende de la medida del sistema de preferencias que se establece en la nueva norma, es decir, las cinco (5) medidas antes mencionadas, ya que en la selección abreviada son aplicables tres (3): i) herramientas de planeación, </w:t>
      </w:r>
      <w:proofErr w:type="spellStart"/>
      <w:r w:rsidRPr="00A760BB">
        <w:rPr>
          <w:rFonts w:ascii="Verdana" w:eastAsia="Calibri" w:hAnsi="Verdana" w:cs="Arial"/>
          <w:sz w:val="20"/>
          <w:szCs w:val="20"/>
          <w:lang w:eastAsia="es-ES"/>
        </w:rPr>
        <w:t>ii</w:t>
      </w:r>
      <w:proofErr w:type="spellEnd"/>
      <w:r w:rsidRPr="00A760BB">
        <w:rPr>
          <w:rFonts w:ascii="Verdana" w:eastAsia="Calibri" w:hAnsi="Verdana" w:cs="Arial"/>
          <w:sz w:val="20"/>
          <w:szCs w:val="20"/>
          <w:lang w:eastAsia="es-ES"/>
        </w:rPr>
        <w:t xml:space="preserve">) criterios habilitantes diferenciales y </w:t>
      </w:r>
      <w:proofErr w:type="spellStart"/>
      <w:r w:rsidRPr="00A760BB">
        <w:rPr>
          <w:rFonts w:ascii="Verdana" w:eastAsia="Calibri" w:hAnsi="Verdana" w:cs="Arial"/>
          <w:sz w:val="20"/>
          <w:szCs w:val="20"/>
          <w:lang w:eastAsia="es-ES"/>
        </w:rPr>
        <w:t>iii</w:t>
      </w:r>
      <w:proofErr w:type="spellEnd"/>
      <w:r w:rsidRPr="00A760BB">
        <w:rPr>
          <w:rFonts w:ascii="Verdana" w:eastAsia="Calibri" w:hAnsi="Verdana" w:cs="Arial"/>
          <w:sz w:val="20"/>
          <w:szCs w:val="20"/>
          <w:lang w:eastAsia="es-ES"/>
        </w:rPr>
        <w:t>) condiciones especiales de ejecución, es decir, que las medidas que no aplican a la selección abreviada son el puntaje adicional, debido a que la Ley 1618 de 2013 mencionó que las modalidades son únicamente licitación pública y concurso de méritos; y tampoco es aplicable los contratos de prestación de servicios con personas con discapacidad ya que la modalidad de estos es la contratación directa.</w:t>
      </w:r>
    </w:p>
    <w:p w14:paraId="038FE274"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28D70453" w14:textId="77777777" w:rsidR="00AB4696" w:rsidRPr="004C046B" w:rsidRDefault="00AB4696" w:rsidP="00AB4696">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 xml:space="preserve">DECRETO 0287 DE 2026 ‒ </w:t>
      </w:r>
      <w:r>
        <w:rPr>
          <w:rFonts w:ascii="Verdana" w:eastAsia="Calibri" w:hAnsi="Verdana" w:cs="Arial"/>
          <w:b/>
          <w:bCs/>
          <w:lang w:eastAsia="es-ES"/>
        </w:rPr>
        <w:t>Entidades de r</w:t>
      </w:r>
      <w:r w:rsidRPr="004C046B">
        <w:rPr>
          <w:rFonts w:ascii="Verdana" w:eastAsia="Calibri" w:hAnsi="Verdana" w:cs="Arial"/>
          <w:b/>
          <w:bCs/>
          <w:lang w:eastAsia="es-ES"/>
        </w:rPr>
        <w:t>égimen especial ‒ Aplicación</w:t>
      </w:r>
    </w:p>
    <w:p w14:paraId="5BCDA6B0" w14:textId="77777777" w:rsidR="00AB4696" w:rsidRPr="00206556" w:rsidRDefault="00AB4696" w:rsidP="00AB4696">
      <w:pPr>
        <w:spacing w:after="0" w:line="240" w:lineRule="auto"/>
        <w:contextualSpacing/>
        <w:jc w:val="both"/>
        <w:rPr>
          <w:rFonts w:ascii="Verdana" w:eastAsia="Calibri" w:hAnsi="Verdana" w:cs="Arial"/>
          <w:sz w:val="20"/>
          <w:szCs w:val="20"/>
          <w:lang w:eastAsia="es-ES"/>
        </w:rPr>
      </w:pPr>
    </w:p>
    <w:p w14:paraId="7B80932A" w14:textId="77777777" w:rsidR="00AB4696" w:rsidRDefault="00AB4696" w:rsidP="00AB4696">
      <w:pPr>
        <w:spacing w:after="0" w:line="240" w:lineRule="auto"/>
        <w:contextualSpacing/>
        <w:jc w:val="both"/>
        <w:rPr>
          <w:rFonts w:ascii="Verdana" w:eastAsia="Calibri" w:hAnsi="Verdana" w:cs="Arial"/>
          <w:sz w:val="20"/>
          <w:szCs w:val="20"/>
          <w:lang w:eastAsia="es-ES"/>
        </w:rPr>
      </w:pPr>
      <w:r w:rsidRPr="00E910FB">
        <w:rPr>
          <w:rFonts w:ascii="Verdana" w:eastAsia="Calibri" w:hAnsi="Verdana" w:cs="Arial"/>
          <w:sz w:val="20"/>
          <w:szCs w:val="20"/>
          <w:lang w:eastAsia="es-ES"/>
        </w:rPr>
        <w:t xml:space="preserve">En cuanto a la aplicación de las medidas afirmativas en entidades con régimen especial de contratación, el decreto diferencia el alcance de las medidas según el régimen contractual de la entidad. Las medidas que aplican a ambos regímenes —Estatuto </w:t>
      </w:r>
      <w:r w:rsidRPr="00E910FB">
        <w:rPr>
          <w:rFonts w:ascii="Verdana" w:eastAsia="Calibri" w:hAnsi="Verdana" w:cs="Arial"/>
          <w:sz w:val="20"/>
          <w:szCs w:val="20"/>
          <w:lang w:eastAsia="es-ES"/>
        </w:rPr>
        <w:lastRenderedPageBreak/>
        <w:t>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PcD.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050B981B" w14:textId="77777777" w:rsidR="00AB4696" w:rsidRDefault="00AB4696" w:rsidP="00164E23">
      <w:pPr>
        <w:spacing w:after="0" w:line="240" w:lineRule="auto"/>
        <w:contextualSpacing/>
        <w:jc w:val="both"/>
        <w:rPr>
          <w:rFonts w:ascii="Verdana" w:eastAsia="Calibri" w:hAnsi="Verdana" w:cs="Arial"/>
          <w:sz w:val="20"/>
          <w:szCs w:val="20"/>
          <w:lang w:eastAsia="es-ES"/>
        </w:rPr>
      </w:pPr>
    </w:p>
    <w:p w14:paraId="41EF2E6B"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0FD49425"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943F7AD"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F819670"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59754AC9"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03C2E3DB"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6ABEC13"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C8C727C"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310FA3A"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1D5C7497"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7EF17F72"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11B33A45"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23CF144D"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EBC6DF9" w14:textId="77777777" w:rsidR="00AB4696" w:rsidRDefault="00AB4696" w:rsidP="00164E23">
      <w:pPr>
        <w:spacing w:after="0"/>
        <w:rPr>
          <w:rFonts w:ascii="Verdana" w:hAnsi="Verdana"/>
        </w:rPr>
      </w:pPr>
    </w:p>
    <w:p w14:paraId="51457D5B" w14:textId="77777777" w:rsidR="00AB4696" w:rsidRDefault="00AB4696" w:rsidP="00164E23">
      <w:pPr>
        <w:spacing w:after="0"/>
        <w:rPr>
          <w:rFonts w:ascii="Verdana" w:hAnsi="Verdana"/>
        </w:rPr>
      </w:pPr>
    </w:p>
    <w:p w14:paraId="40622D7F" w14:textId="77777777" w:rsidR="00AB4696" w:rsidRDefault="00AB4696" w:rsidP="00164E23">
      <w:pPr>
        <w:spacing w:after="0"/>
        <w:rPr>
          <w:rFonts w:ascii="Verdana" w:hAnsi="Verdana"/>
        </w:rPr>
      </w:pPr>
    </w:p>
    <w:p w14:paraId="4C759AC0" w14:textId="77777777" w:rsidR="00AB4696" w:rsidRDefault="00AB4696" w:rsidP="00164E23">
      <w:pPr>
        <w:spacing w:after="0"/>
        <w:rPr>
          <w:rFonts w:ascii="Verdana" w:hAnsi="Verdana"/>
        </w:rPr>
      </w:pPr>
    </w:p>
    <w:p w14:paraId="690F1213" w14:textId="77777777" w:rsidR="00AB4696" w:rsidRDefault="00AB4696" w:rsidP="00164E23">
      <w:pPr>
        <w:spacing w:after="0"/>
        <w:rPr>
          <w:rFonts w:ascii="Verdana" w:hAnsi="Verdana"/>
        </w:rPr>
      </w:pPr>
    </w:p>
    <w:p w14:paraId="5419A0A3" w14:textId="77777777" w:rsidR="00AB4696" w:rsidRDefault="00AB4696" w:rsidP="00164E23">
      <w:pPr>
        <w:spacing w:after="0"/>
        <w:rPr>
          <w:rFonts w:ascii="Verdana" w:hAnsi="Verdana"/>
        </w:rPr>
      </w:pPr>
    </w:p>
    <w:p w14:paraId="53E0E712" w14:textId="77777777" w:rsidR="00AB4696" w:rsidRDefault="00AB4696" w:rsidP="00164E23">
      <w:pPr>
        <w:spacing w:after="0"/>
        <w:rPr>
          <w:rFonts w:ascii="Verdana" w:hAnsi="Verdana"/>
        </w:rPr>
      </w:pPr>
    </w:p>
    <w:p w14:paraId="7DD1D419" w14:textId="77777777" w:rsidR="00AB4696" w:rsidRDefault="00AB4696" w:rsidP="00164E23">
      <w:pPr>
        <w:spacing w:after="0"/>
        <w:rPr>
          <w:rFonts w:ascii="Verdana" w:hAnsi="Verdana"/>
        </w:rPr>
      </w:pPr>
    </w:p>
    <w:p w14:paraId="48D3BB68" w14:textId="77777777" w:rsidR="00AB4696" w:rsidRDefault="00AB4696" w:rsidP="00164E23">
      <w:pPr>
        <w:spacing w:after="0"/>
        <w:rPr>
          <w:rFonts w:ascii="Verdana" w:hAnsi="Verdana"/>
        </w:rPr>
      </w:pPr>
    </w:p>
    <w:p w14:paraId="344DA842" w14:textId="77777777" w:rsidR="00AB4696" w:rsidRDefault="00AB4696" w:rsidP="00164E23">
      <w:pPr>
        <w:spacing w:after="0"/>
        <w:rPr>
          <w:rFonts w:ascii="Verdana" w:hAnsi="Verdana"/>
        </w:rPr>
      </w:pPr>
    </w:p>
    <w:p w14:paraId="0F30439A" w14:textId="77777777" w:rsidR="00AB4696" w:rsidRDefault="00AB4696" w:rsidP="00164E23">
      <w:pPr>
        <w:spacing w:after="0"/>
        <w:rPr>
          <w:rFonts w:ascii="Verdana" w:hAnsi="Verdana"/>
        </w:rPr>
      </w:pPr>
    </w:p>
    <w:p w14:paraId="54970929" w14:textId="77777777" w:rsidR="00AB4696" w:rsidRDefault="00AB4696" w:rsidP="00164E23">
      <w:pPr>
        <w:spacing w:after="0"/>
        <w:rPr>
          <w:rFonts w:ascii="Verdana" w:hAnsi="Verdana"/>
        </w:rPr>
      </w:pPr>
    </w:p>
    <w:p w14:paraId="679C4258" w14:textId="77777777" w:rsidR="00AB4696" w:rsidRDefault="00AB4696" w:rsidP="00164E23">
      <w:pPr>
        <w:spacing w:after="0"/>
        <w:rPr>
          <w:rFonts w:ascii="Verdana" w:hAnsi="Verdana"/>
        </w:rPr>
      </w:pPr>
    </w:p>
    <w:p w14:paraId="485D8B78" w14:textId="77777777" w:rsidR="00AB4696" w:rsidRDefault="00AB4696" w:rsidP="00164E23">
      <w:pPr>
        <w:spacing w:after="0"/>
        <w:rPr>
          <w:rFonts w:ascii="Verdana" w:hAnsi="Verdana"/>
        </w:rPr>
      </w:pPr>
    </w:p>
    <w:p w14:paraId="21615C95" w14:textId="77777777" w:rsidR="00AB4696" w:rsidRDefault="00AB4696" w:rsidP="00164E23">
      <w:pPr>
        <w:spacing w:after="0"/>
        <w:rPr>
          <w:rFonts w:ascii="Verdana" w:hAnsi="Verdana"/>
        </w:rPr>
      </w:pPr>
    </w:p>
    <w:p w14:paraId="658104C1" w14:textId="77777777" w:rsidR="00AB4696" w:rsidRDefault="00AB4696" w:rsidP="00164E23">
      <w:pPr>
        <w:spacing w:after="0"/>
        <w:rPr>
          <w:rFonts w:ascii="Verdana" w:hAnsi="Verdana"/>
        </w:rPr>
      </w:pPr>
    </w:p>
    <w:p w14:paraId="1BD90BEF" w14:textId="77777777" w:rsidR="00AB4696" w:rsidRDefault="00AB4696" w:rsidP="00164E23">
      <w:pPr>
        <w:spacing w:after="0"/>
        <w:rPr>
          <w:rFonts w:ascii="Verdana" w:hAnsi="Verdana"/>
        </w:rPr>
      </w:pPr>
    </w:p>
    <w:p w14:paraId="01EC8F37" w14:textId="77777777" w:rsidR="00AB4696" w:rsidRDefault="00AB4696" w:rsidP="00164E23">
      <w:pPr>
        <w:spacing w:after="0"/>
        <w:rPr>
          <w:rFonts w:ascii="Verdana" w:hAnsi="Verdana"/>
        </w:rPr>
      </w:pPr>
    </w:p>
    <w:p w14:paraId="3EF490AF" w14:textId="4DC74091" w:rsidR="004D75D8" w:rsidRDefault="00AF2DB4" w:rsidP="00164E23">
      <w:pPr>
        <w:spacing w:after="0"/>
        <w:rPr>
          <w:rFonts w:ascii="Verdana" w:hAnsi="Verdana"/>
        </w:rPr>
      </w:pPr>
      <w:r w:rsidRPr="00AF2DB4">
        <w:rPr>
          <w:rFonts w:ascii="Verdana" w:hAnsi="Verdana"/>
        </w:rPr>
        <w:lastRenderedPageBreak/>
        <w:t xml:space="preserve">Bogotá D.C., </w:t>
      </w:r>
      <w:r w:rsidR="0088322E">
        <w:rPr>
          <w:rFonts w:ascii="Verdana" w:hAnsi="Verdana"/>
        </w:rPr>
        <w:t>27 de mayo de 2026</w:t>
      </w:r>
    </w:p>
    <w:p w14:paraId="032BCB35" w14:textId="77777777" w:rsidR="0088322E" w:rsidRDefault="0088322E" w:rsidP="00164E23">
      <w:pPr>
        <w:spacing w:after="0"/>
        <w:rPr>
          <w:rFonts w:ascii="Verdana" w:hAnsi="Verdana"/>
        </w:rPr>
      </w:pPr>
    </w:p>
    <w:p w14:paraId="4ACE7CC3" w14:textId="13886BEC" w:rsidR="0088322E" w:rsidRDefault="0088322E" w:rsidP="0088322E">
      <w:pPr>
        <w:spacing w:after="0"/>
        <w:jc w:val="right"/>
        <w:rPr>
          <w:rFonts w:ascii="Verdana" w:hAnsi="Verdana"/>
          <w:lang w:val="es-ES"/>
        </w:rPr>
      </w:pPr>
      <w:r w:rsidRPr="0088322E">
        <w:rPr>
          <w:rFonts w:ascii="Verdana" w:hAnsi="Verdana"/>
          <w:lang w:val="es-ES"/>
        </w:rPr>
        <w:drawing>
          <wp:inline distT="0" distB="0" distL="0" distR="0" wp14:anchorId="73A0EAE3" wp14:editId="7F600278">
            <wp:extent cx="3677163" cy="1019317"/>
            <wp:effectExtent l="0" t="0" r="0" b="9525"/>
            <wp:docPr id="13180983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098348" name=""/>
                    <pic:cNvPicPr/>
                  </pic:nvPicPr>
                  <pic:blipFill>
                    <a:blip r:embed="rId10"/>
                    <a:stretch>
                      <a:fillRect/>
                    </a:stretch>
                  </pic:blipFill>
                  <pic:spPr>
                    <a:xfrm>
                      <a:off x="0" y="0"/>
                      <a:ext cx="3677163" cy="1019317"/>
                    </a:xfrm>
                    <a:prstGeom prst="rect">
                      <a:avLst/>
                    </a:prstGeom>
                  </pic:spPr>
                </pic:pic>
              </a:graphicData>
            </a:graphic>
          </wp:inline>
        </w:drawing>
      </w:r>
    </w:p>
    <w:p w14:paraId="2EC989F6" w14:textId="60AD36C7" w:rsidR="004D75D8" w:rsidRPr="00E1440E" w:rsidRDefault="004D75D8" w:rsidP="004D75D8">
      <w:pPr>
        <w:spacing w:after="0"/>
        <w:jc w:val="right"/>
        <w:rPr>
          <w:rFonts w:ascii="Verdana" w:hAnsi="Verdana"/>
          <w:lang w:val="es-ES"/>
        </w:rPr>
      </w:pPr>
    </w:p>
    <w:p w14:paraId="0CF6CA87" w14:textId="77777777" w:rsidR="00164E23" w:rsidRPr="00777292" w:rsidRDefault="00164E23" w:rsidP="00164E23">
      <w:pPr>
        <w:spacing w:after="0"/>
        <w:rPr>
          <w:rFonts w:ascii="Verdana" w:hAnsi="Verdana"/>
          <w:lang w:val="es-ES_tradnl"/>
        </w:rPr>
      </w:pPr>
    </w:p>
    <w:p w14:paraId="72C44607" w14:textId="77777777" w:rsidR="00164E23" w:rsidRPr="00AF0A23" w:rsidRDefault="00164E23" w:rsidP="00164E23">
      <w:pPr>
        <w:spacing w:after="0" w:line="240" w:lineRule="auto"/>
        <w:rPr>
          <w:rFonts w:ascii="Verdana" w:hAnsi="Verdana"/>
          <w:lang w:val="es-ES"/>
        </w:rPr>
      </w:pPr>
      <w:bookmarkStart w:id="0" w:name="_Hlk143780582"/>
      <w:r w:rsidRPr="00AF0A23">
        <w:rPr>
          <w:rFonts w:ascii="Verdana" w:eastAsia="Calibri" w:hAnsi="Verdana" w:cs="Arial"/>
          <w:lang w:val="es-ES" w:eastAsia="es-ES"/>
        </w:rPr>
        <w:t>Señora</w:t>
      </w:r>
    </w:p>
    <w:p w14:paraId="31843CA4" w14:textId="77777777" w:rsidR="00C05814" w:rsidRPr="00AF0A23" w:rsidRDefault="00C05814" w:rsidP="00164E23">
      <w:pPr>
        <w:spacing w:after="0"/>
        <w:rPr>
          <w:rFonts w:ascii="Verdana" w:eastAsia="Calibri" w:hAnsi="Verdana" w:cs="Arial"/>
          <w:b/>
          <w:bCs/>
          <w:lang w:val="es-ES" w:eastAsia="es-ES"/>
        </w:rPr>
      </w:pPr>
      <w:r w:rsidRPr="00AF0A23">
        <w:rPr>
          <w:rFonts w:ascii="Verdana" w:eastAsia="Calibri" w:hAnsi="Verdana" w:cs="Arial"/>
          <w:b/>
          <w:bCs/>
          <w:lang w:val="es-ES" w:eastAsia="es-ES"/>
        </w:rPr>
        <w:t xml:space="preserve">Monserrath Riveros </w:t>
      </w:r>
    </w:p>
    <w:p w14:paraId="49C237E3" w14:textId="5C9076A2" w:rsidR="00AF0A23" w:rsidRPr="00AF0A23" w:rsidRDefault="00AF0A23" w:rsidP="00164E23">
      <w:pPr>
        <w:spacing w:after="0"/>
        <w:rPr>
          <w:rFonts w:ascii="Verdana" w:hAnsi="Verdana"/>
        </w:rPr>
      </w:pPr>
      <w:hyperlink r:id="rId11" w:history="1">
        <w:r w:rsidRPr="00AF0A23">
          <w:rPr>
            <w:rStyle w:val="Hipervnculo"/>
            <w:rFonts w:ascii="Verdana" w:hAnsi="Verdana"/>
          </w:rPr>
          <w:t>monserrathriveros1811@gmail.com</w:t>
        </w:r>
      </w:hyperlink>
    </w:p>
    <w:p w14:paraId="3ED399A1" w14:textId="7F6B12EE" w:rsidR="00164E23" w:rsidRPr="00AF0A23" w:rsidRDefault="00164E23" w:rsidP="00164E23">
      <w:pPr>
        <w:spacing w:after="0"/>
        <w:rPr>
          <w:rFonts w:ascii="Verdana" w:eastAsia="Calibri" w:hAnsi="Verdana" w:cs="Arial"/>
          <w:lang w:eastAsia="es-ES"/>
        </w:rPr>
      </w:pPr>
      <w:r w:rsidRPr="00AF0A23">
        <w:rPr>
          <w:rFonts w:ascii="Verdana" w:eastAsia="Calibri" w:hAnsi="Verdana" w:cs="Arial"/>
          <w:lang w:eastAsia="es-ES"/>
        </w:rPr>
        <w:t>Ciudad</w:t>
      </w:r>
    </w:p>
    <w:p w14:paraId="27CE2DEA" w14:textId="77777777" w:rsidR="00CC2839" w:rsidRDefault="00CC2839" w:rsidP="00164E23">
      <w:pPr>
        <w:spacing w:after="0"/>
        <w:rPr>
          <w:rFonts w:ascii="Verdana" w:eastAsia="Calibri" w:hAnsi="Verdana" w:cs="Arial"/>
          <w:lang w:eastAsia="es-ES"/>
        </w:rPr>
      </w:pPr>
    </w:p>
    <w:p w14:paraId="5A98DA23" w14:textId="77777777" w:rsidR="00CC2839" w:rsidRPr="00E1440E" w:rsidRDefault="00CC2839" w:rsidP="00164E23">
      <w:pPr>
        <w:spacing w:after="0"/>
        <w:rPr>
          <w:rFonts w:ascii="Verdana" w:eastAsia="Calibri" w:hAnsi="Verdana" w:cs="Arial"/>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64E23" w:rsidRPr="00777292" w14:paraId="733E9F43" w14:textId="77777777" w:rsidTr="00640533">
        <w:trPr>
          <w:trHeight w:val="190"/>
        </w:trPr>
        <w:tc>
          <w:tcPr>
            <w:tcW w:w="2689" w:type="dxa"/>
          </w:tcPr>
          <w:p w14:paraId="56B97A45" w14:textId="77777777" w:rsidR="00164E23" w:rsidRPr="00777292" w:rsidRDefault="00164E23" w:rsidP="00640533">
            <w:pPr>
              <w:jc w:val="both"/>
              <w:rPr>
                <w:rFonts w:ascii="Verdana" w:eastAsia="Calibri" w:hAnsi="Verdana" w:cs="Arial"/>
                <w:b/>
                <w:bCs/>
                <w:lang w:eastAsia="es-ES_tradnl"/>
              </w:rPr>
            </w:pPr>
          </w:p>
        </w:tc>
        <w:tc>
          <w:tcPr>
            <w:tcW w:w="6100" w:type="dxa"/>
          </w:tcPr>
          <w:p w14:paraId="24949F88" w14:textId="406887ED" w:rsidR="00164E23" w:rsidRPr="00AB4696" w:rsidRDefault="00164E23" w:rsidP="00640533">
            <w:pPr>
              <w:jc w:val="both"/>
              <w:rPr>
                <w:rFonts w:ascii="Verdana" w:eastAsia="Calibri" w:hAnsi="Verdana" w:cs="Arial"/>
                <w:b/>
                <w:bCs/>
                <w:lang w:eastAsia="es-ES"/>
              </w:rPr>
            </w:pPr>
            <w:r w:rsidRPr="00AB4696">
              <w:rPr>
                <w:rFonts w:ascii="Verdana" w:eastAsia="Calibri" w:hAnsi="Verdana" w:cs="Arial"/>
                <w:b/>
                <w:bCs/>
                <w:lang w:eastAsia="es-ES"/>
              </w:rPr>
              <w:t xml:space="preserve">Concepto C- </w:t>
            </w:r>
            <w:r w:rsidR="00DC083E" w:rsidRPr="00AB4696">
              <w:rPr>
                <w:rFonts w:ascii="Verdana" w:eastAsia="Calibri" w:hAnsi="Verdana" w:cs="Arial"/>
                <w:b/>
                <w:bCs/>
                <w:lang w:eastAsia="es-ES"/>
              </w:rPr>
              <w:t>612</w:t>
            </w:r>
            <w:r w:rsidRPr="00AB4696">
              <w:rPr>
                <w:rFonts w:ascii="Verdana" w:eastAsia="Calibri" w:hAnsi="Verdana" w:cs="Arial"/>
                <w:b/>
                <w:bCs/>
                <w:lang w:eastAsia="es-ES"/>
              </w:rPr>
              <w:t xml:space="preserve"> de 2026</w:t>
            </w:r>
          </w:p>
          <w:p w14:paraId="74B8DE8C" w14:textId="77777777" w:rsidR="00164E23" w:rsidRPr="00AB4696" w:rsidRDefault="00164E23" w:rsidP="00640533">
            <w:pPr>
              <w:jc w:val="both"/>
              <w:rPr>
                <w:rFonts w:ascii="Verdana" w:eastAsia="Calibri" w:hAnsi="Verdana" w:cs="Arial"/>
                <w:b/>
                <w:bCs/>
                <w:lang w:eastAsia="es-ES"/>
              </w:rPr>
            </w:pPr>
          </w:p>
        </w:tc>
      </w:tr>
      <w:tr w:rsidR="00164E23" w:rsidRPr="00777292" w14:paraId="238CA5CF" w14:textId="77777777" w:rsidTr="00640533">
        <w:trPr>
          <w:trHeight w:val="884"/>
        </w:trPr>
        <w:tc>
          <w:tcPr>
            <w:tcW w:w="2689" w:type="dxa"/>
          </w:tcPr>
          <w:p w14:paraId="4470B7AA" w14:textId="77777777" w:rsidR="00164E23" w:rsidRPr="00777292" w:rsidRDefault="00164E23" w:rsidP="00640533">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3342C502" w14:textId="260930FB" w:rsidR="00164E23" w:rsidRPr="00AB4696" w:rsidRDefault="00164E23" w:rsidP="002E47C3">
            <w:pPr>
              <w:contextualSpacing/>
              <w:jc w:val="both"/>
              <w:rPr>
                <w:rFonts w:ascii="Verdana" w:eastAsia="Calibri" w:hAnsi="Verdana" w:cs="Arial"/>
                <w:lang w:eastAsia="es-ES"/>
              </w:rPr>
            </w:pPr>
            <w:r w:rsidRPr="00AB4696">
              <w:rPr>
                <w:rFonts w:ascii="Verdana" w:eastAsia="Calibri" w:hAnsi="Verdana" w:cs="Arial"/>
                <w:lang w:eastAsia="es-ES"/>
              </w:rPr>
              <w:t>DECRETO 0287 DE 2026 ‒ Sistema Integral de Preferencias ‒ Contratación pública inclusiva ‒ Personas con discapacidad / DECRETO 0287 DE 2026 ‒ Antecedentes normativos ‒ Decreto 392 de 2018 ‒ Omisiones reglamentarias ‒ Sentencia de acción de cumplimiento / DECRETO 0287 DE 2026 ‒ Sujetos del sistema ‒ Emprendimientos y empresas de personas con discapacidad ‒ Empleadores de personas con discapacidad ‒ Definición y diferenciación</w:t>
            </w:r>
            <w:r w:rsidR="00AB4696" w:rsidRPr="00AB4696">
              <w:rPr>
                <w:rFonts w:ascii="Verdana" w:eastAsia="Calibri" w:hAnsi="Verdana" w:cs="Arial"/>
                <w:lang w:eastAsia="es-ES"/>
              </w:rPr>
              <w:t xml:space="preserve"> / DECRETO 0287 DE 2026 ‒ Sistema de preferencias ‒ Medidas ‒ Selección abreviada ‒ Aplicación / DECRETO 0287 DE 2026 ‒ Entidades de régimen especial ‒ Aplicación</w:t>
            </w:r>
          </w:p>
        </w:tc>
      </w:tr>
      <w:tr w:rsidR="00164E23" w:rsidRPr="00777292" w14:paraId="0232D961" w14:textId="77777777" w:rsidTr="00640533">
        <w:tc>
          <w:tcPr>
            <w:tcW w:w="2689" w:type="dxa"/>
          </w:tcPr>
          <w:p w14:paraId="65C1C5FF" w14:textId="77777777" w:rsidR="00164E23" w:rsidRPr="00777292" w:rsidRDefault="00164E23" w:rsidP="00640533">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55D5B2A2" w14:textId="3633E8D3" w:rsidR="00164E23" w:rsidRPr="00777292" w:rsidRDefault="00164E23" w:rsidP="00640533">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00296619" w:rsidRPr="00296619">
              <w:rPr>
                <w:rFonts w:ascii="Verdana" w:hAnsi="Verdana" w:cs="Segoe UI"/>
                <w:color w:val="2B2B2B"/>
                <w:shd w:val="clear" w:color="auto" w:fill="FFFFFF"/>
              </w:rPr>
              <w:t>1_2026_04_14_005076</w:t>
            </w:r>
          </w:p>
        </w:tc>
      </w:tr>
    </w:tbl>
    <w:p w14:paraId="73CA209F" w14:textId="77777777" w:rsidR="00164E23" w:rsidRPr="00206556" w:rsidRDefault="00164E23" w:rsidP="00164E23">
      <w:pPr>
        <w:tabs>
          <w:tab w:val="left" w:pos="1520"/>
        </w:tabs>
        <w:spacing w:after="0" w:line="276" w:lineRule="auto"/>
        <w:jc w:val="both"/>
        <w:rPr>
          <w:rFonts w:ascii="Verdana" w:eastAsia="Calibri" w:hAnsi="Verdana" w:cs="Arial"/>
          <w:color w:val="ED7D31" w:themeColor="accent2"/>
          <w:sz w:val="20"/>
          <w:szCs w:val="20"/>
          <w:lang w:val="es-ES" w:eastAsia="es-ES"/>
        </w:rPr>
      </w:pPr>
    </w:p>
    <w:p w14:paraId="2C52716C" w14:textId="77777777" w:rsidR="00164E23" w:rsidRPr="00206556" w:rsidRDefault="00164E23" w:rsidP="00164E23">
      <w:pPr>
        <w:spacing w:after="0" w:line="276" w:lineRule="auto"/>
        <w:jc w:val="both"/>
        <w:rPr>
          <w:rFonts w:ascii="Verdana" w:eastAsia="Calibri" w:hAnsi="Verdana" w:cs="Arial"/>
          <w:color w:val="ED7D31" w:themeColor="accent2"/>
          <w:lang w:val="es-ES" w:eastAsia="es-ES"/>
        </w:rPr>
      </w:pPr>
    </w:p>
    <w:p w14:paraId="71D5F7CD" w14:textId="56275A85" w:rsidR="00164E23" w:rsidRPr="00206556" w:rsidRDefault="00164E23" w:rsidP="00164E23">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 xml:space="preserve">Estimada Señora </w:t>
      </w:r>
      <w:r w:rsidR="00C05814">
        <w:rPr>
          <w:rFonts w:ascii="Verdana" w:eastAsia="Calibri" w:hAnsi="Verdana" w:cs="Arial"/>
          <w:lang w:val="es-ES" w:eastAsia="es-ES"/>
        </w:rPr>
        <w:t>Riveros</w:t>
      </w:r>
      <w:r w:rsidRPr="006A7B59">
        <w:rPr>
          <w:rFonts w:ascii="Verdana" w:eastAsia="Calibri" w:hAnsi="Verdana" w:cs="Arial"/>
          <w:lang w:val="es-ES" w:eastAsia="es-ES"/>
        </w:rPr>
        <w:t>,</w:t>
      </w:r>
    </w:p>
    <w:p w14:paraId="38905CD3" w14:textId="77777777" w:rsidR="00164E23" w:rsidRPr="00206556" w:rsidRDefault="00164E23" w:rsidP="00164E23">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1545CD1E" w14:textId="00287A34" w:rsidR="00164E23" w:rsidRPr="00206556" w:rsidRDefault="00164E23" w:rsidP="00164E23">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w:t>
      </w:r>
      <w:r w:rsidRPr="00206556">
        <w:rPr>
          <w:rFonts w:ascii="Verdana" w:eastAsia="Calibri" w:hAnsi="Verdana" w:cs="Arial"/>
          <w:lang w:val="es-ES" w:eastAsia="es-ES"/>
        </w:rPr>
        <w:lastRenderedPageBreak/>
        <w:t xml:space="preserve">Contratación Pública – Colombia Compra Eficiente– responde su solicitud de </w:t>
      </w:r>
      <w:r w:rsidRPr="00FB46F9">
        <w:rPr>
          <w:rFonts w:ascii="Verdana" w:eastAsia="Calibri" w:hAnsi="Verdana" w:cs="Arial"/>
          <w:lang w:val="es-ES" w:eastAsia="es-ES"/>
        </w:rPr>
        <w:t xml:space="preserve">consulta de fecha </w:t>
      </w:r>
      <w:r w:rsidR="00B80858">
        <w:rPr>
          <w:rFonts w:ascii="Verdana" w:eastAsia="Calibri" w:hAnsi="Verdana" w:cs="Arial"/>
          <w:lang w:val="es-ES" w:eastAsia="es-ES"/>
        </w:rPr>
        <w:t>14</w:t>
      </w:r>
      <w:r w:rsidRPr="00FB46F9">
        <w:rPr>
          <w:rFonts w:ascii="Verdana" w:eastAsia="Calibri" w:hAnsi="Verdana" w:cs="Arial"/>
          <w:lang w:val="es-ES" w:eastAsia="es-ES"/>
        </w:rPr>
        <w:t xml:space="preserve"> de </w:t>
      </w:r>
      <w:r w:rsidR="00B80858">
        <w:rPr>
          <w:rFonts w:ascii="Verdana" w:eastAsia="Calibri" w:hAnsi="Verdana" w:cs="Arial"/>
          <w:lang w:val="es-ES" w:eastAsia="es-ES"/>
        </w:rPr>
        <w:t>abril</w:t>
      </w:r>
      <w:r w:rsidRPr="00FB46F9">
        <w:rPr>
          <w:rFonts w:ascii="Verdana" w:eastAsia="Calibri" w:hAnsi="Verdana" w:cs="Arial"/>
          <w:lang w:val="es-ES" w:eastAsia="es-ES"/>
        </w:rPr>
        <w:t xml:space="preserve"> de 2026, en</w:t>
      </w:r>
      <w:r w:rsidRPr="00206556">
        <w:rPr>
          <w:rFonts w:ascii="Verdana" w:eastAsia="Calibri" w:hAnsi="Verdana" w:cs="Arial"/>
          <w:lang w:val="es-ES" w:eastAsia="es-ES"/>
        </w:rPr>
        <w:t xml:space="preserve"> la cual manifiesta lo siguiente: </w:t>
      </w:r>
    </w:p>
    <w:p w14:paraId="31DAAFCC" w14:textId="77777777" w:rsidR="00164E23" w:rsidRDefault="00164E23" w:rsidP="00A07A6E">
      <w:pPr>
        <w:spacing w:before="120" w:after="120" w:line="276" w:lineRule="auto"/>
        <w:ind w:right="709"/>
        <w:contextualSpacing/>
        <w:jc w:val="both"/>
        <w:rPr>
          <w:rFonts w:ascii="Verdana" w:eastAsia="Century Gothic" w:hAnsi="Verdana" w:cs="Century Gothic"/>
          <w:i/>
          <w:iCs/>
          <w:sz w:val="20"/>
          <w:szCs w:val="20"/>
          <w:lang w:val="es-ES"/>
        </w:rPr>
      </w:pPr>
    </w:p>
    <w:p w14:paraId="2578885D" w14:textId="07E66CB1" w:rsidR="00164E23" w:rsidRPr="00A07A6E" w:rsidRDefault="00E1440E" w:rsidP="004619E3">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lang w:val="es-ES"/>
        </w:rPr>
        <w:t>“</w:t>
      </w:r>
      <w:r w:rsidR="004619E3" w:rsidRPr="004619E3">
        <w:rPr>
          <w:rFonts w:ascii="Verdana" w:eastAsia="Century Gothic" w:hAnsi="Verdana" w:cs="Century Gothic"/>
          <w:sz w:val="20"/>
          <w:szCs w:val="20"/>
          <w:lang w:val="es-ES"/>
        </w:rPr>
        <w:t>Referente al Decreto 287 de 2026 siendo CCE el ente rector de la contratación Pública, me permito solicitar concepto para la aplicación del mismo en selecciones abreviadas para prestación de servicios de salud, en principio existe en  la base de datos de la entidad que los  posibles oferente no pertenecen a empresas emprendimientos y empresas de personas con discapacidad , de igual forma se solicita saber si para el sector salud las incorporación de condiciones especiales  de ejecución  en favor de las personas con discapacidad se deben incluir</w:t>
      </w:r>
      <w:r>
        <w:rPr>
          <w:rFonts w:ascii="Verdana" w:eastAsia="Century Gothic" w:hAnsi="Verdana" w:cs="Century Gothic"/>
          <w:sz w:val="20"/>
          <w:szCs w:val="20"/>
          <w:lang w:val="es-ES"/>
        </w:rPr>
        <w:t>”</w:t>
      </w:r>
    </w:p>
    <w:p w14:paraId="1C140DD0" w14:textId="77777777" w:rsidR="00164E23" w:rsidRPr="00A07A6E" w:rsidRDefault="00164E23" w:rsidP="00164E23">
      <w:pPr>
        <w:spacing w:before="120" w:after="120" w:line="240" w:lineRule="auto"/>
        <w:ind w:left="709" w:right="709"/>
        <w:contextualSpacing/>
        <w:jc w:val="both"/>
        <w:rPr>
          <w:rFonts w:ascii="Verdana" w:eastAsia="Century Gothic" w:hAnsi="Verdana" w:cs="Century Gothic"/>
          <w:i/>
          <w:lang w:val="es-ES"/>
        </w:rPr>
      </w:pPr>
    </w:p>
    <w:p w14:paraId="4862969D" w14:textId="356F1E74" w:rsidR="00164E23" w:rsidRPr="00206556" w:rsidRDefault="00164E23" w:rsidP="00164E23">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4A701A">
        <w:rPr>
          <w:rFonts w:ascii="Verdana" w:eastAsia="Calibri" w:hAnsi="Verdana" w:cs="Arial"/>
          <w:lang w:val="es-ES" w:eastAsia="es-ES"/>
        </w:rPr>
        <w:t xml:space="preserve">la Agencia </w:t>
      </w:r>
      <w:r w:rsidR="00E567BE">
        <w:rPr>
          <w:rFonts w:ascii="Verdana" w:eastAsia="Calibri" w:hAnsi="Verdana" w:cs="Arial"/>
          <w:lang w:val="es-ES" w:eastAsia="es-ES"/>
        </w:rPr>
        <w:t xml:space="preserve">Nacional de Contratación Pública – </w:t>
      </w:r>
      <w:r w:rsidRPr="00206556">
        <w:rPr>
          <w:rFonts w:ascii="Verdana" w:eastAsia="Calibri" w:hAnsi="Verdana" w:cs="Arial"/>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0938EBC4" w14:textId="6AEB8BE0" w:rsidR="00164E23" w:rsidRPr="00206556" w:rsidRDefault="00164E23" w:rsidP="00164E23">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500BFE">
        <w:rPr>
          <w:rFonts w:ascii="Verdana" w:eastAsia="Calibri" w:hAnsi="Verdana" w:cs="Arial"/>
          <w:lang w:val="es-ES" w:eastAsia="es-ES"/>
        </w:rPr>
        <w:t>señala</w:t>
      </w:r>
      <w:r w:rsidR="00500BFE" w:rsidRPr="00206556">
        <w:rPr>
          <w:rFonts w:ascii="Verdana" w:eastAsia="Calibri" w:hAnsi="Verdana" w:cs="Arial"/>
          <w:lang w:val="es-ES" w:eastAsia="es-ES"/>
        </w:rPr>
        <w:t xml:space="preserve">ndo </w:t>
      </w:r>
      <w:r w:rsidR="00500BFE">
        <w:rPr>
          <w:rFonts w:ascii="Verdana" w:eastAsia="Calibri" w:hAnsi="Verdana" w:cs="Arial"/>
          <w:lang w:val="es-ES" w:eastAsia="es-ES"/>
        </w:rPr>
        <w:t>alg</w:t>
      </w:r>
      <w:r w:rsidRPr="00206556">
        <w:rPr>
          <w:rFonts w:ascii="Verdana" w:eastAsia="Calibri" w:hAnsi="Verdana" w:cs="Arial"/>
          <w:lang w:val="es-ES" w:eastAsia="es-ES"/>
        </w:rPr>
        <w:t xml:space="preserve">unas consideraciones sobre las normas generales relacionadas con </w:t>
      </w:r>
      <w:r w:rsidR="00A35EC3">
        <w:rPr>
          <w:rFonts w:ascii="Verdana" w:eastAsia="Calibri" w:hAnsi="Verdana" w:cs="Arial"/>
          <w:lang w:val="es-ES" w:eastAsia="es-ES"/>
        </w:rPr>
        <w:t>los</w:t>
      </w:r>
      <w:r w:rsidRPr="00206556">
        <w:rPr>
          <w:rFonts w:ascii="Verdana" w:eastAsia="Calibri" w:hAnsi="Verdana" w:cs="Arial"/>
          <w:lang w:val="es-ES" w:eastAsia="es-ES"/>
        </w:rPr>
        <w:t xml:space="preserve"> problema</w:t>
      </w:r>
      <w:r w:rsidR="00A35EC3">
        <w:rPr>
          <w:rFonts w:ascii="Verdana" w:eastAsia="Calibri" w:hAnsi="Verdana" w:cs="Arial"/>
          <w:lang w:val="es-ES" w:eastAsia="es-ES"/>
        </w:rPr>
        <w:t>s</w:t>
      </w:r>
      <w:r w:rsidRPr="00206556">
        <w:rPr>
          <w:rFonts w:ascii="Verdana" w:eastAsia="Calibri" w:hAnsi="Verdana" w:cs="Arial"/>
          <w:lang w:val="es-ES" w:eastAsia="es-ES"/>
        </w:rPr>
        <w:t xml:space="preserve"> jurídico</w:t>
      </w:r>
      <w:r w:rsidR="00A35EC3">
        <w:rPr>
          <w:rFonts w:ascii="Verdana" w:eastAsia="Calibri" w:hAnsi="Verdana" w:cs="Arial"/>
          <w:lang w:val="es-ES" w:eastAsia="es-ES"/>
        </w:rPr>
        <w:t>s</w:t>
      </w:r>
      <w:r w:rsidRPr="00206556">
        <w:rPr>
          <w:rFonts w:ascii="Verdana" w:eastAsia="Calibri" w:hAnsi="Verdana" w:cs="Arial"/>
          <w:lang w:val="es-ES" w:eastAsia="es-ES"/>
        </w:rPr>
        <w:t xml:space="preserve"> de su consulta. </w:t>
      </w:r>
    </w:p>
    <w:p w14:paraId="67B972CD" w14:textId="77777777" w:rsidR="00164E23" w:rsidRPr="00206556" w:rsidRDefault="00164E23" w:rsidP="00164E23">
      <w:pPr>
        <w:spacing w:after="0" w:line="276" w:lineRule="auto"/>
        <w:ind w:firstLine="709"/>
        <w:jc w:val="both"/>
        <w:rPr>
          <w:rFonts w:ascii="Verdana" w:eastAsia="Calibri" w:hAnsi="Verdana" w:cs="Arial"/>
          <w:lang w:val="es-ES" w:eastAsia="es-ES"/>
        </w:rPr>
      </w:pPr>
    </w:p>
    <w:p w14:paraId="50760FF1" w14:textId="77777777" w:rsidR="00164E23" w:rsidRPr="00206556" w:rsidRDefault="00164E23" w:rsidP="00164E23">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w:t>
      </w:r>
      <w:r>
        <w:rPr>
          <w:rFonts w:ascii="Verdana" w:eastAsia="Century Gothic" w:hAnsi="Verdana" w:cs="Century Gothic"/>
          <w:b/>
          <w:lang w:val="es-ES"/>
        </w:rPr>
        <w:t>s</w:t>
      </w:r>
      <w:r w:rsidRPr="00206556">
        <w:rPr>
          <w:rFonts w:ascii="Verdana" w:eastAsia="Century Gothic" w:hAnsi="Verdana" w:cs="Century Gothic"/>
          <w:b/>
          <w:lang w:val="es-ES"/>
        </w:rPr>
        <w:t xml:space="preserve"> planteado</w:t>
      </w:r>
      <w:r>
        <w:rPr>
          <w:rFonts w:ascii="Verdana" w:eastAsia="Century Gothic" w:hAnsi="Verdana" w:cs="Century Gothic"/>
          <w:b/>
          <w:lang w:val="es-ES"/>
        </w:rPr>
        <w:t>s</w:t>
      </w:r>
      <w:r w:rsidRPr="00206556">
        <w:rPr>
          <w:rFonts w:ascii="Verdana" w:eastAsia="Century Gothic" w:hAnsi="Verdana" w:cs="Century Gothic"/>
          <w:b/>
          <w:lang w:val="es-ES"/>
        </w:rPr>
        <w:t>:</w:t>
      </w:r>
    </w:p>
    <w:p w14:paraId="5C4E78D9" w14:textId="77777777" w:rsidR="00164E23" w:rsidRPr="00206556" w:rsidRDefault="00164E23" w:rsidP="00164E23">
      <w:pPr>
        <w:tabs>
          <w:tab w:val="left" w:pos="426"/>
        </w:tabs>
        <w:spacing w:after="0" w:line="276" w:lineRule="auto"/>
        <w:jc w:val="both"/>
        <w:rPr>
          <w:rFonts w:ascii="Verdana" w:eastAsia="Century Gothic" w:hAnsi="Verdana" w:cs="Century Gothic"/>
          <w:color w:val="ED7D31" w:themeColor="accent2"/>
          <w:lang w:val="es-ES"/>
        </w:rPr>
      </w:pPr>
    </w:p>
    <w:p w14:paraId="497F170A" w14:textId="0ABDE5CA" w:rsidR="00164E23" w:rsidRDefault="00164E23" w:rsidP="00164E23">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00853F4D">
        <w:rPr>
          <w:rFonts w:ascii="Verdana" w:eastAsia="Century Gothic" w:hAnsi="Verdana" w:cs="Century Gothic"/>
          <w:lang w:val="es-ES"/>
        </w:rPr>
        <w:t xml:space="preserve">i) </w:t>
      </w:r>
      <w:r w:rsidRPr="00206556">
        <w:rPr>
          <w:rFonts w:ascii="Verdana" w:eastAsia="Century Gothic" w:hAnsi="Verdana" w:cs="Century Gothic"/>
        </w:rPr>
        <w:t>¿</w:t>
      </w:r>
      <w:r w:rsidR="007F2669">
        <w:rPr>
          <w:rFonts w:ascii="Verdana" w:eastAsia="Century Gothic" w:hAnsi="Verdana" w:cs="Century Gothic"/>
        </w:rPr>
        <w:t>Cómo se aplica el Decreto 287 de 2026 en la modalidad de selección abreviada</w:t>
      </w:r>
      <w:r w:rsidR="00853F4D">
        <w:rPr>
          <w:rFonts w:ascii="Verdana" w:eastAsia="Century Gothic" w:hAnsi="Verdana" w:cs="Century Gothic"/>
        </w:rPr>
        <w:t>?</w:t>
      </w:r>
      <w:r w:rsidR="00C65393">
        <w:rPr>
          <w:rFonts w:ascii="Verdana" w:eastAsia="Century Gothic" w:hAnsi="Verdana" w:cs="Century Gothic"/>
        </w:rPr>
        <w:t>;</w:t>
      </w:r>
      <w:r w:rsidR="007F2669">
        <w:rPr>
          <w:rFonts w:ascii="Verdana" w:eastAsia="Century Gothic" w:hAnsi="Verdana" w:cs="Century Gothic"/>
        </w:rPr>
        <w:t xml:space="preserve"> y</w:t>
      </w:r>
      <w:r w:rsidR="00C65393">
        <w:rPr>
          <w:rFonts w:ascii="Verdana" w:eastAsia="Century Gothic" w:hAnsi="Verdana" w:cs="Century Gothic"/>
        </w:rPr>
        <w:t xml:space="preserve"> </w:t>
      </w:r>
      <w:proofErr w:type="spellStart"/>
      <w:r w:rsidR="00C65393">
        <w:rPr>
          <w:rFonts w:ascii="Verdana" w:eastAsia="Century Gothic" w:hAnsi="Verdana" w:cs="Century Gothic"/>
        </w:rPr>
        <w:t>ii</w:t>
      </w:r>
      <w:proofErr w:type="spellEnd"/>
      <w:r w:rsidR="00C65393">
        <w:rPr>
          <w:rFonts w:ascii="Verdana" w:eastAsia="Century Gothic" w:hAnsi="Verdana" w:cs="Century Gothic"/>
        </w:rPr>
        <w:t xml:space="preserve">) </w:t>
      </w:r>
      <w:r w:rsidRPr="00206556">
        <w:rPr>
          <w:rFonts w:ascii="Verdana" w:eastAsia="Century Gothic" w:hAnsi="Verdana" w:cs="Century Gothic"/>
        </w:rPr>
        <w:t>¿</w:t>
      </w:r>
      <w:r w:rsidR="007F2669">
        <w:rPr>
          <w:rFonts w:ascii="Verdana" w:eastAsia="Century Gothic" w:hAnsi="Verdana" w:cs="Century Gothic"/>
        </w:rPr>
        <w:t>Cuál</w:t>
      </w:r>
      <w:r w:rsidR="001803BD">
        <w:rPr>
          <w:rFonts w:ascii="Verdana" w:eastAsia="Century Gothic" w:hAnsi="Verdana" w:cs="Century Gothic"/>
        </w:rPr>
        <w:t xml:space="preserve"> es el alcance </w:t>
      </w:r>
      <w:r w:rsidR="008B2501">
        <w:rPr>
          <w:rFonts w:ascii="Verdana" w:eastAsia="Century Gothic" w:hAnsi="Verdana" w:cs="Century Gothic"/>
        </w:rPr>
        <w:t>jurídico de</w:t>
      </w:r>
      <w:r>
        <w:rPr>
          <w:rFonts w:ascii="Verdana" w:eastAsia="Century Gothic" w:hAnsi="Verdana" w:cs="Century Gothic"/>
        </w:rPr>
        <w:t xml:space="preserve"> </w:t>
      </w:r>
      <w:r w:rsidR="00E97288">
        <w:rPr>
          <w:rFonts w:ascii="Verdana" w:eastAsia="Century Gothic" w:hAnsi="Verdana" w:cs="Century Gothic"/>
        </w:rPr>
        <w:t xml:space="preserve">las </w:t>
      </w:r>
      <w:r w:rsidR="00E97288" w:rsidRPr="00E97288">
        <w:rPr>
          <w:rFonts w:ascii="Verdana" w:eastAsia="Century Gothic" w:hAnsi="Verdana" w:cs="Century Gothic"/>
        </w:rPr>
        <w:t xml:space="preserve">condiciones </w:t>
      </w:r>
      <w:r w:rsidR="006923C0" w:rsidRPr="00E97288">
        <w:rPr>
          <w:rFonts w:ascii="Verdana" w:eastAsia="Century Gothic" w:hAnsi="Verdana" w:cs="Century Gothic"/>
        </w:rPr>
        <w:t>especiales de</w:t>
      </w:r>
      <w:r w:rsidR="00E97288" w:rsidRPr="00E97288">
        <w:rPr>
          <w:rFonts w:ascii="Verdana" w:eastAsia="Century Gothic" w:hAnsi="Verdana" w:cs="Century Gothic"/>
        </w:rPr>
        <w:t xml:space="preserve"> ejecución </w:t>
      </w:r>
      <w:r w:rsidR="00F30B59">
        <w:rPr>
          <w:rFonts w:ascii="Verdana" w:eastAsia="Century Gothic" w:hAnsi="Verdana" w:cs="Century Gothic"/>
        </w:rPr>
        <w:t>respecto de las entidades de régimen especial</w:t>
      </w:r>
      <w:r w:rsidRPr="00206556">
        <w:rPr>
          <w:rFonts w:ascii="Verdana" w:eastAsia="Century Gothic" w:hAnsi="Verdana" w:cs="Century Gothic"/>
        </w:rPr>
        <w:t>?</w:t>
      </w:r>
    </w:p>
    <w:p w14:paraId="2BA3BE4A" w14:textId="77777777" w:rsidR="00164E23" w:rsidRPr="00206556" w:rsidRDefault="00164E23" w:rsidP="00164E23">
      <w:pPr>
        <w:spacing w:after="0" w:line="276" w:lineRule="auto"/>
        <w:jc w:val="both"/>
        <w:rPr>
          <w:rFonts w:ascii="Verdana" w:eastAsia="Century Gothic" w:hAnsi="Verdana" w:cs="Century Gothic"/>
          <w:color w:val="ED7D31" w:themeColor="accent2"/>
        </w:rPr>
      </w:pPr>
    </w:p>
    <w:p w14:paraId="43C7E6B0" w14:textId="77777777" w:rsidR="00164E23" w:rsidRPr="00206556" w:rsidRDefault="00164E23" w:rsidP="00164E2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r>
        <w:rPr>
          <w:rFonts w:ascii="Verdana" w:eastAsia="Century Gothic" w:hAnsi="Verdana" w:cs="Century Gothic"/>
          <w:b/>
          <w:lang w:val="es-ES"/>
        </w:rPr>
        <w:t>s</w:t>
      </w:r>
      <w:r w:rsidRPr="00206556">
        <w:rPr>
          <w:rFonts w:ascii="Verdana" w:eastAsia="Century Gothic" w:hAnsi="Verdana" w:cs="Century Gothic"/>
          <w:b/>
          <w:lang w:val="es-ES"/>
        </w:rPr>
        <w:t>:</w:t>
      </w:r>
    </w:p>
    <w:p w14:paraId="66E9C48D" w14:textId="77777777" w:rsidR="00164E23" w:rsidRPr="00206556" w:rsidRDefault="00164E23" w:rsidP="00164E23">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64E23" w:rsidRPr="00206556" w14:paraId="5D3B7703" w14:textId="77777777" w:rsidTr="00640533">
        <w:tc>
          <w:tcPr>
            <w:tcW w:w="8828" w:type="dxa"/>
          </w:tcPr>
          <w:p w14:paraId="7EC298AB" w14:textId="392CA789" w:rsidR="00A6021A" w:rsidRDefault="00164E23" w:rsidP="00E21B1F">
            <w:pPr>
              <w:spacing w:after="120" w:line="276" w:lineRule="auto"/>
              <w:jc w:val="both"/>
              <w:rPr>
                <w:rFonts w:ascii="Verdana" w:eastAsia="Calibri" w:hAnsi="Verdana" w:cs="Arial"/>
              </w:rPr>
            </w:pPr>
            <w:r>
              <w:rPr>
                <w:rFonts w:ascii="Verdana" w:eastAsia="Calibri" w:hAnsi="Verdana" w:cs="Arial"/>
              </w:rPr>
              <w:t>i) En atención al problema jurídico planteado, es necesario indicar que e</w:t>
            </w:r>
            <w:r w:rsidR="00AE7F45">
              <w:rPr>
                <w:rFonts w:ascii="Verdana" w:eastAsia="Calibri" w:hAnsi="Verdana" w:cs="Arial"/>
              </w:rPr>
              <w:t>l Decreto 287 de 2026</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w:t>
            </w:r>
            <w:r w:rsidR="00BB06B9">
              <w:rPr>
                <w:rFonts w:ascii="Verdana" w:eastAsia="Calibri" w:hAnsi="Verdana" w:cs="Arial"/>
              </w:rPr>
              <w:t>Estatutaria</w:t>
            </w:r>
            <w:r w:rsidRPr="00E54F30">
              <w:rPr>
                <w:rFonts w:ascii="Verdana" w:eastAsia="Calibri" w:hAnsi="Verdana" w:cs="Arial"/>
              </w:rPr>
              <w:t xml:space="preserve"> 1618 de 2013, </w:t>
            </w:r>
            <w:r w:rsidR="00827E65">
              <w:rPr>
                <w:rFonts w:ascii="Verdana" w:eastAsia="Calibri" w:hAnsi="Verdana" w:cs="Arial"/>
              </w:rPr>
              <w:t>en cumplimiento de la</w:t>
            </w:r>
            <w:r w:rsidRPr="00E54F30">
              <w:rPr>
                <w:rFonts w:ascii="Verdana" w:eastAsia="Calibri" w:hAnsi="Verdana" w:cs="Arial"/>
              </w:rPr>
              <w:t xml:space="preserve"> orden </w:t>
            </w:r>
            <w:r w:rsidR="00827E65">
              <w:rPr>
                <w:rFonts w:ascii="Verdana" w:eastAsia="Calibri" w:hAnsi="Verdana" w:cs="Arial"/>
              </w:rPr>
              <w:t>impartida</w:t>
            </w:r>
            <w:r w:rsidRPr="00E54F30">
              <w:rPr>
                <w:rFonts w:ascii="Verdana" w:eastAsia="Calibri" w:hAnsi="Verdana" w:cs="Arial"/>
              </w:rPr>
              <w:t xml:space="preserve"> por el Consejo 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00827E65">
              <w:rPr>
                <w:rFonts w:ascii="Verdana" w:eastAsia="Calibri" w:hAnsi="Verdana" w:cs="Arial"/>
              </w:rPr>
              <w:t xml:space="preserve">. En desarrollo de este mandato, </w:t>
            </w:r>
            <w:r w:rsidR="00A6021A">
              <w:rPr>
                <w:rFonts w:ascii="Verdana" w:eastAsia="Calibri" w:hAnsi="Verdana" w:cs="Arial"/>
              </w:rPr>
              <w:t>el Decreto</w:t>
            </w:r>
            <w:r w:rsidRPr="00073658">
              <w:rPr>
                <w:rFonts w:ascii="Verdana" w:eastAsia="Calibri" w:hAnsi="Verdana" w:cs="Arial"/>
              </w:rPr>
              <w:t xml:space="preserve">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w:t>
            </w:r>
          </w:p>
          <w:p w14:paraId="31265487" w14:textId="3C4C6083" w:rsidR="00164E23" w:rsidRDefault="00164E23" w:rsidP="00DC2097">
            <w:pPr>
              <w:spacing w:after="120" w:line="276" w:lineRule="auto"/>
              <w:ind w:firstLine="709"/>
              <w:jc w:val="both"/>
              <w:rPr>
                <w:rFonts w:ascii="Verdana" w:eastAsia="Calibri" w:hAnsi="Verdana" w:cs="Arial"/>
              </w:rPr>
            </w:pPr>
            <w:r w:rsidRPr="00073658">
              <w:rPr>
                <w:rFonts w:ascii="Verdana" w:eastAsia="Calibri" w:hAnsi="Verdana" w:cs="Arial"/>
              </w:rPr>
              <w:t xml:space="preserve">Este sistema está compuesto por cinco </w:t>
            </w:r>
            <w:r w:rsidR="007847CE">
              <w:rPr>
                <w:rFonts w:ascii="Verdana" w:eastAsia="Calibri" w:hAnsi="Verdana" w:cs="Arial"/>
              </w:rPr>
              <w:t>(5)</w:t>
            </w:r>
            <w:r w:rsidRPr="00073658">
              <w:rPr>
                <w:rFonts w:ascii="Verdana" w:eastAsia="Calibri" w:hAnsi="Verdana" w:cs="Arial"/>
              </w:rPr>
              <w:t xml:space="preserve"> medidas</w:t>
            </w:r>
            <w:r w:rsidR="007847CE">
              <w:rPr>
                <w:rFonts w:ascii="Verdana" w:eastAsia="Calibri" w:hAnsi="Verdana" w:cs="Arial"/>
              </w:rPr>
              <w:t xml:space="preserve"> específicas, a saber</w:t>
            </w:r>
            <w:r w:rsidRPr="00073658">
              <w:rPr>
                <w:rFonts w:ascii="Verdana" w:eastAsia="Calibri" w:hAnsi="Verdana" w:cs="Arial"/>
              </w:rPr>
              <w:t xml:space="preserve">: </w:t>
            </w:r>
            <w:r w:rsidR="007847CE">
              <w:rPr>
                <w:rFonts w:ascii="Verdana" w:eastAsia="Calibri" w:hAnsi="Verdana" w:cs="Arial"/>
              </w:rPr>
              <w:t>i)</w:t>
            </w:r>
            <w:r w:rsidRPr="00073658">
              <w:rPr>
                <w:rFonts w:ascii="Verdana" w:eastAsia="Calibri" w:hAnsi="Verdana" w:cs="Arial"/>
              </w:rPr>
              <w:t xml:space="preserve"> herramientas de planeación para procesos inclusivos, </w:t>
            </w:r>
            <w:proofErr w:type="spellStart"/>
            <w:r w:rsidR="007847CE">
              <w:rPr>
                <w:rFonts w:ascii="Verdana" w:eastAsia="Calibri" w:hAnsi="Verdana" w:cs="Arial"/>
              </w:rPr>
              <w:t>ii</w:t>
            </w:r>
            <w:proofErr w:type="spellEnd"/>
            <w:r w:rsidR="007847CE">
              <w:rPr>
                <w:rFonts w:ascii="Verdana" w:eastAsia="Calibri" w:hAnsi="Verdana" w:cs="Arial"/>
              </w:rPr>
              <w:t xml:space="preserve">) </w:t>
            </w:r>
            <w:r w:rsidRPr="00073658">
              <w:rPr>
                <w:rFonts w:ascii="Verdana" w:eastAsia="Calibri" w:hAnsi="Verdana" w:cs="Arial"/>
              </w:rPr>
              <w:t xml:space="preserve">criterios habilitantes diferenciales, </w:t>
            </w:r>
            <w:proofErr w:type="spellStart"/>
            <w:r w:rsidR="006F558C">
              <w:rPr>
                <w:rFonts w:ascii="Verdana" w:eastAsia="Calibri" w:hAnsi="Verdana" w:cs="Arial"/>
              </w:rPr>
              <w:t>iii</w:t>
            </w:r>
            <w:proofErr w:type="spellEnd"/>
            <w:r w:rsidR="006F558C">
              <w:rPr>
                <w:rFonts w:ascii="Verdana" w:eastAsia="Calibri" w:hAnsi="Verdana" w:cs="Arial"/>
              </w:rPr>
              <w:t>)</w:t>
            </w:r>
            <w:r w:rsidRPr="00073658">
              <w:rPr>
                <w:rFonts w:ascii="Verdana" w:eastAsia="Calibri" w:hAnsi="Verdana" w:cs="Arial"/>
              </w:rPr>
              <w:t xml:space="preserve"> </w:t>
            </w:r>
            <w:r w:rsidR="006F558C">
              <w:rPr>
                <w:rFonts w:ascii="Verdana" w:eastAsia="Calibri" w:hAnsi="Verdana" w:cs="Arial"/>
              </w:rPr>
              <w:t xml:space="preserve">asignación de un </w:t>
            </w:r>
            <w:r w:rsidRPr="00073658">
              <w:rPr>
                <w:rFonts w:ascii="Verdana" w:eastAsia="Calibri" w:hAnsi="Verdana" w:cs="Arial"/>
              </w:rPr>
              <w:t xml:space="preserve">puntaje adicional del </w:t>
            </w:r>
            <w:r w:rsidR="005773F3">
              <w:rPr>
                <w:rFonts w:ascii="Verdana" w:eastAsia="Calibri" w:hAnsi="Verdana" w:cs="Arial"/>
              </w:rPr>
              <w:t>dos por ciento (</w:t>
            </w:r>
            <w:r w:rsidRPr="00073658">
              <w:rPr>
                <w:rFonts w:ascii="Verdana" w:eastAsia="Calibri" w:hAnsi="Verdana" w:cs="Arial"/>
              </w:rPr>
              <w:t>2%</w:t>
            </w:r>
            <w:r w:rsidR="005773F3">
              <w:rPr>
                <w:rFonts w:ascii="Verdana" w:eastAsia="Calibri" w:hAnsi="Verdana" w:cs="Arial"/>
              </w:rPr>
              <w:t>)</w:t>
            </w:r>
            <w:r w:rsidRPr="00073658">
              <w:rPr>
                <w:rFonts w:ascii="Verdana" w:eastAsia="Calibri" w:hAnsi="Verdana" w:cs="Arial"/>
              </w:rPr>
              <w:t>,</w:t>
            </w:r>
            <w:r w:rsidR="005773F3">
              <w:rPr>
                <w:rFonts w:ascii="Verdana" w:eastAsia="Calibri" w:hAnsi="Verdana" w:cs="Arial"/>
              </w:rPr>
              <w:t xml:space="preserve"> </w:t>
            </w:r>
            <w:proofErr w:type="spellStart"/>
            <w:r w:rsidR="005773F3">
              <w:rPr>
                <w:rFonts w:ascii="Verdana" w:eastAsia="Calibri" w:hAnsi="Verdana" w:cs="Arial"/>
              </w:rPr>
              <w:t>iv</w:t>
            </w:r>
            <w:proofErr w:type="spellEnd"/>
            <w:r w:rsidR="005773F3">
              <w:rPr>
                <w:rFonts w:ascii="Verdana" w:eastAsia="Calibri" w:hAnsi="Verdana" w:cs="Arial"/>
              </w:rPr>
              <w:t>) la inclusión de</w:t>
            </w:r>
            <w:r w:rsidRPr="00073658">
              <w:rPr>
                <w:rFonts w:ascii="Verdana" w:eastAsia="Calibri" w:hAnsi="Verdana" w:cs="Arial"/>
              </w:rPr>
              <w:t xml:space="preserve"> condiciones especiales de ejecución </w:t>
            </w:r>
            <w:r w:rsidR="00F86907">
              <w:rPr>
                <w:rFonts w:ascii="Verdana" w:eastAsia="Calibri" w:hAnsi="Verdana" w:cs="Arial"/>
              </w:rPr>
              <w:t xml:space="preserve">y </w:t>
            </w:r>
            <w:proofErr w:type="spellStart"/>
            <w:r w:rsidR="00F86907">
              <w:rPr>
                <w:rFonts w:ascii="Verdana" w:eastAsia="Calibri" w:hAnsi="Verdana" w:cs="Arial"/>
              </w:rPr>
              <w:t>iv</w:t>
            </w:r>
            <w:proofErr w:type="spellEnd"/>
            <w:r w:rsidR="00F86907">
              <w:rPr>
                <w:rFonts w:ascii="Verdana" w:eastAsia="Calibri" w:hAnsi="Verdana" w:cs="Arial"/>
              </w:rPr>
              <w:t>) la</w:t>
            </w:r>
            <w:r w:rsidRPr="00073658">
              <w:rPr>
                <w:rFonts w:ascii="Verdana" w:eastAsia="Calibri" w:hAnsi="Verdana" w:cs="Arial"/>
              </w:rPr>
              <w:t xml:space="preserv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w:t>
            </w:r>
            <w:r w:rsidR="0071236F">
              <w:rPr>
                <w:rFonts w:ascii="Verdana" w:eastAsia="Calibri" w:hAnsi="Verdana" w:cs="Arial"/>
              </w:rPr>
              <w:t>,</w:t>
            </w:r>
            <w:r>
              <w:rPr>
                <w:rFonts w:ascii="Verdana" w:eastAsia="Calibri" w:hAnsi="Verdana" w:cs="Arial"/>
              </w:rPr>
              <w:t xml:space="preserve"> ya que es allí donde la compra debe plantearse con criterios de accesibilidad</w:t>
            </w:r>
            <w:r w:rsidRPr="00073658">
              <w:rPr>
                <w:rFonts w:ascii="Verdana" w:eastAsia="Calibri" w:hAnsi="Verdana" w:cs="Arial"/>
              </w:rPr>
              <w:t>.</w:t>
            </w:r>
          </w:p>
          <w:p w14:paraId="667F334A" w14:textId="77777777" w:rsidR="00111A55" w:rsidRPr="00111A55" w:rsidRDefault="00111A55" w:rsidP="00111A55">
            <w:pPr>
              <w:spacing w:after="120" w:line="276" w:lineRule="auto"/>
              <w:ind w:firstLine="709"/>
              <w:jc w:val="both"/>
              <w:rPr>
                <w:rFonts w:ascii="Verdana" w:eastAsia="Calibri" w:hAnsi="Verdana" w:cs="Arial"/>
              </w:rPr>
            </w:pPr>
            <w:r w:rsidRPr="00111A55">
              <w:rPr>
                <w:rFonts w:ascii="Verdana" w:eastAsia="Calibri" w:hAnsi="Verdana" w:cs="Arial"/>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w:t>
            </w:r>
            <w:r w:rsidRPr="00111A55">
              <w:rPr>
                <w:rFonts w:ascii="Verdana" w:eastAsia="Calibri" w:hAnsi="Verdana" w:cs="Arial"/>
              </w:rPr>
              <w:lastRenderedPageBreak/>
              <w:t>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Estos sujetos no tienen en cuenta el género, es decir si son PcD hombres o mujeres, por lo que la definición es aplicable independientemente del género de la PcD y no afecta las medidas afirmativas a aplicar. Por otra parte,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1BED4C4C" w14:textId="61E78A4B" w:rsidR="00164E23" w:rsidRPr="00073658" w:rsidRDefault="00164E23" w:rsidP="00727317">
            <w:pPr>
              <w:spacing w:before="120" w:after="120" w:line="276" w:lineRule="auto"/>
              <w:ind w:firstLine="709"/>
              <w:jc w:val="both"/>
              <w:rPr>
                <w:rFonts w:ascii="Verdana" w:eastAsia="Calibri" w:hAnsi="Verdana" w:cs="Arial"/>
              </w:rPr>
            </w:pPr>
            <w:r w:rsidRPr="00D851ED">
              <w:rPr>
                <w:rFonts w:ascii="Verdana" w:eastAsia="Calibri" w:hAnsi="Verdana" w:cs="Arial"/>
              </w:rPr>
              <w:t xml:space="preserve">La aplicación del Decreto 287 de 2026 en los procesos de contratación </w:t>
            </w:r>
            <w:r w:rsidR="008145AE">
              <w:rPr>
                <w:rFonts w:ascii="Verdana" w:eastAsia="Calibri" w:hAnsi="Verdana" w:cs="Arial"/>
              </w:rPr>
              <w:t xml:space="preserve">que se adelantan mediante la modalidad de selección abreviada </w:t>
            </w:r>
            <w:r w:rsidR="00A30FEE">
              <w:rPr>
                <w:rFonts w:ascii="Verdana" w:eastAsia="Calibri" w:hAnsi="Verdana" w:cs="Arial"/>
              </w:rPr>
              <w:t xml:space="preserve">depende de la medida del sistema de preferencias que se establece en la nueva norma, </w:t>
            </w:r>
            <w:r w:rsidR="00AB1E90">
              <w:rPr>
                <w:rFonts w:ascii="Verdana" w:eastAsia="Calibri" w:hAnsi="Verdana" w:cs="Arial"/>
              </w:rPr>
              <w:t xml:space="preserve">es decir, </w:t>
            </w:r>
            <w:r w:rsidR="00C0617C">
              <w:rPr>
                <w:rFonts w:ascii="Verdana" w:eastAsia="Calibri" w:hAnsi="Verdana" w:cs="Arial"/>
              </w:rPr>
              <w:t xml:space="preserve">las </w:t>
            </w:r>
            <w:r w:rsidR="00335ADD">
              <w:rPr>
                <w:rFonts w:ascii="Verdana" w:eastAsia="Calibri" w:hAnsi="Verdana" w:cs="Arial"/>
              </w:rPr>
              <w:t>cinco (</w:t>
            </w:r>
            <w:r w:rsidR="00C0617C">
              <w:rPr>
                <w:rFonts w:ascii="Verdana" w:eastAsia="Calibri" w:hAnsi="Verdana" w:cs="Arial"/>
              </w:rPr>
              <w:t>5</w:t>
            </w:r>
            <w:r w:rsidR="00335ADD">
              <w:rPr>
                <w:rFonts w:ascii="Verdana" w:eastAsia="Calibri" w:hAnsi="Verdana" w:cs="Arial"/>
              </w:rPr>
              <w:t>)</w:t>
            </w:r>
            <w:r w:rsidR="00E00DEA">
              <w:rPr>
                <w:rFonts w:ascii="Verdana" w:eastAsia="Calibri" w:hAnsi="Verdana" w:cs="Arial"/>
              </w:rPr>
              <w:t xml:space="preserve"> medidas antes mencionadas, ya que </w:t>
            </w:r>
            <w:r w:rsidR="00335ADD">
              <w:rPr>
                <w:rFonts w:ascii="Verdana" w:eastAsia="Calibri" w:hAnsi="Verdana" w:cs="Arial"/>
              </w:rPr>
              <w:t xml:space="preserve">en la selección abreviada son aplicables tres (3): i) herramientas de planeación, </w:t>
            </w:r>
            <w:proofErr w:type="spellStart"/>
            <w:r w:rsidR="00335ADD">
              <w:rPr>
                <w:rFonts w:ascii="Verdana" w:eastAsia="Calibri" w:hAnsi="Verdana" w:cs="Arial"/>
              </w:rPr>
              <w:t>ii</w:t>
            </w:r>
            <w:proofErr w:type="spellEnd"/>
            <w:r w:rsidR="00335ADD">
              <w:rPr>
                <w:rFonts w:ascii="Verdana" w:eastAsia="Calibri" w:hAnsi="Verdana" w:cs="Arial"/>
              </w:rPr>
              <w:t xml:space="preserve">) criterios habilitantes diferenciales y </w:t>
            </w:r>
            <w:proofErr w:type="spellStart"/>
            <w:r w:rsidR="00335ADD">
              <w:rPr>
                <w:rFonts w:ascii="Verdana" w:eastAsia="Calibri" w:hAnsi="Verdana" w:cs="Arial"/>
              </w:rPr>
              <w:t>iii</w:t>
            </w:r>
            <w:proofErr w:type="spellEnd"/>
            <w:r w:rsidR="00335ADD">
              <w:rPr>
                <w:rFonts w:ascii="Verdana" w:eastAsia="Calibri" w:hAnsi="Verdana" w:cs="Arial"/>
              </w:rPr>
              <w:t xml:space="preserve">) </w:t>
            </w:r>
            <w:r w:rsidR="006B1034">
              <w:rPr>
                <w:rFonts w:ascii="Verdana" w:eastAsia="Calibri" w:hAnsi="Verdana" w:cs="Arial"/>
              </w:rPr>
              <w:t>condiciones especiales de ejecución</w:t>
            </w:r>
            <w:r w:rsidR="00581D4B">
              <w:rPr>
                <w:rFonts w:ascii="Verdana" w:eastAsia="Calibri" w:hAnsi="Verdana" w:cs="Arial"/>
              </w:rPr>
              <w:t xml:space="preserve">, es decir, que las medidas que no aplican a la selección abreviada son el puntaje adicional, debido a que la Ley 1618 de 2013 mencionó que las modalidades son únicamente licitación pública y concurso de méritos; y tampoco es aplicable </w:t>
            </w:r>
            <w:r w:rsidR="004E53FB">
              <w:rPr>
                <w:rFonts w:ascii="Verdana" w:eastAsia="Calibri" w:hAnsi="Verdana" w:cs="Arial"/>
              </w:rPr>
              <w:t>los contratos de prestación de servicios con personas con discapacidad ya que la modalidad de estos es la contratación directa.</w:t>
            </w:r>
          </w:p>
          <w:p w14:paraId="13152445" w14:textId="77777777" w:rsidR="00A612CD" w:rsidRDefault="00A612CD" w:rsidP="00A07A6E">
            <w:pPr>
              <w:spacing w:line="276" w:lineRule="auto"/>
              <w:jc w:val="both"/>
              <w:rPr>
                <w:rFonts w:ascii="Verdana" w:eastAsia="Calibri" w:hAnsi="Verdana" w:cs="Arial"/>
              </w:rPr>
            </w:pPr>
          </w:p>
          <w:p w14:paraId="16A1EE30" w14:textId="4887DBA5" w:rsidR="00164E23" w:rsidRPr="00670CFB" w:rsidRDefault="00A612CD" w:rsidP="003606F3">
            <w:pPr>
              <w:spacing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xml:space="preserve">) </w:t>
            </w:r>
            <w:r w:rsidR="00DF1A20" w:rsidRPr="00DF1A20">
              <w:rPr>
                <w:rFonts w:ascii="Verdana" w:eastAsia="Calibri" w:hAnsi="Verdana" w:cs="Arial"/>
              </w:rPr>
              <w:t xml:space="preserve">En cuanto a la aplicación de las medidas afirmativas en entidades con régimen especial de contratación, 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PcD. En consecuencia, una entidad con régimen especial que adelante procesos competitivos está obligada a establecer criterios habilitantes diferenciales y a garantizar compras públicas accesibles, pero no está obligada a otorgar el puntaje adicional del </w:t>
            </w:r>
            <w:r w:rsidR="00DF1A20" w:rsidRPr="00DF1A20">
              <w:rPr>
                <w:rFonts w:ascii="Verdana" w:eastAsia="Calibri" w:hAnsi="Verdana" w:cs="Arial"/>
              </w:rPr>
              <w:lastRenderedPageBreak/>
              <w:t>2% ni a incluir condiciones especiales de ejecución, pues estas últimas medidas están previstas exclusivamente para el Estatuto General de Contratación Pública</w:t>
            </w:r>
            <w:r w:rsidR="003606F3">
              <w:rPr>
                <w:rFonts w:ascii="Verdana" w:eastAsia="Calibri" w:hAnsi="Verdana" w:cs="Arial"/>
              </w:rPr>
              <w:t>.</w:t>
            </w:r>
            <w:r w:rsidR="007204C2">
              <w:rPr>
                <w:rFonts w:ascii="Verdana" w:eastAsia="Calibri" w:hAnsi="Verdana" w:cs="Arial"/>
              </w:rPr>
              <w:t xml:space="preserve"> </w:t>
            </w:r>
            <w:r w:rsidR="00164E23">
              <w:rPr>
                <w:rFonts w:ascii="Verdana" w:eastAsia="Calibri" w:hAnsi="Verdana" w:cs="Arial"/>
                <w:lang w:val="es-ES" w:eastAsia="es-ES"/>
              </w:rPr>
              <w:t xml:space="preserve"> </w:t>
            </w:r>
          </w:p>
        </w:tc>
      </w:tr>
    </w:tbl>
    <w:p w14:paraId="4D51842F" w14:textId="77777777" w:rsidR="00164E23" w:rsidRPr="00206556" w:rsidRDefault="00164E23" w:rsidP="00164E23">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4B48CD99" w14:textId="295EBD49" w:rsidR="00164E23" w:rsidRPr="00206556" w:rsidRDefault="00164E23" w:rsidP="00164E2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w:t>
      </w:r>
      <w:r w:rsidR="00C764E1">
        <w:rPr>
          <w:rFonts w:ascii="Verdana" w:eastAsia="Century Gothic" w:hAnsi="Verdana" w:cs="Century Gothic"/>
          <w:b/>
          <w:lang w:val="es-ES"/>
        </w:rPr>
        <w:t>s</w:t>
      </w:r>
      <w:r w:rsidRPr="00206556">
        <w:rPr>
          <w:rFonts w:ascii="Verdana" w:eastAsia="Century Gothic" w:hAnsi="Verdana" w:cs="Century Gothic"/>
          <w:b/>
          <w:lang w:val="es-ES"/>
        </w:rPr>
        <w:t xml:space="preserve"> respuesta</w:t>
      </w:r>
      <w:r w:rsidR="00C764E1">
        <w:rPr>
          <w:rFonts w:ascii="Verdana" w:eastAsia="Century Gothic" w:hAnsi="Verdana" w:cs="Century Gothic"/>
          <w:b/>
          <w:lang w:val="es-ES"/>
        </w:rPr>
        <w:t>s</w:t>
      </w:r>
      <w:r w:rsidRPr="00206556">
        <w:rPr>
          <w:rFonts w:ascii="Verdana" w:eastAsia="Century Gothic" w:hAnsi="Verdana" w:cs="Century Gothic"/>
          <w:b/>
          <w:lang w:val="es-ES"/>
        </w:rPr>
        <w:t>:</w:t>
      </w:r>
    </w:p>
    <w:p w14:paraId="43044E35" w14:textId="77777777" w:rsidR="00164E23" w:rsidRPr="00206556" w:rsidRDefault="00164E23" w:rsidP="00164E23">
      <w:pPr>
        <w:tabs>
          <w:tab w:val="left" w:pos="142"/>
          <w:tab w:val="left" w:pos="284"/>
        </w:tabs>
        <w:spacing w:after="0" w:line="276" w:lineRule="auto"/>
        <w:jc w:val="both"/>
        <w:rPr>
          <w:rFonts w:ascii="Verdana" w:eastAsia="Century Gothic" w:hAnsi="Verdana" w:cs="Century Gothic"/>
          <w:b/>
          <w:color w:val="ED7D31" w:themeColor="accent2"/>
          <w:lang w:val="es-ES"/>
        </w:rPr>
      </w:pPr>
    </w:p>
    <w:p w14:paraId="1739291D" w14:textId="77777777" w:rsidR="00164E23" w:rsidRPr="00206556" w:rsidRDefault="00164E23" w:rsidP="00164E23">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06EAF98E" w14:textId="77777777" w:rsidR="00164E23" w:rsidRPr="00206556" w:rsidRDefault="00164E23" w:rsidP="00164E23">
      <w:pPr>
        <w:spacing w:after="0" w:line="276" w:lineRule="auto"/>
        <w:jc w:val="both"/>
        <w:rPr>
          <w:rFonts w:ascii="Verdana" w:eastAsia="Calibri" w:hAnsi="Verdana" w:cs="Arial"/>
          <w:lang w:val="es-ES"/>
        </w:rPr>
      </w:pPr>
    </w:p>
    <w:p w14:paraId="0AA4FB2A" w14:textId="4409A64F" w:rsidR="00ED72A7" w:rsidRPr="000C6B53" w:rsidRDefault="00164E23" w:rsidP="00164E23">
      <w:pPr>
        <w:spacing w:after="120" w:line="276" w:lineRule="auto"/>
        <w:jc w:val="both"/>
        <w:rPr>
          <w:rFonts w:ascii="Verdana" w:eastAsia="Calibri" w:hAnsi="Verdana" w:cs="Arial"/>
        </w:rPr>
      </w:pPr>
      <w:r w:rsidRPr="000C6B53">
        <w:rPr>
          <w:rFonts w:ascii="Verdana" w:eastAsia="Calibri" w:hAnsi="Verdana" w:cs="Arial"/>
          <w:lang w:val="es-ES"/>
        </w:rPr>
        <w:t xml:space="preserve">(i) </w:t>
      </w:r>
      <w:r w:rsidRPr="000C6B53">
        <w:rPr>
          <w:rFonts w:ascii="Verdana" w:eastAsia="Calibri" w:hAnsi="Verdana" w:cs="Arial"/>
        </w:rPr>
        <w:t>Para resolver el problema jurídico planteado, esta Agencia considera necesario partir de</w:t>
      </w:r>
      <w:r w:rsidR="005E53B6" w:rsidRPr="000C6B53">
        <w:rPr>
          <w:rFonts w:ascii="Verdana" w:eastAsia="Calibri" w:hAnsi="Verdana" w:cs="Arial"/>
        </w:rPr>
        <w:t xml:space="preserve">l análisis </w:t>
      </w:r>
      <w:r w:rsidRPr="000C6B53">
        <w:rPr>
          <w:rFonts w:ascii="Verdana" w:eastAsia="Calibri" w:hAnsi="Verdana" w:cs="Arial"/>
        </w:rPr>
        <w:t xml:space="preserve">de los antecedentes normativos que explican el origen, la finalidad y el alcance del Sistema Integral de Preferencias establecido por el Decreto 0287 de 2026, </w:t>
      </w:r>
      <w:r w:rsidR="009724CD" w:rsidRPr="000C6B53">
        <w:rPr>
          <w:rFonts w:ascii="Verdana" w:eastAsia="Calibri" w:hAnsi="Verdana" w:cs="Arial"/>
        </w:rPr>
        <w:t xml:space="preserve">en la medida </w:t>
      </w:r>
      <w:r w:rsidR="00B157DF" w:rsidRPr="000C6B53">
        <w:rPr>
          <w:rFonts w:ascii="Verdana" w:eastAsia="Calibri" w:hAnsi="Verdana" w:cs="Arial"/>
        </w:rPr>
        <w:t xml:space="preserve">en </w:t>
      </w:r>
      <w:r w:rsidR="009724CD" w:rsidRPr="000C6B53">
        <w:rPr>
          <w:rFonts w:ascii="Verdana" w:eastAsia="Calibri" w:hAnsi="Verdana" w:cs="Arial"/>
        </w:rPr>
        <w:t xml:space="preserve">que </w:t>
      </w:r>
      <w:r w:rsidRPr="000C6B53">
        <w:rPr>
          <w:rFonts w:ascii="Verdana" w:eastAsia="Calibri" w:hAnsi="Verdana" w:cs="Arial"/>
        </w:rPr>
        <w:t xml:space="preserve">solo a partir de ese contexto es posible comprender las obligaciones concretas que dicho decreto impone a las entidades estatales y a los demás partícipes de la contratación pública. </w:t>
      </w:r>
    </w:p>
    <w:p w14:paraId="243250AB" w14:textId="71389623" w:rsidR="00DB55D1" w:rsidRPr="000C6B53" w:rsidRDefault="00164E23" w:rsidP="00505D00">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 xml:space="preserve">El fundamento </w:t>
      </w:r>
      <w:r w:rsidR="001C3294" w:rsidRPr="000C6B53">
        <w:rPr>
          <w:rFonts w:ascii="Verdana" w:eastAsia="Times New Roman" w:hAnsi="Verdana" w:cs="Times New Roman"/>
        </w:rPr>
        <w:t xml:space="preserve">constitucional </w:t>
      </w:r>
      <w:r w:rsidRPr="000C6B53">
        <w:rPr>
          <w:rFonts w:ascii="Verdana" w:eastAsia="Times New Roman" w:hAnsi="Verdana" w:cs="Times New Roman"/>
        </w:rPr>
        <w:t xml:space="preserve">del Sistema de Preferencias </w:t>
      </w:r>
      <w:r w:rsidR="00691BB4" w:rsidRPr="000C6B53">
        <w:rPr>
          <w:rFonts w:ascii="Verdana" w:eastAsia="Times New Roman" w:hAnsi="Verdana" w:cs="Times New Roman"/>
        </w:rPr>
        <w:t xml:space="preserve">en favor de las </w:t>
      </w:r>
      <w:r w:rsidRPr="000C6B53">
        <w:rPr>
          <w:rFonts w:ascii="Verdana" w:eastAsia="Times New Roman" w:hAnsi="Verdana" w:cs="Times New Roman"/>
        </w:rPr>
        <w:t xml:space="preserve">PcD en la contratación pública </w:t>
      </w:r>
      <w:r w:rsidR="00157128" w:rsidRPr="000C6B53">
        <w:rPr>
          <w:rFonts w:ascii="Verdana" w:eastAsia="Times New Roman" w:hAnsi="Verdana" w:cs="Times New Roman"/>
        </w:rPr>
        <w:t xml:space="preserve">se encuentra en </w:t>
      </w:r>
      <w:r w:rsidRPr="000C6B53">
        <w:rPr>
          <w:rFonts w:ascii="Verdana" w:eastAsia="Times New Roman" w:hAnsi="Verdana" w:cs="Times New Roman"/>
        </w:rPr>
        <w:t xml:space="preserve">el principio de igualdad </w:t>
      </w:r>
      <w:r w:rsidR="00C8303C" w:rsidRPr="000C6B53">
        <w:rPr>
          <w:rFonts w:ascii="Verdana" w:eastAsia="Times New Roman" w:hAnsi="Verdana" w:cs="Times New Roman"/>
        </w:rPr>
        <w:t xml:space="preserve">material o </w:t>
      </w:r>
      <w:r w:rsidRPr="000C6B53">
        <w:rPr>
          <w:rFonts w:ascii="Verdana" w:eastAsia="Times New Roman" w:hAnsi="Verdana" w:cs="Times New Roman"/>
        </w:rPr>
        <w:t>real y efectiva consagrado en el artículo 13 de la Constitución Política de 1991</w:t>
      </w:r>
      <w:r w:rsidRPr="000C6B53">
        <w:rPr>
          <w:rStyle w:val="Refdenotaalpie"/>
          <w:rFonts w:ascii="Verdana" w:eastAsia="Times New Roman" w:hAnsi="Verdana" w:cs="Times New Roman"/>
        </w:rPr>
        <w:footnoteReference w:id="1"/>
      </w:r>
      <w:r w:rsidRPr="000C6B53">
        <w:rPr>
          <w:rFonts w:ascii="Verdana" w:eastAsia="Times New Roman" w:hAnsi="Verdana" w:cs="Times New Roman"/>
        </w:rPr>
        <w:t xml:space="preserve">, </w:t>
      </w:r>
      <w:r w:rsidR="0018583C" w:rsidRPr="000C6B53">
        <w:rPr>
          <w:rFonts w:ascii="Verdana" w:eastAsia="Times New Roman" w:hAnsi="Verdana" w:cs="Times New Roman"/>
        </w:rPr>
        <w:t xml:space="preserve">el cual le </w:t>
      </w:r>
      <w:r w:rsidRPr="000C6B53">
        <w:rPr>
          <w:rFonts w:ascii="Verdana" w:eastAsia="Times New Roman" w:hAnsi="Verdana" w:cs="Times New Roman"/>
        </w:rPr>
        <w:t xml:space="preserve">impone al Estado el deber positivo de adoptar </w:t>
      </w:r>
      <w:r w:rsidRPr="000C6B53">
        <w:rPr>
          <w:rFonts w:ascii="Verdana" w:eastAsia="Times New Roman" w:hAnsi="Verdana" w:cs="Times New Roman"/>
          <w:i/>
          <w:iCs/>
        </w:rPr>
        <w:t>acciones afirmativas</w:t>
      </w:r>
      <w:r w:rsidRPr="000C6B53">
        <w:rPr>
          <w:rFonts w:ascii="Verdana" w:eastAsia="Times New Roman" w:hAnsi="Verdana" w:cs="Times New Roman"/>
        </w:rPr>
        <w:t xml:space="preserve"> en favor de grupos históricamente excluidos</w:t>
      </w:r>
      <w:r w:rsidR="0018583C" w:rsidRPr="000C6B53">
        <w:rPr>
          <w:rFonts w:ascii="Verdana" w:eastAsia="Times New Roman" w:hAnsi="Verdana" w:cs="Times New Roman"/>
        </w:rPr>
        <w:t xml:space="preserve">, dirigidas a </w:t>
      </w:r>
      <w:r w:rsidR="00CE4D68" w:rsidRPr="000C6B53">
        <w:rPr>
          <w:rFonts w:ascii="Verdana" w:eastAsia="Times New Roman" w:hAnsi="Verdana" w:cs="Times New Roman"/>
        </w:rPr>
        <w:t>corregir situaciones de discriminación estructural que los afectan</w:t>
      </w:r>
      <w:r w:rsidRPr="000C6B53">
        <w:rPr>
          <w:rFonts w:ascii="Verdana" w:eastAsia="Times New Roman" w:hAnsi="Verdana" w:cs="Times New Roman"/>
        </w:rPr>
        <w:t xml:space="preserve">. </w:t>
      </w:r>
      <w:r w:rsidR="00CE4D68" w:rsidRPr="000C6B53">
        <w:rPr>
          <w:rFonts w:ascii="Verdana" w:eastAsia="Times New Roman" w:hAnsi="Verdana" w:cs="Times New Roman"/>
        </w:rPr>
        <w:t>En desarrollo de este mandato, la</w:t>
      </w:r>
      <w:r w:rsidRPr="000C6B53">
        <w:rPr>
          <w:rFonts w:ascii="Verdana" w:eastAsia="Times New Roman" w:hAnsi="Verdana" w:cs="Times New Roman"/>
        </w:rPr>
        <w:t xml:space="preserve"> Corte Constitucional ha sostenido que tales medidas buscan contrarrestar los efectos de la discriminación y que el Estado puede establecer tratamientos diferenciales a favor de estos grupos en aras de lograr una igualdad real y efectiva. </w:t>
      </w:r>
    </w:p>
    <w:p w14:paraId="7F748304" w14:textId="22E4ABD6" w:rsidR="00164E23" w:rsidRPr="000C6B53" w:rsidRDefault="00DB55D1" w:rsidP="00A07A6E">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A su vez, l</w:t>
      </w:r>
      <w:r w:rsidR="00164E23" w:rsidRPr="000C6B53">
        <w:rPr>
          <w:rFonts w:ascii="Verdana" w:eastAsia="Times New Roman" w:hAnsi="Verdana" w:cs="Times New Roman"/>
        </w:rPr>
        <w:t>os artículos 47 y 54 de la Carta Política refuerzan este mandato al ordenar políticas de integración social y ubicación laboral para las PcD</w:t>
      </w:r>
      <w:r w:rsidR="00164E23" w:rsidRPr="000C6B53">
        <w:rPr>
          <w:rStyle w:val="Refdenotaalpie"/>
          <w:rFonts w:ascii="Verdana" w:eastAsia="Times New Roman" w:hAnsi="Verdana" w:cs="Times New Roman"/>
        </w:rPr>
        <w:footnoteReference w:id="2"/>
      </w:r>
      <w:r w:rsidR="00164E23" w:rsidRPr="000C6B53">
        <w:rPr>
          <w:rFonts w:ascii="Verdana" w:eastAsia="Times New Roman" w:hAnsi="Verdana" w:cs="Times New Roman"/>
        </w:rPr>
        <w:t>.</w:t>
      </w:r>
    </w:p>
    <w:p w14:paraId="33D326C4" w14:textId="5C0197B3" w:rsidR="00164E23" w:rsidRPr="000C6B53" w:rsidRDefault="00164E23" w:rsidP="00164E23">
      <w:pPr>
        <w:spacing w:after="120" w:line="276" w:lineRule="auto"/>
        <w:ind w:firstLine="708"/>
        <w:jc w:val="both"/>
        <w:rPr>
          <w:rFonts w:ascii="Verdana" w:hAnsi="Verdana"/>
        </w:rPr>
      </w:pPr>
      <w:r w:rsidRPr="000C6B53">
        <w:rPr>
          <w:rFonts w:ascii="Verdana" w:eastAsia="Times New Roman" w:hAnsi="Verdana" w:cs="Times New Roman"/>
        </w:rPr>
        <w:t xml:space="preserve">En el plano internacional, Colombia es Estado Parte de </w:t>
      </w:r>
      <w:r w:rsidR="00126041" w:rsidRPr="000C6B53">
        <w:rPr>
          <w:rFonts w:ascii="Verdana" w:eastAsia="Times New Roman" w:hAnsi="Verdana" w:cs="Times New Roman"/>
        </w:rPr>
        <w:t>diversos</w:t>
      </w:r>
      <w:r w:rsidRPr="000C6B53">
        <w:rPr>
          <w:rFonts w:ascii="Verdana" w:eastAsia="Times New Roman" w:hAnsi="Verdana" w:cs="Times New Roman"/>
        </w:rPr>
        <w:t xml:space="preserve"> instrumentos que conforman el Bloque de Constitucionalidad en </w:t>
      </w:r>
      <w:r w:rsidR="00125336" w:rsidRPr="000C6B53">
        <w:rPr>
          <w:rFonts w:ascii="Verdana" w:eastAsia="Times New Roman" w:hAnsi="Verdana" w:cs="Times New Roman"/>
        </w:rPr>
        <w:t xml:space="preserve">los términos </w:t>
      </w:r>
      <w:r w:rsidRPr="000C6B53">
        <w:rPr>
          <w:rFonts w:ascii="Verdana" w:eastAsia="Times New Roman" w:hAnsi="Verdana" w:cs="Times New Roman"/>
        </w:rPr>
        <w:t xml:space="preserve">del artículo 93 superior. </w:t>
      </w:r>
      <w:r w:rsidR="00125336" w:rsidRPr="000C6B53">
        <w:rPr>
          <w:rFonts w:ascii="Verdana" w:eastAsia="Times New Roman" w:hAnsi="Verdana" w:cs="Times New Roman"/>
        </w:rPr>
        <w:t>En particular, l</w:t>
      </w:r>
      <w:r w:rsidRPr="000C6B53">
        <w:rPr>
          <w:rFonts w:ascii="Verdana" w:eastAsia="Times New Roman" w:hAnsi="Verdana" w:cs="Times New Roman"/>
        </w:rPr>
        <w:t xml:space="preserve">a Convención sobre los Derechos de las </w:t>
      </w:r>
      <w:r w:rsidRPr="000C6B53">
        <w:rPr>
          <w:rFonts w:ascii="Verdana" w:eastAsia="Times New Roman" w:hAnsi="Verdana" w:cs="Times New Roman"/>
        </w:rPr>
        <w:lastRenderedPageBreak/>
        <w:t>Personas con Discapacidad de la ONU</w:t>
      </w:r>
      <w:r w:rsidRPr="000C6B53">
        <w:rPr>
          <w:rStyle w:val="Refdenotaalpie"/>
          <w:rFonts w:ascii="Verdana" w:eastAsia="Times New Roman" w:hAnsi="Verdana" w:cs="Times New Roman"/>
        </w:rPr>
        <w:footnoteReference w:id="3"/>
      </w:r>
      <w:r w:rsidRPr="000C6B53">
        <w:rPr>
          <w:rFonts w:ascii="Verdana" w:eastAsia="Times New Roman" w:hAnsi="Verdana" w:cs="Times New Roman"/>
        </w:rPr>
        <w:t xml:space="preserve"> reconoce el derecho de las PcD a trabajar en igualdad de condiciones y exige programas de acción afirmativa. </w:t>
      </w:r>
      <w:r w:rsidR="00A6494C" w:rsidRPr="000C6B53">
        <w:rPr>
          <w:rFonts w:ascii="Verdana" w:eastAsia="Times New Roman" w:hAnsi="Verdana" w:cs="Times New Roman"/>
        </w:rPr>
        <w:t>De igual forma, l</w:t>
      </w:r>
      <w:r w:rsidRPr="000C6B53">
        <w:rPr>
          <w:rFonts w:ascii="Verdana" w:eastAsia="Times New Roman" w:hAnsi="Verdana" w:cs="Times New Roman"/>
        </w:rPr>
        <w:t>a Convención Interamericana para la Eliminación de todas las Formas de Discriminación</w:t>
      </w:r>
      <w:r w:rsidRPr="000C6B53">
        <w:rPr>
          <w:rStyle w:val="Refdenotaalpie"/>
          <w:rFonts w:ascii="Verdana" w:eastAsia="Times New Roman" w:hAnsi="Verdana" w:cs="Times New Roman"/>
        </w:rPr>
        <w:footnoteReference w:id="4"/>
      </w:r>
      <w:r w:rsidRPr="000C6B53">
        <w:rPr>
          <w:rFonts w:ascii="Verdana" w:eastAsia="Times New Roman" w:hAnsi="Verdana" w:cs="Times New Roman"/>
        </w:rPr>
        <w:t xml:space="preserve"> ordena eliminar progresivamente la discriminación en la prestación de servicios, incluido el empleo. </w:t>
      </w:r>
      <w:r w:rsidR="00A6494C" w:rsidRPr="000C6B53">
        <w:rPr>
          <w:rFonts w:ascii="Verdana" w:eastAsia="Times New Roman" w:hAnsi="Verdana" w:cs="Times New Roman"/>
        </w:rPr>
        <w:t>Finalmente, e</w:t>
      </w:r>
      <w:r w:rsidRPr="000C6B53">
        <w:rPr>
          <w:rFonts w:ascii="Verdana" w:eastAsia="Times New Roman" w:hAnsi="Verdana" w:cs="Times New Roman"/>
        </w:rPr>
        <w:t>l Convenio 159 de la OIT</w:t>
      </w:r>
      <w:r w:rsidRPr="000C6B53">
        <w:rPr>
          <w:rStyle w:val="Refdenotaalpie"/>
          <w:rFonts w:ascii="Verdana" w:eastAsia="Times New Roman" w:hAnsi="Verdana" w:cs="Times New Roman"/>
        </w:rPr>
        <w:footnoteReference w:id="5"/>
      </w:r>
      <w:r w:rsidRPr="000C6B53">
        <w:rPr>
          <w:rFonts w:ascii="Verdana" w:eastAsia="Times New Roman" w:hAnsi="Verdana" w:cs="Times New Roman"/>
        </w:rPr>
        <w:t xml:space="preserve"> exige medidas orientadas a garantizar la igualdad de oportunidades de todas las categorías de PcD en materia de empleo.</w:t>
      </w:r>
    </w:p>
    <w:p w14:paraId="4682FFD9" w14:textId="7831A976" w:rsidR="00164E23" w:rsidRPr="000C6B53" w:rsidRDefault="00164E23" w:rsidP="00164E23">
      <w:pPr>
        <w:spacing w:after="120" w:line="276" w:lineRule="auto"/>
        <w:jc w:val="both"/>
        <w:rPr>
          <w:rFonts w:ascii="Verdana" w:hAnsi="Verdana"/>
        </w:rPr>
      </w:pPr>
      <w:r w:rsidRPr="000C6B53">
        <w:rPr>
          <w:rFonts w:ascii="Verdana" w:eastAsia="Times New Roman" w:hAnsi="Verdana" w:cs="Times New Roman"/>
          <w:b/>
          <w:bCs/>
        </w:rPr>
        <w:t xml:space="preserve">       </w:t>
      </w:r>
      <w:r w:rsidR="00C7016F" w:rsidRPr="000C6B53">
        <w:rPr>
          <w:rFonts w:ascii="Verdana" w:eastAsia="Times New Roman" w:hAnsi="Verdana" w:cs="Times New Roman"/>
        </w:rPr>
        <w:t>En desarrollo de estos mandatos, con rango constitucional,</w:t>
      </w:r>
      <w:r w:rsidRPr="000C6B53">
        <w:rPr>
          <w:rFonts w:ascii="Verdana" w:eastAsia="Times New Roman" w:hAnsi="Verdana" w:cs="Times New Roman"/>
          <w:b/>
          <w:bCs/>
        </w:rPr>
        <w:t xml:space="preserve"> </w:t>
      </w:r>
      <w:r w:rsidR="00C7016F" w:rsidRPr="000C6B53">
        <w:rPr>
          <w:rFonts w:ascii="Verdana" w:eastAsia="Times New Roman" w:hAnsi="Verdana" w:cs="Times New Roman"/>
        </w:rPr>
        <w:t>l</w:t>
      </w:r>
      <w:r w:rsidRPr="000C6B53">
        <w:rPr>
          <w:rFonts w:ascii="Verdana" w:eastAsia="Times New Roman" w:hAnsi="Verdana" w:cs="Times New Roman"/>
        </w:rPr>
        <w:t xml:space="preserve">a Ley 361 de 1997 estableció los primeros mecanismos de integración social de las PcD. Su artículo 24 introdujo una preferencia en igualdad de condiciones en licitaciones y adjudicaciones de contratos </w:t>
      </w:r>
      <w:r w:rsidR="000F7E9F" w:rsidRPr="000C6B53">
        <w:rPr>
          <w:rFonts w:ascii="Verdana" w:eastAsia="Times New Roman" w:hAnsi="Verdana" w:cs="Times New Roman"/>
        </w:rPr>
        <w:t>estatales</w:t>
      </w:r>
      <w:r w:rsidRPr="000C6B53">
        <w:rPr>
          <w:rFonts w:ascii="Verdana" w:eastAsia="Times New Roman" w:hAnsi="Verdana" w:cs="Times New Roman"/>
        </w:rPr>
        <w:t xml:space="preserve"> para </w:t>
      </w:r>
      <w:r w:rsidR="000F7E9F" w:rsidRPr="000C6B53">
        <w:rPr>
          <w:rFonts w:ascii="Verdana" w:eastAsia="Times New Roman" w:hAnsi="Verdana" w:cs="Times New Roman"/>
        </w:rPr>
        <w:t>aquel</w:t>
      </w:r>
      <w:r w:rsidRPr="000C6B53">
        <w:rPr>
          <w:rFonts w:ascii="Verdana" w:eastAsia="Times New Roman" w:hAnsi="Verdana" w:cs="Times New Roman"/>
        </w:rPr>
        <w:t xml:space="preserve">los empleadores que tuvieran al menos el </w:t>
      </w:r>
      <w:r w:rsidR="006D3C49" w:rsidRPr="000C6B53">
        <w:rPr>
          <w:rFonts w:ascii="Verdana" w:eastAsia="Times New Roman" w:hAnsi="Verdana" w:cs="Times New Roman"/>
        </w:rPr>
        <w:t>diez por ciento (</w:t>
      </w:r>
      <w:r w:rsidRPr="000C6B53">
        <w:rPr>
          <w:rFonts w:ascii="Verdana" w:eastAsia="Times New Roman" w:hAnsi="Verdana" w:cs="Times New Roman"/>
        </w:rPr>
        <w:t>10%</w:t>
      </w:r>
      <w:r w:rsidR="006D3C49" w:rsidRPr="000C6B53">
        <w:rPr>
          <w:rFonts w:ascii="Verdana" w:eastAsia="Times New Roman" w:hAnsi="Verdana" w:cs="Times New Roman"/>
        </w:rPr>
        <w:t>)</w:t>
      </w:r>
      <w:r w:rsidRPr="000C6B53">
        <w:rPr>
          <w:rFonts w:ascii="Verdana" w:eastAsia="Times New Roman" w:hAnsi="Verdana" w:cs="Times New Roman"/>
        </w:rPr>
        <w:t xml:space="preserve"> de su nómina compuesta por PcD</w:t>
      </w:r>
      <w:r w:rsidRPr="000C6B53">
        <w:rPr>
          <w:rStyle w:val="Refdenotaalpie"/>
          <w:rFonts w:ascii="Verdana" w:eastAsia="Times New Roman" w:hAnsi="Verdana" w:cs="Times New Roman"/>
        </w:rPr>
        <w:footnoteReference w:id="6"/>
      </w:r>
      <w:r w:rsidRPr="000C6B53">
        <w:rPr>
          <w:rFonts w:ascii="Verdana" w:eastAsia="Times New Roman" w:hAnsi="Verdana" w:cs="Times New Roman"/>
        </w:rPr>
        <w:t>. Esta norma vinculó por primera vez la contratación pública con la inclusión laboral de las PcD, pero su alcance era limitado</w:t>
      </w:r>
      <w:r w:rsidR="00526A2A" w:rsidRPr="000C6B53">
        <w:rPr>
          <w:rFonts w:ascii="Verdana" w:eastAsia="Times New Roman" w:hAnsi="Verdana" w:cs="Times New Roman"/>
        </w:rPr>
        <w:t xml:space="preserve"> en la medida que se trataba de</w:t>
      </w:r>
      <w:r w:rsidRPr="000C6B53">
        <w:rPr>
          <w:rFonts w:ascii="Verdana" w:eastAsia="Times New Roman" w:hAnsi="Verdana" w:cs="Times New Roman"/>
        </w:rPr>
        <w:t xml:space="preserve"> una preferencia residual aplicable solo en caso de empate</w:t>
      </w:r>
      <w:r w:rsidR="00335C0D" w:rsidRPr="000C6B53">
        <w:rPr>
          <w:rFonts w:ascii="Verdana" w:eastAsia="Times New Roman" w:hAnsi="Verdana" w:cs="Times New Roman"/>
        </w:rPr>
        <w:t xml:space="preserve"> y</w:t>
      </w:r>
      <w:r w:rsidRPr="000C6B53">
        <w:rPr>
          <w:rFonts w:ascii="Verdana" w:eastAsia="Times New Roman" w:hAnsi="Verdana" w:cs="Times New Roman"/>
        </w:rPr>
        <w:t xml:space="preserve"> que beneficiaba únicamente a los empleadores de PcD sin considerar a las propias PcD como proponentes </w:t>
      </w:r>
      <w:r w:rsidR="00335C0D" w:rsidRPr="000C6B53">
        <w:rPr>
          <w:rFonts w:ascii="Verdana" w:eastAsia="Times New Roman" w:hAnsi="Verdana" w:cs="Times New Roman"/>
        </w:rPr>
        <w:t xml:space="preserve">o contratistas </w:t>
      </w:r>
      <w:r w:rsidRPr="000C6B53">
        <w:rPr>
          <w:rFonts w:ascii="Verdana" w:eastAsia="Times New Roman" w:hAnsi="Verdana" w:cs="Times New Roman"/>
        </w:rPr>
        <w:t>directos.</w:t>
      </w:r>
    </w:p>
    <w:p w14:paraId="2A9E0F16" w14:textId="48DF2EA7" w:rsidR="00164E23" w:rsidRPr="000C6B53" w:rsidRDefault="00164E23" w:rsidP="00164E23">
      <w:pPr>
        <w:spacing w:after="120" w:line="276" w:lineRule="auto"/>
        <w:jc w:val="both"/>
        <w:rPr>
          <w:rFonts w:ascii="Verdana" w:hAnsi="Verdana"/>
        </w:rPr>
      </w:pPr>
      <w:r w:rsidRPr="000C6B53">
        <w:rPr>
          <w:rFonts w:ascii="Verdana" w:eastAsia="Times New Roman" w:hAnsi="Verdana" w:cs="Times New Roman"/>
          <w:b/>
          <w:bCs/>
        </w:rPr>
        <w:t xml:space="preserve">       </w:t>
      </w:r>
      <w:r w:rsidR="00E40AC1" w:rsidRPr="000C6B53">
        <w:rPr>
          <w:rFonts w:ascii="Verdana" w:eastAsia="Times New Roman" w:hAnsi="Verdana" w:cs="Times New Roman"/>
        </w:rPr>
        <w:t>Posteriormente</w:t>
      </w:r>
      <w:r w:rsidR="006533ED" w:rsidRPr="000C6B53">
        <w:rPr>
          <w:rFonts w:ascii="Verdana" w:eastAsia="Times New Roman" w:hAnsi="Verdana" w:cs="Times New Roman"/>
        </w:rPr>
        <w:t>, la</w:t>
      </w:r>
      <w:r w:rsidRPr="000C6B53">
        <w:rPr>
          <w:rFonts w:ascii="Verdana" w:eastAsia="Times New Roman" w:hAnsi="Verdana" w:cs="Times New Roman"/>
        </w:rPr>
        <w:t xml:space="preserve"> Ley Estatutaria 1618 de 2013 representó un </w:t>
      </w:r>
      <w:r w:rsidR="00CB64D7" w:rsidRPr="000C6B53">
        <w:rPr>
          <w:rFonts w:ascii="Verdana" w:eastAsia="Times New Roman" w:hAnsi="Verdana" w:cs="Times New Roman"/>
        </w:rPr>
        <w:t xml:space="preserve">avance sustancial </w:t>
      </w:r>
      <w:r w:rsidRPr="000C6B53">
        <w:rPr>
          <w:rFonts w:ascii="Verdana" w:eastAsia="Times New Roman" w:hAnsi="Verdana" w:cs="Times New Roman"/>
        </w:rPr>
        <w:t>en el marco jurídico de protección de las PcD, al definir</w:t>
      </w:r>
      <w:r w:rsidR="00FE647A" w:rsidRPr="000C6B53">
        <w:rPr>
          <w:rFonts w:ascii="Verdana" w:eastAsia="Times New Roman" w:hAnsi="Verdana" w:cs="Times New Roman"/>
        </w:rPr>
        <w:t>l</w:t>
      </w:r>
      <w:r w:rsidRPr="000C6B53">
        <w:rPr>
          <w:rFonts w:ascii="Verdana" w:eastAsia="Times New Roman" w:hAnsi="Verdana" w:cs="Times New Roman"/>
        </w:rPr>
        <w:t xml:space="preserve">as como </w:t>
      </w:r>
      <w:r w:rsidRPr="000C6B53">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0C6B53">
        <w:rPr>
          <w:rStyle w:val="Refdenotaalpie"/>
          <w:rFonts w:ascii="Verdana" w:eastAsia="Times New Roman" w:hAnsi="Verdana" w:cs="Times New Roman"/>
          <w:i/>
          <w:iCs/>
        </w:rPr>
        <w:footnoteReference w:id="7"/>
      </w:r>
      <w:r w:rsidRPr="000C6B53">
        <w:rPr>
          <w:rFonts w:ascii="Verdana" w:eastAsia="Times New Roman" w:hAnsi="Verdana" w:cs="Times New Roman"/>
          <w:i/>
          <w:iCs/>
        </w:rPr>
        <w:t>.</w:t>
      </w:r>
      <w:r w:rsidRPr="000C6B53">
        <w:rPr>
          <w:rFonts w:ascii="Verdana" w:eastAsia="Times New Roman" w:hAnsi="Verdana" w:cs="Times New Roman"/>
        </w:rPr>
        <w:t xml:space="preserve"> </w:t>
      </w:r>
      <w:r w:rsidR="0018359A" w:rsidRPr="000C6B53">
        <w:rPr>
          <w:rFonts w:ascii="Verdana" w:eastAsia="Times New Roman" w:hAnsi="Verdana" w:cs="Times New Roman"/>
        </w:rPr>
        <w:t>En s</w:t>
      </w:r>
      <w:r w:rsidRPr="000C6B53">
        <w:rPr>
          <w:rFonts w:ascii="Verdana" w:eastAsia="Times New Roman" w:hAnsi="Verdana" w:cs="Times New Roman"/>
        </w:rPr>
        <w:t xml:space="preserve">u artículo 13, </w:t>
      </w:r>
      <w:r w:rsidRPr="000C6B53">
        <w:rPr>
          <w:rFonts w:ascii="Verdana" w:eastAsia="Times New Roman" w:hAnsi="Verdana" w:cs="Times New Roman"/>
        </w:rPr>
        <w:lastRenderedPageBreak/>
        <w:t xml:space="preserve">numerales 1, 7 y 8, ordenó al Gobierno Nacional reglamentar: </w:t>
      </w:r>
      <w:r w:rsidR="0032703F" w:rsidRPr="000C6B53">
        <w:rPr>
          <w:rFonts w:ascii="Verdana" w:eastAsia="Times New Roman" w:hAnsi="Verdana" w:cs="Times New Roman"/>
        </w:rPr>
        <w:t xml:space="preserve">i) </w:t>
      </w:r>
      <w:r w:rsidRPr="000C6B53">
        <w:rPr>
          <w:rFonts w:ascii="Verdana" w:eastAsia="Times New Roman" w:hAnsi="Verdana" w:cs="Times New Roman"/>
        </w:rPr>
        <w:t xml:space="preserve">una puntuación adicional en licitación pública, concurso de méritos y contratación directa para empresas que vinculen PcD y para empresas de PcD; </w:t>
      </w:r>
      <w:proofErr w:type="spellStart"/>
      <w:r w:rsidR="0032703F" w:rsidRPr="000C6B53">
        <w:rPr>
          <w:rFonts w:ascii="Verdana" w:eastAsia="Times New Roman" w:hAnsi="Verdana" w:cs="Times New Roman"/>
        </w:rPr>
        <w:t>ii</w:t>
      </w:r>
      <w:proofErr w:type="spellEnd"/>
      <w:r w:rsidR="0032703F" w:rsidRPr="000C6B53">
        <w:rPr>
          <w:rFonts w:ascii="Verdana" w:eastAsia="Times New Roman" w:hAnsi="Verdana" w:cs="Times New Roman"/>
        </w:rPr>
        <w:t>)</w:t>
      </w:r>
      <w:r w:rsidRPr="000C6B53">
        <w:rPr>
          <w:rFonts w:ascii="Verdana" w:eastAsia="Times New Roman" w:hAnsi="Verdana" w:cs="Times New Roman"/>
        </w:rPr>
        <w:t xml:space="preserve"> un sistema de preferencias para empleadores de PcD en la adjudicación; y </w:t>
      </w:r>
      <w:proofErr w:type="spellStart"/>
      <w:r w:rsidR="0032703F" w:rsidRPr="000C6B53">
        <w:rPr>
          <w:rFonts w:ascii="Verdana" w:eastAsia="Times New Roman" w:hAnsi="Verdana" w:cs="Times New Roman"/>
        </w:rPr>
        <w:t>iii</w:t>
      </w:r>
      <w:proofErr w:type="spellEnd"/>
      <w:r w:rsidR="0032703F" w:rsidRPr="000C6B53">
        <w:rPr>
          <w:rFonts w:ascii="Verdana" w:eastAsia="Times New Roman" w:hAnsi="Verdana" w:cs="Times New Roman"/>
        </w:rPr>
        <w:t xml:space="preserve">) </w:t>
      </w:r>
      <w:r w:rsidRPr="000C6B53">
        <w:rPr>
          <w:rFonts w:ascii="Verdana" w:eastAsia="Times New Roman" w:hAnsi="Verdana" w:cs="Times New Roman"/>
          <w:i/>
        </w:rPr>
        <w:t>un sistema de preferencias en favor de las propias PcD como contratistas</w:t>
      </w:r>
      <w:r w:rsidRPr="000C6B53">
        <w:rPr>
          <w:rStyle w:val="Refdenotaalpie"/>
          <w:rFonts w:ascii="Verdana" w:eastAsia="Times New Roman" w:hAnsi="Verdana" w:cs="Times New Roman"/>
        </w:rPr>
        <w:footnoteReference w:id="8"/>
      </w:r>
      <w:r w:rsidRPr="000C6B53">
        <w:rPr>
          <w:rFonts w:ascii="Verdana" w:eastAsia="Times New Roman" w:hAnsi="Verdana" w:cs="Times New Roman"/>
        </w:rPr>
        <w:t xml:space="preserve">. Este último mandato fue especialmente significativo porque introdujo el concepto de </w:t>
      </w:r>
      <w:r w:rsidRPr="000C6B53">
        <w:rPr>
          <w:rFonts w:ascii="Verdana" w:eastAsia="Times New Roman" w:hAnsi="Verdana" w:cs="Times New Roman"/>
          <w:i/>
          <w:iCs/>
        </w:rPr>
        <w:t>"sistema de preferencias"</w:t>
      </w:r>
      <w:r w:rsidRPr="000C6B53">
        <w:rPr>
          <w:rFonts w:ascii="Verdana" w:eastAsia="Times New Roman" w:hAnsi="Verdana" w:cs="Times New Roman"/>
        </w:rPr>
        <w:t>, que por definición no puede reducirse a una sola medida</w:t>
      </w:r>
      <w:r w:rsidR="007450CC" w:rsidRPr="000C6B53">
        <w:rPr>
          <w:rFonts w:ascii="Verdana" w:eastAsia="Times New Roman" w:hAnsi="Verdana" w:cs="Times New Roman"/>
        </w:rPr>
        <w:t>,</w:t>
      </w:r>
      <w:r w:rsidRPr="000C6B53">
        <w:rPr>
          <w:rFonts w:ascii="Verdana" w:eastAsia="Times New Roman" w:hAnsi="Verdana" w:cs="Times New Roman"/>
        </w:rPr>
        <w:t xml:space="preserve"> sino que implica un conjunto estructurado de instrumentos que actúen en las distintas fases del proceso contractual.</w:t>
      </w:r>
    </w:p>
    <w:p w14:paraId="0CB57E03" w14:textId="65C6C5B9" w:rsidR="00164E23" w:rsidRPr="000C6B53" w:rsidRDefault="00164E23" w:rsidP="00164E23">
      <w:pPr>
        <w:spacing w:after="120" w:line="276" w:lineRule="auto"/>
        <w:ind w:firstLine="709"/>
        <w:jc w:val="both"/>
        <w:rPr>
          <w:rFonts w:ascii="Verdana" w:hAnsi="Verdana"/>
        </w:rPr>
      </w:pPr>
      <w:r w:rsidRPr="000C6B53">
        <w:rPr>
          <w:rFonts w:ascii="Verdana" w:hAnsi="Verdana"/>
        </w:rPr>
        <w:t xml:space="preserve">En cumplimiento parcial de los numerales 1 y 8 del artículo 13 de la Ley 1618 de 2013, se expidió el Decreto 392 de 2018. Sin embargo, </w:t>
      </w:r>
      <w:r w:rsidR="00773727" w:rsidRPr="000C6B53">
        <w:rPr>
          <w:rFonts w:ascii="Verdana" w:hAnsi="Verdana"/>
        </w:rPr>
        <w:t>tal y</w:t>
      </w:r>
      <w:r w:rsidRPr="000C6B53">
        <w:rPr>
          <w:rFonts w:ascii="Verdana" w:hAnsi="Verdana"/>
        </w:rPr>
        <w:t xml:space="preserve"> como se reconoce en los considerandos del Decreto 0287 de 2026, dicha regulación presentó omisiones estructurales que frustraron la finalidad de la </w:t>
      </w:r>
      <w:r w:rsidR="00E26217" w:rsidRPr="000C6B53">
        <w:rPr>
          <w:rFonts w:ascii="Verdana" w:hAnsi="Verdana"/>
        </w:rPr>
        <w:t>Ley Estatutaria</w:t>
      </w:r>
      <w:r w:rsidR="000416B2" w:rsidRPr="000C6B53">
        <w:rPr>
          <w:rFonts w:ascii="Verdana" w:hAnsi="Verdana"/>
        </w:rPr>
        <w:t xml:space="preserve">. En efecto, el Decreto 392 de 2018 </w:t>
      </w:r>
      <w:r w:rsidRPr="000C6B53">
        <w:rPr>
          <w:rFonts w:ascii="Verdana" w:hAnsi="Verdana"/>
        </w:rPr>
        <w:t xml:space="preserve">solo contempló el </w:t>
      </w:r>
      <w:r w:rsidR="000416B2" w:rsidRPr="000C6B53">
        <w:rPr>
          <w:rFonts w:ascii="Verdana" w:hAnsi="Verdana"/>
        </w:rPr>
        <w:t>uno por ciento (</w:t>
      </w:r>
      <w:r w:rsidRPr="000C6B53">
        <w:rPr>
          <w:rFonts w:ascii="Verdana" w:hAnsi="Verdana"/>
        </w:rPr>
        <w:t>1%</w:t>
      </w:r>
      <w:r w:rsidR="000416B2" w:rsidRPr="000C6B53">
        <w:rPr>
          <w:rFonts w:ascii="Verdana" w:hAnsi="Verdana"/>
        </w:rPr>
        <w:t>)</w:t>
      </w:r>
      <w:r w:rsidRPr="000C6B53">
        <w:rPr>
          <w:rFonts w:ascii="Verdana" w:hAnsi="Verdana"/>
        </w:rPr>
        <w:t xml:space="preserve"> de</w:t>
      </w:r>
      <w:r w:rsidR="00806491" w:rsidRPr="000C6B53">
        <w:rPr>
          <w:rFonts w:ascii="Verdana" w:hAnsi="Verdana"/>
        </w:rPr>
        <w:t>l</w:t>
      </w:r>
      <w:r w:rsidRPr="000C6B53">
        <w:rPr>
          <w:rFonts w:ascii="Verdana" w:hAnsi="Verdana"/>
        </w:rPr>
        <w:t xml:space="preserve">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reglamentación material el numeral 8, que era precisamente el que ordenaba el </w:t>
      </w:r>
      <w:r w:rsidR="00915175" w:rsidRPr="000C6B53">
        <w:rPr>
          <w:rFonts w:ascii="Verdana" w:hAnsi="Verdana"/>
        </w:rPr>
        <w:t>Sistema De Preferencias</w:t>
      </w:r>
      <w:r w:rsidRPr="000C6B53">
        <w:rPr>
          <w:rFonts w:ascii="Verdana" w:hAnsi="Verdana"/>
        </w:rPr>
        <w:t xml:space="preserve"> en favor de las propias PcD como contratistas.</w:t>
      </w:r>
    </w:p>
    <w:p w14:paraId="29AFE35A" w14:textId="26194440" w:rsidR="00164E23" w:rsidRPr="000C6B53" w:rsidRDefault="00164E23" w:rsidP="00164E23">
      <w:pPr>
        <w:spacing w:after="120" w:line="276" w:lineRule="auto"/>
        <w:ind w:firstLine="709"/>
        <w:jc w:val="both"/>
        <w:rPr>
          <w:rFonts w:ascii="Verdana" w:hAnsi="Verdana"/>
        </w:rPr>
      </w:pPr>
      <w:r w:rsidRPr="000C6B53">
        <w:rPr>
          <w:rFonts w:ascii="Verdana" w:hAnsi="Verdana"/>
        </w:rPr>
        <w:t xml:space="preserve">La insuficiencia del Decreto 392 de 2018 fue constatada judicialmente. La Sección Quinta del Consejo de Estado, mediante sentencia </w:t>
      </w:r>
      <w:r w:rsidR="00AA5C88" w:rsidRPr="000C6B53">
        <w:rPr>
          <w:rFonts w:ascii="Verdana" w:hAnsi="Verdana"/>
        </w:rPr>
        <w:t xml:space="preserve">proferida </w:t>
      </w:r>
      <w:r w:rsidRPr="000C6B53">
        <w:rPr>
          <w:rFonts w:ascii="Verdana" w:hAnsi="Verdana"/>
        </w:rPr>
        <w:t>de</w:t>
      </w:r>
      <w:r w:rsidR="00AA5C88" w:rsidRPr="000C6B53">
        <w:rPr>
          <w:rFonts w:ascii="Verdana" w:hAnsi="Verdana"/>
        </w:rPr>
        <w:t>ntro de una</w:t>
      </w:r>
      <w:r w:rsidRPr="000C6B53">
        <w:rPr>
          <w:rFonts w:ascii="Verdana" w:hAnsi="Verdana"/>
        </w:rPr>
        <w:t xml:space="preserve"> acción de cumplimiento del 12 de diciembre de 2024, radicación </w:t>
      </w:r>
      <w:proofErr w:type="spellStart"/>
      <w:r w:rsidRPr="000C6B53">
        <w:rPr>
          <w:rFonts w:ascii="Verdana" w:hAnsi="Verdana"/>
        </w:rPr>
        <w:t>n.°</w:t>
      </w:r>
      <w:proofErr w:type="spellEnd"/>
      <w:r w:rsidRPr="000C6B53">
        <w:rPr>
          <w:rFonts w:ascii="Verdana" w:hAnsi="Verdana"/>
        </w:rPr>
        <w:t xml:space="preserve"> 05001-23-33-000-2024-00847-01, M.P. Omar Joaquín Barreto Suárez, declaró el incumplimiento </w:t>
      </w:r>
      <w:r w:rsidR="00E973FF" w:rsidRPr="000C6B53">
        <w:rPr>
          <w:rFonts w:ascii="Verdana" w:hAnsi="Verdana"/>
        </w:rPr>
        <w:t xml:space="preserve">por parte </w:t>
      </w:r>
      <w:r w:rsidRPr="000C6B53">
        <w:rPr>
          <w:rFonts w:ascii="Verdana" w:hAnsi="Verdana"/>
        </w:rPr>
        <w:t xml:space="preserve">del Gobierno Nacional del artículo 62 de la Ley 1996 de 2019, </w:t>
      </w:r>
      <w:r w:rsidR="003A1653" w:rsidRPr="000C6B53">
        <w:rPr>
          <w:rFonts w:ascii="Verdana" w:hAnsi="Verdana"/>
        </w:rPr>
        <w:t xml:space="preserve">norma </w:t>
      </w:r>
      <w:r w:rsidRPr="000C6B53">
        <w:rPr>
          <w:rFonts w:ascii="Verdana" w:hAnsi="Verdana"/>
        </w:rPr>
        <w:t>que ordenaba reglamentar las medidas del artículo 13 de la Ley 1618 de 2013</w:t>
      </w:r>
      <w:r w:rsidR="00871029" w:rsidRPr="000C6B53">
        <w:rPr>
          <w:rFonts w:ascii="Verdana" w:hAnsi="Verdana"/>
        </w:rPr>
        <w:t>. En dicha providencia, la Sala</w:t>
      </w:r>
      <w:r w:rsidRPr="000C6B53">
        <w:rPr>
          <w:rFonts w:ascii="Verdana" w:hAnsi="Verdana"/>
        </w:rPr>
        <w:t xml:space="preserve"> ordenó expedir los decretos reglamentarios faltantes en el término de cuatro (4) meses contados a partir de la ejecutoria de la providencia. La Sala calificó la obligación como imperativa, expresa e inobjetable, señalando que el Gobierno Nacional no contaba con </w:t>
      </w:r>
      <w:r w:rsidRPr="000C6B53">
        <w:rPr>
          <w:rFonts w:ascii="Verdana" w:hAnsi="Verdana"/>
        </w:rPr>
        <w:lastRenderedPageBreak/>
        <w:t xml:space="preserve">margen de discrecionalidad para decidir si reglamentaba o no el </w:t>
      </w:r>
      <w:r w:rsidR="00FF208E" w:rsidRPr="000C6B53">
        <w:rPr>
          <w:rFonts w:ascii="Verdana" w:hAnsi="Verdana"/>
        </w:rPr>
        <w:t>Sistema</w:t>
      </w:r>
      <w:r w:rsidRPr="000C6B53">
        <w:rPr>
          <w:rFonts w:ascii="Verdana" w:hAnsi="Verdana"/>
        </w:rPr>
        <w:t xml:space="preserve"> de </w:t>
      </w:r>
      <w:r w:rsidR="00FF208E" w:rsidRPr="000C6B53">
        <w:rPr>
          <w:rFonts w:ascii="Verdana" w:hAnsi="Verdana"/>
        </w:rPr>
        <w:t>Preferencias</w:t>
      </w:r>
      <w:r w:rsidRPr="000C6B53">
        <w:rPr>
          <w:rFonts w:ascii="Verdana" w:hAnsi="Verdana"/>
        </w:rPr>
        <w:t>.</w:t>
      </w:r>
    </w:p>
    <w:p w14:paraId="5BB1B841" w14:textId="224A0419" w:rsidR="00164E23" w:rsidRDefault="00164E23" w:rsidP="00B84F28">
      <w:pPr>
        <w:spacing w:after="120" w:line="276" w:lineRule="auto"/>
        <w:ind w:firstLine="709"/>
        <w:jc w:val="both"/>
        <w:rPr>
          <w:rFonts w:ascii="Verdana" w:hAnsi="Verdana"/>
        </w:rPr>
      </w:pPr>
      <w:r w:rsidRPr="000C6B53">
        <w:rPr>
          <w:rFonts w:ascii="Verdana" w:hAnsi="Verdana"/>
        </w:rPr>
        <w:t>En cumplimiento de esa decisión</w:t>
      </w:r>
      <w:r w:rsidR="00494D98" w:rsidRPr="000C6B53">
        <w:rPr>
          <w:rFonts w:ascii="Verdana" w:hAnsi="Verdana"/>
        </w:rPr>
        <w:t>,</w:t>
      </w:r>
      <w:r w:rsidRPr="000C6B53">
        <w:rPr>
          <w:rFonts w:ascii="Verdana" w:hAnsi="Verdana"/>
        </w:rPr>
        <w:t xml:space="preserve"> fue expedido el Decreto 0287 de 2026, el cual, como se indicó en la respuesta</w:t>
      </w:r>
      <w:r w:rsidR="003729CA" w:rsidRPr="000C6B53">
        <w:rPr>
          <w:rFonts w:ascii="Verdana" w:hAnsi="Verdana"/>
        </w:rPr>
        <w:t xml:space="preserve"> del presente concepto</w:t>
      </w:r>
      <w:r w:rsidRPr="000C6B53">
        <w:rPr>
          <w:rFonts w:ascii="Verdana" w:hAnsi="Verdana"/>
        </w:rPr>
        <w:t>, establece un Sistema Integral de Preferencias compuesto por cinco medidas afirmativas que actúan en todas las fases del proceso contractual</w:t>
      </w:r>
      <w:r w:rsidR="007B4751" w:rsidRPr="000C6B53">
        <w:rPr>
          <w:rFonts w:ascii="Verdana" w:hAnsi="Verdana"/>
        </w:rPr>
        <w:t>:</w:t>
      </w:r>
      <w:r w:rsidRPr="000C6B53">
        <w:rPr>
          <w:rFonts w:ascii="Verdana" w:hAnsi="Verdana"/>
        </w:rPr>
        <w:t xml:space="preserve"> planeación, selección, adjudicación y ejecución</w:t>
      </w:r>
      <w:r w:rsidR="007B4751" w:rsidRPr="000C6B53">
        <w:rPr>
          <w:rFonts w:ascii="Verdana" w:hAnsi="Verdana"/>
        </w:rPr>
        <w:t>. Dicho sistema se orienta a</w:t>
      </w:r>
      <w:r w:rsidRPr="000C6B53">
        <w:rPr>
          <w:rFonts w:ascii="Verdana" w:hAnsi="Verdana"/>
        </w:rPr>
        <w:t xml:space="preserve"> beneficia</w:t>
      </w:r>
      <w:r w:rsidR="007B4751" w:rsidRPr="000C6B53">
        <w:rPr>
          <w:rFonts w:ascii="Verdana" w:hAnsi="Verdana"/>
        </w:rPr>
        <w:t>r</w:t>
      </w:r>
      <w:r w:rsidRPr="000C6B53">
        <w:rPr>
          <w:rFonts w:ascii="Verdana" w:hAnsi="Verdana"/>
        </w:rPr>
        <w:t xml:space="preserve"> a dos sujetos diferenciados: los emprendimientos y empresas de PcD y los empleadores de PcD. A continuación, se desarrolla el alcance de cada aspecto del sistema planteado en los problemas jurídicos.</w:t>
      </w:r>
      <w:r w:rsidRPr="00E727F0">
        <w:rPr>
          <w:rFonts w:ascii="Verdana" w:hAnsi="Verdana"/>
        </w:rPr>
        <w:t xml:space="preserve"> </w:t>
      </w:r>
    </w:p>
    <w:p w14:paraId="74420CF6" w14:textId="63E7387C" w:rsidR="00E81338" w:rsidRDefault="00E81338" w:rsidP="00E81338">
      <w:pPr>
        <w:spacing w:after="120" w:line="276" w:lineRule="auto"/>
        <w:ind w:firstLine="709"/>
        <w:jc w:val="both"/>
        <w:rPr>
          <w:rFonts w:ascii="Verdana" w:hAnsi="Verdana"/>
        </w:rPr>
      </w:pPr>
      <w:r w:rsidRPr="00206556">
        <w:rPr>
          <w:rFonts w:ascii="Verdana" w:hAnsi="Verdana"/>
        </w:rPr>
        <w:t>(</w:t>
      </w:r>
      <w:proofErr w:type="spellStart"/>
      <w:r w:rsidRPr="00206556">
        <w:rPr>
          <w:rFonts w:ascii="Verdana" w:hAnsi="Verdana"/>
        </w:rPr>
        <w:t>i</w:t>
      </w:r>
      <w:r>
        <w:rPr>
          <w:rFonts w:ascii="Verdana" w:hAnsi="Verdana"/>
        </w:rPr>
        <w:t>i</w:t>
      </w:r>
      <w:proofErr w:type="spellEnd"/>
      <w:r w:rsidRPr="00206556">
        <w:rPr>
          <w:rFonts w:ascii="Verdana" w:hAnsi="Verdana"/>
        </w:rPr>
        <w:t>)</w:t>
      </w:r>
      <w:r w:rsidRPr="00975224">
        <w:t xml:space="preserve"> </w:t>
      </w:r>
      <w:r w:rsidRPr="00975224">
        <w:rPr>
          <w:rFonts w:ascii="Verdana" w:hAnsi="Verdana"/>
        </w:rPr>
        <w:t>En lo que respecta a las condiciones especiales de ejecución, el artículo 2.2.1.2.4.2.7.5. del Decreto 0287 de 2026 dispone que las entidades estatales "deberán incluir como obligación contractual, en los Documentos del Proceso, previo análisis de conveniencia y oportunidad, al menos una (1) de las siguientes condiciones especiales de ejecución": la subcontratación inclusiva, que exige priorizar a PcD o a emprendimientos y empresas de PcD cuando se requiera subcontratar; y la integración del equipo de trabajo, que exige priorizar personas naturales con discapacidad cuando se requiera conformar equipo para la ejecución. La obligación consiste en incluir al menos una de las dos condiciones, no necesariamente ambas. La palabra "deberán" hace de esta una medida imperativa en cuanto a la obligación de incluir al menos una condición, pero la entidad tiene discrecionalidad para escoger cuál de las dos incorpora o si incorpora ambas. Solo puede omitirse la inclusión de las dos cuando la entidad justifique esa omisión con argumentos objetivos en los estudios previos. La priorización no implica exclusividad; el contratista puede contratar otros proveedores, pero debe procurar que las PcD y sus empresas tengan preferencia cuando existan en el mercado. El incumplimiento injustificado puede constituir causal de incumplimiento contractual, verificable por el supervisor o interventor con cada solicitud de pago.</w:t>
      </w:r>
      <w:r w:rsidRPr="00206556">
        <w:rPr>
          <w:rFonts w:ascii="Verdana" w:hAnsi="Verdana"/>
        </w:rPr>
        <w:t xml:space="preserve"> </w:t>
      </w:r>
    </w:p>
    <w:p w14:paraId="79604DBF" w14:textId="33736C02" w:rsidR="00164E23" w:rsidRPr="00670CFB" w:rsidRDefault="00164E23" w:rsidP="00886A86">
      <w:pPr>
        <w:spacing w:after="120" w:line="276" w:lineRule="auto"/>
        <w:ind w:firstLine="708"/>
        <w:jc w:val="both"/>
        <w:rPr>
          <w:rFonts w:ascii="Verdana" w:hAnsi="Verdana"/>
        </w:rPr>
      </w:pPr>
      <w:r w:rsidRPr="00206556">
        <w:rPr>
          <w:rFonts w:ascii="Verdana" w:hAnsi="Verdana"/>
        </w:rPr>
        <w:t>(</w:t>
      </w:r>
      <w:proofErr w:type="spellStart"/>
      <w:r w:rsidR="00E81338">
        <w:rPr>
          <w:rFonts w:ascii="Verdana" w:hAnsi="Verdana"/>
        </w:rPr>
        <w:t>iii</w:t>
      </w:r>
      <w:proofErr w:type="spellEnd"/>
      <w:r w:rsidRPr="00206556">
        <w:rPr>
          <w:rFonts w:ascii="Verdana" w:hAnsi="Verdana"/>
        </w:rPr>
        <w:t xml:space="preserve">) </w:t>
      </w:r>
      <w:r w:rsidRPr="00670CFB">
        <w:rPr>
          <w:rFonts w:ascii="Verdana" w:hAnsi="Verdana"/>
        </w:rPr>
        <w:t xml:space="preserve">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w:t>
      </w:r>
      <w:r w:rsidRPr="00670CFB">
        <w:rPr>
          <w:rFonts w:ascii="Verdana" w:hAnsi="Verdana"/>
        </w:rPr>
        <w:lastRenderedPageBreak/>
        <w:t>compromiso continuo que atraviesa todo el ciclo contractual. Cada medida tiene un momento de activación, unas obligaciones concretas para la entidad y el contratista, y unas consecuencias específicas frente a su incumplimiento, que se exponen a continuación.</w:t>
      </w:r>
    </w:p>
    <w:p w14:paraId="7E939F67"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00573EEA"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la mayor cantidad posible de estos requisitos de acuerdo con lo que resulte justificado en sus estudios previos, garantizando en todo caso que los requisitos </w:t>
      </w:r>
      <w:r w:rsidRPr="00670CFB">
        <w:rPr>
          <w:rFonts w:ascii="Verdana" w:hAnsi="Verdana"/>
        </w:rPr>
        <w:lastRenderedPageBreak/>
        <w:t>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2E153A4D"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PcD vinculadas puede constituir causal de incumplimiento contractual, salvo que se demuestre fuerza mayor o caso fortuito, y en todo caso respetando el derecho a la estabilidad laboral reforzada de las PcD.</w:t>
      </w:r>
    </w:p>
    <w:p w14:paraId="7F6A64A7"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w:t>
      </w:r>
      <w:r w:rsidRPr="00670CFB">
        <w:rPr>
          <w:rFonts w:ascii="Verdana" w:hAnsi="Verdana"/>
        </w:rPr>
        <w:lastRenderedPageBreak/>
        <w:t xml:space="preserve">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2FA44A3D"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4CC0CB78"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lastRenderedPageBreak/>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Esta obligación 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1B4A951C" w14:textId="77777777" w:rsidR="00164E23" w:rsidRPr="00670CFB" w:rsidRDefault="00164E23" w:rsidP="00A07A6E">
      <w:pPr>
        <w:spacing w:after="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174716D6" w14:textId="77777777" w:rsidR="00164E23" w:rsidRPr="00206556" w:rsidRDefault="00164E23" w:rsidP="00164E23">
      <w:pPr>
        <w:spacing w:after="0" w:line="276" w:lineRule="auto"/>
        <w:jc w:val="both"/>
        <w:rPr>
          <w:rFonts w:ascii="Verdana" w:eastAsia="Calibri" w:hAnsi="Verdana" w:cs="Arial"/>
          <w:lang w:val="es-ES"/>
        </w:rPr>
      </w:pPr>
    </w:p>
    <w:p w14:paraId="1D43C40B" w14:textId="77777777" w:rsidR="00164E23" w:rsidRPr="00206556" w:rsidRDefault="00164E23" w:rsidP="002F4D9E">
      <w:pPr>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p w14:paraId="404AA5EF" w14:textId="77777777" w:rsidR="0063630C" w:rsidRPr="002F4D9E" w:rsidRDefault="0063630C" w:rsidP="00A07A6E">
      <w:pPr>
        <w:spacing w:after="0" w:line="276" w:lineRule="auto"/>
        <w:jc w:val="both"/>
        <w:rPr>
          <w:rFonts w:ascii="Verdana" w:eastAsia="Century Gothic" w:hAnsi="Verdana" w:cs="Century Gothic"/>
          <w:b/>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64E23" w:rsidRPr="00206556" w14:paraId="04282F3E" w14:textId="77777777" w:rsidTr="00640533">
        <w:trPr>
          <w:trHeight w:val="297"/>
        </w:trPr>
        <w:tc>
          <w:tcPr>
            <w:tcW w:w="8647" w:type="dxa"/>
          </w:tcPr>
          <w:p w14:paraId="4BC4AB98" w14:textId="77777777" w:rsidR="00164E23" w:rsidRPr="00670CFB"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52F7B8A4"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04733DEE"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541B787A"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3CE9AFD2"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 xml:space="preserve">Ley 762 de 2002. Por medio de la cual se aprueba la Convención </w:t>
            </w:r>
            <w:r w:rsidRPr="00206556">
              <w:rPr>
                <w:rFonts w:ascii="Verdana" w:eastAsia="Arial MT" w:hAnsi="Verdana" w:cs="Arial"/>
                <w:lang w:eastAsia="es-ES" w:bidi="es-ES"/>
              </w:rPr>
              <w:lastRenderedPageBreak/>
              <w:t>Interamericana para la Eliminación de todas las Formas de Discriminación contra las Personas con Discapacidad.</w:t>
            </w:r>
          </w:p>
          <w:p w14:paraId="6C0ADA69"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7769E727"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34D5AA7F"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03FA9033"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3E7AA1A2"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0197AB08"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328909F4"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4E4FAA63"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614867A6"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31BD3EFF"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4426817F"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1442BC35"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5F3AF347"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7393C335"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06B4AEFC"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5CA9AE38"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748D8EC8"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75AB72D5"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 xml:space="preserve">Agencia Nacional de Contratación Pública – Colombia Compra </w:t>
            </w:r>
            <w:r w:rsidRPr="00206556">
              <w:rPr>
                <w:rFonts w:ascii="Verdana" w:eastAsia="Arial MT" w:hAnsi="Verdana" w:cs="Arial"/>
                <w:lang w:eastAsia="es-ES" w:bidi="es-ES"/>
              </w:rPr>
              <w:lastRenderedPageBreak/>
              <w:t>Eficiente. Guía de Compras Públicas Sostenibles y Socialmente Responsables. Bogotá, 2025.</w:t>
            </w:r>
          </w:p>
          <w:p w14:paraId="4D615009"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29485073"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564303D3"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63F68A65" w14:textId="77777777" w:rsidR="00164E23" w:rsidRPr="00206556" w:rsidRDefault="00164E23" w:rsidP="00640533">
            <w:pPr>
              <w:widowControl w:val="0"/>
              <w:autoSpaceDE w:val="0"/>
              <w:autoSpaceDN w:val="0"/>
              <w:spacing w:line="276" w:lineRule="auto"/>
              <w:jc w:val="both"/>
              <w:rPr>
                <w:rFonts w:ascii="Verdana" w:eastAsia="Arial MT" w:hAnsi="Verdana" w:cs="Arial"/>
                <w:lang w:val="es-ES" w:eastAsia="es-ES" w:bidi="es-ES"/>
              </w:rPr>
            </w:pPr>
          </w:p>
        </w:tc>
      </w:tr>
    </w:tbl>
    <w:p w14:paraId="14A91C3E" w14:textId="77777777" w:rsidR="00164E23" w:rsidRPr="00206556" w:rsidRDefault="00164E23" w:rsidP="00164E23">
      <w:pPr>
        <w:widowControl w:val="0"/>
        <w:autoSpaceDE w:val="0"/>
        <w:autoSpaceDN w:val="0"/>
        <w:spacing w:after="0" w:line="276" w:lineRule="auto"/>
        <w:jc w:val="both"/>
        <w:rPr>
          <w:rFonts w:ascii="Verdana" w:hAnsi="Verdana" w:cs="Arial"/>
          <w:color w:val="ED7D31" w:themeColor="accent2"/>
          <w:lang w:val="es-ES"/>
        </w:rPr>
      </w:pPr>
    </w:p>
    <w:p w14:paraId="36AD2B46" w14:textId="77777777" w:rsidR="00164E23" w:rsidRDefault="00164E23" w:rsidP="00164E2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2C61F17A" w14:textId="77777777" w:rsidR="00164E23" w:rsidRPr="00670CFB" w:rsidRDefault="00164E23" w:rsidP="00164E23">
      <w:pPr>
        <w:tabs>
          <w:tab w:val="left" w:pos="142"/>
          <w:tab w:val="left" w:pos="284"/>
        </w:tabs>
        <w:spacing w:after="0" w:line="276" w:lineRule="auto"/>
        <w:jc w:val="both"/>
        <w:rPr>
          <w:rFonts w:ascii="Verdana" w:eastAsia="Century Gothic" w:hAnsi="Verdana" w:cs="Century Gothic"/>
          <w:b/>
          <w:lang w:val="es-ES"/>
        </w:rPr>
      </w:pPr>
    </w:p>
    <w:p w14:paraId="44798F04" w14:textId="51958428" w:rsidR="00164E23" w:rsidRPr="00206556" w:rsidRDefault="0068724C" w:rsidP="00164E23">
      <w:pPr>
        <w:spacing w:after="0" w:line="276" w:lineRule="auto"/>
        <w:jc w:val="both"/>
        <w:rPr>
          <w:rFonts w:ascii="Verdana" w:hAnsi="Verdana"/>
          <w:color w:val="ED7D31" w:themeColor="accent2"/>
          <w:lang w:val="es-ES"/>
        </w:rPr>
      </w:pPr>
      <w:r w:rsidRPr="0068724C">
        <w:rPr>
          <w:rFonts w:ascii="Verdana" w:eastAsia="Calibri" w:hAnsi="Verdana" w:cs="Arial"/>
          <w:lang w:val="es-ES"/>
        </w:rPr>
        <w:t xml:space="preserve">La Agencia Nacional de Contratación Pública – Colombia Compra Eficiente se ha referido sobre el alcance del Decreto 0287 de 2026 en los conceptos C-473 del 7 de mayo de 2026, C-498 del 8 de mayo de 2026 y C-576 del 19 de mayo de </w:t>
      </w:r>
      <w:r w:rsidR="00FA7E0B" w:rsidRPr="0068724C">
        <w:rPr>
          <w:rFonts w:ascii="Verdana" w:eastAsia="Calibri" w:hAnsi="Verdana" w:cs="Arial"/>
          <w:lang w:val="es-ES"/>
        </w:rPr>
        <w:t>2026</w:t>
      </w:r>
      <w:r w:rsidR="00FA7E0B" w:rsidRPr="0068724C">
        <w:rPr>
          <w:rFonts w:ascii="Verdana" w:eastAsia="Calibri" w:hAnsi="Verdana" w:cs="Arial"/>
          <w:lang w:val="es-ES_tradnl"/>
        </w:rPr>
        <w:t>.</w:t>
      </w:r>
      <w:r w:rsidR="00164E23" w:rsidRPr="00206556">
        <w:rPr>
          <w:rFonts w:ascii="Verdana" w:hAnsi="Verdana" w:cs="Arial"/>
          <w:shd w:val="clear" w:color="auto" w:fill="FFFFFF"/>
          <w:lang w:val="es-ES"/>
        </w:rPr>
        <w:t xml:space="preserve"> Est</w:t>
      </w:r>
      <w:r w:rsidR="003D1B7C">
        <w:rPr>
          <w:rFonts w:ascii="Verdana" w:hAnsi="Verdana" w:cs="Arial"/>
          <w:shd w:val="clear" w:color="auto" w:fill="FFFFFF"/>
          <w:lang w:val="es-ES"/>
        </w:rPr>
        <w:t>os</w:t>
      </w:r>
      <w:r w:rsidR="00164E23" w:rsidRPr="00206556">
        <w:rPr>
          <w:rFonts w:ascii="Verdana" w:hAnsi="Verdana"/>
          <w:lang w:val="es-ES"/>
        </w:rPr>
        <w:t xml:space="preserve"> y otros se encuentran disponibles para consulta en el Sistema de relatoría de la Agencia, al cual se puede acceder a través del siguiente enlace:</w:t>
      </w:r>
      <w:r w:rsidR="00164E23" w:rsidRPr="00206556">
        <w:rPr>
          <w:rFonts w:ascii="Verdana" w:hAnsi="Verdana" w:cs="Arial"/>
          <w:shd w:val="clear" w:color="auto" w:fill="FFFFFF"/>
          <w:lang w:val="es-ES"/>
        </w:rPr>
        <w:t xml:space="preserve"> </w:t>
      </w:r>
      <w:hyperlink r:id="rId12" w:history="1">
        <w:r w:rsidR="00164E23" w:rsidRPr="00206556">
          <w:rPr>
            <w:rStyle w:val="Hipervnculo"/>
            <w:rFonts w:ascii="Verdana" w:hAnsi="Verdana" w:cs="Arial"/>
            <w:shd w:val="clear" w:color="auto" w:fill="FFFFFF"/>
            <w:lang w:val="es-ES"/>
          </w:rPr>
          <w:t>https://relatoria.colombiacompra.gov.co/busqueda/conceptos</w:t>
        </w:r>
      </w:hyperlink>
    </w:p>
    <w:p w14:paraId="0670610D" w14:textId="77777777" w:rsidR="00164E23" w:rsidRPr="00206556" w:rsidRDefault="00164E23" w:rsidP="00164E23">
      <w:pPr>
        <w:spacing w:after="0" w:line="276" w:lineRule="auto"/>
        <w:jc w:val="both"/>
        <w:rPr>
          <w:rFonts w:ascii="Verdana" w:hAnsi="Verdana" w:cs="Arial"/>
          <w:color w:val="ED7D31" w:themeColor="accent2"/>
          <w:shd w:val="clear" w:color="auto" w:fill="FFFFFF"/>
          <w:lang w:val="es-ES"/>
        </w:rPr>
      </w:pPr>
    </w:p>
    <w:p w14:paraId="2047E5F9" w14:textId="77777777" w:rsidR="00164E23" w:rsidRPr="00206556" w:rsidRDefault="00164E23" w:rsidP="00164E2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014E486B" w14:textId="77777777" w:rsidR="00164E23" w:rsidRPr="00206556" w:rsidRDefault="00164E23" w:rsidP="00164E23">
      <w:pPr>
        <w:spacing w:after="0" w:line="276" w:lineRule="auto"/>
        <w:jc w:val="both"/>
        <w:rPr>
          <w:rFonts w:ascii="Verdana" w:hAnsi="Verdana" w:cs="Arial"/>
          <w:shd w:val="clear" w:color="auto" w:fill="FFFFFF"/>
        </w:rPr>
      </w:pPr>
    </w:p>
    <w:p w14:paraId="333CE4DF" w14:textId="77777777" w:rsidR="00164E23" w:rsidRPr="00206556" w:rsidRDefault="00164E23" w:rsidP="00164E2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w:t>
      </w:r>
      <w:r w:rsidRPr="00206556">
        <w:rPr>
          <w:rFonts w:ascii="Verdana" w:hAnsi="Verdana" w:cs="Arial"/>
          <w:shd w:val="clear" w:color="auto" w:fill="FFFFFF"/>
        </w:rPr>
        <w:lastRenderedPageBreak/>
        <w:t xml:space="preserve">documentos aquí: </w:t>
      </w:r>
      <w:hyperlink r:id="rId14" w:history="1">
        <w:r w:rsidRPr="00206556">
          <w:rPr>
            <w:rStyle w:val="Hipervnculo"/>
            <w:rFonts w:ascii="Verdana" w:hAnsi="Verdana" w:cs="Arial"/>
            <w:shd w:val="clear" w:color="auto" w:fill="FFFFFF"/>
          </w:rPr>
          <w:t>https://www.colombiacompra.gov.co/normativa-y-relatoria/documentos-tipo</w:t>
        </w:r>
      </w:hyperlink>
    </w:p>
    <w:p w14:paraId="42251B1A" w14:textId="77777777" w:rsidR="00164E23" w:rsidRPr="00206556" w:rsidRDefault="00164E23" w:rsidP="00164E23">
      <w:pPr>
        <w:spacing w:after="0" w:line="276" w:lineRule="auto"/>
        <w:jc w:val="both"/>
        <w:rPr>
          <w:rFonts w:ascii="Verdana" w:hAnsi="Verdana" w:cs="Arial"/>
          <w:shd w:val="clear" w:color="auto" w:fill="FFFFFF"/>
        </w:rPr>
      </w:pPr>
    </w:p>
    <w:p w14:paraId="248D7C7E" w14:textId="1352FC89" w:rsidR="00164E23" w:rsidRPr="00206556" w:rsidRDefault="00164E23" w:rsidP="00164E2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r w:rsidRPr="002F4D9E">
        <w:rPr>
          <w:rFonts w:ascii="Verdana" w:hAnsi="Verdana" w:cs="Arial"/>
          <w:shd w:val="clear" w:color="auto" w:fill="FFFFFF"/>
        </w:rPr>
        <w:t>Además</w:t>
      </w:r>
      <w:r w:rsidR="00053AC1">
        <w:rPr>
          <w:rFonts w:ascii="Verdana" w:hAnsi="Verdana" w:cs="Arial"/>
          <w:shd w:val="clear" w:color="auto" w:fill="FFFFFF"/>
        </w:rPr>
        <w:t>,</w:t>
      </w:r>
      <w:r w:rsidRPr="002F4D9E">
        <w:rPr>
          <w:rFonts w:ascii="Verdana" w:hAnsi="Verdana" w:cs="Arial"/>
          <w:shd w:val="clear" w:color="auto" w:fill="FFFFFF"/>
        </w:rPr>
        <w:t xml:space="preserve"> se incluyeron lineamientos que orientan la implementación de los criterios ambientales y sociales incluidos en los documentos tipo: Consulta la guía aquí: </w:t>
      </w:r>
      <w:hyperlink r:id="rId15" w:history="1">
        <w:r w:rsidR="00053AC1" w:rsidRPr="007F46C4">
          <w:rPr>
            <w:rStyle w:val="Hipervnculo"/>
            <w:rFonts w:ascii="Verdana" w:hAnsi="Verdana" w:cs="Arial"/>
            <w:shd w:val="clear" w:color="auto" w:fill="FFFFFF"/>
          </w:rPr>
          <w:t>https://www.colombiacompra.gov.co/archivos/manual/guia-para-la-comprension-e-implementacion-de-los-documentos-tipo-de-obra-publica-de-infraestructura-de-transporte-bajo-las-diferentes-modalidades-de-contratacion-vigentes</w:t>
        </w:r>
      </w:hyperlink>
      <w:r w:rsidR="00053AC1">
        <w:rPr>
          <w:rFonts w:ascii="Verdana" w:hAnsi="Verdana" w:cs="Arial"/>
          <w:shd w:val="clear" w:color="auto" w:fill="FFFFFF"/>
        </w:rPr>
        <w:t xml:space="preserve"> </w:t>
      </w:r>
    </w:p>
    <w:p w14:paraId="62EDA6DE" w14:textId="77777777" w:rsidR="00164E23" w:rsidRPr="00206556" w:rsidRDefault="00164E23" w:rsidP="00164E23">
      <w:pPr>
        <w:spacing w:after="0" w:line="276" w:lineRule="auto"/>
        <w:jc w:val="both"/>
        <w:rPr>
          <w:rFonts w:ascii="Verdana" w:hAnsi="Verdana" w:cs="Arial"/>
          <w:color w:val="ED7D31" w:themeColor="accent2"/>
          <w:shd w:val="clear" w:color="auto" w:fill="FFFFFF"/>
        </w:rPr>
      </w:pPr>
    </w:p>
    <w:p w14:paraId="52277C39" w14:textId="77777777" w:rsidR="00164E23" w:rsidRPr="00206556" w:rsidRDefault="00164E23" w:rsidP="00A07A6E">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4FD56DEC" w14:textId="77777777" w:rsidR="00164E23" w:rsidRPr="00206556" w:rsidRDefault="00164E23" w:rsidP="00A07A6E">
      <w:pPr>
        <w:spacing w:after="0" w:line="276" w:lineRule="auto"/>
        <w:jc w:val="both"/>
        <w:rPr>
          <w:rFonts w:ascii="Verdana" w:hAnsi="Verdana" w:cs="Arial"/>
          <w:shd w:val="clear" w:color="auto" w:fill="FFFFFF"/>
        </w:rPr>
      </w:pPr>
    </w:p>
    <w:p w14:paraId="49E6E10F" w14:textId="77777777" w:rsidR="00164E23" w:rsidRPr="00206556" w:rsidRDefault="00164E23" w:rsidP="00A07A6E">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3954CCA0" w14:textId="77777777" w:rsidR="00164E23" w:rsidRPr="00206556" w:rsidRDefault="00164E23" w:rsidP="00A07A6E">
      <w:pPr>
        <w:spacing w:after="0" w:line="276" w:lineRule="auto"/>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053AD73E" w14:textId="77777777" w:rsidR="00164E23" w:rsidRPr="00206556" w:rsidRDefault="00164E23" w:rsidP="00A07A6E">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3D601315" w14:textId="77777777" w:rsidR="00164E23" w:rsidRPr="00206556" w:rsidRDefault="00164E23" w:rsidP="00A07A6E">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29C8D0E4" w14:textId="77777777" w:rsidR="00164E23" w:rsidRPr="00206556" w:rsidRDefault="00164E23" w:rsidP="00164E23">
      <w:pPr>
        <w:widowControl w:val="0"/>
        <w:autoSpaceDE w:val="0"/>
        <w:autoSpaceDN w:val="0"/>
        <w:spacing w:after="0" w:line="276" w:lineRule="auto"/>
        <w:jc w:val="both"/>
        <w:rPr>
          <w:rFonts w:ascii="Verdana" w:hAnsi="Verdana" w:cs="Arial"/>
          <w:color w:val="ED7D31" w:themeColor="accent2"/>
          <w:lang w:val="es-ES"/>
        </w:rPr>
      </w:pPr>
    </w:p>
    <w:p w14:paraId="18028084" w14:textId="77777777" w:rsidR="00164E23" w:rsidRPr="00206556" w:rsidRDefault="00164E23" w:rsidP="00164E23">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308F895" w14:textId="77777777" w:rsidR="00164E23" w:rsidRPr="00206556" w:rsidRDefault="00164E23" w:rsidP="00164E23">
      <w:pPr>
        <w:widowControl w:val="0"/>
        <w:autoSpaceDE w:val="0"/>
        <w:autoSpaceDN w:val="0"/>
        <w:spacing w:after="0" w:line="276" w:lineRule="auto"/>
        <w:jc w:val="both"/>
        <w:rPr>
          <w:rFonts w:ascii="Verdana" w:hAnsi="Verdana" w:cs="Arial"/>
          <w:lang w:val="es-ES"/>
        </w:rPr>
      </w:pPr>
    </w:p>
    <w:p w14:paraId="68207465" w14:textId="2DFE592D" w:rsidR="00164E23" w:rsidRPr="00206556" w:rsidRDefault="00164E23" w:rsidP="00A07A6E">
      <w:pPr>
        <w:spacing w:after="0" w:line="276" w:lineRule="auto"/>
        <w:rPr>
          <w:rFonts w:ascii="Verdana" w:eastAsia="Calibri" w:hAnsi="Verdana" w:cs="Arial"/>
          <w:noProof/>
          <w:sz w:val="20"/>
          <w:szCs w:val="20"/>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60B5BD5A" w14:textId="22EFFAA1" w:rsidR="00164E23" w:rsidRPr="00206556" w:rsidRDefault="00E94DAD" w:rsidP="00A07A6E">
      <w:pPr>
        <w:spacing w:after="0" w:line="256" w:lineRule="auto"/>
        <w:jc w:val="center"/>
        <w:rPr>
          <w:rFonts w:ascii="Verdana" w:eastAsia="Times New Roman" w:hAnsi="Verdana" w:cs="Arial"/>
          <w:lang w:eastAsia="es-ES"/>
        </w:rPr>
      </w:pPr>
      <w:r w:rsidRPr="00AC023F">
        <w:rPr>
          <w:rFonts w:ascii="Verdana" w:hAnsi="Verdana"/>
          <w:noProof/>
        </w:rPr>
        <w:lastRenderedPageBreak/>
        <w:drawing>
          <wp:inline distT="0" distB="0" distL="0" distR="0" wp14:anchorId="6B6EB373" wp14:editId="10E72F20">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6"/>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164E23" w:rsidRPr="00206556" w14:paraId="00AFDB46" w14:textId="77777777" w:rsidTr="00640533">
        <w:trPr>
          <w:trHeight w:val="322"/>
        </w:trPr>
        <w:tc>
          <w:tcPr>
            <w:tcW w:w="733" w:type="dxa"/>
            <w:tcBorders>
              <w:top w:val="nil"/>
              <w:left w:val="nil"/>
              <w:bottom w:val="nil"/>
              <w:right w:val="nil"/>
            </w:tcBorders>
            <w:vAlign w:val="center"/>
            <w:hideMark/>
          </w:tcPr>
          <w:p w14:paraId="372DFD4A" w14:textId="77777777" w:rsidR="00164E23" w:rsidRPr="00206556" w:rsidRDefault="00164E23" w:rsidP="00640533">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7A5AC051" w14:textId="77777777" w:rsidR="00164E23" w:rsidRPr="00206556" w:rsidRDefault="00164E23" w:rsidP="00640533">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val="es-ES_tradnl" w:eastAsia="es-ES"/>
              </w:rPr>
              <w:t>Ximena Ríos López</w:t>
            </w:r>
          </w:p>
          <w:p w14:paraId="0690EBB9" w14:textId="77777777" w:rsidR="00164E23" w:rsidRPr="00A5703A" w:rsidRDefault="00164E23" w:rsidP="00640533">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T1-11 de la Subdirección de Gestión Contractual</w:t>
            </w:r>
          </w:p>
        </w:tc>
      </w:tr>
      <w:tr w:rsidR="00164E23" w:rsidRPr="00206556" w14:paraId="04998A47" w14:textId="77777777" w:rsidTr="00640533">
        <w:trPr>
          <w:trHeight w:val="322"/>
        </w:trPr>
        <w:tc>
          <w:tcPr>
            <w:tcW w:w="733" w:type="dxa"/>
            <w:tcBorders>
              <w:top w:val="nil"/>
              <w:left w:val="nil"/>
              <w:bottom w:val="nil"/>
              <w:right w:val="nil"/>
            </w:tcBorders>
            <w:vAlign w:val="center"/>
            <w:hideMark/>
          </w:tcPr>
          <w:p w14:paraId="757BAF58" w14:textId="77777777" w:rsidR="00164E23" w:rsidRPr="00206556" w:rsidRDefault="00164E23" w:rsidP="00640533">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502B58A" w14:textId="2BC4B20D" w:rsidR="00164E23" w:rsidRPr="00206556" w:rsidRDefault="00164E23" w:rsidP="00640533">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 xml:space="preserve">Diana </w:t>
            </w:r>
            <w:r w:rsidR="002F4D9E">
              <w:rPr>
                <w:rFonts w:ascii="Verdana" w:eastAsia="Times New Roman" w:hAnsi="Verdana" w:cs="Arial"/>
                <w:sz w:val="16"/>
                <w:szCs w:val="16"/>
                <w:lang w:val="es-ES_tradnl" w:eastAsia="es-ES"/>
              </w:rPr>
              <w:t>Lucia</w:t>
            </w:r>
            <w:r>
              <w:rPr>
                <w:rFonts w:ascii="Verdana" w:eastAsia="Times New Roman" w:hAnsi="Verdana" w:cs="Arial"/>
                <w:sz w:val="16"/>
                <w:szCs w:val="16"/>
                <w:lang w:val="es-ES_tradnl" w:eastAsia="es-ES"/>
              </w:rPr>
              <w:t xml:space="preserve"> Saavedra</w:t>
            </w:r>
            <w:r w:rsidR="002F4D9E">
              <w:rPr>
                <w:rFonts w:ascii="Verdana" w:eastAsia="Times New Roman" w:hAnsi="Verdana" w:cs="Arial"/>
                <w:sz w:val="16"/>
                <w:szCs w:val="16"/>
                <w:lang w:val="es-ES_tradnl" w:eastAsia="es-ES"/>
              </w:rPr>
              <w:t xml:space="preserve"> Castañeda</w:t>
            </w:r>
          </w:p>
          <w:p w14:paraId="73FB23CE" w14:textId="77777777" w:rsidR="00164E23" w:rsidRPr="00A5703A" w:rsidRDefault="00164E23" w:rsidP="00640533">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Pr="00206556">
              <w:rPr>
                <w:rFonts w:ascii="Verdana" w:eastAsia="Times New Roman" w:hAnsi="Verdana" w:cs="Arial"/>
                <w:sz w:val="16"/>
                <w:szCs w:val="16"/>
                <w:lang w:eastAsia="es-ES"/>
              </w:rPr>
              <w:t xml:space="preserve"> de la Subdirección de Gestión Contractual</w:t>
            </w:r>
          </w:p>
        </w:tc>
      </w:tr>
      <w:tr w:rsidR="00164E23" w:rsidRPr="00206556" w14:paraId="594A5E55" w14:textId="77777777" w:rsidTr="00640533">
        <w:trPr>
          <w:trHeight w:val="307"/>
        </w:trPr>
        <w:tc>
          <w:tcPr>
            <w:tcW w:w="733" w:type="dxa"/>
            <w:tcBorders>
              <w:top w:val="nil"/>
              <w:left w:val="nil"/>
              <w:bottom w:val="nil"/>
              <w:right w:val="nil"/>
            </w:tcBorders>
            <w:vAlign w:val="center"/>
            <w:hideMark/>
          </w:tcPr>
          <w:p w14:paraId="115A83C3" w14:textId="77777777" w:rsidR="00164E23" w:rsidRPr="00206556" w:rsidRDefault="00164E23" w:rsidP="00640533">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587D8BA2" w14:textId="77777777" w:rsidR="00164E23" w:rsidRPr="00206556" w:rsidRDefault="00164E23" w:rsidP="00640533">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63629DBE" w14:textId="77777777" w:rsidR="00164E23" w:rsidRPr="00206556" w:rsidRDefault="00164E23" w:rsidP="00640533">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1511DAB1" w14:textId="77777777" w:rsidR="00164E23" w:rsidRDefault="00164E23" w:rsidP="00164E23">
      <w:pPr>
        <w:autoSpaceDE w:val="0"/>
        <w:autoSpaceDN w:val="0"/>
        <w:adjustRightInd w:val="0"/>
        <w:spacing w:after="0" w:line="276" w:lineRule="auto"/>
        <w:jc w:val="center"/>
        <w:rPr>
          <w:rFonts w:ascii="Verdana" w:eastAsia="Calibri" w:hAnsi="Verdana" w:cs="Arial"/>
        </w:rPr>
      </w:pPr>
    </w:p>
    <w:p w14:paraId="0F293BF4" w14:textId="214BA71D" w:rsidR="00127233" w:rsidRPr="000D01C1" w:rsidRDefault="00127233" w:rsidP="00E45DDE">
      <w:pPr>
        <w:autoSpaceDE w:val="0"/>
        <w:autoSpaceDN w:val="0"/>
        <w:adjustRightInd w:val="0"/>
        <w:spacing w:after="0" w:line="276" w:lineRule="auto"/>
      </w:pPr>
    </w:p>
    <w:sectPr w:rsidR="00127233" w:rsidRPr="000D01C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E2D7C" w14:textId="77777777" w:rsidR="002945CE" w:rsidRDefault="002945CE" w:rsidP="004A1847">
      <w:pPr>
        <w:spacing w:after="0" w:line="240" w:lineRule="auto"/>
      </w:pPr>
      <w:r>
        <w:separator/>
      </w:r>
    </w:p>
  </w:endnote>
  <w:endnote w:type="continuationSeparator" w:id="0">
    <w:p w14:paraId="5749B761" w14:textId="77777777" w:rsidR="002945CE" w:rsidRDefault="002945C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61CFB8" w14:textId="77777777" w:rsidR="002945CE" w:rsidRDefault="002945CE" w:rsidP="004A1847">
      <w:pPr>
        <w:spacing w:after="0" w:line="240" w:lineRule="auto"/>
      </w:pPr>
      <w:r>
        <w:separator/>
      </w:r>
    </w:p>
  </w:footnote>
  <w:footnote w:type="continuationSeparator" w:id="0">
    <w:p w14:paraId="2AB139F6" w14:textId="77777777" w:rsidR="002945CE" w:rsidRDefault="002945CE" w:rsidP="004A1847">
      <w:pPr>
        <w:spacing w:after="0" w:line="240" w:lineRule="auto"/>
      </w:pPr>
      <w:r>
        <w:continuationSeparator/>
      </w:r>
    </w:p>
  </w:footnote>
  <w:footnote w:id="1">
    <w:p w14:paraId="1FEB13DF" w14:textId="77777777" w:rsidR="00164E23" w:rsidRPr="00206556" w:rsidRDefault="00164E23" w:rsidP="00A07A6E">
      <w:pPr>
        <w:spacing w:after="0" w:line="240" w:lineRule="auto"/>
        <w:ind w:firstLine="709"/>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18660BA3" w14:textId="77777777" w:rsidR="00164E23" w:rsidRPr="00206556" w:rsidRDefault="00164E23" w:rsidP="00A07A6E">
      <w:pPr>
        <w:spacing w:after="0" w:line="240" w:lineRule="auto"/>
        <w:ind w:firstLine="709"/>
        <w:jc w:val="both"/>
        <w:rPr>
          <w:rFonts w:ascii="Verdana" w:hAnsi="Verdana"/>
          <w:sz w:val="16"/>
          <w:szCs w:val="16"/>
        </w:rPr>
      </w:pPr>
    </w:p>
  </w:footnote>
  <w:footnote w:id="2">
    <w:p w14:paraId="1DD92A7C" w14:textId="77777777" w:rsidR="00164E23" w:rsidRPr="00206556" w:rsidRDefault="00164E23" w:rsidP="00A07A6E">
      <w:pPr>
        <w:pStyle w:val="Textonotapie"/>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2F3F885A" w14:textId="77777777" w:rsidR="00164E23" w:rsidRPr="00206556" w:rsidRDefault="00164E23" w:rsidP="00A07A6E">
      <w:pPr>
        <w:pStyle w:val="Textonotapie"/>
        <w:ind w:firstLine="709"/>
        <w:jc w:val="both"/>
        <w:rPr>
          <w:rFonts w:ascii="Verdana" w:hAnsi="Verdana"/>
          <w:sz w:val="16"/>
          <w:szCs w:val="16"/>
          <w:lang w:val="es-ES"/>
        </w:rPr>
      </w:pPr>
    </w:p>
  </w:footnote>
  <w:footnote w:id="3">
    <w:p w14:paraId="335EAC1A" w14:textId="77777777" w:rsidR="00164E23" w:rsidRPr="00206556" w:rsidRDefault="00164E23" w:rsidP="00A07A6E">
      <w:pPr>
        <w:spacing w:after="0" w:line="240" w:lineRule="auto"/>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51FD3F41" w14:textId="77777777" w:rsidR="00164E23" w:rsidRPr="00206556" w:rsidRDefault="00164E23" w:rsidP="00A07A6E">
      <w:pPr>
        <w:spacing w:after="0" w:line="240" w:lineRule="auto"/>
        <w:ind w:firstLine="709"/>
        <w:jc w:val="both"/>
        <w:rPr>
          <w:rFonts w:ascii="Verdana" w:hAnsi="Verdana"/>
          <w:sz w:val="16"/>
          <w:szCs w:val="16"/>
        </w:rPr>
      </w:pPr>
    </w:p>
  </w:footnote>
  <w:footnote w:id="4">
    <w:p w14:paraId="7B708A55" w14:textId="77777777" w:rsidR="00164E23" w:rsidRPr="00206556" w:rsidRDefault="00164E23" w:rsidP="00A07A6E">
      <w:pPr>
        <w:pStyle w:val="Textonotapie"/>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2777EA66" w14:textId="77777777" w:rsidR="00164E23" w:rsidRPr="00206556" w:rsidRDefault="00164E23" w:rsidP="00A07A6E">
      <w:pPr>
        <w:pStyle w:val="Textonotapie"/>
        <w:ind w:firstLine="709"/>
        <w:jc w:val="both"/>
        <w:rPr>
          <w:rFonts w:ascii="Verdana" w:hAnsi="Verdana"/>
          <w:sz w:val="16"/>
          <w:szCs w:val="16"/>
          <w:lang w:val="es-ES"/>
        </w:rPr>
      </w:pPr>
    </w:p>
  </w:footnote>
  <w:footnote w:id="5">
    <w:p w14:paraId="3E6806EC" w14:textId="77777777" w:rsidR="00164E23" w:rsidRPr="00206556" w:rsidRDefault="00164E23" w:rsidP="00A07A6E">
      <w:pPr>
        <w:pStyle w:val="Textonotapie"/>
        <w:ind w:firstLine="709"/>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37DE6A98" w14:textId="77777777" w:rsidR="00164E23" w:rsidRPr="00206556" w:rsidRDefault="00164E23" w:rsidP="00A07A6E">
      <w:pPr>
        <w:pStyle w:val="Textonotapie"/>
        <w:ind w:firstLine="709"/>
        <w:jc w:val="both"/>
        <w:rPr>
          <w:rFonts w:ascii="Verdana" w:hAnsi="Verdana"/>
          <w:sz w:val="16"/>
          <w:szCs w:val="16"/>
          <w:lang w:val="es-ES"/>
        </w:rPr>
      </w:pPr>
    </w:p>
  </w:footnote>
  <w:footnote w:id="6">
    <w:p w14:paraId="6AAC2168" w14:textId="77777777" w:rsidR="00164E23" w:rsidRPr="00206556" w:rsidRDefault="00164E23" w:rsidP="00A07A6E">
      <w:pPr>
        <w:pStyle w:val="Textonotapie"/>
        <w:ind w:firstLine="709"/>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688A8AF7" w14:textId="77777777" w:rsidR="00164E23" w:rsidRPr="00206556" w:rsidRDefault="00164E23" w:rsidP="00A07A6E">
      <w:pPr>
        <w:pStyle w:val="Textonotapie"/>
        <w:ind w:firstLine="709"/>
        <w:rPr>
          <w:rFonts w:ascii="Verdana" w:hAnsi="Verdana"/>
          <w:sz w:val="16"/>
          <w:szCs w:val="16"/>
          <w:lang w:val="es-ES"/>
        </w:rPr>
      </w:pPr>
    </w:p>
  </w:footnote>
  <w:footnote w:id="7">
    <w:p w14:paraId="26020D0F" w14:textId="77777777" w:rsidR="00164E23" w:rsidRPr="00206556" w:rsidRDefault="00164E23" w:rsidP="00A07A6E">
      <w:pPr>
        <w:pStyle w:val="Textonotapie"/>
        <w:ind w:firstLine="709"/>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37BBBE6F" w14:textId="77777777" w:rsidR="00164E23" w:rsidRPr="00206556" w:rsidRDefault="00164E23" w:rsidP="00A07A6E">
      <w:pPr>
        <w:pStyle w:val="Textonotapie"/>
        <w:ind w:firstLine="709"/>
        <w:rPr>
          <w:rFonts w:ascii="Verdana" w:hAnsi="Verdana"/>
          <w:sz w:val="16"/>
          <w:szCs w:val="16"/>
          <w:lang w:val="es-ES"/>
        </w:rPr>
      </w:pPr>
    </w:p>
  </w:footnote>
  <w:footnote w:id="8">
    <w:p w14:paraId="388574D4" w14:textId="77777777" w:rsidR="00164E23" w:rsidRPr="00206556" w:rsidRDefault="00164E23" w:rsidP="00A07A6E">
      <w:pPr>
        <w:pStyle w:val="Textonotapie"/>
        <w:ind w:firstLine="709"/>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16B2"/>
    <w:rsid w:val="00046945"/>
    <w:rsid w:val="000509A1"/>
    <w:rsid w:val="00053AC1"/>
    <w:rsid w:val="00061B2A"/>
    <w:rsid w:val="00082362"/>
    <w:rsid w:val="000A0C65"/>
    <w:rsid w:val="000A683E"/>
    <w:rsid w:val="000B0524"/>
    <w:rsid w:val="000B19B9"/>
    <w:rsid w:val="000C6B53"/>
    <w:rsid w:val="000D01C1"/>
    <w:rsid w:val="000D0334"/>
    <w:rsid w:val="000D1C00"/>
    <w:rsid w:val="000D5DA7"/>
    <w:rsid w:val="000E4951"/>
    <w:rsid w:val="000F3396"/>
    <w:rsid w:val="000F6486"/>
    <w:rsid w:val="000F7E9F"/>
    <w:rsid w:val="00111A55"/>
    <w:rsid w:val="00116940"/>
    <w:rsid w:val="00122B9A"/>
    <w:rsid w:val="00125105"/>
    <w:rsid w:val="00125336"/>
    <w:rsid w:val="00126041"/>
    <w:rsid w:val="00127233"/>
    <w:rsid w:val="00133911"/>
    <w:rsid w:val="001474A4"/>
    <w:rsid w:val="00150786"/>
    <w:rsid w:val="0015699B"/>
    <w:rsid w:val="00157128"/>
    <w:rsid w:val="0016103B"/>
    <w:rsid w:val="00164E23"/>
    <w:rsid w:val="001803BD"/>
    <w:rsid w:val="00182B5C"/>
    <w:rsid w:val="0018359A"/>
    <w:rsid w:val="0018583C"/>
    <w:rsid w:val="001A33BF"/>
    <w:rsid w:val="001C3294"/>
    <w:rsid w:val="001E4177"/>
    <w:rsid w:val="001F0B24"/>
    <w:rsid w:val="001F7DC6"/>
    <w:rsid w:val="0022400B"/>
    <w:rsid w:val="002421BB"/>
    <w:rsid w:val="0025796E"/>
    <w:rsid w:val="002707A2"/>
    <w:rsid w:val="00290DF7"/>
    <w:rsid w:val="002945CE"/>
    <w:rsid w:val="002951A0"/>
    <w:rsid w:val="002962BC"/>
    <w:rsid w:val="00296619"/>
    <w:rsid w:val="002A093D"/>
    <w:rsid w:val="002A0DD0"/>
    <w:rsid w:val="002A49AC"/>
    <w:rsid w:val="002A64FD"/>
    <w:rsid w:val="002C052E"/>
    <w:rsid w:val="002C69E0"/>
    <w:rsid w:val="002C7A84"/>
    <w:rsid w:val="002E27F9"/>
    <w:rsid w:val="002E2BF8"/>
    <w:rsid w:val="002E47C3"/>
    <w:rsid w:val="002E4FD9"/>
    <w:rsid w:val="002F4D9E"/>
    <w:rsid w:val="00303D3C"/>
    <w:rsid w:val="0030657A"/>
    <w:rsid w:val="00322A85"/>
    <w:rsid w:val="00324168"/>
    <w:rsid w:val="0032703F"/>
    <w:rsid w:val="003270CC"/>
    <w:rsid w:val="00330834"/>
    <w:rsid w:val="00335ADD"/>
    <w:rsid w:val="00335C0D"/>
    <w:rsid w:val="003448F4"/>
    <w:rsid w:val="003606F3"/>
    <w:rsid w:val="003729CA"/>
    <w:rsid w:val="00374F5E"/>
    <w:rsid w:val="00377E3E"/>
    <w:rsid w:val="003A1653"/>
    <w:rsid w:val="003A779E"/>
    <w:rsid w:val="003D0F4D"/>
    <w:rsid w:val="003D1B7C"/>
    <w:rsid w:val="003D5B0D"/>
    <w:rsid w:val="003E0499"/>
    <w:rsid w:val="003E4F80"/>
    <w:rsid w:val="003E6439"/>
    <w:rsid w:val="003F3941"/>
    <w:rsid w:val="00406575"/>
    <w:rsid w:val="0041020F"/>
    <w:rsid w:val="00414C74"/>
    <w:rsid w:val="0042722E"/>
    <w:rsid w:val="004375E9"/>
    <w:rsid w:val="0044528D"/>
    <w:rsid w:val="00456D3A"/>
    <w:rsid w:val="004619E3"/>
    <w:rsid w:val="00466E39"/>
    <w:rsid w:val="00494D98"/>
    <w:rsid w:val="004A1847"/>
    <w:rsid w:val="004A305D"/>
    <w:rsid w:val="004A701A"/>
    <w:rsid w:val="004D4988"/>
    <w:rsid w:val="004D75D8"/>
    <w:rsid w:val="004E53FB"/>
    <w:rsid w:val="004F056A"/>
    <w:rsid w:val="004F21C4"/>
    <w:rsid w:val="004F685F"/>
    <w:rsid w:val="00500BFE"/>
    <w:rsid w:val="005026A7"/>
    <w:rsid w:val="00505D00"/>
    <w:rsid w:val="005242AD"/>
    <w:rsid w:val="00526A2A"/>
    <w:rsid w:val="005325DF"/>
    <w:rsid w:val="005566E8"/>
    <w:rsid w:val="005634B8"/>
    <w:rsid w:val="0057033C"/>
    <w:rsid w:val="00574851"/>
    <w:rsid w:val="00574867"/>
    <w:rsid w:val="005773F3"/>
    <w:rsid w:val="00581D4B"/>
    <w:rsid w:val="005833B7"/>
    <w:rsid w:val="00590511"/>
    <w:rsid w:val="00591460"/>
    <w:rsid w:val="00595BAC"/>
    <w:rsid w:val="005A65E0"/>
    <w:rsid w:val="005A79D2"/>
    <w:rsid w:val="005B09E0"/>
    <w:rsid w:val="005C3777"/>
    <w:rsid w:val="005C4399"/>
    <w:rsid w:val="005C5CDC"/>
    <w:rsid w:val="005D476C"/>
    <w:rsid w:val="005E53B6"/>
    <w:rsid w:val="006025B0"/>
    <w:rsid w:val="00603B26"/>
    <w:rsid w:val="006200BF"/>
    <w:rsid w:val="006219F8"/>
    <w:rsid w:val="006302F7"/>
    <w:rsid w:val="0063518A"/>
    <w:rsid w:val="0063630C"/>
    <w:rsid w:val="00640533"/>
    <w:rsid w:val="006465B7"/>
    <w:rsid w:val="00646B9F"/>
    <w:rsid w:val="0065252D"/>
    <w:rsid w:val="006533ED"/>
    <w:rsid w:val="00665D70"/>
    <w:rsid w:val="00666747"/>
    <w:rsid w:val="006700BA"/>
    <w:rsid w:val="0068724C"/>
    <w:rsid w:val="006900D9"/>
    <w:rsid w:val="00691BB4"/>
    <w:rsid w:val="006923C0"/>
    <w:rsid w:val="006B1034"/>
    <w:rsid w:val="006D3C49"/>
    <w:rsid w:val="006F558C"/>
    <w:rsid w:val="00706C16"/>
    <w:rsid w:val="00710C2C"/>
    <w:rsid w:val="0071236F"/>
    <w:rsid w:val="007171B8"/>
    <w:rsid w:val="007201F7"/>
    <w:rsid w:val="007204C2"/>
    <w:rsid w:val="00726168"/>
    <w:rsid w:val="0072655D"/>
    <w:rsid w:val="00727317"/>
    <w:rsid w:val="007340C3"/>
    <w:rsid w:val="007450CC"/>
    <w:rsid w:val="0075235A"/>
    <w:rsid w:val="00756841"/>
    <w:rsid w:val="007649AB"/>
    <w:rsid w:val="00771D0C"/>
    <w:rsid w:val="00773727"/>
    <w:rsid w:val="007833AC"/>
    <w:rsid w:val="007847CE"/>
    <w:rsid w:val="007A7025"/>
    <w:rsid w:val="007B211A"/>
    <w:rsid w:val="007B268C"/>
    <w:rsid w:val="007B4751"/>
    <w:rsid w:val="007B7171"/>
    <w:rsid w:val="007C0C0F"/>
    <w:rsid w:val="007C3DC2"/>
    <w:rsid w:val="007C656C"/>
    <w:rsid w:val="007E5497"/>
    <w:rsid w:val="007F2669"/>
    <w:rsid w:val="007F4846"/>
    <w:rsid w:val="00806491"/>
    <w:rsid w:val="00806F5F"/>
    <w:rsid w:val="00811CD9"/>
    <w:rsid w:val="008145AE"/>
    <w:rsid w:val="00820278"/>
    <w:rsid w:val="008258C9"/>
    <w:rsid w:val="00827E65"/>
    <w:rsid w:val="00844AE9"/>
    <w:rsid w:val="00853F4D"/>
    <w:rsid w:val="008553BA"/>
    <w:rsid w:val="00862E72"/>
    <w:rsid w:val="00867F95"/>
    <w:rsid w:val="00871029"/>
    <w:rsid w:val="00871529"/>
    <w:rsid w:val="0088322E"/>
    <w:rsid w:val="008843B6"/>
    <w:rsid w:val="00886A86"/>
    <w:rsid w:val="00891928"/>
    <w:rsid w:val="00894CE9"/>
    <w:rsid w:val="008A446D"/>
    <w:rsid w:val="008A7747"/>
    <w:rsid w:val="008B2501"/>
    <w:rsid w:val="008B25F1"/>
    <w:rsid w:val="008D180B"/>
    <w:rsid w:val="008D1F54"/>
    <w:rsid w:val="008F0EA7"/>
    <w:rsid w:val="008F630C"/>
    <w:rsid w:val="00913C15"/>
    <w:rsid w:val="00915175"/>
    <w:rsid w:val="00916872"/>
    <w:rsid w:val="00923EEF"/>
    <w:rsid w:val="009400EF"/>
    <w:rsid w:val="009419F9"/>
    <w:rsid w:val="00942E9F"/>
    <w:rsid w:val="009534FC"/>
    <w:rsid w:val="0095685E"/>
    <w:rsid w:val="009616E5"/>
    <w:rsid w:val="00961B09"/>
    <w:rsid w:val="00965334"/>
    <w:rsid w:val="0097093E"/>
    <w:rsid w:val="009724CD"/>
    <w:rsid w:val="009767C2"/>
    <w:rsid w:val="009A0DFA"/>
    <w:rsid w:val="009A1C6F"/>
    <w:rsid w:val="009B2D26"/>
    <w:rsid w:val="009C71FA"/>
    <w:rsid w:val="009C72E7"/>
    <w:rsid w:val="009C7F7E"/>
    <w:rsid w:val="009D3058"/>
    <w:rsid w:val="009E2368"/>
    <w:rsid w:val="009E2D14"/>
    <w:rsid w:val="009F3A13"/>
    <w:rsid w:val="00A07A6E"/>
    <w:rsid w:val="00A122D3"/>
    <w:rsid w:val="00A14468"/>
    <w:rsid w:val="00A17F13"/>
    <w:rsid w:val="00A20739"/>
    <w:rsid w:val="00A23AF9"/>
    <w:rsid w:val="00A26DE9"/>
    <w:rsid w:val="00A30FEE"/>
    <w:rsid w:val="00A33C78"/>
    <w:rsid w:val="00A35EC3"/>
    <w:rsid w:val="00A6021A"/>
    <w:rsid w:val="00A612CD"/>
    <w:rsid w:val="00A6494C"/>
    <w:rsid w:val="00A760BB"/>
    <w:rsid w:val="00A8025C"/>
    <w:rsid w:val="00AA5C88"/>
    <w:rsid w:val="00AB0ADB"/>
    <w:rsid w:val="00AB1E90"/>
    <w:rsid w:val="00AB4696"/>
    <w:rsid w:val="00AE7F45"/>
    <w:rsid w:val="00AF0A23"/>
    <w:rsid w:val="00AF2DB4"/>
    <w:rsid w:val="00AF74E2"/>
    <w:rsid w:val="00B00C0E"/>
    <w:rsid w:val="00B01B1A"/>
    <w:rsid w:val="00B0381D"/>
    <w:rsid w:val="00B157DF"/>
    <w:rsid w:val="00B22EAF"/>
    <w:rsid w:val="00B352DD"/>
    <w:rsid w:val="00B44A47"/>
    <w:rsid w:val="00B53DCF"/>
    <w:rsid w:val="00B72CD3"/>
    <w:rsid w:val="00B72FFF"/>
    <w:rsid w:val="00B73555"/>
    <w:rsid w:val="00B80858"/>
    <w:rsid w:val="00B8187E"/>
    <w:rsid w:val="00B84F28"/>
    <w:rsid w:val="00B8790B"/>
    <w:rsid w:val="00BB06B9"/>
    <w:rsid w:val="00BC1ABF"/>
    <w:rsid w:val="00BC3D36"/>
    <w:rsid w:val="00BD0136"/>
    <w:rsid w:val="00BD06BD"/>
    <w:rsid w:val="00BD54A6"/>
    <w:rsid w:val="00BD7F72"/>
    <w:rsid w:val="00BF7425"/>
    <w:rsid w:val="00C019B2"/>
    <w:rsid w:val="00C04FB3"/>
    <w:rsid w:val="00C05814"/>
    <w:rsid w:val="00C0617C"/>
    <w:rsid w:val="00C10FA2"/>
    <w:rsid w:val="00C11D8B"/>
    <w:rsid w:val="00C15139"/>
    <w:rsid w:val="00C330EB"/>
    <w:rsid w:val="00C478AD"/>
    <w:rsid w:val="00C50D69"/>
    <w:rsid w:val="00C5365C"/>
    <w:rsid w:val="00C65393"/>
    <w:rsid w:val="00C7016F"/>
    <w:rsid w:val="00C754BE"/>
    <w:rsid w:val="00C764E1"/>
    <w:rsid w:val="00C76B1C"/>
    <w:rsid w:val="00C8303C"/>
    <w:rsid w:val="00C925AC"/>
    <w:rsid w:val="00C929BC"/>
    <w:rsid w:val="00C97362"/>
    <w:rsid w:val="00CB6152"/>
    <w:rsid w:val="00CB6357"/>
    <w:rsid w:val="00CB64D7"/>
    <w:rsid w:val="00CC1B26"/>
    <w:rsid w:val="00CC2839"/>
    <w:rsid w:val="00CD11FC"/>
    <w:rsid w:val="00CE4D68"/>
    <w:rsid w:val="00D12E0D"/>
    <w:rsid w:val="00D251CB"/>
    <w:rsid w:val="00D31D71"/>
    <w:rsid w:val="00D361FD"/>
    <w:rsid w:val="00D423A2"/>
    <w:rsid w:val="00D44E26"/>
    <w:rsid w:val="00D520D8"/>
    <w:rsid w:val="00D63AC2"/>
    <w:rsid w:val="00D65302"/>
    <w:rsid w:val="00D7383B"/>
    <w:rsid w:val="00D74E0C"/>
    <w:rsid w:val="00D7788A"/>
    <w:rsid w:val="00D844F9"/>
    <w:rsid w:val="00D91296"/>
    <w:rsid w:val="00D946AC"/>
    <w:rsid w:val="00DA231B"/>
    <w:rsid w:val="00DB1383"/>
    <w:rsid w:val="00DB47ED"/>
    <w:rsid w:val="00DB55D1"/>
    <w:rsid w:val="00DC083E"/>
    <w:rsid w:val="00DC2097"/>
    <w:rsid w:val="00DC39FC"/>
    <w:rsid w:val="00DE2EE0"/>
    <w:rsid w:val="00DF1A20"/>
    <w:rsid w:val="00DF5254"/>
    <w:rsid w:val="00E00DEA"/>
    <w:rsid w:val="00E02524"/>
    <w:rsid w:val="00E1440E"/>
    <w:rsid w:val="00E16408"/>
    <w:rsid w:val="00E20894"/>
    <w:rsid w:val="00E21B1F"/>
    <w:rsid w:val="00E245AB"/>
    <w:rsid w:val="00E26217"/>
    <w:rsid w:val="00E2764C"/>
    <w:rsid w:val="00E27F2E"/>
    <w:rsid w:val="00E37168"/>
    <w:rsid w:val="00E40AC1"/>
    <w:rsid w:val="00E45DDE"/>
    <w:rsid w:val="00E50AFE"/>
    <w:rsid w:val="00E567BE"/>
    <w:rsid w:val="00E75C92"/>
    <w:rsid w:val="00E771DC"/>
    <w:rsid w:val="00E81338"/>
    <w:rsid w:val="00E8772A"/>
    <w:rsid w:val="00E877D4"/>
    <w:rsid w:val="00E90F6B"/>
    <w:rsid w:val="00E92C27"/>
    <w:rsid w:val="00E94DAD"/>
    <w:rsid w:val="00E97288"/>
    <w:rsid w:val="00E973FF"/>
    <w:rsid w:val="00EA0E3D"/>
    <w:rsid w:val="00EC38A7"/>
    <w:rsid w:val="00ED72A7"/>
    <w:rsid w:val="00EE1AA8"/>
    <w:rsid w:val="00EF0F2F"/>
    <w:rsid w:val="00F23FEA"/>
    <w:rsid w:val="00F30B59"/>
    <w:rsid w:val="00F31EDC"/>
    <w:rsid w:val="00F462B3"/>
    <w:rsid w:val="00F5664F"/>
    <w:rsid w:val="00F666C4"/>
    <w:rsid w:val="00F76AFC"/>
    <w:rsid w:val="00F86907"/>
    <w:rsid w:val="00FA214D"/>
    <w:rsid w:val="00FA47C0"/>
    <w:rsid w:val="00FA7E0B"/>
    <w:rsid w:val="00FB5DD1"/>
    <w:rsid w:val="00FC2B5D"/>
    <w:rsid w:val="00FE647A"/>
    <w:rsid w:val="00FF1449"/>
    <w:rsid w:val="00FF208E"/>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4BCD7692"/>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716DB8D-79F8-445A-8BB0-2E9A66012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64E2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onserrathriveros1811@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C9B35FC-0CC6-44FB-932F-FB8B473FA47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372</TotalTime>
  <Pages>19</Pages>
  <Words>6224</Words>
  <Characters>34232</Characters>
  <Application>Microsoft Office Word</Application>
  <DocSecurity>0</DocSecurity>
  <Lines>285</Lines>
  <Paragraphs>80</Paragraphs>
  <ScaleCrop>false</ScaleCrop>
  <Company/>
  <LinksUpToDate>false</LinksUpToDate>
  <CharactersWithSpaces>40376</CharactersWithSpaces>
  <SharedDoc>false</SharedDoc>
  <HLinks>
    <vt:vector size="36" baseType="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4456541</vt:i4>
      </vt:variant>
      <vt:variant>
        <vt:i4>6</vt:i4>
      </vt:variant>
      <vt:variant>
        <vt:i4>0</vt:i4>
      </vt:variant>
      <vt:variant>
        <vt:i4>5</vt:i4>
      </vt:variant>
      <vt:variant>
        <vt:lpwstr>https://www.youtube.com/live/vpxD3PlXqPI?si=49f8ghb7Iiit6Ja9</vt:lpwstr>
      </vt:variant>
      <vt:variant>
        <vt:lpwstr/>
      </vt:variant>
      <vt:variant>
        <vt:i4>1441861</vt:i4>
      </vt:variant>
      <vt:variant>
        <vt:i4>3</vt:i4>
      </vt:variant>
      <vt:variant>
        <vt:i4>0</vt:i4>
      </vt:variant>
      <vt:variant>
        <vt:i4>5</vt:i4>
      </vt:variant>
      <vt:variant>
        <vt:lpwstr>https://www.colombiacompra.gov.co/archivos/infografia/abc-del-decreto-0287-de-2026-contratacion-publica-inclusiva-para-personas-con-discapacidad</vt:lpwstr>
      </vt:variant>
      <vt:variant>
        <vt:lpwstr/>
      </vt:variant>
      <vt:variant>
        <vt:i4>7995476</vt:i4>
      </vt:variant>
      <vt:variant>
        <vt:i4>0</vt:i4>
      </vt:variant>
      <vt:variant>
        <vt:i4>0</vt:i4>
      </vt:variant>
      <vt:variant>
        <vt:i4>5</vt:i4>
      </vt:variant>
      <vt:variant>
        <vt:lpwstr>mailto:infralarlicitaciones@gmail.com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66</cp:revision>
  <cp:lastPrinted>2023-01-10T21:18:00Z</cp:lastPrinted>
  <dcterms:created xsi:type="dcterms:W3CDTF">2026-05-20T22:50:00Z</dcterms:created>
  <dcterms:modified xsi:type="dcterms:W3CDTF">2026-05-27T21:36:00Z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