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9D51F" w14:textId="6E29413F" w:rsidR="00EE0007" w:rsidRPr="00EF698D" w:rsidRDefault="00C15139" w:rsidP="00EE0007">
      <w:pPr>
        <w:rPr>
          <w:rFonts w:ascii="Verdana" w:eastAsia="Aptos" w:hAnsi="Verdana" w:cs="Arial"/>
          <w:b/>
          <w:bCs/>
          <w:lang w:val="es-MX" w:eastAsia="es-ES"/>
        </w:rPr>
      </w:pPr>
      <w:bookmarkStart w:id="0" w:name="_Hlk143780582"/>
      <w:r>
        <w:tab/>
      </w:r>
      <w:r>
        <w:br/>
      </w:r>
      <w:r w:rsidR="00EE0007" w:rsidRPr="00DB7533">
        <w:rPr>
          <w:rFonts w:ascii="Verdana" w:eastAsia="Aptos" w:hAnsi="Verdana" w:cs="Arial"/>
          <w:b/>
          <w:bCs/>
          <w:lang w:val="es-MX" w:eastAsia="es-ES"/>
        </w:rPr>
        <w:t xml:space="preserve">LEY DE GARANTÍAS ELECTORALES ‒ Finalidad </w:t>
      </w:r>
    </w:p>
    <w:p w14:paraId="00C1F070" w14:textId="77777777" w:rsidR="00EE0007" w:rsidRDefault="00EE0007" w:rsidP="00EE0007">
      <w:pPr>
        <w:jc w:val="both"/>
        <w:rPr>
          <w:rFonts w:ascii="Verdana" w:eastAsia="Calibri" w:hAnsi="Verdana" w:cs="Arial"/>
          <w:sz w:val="20"/>
          <w:szCs w:val="20"/>
        </w:rPr>
      </w:pPr>
      <w:r w:rsidRPr="00410D8E">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410D8E">
        <w:rPr>
          <w:rFonts w:ascii="Verdana" w:eastAsia="Calibri" w:hAnsi="Verdana" w:cs="Arial"/>
          <w:i/>
          <w:sz w:val="20"/>
          <w:szCs w:val="20"/>
        </w:rPr>
        <w:t xml:space="preserve">. </w:t>
      </w:r>
      <w:r w:rsidRPr="00410D8E">
        <w:rPr>
          <w:rFonts w:ascii="Verdana" w:eastAsia="Calibri" w:hAnsi="Verdana" w:cs="Arial"/>
          <w:sz w:val="20"/>
          <w:szCs w:val="20"/>
        </w:rPr>
        <w:t>Por ejemplo, el artículo 127 de la Constitución Política establece una prohibición contractual a los servidores públicos y, en cuanto a aspectos políticos, establece restricciones a ciertos empleados del Estado, incluso en época no electoral</w:t>
      </w:r>
    </w:p>
    <w:p w14:paraId="2B31BAED" w14:textId="77777777" w:rsidR="00EE0007" w:rsidRDefault="00EE0007" w:rsidP="00EE0007">
      <w:pPr>
        <w:jc w:val="both"/>
        <w:rPr>
          <w:rFonts w:ascii="Verdana" w:eastAsia="Calibri" w:hAnsi="Verdana" w:cs="Arial"/>
          <w:sz w:val="20"/>
          <w:szCs w:val="20"/>
        </w:rPr>
      </w:pPr>
    </w:p>
    <w:p w14:paraId="2DDCDF74" w14:textId="77777777" w:rsidR="00EE0007" w:rsidRDefault="00EE0007" w:rsidP="00EE0007">
      <w:pPr>
        <w:jc w:val="both"/>
        <w:rPr>
          <w:rFonts w:ascii="Verdana" w:eastAsia="Aptos" w:hAnsi="Verdana" w:cs="Arial"/>
          <w:b/>
          <w:bCs/>
          <w:lang w:val="es-MX" w:eastAsia="es-ES"/>
        </w:rPr>
      </w:pPr>
      <w:r w:rsidRPr="00410D8E">
        <w:rPr>
          <w:rFonts w:ascii="Verdana" w:eastAsia="Aptos" w:hAnsi="Verdana" w:cs="Arial"/>
          <w:b/>
          <w:bCs/>
          <w:lang w:val="es-MX" w:eastAsia="es-ES"/>
        </w:rPr>
        <w:t xml:space="preserve">LEY DE GARANTÍAS ELECTORALES ‒ Tipos de restricciones ‒ Ámbito temporal – Celebración </w:t>
      </w:r>
      <w:r>
        <w:rPr>
          <w:rFonts w:ascii="Verdana" w:eastAsia="Aptos" w:hAnsi="Verdana" w:cs="Arial"/>
          <w:b/>
          <w:bCs/>
          <w:lang w:val="es-MX" w:eastAsia="es-ES"/>
        </w:rPr>
        <w:t>–</w:t>
      </w:r>
      <w:r w:rsidRPr="00410D8E">
        <w:rPr>
          <w:rFonts w:ascii="Verdana" w:eastAsia="Aptos" w:hAnsi="Verdana" w:cs="Arial"/>
          <w:b/>
          <w:bCs/>
          <w:lang w:val="es-MX" w:eastAsia="es-ES"/>
        </w:rPr>
        <w:t xml:space="preserve"> Límite</w:t>
      </w:r>
    </w:p>
    <w:p w14:paraId="0D7543D1" w14:textId="77777777" w:rsidR="00EE0007" w:rsidRPr="00E93D58" w:rsidRDefault="00EE0007" w:rsidP="00EE0007">
      <w:pPr>
        <w:spacing w:after="0" w:line="240" w:lineRule="auto"/>
        <w:jc w:val="both"/>
        <w:rPr>
          <w:rFonts w:ascii="Verdana" w:eastAsia="Times New Roman" w:hAnsi="Verdana" w:cs="Arial"/>
          <w:sz w:val="20"/>
          <w:szCs w:val="20"/>
          <w:lang w:val="es-MX" w:eastAsia="es-CO"/>
        </w:rPr>
      </w:pPr>
      <w:r w:rsidRPr="00E93D58">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66B75C83" w14:textId="77777777" w:rsidR="00EE0007" w:rsidRPr="00E93D58" w:rsidRDefault="00EE0007" w:rsidP="00EE0007">
      <w:pPr>
        <w:spacing w:after="0" w:line="240" w:lineRule="auto"/>
        <w:jc w:val="both"/>
        <w:rPr>
          <w:rFonts w:ascii="Verdana" w:eastAsia="Times New Roman" w:hAnsi="Verdana" w:cs="Arial"/>
          <w:sz w:val="20"/>
          <w:szCs w:val="20"/>
          <w:lang w:val="es-MX" w:eastAsia="es-CO"/>
        </w:rPr>
      </w:pPr>
    </w:p>
    <w:p w14:paraId="2364FCE6" w14:textId="77777777" w:rsidR="00EE0007" w:rsidRDefault="00EE0007" w:rsidP="00EE0007">
      <w:pPr>
        <w:spacing w:after="0" w:line="240" w:lineRule="auto"/>
        <w:contextualSpacing/>
        <w:jc w:val="both"/>
        <w:rPr>
          <w:rFonts w:ascii="Verdana" w:eastAsia="Times New Roman" w:hAnsi="Verdana" w:cs="Arial"/>
          <w:sz w:val="20"/>
          <w:szCs w:val="20"/>
          <w:lang w:val="es-MX" w:eastAsia="es-CO"/>
        </w:rPr>
      </w:pPr>
      <w:r w:rsidRPr="00E93D58">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446C38A" w14:textId="77777777" w:rsidR="00EE0007" w:rsidRPr="00E93D58" w:rsidRDefault="00EE0007" w:rsidP="00EE0007">
      <w:pPr>
        <w:spacing w:after="0" w:line="240" w:lineRule="auto"/>
        <w:contextualSpacing/>
        <w:jc w:val="both"/>
        <w:rPr>
          <w:rFonts w:ascii="Verdana" w:eastAsia="Times New Roman" w:hAnsi="Verdana" w:cs="Arial"/>
          <w:sz w:val="20"/>
          <w:szCs w:val="20"/>
          <w:lang w:val="es-MX" w:eastAsia="es-CO"/>
        </w:rPr>
      </w:pPr>
    </w:p>
    <w:p w14:paraId="59C889FB" w14:textId="77777777" w:rsidR="00EE0007" w:rsidRPr="00E93D58" w:rsidRDefault="00EE0007" w:rsidP="00EE0007">
      <w:pPr>
        <w:spacing w:after="0" w:line="240" w:lineRule="auto"/>
        <w:contextualSpacing/>
        <w:jc w:val="both"/>
        <w:rPr>
          <w:rFonts w:ascii="Verdana" w:eastAsia="Times New Roman" w:hAnsi="Verdana" w:cs="Arial"/>
          <w:sz w:val="20"/>
          <w:szCs w:val="20"/>
          <w:lang w:val="es-MX" w:eastAsia="es-CO"/>
        </w:rPr>
      </w:pPr>
    </w:p>
    <w:p w14:paraId="7D623DF8" w14:textId="77777777" w:rsidR="00EE0007" w:rsidRDefault="00EE0007" w:rsidP="00EE0007">
      <w:pPr>
        <w:spacing w:after="0" w:line="276" w:lineRule="auto"/>
        <w:jc w:val="both"/>
        <w:rPr>
          <w:rFonts w:ascii="Verdana" w:eastAsia="Aptos" w:hAnsi="Verdana" w:cs="Arial"/>
          <w:b/>
          <w:bCs/>
          <w:lang w:val="es-MX" w:eastAsia="es-ES"/>
        </w:rPr>
      </w:pPr>
      <w:r w:rsidRPr="00653699">
        <w:rPr>
          <w:rFonts w:ascii="Verdana" w:eastAsia="Aptos" w:hAnsi="Verdana" w:cs="Arial"/>
          <w:b/>
          <w:bCs/>
          <w:lang w:val="es-MX" w:eastAsia="es-ES"/>
        </w:rPr>
        <w:t>LEY DE GARANTÍAS ELECTORALES – Prohibición – Artículo 33 – Contratación directa – Alcance</w:t>
      </w:r>
    </w:p>
    <w:p w14:paraId="3CF0407D" w14:textId="77777777" w:rsidR="00EE0007" w:rsidRDefault="00EE0007" w:rsidP="00EE0007">
      <w:pPr>
        <w:spacing w:after="0" w:line="276" w:lineRule="auto"/>
        <w:jc w:val="both"/>
        <w:rPr>
          <w:rFonts w:ascii="Verdana" w:eastAsia="Aptos" w:hAnsi="Verdana" w:cs="Arial"/>
          <w:b/>
          <w:bCs/>
          <w:lang w:val="es-MX" w:eastAsia="es-ES"/>
        </w:rPr>
      </w:pPr>
    </w:p>
    <w:p w14:paraId="67E6DCBD" w14:textId="77777777" w:rsidR="00EE0007" w:rsidRPr="00386C8E" w:rsidRDefault="00EE0007" w:rsidP="00EE0007">
      <w:pPr>
        <w:spacing w:after="120" w:line="276" w:lineRule="auto"/>
        <w:jc w:val="both"/>
        <w:rPr>
          <w:rFonts w:ascii="Verdana" w:eastAsia="Arial" w:hAnsi="Verdana" w:cs="Arial"/>
          <w:sz w:val="20"/>
          <w:szCs w:val="20"/>
          <w:lang w:val="es-ES" w:eastAsia="es-ES" w:bidi="es-ES"/>
        </w:rPr>
      </w:pPr>
      <w:r w:rsidRPr="00B27122">
        <w:rPr>
          <w:rFonts w:ascii="Verdana" w:eastAsia="Times New Roman" w:hAnsi="Verdana" w:cs="Arial"/>
          <w:sz w:val="20"/>
          <w:szCs w:val="20"/>
          <w:lang w:val="es-MX" w:eastAsia="es-CO"/>
        </w:rPr>
        <w:t>De</w:t>
      </w:r>
      <w:r w:rsidRPr="00B27122">
        <w:rPr>
          <w:rFonts w:ascii="Verdana" w:eastAsia="Arial" w:hAnsi="Verdana" w:cs="Arial"/>
          <w:sz w:val="20"/>
          <w:szCs w:val="20"/>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r>
        <w:rPr>
          <w:rFonts w:ascii="Verdana" w:eastAsia="Arial" w:hAnsi="Verdana" w:cs="Arial"/>
          <w:sz w:val="20"/>
          <w:szCs w:val="20"/>
          <w:lang w:val="es-ES" w:eastAsia="es-ES" w:bidi="es-ES"/>
        </w:rPr>
        <w:t>.</w:t>
      </w:r>
    </w:p>
    <w:p w14:paraId="1EAF3CFE" w14:textId="77777777" w:rsidR="00EE0007" w:rsidRDefault="00EE0007" w:rsidP="00EE0007">
      <w:pPr>
        <w:spacing w:after="0"/>
      </w:pPr>
      <w:r>
        <w:t xml:space="preserve">                                </w:t>
      </w:r>
    </w:p>
    <w:p w14:paraId="43C39931" w14:textId="77777777" w:rsidR="00EE0007" w:rsidRDefault="00EE0007" w:rsidP="00EE0007">
      <w:pPr>
        <w:spacing w:after="0"/>
      </w:pPr>
    </w:p>
    <w:p w14:paraId="326948D9" w14:textId="52141124" w:rsidR="00EE0007" w:rsidRPr="008E333B" w:rsidRDefault="00EE0007" w:rsidP="00EE0007">
      <w:pPr>
        <w:spacing w:after="0"/>
        <w:rPr>
          <w:rFonts w:ascii="Verdana" w:eastAsia="Calibri" w:hAnsi="Verdana" w:cs="Arial"/>
          <w:noProof/>
          <w:lang w:val="es-ES" w:eastAsia="es-ES"/>
        </w:rPr>
      </w:pPr>
      <w:r>
        <w:t xml:space="preserve">                                                                                                                                 </w:t>
      </w:r>
    </w:p>
    <w:p w14:paraId="58B7AC2F" w14:textId="77777777" w:rsidR="009E768E" w:rsidRDefault="009E768E" w:rsidP="00EE0007">
      <w:pPr>
        <w:spacing w:after="0" w:line="240" w:lineRule="auto"/>
        <w:rPr>
          <w:rFonts w:ascii="Verdana" w:eastAsia="Verdana" w:hAnsi="Verdana" w:cs="Verdana"/>
        </w:rPr>
      </w:pPr>
    </w:p>
    <w:p w14:paraId="02FC4413" w14:textId="518AAB00" w:rsidR="003158C3" w:rsidRDefault="003158C3" w:rsidP="003158C3">
      <w:pPr>
        <w:tabs>
          <w:tab w:val="left" w:pos="6983"/>
        </w:tabs>
        <w:spacing w:after="0" w:line="240" w:lineRule="auto"/>
        <w:ind w:left="5664"/>
        <w:rPr>
          <w:rFonts w:ascii="Verdana" w:eastAsia="Verdana" w:hAnsi="Verdana" w:cs="Verdana"/>
        </w:rPr>
      </w:pPr>
      <w:r>
        <w:rPr>
          <w:rFonts w:ascii="Verdana" w:eastAsia="Verdana" w:hAnsi="Verdana" w:cs="Verdana"/>
        </w:rPr>
        <w:tab/>
        <w:t xml:space="preserve">  </w:t>
      </w:r>
      <w:r w:rsidRPr="003158C3">
        <w:rPr>
          <w:rFonts w:ascii="Verdana" w:eastAsia="Verdana" w:hAnsi="Verdana" w:cs="Verdana"/>
          <w:noProof/>
        </w:rPr>
        <w:drawing>
          <wp:inline distT="0" distB="0" distL="0" distR="0" wp14:anchorId="1F65C448" wp14:editId="3E8C627C">
            <wp:extent cx="2035834" cy="562745"/>
            <wp:effectExtent l="0" t="0" r="2540" b="8890"/>
            <wp:docPr id="1394367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9094" cy="569175"/>
                    </a:xfrm>
                    <a:prstGeom prst="rect">
                      <a:avLst/>
                    </a:prstGeom>
                    <a:noFill/>
                    <a:ln>
                      <a:noFill/>
                    </a:ln>
                  </pic:spPr>
                </pic:pic>
              </a:graphicData>
            </a:graphic>
          </wp:inline>
        </w:drawing>
      </w:r>
    </w:p>
    <w:p w14:paraId="0C1C83E7" w14:textId="03CA4D18" w:rsidR="00EE0007" w:rsidRDefault="009E768E" w:rsidP="00EE0007">
      <w:pPr>
        <w:spacing w:after="0" w:line="240" w:lineRule="auto"/>
        <w:rPr>
          <w:rFonts w:ascii="Verdana" w:eastAsia="Calibri" w:hAnsi="Verdana" w:cs="Arial"/>
          <w:lang w:val="es-ES" w:eastAsia="es-ES"/>
        </w:rPr>
      </w:pPr>
      <w:r w:rsidRPr="0083693D">
        <w:rPr>
          <w:rFonts w:ascii="Verdana" w:eastAsia="Verdana" w:hAnsi="Verdana" w:cs="Verdana"/>
        </w:rPr>
        <w:t>Bogotá D.C., 2</w:t>
      </w:r>
      <w:r>
        <w:rPr>
          <w:rFonts w:ascii="Verdana" w:eastAsia="Verdana" w:hAnsi="Verdana" w:cs="Verdana"/>
        </w:rPr>
        <w:t>5</w:t>
      </w:r>
      <w:r w:rsidRPr="0083693D">
        <w:rPr>
          <w:rFonts w:ascii="Verdana" w:eastAsia="Verdana" w:hAnsi="Verdana" w:cs="Verdana"/>
        </w:rPr>
        <w:t xml:space="preserve"> </w:t>
      </w:r>
      <w:r>
        <w:rPr>
          <w:rFonts w:ascii="Verdana" w:eastAsia="Verdana" w:hAnsi="Verdana" w:cs="Verdana"/>
        </w:rPr>
        <w:t>Mayo</w:t>
      </w:r>
      <w:r w:rsidRPr="0083693D">
        <w:rPr>
          <w:rFonts w:ascii="Verdana" w:eastAsia="Verdana" w:hAnsi="Verdana" w:cs="Verdana"/>
        </w:rPr>
        <w:t xml:space="preserve"> 2026</w:t>
      </w:r>
      <w:r>
        <w:rPr>
          <w:rFonts w:ascii="Verdana" w:eastAsia="Verdana" w:hAnsi="Verdana" w:cs="Verdana"/>
        </w:rPr>
        <w:t xml:space="preserve">                                                                   </w:t>
      </w:r>
      <w:r w:rsidRPr="003F1883">
        <w:rPr>
          <w:rFonts w:ascii="Verdana" w:eastAsia="Calibri" w:hAnsi="Verdana" w:cs="Arial"/>
          <w:noProof/>
          <w:lang w:val="es-ES" w:eastAsia="es-ES"/>
        </w:rPr>
        <w:t xml:space="preserve"> </w:t>
      </w:r>
      <w:r>
        <w:rPr>
          <w:rFonts w:ascii="Verdana" w:eastAsia="Calibri" w:hAnsi="Verdana" w:cs="Arial"/>
          <w:noProof/>
          <w:lang w:val="es-ES" w:eastAsia="es-ES"/>
        </w:rPr>
        <w:t xml:space="preserve">           </w:t>
      </w:r>
    </w:p>
    <w:p w14:paraId="2162CC28" w14:textId="77777777" w:rsidR="009E768E" w:rsidRDefault="009E768E" w:rsidP="00EE0007">
      <w:pPr>
        <w:spacing w:after="0" w:line="240" w:lineRule="auto"/>
        <w:rPr>
          <w:rFonts w:ascii="Verdana" w:eastAsia="Calibri" w:hAnsi="Verdana" w:cs="Arial"/>
          <w:lang w:val="es-ES" w:eastAsia="es-ES"/>
        </w:rPr>
      </w:pPr>
    </w:p>
    <w:p w14:paraId="3CFCEAF1" w14:textId="77777777" w:rsidR="00EE0007" w:rsidRDefault="00EE0007" w:rsidP="00EE0007">
      <w:pPr>
        <w:spacing w:after="0" w:line="240" w:lineRule="auto"/>
        <w:rPr>
          <w:rFonts w:ascii="Verdana" w:eastAsia="Calibri" w:hAnsi="Verdana" w:cs="Arial"/>
          <w:lang w:val="es-ES" w:eastAsia="es-ES"/>
        </w:rPr>
      </w:pPr>
      <w:r w:rsidRPr="00801A0F">
        <w:rPr>
          <w:rFonts w:ascii="Verdana" w:eastAsia="Calibri" w:hAnsi="Verdana" w:cs="Arial"/>
          <w:lang w:val="es-ES" w:eastAsia="es-ES"/>
        </w:rPr>
        <w:t>Señor</w:t>
      </w:r>
    </w:p>
    <w:p w14:paraId="4DCDF7F7" w14:textId="77777777" w:rsidR="00EE0007" w:rsidRDefault="00EE0007" w:rsidP="00EE0007">
      <w:pPr>
        <w:spacing w:after="0" w:line="240" w:lineRule="auto"/>
        <w:rPr>
          <w:rFonts w:ascii="Verdana" w:eastAsia="Calibri" w:hAnsi="Verdana" w:cs="Arial"/>
          <w:b/>
          <w:bCs/>
          <w:lang w:val="es-ES" w:eastAsia="es-ES"/>
        </w:rPr>
      </w:pPr>
      <w:r w:rsidRPr="00C70500">
        <w:rPr>
          <w:rFonts w:ascii="Verdana" w:eastAsia="Calibri" w:hAnsi="Verdana" w:cs="Arial"/>
          <w:b/>
          <w:bCs/>
          <w:lang w:val="es-ES" w:eastAsia="es-ES"/>
        </w:rPr>
        <w:t>John Robinson Hernández Beltran</w:t>
      </w:r>
    </w:p>
    <w:p w14:paraId="71AEA574" w14:textId="77777777" w:rsidR="00EE0007" w:rsidRPr="002970BD" w:rsidRDefault="00EE0007" w:rsidP="00EE0007">
      <w:pPr>
        <w:spacing w:after="0" w:line="240" w:lineRule="auto"/>
        <w:rPr>
          <w:rFonts w:ascii="Verdana" w:eastAsia="Calibri" w:hAnsi="Verdana" w:cs="Arial"/>
          <w:lang w:val="es-ES" w:eastAsia="es-ES"/>
        </w:rPr>
      </w:pPr>
      <w:r w:rsidRPr="002970BD">
        <w:rPr>
          <w:rFonts w:ascii="Verdana" w:eastAsia="Calibri" w:hAnsi="Verdana" w:cs="Arial"/>
          <w:lang w:val="es-ES" w:eastAsia="es-ES"/>
        </w:rPr>
        <w:t>secsalud@vichada.gov.co</w:t>
      </w:r>
    </w:p>
    <w:p w14:paraId="540E5477" w14:textId="77777777" w:rsidR="00EE0007" w:rsidRPr="00657042" w:rsidRDefault="00EE0007" w:rsidP="00EE0007">
      <w:pPr>
        <w:spacing w:after="0" w:line="240" w:lineRule="auto"/>
        <w:rPr>
          <w:rFonts w:ascii="Verdana" w:eastAsia="Times New Roman" w:hAnsi="Verdana" w:cs="Calibri"/>
          <w:lang w:eastAsia="es-CO"/>
        </w:rPr>
      </w:pPr>
      <w:r w:rsidRPr="002970BD">
        <w:rPr>
          <w:rFonts w:ascii="Verdana" w:eastAsia="Times New Roman" w:hAnsi="Verdana" w:cs="Calibri"/>
          <w:lang w:eastAsia="es-CO"/>
        </w:rPr>
        <w:t>P</w:t>
      </w:r>
      <w:r>
        <w:rPr>
          <w:rFonts w:ascii="Verdana" w:eastAsia="Times New Roman" w:hAnsi="Verdana" w:cs="Calibri"/>
          <w:lang w:eastAsia="es-CO"/>
        </w:rPr>
        <w:t>uerto</w:t>
      </w:r>
      <w:r w:rsidRPr="002970BD">
        <w:rPr>
          <w:rFonts w:ascii="Verdana" w:eastAsia="Times New Roman" w:hAnsi="Verdana" w:cs="Calibri"/>
          <w:lang w:eastAsia="es-CO"/>
        </w:rPr>
        <w:t xml:space="preserve"> C</w:t>
      </w:r>
      <w:r>
        <w:rPr>
          <w:rFonts w:ascii="Verdana" w:eastAsia="Times New Roman" w:hAnsi="Verdana" w:cs="Calibri"/>
          <w:lang w:eastAsia="es-CO"/>
        </w:rPr>
        <w:t>arreño-Vichada</w:t>
      </w:r>
    </w:p>
    <w:p w14:paraId="44CB46DA" w14:textId="77777777" w:rsidR="00EE0007" w:rsidRPr="006209EF" w:rsidRDefault="00EE0007" w:rsidP="00EE0007">
      <w:pPr>
        <w:spacing w:after="0"/>
        <w:rPr>
          <w:rFonts w:ascii="Verdana" w:eastAsia="Calibri" w:hAnsi="Verdana" w:cs="Arial"/>
          <w:color w:val="ED7D31" w:themeColor="accent2"/>
          <w:lang w:val="es-MX" w:eastAsia="es-ES"/>
        </w:rPr>
      </w:pPr>
    </w:p>
    <w:p w14:paraId="4569E912" w14:textId="77777777" w:rsidR="00EE0007" w:rsidRPr="006733BD" w:rsidRDefault="00EE0007" w:rsidP="00EE0007">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E0007" w:rsidRPr="006733BD" w14:paraId="4AE9CDEE" w14:textId="77777777" w:rsidTr="00A14C88">
        <w:trPr>
          <w:trHeight w:val="300"/>
        </w:trPr>
        <w:tc>
          <w:tcPr>
            <w:tcW w:w="2410" w:type="dxa"/>
          </w:tcPr>
          <w:p w14:paraId="0B1F2325" w14:textId="77777777" w:rsidR="00EE0007" w:rsidRDefault="00EE0007" w:rsidP="00A14C88">
            <w:pPr>
              <w:ind w:left="-142"/>
              <w:jc w:val="both"/>
              <w:rPr>
                <w:rFonts w:ascii="Verdana" w:eastAsia="Calibri" w:hAnsi="Verdana" w:cs="Arial"/>
                <w:b/>
                <w:bCs/>
                <w:lang w:val="es-ES" w:eastAsia="es-ES_tradnl"/>
              </w:rPr>
            </w:pPr>
          </w:p>
          <w:p w14:paraId="4494007B" w14:textId="77777777" w:rsidR="00EE0007" w:rsidRPr="00A54BCB" w:rsidRDefault="00EE0007" w:rsidP="00A14C88">
            <w:pPr>
              <w:ind w:left="-142"/>
              <w:jc w:val="both"/>
              <w:rPr>
                <w:rFonts w:ascii="Verdana" w:eastAsia="Calibri" w:hAnsi="Verdana" w:cs="Arial"/>
                <w:b/>
                <w:bCs/>
                <w:lang w:val="es-ES" w:eastAsia="es-ES_tradnl"/>
              </w:rPr>
            </w:pPr>
          </w:p>
        </w:tc>
        <w:tc>
          <w:tcPr>
            <w:tcW w:w="6100" w:type="dxa"/>
          </w:tcPr>
          <w:p w14:paraId="7CE357CE" w14:textId="4BEDFE11" w:rsidR="00EE0007" w:rsidRPr="00A54BCB" w:rsidRDefault="00EE0007" w:rsidP="00A14C88">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sidR="004425EF">
              <w:rPr>
                <w:rFonts w:ascii="Verdana" w:eastAsia="Calibri" w:hAnsi="Verdana" w:cs="Arial"/>
                <w:b/>
                <w:bCs/>
                <w:lang w:val="es-ES" w:eastAsia="es-ES"/>
              </w:rPr>
              <w:t xml:space="preserve">616 </w:t>
            </w:r>
            <w:r w:rsidRPr="00A54BCB">
              <w:rPr>
                <w:rFonts w:ascii="Verdana" w:eastAsia="Calibri" w:hAnsi="Verdana" w:cs="Arial"/>
                <w:b/>
                <w:bCs/>
                <w:lang w:val="es-ES" w:eastAsia="es-ES"/>
              </w:rPr>
              <w:t>de 202</w:t>
            </w:r>
            <w:r>
              <w:rPr>
                <w:rFonts w:ascii="Verdana" w:eastAsia="Calibri" w:hAnsi="Verdana" w:cs="Arial"/>
                <w:b/>
                <w:bCs/>
                <w:lang w:val="es-ES" w:eastAsia="es-ES"/>
              </w:rPr>
              <w:t>6</w:t>
            </w:r>
          </w:p>
          <w:p w14:paraId="38AC73F8" w14:textId="77777777" w:rsidR="00EE0007" w:rsidRPr="00305400" w:rsidRDefault="00EE0007" w:rsidP="00A14C88">
            <w:pPr>
              <w:ind w:left="3"/>
              <w:jc w:val="both"/>
              <w:rPr>
                <w:rFonts w:ascii="Verdana" w:eastAsia="Calibri" w:hAnsi="Verdana" w:cs="Arial"/>
                <w:b/>
                <w:bCs/>
                <w:lang w:eastAsia="es-ES"/>
              </w:rPr>
            </w:pPr>
          </w:p>
        </w:tc>
      </w:tr>
      <w:tr w:rsidR="00EE0007" w:rsidRPr="006733BD" w14:paraId="5640CC99" w14:textId="77777777" w:rsidTr="00A14C88">
        <w:trPr>
          <w:trHeight w:val="300"/>
        </w:trPr>
        <w:tc>
          <w:tcPr>
            <w:tcW w:w="2410" w:type="dxa"/>
          </w:tcPr>
          <w:p w14:paraId="068DFF54" w14:textId="77777777" w:rsidR="00EE0007" w:rsidRPr="006733BD" w:rsidRDefault="00EE0007" w:rsidP="00A14C88">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1088E128" w14:textId="77777777" w:rsidR="00EE0007" w:rsidRPr="008D79BB" w:rsidRDefault="00EE0007" w:rsidP="00A14C88">
            <w:pPr>
              <w:spacing w:line="276" w:lineRule="auto"/>
              <w:jc w:val="both"/>
              <w:rPr>
                <w:rFonts w:ascii="Verdana" w:eastAsia="Calibri" w:hAnsi="Verdana" w:cs="Arial"/>
                <w:lang w:eastAsia="es-ES"/>
              </w:rPr>
            </w:pPr>
            <w:r w:rsidRPr="00343E12">
              <w:rPr>
                <w:rFonts w:ascii="Verdana" w:eastAsia="Aptos" w:hAnsi="Verdana" w:cs="Arial"/>
                <w:lang w:val="es-MX" w:eastAsia="es-ES"/>
              </w:rPr>
              <w:t xml:space="preserve">LEY DE GARANTÍAS ELECTORALES ‒ Finalidad / LEY DE GARANTÍAS ELECTORALES ‒ Tipos de restricciones ‒ Ámbito temporal – Celebración - Límite / LEY DE GARANTÍAS ELECTORALES – Prohibición – Artículo 33 – Contratación directa – Alcance / LEY DE GARANTÍAS ELECTORALES – Excepciones / </w:t>
            </w:r>
            <w:r w:rsidRPr="00343E12">
              <w:rPr>
                <w:rFonts w:ascii="Verdana" w:eastAsia="Times New Roman" w:hAnsi="Verdana" w:cs="Arial"/>
                <w:color w:val="000000"/>
                <w:lang w:val="es-ES"/>
              </w:rPr>
              <w:t xml:space="preserve">LEY DE GARANTÍAS ELECTORALES – Destinatarios - Entidades sanitarias y hospitalarias / </w:t>
            </w:r>
            <w:r w:rsidRPr="00343E12">
              <w:rPr>
                <w:rFonts w:ascii="Verdana" w:eastAsia="Aptos" w:hAnsi="Verdana" w:cs="Arial"/>
                <w:lang w:val="es-MX" w:eastAsia="es-ES_tradnl"/>
              </w:rPr>
              <w:t xml:space="preserve">CONVENIOS INTERADMINISTRATIVOS </w:t>
            </w:r>
          </w:p>
          <w:p w14:paraId="6E327260" w14:textId="77777777" w:rsidR="00EE0007" w:rsidRPr="00305400" w:rsidRDefault="00EE0007" w:rsidP="00A14C88">
            <w:pPr>
              <w:tabs>
                <w:tab w:val="left" w:pos="3374"/>
              </w:tabs>
              <w:jc w:val="both"/>
              <w:rPr>
                <w:rFonts w:ascii="Verdana" w:eastAsia="Calibri" w:hAnsi="Verdana" w:cs="Arial"/>
                <w:lang w:eastAsia="es-ES"/>
              </w:rPr>
            </w:pPr>
          </w:p>
          <w:p w14:paraId="205ACB95" w14:textId="77777777" w:rsidR="00EE0007" w:rsidRPr="008F679F" w:rsidRDefault="00EE0007" w:rsidP="00A14C88">
            <w:pPr>
              <w:tabs>
                <w:tab w:val="left" w:pos="3374"/>
              </w:tabs>
              <w:jc w:val="both"/>
              <w:rPr>
                <w:rFonts w:ascii="Verdana" w:eastAsia="Calibri" w:hAnsi="Verdana" w:cs="Arial"/>
                <w:color w:val="ED7D31" w:themeColor="accent2"/>
                <w:lang w:val="es-ES"/>
              </w:rPr>
            </w:pPr>
          </w:p>
        </w:tc>
      </w:tr>
      <w:tr w:rsidR="00EE0007" w:rsidRPr="00C5490E" w14:paraId="417C8F04" w14:textId="77777777" w:rsidTr="00A14C88">
        <w:tc>
          <w:tcPr>
            <w:tcW w:w="2410" w:type="dxa"/>
          </w:tcPr>
          <w:p w14:paraId="0EF5EFA3" w14:textId="77777777" w:rsidR="00EE0007" w:rsidRPr="006733BD" w:rsidRDefault="00EE0007" w:rsidP="00A14C88">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0BF702D4" w14:textId="77777777" w:rsidR="00EE0007" w:rsidRPr="0086757D" w:rsidRDefault="00EE0007" w:rsidP="00A14C88">
            <w:pPr>
              <w:ind w:left="3"/>
              <w:jc w:val="both"/>
              <w:rPr>
                <w:rFonts w:ascii="Verdana" w:hAnsi="Verdana"/>
                <w:lang w:val="es-ES"/>
              </w:rPr>
            </w:pPr>
            <w:r w:rsidRPr="00C5490E">
              <w:rPr>
                <w:rFonts w:ascii="Verdana" w:eastAsia="Calibri" w:hAnsi="Verdana" w:cs="Arial"/>
                <w:lang w:val="es-ES" w:eastAsia="es-ES"/>
              </w:rPr>
              <w:t>Respuesta a consulta con radicado No.</w:t>
            </w:r>
            <w:r>
              <w:rPr>
                <w:rFonts w:ascii="Verdana" w:eastAsia="Calibri" w:hAnsi="Verdana" w:cs="Arial"/>
                <w:lang w:val="es-ES" w:eastAsia="es-ES"/>
              </w:rPr>
              <w:t xml:space="preserve"> </w:t>
            </w:r>
            <w:r>
              <w:rPr>
                <w:rFonts w:ascii="Verdana" w:hAnsi="Verdana" w:cs="Calibri"/>
                <w:color w:val="000000"/>
              </w:rPr>
              <w:t>1_2026_04_14_005086</w:t>
            </w:r>
          </w:p>
          <w:p w14:paraId="1E3444DA" w14:textId="77777777" w:rsidR="00EE0007" w:rsidRPr="00972B2F" w:rsidRDefault="00EE0007" w:rsidP="00A14C88">
            <w:pPr>
              <w:ind w:left="3"/>
              <w:jc w:val="both"/>
              <w:rPr>
                <w:rFonts w:ascii="Verdana" w:hAnsi="Verdana"/>
                <w:lang w:val="es-ES"/>
              </w:rPr>
            </w:pPr>
          </w:p>
          <w:p w14:paraId="56421DC2" w14:textId="77777777" w:rsidR="00EE0007" w:rsidRPr="00C5490E" w:rsidRDefault="00EE0007" w:rsidP="00A14C88">
            <w:pPr>
              <w:ind w:left="3"/>
              <w:jc w:val="both"/>
              <w:rPr>
                <w:rFonts w:ascii="Verdana" w:hAnsi="Verdana"/>
                <w:lang w:val="es-ES"/>
              </w:rPr>
            </w:pPr>
          </w:p>
        </w:tc>
      </w:tr>
    </w:tbl>
    <w:p w14:paraId="628769BD" w14:textId="77777777" w:rsidR="00EE0007" w:rsidRPr="00C5490E" w:rsidRDefault="00EE0007" w:rsidP="00EE0007">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7FF056F7" w14:textId="77777777" w:rsidR="00EE0007" w:rsidRPr="00C5490E" w:rsidRDefault="00EE0007" w:rsidP="00EE0007">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424543BB" w14:textId="77777777" w:rsidR="00EE0007" w:rsidRDefault="00EE0007" w:rsidP="00EE0007">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14</w:t>
      </w:r>
      <w:r w:rsidRPr="00852F26">
        <w:rPr>
          <w:rFonts w:ascii="Verdana" w:eastAsia="Calibri" w:hAnsi="Verdana" w:cs="Arial"/>
          <w:lang w:val="es-ES" w:eastAsia="es-ES"/>
        </w:rPr>
        <w:t xml:space="preserve"> de </w:t>
      </w:r>
      <w:r>
        <w:rPr>
          <w:rFonts w:ascii="Verdana" w:eastAsia="Calibri" w:hAnsi="Verdana" w:cs="Arial"/>
          <w:lang w:val="es-ES" w:eastAsia="es-ES"/>
        </w:rPr>
        <w:t xml:space="preserve">abril </w:t>
      </w:r>
      <w:r w:rsidRPr="00852F26">
        <w:rPr>
          <w:rFonts w:ascii="Verdana" w:eastAsia="Calibri" w:hAnsi="Verdana" w:cs="Arial"/>
          <w:lang w:val="es-ES" w:eastAsia="es-ES"/>
        </w:rPr>
        <w:t>de 2026, en la cual manifiesta lo siguiente:</w:t>
      </w:r>
    </w:p>
    <w:p w14:paraId="76443C77" w14:textId="77777777" w:rsidR="00EE0007" w:rsidRDefault="00EE0007" w:rsidP="00EE0007">
      <w:pPr>
        <w:spacing w:before="120" w:after="120"/>
        <w:ind w:right="709"/>
        <w:contextualSpacing/>
        <w:jc w:val="both"/>
        <w:rPr>
          <w:rFonts w:ascii="Verdana" w:eastAsia="Calibri" w:hAnsi="Verdana" w:cs="Arial"/>
          <w:lang w:val="es-ES" w:eastAsia="es-ES"/>
        </w:rPr>
      </w:pPr>
    </w:p>
    <w:p w14:paraId="32D091C6" w14:textId="77777777" w:rsidR="00EE0007" w:rsidRPr="00EF698D" w:rsidRDefault="00EE0007" w:rsidP="00EE0007">
      <w:pPr>
        <w:spacing w:after="0" w:line="240" w:lineRule="auto"/>
        <w:ind w:left="737" w:right="737"/>
        <w:contextualSpacing/>
        <w:jc w:val="both"/>
        <w:rPr>
          <w:rFonts w:ascii="Verdana" w:eastAsia="Calibri" w:hAnsi="Verdana" w:cs="Arial"/>
          <w:sz w:val="20"/>
          <w:szCs w:val="20"/>
          <w:lang w:val="es-ES" w:eastAsia="es-ES"/>
        </w:rPr>
      </w:pPr>
      <w:r w:rsidRPr="004E1497">
        <w:rPr>
          <w:rFonts w:ascii="Verdana" w:eastAsia="Calibri" w:hAnsi="Verdana" w:cs="Arial"/>
          <w:lang w:val="es-ES" w:eastAsia="es-ES"/>
        </w:rPr>
        <w:t>“</w:t>
      </w:r>
      <w:r w:rsidRPr="00EF698D">
        <w:rPr>
          <w:rFonts w:ascii="Verdana" w:eastAsia="Calibri" w:hAnsi="Verdana" w:cs="Arial"/>
          <w:sz w:val="20"/>
          <w:szCs w:val="20"/>
          <w:lang w:val="es-ES" w:eastAsia="es-ES"/>
        </w:rPr>
        <w:t xml:space="preserve">El desarrollo de la etapa contractual, previo a la </w:t>
      </w:r>
      <w:proofErr w:type="gramStart"/>
      <w:r w:rsidRPr="00EF698D">
        <w:rPr>
          <w:rFonts w:ascii="Verdana" w:eastAsia="Calibri" w:hAnsi="Verdana" w:cs="Arial"/>
          <w:sz w:val="20"/>
          <w:szCs w:val="20"/>
          <w:lang w:val="es-ES" w:eastAsia="es-ES"/>
        </w:rPr>
        <w:t>entrada en vigencia</w:t>
      </w:r>
      <w:proofErr w:type="gramEnd"/>
      <w:r w:rsidRPr="00EF698D">
        <w:rPr>
          <w:rFonts w:ascii="Verdana" w:eastAsia="Calibri" w:hAnsi="Verdana" w:cs="Arial"/>
          <w:sz w:val="20"/>
          <w:szCs w:val="20"/>
          <w:lang w:val="es-ES" w:eastAsia="es-ES"/>
        </w:rPr>
        <w:t xml:space="preserve"> de la Ley de Garantías 2026, estuvo limitado toda vez que dos de los requisitos para los argumentos técnicos, financiero y legales no habían sido emitidos y publicados desde el nivel nacional, como lo era:</w:t>
      </w:r>
    </w:p>
    <w:p w14:paraId="06752C2E" w14:textId="77777777" w:rsidR="00EE0007" w:rsidRPr="00EF698D" w:rsidRDefault="00EE0007" w:rsidP="00EE0007">
      <w:pPr>
        <w:spacing w:after="0" w:line="240" w:lineRule="auto"/>
        <w:ind w:left="737" w:right="737"/>
        <w:contextualSpacing/>
        <w:jc w:val="both"/>
        <w:rPr>
          <w:rFonts w:ascii="Verdana" w:eastAsia="Calibri" w:hAnsi="Verdana" w:cs="Arial"/>
          <w:sz w:val="20"/>
          <w:szCs w:val="20"/>
          <w:lang w:val="es-ES" w:eastAsia="es-ES"/>
        </w:rPr>
      </w:pPr>
    </w:p>
    <w:p w14:paraId="582C8C9E" w14:textId="77777777" w:rsidR="00EE0007" w:rsidRPr="00EF698D" w:rsidRDefault="00EE0007" w:rsidP="00EE0007">
      <w:pPr>
        <w:spacing w:after="0" w:line="240" w:lineRule="auto"/>
        <w:ind w:left="737" w:right="737"/>
        <w:contextualSpacing/>
        <w:jc w:val="both"/>
        <w:rPr>
          <w:rFonts w:ascii="Verdana" w:eastAsia="Calibri" w:hAnsi="Verdana" w:cs="Arial"/>
          <w:sz w:val="20"/>
          <w:szCs w:val="20"/>
          <w:lang w:val="es-ES" w:eastAsia="es-ES"/>
        </w:rPr>
      </w:pPr>
      <w:r w:rsidRPr="00EF698D">
        <w:rPr>
          <w:rFonts w:ascii="Verdana" w:eastAsia="Calibri" w:hAnsi="Verdana" w:cs="Arial"/>
          <w:sz w:val="20"/>
          <w:szCs w:val="20"/>
          <w:lang w:val="es-ES" w:eastAsia="es-ES"/>
        </w:rPr>
        <w:t xml:space="preserve">1. Asignación del SGP Subsidio a la Oferta once doceavas de la vigencia actual, fueron definidas en el Documento de Distribución 108 de 2026, el 13 de febrero de 2026 distribuidos entre departamentos, municipios certificados y distritos en donde se encuentren los monopolios en servicios trazados no sostenibles, </w:t>
      </w:r>
      <w:proofErr w:type="gramStart"/>
      <w:r w:rsidRPr="00EF698D">
        <w:rPr>
          <w:rFonts w:ascii="Verdana" w:eastAsia="Calibri" w:hAnsi="Verdana" w:cs="Arial"/>
          <w:sz w:val="20"/>
          <w:szCs w:val="20"/>
          <w:lang w:val="es-ES" w:eastAsia="es-ES"/>
        </w:rPr>
        <w:t>y</w:t>
      </w:r>
      <w:proofErr w:type="gramEnd"/>
      <w:r w:rsidRPr="00EF698D">
        <w:rPr>
          <w:rFonts w:ascii="Verdana" w:eastAsia="Calibri" w:hAnsi="Verdana" w:cs="Arial"/>
          <w:sz w:val="20"/>
          <w:szCs w:val="20"/>
          <w:lang w:val="es-ES" w:eastAsia="es-ES"/>
        </w:rPr>
        <w:t xml:space="preserve"> por otro lado,</w:t>
      </w:r>
    </w:p>
    <w:p w14:paraId="401B742C" w14:textId="77777777" w:rsidR="00EE0007" w:rsidRPr="00EF698D" w:rsidRDefault="00EE0007" w:rsidP="00EE0007">
      <w:pPr>
        <w:spacing w:after="0" w:line="240" w:lineRule="auto"/>
        <w:ind w:left="737" w:right="737"/>
        <w:contextualSpacing/>
        <w:jc w:val="both"/>
        <w:rPr>
          <w:rFonts w:ascii="Verdana" w:eastAsia="Calibri" w:hAnsi="Verdana" w:cs="Arial"/>
          <w:sz w:val="20"/>
          <w:szCs w:val="20"/>
          <w:lang w:val="es-ES" w:eastAsia="es-ES"/>
        </w:rPr>
      </w:pPr>
    </w:p>
    <w:p w14:paraId="78448F9A" w14:textId="77777777" w:rsidR="00EE0007" w:rsidRPr="00EF698D" w:rsidRDefault="00EE0007" w:rsidP="00EE0007">
      <w:pPr>
        <w:spacing w:after="0" w:line="240" w:lineRule="auto"/>
        <w:ind w:left="737" w:right="737"/>
        <w:contextualSpacing/>
        <w:jc w:val="both"/>
        <w:rPr>
          <w:rFonts w:ascii="Verdana" w:eastAsia="Calibri" w:hAnsi="Verdana" w:cs="Arial"/>
          <w:sz w:val="20"/>
          <w:szCs w:val="20"/>
          <w:lang w:val="es-ES" w:eastAsia="es-ES"/>
        </w:rPr>
      </w:pPr>
      <w:r w:rsidRPr="00EF698D">
        <w:rPr>
          <w:rFonts w:ascii="Verdana" w:eastAsia="Calibri" w:hAnsi="Verdana" w:cs="Arial"/>
          <w:sz w:val="20"/>
          <w:szCs w:val="20"/>
          <w:lang w:val="es-ES" w:eastAsia="es-ES"/>
        </w:rPr>
        <w:t>2. El reporte del listado de Entidades Monopolio en servicios trazadores entre las cuales se incluye a la E.S.E. Hospital Departamental San Juan de Dios de Puerto Carreño Vichada, como única empresa social del estado con influencia en el Departamento de Vichada, fue publicado en el mes de febrero de 2026.</w:t>
      </w:r>
    </w:p>
    <w:p w14:paraId="7945FC0E" w14:textId="77777777" w:rsidR="00EE0007" w:rsidRPr="00EF698D" w:rsidRDefault="00EE0007" w:rsidP="00EE0007">
      <w:pPr>
        <w:spacing w:after="0" w:line="240" w:lineRule="auto"/>
        <w:ind w:left="737" w:right="737"/>
        <w:contextualSpacing/>
        <w:jc w:val="both"/>
        <w:rPr>
          <w:rFonts w:ascii="Verdana" w:eastAsia="Calibri" w:hAnsi="Verdana" w:cs="Arial"/>
          <w:i/>
          <w:iCs/>
          <w:sz w:val="20"/>
          <w:szCs w:val="20"/>
          <w:lang w:val="es-ES" w:eastAsia="es-ES"/>
        </w:rPr>
      </w:pPr>
    </w:p>
    <w:p w14:paraId="0CE3A1B2" w14:textId="77777777" w:rsidR="00EE0007" w:rsidRPr="00EF698D" w:rsidRDefault="00EE0007" w:rsidP="00EE0007">
      <w:pPr>
        <w:spacing w:after="0" w:line="240" w:lineRule="auto"/>
        <w:ind w:left="737" w:right="737"/>
        <w:contextualSpacing/>
        <w:jc w:val="both"/>
        <w:rPr>
          <w:rFonts w:ascii="Verdana" w:eastAsia="Calibri" w:hAnsi="Verdana" w:cs="Arial"/>
          <w:i/>
          <w:iCs/>
          <w:sz w:val="20"/>
          <w:szCs w:val="20"/>
          <w:lang w:val="es-ES" w:eastAsia="es-ES"/>
        </w:rPr>
      </w:pPr>
      <w:r w:rsidRPr="00EF698D">
        <w:rPr>
          <w:rFonts w:ascii="Verdana" w:eastAsia="Calibri" w:hAnsi="Verdana" w:cs="Arial"/>
          <w:i/>
          <w:iCs/>
          <w:sz w:val="20"/>
          <w:szCs w:val="20"/>
          <w:lang w:val="es-ES" w:eastAsia="es-ES"/>
        </w:rPr>
        <w:t>Con base en las anteriores consideraciones, nos vemos en la necesidad de solicitar orientación y reiterar esta solicitud, ya que en el marco de la normativa vigente establece que los giros de los recursos por concepto de Subsidio a la oferta, se deben realizar a través de la suscripción de convenios y/o contratos (modalidad de contratación directa de acuerdo a lo establecido en el artículo 2 de la ley 1150 de 2007 y el decreto 1082 de 2015) y que la E.S.E. Hospital Departamental San Juan de Dios es la única con influencia en el Departamento, se requiere conocer jurídica y técnicamente si en la fecha actual es posible adelantar proceso contractual, toda vez que nos encontramos frente a lo establecido en el artículo 33 de la Ley 996 de 2005:</w:t>
      </w:r>
    </w:p>
    <w:p w14:paraId="13BEDFD7" w14:textId="77777777" w:rsidR="00EE0007" w:rsidRPr="00EF698D" w:rsidRDefault="00EE0007" w:rsidP="00EE0007">
      <w:pPr>
        <w:spacing w:after="0" w:line="240" w:lineRule="auto"/>
        <w:ind w:left="737" w:right="737"/>
        <w:contextualSpacing/>
        <w:jc w:val="both"/>
        <w:rPr>
          <w:rFonts w:ascii="Verdana" w:eastAsia="Calibri" w:hAnsi="Verdana" w:cs="Arial"/>
          <w:sz w:val="20"/>
          <w:szCs w:val="20"/>
          <w:lang w:val="es-ES" w:eastAsia="es-ES"/>
        </w:rPr>
      </w:pPr>
      <w:r w:rsidRPr="00EF698D">
        <w:rPr>
          <w:rFonts w:ascii="Verdana" w:eastAsia="Calibri" w:hAnsi="Verdana" w:cs="Arial"/>
          <w:sz w:val="20"/>
          <w:szCs w:val="20"/>
          <w:lang w:val="es-ES" w:eastAsia="es-ES"/>
        </w:rPr>
        <w:t>(…)”</w:t>
      </w:r>
    </w:p>
    <w:p w14:paraId="1C9DFB19" w14:textId="77777777" w:rsidR="00EE0007" w:rsidRPr="00EF698D" w:rsidRDefault="00EE0007" w:rsidP="00EE0007">
      <w:pPr>
        <w:spacing w:after="0" w:line="240" w:lineRule="auto"/>
        <w:ind w:left="737" w:right="737"/>
        <w:contextualSpacing/>
        <w:jc w:val="both"/>
        <w:rPr>
          <w:rFonts w:ascii="Verdana" w:eastAsia="Calibri" w:hAnsi="Verdana" w:cs="Arial"/>
          <w:sz w:val="20"/>
          <w:szCs w:val="20"/>
          <w:lang w:val="es-ES" w:eastAsia="es-ES"/>
        </w:rPr>
      </w:pPr>
    </w:p>
    <w:p w14:paraId="73B6A633" w14:textId="77777777" w:rsidR="00EE0007" w:rsidRPr="00EF698D" w:rsidRDefault="00EE0007" w:rsidP="00EE0007">
      <w:pPr>
        <w:spacing w:after="0" w:line="240" w:lineRule="auto"/>
        <w:ind w:left="737" w:right="737"/>
        <w:contextualSpacing/>
        <w:jc w:val="both"/>
        <w:rPr>
          <w:rFonts w:ascii="Verdana" w:eastAsia="Calibri" w:hAnsi="Verdana" w:cs="Arial"/>
          <w:sz w:val="20"/>
          <w:szCs w:val="20"/>
          <w:lang w:val="es-ES" w:eastAsia="es-ES"/>
        </w:rPr>
      </w:pPr>
      <w:r w:rsidRPr="00EF698D">
        <w:rPr>
          <w:rFonts w:ascii="Verdana" w:eastAsia="Calibri" w:hAnsi="Verdana" w:cs="Arial"/>
          <w:sz w:val="20"/>
          <w:szCs w:val="20"/>
          <w:lang w:val="es-ES" w:eastAsia="es-ES"/>
        </w:rPr>
        <w:t>Ahora bien, sobre lo requerido por la peticionaria, es preciso indicar que este Ministerio es un organismo perteneciente a la Rama Ejecutiva del poder público, que tiene como finalidad primordial el fijar la política en materia de salud y protección social, planes generales, programas y proyectos del sector salud y del Sistema General de Seguridad Social en Salud - SGSSS, además de expedir las normas administrativas, técnicas y científicas de obligatorio cumplimiento para dicho sistema. No obstante,</w:t>
      </w:r>
    </w:p>
    <w:p w14:paraId="4112F49A" w14:textId="77777777" w:rsidR="00EE0007" w:rsidRPr="00EF698D" w:rsidRDefault="00EE0007" w:rsidP="00EE0007">
      <w:pPr>
        <w:spacing w:after="0" w:line="240" w:lineRule="auto"/>
        <w:ind w:left="737" w:right="737"/>
        <w:contextualSpacing/>
        <w:jc w:val="both"/>
        <w:rPr>
          <w:rFonts w:ascii="Verdana" w:eastAsia="Calibri" w:hAnsi="Verdana" w:cs="Arial"/>
          <w:sz w:val="20"/>
          <w:szCs w:val="20"/>
          <w:lang w:val="es-ES" w:eastAsia="es-ES"/>
        </w:rPr>
      </w:pPr>
      <w:r w:rsidRPr="00EF698D">
        <w:rPr>
          <w:rFonts w:ascii="Verdana" w:eastAsia="Calibri" w:hAnsi="Verdana" w:cs="Arial"/>
          <w:sz w:val="20"/>
          <w:szCs w:val="20"/>
          <w:lang w:val="es-ES" w:eastAsia="es-ES"/>
        </w:rPr>
        <w:t>debe aclararse que las normas que disponen las funciones de esta entidad no han asignado al Ministerio de Salud y Protección Social competencias en materia de regulación, interpretación o gestión de la contratación estatal, ni de la definición de parámetros en materia contractual.</w:t>
      </w:r>
      <w:r>
        <w:rPr>
          <w:rFonts w:ascii="Verdana" w:eastAsia="Calibri" w:hAnsi="Verdana" w:cs="Arial"/>
          <w:sz w:val="20"/>
          <w:szCs w:val="20"/>
          <w:lang w:val="es-ES" w:eastAsia="es-ES"/>
        </w:rPr>
        <w:t>”</w:t>
      </w:r>
    </w:p>
    <w:p w14:paraId="0F3E9E60" w14:textId="77777777" w:rsidR="00EE0007" w:rsidRDefault="00EE0007" w:rsidP="00EE0007">
      <w:pPr>
        <w:spacing w:after="0"/>
        <w:ind w:left="737" w:right="737"/>
        <w:contextualSpacing/>
        <w:jc w:val="both"/>
        <w:rPr>
          <w:rFonts w:ascii="Verdana" w:eastAsia="Century Gothic" w:hAnsi="Verdana" w:cs="Century Gothic"/>
          <w:i/>
          <w:iCs/>
          <w:sz w:val="20"/>
          <w:szCs w:val="20"/>
        </w:rPr>
      </w:pPr>
    </w:p>
    <w:p w14:paraId="704E87F6" w14:textId="77777777" w:rsidR="00EE0007" w:rsidRPr="00305400" w:rsidRDefault="00EE0007" w:rsidP="00EE0007">
      <w:pPr>
        <w:spacing w:before="120" w:after="120"/>
        <w:ind w:right="709"/>
        <w:contextualSpacing/>
        <w:jc w:val="both"/>
        <w:rPr>
          <w:rFonts w:ascii="Verdana" w:eastAsia="Century Gothic" w:hAnsi="Verdana" w:cs="Century Gothic"/>
          <w:i/>
          <w:iCs/>
          <w:sz w:val="20"/>
          <w:szCs w:val="20"/>
        </w:rPr>
      </w:pPr>
    </w:p>
    <w:p w14:paraId="0FC2E653" w14:textId="77777777" w:rsidR="00EE0007" w:rsidRPr="00CD496A" w:rsidRDefault="00EE0007" w:rsidP="00EE0007">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CD496A">
        <w:rPr>
          <w:rFonts w:ascii="Verdana" w:eastAsia="Calibri" w:hAnsi="Verdana" w:cs="Arial"/>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430ABEAA" w14:textId="77777777" w:rsidR="00EE0007" w:rsidRPr="00CD496A" w:rsidRDefault="00EE0007" w:rsidP="00EE0007">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E4168A9" w14:textId="77777777" w:rsidR="00EE0007" w:rsidRPr="00CD496A" w:rsidRDefault="00EE0007" w:rsidP="00EE0007">
      <w:pPr>
        <w:spacing w:after="0" w:line="276" w:lineRule="auto"/>
        <w:ind w:firstLine="709"/>
        <w:jc w:val="both"/>
        <w:rPr>
          <w:rFonts w:ascii="Verdana" w:eastAsia="Calibri" w:hAnsi="Verdana" w:cs="Arial"/>
          <w:lang w:val="es-ES" w:eastAsia="es-ES"/>
        </w:rPr>
      </w:pPr>
    </w:p>
    <w:p w14:paraId="7E58DA42" w14:textId="77777777" w:rsidR="00EE0007" w:rsidRDefault="00EE0007" w:rsidP="00EE0007">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31B9FF07" w14:textId="77777777" w:rsidR="00EE0007" w:rsidRPr="00305400" w:rsidRDefault="00EE0007" w:rsidP="00EE0007">
      <w:pPr>
        <w:tabs>
          <w:tab w:val="left" w:pos="142"/>
          <w:tab w:val="left" w:pos="284"/>
        </w:tabs>
        <w:spacing w:after="0" w:line="276" w:lineRule="auto"/>
        <w:contextualSpacing/>
        <w:jc w:val="both"/>
        <w:rPr>
          <w:rFonts w:ascii="Verdana" w:eastAsia="Century Gothic" w:hAnsi="Verdana" w:cs="Century Gothic"/>
          <w:b/>
          <w:lang w:val="es-ES"/>
        </w:rPr>
      </w:pPr>
    </w:p>
    <w:p w14:paraId="47797C7F" w14:textId="77777777" w:rsidR="00EE0007" w:rsidRPr="00E01255" w:rsidRDefault="00EE0007" w:rsidP="00EE0007">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Pr="00CD496A">
        <w:rPr>
          <w:rFonts w:ascii="Verdana" w:eastAsia="Century Gothic" w:hAnsi="Verdana" w:cs="Century Gothic"/>
        </w:rPr>
        <w:t xml:space="preserve"> </w:t>
      </w:r>
      <w:r w:rsidRPr="00E01255">
        <w:rPr>
          <w:rFonts w:ascii="Verdana" w:eastAsia="Century Gothic" w:hAnsi="Verdana" w:cs="Century Gothic"/>
        </w:rPr>
        <w:t xml:space="preserve">¿Es jurídicamente viable que las entidades públicas efectúen contrataciones directas durante la vigencia de la Ley de Garantías Electorales, y </w:t>
      </w:r>
      <w:proofErr w:type="gramStart"/>
      <w:r w:rsidRPr="00E01255">
        <w:rPr>
          <w:rFonts w:ascii="Verdana" w:eastAsia="Century Gothic" w:hAnsi="Verdana" w:cs="Century Gothic"/>
        </w:rPr>
        <w:t>bajo qué condiciones</w:t>
      </w:r>
      <w:proofErr w:type="gramEnd"/>
      <w:r w:rsidRPr="00E01255">
        <w:rPr>
          <w:rFonts w:ascii="Verdana" w:eastAsia="Century Gothic" w:hAnsi="Verdana" w:cs="Century Gothic"/>
        </w:rPr>
        <w:t xml:space="preserve"> y excepciones previstas en el ordenamiento jurídico colombiano podrían celebrarse dichos contratos?</w:t>
      </w:r>
    </w:p>
    <w:p w14:paraId="1AA9DC85" w14:textId="77777777" w:rsidR="00EE0007" w:rsidRPr="006733BD" w:rsidRDefault="00EE0007" w:rsidP="00EE0007">
      <w:pPr>
        <w:spacing w:after="0" w:line="276" w:lineRule="auto"/>
        <w:jc w:val="both"/>
        <w:rPr>
          <w:rFonts w:ascii="Verdana" w:eastAsia="Century Gothic" w:hAnsi="Verdana" w:cs="Century Gothic"/>
          <w:color w:val="ED7D31" w:themeColor="accent2"/>
        </w:rPr>
      </w:pPr>
    </w:p>
    <w:p w14:paraId="017D9FA1" w14:textId="77777777" w:rsidR="00EE0007" w:rsidRPr="006733BD" w:rsidRDefault="00EE0007" w:rsidP="00EE0007">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4B6197A3" w14:textId="77777777" w:rsidR="00EE0007" w:rsidRPr="006733BD" w:rsidRDefault="00EE0007" w:rsidP="00EE0007">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E0007" w:rsidRPr="006733BD" w14:paraId="45BB4C7C" w14:textId="77777777" w:rsidTr="00A14C88">
        <w:tc>
          <w:tcPr>
            <w:tcW w:w="8828" w:type="dxa"/>
          </w:tcPr>
          <w:p w14:paraId="7A03323C" w14:textId="77777777" w:rsidR="00EE0007" w:rsidRDefault="00EE0007" w:rsidP="00A14C88">
            <w:pPr>
              <w:spacing w:after="120" w:line="276" w:lineRule="auto"/>
              <w:ind w:firstLine="709"/>
              <w:jc w:val="both"/>
              <w:rPr>
                <w:rFonts w:ascii="Verdana" w:eastAsia="Times New Roman" w:hAnsi="Verdana" w:cs="Arial"/>
              </w:rPr>
            </w:pPr>
            <w:proofErr w:type="gramStart"/>
            <w:r>
              <w:rPr>
                <w:rFonts w:ascii="Verdana" w:eastAsia="Calibri" w:hAnsi="Verdana" w:cs="Arial"/>
                <w:lang w:eastAsia="es-ES" w:bidi="es-ES"/>
              </w:rPr>
              <w:t>De acuerdo al</w:t>
            </w:r>
            <w:proofErr w:type="gramEnd"/>
            <w:r>
              <w:rPr>
                <w:rFonts w:ascii="Verdana" w:eastAsia="Calibri" w:hAnsi="Verdana" w:cs="Arial"/>
                <w:lang w:eastAsia="es-ES" w:bidi="es-ES"/>
              </w:rPr>
              <w:t xml:space="preserve"> problema jurídico planteado, e</w:t>
            </w:r>
            <w:r w:rsidRPr="00FF007A">
              <w:rPr>
                <w:rFonts w:ascii="Verdana" w:eastAsia="Calibri" w:hAnsi="Verdana" w:cs="Arial"/>
                <w:lang w:eastAsia="es-ES" w:bidi="es-ES"/>
              </w:rPr>
              <w:t xml:space="preserv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artículo 33 de la Ley 996 de 2005.</w:t>
            </w:r>
            <w:r>
              <w:rPr>
                <w:rFonts w:ascii="Verdana" w:eastAsia="Times New Roman" w:hAnsi="Verdana" w:cs="Arial"/>
              </w:rPr>
              <w:t xml:space="preserve"> Esta restricción </w:t>
            </w:r>
            <w:r w:rsidRPr="00FF007A">
              <w:rPr>
                <w:rFonts w:ascii="Verdana" w:eastAsia="Times New Roman" w:hAnsi="Verdana" w:cs="Arial"/>
                <w:bCs/>
                <w:lang w:eastAsia="es-CO"/>
              </w:rPr>
              <w:t>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rPr>
              <w:t>.</w:t>
            </w:r>
          </w:p>
          <w:p w14:paraId="67AB3449" w14:textId="77777777" w:rsidR="00EE0007" w:rsidRDefault="00EE0007" w:rsidP="00A14C88">
            <w:pPr>
              <w:tabs>
                <w:tab w:val="left" w:pos="426"/>
              </w:tabs>
              <w:spacing w:before="120" w:line="276" w:lineRule="auto"/>
              <w:ind w:firstLine="709"/>
              <w:jc w:val="both"/>
              <w:rPr>
                <w:rFonts w:ascii="Verdana" w:hAnsi="Verdana" w:cs="Arial"/>
                <w:bCs/>
                <w:color w:val="000000" w:themeColor="text1"/>
              </w:rPr>
            </w:pPr>
            <w:r>
              <w:rPr>
                <w:rFonts w:ascii="Verdana" w:hAnsi="Verdana" w:cs="Arial"/>
                <w:bCs/>
                <w:color w:val="000000" w:themeColor="text1"/>
              </w:rPr>
              <w:t xml:space="preserve">En ese sentido,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w:t>
            </w:r>
            <w:r w:rsidRPr="00FF007A">
              <w:rPr>
                <w:rFonts w:ascii="Verdana" w:hAnsi="Verdana" w:cs="Arial"/>
                <w:bCs/>
                <w:color w:val="000000" w:themeColor="text1"/>
              </w:rPr>
              <w:lastRenderedPageBreak/>
              <w:t xml:space="preserve">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2E01C48A" w14:textId="77777777" w:rsidR="00EE0007" w:rsidRDefault="00EE0007" w:rsidP="00A14C88">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Fonts w:ascii="Verdana" w:hAnsi="Verdana" w:cs="Arial"/>
                <w:color w:val="000000" w:themeColor="text1"/>
              </w:rPr>
              <w:t>.</w:t>
            </w:r>
          </w:p>
          <w:p w14:paraId="14DDAAD1" w14:textId="77777777" w:rsidR="00EE0007" w:rsidRDefault="00EE0007" w:rsidP="00A14C88">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16EECEBF" w14:textId="77777777" w:rsidR="00EE0007" w:rsidRDefault="00EE0007" w:rsidP="00A14C88">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w:t>
            </w:r>
            <w:r w:rsidRPr="4D902665">
              <w:rPr>
                <w:rFonts w:ascii="Verdana" w:eastAsia="Arial" w:hAnsi="Verdana" w:cs="Arial"/>
                <w:color w:val="000000" w:themeColor="text1"/>
              </w:rPr>
              <w:t>y verificar si</w:t>
            </w:r>
            <w:r w:rsidRPr="00FF007A">
              <w:rPr>
                <w:rFonts w:ascii="Verdana" w:eastAsia="Arial" w:hAnsi="Verdana" w:cs="Arial"/>
                <w:bCs/>
                <w:color w:val="000000" w:themeColor="text1"/>
              </w:rPr>
              <w:t xml:space="preserve"> se configura alguna de las excepciones previstas en la norma. </w:t>
            </w:r>
          </w:p>
          <w:p w14:paraId="627E3F6A" w14:textId="77777777" w:rsidR="00EE0007" w:rsidRDefault="00EE0007" w:rsidP="00A14C88">
            <w:pPr>
              <w:spacing w:after="120" w:line="276" w:lineRule="auto"/>
              <w:ind w:firstLine="709"/>
              <w:jc w:val="both"/>
              <w:rPr>
                <w:rFonts w:ascii="Verdana" w:eastAsia="Calibri" w:hAnsi="Verdana" w:cs="Arial"/>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2053B108" w14:textId="77777777" w:rsidR="00EE0007" w:rsidRPr="00305400" w:rsidRDefault="00EE0007" w:rsidP="00A14C88">
            <w:pPr>
              <w:spacing w:line="276" w:lineRule="auto"/>
              <w:jc w:val="both"/>
              <w:rPr>
                <w:rFonts w:ascii="Verdana" w:eastAsia="Arial" w:hAnsi="Verdana" w:cs="Arial"/>
                <w:color w:val="000000" w:themeColor="text1"/>
              </w:rPr>
            </w:pPr>
            <w:r w:rsidRPr="00667CD6">
              <w:rPr>
                <w:rFonts w:ascii="Verdana" w:eastAsia="Arial" w:hAnsi="Verdana" w:cs="Arial"/>
                <w:bCs/>
                <w:color w:val="000000" w:themeColor="text1"/>
              </w:rPr>
              <w:lastRenderedPageBreak/>
              <w:t>En todo caso, vale anotar que es responsabilidad del respectivo ente del Estado examinar en cada caso la naturaleza de las actividades que adelanta y justificar si las mismas se enmarcan en alguna de las</w:t>
            </w:r>
            <w:r>
              <w:rPr>
                <w:rFonts w:ascii="Verdana" w:eastAsia="Arial" w:hAnsi="Verdana" w:cs="Arial"/>
                <w:bCs/>
                <w:color w:val="000000" w:themeColor="text1"/>
              </w:rPr>
              <w:t xml:space="preserve"> </w:t>
            </w:r>
            <w:r w:rsidRPr="00667CD6">
              <w:rPr>
                <w:rFonts w:ascii="Verdana" w:eastAsia="Arial" w:hAnsi="Verdana" w:cs="Arial"/>
                <w:bCs/>
                <w:color w:val="000000" w:themeColor="text1"/>
              </w:rPr>
              <w:t xml:space="preserve">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3D71FCF3" w14:textId="77777777" w:rsidR="00EE0007" w:rsidRDefault="00EE0007" w:rsidP="00EE0007">
      <w:pPr>
        <w:tabs>
          <w:tab w:val="left" w:pos="142"/>
          <w:tab w:val="left" w:pos="284"/>
        </w:tabs>
        <w:spacing w:after="0" w:line="276" w:lineRule="auto"/>
        <w:jc w:val="both"/>
        <w:rPr>
          <w:rFonts w:ascii="Verdana" w:eastAsia="Century Gothic" w:hAnsi="Verdana" w:cs="Century Gothic"/>
          <w:b/>
          <w:lang w:val="es-ES"/>
        </w:rPr>
      </w:pPr>
    </w:p>
    <w:p w14:paraId="5901D031" w14:textId="77777777" w:rsidR="00EE0007" w:rsidRDefault="00EE0007" w:rsidP="00EE0007">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bookmarkStart w:id="1" w:name="_Hlk102983874"/>
      <w:bookmarkStart w:id="2" w:name="_Hlk102388095"/>
    </w:p>
    <w:p w14:paraId="359CC071" w14:textId="77777777" w:rsidR="00EE0007" w:rsidRPr="00305400" w:rsidRDefault="00EE0007" w:rsidP="00EE0007">
      <w:pPr>
        <w:tabs>
          <w:tab w:val="left" w:pos="142"/>
          <w:tab w:val="left" w:pos="284"/>
        </w:tabs>
        <w:spacing w:after="0" w:line="276" w:lineRule="auto"/>
        <w:jc w:val="both"/>
        <w:rPr>
          <w:rFonts w:ascii="Verdana" w:eastAsia="Century Gothic" w:hAnsi="Verdana" w:cs="Century Gothic"/>
          <w:b/>
          <w:lang w:val="es-ES"/>
        </w:rPr>
      </w:pPr>
    </w:p>
    <w:p w14:paraId="598F8451" w14:textId="77777777" w:rsidR="00EE0007" w:rsidRPr="00343E12" w:rsidRDefault="00EE0007" w:rsidP="00EE0007">
      <w:pPr>
        <w:tabs>
          <w:tab w:val="left" w:pos="142"/>
          <w:tab w:val="left" w:pos="284"/>
        </w:tabs>
        <w:spacing w:after="0" w:line="276" w:lineRule="auto"/>
        <w:jc w:val="both"/>
        <w:rPr>
          <w:rFonts w:ascii="Verdana" w:eastAsia="Calibri" w:hAnsi="Verdana" w:cs="Arial"/>
        </w:rPr>
      </w:pPr>
      <w:r w:rsidRPr="00343E12">
        <w:rPr>
          <w:rFonts w:ascii="Verdana" w:eastAsia="Calibri" w:hAnsi="Verdana" w:cs="Arial"/>
        </w:rPr>
        <w:t xml:space="preserve">Lo anterior se sustenta en las siguientes consideraciones: </w:t>
      </w:r>
    </w:p>
    <w:p w14:paraId="71D40C63" w14:textId="77777777" w:rsidR="00EE0007" w:rsidRPr="00343E12" w:rsidRDefault="00EE0007" w:rsidP="00EE0007">
      <w:pPr>
        <w:tabs>
          <w:tab w:val="left" w:pos="142"/>
          <w:tab w:val="left" w:pos="284"/>
        </w:tabs>
        <w:spacing w:after="0" w:line="240" w:lineRule="auto"/>
        <w:jc w:val="both"/>
        <w:rPr>
          <w:rFonts w:ascii="Verdana" w:eastAsia="Calibri" w:hAnsi="Verdana" w:cs="Arial"/>
        </w:rPr>
      </w:pPr>
    </w:p>
    <w:p w14:paraId="6EEC208E" w14:textId="77777777" w:rsidR="00EE0007" w:rsidRPr="00343E12" w:rsidRDefault="00EE0007" w:rsidP="00EE0007">
      <w:pPr>
        <w:tabs>
          <w:tab w:val="left" w:pos="142"/>
          <w:tab w:val="left" w:pos="284"/>
        </w:tabs>
        <w:spacing w:after="120" w:line="276" w:lineRule="auto"/>
        <w:ind w:firstLine="709"/>
        <w:jc w:val="both"/>
        <w:rPr>
          <w:rFonts w:ascii="Verdana" w:eastAsia="Calibri" w:hAnsi="Verdana" w:cs="Arial"/>
        </w:rPr>
      </w:pPr>
      <w:r>
        <w:rPr>
          <w:rFonts w:ascii="Verdana" w:eastAsia="Calibri" w:hAnsi="Verdana" w:cs="Arial"/>
        </w:rPr>
        <w:t>i)</w:t>
      </w:r>
      <w:r w:rsidRPr="00343E12">
        <w:rPr>
          <w:rFonts w:ascii="Verdana" w:eastAsia="Calibri" w:hAnsi="Verdana" w:cs="Arial"/>
        </w:rPr>
        <w:t>El ordenamiento jurídico colombiano contempla previsiones claras para evitar la obtención de beneficios personales en asuntos propios de la administración pública</w:t>
      </w:r>
      <w:r w:rsidRPr="00343E12">
        <w:rPr>
          <w:rFonts w:ascii="Verdana" w:eastAsia="Calibri" w:hAnsi="Verdana" w:cs="Arial"/>
          <w:i/>
        </w:rPr>
        <w:t xml:space="preserve">. </w:t>
      </w:r>
      <w:r w:rsidRPr="00343E12">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343E12">
        <w:rPr>
          <w:rFonts w:ascii="Verdana" w:eastAsia="Aptos" w:hAnsi="Verdana" w:cs="Times New Roman"/>
          <w:vertAlign w:val="superscript"/>
        </w:rPr>
        <w:footnoteReference w:id="1"/>
      </w:r>
      <w:r w:rsidRPr="00343E12">
        <w:rPr>
          <w:rFonts w:ascii="Verdana" w:eastAsia="Calibri" w:hAnsi="Verdana" w:cs="Arial"/>
        </w:rPr>
        <w:t>.</w:t>
      </w:r>
    </w:p>
    <w:p w14:paraId="73A9EBAF" w14:textId="77777777" w:rsidR="00EE0007" w:rsidRPr="00343E12" w:rsidRDefault="00EE0007" w:rsidP="00EE0007">
      <w:pPr>
        <w:tabs>
          <w:tab w:val="left" w:pos="142"/>
          <w:tab w:val="left" w:pos="284"/>
        </w:tabs>
        <w:spacing w:after="120" w:line="276" w:lineRule="auto"/>
        <w:ind w:firstLine="709"/>
        <w:jc w:val="both"/>
        <w:rPr>
          <w:rFonts w:ascii="Verdana" w:eastAsia="Calibri" w:hAnsi="Verdana" w:cs="Arial"/>
        </w:rPr>
      </w:pPr>
      <w:r w:rsidRPr="00343E12">
        <w:rPr>
          <w:rFonts w:ascii="Verdana" w:eastAsia="Calibri" w:hAnsi="Verdana" w:cs="Arial"/>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43E12">
        <w:rPr>
          <w:rFonts w:ascii="Verdana" w:eastAsia="Calibri" w:hAnsi="Verdana" w:cs="Arial"/>
          <w:vertAlign w:val="superscript"/>
        </w:rPr>
        <w:footnoteReference w:id="2"/>
      </w:r>
      <w:r w:rsidRPr="00343E12">
        <w:rPr>
          <w:rFonts w:ascii="Verdana" w:eastAsia="Calibri" w:hAnsi="Verdana" w:cs="Arial"/>
        </w:rPr>
        <w:t xml:space="preserve">. En esta medida, introduce limitaciones para realizar nombramientos, postulaciones, </w:t>
      </w:r>
      <w:r w:rsidRPr="00343E12">
        <w:rPr>
          <w:rFonts w:ascii="Verdana" w:eastAsia="Calibri" w:hAnsi="Verdana" w:cs="Arial"/>
        </w:rPr>
        <w:lastRenderedPageBreak/>
        <w:t>contrataciones o cualquier otro tipo de actividad que implique destinación de recursos públicos bajo el devenir propio de las entidades estatales.</w:t>
      </w:r>
    </w:p>
    <w:p w14:paraId="58C37B67" w14:textId="77777777" w:rsidR="00EE0007" w:rsidRPr="00343E12" w:rsidRDefault="00EE0007" w:rsidP="00EE0007">
      <w:pPr>
        <w:tabs>
          <w:tab w:val="left" w:pos="142"/>
          <w:tab w:val="left" w:pos="284"/>
        </w:tabs>
        <w:spacing w:after="120" w:line="276" w:lineRule="auto"/>
        <w:ind w:firstLine="709"/>
        <w:jc w:val="both"/>
        <w:rPr>
          <w:rFonts w:ascii="Verdana" w:eastAsia="Calibri" w:hAnsi="Verdana" w:cs="Arial"/>
        </w:rPr>
      </w:pPr>
      <w:r w:rsidRPr="00343E12">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E620EBC" w14:textId="77777777" w:rsidR="00EE0007" w:rsidRPr="00305400" w:rsidRDefault="00EE0007" w:rsidP="00EE0007">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ES" w:eastAsia="es-CO"/>
        </w:rPr>
        <w:t xml:space="preserve">“[…] </w:t>
      </w:r>
      <w:r w:rsidRPr="00305400">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2DC26D9" w14:textId="77777777" w:rsidR="00EE0007" w:rsidRPr="00305400" w:rsidRDefault="00EE0007" w:rsidP="00EE0007">
      <w:pPr>
        <w:spacing w:after="0" w:line="240" w:lineRule="auto"/>
        <w:ind w:left="709" w:right="709"/>
        <w:contextualSpacing/>
        <w:jc w:val="both"/>
        <w:rPr>
          <w:rFonts w:ascii="Verdana" w:eastAsia="Times New Roman" w:hAnsi="Verdana" w:cs="Arial"/>
          <w:sz w:val="20"/>
          <w:szCs w:val="20"/>
          <w:lang w:val="es-MX" w:eastAsia="es-CO"/>
        </w:rPr>
      </w:pPr>
    </w:p>
    <w:p w14:paraId="02CB49E6" w14:textId="77777777" w:rsidR="00EE0007" w:rsidRPr="00305400" w:rsidRDefault="00EE0007" w:rsidP="00EE0007">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MX" w:eastAsia="es-CO"/>
        </w:rPr>
        <w:t xml:space="preserve">[…] </w:t>
      </w:r>
    </w:p>
    <w:p w14:paraId="4BDEA1CB" w14:textId="77777777" w:rsidR="00EE0007" w:rsidRPr="00305400" w:rsidRDefault="00EE0007" w:rsidP="00EE0007">
      <w:pPr>
        <w:spacing w:after="0" w:line="240" w:lineRule="auto"/>
        <w:ind w:left="709" w:right="709"/>
        <w:contextualSpacing/>
        <w:jc w:val="both"/>
        <w:rPr>
          <w:rFonts w:ascii="Verdana" w:eastAsia="Times New Roman" w:hAnsi="Verdana" w:cs="Arial"/>
          <w:sz w:val="20"/>
          <w:szCs w:val="20"/>
          <w:lang w:val="es-MX" w:eastAsia="es-CO"/>
        </w:rPr>
      </w:pPr>
    </w:p>
    <w:p w14:paraId="36F1CD27" w14:textId="77777777" w:rsidR="00EE0007" w:rsidRPr="00305400" w:rsidRDefault="00EE0007" w:rsidP="00EE0007">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305400">
        <w:rPr>
          <w:rFonts w:ascii="Verdana" w:eastAsia="Calibri" w:hAnsi="Verdana" w:cs="Arial"/>
          <w:sz w:val="20"/>
          <w:szCs w:val="20"/>
          <w:vertAlign w:val="superscript"/>
          <w:lang w:val="es-MX"/>
        </w:rPr>
        <w:footnoteReference w:id="3"/>
      </w:r>
      <w:r w:rsidRPr="00305400">
        <w:rPr>
          <w:rFonts w:ascii="Verdana" w:eastAsia="Times New Roman" w:hAnsi="Verdana" w:cs="Arial"/>
          <w:sz w:val="20"/>
          <w:szCs w:val="20"/>
          <w:lang w:val="es-MX" w:eastAsia="es-CO"/>
        </w:rPr>
        <w:t>.</w:t>
      </w:r>
    </w:p>
    <w:p w14:paraId="75582AEE" w14:textId="77777777" w:rsidR="00EE0007" w:rsidRPr="00343E12" w:rsidRDefault="00EE0007" w:rsidP="00EE0007">
      <w:pPr>
        <w:spacing w:after="0" w:line="240" w:lineRule="auto"/>
        <w:ind w:firstLine="709"/>
        <w:jc w:val="both"/>
        <w:rPr>
          <w:rFonts w:ascii="Verdana" w:eastAsia="Times New Roman" w:hAnsi="Verdana" w:cs="Arial"/>
          <w:lang w:val="es-MX" w:eastAsia="es-CO"/>
        </w:rPr>
      </w:pPr>
    </w:p>
    <w:p w14:paraId="5273DD87" w14:textId="77777777" w:rsidR="00EE0007" w:rsidRDefault="00EE0007" w:rsidP="00EE0007">
      <w:pPr>
        <w:spacing w:after="120" w:line="276" w:lineRule="auto"/>
        <w:ind w:firstLine="709"/>
        <w:jc w:val="both"/>
        <w:rPr>
          <w:rFonts w:ascii="Verdana" w:eastAsia="Times New Roman" w:hAnsi="Verdana" w:cs="Arial"/>
          <w:lang w:val="es-MX" w:eastAsia="es-CO"/>
        </w:rPr>
      </w:pPr>
      <w:r w:rsidRPr="00F53072">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420661A1" w14:textId="77777777" w:rsidR="00EE0007" w:rsidRPr="00305400" w:rsidRDefault="00EE0007" w:rsidP="00EE0007">
      <w:pPr>
        <w:spacing w:after="0" w:line="276" w:lineRule="auto"/>
        <w:ind w:firstLine="709"/>
        <w:jc w:val="both"/>
        <w:rPr>
          <w:rFonts w:ascii="Verdana" w:eastAsia="Times New Roman" w:hAnsi="Verdana" w:cs="Arial"/>
          <w:sz w:val="20"/>
          <w:szCs w:val="20"/>
          <w:lang w:val="es-MX" w:eastAsia="es-CO"/>
        </w:rPr>
      </w:pPr>
    </w:p>
    <w:p w14:paraId="09DC3250" w14:textId="77777777" w:rsidR="00EE0007" w:rsidRPr="00305400" w:rsidRDefault="00EE0007" w:rsidP="00EE0007">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w:t>
      </w:r>
      <w:r w:rsidRPr="00305400">
        <w:rPr>
          <w:rFonts w:ascii="Verdana" w:eastAsia="Times New Roman" w:hAnsi="Verdana" w:cs="Arial"/>
          <w:sz w:val="20"/>
          <w:szCs w:val="20"/>
          <w:lang w:val="es-MX" w:eastAsia="es-CO"/>
        </w:rPr>
        <w:lastRenderedPageBreak/>
        <w:t>disponibles ni pueden ser derogadas, modificadas, ampliadas o adicionadas por acuerdo o convenio o acto unilateral.</w:t>
      </w:r>
    </w:p>
    <w:p w14:paraId="5F82CBDA" w14:textId="77777777" w:rsidR="00EE0007" w:rsidRPr="00305400" w:rsidRDefault="00EE0007" w:rsidP="00EE0007">
      <w:pPr>
        <w:spacing w:after="0" w:line="240" w:lineRule="auto"/>
        <w:ind w:right="709"/>
        <w:contextualSpacing/>
        <w:jc w:val="both"/>
        <w:rPr>
          <w:rFonts w:ascii="Verdana" w:eastAsia="Times New Roman" w:hAnsi="Verdana" w:cs="Arial"/>
          <w:sz w:val="20"/>
          <w:szCs w:val="20"/>
          <w:lang w:val="es-MX" w:eastAsia="es-CO"/>
        </w:rPr>
      </w:pPr>
    </w:p>
    <w:p w14:paraId="37D34B27" w14:textId="77777777" w:rsidR="00EE0007" w:rsidRPr="00305400" w:rsidRDefault="00EE0007" w:rsidP="00EE0007">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MX" w:eastAsia="es-CO"/>
        </w:rPr>
        <w:t>La jurisprudencia de la Corte Constitucional</w:t>
      </w:r>
      <w:r w:rsidRPr="00305400">
        <w:rPr>
          <w:rFonts w:ascii="Verdana" w:eastAsia="Times New Roman" w:hAnsi="Verdana" w:cs="Arial"/>
          <w:sz w:val="20"/>
          <w:szCs w:val="20"/>
          <w:vertAlign w:val="superscript"/>
          <w:lang w:val="es-MX" w:eastAsia="es-CO"/>
        </w:rPr>
        <w:footnoteReference w:id="4"/>
      </w:r>
      <w:r w:rsidRPr="00305400">
        <w:rPr>
          <w:rFonts w:ascii="Verdana" w:eastAsia="Times New Roman" w:hAnsi="Verdana" w:cs="Arial"/>
          <w:sz w:val="20"/>
          <w:szCs w:val="20"/>
          <w:lang w:val="es-MX" w:eastAsia="es-CO"/>
        </w:rPr>
        <w:t> y del Consejo de Estado</w:t>
      </w:r>
      <w:r w:rsidRPr="00305400">
        <w:rPr>
          <w:rFonts w:ascii="Verdana" w:eastAsia="Times New Roman" w:hAnsi="Verdana" w:cs="Arial"/>
          <w:sz w:val="20"/>
          <w:szCs w:val="20"/>
          <w:vertAlign w:val="superscript"/>
          <w:lang w:val="es-MX" w:eastAsia="es-CO"/>
        </w:rPr>
        <w:footnoteReference w:id="5"/>
      </w:r>
      <w:r w:rsidRPr="00305400">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305400">
        <w:rPr>
          <w:rFonts w:ascii="Verdana" w:eastAsia="Times New Roman" w:hAnsi="Verdana" w:cs="Arial"/>
          <w:sz w:val="20"/>
          <w:szCs w:val="20"/>
          <w:vertAlign w:val="superscript"/>
          <w:lang w:val="es-MX" w:eastAsia="es-CO"/>
        </w:rPr>
        <w:footnoteReference w:id="6"/>
      </w:r>
      <w:r w:rsidRPr="00305400">
        <w:rPr>
          <w:rFonts w:ascii="Verdana" w:eastAsia="Times New Roman" w:hAnsi="Verdana" w:cs="Arial"/>
          <w:sz w:val="20"/>
          <w:szCs w:val="20"/>
          <w:lang w:val="es-MX" w:eastAsia="es-CO"/>
        </w:rPr>
        <w:t>.</w:t>
      </w:r>
    </w:p>
    <w:p w14:paraId="3FF6F2A8" w14:textId="77777777" w:rsidR="00EE0007" w:rsidRPr="00343E12" w:rsidRDefault="00EE0007" w:rsidP="00EE0007">
      <w:pPr>
        <w:spacing w:after="0" w:line="276" w:lineRule="auto"/>
        <w:jc w:val="both"/>
        <w:rPr>
          <w:rFonts w:ascii="Verdana" w:eastAsia="Calibri" w:hAnsi="Verdana" w:cs="Arial"/>
          <w:bCs/>
          <w:lang w:val="es-ES_tradnl"/>
        </w:rPr>
      </w:pPr>
    </w:p>
    <w:p w14:paraId="7FC7E88D" w14:textId="77777777" w:rsidR="00EE0007" w:rsidRDefault="00EE0007" w:rsidP="00EE0007">
      <w:pPr>
        <w:spacing w:after="120" w:line="276" w:lineRule="auto"/>
        <w:ind w:firstLine="709"/>
        <w:jc w:val="both"/>
        <w:rPr>
          <w:rFonts w:ascii="Verdana" w:eastAsia="Arial" w:hAnsi="Verdana" w:cs="Arial"/>
          <w:lang w:val="es-ES" w:eastAsia="es-ES" w:bidi="es-ES"/>
        </w:rPr>
      </w:pPr>
      <w:r w:rsidRPr="00343E12">
        <w:rPr>
          <w:rFonts w:ascii="Verdana" w:eastAsia="Times New Roman" w:hAnsi="Verdana" w:cs="Arial"/>
          <w:lang w:val="es-MX" w:eastAsia="es-CO"/>
        </w:rPr>
        <w:t>De</w:t>
      </w:r>
      <w:r w:rsidRPr="00343E12">
        <w:rPr>
          <w:rFonts w:ascii="Verdana" w:eastAsia="Arial" w:hAnsi="Verdana" w:cs="Arial"/>
          <w:lang w:val="es-ES" w:eastAsia="es-ES" w:bidi="es-ES"/>
        </w:rPr>
        <w:t xml:space="preserve"> conformidad con lo anterior, </w:t>
      </w:r>
      <w:bookmarkStart w:id="3" w:name="_Hlk77236098"/>
      <w:bookmarkStart w:id="4" w:name="_Hlk100679383"/>
      <w:r w:rsidRPr="00343E12">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3315B0A" w14:textId="77777777" w:rsidR="00EE0007" w:rsidRDefault="00EE0007" w:rsidP="00EE000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077E652E" w14:textId="77777777" w:rsidR="00EE0007" w:rsidRDefault="00EE0007" w:rsidP="00EE0007">
      <w:pPr>
        <w:spacing w:after="120" w:line="276" w:lineRule="auto"/>
        <w:ind w:firstLine="709"/>
        <w:jc w:val="both"/>
        <w:rPr>
          <w:rFonts w:ascii="Verdana" w:eastAsia="Arial" w:hAnsi="Verdana" w:cs="Arial"/>
          <w:lang w:val="es-ES" w:eastAsia="es-ES" w:bidi="es-ES"/>
        </w:rPr>
      </w:pPr>
      <w:r w:rsidRPr="00343E12">
        <w:rPr>
          <w:rFonts w:ascii="Verdana" w:eastAsia="Calibri" w:hAnsi="Verdana" w:cs="Arial"/>
        </w:rPr>
        <w:t xml:space="preserve">Por un lado, el </w:t>
      </w:r>
      <w:r w:rsidRPr="00343E12">
        <w:rPr>
          <w:rFonts w:ascii="Verdana" w:eastAsia="Calibri" w:hAnsi="Verdana" w:cs="Arial"/>
          <w:i/>
          <w:iCs/>
        </w:rPr>
        <w:t>artículo 33 de la Ley 996 de 2005</w:t>
      </w:r>
      <w:r w:rsidRPr="00343E12">
        <w:rPr>
          <w:rFonts w:ascii="Verdana" w:eastAsia="Calibri" w:hAnsi="Verdana" w:cs="Arial"/>
        </w:rPr>
        <w:t xml:space="preserve"> prohíbe “(…) la contratación directa por parte de todos los entes del Estado (…)”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w:t>
      </w:r>
      <w:r w:rsidRPr="00343E12">
        <w:rPr>
          <w:rFonts w:ascii="Verdana" w:eastAsia="Calibri" w:hAnsi="Verdana" w:cs="Arial"/>
        </w:rPr>
        <w:lastRenderedPageBreak/>
        <w:t>carreteras, infraestructura energética y de comunicaciones, en caso de que hayan sido objeto de atentados, acciones terroristas, desastres naturales o casos de fuerza mayor, y los que deban realizar las entidades sanitarias y hospitalarias (…)”</w:t>
      </w:r>
      <w:r w:rsidRPr="00343E12">
        <w:rPr>
          <w:rFonts w:ascii="Verdana" w:eastAsia="Calibri" w:hAnsi="Verdana" w:cs="Arial"/>
          <w:vertAlign w:val="superscript"/>
        </w:rPr>
        <w:footnoteReference w:id="7"/>
      </w:r>
      <w:r w:rsidRPr="00343E12">
        <w:rPr>
          <w:rFonts w:ascii="Verdana" w:eastAsia="Calibri" w:hAnsi="Verdana" w:cs="Arial"/>
        </w:rPr>
        <w:t>.</w:t>
      </w:r>
    </w:p>
    <w:p w14:paraId="16FC4152" w14:textId="77777777" w:rsidR="00EE0007" w:rsidRPr="00343E12" w:rsidRDefault="00EE0007" w:rsidP="00EE0007">
      <w:pPr>
        <w:spacing w:after="120" w:line="276" w:lineRule="auto"/>
        <w:ind w:firstLine="709"/>
        <w:jc w:val="both"/>
        <w:rPr>
          <w:rFonts w:ascii="Verdana" w:eastAsia="Arial" w:hAnsi="Verdana" w:cs="Arial"/>
          <w:lang w:val="es-ES" w:eastAsia="es-ES" w:bidi="es-ES"/>
        </w:rPr>
      </w:pPr>
      <w:r w:rsidRPr="00343E12">
        <w:rPr>
          <w:rFonts w:ascii="Verdana" w:eastAsia="Calibri" w:hAnsi="Verdana" w:cs="Arial"/>
        </w:rPr>
        <w:t xml:space="preserve">Por otro lado, </w:t>
      </w:r>
      <w:r w:rsidRPr="00343E12">
        <w:rPr>
          <w:rFonts w:ascii="Verdana" w:eastAsia="Calibri" w:hAnsi="Verdana" w:cs="Arial"/>
          <w:i/>
          <w:iCs/>
        </w:rPr>
        <w:t>el parágrafo del artículo 38 de la Ley 996 de 2005</w:t>
      </w:r>
      <w:r w:rsidRPr="00343E12">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343E12">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r w:rsidRPr="00343E12">
        <w:rPr>
          <w:rFonts w:ascii="Verdana" w:eastAsia="Calibri" w:hAnsi="Verdana" w:cs="Arial"/>
        </w:rPr>
        <w:t>”</w:t>
      </w:r>
      <w:bookmarkEnd w:id="4"/>
      <w:r w:rsidRPr="00343E12">
        <w:rPr>
          <w:rFonts w:ascii="Verdana" w:eastAsia="Calibri" w:hAnsi="Verdana" w:cs="Arial"/>
          <w:vertAlign w:val="superscript"/>
        </w:rPr>
        <w:footnoteReference w:id="8"/>
      </w:r>
      <w:r w:rsidRPr="00343E12">
        <w:rPr>
          <w:rFonts w:ascii="Verdana" w:eastAsia="Calibri" w:hAnsi="Verdana" w:cs="Arial"/>
          <w:lang w:val="es-MX"/>
        </w:rPr>
        <w:t>.</w:t>
      </w:r>
      <w:r w:rsidRPr="00343E12">
        <w:rPr>
          <w:rFonts w:ascii="Verdana" w:eastAsia="Arial" w:hAnsi="Verdana" w:cs="Arial"/>
          <w:lang w:val="es-ES" w:eastAsia="es-ES" w:bidi="es-ES"/>
        </w:rPr>
        <w:t xml:space="preserve"> </w:t>
      </w:r>
    </w:p>
    <w:p w14:paraId="6662B5B0" w14:textId="77777777" w:rsidR="00EE0007" w:rsidRPr="00343E12" w:rsidRDefault="00EE0007" w:rsidP="00EE0007">
      <w:pPr>
        <w:widowControl w:val="0"/>
        <w:autoSpaceDE w:val="0"/>
        <w:autoSpaceDN w:val="0"/>
        <w:spacing w:after="120" w:line="276" w:lineRule="auto"/>
        <w:ind w:firstLine="709"/>
        <w:contextualSpacing/>
        <w:jc w:val="both"/>
        <w:rPr>
          <w:rFonts w:ascii="Verdana" w:eastAsia="Arial" w:hAnsi="Verdana" w:cs="Arial"/>
          <w:lang w:val="es-ES" w:eastAsia="es-ES" w:bidi="es-ES"/>
        </w:rPr>
      </w:pPr>
      <w:r w:rsidRPr="00343E1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73E1050A" w14:textId="77777777" w:rsidR="00EE0007" w:rsidRPr="00343E12" w:rsidRDefault="00EE0007" w:rsidP="00EE000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A8B4440" w14:textId="77777777" w:rsidR="00EE0007" w:rsidRPr="00F53072" w:rsidRDefault="00EE0007" w:rsidP="00EE0007">
      <w:pPr>
        <w:widowControl w:val="0"/>
        <w:autoSpaceDE w:val="0"/>
        <w:autoSpaceDN w:val="0"/>
        <w:spacing w:after="0" w:line="240" w:lineRule="auto"/>
        <w:ind w:left="709" w:right="709"/>
        <w:jc w:val="both"/>
        <w:rPr>
          <w:rFonts w:ascii="Verdana" w:eastAsia="Arial" w:hAnsi="Verdana" w:cs="Arial"/>
          <w:sz w:val="21"/>
          <w:szCs w:val="21"/>
          <w:lang w:eastAsia="es-ES" w:bidi="es-ES"/>
        </w:rPr>
      </w:pPr>
      <w:r w:rsidRPr="00F53072">
        <w:rPr>
          <w:rFonts w:ascii="Verdana" w:eastAsia="Arial" w:hAnsi="Verdana" w:cs="Arial"/>
          <w:sz w:val="21"/>
          <w:szCs w:val="21"/>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w:t>
      </w:r>
      <w:r w:rsidRPr="00F53072">
        <w:rPr>
          <w:rFonts w:ascii="Verdana" w:eastAsia="Arial" w:hAnsi="Verdana" w:cs="Arial"/>
          <w:sz w:val="21"/>
          <w:szCs w:val="21"/>
          <w:lang w:eastAsia="es-ES" w:bidi="es-ES"/>
        </w:rPr>
        <w:lastRenderedPageBreak/>
        <w:t>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53072">
        <w:rPr>
          <w:rFonts w:ascii="Verdana" w:eastAsia="Arial" w:hAnsi="Verdana" w:cs="Arial"/>
          <w:sz w:val="21"/>
          <w:szCs w:val="21"/>
          <w:vertAlign w:val="superscript"/>
          <w:lang w:eastAsia="es-ES" w:bidi="es-ES"/>
        </w:rPr>
        <w:footnoteReference w:id="9"/>
      </w:r>
      <w:r w:rsidRPr="00F53072">
        <w:rPr>
          <w:rFonts w:ascii="Verdana" w:eastAsia="Arial" w:hAnsi="Verdana" w:cs="Arial"/>
          <w:sz w:val="21"/>
          <w:szCs w:val="21"/>
          <w:lang w:eastAsia="es-ES" w:bidi="es-ES"/>
        </w:rPr>
        <w:t>.</w:t>
      </w:r>
    </w:p>
    <w:p w14:paraId="6BC60937" w14:textId="77777777" w:rsidR="00EE0007" w:rsidRPr="00343E12" w:rsidRDefault="00EE0007" w:rsidP="00EE0007">
      <w:pPr>
        <w:widowControl w:val="0"/>
        <w:autoSpaceDE w:val="0"/>
        <w:autoSpaceDN w:val="0"/>
        <w:spacing w:after="0" w:line="240" w:lineRule="auto"/>
        <w:contextualSpacing/>
        <w:rPr>
          <w:rFonts w:ascii="Verdana" w:eastAsia="Arial" w:hAnsi="Verdana" w:cs="Arial"/>
          <w:lang w:val="es-ES" w:eastAsia="es-ES" w:bidi="es-ES"/>
        </w:rPr>
      </w:pPr>
    </w:p>
    <w:p w14:paraId="275C6523" w14:textId="77777777" w:rsidR="00EE0007" w:rsidRPr="00343E12" w:rsidRDefault="00EE0007" w:rsidP="00EE000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343E12">
        <w:rPr>
          <w:rFonts w:ascii="Verdana" w:eastAsia="Arial" w:hAnsi="Verdana" w:cs="Arial"/>
          <w:i/>
          <w:iCs/>
          <w:lang w:val="es-ES" w:eastAsia="es-ES" w:bidi="es-ES"/>
        </w:rPr>
        <w:t>En primer lugar</w:t>
      </w:r>
      <w:r w:rsidRPr="00343E12">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1EA0C7C2" w14:textId="77777777" w:rsidR="00EE0007" w:rsidRDefault="00EE0007" w:rsidP="00EE000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i/>
          <w:iCs/>
          <w:lang w:val="es-ES" w:eastAsia="es-ES" w:bidi="es-ES"/>
        </w:rPr>
        <w:t>En segundo lugar</w:t>
      </w:r>
      <w:r w:rsidRPr="00343E1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91C215D" w14:textId="77777777" w:rsidR="00EE0007" w:rsidRPr="00343E12" w:rsidRDefault="00EE0007" w:rsidP="00EE000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6738B5FD" w14:textId="77777777" w:rsidR="00EE0007" w:rsidRPr="00343E12" w:rsidRDefault="00EE0007" w:rsidP="00EE000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w:t>
      </w:r>
      <w:r w:rsidRPr="00343E12">
        <w:rPr>
          <w:rFonts w:ascii="Verdana" w:eastAsia="Arial" w:hAnsi="Verdana" w:cs="Arial"/>
          <w:lang w:val="es-ES" w:eastAsia="es-ES" w:bidi="es-ES"/>
        </w:rPr>
        <w:lastRenderedPageBreak/>
        <w:t xml:space="preserve">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05AA9683" w14:textId="77777777" w:rsidR="00EE0007" w:rsidRPr="00343E12" w:rsidRDefault="00EE0007" w:rsidP="00EE0007">
      <w:pPr>
        <w:widowControl w:val="0"/>
        <w:spacing w:after="120" w:line="276" w:lineRule="auto"/>
        <w:ind w:right="113" w:firstLine="709"/>
        <w:jc w:val="both"/>
        <w:rPr>
          <w:rFonts w:ascii="Verdana" w:eastAsia="Times New Roman" w:hAnsi="Verdana" w:cs="Arial"/>
          <w:bCs/>
          <w:lang w:eastAsia="es-CO"/>
        </w:rPr>
      </w:pPr>
      <w:r w:rsidRPr="00343E12">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343E12">
        <w:rPr>
          <w:rFonts w:ascii="Verdana" w:eastAsia="Times New Roman" w:hAnsi="Verdana" w:cs="Arial"/>
          <w:bCs/>
          <w:lang w:eastAsia="es-CO"/>
        </w:rPr>
        <w:t>1. </w:t>
      </w:r>
      <w:r w:rsidRPr="00343E12">
        <w:rPr>
          <w:rFonts w:ascii="Verdana" w:eastAsia="Times New Roman" w:hAnsi="Verdana" w:cs="Arial"/>
          <w:bCs/>
          <w:i/>
          <w:iCs/>
          <w:lang w:eastAsia="es-CO"/>
        </w:rPr>
        <w:t>Gral.</w:t>
      </w:r>
      <w:r w:rsidRPr="00343E12">
        <w:rPr>
          <w:rFonts w:ascii="Verdana" w:eastAsia="Times New Roman" w:hAnsi="Verdana" w:cs="Arial"/>
          <w:bCs/>
          <w:lang w:eastAsia="es-CO"/>
        </w:rPr>
        <w:t xml:space="preserve"> Otorgar o firmar un contrato. 2. </w:t>
      </w:r>
      <w:proofErr w:type="spellStart"/>
      <w:r w:rsidRPr="00343E12">
        <w:rPr>
          <w:rFonts w:ascii="Verdana" w:eastAsia="Times New Roman" w:hAnsi="Verdana" w:cs="Arial"/>
          <w:bCs/>
          <w:i/>
          <w:iCs/>
          <w:lang w:eastAsia="es-CO"/>
        </w:rPr>
        <w:t>Proc</w:t>
      </w:r>
      <w:proofErr w:type="spellEnd"/>
      <w:r w:rsidRPr="00343E12">
        <w:rPr>
          <w:rFonts w:ascii="Verdana" w:eastAsia="Times New Roman" w:hAnsi="Verdana" w:cs="Arial"/>
          <w:bCs/>
          <w:i/>
          <w:iCs/>
          <w:lang w:eastAsia="es-CO"/>
        </w:rPr>
        <w:t>.</w:t>
      </w:r>
      <w:r w:rsidRPr="00343E12">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C5CCCC5" w14:textId="77777777" w:rsidR="00EE0007" w:rsidRPr="00343E12" w:rsidRDefault="00EE0007" w:rsidP="00EE0007">
      <w:pPr>
        <w:spacing w:after="120" w:line="276" w:lineRule="auto"/>
        <w:ind w:firstLine="709"/>
        <w:jc w:val="both"/>
        <w:rPr>
          <w:rFonts w:ascii="Verdana" w:eastAsia="Times New Roman" w:hAnsi="Verdana" w:cs="Arial"/>
          <w:bCs/>
          <w:lang w:val="es-ES" w:eastAsia="es-CO"/>
        </w:rPr>
      </w:pPr>
      <w:r w:rsidRPr="00343E12">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343E1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343E12">
        <w:rPr>
          <w:rFonts w:ascii="Verdana" w:eastAsia="Times New Roman" w:hAnsi="Verdana" w:cs="Arial"/>
          <w:bCs/>
          <w:i/>
          <w:lang w:val="es-ES" w:eastAsia="es-CO"/>
        </w:rPr>
        <w:t>ibídem</w:t>
      </w:r>
      <w:proofErr w:type="spellEnd"/>
      <w:r w:rsidRPr="00343E12">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0F288FB7" w14:textId="77777777" w:rsidR="00EE0007" w:rsidRPr="00343E12" w:rsidRDefault="00EE0007" w:rsidP="00EE0007">
      <w:pPr>
        <w:spacing w:after="120" w:line="276" w:lineRule="auto"/>
        <w:ind w:firstLine="709"/>
        <w:jc w:val="both"/>
        <w:rPr>
          <w:rFonts w:ascii="Verdana" w:eastAsia="Times New Roman" w:hAnsi="Verdana" w:cs="Arial"/>
          <w:bCs/>
          <w:lang w:val="es-ES" w:eastAsia="es-CO"/>
        </w:rPr>
      </w:pPr>
      <w:r w:rsidRPr="00343E12">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w:t>
      </w:r>
      <w:r w:rsidRPr="00343E12">
        <w:rPr>
          <w:rFonts w:ascii="Verdana" w:eastAsia="Times New Roman" w:hAnsi="Verdana" w:cs="Arial"/>
          <w:bCs/>
          <w:lang w:val="es-ES" w:eastAsia="es-CO"/>
        </w:rPr>
        <w:lastRenderedPageBreak/>
        <w:t xml:space="preserve">registro presupuestal, o en algunos casos, la firma del acta de inicio, si así se determinó. </w:t>
      </w:r>
    </w:p>
    <w:p w14:paraId="221E138F" w14:textId="77777777" w:rsidR="00EE0007" w:rsidRDefault="00EE0007" w:rsidP="00EE0007">
      <w:pPr>
        <w:spacing w:after="120" w:line="276" w:lineRule="auto"/>
        <w:ind w:firstLine="709"/>
        <w:jc w:val="both"/>
        <w:rPr>
          <w:rFonts w:ascii="Verdana" w:eastAsia="Times New Roman" w:hAnsi="Verdana" w:cs="Arial"/>
          <w:bCs/>
          <w:lang w:val="es-MX" w:eastAsia="es-CO"/>
        </w:rPr>
      </w:pPr>
      <w:r w:rsidRPr="00343E12">
        <w:rPr>
          <w:rFonts w:ascii="Verdana" w:eastAsia="Times New Roman" w:hAnsi="Verdana" w:cs="Arial"/>
          <w:bCs/>
          <w:lang w:val="es-ES" w:eastAsia="es-CO"/>
        </w:rPr>
        <w:t xml:space="preserve">Así mismo, </w:t>
      </w:r>
      <w:r w:rsidRPr="00343E12">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343E12">
        <w:rPr>
          <w:rFonts w:ascii="Verdana" w:eastAsia="Times New Roman" w:hAnsi="Verdana" w:cs="Arial"/>
          <w:bCs/>
          <w:lang w:val="es-MX" w:eastAsia="es-CO"/>
        </w:rPr>
        <w:t>entrada en vigencia</w:t>
      </w:r>
      <w:proofErr w:type="gramEnd"/>
      <w:r w:rsidRPr="00343E12">
        <w:rPr>
          <w:rFonts w:ascii="Verdana" w:eastAsia="Times New Roman" w:hAnsi="Verdana" w:cs="Arial"/>
          <w:bCs/>
          <w:lang w:val="es-MX" w:eastAsia="es-CO"/>
        </w:rPr>
        <w:t xml:space="preserve"> de las prohibiciones anotadas, así como la cesión de </w:t>
      </w:r>
      <w:proofErr w:type="gramStart"/>
      <w:r w:rsidRPr="00343E12">
        <w:rPr>
          <w:rFonts w:ascii="Verdana" w:eastAsia="Times New Roman" w:hAnsi="Verdana" w:cs="Arial"/>
          <w:bCs/>
          <w:lang w:val="es-MX" w:eastAsia="es-CO"/>
        </w:rPr>
        <w:t>los mismos</w:t>
      </w:r>
      <w:proofErr w:type="gramEnd"/>
      <w:r w:rsidRPr="00343E12">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343E12">
        <w:rPr>
          <w:rFonts w:ascii="Verdana" w:eastAsia="Times New Roman" w:hAnsi="Verdana" w:cs="Arial"/>
          <w:bCs/>
          <w:vertAlign w:val="superscript"/>
          <w:lang w:val="es-MX" w:eastAsia="es-CO"/>
        </w:rPr>
        <w:footnoteReference w:id="10"/>
      </w:r>
      <w:r w:rsidRPr="00343E12">
        <w:rPr>
          <w:rFonts w:ascii="Verdana" w:eastAsia="Times New Roman" w:hAnsi="Verdana" w:cs="Arial"/>
          <w:bCs/>
          <w:lang w:val="es-MX" w:eastAsia="es-CO"/>
        </w:rPr>
        <w:t xml:space="preserve">. </w:t>
      </w:r>
    </w:p>
    <w:p w14:paraId="76E111A3" w14:textId="77777777" w:rsidR="00EE0007" w:rsidRPr="008F0091" w:rsidRDefault="00EE0007" w:rsidP="00EE0007">
      <w:pPr>
        <w:spacing w:after="120" w:line="276" w:lineRule="auto"/>
        <w:ind w:firstLine="709"/>
        <w:jc w:val="both"/>
        <w:rPr>
          <w:rFonts w:ascii="Verdana" w:eastAsia="Times New Roman" w:hAnsi="Verdana" w:cs="Arial"/>
          <w:bCs/>
          <w:lang w:val="es-ES" w:eastAsia="es-CO"/>
        </w:rPr>
      </w:pPr>
      <w:r w:rsidRPr="00343E12">
        <w:rPr>
          <w:rFonts w:ascii="Verdana" w:eastAsia="Arial" w:hAnsi="Verdana" w:cs="Arial"/>
          <w:lang w:val="es-ES" w:eastAsia="es-ES" w:bidi="es-ES"/>
        </w:rPr>
        <w:t xml:space="preserve">Ahora bien, </w:t>
      </w:r>
      <w:r w:rsidRPr="00343E12">
        <w:rPr>
          <w:rFonts w:ascii="Verdana" w:eastAsia="Calibri" w:hAnsi="Verdana" w:cs="Arial"/>
          <w:lang w:eastAsia="es-ES" w:bidi="es-ES"/>
        </w:rPr>
        <w:t xml:space="preserve">para responder al problema jurídico planteado resulta necesario precisar el alcance de la prohibición </w:t>
      </w:r>
      <w:r w:rsidRPr="00343E12">
        <w:rPr>
          <w:rFonts w:ascii="Verdana" w:eastAsia="Arial" w:hAnsi="Verdana" w:cs="Arial"/>
          <w:lang w:val="es-ES" w:eastAsia="es-ES" w:bidi="es-ES"/>
        </w:rPr>
        <w:t>establecida en e</w:t>
      </w:r>
      <w:r w:rsidRPr="00343E12">
        <w:rPr>
          <w:rFonts w:ascii="Verdana" w:eastAsia="Calibri" w:hAnsi="Verdana" w:cs="Arial"/>
        </w:rPr>
        <w:t xml:space="preserve">l </w:t>
      </w:r>
      <w:r w:rsidRPr="00343E12">
        <w:rPr>
          <w:rFonts w:ascii="Verdana" w:eastAsia="Times New Roman" w:hAnsi="Verdana" w:cs="Arial"/>
          <w:lang w:val="es-MX"/>
        </w:rPr>
        <w:t xml:space="preserve">artículo 33 de la Ley 996 de 2005. El ámbito material de la prohibición contenida en esta disposición está delimitado por la expresión </w:t>
      </w:r>
      <w:r w:rsidRPr="00343E12">
        <w:rPr>
          <w:rFonts w:ascii="Verdana" w:eastAsia="Calibri" w:hAnsi="Verdana" w:cs="Arial"/>
          <w:lang w:val="es-MX"/>
        </w:rPr>
        <w:t>“</w:t>
      </w:r>
      <w:r w:rsidRPr="00343E12">
        <w:rPr>
          <w:rFonts w:ascii="Verdana" w:eastAsia="Times New Roman" w:hAnsi="Verdana" w:cs="Arial"/>
          <w:lang w:val="es-MX"/>
        </w:rPr>
        <w:t>queda prohibida la contratación directa</w:t>
      </w:r>
      <w:r w:rsidRPr="00343E12">
        <w:rPr>
          <w:rFonts w:ascii="Verdana" w:eastAsia="Calibri" w:hAnsi="Verdana" w:cs="Arial"/>
          <w:lang w:val="es-MX"/>
        </w:rPr>
        <w:t>”</w:t>
      </w:r>
      <w:r w:rsidRPr="00343E12">
        <w:rPr>
          <w:rFonts w:ascii="Verdana" w:eastAsia="Times New Roman" w:hAnsi="Verdana" w:cs="Arial"/>
          <w:lang w:val="es-MX"/>
        </w:rPr>
        <w:t xml:space="preserve">. </w:t>
      </w:r>
      <w:r w:rsidRPr="00343E12">
        <w:rPr>
          <w:rFonts w:ascii="Verdana" w:eastAsia="Times New Roman" w:hAnsi="Verdana" w:cs="Arial"/>
          <w:lang w:val="es-MX" w:eastAsia="es-CO"/>
        </w:rPr>
        <w:t xml:space="preserve">A propósito de </w:t>
      </w:r>
      <w:r w:rsidRPr="00343E12">
        <w:rPr>
          <w:rFonts w:ascii="Verdana" w:eastAsia="Times New Roman" w:hAnsi="Verdana" w:cs="Arial"/>
          <w:lang w:eastAsia="es-CO"/>
        </w:rPr>
        <w:t>esta restricción de la Ley de Garantías Electorales, la Sala de Consulta y Servicio Civil del Consejo de Estado ha considerado que:</w:t>
      </w:r>
    </w:p>
    <w:p w14:paraId="336E9F5D" w14:textId="77777777" w:rsidR="00EE0007" w:rsidRPr="00305400" w:rsidRDefault="00EE0007" w:rsidP="00EE0007">
      <w:pPr>
        <w:spacing w:after="0" w:line="276" w:lineRule="auto"/>
        <w:ind w:left="708" w:right="709"/>
        <w:jc w:val="both"/>
        <w:rPr>
          <w:rFonts w:ascii="Verdana" w:eastAsia="Calibri" w:hAnsi="Verdana" w:cs="Arial"/>
          <w:sz w:val="20"/>
          <w:szCs w:val="20"/>
          <w:lang w:val="es-MX"/>
        </w:rPr>
      </w:pPr>
    </w:p>
    <w:p w14:paraId="35E48415" w14:textId="77777777" w:rsidR="00EE0007" w:rsidRPr="00305400" w:rsidRDefault="00EE0007" w:rsidP="00EE0007">
      <w:pPr>
        <w:spacing w:after="0" w:line="240" w:lineRule="auto"/>
        <w:ind w:left="709" w:right="709"/>
        <w:jc w:val="both"/>
        <w:rPr>
          <w:rFonts w:ascii="Verdana" w:eastAsia="Calibri" w:hAnsi="Verdana" w:cs="Arial"/>
          <w:sz w:val="20"/>
          <w:szCs w:val="20"/>
          <w:lang w:val="es-MX"/>
        </w:rPr>
      </w:pPr>
      <w:r w:rsidRPr="00305400">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05400">
        <w:rPr>
          <w:rFonts w:ascii="Verdana" w:eastAsia="Times New Roman" w:hAnsi="Verdana" w:cs="Arial"/>
          <w:sz w:val="20"/>
          <w:szCs w:val="20"/>
          <w:vertAlign w:val="superscript"/>
          <w:lang w:eastAsia="es-CO"/>
        </w:rPr>
        <w:footnoteReference w:id="11"/>
      </w:r>
      <w:r w:rsidRPr="00305400">
        <w:rPr>
          <w:rFonts w:ascii="Verdana" w:eastAsia="Calibri" w:hAnsi="Verdana" w:cs="Arial"/>
          <w:sz w:val="20"/>
          <w:szCs w:val="20"/>
          <w:lang w:val="es-MX"/>
        </w:rPr>
        <w:t>.</w:t>
      </w:r>
    </w:p>
    <w:p w14:paraId="1AABF68B" w14:textId="77777777" w:rsidR="00EE0007" w:rsidRPr="00305400" w:rsidRDefault="00EE0007" w:rsidP="00EE0007">
      <w:pPr>
        <w:spacing w:after="0" w:line="240" w:lineRule="auto"/>
        <w:ind w:left="709" w:right="709"/>
        <w:jc w:val="both"/>
        <w:rPr>
          <w:rFonts w:ascii="Verdana" w:eastAsia="Calibri" w:hAnsi="Verdana" w:cs="Arial"/>
          <w:sz w:val="20"/>
          <w:szCs w:val="20"/>
          <w:lang w:val="es-MX"/>
        </w:rPr>
      </w:pPr>
    </w:p>
    <w:p w14:paraId="521DEEF6" w14:textId="77777777" w:rsidR="00EE0007" w:rsidRPr="00305400" w:rsidRDefault="00EE0007" w:rsidP="00EE0007">
      <w:pPr>
        <w:spacing w:after="0" w:line="240" w:lineRule="auto"/>
        <w:ind w:left="709" w:right="709"/>
        <w:jc w:val="both"/>
        <w:rPr>
          <w:rFonts w:ascii="Verdana" w:hAnsi="Verdana"/>
          <w:sz w:val="20"/>
          <w:szCs w:val="20"/>
        </w:rPr>
      </w:pPr>
      <w:r w:rsidRPr="00305400">
        <w:rPr>
          <w:rFonts w:ascii="Verdana" w:eastAsia="Calibri" w:hAnsi="Verdana" w:cs="Arial"/>
          <w:sz w:val="20"/>
          <w:szCs w:val="20"/>
          <w:lang w:val="es-MX"/>
        </w:rPr>
        <w:t xml:space="preserve">Esta Sala ha entendido </w:t>
      </w:r>
      <w:proofErr w:type="gramStart"/>
      <w:r w:rsidRPr="00305400">
        <w:rPr>
          <w:rFonts w:ascii="Verdana" w:eastAsia="Calibri" w:hAnsi="Verdana" w:cs="Arial"/>
          <w:sz w:val="20"/>
          <w:szCs w:val="20"/>
          <w:lang w:val="es-MX"/>
        </w:rPr>
        <w:t>que</w:t>
      </w:r>
      <w:proofErr w:type="gramEnd"/>
      <w:r w:rsidRPr="00305400">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05400">
        <w:rPr>
          <w:rFonts w:ascii="Verdana" w:eastAsia="Times New Roman" w:hAnsi="Verdana" w:cs="Arial"/>
          <w:sz w:val="20"/>
          <w:szCs w:val="20"/>
          <w:vertAlign w:val="superscript"/>
          <w:lang w:val="es-MX"/>
        </w:rPr>
        <w:footnoteReference w:id="12"/>
      </w:r>
      <w:r w:rsidRPr="00305400">
        <w:rPr>
          <w:rFonts w:ascii="Verdana" w:eastAsia="Times New Roman" w:hAnsi="Verdana" w:cs="Arial"/>
          <w:sz w:val="20"/>
          <w:szCs w:val="20"/>
          <w:vertAlign w:val="superscript"/>
          <w:lang w:val="es-MX"/>
        </w:rPr>
        <w:t>.</w:t>
      </w:r>
      <w:r w:rsidRPr="00305400">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05400">
        <w:rPr>
          <w:rFonts w:ascii="Verdana" w:eastAsia="Times New Roman" w:hAnsi="Verdana" w:cs="Arial"/>
          <w:sz w:val="20"/>
          <w:szCs w:val="20"/>
          <w:vertAlign w:val="superscript"/>
          <w:lang w:eastAsia="es-CO"/>
        </w:rPr>
        <w:footnoteReference w:id="13"/>
      </w:r>
    </w:p>
    <w:p w14:paraId="6165439C" w14:textId="77777777" w:rsidR="00EE0007" w:rsidRPr="00E25E93" w:rsidRDefault="00EE0007" w:rsidP="00EE0007">
      <w:pPr>
        <w:spacing w:after="120" w:line="276" w:lineRule="auto"/>
        <w:ind w:firstLine="709"/>
        <w:jc w:val="both"/>
        <w:rPr>
          <w:rFonts w:ascii="Verdana" w:hAnsi="Verdana"/>
        </w:rPr>
      </w:pPr>
    </w:p>
    <w:p w14:paraId="04DF9543" w14:textId="77777777" w:rsidR="00EE0007" w:rsidRPr="00E25E93" w:rsidRDefault="00EE0007" w:rsidP="00EE0007">
      <w:pPr>
        <w:spacing w:after="120" w:line="276" w:lineRule="auto"/>
        <w:ind w:firstLine="709"/>
        <w:jc w:val="both"/>
        <w:rPr>
          <w:rFonts w:ascii="Verdana" w:eastAsia="Times New Roman" w:hAnsi="Verdana" w:cs="Arial"/>
          <w:bCs/>
          <w:lang w:eastAsia="x-none"/>
        </w:rPr>
      </w:pPr>
      <w:r w:rsidRPr="00E25E93">
        <w:rPr>
          <w:rFonts w:ascii="Verdana" w:eastAsia="Times New Roman" w:hAnsi="Verdana" w:cs="Arial"/>
          <w:lang w:eastAsia="x-none"/>
        </w:rPr>
        <w:t xml:space="preserve">De acuerdo con el citado concepto, la prohibición del artículo 33 de la Ley de Garantías Electorales se refiere a </w:t>
      </w:r>
      <w:r w:rsidRPr="00E25E93">
        <w:rPr>
          <w:rFonts w:ascii="Verdana" w:eastAsia="Times New Roman" w:hAnsi="Verdana" w:cs="Arial"/>
          <w:lang w:eastAsia="en-GB"/>
        </w:rPr>
        <w:t>“</w:t>
      </w:r>
      <w:r w:rsidRPr="00E25E93">
        <w:rPr>
          <w:rFonts w:ascii="Verdana" w:eastAsia="Times New Roman" w:hAnsi="Verdana" w:cs="Arial"/>
          <w:lang w:eastAsia="x-none"/>
        </w:rPr>
        <w:t>cualquier sistema que no implique convocatoria pública y posibilidad de pluralidad de oferentes</w:t>
      </w:r>
      <w:r w:rsidRPr="00E25E93">
        <w:rPr>
          <w:rFonts w:ascii="Verdana" w:eastAsia="Times New Roman" w:hAnsi="Verdana" w:cs="Arial"/>
          <w:lang w:eastAsia="en-GB"/>
        </w:rPr>
        <w:t>”</w:t>
      </w:r>
      <w:r w:rsidRPr="00E25E93">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E25E93">
        <w:rPr>
          <w:rFonts w:ascii="Verdana" w:eastAsia="Times New Roman" w:hAnsi="Verdana" w:cs="Arial"/>
          <w:lang w:val="es-ES_tradnl" w:eastAsia="x-none"/>
        </w:rPr>
        <w:t>y la mínima cuantía</w:t>
      </w:r>
      <w:r w:rsidRPr="00E25E93" w:rsidDel="00A85D9F">
        <w:rPr>
          <w:rFonts w:ascii="Verdana" w:eastAsia="Times New Roman" w:hAnsi="Verdana" w:cs="Arial"/>
          <w:lang w:eastAsia="x-none"/>
        </w:rPr>
        <w:t xml:space="preserve"> </w:t>
      </w:r>
      <w:r w:rsidRPr="00E25E93">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E25E93">
        <w:rPr>
          <w:rFonts w:ascii="Verdana" w:eastAsia="Times New Roman" w:hAnsi="Verdana" w:cs="Arial"/>
          <w:vertAlign w:val="superscript"/>
          <w:lang w:val="en-GB" w:eastAsia="x-none"/>
        </w:rPr>
        <w:footnoteReference w:id="14"/>
      </w:r>
      <w:r w:rsidRPr="00E25E93">
        <w:rPr>
          <w:rFonts w:ascii="Verdana" w:eastAsia="Times New Roman" w:hAnsi="Verdana" w:cs="Arial"/>
          <w:lang w:eastAsia="x-none"/>
        </w:rPr>
        <w:t xml:space="preserve"> y sistematizó las causales de contratación directa</w:t>
      </w:r>
      <w:r w:rsidRPr="00E25E93">
        <w:rPr>
          <w:rFonts w:ascii="Verdana" w:eastAsia="Times New Roman" w:hAnsi="Verdana" w:cs="Arial"/>
          <w:vertAlign w:val="superscript"/>
          <w:lang w:val="en-GB" w:eastAsia="x-none"/>
        </w:rPr>
        <w:footnoteReference w:id="15"/>
      </w:r>
      <w:r w:rsidRPr="00E25E93">
        <w:rPr>
          <w:rFonts w:ascii="Verdana" w:eastAsia="Times New Roman" w:hAnsi="Verdana" w:cs="Arial"/>
          <w:lang w:eastAsia="x-none"/>
        </w:rPr>
        <w:t xml:space="preserve">, </w:t>
      </w:r>
      <w:r w:rsidRPr="00E25E93">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106DD9CC" w14:textId="77777777" w:rsidR="00EE0007" w:rsidRPr="00E25E93" w:rsidRDefault="00EE0007" w:rsidP="00EE0007">
      <w:pPr>
        <w:spacing w:after="120" w:line="276" w:lineRule="auto"/>
        <w:ind w:firstLine="709"/>
        <w:jc w:val="both"/>
        <w:rPr>
          <w:rFonts w:ascii="Verdana" w:eastAsia="Times New Roman" w:hAnsi="Verdana" w:cs="Arial"/>
          <w:lang w:val="es-MX"/>
        </w:rPr>
      </w:pPr>
      <w:r w:rsidRPr="00E25E93">
        <w:rPr>
          <w:rFonts w:ascii="Verdana" w:eastAsia="Times New Roman" w:hAnsi="Verdana" w:cs="Arial"/>
          <w:lang w:eastAsia="x-none"/>
        </w:rPr>
        <w:t xml:space="preserve">De esta forma, con fundamento en la evolución de la normativa sobre la contratación pública, se ha depurado la noción de </w:t>
      </w:r>
      <w:r w:rsidRPr="00E25E93">
        <w:rPr>
          <w:rFonts w:ascii="Verdana" w:eastAsia="Times New Roman" w:hAnsi="Verdana" w:cs="Arial"/>
          <w:lang w:eastAsia="en-GB"/>
        </w:rPr>
        <w:t>“</w:t>
      </w:r>
      <w:r w:rsidRPr="00E25E93">
        <w:rPr>
          <w:rFonts w:ascii="Verdana" w:eastAsia="Times New Roman" w:hAnsi="Verdana" w:cs="Arial"/>
          <w:lang w:eastAsia="x-none"/>
        </w:rPr>
        <w:t>contratación directa</w:t>
      </w:r>
      <w:r w:rsidRPr="00E25E93">
        <w:rPr>
          <w:rFonts w:ascii="Verdana" w:eastAsia="Times New Roman" w:hAnsi="Verdana" w:cs="Arial"/>
          <w:lang w:eastAsia="en-GB"/>
        </w:rPr>
        <w:t>”</w:t>
      </w:r>
      <w:r w:rsidRPr="00E25E93">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E25E93">
        <w:rPr>
          <w:rFonts w:ascii="Verdana" w:eastAsia="Times New Roman" w:hAnsi="Verdana" w:cs="Arial"/>
          <w:vertAlign w:val="superscript"/>
          <w:lang w:val="en-GB"/>
        </w:rPr>
        <w:footnoteReference w:id="16"/>
      </w:r>
      <w:r w:rsidRPr="00E25E93">
        <w:rPr>
          <w:rFonts w:ascii="Verdana" w:eastAsia="Times New Roman" w:hAnsi="Verdana" w:cs="Arial"/>
          <w:lang w:eastAsia="x-none"/>
        </w:rPr>
        <w:t>, han establecido sistemas de contratación que implican convocatoria pública y participación de varios oferentes</w:t>
      </w:r>
      <w:r w:rsidRPr="00E25E93">
        <w:rPr>
          <w:rFonts w:ascii="Verdana" w:eastAsia="Times New Roman" w:hAnsi="Verdana" w:cs="Arial"/>
          <w:lang w:eastAsia="en-GB"/>
        </w:rPr>
        <w:t>”</w:t>
      </w:r>
      <w:r w:rsidRPr="00E25E93">
        <w:rPr>
          <w:rFonts w:ascii="Verdana" w:eastAsia="Times New Roman" w:hAnsi="Verdana" w:cs="Arial"/>
          <w:lang w:eastAsia="x-none"/>
        </w:rPr>
        <w:t xml:space="preserve">. </w:t>
      </w:r>
    </w:p>
    <w:p w14:paraId="61493243" w14:textId="77777777" w:rsidR="00EE0007" w:rsidRPr="00E25E93" w:rsidRDefault="00EE0007" w:rsidP="00EE0007">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lang w:val="es-MX"/>
        </w:rPr>
        <w:t>E</w:t>
      </w:r>
      <w:r w:rsidRPr="00E25E93">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w:t>
      </w:r>
      <w:r w:rsidRPr="00E25E93">
        <w:rPr>
          <w:rFonts w:ascii="Verdana" w:eastAsia="Times New Roman" w:hAnsi="Verdana" w:cs="Arial"/>
          <w:lang w:eastAsia="x-none"/>
        </w:rPr>
        <w:lastRenderedPageBreak/>
        <w:t>dicho sistema no constituye “contratación directa”, es que la convocatoria para inscribirse en forma previa se haga de manera pública, y que se permita la participación de una pluralidad de oferentes</w:t>
      </w:r>
      <w:r w:rsidRPr="00E25E93">
        <w:rPr>
          <w:rFonts w:ascii="Verdana" w:eastAsia="Times New Roman" w:hAnsi="Verdana" w:cs="Arial"/>
          <w:vertAlign w:val="superscript"/>
          <w:lang w:eastAsia="x-none"/>
        </w:rPr>
        <w:footnoteReference w:id="17"/>
      </w:r>
      <w:r w:rsidRPr="00E25E93">
        <w:rPr>
          <w:rFonts w:ascii="Verdana" w:eastAsia="Times New Roman" w:hAnsi="Verdana" w:cs="Arial"/>
          <w:lang w:eastAsia="x-none"/>
        </w:rPr>
        <w:t xml:space="preserve">. </w:t>
      </w:r>
    </w:p>
    <w:p w14:paraId="501A154C" w14:textId="77777777" w:rsidR="00EE0007" w:rsidRPr="00E25E93" w:rsidRDefault="00EE0007" w:rsidP="00EE0007">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Pr="00E25E93">
        <w:rPr>
          <w:rFonts w:ascii="Verdana" w:eastAsia="Times New Roman" w:hAnsi="Verdana" w:cs="Arial"/>
          <w:lang w:val="es-MX" w:eastAsia="es-CO"/>
        </w:rPr>
        <w:t xml:space="preserve"> Electorales</w:t>
      </w:r>
      <w:r w:rsidRPr="00E25E93">
        <w:rPr>
          <w:rFonts w:ascii="Verdana" w:eastAsia="Times New Roman" w:hAnsi="Verdana" w:cs="Arial"/>
          <w:bCs/>
          <w:lang w:val="es-MX"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E25E93">
        <w:rPr>
          <w:rFonts w:ascii="Verdana" w:eastAsia="Times New Roman" w:hAnsi="Verdana" w:cs="Arial"/>
          <w:lang w:val="es-MX" w:eastAsia="es-CO"/>
        </w:rPr>
        <w:t>“</w:t>
      </w:r>
      <w:r w:rsidRPr="00E25E93">
        <w:rPr>
          <w:rFonts w:ascii="Verdana" w:eastAsia="Times New Roman" w:hAnsi="Verdana" w:cs="Arial"/>
          <w:bCs/>
          <w:lang w:val="es-MX" w:eastAsia="es-CO"/>
        </w:rPr>
        <w:t>contratación directa</w:t>
      </w:r>
      <w:r w:rsidRPr="00E25E93">
        <w:rPr>
          <w:rFonts w:ascii="Verdana" w:eastAsia="Times New Roman" w:hAnsi="Verdana" w:cs="Arial"/>
          <w:lang w:val="es-MX" w:eastAsia="es-CO"/>
        </w:rPr>
        <w:t>”.</w:t>
      </w:r>
    </w:p>
    <w:p w14:paraId="13AFE01A" w14:textId="77777777" w:rsidR="00EE0007" w:rsidRPr="00E25E93" w:rsidRDefault="00EE0007" w:rsidP="00EE0007">
      <w:pPr>
        <w:spacing w:after="120" w:line="276" w:lineRule="auto"/>
        <w:ind w:firstLine="709"/>
        <w:jc w:val="both"/>
        <w:rPr>
          <w:rFonts w:ascii="Verdana" w:eastAsia="Times New Roman" w:hAnsi="Verdana" w:cs="Arial"/>
          <w:bCs/>
          <w:lang w:val="es-MX" w:eastAsia="x-none"/>
        </w:rPr>
      </w:pPr>
      <w:r w:rsidRPr="00E25E93">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E25E93">
        <w:rPr>
          <w:rFonts w:ascii="Verdana" w:eastAsia="Times New Roman" w:hAnsi="Verdana" w:cs="Arial"/>
          <w:vertAlign w:val="superscript"/>
          <w:lang w:eastAsia="x-none"/>
        </w:rPr>
        <w:footnoteReference w:id="18"/>
      </w:r>
      <w:r w:rsidRPr="00E25E93">
        <w:rPr>
          <w:rFonts w:ascii="Verdana" w:eastAsia="Times New Roman" w:hAnsi="Verdana" w:cs="Arial"/>
          <w:bCs/>
          <w:lang w:val="es-MX" w:eastAsia="x-none"/>
        </w:rPr>
        <w:t>.</w:t>
      </w:r>
      <w:r w:rsidRPr="00E25E93">
        <w:rPr>
          <w:rFonts w:ascii="Verdana" w:eastAsia="Times New Roman" w:hAnsi="Verdana" w:cs="Arial"/>
          <w:vertAlign w:val="superscript"/>
          <w:lang w:eastAsia="x-none"/>
        </w:rPr>
        <w:t xml:space="preserve"> </w:t>
      </w:r>
    </w:p>
    <w:p w14:paraId="5D34F09A" w14:textId="77777777" w:rsidR="00EE0007" w:rsidRPr="00E25E93" w:rsidRDefault="00EE0007" w:rsidP="00EE0007">
      <w:pPr>
        <w:spacing w:after="120" w:line="276" w:lineRule="auto"/>
        <w:ind w:firstLine="709"/>
        <w:jc w:val="both"/>
        <w:rPr>
          <w:rFonts w:ascii="Verdana" w:eastAsia="Times New Roman" w:hAnsi="Verdana" w:cs="Arial"/>
          <w:lang w:eastAsia="x-none"/>
        </w:rPr>
      </w:pPr>
      <w:r w:rsidRPr="00E25E93">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E25E93">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2FF35C3" w14:textId="77777777" w:rsidR="00EE0007" w:rsidRPr="00E25E93" w:rsidRDefault="00EE0007" w:rsidP="00EE0007">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E25E93">
        <w:rPr>
          <w:rFonts w:ascii="Verdana" w:eastAsia="Times New Roman" w:hAnsi="Verdana" w:cs="Arial"/>
          <w:bCs/>
          <w:lang w:val="es-MX" w:eastAsia="es-CO"/>
        </w:rPr>
        <w:t>entrada en vigencia</w:t>
      </w:r>
      <w:proofErr w:type="gramEnd"/>
      <w:r w:rsidRPr="00E25E93">
        <w:rPr>
          <w:rFonts w:ascii="Verdana" w:eastAsia="Times New Roman" w:hAnsi="Verdana" w:cs="Arial"/>
          <w:bCs/>
          <w:lang w:val="es-MX" w:eastAsia="es-CO"/>
        </w:rPr>
        <w:t xml:space="preserve"> de las prohibiciones anotadas, así como la cesión de </w:t>
      </w:r>
      <w:proofErr w:type="gramStart"/>
      <w:r w:rsidRPr="00E25E93">
        <w:rPr>
          <w:rFonts w:ascii="Verdana" w:eastAsia="Times New Roman" w:hAnsi="Verdana" w:cs="Arial"/>
          <w:bCs/>
          <w:lang w:val="es-MX" w:eastAsia="es-CO"/>
        </w:rPr>
        <w:t>los mismos</w:t>
      </w:r>
      <w:proofErr w:type="gramEnd"/>
      <w:r w:rsidRPr="00E25E93">
        <w:rPr>
          <w:rFonts w:ascii="Verdana" w:eastAsia="Times New Roman" w:hAnsi="Verdana" w:cs="Arial"/>
          <w:bCs/>
          <w:lang w:val="es-MX" w:eastAsia="es-CO"/>
        </w:rPr>
        <w:t>, pueden tener lugar en el período de aplicación de la Ley de Garantías</w:t>
      </w:r>
      <w:r w:rsidRPr="00E25E93">
        <w:rPr>
          <w:rFonts w:ascii="Verdana" w:eastAsia="Times New Roman" w:hAnsi="Verdana" w:cs="Arial"/>
          <w:lang w:val="es-MX" w:eastAsia="es-CO"/>
        </w:rPr>
        <w:t xml:space="preserve"> Electorales</w:t>
      </w:r>
      <w:r w:rsidRPr="00E25E93">
        <w:rPr>
          <w:rFonts w:ascii="Verdana" w:eastAsia="Times New Roman" w:hAnsi="Verdana" w:cs="Arial"/>
          <w:bCs/>
          <w:lang w:val="es-MX" w:eastAsia="es-CO"/>
        </w:rPr>
        <w:t xml:space="preserve">, sin que ello haga nugatoria la restricción de la contratación directa y siempre que cumplan los principios de planeación, transparencia y </w:t>
      </w:r>
      <w:r w:rsidRPr="00E25E93">
        <w:rPr>
          <w:rFonts w:ascii="Verdana" w:eastAsia="Times New Roman" w:hAnsi="Verdana" w:cs="Arial"/>
          <w:bCs/>
          <w:lang w:val="es-MX" w:eastAsia="es-CO"/>
        </w:rPr>
        <w:lastRenderedPageBreak/>
        <w:t>responsabilidad</w:t>
      </w:r>
      <w:r w:rsidRPr="00E25E93">
        <w:rPr>
          <w:rFonts w:ascii="Verdana" w:eastAsia="Times New Roman" w:hAnsi="Verdana" w:cs="Arial"/>
          <w:bCs/>
          <w:vertAlign w:val="superscript"/>
          <w:lang w:val="es-MX" w:eastAsia="es-CO"/>
        </w:rPr>
        <w:footnoteReference w:id="19"/>
      </w:r>
      <w:r w:rsidRPr="00E25E93">
        <w:rPr>
          <w:rFonts w:ascii="Verdana" w:eastAsia="Times New Roman" w:hAnsi="Verdana" w:cs="Arial"/>
          <w:bCs/>
          <w:lang w:val="es-MX" w:eastAsia="es-CO"/>
        </w:rPr>
        <w:t xml:space="preserve">. Además, también es posible que contratos celebrados previamente se continúen ejecutando con normalidad. </w:t>
      </w:r>
    </w:p>
    <w:p w14:paraId="23BE504F" w14:textId="77777777" w:rsidR="00EE0007" w:rsidRPr="00E25E93" w:rsidRDefault="00EE0007" w:rsidP="00EE0007">
      <w:pPr>
        <w:spacing w:after="120" w:line="276" w:lineRule="auto"/>
        <w:ind w:firstLine="709"/>
        <w:jc w:val="both"/>
        <w:rPr>
          <w:rFonts w:ascii="Verdana" w:eastAsia="Times New Roman" w:hAnsi="Verdana" w:cs="Arial"/>
          <w:lang w:val="es-MX" w:eastAsia="es-CO"/>
        </w:rPr>
      </w:pPr>
      <w:r w:rsidRPr="00E25E93">
        <w:rPr>
          <w:rFonts w:ascii="Verdana" w:eastAsia="Times New Roman" w:hAnsi="Verdana" w:cs="Arial"/>
          <w:lang w:val="es-MX"/>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25E93">
        <w:rPr>
          <w:rFonts w:ascii="Verdana" w:eastAsia="Times New Roman" w:hAnsi="Verdana" w:cs="Arial"/>
          <w:lang w:val="es-MX"/>
        </w:rPr>
        <w:t>ii</w:t>
      </w:r>
      <w:proofErr w:type="spellEnd"/>
      <w:r w:rsidRPr="00E25E93">
        <w:rPr>
          <w:rFonts w:ascii="Verdana" w:eastAsia="Times New Roman" w:hAnsi="Verdana" w:cs="Arial"/>
          <w:lang w:val="es-MX"/>
        </w:rPr>
        <w:t xml:space="preserve">) los contratos de crédito público; </w:t>
      </w:r>
      <w:proofErr w:type="spellStart"/>
      <w:r w:rsidRPr="00E25E93">
        <w:rPr>
          <w:rFonts w:ascii="Verdana" w:eastAsia="Times New Roman" w:hAnsi="Verdana" w:cs="Arial"/>
          <w:lang w:val="es-MX"/>
        </w:rPr>
        <w:t>iii</w:t>
      </w:r>
      <w:proofErr w:type="spellEnd"/>
      <w:r w:rsidRPr="00E25E93">
        <w:rPr>
          <w:rFonts w:ascii="Verdana" w:eastAsia="Times New Roman" w:hAnsi="Verdana" w:cs="Arial"/>
          <w:lang w:val="es-MX"/>
        </w:rPr>
        <w:t xml:space="preserve">) los requeridos para cubrir las emergencias educativas, sanitarias y desastres; </w:t>
      </w:r>
      <w:proofErr w:type="spellStart"/>
      <w:r w:rsidRPr="00E25E93">
        <w:rPr>
          <w:rFonts w:ascii="Verdana" w:eastAsia="Times New Roman" w:hAnsi="Verdana" w:cs="Arial"/>
          <w:lang w:val="es-MX"/>
        </w:rPr>
        <w:t>iv</w:t>
      </w:r>
      <w:proofErr w:type="spellEnd"/>
      <w:r w:rsidRPr="00E25E93">
        <w:rPr>
          <w:rFonts w:ascii="Verdana" w:eastAsia="Times New Roman" w:hAnsi="Verdana" w:cs="Arial"/>
          <w:lang w:val="es-MX"/>
        </w:rPr>
        <w:t xml:space="preserve">) los utilizados para la reconstrucción de vías, puentes, carreteras, infraestructura energética y de comunicaciones, en caso de que hayan sido objeto de atentados, acciones terroristas, desastres naturales o casos de fuerza mayor; y, v) </w:t>
      </w:r>
      <w:r w:rsidRPr="00E25E93">
        <w:rPr>
          <w:rFonts w:ascii="Verdana" w:eastAsia="Times New Roman" w:hAnsi="Verdana" w:cs="Arial"/>
          <w:i/>
          <w:lang w:val="es-MX"/>
        </w:rPr>
        <w:t>los que deban realizar las entidades sanitarias y hospitalarias.</w:t>
      </w:r>
      <w:r w:rsidRPr="00E25E93">
        <w:rPr>
          <w:rFonts w:ascii="Verdana" w:eastAsia="Times New Roman" w:hAnsi="Verdana" w:cs="Arial"/>
          <w:bCs/>
          <w:lang w:val="es-MX" w:eastAsia="es-CO"/>
        </w:rPr>
        <w:t xml:space="preserve"> </w:t>
      </w:r>
    </w:p>
    <w:p w14:paraId="571BB1B4" w14:textId="77777777" w:rsidR="00EE0007" w:rsidRPr="00E25E93" w:rsidRDefault="00EE0007" w:rsidP="00EE0007">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lang w:val="es-MX" w:eastAsia="es-CO"/>
        </w:rPr>
        <w:t>Conforme a las anteriores excepciones, es</w:t>
      </w:r>
      <w:r w:rsidRPr="00E25E93">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C7D1969" w14:textId="77777777" w:rsidR="00EE0007" w:rsidRPr="00E25E93" w:rsidRDefault="00EE0007" w:rsidP="00EE0007">
      <w:pPr>
        <w:spacing w:after="120" w:line="276" w:lineRule="auto"/>
        <w:ind w:firstLine="709"/>
        <w:jc w:val="both"/>
        <w:rPr>
          <w:rFonts w:ascii="Verdana" w:eastAsia="Times New Roman" w:hAnsi="Verdana" w:cs="Arial"/>
          <w:lang w:val="es-MX"/>
        </w:rPr>
      </w:pPr>
      <w:r w:rsidRPr="00E25E93">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E25E93">
        <w:rPr>
          <w:rFonts w:ascii="Verdana" w:eastAsia="Calibri" w:hAnsi="Verdana" w:cs="Arial"/>
          <w:vertAlign w:val="superscript"/>
          <w:lang w:val="es-MX"/>
        </w:rPr>
        <w:footnoteReference w:id="20"/>
      </w:r>
      <w:r w:rsidRPr="00E25E93">
        <w:rPr>
          <w:rFonts w:ascii="Verdana" w:eastAsia="Times New Roman" w:hAnsi="Verdana" w:cs="Arial"/>
          <w:lang w:val="es-MX"/>
        </w:rPr>
        <w:t xml:space="preserve">. De ahí que la Corte haya señalado que las excepciones a la restricción protegen diversos tipos de urgencias de defensa, salud, educación, infraestructura vial y de servicios públicos y ecológicas, que tienden a no limitar desproporcionadamente la acción </w:t>
      </w:r>
      <w:r w:rsidRPr="00E25E93">
        <w:rPr>
          <w:rFonts w:ascii="Verdana" w:eastAsia="Times New Roman" w:hAnsi="Verdana" w:cs="Arial"/>
          <w:lang w:val="es-MX"/>
        </w:rPr>
        <w:lastRenderedPageBreak/>
        <w:t>del Estado en el cumplimiento de sus fines, en procura de la igualdad entre los candidatos como garantía electoral.</w:t>
      </w:r>
    </w:p>
    <w:p w14:paraId="4644B4E0" w14:textId="77777777" w:rsidR="00EE0007" w:rsidRPr="00E25E93" w:rsidRDefault="00EE0007" w:rsidP="00EE0007">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En este punto, es pertinente analizar el quinto evento</w:t>
      </w:r>
      <w:r w:rsidRPr="00E25E93">
        <w:rPr>
          <w:rFonts w:ascii="Verdana" w:eastAsia="Aptos" w:hAnsi="Verdana" w:cs="Arial"/>
          <w:i/>
          <w:iCs/>
          <w:color w:val="000000"/>
          <w:lang w:val="es-ES"/>
        </w:rPr>
        <w:t xml:space="preserve"> </w:t>
      </w:r>
      <w:r w:rsidRPr="00E25E93">
        <w:rPr>
          <w:rFonts w:ascii="Verdana" w:eastAsia="Aptos" w:hAnsi="Verdana" w:cs="Arial"/>
          <w:color w:val="000000"/>
          <w:lang w:val="es-ES"/>
        </w:rPr>
        <w:t xml:space="preserve">exceptuado de la prohibición, relacionado con la contratación por parte de las entidades sanitarias y hospitalarias, </w:t>
      </w:r>
      <w:r w:rsidRPr="00E25E93">
        <w:rPr>
          <w:rFonts w:ascii="Verdana" w:eastAsia="Aptos" w:hAnsi="Verdana" w:cs="Arial"/>
          <w:color w:val="000000"/>
        </w:rPr>
        <w:t>a efectos de determinar si la excepción referida es aplicable a los contratos suscritos por las Empresas Sociales del Estado –ESE-</w:t>
      </w:r>
      <w:r w:rsidRPr="00E25E93">
        <w:rPr>
          <w:rFonts w:ascii="Verdana" w:eastAsia="Aptos" w:hAnsi="Verdana" w:cs="Arial"/>
          <w:color w:val="000000"/>
          <w:lang w:val="es-ES"/>
        </w:rPr>
        <w:t xml:space="preserve">. Para ello, debe tenerse en cuenta el artículo 94 de la Ley 100 de 1993, que dispone </w:t>
      </w:r>
      <w:r w:rsidRPr="00E25E93">
        <w:rPr>
          <w:rFonts w:ascii="Verdana" w:eastAsia="Aptos" w:hAnsi="Verdana" w:cs="Arial"/>
          <w:color w:val="000000"/>
          <w:lang w:val="es-ES" w:eastAsia="es-CO"/>
        </w:rPr>
        <w:t>“</w:t>
      </w:r>
      <w:r w:rsidRPr="00E25E93">
        <w:rPr>
          <w:rFonts w:ascii="Verdana" w:eastAsia="Aptos" w:hAnsi="Verdana" w:cs="Arial"/>
          <w:color w:val="000000"/>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54DBC626" w14:textId="77777777" w:rsidR="00EE0007" w:rsidRPr="00E25E93" w:rsidRDefault="00EE0007" w:rsidP="00EE0007">
      <w:pPr>
        <w:tabs>
          <w:tab w:val="left" w:pos="426"/>
        </w:tabs>
        <w:spacing w:after="120" w:line="276" w:lineRule="auto"/>
        <w:ind w:firstLine="709"/>
        <w:jc w:val="both"/>
        <w:rPr>
          <w:rFonts w:ascii="Verdana" w:eastAsia="Aptos" w:hAnsi="Verdana" w:cs="Arial"/>
          <w:color w:val="000000"/>
        </w:rPr>
      </w:pPr>
      <w:r w:rsidRPr="00E25E93">
        <w:rPr>
          <w:rFonts w:ascii="Verdana" w:eastAsia="Aptos" w:hAnsi="Verdana" w:cs="Arial"/>
          <w:color w:val="000000"/>
          <w:lang w:val="es-ES"/>
        </w:rPr>
        <w:t xml:space="preserve">Es decir que, a partir de la </w:t>
      </w:r>
      <w:proofErr w:type="gramStart"/>
      <w:r w:rsidRPr="00E25E93">
        <w:rPr>
          <w:rFonts w:ascii="Verdana" w:eastAsia="Aptos" w:hAnsi="Verdana" w:cs="Arial"/>
          <w:color w:val="000000"/>
          <w:lang w:val="es-ES"/>
        </w:rPr>
        <w:t>entrada en vigencia</w:t>
      </w:r>
      <w:proofErr w:type="gramEnd"/>
      <w:r w:rsidRPr="00E25E93">
        <w:rPr>
          <w:rFonts w:ascii="Verdana" w:eastAsia="Aptos" w:hAnsi="Verdana" w:cs="Arial"/>
          <w:color w:val="000000"/>
          <w:lang w:val="es-ES"/>
        </w:rPr>
        <w:t xml:space="preserve"> de la Ley 100 de 1993, las Empresas Sociales del Estado son las entidades públicas que tienen a su cargo la prestación de servicios de salud de manera directa. Igualmente, el artículo 197 de la misma disposición</w:t>
      </w:r>
      <w:r w:rsidRPr="00E25E93">
        <w:rPr>
          <w:rFonts w:ascii="Verdana" w:eastAsia="Aptos" w:hAnsi="Verdana" w:cs="Arial"/>
          <w:color w:val="000000"/>
          <w:vertAlign w:val="superscript"/>
          <w:lang w:val="es-ES_tradnl"/>
        </w:rPr>
        <w:footnoteReference w:id="21"/>
      </w:r>
      <w:r w:rsidRPr="00E25E93">
        <w:rPr>
          <w:rFonts w:ascii="Verdana" w:eastAsia="Aptos" w:hAnsi="Verdana" w:cs="Arial"/>
          <w:color w:val="000000"/>
          <w:lang w:val="es-ES"/>
        </w:rPr>
        <w:t xml:space="preserve"> otorgó un término de seis (6) meses a las entidades territoriales prestadoras del servicio de salud para restructurarlas en Empresas Sociales del Estado. </w:t>
      </w:r>
    </w:p>
    <w:p w14:paraId="0E4D724E" w14:textId="77777777" w:rsidR="00EE0007" w:rsidRPr="00E25E93" w:rsidRDefault="00EE0007" w:rsidP="00EE0007">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4C26CD49" w14:textId="77777777" w:rsidR="00EE0007" w:rsidRPr="00E25E93" w:rsidRDefault="00EE0007" w:rsidP="00EE0007">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 </w:t>
      </w:r>
    </w:p>
    <w:p w14:paraId="079E5725" w14:textId="77777777" w:rsidR="00EE0007" w:rsidRPr="00E25E93" w:rsidRDefault="00EE0007" w:rsidP="00EE0007">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lastRenderedPageBreak/>
        <w:t xml:space="preserve">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6081CFF3" w14:textId="77777777" w:rsidR="00EE0007" w:rsidRPr="00305400" w:rsidRDefault="00EE0007" w:rsidP="00EE0007">
      <w:pPr>
        <w:tabs>
          <w:tab w:val="left" w:pos="426"/>
        </w:tabs>
        <w:spacing w:after="0" w:line="240" w:lineRule="auto"/>
        <w:ind w:left="709" w:right="709"/>
        <w:jc w:val="both"/>
        <w:rPr>
          <w:rFonts w:ascii="Verdana" w:eastAsia="Aptos" w:hAnsi="Verdana" w:cs="Arial"/>
          <w:color w:val="000000"/>
          <w:sz w:val="20"/>
          <w:szCs w:val="20"/>
          <w:shd w:val="clear" w:color="auto" w:fill="FFFFFF"/>
          <w:lang w:val="es-ES"/>
        </w:rPr>
      </w:pPr>
      <w:r w:rsidRPr="00305400">
        <w:rPr>
          <w:rFonts w:ascii="Verdana" w:eastAsia="Aptos" w:hAnsi="Verdana" w:cs="Arial"/>
          <w:color w:val="000000"/>
          <w:sz w:val="20"/>
          <w:szCs w:val="20"/>
          <w:shd w:val="clear" w:color="auto" w:fill="FFFFFF"/>
          <w:lang w:val="es-ES"/>
        </w:rPr>
        <w:t xml:space="preserve">“(…) se encuentran cubiertos por la excepción contemplada en el inciso 2 del artículo 33 de la Ley de Garantías Electorales, las entidades hospitalarias que a la luz de las normas vigentes </w:t>
      </w:r>
      <w:r w:rsidRPr="00305400">
        <w:rPr>
          <w:rFonts w:ascii="Verdana" w:eastAsia="Aptos" w:hAnsi="Verdana" w:cs="Arial"/>
          <w:i/>
          <w:iCs/>
          <w:color w:val="000000"/>
          <w:sz w:val="20"/>
          <w:szCs w:val="20"/>
          <w:shd w:val="clear" w:color="auto" w:fill="FFFFFF"/>
          <w:lang w:val="es-ES"/>
        </w:rPr>
        <w:t xml:space="preserve">no son otras distintas que las Empresas Sociales del estado y todas aquellas instituciones públicas </w:t>
      </w:r>
      <w:proofErr w:type="gramStart"/>
      <w:r w:rsidRPr="00305400">
        <w:rPr>
          <w:rFonts w:ascii="Verdana" w:eastAsia="Aptos" w:hAnsi="Verdana" w:cs="Arial"/>
          <w:i/>
          <w:iCs/>
          <w:color w:val="000000"/>
          <w:sz w:val="20"/>
          <w:szCs w:val="20"/>
          <w:shd w:val="clear" w:color="auto" w:fill="FFFFFF"/>
          <w:lang w:val="es-ES"/>
        </w:rPr>
        <w:t>que</w:t>
      </w:r>
      <w:proofErr w:type="gramEnd"/>
      <w:r w:rsidRPr="00305400">
        <w:rPr>
          <w:rFonts w:ascii="Verdana" w:eastAsia="Aptos" w:hAnsi="Verdana" w:cs="Arial"/>
          <w:i/>
          <w:iCs/>
          <w:color w:val="000000"/>
          <w:sz w:val="20"/>
          <w:szCs w:val="20"/>
          <w:shd w:val="clear" w:color="auto" w:fill="FFFFFF"/>
          <w:lang w:val="es-ES"/>
        </w:rPr>
        <w:t xml:space="preserve"> a pesar de no haberse transformado en Empresas Sociales del Estado, prestan un servicio de salud directo sobre el usuario en su carácter general de entidad hospitalaria</w:t>
      </w:r>
      <w:r w:rsidRPr="00305400">
        <w:rPr>
          <w:rFonts w:ascii="Verdana" w:eastAsia="Aptos" w:hAnsi="Verdana" w:cs="Arial"/>
          <w:color w:val="000000"/>
          <w:sz w:val="20"/>
          <w:szCs w:val="20"/>
          <w:shd w:val="clear" w:color="auto" w:fill="FFFFFF"/>
          <w:lang w:val="es-ES"/>
        </w:rPr>
        <w:t xml:space="preserve"> (…)”.  </w:t>
      </w:r>
    </w:p>
    <w:p w14:paraId="6F138F3E" w14:textId="77777777" w:rsidR="00EE0007" w:rsidRPr="00343E12" w:rsidRDefault="00EE0007" w:rsidP="00EE0007">
      <w:pPr>
        <w:tabs>
          <w:tab w:val="left" w:pos="426"/>
        </w:tabs>
        <w:spacing w:after="0" w:line="276" w:lineRule="auto"/>
        <w:ind w:left="709" w:right="709"/>
        <w:jc w:val="both"/>
        <w:rPr>
          <w:rFonts w:ascii="Verdana" w:eastAsia="Aptos" w:hAnsi="Verdana" w:cs="Arial"/>
          <w:color w:val="000000"/>
          <w:lang w:val="es-ES"/>
        </w:rPr>
      </w:pPr>
    </w:p>
    <w:p w14:paraId="5C6B21ED" w14:textId="77777777" w:rsidR="00EE0007" w:rsidRPr="00343E12" w:rsidRDefault="00EE0007" w:rsidP="00EE000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15016A3A" w14:textId="77777777" w:rsidR="00EE0007" w:rsidRPr="00343E12" w:rsidRDefault="00EE0007" w:rsidP="00EE000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7254E079" w14:textId="77777777" w:rsidR="00EE0007" w:rsidRPr="00343E12" w:rsidRDefault="00EE0007" w:rsidP="00EE0007">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343E12">
        <w:rPr>
          <w:rFonts w:ascii="Verdana" w:eastAsia="Times New Roman" w:hAnsi="Verdana" w:cs="Arial"/>
          <w:lang w:val="es-MX" w:eastAsia="es-CO"/>
        </w:rPr>
        <w:t>ii</w:t>
      </w:r>
      <w:proofErr w:type="spellEnd"/>
      <w:r w:rsidRPr="00343E12">
        <w:rPr>
          <w:rFonts w:ascii="Verdana" w:eastAsia="Times New Roman" w:hAnsi="Verdana" w:cs="Arial"/>
          <w:lang w:val="es-MX" w:eastAsia="es-CO"/>
        </w:rPr>
        <w:t xml:space="preserve">) y </w:t>
      </w:r>
      <w:proofErr w:type="spellStart"/>
      <w:r w:rsidRPr="00343E12">
        <w:rPr>
          <w:rFonts w:ascii="Verdana" w:eastAsia="Times New Roman" w:hAnsi="Verdana" w:cs="Arial"/>
          <w:lang w:val="es-MX" w:eastAsia="es-CO"/>
        </w:rPr>
        <w:t>iv</w:t>
      </w:r>
      <w:proofErr w:type="spellEnd"/>
      <w:r w:rsidRPr="00343E12">
        <w:rPr>
          <w:rFonts w:ascii="Verdana" w:eastAsia="Times New Roman" w:hAnsi="Verdana" w:cs="Arial"/>
          <w:lang w:val="es-MX" w:eastAsia="es-CO"/>
        </w:rPr>
        <w:t>) del numeral 2</w:t>
      </w:r>
      <w:r w:rsidRPr="00343E12">
        <w:rPr>
          <w:rFonts w:ascii="Verdana" w:eastAsia="Times New Roman" w:hAnsi="Verdana" w:cs="Arial"/>
          <w:lang w:eastAsia="es-CO"/>
        </w:rPr>
        <w:t>,</w:t>
      </w:r>
      <w:r w:rsidRPr="00343E12">
        <w:rPr>
          <w:rFonts w:ascii="Verdana" w:eastAsia="Times New Roman" w:hAnsi="Verdana" w:cs="Arial"/>
          <w:lang w:val="es-MX" w:eastAsia="es-CO"/>
        </w:rPr>
        <w:t xml:space="preserve"> indica que el </w:t>
      </w:r>
      <w:r w:rsidRPr="00343E12">
        <w:rPr>
          <w:rFonts w:ascii="Verdana" w:eastAsia="Times New Roman" w:hAnsi="Verdana" w:cs="Arial"/>
          <w:lang w:eastAsia="es-CO"/>
        </w:rPr>
        <w:t xml:space="preserve">parágrafo del artículo 38 de la Ley 996 de 2005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w:t>
      </w:r>
      <w:r w:rsidRPr="00343E12">
        <w:rPr>
          <w:rFonts w:ascii="Verdana" w:eastAsia="Times New Roman" w:hAnsi="Verdana" w:cs="Arial"/>
          <w:lang w:eastAsia="es-CO"/>
        </w:rPr>
        <w:lastRenderedPageBreak/>
        <w:t xml:space="preserve">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3D348502" w14:textId="77777777" w:rsidR="00EE0007" w:rsidRPr="00343E12" w:rsidRDefault="00EE0007" w:rsidP="00EE0007">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22DF6BBB" w14:textId="77777777" w:rsidR="00EE0007" w:rsidRPr="00343E12" w:rsidRDefault="00EE0007" w:rsidP="00EE0007">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w:t>
      </w:r>
      <w:proofErr w:type="spellStart"/>
      <w:r w:rsidRPr="00343E12">
        <w:rPr>
          <w:rFonts w:ascii="Verdana" w:eastAsia="Aptos" w:hAnsi="Verdana" w:cs="Arial"/>
          <w:bCs/>
          <w:lang w:val="es-MX" w:eastAsia="x-none"/>
        </w:rPr>
        <w:t>ii</w:t>
      </w:r>
      <w:proofErr w:type="spellEnd"/>
      <w:r w:rsidRPr="00343E12">
        <w:rPr>
          <w:rFonts w:ascii="Verdana" w:eastAsia="Aptos" w:hAnsi="Verdana" w:cs="Arial"/>
          <w:bCs/>
          <w:lang w:val="es-MX" w:eastAsia="x-none"/>
        </w:rPr>
        <w:t xml:space="preserve">) los contratos de crédito público; </w:t>
      </w:r>
      <w:proofErr w:type="spellStart"/>
      <w:r w:rsidRPr="00343E12">
        <w:rPr>
          <w:rFonts w:ascii="Verdana" w:eastAsia="Aptos" w:hAnsi="Verdana" w:cs="Arial"/>
          <w:bCs/>
          <w:lang w:val="es-MX" w:eastAsia="x-none"/>
        </w:rPr>
        <w:t>iii</w:t>
      </w:r>
      <w:proofErr w:type="spellEnd"/>
      <w:r w:rsidRPr="00343E12">
        <w:rPr>
          <w:rFonts w:ascii="Verdana" w:eastAsia="Aptos" w:hAnsi="Verdana" w:cs="Arial"/>
          <w:bCs/>
          <w:lang w:val="es-MX" w:eastAsia="x-none"/>
        </w:rPr>
        <w:t xml:space="preserve">) los requeridos para cubrir las emergencias educativas, sanitarias y desastres; </w:t>
      </w:r>
      <w:proofErr w:type="spellStart"/>
      <w:r w:rsidRPr="00343E12">
        <w:rPr>
          <w:rFonts w:ascii="Verdana" w:eastAsia="Aptos" w:hAnsi="Verdana" w:cs="Arial"/>
          <w:bCs/>
          <w:lang w:val="es-MX" w:eastAsia="x-none"/>
        </w:rPr>
        <w:t>iv</w:t>
      </w:r>
      <w:proofErr w:type="spellEnd"/>
      <w:r w:rsidRPr="00343E12">
        <w:rPr>
          <w:rFonts w:ascii="Verdana" w:eastAsia="Aptos"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70349BC7" w14:textId="77777777" w:rsidR="00EE0007" w:rsidRPr="00343E12" w:rsidRDefault="00EE0007" w:rsidP="00EE0007">
      <w:pPr>
        <w:spacing w:after="120" w:line="276" w:lineRule="auto"/>
        <w:ind w:firstLine="709"/>
        <w:jc w:val="both"/>
        <w:rPr>
          <w:rFonts w:ascii="Verdana" w:eastAsia="Times New Roman" w:hAnsi="Verdana" w:cs="Arial"/>
          <w:lang w:eastAsia="es-CO"/>
        </w:rPr>
      </w:pPr>
      <w:bookmarkStart w:id="7" w:name="_Hlk215234154"/>
      <w:r w:rsidRPr="00343E12">
        <w:rPr>
          <w:rFonts w:ascii="Verdana" w:eastAsia="Aptos" w:hAnsi="Verdana" w:cs="Arial"/>
          <w:bCs/>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D492000" w14:textId="77777777" w:rsidR="00EE0007" w:rsidRPr="00090F12" w:rsidRDefault="00EE0007" w:rsidP="00EE0007">
      <w:pPr>
        <w:spacing w:after="120" w:line="276" w:lineRule="auto"/>
        <w:ind w:firstLine="709"/>
        <w:jc w:val="both"/>
        <w:rPr>
          <w:rFonts w:ascii="Verdana" w:eastAsia="Aptos" w:hAnsi="Verdana" w:cs="Arial"/>
          <w:bCs/>
          <w:color w:val="000000"/>
        </w:rPr>
      </w:pPr>
      <w:r w:rsidRPr="00343E12">
        <w:rPr>
          <w:rFonts w:ascii="Verdana" w:eastAsia="Aptos"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343E12">
        <w:rPr>
          <w:rFonts w:ascii="Verdana" w:eastAsia="Aptos" w:hAnsi="Verdana" w:cs="Arial"/>
          <w:bCs/>
          <w:color w:val="000000"/>
        </w:rPr>
        <w:lastRenderedPageBreak/>
        <w:t xml:space="preserve">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End w:id="7"/>
    </w:p>
    <w:bookmarkEnd w:id="1"/>
    <w:bookmarkEnd w:id="2"/>
    <w:p w14:paraId="695D5978" w14:textId="77777777" w:rsidR="00EE0007" w:rsidRDefault="00EE0007" w:rsidP="00EE0007">
      <w:pPr>
        <w:spacing w:after="0" w:line="276" w:lineRule="auto"/>
        <w:jc w:val="both"/>
        <w:rPr>
          <w:rFonts w:ascii="Verdana" w:eastAsia="Century Gothic" w:hAnsi="Verdana" w:cs="Century Gothic"/>
          <w:b/>
          <w:lang w:val="es-ES"/>
        </w:rPr>
      </w:pPr>
      <w:r>
        <w:rPr>
          <w:rFonts w:ascii="Verdana" w:eastAsia="Century Gothic" w:hAnsi="Verdana" w:cs="Century Gothic"/>
          <w:b/>
          <w:lang w:val="es-ES"/>
        </w:rPr>
        <w:t>IV</w:t>
      </w:r>
      <w:r w:rsidRPr="00144EB3">
        <w:rPr>
          <w:rFonts w:ascii="Verdana" w:eastAsia="Century Gothic" w:hAnsi="Verdana" w:cs="Century Gothic"/>
          <w:b/>
          <w:lang w:val="es-ES"/>
        </w:rPr>
        <w:t>. Referencias normativas, jurisprudenciales y otras fuentes:</w:t>
      </w:r>
    </w:p>
    <w:p w14:paraId="3D3E36A6" w14:textId="77777777" w:rsidR="00EE0007" w:rsidRPr="00144EB3" w:rsidRDefault="00EE0007" w:rsidP="00EE0007">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E0007" w:rsidRPr="00144EB3" w14:paraId="67452BFF" w14:textId="77777777" w:rsidTr="00A14C88">
        <w:trPr>
          <w:trHeight w:val="870"/>
        </w:trPr>
        <w:tc>
          <w:tcPr>
            <w:tcW w:w="8647" w:type="dxa"/>
          </w:tcPr>
          <w:p w14:paraId="16C340EB"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Constitución Política de Colombia. Artículos: 127 y 197.</w:t>
            </w:r>
          </w:p>
          <w:p w14:paraId="5B9E3D34"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Ley 80 de 1993. Artículos: 39 y 41.</w:t>
            </w:r>
          </w:p>
          <w:p w14:paraId="609ED8D1"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1150 de 2007. Artículo 2. </w:t>
            </w:r>
          </w:p>
          <w:p w14:paraId="48F0BD77"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996 de 2025. Artículos: 9, 33 y 38. </w:t>
            </w:r>
          </w:p>
          <w:p w14:paraId="56A15B84"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100 de 1993. Artículos: 100 y 197. </w:t>
            </w:r>
          </w:p>
          <w:p w14:paraId="0740B644"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Consejo de Estado. Sala de lo Contencioso Administrativo. Sección Primera. Sentencia de 3 de marzo de 2005. Radicado: 25001-23-15-000-2004-00823-01(PI). C.P: Camilo Arciniegas Andrade. </w:t>
            </w:r>
          </w:p>
          <w:p w14:paraId="589D03FA"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24 de julio de 2013, radicado: 11001-03-06-000-2013-00407-00 (2166). C.P. Álvaro Namén Vargas.</w:t>
            </w:r>
          </w:p>
          <w:p w14:paraId="1AAE6D48"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del 17 de febrero de 2015. Radicado: 11001-03-06-000-2015-00164-00 (2269). C.P. William Zambrano Cetina.</w:t>
            </w:r>
          </w:p>
          <w:p w14:paraId="30A3265E"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del 2 de septiembre de 2013. Radicación: 11001-03-06-000-2013-00412-00 (2168). Consejero Ponente: Álvaro Namén Vargas.</w:t>
            </w:r>
          </w:p>
          <w:p w14:paraId="7E03BB5D"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 8 de mayo de 2018. Radicación: 11001-03-06-000-2018-00095-00 (2382). Consejero Ponente: Álvaro Namén Vargas.</w:t>
            </w:r>
          </w:p>
          <w:p w14:paraId="7037C91B"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C- 1153 de 2005. M.P. Marco Gerardo Monroy Cabra.</w:t>
            </w:r>
          </w:p>
          <w:p w14:paraId="272B076C"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C-233 de 4 de abril de 2002. M.P: Álvaro Tafur Galvis.</w:t>
            </w:r>
          </w:p>
          <w:p w14:paraId="38C88264"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lastRenderedPageBreak/>
              <w:t>Corte Constitucional. Sentencia C-551 de 9 de julio de 2003. M.P: Eduardo Montealegre Lynnet.</w:t>
            </w:r>
          </w:p>
          <w:p w14:paraId="7F3F0D17"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Corte Constitucional. Sentencia C-353 de 20 de mayo de 2009. M.P: Jorge Iván Palacio </w:t>
            </w:r>
            <w:proofErr w:type="spellStart"/>
            <w:r w:rsidRPr="00343E12">
              <w:rPr>
                <w:rFonts w:ascii="Verdana" w:eastAsia="Times New Roman" w:hAnsi="Verdana" w:cs="Arial"/>
                <w:color w:val="000000"/>
                <w:lang w:eastAsia="es-CO"/>
              </w:rPr>
              <w:t>Palacio</w:t>
            </w:r>
            <w:proofErr w:type="spellEnd"/>
            <w:r w:rsidRPr="00343E12">
              <w:rPr>
                <w:rFonts w:ascii="Verdana" w:eastAsia="Times New Roman" w:hAnsi="Verdana" w:cs="Arial"/>
                <w:color w:val="000000"/>
                <w:lang w:eastAsia="es-CO"/>
              </w:rPr>
              <w:t>.</w:t>
            </w:r>
          </w:p>
          <w:p w14:paraId="30E63899" w14:textId="77777777" w:rsidR="00EE0007" w:rsidRPr="00343E12" w:rsidRDefault="00EE0007" w:rsidP="00EE0007">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C-541 de 30 de junio de 2010. M.P: Gabriel Eduardo Mendoza Martelo.</w:t>
            </w:r>
          </w:p>
          <w:p w14:paraId="0B160832" w14:textId="77777777" w:rsidR="00EE0007" w:rsidRPr="00144EB3" w:rsidRDefault="00EE0007" w:rsidP="00A14C88">
            <w:pPr>
              <w:widowControl w:val="0"/>
              <w:autoSpaceDE w:val="0"/>
              <w:autoSpaceDN w:val="0"/>
              <w:spacing w:line="276" w:lineRule="auto"/>
              <w:jc w:val="both"/>
              <w:rPr>
                <w:rFonts w:ascii="Verdana" w:eastAsia="Arial MT" w:hAnsi="Verdana" w:cs="Arial"/>
                <w:color w:val="ED7D31" w:themeColor="accent2"/>
                <w:lang w:eastAsia="es-ES" w:bidi="es-ES"/>
              </w:rPr>
            </w:pPr>
          </w:p>
        </w:tc>
      </w:tr>
    </w:tbl>
    <w:p w14:paraId="63B5BA90" w14:textId="77777777" w:rsidR="00EE0007" w:rsidRPr="00144EB3" w:rsidRDefault="00EE0007" w:rsidP="00EE0007">
      <w:pPr>
        <w:spacing w:after="0" w:line="276" w:lineRule="auto"/>
        <w:jc w:val="both"/>
        <w:rPr>
          <w:rFonts w:ascii="Verdana" w:eastAsia="Aptos" w:hAnsi="Verdana" w:cs="Arial"/>
          <w:b/>
          <w:bCs/>
          <w:shd w:val="clear" w:color="auto" w:fill="FFFFFF"/>
        </w:rPr>
      </w:pPr>
    </w:p>
    <w:p w14:paraId="4DC319DA" w14:textId="77777777" w:rsidR="00EE0007" w:rsidRPr="00144EB3" w:rsidRDefault="00EE0007" w:rsidP="00EE0007">
      <w:pPr>
        <w:spacing w:after="0" w:line="276" w:lineRule="auto"/>
        <w:jc w:val="both"/>
        <w:rPr>
          <w:rFonts w:ascii="Verdana" w:eastAsia="Aptos" w:hAnsi="Verdana" w:cs="Arial"/>
          <w:b/>
          <w:bCs/>
          <w:shd w:val="clear" w:color="auto" w:fill="FFFFFF"/>
        </w:rPr>
      </w:pPr>
      <w:r>
        <w:rPr>
          <w:rFonts w:ascii="Verdana" w:eastAsia="Aptos" w:hAnsi="Verdana" w:cs="Arial"/>
          <w:b/>
          <w:bCs/>
          <w:shd w:val="clear" w:color="auto" w:fill="FFFFFF"/>
        </w:rPr>
        <w:t>V</w:t>
      </w:r>
      <w:r w:rsidRPr="00144EB3">
        <w:rPr>
          <w:rFonts w:ascii="Verdana" w:eastAsia="Aptos" w:hAnsi="Verdana" w:cs="Arial"/>
          <w:b/>
          <w:bCs/>
          <w:shd w:val="clear" w:color="auto" w:fill="FFFFFF"/>
        </w:rPr>
        <w:t xml:space="preserve">. Doctrina de la Agencia Nacional de Contratación Pública: </w:t>
      </w:r>
    </w:p>
    <w:p w14:paraId="50C39D7B" w14:textId="77777777" w:rsidR="00EE0007" w:rsidRPr="00144EB3" w:rsidRDefault="00EE0007" w:rsidP="00C12038">
      <w:pPr>
        <w:spacing w:after="0" w:line="240" w:lineRule="auto"/>
        <w:jc w:val="both"/>
        <w:rPr>
          <w:rFonts w:ascii="Verdana" w:eastAsia="Aptos" w:hAnsi="Verdana" w:cs="Arial"/>
          <w:b/>
          <w:bCs/>
          <w:shd w:val="clear" w:color="auto" w:fill="FFFFFF"/>
        </w:rPr>
      </w:pPr>
    </w:p>
    <w:p w14:paraId="7B7D56FD" w14:textId="77777777" w:rsidR="00EE0007" w:rsidRDefault="00EE0007" w:rsidP="00C12038">
      <w:pPr>
        <w:widowControl w:val="0"/>
        <w:autoSpaceDE w:val="0"/>
        <w:autoSpaceDN w:val="0"/>
        <w:spacing w:after="0" w:line="240" w:lineRule="auto"/>
        <w:jc w:val="both"/>
        <w:rPr>
          <w:rFonts w:ascii="Verdana" w:eastAsia="Aptos" w:hAnsi="Verdana" w:cs="Arial"/>
          <w:color w:val="FF0000"/>
          <w:shd w:val="clear" w:color="auto" w:fill="FFFFFF"/>
          <w:lang w:val="es-ES_tradnl"/>
        </w:rPr>
      </w:pPr>
      <w:r w:rsidRPr="00B41749">
        <w:rPr>
          <w:rFonts w:ascii="Verdana" w:eastAsia="Aptos"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y C-1492 de 21 de noviembre de 2025. </w:t>
      </w:r>
      <w:r w:rsidRPr="00B41749">
        <w:rPr>
          <w:rFonts w:ascii="Verdana" w:eastAsia="Aptos"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2" w:history="1">
        <w:r w:rsidRPr="00B41749">
          <w:rPr>
            <w:rFonts w:ascii="Verdana" w:eastAsia="Aptos" w:hAnsi="Verdana" w:cs="Arial"/>
            <w:color w:val="0000FF"/>
            <w:u w:val="single"/>
            <w:shd w:val="clear" w:color="auto" w:fill="FFFFFF"/>
            <w:lang w:val="es-ES_tradnl"/>
          </w:rPr>
          <w:t>https://relatoria.colombiacompra.gov.co/busqueda/conceptos</w:t>
        </w:r>
      </w:hyperlink>
      <w:r w:rsidRPr="00B41749">
        <w:rPr>
          <w:rFonts w:ascii="Verdana" w:eastAsia="Aptos" w:hAnsi="Verdana" w:cs="Arial"/>
          <w:shd w:val="clear" w:color="auto" w:fill="FFFFFF"/>
          <w:lang w:val="es-ES_tradnl"/>
        </w:rPr>
        <w:t xml:space="preserve">. </w:t>
      </w:r>
      <w:r w:rsidRPr="00B41749">
        <w:rPr>
          <w:rFonts w:ascii="Verdana" w:eastAsia="Aptos" w:hAnsi="Verdana" w:cs="Arial"/>
          <w:color w:val="FF0000"/>
          <w:shd w:val="clear" w:color="auto" w:fill="FFFFFF"/>
          <w:lang w:val="es-ES_tradnl"/>
        </w:rPr>
        <w:t xml:space="preserve"> </w:t>
      </w:r>
    </w:p>
    <w:p w14:paraId="127F29EA" w14:textId="77777777" w:rsidR="00EE0007" w:rsidRPr="00305400" w:rsidRDefault="00EE0007" w:rsidP="00C12038">
      <w:pPr>
        <w:spacing w:after="0" w:line="240" w:lineRule="auto"/>
        <w:jc w:val="both"/>
        <w:rPr>
          <w:rFonts w:ascii="Verdana" w:hAnsi="Verdana" w:cs="Arial"/>
          <w:shd w:val="clear" w:color="auto" w:fill="FFFFFF"/>
          <w:lang w:val="es-ES_tradnl"/>
        </w:rPr>
      </w:pPr>
    </w:p>
    <w:p w14:paraId="3377AF2E" w14:textId="77777777" w:rsidR="00EE0007" w:rsidRPr="00144EB3" w:rsidRDefault="00EE0007" w:rsidP="00C12038">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118841E5" w14:textId="77777777" w:rsidR="00EE0007" w:rsidRDefault="00EE0007" w:rsidP="00C12038">
      <w:pPr>
        <w:spacing w:after="0" w:line="240" w:lineRule="auto"/>
        <w:jc w:val="both"/>
        <w:rPr>
          <w:rFonts w:ascii="Verdana" w:eastAsia="Calibri" w:hAnsi="Verdana" w:cs="Arial"/>
        </w:rPr>
      </w:pPr>
    </w:p>
    <w:p w14:paraId="33549AED" w14:textId="77777777" w:rsidR="00EE0007" w:rsidRPr="00144EB3" w:rsidRDefault="00EE0007" w:rsidP="00C12038">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w:t>
      </w:r>
      <w:r w:rsidRPr="00144EB3">
        <w:rPr>
          <w:rFonts w:ascii="Verdana" w:eastAsia="Calibri" w:hAnsi="Verdana" w:cs="Arial"/>
          <w:b/>
          <w:bCs/>
        </w:rPr>
        <w:lastRenderedPageBreak/>
        <w:t>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4FC83A6E" w14:textId="77777777" w:rsidR="00EE0007" w:rsidRPr="00144EB3" w:rsidRDefault="00EE0007" w:rsidP="00C12038">
      <w:pPr>
        <w:spacing w:after="0" w:line="240" w:lineRule="auto"/>
        <w:jc w:val="both"/>
        <w:rPr>
          <w:rFonts w:ascii="Verdana" w:eastAsia="Calibri" w:hAnsi="Verdana" w:cs="Arial"/>
        </w:rPr>
      </w:pPr>
    </w:p>
    <w:p w14:paraId="4F7680FA" w14:textId="77777777" w:rsidR="00EE0007" w:rsidRPr="00144EB3" w:rsidRDefault="00EE0007" w:rsidP="00C12038">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103EC9B2" w14:textId="77777777" w:rsidR="00EE0007" w:rsidRPr="00144EB3" w:rsidRDefault="00EE0007" w:rsidP="00C12038">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53CC6118" w14:textId="77777777" w:rsidR="00EE0007" w:rsidRPr="00144EB3" w:rsidRDefault="00EE0007" w:rsidP="00C12038">
      <w:pPr>
        <w:spacing w:after="0" w:line="240" w:lineRule="auto"/>
        <w:jc w:val="both"/>
        <w:rPr>
          <w:rFonts w:ascii="Verdana" w:eastAsia="Calibri" w:hAnsi="Verdana" w:cs="Arial"/>
          <w:shd w:val="clear" w:color="auto" w:fill="FFFFFF"/>
        </w:rPr>
      </w:pPr>
    </w:p>
    <w:p w14:paraId="62B5AEBB" w14:textId="77777777" w:rsidR="00EE0007" w:rsidRPr="00144EB3" w:rsidRDefault="00EE0007" w:rsidP="00C12038">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6EFD340B" w14:textId="77777777" w:rsidR="00EE0007" w:rsidRPr="00144EB3" w:rsidRDefault="00EE0007" w:rsidP="00C12038">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02C26A5C" w14:textId="77777777" w:rsidR="00EE0007" w:rsidRPr="00144EB3" w:rsidRDefault="00EE0007" w:rsidP="00C12038">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7776EF4F" w14:textId="77777777" w:rsidR="00EE0007" w:rsidRPr="00144EB3" w:rsidRDefault="00EE0007" w:rsidP="00C12038">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28C7AA21" w14:textId="77777777" w:rsidR="00EE0007" w:rsidRPr="00144EB3" w:rsidRDefault="00EE0007" w:rsidP="00C12038">
      <w:pPr>
        <w:widowControl w:val="0"/>
        <w:autoSpaceDE w:val="0"/>
        <w:autoSpaceDN w:val="0"/>
        <w:spacing w:after="0" w:line="240" w:lineRule="auto"/>
        <w:jc w:val="both"/>
        <w:rPr>
          <w:rFonts w:ascii="Verdana" w:eastAsia="Calibri" w:hAnsi="Verdana" w:cs="Arial"/>
          <w:lang w:val="es-ES"/>
        </w:rPr>
      </w:pPr>
    </w:p>
    <w:p w14:paraId="0ED68B48" w14:textId="77777777" w:rsidR="00EE0007" w:rsidRPr="00144EB3" w:rsidRDefault="00EE0007" w:rsidP="00C12038">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7AA1415" w14:textId="77777777" w:rsidR="00EE0007" w:rsidRPr="00144EB3" w:rsidRDefault="00EE0007" w:rsidP="00C12038">
      <w:pPr>
        <w:spacing w:after="0" w:line="240" w:lineRule="auto"/>
        <w:jc w:val="both"/>
        <w:rPr>
          <w:rFonts w:ascii="Verdana" w:eastAsia="Verdana" w:hAnsi="Verdana" w:cs="Verdana"/>
        </w:rPr>
      </w:pPr>
    </w:p>
    <w:p w14:paraId="32D15C0C" w14:textId="77777777" w:rsidR="00EE0007" w:rsidRPr="00144EB3" w:rsidRDefault="00EE0007" w:rsidP="00C12038">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24C4F9D9" w14:textId="77777777" w:rsidR="00EE0007" w:rsidRDefault="00EE0007" w:rsidP="00EE0007">
      <w:pPr>
        <w:spacing w:after="0" w:line="240" w:lineRule="auto"/>
        <w:rPr>
          <w:rFonts w:ascii="Verdana" w:eastAsia="Verdana" w:hAnsi="Verdana" w:cs="Verdana"/>
        </w:rPr>
      </w:pPr>
    </w:p>
    <w:p w14:paraId="33B1CA3B" w14:textId="77777777" w:rsidR="00EE0007" w:rsidRDefault="00EE0007" w:rsidP="00EE0007">
      <w:pPr>
        <w:spacing w:after="0" w:line="240" w:lineRule="auto"/>
        <w:rPr>
          <w:rFonts w:ascii="Verdana" w:eastAsia="Verdana" w:hAnsi="Verdana" w:cs="Verdana"/>
        </w:rPr>
      </w:pPr>
    </w:p>
    <w:p w14:paraId="46A80F74" w14:textId="77777777" w:rsidR="00EE0007" w:rsidRPr="00144EB3" w:rsidRDefault="00EE0007" w:rsidP="00EE0007">
      <w:pPr>
        <w:spacing w:after="0" w:line="276" w:lineRule="auto"/>
        <w:rPr>
          <w:rFonts w:ascii="Verdana" w:eastAsia="Verdana" w:hAnsi="Verdana" w:cs="Verdana"/>
        </w:rPr>
      </w:pPr>
    </w:p>
    <w:p w14:paraId="38659CB3" w14:textId="63B90445" w:rsidR="00EE0007" w:rsidRPr="00144EB3" w:rsidRDefault="00EE0007" w:rsidP="00EE0007">
      <w:pPr>
        <w:spacing w:after="0" w:line="276" w:lineRule="auto"/>
        <w:jc w:val="both"/>
        <w:rPr>
          <w:rFonts w:ascii="Verdana" w:eastAsia="Verdana" w:hAnsi="Verdana" w:cs="Verdana"/>
          <w:lang w:val="es-MX"/>
        </w:rPr>
      </w:pPr>
      <w:r w:rsidRPr="00A30F99">
        <w:rPr>
          <w:rFonts w:ascii="Verdana" w:eastAsia="Verdana" w:hAnsi="Verdana" w:cs="Verdana"/>
          <w:lang w:val="es-MX"/>
        </w:rPr>
        <w:t xml:space="preserve"> </w:t>
      </w:r>
      <w:r w:rsidRPr="00144EB3">
        <w:rPr>
          <w:rFonts w:ascii="Verdana" w:eastAsia="Verdana" w:hAnsi="Verdana" w:cs="Verdana"/>
          <w:lang w:val="es-MX"/>
        </w:rPr>
        <w:t xml:space="preserve">Cordialmente, </w:t>
      </w:r>
    </w:p>
    <w:p w14:paraId="2D39446A" w14:textId="77777777" w:rsidR="00EE0007" w:rsidRDefault="00EE0007" w:rsidP="00EE0007">
      <w:pPr>
        <w:spacing w:after="120" w:line="276" w:lineRule="auto"/>
        <w:contextualSpacing/>
        <w:jc w:val="center"/>
        <w:rPr>
          <w:rFonts w:ascii="Century Gothic" w:hAnsi="Century Gothic"/>
          <w:noProof/>
        </w:rPr>
      </w:pPr>
    </w:p>
    <w:p w14:paraId="090251A1" w14:textId="77777777" w:rsidR="00EE0007" w:rsidRDefault="00EE0007" w:rsidP="00EE0007">
      <w:pPr>
        <w:spacing w:after="120" w:line="276" w:lineRule="auto"/>
        <w:contextualSpacing/>
        <w:jc w:val="center"/>
        <w:rPr>
          <w:rFonts w:ascii="Century Gothic" w:hAnsi="Century Gothic"/>
          <w:noProof/>
        </w:rPr>
      </w:pPr>
    </w:p>
    <w:p w14:paraId="473B8431" w14:textId="77777777" w:rsidR="00FA4512" w:rsidRDefault="00FA4512" w:rsidP="00EE0007">
      <w:pPr>
        <w:tabs>
          <w:tab w:val="left" w:pos="8130"/>
        </w:tabs>
        <w:spacing w:after="0" w:line="276" w:lineRule="auto"/>
        <w:rPr>
          <w:rFonts w:ascii="Verdana" w:hAnsi="Verdana" w:cs="Arial"/>
          <w:lang w:val="es-ES" w:eastAsia="es-CO"/>
        </w:rPr>
      </w:pPr>
    </w:p>
    <w:p w14:paraId="69D6D4C6" w14:textId="17FE7945" w:rsidR="00FA4512" w:rsidRDefault="00C12038" w:rsidP="00C12038">
      <w:pPr>
        <w:tabs>
          <w:tab w:val="left" w:pos="8130"/>
        </w:tabs>
        <w:spacing w:after="0" w:line="276" w:lineRule="auto"/>
        <w:jc w:val="center"/>
        <w:rPr>
          <w:rFonts w:ascii="Verdana" w:hAnsi="Verdana" w:cs="Arial"/>
          <w:lang w:val="es-ES" w:eastAsia="es-CO"/>
        </w:rPr>
      </w:pPr>
      <w:r w:rsidRPr="002C3AD6">
        <w:rPr>
          <w:rFonts w:ascii="Century Gothic" w:hAnsi="Century Gothic"/>
          <w:noProof/>
        </w:rPr>
        <w:lastRenderedPageBreak/>
        <w:drawing>
          <wp:inline distT="0" distB="0" distL="0" distR="0" wp14:anchorId="187F11E7" wp14:editId="43F66D19">
            <wp:extent cx="3062377" cy="1136791"/>
            <wp:effectExtent l="0" t="0" r="5080" b="635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107198" cy="1153429"/>
                    </a:xfrm>
                    <a:prstGeom prst="rect">
                      <a:avLst/>
                    </a:prstGeom>
                  </pic:spPr>
                </pic:pic>
              </a:graphicData>
            </a:graphic>
          </wp:inline>
        </w:drawing>
      </w:r>
    </w:p>
    <w:p w14:paraId="688CE911" w14:textId="77777777" w:rsidR="00EE0007" w:rsidRPr="008278B1" w:rsidRDefault="00EE0007" w:rsidP="00EE0007">
      <w:pPr>
        <w:tabs>
          <w:tab w:val="left" w:pos="8130"/>
        </w:tabs>
        <w:spacing w:after="0" w:line="276" w:lineRule="auto"/>
        <w:rPr>
          <w:rFonts w:ascii="Verdana" w:hAnsi="Verdana" w:cs="Arial"/>
          <w:lang w:val="es-ES" w:eastAsia="es-CO"/>
        </w:rPr>
      </w:pPr>
      <w:r>
        <w:rPr>
          <w:rFonts w:ascii="Verdana" w:hAnsi="Verdana" w:cs="Arial"/>
          <w:lang w:val="es-ES" w:eastAsia="es-CO"/>
        </w:rPr>
        <w:tab/>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E0007" w:rsidRPr="008278B1" w14:paraId="788786C9" w14:textId="77777777" w:rsidTr="00A14C88">
        <w:trPr>
          <w:trHeight w:val="315"/>
        </w:trPr>
        <w:tc>
          <w:tcPr>
            <w:tcW w:w="893" w:type="dxa"/>
            <w:vAlign w:val="center"/>
            <w:hideMark/>
          </w:tcPr>
          <w:p w14:paraId="00D62BC3" w14:textId="77777777" w:rsidR="00EE0007" w:rsidRPr="008278B1" w:rsidRDefault="00EE0007" w:rsidP="00A14C88">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359919C" w14:textId="77777777" w:rsidR="00EE0007" w:rsidRPr="00860461" w:rsidRDefault="00EE0007" w:rsidP="00A14C88">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0E33E93D" w14:textId="77777777" w:rsidR="00EE0007" w:rsidRPr="00860461" w:rsidRDefault="00EE0007" w:rsidP="00A14C88">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EE0007" w:rsidRPr="00F84F36" w14:paraId="713BEF35" w14:textId="77777777" w:rsidTr="00A14C88">
        <w:trPr>
          <w:trHeight w:val="330"/>
        </w:trPr>
        <w:tc>
          <w:tcPr>
            <w:tcW w:w="893" w:type="dxa"/>
            <w:vAlign w:val="center"/>
            <w:hideMark/>
          </w:tcPr>
          <w:p w14:paraId="024AC95E" w14:textId="77777777" w:rsidR="00EE0007" w:rsidRPr="0025661F" w:rsidRDefault="00EE0007" w:rsidP="00A14C88">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1BCC15" w14:textId="77777777" w:rsidR="00EE0007" w:rsidRPr="00D62D2E" w:rsidRDefault="00EE0007" w:rsidP="00A14C88">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 xml:space="preserve">Adriana Katherine López </w:t>
            </w:r>
            <w:proofErr w:type="spellStart"/>
            <w:r>
              <w:rPr>
                <w:rFonts w:ascii="Verdana" w:eastAsia="Times New Roman" w:hAnsi="Verdana" w:cs="Arial"/>
                <w:color w:val="000000" w:themeColor="text1"/>
                <w:sz w:val="16"/>
                <w:szCs w:val="16"/>
                <w:lang w:eastAsia="es-ES"/>
              </w:rPr>
              <w:t>Rodriguez</w:t>
            </w:r>
            <w:proofErr w:type="spellEnd"/>
          </w:p>
          <w:p w14:paraId="6770E632" w14:textId="77777777" w:rsidR="00EE0007" w:rsidRPr="0025661F" w:rsidRDefault="00EE0007" w:rsidP="00A14C88">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EE0007" w:rsidRPr="00F84F36" w14:paraId="4FE2A7CB" w14:textId="77777777" w:rsidTr="00A14C88">
        <w:trPr>
          <w:trHeight w:val="300"/>
        </w:trPr>
        <w:tc>
          <w:tcPr>
            <w:tcW w:w="893" w:type="dxa"/>
            <w:vAlign w:val="center"/>
          </w:tcPr>
          <w:p w14:paraId="2354BA1E" w14:textId="77777777" w:rsidR="00EE0007" w:rsidRPr="008278B1" w:rsidRDefault="00EE0007" w:rsidP="00A14C88">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474E01A" w14:textId="77777777" w:rsidR="00EE0007" w:rsidRPr="008278B1" w:rsidRDefault="00EE0007" w:rsidP="00A14C88">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12C5F8B3" w14:textId="77777777" w:rsidR="00EE0007" w:rsidRPr="008278B1" w:rsidRDefault="00EE0007" w:rsidP="00A14C88">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454BFC80" w14:textId="77777777" w:rsidR="00EE0007" w:rsidRPr="0024624F" w:rsidRDefault="00EE0007" w:rsidP="00EE0007">
      <w:pPr>
        <w:spacing w:after="0"/>
        <w:rPr>
          <w:rFonts w:ascii="Verdana" w:eastAsia="Verdana" w:hAnsi="Verdana" w:cs="Verdana"/>
        </w:rPr>
      </w:pPr>
    </w:p>
    <w:bookmarkEnd w:id="0"/>
    <w:p w14:paraId="1468C46D" w14:textId="0F22879B" w:rsidR="00C15139" w:rsidRPr="0024624F" w:rsidRDefault="00C15139" w:rsidP="30821638">
      <w:pPr>
        <w:spacing w:after="0"/>
        <w:rPr>
          <w:rFonts w:ascii="Verdana" w:eastAsia="Verdana" w:hAnsi="Verdana" w:cs="Verdana"/>
        </w:rPr>
      </w:pPr>
    </w:p>
    <w:sectPr w:rsidR="00C15139" w:rsidRPr="0024624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AA29B" w14:textId="77777777" w:rsidR="0004519B" w:rsidRDefault="0004519B" w:rsidP="004A1847">
      <w:pPr>
        <w:spacing w:after="0" w:line="240" w:lineRule="auto"/>
      </w:pPr>
      <w:r>
        <w:separator/>
      </w:r>
    </w:p>
  </w:endnote>
  <w:endnote w:type="continuationSeparator" w:id="0">
    <w:p w14:paraId="0BFFE7E4" w14:textId="77777777" w:rsidR="0004519B" w:rsidRDefault="0004519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F8D69" w14:textId="77777777" w:rsidR="0004519B" w:rsidRDefault="0004519B" w:rsidP="004A1847">
      <w:pPr>
        <w:spacing w:after="0" w:line="240" w:lineRule="auto"/>
      </w:pPr>
      <w:r>
        <w:separator/>
      </w:r>
    </w:p>
  </w:footnote>
  <w:footnote w:type="continuationSeparator" w:id="0">
    <w:p w14:paraId="052076CB" w14:textId="77777777" w:rsidR="0004519B" w:rsidRDefault="0004519B" w:rsidP="004A1847">
      <w:pPr>
        <w:spacing w:after="0" w:line="240" w:lineRule="auto"/>
      </w:pPr>
      <w:r>
        <w:continuationSeparator/>
      </w:r>
    </w:p>
  </w:footnote>
  <w:footnote w:id="1">
    <w:p w14:paraId="4CC5D6D4" w14:textId="77777777" w:rsidR="00EE0007" w:rsidRPr="00F3517D" w:rsidRDefault="00EE0007" w:rsidP="00EE0007">
      <w:pPr>
        <w:pStyle w:val="Textonotapie"/>
        <w:ind w:firstLine="709"/>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CCF65FF" w14:textId="77777777" w:rsidR="00EE0007" w:rsidRPr="00F3517D" w:rsidRDefault="00EE0007" w:rsidP="00EE0007">
      <w:pPr>
        <w:pStyle w:val="Textonotapie"/>
        <w:ind w:firstLine="709"/>
        <w:jc w:val="both"/>
        <w:rPr>
          <w:rFonts w:ascii="Verdana" w:hAnsi="Verdana" w:cs="Arial"/>
          <w:sz w:val="16"/>
          <w:szCs w:val="16"/>
        </w:rPr>
      </w:pPr>
      <w:r w:rsidRPr="00F3517D">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1B88BF75" w14:textId="77777777" w:rsidR="00EE0007" w:rsidRPr="00F3517D" w:rsidRDefault="00EE0007" w:rsidP="00EE0007">
      <w:pPr>
        <w:pStyle w:val="Textonotapie"/>
        <w:ind w:firstLine="709"/>
        <w:jc w:val="both"/>
        <w:rPr>
          <w:rFonts w:ascii="Verdana" w:hAnsi="Verdana" w:cs="Arial"/>
          <w:sz w:val="16"/>
          <w:szCs w:val="16"/>
        </w:rPr>
      </w:pPr>
    </w:p>
  </w:footnote>
  <w:footnote w:id="2">
    <w:p w14:paraId="68259A7B" w14:textId="77777777" w:rsidR="00EE0007" w:rsidRPr="00F3517D" w:rsidRDefault="00EE0007" w:rsidP="00EE0007">
      <w:pPr>
        <w:pStyle w:val="Textonotapie"/>
        <w:ind w:firstLine="709"/>
        <w:jc w:val="both"/>
        <w:rPr>
          <w:rFonts w:ascii="Verdana" w:hAnsi="Verdana" w:cs="Arial"/>
          <w:sz w:val="16"/>
          <w:szCs w:val="16"/>
        </w:rPr>
      </w:pPr>
      <w:r w:rsidRPr="00F3517D">
        <w:rPr>
          <w:rStyle w:val="Refdenotaalpie"/>
          <w:rFonts w:ascii="Verdana" w:hAnsi="Verdana"/>
          <w:sz w:val="16"/>
          <w:szCs w:val="16"/>
        </w:rPr>
        <w:footnoteRef/>
      </w:r>
      <w:r w:rsidRPr="00F3517D">
        <w:rPr>
          <w:rFonts w:ascii="Verdana" w:hAnsi="Verdana"/>
          <w:sz w:val="16"/>
          <w:szCs w:val="16"/>
        </w:rPr>
        <w:t xml:space="preserve"> </w:t>
      </w:r>
      <w:r w:rsidRPr="00F3517D">
        <w:rPr>
          <w:rFonts w:ascii="Verdana" w:hAnsi="Verdana" w:cs="Arial"/>
          <w:sz w:val="16"/>
          <w:szCs w:val="16"/>
        </w:rPr>
        <w:t>Gaceta del Congreso de la República No. 71 del 2005.</w:t>
      </w:r>
    </w:p>
    <w:p w14:paraId="05A45C9E" w14:textId="77777777" w:rsidR="00EE0007" w:rsidRPr="006A36BB" w:rsidRDefault="00EE0007" w:rsidP="00EE0007">
      <w:pPr>
        <w:pStyle w:val="Textonotapie"/>
        <w:jc w:val="both"/>
        <w:rPr>
          <w:rFonts w:ascii="Verdana" w:hAnsi="Verdana"/>
          <w:sz w:val="14"/>
          <w:szCs w:val="14"/>
        </w:rPr>
      </w:pPr>
    </w:p>
  </w:footnote>
  <w:footnote w:id="3">
    <w:p w14:paraId="0D81DD83" w14:textId="77777777" w:rsidR="00EE0007" w:rsidRPr="00F3517D" w:rsidRDefault="00EE0007" w:rsidP="00EE0007">
      <w:pPr>
        <w:pStyle w:val="Textonotapie"/>
        <w:ind w:firstLine="709"/>
        <w:jc w:val="both"/>
        <w:rPr>
          <w:rFonts w:ascii="Verdana" w:hAnsi="Verdana" w:cs="Arial"/>
          <w:sz w:val="16"/>
          <w:szCs w:val="16"/>
          <w:lang w:val="pt-BR"/>
        </w:rPr>
      </w:pPr>
      <w:r w:rsidRPr="00F3517D">
        <w:rPr>
          <w:rStyle w:val="Refdenotaalpie"/>
          <w:rFonts w:ascii="Verdana" w:hAnsi="Verdana" w:cs="Arial"/>
          <w:sz w:val="16"/>
          <w:szCs w:val="16"/>
        </w:rPr>
        <w:footnoteRef/>
      </w:r>
      <w:r w:rsidRPr="00F3517D">
        <w:rPr>
          <w:rFonts w:ascii="Verdana" w:hAnsi="Verdana" w:cs="Arial"/>
          <w:sz w:val="16"/>
          <w:szCs w:val="16"/>
          <w:lang w:val="pt-BR"/>
        </w:rPr>
        <w:t xml:space="preserve"> Corte Constitucional, Sentencia C- 1153 de 2005, M.P. Marco Gerardo </w:t>
      </w:r>
      <w:proofErr w:type="spellStart"/>
      <w:r w:rsidRPr="00F3517D">
        <w:rPr>
          <w:rFonts w:ascii="Verdana" w:hAnsi="Verdana" w:cs="Arial"/>
          <w:sz w:val="16"/>
          <w:szCs w:val="16"/>
          <w:lang w:val="pt-BR"/>
        </w:rPr>
        <w:t>Monroy</w:t>
      </w:r>
      <w:proofErr w:type="spellEnd"/>
      <w:r w:rsidRPr="00F3517D">
        <w:rPr>
          <w:rFonts w:ascii="Verdana" w:hAnsi="Verdana" w:cs="Arial"/>
          <w:sz w:val="16"/>
          <w:szCs w:val="16"/>
          <w:lang w:val="pt-BR"/>
        </w:rPr>
        <w:t xml:space="preserve"> Cabra.</w:t>
      </w:r>
    </w:p>
  </w:footnote>
  <w:footnote w:id="4">
    <w:p w14:paraId="4A1BA256" w14:textId="77777777" w:rsidR="00EE0007" w:rsidRPr="00F3517D" w:rsidRDefault="00EE0007" w:rsidP="00EE0007">
      <w:pPr>
        <w:pStyle w:val="Textonotapie"/>
        <w:ind w:firstLine="709"/>
        <w:jc w:val="both"/>
        <w:rPr>
          <w:rFonts w:ascii="Verdana" w:hAnsi="Verdana" w:cs="Arial"/>
          <w:sz w:val="16"/>
          <w:szCs w:val="16"/>
          <w:lang w:val="es-CO"/>
        </w:rPr>
      </w:pPr>
      <w:r w:rsidRPr="00F3517D">
        <w:rPr>
          <w:rStyle w:val="Refdenotaalpie"/>
          <w:rFonts w:ascii="Verdana" w:hAnsi="Verdana" w:cs="Arial"/>
          <w:sz w:val="16"/>
          <w:szCs w:val="16"/>
        </w:rPr>
        <w:footnoteRef/>
      </w:r>
      <w:r w:rsidRPr="00F3517D">
        <w:rPr>
          <w:rFonts w:ascii="Verdana" w:hAnsi="Verdana" w:cs="Arial"/>
          <w:sz w:val="16"/>
          <w:szCs w:val="16"/>
          <w:lang w:val="pt-BR"/>
        </w:rPr>
        <w:t xml:space="preserve"> </w:t>
      </w:r>
      <w:r w:rsidRPr="00F3517D">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12F9C7A" w14:textId="77777777" w:rsidR="00EE0007" w:rsidRPr="00F3517D" w:rsidRDefault="00EE0007" w:rsidP="00EE0007">
      <w:pPr>
        <w:pStyle w:val="Textonotapie"/>
        <w:ind w:firstLine="709"/>
        <w:jc w:val="both"/>
        <w:rPr>
          <w:rFonts w:ascii="Verdana" w:hAnsi="Verdana" w:cs="Arial"/>
          <w:sz w:val="16"/>
          <w:szCs w:val="16"/>
          <w:lang w:val="pt-BR"/>
        </w:rPr>
      </w:pPr>
    </w:p>
  </w:footnote>
  <w:footnote w:id="5">
    <w:p w14:paraId="3A92C8FD" w14:textId="77777777" w:rsidR="00EE0007" w:rsidRPr="00F3517D" w:rsidRDefault="00EE0007" w:rsidP="00EE0007">
      <w:pPr>
        <w:pStyle w:val="Textonotapie"/>
        <w:ind w:firstLine="709"/>
        <w:jc w:val="both"/>
        <w:rPr>
          <w:rFonts w:ascii="Verdana" w:hAnsi="Verdana" w:cs="Arial"/>
          <w:sz w:val="16"/>
          <w:szCs w:val="16"/>
          <w:lang w:val="es-ES"/>
        </w:rPr>
      </w:pPr>
      <w:r w:rsidRPr="00F3517D">
        <w:rPr>
          <w:rStyle w:val="Refdenotaalpie"/>
          <w:rFonts w:ascii="Verdana" w:hAnsi="Verdana" w:cs="Arial"/>
          <w:sz w:val="16"/>
          <w:szCs w:val="16"/>
        </w:rPr>
        <w:footnoteRef/>
      </w:r>
      <w:r w:rsidRPr="00F3517D">
        <w:rPr>
          <w:rFonts w:ascii="Verdana" w:hAnsi="Verdana" w:cs="Arial"/>
          <w:sz w:val="16"/>
          <w:szCs w:val="16"/>
          <w:lang w:val="es-CO"/>
        </w:rPr>
        <w:t xml:space="preserve"> Consejo de Estado. Sala de lo Contencioso Administrativo. Sección Primera. Sentencia de 3 de marzo de 2005. Radicado: </w:t>
      </w:r>
      <w:r w:rsidRPr="00F3517D">
        <w:rPr>
          <w:rFonts w:ascii="Verdana" w:hAnsi="Verdana" w:cs="Arial"/>
          <w:sz w:val="16"/>
          <w:szCs w:val="16"/>
          <w:lang w:val="es-ES"/>
        </w:rPr>
        <w:t xml:space="preserve">25001-23-15-000-2004-00823-01 (PI). </w:t>
      </w:r>
      <w:r w:rsidRPr="00F3517D">
        <w:rPr>
          <w:rFonts w:ascii="Verdana" w:hAnsi="Verdana" w:cs="Arial"/>
          <w:sz w:val="16"/>
          <w:szCs w:val="16"/>
          <w:lang w:val="es-CO"/>
        </w:rPr>
        <w:t xml:space="preserve">C.P: Camilo Arciniegas Andrade. Ver también, de la Sección Tercera. </w:t>
      </w:r>
    </w:p>
    <w:p w14:paraId="2C35757E" w14:textId="77777777" w:rsidR="00EE0007" w:rsidRPr="00F3517D" w:rsidRDefault="00EE0007" w:rsidP="00EE0007">
      <w:pPr>
        <w:pStyle w:val="Textonotapie"/>
        <w:ind w:firstLine="709"/>
        <w:jc w:val="both"/>
        <w:rPr>
          <w:rFonts w:ascii="Verdana" w:hAnsi="Verdana" w:cs="Arial"/>
          <w:sz w:val="16"/>
          <w:szCs w:val="16"/>
          <w:lang w:val="es-CO"/>
        </w:rPr>
      </w:pPr>
    </w:p>
  </w:footnote>
  <w:footnote w:id="6">
    <w:p w14:paraId="19E9259D" w14:textId="77777777" w:rsidR="00EE0007" w:rsidRPr="00F3517D" w:rsidRDefault="00EE0007" w:rsidP="00EE0007">
      <w:pPr>
        <w:pStyle w:val="Textonotapie"/>
        <w:ind w:firstLine="709"/>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Consejo de Estado, Sala de Consulta y Servicio Civil. 24 de julio de 2013. Radicado: </w:t>
      </w:r>
      <w:r w:rsidRPr="00F3517D">
        <w:rPr>
          <w:rFonts w:ascii="Verdana" w:hAnsi="Verdana" w:cs="Arial"/>
          <w:sz w:val="16"/>
          <w:szCs w:val="16"/>
          <w:lang w:val="es-CO"/>
        </w:rPr>
        <w:t xml:space="preserve">11001-03-06-000-2013-00407-00 </w:t>
      </w:r>
      <w:r w:rsidRPr="00F3517D">
        <w:rPr>
          <w:rFonts w:ascii="Verdana" w:hAnsi="Verdana" w:cs="Arial"/>
          <w:sz w:val="16"/>
          <w:szCs w:val="16"/>
        </w:rPr>
        <w:t xml:space="preserve">(2166). C.P. Álvaro Namén Vargas.  </w:t>
      </w:r>
    </w:p>
  </w:footnote>
  <w:footnote w:id="7">
    <w:p w14:paraId="2054AC6A" w14:textId="77777777" w:rsidR="00EE0007" w:rsidRPr="00F3517D" w:rsidRDefault="00EE0007" w:rsidP="00EE0007">
      <w:pPr>
        <w:spacing w:after="0" w:line="240" w:lineRule="auto"/>
        <w:ind w:firstLine="709"/>
        <w:jc w:val="both"/>
        <w:rPr>
          <w:rFonts w:ascii="Verdana" w:eastAsia="Times New Roman"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w:t>
      </w:r>
      <w:bookmarkStart w:id="5" w:name="33"/>
      <w:r w:rsidRPr="00F3517D">
        <w:rPr>
          <w:rFonts w:ascii="Verdana" w:eastAsia="Calibri" w:hAnsi="Verdana" w:cs="Arial"/>
          <w:color w:val="000000"/>
          <w:sz w:val="16"/>
          <w:szCs w:val="16"/>
        </w:rPr>
        <w:t>“</w:t>
      </w:r>
      <w:r w:rsidRPr="00F3517D">
        <w:rPr>
          <w:rFonts w:ascii="Verdana" w:eastAsia="Times New Roman" w:hAnsi="Verdana" w:cs="Arial"/>
          <w:sz w:val="16"/>
          <w:szCs w:val="16"/>
        </w:rPr>
        <w:t>Artículo 33. Restricciones a la contratación pública.</w:t>
      </w:r>
      <w:bookmarkEnd w:id="5"/>
      <w:r w:rsidRPr="00F3517D">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B6710B5" w14:textId="77777777" w:rsidR="00EE0007" w:rsidRPr="00F3517D" w:rsidRDefault="00EE0007" w:rsidP="00EE0007">
      <w:pPr>
        <w:spacing w:after="0" w:line="240" w:lineRule="auto"/>
        <w:ind w:firstLine="709"/>
        <w:jc w:val="both"/>
        <w:rPr>
          <w:rFonts w:ascii="Verdana" w:eastAsia="Times New Roman" w:hAnsi="Verdana" w:cs="Arial"/>
          <w:sz w:val="16"/>
          <w:szCs w:val="16"/>
        </w:rPr>
      </w:pPr>
      <w:r w:rsidRPr="00F3517D">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3517D">
        <w:rPr>
          <w:rFonts w:ascii="Verdana" w:eastAsia="Calibri" w:hAnsi="Verdana" w:cs="Arial"/>
          <w:color w:val="000000"/>
          <w:sz w:val="16"/>
          <w:szCs w:val="16"/>
        </w:rPr>
        <w:t>”</w:t>
      </w:r>
      <w:r w:rsidRPr="00F3517D">
        <w:rPr>
          <w:rFonts w:ascii="Verdana" w:eastAsia="Times New Roman" w:hAnsi="Verdana" w:cs="Arial"/>
          <w:sz w:val="16"/>
          <w:szCs w:val="16"/>
        </w:rPr>
        <w:t>.</w:t>
      </w:r>
    </w:p>
    <w:p w14:paraId="6BF8E46A" w14:textId="77777777" w:rsidR="00EE0007" w:rsidRPr="00F3517D" w:rsidRDefault="00EE0007" w:rsidP="00EE0007">
      <w:pPr>
        <w:spacing w:after="0" w:line="240" w:lineRule="auto"/>
        <w:ind w:firstLine="709"/>
        <w:jc w:val="both"/>
        <w:rPr>
          <w:rFonts w:ascii="Verdana" w:eastAsia="Times New Roman" w:hAnsi="Verdana" w:cs="Arial"/>
          <w:sz w:val="16"/>
          <w:szCs w:val="16"/>
        </w:rPr>
      </w:pPr>
    </w:p>
  </w:footnote>
  <w:footnote w:id="8">
    <w:p w14:paraId="465FAFAB" w14:textId="77777777" w:rsidR="00EE0007" w:rsidRPr="00F3517D" w:rsidRDefault="00EE0007" w:rsidP="00EE0007">
      <w:pPr>
        <w:pStyle w:val="NormalWeb"/>
        <w:spacing w:before="0" w:beforeAutospacing="0" w:after="0" w:afterAutospacing="0"/>
        <w:ind w:firstLine="709"/>
        <w:jc w:val="both"/>
        <w:rPr>
          <w:rFonts w:ascii="Verdana" w:hAnsi="Verdana" w:cs="Arial"/>
          <w:sz w:val="16"/>
          <w:szCs w:val="16"/>
          <w:lang w:val="es-MX"/>
        </w:rPr>
      </w:pPr>
      <w:r w:rsidRPr="00F3517D">
        <w:rPr>
          <w:rStyle w:val="Refdenotaalpie"/>
          <w:rFonts w:ascii="Verdana" w:eastAsiaTheme="majorEastAsia" w:hAnsi="Verdana" w:cs="Arial"/>
          <w:sz w:val="16"/>
          <w:szCs w:val="16"/>
        </w:rPr>
        <w:footnoteRef/>
      </w:r>
      <w:r w:rsidRPr="00F3517D">
        <w:rPr>
          <w:rFonts w:ascii="Verdana" w:hAnsi="Verdana" w:cs="Arial"/>
          <w:sz w:val="16"/>
          <w:szCs w:val="16"/>
        </w:rPr>
        <w:t xml:space="preserve"> </w:t>
      </w:r>
      <w:bookmarkStart w:id="6" w:name="38"/>
      <w:r w:rsidRPr="00F3517D">
        <w:rPr>
          <w:rFonts w:ascii="Verdana" w:eastAsia="Calibri" w:hAnsi="Verdana" w:cs="Arial"/>
          <w:color w:val="000000"/>
          <w:sz w:val="16"/>
          <w:szCs w:val="16"/>
        </w:rPr>
        <w:t>“</w:t>
      </w:r>
      <w:r w:rsidRPr="00F3517D">
        <w:rPr>
          <w:rFonts w:ascii="Verdana" w:hAnsi="Verdana" w:cs="Arial"/>
          <w:sz w:val="16"/>
          <w:szCs w:val="16"/>
          <w:lang w:val="es-MX"/>
        </w:rPr>
        <w:t>Artículo 38. Prohibiciones para los servidores públicos. A los empleados del Estado les está prohibido:</w:t>
      </w:r>
      <w:bookmarkEnd w:id="6"/>
      <w:r w:rsidRPr="00F3517D">
        <w:rPr>
          <w:rFonts w:ascii="Verdana" w:hAnsi="Verdana" w:cs="Arial"/>
          <w:sz w:val="16"/>
          <w:szCs w:val="16"/>
          <w:lang w:val="es-MX"/>
        </w:rPr>
        <w:t xml:space="preserve"> (…)</w:t>
      </w:r>
    </w:p>
    <w:p w14:paraId="5FE30205" w14:textId="77777777" w:rsidR="00EE0007" w:rsidRPr="00F3517D" w:rsidRDefault="00EE0007" w:rsidP="00EE0007">
      <w:pPr>
        <w:pStyle w:val="NormalWeb"/>
        <w:spacing w:before="0" w:beforeAutospacing="0" w:after="0" w:afterAutospacing="0"/>
        <w:ind w:firstLine="709"/>
        <w:jc w:val="both"/>
        <w:rPr>
          <w:rFonts w:ascii="Verdana" w:hAnsi="Verdana" w:cs="Arial"/>
          <w:sz w:val="16"/>
          <w:szCs w:val="16"/>
          <w:lang w:val="es-MX"/>
        </w:rPr>
      </w:pPr>
      <w:r w:rsidRPr="00F3517D">
        <w:rPr>
          <w:rStyle w:val="baj"/>
          <w:rFonts w:ascii="Verdana" w:hAnsi="Verdana" w:cs="Arial"/>
          <w:sz w:val="16"/>
          <w:szCs w:val="16"/>
          <w:lang w:val="es-MX"/>
        </w:rPr>
        <w:t>Parágrafo.</w:t>
      </w:r>
      <w:r w:rsidRPr="00F3517D">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3517D">
        <w:rPr>
          <w:rFonts w:ascii="Verdana" w:eastAsia="Calibri" w:hAnsi="Verdana" w:cs="Arial"/>
          <w:color w:val="000000"/>
          <w:sz w:val="16"/>
          <w:szCs w:val="16"/>
        </w:rPr>
        <w:t>”</w:t>
      </w:r>
      <w:r w:rsidRPr="00F3517D">
        <w:rPr>
          <w:rFonts w:ascii="Verdana" w:hAnsi="Verdana" w:cs="Arial"/>
          <w:sz w:val="16"/>
          <w:szCs w:val="16"/>
          <w:lang w:val="es-MX"/>
        </w:rPr>
        <w:t>.</w:t>
      </w:r>
    </w:p>
  </w:footnote>
  <w:footnote w:id="9">
    <w:p w14:paraId="22D15DEC" w14:textId="77777777" w:rsidR="00EE0007" w:rsidRPr="00F3517D" w:rsidRDefault="00EE0007" w:rsidP="00EE0007">
      <w:pPr>
        <w:spacing w:after="0" w:line="240" w:lineRule="auto"/>
        <w:ind w:left="100" w:right="244" w:firstLine="709"/>
        <w:jc w:val="both"/>
        <w:rPr>
          <w:rFonts w:ascii="Verdana" w:hAnsi="Verdana" w:cs="Arial"/>
          <w:sz w:val="16"/>
          <w:szCs w:val="16"/>
          <w:lang w:val="es-ES"/>
        </w:rPr>
      </w:pPr>
      <w:r w:rsidRPr="00F3517D">
        <w:rPr>
          <w:rStyle w:val="Refdenotaalpie"/>
          <w:rFonts w:ascii="Verdana" w:hAnsi="Verdana" w:cs="Arial"/>
          <w:sz w:val="16"/>
          <w:szCs w:val="16"/>
        </w:rPr>
        <w:footnoteRef/>
      </w:r>
      <w:r w:rsidRPr="00F3517D">
        <w:rPr>
          <w:rFonts w:ascii="Verdana" w:hAnsi="Verdana" w:cs="Arial"/>
          <w:sz w:val="16"/>
          <w:szCs w:val="16"/>
        </w:rPr>
        <w:t xml:space="preserve"> Consejo de Estado. Sala de Consulta y Servicio Civil. Concepto del 17 de febrero de 2015. Radicado: 11001-03-06-000-2015-00164-00 (2269). C.P. William Zambrano Cetina.</w:t>
      </w:r>
    </w:p>
  </w:footnote>
  <w:footnote w:id="10">
    <w:p w14:paraId="550CF3FC" w14:textId="77777777" w:rsidR="00EE0007" w:rsidRPr="00F3517D" w:rsidRDefault="00EE0007" w:rsidP="00EE0007">
      <w:pPr>
        <w:pStyle w:val="Textonotapie"/>
        <w:ind w:firstLine="708"/>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Colombia Compra Eficiente. Circular Externa Única. Numeral 16.5. </w:t>
      </w:r>
    </w:p>
    <w:p w14:paraId="6CF8EECC" w14:textId="77777777" w:rsidR="00EE0007" w:rsidRPr="00F3517D" w:rsidRDefault="00EE0007" w:rsidP="00EE0007">
      <w:pPr>
        <w:pStyle w:val="Textonotapie"/>
        <w:ind w:firstLine="708"/>
        <w:jc w:val="both"/>
        <w:rPr>
          <w:rFonts w:ascii="Verdana" w:hAnsi="Verdana" w:cs="Arial"/>
          <w:sz w:val="16"/>
          <w:szCs w:val="16"/>
        </w:rPr>
      </w:pPr>
    </w:p>
  </w:footnote>
  <w:footnote w:id="11">
    <w:p w14:paraId="24EE09AA" w14:textId="77777777" w:rsidR="00EE0007" w:rsidRPr="00F3517D" w:rsidRDefault="00EE0007" w:rsidP="00EE0007">
      <w:pPr>
        <w:pStyle w:val="Textonotapie"/>
        <w:ind w:right="51" w:firstLine="709"/>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w:t>
      </w:r>
      <w:r w:rsidRPr="00F3517D">
        <w:rPr>
          <w:rFonts w:ascii="Verdana" w:hAnsi="Verdana" w:cs="Arial"/>
          <w:sz w:val="16"/>
          <w:szCs w:val="16"/>
          <w:lang w:val="es-ES"/>
        </w:rPr>
        <w:t xml:space="preserve">[25] </w:t>
      </w:r>
      <w:r w:rsidRPr="00F3517D">
        <w:rPr>
          <w:rFonts w:ascii="Verdana" w:hAnsi="Verdana" w:cs="Arial"/>
          <w:sz w:val="16"/>
          <w:szCs w:val="16"/>
        </w:rPr>
        <w:t>Cfr. Consejo de Estado. Sección Tercera. Sentencia de 3 de diciembre de 2007. Radicados: 24.715, 25.206, 25.409, 24.524, 27.834, 25.410, 26.105, 28.244, 31.447 -acumulados- “.</w:t>
      </w:r>
    </w:p>
    <w:p w14:paraId="5AF5747B" w14:textId="77777777" w:rsidR="00EE0007" w:rsidRPr="00F3517D" w:rsidRDefault="00EE0007" w:rsidP="00EE0007">
      <w:pPr>
        <w:pStyle w:val="Textonotapie"/>
        <w:ind w:right="51" w:firstLine="709"/>
        <w:jc w:val="both"/>
        <w:rPr>
          <w:rFonts w:ascii="Verdana" w:hAnsi="Verdana" w:cs="Arial"/>
          <w:sz w:val="16"/>
          <w:szCs w:val="16"/>
        </w:rPr>
      </w:pPr>
    </w:p>
  </w:footnote>
  <w:footnote w:id="12">
    <w:p w14:paraId="15827598" w14:textId="77777777" w:rsidR="00EE0007" w:rsidRPr="00661481" w:rsidRDefault="00EE0007" w:rsidP="00EE0007">
      <w:pPr>
        <w:pStyle w:val="Textonotapie"/>
        <w:ind w:right="51"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w:t>
      </w:r>
      <w:r w:rsidRPr="00661481">
        <w:rPr>
          <w:rFonts w:ascii="Verdana" w:hAnsi="Verdana" w:cs="Arial"/>
          <w:sz w:val="16"/>
          <w:szCs w:val="16"/>
          <w:lang w:val="es-ES"/>
        </w:rPr>
        <w:t xml:space="preserve">[26] </w:t>
      </w:r>
      <w:r w:rsidRPr="00661481">
        <w:rPr>
          <w:rFonts w:ascii="Verdana" w:hAnsi="Verdana" w:cs="Arial"/>
          <w:sz w:val="16"/>
          <w:szCs w:val="16"/>
        </w:rPr>
        <w:t>Al respecto ver el concepto 1712 de 2 de febrero de 2006. Consejo de Estado Sala de Consulta y Servicio Civil”.</w:t>
      </w:r>
    </w:p>
  </w:footnote>
  <w:footnote w:id="13">
    <w:p w14:paraId="48E5F2B4" w14:textId="77777777" w:rsidR="00EE0007" w:rsidRPr="00661481" w:rsidRDefault="00EE0007" w:rsidP="00EE0007">
      <w:pPr>
        <w:pStyle w:val="Textonotapie"/>
        <w:ind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Consejo de Estado. Sala de Consulta y Servicio Civil. Concepto del 2 de septiembre de 2013. Radicación: 11001-03-06-000-2013-00412-00 (2168). Consejero Ponente: Álvaro Namén Vargas.</w:t>
      </w:r>
    </w:p>
    <w:p w14:paraId="389CBCDB" w14:textId="77777777" w:rsidR="00EE0007" w:rsidRPr="00661481" w:rsidRDefault="00EE0007" w:rsidP="00EE0007">
      <w:pPr>
        <w:pStyle w:val="Textonotapie"/>
        <w:ind w:firstLine="709"/>
        <w:jc w:val="both"/>
        <w:rPr>
          <w:rFonts w:ascii="Verdana" w:hAnsi="Verdana" w:cs="Arial"/>
          <w:sz w:val="16"/>
          <w:szCs w:val="16"/>
        </w:rPr>
      </w:pPr>
    </w:p>
  </w:footnote>
  <w:footnote w:id="14">
    <w:p w14:paraId="7005F2C0" w14:textId="77777777" w:rsidR="00EE0007" w:rsidRPr="00661481" w:rsidRDefault="00EE0007" w:rsidP="00EE0007">
      <w:pPr>
        <w:pStyle w:val="Textonotapie"/>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Fonts w:ascii="Verdana" w:hAnsi="Verdana" w:cs="Arial"/>
          <w:sz w:val="16"/>
          <w:szCs w:val="16"/>
        </w:rPr>
        <w:t xml:space="preserve"> </w:t>
      </w:r>
      <w:r w:rsidRPr="00661481">
        <w:rPr>
          <w:rFonts w:ascii="Verdana" w:hAnsi="Verdana" w:cs="Arial"/>
          <w:sz w:val="16"/>
          <w:szCs w:val="16"/>
          <w:lang w:val="es-ES"/>
        </w:rPr>
        <w:t xml:space="preserve">Artículo 2. </w:t>
      </w:r>
    </w:p>
    <w:p w14:paraId="2F3E9DBF" w14:textId="77777777" w:rsidR="00EE0007" w:rsidRPr="00661481" w:rsidRDefault="00EE0007" w:rsidP="00EE0007">
      <w:pPr>
        <w:pStyle w:val="Textonotapie"/>
        <w:ind w:firstLine="709"/>
        <w:jc w:val="both"/>
        <w:rPr>
          <w:rFonts w:ascii="Verdana" w:hAnsi="Verdana" w:cs="Arial"/>
          <w:sz w:val="16"/>
          <w:szCs w:val="16"/>
          <w:lang w:val="es-ES"/>
        </w:rPr>
      </w:pPr>
    </w:p>
  </w:footnote>
  <w:footnote w:id="15">
    <w:p w14:paraId="103674BE" w14:textId="77777777" w:rsidR="00EE0007" w:rsidRPr="00661481" w:rsidRDefault="00EE0007" w:rsidP="00EE0007">
      <w:pPr>
        <w:pStyle w:val="Textonotapie"/>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Fonts w:ascii="Verdana" w:hAnsi="Verdana" w:cs="Arial"/>
          <w:sz w:val="16"/>
          <w:szCs w:val="16"/>
        </w:rPr>
        <w:t xml:space="preserve"> </w:t>
      </w:r>
      <w:r w:rsidRPr="00661481">
        <w:rPr>
          <w:rFonts w:ascii="Verdana" w:hAnsi="Verdana" w:cs="Arial"/>
          <w:i/>
          <w:sz w:val="16"/>
          <w:szCs w:val="16"/>
          <w:lang w:val="es-ES"/>
        </w:rPr>
        <w:t>Ídem</w:t>
      </w:r>
      <w:r w:rsidRPr="00661481">
        <w:rPr>
          <w:rFonts w:ascii="Verdana" w:hAnsi="Verdana" w:cs="Arial"/>
          <w:sz w:val="16"/>
          <w:szCs w:val="16"/>
          <w:lang w:val="es-ES"/>
        </w:rPr>
        <w:t>.</w:t>
      </w:r>
    </w:p>
    <w:p w14:paraId="14295406" w14:textId="77777777" w:rsidR="00EE0007" w:rsidRPr="00661481" w:rsidRDefault="00EE0007" w:rsidP="00EE0007">
      <w:pPr>
        <w:pStyle w:val="Textonotapie"/>
        <w:ind w:firstLine="709"/>
        <w:jc w:val="both"/>
        <w:rPr>
          <w:rFonts w:ascii="Verdana" w:hAnsi="Verdana" w:cs="Arial"/>
          <w:sz w:val="16"/>
          <w:szCs w:val="16"/>
          <w:lang w:val="es-ES"/>
        </w:rPr>
      </w:pPr>
    </w:p>
  </w:footnote>
  <w:footnote w:id="16">
    <w:p w14:paraId="10892A19" w14:textId="77777777" w:rsidR="00EE0007" w:rsidRPr="00661481" w:rsidRDefault="00EE0007" w:rsidP="00EE0007">
      <w:pPr>
        <w:pStyle w:val="Textonotapie"/>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Style w:val="Refdenotaalpie"/>
          <w:rFonts w:ascii="Verdana" w:hAnsi="Verdana" w:cs="Arial"/>
          <w:sz w:val="16"/>
          <w:szCs w:val="16"/>
        </w:rPr>
        <w:t xml:space="preserve"> </w:t>
      </w:r>
      <w:r w:rsidRPr="00661481">
        <w:rPr>
          <w:rFonts w:ascii="Verdana" w:hAnsi="Verdana" w:cs="Arial"/>
          <w:sz w:val="16"/>
          <w:szCs w:val="16"/>
          <w:lang w:val="es-ES"/>
        </w:rPr>
        <w:t xml:space="preserve">“[…] A este respecto, cabe recordar que el artículo 860 del Código de Comercio regula la licitación en el derecho privado”. </w:t>
      </w:r>
    </w:p>
    <w:p w14:paraId="7920B23B" w14:textId="77777777" w:rsidR="00EE0007" w:rsidRPr="00661481" w:rsidRDefault="00EE0007" w:rsidP="00EE0007">
      <w:pPr>
        <w:pStyle w:val="Textonotapie"/>
        <w:ind w:firstLine="709"/>
        <w:jc w:val="both"/>
        <w:rPr>
          <w:rFonts w:ascii="Verdana" w:hAnsi="Verdana" w:cs="Arial"/>
          <w:sz w:val="16"/>
          <w:szCs w:val="16"/>
          <w:lang w:val="es-ES"/>
        </w:rPr>
      </w:pPr>
    </w:p>
  </w:footnote>
  <w:footnote w:id="17">
    <w:p w14:paraId="766287A1" w14:textId="77777777" w:rsidR="00EE0007" w:rsidRPr="00661481" w:rsidRDefault="00EE0007" w:rsidP="00EE0007">
      <w:pPr>
        <w:shd w:val="clear" w:color="auto" w:fill="FFFFFF"/>
        <w:spacing w:after="0" w:line="240" w:lineRule="auto"/>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Style w:val="Refdenotaalpie"/>
          <w:rFonts w:ascii="Verdana" w:hAnsi="Verdana" w:cs="Arial"/>
          <w:sz w:val="16"/>
          <w:szCs w:val="16"/>
        </w:rPr>
        <w:t xml:space="preserve"> </w:t>
      </w:r>
      <w:r w:rsidRPr="00661481">
        <w:rPr>
          <w:rFonts w:ascii="Verdana" w:hAnsi="Verdana" w:cs="Arial"/>
          <w:sz w:val="16"/>
          <w:szCs w:val="16"/>
          <w:lang w:val="es-ES"/>
        </w:rPr>
        <w:t>Consejo de Estado. Sala de Consulta y Servicio Civil. Concepto de 8 de mayo de 2018. Radicación: 11001-03-06-000-2018-00095-00 (2382). Consejero Ponente: Álvaro Namén Vargas.</w:t>
      </w:r>
    </w:p>
    <w:p w14:paraId="3CFA119E" w14:textId="77777777" w:rsidR="00EE0007" w:rsidRPr="00661481" w:rsidRDefault="00EE0007" w:rsidP="00EE0007">
      <w:pPr>
        <w:shd w:val="clear" w:color="auto" w:fill="FFFFFF"/>
        <w:spacing w:after="0" w:line="240" w:lineRule="auto"/>
        <w:ind w:firstLine="709"/>
        <w:jc w:val="both"/>
        <w:rPr>
          <w:rFonts w:ascii="Verdana" w:hAnsi="Verdana" w:cs="Arial"/>
          <w:sz w:val="16"/>
          <w:szCs w:val="16"/>
          <w:lang w:val="es-ES"/>
        </w:rPr>
      </w:pPr>
    </w:p>
  </w:footnote>
  <w:footnote w:id="18">
    <w:p w14:paraId="6082A40D" w14:textId="77777777" w:rsidR="00EE0007" w:rsidRPr="00661481" w:rsidRDefault="00EE0007" w:rsidP="00EE0007">
      <w:pPr>
        <w:pStyle w:val="Textonotapie"/>
        <w:ind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Ibídem.</w:t>
      </w:r>
    </w:p>
  </w:footnote>
  <w:footnote w:id="19">
    <w:p w14:paraId="0EDC75C5" w14:textId="77777777" w:rsidR="00EE0007" w:rsidRPr="00661481" w:rsidRDefault="00EE0007" w:rsidP="00EE0007">
      <w:pPr>
        <w:pStyle w:val="Textonotapie"/>
        <w:ind w:firstLine="708"/>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Colombia Compra Eficiente. Circular Única Externa.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 En </w:t>
      </w:r>
      <w:hyperlink r:id="rId1" w:history="1">
        <w:r w:rsidRPr="00661481">
          <w:rPr>
            <w:rStyle w:val="Hipervnculo"/>
            <w:rFonts w:ascii="Verdana" w:hAnsi="Verdana" w:cs="Arial"/>
            <w:sz w:val="16"/>
            <w:szCs w:val="16"/>
            <w:lang w:val="es-CO"/>
          </w:rPr>
          <w:t>circular_externa_unica_version_3_vf49.pdf</w:t>
        </w:r>
      </w:hyperlink>
    </w:p>
    <w:p w14:paraId="3A9EC163" w14:textId="77777777" w:rsidR="00EE0007" w:rsidRPr="00661481" w:rsidRDefault="00EE0007" w:rsidP="00EE0007">
      <w:pPr>
        <w:pStyle w:val="Textonotapie"/>
        <w:ind w:firstLine="708"/>
        <w:jc w:val="both"/>
        <w:rPr>
          <w:rFonts w:ascii="Verdana" w:hAnsi="Verdana" w:cs="Arial"/>
          <w:sz w:val="16"/>
          <w:szCs w:val="16"/>
        </w:rPr>
      </w:pPr>
    </w:p>
  </w:footnote>
  <w:footnote w:id="20">
    <w:p w14:paraId="776DBCFE" w14:textId="77777777" w:rsidR="00EE0007" w:rsidRPr="00661481" w:rsidRDefault="00EE0007" w:rsidP="00EE0007">
      <w:pPr>
        <w:pStyle w:val="Textonotapie"/>
        <w:ind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47F847CC" w14:textId="77777777" w:rsidR="00EE0007" w:rsidRPr="00661481" w:rsidRDefault="00EE0007" w:rsidP="00EE0007">
      <w:pPr>
        <w:pStyle w:val="Textonotapie"/>
        <w:ind w:firstLine="709"/>
        <w:jc w:val="both"/>
        <w:rPr>
          <w:rFonts w:ascii="Verdana" w:hAnsi="Verdana" w:cs="Arial"/>
          <w:sz w:val="16"/>
          <w:szCs w:val="16"/>
        </w:rPr>
      </w:pPr>
    </w:p>
  </w:footnote>
  <w:footnote w:id="21">
    <w:p w14:paraId="1AE729C3" w14:textId="77777777" w:rsidR="00EE0007" w:rsidRPr="00661481" w:rsidRDefault="00EE0007" w:rsidP="00EE0007">
      <w:pPr>
        <w:pStyle w:val="Textonotapie"/>
        <w:ind w:firstLine="708"/>
        <w:jc w:val="both"/>
        <w:rPr>
          <w:rFonts w:ascii="Verdana" w:hAnsi="Verdana" w:cs="Arial"/>
          <w:color w:val="000000"/>
          <w:sz w:val="16"/>
          <w:szCs w:val="16"/>
          <w:lang w:val="es-ES"/>
        </w:rPr>
      </w:pPr>
      <w:r w:rsidRPr="00661481">
        <w:rPr>
          <w:rStyle w:val="Refdenotaalpie"/>
          <w:rFonts w:ascii="Verdana" w:hAnsi="Verdana" w:cs="Arial"/>
          <w:color w:val="000000"/>
          <w:sz w:val="16"/>
          <w:szCs w:val="16"/>
        </w:rPr>
        <w:footnoteRef/>
      </w:r>
      <w:r w:rsidRPr="00661481">
        <w:rPr>
          <w:rFonts w:ascii="Verdana" w:hAnsi="Verdana" w:cs="Arial"/>
          <w:color w:val="000000"/>
          <w:sz w:val="16"/>
          <w:szCs w:val="16"/>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8350A" w14:textId="5E4351EA" w:rsidR="004A305D" w:rsidRPr="004A305D" w:rsidRDefault="009D3058" w:rsidP="00F53454">
    <w:pPr>
      <w:pStyle w:val="Encabezado"/>
      <w:spacing w:line="120" w:lineRule="auto"/>
      <w:rPr>
        <w:rFonts w:ascii="Century Gothic" w:eastAsia="Geo" w:hAnsi="Century Gothic" w:cs="Geo"/>
        <w:sz w:val="16"/>
        <w:szCs w:val="16"/>
        <w:lang w:eastAsia="es-CO"/>
      </w:rPr>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3100085"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203175855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519B"/>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58C3"/>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3092F"/>
    <w:rsid w:val="004425EF"/>
    <w:rsid w:val="0044528D"/>
    <w:rsid w:val="00466E39"/>
    <w:rsid w:val="004A1847"/>
    <w:rsid w:val="004A305D"/>
    <w:rsid w:val="004F21C4"/>
    <w:rsid w:val="004F685F"/>
    <w:rsid w:val="005566E8"/>
    <w:rsid w:val="00574867"/>
    <w:rsid w:val="00580BC0"/>
    <w:rsid w:val="00591460"/>
    <w:rsid w:val="005A65E0"/>
    <w:rsid w:val="005C3777"/>
    <w:rsid w:val="005C5CDC"/>
    <w:rsid w:val="005D476C"/>
    <w:rsid w:val="005E436E"/>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582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768E"/>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A0203"/>
    <w:rsid w:val="00BC3D36"/>
    <w:rsid w:val="00BD54A6"/>
    <w:rsid w:val="00BD7F72"/>
    <w:rsid w:val="00BF7425"/>
    <w:rsid w:val="00C04FB3"/>
    <w:rsid w:val="00C11D8B"/>
    <w:rsid w:val="00C12038"/>
    <w:rsid w:val="00C15139"/>
    <w:rsid w:val="00C330EB"/>
    <w:rsid w:val="00C50D69"/>
    <w:rsid w:val="00C5365C"/>
    <w:rsid w:val="00C754BE"/>
    <w:rsid w:val="00C76B1C"/>
    <w:rsid w:val="00C925AC"/>
    <w:rsid w:val="00CB6357"/>
    <w:rsid w:val="00CC110C"/>
    <w:rsid w:val="00CC1B26"/>
    <w:rsid w:val="00CE3B8C"/>
    <w:rsid w:val="00D361FD"/>
    <w:rsid w:val="00D423A2"/>
    <w:rsid w:val="00D44E26"/>
    <w:rsid w:val="00D520D8"/>
    <w:rsid w:val="00D615B4"/>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0007"/>
    <w:rsid w:val="00EE1AA8"/>
    <w:rsid w:val="00F23FEA"/>
    <w:rsid w:val="00F31EDC"/>
    <w:rsid w:val="00F462B3"/>
    <w:rsid w:val="00F53454"/>
    <w:rsid w:val="00F5664F"/>
    <w:rsid w:val="00F666C4"/>
    <w:rsid w:val="00F76AFC"/>
    <w:rsid w:val="00FA4512"/>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E0007"/>
    <w:pPr>
      <w:spacing w:line="240" w:lineRule="exact"/>
    </w:pPr>
    <w:rPr>
      <w:vertAlign w:val="superscript"/>
    </w:rPr>
  </w:style>
  <w:style w:type="character" w:customStyle="1" w:styleId="NormalWebCar">
    <w:name w:val="Normal (Web) Car"/>
    <w:link w:val="NormalWeb"/>
    <w:uiPriority w:val="99"/>
    <w:locked/>
    <w:rsid w:val="00EE0007"/>
    <w:rPr>
      <w:rFonts w:ascii="Times New Roman" w:eastAsia="Times New Roman" w:hAnsi="Times New Roman" w:cs="Times New Roman"/>
      <w:sz w:val="24"/>
      <w:szCs w:val="24"/>
      <w:lang w:eastAsia="es-CO"/>
    </w:rPr>
  </w:style>
  <w:style w:type="character" w:customStyle="1" w:styleId="baj">
    <w:name w:val="b_aj"/>
    <w:basedOn w:val="Fuentedeprrafopredeter"/>
    <w:rsid w:val="00EE00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6D03277-42B9-4A85-97A1-74A455C3DC9B}">
  <ds:schemaRefs>
    <ds:schemaRef ds:uri="http://schemas.openxmlformats.org/officeDocument/2006/bibliography"/>
  </ds:schemaRefs>
</ds:datastoreItem>
</file>

<file path=customXml/itemProps2.xml><?xml version="1.0" encoding="utf-8"?>
<ds:datastoreItem xmlns:ds="http://schemas.openxmlformats.org/officeDocument/2006/customXml" ds:itemID="{0F49D5DD-7F82-475E-A423-F67E1E8D9946}"/>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22</Pages>
  <Words>7345</Words>
  <Characters>40398</Characters>
  <Application>Microsoft Office Word</Application>
  <DocSecurity>0</DocSecurity>
  <Lines>336</Lines>
  <Paragraphs>95</Paragraphs>
  <ScaleCrop>false</ScaleCrop>
  <Company/>
  <LinksUpToDate>false</LinksUpToDate>
  <CharactersWithSpaces>47648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5</cp:revision>
  <cp:lastPrinted>2023-01-10T21:18:00Z</cp:lastPrinted>
  <dcterms:created xsi:type="dcterms:W3CDTF">2026-05-26T21:49:00Z</dcterms:created>
  <dcterms:modified xsi:type="dcterms:W3CDTF">2026-05-29T19:44:00Z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