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D51F" w14:textId="6E29413F" w:rsidR="00EE0007" w:rsidRPr="00EF698D" w:rsidRDefault="00C15139" w:rsidP="00EE0007">
      <w:pPr>
        <w:rPr>
          <w:rFonts w:ascii="Verdana" w:eastAsia="Aptos" w:hAnsi="Verdana" w:cs="Arial"/>
          <w:b/>
          <w:bCs/>
          <w:lang w:val="es-MX" w:eastAsia="es-ES"/>
        </w:rPr>
      </w:pPr>
      <w:bookmarkStart w:id="0" w:name="_Hlk143780582"/>
      <w:r>
        <w:tab/>
      </w:r>
      <w:r>
        <w:br/>
      </w:r>
      <w:r w:rsidR="00EE0007" w:rsidRPr="00DB7533">
        <w:rPr>
          <w:rFonts w:ascii="Verdana" w:eastAsia="Aptos" w:hAnsi="Verdana" w:cs="Arial"/>
          <w:b/>
          <w:bCs/>
          <w:lang w:val="es-MX" w:eastAsia="es-ES"/>
        </w:rPr>
        <w:t xml:space="preserve">LEY DE GARANTÍAS ELECTORALES ‒ Finalidad </w:t>
      </w:r>
    </w:p>
    <w:p w14:paraId="00C1F070" w14:textId="77777777" w:rsidR="00EE0007" w:rsidRDefault="00EE0007" w:rsidP="00EE0007">
      <w:pPr>
        <w:jc w:val="both"/>
        <w:rPr>
          <w:rFonts w:ascii="Verdana" w:eastAsia="Calibri" w:hAnsi="Verdana" w:cs="Arial"/>
          <w:sz w:val="20"/>
          <w:szCs w:val="20"/>
        </w:rPr>
      </w:pPr>
      <w:r w:rsidRPr="00410D8E">
        <w:rPr>
          <w:rFonts w:ascii="Verdana" w:eastAsia="Calibri" w:hAnsi="Verdana" w:cs="Arial"/>
          <w:sz w:val="20"/>
          <w:szCs w:val="20"/>
        </w:rPr>
        <w:t>El ordenamiento jurídico colombiano contempla previsiones claras para evitar la obtención de beneficios personales en asuntos propios de la administración pública</w:t>
      </w:r>
      <w:r w:rsidRPr="00410D8E">
        <w:rPr>
          <w:rFonts w:ascii="Verdana" w:eastAsia="Calibri" w:hAnsi="Verdana" w:cs="Arial"/>
          <w:i/>
          <w:sz w:val="20"/>
          <w:szCs w:val="20"/>
        </w:rPr>
        <w:t xml:space="preserve">. </w:t>
      </w:r>
      <w:r w:rsidRPr="00410D8E">
        <w:rPr>
          <w:rFonts w:ascii="Verdana" w:eastAsia="Calibri" w:hAnsi="Verdana" w:cs="Arial"/>
          <w:sz w:val="20"/>
          <w:szCs w:val="20"/>
        </w:rPr>
        <w:t>Por ejemplo, el artículo 127 de la Constitución Política establece una prohibición contractual a los servidores públicos y, en cuanto a aspectos políticos, establece restricciones a ciertos empleados del Estado, incluso en época no electoral</w:t>
      </w:r>
    </w:p>
    <w:p w14:paraId="2B31BAED" w14:textId="77777777" w:rsidR="00EE0007" w:rsidRDefault="00EE0007" w:rsidP="00EE0007">
      <w:pPr>
        <w:jc w:val="both"/>
        <w:rPr>
          <w:rFonts w:ascii="Verdana" w:eastAsia="Calibri" w:hAnsi="Verdana" w:cs="Arial"/>
          <w:sz w:val="20"/>
          <w:szCs w:val="20"/>
        </w:rPr>
      </w:pPr>
    </w:p>
    <w:p w14:paraId="2DDCDF74" w14:textId="77777777" w:rsidR="00EE0007" w:rsidRDefault="00EE0007" w:rsidP="00EE0007">
      <w:pPr>
        <w:jc w:val="both"/>
        <w:rPr>
          <w:rFonts w:ascii="Verdana" w:eastAsia="Aptos" w:hAnsi="Verdana" w:cs="Arial"/>
          <w:b/>
          <w:bCs/>
          <w:lang w:val="es-MX" w:eastAsia="es-ES"/>
        </w:rPr>
      </w:pPr>
      <w:r w:rsidRPr="00410D8E">
        <w:rPr>
          <w:rFonts w:ascii="Verdana" w:eastAsia="Aptos" w:hAnsi="Verdana" w:cs="Arial"/>
          <w:b/>
          <w:bCs/>
          <w:lang w:val="es-MX" w:eastAsia="es-ES"/>
        </w:rPr>
        <w:t xml:space="preserve">LEY DE GARANTÍAS ELECTORALES ‒ Tipos de restricciones ‒ Ámbito temporal – Celebración </w:t>
      </w:r>
      <w:r>
        <w:rPr>
          <w:rFonts w:ascii="Verdana" w:eastAsia="Aptos" w:hAnsi="Verdana" w:cs="Arial"/>
          <w:b/>
          <w:bCs/>
          <w:lang w:val="es-MX" w:eastAsia="es-ES"/>
        </w:rPr>
        <w:t>–</w:t>
      </w:r>
      <w:r w:rsidRPr="00410D8E">
        <w:rPr>
          <w:rFonts w:ascii="Verdana" w:eastAsia="Aptos" w:hAnsi="Verdana" w:cs="Arial"/>
          <w:b/>
          <w:bCs/>
          <w:lang w:val="es-MX" w:eastAsia="es-ES"/>
        </w:rPr>
        <w:t xml:space="preserve"> Límite</w:t>
      </w:r>
    </w:p>
    <w:p w14:paraId="0D7543D1" w14:textId="77777777" w:rsidR="00EE0007" w:rsidRPr="00E93D58" w:rsidRDefault="00EE0007" w:rsidP="00EE0007">
      <w:pPr>
        <w:spacing w:after="0" w:line="240" w:lineRule="auto"/>
        <w:jc w:val="both"/>
        <w:rPr>
          <w:rFonts w:ascii="Verdana" w:eastAsia="Times New Roman" w:hAnsi="Verdana" w:cs="Arial"/>
          <w:sz w:val="20"/>
          <w:szCs w:val="20"/>
          <w:lang w:val="es-MX" w:eastAsia="es-CO"/>
        </w:rPr>
      </w:pPr>
      <w:r w:rsidRPr="00E93D58">
        <w:rPr>
          <w:rFonts w:ascii="Verdana" w:eastAsia="Times New Roman" w:hAnsi="Verdana" w:cs="Arial"/>
          <w:sz w:val="20"/>
          <w:szCs w:val="20"/>
          <w:lang w:val="es-MX" w:eastAsia="es-CO"/>
        </w:rPr>
        <w:t>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En efecto, la Sala de Consulta y Servicio Civil del Consejo de Estado, precisó:</w:t>
      </w:r>
    </w:p>
    <w:p w14:paraId="66B75C83" w14:textId="77777777" w:rsidR="00EE0007" w:rsidRPr="00E93D58" w:rsidRDefault="00EE0007" w:rsidP="00EE0007">
      <w:pPr>
        <w:spacing w:after="0" w:line="240" w:lineRule="auto"/>
        <w:jc w:val="both"/>
        <w:rPr>
          <w:rFonts w:ascii="Verdana" w:eastAsia="Times New Roman" w:hAnsi="Verdana" w:cs="Arial"/>
          <w:sz w:val="20"/>
          <w:szCs w:val="20"/>
          <w:lang w:val="es-MX" w:eastAsia="es-CO"/>
        </w:rPr>
      </w:pPr>
    </w:p>
    <w:p w14:paraId="542FF122" w14:textId="6E2BEDF6" w:rsidR="005C6967" w:rsidRPr="005203E9" w:rsidRDefault="00EE0007" w:rsidP="005203E9">
      <w:pPr>
        <w:spacing w:after="0" w:line="240" w:lineRule="auto"/>
        <w:contextualSpacing/>
        <w:jc w:val="both"/>
        <w:rPr>
          <w:rFonts w:ascii="Verdana" w:eastAsia="Times New Roman" w:hAnsi="Verdana" w:cs="Arial"/>
          <w:sz w:val="20"/>
          <w:szCs w:val="20"/>
          <w:lang w:val="es-MX" w:eastAsia="es-CO"/>
        </w:rPr>
      </w:pPr>
      <w:r w:rsidRPr="00E93D58">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E93D58">
        <w:rPr>
          <w:rFonts w:ascii="Verdana" w:eastAsia="Times New Roman" w:hAnsi="Verdana" w:cs="Arial"/>
          <w:sz w:val="20"/>
          <w:szCs w:val="20"/>
          <w:lang w:val="es-MX" w:eastAsia="es-CO"/>
        </w:rPr>
        <w:t>legis</w:t>
      </w:r>
      <w:proofErr w:type="spellEnd"/>
      <w:r w:rsidRPr="00E93D58">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719AC7A6" w14:textId="77777777" w:rsidR="005C6967" w:rsidRPr="005C6967" w:rsidRDefault="005C6967" w:rsidP="00EE0007">
      <w:pPr>
        <w:spacing w:after="0"/>
        <w:rPr>
          <w:b/>
          <w:bCs/>
        </w:rPr>
      </w:pPr>
    </w:p>
    <w:p w14:paraId="03105FF7" w14:textId="77777777" w:rsidR="005C6967" w:rsidRPr="005C6967" w:rsidRDefault="005C6967" w:rsidP="00EE0007">
      <w:pPr>
        <w:spacing w:after="0"/>
        <w:rPr>
          <w:b/>
          <w:bCs/>
        </w:rPr>
      </w:pPr>
    </w:p>
    <w:p w14:paraId="3E541D85" w14:textId="3BFD56B3" w:rsidR="005C6967" w:rsidRDefault="005C6967" w:rsidP="00EE0007">
      <w:pPr>
        <w:spacing w:after="0"/>
        <w:rPr>
          <w:rFonts w:ascii="Verdana" w:eastAsia="Aptos" w:hAnsi="Verdana" w:cs="Arial"/>
          <w:b/>
          <w:bCs/>
          <w:lang w:val="es-MX" w:eastAsia="es-ES"/>
        </w:rPr>
      </w:pPr>
      <w:r w:rsidRPr="005C6967">
        <w:rPr>
          <w:rFonts w:ascii="Verdana" w:eastAsia="Aptos" w:hAnsi="Verdana" w:cs="Arial"/>
          <w:b/>
          <w:bCs/>
          <w:lang w:val="es-MX" w:eastAsia="es-ES"/>
        </w:rPr>
        <w:t>LEY DE GARANTÍAS ELECTORALES – Prohibición – Artículo 33 – Contratación directa – Alcance</w:t>
      </w:r>
    </w:p>
    <w:p w14:paraId="21D61D4D" w14:textId="77777777" w:rsidR="0027173F" w:rsidRDefault="0027173F" w:rsidP="00EE0007">
      <w:pPr>
        <w:spacing w:after="0"/>
        <w:rPr>
          <w:rFonts w:ascii="Verdana" w:eastAsia="Aptos" w:hAnsi="Verdana" w:cs="Arial"/>
          <w:b/>
          <w:bCs/>
          <w:lang w:val="es-MX" w:eastAsia="es-ES"/>
        </w:rPr>
      </w:pPr>
    </w:p>
    <w:p w14:paraId="2CAE7B04" w14:textId="45266D04" w:rsidR="0027173F" w:rsidRPr="0027173F" w:rsidRDefault="0027173F" w:rsidP="0027173F">
      <w:pPr>
        <w:spacing w:after="120" w:line="276" w:lineRule="auto"/>
        <w:jc w:val="both"/>
        <w:rPr>
          <w:rFonts w:ascii="Verdana" w:eastAsia="Arial" w:hAnsi="Verdana" w:cs="Arial"/>
          <w:sz w:val="20"/>
          <w:szCs w:val="20"/>
          <w:lang w:val="es-ES" w:eastAsia="es-ES" w:bidi="es-ES"/>
        </w:rPr>
      </w:pPr>
      <w:r w:rsidRPr="0027173F">
        <w:rPr>
          <w:rFonts w:ascii="Verdana" w:eastAsia="Calibri" w:hAnsi="Verdana" w:cs="Arial"/>
          <w:sz w:val="20"/>
          <w:szCs w:val="20"/>
        </w:rPr>
        <w:t xml:space="preserve">el </w:t>
      </w:r>
      <w:r w:rsidRPr="0027173F">
        <w:rPr>
          <w:rFonts w:ascii="Verdana" w:eastAsia="Calibri" w:hAnsi="Verdana" w:cs="Arial"/>
          <w:i/>
          <w:iCs/>
          <w:sz w:val="20"/>
          <w:szCs w:val="20"/>
        </w:rPr>
        <w:t>artículo 33 de la Ley 996 de 2005</w:t>
      </w:r>
      <w:r w:rsidRPr="0027173F">
        <w:rPr>
          <w:rFonts w:ascii="Verdana" w:eastAsia="Calibri" w:hAnsi="Verdana" w:cs="Arial"/>
          <w:sz w:val="20"/>
          <w:szCs w:val="20"/>
        </w:rPr>
        <w:t xml:space="preserve"> prohíbe “(…) la contratación directa por parte de todos los entes del Estado (…)”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 (…)”</w:t>
      </w:r>
      <w:r>
        <w:rPr>
          <w:rFonts w:ascii="Verdana" w:eastAsia="Calibri" w:hAnsi="Verdana" w:cs="Arial"/>
          <w:sz w:val="20"/>
          <w:szCs w:val="20"/>
          <w:vertAlign w:val="superscript"/>
        </w:rPr>
        <w:t>.</w:t>
      </w:r>
    </w:p>
    <w:p w14:paraId="43C39931" w14:textId="77777777" w:rsidR="00EE0007" w:rsidRPr="0027173F" w:rsidRDefault="00EE0007" w:rsidP="00EE0007">
      <w:pPr>
        <w:spacing w:after="0"/>
        <w:rPr>
          <w:sz w:val="20"/>
          <w:szCs w:val="20"/>
        </w:rPr>
      </w:pPr>
    </w:p>
    <w:p w14:paraId="326948D9" w14:textId="52141124" w:rsidR="00EE0007" w:rsidRPr="0027173F" w:rsidRDefault="00EE0007" w:rsidP="00EE0007">
      <w:pPr>
        <w:spacing w:after="0"/>
        <w:rPr>
          <w:rFonts w:ascii="Verdana" w:eastAsia="Calibri" w:hAnsi="Verdana" w:cs="Arial"/>
          <w:noProof/>
          <w:sz w:val="20"/>
          <w:szCs w:val="20"/>
          <w:lang w:val="es-ES" w:eastAsia="es-ES"/>
        </w:rPr>
      </w:pPr>
      <w:r w:rsidRPr="0027173F">
        <w:rPr>
          <w:sz w:val="20"/>
          <w:szCs w:val="20"/>
        </w:rPr>
        <w:lastRenderedPageBreak/>
        <w:t xml:space="preserve">                                                                                                                                 </w:t>
      </w:r>
    </w:p>
    <w:p w14:paraId="58B7AC2F" w14:textId="77777777" w:rsidR="009E768E" w:rsidRPr="0027173F" w:rsidRDefault="009E768E" w:rsidP="00EE0007">
      <w:pPr>
        <w:spacing w:after="0" w:line="240" w:lineRule="auto"/>
        <w:rPr>
          <w:rFonts w:ascii="Verdana" w:eastAsia="Verdana" w:hAnsi="Verdana" w:cs="Verdana"/>
          <w:sz w:val="20"/>
          <w:szCs w:val="20"/>
        </w:rPr>
      </w:pPr>
    </w:p>
    <w:p w14:paraId="63080EA2" w14:textId="77777777" w:rsidR="0027173F" w:rsidRPr="001B6F37" w:rsidRDefault="003158C3" w:rsidP="003158C3">
      <w:pPr>
        <w:tabs>
          <w:tab w:val="left" w:pos="6983"/>
        </w:tabs>
        <w:spacing w:after="0" w:line="240" w:lineRule="auto"/>
        <w:ind w:left="5664"/>
        <w:rPr>
          <w:rFonts w:ascii="Verdana" w:eastAsia="Verdana" w:hAnsi="Verdana" w:cs="Verdana"/>
          <w:b/>
          <w:bCs/>
          <w:sz w:val="20"/>
          <w:szCs w:val="20"/>
        </w:rPr>
      </w:pPr>
      <w:r w:rsidRPr="001B6F37">
        <w:rPr>
          <w:rFonts w:ascii="Verdana" w:eastAsia="Verdana" w:hAnsi="Verdana" w:cs="Verdana"/>
          <w:b/>
          <w:bCs/>
          <w:sz w:val="20"/>
          <w:szCs w:val="20"/>
        </w:rPr>
        <w:tab/>
        <w:t xml:space="preserve">  </w:t>
      </w:r>
    </w:p>
    <w:p w14:paraId="25317ABE" w14:textId="1C185333" w:rsidR="0027173F" w:rsidRPr="001B6F37" w:rsidRDefault="005203E9" w:rsidP="005203E9">
      <w:pPr>
        <w:tabs>
          <w:tab w:val="left" w:pos="6983"/>
        </w:tabs>
        <w:spacing w:after="0" w:line="240" w:lineRule="auto"/>
        <w:rPr>
          <w:rFonts w:ascii="Verdana" w:eastAsia="Verdana" w:hAnsi="Verdana" w:cs="Verdana"/>
          <w:b/>
          <w:bCs/>
        </w:rPr>
      </w:pPr>
      <w:r w:rsidRPr="001B6F37">
        <w:rPr>
          <w:rFonts w:ascii="Verdana" w:eastAsia="Aptos" w:hAnsi="Verdana" w:cs="Arial"/>
          <w:b/>
          <w:bCs/>
          <w:lang w:val="es-MX" w:eastAsia="es-ES"/>
        </w:rPr>
        <w:t>LEY DE GARANTÍAS ELECTORALES – Excepciones</w:t>
      </w:r>
    </w:p>
    <w:p w14:paraId="5B1111EC" w14:textId="77777777" w:rsidR="0027173F" w:rsidRPr="001B6F37" w:rsidRDefault="0027173F" w:rsidP="003158C3">
      <w:pPr>
        <w:tabs>
          <w:tab w:val="left" w:pos="6983"/>
        </w:tabs>
        <w:spacing w:after="0" w:line="240" w:lineRule="auto"/>
        <w:ind w:left="5664"/>
        <w:rPr>
          <w:rFonts w:ascii="Verdana" w:eastAsia="Verdana" w:hAnsi="Verdana" w:cs="Verdana"/>
          <w:sz w:val="20"/>
          <w:szCs w:val="20"/>
        </w:rPr>
      </w:pPr>
    </w:p>
    <w:p w14:paraId="061CEA31" w14:textId="5CDE296F" w:rsidR="001B6F37" w:rsidRPr="001B6F37" w:rsidRDefault="001B6F37" w:rsidP="001B6F37">
      <w:pPr>
        <w:spacing w:after="120" w:line="276" w:lineRule="auto"/>
        <w:jc w:val="both"/>
        <w:rPr>
          <w:rFonts w:ascii="Verdana" w:eastAsia="Arial" w:hAnsi="Verdana" w:cs="Arial"/>
          <w:sz w:val="20"/>
          <w:szCs w:val="20"/>
          <w:lang w:val="es-ES" w:eastAsia="es-ES" w:bidi="es-ES"/>
        </w:rPr>
      </w:pPr>
      <w:r w:rsidRPr="001B6F37">
        <w:rPr>
          <w:rFonts w:ascii="Verdana" w:eastAsia="Arial" w:hAnsi="Verdana" w:cs="Arial"/>
          <w:sz w:val="20"/>
          <w:szCs w:val="20"/>
          <w:lang w:val="es-ES" w:eastAsia="es-ES" w:bidi="es-ES"/>
        </w:rPr>
        <w:t xml:space="preserve">la Ley 996 de 2005 establece dos (2) tipos de restricciones en materia de contratación, las cuales coinciden parcialmente. </w:t>
      </w:r>
      <w:r w:rsidRPr="001B6F37">
        <w:rPr>
          <w:rFonts w:ascii="Verdana" w:eastAsia="Arial" w:hAnsi="Verdana" w:cs="Arial"/>
          <w:i/>
          <w:iCs/>
          <w:sz w:val="20"/>
          <w:szCs w:val="20"/>
          <w:lang w:val="es-ES" w:eastAsia="es-ES" w:bidi="es-ES"/>
        </w:rPr>
        <w:t>En primer lugar</w:t>
      </w:r>
      <w:r w:rsidRPr="001B6F37">
        <w:rPr>
          <w:rFonts w:ascii="Verdana" w:eastAsia="Arial" w:hAnsi="Verdana" w:cs="Arial"/>
          <w:sz w:val="20"/>
          <w:szCs w:val="20"/>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p>
    <w:p w14:paraId="1E510902" w14:textId="77777777" w:rsidR="001B6F37" w:rsidRPr="001B6F37" w:rsidRDefault="001B6F37" w:rsidP="001B6F37">
      <w:pPr>
        <w:spacing w:after="120" w:line="276" w:lineRule="auto"/>
        <w:jc w:val="both"/>
        <w:rPr>
          <w:rFonts w:ascii="Verdana" w:eastAsia="Arial" w:hAnsi="Verdana" w:cs="Arial"/>
          <w:sz w:val="20"/>
          <w:szCs w:val="20"/>
          <w:lang w:val="es-ES" w:eastAsia="es-ES" w:bidi="es-ES"/>
        </w:rPr>
      </w:pPr>
      <w:r w:rsidRPr="001B6F37">
        <w:rPr>
          <w:rFonts w:ascii="Verdana" w:eastAsia="Arial" w:hAnsi="Verdana" w:cs="Arial"/>
          <w:i/>
          <w:iCs/>
          <w:sz w:val="20"/>
          <w:szCs w:val="20"/>
          <w:lang w:val="es-ES" w:eastAsia="es-ES" w:bidi="es-ES"/>
        </w:rPr>
        <w:t>En segundo lugar</w:t>
      </w:r>
      <w:r w:rsidRPr="001B6F37">
        <w:rPr>
          <w:rFonts w:ascii="Verdana" w:eastAsia="Arial" w:hAnsi="Verdana" w:cs="Arial"/>
          <w:sz w:val="20"/>
          <w:szCs w:val="20"/>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25D355D7" w14:textId="77777777" w:rsidR="001B6F37" w:rsidRPr="001B6F37" w:rsidRDefault="001B6F37" w:rsidP="001B6F37">
      <w:pPr>
        <w:spacing w:after="120" w:line="276" w:lineRule="auto"/>
        <w:jc w:val="both"/>
        <w:rPr>
          <w:rFonts w:ascii="Verdana" w:eastAsia="Arial" w:hAnsi="Verdana" w:cs="Arial"/>
          <w:sz w:val="20"/>
          <w:szCs w:val="20"/>
          <w:lang w:val="es-ES" w:eastAsia="es-ES" w:bidi="es-ES"/>
        </w:rPr>
      </w:pPr>
      <w:r w:rsidRPr="001B6F37">
        <w:rPr>
          <w:rFonts w:ascii="Verdana" w:eastAsia="Arial" w:hAnsi="Verdana" w:cs="Arial"/>
          <w:sz w:val="20"/>
          <w:szCs w:val="20"/>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09E9E28C" w14:textId="77777777" w:rsidR="0027173F" w:rsidRDefault="0027173F" w:rsidP="00B83BCA">
      <w:pPr>
        <w:tabs>
          <w:tab w:val="left" w:pos="6983"/>
        </w:tabs>
        <w:spacing w:after="0" w:line="240" w:lineRule="auto"/>
        <w:rPr>
          <w:rFonts w:ascii="Verdana" w:eastAsia="Verdana" w:hAnsi="Verdana" w:cs="Verdana"/>
        </w:rPr>
      </w:pPr>
    </w:p>
    <w:p w14:paraId="08DD05F6" w14:textId="21EB68BF" w:rsidR="0027173F" w:rsidRPr="00DD53F0" w:rsidRDefault="7B15B7DC" w:rsidP="2A96A91A">
      <w:pPr>
        <w:tabs>
          <w:tab w:val="left" w:pos="6983"/>
        </w:tabs>
        <w:spacing w:after="0" w:line="240" w:lineRule="auto"/>
        <w:jc w:val="both"/>
        <w:rPr>
          <w:rFonts w:ascii="Verdana" w:eastAsia="Verdana" w:hAnsi="Verdana" w:cs="Verdana"/>
        </w:rPr>
      </w:pPr>
      <w:r w:rsidRPr="2A96A91A">
        <w:rPr>
          <w:rFonts w:ascii="Verdana" w:eastAsia="Times New Roman" w:hAnsi="Verdana" w:cs="Arial"/>
          <w:b/>
          <w:bCs/>
          <w:color w:val="000000" w:themeColor="text1"/>
          <w:lang w:val="es-ES"/>
        </w:rPr>
        <w:t>LEY DE GARANTÍAS ELECTORALES – Destinatarios - Entidades sanitarias y hospitalarias</w:t>
      </w:r>
    </w:p>
    <w:p w14:paraId="7384B5C1" w14:textId="77777777" w:rsidR="00B83BCA" w:rsidRDefault="00B83BCA" w:rsidP="00B83BCA">
      <w:pPr>
        <w:tabs>
          <w:tab w:val="left" w:pos="6983"/>
        </w:tabs>
        <w:spacing w:after="0" w:line="240" w:lineRule="auto"/>
        <w:jc w:val="both"/>
        <w:rPr>
          <w:rFonts w:ascii="Verdana" w:eastAsia="Times New Roman" w:hAnsi="Verdana" w:cs="Arial"/>
          <w:lang w:val="es-MX"/>
        </w:rPr>
      </w:pPr>
      <w:r w:rsidRPr="00E25E93">
        <w:rPr>
          <w:rFonts w:ascii="Verdana" w:eastAsia="Times New Roman" w:hAnsi="Verdana" w:cs="Arial"/>
          <w:lang w:val="es-MX"/>
        </w:rPr>
        <w:t xml:space="preserve"> </w:t>
      </w:r>
    </w:p>
    <w:p w14:paraId="36B11728" w14:textId="37989479" w:rsidR="0027173F" w:rsidRPr="00B83BCA" w:rsidRDefault="00B83BCA" w:rsidP="00B83BCA">
      <w:pPr>
        <w:tabs>
          <w:tab w:val="left" w:pos="6983"/>
        </w:tabs>
        <w:spacing w:after="0" w:line="240" w:lineRule="auto"/>
        <w:jc w:val="both"/>
        <w:rPr>
          <w:rFonts w:ascii="Verdana" w:eastAsia="Verdana" w:hAnsi="Verdana" w:cs="Verdana"/>
          <w:b/>
          <w:bCs/>
          <w:sz w:val="20"/>
          <w:szCs w:val="20"/>
        </w:rPr>
      </w:pPr>
      <w:r w:rsidRPr="00B83BCA">
        <w:rPr>
          <w:rFonts w:ascii="Verdana" w:eastAsia="Times New Roman" w:hAnsi="Verdana" w:cs="Arial"/>
          <w:sz w:val="20"/>
          <w:szCs w:val="20"/>
          <w:lang w:val="es-MX"/>
        </w:rPr>
        <w:t xml:space="preserve">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w:t>
      </w:r>
      <w:proofErr w:type="spellStart"/>
      <w:r w:rsidRPr="00B83BCA">
        <w:rPr>
          <w:rFonts w:ascii="Verdana" w:eastAsia="Times New Roman" w:hAnsi="Verdana" w:cs="Arial"/>
          <w:sz w:val="20"/>
          <w:szCs w:val="20"/>
          <w:lang w:val="es-MX"/>
        </w:rPr>
        <w:t>ii</w:t>
      </w:r>
      <w:proofErr w:type="spellEnd"/>
      <w:r w:rsidRPr="00B83BCA">
        <w:rPr>
          <w:rFonts w:ascii="Verdana" w:eastAsia="Times New Roman" w:hAnsi="Verdana" w:cs="Arial"/>
          <w:sz w:val="20"/>
          <w:szCs w:val="20"/>
          <w:lang w:val="es-MX"/>
        </w:rPr>
        <w:t xml:space="preserve">) los contratos de crédito público; </w:t>
      </w:r>
      <w:proofErr w:type="spellStart"/>
      <w:r w:rsidRPr="00B83BCA">
        <w:rPr>
          <w:rFonts w:ascii="Verdana" w:eastAsia="Times New Roman" w:hAnsi="Verdana" w:cs="Arial"/>
          <w:sz w:val="20"/>
          <w:szCs w:val="20"/>
          <w:lang w:val="es-MX"/>
        </w:rPr>
        <w:t>iii</w:t>
      </w:r>
      <w:proofErr w:type="spellEnd"/>
      <w:r w:rsidRPr="00B83BCA">
        <w:rPr>
          <w:rFonts w:ascii="Verdana" w:eastAsia="Times New Roman" w:hAnsi="Verdana" w:cs="Arial"/>
          <w:sz w:val="20"/>
          <w:szCs w:val="20"/>
          <w:lang w:val="es-MX"/>
        </w:rPr>
        <w:t xml:space="preserve">) los requeridos para cubrir las emergencias educativas, sanitarias y desastres; </w:t>
      </w:r>
      <w:proofErr w:type="spellStart"/>
      <w:r w:rsidRPr="00B83BCA">
        <w:rPr>
          <w:rFonts w:ascii="Verdana" w:eastAsia="Times New Roman" w:hAnsi="Verdana" w:cs="Arial"/>
          <w:sz w:val="20"/>
          <w:szCs w:val="20"/>
          <w:lang w:val="es-MX"/>
        </w:rPr>
        <w:t>iv</w:t>
      </w:r>
      <w:proofErr w:type="spellEnd"/>
      <w:r w:rsidRPr="00B83BCA">
        <w:rPr>
          <w:rFonts w:ascii="Verdana" w:eastAsia="Times New Roman" w:hAnsi="Verdana" w:cs="Arial"/>
          <w:sz w:val="20"/>
          <w:szCs w:val="20"/>
          <w:lang w:val="es-MX"/>
        </w:rPr>
        <w:t xml:space="preserve">) los utilizados para la reconstrucción de vías, puentes, carreteras, infraestructura energética y de comunicaciones, en caso de que hayan sido objeto de atentados, acciones terroristas, desastres naturales o casos de fuerza mayor; y, v) </w:t>
      </w:r>
      <w:r w:rsidRPr="00B83BCA">
        <w:rPr>
          <w:rFonts w:ascii="Verdana" w:eastAsia="Times New Roman" w:hAnsi="Verdana" w:cs="Arial"/>
          <w:i/>
          <w:sz w:val="20"/>
          <w:szCs w:val="20"/>
          <w:lang w:val="es-MX"/>
        </w:rPr>
        <w:t>los que deban realizar las entidades sanitarias y hospitalarias.</w:t>
      </w:r>
    </w:p>
    <w:p w14:paraId="1377274B" w14:textId="77777777" w:rsidR="0027173F" w:rsidRDefault="0027173F" w:rsidP="003158C3">
      <w:pPr>
        <w:tabs>
          <w:tab w:val="left" w:pos="6983"/>
        </w:tabs>
        <w:spacing w:after="0" w:line="240" w:lineRule="auto"/>
        <w:ind w:left="5664"/>
        <w:rPr>
          <w:rFonts w:ascii="Verdana" w:eastAsia="Verdana" w:hAnsi="Verdana" w:cs="Verdana"/>
        </w:rPr>
      </w:pPr>
    </w:p>
    <w:p w14:paraId="59FB9811" w14:textId="77777777" w:rsidR="0027173F" w:rsidRDefault="0027173F" w:rsidP="003158C3">
      <w:pPr>
        <w:tabs>
          <w:tab w:val="left" w:pos="6983"/>
        </w:tabs>
        <w:spacing w:after="0" w:line="240" w:lineRule="auto"/>
        <w:ind w:left="5664"/>
        <w:rPr>
          <w:rFonts w:ascii="Verdana" w:eastAsia="Verdana" w:hAnsi="Verdana" w:cs="Verdana"/>
        </w:rPr>
      </w:pPr>
    </w:p>
    <w:p w14:paraId="0954B10E" w14:textId="77777777" w:rsidR="0027173F" w:rsidRDefault="0027173F" w:rsidP="003158C3">
      <w:pPr>
        <w:tabs>
          <w:tab w:val="left" w:pos="6983"/>
        </w:tabs>
        <w:spacing w:after="0" w:line="240" w:lineRule="auto"/>
        <w:ind w:left="5664"/>
        <w:rPr>
          <w:rFonts w:ascii="Verdana" w:eastAsia="Verdana" w:hAnsi="Verdana" w:cs="Verdana"/>
        </w:rPr>
      </w:pPr>
    </w:p>
    <w:p w14:paraId="0CF623F8" w14:textId="10A6D166" w:rsidR="0027173F" w:rsidRPr="00E219B9" w:rsidRDefault="00E219B9" w:rsidP="00E219B9">
      <w:pPr>
        <w:tabs>
          <w:tab w:val="left" w:pos="6983"/>
        </w:tabs>
        <w:spacing w:after="0" w:line="240" w:lineRule="auto"/>
        <w:rPr>
          <w:rFonts w:ascii="Verdana" w:eastAsia="Verdana" w:hAnsi="Verdana" w:cs="Verdana"/>
          <w:b/>
          <w:bCs/>
        </w:rPr>
      </w:pPr>
      <w:r w:rsidRPr="00E219B9">
        <w:rPr>
          <w:rFonts w:ascii="Verdana" w:eastAsia="Aptos" w:hAnsi="Verdana" w:cs="Arial"/>
          <w:b/>
          <w:bCs/>
          <w:lang w:val="es-MX" w:eastAsia="es-ES_tradnl"/>
        </w:rPr>
        <w:t>CONVENIOS INTERADMINISTRATIVOS</w:t>
      </w:r>
    </w:p>
    <w:p w14:paraId="483C5E58" w14:textId="77777777" w:rsidR="00E219B9" w:rsidRDefault="00E219B9" w:rsidP="00E219B9">
      <w:pPr>
        <w:spacing w:after="120" w:line="276" w:lineRule="auto"/>
        <w:jc w:val="both"/>
        <w:rPr>
          <w:rFonts w:ascii="Verdana" w:eastAsia="Times New Roman" w:hAnsi="Verdana" w:cs="Arial"/>
          <w:lang w:val="es-MX" w:eastAsia="es-CO"/>
        </w:rPr>
      </w:pPr>
    </w:p>
    <w:p w14:paraId="15016FE7" w14:textId="69143B85" w:rsidR="00E219B9" w:rsidRPr="00E219B9" w:rsidRDefault="00E219B9" w:rsidP="00E219B9">
      <w:pPr>
        <w:spacing w:after="120" w:line="276" w:lineRule="auto"/>
        <w:jc w:val="both"/>
        <w:rPr>
          <w:rFonts w:ascii="Verdana" w:eastAsia="Times New Roman" w:hAnsi="Verdana" w:cs="Arial"/>
          <w:sz w:val="20"/>
          <w:szCs w:val="20"/>
          <w:lang w:eastAsia="es-CO"/>
        </w:rPr>
      </w:pPr>
      <w:r w:rsidRPr="00E219B9">
        <w:rPr>
          <w:rFonts w:ascii="Verdana" w:eastAsia="Times New Roman" w:hAnsi="Verdana" w:cs="Arial"/>
          <w:sz w:val="20"/>
          <w:szCs w:val="20"/>
          <w:lang w:val="es-MX" w:eastAsia="es-CO"/>
        </w:rPr>
        <w:t xml:space="preserve">Respecto del alcance de esta prohibición la Circular Externa No. 006 de 2025 expedida por la ANCP -CCE, en los literales </w:t>
      </w:r>
      <w:proofErr w:type="spellStart"/>
      <w:r w:rsidRPr="00E219B9">
        <w:rPr>
          <w:rFonts w:ascii="Verdana" w:eastAsia="Times New Roman" w:hAnsi="Verdana" w:cs="Arial"/>
          <w:sz w:val="20"/>
          <w:szCs w:val="20"/>
          <w:lang w:val="es-MX" w:eastAsia="es-CO"/>
        </w:rPr>
        <w:t>ii</w:t>
      </w:r>
      <w:proofErr w:type="spellEnd"/>
      <w:r w:rsidRPr="00E219B9">
        <w:rPr>
          <w:rFonts w:ascii="Verdana" w:eastAsia="Times New Roman" w:hAnsi="Verdana" w:cs="Arial"/>
          <w:sz w:val="20"/>
          <w:szCs w:val="20"/>
          <w:lang w:val="es-MX" w:eastAsia="es-CO"/>
        </w:rPr>
        <w:t xml:space="preserve">) y </w:t>
      </w:r>
      <w:proofErr w:type="spellStart"/>
      <w:r w:rsidRPr="00E219B9">
        <w:rPr>
          <w:rFonts w:ascii="Verdana" w:eastAsia="Times New Roman" w:hAnsi="Verdana" w:cs="Arial"/>
          <w:sz w:val="20"/>
          <w:szCs w:val="20"/>
          <w:lang w:val="es-MX" w:eastAsia="es-CO"/>
        </w:rPr>
        <w:t>iv</w:t>
      </w:r>
      <w:proofErr w:type="spellEnd"/>
      <w:r w:rsidRPr="00E219B9">
        <w:rPr>
          <w:rFonts w:ascii="Verdana" w:eastAsia="Times New Roman" w:hAnsi="Verdana" w:cs="Arial"/>
          <w:sz w:val="20"/>
          <w:szCs w:val="20"/>
          <w:lang w:val="es-MX" w:eastAsia="es-CO"/>
        </w:rPr>
        <w:t>) del numeral 2</w:t>
      </w:r>
      <w:r w:rsidRPr="00E219B9">
        <w:rPr>
          <w:rFonts w:ascii="Verdana" w:eastAsia="Times New Roman" w:hAnsi="Verdana" w:cs="Arial"/>
          <w:sz w:val="20"/>
          <w:szCs w:val="20"/>
          <w:lang w:eastAsia="es-CO"/>
        </w:rPr>
        <w:t>,</w:t>
      </w:r>
      <w:r w:rsidRPr="00E219B9">
        <w:rPr>
          <w:rFonts w:ascii="Verdana" w:eastAsia="Times New Roman" w:hAnsi="Verdana" w:cs="Arial"/>
          <w:sz w:val="20"/>
          <w:szCs w:val="20"/>
          <w:lang w:val="es-MX" w:eastAsia="es-CO"/>
        </w:rPr>
        <w:t xml:space="preserve"> indica que el </w:t>
      </w:r>
      <w:r w:rsidRPr="00E219B9">
        <w:rPr>
          <w:rFonts w:ascii="Verdana" w:eastAsia="Times New Roman" w:hAnsi="Verdana" w:cs="Arial"/>
          <w:sz w:val="20"/>
          <w:szCs w:val="20"/>
          <w:lang w:eastAsia="es-CO"/>
        </w:rPr>
        <w:t xml:space="preserve">parágrafo del artículo 38 de la Ley 996 de 2005 cobija expresamente a los </w:t>
      </w:r>
      <w:r w:rsidRPr="00E219B9">
        <w:rPr>
          <w:rFonts w:ascii="Verdana" w:eastAsia="Times New Roman" w:hAnsi="Verdana" w:cs="Arial"/>
          <w:i/>
          <w:iCs/>
          <w:sz w:val="20"/>
          <w:szCs w:val="20"/>
          <w:lang w:eastAsia="es-CO"/>
        </w:rPr>
        <w:t>convenios interadministrativos</w:t>
      </w:r>
      <w:r w:rsidRPr="00E219B9">
        <w:rPr>
          <w:rFonts w:ascii="Verdana" w:eastAsia="Times New Roman" w:hAnsi="Verdana" w:cs="Arial"/>
          <w:sz w:val="20"/>
          <w:szCs w:val="20"/>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E219B9">
        <w:rPr>
          <w:rFonts w:ascii="Verdana" w:eastAsia="Times New Roman" w:hAnsi="Verdana" w:cs="Arial"/>
          <w:i/>
          <w:iCs/>
          <w:sz w:val="20"/>
          <w:szCs w:val="20"/>
          <w:lang w:eastAsia="es-CO"/>
        </w:rPr>
        <w:t>“aunque se configure alguno de los supuestos de excepción que señaló el inciso final del artículo 33”.</w:t>
      </w:r>
      <w:r w:rsidRPr="00E219B9">
        <w:rPr>
          <w:rFonts w:ascii="Verdana" w:eastAsia="Times New Roman" w:hAnsi="Verdana" w:cs="Arial"/>
          <w:sz w:val="20"/>
          <w:szCs w:val="20"/>
          <w:lang w:eastAsia="es-CO"/>
        </w:rPr>
        <w:t xml:space="preserve"> </w:t>
      </w:r>
    </w:p>
    <w:p w14:paraId="732EAFDB" w14:textId="77777777" w:rsidR="00E219B9" w:rsidRPr="00E219B9" w:rsidRDefault="00E219B9" w:rsidP="00E219B9">
      <w:pPr>
        <w:spacing w:after="120" w:line="276" w:lineRule="auto"/>
        <w:jc w:val="both"/>
        <w:rPr>
          <w:rFonts w:ascii="Verdana" w:eastAsia="Times New Roman" w:hAnsi="Verdana" w:cs="Arial"/>
          <w:sz w:val="20"/>
          <w:szCs w:val="20"/>
          <w:lang w:eastAsia="es-CO"/>
        </w:rPr>
      </w:pPr>
      <w:r w:rsidRPr="00E219B9">
        <w:rPr>
          <w:rFonts w:ascii="Verdana" w:eastAsia="Times New Roman" w:hAnsi="Verdana" w:cs="Arial"/>
          <w:sz w:val="20"/>
          <w:szCs w:val="20"/>
          <w:lang w:eastAsia="es-CO"/>
        </w:rPr>
        <w:t xml:space="preserve">Sin embargo, es importante tener en cuenta que el ámbito de aplicación de la restricción prevista en el parágrafo del artículo 38 de la Ley 996 de 2005 solo se extiende a los </w:t>
      </w:r>
      <w:r w:rsidRPr="00E219B9">
        <w:rPr>
          <w:rFonts w:ascii="Verdana" w:eastAsia="Times New Roman" w:hAnsi="Verdana" w:cs="Arial"/>
          <w:i/>
          <w:iCs/>
          <w:sz w:val="20"/>
          <w:szCs w:val="20"/>
          <w:lang w:eastAsia="es-CO"/>
        </w:rPr>
        <w:t>convenios interadministrativos</w:t>
      </w:r>
      <w:r w:rsidRPr="00E219B9">
        <w:rPr>
          <w:rFonts w:ascii="Verdana" w:eastAsia="Times New Roman" w:hAnsi="Verdana" w:cs="Arial"/>
          <w:sz w:val="20"/>
          <w:szCs w:val="20"/>
          <w:lang w:eastAsia="es-CO"/>
        </w:rPr>
        <w:t xml:space="preserve"> en los que se contemple la </w:t>
      </w:r>
      <w:r w:rsidRPr="00E219B9">
        <w:rPr>
          <w:rFonts w:ascii="Verdana" w:eastAsia="Times New Roman" w:hAnsi="Verdana" w:cs="Arial"/>
          <w:i/>
          <w:iCs/>
          <w:sz w:val="20"/>
          <w:szCs w:val="20"/>
          <w:lang w:eastAsia="es-CO"/>
        </w:rPr>
        <w:t>ejecución de recursos públicos</w:t>
      </w:r>
      <w:r w:rsidRPr="00E219B9">
        <w:rPr>
          <w:rFonts w:ascii="Verdana" w:eastAsia="Times New Roman" w:hAnsi="Verdana" w:cs="Arial"/>
          <w:sz w:val="20"/>
          <w:szCs w:val="20"/>
          <w:lang w:eastAsia="es-CO"/>
        </w:rPr>
        <w:t xml:space="preserve">. Esto significa que la prohibición no resulta aplicable a </w:t>
      </w:r>
      <w:r w:rsidRPr="00E219B9">
        <w:rPr>
          <w:rFonts w:ascii="Verdana" w:eastAsia="Times New Roman" w:hAnsi="Verdana" w:cs="Arial"/>
          <w:i/>
          <w:iCs/>
          <w:sz w:val="20"/>
          <w:szCs w:val="20"/>
          <w:lang w:eastAsia="es-CO"/>
        </w:rPr>
        <w:t>convenios interadministrativos a título gratuito,</w:t>
      </w:r>
      <w:r w:rsidRPr="00E219B9">
        <w:rPr>
          <w:rFonts w:ascii="Verdana" w:eastAsia="Times New Roman" w:hAnsi="Verdana" w:cs="Arial"/>
          <w:sz w:val="20"/>
          <w:szCs w:val="20"/>
          <w:lang w:eastAsia="es-CO"/>
        </w:rPr>
        <w:t xml:space="preserve"> los cuales pueden celebrarse válidamente durante la vigencia de la mencionada restricción. </w:t>
      </w:r>
    </w:p>
    <w:p w14:paraId="6462FF81" w14:textId="77777777" w:rsidR="0027173F" w:rsidRPr="00E219B9" w:rsidRDefault="0027173F" w:rsidP="003158C3">
      <w:pPr>
        <w:tabs>
          <w:tab w:val="left" w:pos="6983"/>
        </w:tabs>
        <w:spacing w:after="0" w:line="240" w:lineRule="auto"/>
        <w:ind w:left="5664"/>
        <w:rPr>
          <w:rFonts w:ascii="Verdana" w:eastAsia="Verdana" w:hAnsi="Verdana" w:cs="Verdana"/>
          <w:sz w:val="20"/>
          <w:szCs w:val="20"/>
        </w:rPr>
      </w:pPr>
    </w:p>
    <w:p w14:paraId="38F4DDF9" w14:textId="77777777" w:rsidR="005203E9" w:rsidRPr="00E219B9" w:rsidRDefault="005203E9" w:rsidP="003158C3">
      <w:pPr>
        <w:tabs>
          <w:tab w:val="left" w:pos="6983"/>
        </w:tabs>
        <w:spacing w:after="0" w:line="240" w:lineRule="auto"/>
        <w:ind w:left="5664"/>
        <w:rPr>
          <w:rFonts w:ascii="Verdana" w:eastAsia="Verdana" w:hAnsi="Verdana" w:cs="Verdana"/>
          <w:sz w:val="20"/>
          <w:szCs w:val="20"/>
        </w:rPr>
      </w:pPr>
    </w:p>
    <w:p w14:paraId="51E0D1CE" w14:textId="77777777" w:rsidR="005203E9" w:rsidRDefault="005203E9" w:rsidP="003158C3">
      <w:pPr>
        <w:tabs>
          <w:tab w:val="left" w:pos="6983"/>
        </w:tabs>
        <w:spacing w:after="0" w:line="240" w:lineRule="auto"/>
        <w:ind w:left="5664"/>
        <w:rPr>
          <w:rFonts w:ascii="Verdana" w:eastAsia="Verdana" w:hAnsi="Verdana" w:cs="Verdana"/>
        </w:rPr>
      </w:pPr>
    </w:p>
    <w:p w14:paraId="2BD03C83" w14:textId="77777777" w:rsidR="005203E9" w:rsidRDefault="005203E9" w:rsidP="003158C3">
      <w:pPr>
        <w:tabs>
          <w:tab w:val="left" w:pos="6983"/>
        </w:tabs>
        <w:spacing w:after="0" w:line="240" w:lineRule="auto"/>
        <w:ind w:left="5664"/>
        <w:rPr>
          <w:rFonts w:ascii="Verdana" w:eastAsia="Verdana" w:hAnsi="Verdana" w:cs="Verdana"/>
        </w:rPr>
      </w:pPr>
    </w:p>
    <w:p w14:paraId="2A59ADCA" w14:textId="77777777" w:rsidR="005203E9" w:rsidRDefault="005203E9" w:rsidP="003158C3">
      <w:pPr>
        <w:tabs>
          <w:tab w:val="left" w:pos="6983"/>
        </w:tabs>
        <w:spacing w:after="0" w:line="240" w:lineRule="auto"/>
        <w:ind w:left="5664"/>
        <w:rPr>
          <w:rFonts w:ascii="Verdana" w:eastAsia="Verdana" w:hAnsi="Verdana" w:cs="Verdana"/>
        </w:rPr>
      </w:pPr>
    </w:p>
    <w:p w14:paraId="638AAD48" w14:textId="77777777" w:rsidR="005203E9" w:rsidRDefault="005203E9" w:rsidP="003158C3">
      <w:pPr>
        <w:tabs>
          <w:tab w:val="left" w:pos="6983"/>
        </w:tabs>
        <w:spacing w:after="0" w:line="240" w:lineRule="auto"/>
        <w:ind w:left="5664"/>
        <w:rPr>
          <w:rFonts w:ascii="Verdana" w:eastAsia="Verdana" w:hAnsi="Verdana" w:cs="Verdana"/>
        </w:rPr>
      </w:pPr>
    </w:p>
    <w:p w14:paraId="130BC380" w14:textId="77777777" w:rsidR="005203E9" w:rsidRDefault="005203E9" w:rsidP="003158C3">
      <w:pPr>
        <w:tabs>
          <w:tab w:val="left" w:pos="6983"/>
        </w:tabs>
        <w:spacing w:after="0" w:line="240" w:lineRule="auto"/>
        <w:ind w:left="5664"/>
        <w:rPr>
          <w:rFonts w:ascii="Verdana" w:eastAsia="Verdana" w:hAnsi="Verdana" w:cs="Verdana"/>
        </w:rPr>
      </w:pPr>
    </w:p>
    <w:p w14:paraId="51829EF1" w14:textId="77777777" w:rsidR="005203E9" w:rsidRDefault="005203E9" w:rsidP="003158C3">
      <w:pPr>
        <w:tabs>
          <w:tab w:val="left" w:pos="6983"/>
        </w:tabs>
        <w:spacing w:after="0" w:line="240" w:lineRule="auto"/>
        <w:ind w:left="5664"/>
        <w:rPr>
          <w:rFonts w:ascii="Verdana" w:eastAsia="Verdana" w:hAnsi="Verdana" w:cs="Verdana"/>
        </w:rPr>
      </w:pPr>
    </w:p>
    <w:p w14:paraId="0F08EAEB" w14:textId="77777777" w:rsidR="005203E9" w:rsidRDefault="005203E9" w:rsidP="003158C3">
      <w:pPr>
        <w:tabs>
          <w:tab w:val="left" w:pos="6983"/>
        </w:tabs>
        <w:spacing w:after="0" w:line="240" w:lineRule="auto"/>
        <w:ind w:left="5664"/>
        <w:rPr>
          <w:rFonts w:ascii="Verdana" w:eastAsia="Verdana" w:hAnsi="Verdana" w:cs="Verdana"/>
        </w:rPr>
      </w:pPr>
    </w:p>
    <w:p w14:paraId="1420EF55" w14:textId="77777777" w:rsidR="005203E9" w:rsidRDefault="005203E9" w:rsidP="003158C3">
      <w:pPr>
        <w:tabs>
          <w:tab w:val="left" w:pos="6983"/>
        </w:tabs>
        <w:spacing w:after="0" w:line="240" w:lineRule="auto"/>
        <w:ind w:left="5664"/>
        <w:rPr>
          <w:rFonts w:ascii="Verdana" w:eastAsia="Verdana" w:hAnsi="Verdana" w:cs="Verdana"/>
        </w:rPr>
      </w:pPr>
    </w:p>
    <w:p w14:paraId="27F39AFE" w14:textId="77777777" w:rsidR="005203E9" w:rsidRDefault="005203E9" w:rsidP="003158C3">
      <w:pPr>
        <w:tabs>
          <w:tab w:val="left" w:pos="6983"/>
        </w:tabs>
        <w:spacing w:after="0" w:line="240" w:lineRule="auto"/>
        <w:ind w:left="5664"/>
        <w:rPr>
          <w:rFonts w:ascii="Verdana" w:eastAsia="Verdana" w:hAnsi="Verdana" w:cs="Verdana"/>
        </w:rPr>
      </w:pPr>
    </w:p>
    <w:p w14:paraId="2653AC74" w14:textId="77777777" w:rsidR="005203E9" w:rsidRDefault="005203E9" w:rsidP="003158C3">
      <w:pPr>
        <w:tabs>
          <w:tab w:val="left" w:pos="6983"/>
        </w:tabs>
        <w:spacing w:after="0" w:line="240" w:lineRule="auto"/>
        <w:ind w:left="5664"/>
        <w:rPr>
          <w:rFonts w:ascii="Verdana" w:eastAsia="Verdana" w:hAnsi="Verdana" w:cs="Verdana"/>
        </w:rPr>
      </w:pPr>
    </w:p>
    <w:p w14:paraId="208A4D4B" w14:textId="77777777" w:rsidR="005203E9" w:rsidRDefault="005203E9" w:rsidP="003158C3">
      <w:pPr>
        <w:tabs>
          <w:tab w:val="left" w:pos="6983"/>
        </w:tabs>
        <w:spacing w:after="0" w:line="240" w:lineRule="auto"/>
        <w:ind w:left="5664"/>
        <w:rPr>
          <w:rFonts w:ascii="Verdana" w:eastAsia="Verdana" w:hAnsi="Verdana" w:cs="Verdana"/>
        </w:rPr>
      </w:pPr>
    </w:p>
    <w:p w14:paraId="1D5713F2" w14:textId="77777777" w:rsidR="005203E9" w:rsidRDefault="005203E9" w:rsidP="003158C3">
      <w:pPr>
        <w:tabs>
          <w:tab w:val="left" w:pos="6983"/>
        </w:tabs>
        <w:spacing w:after="0" w:line="240" w:lineRule="auto"/>
        <w:ind w:left="5664"/>
        <w:rPr>
          <w:rFonts w:ascii="Verdana" w:eastAsia="Verdana" w:hAnsi="Verdana" w:cs="Verdana"/>
        </w:rPr>
      </w:pPr>
    </w:p>
    <w:p w14:paraId="447DBFC1" w14:textId="77777777" w:rsidR="005203E9" w:rsidRDefault="005203E9" w:rsidP="003158C3">
      <w:pPr>
        <w:tabs>
          <w:tab w:val="left" w:pos="6983"/>
        </w:tabs>
        <w:spacing w:after="0" w:line="240" w:lineRule="auto"/>
        <w:ind w:left="5664"/>
        <w:rPr>
          <w:rFonts w:ascii="Verdana" w:eastAsia="Verdana" w:hAnsi="Verdana" w:cs="Verdana"/>
        </w:rPr>
      </w:pPr>
    </w:p>
    <w:p w14:paraId="47FE4579" w14:textId="77777777" w:rsidR="005203E9" w:rsidRDefault="005203E9" w:rsidP="003158C3">
      <w:pPr>
        <w:tabs>
          <w:tab w:val="left" w:pos="6983"/>
        </w:tabs>
        <w:spacing w:after="0" w:line="240" w:lineRule="auto"/>
        <w:ind w:left="5664"/>
        <w:rPr>
          <w:rFonts w:ascii="Verdana" w:eastAsia="Verdana" w:hAnsi="Verdana" w:cs="Verdana"/>
        </w:rPr>
      </w:pPr>
    </w:p>
    <w:p w14:paraId="46A8DDC9" w14:textId="77777777" w:rsidR="005203E9" w:rsidRDefault="005203E9" w:rsidP="003158C3">
      <w:pPr>
        <w:tabs>
          <w:tab w:val="left" w:pos="6983"/>
        </w:tabs>
        <w:spacing w:after="0" w:line="240" w:lineRule="auto"/>
        <w:ind w:left="5664"/>
        <w:rPr>
          <w:rFonts w:ascii="Verdana" w:eastAsia="Verdana" w:hAnsi="Verdana" w:cs="Verdana"/>
        </w:rPr>
      </w:pPr>
    </w:p>
    <w:p w14:paraId="6EEA44D7" w14:textId="77777777" w:rsidR="005203E9" w:rsidRDefault="005203E9" w:rsidP="003158C3">
      <w:pPr>
        <w:tabs>
          <w:tab w:val="left" w:pos="6983"/>
        </w:tabs>
        <w:spacing w:after="0" w:line="240" w:lineRule="auto"/>
        <w:ind w:left="5664"/>
        <w:rPr>
          <w:rFonts w:ascii="Verdana" w:eastAsia="Verdana" w:hAnsi="Verdana" w:cs="Verdana"/>
        </w:rPr>
      </w:pPr>
    </w:p>
    <w:p w14:paraId="030D6D60" w14:textId="77777777" w:rsidR="00E21AD3" w:rsidRDefault="00E21AD3" w:rsidP="003158C3">
      <w:pPr>
        <w:tabs>
          <w:tab w:val="left" w:pos="6983"/>
        </w:tabs>
        <w:spacing w:after="0" w:line="240" w:lineRule="auto"/>
        <w:ind w:left="5664"/>
        <w:rPr>
          <w:rFonts w:ascii="Verdana" w:eastAsia="Verdana" w:hAnsi="Verdana" w:cs="Verdana"/>
        </w:rPr>
      </w:pPr>
    </w:p>
    <w:p w14:paraId="1CF66D54" w14:textId="77777777" w:rsidR="00E21AD3" w:rsidRDefault="00E21AD3" w:rsidP="003158C3">
      <w:pPr>
        <w:tabs>
          <w:tab w:val="left" w:pos="6983"/>
        </w:tabs>
        <w:spacing w:after="0" w:line="240" w:lineRule="auto"/>
        <w:ind w:left="5664"/>
        <w:rPr>
          <w:rFonts w:ascii="Verdana" w:eastAsia="Verdana" w:hAnsi="Verdana" w:cs="Verdana"/>
        </w:rPr>
      </w:pPr>
    </w:p>
    <w:p w14:paraId="32D10016" w14:textId="77777777" w:rsidR="00E21AD3" w:rsidRDefault="00E21AD3" w:rsidP="003158C3">
      <w:pPr>
        <w:tabs>
          <w:tab w:val="left" w:pos="6983"/>
        </w:tabs>
        <w:spacing w:after="0" w:line="240" w:lineRule="auto"/>
        <w:ind w:left="5664"/>
        <w:rPr>
          <w:rFonts w:ascii="Verdana" w:eastAsia="Verdana" w:hAnsi="Verdana" w:cs="Verdana"/>
        </w:rPr>
      </w:pPr>
    </w:p>
    <w:p w14:paraId="733C4683" w14:textId="77777777" w:rsidR="005203E9" w:rsidRDefault="005203E9" w:rsidP="003158C3">
      <w:pPr>
        <w:tabs>
          <w:tab w:val="left" w:pos="6983"/>
        </w:tabs>
        <w:spacing w:after="0" w:line="240" w:lineRule="auto"/>
        <w:ind w:left="5664"/>
        <w:rPr>
          <w:rFonts w:ascii="Verdana" w:eastAsia="Verdana" w:hAnsi="Verdana" w:cs="Verdana"/>
        </w:rPr>
      </w:pPr>
    </w:p>
    <w:p w14:paraId="2802ADB8" w14:textId="77777777" w:rsidR="0027173F" w:rsidRDefault="0027173F" w:rsidP="003158C3">
      <w:pPr>
        <w:tabs>
          <w:tab w:val="left" w:pos="6983"/>
        </w:tabs>
        <w:spacing w:after="0" w:line="240" w:lineRule="auto"/>
        <w:ind w:left="5664"/>
        <w:rPr>
          <w:rFonts w:ascii="Verdana" w:eastAsia="Verdana" w:hAnsi="Verdana" w:cs="Verdana"/>
        </w:rPr>
      </w:pPr>
    </w:p>
    <w:p w14:paraId="02FC4413" w14:textId="61703088" w:rsidR="003158C3" w:rsidRDefault="003158C3" w:rsidP="003158C3">
      <w:pPr>
        <w:tabs>
          <w:tab w:val="left" w:pos="6983"/>
        </w:tabs>
        <w:spacing w:after="0" w:line="240" w:lineRule="auto"/>
        <w:ind w:left="5664"/>
        <w:rPr>
          <w:rFonts w:ascii="Verdana" w:eastAsia="Verdana" w:hAnsi="Verdana" w:cs="Verdana"/>
        </w:rPr>
      </w:pPr>
      <w:r w:rsidRPr="003158C3">
        <w:rPr>
          <w:rFonts w:ascii="Verdana" w:eastAsia="Verdana" w:hAnsi="Verdana" w:cs="Verdana"/>
          <w:noProof/>
        </w:rPr>
        <w:lastRenderedPageBreak/>
        <w:drawing>
          <wp:inline distT="0" distB="0" distL="0" distR="0" wp14:anchorId="1F65C448" wp14:editId="3E8C627C">
            <wp:extent cx="2035834" cy="562745"/>
            <wp:effectExtent l="0" t="0" r="2540" b="8890"/>
            <wp:docPr id="1394367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9094" cy="569175"/>
                    </a:xfrm>
                    <a:prstGeom prst="rect">
                      <a:avLst/>
                    </a:prstGeom>
                    <a:noFill/>
                    <a:ln>
                      <a:noFill/>
                    </a:ln>
                  </pic:spPr>
                </pic:pic>
              </a:graphicData>
            </a:graphic>
          </wp:inline>
        </w:drawing>
      </w:r>
    </w:p>
    <w:p w14:paraId="0C1C83E7" w14:textId="03B8EE2D" w:rsidR="00EE0007" w:rsidRDefault="009E768E" w:rsidP="00EE0007">
      <w:pPr>
        <w:spacing w:after="0" w:line="240" w:lineRule="auto"/>
        <w:rPr>
          <w:rFonts w:ascii="Verdana" w:eastAsia="Calibri" w:hAnsi="Verdana" w:cs="Arial"/>
          <w:lang w:val="es-ES" w:eastAsia="es-ES"/>
        </w:rPr>
      </w:pPr>
      <w:r w:rsidRPr="0083693D">
        <w:rPr>
          <w:rFonts w:ascii="Verdana" w:eastAsia="Verdana" w:hAnsi="Verdana" w:cs="Verdana"/>
        </w:rPr>
        <w:t>Bogotá D.C., 2</w:t>
      </w:r>
      <w:r w:rsidR="006114BA">
        <w:rPr>
          <w:rFonts w:ascii="Verdana" w:eastAsia="Verdana" w:hAnsi="Verdana" w:cs="Verdana"/>
        </w:rPr>
        <w:t>6</w:t>
      </w:r>
      <w:r w:rsidRPr="0083693D">
        <w:rPr>
          <w:rFonts w:ascii="Verdana" w:eastAsia="Verdana" w:hAnsi="Verdana" w:cs="Verdana"/>
        </w:rPr>
        <w:t xml:space="preserve"> </w:t>
      </w:r>
      <w:r>
        <w:rPr>
          <w:rFonts w:ascii="Verdana" w:eastAsia="Verdana" w:hAnsi="Verdana" w:cs="Verdana"/>
        </w:rPr>
        <w:t>Mayo</w:t>
      </w:r>
      <w:r w:rsidRPr="0083693D">
        <w:rPr>
          <w:rFonts w:ascii="Verdana" w:eastAsia="Verdana" w:hAnsi="Verdana" w:cs="Verdana"/>
        </w:rPr>
        <w:t xml:space="preserve"> 2026</w:t>
      </w:r>
      <w:r>
        <w:rPr>
          <w:rFonts w:ascii="Verdana" w:eastAsia="Verdana" w:hAnsi="Verdana" w:cs="Verdana"/>
        </w:rPr>
        <w:t xml:space="preserve">                                                                   </w:t>
      </w:r>
      <w:r w:rsidRPr="003F1883">
        <w:rPr>
          <w:rFonts w:ascii="Verdana" w:eastAsia="Calibri" w:hAnsi="Verdana" w:cs="Arial"/>
          <w:noProof/>
          <w:lang w:val="es-ES" w:eastAsia="es-ES"/>
        </w:rPr>
        <w:t xml:space="preserve"> </w:t>
      </w:r>
      <w:r>
        <w:rPr>
          <w:rFonts w:ascii="Verdana" w:eastAsia="Calibri" w:hAnsi="Verdana" w:cs="Arial"/>
          <w:noProof/>
          <w:lang w:val="es-ES" w:eastAsia="es-ES"/>
        </w:rPr>
        <w:t xml:space="preserve">           </w:t>
      </w:r>
    </w:p>
    <w:p w14:paraId="2162CC28" w14:textId="77777777" w:rsidR="009E768E" w:rsidRDefault="009E768E" w:rsidP="00EE0007">
      <w:pPr>
        <w:spacing w:after="0" w:line="240" w:lineRule="auto"/>
        <w:rPr>
          <w:rFonts w:ascii="Verdana" w:eastAsia="Calibri" w:hAnsi="Verdana" w:cs="Arial"/>
          <w:lang w:val="es-ES" w:eastAsia="es-ES"/>
        </w:rPr>
      </w:pPr>
    </w:p>
    <w:p w14:paraId="3CFCEAF1" w14:textId="77777777" w:rsidR="00EE0007" w:rsidRDefault="00EE0007" w:rsidP="00EE0007">
      <w:pPr>
        <w:spacing w:after="0" w:line="240" w:lineRule="auto"/>
        <w:rPr>
          <w:rFonts w:ascii="Verdana" w:eastAsia="Calibri" w:hAnsi="Verdana" w:cs="Arial"/>
          <w:lang w:val="es-ES" w:eastAsia="es-ES"/>
        </w:rPr>
      </w:pPr>
      <w:r w:rsidRPr="00801A0F">
        <w:rPr>
          <w:rFonts w:ascii="Verdana" w:eastAsia="Calibri" w:hAnsi="Verdana" w:cs="Arial"/>
          <w:lang w:val="es-ES" w:eastAsia="es-ES"/>
        </w:rPr>
        <w:t>Señor</w:t>
      </w:r>
    </w:p>
    <w:p w14:paraId="4DCDF7F7" w14:textId="77777777" w:rsidR="00EE0007" w:rsidRDefault="00EE0007" w:rsidP="00EE0007">
      <w:pPr>
        <w:spacing w:after="0" w:line="240" w:lineRule="auto"/>
        <w:rPr>
          <w:rFonts w:ascii="Verdana" w:eastAsia="Calibri" w:hAnsi="Verdana" w:cs="Arial"/>
          <w:b/>
          <w:bCs/>
          <w:lang w:val="es-ES" w:eastAsia="es-ES"/>
        </w:rPr>
      </w:pPr>
      <w:r w:rsidRPr="00C70500">
        <w:rPr>
          <w:rFonts w:ascii="Verdana" w:eastAsia="Calibri" w:hAnsi="Verdana" w:cs="Arial"/>
          <w:b/>
          <w:bCs/>
          <w:lang w:val="es-ES" w:eastAsia="es-ES"/>
        </w:rPr>
        <w:t>John Robinson Hernández Beltran</w:t>
      </w:r>
    </w:p>
    <w:p w14:paraId="71AEA574" w14:textId="77777777" w:rsidR="00EE0007" w:rsidRPr="002970BD" w:rsidRDefault="00EE0007" w:rsidP="00EE0007">
      <w:pPr>
        <w:spacing w:after="0" w:line="240" w:lineRule="auto"/>
        <w:rPr>
          <w:rFonts w:ascii="Verdana" w:eastAsia="Calibri" w:hAnsi="Verdana" w:cs="Arial"/>
          <w:lang w:val="es-ES" w:eastAsia="es-ES"/>
        </w:rPr>
      </w:pPr>
      <w:r w:rsidRPr="002970BD">
        <w:rPr>
          <w:rFonts w:ascii="Verdana" w:eastAsia="Calibri" w:hAnsi="Verdana" w:cs="Arial"/>
          <w:lang w:val="es-ES" w:eastAsia="es-ES"/>
        </w:rPr>
        <w:t>secsalud@vichada.gov.co</w:t>
      </w:r>
    </w:p>
    <w:p w14:paraId="540E5477" w14:textId="77777777" w:rsidR="00EE0007" w:rsidRPr="00657042" w:rsidRDefault="00EE0007" w:rsidP="00EE0007">
      <w:pPr>
        <w:spacing w:after="0" w:line="240" w:lineRule="auto"/>
        <w:rPr>
          <w:rFonts w:ascii="Verdana" w:eastAsia="Times New Roman" w:hAnsi="Verdana" w:cs="Calibri"/>
          <w:lang w:eastAsia="es-CO"/>
        </w:rPr>
      </w:pPr>
      <w:r w:rsidRPr="002970BD">
        <w:rPr>
          <w:rFonts w:ascii="Verdana" w:eastAsia="Times New Roman" w:hAnsi="Verdana" w:cs="Calibri"/>
          <w:lang w:eastAsia="es-CO"/>
        </w:rPr>
        <w:t>P</w:t>
      </w:r>
      <w:r>
        <w:rPr>
          <w:rFonts w:ascii="Verdana" w:eastAsia="Times New Roman" w:hAnsi="Verdana" w:cs="Calibri"/>
          <w:lang w:eastAsia="es-CO"/>
        </w:rPr>
        <w:t>uerto</w:t>
      </w:r>
      <w:r w:rsidRPr="002970BD">
        <w:rPr>
          <w:rFonts w:ascii="Verdana" w:eastAsia="Times New Roman" w:hAnsi="Verdana" w:cs="Calibri"/>
          <w:lang w:eastAsia="es-CO"/>
        </w:rPr>
        <w:t xml:space="preserve"> C</w:t>
      </w:r>
      <w:r>
        <w:rPr>
          <w:rFonts w:ascii="Verdana" w:eastAsia="Times New Roman" w:hAnsi="Verdana" w:cs="Calibri"/>
          <w:lang w:eastAsia="es-CO"/>
        </w:rPr>
        <w:t>arreño-Vichada</w:t>
      </w:r>
    </w:p>
    <w:p w14:paraId="44CB46DA" w14:textId="77777777" w:rsidR="00EE0007" w:rsidRPr="006209EF" w:rsidRDefault="00EE0007" w:rsidP="00EE0007">
      <w:pPr>
        <w:spacing w:after="0"/>
        <w:rPr>
          <w:rFonts w:ascii="Verdana" w:eastAsia="Calibri" w:hAnsi="Verdana" w:cs="Arial"/>
          <w:color w:val="ED7D31" w:themeColor="accent2"/>
          <w:lang w:val="es-MX" w:eastAsia="es-ES"/>
        </w:rPr>
      </w:pPr>
    </w:p>
    <w:p w14:paraId="4569E912" w14:textId="77777777" w:rsidR="00EE0007" w:rsidRPr="006733BD" w:rsidRDefault="00EE0007" w:rsidP="00EE0007">
      <w:pPr>
        <w:spacing w:after="0" w:line="240" w:lineRule="auto"/>
        <w:rPr>
          <w:rFonts w:ascii="Verdana" w:eastAsia="Calibri" w:hAnsi="Verdana" w:cs="Arial"/>
          <w:b/>
          <w:bCs/>
          <w:color w:val="ED7D31" w:themeColor="accent2"/>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EE0007" w:rsidRPr="006733BD" w14:paraId="4AE9CDEE" w14:textId="77777777" w:rsidTr="00A14C88">
        <w:trPr>
          <w:trHeight w:val="300"/>
        </w:trPr>
        <w:tc>
          <w:tcPr>
            <w:tcW w:w="2410" w:type="dxa"/>
          </w:tcPr>
          <w:p w14:paraId="0B1F2325" w14:textId="77777777" w:rsidR="00EE0007" w:rsidRDefault="00EE0007" w:rsidP="00A14C88">
            <w:pPr>
              <w:ind w:left="-142"/>
              <w:jc w:val="both"/>
              <w:rPr>
                <w:rFonts w:ascii="Verdana" w:eastAsia="Calibri" w:hAnsi="Verdana" w:cs="Arial"/>
                <w:b/>
                <w:bCs/>
                <w:lang w:val="es-ES" w:eastAsia="es-ES_tradnl"/>
              </w:rPr>
            </w:pPr>
          </w:p>
          <w:p w14:paraId="4494007B" w14:textId="77777777" w:rsidR="00EE0007" w:rsidRPr="00A54BCB" w:rsidRDefault="00EE0007" w:rsidP="00A14C88">
            <w:pPr>
              <w:ind w:left="-142"/>
              <w:jc w:val="both"/>
              <w:rPr>
                <w:rFonts w:ascii="Verdana" w:eastAsia="Calibri" w:hAnsi="Verdana" w:cs="Arial"/>
                <w:b/>
                <w:bCs/>
                <w:lang w:val="es-ES" w:eastAsia="es-ES_tradnl"/>
              </w:rPr>
            </w:pPr>
          </w:p>
        </w:tc>
        <w:tc>
          <w:tcPr>
            <w:tcW w:w="6100" w:type="dxa"/>
          </w:tcPr>
          <w:p w14:paraId="7CE357CE" w14:textId="4BEDFE11" w:rsidR="00EE0007" w:rsidRPr="00A54BCB" w:rsidRDefault="00EE0007" w:rsidP="00A14C88">
            <w:pPr>
              <w:ind w:left="3"/>
              <w:jc w:val="both"/>
              <w:rPr>
                <w:rFonts w:ascii="Verdana" w:eastAsia="Calibri" w:hAnsi="Verdana" w:cs="Arial"/>
                <w:b/>
                <w:bCs/>
                <w:lang w:val="es-ES" w:eastAsia="es-ES"/>
              </w:rPr>
            </w:pPr>
            <w:r w:rsidRPr="00A54BCB">
              <w:rPr>
                <w:rFonts w:ascii="Verdana" w:eastAsia="Calibri" w:hAnsi="Verdana" w:cs="Arial"/>
                <w:b/>
                <w:bCs/>
                <w:lang w:val="es-ES" w:eastAsia="es-ES"/>
              </w:rPr>
              <w:t>Concepto C-</w:t>
            </w:r>
            <w:r w:rsidR="004425EF">
              <w:rPr>
                <w:rFonts w:ascii="Verdana" w:eastAsia="Calibri" w:hAnsi="Verdana" w:cs="Arial"/>
                <w:b/>
                <w:bCs/>
                <w:lang w:val="es-ES" w:eastAsia="es-ES"/>
              </w:rPr>
              <w:t xml:space="preserve">616 </w:t>
            </w:r>
            <w:r w:rsidRPr="00A54BCB">
              <w:rPr>
                <w:rFonts w:ascii="Verdana" w:eastAsia="Calibri" w:hAnsi="Verdana" w:cs="Arial"/>
                <w:b/>
                <w:bCs/>
                <w:lang w:val="es-ES" w:eastAsia="es-ES"/>
              </w:rPr>
              <w:t>de 202</w:t>
            </w:r>
            <w:r>
              <w:rPr>
                <w:rFonts w:ascii="Verdana" w:eastAsia="Calibri" w:hAnsi="Verdana" w:cs="Arial"/>
                <w:b/>
                <w:bCs/>
                <w:lang w:val="es-ES" w:eastAsia="es-ES"/>
              </w:rPr>
              <w:t>6</w:t>
            </w:r>
          </w:p>
          <w:p w14:paraId="38AC73F8" w14:textId="77777777" w:rsidR="00EE0007" w:rsidRPr="00305400" w:rsidRDefault="00EE0007" w:rsidP="00A14C88">
            <w:pPr>
              <w:ind w:left="3"/>
              <w:jc w:val="both"/>
              <w:rPr>
                <w:rFonts w:ascii="Verdana" w:eastAsia="Calibri" w:hAnsi="Verdana" w:cs="Arial"/>
                <w:b/>
                <w:bCs/>
                <w:lang w:eastAsia="es-ES"/>
              </w:rPr>
            </w:pPr>
          </w:p>
        </w:tc>
      </w:tr>
      <w:tr w:rsidR="00EE0007" w:rsidRPr="006733BD" w14:paraId="5640CC99" w14:textId="77777777" w:rsidTr="00A14C88">
        <w:trPr>
          <w:trHeight w:val="300"/>
        </w:trPr>
        <w:tc>
          <w:tcPr>
            <w:tcW w:w="2410" w:type="dxa"/>
          </w:tcPr>
          <w:p w14:paraId="068DFF54" w14:textId="77777777" w:rsidR="00EE0007" w:rsidRPr="006733BD" w:rsidRDefault="00EE0007" w:rsidP="00A14C88">
            <w:pPr>
              <w:ind w:left="424" w:firstLine="142"/>
              <w:jc w:val="both"/>
              <w:rPr>
                <w:rFonts w:ascii="Verdana" w:eastAsia="Calibri" w:hAnsi="Verdana" w:cs="Arial"/>
                <w:color w:val="ED7D31" w:themeColor="accent2"/>
                <w:lang w:val="es-ES" w:eastAsia="es-ES_tradnl"/>
              </w:rPr>
            </w:pPr>
            <w:r w:rsidRPr="00A54BCB">
              <w:rPr>
                <w:rFonts w:ascii="Verdana" w:eastAsia="Calibri" w:hAnsi="Verdana" w:cs="Arial"/>
                <w:b/>
                <w:lang w:val="es-ES" w:eastAsia="es-ES_tradnl"/>
              </w:rPr>
              <w:t>Temas:</w:t>
            </w:r>
            <w:r w:rsidRPr="006733BD">
              <w:rPr>
                <w:rFonts w:ascii="Verdana" w:eastAsia="Calibri" w:hAnsi="Verdana" w:cs="Arial"/>
                <w:color w:val="ED7D31" w:themeColor="accent2"/>
                <w:lang w:val="es-ES" w:eastAsia="es-ES_tradnl"/>
              </w:rPr>
              <w:t xml:space="preserve">                  </w:t>
            </w:r>
          </w:p>
        </w:tc>
        <w:tc>
          <w:tcPr>
            <w:tcW w:w="6100" w:type="dxa"/>
          </w:tcPr>
          <w:p w14:paraId="1088E128" w14:textId="77777777" w:rsidR="00EE0007" w:rsidRPr="008D79BB" w:rsidRDefault="00EE0007" w:rsidP="00A14C88">
            <w:pPr>
              <w:spacing w:line="276" w:lineRule="auto"/>
              <w:jc w:val="both"/>
              <w:rPr>
                <w:rFonts w:ascii="Verdana" w:eastAsia="Calibri" w:hAnsi="Verdana" w:cs="Arial"/>
                <w:lang w:eastAsia="es-ES"/>
              </w:rPr>
            </w:pPr>
            <w:r w:rsidRPr="00343E12">
              <w:rPr>
                <w:rFonts w:ascii="Verdana" w:eastAsia="Aptos" w:hAnsi="Verdana" w:cs="Arial"/>
                <w:lang w:val="es-MX" w:eastAsia="es-ES"/>
              </w:rPr>
              <w:t xml:space="preserve">LEY DE GARANTÍAS ELECTORALES ‒ Finalidad / LEY DE GARANTÍAS ELECTORALES ‒ Tipos de restricciones ‒ Ámbito temporal – Celebración - Límite / LEY DE GARANTÍAS ELECTORALES – Prohibición – Artículo 33 – Contratación directa – Alcance / LEY DE GARANTÍAS ELECTORALES – Excepciones / </w:t>
            </w:r>
            <w:r w:rsidRPr="00343E12">
              <w:rPr>
                <w:rFonts w:ascii="Verdana" w:eastAsia="Times New Roman" w:hAnsi="Verdana" w:cs="Arial"/>
                <w:color w:val="000000"/>
                <w:lang w:val="es-ES"/>
              </w:rPr>
              <w:t xml:space="preserve">LEY DE GARANTÍAS ELECTORALES – Destinatarios - Entidades sanitarias y hospitalarias / </w:t>
            </w:r>
            <w:r w:rsidRPr="00343E12">
              <w:rPr>
                <w:rFonts w:ascii="Verdana" w:eastAsia="Aptos" w:hAnsi="Verdana" w:cs="Arial"/>
                <w:lang w:val="es-MX" w:eastAsia="es-ES_tradnl"/>
              </w:rPr>
              <w:t xml:space="preserve">CONVENIOS INTERADMINISTRATIVOS </w:t>
            </w:r>
          </w:p>
          <w:p w14:paraId="6E327260" w14:textId="77777777" w:rsidR="00EE0007" w:rsidRPr="00305400" w:rsidRDefault="00EE0007" w:rsidP="00A14C88">
            <w:pPr>
              <w:tabs>
                <w:tab w:val="left" w:pos="3374"/>
              </w:tabs>
              <w:jc w:val="both"/>
              <w:rPr>
                <w:rFonts w:ascii="Verdana" w:eastAsia="Calibri" w:hAnsi="Verdana" w:cs="Arial"/>
                <w:lang w:eastAsia="es-ES"/>
              </w:rPr>
            </w:pPr>
          </w:p>
          <w:p w14:paraId="205ACB95" w14:textId="77777777" w:rsidR="00EE0007" w:rsidRPr="008F679F" w:rsidRDefault="00EE0007" w:rsidP="00A14C88">
            <w:pPr>
              <w:tabs>
                <w:tab w:val="left" w:pos="3374"/>
              </w:tabs>
              <w:jc w:val="both"/>
              <w:rPr>
                <w:rFonts w:ascii="Verdana" w:eastAsia="Calibri" w:hAnsi="Verdana" w:cs="Arial"/>
                <w:color w:val="ED7D31" w:themeColor="accent2"/>
                <w:lang w:val="es-ES"/>
              </w:rPr>
            </w:pPr>
          </w:p>
        </w:tc>
      </w:tr>
      <w:tr w:rsidR="00EE0007" w:rsidRPr="00C5490E" w14:paraId="417C8F04" w14:textId="77777777" w:rsidTr="00A14C88">
        <w:tc>
          <w:tcPr>
            <w:tcW w:w="2410" w:type="dxa"/>
          </w:tcPr>
          <w:p w14:paraId="0EF5EFA3" w14:textId="77777777" w:rsidR="00EE0007" w:rsidRPr="006733BD" w:rsidRDefault="00EE0007" w:rsidP="00A14C88">
            <w:pPr>
              <w:ind w:left="561"/>
              <w:jc w:val="both"/>
              <w:rPr>
                <w:rFonts w:ascii="Verdana" w:eastAsia="Calibri" w:hAnsi="Verdana" w:cs="Arial"/>
                <w:b/>
                <w:color w:val="ED7D31" w:themeColor="accent2"/>
                <w:lang w:val="es-ES" w:eastAsia="es-ES_tradnl"/>
              </w:rPr>
            </w:pPr>
            <w:r w:rsidRPr="00A54BCB">
              <w:rPr>
                <w:rFonts w:ascii="Verdana" w:eastAsia="Calibri" w:hAnsi="Verdana" w:cs="Arial"/>
                <w:b/>
                <w:lang w:val="es-ES" w:eastAsia="es-ES_tradnl"/>
              </w:rPr>
              <w:t>Radicación:</w:t>
            </w:r>
            <w:r w:rsidRPr="00A54BCB">
              <w:rPr>
                <w:rFonts w:ascii="Verdana" w:eastAsia="Calibri" w:hAnsi="Verdana" w:cs="Arial"/>
                <w:lang w:val="es-ES" w:eastAsia="es-ES_tradnl"/>
              </w:rPr>
              <w:t xml:space="preserve">   </w:t>
            </w:r>
            <w:r w:rsidRPr="006733BD">
              <w:rPr>
                <w:rFonts w:ascii="Verdana" w:eastAsia="Calibri" w:hAnsi="Verdana" w:cs="Arial"/>
                <w:color w:val="ED7D31" w:themeColor="accent2"/>
                <w:lang w:val="es-ES" w:eastAsia="es-ES_tradnl"/>
              </w:rPr>
              <w:t xml:space="preserve">           </w:t>
            </w:r>
          </w:p>
        </w:tc>
        <w:tc>
          <w:tcPr>
            <w:tcW w:w="6100" w:type="dxa"/>
          </w:tcPr>
          <w:p w14:paraId="0BF702D4" w14:textId="77777777" w:rsidR="00EE0007" w:rsidRPr="0086757D" w:rsidRDefault="00EE0007" w:rsidP="00A14C88">
            <w:pPr>
              <w:ind w:left="3"/>
              <w:jc w:val="both"/>
              <w:rPr>
                <w:rFonts w:ascii="Verdana" w:hAnsi="Verdana"/>
                <w:lang w:val="es-ES"/>
              </w:rPr>
            </w:pPr>
            <w:r w:rsidRPr="00C5490E">
              <w:rPr>
                <w:rFonts w:ascii="Verdana" w:eastAsia="Calibri" w:hAnsi="Verdana" w:cs="Arial"/>
                <w:lang w:val="es-ES" w:eastAsia="es-ES"/>
              </w:rPr>
              <w:t>Respuesta a consulta con radicado No.</w:t>
            </w:r>
            <w:r>
              <w:rPr>
                <w:rFonts w:ascii="Verdana" w:eastAsia="Calibri" w:hAnsi="Verdana" w:cs="Arial"/>
                <w:lang w:val="es-ES" w:eastAsia="es-ES"/>
              </w:rPr>
              <w:t xml:space="preserve"> </w:t>
            </w:r>
            <w:r>
              <w:rPr>
                <w:rFonts w:ascii="Verdana" w:hAnsi="Verdana" w:cs="Calibri"/>
                <w:color w:val="000000"/>
              </w:rPr>
              <w:t>1_2026_04_14_005086</w:t>
            </w:r>
          </w:p>
          <w:p w14:paraId="1E3444DA" w14:textId="77777777" w:rsidR="00EE0007" w:rsidRPr="00972B2F" w:rsidRDefault="00EE0007" w:rsidP="00A14C88">
            <w:pPr>
              <w:ind w:left="3"/>
              <w:jc w:val="both"/>
              <w:rPr>
                <w:rFonts w:ascii="Verdana" w:hAnsi="Verdana"/>
                <w:lang w:val="es-ES"/>
              </w:rPr>
            </w:pPr>
          </w:p>
          <w:p w14:paraId="56421DC2" w14:textId="77777777" w:rsidR="00EE0007" w:rsidRPr="00C5490E" w:rsidRDefault="00EE0007" w:rsidP="00A14C88">
            <w:pPr>
              <w:ind w:left="3"/>
              <w:jc w:val="both"/>
              <w:rPr>
                <w:rFonts w:ascii="Verdana" w:hAnsi="Verdana"/>
                <w:lang w:val="es-ES"/>
              </w:rPr>
            </w:pPr>
          </w:p>
        </w:tc>
      </w:tr>
    </w:tbl>
    <w:p w14:paraId="628769BD" w14:textId="77777777" w:rsidR="00EE0007" w:rsidRPr="00C5490E" w:rsidRDefault="00EE0007" w:rsidP="00EE0007">
      <w:pPr>
        <w:spacing w:after="0" w:line="276" w:lineRule="auto"/>
        <w:jc w:val="both"/>
        <w:rPr>
          <w:rFonts w:ascii="Verdana" w:eastAsia="Calibri" w:hAnsi="Verdana" w:cs="Arial"/>
          <w:lang w:val="es-ES" w:eastAsia="es-ES"/>
        </w:rPr>
      </w:pPr>
      <w:r w:rsidRPr="00C5490E">
        <w:rPr>
          <w:rFonts w:ascii="Verdana" w:eastAsia="Calibri" w:hAnsi="Verdana" w:cs="Arial"/>
          <w:lang w:val="es-ES" w:eastAsia="es-ES"/>
        </w:rPr>
        <w:t>Estimado Señor</w:t>
      </w:r>
      <w:r>
        <w:rPr>
          <w:rFonts w:ascii="Verdana" w:eastAsia="Calibri" w:hAnsi="Verdana" w:cs="Arial"/>
          <w:lang w:val="es-ES" w:eastAsia="es-ES"/>
        </w:rPr>
        <w:t>es</w:t>
      </w:r>
      <w:r w:rsidRPr="00C5490E">
        <w:rPr>
          <w:rFonts w:ascii="Verdana" w:eastAsia="Calibri" w:hAnsi="Verdana" w:cs="Arial"/>
          <w:lang w:val="es-ES" w:eastAsia="es-ES"/>
        </w:rPr>
        <w:t>,</w:t>
      </w:r>
    </w:p>
    <w:p w14:paraId="7FF056F7" w14:textId="77777777" w:rsidR="00EE0007" w:rsidRPr="00C5490E" w:rsidRDefault="00EE0007" w:rsidP="00EE0007">
      <w:pPr>
        <w:tabs>
          <w:tab w:val="left" w:pos="3768"/>
        </w:tabs>
        <w:spacing w:after="0" w:line="276" w:lineRule="auto"/>
        <w:jc w:val="both"/>
        <w:rPr>
          <w:rFonts w:ascii="Verdana" w:eastAsia="Calibri" w:hAnsi="Verdana" w:cs="Arial"/>
          <w:lang w:val="es-ES" w:eastAsia="es-ES"/>
        </w:rPr>
      </w:pPr>
      <w:r w:rsidRPr="00C5490E">
        <w:rPr>
          <w:rFonts w:ascii="Verdana" w:eastAsia="Calibri" w:hAnsi="Verdana" w:cs="Arial"/>
          <w:lang w:val="es-ES" w:eastAsia="es-ES"/>
        </w:rPr>
        <w:tab/>
      </w:r>
    </w:p>
    <w:p w14:paraId="424543BB" w14:textId="77777777" w:rsidR="00EE0007" w:rsidRDefault="00EE0007" w:rsidP="00EE0007">
      <w:pPr>
        <w:spacing w:after="0" w:line="276" w:lineRule="auto"/>
        <w:jc w:val="both"/>
        <w:rPr>
          <w:rFonts w:ascii="Verdana" w:eastAsia="Calibri" w:hAnsi="Verdana" w:cs="Arial"/>
          <w:lang w:val="es-ES" w:eastAsia="es-ES"/>
        </w:rPr>
      </w:pPr>
      <w:r w:rsidRPr="00852F26">
        <w:rPr>
          <w:rFonts w:ascii="Verdana" w:eastAsia="Calibri" w:hAnsi="Verdana" w:cs="Arial"/>
          <w:lang w:val="es-ES" w:eastAsia="es-ES"/>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su solicitud de consulta de fecha </w:t>
      </w:r>
      <w:r>
        <w:rPr>
          <w:rFonts w:ascii="Verdana" w:eastAsia="Calibri" w:hAnsi="Verdana" w:cs="Arial"/>
          <w:lang w:val="es-ES" w:eastAsia="es-ES"/>
        </w:rPr>
        <w:t>14</w:t>
      </w:r>
      <w:r w:rsidRPr="00852F26">
        <w:rPr>
          <w:rFonts w:ascii="Verdana" w:eastAsia="Calibri" w:hAnsi="Verdana" w:cs="Arial"/>
          <w:lang w:val="es-ES" w:eastAsia="es-ES"/>
        </w:rPr>
        <w:t xml:space="preserve"> de </w:t>
      </w:r>
      <w:r>
        <w:rPr>
          <w:rFonts w:ascii="Verdana" w:eastAsia="Calibri" w:hAnsi="Verdana" w:cs="Arial"/>
          <w:lang w:val="es-ES" w:eastAsia="es-ES"/>
        </w:rPr>
        <w:t xml:space="preserve">abril </w:t>
      </w:r>
      <w:r w:rsidRPr="00852F26">
        <w:rPr>
          <w:rFonts w:ascii="Verdana" w:eastAsia="Calibri" w:hAnsi="Verdana" w:cs="Arial"/>
          <w:lang w:val="es-ES" w:eastAsia="es-ES"/>
        </w:rPr>
        <w:t>de 2026, en la cual manifiesta lo siguiente:</w:t>
      </w:r>
    </w:p>
    <w:p w14:paraId="76443C77" w14:textId="77777777" w:rsidR="00EE0007" w:rsidRDefault="00EE0007" w:rsidP="00EE0007">
      <w:pPr>
        <w:spacing w:before="120" w:after="120"/>
        <w:ind w:right="709"/>
        <w:contextualSpacing/>
        <w:jc w:val="both"/>
        <w:rPr>
          <w:rFonts w:ascii="Verdana" w:eastAsia="Calibri" w:hAnsi="Verdana" w:cs="Arial"/>
          <w:lang w:val="es-ES" w:eastAsia="es-ES"/>
        </w:rPr>
      </w:pPr>
    </w:p>
    <w:p w14:paraId="32D091C6"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r w:rsidRPr="004E1497">
        <w:rPr>
          <w:rFonts w:ascii="Verdana" w:eastAsia="Calibri" w:hAnsi="Verdana" w:cs="Arial"/>
          <w:lang w:val="es-ES" w:eastAsia="es-ES"/>
        </w:rPr>
        <w:t>“</w:t>
      </w:r>
      <w:r w:rsidRPr="00EF698D">
        <w:rPr>
          <w:rFonts w:ascii="Verdana" w:eastAsia="Calibri" w:hAnsi="Verdana" w:cs="Arial"/>
          <w:sz w:val="20"/>
          <w:szCs w:val="20"/>
          <w:lang w:val="es-ES" w:eastAsia="es-ES"/>
        </w:rPr>
        <w:t xml:space="preserve">El desarrollo de la etapa contractual, previo a la </w:t>
      </w:r>
      <w:proofErr w:type="gramStart"/>
      <w:r w:rsidRPr="00EF698D">
        <w:rPr>
          <w:rFonts w:ascii="Verdana" w:eastAsia="Calibri" w:hAnsi="Verdana" w:cs="Arial"/>
          <w:sz w:val="20"/>
          <w:szCs w:val="20"/>
          <w:lang w:val="es-ES" w:eastAsia="es-ES"/>
        </w:rPr>
        <w:t>entrada en vigencia</w:t>
      </w:r>
      <w:proofErr w:type="gramEnd"/>
      <w:r w:rsidRPr="00EF698D">
        <w:rPr>
          <w:rFonts w:ascii="Verdana" w:eastAsia="Calibri" w:hAnsi="Verdana" w:cs="Arial"/>
          <w:sz w:val="20"/>
          <w:szCs w:val="20"/>
          <w:lang w:val="es-ES" w:eastAsia="es-ES"/>
        </w:rPr>
        <w:t xml:space="preserve"> de la Ley de Garantías 2026, estuvo limitado toda vez que dos de los requisitos para los argumentos técnicos, financiero y legales no habían sido emitidos y publicados desde el nivel nacional, como lo era:</w:t>
      </w:r>
    </w:p>
    <w:p w14:paraId="06752C2E"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p>
    <w:p w14:paraId="582C8C9E"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r w:rsidRPr="00EF698D">
        <w:rPr>
          <w:rFonts w:ascii="Verdana" w:eastAsia="Calibri" w:hAnsi="Verdana" w:cs="Arial"/>
          <w:sz w:val="20"/>
          <w:szCs w:val="20"/>
          <w:lang w:val="es-ES" w:eastAsia="es-ES"/>
        </w:rPr>
        <w:lastRenderedPageBreak/>
        <w:t xml:space="preserve">1. Asignación del SGP Subsidio a la Oferta once doceavas de la vigencia actual, fueron definidas en el Documento de Distribución 108 de 2026, el 13 de febrero de 2026 distribuidos entre departamentos, municipios certificados y distritos en donde se encuentren los monopolios en servicios trazados no sostenibles, </w:t>
      </w:r>
      <w:proofErr w:type="gramStart"/>
      <w:r w:rsidRPr="00EF698D">
        <w:rPr>
          <w:rFonts w:ascii="Verdana" w:eastAsia="Calibri" w:hAnsi="Verdana" w:cs="Arial"/>
          <w:sz w:val="20"/>
          <w:szCs w:val="20"/>
          <w:lang w:val="es-ES" w:eastAsia="es-ES"/>
        </w:rPr>
        <w:t>y</w:t>
      </w:r>
      <w:proofErr w:type="gramEnd"/>
      <w:r w:rsidRPr="00EF698D">
        <w:rPr>
          <w:rFonts w:ascii="Verdana" w:eastAsia="Calibri" w:hAnsi="Verdana" w:cs="Arial"/>
          <w:sz w:val="20"/>
          <w:szCs w:val="20"/>
          <w:lang w:val="es-ES" w:eastAsia="es-ES"/>
        </w:rPr>
        <w:t xml:space="preserve"> por otro lado,</w:t>
      </w:r>
    </w:p>
    <w:p w14:paraId="401B742C"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p>
    <w:p w14:paraId="78448F9A"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r w:rsidRPr="00EF698D">
        <w:rPr>
          <w:rFonts w:ascii="Verdana" w:eastAsia="Calibri" w:hAnsi="Verdana" w:cs="Arial"/>
          <w:sz w:val="20"/>
          <w:szCs w:val="20"/>
          <w:lang w:val="es-ES" w:eastAsia="es-ES"/>
        </w:rPr>
        <w:t>2. El reporte del listado de Entidades Monopolio en servicios trazadores entre las cuales se incluye a la E.S.E. Hospital Departamental San Juan de Dios de Puerto Carreño Vichada, como única empresa social del estado con influencia en el Departamento de Vichada, fue publicado en el mes de febrero de 2026.</w:t>
      </w:r>
    </w:p>
    <w:p w14:paraId="7945FC0E" w14:textId="77777777" w:rsidR="00EE0007" w:rsidRPr="00EF698D" w:rsidRDefault="00EE0007" w:rsidP="00EE0007">
      <w:pPr>
        <w:spacing w:after="0" w:line="240" w:lineRule="auto"/>
        <w:ind w:left="737" w:right="737"/>
        <w:contextualSpacing/>
        <w:jc w:val="both"/>
        <w:rPr>
          <w:rFonts w:ascii="Verdana" w:eastAsia="Calibri" w:hAnsi="Verdana" w:cs="Arial"/>
          <w:i/>
          <w:iCs/>
          <w:sz w:val="20"/>
          <w:szCs w:val="20"/>
          <w:lang w:val="es-ES" w:eastAsia="es-ES"/>
        </w:rPr>
      </w:pPr>
    </w:p>
    <w:p w14:paraId="0CE3A1B2" w14:textId="77777777" w:rsidR="00EE0007" w:rsidRPr="00EF698D" w:rsidRDefault="00EE0007" w:rsidP="00EE0007">
      <w:pPr>
        <w:spacing w:after="0" w:line="240" w:lineRule="auto"/>
        <w:ind w:left="737" w:right="737"/>
        <w:contextualSpacing/>
        <w:jc w:val="both"/>
        <w:rPr>
          <w:rFonts w:ascii="Verdana" w:eastAsia="Calibri" w:hAnsi="Verdana" w:cs="Arial"/>
          <w:i/>
          <w:iCs/>
          <w:sz w:val="20"/>
          <w:szCs w:val="20"/>
          <w:lang w:val="es-ES" w:eastAsia="es-ES"/>
        </w:rPr>
      </w:pPr>
      <w:r w:rsidRPr="00EF698D">
        <w:rPr>
          <w:rFonts w:ascii="Verdana" w:eastAsia="Calibri" w:hAnsi="Verdana" w:cs="Arial"/>
          <w:i/>
          <w:iCs/>
          <w:sz w:val="20"/>
          <w:szCs w:val="20"/>
          <w:lang w:val="es-ES" w:eastAsia="es-ES"/>
        </w:rPr>
        <w:t>Con base en las anteriores consideraciones, nos vemos en la necesidad de solicitar orientación y reiterar esta solicitud, ya que en el marco de la normativa vigente establece que los giros de los recursos por concepto de Subsidio a la oferta, se deben realizar a través de la suscripción de convenios y/o contratos (modalidad de contratación directa de acuerdo a lo establecido en el artículo 2 de la ley 1150 de 2007 y el decreto 1082 de 2015) y que la E.S.E. Hospital Departamental San Juan de Dios es la única con influencia en el Departamento, se requiere conocer jurídica y técnicamente si en la fecha actual es posible adelantar proceso contractual, toda vez que nos encontramos frente a lo establecido en el artículo 33 de la Ley 996 de 2005:</w:t>
      </w:r>
    </w:p>
    <w:p w14:paraId="13BEDFD7"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r w:rsidRPr="00EF698D">
        <w:rPr>
          <w:rFonts w:ascii="Verdana" w:eastAsia="Calibri" w:hAnsi="Verdana" w:cs="Arial"/>
          <w:sz w:val="20"/>
          <w:szCs w:val="20"/>
          <w:lang w:val="es-ES" w:eastAsia="es-ES"/>
        </w:rPr>
        <w:t>(…)”</w:t>
      </w:r>
    </w:p>
    <w:p w14:paraId="1C9DFB19"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p>
    <w:p w14:paraId="73B6A633"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r w:rsidRPr="00EF698D">
        <w:rPr>
          <w:rFonts w:ascii="Verdana" w:eastAsia="Calibri" w:hAnsi="Verdana" w:cs="Arial"/>
          <w:sz w:val="20"/>
          <w:szCs w:val="20"/>
          <w:lang w:val="es-ES" w:eastAsia="es-ES"/>
        </w:rPr>
        <w:t>Ahora bien, sobre lo requerido por la peticionaria, es preciso indicar que este Ministerio es un organismo perteneciente a la Rama Ejecutiva del poder público, que tiene como finalidad primordial el fijar la política en materia de salud y protección social, planes generales, programas y proyectos del sector salud y del Sistema General de Seguridad Social en Salud - SGSSS, además de expedir las normas administrativas, técnicas y científicas de obligatorio cumplimiento para dicho sistema. No obstante,</w:t>
      </w:r>
    </w:p>
    <w:p w14:paraId="4112F49A" w14:textId="77777777" w:rsidR="00EE0007" w:rsidRPr="00EF698D" w:rsidRDefault="00EE0007" w:rsidP="00EE0007">
      <w:pPr>
        <w:spacing w:after="0" w:line="240" w:lineRule="auto"/>
        <w:ind w:left="737" w:right="737"/>
        <w:contextualSpacing/>
        <w:jc w:val="both"/>
        <w:rPr>
          <w:rFonts w:ascii="Verdana" w:eastAsia="Calibri" w:hAnsi="Verdana" w:cs="Arial"/>
          <w:sz w:val="20"/>
          <w:szCs w:val="20"/>
          <w:lang w:val="es-ES" w:eastAsia="es-ES"/>
        </w:rPr>
      </w:pPr>
      <w:r w:rsidRPr="00EF698D">
        <w:rPr>
          <w:rFonts w:ascii="Verdana" w:eastAsia="Calibri" w:hAnsi="Verdana" w:cs="Arial"/>
          <w:sz w:val="20"/>
          <w:szCs w:val="20"/>
          <w:lang w:val="es-ES" w:eastAsia="es-ES"/>
        </w:rPr>
        <w:t>debe aclararse que las normas que disponen las funciones de esta entidad no han asignado al Ministerio de Salud y Protección Social competencias en materia de regulación, interpretación o gestión de la contratación estatal, ni de la definición de parámetros en materia contractual.</w:t>
      </w:r>
      <w:r>
        <w:rPr>
          <w:rFonts w:ascii="Verdana" w:eastAsia="Calibri" w:hAnsi="Verdana" w:cs="Arial"/>
          <w:sz w:val="20"/>
          <w:szCs w:val="20"/>
          <w:lang w:val="es-ES" w:eastAsia="es-ES"/>
        </w:rPr>
        <w:t>”</w:t>
      </w:r>
    </w:p>
    <w:p w14:paraId="0F3E9E60" w14:textId="77777777" w:rsidR="00EE0007" w:rsidRDefault="00EE0007" w:rsidP="00EE0007">
      <w:pPr>
        <w:spacing w:after="0"/>
        <w:ind w:left="737" w:right="737"/>
        <w:contextualSpacing/>
        <w:jc w:val="both"/>
        <w:rPr>
          <w:rFonts w:ascii="Verdana" w:eastAsia="Century Gothic" w:hAnsi="Verdana" w:cs="Century Gothic"/>
          <w:i/>
          <w:iCs/>
          <w:sz w:val="20"/>
          <w:szCs w:val="20"/>
        </w:rPr>
      </w:pPr>
    </w:p>
    <w:p w14:paraId="704E87F6" w14:textId="77777777" w:rsidR="00EE0007" w:rsidRPr="00305400" w:rsidRDefault="00EE0007" w:rsidP="00EE0007">
      <w:pPr>
        <w:spacing w:before="120" w:after="120"/>
        <w:ind w:right="709"/>
        <w:contextualSpacing/>
        <w:jc w:val="both"/>
        <w:rPr>
          <w:rFonts w:ascii="Verdana" w:eastAsia="Century Gothic" w:hAnsi="Verdana" w:cs="Century Gothic"/>
          <w:i/>
          <w:iCs/>
          <w:sz w:val="20"/>
          <w:szCs w:val="20"/>
        </w:rPr>
      </w:pPr>
    </w:p>
    <w:p w14:paraId="0FC2E653" w14:textId="77777777" w:rsidR="00EE0007" w:rsidRPr="00CD496A" w:rsidRDefault="00EE0007" w:rsidP="00EE0007">
      <w:pPr>
        <w:spacing w:after="120" w:line="276" w:lineRule="auto"/>
        <w:ind w:firstLine="708"/>
        <w:jc w:val="both"/>
        <w:rPr>
          <w:rFonts w:ascii="Verdana" w:eastAsia="Calibri" w:hAnsi="Verdana" w:cs="Arial"/>
          <w:lang w:val="es-ES" w:eastAsia="es-ES"/>
        </w:rPr>
      </w:pPr>
      <w:r w:rsidRPr="00CD496A">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w:t>
      </w:r>
      <w:r w:rsidRPr="00CD496A">
        <w:rPr>
          <w:rFonts w:ascii="Verdana" w:eastAsia="Calibri" w:hAnsi="Verdana" w:cs="Arial"/>
          <w:lang w:val="es-ES" w:eastAsia="es-ES"/>
        </w:rPr>
        <w:lastRenderedPageBreak/>
        <w:t xml:space="preserve">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D496A">
        <w:rPr>
          <w:rFonts w:ascii="Verdana" w:hAnsi="Verdana"/>
          <w:lang w:val="es-ES"/>
        </w:rPr>
        <w:tab/>
      </w:r>
    </w:p>
    <w:p w14:paraId="430ABEAA" w14:textId="77777777" w:rsidR="00EE0007" w:rsidRPr="00CD496A" w:rsidRDefault="00EE0007" w:rsidP="00EE0007">
      <w:pPr>
        <w:spacing w:after="0" w:line="276" w:lineRule="auto"/>
        <w:ind w:firstLine="709"/>
        <w:jc w:val="both"/>
        <w:rPr>
          <w:rFonts w:ascii="Verdana" w:eastAsia="Calibri" w:hAnsi="Verdana" w:cs="Arial"/>
          <w:lang w:val="es-ES" w:eastAsia="es-ES"/>
        </w:rPr>
      </w:pPr>
      <w:r w:rsidRPr="00CD496A">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E4168A9" w14:textId="77777777" w:rsidR="00EE0007" w:rsidRPr="00CD496A" w:rsidRDefault="00EE0007" w:rsidP="00EE0007">
      <w:pPr>
        <w:spacing w:after="0" w:line="276" w:lineRule="auto"/>
        <w:ind w:firstLine="709"/>
        <w:jc w:val="both"/>
        <w:rPr>
          <w:rFonts w:ascii="Verdana" w:eastAsia="Calibri" w:hAnsi="Verdana" w:cs="Arial"/>
          <w:lang w:val="es-ES" w:eastAsia="es-ES"/>
        </w:rPr>
      </w:pPr>
    </w:p>
    <w:p w14:paraId="7E58DA42" w14:textId="77777777" w:rsidR="00EE0007" w:rsidRDefault="00EE0007" w:rsidP="00EE0007">
      <w:pPr>
        <w:tabs>
          <w:tab w:val="left" w:pos="142"/>
          <w:tab w:val="left" w:pos="284"/>
        </w:tabs>
        <w:spacing w:after="0" w:line="276" w:lineRule="auto"/>
        <w:contextualSpacing/>
        <w:jc w:val="both"/>
        <w:rPr>
          <w:rFonts w:ascii="Verdana" w:eastAsia="Century Gothic" w:hAnsi="Verdana" w:cs="Century Gothic"/>
          <w:b/>
          <w:lang w:val="es-ES"/>
        </w:rPr>
      </w:pPr>
      <w:r w:rsidRPr="00CD496A">
        <w:rPr>
          <w:rFonts w:ascii="Verdana" w:eastAsia="Century Gothic" w:hAnsi="Verdana" w:cs="Century Gothic"/>
          <w:b/>
          <w:lang w:val="es-ES"/>
        </w:rPr>
        <w:t>1. Problema planteado:</w:t>
      </w:r>
    </w:p>
    <w:p w14:paraId="31B9FF07" w14:textId="77777777" w:rsidR="00EE0007" w:rsidRPr="00305400" w:rsidRDefault="00EE0007" w:rsidP="00EE0007">
      <w:pPr>
        <w:tabs>
          <w:tab w:val="left" w:pos="142"/>
          <w:tab w:val="left" w:pos="284"/>
        </w:tabs>
        <w:spacing w:after="0" w:line="276" w:lineRule="auto"/>
        <w:contextualSpacing/>
        <w:jc w:val="both"/>
        <w:rPr>
          <w:rFonts w:ascii="Verdana" w:eastAsia="Century Gothic" w:hAnsi="Verdana" w:cs="Century Gothic"/>
          <w:b/>
          <w:lang w:val="es-ES"/>
        </w:rPr>
      </w:pPr>
    </w:p>
    <w:p w14:paraId="47797C7F" w14:textId="77777777" w:rsidR="00EE0007" w:rsidRPr="00E01255" w:rsidRDefault="00EE0007" w:rsidP="00EE0007">
      <w:pPr>
        <w:spacing w:after="0" w:line="276" w:lineRule="auto"/>
        <w:jc w:val="both"/>
        <w:rPr>
          <w:rFonts w:ascii="Verdana" w:eastAsia="Century Gothic" w:hAnsi="Verdana" w:cs="Century Gothic"/>
        </w:rPr>
      </w:pPr>
      <w:r w:rsidRPr="00CD496A">
        <w:rPr>
          <w:rFonts w:ascii="Verdana" w:eastAsia="Century Gothic" w:hAnsi="Verdana" w:cs="Century Gothic"/>
          <w:lang w:val="es-ES"/>
        </w:rPr>
        <w:t xml:space="preserve">De acuerdo con el contenido de su solicitud, esta Agencia resolverá </w:t>
      </w:r>
      <w:r>
        <w:rPr>
          <w:rFonts w:ascii="Verdana" w:eastAsia="Century Gothic" w:hAnsi="Verdana" w:cs="Century Gothic"/>
          <w:lang w:val="es-ES"/>
        </w:rPr>
        <w:t>el</w:t>
      </w:r>
      <w:r w:rsidRPr="00CD496A">
        <w:rPr>
          <w:rFonts w:ascii="Verdana" w:eastAsia="Century Gothic" w:hAnsi="Verdana" w:cs="Century Gothic"/>
          <w:lang w:val="es-ES"/>
        </w:rPr>
        <w:t xml:space="preserve"> siguiente problema jurídico:</w:t>
      </w:r>
      <w:r w:rsidRPr="00CD496A">
        <w:rPr>
          <w:rFonts w:ascii="Verdana" w:eastAsia="Century Gothic" w:hAnsi="Verdana" w:cs="Century Gothic"/>
        </w:rPr>
        <w:t xml:space="preserve"> </w:t>
      </w:r>
      <w:r w:rsidRPr="00E01255">
        <w:rPr>
          <w:rFonts w:ascii="Verdana" w:eastAsia="Century Gothic" w:hAnsi="Verdana" w:cs="Century Gothic"/>
        </w:rPr>
        <w:t xml:space="preserve">¿Es jurídicamente viable que las entidades públicas efectúen contrataciones directas durante la vigencia de la Ley de Garantías Electorales, y </w:t>
      </w:r>
      <w:proofErr w:type="gramStart"/>
      <w:r w:rsidRPr="00E01255">
        <w:rPr>
          <w:rFonts w:ascii="Verdana" w:eastAsia="Century Gothic" w:hAnsi="Verdana" w:cs="Century Gothic"/>
        </w:rPr>
        <w:t>bajo qué condiciones</w:t>
      </w:r>
      <w:proofErr w:type="gramEnd"/>
      <w:r w:rsidRPr="00E01255">
        <w:rPr>
          <w:rFonts w:ascii="Verdana" w:eastAsia="Century Gothic" w:hAnsi="Verdana" w:cs="Century Gothic"/>
        </w:rPr>
        <w:t xml:space="preserve"> y excepciones previstas en el ordenamiento jurídico colombiano podrían celebrarse dichos contratos?</w:t>
      </w:r>
    </w:p>
    <w:p w14:paraId="1AA9DC85" w14:textId="77777777" w:rsidR="00EE0007" w:rsidRPr="006733BD" w:rsidRDefault="00EE0007" w:rsidP="00EE0007">
      <w:pPr>
        <w:spacing w:after="0" w:line="276" w:lineRule="auto"/>
        <w:jc w:val="both"/>
        <w:rPr>
          <w:rFonts w:ascii="Verdana" w:eastAsia="Century Gothic" w:hAnsi="Verdana" w:cs="Century Gothic"/>
          <w:color w:val="ED7D31" w:themeColor="accent2"/>
        </w:rPr>
      </w:pPr>
    </w:p>
    <w:p w14:paraId="017D9FA1" w14:textId="77777777" w:rsidR="00EE0007" w:rsidRPr="006733BD" w:rsidRDefault="00EE0007" w:rsidP="00EE0007">
      <w:pPr>
        <w:tabs>
          <w:tab w:val="left" w:pos="142"/>
          <w:tab w:val="left" w:pos="284"/>
        </w:tabs>
        <w:spacing w:after="0" w:line="276" w:lineRule="auto"/>
        <w:jc w:val="both"/>
        <w:rPr>
          <w:rFonts w:ascii="Verdana" w:eastAsia="Century Gothic" w:hAnsi="Verdana" w:cs="Century Gothic"/>
          <w:b/>
          <w:color w:val="ED7D31" w:themeColor="accent2"/>
          <w:lang w:val="es-ES"/>
        </w:rPr>
      </w:pPr>
      <w:r w:rsidRPr="00CD496A">
        <w:rPr>
          <w:rFonts w:ascii="Verdana" w:eastAsia="Century Gothic" w:hAnsi="Verdana" w:cs="Century Gothic"/>
          <w:b/>
          <w:lang w:val="es-ES"/>
        </w:rPr>
        <w:t>2. Respuesta:</w:t>
      </w:r>
    </w:p>
    <w:p w14:paraId="4B6197A3" w14:textId="77777777" w:rsidR="00EE0007" w:rsidRPr="006733BD" w:rsidRDefault="00EE0007" w:rsidP="00EE0007">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E0007" w:rsidRPr="006733BD" w14:paraId="45BB4C7C" w14:textId="77777777" w:rsidTr="00A14C88">
        <w:tc>
          <w:tcPr>
            <w:tcW w:w="8828" w:type="dxa"/>
          </w:tcPr>
          <w:p w14:paraId="7A03323C" w14:textId="77777777" w:rsidR="00EE0007" w:rsidRDefault="00EE0007" w:rsidP="00A14C88">
            <w:pPr>
              <w:spacing w:after="120" w:line="276" w:lineRule="auto"/>
              <w:ind w:firstLine="709"/>
              <w:jc w:val="both"/>
              <w:rPr>
                <w:rFonts w:ascii="Verdana" w:eastAsia="Times New Roman" w:hAnsi="Verdana" w:cs="Arial"/>
              </w:rPr>
            </w:pPr>
            <w:proofErr w:type="gramStart"/>
            <w:r>
              <w:rPr>
                <w:rFonts w:ascii="Verdana" w:eastAsia="Calibri" w:hAnsi="Verdana" w:cs="Arial"/>
                <w:lang w:eastAsia="es-ES" w:bidi="es-ES"/>
              </w:rPr>
              <w:t>De acuerdo al</w:t>
            </w:r>
            <w:proofErr w:type="gramEnd"/>
            <w:r>
              <w:rPr>
                <w:rFonts w:ascii="Verdana" w:eastAsia="Calibri" w:hAnsi="Verdana" w:cs="Arial"/>
                <w:lang w:eastAsia="es-ES" w:bidi="es-ES"/>
              </w:rPr>
              <w:t xml:space="preserve"> problema jurídico planteado, e</w:t>
            </w:r>
            <w:r w:rsidRPr="00FF007A">
              <w:rPr>
                <w:rFonts w:ascii="Verdana" w:eastAsia="Calibri" w:hAnsi="Verdana" w:cs="Arial"/>
                <w:lang w:eastAsia="es-ES" w:bidi="es-ES"/>
              </w:rPr>
              <w:t xml:space="preserve">s necesario precisar el alcance de la prohibición </w:t>
            </w:r>
            <w:r w:rsidRPr="00FF007A">
              <w:rPr>
                <w:rFonts w:ascii="Verdana" w:eastAsia="Arial" w:hAnsi="Verdana" w:cs="Arial"/>
                <w:lang w:eastAsia="es-ES" w:bidi="es-ES"/>
              </w:rPr>
              <w:t>establecida en e</w:t>
            </w:r>
            <w:r w:rsidRPr="00FF007A">
              <w:rPr>
                <w:rFonts w:ascii="Verdana" w:eastAsia="Calibri" w:hAnsi="Verdana" w:cs="Arial"/>
              </w:rPr>
              <w:t xml:space="preserve">l </w:t>
            </w:r>
            <w:r w:rsidRPr="00FF007A">
              <w:rPr>
                <w:rFonts w:ascii="Verdana" w:eastAsia="Times New Roman" w:hAnsi="Verdana" w:cs="Arial"/>
              </w:rPr>
              <w:t>artículo 33 de la Ley 996 de 2005.</w:t>
            </w:r>
            <w:r>
              <w:rPr>
                <w:rFonts w:ascii="Verdana" w:eastAsia="Times New Roman" w:hAnsi="Verdana" w:cs="Arial"/>
              </w:rPr>
              <w:t xml:space="preserve"> Esta restricción </w:t>
            </w:r>
            <w:r w:rsidRPr="00FF007A">
              <w:rPr>
                <w:rFonts w:ascii="Verdana" w:eastAsia="Times New Roman" w:hAnsi="Verdana" w:cs="Arial"/>
                <w:bCs/>
                <w:lang w:eastAsia="es-CO"/>
              </w:rPr>
              <w:t>no solo aplica frente a las entidades sometidas al Estatuto general de Contratación de la Administración Pública</w:t>
            </w:r>
            <w:r w:rsidRPr="00FF007A">
              <w:rPr>
                <w:rFonts w:ascii="Verdana" w:eastAsia="Times New Roman" w:hAnsi="Verdana" w:cs="Arial"/>
                <w:bCs/>
                <w:i/>
                <w:iCs/>
                <w:lang w:eastAsia="es-CO"/>
              </w:rPr>
              <w:t>, sino también frente a las entidades que tengan un régimen especial de contratación</w:t>
            </w:r>
            <w:r w:rsidRPr="00FF007A">
              <w:rPr>
                <w:rFonts w:ascii="Verdana" w:eastAsia="Times New Roman" w:hAnsi="Verdana" w:cs="Arial"/>
                <w:bCs/>
                <w:lang w:eastAsia="es-CO"/>
              </w:rPr>
              <w:t xml:space="preserve">. No obstante, también se observa que luego de la expedición de Ley 1150 de 2007, el Consejo de Estado comenzó a delimitar con mayor precisión el término de “contratación directa”. </w:t>
            </w:r>
            <w:r w:rsidRPr="00FF007A">
              <w:rPr>
                <w:rFonts w:ascii="Verdana" w:eastAsia="Times New Roman" w:hAnsi="Verdana" w:cs="Arial"/>
              </w:rPr>
              <w:t>Así,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Pr>
                <w:rFonts w:ascii="Verdana" w:eastAsia="Times New Roman" w:hAnsi="Verdana" w:cs="Arial"/>
              </w:rPr>
              <w:t>.</w:t>
            </w:r>
          </w:p>
          <w:p w14:paraId="67AB3449" w14:textId="77777777" w:rsidR="00EE0007" w:rsidRDefault="00EE0007" w:rsidP="00A14C88">
            <w:pPr>
              <w:tabs>
                <w:tab w:val="left" w:pos="426"/>
              </w:tabs>
              <w:spacing w:before="120" w:line="276" w:lineRule="auto"/>
              <w:ind w:firstLine="709"/>
              <w:jc w:val="both"/>
              <w:rPr>
                <w:rFonts w:ascii="Verdana" w:hAnsi="Verdana" w:cs="Arial"/>
                <w:bCs/>
                <w:color w:val="000000" w:themeColor="text1"/>
              </w:rPr>
            </w:pPr>
            <w:r>
              <w:rPr>
                <w:rFonts w:ascii="Verdana" w:hAnsi="Verdana" w:cs="Arial"/>
                <w:bCs/>
                <w:color w:val="000000" w:themeColor="text1"/>
              </w:rPr>
              <w:t xml:space="preserve">En ese sentido, </w:t>
            </w:r>
            <w:r w:rsidRPr="00FF007A">
              <w:rPr>
                <w:rFonts w:ascii="Verdana" w:hAnsi="Verdana" w:cs="Arial"/>
                <w:bCs/>
                <w:color w:val="000000" w:themeColor="text1"/>
              </w:rPr>
              <w:t>es pertinente analizar el quinto evento exceptuado de la prohibición</w:t>
            </w:r>
            <w:r>
              <w:rPr>
                <w:rFonts w:ascii="Verdana" w:hAnsi="Verdana" w:cs="Arial"/>
                <w:bCs/>
                <w:color w:val="000000" w:themeColor="text1"/>
              </w:rPr>
              <w:t xml:space="preserve"> contemplada en el inciso segundo del artículo 33 de la Ley 996 de 2005</w:t>
            </w:r>
            <w:r w:rsidRPr="00FF007A">
              <w:rPr>
                <w:rFonts w:ascii="Verdana" w:hAnsi="Verdana" w:cs="Arial"/>
                <w:bCs/>
                <w:color w:val="000000" w:themeColor="text1"/>
              </w:rPr>
              <w:t xml:space="preserve">, relacionado con la contratación por parte de entidades sanitarias y hospitalarias. Para ello, el artículo 94 de la Ley 100 de 1993 dispone que “la </w:t>
            </w:r>
            <w:r w:rsidRPr="00FF007A">
              <w:rPr>
                <w:rFonts w:ascii="Verdana" w:hAnsi="Verdana" w:cs="Arial"/>
                <w:bCs/>
                <w:color w:val="000000" w:themeColor="text1"/>
              </w:rPr>
              <w:lastRenderedPageBreak/>
              <w:t xml:space="preserve">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 </w:t>
            </w:r>
          </w:p>
          <w:p w14:paraId="2E01C48A" w14:textId="77777777" w:rsidR="00EE0007" w:rsidRDefault="00EE0007" w:rsidP="00A14C88">
            <w:pPr>
              <w:tabs>
                <w:tab w:val="left" w:pos="426"/>
              </w:tabs>
              <w:spacing w:before="120" w:line="276" w:lineRule="auto"/>
              <w:ind w:firstLine="709"/>
              <w:jc w:val="both"/>
              <w:rPr>
                <w:rFonts w:ascii="Verdana" w:hAnsi="Verdana" w:cs="Arial"/>
                <w:color w:val="000000" w:themeColor="text1"/>
              </w:rPr>
            </w:pPr>
            <w:r w:rsidRPr="00FF007A">
              <w:rPr>
                <w:rFonts w:ascii="Verdana" w:hAnsi="Verdana" w:cs="Arial"/>
                <w:color w:val="000000" w:themeColor="text1"/>
              </w:rPr>
              <w:t>De lo anterior se desprende que, bajo la Ley 100 de 1993, dentro de la estructura de la administración pública las Empresas Sociales del Estado</w:t>
            </w:r>
            <w:r>
              <w:rPr>
                <w:rFonts w:ascii="Verdana" w:hAnsi="Verdana" w:cs="Arial"/>
                <w:color w:val="000000" w:themeColor="text1"/>
              </w:rPr>
              <w:t>, según lo dispuesto en el artículo 194 de la Ley 100 de 1993,</w:t>
            </w:r>
            <w:r w:rsidRPr="00FF007A">
              <w:rPr>
                <w:rFonts w:ascii="Verdana" w:hAnsi="Verdana" w:cs="Arial"/>
                <w:color w:val="000000" w:themeColor="text1"/>
              </w:rPr>
              <w:t xml:space="preserve"> son las entidades encargadas de prestar el servicio de salud de manera directa</w:t>
            </w:r>
            <w:r>
              <w:rPr>
                <w:rFonts w:ascii="Verdana" w:hAnsi="Verdana" w:cs="Arial"/>
                <w:color w:val="000000" w:themeColor="text1"/>
              </w:rPr>
              <w:t>.</w:t>
            </w:r>
          </w:p>
          <w:p w14:paraId="14DDAAD1" w14:textId="77777777" w:rsidR="00EE0007" w:rsidRDefault="00EE0007" w:rsidP="00A14C88">
            <w:pPr>
              <w:spacing w:before="120"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De otro lado, el artículo 2.8.8.1.1.3 del Decreto 780 de 2016, </w:t>
            </w:r>
            <w:r>
              <w:rPr>
                <w:rFonts w:ascii="Verdana" w:eastAsia="Arial" w:hAnsi="Verdana" w:cs="Arial"/>
                <w:bCs/>
                <w:color w:val="000000" w:themeColor="text1"/>
              </w:rPr>
              <w:t>“</w:t>
            </w:r>
            <w:r w:rsidRPr="00FF007A">
              <w:rPr>
                <w:rFonts w:ascii="Verdana" w:eastAsia="Arial" w:hAnsi="Verdana" w:cs="Arial"/>
                <w:bCs/>
                <w:color w:val="000000" w:themeColor="text1"/>
              </w:rPr>
              <w:t>Por medio del cual se expide el Decreto Único Reglamentario del Sector Salud y Protección Social</w:t>
            </w:r>
            <w:r>
              <w:rPr>
                <w:rFonts w:ascii="Verdana" w:eastAsia="Arial" w:hAnsi="Verdana" w:cs="Arial"/>
                <w:bCs/>
                <w:color w:val="000000" w:themeColor="text1"/>
              </w:rPr>
              <w:t>”</w:t>
            </w:r>
            <w:r w:rsidRPr="00FF007A">
              <w:rPr>
                <w:rFonts w:ascii="Verdana" w:eastAsia="Arial" w:hAnsi="Verdana" w:cs="Arial"/>
                <w:bCs/>
                <w:color w:val="000000" w:themeColor="text1"/>
              </w:rPr>
              <w:t xml:space="preserve">, definió a las </w:t>
            </w:r>
            <w:r w:rsidRPr="00FF007A">
              <w:rPr>
                <w:rFonts w:ascii="Verdana" w:eastAsia="Arial" w:hAnsi="Verdana" w:cs="Arial"/>
                <w:bCs/>
                <w:i/>
                <w:iCs/>
                <w:color w:val="000000" w:themeColor="text1"/>
              </w:rPr>
              <w:t>entidades sanitarias</w:t>
            </w:r>
            <w:r w:rsidRPr="00FF007A">
              <w:rPr>
                <w:rFonts w:ascii="Verdana" w:eastAsia="Arial" w:hAnsi="Verdana" w:cs="Arial"/>
                <w:bCs/>
                <w:color w:val="000000" w:themeColor="text1"/>
              </w:rPr>
              <w:t xml:space="preserve"> como</w:t>
            </w:r>
            <w:r>
              <w:rPr>
                <w:rFonts w:ascii="Verdana" w:eastAsia="Arial" w:hAnsi="Verdana" w:cs="Arial"/>
                <w:bCs/>
                <w:color w:val="000000" w:themeColor="text1"/>
              </w:rPr>
              <w:t xml:space="preserve"> las</w:t>
            </w:r>
            <w:r w:rsidRPr="00FF007A">
              <w:rPr>
                <w:rFonts w:ascii="Verdana" w:eastAsia="Arial" w:hAnsi="Verdana" w:cs="Arial"/>
                <w:bCs/>
                <w:color w:val="000000" w:themeColor="text1"/>
              </w:rPr>
              <w:t xml:space="preserve"> “Entidades del Estado que prestan servicios sanitarios o de sanidad con el propósito de preservar la salud humana y la salud pública”. El artículo citado también define las </w:t>
            </w:r>
            <w:r w:rsidRPr="00FF007A">
              <w:rPr>
                <w:rFonts w:ascii="Verdana" w:eastAsia="Arial" w:hAnsi="Verdana" w:cs="Arial"/>
                <w:bCs/>
                <w:i/>
                <w:iCs/>
                <w:color w:val="000000" w:themeColor="text1"/>
              </w:rPr>
              <w:t>autoridades sanitarias</w:t>
            </w:r>
            <w:r w:rsidRPr="00FF007A">
              <w:rPr>
                <w:rFonts w:ascii="Verdana" w:eastAsia="Arial" w:hAnsi="Verdana" w:cs="Arial"/>
                <w:bCs/>
                <w:color w:val="000000" w:themeColor="text1"/>
              </w:rPr>
              <w:t xml:space="preserve"> como </w:t>
            </w:r>
            <w:r>
              <w:rPr>
                <w:rFonts w:ascii="Verdana" w:eastAsia="Arial" w:hAnsi="Verdana" w:cs="Arial"/>
                <w:bCs/>
                <w:color w:val="000000" w:themeColor="text1"/>
              </w:rPr>
              <w:t xml:space="preserve">las </w:t>
            </w:r>
            <w:r w:rsidRPr="00FF007A">
              <w:rPr>
                <w:rFonts w:ascii="Verdana" w:eastAsia="Arial" w:hAnsi="Verdana" w:cs="Arial"/>
                <w:bCs/>
                <w:color w:val="000000" w:themeColor="text1"/>
              </w:rPr>
              <w:t xml:space="preserve">“Entidades jurídicas de carácter público con atribuciones para ejercer funciones de rectoría, regulación, inspección, vigilancia y control de los sectores público y privado en salud y adoptar medidas de prevención y seguimiento que garanticen la protección de la salud pública”. De esta forma, </w:t>
            </w:r>
            <w:r>
              <w:rPr>
                <w:rFonts w:ascii="Verdana" w:eastAsia="Arial" w:hAnsi="Verdana" w:cs="Arial"/>
                <w:bCs/>
                <w:color w:val="000000" w:themeColor="text1"/>
              </w:rPr>
              <w:t xml:space="preserve">para efectos de la aplicación de la excepción, se debe verificar que se cumplan los requisitos del </w:t>
            </w:r>
            <w:r w:rsidRPr="00FF007A">
              <w:rPr>
                <w:rFonts w:ascii="Verdana" w:eastAsia="Arial" w:hAnsi="Verdana" w:cs="Arial"/>
                <w:bCs/>
                <w:color w:val="000000" w:themeColor="text1"/>
              </w:rPr>
              <w:t xml:space="preserve">artículo 33 de la Ley </w:t>
            </w:r>
            <w:r>
              <w:rPr>
                <w:rFonts w:ascii="Verdana" w:eastAsia="Arial" w:hAnsi="Verdana" w:cs="Arial"/>
                <w:bCs/>
                <w:color w:val="000000" w:themeColor="text1"/>
              </w:rPr>
              <w:t xml:space="preserve">996 de 2005. </w:t>
            </w:r>
          </w:p>
          <w:p w14:paraId="16EECEBF" w14:textId="77777777" w:rsidR="00EE0007" w:rsidRDefault="00EE0007" w:rsidP="00A14C88">
            <w:pPr>
              <w:spacing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Conforme con lo expuesto, las entidades que requieran adelantar procesos de contratación directa durante el periodo de garantías electorales deberán analizar, primero, si se configuran los supuestos establecidos en </w:t>
            </w:r>
            <w:r w:rsidRPr="00FF007A">
              <w:rPr>
                <w:rFonts w:ascii="Verdana" w:eastAsia="Arial" w:hAnsi="Verdana" w:cs="Arial"/>
                <w:bCs/>
                <w:i/>
                <w:iCs/>
                <w:color w:val="000000" w:themeColor="text1"/>
              </w:rPr>
              <w:t>el artículo 33</w:t>
            </w:r>
            <w:r w:rsidRPr="00FF007A">
              <w:rPr>
                <w:rFonts w:ascii="Verdana" w:eastAsia="Arial" w:hAnsi="Verdana" w:cs="Arial"/>
                <w:bCs/>
                <w:color w:val="000000" w:themeColor="text1"/>
              </w:rPr>
              <w:t xml:space="preserve"> de la Ley 996 de 2005, es decir, si se trata de cualquier entidad pública que pretenda adelantar un proceso no competitivo. Adicionalmente, será pertinente analizar </w:t>
            </w:r>
            <w:r w:rsidRPr="4D902665">
              <w:rPr>
                <w:rFonts w:ascii="Verdana" w:eastAsia="Arial" w:hAnsi="Verdana" w:cs="Arial"/>
                <w:color w:val="000000" w:themeColor="text1"/>
              </w:rPr>
              <w:t>y verificar si</w:t>
            </w:r>
            <w:r w:rsidRPr="00FF007A">
              <w:rPr>
                <w:rFonts w:ascii="Verdana" w:eastAsia="Arial" w:hAnsi="Verdana" w:cs="Arial"/>
                <w:bCs/>
                <w:color w:val="000000" w:themeColor="text1"/>
              </w:rPr>
              <w:t xml:space="preserve"> se configura alguna de las excepciones previstas en la norma. </w:t>
            </w:r>
          </w:p>
          <w:p w14:paraId="627E3F6A" w14:textId="77777777" w:rsidR="00EE0007" w:rsidRDefault="00EE0007" w:rsidP="00A14C88">
            <w:pPr>
              <w:spacing w:after="120" w:line="276" w:lineRule="auto"/>
              <w:ind w:firstLine="709"/>
              <w:jc w:val="both"/>
              <w:rPr>
                <w:rFonts w:ascii="Verdana" w:eastAsia="Calibri" w:hAnsi="Verdana" w:cs="Arial"/>
              </w:rPr>
            </w:pPr>
            <w:r w:rsidRPr="00FF007A">
              <w:rPr>
                <w:rFonts w:ascii="Verdana" w:eastAsia="Calibri" w:hAnsi="Verdana" w:cs="Arial"/>
              </w:rPr>
              <w:t>En suma, corresponderá a cada entidad estatal, incluyendo a aquellas autorizadas para suscribir contratos en el marco de los Planes de Salud Pública de Intervenciones Colectivas, determinar la procedencia de celebrar un contrato estatal específico, para lo cual deberán tener en cuenta las prohibiciones establecidas en materia contractual en la Ley de Garantías Electorales.</w:t>
            </w:r>
          </w:p>
          <w:p w14:paraId="2053B108" w14:textId="77777777" w:rsidR="00EE0007" w:rsidRPr="00305400" w:rsidRDefault="00EE0007" w:rsidP="00A14C88">
            <w:pPr>
              <w:spacing w:line="276" w:lineRule="auto"/>
              <w:jc w:val="both"/>
              <w:rPr>
                <w:rFonts w:ascii="Verdana" w:eastAsia="Arial" w:hAnsi="Verdana" w:cs="Arial"/>
                <w:color w:val="000000" w:themeColor="text1"/>
              </w:rPr>
            </w:pPr>
            <w:r w:rsidRPr="00667CD6">
              <w:rPr>
                <w:rFonts w:ascii="Verdana" w:eastAsia="Arial" w:hAnsi="Verdana" w:cs="Arial"/>
                <w:bCs/>
                <w:color w:val="000000" w:themeColor="text1"/>
              </w:rPr>
              <w:lastRenderedPageBreak/>
              <w:t>En todo caso, vale anotar que es responsabilidad del respectivo ente del Estado examinar en cada caso la naturaleza de las actividades que adelanta y justificar si las mismas se enmarcan en alguna de las</w:t>
            </w:r>
            <w:r>
              <w:rPr>
                <w:rFonts w:ascii="Verdana" w:eastAsia="Arial" w:hAnsi="Verdana" w:cs="Arial"/>
                <w:bCs/>
                <w:color w:val="000000" w:themeColor="text1"/>
              </w:rPr>
              <w:t xml:space="preserve"> </w:t>
            </w:r>
            <w:r w:rsidRPr="00667CD6">
              <w:rPr>
                <w:rFonts w:ascii="Verdana" w:eastAsia="Arial" w:hAnsi="Verdana" w:cs="Arial"/>
                <w:bCs/>
                <w:color w:val="000000" w:themeColor="text1"/>
              </w:rPr>
              <w:t xml:space="preserve">excepciones, de manera que pueda realizar la contratación directa durante el periodo de la prohibición. Igualmente, le corresponde a cada entidad </w:t>
            </w:r>
            <w:r w:rsidRPr="00667CD6">
              <w:rPr>
                <w:rFonts w:ascii="Verdana" w:eastAsia="Arial" w:hAnsi="Verdana" w:cs="Arial"/>
                <w:color w:val="000000" w:themeColor="text1"/>
              </w:rPr>
              <w:t>establecer si el instrumento jurídico que se pretende suscribir tiene la naturaleza de contrato o de convenio interadministrativo para la ejecución de recursos públicos. En este último supuesto, resulta aplicable la prohibición contenida en el parágrafo del artículo 38 de la Ley de Garantías Electorales, conforme se explicó.</w:t>
            </w:r>
          </w:p>
        </w:tc>
      </w:tr>
    </w:tbl>
    <w:p w14:paraId="3D71FCF3" w14:textId="77777777" w:rsidR="00EE0007" w:rsidRDefault="00EE0007" w:rsidP="00EE0007">
      <w:pPr>
        <w:tabs>
          <w:tab w:val="left" w:pos="142"/>
          <w:tab w:val="left" w:pos="284"/>
        </w:tabs>
        <w:spacing w:after="0" w:line="276" w:lineRule="auto"/>
        <w:jc w:val="both"/>
        <w:rPr>
          <w:rFonts w:ascii="Verdana" w:eastAsia="Century Gothic" w:hAnsi="Verdana" w:cs="Century Gothic"/>
          <w:b/>
          <w:lang w:val="es-ES"/>
        </w:rPr>
      </w:pPr>
    </w:p>
    <w:p w14:paraId="5901D031" w14:textId="77777777" w:rsidR="00EE0007" w:rsidRDefault="00EE0007" w:rsidP="00EE0007">
      <w:pPr>
        <w:tabs>
          <w:tab w:val="left" w:pos="142"/>
          <w:tab w:val="left" w:pos="284"/>
        </w:tabs>
        <w:spacing w:after="0" w:line="276" w:lineRule="auto"/>
        <w:jc w:val="both"/>
        <w:rPr>
          <w:rFonts w:ascii="Verdana" w:eastAsia="Century Gothic" w:hAnsi="Verdana" w:cs="Century Gothic"/>
          <w:b/>
          <w:lang w:val="es-ES"/>
        </w:rPr>
      </w:pPr>
      <w:r w:rsidRPr="00CD496A">
        <w:rPr>
          <w:rFonts w:ascii="Verdana" w:eastAsia="Century Gothic" w:hAnsi="Verdana" w:cs="Century Gothic"/>
          <w:b/>
          <w:lang w:val="es-ES"/>
        </w:rPr>
        <w:t>3. Razones de la respuesta:</w:t>
      </w:r>
      <w:bookmarkStart w:id="1" w:name="_Hlk102983874"/>
      <w:bookmarkStart w:id="2" w:name="_Hlk102388095"/>
    </w:p>
    <w:p w14:paraId="359CC071" w14:textId="77777777" w:rsidR="00EE0007" w:rsidRPr="00305400" w:rsidRDefault="00EE0007" w:rsidP="00EE0007">
      <w:pPr>
        <w:tabs>
          <w:tab w:val="left" w:pos="142"/>
          <w:tab w:val="left" w:pos="284"/>
        </w:tabs>
        <w:spacing w:after="0" w:line="276" w:lineRule="auto"/>
        <w:jc w:val="both"/>
        <w:rPr>
          <w:rFonts w:ascii="Verdana" w:eastAsia="Century Gothic" w:hAnsi="Verdana" w:cs="Century Gothic"/>
          <w:b/>
          <w:lang w:val="es-ES"/>
        </w:rPr>
      </w:pPr>
    </w:p>
    <w:p w14:paraId="598F8451" w14:textId="77777777" w:rsidR="00EE0007" w:rsidRPr="00343E12" w:rsidRDefault="00EE0007" w:rsidP="00EE0007">
      <w:pPr>
        <w:tabs>
          <w:tab w:val="left" w:pos="142"/>
          <w:tab w:val="left" w:pos="284"/>
        </w:tabs>
        <w:spacing w:after="0" w:line="276" w:lineRule="auto"/>
        <w:jc w:val="both"/>
        <w:rPr>
          <w:rFonts w:ascii="Verdana" w:eastAsia="Calibri" w:hAnsi="Verdana" w:cs="Arial"/>
        </w:rPr>
      </w:pPr>
      <w:r w:rsidRPr="00343E12">
        <w:rPr>
          <w:rFonts w:ascii="Verdana" w:eastAsia="Calibri" w:hAnsi="Verdana" w:cs="Arial"/>
        </w:rPr>
        <w:t xml:space="preserve">Lo anterior se sustenta en las siguientes consideraciones: </w:t>
      </w:r>
    </w:p>
    <w:p w14:paraId="71D40C63" w14:textId="77777777" w:rsidR="00EE0007" w:rsidRPr="00343E12" w:rsidRDefault="00EE0007" w:rsidP="00EE0007">
      <w:pPr>
        <w:tabs>
          <w:tab w:val="left" w:pos="142"/>
          <w:tab w:val="left" w:pos="284"/>
        </w:tabs>
        <w:spacing w:after="0" w:line="240" w:lineRule="auto"/>
        <w:jc w:val="both"/>
        <w:rPr>
          <w:rFonts w:ascii="Verdana" w:eastAsia="Calibri" w:hAnsi="Verdana" w:cs="Arial"/>
        </w:rPr>
      </w:pPr>
    </w:p>
    <w:p w14:paraId="6EEC208E" w14:textId="77777777" w:rsidR="00EE0007" w:rsidRPr="00343E12" w:rsidRDefault="00EE0007" w:rsidP="00EE0007">
      <w:pPr>
        <w:tabs>
          <w:tab w:val="left" w:pos="142"/>
          <w:tab w:val="left" w:pos="284"/>
        </w:tabs>
        <w:spacing w:after="120" w:line="276" w:lineRule="auto"/>
        <w:ind w:firstLine="709"/>
        <w:jc w:val="both"/>
        <w:rPr>
          <w:rFonts w:ascii="Verdana" w:eastAsia="Calibri" w:hAnsi="Verdana" w:cs="Arial"/>
        </w:rPr>
      </w:pPr>
      <w:r>
        <w:rPr>
          <w:rFonts w:ascii="Verdana" w:eastAsia="Calibri" w:hAnsi="Verdana" w:cs="Arial"/>
        </w:rPr>
        <w:t>i)</w:t>
      </w:r>
      <w:r w:rsidRPr="00343E12">
        <w:rPr>
          <w:rFonts w:ascii="Verdana" w:eastAsia="Calibri" w:hAnsi="Verdana" w:cs="Arial"/>
        </w:rPr>
        <w:t>El ordenamiento jurídico colombiano contempla previsiones claras para evitar la obtención de beneficios personales en asuntos propios de la administración pública</w:t>
      </w:r>
      <w:r w:rsidRPr="00343E12">
        <w:rPr>
          <w:rFonts w:ascii="Verdana" w:eastAsia="Calibri" w:hAnsi="Verdana" w:cs="Arial"/>
          <w:i/>
        </w:rPr>
        <w:t xml:space="preserve">. </w:t>
      </w:r>
      <w:r w:rsidRPr="00343E12">
        <w:rPr>
          <w:rFonts w:ascii="Verdana" w:eastAsia="Calibri" w:hAnsi="Verdana" w:cs="Arial"/>
        </w:rPr>
        <w:t>Por ejemplo, el artículo 127 de la Constitución Política establece una prohibición contractual a los servidores públicos y, en cuanto a aspectos políticos, establece restricciones a ciertos empleados del Estado, incluso en época no electoral</w:t>
      </w:r>
      <w:r w:rsidRPr="00343E12">
        <w:rPr>
          <w:rFonts w:ascii="Verdana" w:eastAsia="Aptos" w:hAnsi="Verdana" w:cs="Times New Roman"/>
          <w:vertAlign w:val="superscript"/>
        </w:rPr>
        <w:footnoteReference w:id="1"/>
      </w:r>
      <w:r w:rsidRPr="00343E12">
        <w:rPr>
          <w:rFonts w:ascii="Verdana" w:eastAsia="Calibri" w:hAnsi="Verdana" w:cs="Arial"/>
        </w:rPr>
        <w:t>.</w:t>
      </w:r>
    </w:p>
    <w:p w14:paraId="73A9EBAF" w14:textId="77777777" w:rsidR="00EE0007" w:rsidRPr="00343E12" w:rsidRDefault="00EE0007" w:rsidP="00EE0007">
      <w:pPr>
        <w:tabs>
          <w:tab w:val="left" w:pos="142"/>
          <w:tab w:val="left" w:pos="284"/>
        </w:tabs>
        <w:spacing w:after="120" w:line="276" w:lineRule="auto"/>
        <w:ind w:firstLine="709"/>
        <w:jc w:val="both"/>
        <w:rPr>
          <w:rFonts w:ascii="Verdana" w:eastAsia="Calibri" w:hAnsi="Verdana" w:cs="Arial"/>
        </w:rPr>
      </w:pPr>
      <w:r w:rsidRPr="00343E12">
        <w:rPr>
          <w:rFonts w:ascii="Verdana" w:eastAsia="Calibri" w:hAnsi="Verdana" w:cs="Arial"/>
        </w:rPr>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343E12">
        <w:rPr>
          <w:rFonts w:ascii="Verdana" w:eastAsia="Calibri" w:hAnsi="Verdana" w:cs="Arial"/>
          <w:vertAlign w:val="superscript"/>
        </w:rPr>
        <w:footnoteReference w:id="2"/>
      </w:r>
      <w:r w:rsidRPr="00343E12">
        <w:rPr>
          <w:rFonts w:ascii="Verdana" w:eastAsia="Calibri" w:hAnsi="Verdana" w:cs="Arial"/>
        </w:rPr>
        <w:t xml:space="preserve">. En esta medida, introduce limitaciones para realizar nombramientos, postulaciones, </w:t>
      </w:r>
      <w:r w:rsidRPr="00343E12">
        <w:rPr>
          <w:rFonts w:ascii="Verdana" w:eastAsia="Calibri" w:hAnsi="Verdana" w:cs="Arial"/>
        </w:rPr>
        <w:lastRenderedPageBreak/>
        <w:t>contrataciones o cualquier otro tipo de actividad que implique destinación de recursos públicos bajo el devenir propio de las entidades estatales.</w:t>
      </w:r>
    </w:p>
    <w:p w14:paraId="58C37B67" w14:textId="77777777" w:rsidR="00EE0007" w:rsidRPr="00343E12" w:rsidRDefault="00EE0007" w:rsidP="00EE0007">
      <w:pPr>
        <w:tabs>
          <w:tab w:val="left" w:pos="142"/>
          <w:tab w:val="left" w:pos="284"/>
        </w:tabs>
        <w:spacing w:after="120" w:line="276" w:lineRule="auto"/>
        <w:ind w:firstLine="709"/>
        <w:jc w:val="both"/>
        <w:rPr>
          <w:rFonts w:ascii="Verdana" w:eastAsia="Calibri" w:hAnsi="Verdana" w:cs="Arial"/>
        </w:rPr>
      </w:pPr>
      <w:r w:rsidRPr="00343E12">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5E620EBC"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r w:rsidRPr="00305400">
        <w:rPr>
          <w:rFonts w:ascii="Verdana" w:eastAsia="Times New Roman" w:hAnsi="Verdana" w:cs="Arial"/>
          <w:sz w:val="20"/>
          <w:szCs w:val="20"/>
          <w:lang w:val="es-ES" w:eastAsia="es-CO"/>
        </w:rPr>
        <w:t xml:space="preserve">“[…] </w:t>
      </w:r>
      <w:r w:rsidRPr="00305400">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72DC26D9"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p>
    <w:p w14:paraId="02CB49E6"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r w:rsidRPr="00305400">
        <w:rPr>
          <w:rFonts w:ascii="Verdana" w:eastAsia="Times New Roman" w:hAnsi="Verdana" w:cs="Arial"/>
          <w:sz w:val="20"/>
          <w:szCs w:val="20"/>
          <w:lang w:val="es-MX" w:eastAsia="es-CO"/>
        </w:rPr>
        <w:t xml:space="preserve">[…] </w:t>
      </w:r>
    </w:p>
    <w:p w14:paraId="4BDEA1CB"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p>
    <w:p w14:paraId="36F1CD27"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r w:rsidRPr="00305400">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305400">
        <w:rPr>
          <w:rFonts w:ascii="Verdana" w:eastAsia="Calibri" w:hAnsi="Verdana" w:cs="Arial"/>
          <w:sz w:val="20"/>
          <w:szCs w:val="20"/>
          <w:vertAlign w:val="superscript"/>
          <w:lang w:val="es-MX"/>
        </w:rPr>
        <w:footnoteReference w:id="3"/>
      </w:r>
      <w:r w:rsidRPr="00305400">
        <w:rPr>
          <w:rFonts w:ascii="Verdana" w:eastAsia="Times New Roman" w:hAnsi="Verdana" w:cs="Arial"/>
          <w:sz w:val="20"/>
          <w:szCs w:val="20"/>
          <w:lang w:val="es-MX" w:eastAsia="es-CO"/>
        </w:rPr>
        <w:t>.</w:t>
      </w:r>
    </w:p>
    <w:p w14:paraId="75582AEE" w14:textId="77777777" w:rsidR="00EE0007" w:rsidRPr="00343E12" w:rsidRDefault="00EE0007" w:rsidP="00EE0007">
      <w:pPr>
        <w:spacing w:after="0" w:line="240" w:lineRule="auto"/>
        <w:ind w:firstLine="709"/>
        <w:jc w:val="both"/>
        <w:rPr>
          <w:rFonts w:ascii="Verdana" w:eastAsia="Times New Roman" w:hAnsi="Verdana" w:cs="Arial"/>
          <w:lang w:val="es-MX" w:eastAsia="es-CO"/>
        </w:rPr>
      </w:pPr>
    </w:p>
    <w:p w14:paraId="5273DD87" w14:textId="77777777" w:rsidR="00EE0007" w:rsidRDefault="00EE0007" w:rsidP="00EE0007">
      <w:pPr>
        <w:spacing w:after="120" w:line="276" w:lineRule="auto"/>
        <w:ind w:firstLine="709"/>
        <w:jc w:val="both"/>
        <w:rPr>
          <w:rFonts w:ascii="Verdana" w:eastAsia="Times New Roman" w:hAnsi="Verdana" w:cs="Arial"/>
          <w:lang w:val="es-MX" w:eastAsia="es-CO"/>
        </w:rPr>
      </w:pPr>
      <w:r w:rsidRPr="00F53072">
        <w:rPr>
          <w:rFonts w:ascii="Verdana" w:eastAsia="Times New Roman" w:hAnsi="Verdana" w:cs="Arial"/>
          <w:lang w:val="es-MX" w:eastAsia="es-CO"/>
        </w:rPr>
        <w:t>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En efecto, la Sala de Consulta y Servicio Civil del Consejo de Estado, precisó:</w:t>
      </w:r>
    </w:p>
    <w:p w14:paraId="420661A1" w14:textId="77777777" w:rsidR="00EE0007" w:rsidRPr="00305400" w:rsidRDefault="00EE0007" w:rsidP="00EE0007">
      <w:pPr>
        <w:spacing w:after="0" w:line="276" w:lineRule="auto"/>
        <w:ind w:firstLine="709"/>
        <w:jc w:val="both"/>
        <w:rPr>
          <w:rFonts w:ascii="Verdana" w:eastAsia="Times New Roman" w:hAnsi="Verdana" w:cs="Arial"/>
          <w:sz w:val="20"/>
          <w:szCs w:val="20"/>
          <w:lang w:val="es-MX" w:eastAsia="es-CO"/>
        </w:rPr>
      </w:pPr>
    </w:p>
    <w:p w14:paraId="09DC3250"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r w:rsidRPr="00305400">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305400">
        <w:rPr>
          <w:rFonts w:ascii="Verdana" w:eastAsia="Times New Roman" w:hAnsi="Verdana" w:cs="Arial"/>
          <w:sz w:val="20"/>
          <w:szCs w:val="20"/>
          <w:lang w:val="es-MX" w:eastAsia="es-CO"/>
        </w:rPr>
        <w:t>legis</w:t>
      </w:r>
      <w:proofErr w:type="spellEnd"/>
      <w:r w:rsidRPr="00305400">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w:t>
      </w:r>
      <w:r w:rsidRPr="00305400">
        <w:rPr>
          <w:rFonts w:ascii="Verdana" w:eastAsia="Times New Roman" w:hAnsi="Verdana" w:cs="Arial"/>
          <w:sz w:val="20"/>
          <w:szCs w:val="20"/>
          <w:lang w:val="es-MX" w:eastAsia="es-CO"/>
        </w:rPr>
        <w:lastRenderedPageBreak/>
        <w:t>disponibles ni pueden ser derogadas, modificadas, ampliadas o adicionadas por acuerdo o convenio o acto unilateral.</w:t>
      </w:r>
    </w:p>
    <w:p w14:paraId="5F82CBDA" w14:textId="77777777" w:rsidR="00EE0007" w:rsidRPr="00305400" w:rsidRDefault="00EE0007" w:rsidP="00EE0007">
      <w:pPr>
        <w:spacing w:after="0" w:line="240" w:lineRule="auto"/>
        <w:ind w:right="709"/>
        <w:contextualSpacing/>
        <w:jc w:val="both"/>
        <w:rPr>
          <w:rFonts w:ascii="Verdana" w:eastAsia="Times New Roman" w:hAnsi="Verdana" w:cs="Arial"/>
          <w:sz w:val="20"/>
          <w:szCs w:val="20"/>
          <w:lang w:val="es-MX" w:eastAsia="es-CO"/>
        </w:rPr>
      </w:pPr>
    </w:p>
    <w:p w14:paraId="37D34B27" w14:textId="77777777" w:rsidR="00EE0007" w:rsidRPr="00305400" w:rsidRDefault="00EE0007" w:rsidP="00EE0007">
      <w:pPr>
        <w:spacing w:after="0" w:line="240" w:lineRule="auto"/>
        <w:ind w:left="709" w:right="709"/>
        <w:contextualSpacing/>
        <w:jc w:val="both"/>
        <w:rPr>
          <w:rFonts w:ascii="Verdana" w:eastAsia="Times New Roman" w:hAnsi="Verdana" w:cs="Arial"/>
          <w:sz w:val="20"/>
          <w:szCs w:val="20"/>
          <w:lang w:val="es-MX" w:eastAsia="es-CO"/>
        </w:rPr>
      </w:pPr>
      <w:r w:rsidRPr="00305400">
        <w:rPr>
          <w:rFonts w:ascii="Verdana" w:eastAsia="Times New Roman" w:hAnsi="Verdana" w:cs="Arial"/>
          <w:sz w:val="20"/>
          <w:szCs w:val="20"/>
          <w:lang w:val="es-MX" w:eastAsia="es-CO"/>
        </w:rPr>
        <w:t>La jurisprudencia de la Corte Constitucional</w:t>
      </w:r>
      <w:r w:rsidRPr="00305400">
        <w:rPr>
          <w:rFonts w:ascii="Verdana" w:eastAsia="Times New Roman" w:hAnsi="Verdana" w:cs="Arial"/>
          <w:sz w:val="20"/>
          <w:szCs w:val="20"/>
          <w:vertAlign w:val="superscript"/>
          <w:lang w:val="es-MX" w:eastAsia="es-CO"/>
        </w:rPr>
        <w:footnoteReference w:id="4"/>
      </w:r>
      <w:r w:rsidRPr="00305400">
        <w:rPr>
          <w:rFonts w:ascii="Verdana" w:eastAsia="Times New Roman" w:hAnsi="Verdana" w:cs="Arial"/>
          <w:sz w:val="20"/>
          <w:szCs w:val="20"/>
          <w:lang w:val="es-MX" w:eastAsia="es-CO"/>
        </w:rPr>
        <w:t> y del Consejo de Estado</w:t>
      </w:r>
      <w:r w:rsidRPr="00305400">
        <w:rPr>
          <w:rFonts w:ascii="Verdana" w:eastAsia="Times New Roman" w:hAnsi="Verdana" w:cs="Arial"/>
          <w:sz w:val="20"/>
          <w:szCs w:val="20"/>
          <w:vertAlign w:val="superscript"/>
          <w:lang w:val="es-MX" w:eastAsia="es-CO"/>
        </w:rPr>
        <w:footnoteReference w:id="5"/>
      </w:r>
      <w:r w:rsidRPr="00305400">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305400">
        <w:rPr>
          <w:rFonts w:ascii="Verdana" w:eastAsia="Times New Roman" w:hAnsi="Verdana" w:cs="Arial"/>
          <w:sz w:val="20"/>
          <w:szCs w:val="20"/>
          <w:vertAlign w:val="superscript"/>
          <w:lang w:val="es-MX" w:eastAsia="es-CO"/>
        </w:rPr>
        <w:footnoteReference w:id="6"/>
      </w:r>
      <w:r w:rsidRPr="00305400">
        <w:rPr>
          <w:rFonts w:ascii="Verdana" w:eastAsia="Times New Roman" w:hAnsi="Verdana" w:cs="Arial"/>
          <w:sz w:val="20"/>
          <w:szCs w:val="20"/>
          <w:lang w:val="es-MX" w:eastAsia="es-CO"/>
        </w:rPr>
        <w:t>.</w:t>
      </w:r>
    </w:p>
    <w:p w14:paraId="3FF6F2A8" w14:textId="77777777" w:rsidR="00EE0007" w:rsidRPr="00343E12" w:rsidRDefault="00EE0007" w:rsidP="00EE0007">
      <w:pPr>
        <w:spacing w:after="0" w:line="276" w:lineRule="auto"/>
        <w:jc w:val="both"/>
        <w:rPr>
          <w:rFonts w:ascii="Verdana" w:eastAsia="Calibri" w:hAnsi="Verdana" w:cs="Arial"/>
          <w:bCs/>
          <w:lang w:val="es-ES_tradnl"/>
        </w:rPr>
      </w:pPr>
    </w:p>
    <w:p w14:paraId="7FC7E88D" w14:textId="77777777" w:rsidR="00EE0007"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Times New Roman" w:hAnsi="Verdana" w:cs="Arial"/>
          <w:lang w:val="es-MX" w:eastAsia="es-CO"/>
        </w:rPr>
        <w:t>De</w:t>
      </w:r>
      <w:r w:rsidRPr="00343E12">
        <w:rPr>
          <w:rFonts w:ascii="Verdana" w:eastAsia="Arial" w:hAnsi="Verdana" w:cs="Arial"/>
          <w:lang w:val="es-ES" w:eastAsia="es-ES" w:bidi="es-ES"/>
        </w:rPr>
        <w:t xml:space="preserve"> conformidad con lo anterior, </w:t>
      </w:r>
      <w:bookmarkStart w:id="3" w:name="_Hlk77236098"/>
      <w:bookmarkStart w:id="4" w:name="_Hlk100679383"/>
      <w:r w:rsidRPr="00343E12">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33315B0A" w14:textId="77777777" w:rsidR="00EE0007"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Arial" w:hAnsi="Verdana" w:cs="Arial"/>
          <w:lang w:val="es-ES" w:eastAsia="es-ES" w:bidi="es-ES"/>
        </w:rPr>
        <w:t>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077E652E" w14:textId="77777777" w:rsidR="00EE0007"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Calibri" w:hAnsi="Verdana" w:cs="Arial"/>
        </w:rPr>
        <w:t xml:space="preserve">Por un lado, el </w:t>
      </w:r>
      <w:r w:rsidRPr="00343E12">
        <w:rPr>
          <w:rFonts w:ascii="Verdana" w:eastAsia="Calibri" w:hAnsi="Verdana" w:cs="Arial"/>
          <w:i/>
          <w:iCs/>
        </w:rPr>
        <w:t>artículo 33 de la Ley 996 de 2005</w:t>
      </w:r>
      <w:r w:rsidRPr="00343E12">
        <w:rPr>
          <w:rFonts w:ascii="Verdana" w:eastAsia="Calibri" w:hAnsi="Verdana" w:cs="Arial"/>
        </w:rPr>
        <w:t xml:space="preserve"> prohíbe “(…) la contratación directa por parte de todos los entes del Estado (…)”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w:t>
      </w:r>
      <w:r w:rsidRPr="00343E12">
        <w:rPr>
          <w:rFonts w:ascii="Verdana" w:eastAsia="Calibri" w:hAnsi="Verdana" w:cs="Arial"/>
        </w:rPr>
        <w:lastRenderedPageBreak/>
        <w:t>carreteras, infraestructura energética y de comunicaciones, en caso de que hayan sido objeto de atentados, acciones terroristas, desastres naturales o casos de fuerza mayor, y los que deban realizar las entidades sanitarias y hospitalarias (…)”</w:t>
      </w:r>
      <w:r w:rsidRPr="00343E12">
        <w:rPr>
          <w:rFonts w:ascii="Verdana" w:eastAsia="Calibri" w:hAnsi="Verdana" w:cs="Arial"/>
          <w:vertAlign w:val="superscript"/>
        </w:rPr>
        <w:footnoteReference w:id="7"/>
      </w:r>
      <w:r w:rsidRPr="00343E12">
        <w:rPr>
          <w:rFonts w:ascii="Verdana" w:eastAsia="Calibri" w:hAnsi="Verdana" w:cs="Arial"/>
        </w:rPr>
        <w:t>.</w:t>
      </w:r>
    </w:p>
    <w:p w14:paraId="16FC4152" w14:textId="77777777" w:rsidR="00EE0007" w:rsidRPr="00343E12"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Calibri" w:hAnsi="Verdana" w:cs="Arial"/>
        </w:rPr>
        <w:t xml:space="preserve">Por otro lado, </w:t>
      </w:r>
      <w:r w:rsidRPr="00343E12">
        <w:rPr>
          <w:rFonts w:ascii="Verdana" w:eastAsia="Calibri" w:hAnsi="Verdana" w:cs="Arial"/>
          <w:i/>
          <w:iCs/>
        </w:rPr>
        <w:t>el parágrafo del artículo 38 de la Ley 996 de 2005</w:t>
      </w:r>
      <w:r w:rsidRPr="00343E12">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343E12">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 (…)</w:t>
      </w:r>
      <w:r w:rsidRPr="00343E12">
        <w:rPr>
          <w:rFonts w:ascii="Verdana" w:eastAsia="Calibri" w:hAnsi="Verdana" w:cs="Arial"/>
        </w:rPr>
        <w:t>”</w:t>
      </w:r>
      <w:bookmarkEnd w:id="4"/>
      <w:r w:rsidRPr="00343E12">
        <w:rPr>
          <w:rFonts w:ascii="Verdana" w:eastAsia="Calibri" w:hAnsi="Verdana" w:cs="Arial"/>
          <w:vertAlign w:val="superscript"/>
        </w:rPr>
        <w:footnoteReference w:id="8"/>
      </w:r>
      <w:r w:rsidRPr="00343E12">
        <w:rPr>
          <w:rFonts w:ascii="Verdana" w:eastAsia="Calibri" w:hAnsi="Verdana" w:cs="Arial"/>
          <w:lang w:val="es-MX"/>
        </w:rPr>
        <w:t>.</w:t>
      </w:r>
      <w:r w:rsidRPr="00343E12">
        <w:rPr>
          <w:rFonts w:ascii="Verdana" w:eastAsia="Arial" w:hAnsi="Verdana" w:cs="Arial"/>
          <w:lang w:val="es-ES" w:eastAsia="es-ES" w:bidi="es-ES"/>
        </w:rPr>
        <w:t xml:space="preserve"> </w:t>
      </w:r>
    </w:p>
    <w:p w14:paraId="6662B5B0" w14:textId="77777777" w:rsidR="00EE0007" w:rsidRPr="00343E12" w:rsidRDefault="00EE0007" w:rsidP="00EE0007">
      <w:pPr>
        <w:widowControl w:val="0"/>
        <w:autoSpaceDE w:val="0"/>
        <w:autoSpaceDN w:val="0"/>
        <w:spacing w:after="120" w:line="276" w:lineRule="auto"/>
        <w:ind w:firstLine="709"/>
        <w:contextualSpacing/>
        <w:jc w:val="both"/>
        <w:rPr>
          <w:rFonts w:ascii="Verdana" w:eastAsia="Arial" w:hAnsi="Verdana" w:cs="Arial"/>
          <w:lang w:val="es-ES" w:eastAsia="es-ES" w:bidi="es-ES"/>
        </w:rPr>
      </w:pPr>
      <w:r w:rsidRPr="00343E12">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73E1050A" w14:textId="77777777" w:rsidR="00EE0007" w:rsidRPr="00343E12" w:rsidRDefault="00EE0007" w:rsidP="00EE0007">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1A8B4440" w14:textId="77777777" w:rsidR="00EE0007" w:rsidRPr="00F53072" w:rsidRDefault="00EE0007" w:rsidP="00EE0007">
      <w:pPr>
        <w:widowControl w:val="0"/>
        <w:autoSpaceDE w:val="0"/>
        <w:autoSpaceDN w:val="0"/>
        <w:spacing w:after="0" w:line="240" w:lineRule="auto"/>
        <w:ind w:left="709" w:right="709"/>
        <w:jc w:val="both"/>
        <w:rPr>
          <w:rFonts w:ascii="Verdana" w:eastAsia="Arial" w:hAnsi="Verdana" w:cs="Arial"/>
          <w:sz w:val="21"/>
          <w:szCs w:val="21"/>
          <w:lang w:eastAsia="es-ES" w:bidi="es-ES"/>
        </w:rPr>
      </w:pPr>
      <w:r w:rsidRPr="00F53072">
        <w:rPr>
          <w:rFonts w:ascii="Verdana" w:eastAsia="Arial" w:hAnsi="Verdana" w:cs="Arial"/>
          <w:sz w:val="21"/>
          <w:szCs w:val="21"/>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w:t>
      </w:r>
      <w:r w:rsidRPr="00F53072">
        <w:rPr>
          <w:rFonts w:ascii="Verdana" w:eastAsia="Arial" w:hAnsi="Verdana" w:cs="Arial"/>
          <w:sz w:val="21"/>
          <w:szCs w:val="21"/>
          <w:lang w:eastAsia="es-ES" w:bidi="es-ES"/>
        </w:rPr>
        <w:lastRenderedPageBreak/>
        <w:t>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F53072">
        <w:rPr>
          <w:rFonts w:ascii="Verdana" w:eastAsia="Arial" w:hAnsi="Verdana" w:cs="Arial"/>
          <w:sz w:val="21"/>
          <w:szCs w:val="21"/>
          <w:vertAlign w:val="superscript"/>
          <w:lang w:eastAsia="es-ES" w:bidi="es-ES"/>
        </w:rPr>
        <w:footnoteReference w:id="9"/>
      </w:r>
      <w:r w:rsidRPr="00F53072">
        <w:rPr>
          <w:rFonts w:ascii="Verdana" w:eastAsia="Arial" w:hAnsi="Verdana" w:cs="Arial"/>
          <w:sz w:val="21"/>
          <w:szCs w:val="21"/>
          <w:lang w:eastAsia="es-ES" w:bidi="es-ES"/>
        </w:rPr>
        <w:t>.</w:t>
      </w:r>
    </w:p>
    <w:p w14:paraId="6BC60937" w14:textId="77777777" w:rsidR="00EE0007" w:rsidRPr="00343E12" w:rsidRDefault="00EE0007" w:rsidP="00EE0007">
      <w:pPr>
        <w:widowControl w:val="0"/>
        <w:autoSpaceDE w:val="0"/>
        <w:autoSpaceDN w:val="0"/>
        <w:spacing w:after="0" w:line="240" w:lineRule="auto"/>
        <w:contextualSpacing/>
        <w:rPr>
          <w:rFonts w:ascii="Verdana" w:eastAsia="Arial" w:hAnsi="Verdana" w:cs="Arial"/>
          <w:lang w:val="es-ES" w:eastAsia="es-ES" w:bidi="es-ES"/>
        </w:rPr>
      </w:pPr>
    </w:p>
    <w:p w14:paraId="275C6523" w14:textId="77777777" w:rsidR="00EE0007" w:rsidRPr="00343E12"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sidRPr="00343E12">
        <w:rPr>
          <w:rFonts w:ascii="Verdana" w:eastAsia="Arial" w:hAnsi="Verdana" w:cs="Arial"/>
          <w:i/>
          <w:iCs/>
          <w:lang w:val="es-ES" w:eastAsia="es-ES" w:bidi="es-ES"/>
        </w:rPr>
        <w:t>En primer lugar</w:t>
      </w:r>
      <w:r w:rsidRPr="00343E12">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p>
    <w:p w14:paraId="1EA0C7C2" w14:textId="77777777" w:rsidR="00EE0007"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Arial" w:hAnsi="Verdana" w:cs="Arial"/>
          <w:i/>
          <w:iCs/>
          <w:lang w:val="es-ES" w:eastAsia="es-ES" w:bidi="es-ES"/>
        </w:rPr>
        <w:t>En segundo lugar</w:t>
      </w:r>
      <w:r w:rsidRPr="00343E12">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191C215D" w14:textId="77777777" w:rsidR="00EE0007" w:rsidRPr="00343E12"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6738B5FD" w14:textId="77777777" w:rsidR="00EE0007" w:rsidRPr="00343E12" w:rsidRDefault="00EE0007" w:rsidP="00EE0007">
      <w:pPr>
        <w:spacing w:after="120" w:line="276" w:lineRule="auto"/>
        <w:ind w:firstLine="709"/>
        <w:jc w:val="both"/>
        <w:rPr>
          <w:rFonts w:ascii="Verdana" w:eastAsia="Arial" w:hAnsi="Verdana" w:cs="Arial"/>
          <w:lang w:val="es-ES" w:eastAsia="es-ES" w:bidi="es-ES"/>
        </w:rPr>
      </w:pPr>
      <w:r w:rsidRPr="00343E12">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w:t>
      </w:r>
      <w:r w:rsidRPr="00343E12">
        <w:rPr>
          <w:rFonts w:ascii="Verdana" w:eastAsia="Arial" w:hAnsi="Verdana" w:cs="Arial"/>
          <w:lang w:val="es-ES" w:eastAsia="es-ES" w:bidi="es-ES"/>
        </w:rPr>
        <w:lastRenderedPageBreak/>
        <w:t xml:space="preserve">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05AA9683" w14:textId="77777777" w:rsidR="00EE0007" w:rsidRPr="00343E12" w:rsidRDefault="00EE0007" w:rsidP="00EE0007">
      <w:pPr>
        <w:widowControl w:val="0"/>
        <w:spacing w:after="120" w:line="276" w:lineRule="auto"/>
        <w:ind w:right="113" w:firstLine="709"/>
        <w:jc w:val="both"/>
        <w:rPr>
          <w:rFonts w:ascii="Verdana" w:eastAsia="Times New Roman" w:hAnsi="Verdana" w:cs="Arial"/>
          <w:bCs/>
          <w:lang w:eastAsia="es-CO"/>
        </w:rPr>
      </w:pPr>
      <w:r w:rsidRPr="00343E12">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 “</w:t>
      </w:r>
      <w:r w:rsidRPr="00343E12">
        <w:rPr>
          <w:rFonts w:ascii="Verdana" w:eastAsia="Times New Roman" w:hAnsi="Verdana" w:cs="Arial"/>
          <w:bCs/>
          <w:lang w:eastAsia="es-CO"/>
        </w:rPr>
        <w:t>1. </w:t>
      </w:r>
      <w:r w:rsidRPr="00343E12">
        <w:rPr>
          <w:rFonts w:ascii="Verdana" w:eastAsia="Times New Roman" w:hAnsi="Verdana" w:cs="Arial"/>
          <w:bCs/>
          <w:i/>
          <w:iCs/>
          <w:lang w:eastAsia="es-CO"/>
        </w:rPr>
        <w:t>Gral.</w:t>
      </w:r>
      <w:r w:rsidRPr="00343E12">
        <w:rPr>
          <w:rFonts w:ascii="Verdana" w:eastAsia="Times New Roman" w:hAnsi="Verdana" w:cs="Arial"/>
          <w:bCs/>
          <w:lang w:eastAsia="es-CO"/>
        </w:rPr>
        <w:t xml:space="preserve"> Otorgar o firmar un contrato. 2. </w:t>
      </w:r>
      <w:proofErr w:type="spellStart"/>
      <w:r w:rsidRPr="00343E12">
        <w:rPr>
          <w:rFonts w:ascii="Verdana" w:eastAsia="Times New Roman" w:hAnsi="Verdana" w:cs="Arial"/>
          <w:bCs/>
          <w:i/>
          <w:iCs/>
          <w:lang w:eastAsia="es-CO"/>
        </w:rPr>
        <w:t>Proc</w:t>
      </w:r>
      <w:proofErr w:type="spellEnd"/>
      <w:r w:rsidRPr="00343E12">
        <w:rPr>
          <w:rFonts w:ascii="Verdana" w:eastAsia="Times New Roman" w:hAnsi="Verdana" w:cs="Arial"/>
          <w:bCs/>
          <w:i/>
          <w:iCs/>
          <w:lang w:eastAsia="es-CO"/>
        </w:rPr>
        <w:t>.</w:t>
      </w:r>
      <w:r w:rsidRPr="00343E12">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7C5CCCC5" w14:textId="77777777" w:rsidR="00EE0007" w:rsidRPr="00343E12" w:rsidRDefault="00EE0007" w:rsidP="00EE0007">
      <w:pPr>
        <w:spacing w:after="120" w:line="276" w:lineRule="auto"/>
        <w:ind w:firstLine="709"/>
        <w:jc w:val="both"/>
        <w:rPr>
          <w:rFonts w:ascii="Verdana" w:eastAsia="Times New Roman" w:hAnsi="Verdana" w:cs="Arial"/>
          <w:bCs/>
          <w:lang w:val="es-ES" w:eastAsia="es-CO"/>
        </w:rPr>
      </w:pPr>
      <w:r w:rsidRPr="00343E12">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343E12">
        <w:rPr>
          <w:rFonts w:ascii="Verdana" w:eastAsia="Times New Roman" w:hAnsi="Verdana" w:cs="Arial"/>
          <w:bCs/>
          <w:lang w:val="es-ES" w:eastAsia="es-CO"/>
        </w:rPr>
        <w:t xml:space="preserve">la existencia de los contratos estatales, es decir, la producción de efectos jurídicos en los términos del artículo 1501 </w:t>
      </w:r>
      <w:proofErr w:type="spellStart"/>
      <w:r w:rsidRPr="00343E12">
        <w:rPr>
          <w:rFonts w:ascii="Verdana" w:eastAsia="Times New Roman" w:hAnsi="Verdana" w:cs="Arial"/>
          <w:bCs/>
          <w:i/>
          <w:lang w:val="es-ES" w:eastAsia="es-CO"/>
        </w:rPr>
        <w:t>ibídem</w:t>
      </w:r>
      <w:proofErr w:type="spellEnd"/>
      <w:r w:rsidRPr="00343E12">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0F288FB7" w14:textId="77777777" w:rsidR="00EE0007" w:rsidRPr="00343E12" w:rsidRDefault="00EE0007" w:rsidP="00EE0007">
      <w:pPr>
        <w:spacing w:after="120" w:line="276" w:lineRule="auto"/>
        <w:ind w:firstLine="709"/>
        <w:jc w:val="both"/>
        <w:rPr>
          <w:rFonts w:ascii="Verdana" w:eastAsia="Times New Roman" w:hAnsi="Verdana" w:cs="Arial"/>
          <w:bCs/>
          <w:lang w:val="es-ES" w:eastAsia="es-CO"/>
        </w:rPr>
      </w:pPr>
      <w:r w:rsidRPr="00343E12">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w:t>
      </w:r>
      <w:r w:rsidRPr="00343E12">
        <w:rPr>
          <w:rFonts w:ascii="Verdana" w:eastAsia="Times New Roman" w:hAnsi="Verdana" w:cs="Arial"/>
          <w:bCs/>
          <w:lang w:val="es-ES" w:eastAsia="es-CO"/>
        </w:rPr>
        <w:lastRenderedPageBreak/>
        <w:t xml:space="preserve">registro presupuestal, o en algunos casos, la firma del acta de inicio, si así se determinó. </w:t>
      </w:r>
    </w:p>
    <w:p w14:paraId="221E138F" w14:textId="77777777" w:rsidR="00EE0007" w:rsidRDefault="00EE0007" w:rsidP="00EE0007">
      <w:pPr>
        <w:spacing w:after="120" w:line="276" w:lineRule="auto"/>
        <w:ind w:firstLine="709"/>
        <w:jc w:val="both"/>
        <w:rPr>
          <w:rFonts w:ascii="Verdana" w:eastAsia="Times New Roman" w:hAnsi="Verdana" w:cs="Arial"/>
          <w:bCs/>
          <w:lang w:val="es-MX" w:eastAsia="es-CO"/>
        </w:rPr>
      </w:pPr>
      <w:r w:rsidRPr="00343E12">
        <w:rPr>
          <w:rFonts w:ascii="Verdana" w:eastAsia="Times New Roman" w:hAnsi="Verdana" w:cs="Arial"/>
          <w:bCs/>
          <w:lang w:val="es-ES" w:eastAsia="es-CO"/>
        </w:rPr>
        <w:t xml:space="preserve">Así mismo, </w:t>
      </w:r>
      <w:r w:rsidRPr="00343E12">
        <w:rPr>
          <w:rFonts w:ascii="Verdana" w:eastAsia="Times New Roman" w:hAnsi="Verdana" w:cs="Arial"/>
          <w:bCs/>
          <w:lang w:val="es-MX" w:eastAsia="es-CO"/>
        </w:rPr>
        <w:t xml:space="preserve">como en otras oportunidades lo ha manifestado esta Agencia, las prórrogas, modificaciones o adiciones de los contratos suscritos antes de la </w:t>
      </w:r>
      <w:proofErr w:type="gramStart"/>
      <w:r w:rsidRPr="00343E12">
        <w:rPr>
          <w:rFonts w:ascii="Verdana" w:eastAsia="Times New Roman" w:hAnsi="Verdana" w:cs="Arial"/>
          <w:bCs/>
          <w:lang w:val="es-MX" w:eastAsia="es-CO"/>
        </w:rPr>
        <w:t>entrada en vigencia</w:t>
      </w:r>
      <w:proofErr w:type="gramEnd"/>
      <w:r w:rsidRPr="00343E12">
        <w:rPr>
          <w:rFonts w:ascii="Verdana" w:eastAsia="Times New Roman" w:hAnsi="Verdana" w:cs="Arial"/>
          <w:bCs/>
          <w:lang w:val="es-MX" w:eastAsia="es-CO"/>
        </w:rPr>
        <w:t xml:space="preserve"> de las prohibiciones anotadas, así como la cesión de </w:t>
      </w:r>
      <w:proofErr w:type="gramStart"/>
      <w:r w:rsidRPr="00343E12">
        <w:rPr>
          <w:rFonts w:ascii="Verdana" w:eastAsia="Times New Roman" w:hAnsi="Verdana" w:cs="Arial"/>
          <w:bCs/>
          <w:lang w:val="es-MX" w:eastAsia="es-CO"/>
        </w:rPr>
        <w:t>los mismos</w:t>
      </w:r>
      <w:proofErr w:type="gramEnd"/>
      <w:r w:rsidRPr="00343E12">
        <w:rPr>
          <w:rFonts w:ascii="Verdana" w:eastAsia="Times New Roman" w:hAnsi="Verdana" w:cs="Arial"/>
          <w:bCs/>
          <w:lang w:val="es-MX" w:eastAsia="es-CO"/>
        </w:rPr>
        <w:t>, pueden tener lugar en el período de aplicación de la Ley de Garantías, sin que ello haga nugatoria la restricción de la contratación directa y siempre que cumplan los principios de planeación, transparencia y responsabilidad</w:t>
      </w:r>
      <w:r w:rsidRPr="00343E12">
        <w:rPr>
          <w:rFonts w:ascii="Verdana" w:eastAsia="Times New Roman" w:hAnsi="Verdana" w:cs="Arial"/>
          <w:bCs/>
          <w:vertAlign w:val="superscript"/>
          <w:lang w:val="es-MX" w:eastAsia="es-CO"/>
        </w:rPr>
        <w:footnoteReference w:id="10"/>
      </w:r>
      <w:r w:rsidRPr="00343E12">
        <w:rPr>
          <w:rFonts w:ascii="Verdana" w:eastAsia="Times New Roman" w:hAnsi="Verdana" w:cs="Arial"/>
          <w:bCs/>
          <w:lang w:val="es-MX" w:eastAsia="es-CO"/>
        </w:rPr>
        <w:t xml:space="preserve">. </w:t>
      </w:r>
    </w:p>
    <w:p w14:paraId="76E111A3" w14:textId="77777777" w:rsidR="00EE0007" w:rsidRPr="008F0091" w:rsidRDefault="00EE0007" w:rsidP="00EE0007">
      <w:pPr>
        <w:spacing w:after="120" w:line="276" w:lineRule="auto"/>
        <w:ind w:firstLine="709"/>
        <w:jc w:val="both"/>
        <w:rPr>
          <w:rFonts w:ascii="Verdana" w:eastAsia="Times New Roman" w:hAnsi="Verdana" w:cs="Arial"/>
          <w:bCs/>
          <w:lang w:val="es-ES" w:eastAsia="es-CO"/>
        </w:rPr>
      </w:pPr>
      <w:r w:rsidRPr="00343E12">
        <w:rPr>
          <w:rFonts w:ascii="Verdana" w:eastAsia="Arial" w:hAnsi="Verdana" w:cs="Arial"/>
          <w:lang w:val="es-ES" w:eastAsia="es-ES" w:bidi="es-ES"/>
        </w:rPr>
        <w:t xml:space="preserve">Ahora bien, </w:t>
      </w:r>
      <w:r w:rsidRPr="00343E12">
        <w:rPr>
          <w:rFonts w:ascii="Verdana" w:eastAsia="Calibri" w:hAnsi="Verdana" w:cs="Arial"/>
          <w:lang w:eastAsia="es-ES" w:bidi="es-ES"/>
        </w:rPr>
        <w:t xml:space="preserve">para responder al problema jurídico planteado resulta necesario precisar el alcance de la prohibición </w:t>
      </w:r>
      <w:r w:rsidRPr="00343E12">
        <w:rPr>
          <w:rFonts w:ascii="Verdana" w:eastAsia="Arial" w:hAnsi="Verdana" w:cs="Arial"/>
          <w:lang w:val="es-ES" w:eastAsia="es-ES" w:bidi="es-ES"/>
        </w:rPr>
        <w:t>establecida en e</w:t>
      </w:r>
      <w:r w:rsidRPr="00343E12">
        <w:rPr>
          <w:rFonts w:ascii="Verdana" w:eastAsia="Calibri" w:hAnsi="Verdana" w:cs="Arial"/>
        </w:rPr>
        <w:t xml:space="preserve">l </w:t>
      </w:r>
      <w:r w:rsidRPr="00343E12">
        <w:rPr>
          <w:rFonts w:ascii="Verdana" w:eastAsia="Times New Roman" w:hAnsi="Verdana" w:cs="Arial"/>
          <w:lang w:val="es-MX"/>
        </w:rPr>
        <w:t xml:space="preserve">artículo 33 de la Ley 996 de 2005. El ámbito material de la prohibición contenida en esta disposición está delimitado por la expresión </w:t>
      </w:r>
      <w:r w:rsidRPr="00343E12">
        <w:rPr>
          <w:rFonts w:ascii="Verdana" w:eastAsia="Calibri" w:hAnsi="Verdana" w:cs="Arial"/>
          <w:lang w:val="es-MX"/>
        </w:rPr>
        <w:t>“</w:t>
      </w:r>
      <w:r w:rsidRPr="00343E12">
        <w:rPr>
          <w:rFonts w:ascii="Verdana" w:eastAsia="Times New Roman" w:hAnsi="Verdana" w:cs="Arial"/>
          <w:lang w:val="es-MX"/>
        </w:rPr>
        <w:t>queda prohibida la contratación directa</w:t>
      </w:r>
      <w:r w:rsidRPr="00343E12">
        <w:rPr>
          <w:rFonts w:ascii="Verdana" w:eastAsia="Calibri" w:hAnsi="Verdana" w:cs="Arial"/>
          <w:lang w:val="es-MX"/>
        </w:rPr>
        <w:t>”</w:t>
      </w:r>
      <w:r w:rsidRPr="00343E12">
        <w:rPr>
          <w:rFonts w:ascii="Verdana" w:eastAsia="Times New Roman" w:hAnsi="Verdana" w:cs="Arial"/>
          <w:lang w:val="es-MX"/>
        </w:rPr>
        <w:t xml:space="preserve">. </w:t>
      </w:r>
      <w:r w:rsidRPr="00343E12">
        <w:rPr>
          <w:rFonts w:ascii="Verdana" w:eastAsia="Times New Roman" w:hAnsi="Verdana" w:cs="Arial"/>
          <w:lang w:val="es-MX" w:eastAsia="es-CO"/>
        </w:rPr>
        <w:t xml:space="preserve">A propósito de </w:t>
      </w:r>
      <w:r w:rsidRPr="00343E12">
        <w:rPr>
          <w:rFonts w:ascii="Verdana" w:eastAsia="Times New Roman" w:hAnsi="Verdana" w:cs="Arial"/>
          <w:lang w:eastAsia="es-CO"/>
        </w:rPr>
        <w:t>esta restricción de la Ley de Garantías Electorales, la Sala de Consulta y Servicio Civil del Consejo de Estado ha considerado que:</w:t>
      </w:r>
    </w:p>
    <w:p w14:paraId="336E9F5D" w14:textId="77777777" w:rsidR="00EE0007" w:rsidRPr="00305400" w:rsidRDefault="00EE0007" w:rsidP="00EE0007">
      <w:pPr>
        <w:spacing w:after="0" w:line="276" w:lineRule="auto"/>
        <w:ind w:left="708" w:right="709"/>
        <w:jc w:val="both"/>
        <w:rPr>
          <w:rFonts w:ascii="Verdana" w:eastAsia="Calibri" w:hAnsi="Verdana" w:cs="Arial"/>
          <w:sz w:val="20"/>
          <w:szCs w:val="20"/>
          <w:lang w:val="es-MX"/>
        </w:rPr>
      </w:pPr>
    </w:p>
    <w:p w14:paraId="35E48415" w14:textId="77777777" w:rsidR="00EE0007" w:rsidRPr="00305400" w:rsidRDefault="00EE0007" w:rsidP="00EE0007">
      <w:pPr>
        <w:spacing w:after="0" w:line="240" w:lineRule="auto"/>
        <w:ind w:left="709" w:right="709"/>
        <w:jc w:val="both"/>
        <w:rPr>
          <w:rFonts w:ascii="Verdana" w:eastAsia="Calibri" w:hAnsi="Verdana" w:cs="Arial"/>
          <w:sz w:val="20"/>
          <w:szCs w:val="20"/>
          <w:lang w:val="es-MX"/>
        </w:rPr>
      </w:pPr>
      <w:r w:rsidRPr="00305400">
        <w:rPr>
          <w:rFonts w:ascii="Verdana" w:eastAsia="Calibri"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305400">
        <w:rPr>
          <w:rFonts w:ascii="Verdana" w:eastAsia="Times New Roman" w:hAnsi="Verdana" w:cs="Arial"/>
          <w:sz w:val="20"/>
          <w:szCs w:val="20"/>
          <w:vertAlign w:val="superscript"/>
          <w:lang w:eastAsia="es-CO"/>
        </w:rPr>
        <w:footnoteReference w:id="11"/>
      </w:r>
      <w:r w:rsidRPr="00305400">
        <w:rPr>
          <w:rFonts w:ascii="Verdana" w:eastAsia="Calibri" w:hAnsi="Verdana" w:cs="Arial"/>
          <w:sz w:val="20"/>
          <w:szCs w:val="20"/>
          <w:lang w:val="es-MX"/>
        </w:rPr>
        <w:t>.</w:t>
      </w:r>
    </w:p>
    <w:p w14:paraId="1AABF68B" w14:textId="77777777" w:rsidR="00EE0007" w:rsidRPr="00305400" w:rsidRDefault="00EE0007" w:rsidP="00EE0007">
      <w:pPr>
        <w:spacing w:after="0" w:line="240" w:lineRule="auto"/>
        <w:ind w:left="709" w:right="709"/>
        <w:jc w:val="both"/>
        <w:rPr>
          <w:rFonts w:ascii="Verdana" w:eastAsia="Calibri" w:hAnsi="Verdana" w:cs="Arial"/>
          <w:sz w:val="20"/>
          <w:szCs w:val="20"/>
          <w:lang w:val="es-MX"/>
        </w:rPr>
      </w:pPr>
    </w:p>
    <w:p w14:paraId="521DEEF6" w14:textId="77777777" w:rsidR="00EE0007" w:rsidRPr="00305400" w:rsidRDefault="00EE0007" w:rsidP="00EE0007">
      <w:pPr>
        <w:spacing w:after="0" w:line="240" w:lineRule="auto"/>
        <w:ind w:left="709" w:right="709"/>
        <w:jc w:val="both"/>
        <w:rPr>
          <w:rFonts w:ascii="Verdana" w:hAnsi="Verdana"/>
          <w:sz w:val="20"/>
          <w:szCs w:val="20"/>
        </w:rPr>
      </w:pPr>
      <w:r w:rsidRPr="00305400">
        <w:rPr>
          <w:rFonts w:ascii="Verdana" w:eastAsia="Calibri" w:hAnsi="Verdana" w:cs="Arial"/>
          <w:sz w:val="20"/>
          <w:szCs w:val="20"/>
          <w:lang w:val="es-MX"/>
        </w:rPr>
        <w:t xml:space="preserve">Esta Sala ha entendido </w:t>
      </w:r>
      <w:proofErr w:type="gramStart"/>
      <w:r w:rsidRPr="00305400">
        <w:rPr>
          <w:rFonts w:ascii="Verdana" w:eastAsia="Calibri" w:hAnsi="Verdana" w:cs="Arial"/>
          <w:sz w:val="20"/>
          <w:szCs w:val="20"/>
          <w:lang w:val="es-MX"/>
        </w:rPr>
        <w:t>que</w:t>
      </w:r>
      <w:proofErr w:type="gramEnd"/>
      <w:r w:rsidRPr="00305400">
        <w:rPr>
          <w:rFonts w:ascii="Verdana" w:eastAsia="Calibri" w:hAnsi="Verdana" w:cs="Arial"/>
          <w:sz w:val="20"/>
          <w:szCs w:val="20"/>
          <w:lang w:val="es-MX"/>
        </w:rPr>
        <w:t xml:space="preserv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305400">
        <w:rPr>
          <w:rFonts w:ascii="Verdana" w:eastAsia="Times New Roman" w:hAnsi="Verdana" w:cs="Arial"/>
          <w:sz w:val="20"/>
          <w:szCs w:val="20"/>
          <w:vertAlign w:val="superscript"/>
          <w:lang w:val="es-MX"/>
        </w:rPr>
        <w:footnoteReference w:id="12"/>
      </w:r>
      <w:r w:rsidRPr="00305400">
        <w:rPr>
          <w:rFonts w:ascii="Verdana" w:eastAsia="Times New Roman" w:hAnsi="Verdana" w:cs="Arial"/>
          <w:sz w:val="20"/>
          <w:szCs w:val="20"/>
          <w:vertAlign w:val="superscript"/>
          <w:lang w:val="es-MX"/>
        </w:rPr>
        <w:t>.</w:t>
      </w:r>
      <w:r w:rsidRPr="00305400">
        <w:rPr>
          <w:rFonts w:ascii="Verdana" w:eastAsia="Calibri"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305400">
        <w:rPr>
          <w:rFonts w:ascii="Verdana" w:eastAsia="Times New Roman" w:hAnsi="Verdana" w:cs="Arial"/>
          <w:sz w:val="20"/>
          <w:szCs w:val="20"/>
          <w:vertAlign w:val="superscript"/>
          <w:lang w:eastAsia="es-CO"/>
        </w:rPr>
        <w:footnoteReference w:id="13"/>
      </w:r>
    </w:p>
    <w:p w14:paraId="6165439C" w14:textId="77777777" w:rsidR="00EE0007" w:rsidRPr="00E25E93" w:rsidRDefault="00EE0007" w:rsidP="00EE0007">
      <w:pPr>
        <w:spacing w:after="120" w:line="276" w:lineRule="auto"/>
        <w:ind w:firstLine="709"/>
        <w:jc w:val="both"/>
        <w:rPr>
          <w:rFonts w:ascii="Verdana" w:hAnsi="Verdana"/>
        </w:rPr>
      </w:pPr>
    </w:p>
    <w:p w14:paraId="04DF9543" w14:textId="77777777" w:rsidR="00EE0007" w:rsidRPr="00E25E93" w:rsidRDefault="00EE0007" w:rsidP="00EE0007">
      <w:pPr>
        <w:spacing w:after="120" w:line="276" w:lineRule="auto"/>
        <w:ind w:firstLine="709"/>
        <w:jc w:val="both"/>
        <w:rPr>
          <w:rFonts w:ascii="Verdana" w:eastAsia="Times New Roman" w:hAnsi="Verdana" w:cs="Arial"/>
          <w:bCs/>
          <w:lang w:eastAsia="x-none"/>
        </w:rPr>
      </w:pPr>
      <w:r w:rsidRPr="00E25E93">
        <w:rPr>
          <w:rFonts w:ascii="Verdana" w:eastAsia="Times New Roman" w:hAnsi="Verdana" w:cs="Arial"/>
          <w:lang w:eastAsia="x-none"/>
        </w:rPr>
        <w:t xml:space="preserve">De acuerdo con el citado concepto, la prohibición del artículo 33 de la Ley de Garantías Electorales se refiere a </w:t>
      </w:r>
      <w:r w:rsidRPr="00E25E93">
        <w:rPr>
          <w:rFonts w:ascii="Verdana" w:eastAsia="Times New Roman" w:hAnsi="Verdana" w:cs="Arial"/>
          <w:lang w:eastAsia="en-GB"/>
        </w:rPr>
        <w:t>“</w:t>
      </w:r>
      <w:r w:rsidRPr="00E25E93">
        <w:rPr>
          <w:rFonts w:ascii="Verdana" w:eastAsia="Times New Roman" w:hAnsi="Verdana" w:cs="Arial"/>
          <w:lang w:eastAsia="x-none"/>
        </w:rPr>
        <w:t>cualquier sistema que no implique convocatoria pública y posibilidad de pluralidad de oferentes</w:t>
      </w:r>
      <w:r w:rsidRPr="00E25E93">
        <w:rPr>
          <w:rFonts w:ascii="Verdana" w:eastAsia="Times New Roman" w:hAnsi="Verdana" w:cs="Arial"/>
          <w:lang w:eastAsia="en-GB"/>
        </w:rPr>
        <w:t>”</w:t>
      </w:r>
      <w:r w:rsidRPr="00E25E93">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sidRPr="00E25E93">
        <w:rPr>
          <w:rFonts w:ascii="Verdana" w:eastAsia="Times New Roman" w:hAnsi="Verdana" w:cs="Arial"/>
          <w:lang w:val="es-ES_tradnl" w:eastAsia="x-none"/>
        </w:rPr>
        <w:t>y la mínima cuantía</w:t>
      </w:r>
      <w:r w:rsidRPr="00E25E93" w:rsidDel="00A85D9F">
        <w:rPr>
          <w:rFonts w:ascii="Verdana" w:eastAsia="Times New Roman" w:hAnsi="Verdana" w:cs="Arial"/>
          <w:lang w:eastAsia="x-none"/>
        </w:rPr>
        <w:t xml:space="preserve"> </w:t>
      </w:r>
      <w:r w:rsidRPr="00E25E93">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sidRPr="00E25E93">
        <w:rPr>
          <w:rFonts w:ascii="Verdana" w:eastAsia="Times New Roman" w:hAnsi="Verdana" w:cs="Arial"/>
          <w:vertAlign w:val="superscript"/>
          <w:lang w:val="en-GB" w:eastAsia="x-none"/>
        </w:rPr>
        <w:footnoteReference w:id="14"/>
      </w:r>
      <w:r w:rsidRPr="00E25E93">
        <w:rPr>
          <w:rFonts w:ascii="Verdana" w:eastAsia="Times New Roman" w:hAnsi="Verdana" w:cs="Arial"/>
          <w:lang w:eastAsia="x-none"/>
        </w:rPr>
        <w:t xml:space="preserve"> y sistematizó las causales de contratación directa</w:t>
      </w:r>
      <w:r w:rsidRPr="00E25E93">
        <w:rPr>
          <w:rFonts w:ascii="Verdana" w:eastAsia="Times New Roman" w:hAnsi="Verdana" w:cs="Arial"/>
          <w:vertAlign w:val="superscript"/>
          <w:lang w:val="en-GB" w:eastAsia="x-none"/>
        </w:rPr>
        <w:footnoteReference w:id="15"/>
      </w:r>
      <w:r w:rsidRPr="00E25E93">
        <w:rPr>
          <w:rFonts w:ascii="Verdana" w:eastAsia="Times New Roman" w:hAnsi="Verdana" w:cs="Arial"/>
          <w:lang w:eastAsia="x-none"/>
        </w:rPr>
        <w:t xml:space="preserve">, </w:t>
      </w:r>
      <w:r w:rsidRPr="00E25E93">
        <w:rPr>
          <w:rFonts w:ascii="Verdana" w:eastAsia="Calibri" w:hAnsi="Verdana" w:cs="Arial"/>
          <w:lang w:eastAsia="x-none"/>
        </w:rPr>
        <w:t>además lo es con la posterior creación de la modalidad de mínima cuantía establecida actualmente en el numeral 5 del artículo 2 de la Ley 1150 de 2007, de acuerdo con las modificaciones realizadas por leyes posteriores.</w:t>
      </w:r>
    </w:p>
    <w:p w14:paraId="106DD9CC" w14:textId="77777777" w:rsidR="00EE0007" w:rsidRPr="00E25E93" w:rsidRDefault="00EE0007" w:rsidP="00EE0007">
      <w:pPr>
        <w:spacing w:after="120" w:line="276" w:lineRule="auto"/>
        <w:ind w:firstLine="709"/>
        <w:jc w:val="both"/>
        <w:rPr>
          <w:rFonts w:ascii="Verdana" w:eastAsia="Times New Roman" w:hAnsi="Verdana" w:cs="Arial"/>
          <w:lang w:val="es-MX"/>
        </w:rPr>
      </w:pPr>
      <w:r w:rsidRPr="00E25E93">
        <w:rPr>
          <w:rFonts w:ascii="Verdana" w:eastAsia="Times New Roman" w:hAnsi="Verdana" w:cs="Arial"/>
          <w:lang w:eastAsia="x-none"/>
        </w:rPr>
        <w:t xml:space="preserve">De esta forma, con fundamento en la evolución de la normativa sobre la contratación pública, se ha depurado la noción de </w:t>
      </w:r>
      <w:r w:rsidRPr="00E25E93">
        <w:rPr>
          <w:rFonts w:ascii="Verdana" w:eastAsia="Times New Roman" w:hAnsi="Verdana" w:cs="Arial"/>
          <w:lang w:eastAsia="en-GB"/>
        </w:rPr>
        <w:t>“</w:t>
      </w:r>
      <w:r w:rsidRPr="00E25E93">
        <w:rPr>
          <w:rFonts w:ascii="Verdana" w:eastAsia="Times New Roman" w:hAnsi="Verdana" w:cs="Arial"/>
          <w:lang w:eastAsia="x-none"/>
        </w:rPr>
        <w:t>contratación directa</w:t>
      </w:r>
      <w:r w:rsidRPr="00E25E93">
        <w:rPr>
          <w:rFonts w:ascii="Verdana" w:eastAsia="Times New Roman" w:hAnsi="Verdana" w:cs="Arial"/>
          <w:lang w:eastAsia="en-GB"/>
        </w:rPr>
        <w:t>”</w:t>
      </w:r>
      <w:r w:rsidRPr="00E25E93">
        <w:rPr>
          <w:rFonts w:ascii="Verdana" w:eastAsia="Times New Roman"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E25E93">
        <w:rPr>
          <w:rFonts w:ascii="Verdana" w:eastAsia="Times New Roman" w:hAnsi="Verdana" w:cs="Arial"/>
          <w:vertAlign w:val="superscript"/>
          <w:lang w:val="en-GB"/>
        </w:rPr>
        <w:footnoteReference w:id="16"/>
      </w:r>
      <w:r w:rsidRPr="00E25E93">
        <w:rPr>
          <w:rFonts w:ascii="Verdana" w:eastAsia="Times New Roman" w:hAnsi="Verdana" w:cs="Arial"/>
          <w:lang w:eastAsia="x-none"/>
        </w:rPr>
        <w:t>, han establecido sistemas de contratación que implican convocatoria pública y participación de varios oferentes</w:t>
      </w:r>
      <w:r w:rsidRPr="00E25E93">
        <w:rPr>
          <w:rFonts w:ascii="Verdana" w:eastAsia="Times New Roman" w:hAnsi="Verdana" w:cs="Arial"/>
          <w:lang w:eastAsia="en-GB"/>
        </w:rPr>
        <w:t>”</w:t>
      </w:r>
      <w:r w:rsidRPr="00E25E93">
        <w:rPr>
          <w:rFonts w:ascii="Verdana" w:eastAsia="Times New Roman" w:hAnsi="Verdana" w:cs="Arial"/>
          <w:lang w:eastAsia="x-none"/>
        </w:rPr>
        <w:t xml:space="preserve">. </w:t>
      </w:r>
    </w:p>
    <w:p w14:paraId="61493243" w14:textId="77777777" w:rsidR="00EE0007" w:rsidRPr="00E25E93" w:rsidRDefault="00EE0007" w:rsidP="00EE0007">
      <w:pPr>
        <w:spacing w:after="120" w:line="276" w:lineRule="auto"/>
        <w:ind w:firstLine="709"/>
        <w:jc w:val="both"/>
        <w:rPr>
          <w:rFonts w:ascii="Verdana" w:eastAsia="Times New Roman" w:hAnsi="Verdana" w:cs="Arial"/>
          <w:bCs/>
          <w:lang w:val="es-MX" w:eastAsia="es-CO"/>
        </w:rPr>
      </w:pPr>
      <w:r w:rsidRPr="00E25E93">
        <w:rPr>
          <w:rFonts w:ascii="Verdana" w:eastAsia="Times New Roman" w:hAnsi="Verdana" w:cs="Arial"/>
          <w:lang w:val="es-MX"/>
        </w:rPr>
        <w:t>E</w:t>
      </w:r>
      <w:r w:rsidRPr="00E25E93">
        <w:rPr>
          <w:rFonts w:ascii="Verdana" w:eastAsia="Times New Roman" w:hAnsi="Verdana" w:cs="Arial"/>
          <w:lang w:eastAsia="x-none"/>
        </w:rPr>
        <w:t xml:space="preserv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w:t>
      </w:r>
      <w:r w:rsidRPr="00E25E93">
        <w:rPr>
          <w:rFonts w:ascii="Verdana" w:eastAsia="Times New Roman" w:hAnsi="Verdana" w:cs="Arial"/>
          <w:lang w:eastAsia="x-none"/>
        </w:rPr>
        <w:lastRenderedPageBreak/>
        <w:t>dicho sistema no constituye “contratación directa”, es que la convocatoria para inscribirse en forma previa se haga de manera pública, y que se permita la participación de una pluralidad de oferentes</w:t>
      </w:r>
      <w:r w:rsidRPr="00E25E93">
        <w:rPr>
          <w:rFonts w:ascii="Verdana" w:eastAsia="Times New Roman" w:hAnsi="Verdana" w:cs="Arial"/>
          <w:vertAlign w:val="superscript"/>
          <w:lang w:eastAsia="x-none"/>
        </w:rPr>
        <w:footnoteReference w:id="17"/>
      </w:r>
      <w:r w:rsidRPr="00E25E93">
        <w:rPr>
          <w:rFonts w:ascii="Verdana" w:eastAsia="Times New Roman" w:hAnsi="Verdana" w:cs="Arial"/>
          <w:lang w:eastAsia="x-none"/>
        </w:rPr>
        <w:t xml:space="preserve">. </w:t>
      </w:r>
    </w:p>
    <w:p w14:paraId="501A154C" w14:textId="77777777" w:rsidR="00EE0007" w:rsidRPr="00E25E93" w:rsidRDefault="00EE0007" w:rsidP="00EE0007">
      <w:pPr>
        <w:spacing w:after="120" w:line="276" w:lineRule="auto"/>
        <w:ind w:firstLine="709"/>
        <w:jc w:val="both"/>
        <w:rPr>
          <w:rFonts w:ascii="Verdana" w:eastAsia="Times New Roman" w:hAnsi="Verdana" w:cs="Arial"/>
          <w:bCs/>
          <w:lang w:val="es-MX" w:eastAsia="es-CO"/>
        </w:rPr>
      </w:pPr>
      <w:r w:rsidRPr="00E25E93">
        <w:rPr>
          <w:rFonts w:ascii="Verdana" w:eastAsia="Times New Roman" w:hAnsi="Verdana" w:cs="Arial"/>
          <w:bCs/>
          <w:lang w:val="es-MX" w:eastAsia="es-CO"/>
        </w:rPr>
        <w:t>Como se advierte de lo anterior, el Consejo de Estado realiza una interpretación amplia de la contratación directa, para efectos de aplicar las restricciones establecidas en la Ley de Garantías</w:t>
      </w:r>
      <w:r w:rsidRPr="00E25E93">
        <w:rPr>
          <w:rFonts w:ascii="Verdana" w:eastAsia="Times New Roman" w:hAnsi="Verdana" w:cs="Arial"/>
          <w:lang w:val="es-MX" w:eastAsia="es-CO"/>
        </w:rPr>
        <w:t xml:space="preserve"> Electorales</w:t>
      </w:r>
      <w:r w:rsidRPr="00E25E93">
        <w:rPr>
          <w:rFonts w:ascii="Verdana" w:eastAsia="Times New Roman" w:hAnsi="Verdana" w:cs="Arial"/>
          <w:bCs/>
          <w:lang w:val="es-MX" w:eastAsia="es-CO"/>
        </w:rPr>
        <w:t xml:space="preserve">,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E25E93">
        <w:rPr>
          <w:rFonts w:ascii="Verdana" w:eastAsia="Times New Roman" w:hAnsi="Verdana" w:cs="Arial"/>
          <w:lang w:val="es-MX" w:eastAsia="es-CO"/>
        </w:rPr>
        <w:t>“</w:t>
      </w:r>
      <w:r w:rsidRPr="00E25E93">
        <w:rPr>
          <w:rFonts w:ascii="Verdana" w:eastAsia="Times New Roman" w:hAnsi="Verdana" w:cs="Arial"/>
          <w:bCs/>
          <w:lang w:val="es-MX" w:eastAsia="es-CO"/>
        </w:rPr>
        <w:t>contratación directa</w:t>
      </w:r>
      <w:r w:rsidRPr="00E25E93">
        <w:rPr>
          <w:rFonts w:ascii="Verdana" w:eastAsia="Times New Roman" w:hAnsi="Verdana" w:cs="Arial"/>
          <w:lang w:val="es-MX" w:eastAsia="es-CO"/>
        </w:rPr>
        <w:t>”.</w:t>
      </w:r>
    </w:p>
    <w:p w14:paraId="13AFE01A" w14:textId="77777777" w:rsidR="00EE0007" w:rsidRPr="00E25E93" w:rsidRDefault="00EE0007" w:rsidP="00EE0007">
      <w:pPr>
        <w:spacing w:after="120" w:line="276" w:lineRule="auto"/>
        <w:ind w:firstLine="709"/>
        <w:jc w:val="both"/>
        <w:rPr>
          <w:rFonts w:ascii="Verdana" w:eastAsia="Times New Roman" w:hAnsi="Verdana" w:cs="Arial"/>
          <w:bCs/>
          <w:lang w:val="es-MX" w:eastAsia="x-none"/>
        </w:rPr>
      </w:pPr>
      <w:r w:rsidRPr="00E25E93">
        <w:rPr>
          <w:rFonts w:ascii="Verdana" w:eastAsia="Times New Roman" w:hAnsi="Verdana" w:cs="Arial"/>
          <w:bCs/>
          <w:lang w:val="es-MX"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E25E93">
        <w:rPr>
          <w:rFonts w:ascii="Verdana" w:eastAsia="Times New Roman" w:hAnsi="Verdana" w:cs="Arial"/>
          <w:vertAlign w:val="superscript"/>
          <w:lang w:eastAsia="x-none"/>
        </w:rPr>
        <w:footnoteReference w:id="18"/>
      </w:r>
      <w:r w:rsidRPr="00E25E93">
        <w:rPr>
          <w:rFonts w:ascii="Verdana" w:eastAsia="Times New Roman" w:hAnsi="Verdana" w:cs="Arial"/>
          <w:bCs/>
          <w:lang w:val="es-MX" w:eastAsia="x-none"/>
        </w:rPr>
        <w:t>.</w:t>
      </w:r>
      <w:r w:rsidRPr="00E25E93">
        <w:rPr>
          <w:rFonts w:ascii="Verdana" w:eastAsia="Times New Roman" w:hAnsi="Verdana" w:cs="Arial"/>
          <w:vertAlign w:val="superscript"/>
          <w:lang w:eastAsia="x-none"/>
        </w:rPr>
        <w:t xml:space="preserve"> </w:t>
      </w:r>
    </w:p>
    <w:p w14:paraId="5D34F09A" w14:textId="77777777" w:rsidR="00EE0007" w:rsidRPr="00E25E93" w:rsidRDefault="00EE0007" w:rsidP="00EE0007">
      <w:pPr>
        <w:spacing w:after="120" w:line="276" w:lineRule="auto"/>
        <w:ind w:firstLine="709"/>
        <w:jc w:val="both"/>
        <w:rPr>
          <w:rFonts w:ascii="Verdana" w:eastAsia="Times New Roman" w:hAnsi="Verdana" w:cs="Arial"/>
          <w:lang w:eastAsia="x-none"/>
        </w:rPr>
      </w:pPr>
      <w:r w:rsidRPr="00E25E93">
        <w:rPr>
          <w:rFonts w:ascii="Verdana" w:eastAsia="Times New Roman" w:hAnsi="Verdana" w:cs="Arial"/>
          <w:bCs/>
          <w:lang w:val="es-MX" w:eastAsia="x-none"/>
        </w:rPr>
        <w:t>De lo anterior se desprende que la restricción aplica, sin perjuicio de las excepciones establecidas en la misma ley, para celebrar cualquier contrato de forma directa, esto es, sin que exista un proceso abierto y competitivo.</w:t>
      </w:r>
      <w:r w:rsidRPr="00E25E93">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52FF35C3" w14:textId="77777777" w:rsidR="00EE0007" w:rsidRPr="00E25E93" w:rsidRDefault="00EE0007" w:rsidP="00EE0007">
      <w:pPr>
        <w:spacing w:after="120" w:line="276" w:lineRule="auto"/>
        <w:ind w:firstLine="709"/>
        <w:jc w:val="both"/>
        <w:rPr>
          <w:rFonts w:ascii="Verdana" w:eastAsia="Times New Roman" w:hAnsi="Verdana" w:cs="Arial"/>
          <w:bCs/>
          <w:lang w:val="es-MX" w:eastAsia="es-CO"/>
        </w:rPr>
      </w:pPr>
      <w:r w:rsidRPr="00E25E93">
        <w:rPr>
          <w:rFonts w:ascii="Verdana" w:eastAsia="Times New Roman" w:hAnsi="Verdana" w:cs="Arial"/>
          <w:bCs/>
          <w:lang w:val="es-MX" w:eastAsia="es-CO"/>
        </w:rPr>
        <w:t xml:space="preserve">Como en otras oportunidades lo ha manifestado esta Agencia, las prórrogas, modificaciones o adiciones de los contratos suscritos antes de la </w:t>
      </w:r>
      <w:proofErr w:type="gramStart"/>
      <w:r w:rsidRPr="00E25E93">
        <w:rPr>
          <w:rFonts w:ascii="Verdana" w:eastAsia="Times New Roman" w:hAnsi="Verdana" w:cs="Arial"/>
          <w:bCs/>
          <w:lang w:val="es-MX" w:eastAsia="es-CO"/>
        </w:rPr>
        <w:t>entrada en vigencia</w:t>
      </w:r>
      <w:proofErr w:type="gramEnd"/>
      <w:r w:rsidRPr="00E25E93">
        <w:rPr>
          <w:rFonts w:ascii="Verdana" w:eastAsia="Times New Roman" w:hAnsi="Verdana" w:cs="Arial"/>
          <w:bCs/>
          <w:lang w:val="es-MX" w:eastAsia="es-CO"/>
        </w:rPr>
        <w:t xml:space="preserve"> de las prohibiciones anotadas, así como la cesión de </w:t>
      </w:r>
      <w:proofErr w:type="gramStart"/>
      <w:r w:rsidRPr="00E25E93">
        <w:rPr>
          <w:rFonts w:ascii="Verdana" w:eastAsia="Times New Roman" w:hAnsi="Verdana" w:cs="Arial"/>
          <w:bCs/>
          <w:lang w:val="es-MX" w:eastAsia="es-CO"/>
        </w:rPr>
        <w:t>los mismos</w:t>
      </w:r>
      <w:proofErr w:type="gramEnd"/>
      <w:r w:rsidRPr="00E25E93">
        <w:rPr>
          <w:rFonts w:ascii="Verdana" w:eastAsia="Times New Roman" w:hAnsi="Verdana" w:cs="Arial"/>
          <w:bCs/>
          <w:lang w:val="es-MX" w:eastAsia="es-CO"/>
        </w:rPr>
        <w:t>, pueden tener lugar en el período de aplicación de la Ley de Garantías</w:t>
      </w:r>
      <w:r w:rsidRPr="00E25E93">
        <w:rPr>
          <w:rFonts w:ascii="Verdana" w:eastAsia="Times New Roman" w:hAnsi="Verdana" w:cs="Arial"/>
          <w:lang w:val="es-MX" w:eastAsia="es-CO"/>
        </w:rPr>
        <w:t xml:space="preserve"> Electorales</w:t>
      </w:r>
      <w:r w:rsidRPr="00E25E93">
        <w:rPr>
          <w:rFonts w:ascii="Verdana" w:eastAsia="Times New Roman" w:hAnsi="Verdana" w:cs="Arial"/>
          <w:bCs/>
          <w:lang w:val="es-MX" w:eastAsia="es-CO"/>
        </w:rPr>
        <w:t xml:space="preserve">, sin que ello haga nugatoria la restricción de la contratación directa y siempre que cumplan los principios de planeación, transparencia y </w:t>
      </w:r>
      <w:r w:rsidRPr="00E25E93">
        <w:rPr>
          <w:rFonts w:ascii="Verdana" w:eastAsia="Times New Roman" w:hAnsi="Verdana" w:cs="Arial"/>
          <w:bCs/>
          <w:lang w:val="es-MX" w:eastAsia="es-CO"/>
        </w:rPr>
        <w:lastRenderedPageBreak/>
        <w:t>responsabilidad</w:t>
      </w:r>
      <w:r w:rsidRPr="00E25E93">
        <w:rPr>
          <w:rFonts w:ascii="Verdana" w:eastAsia="Times New Roman" w:hAnsi="Verdana" w:cs="Arial"/>
          <w:bCs/>
          <w:vertAlign w:val="superscript"/>
          <w:lang w:val="es-MX" w:eastAsia="es-CO"/>
        </w:rPr>
        <w:footnoteReference w:id="19"/>
      </w:r>
      <w:r w:rsidRPr="00E25E93">
        <w:rPr>
          <w:rFonts w:ascii="Verdana" w:eastAsia="Times New Roman" w:hAnsi="Verdana" w:cs="Arial"/>
          <w:bCs/>
          <w:lang w:val="es-MX" w:eastAsia="es-CO"/>
        </w:rPr>
        <w:t xml:space="preserve">. Además, también es posible que contratos celebrados previamente se continúen ejecutando con normalidad. </w:t>
      </w:r>
    </w:p>
    <w:p w14:paraId="23BE504F" w14:textId="77777777" w:rsidR="00EE0007" w:rsidRPr="00E25E93" w:rsidRDefault="00EE0007" w:rsidP="00EE0007">
      <w:pPr>
        <w:spacing w:after="120" w:line="276" w:lineRule="auto"/>
        <w:ind w:firstLine="709"/>
        <w:jc w:val="both"/>
        <w:rPr>
          <w:rFonts w:ascii="Verdana" w:eastAsia="Times New Roman" w:hAnsi="Verdana" w:cs="Arial"/>
          <w:lang w:val="es-MX" w:eastAsia="es-CO"/>
        </w:rPr>
      </w:pPr>
      <w:r w:rsidRPr="00E25E93">
        <w:rPr>
          <w:rFonts w:ascii="Verdana" w:eastAsia="Times New Roman" w:hAnsi="Verdana" w:cs="Arial"/>
          <w:lang w:val="es-MX"/>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w:t>
      </w:r>
      <w:proofErr w:type="spellStart"/>
      <w:r w:rsidRPr="00E25E93">
        <w:rPr>
          <w:rFonts w:ascii="Verdana" w:eastAsia="Times New Roman" w:hAnsi="Verdana" w:cs="Arial"/>
          <w:lang w:val="es-MX"/>
        </w:rPr>
        <w:t>ii</w:t>
      </w:r>
      <w:proofErr w:type="spellEnd"/>
      <w:r w:rsidRPr="00E25E93">
        <w:rPr>
          <w:rFonts w:ascii="Verdana" w:eastAsia="Times New Roman" w:hAnsi="Verdana" w:cs="Arial"/>
          <w:lang w:val="es-MX"/>
        </w:rPr>
        <w:t xml:space="preserve">) los contratos de crédito público; </w:t>
      </w:r>
      <w:proofErr w:type="spellStart"/>
      <w:r w:rsidRPr="00E25E93">
        <w:rPr>
          <w:rFonts w:ascii="Verdana" w:eastAsia="Times New Roman" w:hAnsi="Verdana" w:cs="Arial"/>
          <w:lang w:val="es-MX"/>
        </w:rPr>
        <w:t>iii</w:t>
      </w:r>
      <w:proofErr w:type="spellEnd"/>
      <w:r w:rsidRPr="00E25E93">
        <w:rPr>
          <w:rFonts w:ascii="Verdana" w:eastAsia="Times New Roman" w:hAnsi="Verdana" w:cs="Arial"/>
          <w:lang w:val="es-MX"/>
        </w:rPr>
        <w:t xml:space="preserve">) los requeridos para cubrir las emergencias educativas, sanitarias y desastres; </w:t>
      </w:r>
      <w:proofErr w:type="spellStart"/>
      <w:r w:rsidRPr="00E25E93">
        <w:rPr>
          <w:rFonts w:ascii="Verdana" w:eastAsia="Times New Roman" w:hAnsi="Verdana" w:cs="Arial"/>
          <w:lang w:val="es-MX"/>
        </w:rPr>
        <w:t>iv</w:t>
      </w:r>
      <w:proofErr w:type="spellEnd"/>
      <w:r w:rsidRPr="00E25E93">
        <w:rPr>
          <w:rFonts w:ascii="Verdana" w:eastAsia="Times New Roman" w:hAnsi="Verdana" w:cs="Arial"/>
          <w:lang w:val="es-MX"/>
        </w:rPr>
        <w:t xml:space="preserve">) los utilizados para la reconstrucción de vías, puentes, carreteras, infraestructura energética y de comunicaciones, en caso de que hayan sido objeto de atentados, acciones terroristas, desastres naturales o casos de fuerza mayor; y, v) </w:t>
      </w:r>
      <w:r w:rsidRPr="00E25E93">
        <w:rPr>
          <w:rFonts w:ascii="Verdana" w:eastAsia="Times New Roman" w:hAnsi="Verdana" w:cs="Arial"/>
          <w:i/>
          <w:lang w:val="es-MX"/>
        </w:rPr>
        <w:t>los que deban realizar las entidades sanitarias y hospitalarias.</w:t>
      </w:r>
      <w:r w:rsidRPr="00E25E93">
        <w:rPr>
          <w:rFonts w:ascii="Verdana" w:eastAsia="Times New Roman" w:hAnsi="Verdana" w:cs="Arial"/>
          <w:bCs/>
          <w:lang w:val="es-MX" w:eastAsia="es-CO"/>
        </w:rPr>
        <w:t xml:space="preserve"> </w:t>
      </w:r>
    </w:p>
    <w:p w14:paraId="571BB1B4" w14:textId="77777777" w:rsidR="00EE0007" w:rsidRPr="00E25E93" w:rsidRDefault="00EE0007" w:rsidP="00EE0007">
      <w:pPr>
        <w:spacing w:after="120" w:line="276" w:lineRule="auto"/>
        <w:ind w:firstLine="709"/>
        <w:jc w:val="both"/>
        <w:rPr>
          <w:rFonts w:ascii="Verdana" w:eastAsia="Times New Roman" w:hAnsi="Verdana" w:cs="Arial"/>
          <w:bCs/>
          <w:lang w:val="es-MX" w:eastAsia="es-CO"/>
        </w:rPr>
      </w:pPr>
      <w:r w:rsidRPr="00E25E93">
        <w:rPr>
          <w:rFonts w:ascii="Verdana" w:eastAsia="Times New Roman" w:hAnsi="Verdana" w:cs="Arial"/>
          <w:lang w:val="es-MX" w:eastAsia="es-CO"/>
        </w:rPr>
        <w:t>Conforme a las anteriores excepciones, es</w:t>
      </w:r>
      <w:r w:rsidRPr="00E25E93">
        <w:rPr>
          <w:rFonts w:ascii="Verdana" w:eastAsia="Times New Roman" w:hAnsi="Verdana" w:cs="Arial"/>
          <w:bCs/>
          <w:lang w:val="es-MX" w:eastAsia="es-CO"/>
        </w:rPr>
        <w:t xml:space="preserve">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5C7D1969" w14:textId="77777777" w:rsidR="00EE0007" w:rsidRPr="00E25E93" w:rsidRDefault="00EE0007" w:rsidP="00EE0007">
      <w:pPr>
        <w:spacing w:after="120" w:line="276" w:lineRule="auto"/>
        <w:ind w:firstLine="709"/>
        <w:jc w:val="both"/>
        <w:rPr>
          <w:rFonts w:ascii="Verdana" w:eastAsia="Times New Roman" w:hAnsi="Verdana" w:cs="Arial"/>
          <w:lang w:val="es-MX"/>
        </w:rPr>
      </w:pPr>
      <w:r w:rsidRPr="00E25E93">
        <w:rPr>
          <w:rFonts w:ascii="Verdana" w:eastAsia="Times New Roman" w:hAnsi="Verdana" w:cs="Arial"/>
          <w:lang w:val="es-MX"/>
        </w:rPr>
        <w:t>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E25E93">
        <w:rPr>
          <w:rFonts w:ascii="Verdana" w:eastAsia="Calibri" w:hAnsi="Verdana" w:cs="Arial"/>
          <w:vertAlign w:val="superscript"/>
          <w:lang w:val="es-MX"/>
        </w:rPr>
        <w:footnoteReference w:id="20"/>
      </w:r>
      <w:r w:rsidRPr="00E25E93">
        <w:rPr>
          <w:rFonts w:ascii="Verdana" w:eastAsia="Times New Roman" w:hAnsi="Verdana" w:cs="Arial"/>
          <w:lang w:val="es-MX"/>
        </w:rPr>
        <w:t xml:space="preserve">. De ahí que la Corte haya señalado que las excepciones a la restricción protegen diversos tipos de urgencias de defensa, salud, educación, infraestructura vial y de servicios públicos y ecológicas, que tienden a no limitar desproporcionadamente la acción </w:t>
      </w:r>
      <w:r w:rsidRPr="00E25E93">
        <w:rPr>
          <w:rFonts w:ascii="Verdana" w:eastAsia="Times New Roman" w:hAnsi="Verdana" w:cs="Arial"/>
          <w:lang w:val="es-MX"/>
        </w:rPr>
        <w:lastRenderedPageBreak/>
        <w:t>del Estado en el cumplimiento de sus fines, en procura de la igualdad entre los candidatos como garantía electoral.</w:t>
      </w:r>
    </w:p>
    <w:p w14:paraId="4644B4E0" w14:textId="77777777" w:rsidR="00EE0007" w:rsidRPr="00E25E93" w:rsidRDefault="00EE0007" w:rsidP="00EE0007">
      <w:pPr>
        <w:tabs>
          <w:tab w:val="left" w:pos="426"/>
        </w:tabs>
        <w:spacing w:after="120" w:line="276" w:lineRule="auto"/>
        <w:ind w:firstLine="709"/>
        <w:jc w:val="both"/>
        <w:rPr>
          <w:rFonts w:ascii="Verdana" w:eastAsia="Aptos" w:hAnsi="Verdana" w:cs="Arial"/>
          <w:color w:val="000000"/>
          <w:lang w:val="es-ES"/>
        </w:rPr>
      </w:pPr>
      <w:r w:rsidRPr="00E25E93">
        <w:rPr>
          <w:rFonts w:ascii="Verdana" w:eastAsia="Aptos" w:hAnsi="Verdana" w:cs="Arial"/>
          <w:color w:val="000000"/>
          <w:lang w:val="es-ES"/>
        </w:rPr>
        <w:t>En este punto, es pertinente analizar el quinto evento</w:t>
      </w:r>
      <w:r w:rsidRPr="00E25E93">
        <w:rPr>
          <w:rFonts w:ascii="Verdana" w:eastAsia="Aptos" w:hAnsi="Verdana" w:cs="Arial"/>
          <w:i/>
          <w:iCs/>
          <w:color w:val="000000"/>
          <w:lang w:val="es-ES"/>
        </w:rPr>
        <w:t xml:space="preserve"> </w:t>
      </w:r>
      <w:r w:rsidRPr="00E25E93">
        <w:rPr>
          <w:rFonts w:ascii="Verdana" w:eastAsia="Aptos" w:hAnsi="Verdana" w:cs="Arial"/>
          <w:color w:val="000000"/>
          <w:lang w:val="es-ES"/>
        </w:rPr>
        <w:t xml:space="preserve">exceptuado de la prohibición, relacionado con la contratación por parte de las entidades sanitarias y hospitalarias, </w:t>
      </w:r>
      <w:r w:rsidRPr="00E25E93">
        <w:rPr>
          <w:rFonts w:ascii="Verdana" w:eastAsia="Aptos" w:hAnsi="Verdana" w:cs="Arial"/>
          <w:color w:val="000000"/>
        </w:rPr>
        <w:t>a efectos de determinar si la excepción referida es aplicable a los contratos suscritos por las Empresas Sociales del Estado –ESE-</w:t>
      </w:r>
      <w:r w:rsidRPr="00E25E93">
        <w:rPr>
          <w:rFonts w:ascii="Verdana" w:eastAsia="Aptos" w:hAnsi="Verdana" w:cs="Arial"/>
          <w:color w:val="000000"/>
          <w:lang w:val="es-ES"/>
        </w:rPr>
        <w:t xml:space="preserve">. Para ello, debe tenerse en cuenta el artículo 94 de la Ley 100 de 1993, que dispone </w:t>
      </w:r>
      <w:r w:rsidRPr="00E25E93">
        <w:rPr>
          <w:rFonts w:ascii="Verdana" w:eastAsia="Aptos" w:hAnsi="Verdana" w:cs="Arial"/>
          <w:color w:val="000000"/>
          <w:lang w:val="es-ES" w:eastAsia="es-CO"/>
        </w:rPr>
        <w:t>“</w:t>
      </w:r>
      <w:r w:rsidRPr="00E25E93">
        <w:rPr>
          <w:rFonts w:ascii="Verdana" w:eastAsia="Aptos" w:hAnsi="Verdana" w:cs="Arial"/>
          <w:color w:val="000000"/>
          <w:lang w:val="es-ES"/>
        </w:rPr>
        <w:t xml:space="preserve">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 </w:t>
      </w:r>
    </w:p>
    <w:p w14:paraId="54DBC626" w14:textId="77777777" w:rsidR="00EE0007" w:rsidRPr="00E25E93" w:rsidRDefault="00EE0007" w:rsidP="00EE0007">
      <w:pPr>
        <w:tabs>
          <w:tab w:val="left" w:pos="426"/>
        </w:tabs>
        <w:spacing w:after="120" w:line="276" w:lineRule="auto"/>
        <w:ind w:firstLine="709"/>
        <w:jc w:val="both"/>
        <w:rPr>
          <w:rFonts w:ascii="Verdana" w:eastAsia="Aptos" w:hAnsi="Verdana" w:cs="Arial"/>
          <w:color w:val="000000"/>
        </w:rPr>
      </w:pPr>
      <w:r w:rsidRPr="00E25E93">
        <w:rPr>
          <w:rFonts w:ascii="Verdana" w:eastAsia="Aptos" w:hAnsi="Verdana" w:cs="Arial"/>
          <w:color w:val="000000"/>
          <w:lang w:val="es-ES"/>
        </w:rPr>
        <w:t xml:space="preserve">Es decir que, a partir de la </w:t>
      </w:r>
      <w:proofErr w:type="gramStart"/>
      <w:r w:rsidRPr="00E25E93">
        <w:rPr>
          <w:rFonts w:ascii="Verdana" w:eastAsia="Aptos" w:hAnsi="Verdana" w:cs="Arial"/>
          <w:color w:val="000000"/>
          <w:lang w:val="es-ES"/>
        </w:rPr>
        <w:t>entrada en vigencia</w:t>
      </w:r>
      <w:proofErr w:type="gramEnd"/>
      <w:r w:rsidRPr="00E25E93">
        <w:rPr>
          <w:rFonts w:ascii="Verdana" w:eastAsia="Aptos" w:hAnsi="Verdana" w:cs="Arial"/>
          <w:color w:val="000000"/>
          <w:lang w:val="es-ES"/>
        </w:rPr>
        <w:t xml:space="preserve"> de la Ley 100 de 1993, las Empresas Sociales del Estado son las entidades públicas que tienen a su cargo la prestación de servicios de salud de manera directa. Igualmente, el artículo 197 de la misma disposición</w:t>
      </w:r>
      <w:r w:rsidRPr="00E25E93">
        <w:rPr>
          <w:rFonts w:ascii="Verdana" w:eastAsia="Aptos" w:hAnsi="Verdana" w:cs="Arial"/>
          <w:color w:val="000000"/>
          <w:vertAlign w:val="superscript"/>
          <w:lang w:val="es-ES_tradnl"/>
        </w:rPr>
        <w:footnoteReference w:id="21"/>
      </w:r>
      <w:r w:rsidRPr="00E25E93">
        <w:rPr>
          <w:rFonts w:ascii="Verdana" w:eastAsia="Aptos" w:hAnsi="Verdana" w:cs="Arial"/>
          <w:color w:val="000000"/>
          <w:lang w:val="es-ES"/>
        </w:rPr>
        <w:t xml:space="preserve"> otorgó un término de seis (6) meses a las entidades territoriales prestadoras del servicio de salud para restructurarlas en Empresas Sociales del Estado. </w:t>
      </w:r>
    </w:p>
    <w:p w14:paraId="0E4D724E" w14:textId="77777777" w:rsidR="00EE0007" w:rsidRPr="00E25E93" w:rsidRDefault="00EE0007" w:rsidP="00EE0007">
      <w:pPr>
        <w:tabs>
          <w:tab w:val="left" w:pos="426"/>
        </w:tabs>
        <w:spacing w:after="120" w:line="276" w:lineRule="auto"/>
        <w:ind w:firstLine="709"/>
        <w:jc w:val="both"/>
        <w:rPr>
          <w:rFonts w:ascii="Verdana" w:eastAsia="Aptos" w:hAnsi="Verdana" w:cs="Arial"/>
          <w:color w:val="000000"/>
          <w:lang w:val="es-ES"/>
        </w:rPr>
      </w:pPr>
      <w:r w:rsidRPr="00E25E93">
        <w:rPr>
          <w:rFonts w:ascii="Verdana" w:eastAsia="Aptos" w:hAnsi="Verdana" w:cs="Arial"/>
          <w:color w:val="000000"/>
          <w:lang w:val="es-ES"/>
        </w:rPr>
        <w:t xml:space="preserve">De lo anterior se desprende que, bajo la Ley 100 de 1993, dentro de la estructura de la administración pública las entidades encargadas de prestar el servicio de salud de manera directa son las Empresas Sociales del Estado. Además, el mismo artículo 197 de la disposición referida estableció el deber de reestructurar y transformar en Empresas Sociales del Estado a las entidades descentralizadas que, al momento de entrada en vigor de la ley referida, prestaban directamente este servicio.  </w:t>
      </w:r>
    </w:p>
    <w:p w14:paraId="4C26CD49" w14:textId="77777777" w:rsidR="00EE0007" w:rsidRPr="00E25E93" w:rsidRDefault="00EE0007" w:rsidP="00EE0007">
      <w:pPr>
        <w:tabs>
          <w:tab w:val="left" w:pos="426"/>
        </w:tabs>
        <w:spacing w:after="120" w:line="276" w:lineRule="auto"/>
        <w:ind w:firstLine="709"/>
        <w:jc w:val="both"/>
        <w:rPr>
          <w:rFonts w:ascii="Verdana" w:eastAsia="Aptos" w:hAnsi="Verdana" w:cs="Arial"/>
          <w:color w:val="000000"/>
          <w:lang w:val="es-ES"/>
        </w:rPr>
      </w:pPr>
      <w:r w:rsidRPr="00E25E93">
        <w:rPr>
          <w:rFonts w:ascii="Verdana" w:eastAsia="Aptos" w:hAnsi="Verdana" w:cs="Arial"/>
          <w:color w:val="000000"/>
          <w:lang w:val="es-ES"/>
        </w:rPr>
        <w:t xml:space="preserve">Así, se observa que la voluntad del legislador plasmada en la Ley 100 de 1993 fue homogeneizar o unificar la naturaleza jurídica de las entidades públicas descentralizadas prestadoras del servicio de salud, en Empresas Sociales del Estado. De ello da cuenta, no solo la creación de la institución jurídica referida sino además la imposición del mandato de reestructuración de aquellas entidades en Empresas Sociales del Estado. </w:t>
      </w:r>
    </w:p>
    <w:p w14:paraId="079E5725" w14:textId="77777777" w:rsidR="00EE0007" w:rsidRPr="00E25E93" w:rsidRDefault="00EE0007" w:rsidP="00EE0007">
      <w:pPr>
        <w:tabs>
          <w:tab w:val="left" w:pos="426"/>
        </w:tabs>
        <w:spacing w:after="120" w:line="276" w:lineRule="auto"/>
        <w:ind w:firstLine="709"/>
        <w:jc w:val="both"/>
        <w:rPr>
          <w:rFonts w:ascii="Verdana" w:eastAsia="Aptos" w:hAnsi="Verdana" w:cs="Arial"/>
          <w:color w:val="000000"/>
          <w:lang w:val="es-ES"/>
        </w:rPr>
      </w:pPr>
      <w:r w:rsidRPr="00E25E93">
        <w:rPr>
          <w:rFonts w:ascii="Verdana" w:eastAsia="Aptos" w:hAnsi="Verdana" w:cs="Arial"/>
          <w:color w:val="000000"/>
          <w:lang w:val="es-ES"/>
        </w:rPr>
        <w:lastRenderedPageBreak/>
        <w:t xml:space="preserve">Este proceso de reestructuración, dada las implicaciones administrativas que suponen, no ha sido inmediato, según se observa de lo señalado por el Ministerio de la Protección Social como cabeza del sector salud del orden nacional. En este sentido, en concepto del 14 de marzo de 2006, identificado con radicación No. 38644, al pronunciarse sobre el alcance de la regla de excepción establecida en el inciso 2 del artículo 33 de la Ley de Garantías Electorales, frente a las entidades sanitarias y hospitalarias, puso de presente el retardo en el proceso de reestructuración mencionado en la Ley 100 de 1993, así: </w:t>
      </w:r>
    </w:p>
    <w:p w14:paraId="6081CFF3" w14:textId="77777777" w:rsidR="00EE0007" w:rsidRPr="00305400" w:rsidRDefault="00EE0007" w:rsidP="00EE0007">
      <w:pPr>
        <w:tabs>
          <w:tab w:val="left" w:pos="426"/>
        </w:tabs>
        <w:spacing w:after="0" w:line="240" w:lineRule="auto"/>
        <w:ind w:left="709" w:right="709"/>
        <w:jc w:val="both"/>
        <w:rPr>
          <w:rFonts w:ascii="Verdana" w:eastAsia="Aptos" w:hAnsi="Verdana" w:cs="Arial"/>
          <w:color w:val="000000"/>
          <w:sz w:val="20"/>
          <w:szCs w:val="20"/>
          <w:shd w:val="clear" w:color="auto" w:fill="FFFFFF"/>
          <w:lang w:val="es-ES"/>
        </w:rPr>
      </w:pPr>
      <w:r w:rsidRPr="00305400">
        <w:rPr>
          <w:rFonts w:ascii="Verdana" w:eastAsia="Aptos" w:hAnsi="Verdana" w:cs="Arial"/>
          <w:color w:val="000000"/>
          <w:sz w:val="20"/>
          <w:szCs w:val="20"/>
          <w:shd w:val="clear" w:color="auto" w:fill="FFFFFF"/>
          <w:lang w:val="es-ES"/>
        </w:rPr>
        <w:t xml:space="preserve">“(…) se encuentran cubiertos por la excepción contemplada en el inciso 2 del artículo 33 de la Ley de Garantías Electorales, las entidades hospitalarias que a la luz de las normas vigentes </w:t>
      </w:r>
      <w:r w:rsidRPr="00305400">
        <w:rPr>
          <w:rFonts w:ascii="Verdana" w:eastAsia="Aptos" w:hAnsi="Verdana" w:cs="Arial"/>
          <w:i/>
          <w:iCs/>
          <w:color w:val="000000"/>
          <w:sz w:val="20"/>
          <w:szCs w:val="20"/>
          <w:shd w:val="clear" w:color="auto" w:fill="FFFFFF"/>
          <w:lang w:val="es-ES"/>
        </w:rPr>
        <w:t xml:space="preserve">no son otras distintas que las Empresas Sociales del estado y todas aquellas instituciones públicas </w:t>
      </w:r>
      <w:proofErr w:type="gramStart"/>
      <w:r w:rsidRPr="00305400">
        <w:rPr>
          <w:rFonts w:ascii="Verdana" w:eastAsia="Aptos" w:hAnsi="Verdana" w:cs="Arial"/>
          <w:i/>
          <w:iCs/>
          <w:color w:val="000000"/>
          <w:sz w:val="20"/>
          <w:szCs w:val="20"/>
          <w:shd w:val="clear" w:color="auto" w:fill="FFFFFF"/>
          <w:lang w:val="es-ES"/>
        </w:rPr>
        <w:t>que</w:t>
      </w:r>
      <w:proofErr w:type="gramEnd"/>
      <w:r w:rsidRPr="00305400">
        <w:rPr>
          <w:rFonts w:ascii="Verdana" w:eastAsia="Aptos" w:hAnsi="Verdana" w:cs="Arial"/>
          <w:i/>
          <w:iCs/>
          <w:color w:val="000000"/>
          <w:sz w:val="20"/>
          <w:szCs w:val="20"/>
          <w:shd w:val="clear" w:color="auto" w:fill="FFFFFF"/>
          <w:lang w:val="es-ES"/>
        </w:rPr>
        <w:t xml:space="preserve"> a pesar de no haberse transformado en Empresas Sociales del Estado, prestan un servicio de salud directo sobre el usuario en su carácter general de entidad hospitalaria</w:t>
      </w:r>
      <w:r w:rsidRPr="00305400">
        <w:rPr>
          <w:rFonts w:ascii="Verdana" w:eastAsia="Aptos" w:hAnsi="Verdana" w:cs="Arial"/>
          <w:color w:val="000000"/>
          <w:sz w:val="20"/>
          <w:szCs w:val="20"/>
          <w:shd w:val="clear" w:color="auto" w:fill="FFFFFF"/>
          <w:lang w:val="es-ES"/>
        </w:rPr>
        <w:t xml:space="preserve"> (…)”.  </w:t>
      </w:r>
    </w:p>
    <w:p w14:paraId="6F138F3E" w14:textId="77777777" w:rsidR="00EE0007" w:rsidRPr="00343E12" w:rsidRDefault="00EE0007" w:rsidP="00EE0007">
      <w:pPr>
        <w:tabs>
          <w:tab w:val="left" w:pos="426"/>
        </w:tabs>
        <w:spacing w:after="0" w:line="276" w:lineRule="auto"/>
        <w:ind w:left="709" w:right="709"/>
        <w:jc w:val="both"/>
        <w:rPr>
          <w:rFonts w:ascii="Verdana" w:eastAsia="Aptos" w:hAnsi="Verdana" w:cs="Arial"/>
          <w:color w:val="000000"/>
          <w:lang w:val="es-ES"/>
        </w:rPr>
      </w:pPr>
    </w:p>
    <w:p w14:paraId="5C6B21ED" w14:textId="77777777" w:rsidR="00EE0007" w:rsidRPr="00343E12" w:rsidRDefault="00EE0007" w:rsidP="00EE0007">
      <w:pPr>
        <w:tabs>
          <w:tab w:val="left" w:pos="426"/>
        </w:tabs>
        <w:spacing w:after="120" w:line="276" w:lineRule="auto"/>
        <w:ind w:firstLine="709"/>
        <w:jc w:val="both"/>
        <w:rPr>
          <w:rFonts w:ascii="Verdana" w:eastAsia="Aptos" w:hAnsi="Verdana" w:cs="Arial"/>
          <w:color w:val="000000"/>
          <w:lang w:val="es-ES"/>
        </w:rPr>
      </w:pPr>
      <w:r w:rsidRPr="00343E12">
        <w:rPr>
          <w:rFonts w:ascii="Verdana" w:eastAsia="Aptos" w:hAnsi="Verdana" w:cs="Arial"/>
          <w:color w:val="000000"/>
          <w:lang w:val="es-ES"/>
        </w:rPr>
        <w:t xml:space="preserve">Del aparte transcrito se desprende que, para la autoridad administrativa del sector salud, las Empresas Sociales del Estado son las entidades hospitalarias de que trata la excepción a la prohibición establecida en el artículo 33 de la ley de Garantías Electorales. De igual forma, incluyen también dentro de esta excepción a la prohibición, a aquellas instituciones públicas que, aunque no cumplieron con el deber de reestructuración establecido en el artículo 197 de la Ley 100 de 1993, prestan un servicio de salud directo como entidad hospitalaria. </w:t>
      </w:r>
    </w:p>
    <w:p w14:paraId="15016A3A" w14:textId="77777777" w:rsidR="00EE0007" w:rsidRPr="00343E12" w:rsidRDefault="00EE0007" w:rsidP="00EE0007">
      <w:pPr>
        <w:tabs>
          <w:tab w:val="left" w:pos="426"/>
        </w:tabs>
        <w:spacing w:after="120" w:line="276" w:lineRule="auto"/>
        <w:ind w:firstLine="709"/>
        <w:jc w:val="both"/>
        <w:rPr>
          <w:rFonts w:ascii="Verdana" w:eastAsia="Aptos" w:hAnsi="Verdana" w:cs="Arial"/>
          <w:color w:val="000000"/>
          <w:lang w:val="es-ES"/>
        </w:rPr>
      </w:pPr>
      <w:r w:rsidRPr="00343E12">
        <w:rPr>
          <w:rFonts w:ascii="Verdana" w:eastAsia="Aptos" w:hAnsi="Verdana" w:cs="Arial"/>
          <w:color w:val="000000"/>
          <w:lang w:val="es-ES"/>
        </w:rPr>
        <w:t xml:space="preserve">Por tanto, las Empresas Sociales del Estado podrían suscribir contratos bajo la modalidad de contratación directa, porque el inciso segundo del artículo 33 de la Ley 996 de 2005 exceptuó de la prohibición de contratación bajo la modalidad referida a las entidades hospitalarias, categoría dentro de las cuales se incluye a las Empresas Sociales del Estado y, en consecuencia, podrán suscribir sus contratos en la forma establecida en sus manuales de contratación, sin que les resulte aplicable la prohibición establecida en el artículo 33 de la Ley 996 de 2005. </w:t>
      </w:r>
    </w:p>
    <w:p w14:paraId="7254E079" w14:textId="77777777" w:rsidR="00EE0007" w:rsidRPr="00343E12" w:rsidRDefault="00EE0007" w:rsidP="00B87A80">
      <w:pPr>
        <w:spacing w:after="120" w:line="276" w:lineRule="auto"/>
        <w:jc w:val="both"/>
        <w:rPr>
          <w:rFonts w:ascii="Verdana" w:eastAsia="Times New Roman" w:hAnsi="Verdana" w:cs="Arial"/>
          <w:lang w:eastAsia="es-CO"/>
        </w:rPr>
      </w:pPr>
      <w:r w:rsidRPr="00343E12">
        <w:rPr>
          <w:rFonts w:ascii="Verdana" w:eastAsia="Times New Roman" w:hAnsi="Verdana" w:cs="Arial"/>
          <w:lang w:val="es-MX" w:eastAsia="es-CO"/>
        </w:rPr>
        <w:t xml:space="preserve">Respecto del alcance de esta prohibición la Circular Externa No. 006 de 2025 expedida por la ANCP -CCE, en los literales </w:t>
      </w:r>
      <w:proofErr w:type="spellStart"/>
      <w:r w:rsidRPr="00343E12">
        <w:rPr>
          <w:rFonts w:ascii="Verdana" w:eastAsia="Times New Roman" w:hAnsi="Verdana" w:cs="Arial"/>
          <w:lang w:val="es-MX" w:eastAsia="es-CO"/>
        </w:rPr>
        <w:t>ii</w:t>
      </w:r>
      <w:proofErr w:type="spellEnd"/>
      <w:r w:rsidRPr="00343E12">
        <w:rPr>
          <w:rFonts w:ascii="Verdana" w:eastAsia="Times New Roman" w:hAnsi="Verdana" w:cs="Arial"/>
          <w:lang w:val="es-MX" w:eastAsia="es-CO"/>
        </w:rPr>
        <w:t xml:space="preserve">) y </w:t>
      </w:r>
      <w:proofErr w:type="spellStart"/>
      <w:r w:rsidRPr="00343E12">
        <w:rPr>
          <w:rFonts w:ascii="Verdana" w:eastAsia="Times New Roman" w:hAnsi="Verdana" w:cs="Arial"/>
          <w:lang w:val="es-MX" w:eastAsia="es-CO"/>
        </w:rPr>
        <w:t>iv</w:t>
      </w:r>
      <w:proofErr w:type="spellEnd"/>
      <w:r w:rsidRPr="00343E12">
        <w:rPr>
          <w:rFonts w:ascii="Verdana" w:eastAsia="Times New Roman" w:hAnsi="Verdana" w:cs="Arial"/>
          <w:lang w:val="es-MX" w:eastAsia="es-CO"/>
        </w:rPr>
        <w:t>) del numeral 2</w:t>
      </w:r>
      <w:r w:rsidRPr="00343E12">
        <w:rPr>
          <w:rFonts w:ascii="Verdana" w:eastAsia="Times New Roman" w:hAnsi="Verdana" w:cs="Arial"/>
          <w:lang w:eastAsia="es-CO"/>
        </w:rPr>
        <w:t>,</w:t>
      </w:r>
      <w:r w:rsidRPr="00343E12">
        <w:rPr>
          <w:rFonts w:ascii="Verdana" w:eastAsia="Times New Roman" w:hAnsi="Verdana" w:cs="Arial"/>
          <w:lang w:val="es-MX" w:eastAsia="es-CO"/>
        </w:rPr>
        <w:t xml:space="preserve"> indica que el </w:t>
      </w:r>
      <w:r w:rsidRPr="00343E12">
        <w:rPr>
          <w:rFonts w:ascii="Verdana" w:eastAsia="Times New Roman" w:hAnsi="Verdana" w:cs="Arial"/>
          <w:lang w:eastAsia="es-CO"/>
        </w:rPr>
        <w:t xml:space="preserve">parágrafo del artículo 38 de la Ley 996 de 2005 cobija expresamente a los </w:t>
      </w:r>
      <w:r w:rsidRPr="00343E12">
        <w:rPr>
          <w:rFonts w:ascii="Verdana" w:eastAsia="Times New Roman" w:hAnsi="Verdana" w:cs="Arial"/>
          <w:i/>
          <w:iCs/>
          <w:lang w:eastAsia="es-CO"/>
        </w:rPr>
        <w:t>convenios interadministrativos</w:t>
      </w:r>
      <w:r w:rsidRPr="00343E12">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w:t>
      </w:r>
      <w:r w:rsidRPr="00343E12">
        <w:rPr>
          <w:rFonts w:ascii="Verdana" w:eastAsia="Times New Roman" w:hAnsi="Verdana" w:cs="Arial"/>
          <w:lang w:eastAsia="es-CO"/>
        </w:rPr>
        <w:lastRenderedPageBreak/>
        <w:t xml:space="preserve">referida a la celebración de convenios interadministrativos aplicará a los sujetos allí señalados, </w:t>
      </w:r>
      <w:r w:rsidRPr="00343E12">
        <w:rPr>
          <w:rFonts w:ascii="Verdana" w:eastAsia="Times New Roman" w:hAnsi="Verdana" w:cs="Arial"/>
          <w:i/>
          <w:iCs/>
          <w:lang w:eastAsia="es-CO"/>
        </w:rPr>
        <w:t>“aunque se configure alguno de los supuestos de excepción que señaló el inciso final del artículo 33”.</w:t>
      </w:r>
      <w:r w:rsidRPr="00343E12">
        <w:rPr>
          <w:rFonts w:ascii="Verdana" w:eastAsia="Times New Roman" w:hAnsi="Verdana" w:cs="Arial"/>
          <w:lang w:eastAsia="es-CO"/>
        </w:rPr>
        <w:t xml:space="preserve"> </w:t>
      </w:r>
    </w:p>
    <w:p w14:paraId="3D348502" w14:textId="77777777" w:rsidR="00EE0007" w:rsidRPr="00343E12" w:rsidRDefault="00EE0007" w:rsidP="00EE0007">
      <w:pPr>
        <w:spacing w:after="120" w:line="276" w:lineRule="auto"/>
        <w:ind w:firstLine="709"/>
        <w:jc w:val="both"/>
        <w:rPr>
          <w:rFonts w:ascii="Verdana" w:eastAsia="Times New Roman" w:hAnsi="Verdana" w:cs="Arial"/>
          <w:lang w:eastAsia="es-CO"/>
        </w:rPr>
      </w:pPr>
      <w:r w:rsidRPr="00343E12">
        <w:rPr>
          <w:rFonts w:ascii="Verdana" w:eastAsia="Times New Roman" w:hAnsi="Verdana" w:cs="Arial"/>
          <w:lang w:eastAsia="es-CO"/>
        </w:rPr>
        <w:t xml:space="preserve">Sin embargo, es importante tener en cuenta que el ámbito de aplicación de la restricción prevista en el parágrafo del artículo 38 de la Ley 996 de 2005 solo se extiende a los </w:t>
      </w:r>
      <w:r w:rsidRPr="00343E12">
        <w:rPr>
          <w:rFonts w:ascii="Verdana" w:eastAsia="Times New Roman" w:hAnsi="Verdana" w:cs="Arial"/>
          <w:i/>
          <w:iCs/>
          <w:lang w:eastAsia="es-CO"/>
        </w:rPr>
        <w:t>convenios interadministrativos</w:t>
      </w:r>
      <w:r w:rsidRPr="00343E12">
        <w:rPr>
          <w:rFonts w:ascii="Verdana" w:eastAsia="Times New Roman" w:hAnsi="Verdana" w:cs="Arial"/>
          <w:lang w:eastAsia="es-CO"/>
        </w:rPr>
        <w:t xml:space="preserve"> en los que se contemple la </w:t>
      </w:r>
      <w:r w:rsidRPr="00343E12">
        <w:rPr>
          <w:rFonts w:ascii="Verdana" w:eastAsia="Times New Roman" w:hAnsi="Verdana" w:cs="Arial"/>
          <w:i/>
          <w:iCs/>
          <w:lang w:eastAsia="es-CO"/>
        </w:rPr>
        <w:t>ejecución de recursos públicos</w:t>
      </w:r>
      <w:r w:rsidRPr="00343E12">
        <w:rPr>
          <w:rFonts w:ascii="Verdana" w:eastAsia="Times New Roman" w:hAnsi="Verdana" w:cs="Arial"/>
          <w:lang w:eastAsia="es-CO"/>
        </w:rPr>
        <w:t xml:space="preserve">. Esto significa que la prohibición no resulta aplicable a </w:t>
      </w:r>
      <w:r w:rsidRPr="00343E12">
        <w:rPr>
          <w:rFonts w:ascii="Verdana" w:eastAsia="Times New Roman" w:hAnsi="Verdana" w:cs="Arial"/>
          <w:i/>
          <w:iCs/>
          <w:lang w:eastAsia="es-CO"/>
        </w:rPr>
        <w:t>convenios interadministrativos a título gratuito,</w:t>
      </w:r>
      <w:r w:rsidRPr="00343E12">
        <w:rPr>
          <w:rFonts w:ascii="Verdana" w:eastAsia="Times New Roman" w:hAnsi="Verdana" w:cs="Arial"/>
          <w:lang w:eastAsia="es-CO"/>
        </w:rPr>
        <w:t xml:space="preserve"> los cuales pueden celebrarse válidamente durante la vigencia de la mencionada restricción. </w:t>
      </w:r>
    </w:p>
    <w:p w14:paraId="22DF6BBB" w14:textId="77777777" w:rsidR="00EE0007" w:rsidRPr="00343E12" w:rsidRDefault="00EE0007" w:rsidP="00EE0007">
      <w:pPr>
        <w:spacing w:after="120" w:line="276" w:lineRule="auto"/>
        <w:ind w:firstLine="709"/>
        <w:jc w:val="both"/>
        <w:rPr>
          <w:rFonts w:ascii="Verdana" w:eastAsia="Times New Roman" w:hAnsi="Verdana" w:cs="Arial"/>
          <w:lang w:eastAsia="es-CO"/>
        </w:rPr>
      </w:pPr>
      <w:r w:rsidRPr="00343E12">
        <w:rPr>
          <w:rFonts w:ascii="Verdana" w:eastAsia="Times New Roman" w:hAnsi="Verdana" w:cs="Arial"/>
          <w:lang w:eastAsia="es-CO"/>
        </w:rPr>
        <w:t xml:space="preserve">De esta manera, conforme a lo dispuesto en la Circular referida, si se suscriben </w:t>
      </w:r>
      <w:r w:rsidRPr="00343E12">
        <w:rPr>
          <w:rFonts w:ascii="Verdana" w:eastAsia="Times New Roman" w:hAnsi="Verdana" w:cs="Arial"/>
          <w:i/>
          <w:iCs/>
          <w:lang w:eastAsia="es-CO"/>
        </w:rPr>
        <w:t>convenios interadministrativos para la ejecución de recursos públicos</w:t>
      </w:r>
      <w:r w:rsidRPr="00343E12">
        <w:rPr>
          <w:rFonts w:ascii="Verdana" w:eastAsia="Times New Roman" w:hAnsi="Verdana" w:cs="Arial"/>
          <w:lang w:eastAsia="es-CO"/>
        </w:rPr>
        <w:t xml:space="preserve"> por los alcaldes, gobernadores, secretarios, gerentes y directores de las entidades del orden municipal, departamental o distrital, aplicará la prohibición del parágrafo del artículo 38 </w:t>
      </w:r>
      <w:r w:rsidRPr="00343E12">
        <w:rPr>
          <w:rFonts w:ascii="Verdana" w:eastAsia="Times New Roman" w:hAnsi="Verdana" w:cs="Arial"/>
          <w:i/>
          <w:iCs/>
          <w:lang w:eastAsia="es-CO"/>
        </w:rPr>
        <w:t>ibidem</w:t>
      </w:r>
      <w:r w:rsidRPr="00343E12">
        <w:rPr>
          <w:rFonts w:ascii="Verdana" w:eastAsia="Times New Roman" w:hAnsi="Verdana" w:cs="Arial"/>
          <w:lang w:eastAsia="es-CO"/>
        </w:rPr>
        <w:t>, independientemente de que se configure alguno de los supuestos de excepción que señaló el inciso final del artículo 33, es decir, que se trate de:</w:t>
      </w:r>
      <w:r w:rsidRPr="00343E12">
        <w:rPr>
          <w:rFonts w:ascii="Verdana" w:eastAsia="Aptos" w:hAnsi="Verdana" w:cs="Arial"/>
          <w:bCs/>
          <w:lang w:val="es-MX" w:eastAsia="x-none"/>
        </w:rPr>
        <w:t xml:space="preserve"> i) la defensa y seguridad del Estado; </w:t>
      </w:r>
      <w:proofErr w:type="spellStart"/>
      <w:r w:rsidRPr="00343E12">
        <w:rPr>
          <w:rFonts w:ascii="Verdana" w:eastAsia="Aptos" w:hAnsi="Verdana" w:cs="Arial"/>
          <w:bCs/>
          <w:lang w:val="es-MX" w:eastAsia="x-none"/>
        </w:rPr>
        <w:t>ii</w:t>
      </w:r>
      <w:proofErr w:type="spellEnd"/>
      <w:r w:rsidRPr="00343E12">
        <w:rPr>
          <w:rFonts w:ascii="Verdana" w:eastAsia="Aptos" w:hAnsi="Verdana" w:cs="Arial"/>
          <w:bCs/>
          <w:lang w:val="es-MX" w:eastAsia="x-none"/>
        </w:rPr>
        <w:t xml:space="preserve">) los contratos de crédito público; </w:t>
      </w:r>
      <w:proofErr w:type="spellStart"/>
      <w:r w:rsidRPr="00343E12">
        <w:rPr>
          <w:rFonts w:ascii="Verdana" w:eastAsia="Aptos" w:hAnsi="Verdana" w:cs="Arial"/>
          <w:bCs/>
          <w:lang w:val="es-MX" w:eastAsia="x-none"/>
        </w:rPr>
        <w:t>iii</w:t>
      </w:r>
      <w:proofErr w:type="spellEnd"/>
      <w:r w:rsidRPr="00343E12">
        <w:rPr>
          <w:rFonts w:ascii="Verdana" w:eastAsia="Aptos" w:hAnsi="Verdana" w:cs="Arial"/>
          <w:bCs/>
          <w:lang w:val="es-MX" w:eastAsia="x-none"/>
        </w:rPr>
        <w:t xml:space="preserve">) los requeridos para cubrir las emergencias educativas, sanitarias y desastres; </w:t>
      </w:r>
      <w:proofErr w:type="spellStart"/>
      <w:r w:rsidRPr="00343E12">
        <w:rPr>
          <w:rFonts w:ascii="Verdana" w:eastAsia="Aptos" w:hAnsi="Verdana" w:cs="Arial"/>
          <w:bCs/>
          <w:lang w:val="es-MX" w:eastAsia="x-none"/>
        </w:rPr>
        <w:t>iv</w:t>
      </w:r>
      <w:proofErr w:type="spellEnd"/>
      <w:r w:rsidRPr="00343E12">
        <w:rPr>
          <w:rFonts w:ascii="Verdana" w:eastAsia="Aptos"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343E12">
        <w:rPr>
          <w:rFonts w:ascii="Verdana" w:eastAsia="Aptos" w:hAnsi="Verdana" w:cs="Arial"/>
          <w:bCs/>
          <w:lang w:val="es-MX" w:eastAsia="es-CO"/>
        </w:rPr>
        <w:t xml:space="preserve"> </w:t>
      </w:r>
      <w:r w:rsidRPr="00343E12">
        <w:rPr>
          <w:rFonts w:ascii="Verdana" w:eastAsia="Times New Roman" w:hAnsi="Verdana" w:cs="Arial"/>
          <w:lang w:eastAsia="es-CO"/>
        </w:rPr>
        <w:t xml:space="preserve">  </w:t>
      </w:r>
    </w:p>
    <w:p w14:paraId="70349BC7" w14:textId="77777777" w:rsidR="00EE0007" w:rsidRPr="00343E12" w:rsidRDefault="00EE0007" w:rsidP="00EE0007">
      <w:pPr>
        <w:spacing w:after="120" w:line="276" w:lineRule="auto"/>
        <w:ind w:firstLine="709"/>
        <w:jc w:val="both"/>
        <w:rPr>
          <w:rFonts w:ascii="Verdana" w:eastAsia="Times New Roman" w:hAnsi="Verdana" w:cs="Arial"/>
          <w:lang w:eastAsia="es-CO"/>
        </w:rPr>
      </w:pPr>
      <w:bookmarkStart w:id="7" w:name="_Hlk215234154"/>
      <w:r w:rsidRPr="00343E12">
        <w:rPr>
          <w:rFonts w:ascii="Verdana" w:eastAsia="Aptos" w:hAnsi="Verdana"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D492000" w14:textId="77777777" w:rsidR="00EE0007" w:rsidRPr="00090F12" w:rsidRDefault="00EE0007" w:rsidP="00EE0007">
      <w:pPr>
        <w:spacing w:after="120" w:line="276" w:lineRule="auto"/>
        <w:ind w:firstLine="709"/>
        <w:jc w:val="both"/>
        <w:rPr>
          <w:rFonts w:ascii="Verdana" w:eastAsia="Aptos" w:hAnsi="Verdana" w:cs="Arial"/>
          <w:bCs/>
          <w:color w:val="000000"/>
        </w:rPr>
      </w:pPr>
      <w:r w:rsidRPr="00343E12">
        <w:rPr>
          <w:rFonts w:ascii="Verdana" w:eastAsia="Aptos" w:hAnsi="Verdana"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w:t>
      </w:r>
      <w:r w:rsidRPr="00343E12">
        <w:rPr>
          <w:rFonts w:ascii="Verdana" w:eastAsia="Aptos" w:hAnsi="Verdana" w:cs="Arial"/>
          <w:bCs/>
          <w:color w:val="000000"/>
        </w:rPr>
        <w:lastRenderedPageBreak/>
        <w:t xml:space="preserve">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bookmarkEnd w:id="7"/>
    </w:p>
    <w:bookmarkEnd w:id="1"/>
    <w:bookmarkEnd w:id="2"/>
    <w:p w14:paraId="695D5978" w14:textId="77777777" w:rsidR="00EE0007" w:rsidRDefault="00EE0007" w:rsidP="00EE0007">
      <w:pPr>
        <w:spacing w:after="0" w:line="276" w:lineRule="auto"/>
        <w:jc w:val="both"/>
        <w:rPr>
          <w:rFonts w:ascii="Verdana" w:eastAsia="Century Gothic" w:hAnsi="Verdana" w:cs="Century Gothic"/>
          <w:b/>
          <w:lang w:val="es-ES"/>
        </w:rPr>
      </w:pPr>
      <w:r>
        <w:rPr>
          <w:rFonts w:ascii="Verdana" w:eastAsia="Century Gothic" w:hAnsi="Verdana" w:cs="Century Gothic"/>
          <w:b/>
          <w:lang w:val="es-ES"/>
        </w:rPr>
        <w:t>IV</w:t>
      </w:r>
      <w:r w:rsidRPr="00144EB3">
        <w:rPr>
          <w:rFonts w:ascii="Verdana" w:eastAsia="Century Gothic" w:hAnsi="Verdana" w:cs="Century Gothic"/>
          <w:b/>
          <w:lang w:val="es-ES"/>
        </w:rPr>
        <w:t>. Referencias normativas, jurisprudenciales y otras fuentes:</w:t>
      </w:r>
    </w:p>
    <w:p w14:paraId="3D3E36A6" w14:textId="77777777" w:rsidR="00EE0007" w:rsidRPr="00144EB3" w:rsidRDefault="00EE0007" w:rsidP="00EE0007">
      <w:pPr>
        <w:spacing w:after="0" w:line="276" w:lineRule="auto"/>
        <w:jc w:val="both"/>
        <w:rPr>
          <w:rFonts w:ascii="Verdana" w:eastAsia="Century Gothic" w:hAnsi="Verdana" w:cs="Century Gothic"/>
          <w:b/>
          <w:color w:val="ED7D31" w:themeColor="accent2"/>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E0007" w:rsidRPr="00144EB3" w14:paraId="67452BFF" w14:textId="77777777" w:rsidTr="00A14C88">
        <w:trPr>
          <w:trHeight w:val="870"/>
        </w:trPr>
        <w:tc>
          <w:tcPr>
            <w:tcW w:w="8647" w:type="dxa"/>
          </w:tcPr>
          <w:p w14:paraId="16C340EB"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Constitución Política de Colombia. Artículos: 127 y 197.</w:t>
            </w:r>
          </w:p>
          <w:p w14:paraId="5B9E3D34"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Ley 80 de 1993. Artículos: 39 y 41.</w:t>
            </w:r>
          </w:p>
          <w:p w14:paraId="609ED8D1"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 xml:space="preserve">Ley 1150 de 2007. Artículo 2. </w:t>
            </w:r>
          </w:p>
          <w:p w14:paraId="48F0BD77"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 xml:space="preserve">Ley 996 de 2025. Artículos: 9, 33 y 38. </w:t>
            </w:r>
          </w:p>
          <w:p w14:paraId="56A15B84"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 xml:space="preserve">Ley 100 de 1993. Artículos: 100 y 197. </w:t>
            </w:r>
          </w:p>
          <w:p w14:paraId="0740B644"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 xml:space="preserve">Consejo de Estado. Sala de lo Contencioso Administrativo. Sección Primera. Sentencia de 3 de marzo de 2005. Radicado: 25001-23-15-000-2004-00823-01(PI). C.P: Camilo Arciniegas Andrade. </w:t>
            </w:r>
          </w:p>
          <w:p w14:paraId="589D03FA"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Consejo de Estado. Sala de Consulta y Servicio Civil. 24 de julio de 2013, radicado: 11001-03-06-000-2013-00407-00 (2166). C.P. Álvaro Namén Vargas.</w:t>
            </w:r>
          </w:p>
          <w:p w14:paraId="1AAE6D48"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Consejo de Estado. Sala de Consulta y Servicio Civil. Concepto del 17 de febrero de 2015. Radicado: 11001-03-06-000-2015-00164-00 (2269). C.P. William Zambrano Cetina.</w:t>
            </w:r>
          </w:p>
          <w:p w14:paraId="30A3265E"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Consejo de Estado. Sala de Consulta y Servicio Civil. Concepto del 2 de septiembre de 2013. Radicación: 11001-03-06-000-2013-00412-00 (2168). Consejero Ponente: Álvaro Namén Vargas.</w:t>
            </w:r>
          </w:p>
          <w:p w14:paraId="7E03BB5D"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Consejo de Estado. Sala de Consulta y Servicio Civil. Concepto de 8 de mayo de 2018. Radicación: 11001-03-06-000-2018-00095-00 (2382). Consejero Ponente: Álvaro Namén Vargas.</w:t>
            </w:r>
          </w:p>
          <w:p w14:paraId="7037C91B"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Corte Constitucional, Sentencia C- 1153 de 2005. M.P. Marco Gerardo Monroy Cabra.</w:t>
            </w:r>
          </w:p>
          <w:p w14:paraId="272B076C"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Corte Constitucional. Sentencia C-233 de 4 de abril de 2002. M.P: Álvaro Tafur Galvis.</w:t>
            </w:r>
          </w:p>
          <w:p w14:paraId="38C88264"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lastRenderedPageBreak/>
              <w:t>Corte Constitucional. Sentencia C-551 de 9 de julio de 2003. M.P: Eduardo Montealegre Lynnet.</w:t>
            </w:r>
          </w:p>
          <w:p w14:paraId="7F3F0D17"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 xml:space="preserve">Corte Constitucional. Sentencia C-353 de 20 de mayo de 2009. M.P: Jorge Iván Palacio </w:t>
            </w:r>
            <w:proofErr w:type="spellStart"/>
            <w:r w:rsidRPr="00343E12">
              <w:rPr>
                <w:rFonts w:ascii="Verdana" w:eastAsia="Times New Roman" w:hAnsi="Verdana" w:cs="Arial"/>
                <w:color w:val="000000"/>
                <w:lang w:eastAsia="es-CO"/>
              </w:rPr>
              <w:t>Palacio</w:t>
            </w:r>
            <w:proofErr w:type="spellEnd"/>
            <w:r w:rsidRPr="00343E12">
              <w:rPr>
                <w:rFonts w:ascii="Verdana" w:eastAsia="Times New Roman" w:hAnsi="Verdana" w:cs="Arial"/>
                <w:color w:val="000000"/>
                <w:lang w:eastAsia="es-CO"/>
              </w:rPr>
              <w:t>.</w:t>
            </w:r>
          </w:p>
          <w:p w14:paraId="30E63899" w14:textId="77777777" w:rsidR="00EE0007" w:rsidRPr="00343E12" w:rsidRDefault="00EE0007" w:rsidP="00EE0007">
            <w:pPr>
              <w:numPr>
                <w:ilvl w:val="0"/>
                <w:numId w:val="16"/>
              </w:numPr>
              <w:spacing w:before="120" w:line="276" w:lineRule="auto"/>
              <w:jc w:val="both"/>
              <w:rPr>
                <w:rFonts w:ascii="Verdana" w:eastAsia="Times New Roman" w:hAnsi="Verdana" w:cs="Arial"/>
                <w:color w:val="000000"/>
                <w:lang w:eastAsia="es-CO"/>
              </w:rPr>
            </w:pPr>
            <w:r w:rsidRPr="00343E12">
              <w:rPr>
                <w:rFonts w:ascii="Verdana" w:eastAsia="Times New Roman" w:hAnsi="Verdana" w:cs="Arial"/>
                <w:color w:val="000000"/>
                <w:lang w:eastAsia="es-CO"/>
              </w:rPr>
              <w:t>Corte Constitucional. Sentencia C-541 de 30 de junio de 2010. M.P: Gabriel Eduardo Mendoza Martelo.</w:t>
            </w:r>
          </w:p>
          <w:p w14:paraId="0B160832" w14:textId="77777777" w:rsidR="00EE0007" w:rsidRPr="00144EB3" w:rsidRDefault="00EE0007" w:rsidP="00A14C88">
            <w:pPr>
              <w:widowControl w:val="0"/>
              <w:autoSpaceDE w:val="0"/>
              <w:autoSpaceDN w:val="0"/>
              <w:spacing w:line="276" w:lineRule="auto"/>
              <w:jc w:val="both"/>
              <w:rPr>
                <w:rFonts w:ascii="Verdana" w:eastAsia="Arial MT" w:hAnsi="Verdana" w:cs="Arial"/>
                <w:color w:val="ED7D31" w:themeColor="accent2"/>
                <w:lang w:eastAsia="es-ES" w:bidi="es-ES"/>
              </w:rPr>
            </w:pPr>
          </w:p>
        </w:tc>
      </w:tr>
    </w:tbl>
    <w:p w14:paraId="63B5BA90" w14:textId="77777777" w:rsidR="00EE0007" w:rsidRPr="00144EB3" w:rsidRDefault="00EE0007" w:rsidP="00EE0007">
      <w:pPr>
        <w:spacing w:after="0" w:line="276" w:lineRule="auto"/>
        <w:jc w:val="both"/>
        <w:rPr>
          <w:rFonts w:ascii="Verdana" w:eastAsia="Aptos" w:hAnsi="Verdana" w:cs="Arial"/>
          <w:b/>
          <w:bCs/>
          <w:shd w:val="clear" w:color="auto" w:fill="FFFFFF"/>
        </w:rPr>
      </w:pPr>
    </w:p>
    <w:p w14:paraId="4DC319DA" w14:textId="77777777" w:rsidR="00EE0007" w:rsidRPr="00144EB3" w:rsidRDefault="00EE0007" w:rsidP="00EE0007">
      <w:pPr>
        <w:spacing w:after="0" w:line="276" w:lineRule="auto"/>
        <w:jc w:val="both"/>
        <w:rPr>
          <w:rFonts w:ascii="Verdana" w:eastAsia="Aptos" w:hAnsi="Verdana" w:cs="Arial"/>
          <w:b/>
          <w:bCs/>
          <w:shd w:val="clear" w:color="auto" w:fill="FFFFFF"/>
        </w:rPr>
      </w:pPr>
      <w:r>
        <w:rPr>
          <w:rFonts w:ascii="Verdana" w:eastAsia="Aptos" w:hAnsi="Verdana" w:cs="Arial"/>
          <w:b/>
          <w:bCs/>
          <w:shd w:val="clear" w:color="auto" w:fill="FFFFFF"/>
        </w:rPr>
        <w:t>V</w:t>
      </w:r>
      <w:r w:rsidRPr="00144EB3">
        <w:rPr>
          <w:rFonts w:ascii="Verdana" w:eastAsia="Aptos" w:hAnsi="Verdana" w:cs="Arial"/>
          <w:b/>
          <w:bCs/>
          <w:shd w:val="clear" w:color="auto" w:fill="FFFFFF"/>
        </w:rPr>
        <w:t xml:space="preserve">. Doctrina de la Agencia Nacional de Contratación Pública: </w:t>
      </w:r>
    </w:p>
    <w:p w14:paraId="50C39D7B" w14:textId="77777777" w:rsidR="00EE0007" w:rsidRPr="00144EB3" w:rsidRDefault="00EE0007" w:rsidP="00C12038">
      <w:pPr>
        <w:spacing w:after="0" w:line="240" w:lineRule="auto"/>
        <w:jc w:val="both"/>
        <w:rPr>
          <w:rFonts w:ascii="Verdana" w:eastAsia="Aptos" w:hAnsi="Verdana" w:cs="Arial"/>
          <w:b/>
          <w:bCs/>
          <w:shd w:val="clear" w:color="auto" w:fill="FFFFFF"/>
        </w:rPr>
      </w:pPr>
    </w:p>
    <w:p w14:paraId="7B7D56FD" w14:textId="77777777" w:rsidR="00EE0007" w:rsidRDefault="00EE0007" w:rsidP="00C12038">
      <w:pPr>
        <w:widowControl w:val="0"/>
        <w:autoSpaceDE w:val="0"/>
        <w:autoSpaceDN w:val="0"/>
        <w:spacing w:after="0" w:line="240" w:lineRule="auto"/>
        <w:jc w:val="both"/>
        <w:rPr>
          <w:rFonts w:ascii="Verdana" w:eastAsia="Aptos" w:hAnsi="Verdana" w:cs="Arial"/>
          <w:color w:val="FF0000"/>
          <w:shd w:val="clear" w:color="auto" w:fill="FFFFFF"/>
          <w:lang w:val="es-ES_tradnl"/>
        </w:rPr>
      </w:pPr>
      <w:r w:rsidRPr="00B41749">
        <w:rPr>
          <w:rFonts w:ascii="Verdana" w:eastAsia="Aptos" w:hAnsi="Verdana" w:cs="Arial"/>
          <w:shd w:val="clear" w:color="auto" w:fill="FFFFFF"/>
        </w:rPr>
        <w:t xml:space="preserve">Esta Subdirección se ha pronunciado sobre la finalidad y propósito de la Ley de Garantías Electorales en los Conceptos C-227 del 24 de mayo de 2021, C-396 del 13 de agosto de 2021, C-439 del 27 de agosto de 2021, C-481 del 9 de septiembre de 2021, C-528 del 27 de septiembre de 2021, C-550 del 5 de octubre de 2021, C-523 del 10 de octubre de 2021, C-606 del 28 de octubre de 2021, C-614 del 2 de noviembre de 2021, C-634 del 11 de noviembre de 2021, C-636 del 16 de noviembre de 2021, C-681 del 7 de diciembre de 2021, C-686 del 21 de diciembre de 2021, C-054 del 22 de marzo de 2022, C-179 del 8 de abril de 2022, C-161 del 17 de mayo de 2022, C- 180 del 21 de marzo de 2025, C-696 del 11 de julio de 2025, C-708 del 15 de julio de 2025, C-1186 del 17 de septiembre de 2025, C-1350 del 1˚ de octubre de 2025 y C-1430 del 12 de noviembre del 2025 y C-1492 de 21 de noviembre de 2025. </w:t>
      </w:r>
      <w:r w:rsidRPr="00B41749">
        <w:rPr>
          <w:rFonts w:ascii="Verdana" w:eastAsia="Aptos" w:hAnsi="Verdana" w:cs="Arial"/>
          <w:shd w:val="clear" w:color="auto" w:fill="FFFFFF"/>
          <w:lang w:val="es-ES_tradnl"/>
        </w:rPr>
        <w:t xml:space="preserve">Estos conceptos se encuentran disponibles para consulta en el Sistema de relatoría de la Agencia, al cual puede accederse a través del siguiente enlace: </w:t>
      </w:r>
      <w:hyperlink r:id="rId12" w:history="1">
        <w:r w:rsidRPr="00B41749">
          <w:rPr>
            <w:rFonts w:ascii="Verdana" w:eastAsia="Aptos" w:hAnsi="Verdana" w:cs="Arial"/>
            <w:color w:val="0000FF"/>
            <w:u w:val="single"/>
            <w:shd w:val="clear" w:color="auto" w:fill="FFFFFF"/>
            <w:lang w:val="es-ES_tradnl"/>
          </w:rPr>
          <w:t>https://relatoria.colombiacompra.gov.co/busqueda/conceptos</w:t>
        </w:r>
      </w:hyperlink>
      <w:r w:rsidRPr="00B41749">
        <w:rPr>
          <w:rFonts w:ascii="Verdana" w:eastAsia="Aptos" w:hAnsi="Verdana" w:cs="Arial"/>
          <w:shd w:val="clear" w:color="auto" w:fill="FFFFFF"/>
          <w:lang w:val="es-ES_tradnl"/>
        </w:rPr>
        <w:t xml:space="preserve">. </w:t>
      </w:r>
      <w:r w:rsidRPr="00B41749">
        <w:rPr>
          <w:rFonts w:ascii="Verdana" w:eastAsia="Aptos" w:hAnsi="Verdana" w:cs="Arial"/>
          <w:color w:val="FF0000"/>
          <w:shd w:val="clear" w:color="auto" w:fill="FFFFFF"/>
          <w:lang w:val="es-ES_tradnl"/>
        </w:rPr>
        <w:t xml:space="preserve"> </w:t>
      </w:r>
    </w:p>
    <w:p w14:paraId="127F29EA" w14:textId="77777777" w:rsidR="00EE0007" w:rsidRPr="00305400" w:rsidRDefault="00EE0007" w:rsidP="00C12038">
      <w:pPr>
        <w:spacing w:after="0" w:line="240" w:lineRule="auto"/>
        <w:jc w:val="both"/>
        <w:rPr>
          <w:rFonts w:ascii="Verdana" w:hAnsi="Verdana" w:cs="Arial"/>
          <w:shd w:val="clear" w:color="auto" w:fill="FFFFFF"/>
          <w:lang w:val="es-ES_tradnl"/>
        </w:rPr>
      </w:pPr>
    </w:p>
    <w:p w14:paraId="3377AF2E" w14:textId="77777777" w:rsidR="00EE0007" w:rsidRPr="00144EB3" w:rsidRDefault="00EE0007" w:rsidP="00C12038">
      <w:pPr>
        <w:spacing w:after="0" w:line="240" w:lineRule="auto"/>
        <w:jc w:val="both"/>
        <w:rPr>
          <w:rFonts w:ascii="Verdana" w:eastAsia="Calibri" w:hAnsi="Verdana" w:cs="Arial"/>
        </w:rPr>
      </w:pPr>
      <w:r w:rsidRPr="00144EB3">
        <w:rPr>
          <w:rFonts w:ascii="Verdana" w:eastAsia="Calibri" w:hAnsi="Verdana" w:cs="Arial"/>
        </w:rPr>
        <w:t xml:space="preserve">La sostenibilidad no es una opción, es una obligación. Por ello, la Agencia Nacional de Contratación Pública –Colombia Compra Eficiente– te invita a realizar el </w:t>
      </w:r>
      <w:r w:rsidRPr="00144EB3">
        <w:rPr>
          <w:rFonts w:ascii="Verdana" w:eastAsia="Calibri" w:hAnsi="Verdana" w:cs="Arial"/>
          <w:b/>
          <w:bCs/>
        </w:rPr>
        <w:t>Curso de Contratación Pública Sostenible y Socialmente Responsable</w:t>
      </w:r>
      <w:r w:rsidRPr="00144EB3">
        <w:rPr>
          <w:rFonts w:ascii="Verdana" w:eastAsia="Calibri"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144EB3">
        <w:rPr>
          <w:rFonts w:ascii="Verdana" w:eastAsia="Calibri" w:hAnsi="Verdana" w:cs="Arial"/>
        </w:rPr>
        <w:br/>
      </w:r>
      <w:hyperlink r:id="rId13" w:tgtFrame="_new" w:history="1">
        <w:r w:rsidRPr="00144EB3">
          <w:rPr>
            <w:rFonts w:ascii="Verdana" w:eastAsia="Calibri" w:hAnsi="Verdana" w:cs="Arial"/>
            <w:color w:val="0000FF"/>
            <w:u w:val="single"/>
          </w:rPr>
          <w:t>https://formacionvirtual.colombiacompra.gov.co/mod/page/view.php?id=3718</w:t>
        </w:r>
      </w:hyperlink>
    </w:p>
    <w:p w14:paraId="118841E5" w14:textId="77777777" w:rsidR="00EE0007" w:rsidRDefault="00EE0007" w:rsidP="00C12038">
      <w:pPr>
        <w:spacing w:after="0" w:line="240" w:lineRule="auto"/>
        <w:jc w:val="both"/>
        <w:rPr>
          <w:rFonts w:ascii="Verdana" w:eastAsia="Calibri" w:hAnsi="Verdana" w:cs="Arial"/>
        </w:rPr>
      </w:pPr>
    </w:p>
    <w:p w14:paraId="33549AED" w14:textId="77777777" w:rsidR="00EE0007" w:rsidRPr="00144EB3" w:rsidRDefault="00EE0007" w:rsidP="00C12038">
      <w:pPr>
        <w:spacing w:after="0" w:line="240" w:lineRule="auto"/>
        <w:jc w:val="both"/>
        <w:rPr>
          <w:rFonts w:ascii="Verdana" w:eastAsia="Calibri" w:hAnsi="Verdana" w:cs="Arial"/>
        </w:rPr>
      </w:pPr>
      <w:r w:rsidRPr="00144EB3">
        <w:rPr>
          <w:rFonts w:ascii="Verdana" w:eastAsia="Calibri" w:hAnsi="Verdana" w:cs="Arial"/>
        </w:rPr>
        <w:t xml:space="preserve">De otro lado, te contamos que esta Agencia ha da un paso decisivo en la estandarización y modernización del </w:t>
      </w:r>
      <w:r w:rsidRPr="00144EB3">
        <w:rPr>
          <w:rFonts w:ascii="Verdana" w:eastAsia="Calibri" w:hAnsi="Verdana" w:cs="Arial"/>
          <w:b/>
          <w:bCs/>
        </w:rPr>
        <w:t>sector  social</w:t>
      </w:r>
      <w:r w:rsidRPr="00144EB3">
        <w:rPr>
          <w:rFonts w:ascii="Verdana" w:eastAsia="Calibri" w:hAnsi="Verdana" w:cs="Arial"/>
        </w:rPr>
        <w:t xml:space="preserve"> con la expedición de las </w:t>
      </w:r>
      <w:r w:rsidRPr="00144EB3">
        <w:rPr>
          <w:rFonts w:ascii="Verdana" w:eastAsia="Calibri" w:hAnsi="Verdana" w:cs="Arial"/>
          <w:b/>
          <w:bCs/>
        </w:rPr>
        <w:t>Resoluciones 539, 540, 541, 952 y 953 de 2025</w:t>
      </w:r>
      <w:r w:rsidRPr="00144EB3">
        <w:rPr>
          <w:rFonts w:ascii="Verdana" w:eastAsia="Calibri" w:hAnsi="Verdana" w:cs="Arial"/>
        </w:rPr>
        <w:t xml:space="preserve">, </w:t>
      </w:r>
      <w:r w:rsidRPr="00144EB3">
        <w:rPr>
          <w:rFonts w:ascii="Verdana" w:eastAsia="Calibri" w:hAnsi="Verdana" w:cs="Arial"/>
          <w:b/>
          <w:bCs/>
        </w:rPr>
        <w:t>mediante las cuales adoptó Documentos Tipo</w:t>
      </w:r>
      <w:r w:rsidRPr="00144EB3">
        <w:rPr>
          <w:rFonts w:ascii="Verdana" w:eastAsia="Calibri" w:hAnsi="Verdana" w:cs="Arial"/>
        </w:rPr>
        <w:t xml:space="preserve"> para las modalidades de selección de</w:t>
      </w:r>
      <w:r w:rsidRPr="00144EB3">
        <w:rPr>
          <w:rFonts w:ascii="Verdana" w:eastAsia="Calibri" w:hAnsi="Verdana" w:cs="Arial"/>
          <w:b/>
          <w:bCs/>
        </w:rPr>
        <w:t xml:space="preserve"> licitación pública (versión 2), selección abreviada de menor cuantía, mínima </w:t>
      </w:r>
      <w:r w:rsidRPr="00144EB3">
        <w:rPr>
          <w:rFonts w:ascii="Verdana" w:eastAsia="Calibri" w:hAnsi="Verdana" w:cs="Arial"/>
          <w:b/>
          <w:bCs/>
        </w:rPr>
        <w:lastRenderedPageBreak/>
        <w:t>cuantía, consultoría e interventoría</w:t>
      </w:r>
      <w:r w:rsidRPr="00144EB3">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144EB3">
          <w:rPr>
            <w:rFonts w:ascii="Verdana" w:eastAsia="Calibri" w:hAnsi="Verdana" w:cs="Arial"/>
            <w:color w:val="0000FF"/>
            <w:u w:val="single"/>
          </w:rPr>
          <w:t>https://www.colombiacompra.gov.co/normativa-y-relatoria/documentos-tipo</w:t>
        </w:r>
      </w:hyperlink>
    </w:p>
    <w:p w14:paraId="4FC83A6E" w14:textId="77777777" w:rsidR="00EE0007" w:rsidRPr="00144EB3" w:rsidRDefault="00EE0007" w:rsidP="00C12038">
      <w:pPr>
        <w:spacing w:after="0" w:line="240" w:lineRule="auto"/>
        <w:jc w:val="both"/>
        <w:rPr>
          <w:rFonts w:ascii="Verdana" w:eastAsia="Calibri" w:hAnsi="Verdana" w:cs="Arial"/>
        </w:rPr>
      </w:pPr>
    </w:p>
    <w:p w14:paraId="4F7680FA" w14:textId="77777777" w:rsidR="00EE0007" w:rsidRPr="00144EB3" w:rsidRDefault="00EE0007" w:rsidP="00C12038">
      <w:pPr>
        <w:spacing w:after="0" w:line="240" w:lineRule="auto"/>
        <w:jc w:val="both"/>
        <w:rPr>
          <w:rFonts w:ascii="Verdana" w:eastAsia="Calibri" w:hAnsi="Verdana" w:cs="Arial"/>
        </w:rPr>
      </w:pPr>
      <w:r w:rsidRPr="00144EB3">
        <w:rPr>
          <w:rFonts w:ascii="Verdana" w:eastAsia="Calibri" w:hAnsi="Verdana" w:cs="Arial"/>
        </w:rPr>
        <w:t xml:space="preserve">Si quieres conocer más sobre la aplicación de Documentos Tipo puedes consultar la última versión de la </w:t>
      </w:r>
      <w:r w:rsidRPr="00144EB3">
        <w:rPr>
          <w:rFonts w:ascii="Verdana" w:eastAsia="Calibri" w:hAnsi="Verdana" w:cs="Arial"/>
          <w:b/>
          <w:bCs/>
        </w:rPr>
        <w:t>Guía para la comprensión e implementación de los Documentos Tipo de obra pública de infraestructura de transporte</w:t>
      </w:r>
      <w:r w:rsidRPr="00144EB3">
        <w:rPr>
          <w:rFonts w:ascii="Verdana" w:eastAsia="Calibri"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44EB3">
        <w:rPr>
          <w:rFonts w:ascii="Verdana" w:eastAsia="Calibri" w:hAnsi="Verdana" w:cs="Arial"/>
        </w:rPr>
        <w:br/>
      </w:r>
      <w:hyperlink r:id="rId15" w:tgtFrame="_new" w:history="1">
        <w:r w:rsidRPr="00144EB3">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103EC9B2" w14:textId="77777777" w:rsidR="00EE0007" w:rsidRPr="00144EB3" w:rsidRDefault="00EE0007" w:rsidP="00C12038">
      <w:pPr>
        <w:spacing w:after="0" w:line="240" w:lineRule="auto"/>
        <w:jc w:val="both"/>
        <w:rPr>
          <w:rFonts w:ascii="Verdana" w:eastAsia="Calibri" w:hAnsi="Verdana" w:cs="Arial"/>
        </w:rPr>
      </w:pPr>
      <w:r w:rsidRPr="00144EB3">
        <w:rPr>
          <w:rFonts w:ascii="Verdana" w:eastAsia="Calibri" w:hAnsi="Verdana" w:cs="Arial"/>
          <w:shd w:val="clear" w:color="auto" w:fill="FFFFFF"/>
        </w:rPr>
        <w:t xml:space="preserve">Por último, lo invitamos a seguirnos en las redes sociales en las cuales se difunde información institucional: </w:t>
      </w:r>
    </w:p>
    <w:p w14:paraId="53CC6118" w14:textId="77777777" w:rsidR="00EE0007" w:rsidRPr="00144EB3" w:rsidRDefault="00EE0007" w:rsidP="00C12038">
      <w:pPr>
        <w:spacing w:after="0" w:line="240" w:lineRule="auto"/>
        <w:jc w:val="both"/>
        <w:rPr>
          <w:rFonts w:ascii="Verdana" w:eastAsia="Calibri" w:hAnsi="Verdana" w:cs="Arial"/>
          <w:shd w:val="clear" w:color="auto" w:fill="FFFFFF"/>
        </w:rPr>
      </w:pPr>
    </w:p>
    <w:p w14:paraId="62B5AEBB" w14:textId="77777777" w:rsidR="00EE0007" w:rsidRPr="00144EB3" w:rsidRDefault="00EE0007" w:rsidP="00C12038">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Twitter: </w:t>
      </w:r>
      <w:r w:rsidRPr="00144EB3">
        <w:rPr>
          <w:rFonts w:ascii="Verdana" w:eastAsia="Calibri" w:hAnsi="Verdana" w:cs="Arial"/>
          <w:color w:val="0000FF"/>
          <w:u w:val="single"/>
          <w:lang w:val="es-ES"/>
        </w:rPr>
        <w:t xml:space="preserve">@colombiacompra </w:t>
      </w:r>
    </w:p>
    <w:p w14:paraId="6EFD340B" w14:textId="77777777" w:rsidR="00EE0007" w:rsidRPr="00144EB3" w:rsidRDefault="00EE0007" w:rsidP="00C12038">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Facebook:</w:t>
      </w:r>
      <w:r w:rsidRPr="00144EB3">
        <w:rPr>
          <w:rFonts w:ascii="Verdana" w:eastAsia="Calibri" w:hAnsi="Verdana" w:cs="Arial"/>
          <w:color w:val="0000FF"/>
          <w:u w:val="single"/>
          <w:lang w:val="es-ES"/>
        </w:rPr>
        <w:t xml:space="preserve"> </w:t>
      </w:r>
      <w:proofErr w:type="spellStart"/>
      <w:r w:rsidRPr="00144EB3">
        <w:rPr>
          <w:rFonts w:ascii="Verdana" w:eastAsia="Calibri" w:hAnsi="Verdana" w:cs="Arial"/>
          <w:color w:val="0000FF"/>
          <w:u w:val="single"/>
          <w:lang w:val="es-ES"/>
        </w:rPr>
        <w:t>ColombiaCompraEficiente</w:t>
      </w:r>
      <w:proofErr w:type="spellEnd"/>
    </w:p>
    <w:p w14:paraId="02C26A5C" w14:textId="77777777" w:rsidR="00EE0007" w:rsidRPr="00144EB3" w:rsidRDefault="00EE0007" w:rsidP="00C12038">
      <w:pPr>
        <w:spacing w:after="0" w:line="240" w:lineRule="auto"/>
        <w:jc w:val="both"/>
        <w:rPr>
          <w:rFonts w:ascii="Verdana" w:eastAsia="Calibri" w:hAnsi="Verdana" w:cs="Arial"/>
          <w:color w:val="0000FF"/>
          <w:shd w:val="clear" w:color="auto" w:fill="FFFFFF"/>
        </w:rPr>
      </w:pPr>
      <w:r w:rsidRPr="00144EB3">
        <w:rPr>
          <w:rFonts w:ascii="Verdana" w:eastAsia="Calibri" w:hAnsi="Verdana" w:cs="Arial"/>
          <w:shd w:val="clear" w:color="auto" w:fill="FFFFFF"/>
        </w:rPr>
        <w:t xml:space="preserve">LinkedIn: </w:t>
      </w:r>
      <w:r w:rsidRPr="00144EB3">
        <w:rPr>
          <w:rFonts w:ascii="Verdana" w:eastAsia="Calibri" w:hAnsi="Verdana" w:cs="Arial"/>
          <w:color w:val="0000FF"/>
          <w:u w:val="single"/>
          <w:lang w:val="es-ES"/>
        </w:rPr>
        <w:t>Agencia Nacional de Contratación Pública - Colombia Compra Eficiente</w:t>
      </w:r>
      <w:r w:rsidRPr="00144EB3">
        <w:rPr>
          <w:rFonts w:ascii="Verdana" w:eastAsia="Calibri" w:hAnsi="Verdana" w:cs="Arial"/>
          <w:color w:val="0000FF"/>
          <w:shd w:val="clear" w:color="auto" w:fill="FFFFFF"/>
        </w:rPr>
        <w:t xml:space="preserve"> </w:t>
      </w:r>
    </w:p>
    <w:p w14:paraId="7776EF4F" w14:textId="77777777" w:rsidR="00EE0007" w:rsidRPr="00144EB3" w:rsidRDefault="00EE0007" w:rsidP="00C12038">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Instagram: </w:t>
      </w:r>
      <w:r w:rsidRPr="00144EB3">
        <w:rPr>
          <w:rFonts w:ascii="Verdana" w:eastAsia="Calibri" w:hAnsi="Verdana" w:cs="Arial"/>
          <w:color w:val="0000FF"/>
          <w:u w:val="single"/>
          <w:lang w:val="es-ES"/>
        </w:rPr>
        <w:t>@colombiacompraeficiente_cce</w:t>
      </w:r>
    </w:p>
    <w:p w14:paraId="28C7AA21" w14:textId="77777777" w:rsidR="00EE0007" w:rsidRPr="00144EB3" w:rsidRDefault="00EE0007" w:rsidP="00C12038">
      <w:pPr>
        <w:widowControl w:val="0"/>
        <w:autoSpaceDE w:val="0"/>
        <w:autoSpaceDN w:val="0"/>
        <w:spacing w:after="0" w:line="240" w:lineRule="auto"/>
        <w:jc w:val="both"/>
        <w:rPr>
          <w:rFonts w:ascii="Verdana" w:eastAsia="Calibri" w:hAnsi="Verdana" w:cs="Arial"/>
          <w:lang w:val="es-ES"/>
        </w:rPr>
      </w:pPr>
    </w:p>
    <w:p w14:paraId="0ED68B48" w14:textId="77777777" w:rsidR="00EE0007" w:rsidRPr="00144EB3" w:rsidRDefault="00EE0007" w:rsidP="00C12038">
      <w:pPr>
        <w:widowControl w:val="0"/>
        <w:autoSpaceDE w:val="0"/>
        <w:autoSpaceDN w:val="0"/>
        <w:spacing w:after="0" w:line="240" w:lineRule="auto"/>
        <w:jc w:val="both"/>
        <w:rPr>
          <w:rFonts w:ascii="Verdana" w:eastAsia="Calibri" w:hAnsi="Verdana" w:cs="Arial"/>
          <w:lang w:val="es-ES"/>
        </w:rPr>
      </w:pPr>
      <w:r w:rsidRPr="00144EB3">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7AA1415" w14:textId="77777777" w:rsidR="00EE0007" w:rsidRPr="00144EB3" w:rsidRDefault="00EE0007" w:rsidP="00C12038">
      <w:pPr>
        <w:spacing w:after="0" w:line="240" w:lineRule="auto"/>
        <w:jc w:val="both"/>
        <w:rPr>
          <w:rFonts w:ascii="Verdana" w:eastAsia="Verdana" w:hAnsi="Verdana" w:cs="Verdana"/>
        </w:rPr>
      </w:pPr>
    </w:p>
    <w:p w14:paraId="32D15C0C" w14:textId="77777777" w:rsidR="00EE0007" w:rsidRPr="00144EB3" w:rsidRDefault="00EE0007" w:rsidP="00C12038">
      <w:pPr>
        <w:spacing w:after="0" w:line="240" w:lineRule="auto"/>
        <w:rPr>
          <w:rFonts w:ascii="Verdana" w:eastAsia="Verdana" w:hAnsi="Verdana" w:cs="Verdana"/>
        </w:rPr>
      </w:pPr>
      <w:r w:rsidRPr="00144EB3">
        <w:rPr>
          <w:rFonts w:ascii="Verdana" w:eastAsia="Verdana" w:hAnsi="Verdana" w:cs="Verdana"/>
        </w:rPr>
        <w:t xml:space="preserve">Evalúa el servicio que ofrece la Agencia por el canal de atención de PQRSD en el siguiente enlace: </w:t>
      </w:r>
      <w:hyperlink r:id="rId16" w:history="1">
        <w:r w:rsidRPr="00144EB3">
          <w:rPr>
            <w:rFonts w:ascii="Verdana" w:eastAsia="Verdana" w:hAnsi="Verdana" w:cs="Verdana"/>
            <w:color w:val="0000FF"/>
            <w:u w:val="single"/>
          </w:rPr>
          <w:t>https://forms.office.com/r/pPHyWVs2SZ</w:t>
        </w:r>
      </w:hyperlink>
      <w:r w:rsidRPr="00144EB3">
        <w:rPr>
          <w:rFonts w:ascii="Verdana" w:eastAsia="Verdana" w:hAnsi="Verdana" w:cs="Verdana"/>
        </w:rPr>
        <w:t xml:space="preserve"> .¡Ayúdanos a mejorar porque el compromiso es de todos!</w:t>
      </w:r>
    </w:p>
    <w:p w14:paraId="24C4F9D9" w14:textId="77777777" w:rsidR="00EE0007" w:rsidRDefault="00EE0007" w:rsidP="00EE0007">
      <w:pPr>
        <w:spacing w:after="0" w:line="240" w:lineRule="auto"/>
        <w:rPr>
          <w:rFonts w:ascii="Verdana" w:eastAsia="Verdana" w:hAnsi="Verdana" w:cs="Verdana"/>
        </w:rPr>
      </w:pPr>
    </w:p>
    <w:p w14:paraId="33B1CA3B" w14:textId="77777777" w:rsidR="00EE0007" w:rsidRDefault="00EE0007" w:rsidP="00EE0007">
      <w:pPr>
        <w:spacing w:after="0" w:line="240" w:lineRule="auto"/>
        <w:rPr>
          <w:rFonts w:ascii="Verdana" w:eastAsia="Verdana" w:hAnsi="Verdana" w:cs="Verdana"/>
        </w:rPr>
      </w:pPr>
    </w:p>
    <w:p w14:paraId="46A80F74" w14:textId="77777777" w:rsidR="00EE0007" w:rsidRPr="00144EB3" w:rsidRDefault="00EE0007" w:rsidP="00EE0007">
      <w:pPr>
        <w:spacing w:after="0" w:line="276" w:lineRule="auto"/>
        <w:rPr>
          <w:rFonts w:ascii="Verdana" w:eastAsia="Verdana" w:hAnsi="Verdana" w:cs="Verdana"/>
        </w:rPr>
      </w:pPr>
    </w:p>
    <w:p w14:paraId="38659CB3" w14:textId="63B90445" w:rsidR="00EE0007" w:rsidRPr="00144EB3" w:rsidRDefault="00EE0007" w:rsidP="00EE0007">
      <w:pPr>
        <w:spacing w:after="0" w:line="276" w:lineRule="auto"/>
        <w:jc w:val="both"/>
        <w:rPr>
          <w:rFonts w:ascii="Verdana" w:eastAsia="Verdana" w:hAnsi="Verdana" w:cs="Verdana"/>
          <w:lang w:val="es-MX"/>
        </w:rPr>
      </w:pPr>
      <w:r w:rsidRPr="00A30F99">
        <w:rPr>
          <w:rFonts w:ascii="Verdana" w:eastAsia="Verdana" w:hAnsi="Verdana" w:cs="Verdana"/>
          <w:lang w:val="es-MX"/>
        </w:rPr>
        <w:t xml:space="preserve"> </w:t>
      </w:r>
      <w:r w:rsidRPr="00144EB3">
        <w:rPr>
          <w:rFonts w:ascii="Verdana" w:eastAsia="Verdana" w:hAnsi="Verdana" w:cs="Verdana"/>
          <w:lang w:val="es-MX"/>
        </w:rPr>
        <w:t xml:space="preserve">Cordialmente, </w:t>
      </w:r>
    </w:p>
    <w:p w14:paraId="2D39446A" w14:textId="77777777" w:rsidR="00EE0007" w:rsidRDefault="00EE0007" w:rsidP="00EE0007">
      <w:pPr>
        <w:spacing w:after="120" w:line="276" w:lineRule="auto"/>
        <w:contextualSpacing/>
        <w:jc w:val="center"/>
        <w:rPr>
          <w:rFonts w:ascii="Century Gothic" w:hAnsi="Century Gothic"/>
          <w:noProof/>
        </w:rPr>
      </w:pPr>
    </w:p>
    <w:p w14:paraId="090251A1" w14:textId="77777777" w:rsidR="00EE0007" w:rsidRDefault="00EE0007" w:rsidP="00EE0007">
      <w:pPr>
        <w:spacing w:after="120" w:line="276" w:lineRule="auto"/>
        <w:contextualSpacing/>
        <w:jc w:val="center"/>
        <w:rPr>
          <w:rFonts w:ascii="Century Gothic" w:hAnsi="Century Gothic"/>
          <w:noProof/>
        </w:rPr>
      </w:pPr>
    </w:p>
    <w:p w14:paraId="473B8431" w14:textId="77777777" w:rsidR="00FA4512" w:rsidRDefault="00FA4512" w:rsidP="00EE0007">
      <w:pPr>
        <w:tabs>
          <w:tab w:val="left" w:pos="8130"/>
        </w:tabs>
        <w:spacing w:after="0" w:line="276" w:lineRule="auto"/>
        <w:rPr>
          <w:rFonts w:ascii="Verdana" w:hAnsi="Verdana" w:cs="Arial"/>
          <w:lang w:val="es-ES" w:eastAsia="es-CO"/>
        </w:rPr>
      </w:pPr>
    </w:p>
    <w:p w14:paraId="69D6D4C6" w14:textId="17FE7945" w:rsidR="00FA4512" w:rsidRDefault="00C12038" w:rsidP="00C12038">
      <w:pPr>
        <w:tabs>
          <w:tab w:val="left" w:pos="8130"/>
        </w:tabs>
        <w:spacing w:after="0" w:line="276" w:lineRule="auto"/>
        <w:jc w:val="center"/>
        <w:rPr>
          <w:rFonts w:ascii="Verdana" w:hAnsi="Verdana" w:cs="Arial"/>
          <w:lang w:val="es-ES" w:eastAsia="es-CO"/>
        </w:rPr>
      </w:pPr>
      <w:r w:rsidRPr="002C3AD6">
        <w:rPr>
          <w:rFonts w:ascii="Century Gothic" w:hAnsi="Century Gothic"/>
          <w:noProof/>
        </w:rPr>
        <w:lastRenderedPageBreak/>
        <w:drawing>
          <wp:inline distT="0" distB="0" distL="0" distR="0" wp14:anchorId="187F11E7" wp14:editId="43F66D19">
            <wp:extent cx="3062377" cy="1136791"/>
            <wp:effectExtent l="0" t="0" r="5080" b="635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107198" cy="1153429"/>
                    </a:xfrm>
                    <a:prstGeom prst="rect">
                      <a:avLst/>
                    </a:prstGeom>
                  </pic:spPr>
                </pic:pic>
              </a:graphicData>
            </a:graphic>
          </wp:inline>
        </w:drawing>
      </w:r>
    </w:p>
    <w:p w14:paraId="688CE911" w14:textId="77777777" w:rsidR="00EE0007" w:rsidRPr="008278B1" w:rsidRDefault="00EE0007" w:rsidP="00EE0007">
      <w:pPr>
        <w:tabs>
          <w:tab w:val="left" w:pos="8130"/>
        </w:tabs>
        <w:spacing w:after="0" w:line="276" w:lineRule="auto"/>
        <w:rPr>
          <w:rFonts w:ascii="Verdana" w:hAnsi="Verdana" w:cs="Arial"/>
          <w:lang w:val="es-ES" w:eastAsia="es-CO"/>
        </w:rPr>
      </w:pPr>
      <w:r>
        <w:rPr>
          <w:rFonts w:ascii="Verdana" w:hAnsi="Verdana" w:cs="Arial"/>
          <w:lang w:val="es-ES" w:eastAsia="es-CO"/>
        </w:rPr>
        <w:tab/>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E0007" w:rsidRPr="008278B1" w14:paraId="788786C9" w14:textId="77777777" w:rsidTr="00A14C88">
        <w:trPr>
          <w:trHeight w:val="315"/>
        </w:trPr>
        <w:tc>
          <w:tcPr>
            <w:tcW w:w="893" w:type="dxa"/>
            <w:vAlign w:val="center"/>
            <w:hideMark/>
          </w:tcPr>
          <w:p w14:paraId="00D62BC3" w14:textId="77777777" w:rsidR="00EE0007" w:rsidRPr="008278B1" w:rsidRDefault="00EE0007" w:rsidP="00A14C88">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359919C" w14:textId="77777777" w:rsidR="00EE0007" w:rsidRPr="00860461" w:rsidRDefault="00EE0007" w:rsidP="00A14C88">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0E33E93D" w14:textId="77777777" w:rsidR="00EE0007" w:rsidRPr="00860461" w:rsidRDefault="00EE0007" w:rsidP="00A14C88">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EE0007" w:rsidRPr="00F84F36" w14:paraId="713BEF35" w14:textId="77777777" w:rsidTr="00A14C88">
        <w:trPr>
          <w:trHeight w:val="330"/>
        </w:trPr>
        <w:tc>
          <w:tcPr>
            <w:tcW w:w="893" w:type="dxa"/>
            <w:vAlign w:val="center"/>
            <w:hideMark/>
          </w:tcPr>
          <w:p w14:paraId="024AC95E" w14:textId="77777777" w:rsidR="00EE0007" w:rsidRPr="0025661F" w:rsidRDefault="00EE0007" w:rsidP="00A14C88">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A1BCC15" w14:textId="77777777" w:rsidR="00EE0007" w:rsidRPr="00D62D2E" w:rsidRDefault="00EE0007" w:rsidP="00A14C88">
            <w:pPr>
              <w:rPr>
                <w:rFonts w:ascii="Verdana" w:eastAsia="Times New Roman" w:hAnsi="Verdana" w:cs="Arial"/>
                <w:color w:val="000000" w:themeColor="text1"/>
                <w:sz w:val="16"/>
                <w:szCs w:val="16"/>
                <w:lang w:eastAsia="es-ES"/>
              </w:rPr>
            </w:pPr>
            <w:r>
              <w:rPr>
                <w:rFonts w:ascii="Verdana" w:eastAsia="Times New Roman" w:hAnsi="Verdana" w:cs="Arial"/>
                <w:color w:val="000000" w:themeColor="text1"/>
                <w:sz w:val="16"/>
                <w:szCs w:val="16"/>
                <w:lang w:eastAsia="es-ES"/>
              </w:rPr>
              <w:t xml:space="preserve">Adriana Katherine López </w:t>
            </w:r>
            <w:proofErr w:type="spellStart"/>
            <w:r>
              <w:rPr>
                <w:rFonts w:ascii="Verdana" w:eastAsia="Times New Roman" w:hAnsi="Verdana" w:cs="Arial"/>
                <w:color w:val="000000" w:themeColor="text1"/>
                <w:sz w:val="16"/>
                <w:szCs w:val="16"/>
                <w:lang w:eastAsia="es-ES"/>
              </w:rPr>
              <w:t>Rodriguez</w:t>
            </w:r>
            <w:proofErr w:type="spellEnd"/>
          </w:p>
          <w:p w14:paraId="6770E632" w14:textId="77777777" w:rsidR="00EE0007" w:rsidRPr="0025661F" w:rsidRDefault="00EE0007" w:rsidP="00A14C88">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EE0007" w:rsidRPr="00F84F36" w14:paraId="4FE2A7CB" w14:textId="77777777" w:rsidTr="00A14C88">
        <w:trPr>
          <w:trHeight w:val="300"/>
        </w:trPr>
        <w:tc>
          <w:tcPr>
            <w:tcW w:w="893" w:type="dxa"/>
            <w:vAlign w:val="center"/>
          </w:tcPr>
          <w:p w14:paraId="2354BA1E" w14:textId="77777777" w:rsidR="00EE0007" w:rsidRPr="008278B1" w:rsidRDefault="00EE0007" w:rsidP="00A14C88">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474E01A" w14:textId="77777777" w:rsidR="00EE0007" w:rsidRPr="008278B1" w:rsidRDefault="00EE0007" w:rsidP="00A14C88">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12C5F8B3" w14:textId="77777777" w:rsidR="00EE0007" w:rsidRPr="008278B1" w:rsidRDefault="00EE0007" w:rsidP="00A14C88">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454BFC80" w14:textId="77777777" w:rsidR="00EE0007" w:rsidRPr="0024624F" w:rsidRDefault="00EE0007" w:rsidP="00EE0007">
      <w:pPr>
        <w:spacing w:after="0"/>
        <w:rPr>
          <w:rFonts w:ascii="Verdana" w:eastAsia="Verdana" w:hAnsi="Verdana" w:cs="Verdana"/>
        </w:rPr>
      </w:pPr>
    </w:p>
    <w:bookmarkEnd w:id="0"/>
    <w:p w14:paraId="1468C46D" w14:textId="0F22879B" w:rsidR="00C15139" w:rsidRPr="0024624F" w:rsidRDefault="00C15139" w:rsidP="30821638">
      <w:pPr>
        <w:spacing w:after="0"/>
        <w:rPr>
          <w:rFonts w:ascii="Verdana" w:eastAsia="Verdana" w:hAnsi="Verdana" w:cs="Verdana"/>
        </w:rPr>
      </w:pPr>
    </w:p>
    <w:sectPr w:rsidR="00C15139" w:rsidRPr="0024624F"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C731" w14:textId="77777777" w:rsidR="00591397" w:rsidRDefault="00591397" w:rsidP="004A1847">
      <w:pPr>
        <w:spacing w:after="0" w:line="240" w:lineRule="auto"/>
      </w:pPr>
      <w:r>
        <w:separator/>
      </w:r>
    </w:p>
  </w:endnote>
  <w:endnote w:type="continuationSeparator" w:id="0">
    <w:p w14:paraId="44C362C4" w14:textId="77777777" w:rsidR="00591397" w:rsidRDefault="0059139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5766" w14:textId="77777777" w:rsidR="00591397" w:rsidRDefault="00591397" w:rsidP="004A1847">
      <w:pPr>
        <w:spacing w:after="0" w:line="240" w:lineRule="auto"/>
      </w:pPr>
      <w:r>
        <w:separator/>
      </w:r>
    </w:p>
  </w:footnote>
  <w:footnote w:type="continuationSeparator" w:id="0">
    <w:p w14:paraId="50DAABAD" w14:textId="77777777" w:rsidR="00591397" w:rsidRDefault="00591397" w:rsidP="004A1847">
      <w:pPr>
        <w:spacing w:after="0" w:line="240" w:lineRule="auto"/>
      </w:pPr>
      <w:r>
        <w:continuationSeparator/>
      </w:r>
    </w:p>
  </w:footnote>
  <w:footnote w:id="1">
    <w:p w14:paraId="4CC5D6D4" w14:textId="77777777" w:rsidR="00EE0007" w:rsidRPr="00F3517D" w:rsidRDefault="00EE0007" w:rsidP="00EE0007">
      <w:pPr>
        <w:pStyle w:val="Textonotapie"/>
        <w:ind w:firstLine="709"/>
        <w:jc w:val="both"/>
        <w:rPr>
          <w:rFonts w:ascii="Verdana" w:hAnsi="Verdana" w:cs="Arial"/>
          <w:sz w:val="16"/>
          <w:szCs w:val="16"/>
        </w:rPr>
      </w:pPr>
      <w:r w:rsidRPr="00F3517D">
        <w:rPr>
          <w:rStyle w:val="Refdenotaalpie"/>
          <w:rFonts w:ascii="Verdana" w:hAnsi="Verdana" w:cs="Arial"/>
          <w:sz w:val="16"/>
          <w:szCs w:val="16"/>
        </w:rPr>
        <w:footnoteRef/>
      </w:r>
      <w:r w:rsidRPr="00F3517D">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5CCF65FF" w14:textId="77777777" w:rsidR="00EE0007" w:rsidRPr="00F3517D" w:rsidRDefault="00EE0007" w:rsidP="00EE0007">
      <w:pPr>
        <w:pStyle w:val="Textonotapie"/>
        <w:ind w:firstLine="709"/>
        <w:jc w:val="both"/>
        <w:rPr>
          <w:rFonts w:ascii="Verdana" w:hAnsi="Verdana" w:cs="Arial"/>
          <w:sz w:val="16"/>
          <w:szCs w:val="16"/>
        </w:rPr>
      </w:pPr>
      <w:r w:rsidRPr="00F3517D">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1B88BF75" w14:textId="77777777" w:rsidR="00EE0007" w:rsidRPr="00F3517D" w:rsidRDefault="00EE0007" w:rsidP="00EE0007">
      <w:pPr>
        <w:pStyle w:val="Textonotapie"/>
        <w:ind w:firstLine="709"/>
        <w:jc w:val="both"/>
        <w:rPr>
          <w:rFonts w:ascii="Verdana" w:hAnsi="Verdana" w:cs="Arial"/>
          <w:sz w:val="16"/>
          <w:szCs w:val="16"/>
        </w:rPr>
      </w:pPr>
    </w:p>
  </w:footnote>
  <w:footnote w:id="2">
    <w:p w14:paraId="68259A7B" w14:textId="77777777" w:rsidR="00EE0007" w:rsidRPr="00F3517D" w:rsidRDefault="00EE0007" w:rsidP="00EE0007">
      <w:pPr>
        <w:pStyle w:val="Textonotapie"/>
        <w:ind w:firstLine="709"/>
        <w:jc w:val="both"/>
        <w:rPr>
          <w:rFonts w:ascii="Verdana" w:hAnsi="Verdana" w:cs="Arial"/>
          <w:sz w:val="16"/>
          <w:szCs w:val="16"/>
        </w:rPr>
      </w:pPr>
      <w:r w:rsidRPr="00F3517D">
        <w:rPr>
          <w:rStyle w:val="Refdenotaalpie"/>
          <w:rFonts w:ascii="Verdana" w:hAnsi="Verdana"/>
          <w:sz w:val="16"/>
          <w:szCs w:val="16"/>
        </w:rPr>
        <w:footnoteRef/>
      </w:r>
      <w:r w:rsidRPr="00F3517D">
        <w:rPr>
          <w:rFonts w:ascii="Verdana" w:hAnsi="Verdana"/>
          <w:sz w:val="16"/>
          <w:szCs w:val="16"/>
        </w:rPr>
        <w:t xml:space="preserve"> </w:t>
      </w:r>
      <w:r w:rsidRPr="00F3517D">
        <w:rPr>
          <w:rFonts w:ascii="Verdana" w:hAnsi="Verdana" w:cs="Arial"/>
          <w:sz w:val="16"/>
          <w:szCs w:val="16"/>
        </w:rPr>
        <w:t>Gaceta del Congreso de la República No. 71 del 2005.</w:t>
      </w:r>
    </w:p>
    <w:p w14:paraId="05A45C9E" w14:textId="77777777" w:rsidR="00EE0007" w:rsidRPr="006A36BB" w:rsidRDefault="00EE0007" w:rsidP="00EE0007">
      <w:pPr>
        <w:pStyle w:val="Textonotapie"/>
        <w:jc w:val="both"/>
        <w:rPr>
          <w:rFonts w:ascii="Verdana" w:hAnsi="Verdana"/>
          <w:sz w:val="14"/>
          <w:szCs w:val="14"/>
        </w:rPr>
      </w:pPr>
    </w:p>
  </w:footnote>
  <w:footnote w:id="3">
    <w:p w14:paraId="0D81DD83" w14:textId="77777777" w:rsidR="00EE0007" w:rsidRPr="00F3517D" w:rsidRDefault="00EE0007" w:rsidP="00EE0007">
      <w:pPr>
        <w:pStyle w:val="Textonotapie"/>
        <w:ind w:firstLine="709"/>
        <w:jc w:val="both"/>
        <w:rPr>
          <w:rFonts w:ascii="Verdana" w:hAnsi="Verdana" w:cs="Arial"/>
          <w:sz w:val="16"/>
          <w:szCs w:val="16"/>
          <w:lang w:val="pt-BR"/>
        </w:rPr>
      </w:pPr>
      <w:r w:rsidRPr="00F3517D">
        <w:rPr>
          <w:rStyle w:val="Refdenotaalpie"/>
          <w:rFonts w:ascii="Verdana" w:hAnsi="Verdana" w:cs="Arial"/>
          <w:sz w:val="16"/>
          <w:szCs w:val="16"/>
        </w:rPr>
        <w:footnoteRef/>
      </w:r>
      <w:r w:rsidRPr="00F3517D">
        <w:rPr>
          <w:rFonts w:ascii="Verdana" w:hAnsi="Verdana" w:cs="Arial"/>
          <w:sz w:val="16"/>
          <w:szCs w:val="16"/>
          <w:lang w:val="pt-BR"/>
        </w:rPr>
        <w:t xml:space="preserve"> Corte Constitucional, Sentencia C- 1153 de 2005, M.P. Marco Gerardo </w:t>
      </w:r>
      <w:proofErr w:type="spellStart"/>
      <w:r w:rsidRPr="00F3517D">
        <w:rPr>
          <w:rFonts w:ascii="Verdana" w:hAnsi="Verdana" w:cs="Arial"/>
          <w:sz w:val="16"/>
          <w:szCs w:val="16"/>
          <w:lang w:val="pt-BR"/>
        </w:rPr>
        <w:t>Monroy</w:t>
      </w:r>
      <w:proofErr w:type="spellEnd"/>
      <w:r w:rsidRPr="00F3517D">
        <w:rPr>
          <w:rFonts w:ascii="Verdana" w:hAnsi="Verdana" w:cs="Arial"/>
          <w:sz w:val="16"/>
          <w:szCs w:val="16"/>
          <w:lang w:val="pt-BR"/>
        </w:rPr>
        <w:t xml:space="preserve"> Cabra.</w:t>
      </w:r>
    </w:p>
  </w:footnote>
  <w:footnote w:id="4">
    <w:p w14:paraId="4A1BA256" w14:textId="77777777" w:rsidR="00EE0007" w:rsidRPr="00F3517D" w:rsidRDefault="00EE0007" w:rsidP="00EE0007">
      <w:pPr>
        <w:pStyle w:val="Textonotapie"/>
        <w:ind w:firstLine="709"/>
        <w:jc w:val="both"/>
        <w:rPr>
          <w:rFonts w:ascii="Verdana" w:hAnsi="Verdana" w:cs="Arial"/>
          <w:sz w:val="16"/>
          <w:szCs w:val="16"/>
          <w:lang w:val="es-CO"/>
        </w:rPr>
      </w:pPr>
      <w:r w:rsidRPr="00F3517D">
        <w:rPr>
          <w:rStyle w:val="Refdenotaalpie"/>
          <w:rFonts w:ascii="Verdana" w:hAnsi="Verdana" w:cs="Arial"/>
          <w:sz w:val="16"/>
          <w:szCs w:val="16"/>
        </w:rPr>
        <w:footnoteRef/>
      </w:r>
      <w:r w:rsidRPr="00F3517D">
        <w:rPr>
          <w:rFonts w:ascii="Verdana" w:hAnsi="Verdana" w:cs="Arial"/>
          <w:sz w:val="16"/>
          <w:szCs w:val="16"/>
          <w:lang w:val="pt-BR"/>
        </w:rPr>
        <w:t xml:space="preserve"> </w:t>
      </w:r>
      <w:r w:rsidRPr="00F3517D">
        <w:rPr>
          <w:rFonts w:ascii="Verdana" w:hAnsi="Verdana" w:cs="Arial"/>
          <w:sz w:val="16"/>
          <w:szCs w:val="16"/>
          <w:lang w:val="es-CO"/>
        </w:rPr>
        <w:t xml:space="preserve">Corte Constitucional. Sentencias: C-233 de 4 de abril de 2002. M.P: Álvaro Tafur Galvis; C-551 de 9 de julio de 2003. M.P: Eduardo Montealegre Lynnet; C-353 de 20 de mayo de 2009. M.P: Jorge Iván Palacio </w:t>
      </w:r>
      <w:proofErr w:type="spellStart"/>
      <w:r w:rsidRPr="00F3517D">
        <w:rPr>
          <w:rFonts w:ascii="Verdana" w:hAnsi="Verdana" w:cs="Arial"/>
          <w:sz w:val="16"/>
          <w:szCs w:val="16"/>
          <w:lang w:val="es-CO"/>
        </w:rPr>
        <w:t>Palacio</w:t>
      </w:r>
      <w:proofErr w:type="spellEnd"/>
      <w:r w:rsidRPr="00F3517D">
        <w:rPr>
          <w:rFonts w:ascii="Verdana" w:hAnsi="Verdana" w:cs="Arial"/>
          <w:sz w:val="16"/>
          <w:szCs w:val="16"/>
          <w:lang w:val="es-CO"/>
        </w:rPr>
        <w:t>; C-541 de 30 de junio de 2010. M.P: Gabriel Eduardo Mendoza Martelo; entre otras.</w:t>
      </w:r>
    </w:p>
    <w:p w14:paraId="212F9C7A" w14:textId="77777777" w:rsidR="00EE0007" w:rsidRPr="00F3517D" w:rsidRDefault="00EE0007" w:rsidP="00EE0007">
      <w:pPr>
        <w:pStyle w:val="Textonotapie"/>
        <w:ind w:firstLine="709"/>
        <w:jc w:val="both"/>
        <w:rPr>
          <w:rFonts w:ascii="Verdana" w:hAnsi="Verdana" w:cs="Arial"/>
          <w:sz w:val="16"/>
          <w:szCs w:val="16"/>
          <w:lang w:val="pt-BR"/>
        </w:rPr>
      </w:pPr>
    </w:p>
  </w:footnote>
  <w:footnote w:id="5">
    <w:p w14:paraId="3A92C8FD" w14:textId="77777777" w:rsidR="00EE0007" w:rsidRPr="00F3517D" w:rsidRDefault="00EE0007" w:rsidP="00EE0007">
      <w:pPr>
        <w:pStyle w:val="Textonotapie"/>
        <w:ind w:firstLine="709"/>
        <w:jc w:val="both"/>
        <w:rPr>
          <w:rFonts w:ascii="Verdana" w:hAnsi="Verdana" w:cs="Arial"/>
          <w:sz w:val="16"/>
          <w:szCs w:val="16"/>
          <w:lang w:val="es-ES"/>
        </w:rPr>
      </w:pPr>
      <w:r w:rsidRPr="00F3517D">
        <w:rPr>
          <w:rStyle w:val="Refdenotaalpie"/>
          <w:rFonts w:ascii="Verdana" w:hAnsi="Verdana" w:cs="Arial"/>
          <w:sz w:val="16"/>
          <w:szCs w:val="16"/>
        </w:rPr>
        <w:footnoteRef/>
      </w:r>
      <w:r w:rsidRPr="00F3517D">
        <w:rPr>
          <w:rFonts w:ascii="Verdana" w:hAnsi="Verdana" w:cs="Arial"/>
          <w:sz w:val="16"/>
          <w:szCs w:val="16"/>
          <w:lang w:val="es-CO"/>
        </w:rPr>
        <w:t xml:space="preserve"> Consejo de Estado. Sala de lo Contencioso Administrativo. Sección Primera. Sentencia de 3 de marzo de 2005. Radicado: </w:t>
      </w:r>
      <w:r w:rsidRPr="00F3517D">
        <w:rPr>
          <w:rFonts w:ascii="Verdana" w:hAnsi="Verdana" w:cs="Arial"/>
          <w:sz w:val="16"/>
          <w:szCs w:val="16"/>
          <w:lang w:val="es-ES"/>
        </w:rPr>
        <w:t xml:space="preserve">25001-23-15-000-2004-00823-01 (PI). </w:t>
      </w:r>
      <w:r w:rsidRPr="00F3517D">
        <w:rPr>
          <w:rFonts w:ascii="Verdana" w:hAnsi="Verdana" w:cs="Arial"/>
          <w:sz w:val="16"/>
          <w:szCs w:val="16"/>
          <w:lang w:val="es-CO"/>
        </w:rPr>
        <w:t xml:space="preserve">C.P: Camilo Arciniegas Andrade. Ver también, de la Sección Tercera. </w:t>
      </w:r>
    </w:p>
    <w:p w14:paraId="2C35757E" w14:textId="77777777" w:rsidR="00EE0007" w:rsidRPr="00F3517D" w:rsidRDefault="00EE0007" w:rsidP="00EE0007">
      <w:pPr>
        <w:pStyle w:val="Textonotapie"/>
        <w:ind w:firstLine="709"/>
        <w:jc w:val="both"/>
        <w:rPr>
          <w:rFonts w:ascii="Verdana" w:hAnsi="Verdana" w:cs="Arial"/>
          <w:sz w:val="16"/>
          <w:szCs w:val="16"/>
          <w:lang w:val="es-CO"/>
        </w:rPr>
      </w:pPr>
    </w:p>
  </w:footnote>
  <w:footnote w:id="6">
    <w:p w14:paraId="19E9259D" w14:textId="77777777" w:rsidR="00EE0007" w:rsidRPr="00F3517D" w:rsidRDefault="00EE0007" w:rsidP="00EE0007">
      <w:pPr>
        <w:pStyle w:val="Textonotapie"/>
        <w:ind w:firstLine="709"/>
        <w:jc w:val="both"/>
        <w:rPr>
          <w:rFonts w:ascii="Verdana" w:hAnsi="Verdana" w:cs="Arial"/>
          <w:sz w:val="16"/>
          <w:szCs w:val="16"/>
        </w:rPr>
      </w:pPr>
      <w:r w:rsidRPr="00F3517D">
        <w:rPr>
          <w:rStyle w:val="Refdenotaalpie"/>
          <w:rFonts w:ascii="Verdana" w:hAnsi="Verdana" w:cs="Arial"/>
          <w:sz w:val="16"/>
          <w:szCs w:val="16"/>
        </w:rPr>
        <w:footnoteRef/>
      </w:r>
      <w:r w:rsidRPr="00F3517D">
        <w:rPr>
          <w:rFonts w:ascii="Verdana" w:hAnsi="Verdana" w:cs="Arial"/>
          <w:sz w:val="16"/>
          <w:szCs w:val="16"/>
        </w:rPr>
        <w:t xml:space="preserve"> Consejo de Estado, Sala de Consulta y Servicio Civil. 24 de julio de 2013. Radicado: </w:t>
      </w:r>
      <w:r w:rsidRPr="00F3517D">
        <w:rPr>
          <w:rFonts w:ascii="Verdana" w:hAnsi="Verdana" w:cs="Arial"/>
          <w:sz w:val="16"/>
          <w:szCs w:val="16"/>
          <w:lang w:val="es-CO"/>
        </w:rPr>
        <w:t xml:space="preserve">11001-03-06-000-2013-00407-00 </w:t>
      </w:r>
      <w:r w:rsidRPr="00F3517D">
        <w:rPr>
          <w:rFonts w:ascii="Verdana" w:hAnsi="Verdana" w:cs="Arial"/>
          <w:sz w:val="16"/>
          <w:szCs w:val="16"/>
        </w:rPr>
        <w:t xml:space="preserve">(2166). C.P. Álvaro Namén Vargas.  </w:t>
      </w:r>
    </w:p>
  </w:footnote>
  <w:footnote w:id="7">
    <w:p w14:paraId="2054AC6A" w14:textId="77777777" w:rsidR="00EE0007" w:rsidRPr="00F3517D" w:rsidRDefault="00EE0007" w:rsidP="00EE0007">
      <w:pPr>
        <w:spacing w:after="0" w:line="240" w:lineRule="auto"/>
        <w:ind w:firstLine="709"/>
        <w:jc w:val="both"/>
        <w:rPr>
          <w:rFonts w:ascii="Verdana" w:eastAsia="Times New Roman" w:hAnsi="Verdana" w:cs="Arial"/>
          <w:sz w:val="16"/>
          <w:szCs w:val="16"/>
        </w:rPr>
      </w:pPr>
      <w:r w:rsidRPr="00F3517D">
        <w:rPr>
          <w:rStyle w:val="Refdenotaalpie"/>
          <w:rFonts w:ascii="Verdana" w:hAnsi="Verdana" w:cs="Arial"/>
          <w:sz w:val="16"/>
          <w:szCs w:val="16"/>
        </w:rPr>
        <w:footnoteRef/>
      </w:r>
      <w:r w:rsidRPr="00F3517D">
        <w:rPr>
          <w:rFonts w:ascii="Verdana" w:hAnsi="Verdana" w:cs="Arial"/>
          <w:sz w:val="16"/>
          <w:szCs w:val="16"/>
        </w:rPr>
        <w:t xml:space="preserve"> </w:t>
      </w:r>
      <w:bookmarkStart w:id="5" w:name="33"/>
      <w:r w:rsidRPr="00F3517D">
        <w:rPr>
          <w:rFonts w:ascii="Verdana" w:eastAsia="Calibri" w:hAnsi="Verdana" w:cs="Arial"/>
          <w:color w:val="000000"/>
          <w:sz w:val="16"/>
          <w:szCs w:val="16"/>
        </w:rPr>
        <w:t>“</w:t>
      </w:r>
      <w:r w:rsidRPr="00F3517D">
        <w:rPr>
          <w:rFonts w:ascii="Verdana" w:eastAsia="Times New Roman" w:hAnsi="Verdana" w:cs="Arial"/>
          <w:sz w:val="16"/>
          <w:szCs w:val="16"/>
        </w:rPr>
        <w:t>Artículo 33. Restricciones a la contratación pública.</w:t>
      </w:r>
      <w:bookmarkEnd w:id="5"/>
      <w:r w:rsidRPr="00F3517D">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6B6710B5" w14:textId="77777777" w:rsidR="00EE0007" w:rsidRPr="00F3517D" w:rsidRDefault="00EE0007" w:rsidP="00EE0007">
      <w:pPr>
        <w:spacing w:after="0" w:line="240" w:lineRule="auto"/>
        <w:ind w:firstLine="709"/>
        <w:jc w:val="both"/>
        <w:rPr>
          <w:rFonts w:ascii="Verdana" w:eastAsia="Times New Roman" w:hAnsi="Verdana" w:cs="Arial"/>
          <w:sz w:val="16"/>
          <w:szCs w:val="16"/>
        </w:rPr>
      </w:pPr>
      <w:r w:rsidRPr="00F3517D">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F3517D">
        <w:rPr>
          <w:rFonts w:ascii="Verdana" w:eastAsia="Calibri" w:hAnsi="Verdana" w:cs="Arial"/>
          <w:color w:val="000000"/>
          <w:sz w:val="16"/>
          <w:szCs w:val="16"/>
        </w:rPr>
        <w:t>”</w:t>
      </w:r>
      <w:r w:rsidRPr="00F3517D">
        <w:rPr>
          <w:rFonts w:ascii="Verdana" w:eastAsia="Times New Roman" w:hAnsi="Verdana" w:cs="Arial"/>
          <w:sz w:val="16"/>
          <w:szCs w:val="16"/>
        </w:rPr>
        <w:t>.</w:t>
      </w:r>
    </w:p>
    <w:p w14:paraId="6BF8E46A" w14:textId="77777777" w:rsidR="00EE0007" w:rsidRPr="00F3517D" w:rsidRDefault="00EE0007" w:rsidP="00EE0007">
      <w:pPr>
        <w:spacing w:after="0" w:line="240" w:lineRule="auto"/>
        <w:ind w:firstLine="709"/>
        <w:jc w:val="both"/>
        <w:rPr>
          <w:rFonts w:ascii="Verdana" w:eastAsia="Times New Roman" w:hAnsi="Verdana" w:cs="Arial"/>
          <w:sz w:val="16"/>
          <w:szCs w:val="16"/>
        </w:rPr>
      </w:pPr>
    </w:p>
  </w:footnote>
  <w:footnote w:id="8">
    <w:p w14:paraId="465FAFAB" w14:textId="77777777" w:rsidR="00EE0007" w:rsidRPr="00F3517D" w:rsidRDefault="00EE0007" w:rsidP="00EE0007">
      <w:pPr>
        <w:pStyle w:val="NormalWeb"/>
        <w:spacing w:before="0" w:beforeAutospacing="0" w:after="0" w:afterAutospacing="0"/>
        <w:ind w:firstLine="709"/>
        <w:jc w:val="both"/>
        <w:rPr>
          <w:rFonts w:ascii="Verdana" w:hAnsi="Verdana" w:cs="Arial"/>
          <w:sz w:val="16"/>
          <w:szCs w:val="16"/>
          <w:lang w:val="es-MX"/>
        </w:rPr>
      </w:pPr>
      <w:r w:rsidRPr="00F3517D">
        <w:rPr>
          <w:rStyle w:val="Refdenotaalpie"/>
          <w:rFonts w:ascii="Verdana" w:eastAsiaTheme="majorEastAsia" w:hAnsi="Verdana" w:cs="Arial"/>
          <w:sz w:val="16"/>
          <w:szCs w:val="16"/>
        </w:rPr>
        <w:footnoteRef/>
      </w:r>
      <w:r w:rsidRPr="00F3517D">
        <w:rPr>
          <w:rFonts w:ascii="Verdana" w:hAnsi="Verdana" w:cs="Arial"/>
          <w:sz w:val="16"/>
          <w:szCs w:val="16"/>
        </w:rPr>
        <w:t xml:space="preserve"> </w:t>
      </w:r>
      <w:bookmarkStart w:id="6" w:name="38"/>
      <w:r w:rsidRPr="00F3517D">
        <w:rPr>
          <w:rFonts w:ascii="Verdana" w:eastAsia="Calibri" w:hAnsi="Verdana" w:cs="Arial"/>
          <w:color w:val="000000"/>
          <w:sz w:val="16"/>
          <w:szCs w:val="16"/>
        </w:rPr>
        <w:t>“</w:t>
      </w:r>
      <w:r w:rsidRPr="00F3517D">
        <w:rPr>
          <w:rFonts w:ascii="Verdana" w:hAnsi="Verdana" w:cs="Arial"/>
          <w:sz w:val="16"/>
          <w:szCs w:val="16"/>
          <w:lang w:val="es-MX"/>
        </w:rPr>
        <w:t>Artículo 38. Prohibiciones para los servidores públicos. A los empleados del Estado les está prohibido:</w:t>
      </w:r>
      <w:bookmarkEnd w:id="6"/>
      <w:r w:rsidRPr="00F3517D">
        <w:rPr>
          <w:rFonts w:ascii="Verdana" w:hAnsi="Verdana" w:cs="Arial"/>
          <w:sz w:val="16"/>
          <w:szCs w:val="16"/>
          <w:lang w:val="es-MX"/>
        </w:rPr>
        <w:t xml:space="preserve"> (…)</w:t>
      </w:r>
    </w:p>
    <w:p w14:paraId="5FE30205" w14:textId="77777777" w:rsidR="00EE0007" w:rsidRPr="00F3517D" w:rsidRDefault="00EE0007" w:rsidP="00EE0007">
      <w:pPr>
        <w:pStyle w:val="NormalWeb"/>
        <w:spacing w:before="0" w:beforeAutospacing="0" w:after="0" w:afterAutospacing="0"/>
        <w:ind w:firstLine="709"/>
        <w:jc w:val="both"/>
        <w:rPr>
          <w:rFonts w:ascii="Verdana" w:hAnsi="Verdana" w:cs="Arial"/>
          <w:sz w:val="16"/>
          <w:szCs w:val="16"/>
          <w:lang w:val="es-MX"/>
        </w:rPr>
      </w:pPr>
      <w:r w:rsidRPr="00F3517D">
        <w:rPr>
          <w:rStyle w:val="baj"/>
          <w:rFonts w:ascii="Verdana" w:hAnsi="Verdana" w:cs="Arial"/>
          <w:sz w:val="16"/>
          <w:szCs w:val="16"/>
          <w:lang w:val="es-MX"/>
        </w:rPr>
        <w:t>Parágrafo.</w:t>
      </w:r>
      <w:r w:rsidRPr="00F3517D">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F3517D">
        <w:rPr>
          <w:rFonts w:ascii="Verdana" w:eastAsia="Calibri" w:hAnsi="Verdana" w:cs="Arial"/>
          <w:color w:val="000000"/>
          <w:sz w:val="16"/>
          <w:szCs w:val="16"/>
        </w:rPr>
        <w:t>”</w:t>
      </w:r>
      <w:r w:rsidRPr="00F3517D">
        <w:rPr>
          <w:rFonts w:ascii="Verdana" w:hAnsi="Verdana" w:cs="Arial"/>
          <w:sz w:val="16"/>
          <w:szCs w:val="16"/>
          <w:lang w:val="es-MX"/>
        </w:rPr>
        <w:t>.</w:t>
      </w:r>
    </w:p>
  </w:footnote>
  <w:footnote w:id="9">
    <w:p w14:paraId="22D15DEC" w14:textId="77777777" w:rsidR="00EE0007" w:rsidRPr="00F3517D" w:rsidRDefault="00EE0007" w:rsidP="00EE0007">
      <w:pPr>
        <w:spacing w:after="0" w:line="240" w:lineRule="auto"/>
        <w:ind w:left="100" w:right="244" w:firstLine="709"/>
        <w:jc w:val="both"/>
        <w:rPr>
          <w:rFonts w:ascii="Verdana" w:hAnsi="Verdana" w:cs="Arial"/>
          <w:sz w:val="16"/>
          <w:szCs w:val="16"/>
          <w:lang w:val="es-ES"/>
        </w:rPr>
      </w:pPr>
      <w:r w:rsidRPr="00F3517D">
        <w:rPr>
          <w:rStyle w:val="Refdenotaalpie"/>
          <w:rFonts w:ascii="Verdana" w:hAnsi="Verdana" w:cs="Arial"/>
          <w:sz w:val="16"/>
          <w:szCs w:val="16"/>
        </w:rPr>
        <w:footnoteRef/>
      </w:r>
      <w:r w:rsidRPr="00F3517D">
        <w:rPr>
          <w:rFonts w:ascii="Verdana" w:hAnsi="Verdana" w:cs="Arial"/>
          <w:sz w:val="16"/>
          <w:szCs w:val="16"/>
        </w:rPr>
        <w:t xml:space="preserve"> Consejo de Estado. Sala de Consulta y Servicio Civil. Concepto del 17 de febrero de 2015. Radicado: 11001-03-06-000-2015-00164-00 (2269). C.P. William Zambrano Cetina.</w:t>
      </w:r>
    </w:p>
  </w:footnote>
  <w:footnote w:id="10">
    <w:p w14:paraId="550CF3FC" w14:textId="77777777" w:rsidR="00EE0007" w:rsidRPr="00F3517D" w:rsidRDefault="00EE0007" w:rsidP="00EE0007">
      <w:pPr>
        <w:pStyle w:val="Textonotapie"/>
        <w:ind w:firstLine="708"/>
        <w:jc w:val="both"/>
        <w:rPr>
          <w:rFonts w:ascii="Verdana" w:hAnsi="Verdana" w:cs="Arial"/>
          <w:sz w:val="16"/>
          <w:szCs w:val="16"/>
        </w:rPr>
      </w:pPr>
      <w:r w:rsidRPr="00F3517D">
        <w:rPr>
          <w:rStyle w:val="Refdenotaalpie"/>
          <w:rFonts w:ascii="Verdana" w:hAnsi="Verdana" w:cs="Arial"/>
          <w:sz w:val="16"/>
          <w:szCs w:val="16"/>
        </w:rPr>
        <w:footnoteRef/>
      </w:r>
      <w:r w:rsidRPr="00F3517D">
        <w:rPr>
          <w:rFonts w:ascii="Verdana" w:hAnsi="Verdana" w:cs="Arial"/>
          <w:sz w:val="16"/>
          <w:szCs w:val="16"/>
        </w:rPr>
        <w:t xml:space="preserve"> Colombia Compra Eficiente. Circular Externa Única. Numeral 16.5. </w:t>
      </w:r>
    </w:p>
    <w:p w14:paraId="6CF8EECC" w14:textId="77777777" w:rsidR="00EE0007" w:rsidRPr="00F3517D" w:rsidRDefault="00EE0007" w:rsidP="00EE0007">
      <w:pPr>
        <w:pStyle w:val="Textonotapie"/>
        <w:ind w:firstLine="708"/>
        <w:jc w:val="both"/>
        <w:rPr>
          <w:rFonts w:ascii="Verdana" w:hAnsi="Verdana" w:cs="Arial"/>
          <w:sz w:val="16"/>
          <w:szCs w:val="16"/>
        </w:rPr>
      </w:pPr>
    </w:p>
  </w:footnote>
  <w:footnote w:id="11">
    <w:p w14:paraId="24EE09AA" w14:textId="77777777" w:rsidR="00EE0007" w:rsidRPr="00F3517D" w:rsidRDefault="00EE0007" w:rsidP="00EE0007">
      <w:pPr>
        <w:pStyle w:val="Textonotapie"/>
        <w:ind w:right="51" w:firstLine="709"/>
        <w:jc w:val="both"/>
        <w:rPr>
          <w:rFonts w:ascii="Verdana" w:hAnsi="Verdana" w:cs="Arial"/>
          <w:sz w:val="16"/>
          <w:szCs w:val="16"/>
        </w:rPr>
      </w:pPr>
      <w:r w:rsidRPr="00F3517D">
        <w:rPr>
          <w:rStyle w:val="Refdenotaalpie"/>
          <w:rFonts w:ascii="Verdana" w:hAnsi="Verdana" w:cs="Arial"/>
          <w:sz w:val="16"/>
          <w:szCs w:val="16"/>
        </w:rPr>
        <w:footnoteRef/>
      </w:r>
      <w:r w:rsidRPr="00F3517D">
        <w:rPr>
          <w:rFonts w:ascii="Verdana" w:hAnsi="Verdana" w:cs="Arial"/>
          <w:sz w:val="16"/>
          <w:szCs w:val="16"/>
        </w:rPr>
        <w:t xml:space="preserve"> “</w:t>
      </w:r>
      <w:r w:rsidRPr="00F3517D">
        <w:rPr>
          <w:rFonts w:ascii="Verdana" w:hAnsi="Verdana" w:cs="Arial"/>
          <w:sz w:val="16"/>
          <w:szCs w:val="16"/>
          <w:lang w:val="es-ES"/>
        </w:rPr>
        <w:t xml:space="preserve">[25] </w:t>
      </w:r>
      <w:r w:rsidRPr="00F3517D">
        <w:rPr>
          <w:rFonts w:ascii="Verdana" w:hAnsi="Verdana" w:cs="Arial"/>
          <w:sz w:val="16"/>
          <w:szCs w:val="16"/>
        </w:rPr>
        <w:t>Cfr. Consejo de Estado. Sección Tercera. Sentencia de 3 de diciembre de 2007. Radicados: 24.715, 25.206, 25.409, 24.524, 27.834, 25.410, 26.105, 28.244, 31.447 -acumulados- “.</w:t>
      </w:r>
    </w:p>
    <w:p w14:paraId="5AF5747B" w14:textId="77777777" w:rsidR="00EE0007" w:rsidRPr="00F3517D" w:rsidRDefault="00EE0007" w:rsidP="00EE0007">
      <w:pPr>
        <w:pStyle w:val="Textonotapie"/>
        <w:ind w:right="51" w:firstLine="709"/>
        <w:jc w:val="both"/>
        <w:rPr>
          <w:rFonts w:ascii="Verdana" w:hAnsi="Verdana" w:cs="Arial"/>
          <w:sz w:val="16"/>
          <w:szCs w:val="16"/>
        </w:rPr>
      </w:pPr>
    </w:p>
  </w:footnote>
  <w:footnote w:id="12">
    <w:p w14:paraId="15827598" w14:textId="77777777" w:rsidR="00EE0007" w:rsidRPr="00661481" w:rsidRDefault="00EE0007" w:rsidP="00EE0007">
      <w:pPr>
        <w:pStyle w:val="Textonotapie"/>
        <w:ind w:right="51" w:firstLine="709"/>
        <w:jc w:val="both"/>
        <w:rPr>
          <w:rFonts w:ascii="Verdana" w:hAnsi="Verdana" w:cs="Arial"/>
          <w:sz w:val="16"/>
          <w:szCs w:val="16"/>
        </w:rPr>
      </w:pPr>
      <w:r w:rsidRPr="00661481">
        <w:rPr>
          <w:rStyle w:val="Refdenotaalpie"/>
          <w:rFonts w:ascii="Verdana" w:hAnsi="Verdana" w:cs="Arial"/>
          <w:sz w:val="16"/>
          <w:szCs w:val="16"/>
        </w:rPr>
        <w:footnoteRef/>
      </w:r>
      <w:r w:rsidRPr="00661481">
        <w:rPr>
          <w:rFonts w:ascii="Verdana" w:hAnsi="Verdana" w:cs="Arial"/>
          <w:sz w:val="16"/>
          <w:szCs w:val="16"/>
        </w:rPr>
        <w:t xml:space="preserve"> “</w:t>
      </w:r>
      <w:r w:rsidRPr="00661481">
        <w:rPr>
          <w:rFonts w:ascii="Verdana" w:hAnsi="Verdana" w:cs="Arial"/>
          <w:sz w:val="16"/>
          <w:szCs w:val="16"/>
          <w:lang w:val="es-ES"/>
        </w:rPr>
        <w:t xml:space="preserve">[26] </w:t>
      </w:r>
      <w:r w:rsidRPr="00661481">
        <w:rPr>
          <w:rFonts w:ascii="Verdana" w:hAnsi="Verdana" w:cs="Arial"/>
          <w:sz w:val="16"/>
          <w:szCs w:val="16"/>
        </w:rPr>
        <w:t>Al respecto ver el concepto 1712 de 2 de febrero de 2006. Consejo de Estado Sala de Consulta y Servicio Civil”.</w:t>
      </w:r>
    </w:p>
  </w:footnote>
  <w:footnote w:id="13">
    <w:p w14:paraId="48E5F2B4" w14:textId="77777777" w:rsidR="00EE0007" w:rsidRPr="00661481" w:rsidRDefault="00EE0007" w:rsidP="00EE0007">
      <w:pPr>
        <w:pStyle w:val="Textonotapie"/>
        <w:ind w:firstLine="709"/>
        <w:jc w:val="both"/>
        <w:rPr>
          <w:rFonts w:ascii="Verdana" w:hAnsi="Verdana" w:cs="Arial"/>
          <w:sz w:val="16"/>
          <w:szCs w:val="16"/>
        </w:rPr>
      </w:pPr>
      <w:r w:rsidRPr="00661481">
        <w:rPr>
          <w:rStyle w:val="Refdenotaalpie"/>
          <w:rFonts w:ascii="Verdana" w:hAnsi="Verdana" w:cs="Arial"/>
          <w:sz w:val="16"/>
          <w:szCs w:val="16"/>
        </w:rPr>
        <w:footnoteRef/>
      </w:r>
      <w:r w:rsidRPr="00661481">
        <w:rPr>
          <w:rFonts w:ascii="Verdana" w:hAnsi="Verdana" w:cs="Arial"/>
          <w:sz w:val="16"/>
          <w:szCs w:val="16"/>
        </w:rPr>
        <w:t xml:space="preserve"> Consejo de Estado. Sala de Consulta y Servicio Civil. Concepto del 2 de septiembre de 2013. Radicación: 11001-03-06-000-2013-00412-00 (2168). Consejero Ponente: Álvaro Namén Vargas.</w:t>
      </w:r>
    </w:p>
    <w:p w14:paraId="389CBCDB" w14:textId="77777777" w:rsidR="00EE0007" w:rsidRPr="00661481" w:rsidRDefault="00EE0007" w:rsidP="00EE0007">
      <w:pPr>
        <w:pStyle w:val="Textonotapie"/>
        <w:ind w:firstLine="709"/>
        <w:jc w:val="both"/>
        <w:rPr>
          <w:rFonts w:ascii="Verdana" w:hAnsi="Verdana" w:cs="Arial"/>
          <w:sz w:val="16"/>
          <w:szCs w:val="16"/>
        </w:rPr>
      </w:pPr>
    </w:p>
  </w:footnote>
  <w:footnote w:id="14">
    <w:p w14:paraId="7005F2C0" w14:textId="77777777" w:rsidR="00EE0007" w:rsidRPr="00661481" w:rsidRDefault="00EE0007" w:rsidP="00EE0007">
      <w:pPr>
        <w:pStyle w:val="Textonotapie"/>
        <w:ind w:firstLine="709"/>
        <w:jc w:val="both"/>
        <w:rPr>
          <w:rFonts w:ascii="Verdana" w:hAnsi="Verdana" w:cs="Arial"/>
          <w:sz w:val="16"/>
          <w:szCs w:val="16"/>
          <w:lang w:val="es-ES"/>
        </w:rPr>
      </w:pPr>
      <w:r w:rsidRPr="00661481">
        <w:rPr>
          <w:rStyle w:val="Refdenotaalpie"/>
          <w:rFonts w:ascii="Verdana" w:hAnsi="Verdana" w:cs="Arial"/>
          <w:sz w:val="16"/>
          <w:szCs w:val="16"/>
        </w:rPr>
        <w:footnoteRef/>
      </w:r>
      <w:r w:rsidRPr="00661481">
        <w:rPr>
          <w:rFonts w:ascii="Verdana" w:hAnsi="Verdana" w:cs="Arial"/>
          <w:sz w:val="16"/>
          <w:szCs w:val="16"/>
        </w:rPr>
        <w:t xml:space="preserve"> </w:t>
      </w:r>
      <w:r w:rsidRPr="00661481">
        <w:rPr>
          <w:rFonts w:ascii="Verdana" w:hAnsi="Verdana" w:cs="Arial"/>
          <w:sz w:val="16"/>
          <w:szCs w:val="16"/>
          <w:lang w:val="es-ES"/>
        </w:rPr>
        <w:t xml:space="preserve">Artículo 2. </w:t>
      </w:r>
    </w:p>
    <w:p w14:paraId="2F3E9DBF" w14:textId="77777777" w:rsidR="00EE0007" w:rsidRPr="00661481" w:rsidRDefault="00EE0007" w:rsidP="00EE0007">
      <w:pPr>
        <w:pStyle w:val="Textonotapie"/>
        <w:ind w:firstLine="709"/>
        <w:jc w:val="both"/>
        <w:rPr>
          <w:rFonts w:ascii="Verdana" w:hAnsi="Verdana" w:cs="Arial"/>
          <w:sz w:val="16"/>
          <w:szCs w:val="16"/>
          <w:lang w:val="es-ES"/>
        </w:rPr>
      </w:pPr>
    </w:p>
  </w:footnote>
  <w:footnote w:id="15">
    <w:p w14:paraId="103674BE" w14:textId="77777777" w:rsidR="00EE0007" w:rsidRPr="00661481" w:rsidRDefault="00EE0007" w:rsidP="00EE0007">
      <w:pPr>
        <w:pStyle w:val="Textonotapie"/>
        <w:ind w:firstLine="709"/>
        <w:jc w:val="both"/>
        <w:rPr>
          <w:rFonts w:ascii="Verdana" w:hAnsi="Verdana" w:cs="Arial"/>
          <w:sz w:val="16"/>
          <w:szCs w:val="16"/>
          <w:lang w:val="es-ES"/>
        </w:rPr>
      </w:pPr>
      <w:r w:rsidRPr="00661481">
        <w:rPr>
          <w:rStyle w:val="Refdenotaalpie"/>
          <w:rFonts w:ascii="Verdana" w:hAnsi="Verdana" w:cs="Arial"/>
          <w:sz w:val="16"/>
          <w:szCs w:val="16"/>
        </w:rPr>
        <w:footnoteRef/>
      </w:r>
      <w:r w:rsidRPr="00661481">
        <w:rPr>
          <w:rFonts w:ascii="Verdana" w:hAnsi="Verdana" w:cs="Arial"/>
          <w:sz w:val="16"/>
          <w:szCs w:val="16"/>
        </w:rPr>
        <w:t xml:space="preserve"> </w:t>
      </w:r>
      <w:r w:rsidRPr="00661481">
        <w:rPr>
          <w:rFonts w:ascii="Verdana" w:hAnsi="Verdana" w:cs="Arial"/>
          <w:i/>
          <w:sz w:val="16"/>
          <w:szCs w:val="16"/>
          <w:lang w:val="es-ES"/>
        </w:rPr>
        <w:t>Ídem</w:t>
      </w:r>
      <w:r w:rsidRPr="00661481">
        <w:rPr>
          <w:rFonts w:ascii="Verdana" w:hAnsi="Verdana" w:cs="Arial"/>
          <w:sz w:val="16"/>
          <w:szCs w:val="16"/>
          <w:lang w:val="es-ES"/>
        </w:rPr>
        <w:t>.</w:t>
      </w:r>
    </w:p>
    <w:p w14:paraId="14295406" w14:textId="77777777" w:rsidR="00EE0007" w:rsidRPr="00661481" w:rsidRDefault="00EE0007" w:rsidP="00EE0007">
      <w:pPr>
        <w:pStyle w:val="Textonotapie"/>
        <w:ind w:firstLine="709"/>
        <w:jc w:val="both"/>
        <w:rPr>
          <w:rFonts w:ascii="Verdana" w:hAnsi="Verdana" w:cs="Arial"/>
          <w:sz w:val="16"/>
          <w:szCs w:val="16"/>
          <w:lang w:val="es-ES"/>
        </w:rPr>
      </w:pPr>
    </w:p>
  </w:footnote>
  <w:footnote w:id="16">
    <w:p w14:paraId="10892A19" w14:textId="77777777" w:rsidR="00EE0007" w:rsidRPr="00661481" w:rsidRDefault="00EE0007" w:rsidP="00EE0007">
      <w:pPr>
        <w:pStyle w:val="Textonotapie"/>
        <w:ind w:firstLine="709"/>
        <w:jc w:val="both"/>
        <w:rPr>
          <w:rFonts w:ascii="Verdana" w:hAnsi="Verdana" w:cs="Arial"/>
          <w:sz w:val="16"/>
          <w:szCs w:val="16"/>
          <w:lang w:val="es-ES"/>
        </w:rPr>
      </w:pPr>
      <w:r w:rsidRPr="00661481">
        <w:rPr>
          <w:rStyle w:val="Refdenotaalpie"/>
          <w:rFonts w:ascii="Verdana" w:hAnsi="Verdana" w:cs="Arial"/>
          <w:sz w:val="16"/>
          <w:szCs w:val="16"/>
        </w:rPr>
        <w:footnoteRef/>
      </w:r>
      <w:r w:rsidRPr="00661481">
        <w:rPr>
          <w:rStyle w:val="Refdenotaalpie"/>
          <w:rFonts w:ascii="Verdana" w:hAnsi="Verdana" w:cs="Arial"/>
          <w:sz w:val="16"/>
          <w:szCs w:val="16"/>
        </w:rPr>
        <w:t xml:space="preserve"> </w:t>
      </w:r>
      <w:r w:rsidRPr="00661481">
        <w:rPr>
          <w:rFonts w:ascii="Verdana" w:hAnsi="Verdana" w:cs="Arial"/>
          <w:sz w:val="16"/>
          <w:szCs w:val="16"/>
          <w:lang w:val="es-ES"/>
        </w:rPr>
        <w:t xml:space="preserve">“[…] A este respecto, cabe recordar que el artículo 860 del Código de Comercio regula la licitación en el derecho privado”. </w:t>
      </w:r>
    </w:p>
    <w:p w14:paraId="7920B23B" w14:textId="77777777" w:rsidR="00EE0007" w:rsidRPr="00661481" w:rsidRDefault="00EE0007" w:rsidP="00EE0007">
      <w:pPr>
        <w:pStyle w:val="Textonotapie"/>
        <w:ind w:firstLine="709"/>
        <w:jc w:val="both"/>
        <w:rPr>
          <w:rFonts w:ascii="Verdana" w:hAnsi="Verdana" w:cs="Arial"/>
          <w:sz w:val="16"/>
          <w:szCs w:val="16"/>
          <w:lang w:val="es-ES"/>
        </w:rPr>
      </w:pPr>
    </w:p>
  </w:footnote>
  <w:footnote w:id="17">
    <w:p w14:paraId="766287A1" w14:textId="77777777" w:rsidR="00EE0007" w:rsidRPr="00661481" w:rsidRDefault="00EE0007" w:rsidP="00EE0007">
      <w:pPr>
        <w:shd w:val="clear" w:color="auto" w:fill="FFFFFF"/>
        <w:spacing w:after="0" w:line="240" w:lineRule="auto"/>
        <w:ind w:firstLine="709"/>
        <w:jc w:val="both"/>
        <w:rPr>
          <w:rFonts w:ascii="Verdana" w:hAnsi="Verdana" w:cs="Arial"/>
          <w:sz w:val="16"/>
          <w:szCs w:val="16"/>
          <w:lang w:val="es-ES"/>
        </w:rPr>
      </w:pPr>
      <w:r w:rsidRPr="00661481">
        <w:rPr>
          <w:rStyle w:val="Refdenotaalpie"/>
          <w:rFonts w:ascii="Verdana" w:hAnsi="Verdana" w:cs="Arial"/>
          <w:sz w:val="16"/>
          <w:szCs w:val="16"/>
        </w:rPr>
        <w:footnoteRef/>
      </w:r>
      <w:r w:rsidRPr="00661481">
        <w:rPr>
          <w:rStyle w:val="Refdenotaalpie"/>
          <w:rFonts w:ascii="Verdana" w:hAnsi="Verdana" w:cs="Arial"/>
          <w:sz w:val="16"/>
          <w:szCs w:val="16"/>
        </w:rPr>
        <w:t xml:space="preserve"> </w:t>
      </w:r>
      <w:r w:rsidRPr="00661481">
        <w:rPr>
          <w:rFonts w:ascii="Verdana" w:hAnsi="Verdana" w:cs="Arial"/>
          <w:sz w:val="16"/>
          <w:szCs w:val="16"/>
          <w:lang w:val="es-ES"/>
        </w:rPr>
        <w:t>Consejo de Estado. Sala de Consulta y Servicio Civil. Concepto de 8 de mayo de 2018. Radicación: 11001-03-06-000-2018-00095-00 (2382). Consejero Ponente: Álvaro Namén Vargas.</w:t>
      </w:r>
    </w:p>
    <w:p w14:paraId="3CFA119E" w14:textId="77777777" w:rsidR="00EE0007" w:rsidRPr="00661481" w:rsidRDefault="00EE0007" w:rsidP="00EE0007">
      <w:pPr>
        <w:shd w:val="clear" w:color="auto" w:fill="FFFFFF"/>
        <w:spacing w:after="0" w:line="240" w:lineRule="auto"/>
        <w:ind w:firstLine="709"/>
        <w:jc w:val="both"/>
        <w:rPr>
          <w:rFonts w:ascii="Verdana" w:hAnsi="Verdana" w:cs="Arial"/>
          <w:sz w:val="16"/>
          <w:szCs w:val="16"/>
          <w:lang w:val="es-ES"/>
        </w:rPr>
      </w:pPr>
    </w:p>
  </w:footnote>
  <w:footnote w:id="18">
    <w:p w14:paraId="6082A40D" w14:textId="77777777" w:rsidR="00EE0007" w:rsidRPr="00661481" w:rsidRDefault="00EE0007" w:rsidP="00EE0007">
      <w:pPr>
        <w:pStyle w:val="Textonotapie"/>
        <w:ind w:firstLine="709"/>
        <w:jc w:val="both"/>
        <w:rPr>
          <w:rFonts w:ascii="Verdana" w:hAnsi="Verdana" w:cs="Arial"/>
          <w:sz w:val="16"/>
          <w:szCs w:val="16"/>
        </w:rPr>
      </w:pPr>
      <w:r w:rsidRPr="00661481">
        <w:rPr>
          <w:rStyle w:val="Refdenotaalpie"/>
          <w:rFonts w:ascii="Verdana" w:hAnsi="Verdana" w:cs="Arial"/>
          <w:sz w:val="16"/>
          <w:szCs w:val="16"/>
        </w:rPr>
        <w:footnoteRef/>
      </w:r>
      <w:r w:rsidRPr="00661481">
        <w:rPr>
          <w:rFonts w:ascii="Verdana" w:hAnsi="Verdana" w:cs="Arial"/>
          <w:sz w:val="16"/>
          <w:szCs w:val="16"/>
        </w:rPr>
        <w:t xml:space="preserve"> </w:t>
      </w:r>
      <w:proofErr w:type="spellStart"/>
      <w:r w:rsidRPr="00661481">
        <w:rPr>
          <w:rFonts w:ascii="Verdana" w:hAnsi="Verdana" w:cs="Arial"/>
          <w:sz w:val="16"/>
          <w:szCs w:val="16"/>
        </w:rPr>
        <w:t>Ibídem</w:t>
      </w:r>
      <w:proofErr w:type="spellEnd"/>
      <w:r w:rsidRPr="00661481">
        <w:rPr>
          <w:rFonts w:ascii="Verdana" w:hAnsi="Verdana" w:cs="Arial"/>
          <w:sz w:val="16"/>
          <w:szCs w:val="16"/>
        </w:rPr>
        <w:t>.</w:t>
      </w:r>
    </w:p>
  </w:footnote>
  <w:footnote w:id="19">
    <w:p w14:paraId="0EDC75C5" w14:textId="77777777" w:rsidR="00EE0007" w:rsidRPr="00661481" w:rsidRDefault="00EE0007" w:rsidP="00EE0007">
      <w:pPr>
        <w:pStyle w:val="Textonotapie"/>
        <w:ind w:firstLine="708"/>
        <w:jc w:val="both"/>
        <w:rPr>
          <w:rFonts w:ascii="Verdana" w:hAnsi="Verdana" w:cs="Arial"/>
          <w:sz w:val="16"/>
          <w:szCs w:val="16"/>
        </w:rPr>
      </w:pPr>
      <w:r w:rsidRPr="00661481">
        <w:rPr>
          <w:rStyle w:val="Refdenotaalpie"/>
          <w:rFonts w:ascii="Verdana" w:hAnsi="Verdana" w:cs="Arial"/>
          <w:sz w:val="16"/>
          <w:szCs w:val="16"/>
        </w:rPr>
        <w:footnoteRef/>
      </w:r>
      <w:r w:rsidRPr="00661481">
        <w:rPr>
          <w:rFonts w:ascii="Verdana" w:hAnsi="Verdana" w:cs="Arial"/>
          <w:sz w:val="16"/>
          <w:szCs w:val="16"/>
        </w:rPr>
        <w:t xml:space="preserve"> Colombia Compra</w:t>
      </w:r>
      <w:r w:rsidRPr="00661481">
        <w:rPr>
          <w:rFonts w:ascii="Verdana" w:hAnsi="Verdana" w:cs="Arial"/>
          <w:sz w:val="16"/>
          <w:szCs w:val="16"/>
        </w:rPr>
        <w:t xml:space="preserve"> Eficiente. Circular Única Externa. Numeral 16.5. En este sentido, la Agencia ha expresado: “[…] las prórrogas, modificaciones o adiciones, y la cesión de los contratos suscritos antes del período de la campaña electoral, pueden realizarse en cualquier tiempo antes o después del comienzo de la aplicación de la Ley de Garantías, siempre y cuando el contrato se encuentre vigente y se observen las demás disposiciones conforme a las cuales deben realizarse dichas actuaciones”. En </w:t>
      </w:r>
      <w:hyperlink r:id="rId1" w:history="1">
        <w:r w:rsidRPr="00661481">
          <w:rPr>
            <w:rStyle w:val="Hipervnculo"/>
            <w:rFonts w:ascii="Verdana" w:hAnsi="Verdana" w:cs="Arial"/>
            <w:sz w:val="16"/>
            <w:szCs w:val="16"/>
            <w:lang w:val="es-CO"/>
          </w:rPr>
          <w:t>circular_externa_unica_version_3_vf49.pdf</w:t>
        </w:r>
      </w:hyperlink>
    </w:p>
    <w:p w14:paraId="3A9EC163" w14:textId="77777777" w:rsidR="00EE0007" w:rsidRPr="00661481" w:rsidRDefault="00EE0007" w:rsidP="00EE0007">
      <w:pPr>
        <w:pStyle w:val="Textonotapie"/>
        <w:ind w:firstLine="708"/>
        <w:jc w:val="both"/>
        <w:rPr>
          <w:rFonts w:ascii="Verdana" w:hAnsi="Verdana" w:cs="Arial"/>
          <w:sz w:val="16"/>
          <w:szCs w:val="16"/>
        </w:rPr>
      </w:pPr>
    </w:p>
  </w:footnote>
  <w:footnote w:id="20">
    <w:p w14:paraId="776DBCFE" w14:textId="77777777" w:rsidR="00EE0007" w:rsidRPr="00661481" w:rsidRDefault="00EE0007" w:rsidP="00EE0007">
      <w:pPr>
        <w:pStyle w:val="Textonotapie"/>
        <w:ind w:firstLine="709"/>
        <w:jc w:val="both"/>
        <w:rPr>
          <w:rFonts w:ascii="Verdana" w:hAnsi="Verdana" w:cs="Arial"/>
          <w:sz w:val="16"/>
          <w:szCs w:val="16"/>
        </w:rPr>
      </w:pPr>
      <w:r w:rsidRPr="00661481">
        <w:rPr>
          <w:rStyle w:val="Refdenotaalpie"/>
          <w:rFonts w:ascii="Verdana" w:hAnsi="Verdana" w:cs="Arial"/>
          <w:sz w:val="16"/>
          <w:szCs w:val="16"/>
        </w:rPr>
        <w:footnoteRef/>
      </w:r>
      <w:r w:rsidRPr="00661481">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p w14:paraId="47F847CC" w14:textId="77777777" w:rsidR="00EE0007" w:rsidRPr="00661481" w:rsidRDefault="00EE0007" w:rsidP="00EE0007">
      <w:pPr>
        <w:pStyle w:val="Textonotapie"/>
        <w:ind w:firstLine="709"/>
        <w:jc w:val="both"/>
        <w:rPr>
          <w:rFonts w:ascii="Verdana" w:hAnsi="Verdana" w:cs="Arial"/>
          <w:sz w:val="16"/>
          <w:szCs w:val="16"/>
        </w:rPr>
      </w:pPr>
    </w:p>
  </w:footnote>
  <w:footnote w:id="21">
    <w:p w14:paraId="1AE729C3" w14:textId="77777777" w:rsidR="00EE0007" w:rsidRPr="00661481" w:rsidRDefault="00EE0007" w:rsidP="00EE0007">
      <w:pPr>
        <w:pStyle w:val="Textonotapie"/>
        <w:ind w:firstLine="708"/>
        <w:jc w:val="both"/>
        <w:rPr>
          <w:rFonts w:ascii="Verdana" w:hAnsi="Verdana" w:cs="Arial"/>
          <w:color w:val="000000"/>
          <w:sz w:val="16"/>
          <w:szCs w:val="16"/>
          <w:lang w:val="es-ES"/>
        </w:rPr>
      </w:pPr>
      <w:r w:rsidRPr="00661481">
        <w:rPr>
          <w:rStyle w:val="Refdenotaalpie"/>
          <w:rFonts w:ascii="Verdana" w:hAnsi="Verdana" w:cs="Arial"/>
          <w:color w:val="000000"/>
          <w:sz w:val="16"/>
          <w:szCs w:val="16"/>
        </w:rPr>
        <w:footnoteRef/>
      </w:r>
      <w:r w:rsidRPr="00661481">
        <w:rPr>
          <w:rFonts w:ascii="Verdana" w:hAnsi="Verdana" w:cs="Arial"/>
          <w:color w:val="000000"/>
          <w:sz w:val="16"/>
          <w:szCs w:val="16"/>
        </w:rPr>
        <w:t xml:space="preserve"> Artículo 197. Empresas sociales de salud de carácter territorial. Las entidades territoriales deberán disponer, dentro de los seis (6) meses siguientes a la fecha de vigencia de esta Ley, la reestructuración de las entidades descentralizadas cuyo objeto principal sea la prestación de servicios de salud, con el fin de adecuarlas a lo dispuesto en este capítulo.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350A" w14:textId="5E4351EA" w:rsidR="004A305D" w:rsidRPr="004A305D" w:rsidRDefault="009D3058" w:rsidP="00F53454">
    <w:pPr>
      <w:pStyle w:val="Encabezado"/>
      <w:spacing w:line="120" w:lineRule="auto"/>
      <w:rPr>
        <w:rFonts w:ascii="Century Gothic" w:eastAsia="Geo" w:hAnsi="Century Gothic" w:cs="Geo"/>
        <w:sz w:val="16"/>
        <w:szCs w:val="16"/>
        <w:lang w:eastAsia="es-CO"/>
      </w:rPr>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3100085"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2031758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519B"/>
    <w:rsid w:val="00046945"/>
    <w:rsid w:val="00061B2A"/>
    <w:rsid w:val="00082362"/>
    <w:rsid w:val="000A683E"/>
    <w:rsid w:val="000B19B9"/>
    <w:rsid w:val="000D0334"/>
    <w:rsid w:val="000D5DA7"/>
    <w:rsid w:val="000F6486"/>
    <w:rsid w:val="00116940"/>
    <w:rsid w:val="00125105"/>
    <w:rsid w:val="00127233"/>
    <w:rsid w:val="0015699B"/>
    <w:rsid w:val="001A33BF"/>
    <w:rsid w:val="001B6F37"/>
    <w:rsid w:val="001E4177"/>
    <w:rsid w:val="001F0B24"/>
    <w:rsid w:val="001F7DC6"/>
    <w:rsid w:val="0022400B"/>
    <w:rsid w:val="002421BB"/>
    <w:rsid w:val="0025796E"/>
    <w:rsid w:val="002707A2"/>
    <w:rsid w:val="0027173F"/>
    <w:rsid w:val="002951A0"/>
    <w:rsid w:val="002962BC"/>
    <w:rsid w:val="002A093D"/>
    <w:rsid w:val="002A0DD0"/>
    <w:rsid w:val="002A49AC"/>
    <w:rsid w:val="002A64FD"/>
    <w:rsid w:val="002C7A84"/>
    <w:rsid w:val="002E2BF8"/>
    <w:rsid w:val="002E4FD9"/>
    <w:rsid w:val="0030657A"/>
    <w:rsid w:val="003158C3"/>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3092F"/>
    <w:rsid w:val="004425EF"/>
    <w:rsid w:val="0044528D"/>
    <w:rsid w:val="00466E39"/>
    <w:rsid w:val="004A1847"/>
    <w:rsid w:val="004A305D"/>
    <w:rsid w:val="004F21C4"/>
    <w:rsid w:val="004F685F"/>
    <w:rsid w:val="005203E9"/>
    <w:rsid w:val="005566E8"/>
    <w:rsid w:val="00574867"/>
    <w:rsid w:val="00580BC0"/>
    <w:rsid w:val="00591397"/>
    <w:rsid w:val="00591460"/>
    <w:rsid w:val="005A65E0"/>
    <w:rsid w:val="005C2846"/>
    <w:rsid w:val="005C3777"/>
    <w:rsid w:val="005C5CDC"/>
    <w:rsid w:val="005C6967"/>
    <w:rsid w:val="005D476C"/>
    <w:rsid w:val="005E436E"/>
    <w:rsid w:val="006114BA"/>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582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719D4"/>
    <w:rsid w:val="009A0DFA"/>
    <w:rsid w:val="009A1C6F"/>
    <w:rsid w:val="009A4B4E"/>
    <w:rsid w:val="009B2D26"/>
    <w:rsid w:val="009B4826"/>
    <w:rsid w:val="009C71FA"/>
    <w:rsid w:val="009C72E7"/>
    <w:rsid w:val="009C7F7E"/>
    <w:rsid w:val="009D3058"/>
    <w:rsid w:val="009E768E"/>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83BCA"/>
    <w:rsid w:val="00B87A80"/>
    <w:rsid w:val="00BA0203"/>
    <w:rsid w:val="00BC3D36"/>
    <w:rsid w:val="00BD54A6"/>
    <w:rsid w:val="00BD7F72"/>
    <w:rsid w:val="00BF7425"/>
    <w:rsid w:val="00C04FB3"/>
    <w:rsid w:val="00C11D8B"/>
    <w:rsid w:val="00C12038"/>
    <w:rsid w:val="00C15139"/>
    <w:rsid w:val="00C330EB"/>
    <w:rsid w:val="00C50D69"/>
    <w:rsid w:val="00C5365C"/>
    <w:rsid w:val="00C754BE"/>
    <w:rsid w:val="00C76B1C"/>
    <w:rsid w:val="00C925AC"/>
    <w:rsid w:val="00CB6357"/>
    <w:rsid w:val="00CC110C"/>
    <w:rsid w:val="00CC1B26"/>
    <w:rsid w:val="00CE3B8C"/>
    <w:rsid w:val="00D02C57"/>
    <w:rsid w:val="00D361FD"/>
    <w:rsid w:val="00D423A2"/>
    <w:rsid w:val="00D44E26"/>
    <w:rsid w:val="00D520D8"/>
    <w:rsid w:val="00D54A6F"/>
    <w:rsid w:val="00D615B4"/>
    <w:rsid w:val="00D63AC2"/>
    <w:rsid w:val="00D7383B"/>
    <w:rsid w:val="00D7788A"/>
    <w:rsid w:val="00DA231B"/>
    <w:rsid w:val="00DC39FC"/>
    <w:rsid w:val="00DD53F0"/>
    <w:rsid w:val="00DF5254"/>
    <w:rsid w:val="00E02524"/>
    <w:rsid w:val="00E16408"/>
    <w:rsid w:val="00E20894"/>
    <w:rsid w:val="00E219B9"/>
    <w:rsid w:val="00E21AD3"/>
    <w:rsid w:val="00E245AB"/>
    <w:rsid w:val="00E2764C"/>
    <w:rsid w:val="00E27F2E"/>
    <w:rsid w:val="00E50AFE"/>
    <w:rsid w:val="00E75C92"/>
    <w:rsid w:val="00E771DC"/>
    <w:rsid w:val="00E8772A"/>
    <w:rsid w:val="00E90F6B"/>
    <w:rsid w:val="00E92C27"/>
    <w:rsid w:val="00EA0E3D"/>
    <w:rsid w:val="00EC38A7"/>
    <w:rsid w:val="00EE0007"/>
    <w:rsid w:val="00EE1AA8"/>
    <w:rsid w:val="00F23FEA"/>
    <w:rsid w:val="00F31EDC"/>
    <w:rsid w:val="00F462B3"/>
    <w:rsid w:val="00F53454"/>
    <w:rsid w:val="00F5664F"/>
    <w:rsid w:val="00F666C4"/>
    <w:rsid w:val="00F76AFC"/>
    <w:rsid w:val="00FA4512"/>
    <w:rsid w:val="00FA47C0"/>
    <w:rsid w:val="00FB5DD1"/>
    <w:rsid w:val="00FC2B5D"/>
    <w:rsid w:val="00FF1449"/>
    <w:rsid w:val="00FF7963"/>
    <w:rsid w:val="071B8F93"/>
    <w:rsid w:val="07C73DD1"/>
    <w:rsid w:val="09908A09"/>
    <w:rsid w:val="0EFE6349"/>
    <w:rsid w:val="0FF4CCA8"/>
    <w:rsid w:val="13CFC91B"/>
    <w:rsid w:val="19A2EC2C"/>
    <w:rsid w:val="21779BE6"/>
    <w:rsid w:val="2859CA1B"/>
    <w:rsid w:val="2A96A91A"/>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15B7DC"/>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9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E0007"/>
    <w:pPr>
      <w:spacing w:line="240" w:lineRule="exact"/>
    </w:pPr>
    <w:rPr>
      <w:vertAlign w:val="superscript"/>
    </w:rPr>
  </w:style>
  <w:style w:type="character" w:customStyle="1" w:styleId="NormalWebCar">
    <w:name w:val="Normal (Web) Car"/>
    <w:link w:val="NormalWeb"/>
    <w:uiPriority w:val="99"/>
    <w:locked/>
    <w:rsid w:val="00EE0007"/>
    <w:rPr>
      <w:rFonts w:ascii="Times New Roman" w:eastAsia="Times New Roman" w:hAnsi="Times New Roman" w:cs="Times New Roman"/>
      <w:sz w:val="24"/>
      <w:szCs w:val="24"/>
      <w:lang w:eastAsia="es-CO"/>
    </w:rPr>
  </w:style>
  <w:style w:type="character" w:customStyle="1" w:styleId="baj">
    <w:name w:val="b_aj"/>
    <w:basedOn w:val="Fuentedeprrafopredeter"/>
    <w:rsid w:val="00EE0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forms.office.com/r/pPHyWVs2S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peraciones.colombiacompra.gov.co/sites/cce_public/files/cce_circulares/circular_externa_unica_version_3_vf49.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9D5DD-7F82-475E-A423-F67E1E8D9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03277-42B9-4A85-97A1-74A455C3DC9B}">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7972</Words>
  <Characters>43852</Characters>
  <Application>Microsoft Office Word</Application>
  <DocSecurity>0</DocSecurity>
  <Lines>365</Lines>
  <Paragraphs>103</Paragraphs>
  <ScaleCrop>false</ScaleCrop>
  <Company/>
  <LinksUpToDate>false</LinksUpToDate>
  <CharactersWithSpaces>51721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2026-08-25T16:40:00Z</dcterms:created>
  <dcterms:modified xsi:type="dcterms:W3CDTF">2026-08-25T16:40:00Z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