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E2F054" w14:textId="77777777" w:rsidR="008836D8" w:rsidRDefault="008836D8" w:rsidP="30821638">
      <w:pPr>
        <w:spacing w:after="0"/>
        <w:rPr>
          <w:rFonts w:ascii="Verdana" w:eastAsia="Verdana" w:hAnsi="Verdana" w:cs="Verdana"/>
        </w:rPr>
      </w:pPr>
      <w:bookmarkStart w:id="0" w:name="_Hlk143780582"/>
    </w:p>
    <w:tbl>
      <w:tblPr>
        <w:tblStyle w:val="TableGrid"/>
        <w:tblW w:w="88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836"/>
      </w:tblGrid>
      <w:tr w:rsidR="004F3E84" w:rsidRPr="003A37DA" w14:paraId="6515707D" w14:textId="77777777" w:rsidTr="004914C3">
        <w:trPr>
          <w:trHeight w:val="1140"/>
        </w:trPr>
        <w:tc>
          <w:tcPr>
            <w:tcW w:w="8836" w:type="dxa"/>
            <w:hideMark/>
          </w:tcPr>
          <w:p w14:paraId="2D5EC714" w14:textId="77777777" w:rsidR="004F3E84" w:rsidRPr="00864885" w:rsidRDefault="004F3E84" w:rsidP="004914C3">
            <w:pPr>
              <w:jc w:val="both"/>
              <w:rPr>
                <w:rFonts w:ascii="Verdana" w:hAnsi="Verdana" w:cs="Arial"/>
                <w:b/>
                <w:color w:val="000000" w:themeColor="text1"/>
                <w:lang w:val="es-ES_tradnl"/>
              </w:rPr>
            </w:pPr>
            <w:r w:rsidRPr="00864885">
              <w:rPr>
                <w:rFonts w:ascii="Verdana" w:hAnsi="Verdana" w:cs="Arial"/>
                <w:b/>
                <w:color w:val="000000" w:themeColor="text1"/>
                <w:lang w:val="es-ES_tradnl"/>
              </w:rPr>
              <w:t xml:space="preserve">LEY DE GARANTÍAS ELECTORALES ‒ Finalidad </w:t>
            </w:r>
          </w:p>
          <w:p w14:paraId="28081DD0" w14:textId="77777777" w:rsidR="004F3E84" w:rsidRDefault="004F3E84" w:rsidP="004914C3">
            <w:pPr>
              <w:jc w:val="both"/>
              <w:rPr>
                <w:rFonts w:ascii="Verdana" w:hAnsi="Verdana" w:cs="Arial"/>
                <w:bCs/>
                <w:color w:val="000000" w:themeColor="text1"/>
                <w:lang w:val="es-ES_tradnl"/>
              </w:rPr>
            </w:pPr>
          </w:p>
          <w:p w14:paraId="5A6C7C58" w14:textId="77777777" w:rsidR="004F3E84" w:rsidRPr="004F3E84" w:rsidRDefault="004F3E84" w:rsidP="004914C3">
            <w:pPr>
              <w:tabs>
                <w:tab w:val="left" w:pos="426"/>
              </w:tabs>
              <w:spacing w:after="120" w:line="276" w:lineRule="auto"/>
              <w:jc w:val="both"/>
              <w:rPr>
                <w:rFonts w:ascii="Verdana" w:eastAsia="Calibri" w:hAnsi="Verdana" w:cs="Arial"/>
                <w:sz w:val="20"/>
                <w:szCs w:val="20"/>
                <w:lang w:val="es-ES_tradnl"/>
              </w:rPr>
            </w:pPr>
            <w:r w:rsidRPr="004F3E84">
              <w:rPr>
                <w:rFonts w:ascii="Verdana" w:eastAsia="Times New Roman" w:hAnsi="Verdana" w:cs="Arial"/>
                <w:sz w:val="20"/>
                <w:szCs w:val="20"/>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4F3E84">
              <w:rPr>
                <w:rFonts w:ascii="Verdana" w:eastAsia="Calibri" w:hAnsi="Verdana" w:cs="Arial"/>
                <w:sz w:val="20"/>
                <w:szCs w:val="20"/>
                <w:lang w:val="es-ES_tradnl"/>
              </w:rPr>
              <w:t xml:space="preserve"> </w:t>
            </w:r>
          </w:p>
          <w:p w14:paraId="0EEB1643" w14:textId="77777777" w:rsidR="004F3E84" w:rsidRPr="00864885" w:rsidRDefault="004F3E84" w:rsidP="004914C3">
            <w:pPr>
              <w:jc w:val="both"/>
              <w:rPr>
                <w:rFonts w:ascii="Verdana" w:eastAsia="Arial" w:hAnsi="Verdana" w:cs="Arial"/>
                <w:b/>
                <w:lang w:val="es-ES" w:eastAsia="es-ES"/>
              </w:rPr>
            </w:pPr>
            <w:r w:rsidRPr="00864885">
              <w:rPr>
                <w:rFonts w:ascii="Verdana" w:hAnsi="Verdana" w:cs="Arial"/>
                <w:b/>
                <w:color w:val="000000" w:themeColor="text1"/>
                <w:lang w:val="es-ES_tradnl"/>
              </w:rPr>
              <w:t xml:space="preserve">LEY DE GARANTÍAS ELECTORALES ‒ Tipos de restricciones – </w:t>
            </w:r>
            <w:r w:rsidRPr="00864885">
              <w:rPr>
                <w:rFonts w:ascii="Verdana" w:eastAsia="Arial" w:hAnsi="Verdana" w:cs="Arial"/>
                <w:b/>
                <w:lang w:val="es-ES" w:eastAsia="es-ES"/>
              </w:rPr>
              <w:t>Instituciones Educativas</w:t>
            </w:r>
          </w:p>
          <w:p w14:paraId="6BC1B718" w14:textId="77777777" w:rsidR="004F3E84" w:rsidRDefault="004F3E84" w:rsidP="004914C3">
            <w:pPr>
              <w:jc w:val="both"/>
              <w:rPr>
                <w:rFonts w:ascii="Verdana" w:eastAsia="Arial" w:hAnsi="Verdana" w:cs="Arial"/>
                <w:lang w:val="es-ES" w:eastAsia="es-ES"/>
              </w:rPr>
            </w:pPr>
          </w:p>
          <w:p w14:paraId="0199FAC0" w14:textId="77777777" w:rsidR="004F3E84" w:rsidRPr="004F3E84" w:rsidRDefault="004F3E84" w:rsidP="004914C3">
            <w:pPr>
              <w:spacing w:after="120" w:line="276" w:lineRule="auto"/>
              <w:jc w:val="both"/>
              <w:rPr>
                <w:rFonts w:ascii="Verdana" w:eastAsia="Arial" w:hAnsi="Verdana" w:cs="Arial"/>
                <w:color w:val="000000"/>
                <w:sz w:val="20"/>
                <w:szCs w:val="20"/>
                <w:lang w:eastAsia="es-CO"/>
              </w:rPr>
            </w:pPr>
            <w:r w:rsidRPr="004F3E84">
              <w:rPr>
                <w:rFonts w:ascii="Verdana" w:eastAsia="Arial" w:hAnsi="Verdana" w:cs="Arial"/>
                <w:color w:val="000000" w:themeColor="text1"/>
                <w:sz w:val="20"/>
                <w:szCs w:val="20"/>
                <w:lang w:eastAsia="es-MX"/>
              </w:rPr>
              <w:t xml:space="preserve">En este contexto, para la restricción del artículo 33 de la </w:t>
            </w:r>
            <w:r w:rsidRPr="004F3E84">
              <w:rPr>
                <w:rFonts w:ascii="Verdana" w:eastAsia="Arial" w:hAnsi="Verdana" w:cs="Arial"/>
                <w:color w:val="000000" w:themeColor="text1"/>
                <w:sz w:val="20"/>
                <w:szCs w:val="20"/>
                <w:lang w:eastAsia="es-CO"/>
              </w:rPr>
              <w:t xml:space="preserve">Ley 996 de 2005 es necesario considerar que </w:t>
            </w:r>
            <w:r w:rsidRPr="004F3E84">
              <w:rPr>
                <w:rFonts w:ascii="Verdana" w:eastAsia="Arial" w:hAnsi="Verdana" w:cs="Arial"/>
                <w:sz w:val="20"/>
                <w:szCs w:val="20"/>
                <w:lang w:val="es-ES" w:eastAsia="es-MX"/>
              </w:rPr>
              <w:t xml:space="preserve">el artículo </w:t>
            </w:r>
            <w:r w:rsidRPr="004F3E84">
              <w:rPr>
                <w:rFonts w:ascii="Verdana" w:eastAsia="Arial" w:hAnsi="Verdana" w:cs="Arial"/>
                <w:sz w:val="20"/>
                <w:szCs w:val="20"/>
                <w:lang w:eastAsia="es-MX"/>
              </w:rPr>
              <w:t>13 de la Ley 715 de 2001</w:t>
            </w:r>
            <w:r w:rsidRPr="004F3E84">
              <w:rPr>
                <w:rFonts w:ascii="Verdana" w:eastAsia="Arial" w:hAnsi="Verdana" w:cs="Arial"/>
                <w:color w:val="000000" w:themeColor="text1"/>
                <w:sz w:val="20"/>
                <w:szCs w:val="20"/>
                <w:lang w:eastAsia="es-CO"/>
              </w:rPr>
              <w:t xml:space="preserve"> consagra un régimen jurídico que exceptúa la aplicación del Estatuto General de Contratación de la Administración Pública en los contratos de los fondos de servicios educativos inferiores a veinte (20) SMLMV con el objetivo de flexibilizar el régimen contractual aplicable. Pese a lo anterior, la prohibición de contratación directa de la Ley de Garantías es independiente del régimen contractual, por lo que se extiende a los contratos celebrados con cargo a los fondos de servicios educativos.</w:t>
            </w:r>
            <w:r w:rsidRPr="004F3E84">
              <w:rPr>
                <w:rFonts w:ascii="Verdana" w:eastAsia="Arial" w:hAnsi="Verdana" w:cs="Arial"/>
                <w:color w:val="000000"/>
                <w:sz w:val="20"/>
                <w:szCs w:val="20"/>
                <w:lang w:eastAsia="es-CO"/>
              </w:rPr>
              <w:t xml:space="preserve"> </w:t>
            </w:r>
          </w:p>
          <w:p w14:paraId="0B3541F0" w14:textId="77777777" w:rsidR="004F3E84" w:rsidRPr="004F3E84" w:rsidRDefault="004F3E84" w:rsidP="004914C3">
            <w:pPr>
              <w:spacing w:after="120" w:line="276" w:lineRule="auto"/>
              <w:jc w:val="both"/>
              <w:rPr>
                <w:rFonts w:ascii="Verdana" w:hAnsi="Verdana"/>
                <w:sz w:val="20"/>
                <w:szCs w:val="20"/>
              </w:rPr>
            </w:pPr>
            <w:r w:rsidRPr="004F3E84">
              <w:rPr>
                <w:rFonts w:ascii="Verdana" w:eastAsia="Arial" w:hAnsi="Verdana" w:cs="Arial"/>
                <w:color w:val="000000"/>
                <w:sz w:val="20"/>
                <w:szCs w:val="20"/>
                <w:lang w:eastAsia="es-CO"/>
              </w:rPr>
              <w:t xml:space="preserve">En conclusión, la prohibición del artículo 33 de la Ley 996 de 2005 se extiende a cualquier contrato realizado con recursos de fondos de servicios educativos, sean inferiores o superiores a 20 SMLMV siempre que el contrato se celebre sin que esté antecedido de un procedimiento que admita la posible participación de una pluralidad de oferentes, toda vez que la prohibición recae sobre la </w:t>
            </w:r>
            <w:r w:rsidRPr="004F3E84">
              <w:rPr>
                <w:rFonts w:ascii="Verdana" w:eastAsia="Arial" w:hAnsi="Verdana" w:cs="Arial"/>
                <w:i/>
                <w:iCs/>
                <w:color w:val="000000"/>
                <w:sz w:val="20"/>
                <w:szCs w:val="20"/>
                <w:lang w:eastAsia="es-CO"/>
              </w:rPr>
              <w:t>contratación directa</w:t>
            </w:r>
            <w:r w:rsidRPr="004F3E84">
              <w:rPr>
                <w:rFonts w:ascii="Verdana" w:eastAsia="Arial" w:hAnsi="Verdana" w:cs="Arial"/>
                <w:color w:val="000000"/>
                <w:sz w:val="20"/>
                <w:szCs w:val="20"/>
                <w:lang w:eastAsia="es-CO"/>
              </w:rPr>
              <w:t xml:space="preserve">.  </w:t>
            </w:r>
          </w:p>
          <w:p w14:paraId="152F51C8" w14:textId="77777777" w:rsidR="004F3E84" w:rsidRDefault="004F3E84" w:rsidP="004914C3">
            <w:pPr>
              <w:jc w:val="both"/>
              <w:rPr>
                <w:rFonts w:ascii="Verdana" w:eastAsia="Arial" w:hAnsi="Verdana" w:cs="Arial"/>
                <w:b/>
                <w:bCs/>
              </w:rPr>
            </w:pPr>
          </w:p>
          <w:p w14:paraId="53613079" w14:textId="77777777" w:rsidR="004F3E84" w:rsidRPr="00864885" w:rsidRDefault="004F3E84" w:rsidP="004914C3">
            <w:pPr>
              <w:jc w:val="both"/>
              <w:rPr>
                <w:rFonts w:ascii="Verdana" w:hAnsi="Verdana" w:cs="Arial"/>
                <w:b/>
                <w:bCs/>
                <w:color w:val="000000" w:themeColor="text1"/>
                <w:lang w:val="es-ES_tradnl"/>
              </w:rPr>
            </w:pPr>
            <w:r w:rsidRPr="00864885">
              <w:rPr>
                <w:rFonts w:ascii="Verdana" w:eastAsia="Arial" w:hAnsi="Verdana" w:cs="Arial"/>
                <w:b/>
                <w:bCs/>
              </w:rPr>
              <w:t>INSTITUCIONES EDUCATIVAS OFICIALES – Naturaleza jurídica – Capacidad para contratar</w:t>
            </w:r>
          </w:p>
          <w:p w14:paraId="528D66BD" w14:textId="77777777" w:rsidR="004F3E84" w:rsidRPr="003A37DA" w:rsidRDefault="004F3E84" w:rsidP="004914C3">
            <w:pPr>
              <w:jc w:val="both"/>
              <w:rPr>
                <w:rFonts w:ascii="Verdana" w:hAnsi="Verdana" w:cs="Arial"/>
                <w:bCs/>
                <w:color w:val="000000" w:themeColor="text1"/>
                <w:lang w:val="es-ES_tradnl"/>
              </w:rPr>
            </w:pPr>
          </w:p>
          <w:p w14:paraId="15AB3B7A" w14:textId="77777777" w:rsidR="004F3E84" w:rsidRPr="003A37DA" w:rsidRDefault="004F3E84" w:rsidP="004914C3">
            <w:pPr>
              <w:jc w:val="both"/>
              <w:rPr>
                <w:rFonts w:ascii="Verdana" w:eastAsia="Calibri" w:hAnsi="Verdana" w:cs="Arial"/>
                <w:lang w:val="es-ES" w:eastAsia="es-ES"/>
              </w:rPr>
            </w:pPr>
          </w:p>
        </w:tc>
      </w:tr>
    </w:tbl>
    <w:p w14:paraId="02895BF5" w14:textId="77777777" w:rsidR="004F3E84" w:rsidRPr="004F3E84" w:rsidRDefault="004F3E84" w:rsidP="004F3E84">
      <w:pPr>
        <w:spacing w:after="0"/>
        <w:jc w:val="both"/>
        <w:rPr>
          <w:rFonts w:ascii="Verdana" w:hAnsi="Verdana"/>
          <w:sz w:val="20"/>
          <w:szCs w:val="20"/>
        </w:rPr>
      </w:pPr>
      <w:r w:rsidRPr="004F3E84">
        <w:rPr>
          <w:rFonts w:ascii="Verdana" w:eastAsia="Arial" w:hAnsi="Verdana" w:cs="Arial"/>
          <w:sz w:val="20"/>
          <w:szCs w:val="20"/>
          <w:lang w:eastAsia="es-MX"/>
        </w:rPr>
        <w:t>En relación con la capacidad para contratar con la que cuentan las instituciones educativas por medio de los fondos de servicios educativos, es necesario precisar que cuando se trate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w:t>
      </w:r>
    </w:p>
    <w:p w14:paraId="6A9972BC" w14:textId="77777777" w:rsidR="004F3E84" w:rsidRPr="004F3E84" w:rsidRDefault="004F3E84" w:rsidP="004F3E84">
      <w:pPr>
        <w:spacing w:after="0"/>
        <w:rPr>
          <w:rFonts w:ascii="Verdana" w:hAnsi="Verdana"/>
          <w:sz w:val="20"/>
          <w:szCs w:val="20"/>
        </w:rPr>
      </w:pPr>
    </w:p>
    <w:p w14:paraId="1BD38100" w14:textId="77777777" w:rsidR="004F3E84" w:rsidRPr="004F3E84" w:rsidRDefault="004F3E84" w:rsidP="004F3E84">
      <w:pPr>
        <w:spacing w:after="0"/>
        <w:rPr>
          <w:rFonts w:ascii="Verdana" w:hAnsi="Verdana"/>
          <w:sz w:val="20"/>
          <w:szCs w:val="20"/>
        </w:rPr>
      </w:pPr>
    </w:p>
    <w:p w14:paraId="472C7BBB" w14:textId="77777777" w:rsidR="008836D8" w:rsidRPr="004F3E84" w:rsidRDefault="008836D8">
      <w:pPr>
        <w:rPr>
          <w:rFonts w:ascii="Verdana" w:eastAsia="Verdana" w:hAnsi="Verdana" w:cs="Verdana"/>
          <w:sz w:val="20"/>
          <w:szCs w:val="20"/>
        </w:rPr>
      </w:pPr>
      <w:r w:rsidRPr="004F3E84">
        <w:rPr>
          <w:rFonts w:ascii="Verdana" w:eastAsia="Verdana" w:hAnsi="Verdana" w:cs="Verdana"/>
          <w:sz w:val="20"/>
          <w:szCs w:val="20"/>
        </w:rPr>
        <w:br w:type="page"/>
      </w:r>
    </w:p>
    <w:p w14:paraId="1468C46D" w14:textId="4F5FA5E8" w:rsidR="00C15139" w:rsidRPr="0024624F" w:rsidRDefault="00C15139" w:rsidP="30821638">
      <w:pPr>
        <w:spacing w:after="0"/>
        <w:rPr>
          <w:rFonts w:ascii="Verdana" w:eastAsia="Verdana" w:hAnsi="Verdana" w:cs="Verdana"/>
        </w:rPr>
      </w:pPr>
      <w:r w:rsidRPr="30821638">
        <w:rPr>
          <w:rFonts w:ascii="Verdana" w:eastAsia="Verdana" w:hAnsi="Verdana" w:cs="Verdana"/>
        </w:rPr>
        <w:t xml:space="preserve">Bogotá D.C., </w:t>
      </w:r>
      <w:r w:rsidR="00C31C68">
        <w:rPr>
          <w:rFonts w:ascii="Verdana" w:eastAsia="Verdana" w:hAnsi="Verdana" w:cs="Verdana"/>
        </w:rPr>
        <w:t>27 mayo 2026</w:t>
      </w:r>
      <w:r>
        <w:tab/>
      </w:r>
      <w:r>
        <w:br/>
      </w:r>
      <w:r>
        <w:tab/>
      </w:r>
    </w:p>
    <w:p w14:paraId="12443EE0" w14:textId="77777777" w:rsidR="00C15139" w:rsidRPr="0024624F" w:rsidRDefault="00C15139" w:rsidP="30821638">
      <w:pPr>
        <w:spacing w:after="0"/>
        <w:rPr>
          <w:rFonts w:ascii="Verdana" w:eastAsia="Verdana" w:hAnsi="Verdana" w:cs="Verdana"/>
        </w:rPr>
      </w:pPr>
    </w:p>
    <w:p w14:paraId="3946185A" w14:textId="7F8B05E9" w:rsidR="003203AC" w:rsidRDefault="00F113DD" w:rsidP="003203AC">
      <w:pPr>
        <w:spacing w:after="0"/>
        <w:jc w:val="both"/>
        <w:rPr>
          <w:rFonts w:ascii="Verdana" w:eastAsia="Verdana" w:hAnsi="Verdana" w:cs="Verdana"/>
          <w:lang w:val="es-MX"/>
        </w:rPr>
      </w:pPr>
      <w:r w:rsidRPr="00F113DD">
        <w:rPr>
          <w:rFonts w:ascii="Verdana" w:eastAsia="Verdana" w:hAnsi="Verdana" w:cs="Verdana"/>
          <w:b/>
          <w:bCs/>
          <w:noProof/>
        </w:rPr>
        <w:drawing>
          <wp:anchor distT="0" distB="0" distL="114300" distR="114300" simplePos="0" relativeHeight="251658240" behindDoc="1" locked="0" layoutInCell="1" allowOverlap="1" wp14:anchorId="4F08593D" wp14:editId="543510FF">
            <wp:simplePos x="0" y="0"/>
            <wp:positionH relativeFrom="column">
              <wp:posOffset>3439652</wp:posOffset>
            </wp:positionH>
            <wp:positionV relativeFrom="paragraph">
              <wp:posOffset>114935</wp:posOffset>
            </wp:positionV>
            <wp:extent cx="2299335" cy="930910"/>
            <wp:effectExtent l="0" t="0" r="5715" b="2540"/>
            <wp:wrapTight wrapText="bothSides">
              <wp:wrapPolygon edited="0">
                <wp:start x="0" y="0"/>
                <wp:lineTo x="0" y="21217"/>
                <wp:lineTo x="21475" y="21217"/>
                <wp:lineTo x="21475" y="0"/>
                <wp:lineTo x="0" y="0"/>
              </wp:wrapPolygon>
            </wp:wrapTight>
            <wp:docPr id="10293363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99335" cy="9309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139" w:rsidRPr="30821638">
        <w:rPr>
          <w:rFonts w:ascii="Verdana" w:eastAsia="Verdana" w:hAnsi="Verdana" w:cs="Verdana"/>
          <w:lang w:val="es-MX"/>
        </w:rPr>
        <w:t>Señor</w:t>
      </w:r>
      <w:r w:rsidR="006263AD">
        <w:rPr>
          <w:rFonts w:ascii="Verdana" w:eastAsia="Verdana" w:hAnsi="Verdana" w:cs="Verdana"/>
          <w:lang w:val="es-MX"/>
        </w:rPr>
        <w:t>es</w:t>
      </w:r>
    </w:p>
    <w:p w14:paraId="19511E25" w14:textId="6184DEF8" w:rsidR="008775C2" w:rsidRPr="003203AC" w:rsidRDefault="008775C2" w:rsidP="003203AC">
      <w:pPr>
        <w:spacing w:after="0"/>
        <w:jc w:val="both"/>
        <w:rPr>
          <w:rFonts w:ascii="Verdana" w:eastAsia="Verdana" w:hAnsi="Verdana" w:cs="Verdana"/>
          <w:b/>
          <w:bCs/>
        </w:rPr>
      </w:pPr>
      <w:r w:rsidRPr="003203AC">
        <w:rPr>
          <w:rFonts w:ascii="Verdana" w:eastAsia="Verdana" w:hAnsi="Verdana" w:cs="Verdana"/>
          <w:b/>
          <w:bCs/>
        </w:rPr>
        <w:t>Institución Educa</w:t>
      </w:r>
      <w:r w:rsidR="006263AD" w:rsidRPr="003203AC">
        <w:rPr>
          <w:rFonts w:ascii="Verdana" w:eastAsia="Verdana" w:hAnsi="Verdana" w:cs="Verdana"/>
          <w:b/>
          <w:bCs/>
        </w:rPr>
        <w:t xml:space="preserve">tiva Villa de San Andrés </w:t>
      </w:r>
    </w:p>
    <w:p w14:paraId="5F96D16A" w14:textId="3B9816A8" w:rsidR="006263AD" w:rsidRPr="003203AC" w:rsidRDefault="006263AD" w:rsidP="003203AC">
      <w:pPr>
        <w:spacing w:after="0"/>
        <w:jc w:val="both"/>
        <w:rPr>
          <w:rFonts w:ascii="Verdana" w:eastAsia="Verdana" w:hAnsi="Verdana" w:cs="Verdana"/>
          <w:b/>
          <w:bCs/>
        </w:rPr>
      </w:pPr>
      <w:r w:rsidRPr="003203AC">
        <w:rPr>
          <w:rFonts w:ascii="Verdana" w:eastAsia="Verdana" w:hAnsi="Verdana" w:cs="Verdana"/>
          <w:b/>
          <w:bCs/>
        </w:rPr>
        <w:t xml:space="preserve">Rector </w:t>
      </w:r>
    </w:p>
    <w:p w14:paraId="65BF2721" w14:textId="64088BAF" w:rsidR="005E0593" w:rsidRPr="003203AC" w:rsidRDefault="005E0593" w:rsidP="003203AC">
      <w:pPr>
        <w:spacing w:after="0"/>
        <w:jc w:val="both"/>
        <w:rPr>
          <w:rFonts w:ascii="Verdana" w:eastAsia="Verdana" w:hAnsi="Verdana" w:cs="Verdana"/>
          <w:b/>
          <w:bCs/>
        </w:rPr>
      </w:pPr>
      <w:r w:rsidRPr="003203AC">
        <w:rPr>
          <w:rFonts w:ascii="Verdana" w:eastAsia="Verdana" w:hAnsi="Verdana" w:cs="Verdana"/>
          <w:b/>
          <w:bCs/>
        </w:rPr>
        <w:t>Ricardo Jesús Lobo Cañizares</w:t>
      </w:r>
    </w:p>
    <w:p w14:paraId="56B0A752" w14:textId="364DF993" w:rsidR="005E0593" w:rsidRDefault="005E0593" w:rsidP="003203AC">
      <w:pPr>
        <w:spacing w:after="0"/>
        <w:jc w:val="both"/>
        <w:rPr>
          <w:rFonts w:ascii="Verdana" w:eastAsia="Verdana" w:hAnsi="Verdana" w:cs="Verdana"/>
        </w:rPr>
      </w:pPr>
      <w:hyperlink r:id="rId11" w:history="1">
        <w:r w:rsidRPr="0038317C">
          <w:rPr>
            <w:rStyle w:val="Hyperlink"/>
            <w:rFonts w:ascii="Verdana" w:eastAsia="Verdana" w:hAnsi="Verdana" w:cs="Verdana"/>
          </w:rPr>
          <w:t>eevilladesanandres@educacioncesar.gov.co</w:t>
        </w:r>
      </w:hyperlink>
    </w:p>
    <w:p w14:paraId="6B2C2488" w14:textId="63791C15" w:rsidR="005E0593" w:rsidRDefault="003203AC" w:rsidP="003203AC">
      <w:pPr>
        <w:spacing w:after="0"/>
        <w:jc w:val="both"/>
        <w:rPr>
          <w:rFonts w:ascii="Verdana" w:eastAsia="Verdana" w:hAnsi="Verdana" w:cs="Verdana"/>
        </w:rPr>
      </w:pPr>
      <w:r>
        <w:rPr>
          <w:rFonts w:ascii="Verdana" w:eastAsia="Verdana" w:hAnsi="Verdana" w:cs="Verdana"/>
        </w:rPr>
        <w:t>Ocaña, Norte de Santander</w:t>
      </w:r>
    </w:p>
    <w:p w14:paraId="67168393" w14:textId="7D9D5BDB" w:rsidR="00CE3CB3" w:rsidRPr="000E2B93" w:rsidRDefault="00CE3CB3" w:rsidP="003203AC">
      <w:pPr>
        <w:spacing w:after="0"/>
        <w:jc w:val="both"/>
        <w:rPr>
          <w:rFonts w:ascii="Verdana" w:eastAsia="Verdana" w:hAnsi="Verdana" w:cs="Verdana"/>
        </w:rPr>
      </w:pPr>
    </w:p>
    <w:p w14:paraId="4B03230F" w14:textId="77777777" w:rsidR="00E245AB" w:rsidRPr="00E02524" w:rsidRDefault="00E245AB" w:rsidP="003203AC">
      <w:pPr>
        <w:spacing w:after="0"/>
        <w:jc w:val="both"/>
        <w:rPr>
          <w:rFonts w:ascii="Verdana" w:eastAsia="Verdana" w:hAnsi="Verdana" w:cs="Verdana"/>
        </w:rPr>
      </w:pPr>
    </w:p>
    <w:p w14:paraId="60F9E856" w14:textId="77777777" w:rsidR="00FF2507" w:rsidRPr="00C53B42" w:rsidRDefault="00FF2507" w:rsidP="00FF2507">
      <w:pPr>
        <w:spacing w:after="0" w:line="240" w:lineRule="auto"/>
        <w:rPr>
          <w:rFonts w:ascii="Verdana" w:eastAsia="Calibri" w:hAnsi="Verdana" w:cs="Arial"/>
          <w:b/>
          <w:bCs/>
          <w:color w:val="000000"/>
          <w:lang w:val="es-ES_tradnl" w:eastAsia="es-ES_tradnl"/>
        </w:rPr>
      </w:pPr>
    </w:p>
    <w:tbl>
      <w:tblPr>
        <w:tblStyle w:val="TableGri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FF2507" w:rsidRPr="00C53B42" w14:paraId="60659F7F" w14:textId="77777777" w:rsidTr="004914C3">
        <w:trPr>
          <w:trHeight w:val="218"/>
        </w:trPr>
        <w:tc>
          <w:tcPr>
            <w:tcW w:w="2175" w:type="dxa"/>
          </w:tcPr>
          <w:p w14:paraId="6E530FCB" w14:textId="77777777" w:rsidR="00FF2507" w:rsidRPr="00C53B42" w:rsidRDefault="00FF2507" w:rsidP="004914C3">
            <w:pPr>
              <w:jc w:val="both"/>
              <w:rPr>
                <w:rFonts w:ascii="Verdana" w:eastAsia="Calibri" w:hAnsi="Verdana" w:cs="Arial"/>
                <w:b/>
                <w:bCs/>
                <w:color w:val="7030A0"/>
                <w:lang w:val="es-ES_tradnl" w:eastAsia="es-ES_tradnl"/>
              </w:rPr>
            </w:pPr>
          </w:p>
        </w:tc>
        <w:tc>
          <w:tcPr>
            <w:tcW w:w="6614" w:type="dxa"/>
            <w:hideMark/>
          </w:tcPr>
          <w:p w14:paraId="0391D5D0" w14:textId="4815C296" w:rsidR="00FF2507" w:rsidRPr="00C53B42" w:rsidRDefault="00FF2507" w:rsidP="004914C3">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sidR="002B784C">
              <w:rPr>
                <w:rFonts w:ascii="Verdana" w:eastAsia="Calibri" w:hAnsi="Verdana" w:cs="Arial"/>
                <w:b/>
                <w:bCs/>
                <w:lang w:val="es-ES" w:eastAsia="es-ES"/>
              </w:rPr>
              <w:t>617 de 2026</w:t>
            </w:r>
          </w:p>
          <w:p w14:paraId="0CC431CE" w14:textId="77777777" w:rsidR="00FF2507" w:rsidRPr="00C53B42" w:rsidRDefault="00FF2507" w:rsidP="004914C3">
            <w:pPr>
              <w:jc w:val="both"/>
              <w:rPr>
                <w:rFonts w:ascii="Verdana" w:eastAsia="Calibri" w:hAnsi="Verdana" w:cs="Arial"/>
                <w:b/>
                <w:bCs/>
                <w:lang w:val="es-ES" w:eastAsia="es-ES"/>
              </w:rPr>
            </w:pPr>
          </w:p>
          <w:p w14:paraId="5DB769E0" w14:textId="77777777" w:rsidR="00FF2507" w:rsidRPr="00C53B42" w:rsidRDefault="00FF2507" w:rsidP="004914C3">
            <w:pPr>
              <w:jc w:val="both"/>
              <w:rPr>
                <w:rFonts w:ascii="Verdana" w:eastAsia="Calibri" w:hAnsi="Verdana" w:cs="Arial"/>
                <w:b/>
                <w:bCs/>
                <w:lang w:val="es-ES" w:eastAsia="es-ES"/>
              </w:rPr>
            </w:pPr>
          </w:p>
        </w:tc>
      </w:tr>
      <w:tr w:rsidR="00FF2507" w:rsidRPr="00C53B42" w14:paraId="5F2A2CD6" w14:textId="77777777" w:rsidTr="004914C3">
        <w:trPr>
          <w:trHeight w:val="884"/>
        </w:trPr>
        <w:tc>
          <w:tcPr>
            <w:tcW w:w="2175" w:type="dxa"/>
            <w:hideMark/>
          </w:tcPr>
          <w:p w14:paraId="35A4C545" w14:textId="77777777" w:rsidR="00FF2507" w:rsidRPr="00C53B42" w:rsidRDefault="00FF2507" w:rsidP="004914C3">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0D30C4C2" w14:textId="77777777" w:rsidR="00FF2507" w:rsidRPr="003A37DA" w:rsidRDefault="00FF2507" w:rsidP="004914C3">
            <w:pPr>
              <w:jc w:val="both"/>
              <w:rPr>
                <w:rFonts w:ascii="Verdana" w:hAnsi="Verdana" w:cs="Arial"/>
                <w:bCs/>
                <w:color w:val="000000" w:themeColor="text1"/>
                <w:lang w:val="es-ES_tradnl"/>
              </w:rPr>
            </w:pPr>
            <w:r w:rsidRPr="003A37DA">
              <w:rPr>
                <w:rFonts w:ascii="Verdana" w:hAnsi="Verdana" w:cs="Arial"/>
                <w:bCs/>
                <w:color w:val="000000" w:themeColor="text1"/>
                <w:lang w:val="es-ES_tradnl"/>
              </w:rPr>
              <w:t xml:space="preserve">LEY DE GARANTÍAS ELECTORALES ‒ Finalidad / LEY DE GARANTÍAS ELECTORALES ‒ Tipos de restricciones – </w:t>
            </w:r>
            <w:r w:rsidRPr="003A37DA">
              <w:rPr>
                <w:rFonts w:ascii="Verdana" w:eastAsia="Arial" w:hAnsi="Verdana" w:cs="Arial"/>
                <w:lang w:val="es-ES" w:eastAsia="es-ES"/>
              </w:rPr>
              <w:t xml:space="preserve">Instituciones Educativas/ </w:t>
            </w:r>
            <w:r w:rsidRPr="003A37DA">
              <w:rPr>
                <w:rFonts w:ascii="Verdana" w:eastAsia="Arial" w:hAnsi="Verdana" w:cs="Arial"/>
              </w:rPr>
              <w:t>INSTITUCIONES EDUCATIVAS OFICIALES – Naturaleza jurídica – Capacidad para contratar</w:t>
            </w:r>
          </w:p>
          <w:p w14:paraId="22F8EE0A" w14:textId="77777777" w:rsidR="00FF2507" w:rsidRPr="003A37DA" w:rsidRDefault="00FF2507" w:rsidP="004914C3">
            <w:pPr>
              <w:jc w:val="both"/>
              <w:rPr>
                <w:rFonts w:ascii="Verdana" w:hAnsi="Verdana" w:cs="Arial"/>
                <w:bCs/>
                <w:color w:val="000000" w:themeColor="text1"/>
                <w:lang w:val="es-ES_tradnl"/>
              </w:rPr>
            </w:pPr>
          </w:p>
          <w:p w14:paraId="42D0CBE0" w14:textId="77777777" w:rsidR="00FF2507" w:rsidRPr="003A37DA" w:rsidRDefault="00FF2507" w:rsidP="004914C3">
            <w:pPr>
              <w:jc w:val="both"/>
              <w:rPr>
                <w:rFonts w:ascii="Verdana" w:eastAsia="Calibri" w:hAnsi="Verdana" w:cs="Arial"/>
                <w:lang w:val="es-ES" w:eastAsia="es-ES"/>
              </w:rPr>
            </w:pPr>
          </w:p>
        </w:tc>
      </w:tr>
      <w:tr w:rsidR="00FF2507" w14:paraId="75BEFDC5" w14:textId="77777777" w:rsidTr="004914C3">
        <w:tc>
          <w:tcPr>
            <w:tcW w:w="2175" w:type="dxa"/>
            <w:hideMark/>
          </w:tcPr>
          <w:p w14:paraId="7006ED20" w14:textId="77777777" w:rsidR="00FF2507" w:rsidRPr="00C53B42" w:rsidRDefault="00FF2507" w:rsidP="004914C3">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7F38229C" w14:textId="33388176" w:rsidR="00D327DC" w:rsidRPr="00C53B42" w:rsidRDefault="00FF2507" w:rsidP="004914C3">
            <w:pPr>
              <w:jc w:val="both"/>
              <w:rPr>
                <w:rFonts w:ascii="Verdana" w:eastAsia="Calibri" w:hAnsi="Verdana" w:cs="Arial"/>
                <w:lang w:val="es-ES_tradnl" w:eastAsia="es-ES_tradnl"/>
              </w:rPr>
            </w:pPr>
            <w:r w:rsidRPr="00C53B42">
              <w:rPr>
                <w:rFonts w:ascii="Verdana" w:eastAsia="Calibri" w:hAnsi="Verdana" w:cs="Arial"/>
                <w:lang w:val="es-ES_tradnl" w:eastAsia="es-ES_tradnl"/>
              </w:rPr>
              <w:t>Respuesta a consulta</w:t>
            </w:r>
            <w:r w:rsidR="00D327DC">
              <w:rPr>
                <w:rFonts w:ascii="Verdana" w:eastAsia="Calibri" w:hAnsi="Verdana" w:cs="Arial"/>
                <w:lang w:val="es-ES_tradnl" w:eastAsia="es-ES_tradnl"/>
              </w:rPr>
              <w:t xml:space="preserve"> acumuladas</w:t>
            </w:r>
            <w:r w:rsidRPr="00C53B42">
              <w:rPr>
                <w:rFonts w:ascii="Verdana" w:eastAsia="Calibri" w:hAnsi="Verdana" w:cs="Arial"/>
                <w:lang w:val="es-ES_tradnl" w:eastAsia="es-ES_tradnl"/>
              </w:rPr>
              <w:t xml:space="preserve"> con radicado</w:t>
            </w:r>
            <w:r w:rsidR="00D327DC">
              <w:rPr>
                <w:rFonts w:ascii="Verdana" w:eastAsia="Calibri" w:hAnsi="Verdana" w:cs="Arial"/>
                <w:lang w:val="es-ES_tradnl" w:eastAsia="es-ES_tradnl"/>
              </w:rPr>
              <w:t>s</w:t>
            </w:r>
            <w:r w:rsidRPr="00C53B42">
              <w:rPr>
                <w:rFonts w:ascii="Verdana" w:eastAsia="Calibri" w:hAnsi="Verdana" w:cs="Arial"/>
                <w:lang w:val="es-ES_tradnl" w:eastAsia="es-ES_tradnl"/>
              </w:rPr>
              <w:t xml:space="preserve"> N</w:t>
            </w:r>
            <w:r w:rsidR="00116B2D">
              <w:rPr>
                <w:rFonts w:ascii="Verdana" w:eastAsia="Calibri" w:hAnsi="Verdana" w:cs="Arial"/>
                <w:lang w:val="es-ES_tradnl" w:eastAsia="es-ES_tradnl"/>
              </w:rPr>
              <w:t>o</w:t>
            </w:r>
            <w:r w:rsidRPr="00C53B42">
              <w:rPr>
                <w:rFonts w:ascii="Verdana" w:eastAsia="Calibri" w:hAnsi="Verdana" w:cs="Arial"/>
                <w:lang w:val="es-ES_tradnl" w:eastAsia="es-ES_tradnl"/>
              </w:rPr>
              <w:t xml:space="preserve">. </w:t>
            </w:r>
          </w:p>
          <w:p w14:paraId="260BCB5B" w14:textId="41EB33FD" w:rsidR="00116B2D" w:rsidRDefault="00D327DC" w:rsidP="00116B2D">
            <w:pPr>
              <w:jc w:val="both"/>
              <w:rPr>
                <w:rFonts w:ascii="Verdana" w:hAnsi="Verdana" w:cs="Calibri"/>
              </w:rPr>
            </w:pPr>
            <w:r>
              <w:rPr>
                <w:rFonts w:ascii="Verdana" w:hAnsi="Verdana" w:cs="Calibri"/>
              </w:rPr>
              <w:t>1_2026_04_15_005097</w:t>
            </w:r>
            <w:r w:rsidR="00116B2D">
              <w:rPr>
                <w:rFonts w:ascii="Verdana" w:hAnsi="Verdana" w:cs="Calibri"/>
              </w:rPr>
              <w:t xml:space="preserve"> - 1_2026_04_15_005082</w:t>
            </w:r>
          </w:p>
          <w:p w14:paraId="174C36B8" w14:textId="31F3D6B6" w:rsidR="00D327DC" w:rsidRDefault="00D327DC" w:rsidP="00D327DC">
            <w:pPr>
              <w:jc w:val="both"/>
              <w:rPr>
                <w:rFonts w:ascii="Verdana" w:hAnsi="Verdana" w:cs="Calibri"/>
              </w:rPr>
            </w:pPr>
          </w:p>
          <w:p w14:paraId="54C3C73B" w14:textId="56CC85DC" w:rsidR="00FF2507" w:rsidRPr="00C53B42" w:rsidRDefault="00FF2507" w:rsidP="004914C3">
            <w:pPr>
              <w:jc w:val="both"/>
              <w:rPr>
                <w:rFonts w:ascii="Verdana" w:eastAsia="Calibri" w:hAnsi="Verdana" w:cs="Arial"/>
                <w:lang w:val="es-ES_tradnl" w:eastAsia="es-ES_tradnl"/>
              </w:rPr>
            </w:pPr>
          </w:p>
        </w:tc>
      </w:tr>
    </w:tbl>
    <w:p w14:paraId="3B1A5884" w14:textId="77777777" w:rsidR="00FF2507" w:rsidRDefault="00FF2507" w:rsidP="00FF2507">
      <w:pPr>
        <w:spacing w:after="0" w:line="240" w:lineRule="auto"/>
        <w:jc w:val="both"/>
        <w:rPr>
          <w:rFonts w:ascii="Verdana" w:eastAsia="Calibri" w:hAnsi="Verdana" w:cs="Arial"/>
          <w:color w:val="000000"/>
          <w:lang w:val="es-ES_tradnl" w:eastAsia="es-ES_tradnl"/>
        </w:rPr>
      </w:pPr>
    </w:p>
    <w:p w14:paraId="4F8B13BB" w14:textId="194AADCA" w:rsidR="00891928" w:rsidRPr="00FF2507" w:rsidRDefault="00891928" w:rsidP="003203AC">
      <w:pPr>
        <w:spacing w:after="0"/>
        <w:jc w:val="both"/>
        <w:rPr>
          <w:rFonts w:ascii="Verdana" w:eastAsia="Verdana" w:hAnsi="Verdana" w:cs="Verdana"/>
          <w:b/>
          <w:bCs/>
          <w:lang w:val="es-ES_tradnl"/>
        </w:rPr>
      </w:pPr>
    </w:p>
    <w:p w14:paraId="01804E15" w14:textId="77777777" w:rsidR="00E245AB" w:rsidRPr="00E02524" w:rsidRDefault="00E245AB" w:rsidP="003203AC">
      <w:pPr>
        <w:spacing w:after="0"/>
        <w:jc w:val="both"/>
        <w:rPr>
          <w:rFonts w:ascii="Verdana" w:eastAsia="Verdana" w:hAnsi="Verdana" w:cs="Verdana"/>
        </w:rPr>
      </w:pPr>
    </w:p>
    <w:p w14:paraId="72B9DB76" w14:textId="061A8F10" w:rsidR="00891928" w:rsidRDefault="00891928" w:rsidP="003203AC">
      <w:pPr>
        <w:spacing w:after="0"/>
        <w:jc w:val="both"/>
        <w:rPr>
          <w:rFonts w:ascii="Verdana" w:eastAsia="Verdana" w:hAnsi="Verdana" w:cs="Verdana"/>
          <w:lang w:val="es-MX"/>
        </w:rPr>
      </w:pPr>
      <w:r w:rsidRPr="30821638">
        <w:rPr>
          <w:rFonts w:ascii="Verdana" w:eastAsia="Verdana" w:hAnsi="Verdana" w:cs="Verdana"/>
          <w:lang w:val="es-MX"/>
        </w:rPr>
        <w:t>Respetado señor</w:t>
      </w:r>
      <w:r w:rsidR="008C0A9B">
        <w:rPr>
          <w:rFonts w:ascii="Verdana" w:eastAsia="Verdana" w:hAnsi="Verdana" w:cs="Verdana"/>
          <w:lang w:val="es-MX"/>
        </w:rPr>
        <w:t xml:space="preserve"> Lobo: </w:t>
      </w:r>
    </w:p>
    <w:p w14:paraId="2493F23E" w14:textId="77777777" w:rsidR="008C0A9B" w:rsidRDefault="008C0A9B" w:rsidP="003203AC">
      <w:pPr>
        <w:spacing w:after="0"/>
        <w:jc w:val="both"/>
        <w:rPr>
          <w:rFonts w:ascii="Verdana" w:eastAsia="Verdana" w:hAnsi="Verdana" w:cs="Verdana"/>
          <w:lang w:val="es-MX"/>
        </w:rPr>
      </w:pPr>
    </w:p>
    <w:p w14:paraId="0B3B0778" w14:textId="7350B9A7" w:rsidR="003A31C2" w:rsidRDefault="003A31C2" w:rsidP="003A31C2">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del 15 de abril de 2026, en la cual manifiesta lo siguiente: </w:t>
      </w:r>
    </w:p>
    <w:p w14:paraId="729A34E6" w14:textId="77777777" w:rsidR="003A31C2" w:rsidRDefault="003A31C2" w:rsidP="003A31C2">
      <w:pPr>
        <w:pStyle w:val="ListParagraph"/>
        <w:tabs>
          <w:tab w:val="left" w:pos="142"/>
          <w:tab w:val="left" w:pos="284"/>
        </w:tabs>
        <w:spacing w:after="0" w:line="276" w:lineRule="auto"/>
        <w:ind w:left="0"/>
        <w:contextualSpacing w:val="0"/>
        <w:jc w:val="both"/>
        <w:rPr>
          <w:rFonts w:ascii="Verdana" w:eastAsia="Century Gothic" w:hAnsi="Verdana" w:cs="Century Gothic"/>
          <w:b/>
          <w:bCs/>
        </w:rPr>
      </w:pPr>
    </w:p>
    <w:p w14:paraId="42C13754" w14:textId="2E3994E1" w:rsidR="003A31C2" w:rsidRPr="00D36E67" w:rsidRDefault="003A31C2" w:rsidP="00D36E67">
      <w:pPr>
        <w:autoSpaceDE w:val="0"/>
        <w:autoSpaceDN w:val="0"/>
        <w:adjustRightInd w:val="0"/>
        <w:spacing w:after="0" w:line="240" w:lineRule="auto"/>
        <w:ind w:left="709" w:right="709"/>
        <w:jc w:val="both"/>
        <w:rPr>
          <w:rFonts w:ascii="Verdana" w:eastAsia="Century Gothic" w:hAnsi="Verdana" w:cs="Century Gothic"/>
          <w:i/>
          <w:iCs/>
          <w:sz w:val="21"/>
          <w:szCs w:val="21"/>
          <w:lang w:val="es-ES"/>
        </w:rPr>
      </w:pPr>
      <w:r w:rsidRPr="00D36E67">
        <w:rPr>
          <w:rFonts w:ascii="Verdana" w:eastAsia="Century Gothic" w:hAnsi="Verdana" w:cs="Century Gothic"/>
          <w:i/>
          <w:iCs/>
          <w:sz w:val="21"/>
          <w:szCs w:val="21"/>
          <w:lang w:val="es-ES"/>
        </w:rPr>
        <w:t>“</w:t>
      </w:r>
      <w:r w:rsidR="006875BE" w:rsidRPr="00D36E67">
        <w:rPr>
          <w:rFonts w:ascii="Verdana" w:eastAsia="Century Gothic" w:hAnsi="Verdana" w:cs="Century Gothic"/>
          <w:i/>
          <w:iCs/>
          <w:sz w:val="21"/>
          <w:szCs w:val="21"/>
          <w:lang w:val="es-ES"/>
        </w:rPr>
        <w:t xml:space="preserve">[…] </w:t>
      </w:r>
    </w:p>
    <w:p w14:paraId="09C83F7B" w14:textId="3581A740" w:rsidR="002B3F63" w:rsidRPr="00D36E67" w:rsidRDefault="006875BE" w:rsidP="00D36E67">
      <w:pPr>
        <w:autoSpaceDE w:val="0"/>
        <w:autoSpaceDN w:val="0"/>
        <w:adjustRightInd w:val="0"/>
        <w:spacing w:after="0" w:line="240" w:lineRule="auto"/>
        <w:ind w:left="709" w:right="709"/>
        <w:jc w:val="both"/>
        <w:rPr>
          <w:rFonts w:ascii="Verdana" w:eastAsia="Century Gothic" w:hAnsi="Verdana" w:cs="Century Gothic"/>
          <w:i/>
          <w:iCs/>
          <w:sz w:val="21"/>
          <w:szCs w:val="21"/>
          <w:lang w:val="es-ES"/>
        </w:rPr>
      </w:pPr>
      <w:r w:rsidRPr="00D36E67">
        <w:rPr>
          <w:rFonts w:ascii="Verdana" w:eastAsia="Century Gothic" w:hAnsi="Verdana" w:cs="Century Gothic"/>
          <w:i/>
          <w:iCs/>
          <w:sz w:val="21"/>
          <w:szCs w:val="21"/>
          <w:lang w:val="es-ES"/>
        </w:rPr>
        <w:t>¿Es posible adelantar procesos de adquisición de bienes y servicios con recursos del Fondo de Servicios Educativos durante los períodos de la Ley de Garantías, mediante</w:t>
      </w:r>
      <w:r w:rsidR="000916EC" w:rsidRPr="00D36E67">
        <w:rPr>
          <w:rFonts w:ascii="Verdana" w:eastAsia="Century Gothic" w:hAnsi="Verdana" w:cs="Century Gothic"/>
          <w:i/>
          <w:iCs/>
          <w:sz w:val="21"/>
          <w:szCs w:val="21"/>
          <w:lang w:val="es-ES"/>
        </w:rPr>
        <w:t xml:space="preserve"> procedimientos contractuales que se realicen a través </w:t>
      </w:r>
      <w:r w:rsidR="00037038" w:rsidRPr="00D36E67">
        <w:rPr>
          <w:rFonts w:ascii="Verdana" w:eastAsia="Century Gothic" w:hAnsi="Verdana" w:cs="Century Gothic"/>
          <w:i/>
          <w:iCs/>
          <w:sz w:val="21"/>
          <w:szCs w:val="21"/>
          <w:lang w:val="es-ES"/>
        </w:rPr>
        <w:t>de convocatoria pública y que ga</w:t>
      </w:r>
      <w:r w:rsidR="003D1D91" w:rsidRPr="00D36E67">
        <w:rPr>
          <w:rFonts w:ascii="Verdana" w:eastAsia="Century Gothic" w:hAnsi="Verdana" w:cs="Century Gothic"/>
          <w:i/>
          <w:iCs/>
          <w:sz w:val="21"/>
          <w:szCs w:val="21"/>
          <w:lang w:val="es-ES"/>
        </w:rPr>
        <w:t>r</w:t>
      </w:r>
      <w:r w:rsidR="00037038" w:rsidRPr="00D36E67">
        <w:rPr>
          <w:rFonts w:ascii="Verdana" w:eastAsia="Century Gothic" w:hAnsi="Verdana" w:cs="Century Gothic"/>
          <w:i/>
          <w:iCs/>
          <w:sz w:val="21"/>
          <w:szCs w:val="21"/>
          <w:lang w:val="es-ES"/>
        </w:rPr>
        <w:t>anticen</w:t>
      </w:r>
      <w:r w:rsidR="003D1D91" w:rsidRPr="00D36E67">
        <w:rPr>
          <w:rFonts w:ascii="Verdana" w:eastAsia="Century Gothic" w:hAnsi="Verdana" w:cs="Century Gothic"/>
          <w:i/>
          <w:iCs/>
          <w:sz w:val="21"/>
          <w:szCs w:val="21"/>
          <w:lang w:val="es-ES"/>
        </w:rPr>
        <w:t xml:space="preserve"> los principios de transparencia, selección objetiva y pluralidad de oferentes?</w:t>
      </w:r>
    </w:p>
    <w:p w14:paraId="306FF697" w14:textId="3B324106" w:rsidR="002B3F63" w:rsidRPr="00D36E67" w:rsidRDefault="002B3F63" w:rsidP="00D36E67">
      <w:pPr>
        <w:autoSpaceDE w:val="0"/>
        <w:autoSpaceDN w:val="0"/>
        <w:adjustRightInd w:val="0"/>
        <w:spacing w:after="0" w:line="240" w:lineRule="auto"/>
        <w:ind w:left="709" w:right="709"/>
        <w:jc w:val="both"/>
        <w:rPr>
          <w:rFonts w:ascii="Verdana" w:eastAsia="Century Gothic" w:hAnsi="Verdana" w:cs="Century Gothic"/>
          <w:sz w:val="21"/>
          <w:szCs w:val="21"/>
          <w:lang w:val="es-ES"/>
        </w:rPr>
      </w:pPr>
      <w:r w:rsidRPr="00D36E67">
        <w:rPr>
          <w:rFonts w:ascii="Verdana" w:eastAsia="Century Gothic" w:hAnsi="Verdana" w:cs="Century Gothic"/>
          <w:sz w:val="21"/>
          <w:szCs w:val="21"/>
          <w:lang w:val="es-ES"/>
        </w:rPr>
        <w:t>[…]”.</w:t>
      </w:r>
    </w:p>
    <w:p w14:paraId="3A70A18C" w14:textId="77777777" w:rsidR="008C0A9B" w:rsidRPr="00D36E67" w:rsidRDefault="008C0A9B" w:rsidP="00D36E67">
      <w:pPr>
        <w:spacing w:after="0" w:line="240" w:lineRule="auto"/>
        <w:ind w:left="709" w:right="709"/>
        <w:jc w:val="both"/>
        <w:rPr>
          <w:rFonts w:ascii="Verdana" w:eastAsia="Verdana" w:hAnsi="Verdana" w:cs="Verdana"/>
          <w:sz w:val="21"/>
          <w:szCs w:val="21"/>
          <w:lang w:val="es-ES"/>
        </w:rPr>
      </w:pPr>
    </w:p>
    <w:p w14:paraId="22137F99" w14:textId="77777777" w:rsidR="009955E3" w:rsidRDefault="009955E3" w:rsidP="00654AB8">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6112CAF3" w14:textId="77777777" w:rsidR="009955E3" w:rsidRDefault="009955E3" w:rsidP="00654AB8">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2900B93A" w14:textId="77777777" w:rsidR="009955E3" w:rsidRDefault="009955E3" w:rsidP="009955E3">
      <w:pPr>
        <w:spacing w:after="0" w:line="276" w:lineRule="auto"/>
        <w:ind w:firstLine="709"/>
        <w:jc w:val="both"/>
        <w:rPr>
          <w:rFonts w:ascii="Verdana" w:eastAsia="Calibri" w:hAnsi="Verdana" w:cs="Arial"/>
          <w:color w:val="000000"/>
          <w:lang w:val="es-ES" w:eastAsia="es-ES"/>
        </w:rPr>
      </w:pPr>
    </w:p>
    <w:p w14:paraId="1BCE9D98" w14:textId="77777777" w:rsidR="009955E3" w:rsidRDefault="009955E3" w:rsidP="009955E3">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60809A8C" w14:textId="77777777" w:rsidR="009955E3" w:rsidRDefault="009955E3" w:rsidP="000451C1">
      <w:pPr>
        <w:tabs>
          <w:tab w:val="left" w:pos="426"/>
        </w:tabs>
        <w:spacing w:after="0" w:line="276" w:lineRule="auto"/>
        <w:jc w:val="both"/>
        <w:rPr>
          <w:rFonts w:ascii="Verdana" w:eastAsia="Century Gothic" w:hAnsi="Verdana" w:cs="Century Gothic"/>
          <w:lang w:val="es-ES"/>
        </w:rPr>
      </w:pPr>
    </w:p>
    <w:p w14:paraId="40B5CDE4" w14:textId="69AB30A4" w:rsidR="009955E3" w:rsidRDefault="009955E3" w:rsidP="000451C1">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w:t>
      </w:r>
      <w:r w:rsidRPr="005649AA">
        <w:rPr>
          <w:rFonts w:ascii="Verdana" w:eastAsia="Century Gothic" w:hAnsi="Verdana" w:cs="Century Gothic"/>
        </w:rPr>
        <w:t>¿</w:t>
      </w:r>
      <w:r w:rsidR="00670E86">
        <w:rPr>
          <w:rFonts w:ascii="Verdana" w:eastAsia="Century Gothic" w:hAnsi="Verdana" w:cs="Century Gothic"/>
        </w:rPr>
        <w:t xml:space="preserve">Son aplicables las restricciones </w:t>
      </w:r>
      <w:r w:rsidR="00333B0F">
        <w:rPr>
          <w:rFonts w:ascii="Verdana" w:eastAsia="Century Gothic" w:hAnsi="Verdana" w:cs="Century Gothic"/>
        </w:rPr>
        <w:t>en materia de contratación estatal previstas en la Ley 996 de 2005 a las Instituciones Educativas Oficiales sometidas al régimen especial</w:t>
      </w:r>
      <w:r w:rsidR="004B0835">
        <w:rPr>
          <w:rFonts w:ascii="Verdana" w:eastAsia="Century Gothic" w:hAnsi="Verdana" w:cs="Century Gothic"/>
        </w:rPr>
        <w:t>?</w:t>
      </w:r>
    </w:p>
    <w:p w14:paraId="2F64759D" w14:textId="77777777" w:rsidR="00B72DE0" w:rsidRDefault="00B72DE0" w:rsidP="009955E3">
      <w:pPr>
        <w:spacing w:after="0" w:line="276" w:lineRule="auto"/>
        <w:jc w:val="both"/>
        <w:rPr>
          <w:rFonts w:ascii="Verdana" w:eastAsia="Century Gothic" w:hAnsi="Verdana" w:cs="Century Gothic"/>
        </w:rPr>
      </w:pPr>
    </w:p>
    <w:p w14:paraId="0978B974" w14:textId="4F12F310" w:rsidR="00B72DE0" w:rsidRPr="00907B62" w:rsidRDefault="00B72DE0" w:rsidP="009955E3">
      <w:pPr>
        <w:spacing w:after="0" w:line="276" w:lineRule="auto"/>
        <w:jc w:val="both"/>
        <w:rPr>
          <w:rFonts w:ascii="Verdana" w:eastAsia="Century Gothic" w:hAnsi="Verdana" w:cs="Century Gothic"/>
          <w:b/>
          <w:bCs/>
        </w:rPr>
      </w:pPr>
      <w:r w:rsidRPr="00907B62">
        <w:rPr>
          <w:rFonts w:ascii="Verdana" w:eastAsia="Century Gothic" w:hAnsi="Verdana" w:cs="Century Gothic"/>
          <w:b/>
          <w:bCs/>
        </w:rPr>
        <w:t xml:space="preserve">2. Respuesta: </w:t>
      </w:r>
    </w:p>
    <w:p w14:paraId="156DEE08" w14:textId="77777777" w:rsidR="00B72DE0" w:rsidRDefault="00B72DE0" w:rsidP="009955E3">
      <w:pPr>
        <w:spacing w:after="0" w:line="276" w:lineRule="auto"/>
        <w:jc w:val="both"/>
        <w:rPr>
          <w:rFonts w:ascii="Verdana" w:eastAsia="Century Gothic" w:hAnsi="Verdana" w:cs="Century Gothic"/>
        </w:rPr>
      </w:pPr>
    </w:p>
    <w:p w14:paraId="0C213AFC" w14:textId="09209846" w:rsidR="00B72DE0" w:rsidRDefault="00B72DE0" w:rsidP="000451C1">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 xml:space="preserve">El artículo 33 de la Ley 996 de 2005 prohíbe la contratación directa por parte de todos los entes durante los cuatro meses anteriores a las elecciones presidenciales </w:t>
      </w:r>
      <w:r w:rsidR="0073265F">
        <w:rPr>
          <w:rFonts w:ascii="Verdana" w:eastAsia="Century Gothic" w:hAnsi="Verdana" w:cs="Century Gothic"/>
        </w:rPr>
        <w:t xml:space="preserve">y dispone las excepciones a dicha prohibición. Así, su ámbito de prohibición esta delimitado por la expresión </w:t>
      </w:r>
      <w:r w:rsidR="001B5C07">
        <w:rPr>
          <w:rFonts w:ascii="Verdana" w:eastAsia="Century Gothic" w:hAnsi="Verdana" w:cs="Century Gothic"/>
        </w:rPr>
        <w:t xml:space="preserve">“queda prohibida la contratación directa” y para los efectos de la Ley de Garantías Electorales y, </w:t>
      </w:r>
      <w:r w:rsidR="00B31EC7">
        <w:rPr>
          <w:rFonts w:ascii="Verdana" w:eastAsia="Century Gothic" w:hAnsi="Verdana" w:cs="Century Gothic"/>
        </w:rPr>
        <w:t>en particular, para la prohibición o restricción temporal contenida en su artículo 33, “contratación directa</w:t>
      </w:r>
      <w:r w:rsidR="00C62CBC">
        <w:rPr>
          <w:rFonts w:ascii="Verdana" w:eastAsia="Century Gothic" w:hAnsi="Verdana" w:cs="Century Gothic"/>
        </w:rPr>
        <w:t xml:space="preserve">” se refiere a cualquier sistema de selección o procedimiento de contratación utilizado por las entidades estatales que no incluya la convocatoria pública en alguna de sus etapas, ni permita la participación de oferentes. </w:t>
      </w:r>
    </w:p>
    <w:p w14:paraId="05B98766" w14:textId="19659A69" w:rsidR="00C62CBC" w:rsidRDefault="00C62CBC" w:rsidP="000451C1">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 xml:space="preserve">Por su parte, los destinatarios de la prohibición están expresamente señalados como “todos los entes del Estado”, </w:t>
      </w:r>
      <w:r w:rsidR="00C66CDE">
        <w:rPr>
          <w:rFonts w:ascii="Verdana" w:eastAsia="Century Gothic" w:hAnsi="Verdana" w:cs="Century Gothic"/>
        </w:rPr>
        <w:t>expresión que contempla a los diferentes organismos o entidades autorizadas por la ley para suscribir contratos. En efecto, tal como lo ha sostenido el Consejo de Estad</w:t>
      </w:r>
      <w:r w:rsidR="00713224">
        <w:rPr>
          <w:rFonts w:ascii="Verdana" w:eastAsia="Century Gothic" w:hAnsi="Verdana" w:cs="Century Gothic"/>
        </w:rPr>
        <w:t>o, el vocablo “todos” utilizado por el legislador comprende a la totalidad de los entes del Estado, sin distinción del régimen jurídico</w:t>
      </w:r>
      <w:r w:rsidR="00D76909">
        <w:rPr>
          <w:rFonts w:ascii="Verdana" w:eastAsia="Century Gothic" w:hAnsi="Verdana" w:cs="Century Gothic"/>
        </w:rPr>
        <w:t>, forma</w:t>
      </w:r>
      <w:r w:rsidR="0088150B">
        <w:rPr>
          <w:rFonts w:ascii="Verdana" w:eastAsia="Century Gothic" w:hAnsi="Verdana" w:cs="Century Gothic"/>
        </w:rPr>
        <w:t xml:space="preserve"> </w:t>
      </w:r>
      <w:r w:rsidR="008A0838">
        <w:rPr>
          <w:rFonts w:ascii="Verdana" w:eastAsia="Century Gothic" w:hAnsi="Verdana" w:cs="Century Gothic"/>
        </w:rPr>
        <w:t>de organización o naturaleza</w:t>
      </w:r>
      <w:r w:rsidR="004537D1">
        <w:rPr>
          <w:rFonts w:ascii="Verdana" w:eastAsia="Century Gothic" w:hAnsi="Verdana" w:cs="Century Gothic"/>
        </w:rPr>
        <w:t xml:space="preserve">, su pertenencia a una u otra rama del poder publico o su autonomía, e incluso si las entidades estatales tienen régimen especial de contratación y están exceptuadas del ámbito de aplicación del Estatuto General de Contratación de la Administración Pública. </w:t>
      </w:r>
    </w:p>
    <w:p w14:paraId="07C992A9" w14:textId="1DCE0CE6" w:rsidR="004537D1" w:rsidRDefault="004537D1" w:rsidP="000451C1">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En este contexto, para la restricción del artículo 33 de la Ley 996 de 2005</w:t>
      </w:r>
      <w:r w:rsidR="009E37B7">
        <w:rPr>
          <w:rFonts w:ascii="Verdana" w:eastAsia="Century Gothic" w:hAnsi="Verdana" w:cs="Century Gothic"/>
        </w:rPr>
        <w:t xml:space="preserve"> es necesario considerara que el artículo 13 de la Ley 715 de 2001 consagra un régimen jurídico que </w:t>
      </w:r>
      <w:r w:rsidR="00E247CB">
        <w:rPr>
          <w:rFonts w:ascii="Verdana" w:eastAsia="Century Gothic" w:hAnsi="Verdana" w:cs="Century Gothic"/>
        </w:rPr>
        <w:t xml:space="preserve">exceptúa la aplicación del Estatuto General de </w:t>
      </w:r>
      <w:r w:rsidR="0048118E">
        <w:rPr>
          <w:rFonts w:ascii="Verdana" w:eastAsia="Century Gothic" w:hAnsi="Verdana" w:cs="Century Gothic"/>
        </w:rPr>
        <w:t>Contratación</w:t>
      </w:r>
      <w:r w:rsidR="00777FE1">
        <w:rPr>
          <w:rFonts w:ascii="Verdana" w:eastAsia="Century Gothic" w:hAnsi="Verdana" w:cs="Century Gothic"/>
        </w:rPr>
        <w:t xml:space="preserve"> de la </w:t>
      </w:r>
      <w:r w:rsidR="0048118E">
        <w:rPr>
          <w:rFonts w:ascii="Verdana" w:eastAsia="Century Gothic" w:hAnsi="Verdana" w:cs="Century Gothic"/>
        </w:rPr>
        <w:t>Administración</w:t>
      </w:r>
      <w:r w:rsidR="00777FE1">
        <w:rPr>
          <w:rFonts w:ascii="Verdana" w:eastAsia="Century Gothic" w:hAnsi="Verdana" w:cs="Century Gothic"/>
        </w:rPr>
        <w:t xml:space="preserve"> Pública en los contratos de los fondos de servicios educativos inferiores </w:t>
      </w:r>
      <w:r w:rsidR="00A7157F">
        <w:rPr>
          <w:rFonts w:ascii="Verdana" w:eastAsia="Century Gothic" w:hAnsi="Verdana" w:cs="Century Gothic"/>
        </w:rPr>
        <w:t>a ve</w:t>
      </w:r>
      <w:r w:rsidR="0048118E">
        <w:rPr>
          <w:rFonts w:ascii="Verdana" w:eastAsia="Century Gothic" w:hAnsi="Verdana" w:cs="Century Gothic"/>
        </w:rPr>
        <w:t>i</w:t>
      </w:r>
      <w:r w:rsidR="00A7157F">
        <w:rPr>
          <w:rFonts w:ascii="Verdana" w:eastAsia="Century Gothic" w:hAnsi="Verdana" w:cs="Century Gothic"/>
        </w:rPr>
        <w:t>nte (20) SMLMV con el objetivo de flexibilizar el régimen contractual aplicable. Pese a lo anterior, la prohibición de contratación directa de la Ley de Garantía</w:t>
      </w:r>
      <w:r w:rsidR="003B1440">
        <w:rPr>
          <w:rFonts w:ascii="Verdana" w:eastAsia="Century Gothic" w:hAnsi="Verdana" w:cs="Century Gothic"/>
        </w:rPr>
        <w:t xml:space="preserve">s </w:t>
      </w:r>
      <w:r w:rsidR="00310A8B">
        <w:rPr>
          <w:rFonts w:ascii="Verdana" w:eastAsia="Century Gothic" w:hAnsi="Verdana" w:cs="Century Gothic"/>
        </w:rPr>
        <w:t xml:space="preserve">es independiente del régimen contractual, por lo que se extiende a los contratos celebrados con cargo a los fondos de servicios educativos. </w:t>
      </w:r>
    </w:p>
    <w:p w14:paraId="7638C3F0" w14:textId="495801F2" w:rsidR="00310A8B" w:rsidRDefault="00310A8B" w:rsidP="000451C1">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En conclusión, la prohibición del artículo 33 de la Ley 996 de 2005</w:t>
      </w:r>
      <w:r w:rsidR="00A1784F">
        <w:rPr>
          <w:rFonts w:ascii="Verdana" w:eastAsia="Century Gothic" w:hAnsi="Verdana" w:cs="Century Gothic"/>
        </w:rPr>
        <w:t xml:space="preserve"> </w:t>
      </w:r>
      <w:r w:rsidR="00D52F46">
        <w:rPr>
          <w:rFonts w:ascii="Verdana" w:eastAsia="Century Gothic" w:hAnsi="Verdana" w:cs="Century Gothic"/>
        </w:rPr>
        <w:t xml:space="preserve">extiende a cualquier </w:t>
      </w:r>
      <w:r w:rsidR="007B1EFC">
        <w:rPr>
          <w:rFonts w:ascii="Verdana" w:eastAsia="Century Gothic" w:hAnsi="Verdana" w:cs="Century Gothic"/>
        </w:rPr>
        <w:t xml:space="preserve">contrato realizado con recursos de fondo de servicios educativos, sean inferiores </w:t>
      </w:r>
      <w:r w:rsidR="001C2E37">
        <w:rPr>
          <w:rFonts w:ascii="Verdana" w:eastAsia="Century Gothic" w:hAnsi="Verdana" w:cs="Century Gothic"/>
        </w:rPr>
        <w:t xml:space="preserve">o superiores a 20 SMLMV siempre que el contrato se celebre sin que esté antecedido de un procedimiento que admita la posible participación de una pluralidad de oferentes, toda vez que la prohibición recae sobre la contratación directa. </w:t>
      </w:r>
    </w:p>
    <w:p w14:paraId="172D2CDF" w14:textId="20636976" w:rsidR="001C2E37" w:rsidRDefault="001C2E37" w:rsidP="000451C1">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Para las elecciones presidenciales, el Consejo Nacional Electoral mediante Resolución No, 2580 del 5 de marzo de 2025 fijó el calendario electoral para las elecciones de Presidente</w:t>
      </w:r>
      <w:r w:rsidR="009916E9">
        <w:rPr>
          <w:rFonts w:ascii="Verdana" w:eastAsia="Century Gothic" w:hAnsi="Verdana" w:cs="Century Gothic"/>
        </w:rPr>
        <w:t xml:space="preserve"> y Vicepresidente</w:t>
      </w:r>
      <w:r w:rsidR="00DD4D03">
        <w:rPr>
          <w:rFonts w:ascii="Verdana" w:eastAsia="Century Gothic" w:hAnsi="Verdana" w:cs="Century Gothic"/>
        </w:rPr>
        <w:t xml:space="preserve"> de la Republica en primera vuelta que se celebraran el </w:t>
      </w:r>
      <w:r w:rsidR="002543E7">
        <w:rPr>
          <w:rFonts w:ascii="Verdana" w:eastAsia="Century Gothic" w:hAnsi="Verdana" w:cs="Century Gothic"/>
        </w:rPr>
        <w:t xml:space="preserve">31 de mayo de </w:t>
      </w:r>
      <w:r w:rsidR="004D16C7">
        <w:rPr>
          <w:rFonts w:ascii="Verdana" w:eastAsia="Century Gothic" w:hAnsi="Verdana" w:cs="Century Gothic"/>
        </w:rPr>
        <w:t xml:space="preserve">2026, por lo que las restricciones a aplicar son las del articulo 33 de la </w:t>
      </w:r>
      <w:r w:rsidR="009A1D8B">
        <w:rPr>
          <w:rFonts w:ascii="Verdana" w:eastAsia="Century Gothic" w:hAnsi="Verdana" w:cs="Century Gothic"/>
        </w:rPr>
        <w:t xml:space="preserve">Ley 996 de 2005 que dispone que dentro de los 4 meses </w:t>
      </w:r>
      <w:r w:rsidR="000A097A">
        <w:rPr>
          <w:rFonts w:ascii="Verdana" w:eastAsia="Century Gothic" w:hAnsi="Verdana" w:cs="Century Gothic"/>
        </w:rPr>
        <w:t>anteriores</w:t>
      </w:r>
      <w:r w:rsidR="009A1D8B">
        <w:rPr>
          <w:rFonts w:ascii="Verdana" w:eastAsia="Century Gothic" w:hAnsi="Verdana" w:cs="Century Gothic"/>
        </w:rPr>
        <w:t xml:space="preserve"> a la elección presidencial, es decir, desde el 31 de enero de 2026 y hasta el momento</w:t>
      </w:r>
      <w:r w:rsidR="000A097A">
        <w:rPr>
          <w:rFonts w:ascii="Verdana" w:eastAsia="Century Gothic" w:hAnsi="Verdana" w:cs="Century Gothic"/>
        </w:rPr>
        <w:t xml:space="preserve"> </w:t>
      </w:r>
      <w:r w:rsidR="00753F97">
        <w:rPr>
          <w:rFonts w:ascii="Verdana" w:eastAsia="Century Gothic" w:hAnsi="Verdana" w:cs="Century Gothic"/>
        </w:rPr>
        <w:t xml:space="preserve">de la celebración de la </w:t>
      </w:r>
      <w:r w:rsidR="001775DB">
        <w:rPr>
          <w:rFonts w:ascii="Verdana" w:eastAsia="Century Gothic" w:hAnsi="Verdana" w:cs="Century Gothic"/>
        </w:rPr>
        <w:t>segunda vuelta</w:t>
      </w:r>
      <w:r w:rsidR="003024F4">
        <w:rPr>
          <w:rFonts w:ascii="Verdana" w:eastAsia="Century Gothic" w:hAnsi="Verdana" w:cs="Century Gothic"/>
        </w:rPr>
        <w:t xml:space="preserve">, si fuere el caso, queda prohibida la contratación directa por parte de todos los entes del Estado. </w:t>
      </w:r>
    </w:p>
    <w:p w14:paraId="2108A63B" w14:textId="7E4082B2" w:rsidR="003024F4" w:rsidRDefault="003024F4" w:rsidP="000451C1">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 xml:space="preserve">Finalmente, para las elecciones al Congreso de la República </w:t>
      </w:r>
      <w:r w:rsidR="00DF4BFF">
        <w:rPr>
          <w:rFonts w:ascii="Verdana" w:eastAsia="Century Gothic" w:hAnsi="Verdana" w:cs="Century Gothic"/>
        </w:rPr>
        <w:t>que serán el 8 de marzo de 2026</w:t>
      </w:r>
      <w:r w:rsidR="00560E99">
        <w:rPr>
          <w:rFonts w:ascii="Verdana" w:eastAsia="Century Gothic" w:hAnsi="Verdana" w:cs="Century Gothic"/>
        </w:rPr>
        <w:t xml:space="preserve">, según calendario electoral fijado por el Consejo Nacional Electoral mediante </w:t>
      </w:r>
      <w:r w:rsidR="00A65294">
        <w:rPr>
          <w:rFonts w:ascii="Verdana" w:eastAsia="Century Gothic" w:hAnsi="Verdana" w:cs="Century Gothic"/>
        </w:rPr>
        <w:t>Resolución</w:t>
      </w:r>
      <w:r w:rsidR="00560E99">
        <w:rPr>
          <w:rFonts w:ascii="Verdana" w:eastAsia="Century Gothic" w:hAnsi="Verdana" w:cs="Century Gothic"/>
        </w:rPr>
        <w:t xml:space="preserve"> </w:t>
      </w:r>
      <w:r w:rsidR="0063550D">
        <w:rPr>
          <w:rFonts w:ascii="Verdana" w:eastAsia="Century Gothic" w:hAnsi="Verdana" w:cs="Century Gothic"/>
        </w:rPr>
        <w:t>No. 2581 del 5 de marzo de 2025. De acuerdo con el artículo 38 de la Ley 996 de 2005</w:t>
      </w:r>
      <w:r w:rsidR="00A65294">
        <w:rPr>
          <w:rFonts w:ascii="Verdana" w:eastAsia="Century Gothic" w:hAnsi="Verdana" w:cs="Century Gothic"/>
        </w:rPr>
        <w:t xml:space="preserve">, </w:t>
      </w:r>
      <w:r w:rsidR="00C47E8A">
        <w:rPr>
          <w:rFonts w:ascii="Verdana" w:eastAsia="Century Gothic" w:hAnsi="Verdana" w:cs="Century Gothic"/>
        </w:rPr>
        <w:t>las restricciones que se aplican son que prohíbe a los gobernadores, alcaldes munic</w:t>
      </w:r>
      <w:r w:rsidR="00334BBF">
        <w:rPr>
          <w:rFonts w:ascii="Verdana" w:eastAsia="Century Gothic" w:hAnsi="Verdana" w:cs="Century Gothic"/>
        </w:rPr>
        <w:t>ipales o distritales, secretarios, gerentes y directores de entidades descentralizadas del orden municipal, departamental o distrital “[…] celebrar convenios interadministrativos para la ejecución</w:t>
      </w:r>
      <w:r w:rsidR="006102CB">
        <w:rPr>
          <w:rFonts w:ascii="Verdana" w:eastAsia="Century Gothic" w:hAnsi="Verdana" w:cs="Century Gothic"/>
        </w:rPr>
        <w:t xml:space="preserve"> de </w:t>
      </w:r>
      <w:r w:rsidR="008B4703">
        <w:rPr>
          <w:rFonts w:ascii="Verdana" w:eastAsia="Century Gothic" w:hAnsi="Verdana" w:cs="Century Gothic"/>
        </w:rPr>
        <w:t>recursos, ni participar, promover y destinar recursos públicos de las entidades a su cargo, como tampoco de las que participen como miembros de sus juntas directivas, en o para reuniones de carácter proselitista”</w:t>
      </w:r>
      <w:r w:rsidR="004C66B8">
        <w:rPr>
          <w:rFonts w:ascii="Verdana" w:eastAsia="Century Gothic" w:hAnsi="Verdana" w:cs="Century Gothic"/>
        </w:rPr>
        <w:t xml:space="preserve">. Dichas restricciones </w:t>
      </w:r>
      <w:r w:rsidR="009D73FE">
        <w:rPr>
          <w:rFonts w:ascii="Verdana" w:eastAsia="Century Gothic" w:hAnsi="Verdana" w:cs="Century Gothic"/>
        </w:rPr>
        <w:t>iniciarían</w:t>
      </w:r>
      <w:r w:rsidR="004C66B8">
        <w:rPr>
          <w:rFonts w:ascii="Verdana" w:eastAsia="Century Gothic" w:hAnsi="Verdana" w:cs="Century Gothic"/>
        </w:rPr>
        <w:t xml:space="preserve"> el 8 de</w:t>
      </w:r>
      <w:r w:rsidR="009D73FE">
        <w:rPr>
          <w:rFonts w:ascii="Verdana" w:eastAsia="Century Gothic" w:hAnsi="Verdana" w:cs="Century Gothic"/>
        </w:rPr>
        <w:t xml:space="preserve"> noviembre de 2025, es decir, 4 meses antes de la fecha de las elecciones. </w:t>
      </w:r>
    </w:p>
    <w:p w14:paraId="038E4A66" w14:textId="1BED9A1D" w:rsidR="004977C4" w:rsidRDefault="004977C4" w:rsidP="000451C1">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 xml:space="preserve">Por lo que, las instituciones educativas en virtud del artículo 38 de la Ley 38 no </w:t>
      </w:r>
      <w:r w:rsidR="001B6032">
        <w:rPr>
          <w:rFonts w:ascii="Verdana" w:eastAsia="Century Gothic" w:hAnsi="Verdana" w:cs="Century Gothic"/>
        </w:rPr>
        <w:t>podrán celebrar convenios interadministrativos para la ejecución de</w:t>
      </w:r>
      <w:r w:rsidR="000451C1">
        <w:rPr>
          <w:rFonts w:ascii="Verdana" w:eastAsia="Century Gothic" w:hAnsi="Verdana" w:cs="Century Gothic"/>
        </w:rPr>
        <w:t xml:space="preserve"> recursos públicos si la otra parte de la relación contractual es una entidad de aquellas descritas en el parágrafo ibidem.</w:t>
      </w:r>
    </w:p>
    <w:p w14:paraId="374EFEDD" w14:textId="2051D513" w:rsidR="000451C1" w:rsidRDefault="000451C1" w:rsidP="000451C1">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 xml:space="preserve">Dentro de ese marco, corresponde a cada entidad pública, en ejercicio de su competencia y previa valoración de los elementos facticos y jurídicos, así como de las disposiciones legales mencionadas, determinar su gestión contractual especifico,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390D638" w14:textId="77777777" w:rsidR="004537D1" w:rsidRDefault="004537D1" w:rsidP="0088150B">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p>
    <w:p w14:paraId="3634CED6" w14:textId="77777777" w:rsidR="008C0A9B" w:rsidRPr="009955E3" w:rsidRDefault="008C0A9B" w:rsidP="003203AC">
      <w:pPr>
        <w:spacing w:after="0"/>
        <w:jc w:val="both"/>
        <w:rPr>
          <w:rFonts w:ascii="Verdana" w:eastAsia="Verdana" w:hAnsi="Verdana" w:cs="Verdana"/>
        </w:rPr>
      </w:pPr>
    </w:p>
    <w:p w14:paraId="61EB0DEC" w14:textId="77777777" w:rsidR="008C0A9B" w:rsidRDefault="008C0A9B" w:rsidP="003203AC">
      <w:pPr>
        <w:spacing w:after="0"/>
        <w:jc w:val="both"/>
        <w:rPr>
          <w:rFonts w:ascii="Verdana" w:eastAsia="Verdana" w:hAnsi="Verdana" w:cs="Verdana"/>
          <w:lang w:val="es-MX"/>
        </w:rPr>
      </w:pPr>
    </w:p>
    <w:p w14:paraId="42447A13" w14:textId="0C4C8ACF" w:rsidR="008C0A9B" w:rsidRPr="00AB55A3" w:rsidRDefault="00654AB8" w:rsidP="003203AC">
      <w:pPr>
        <w:spacing w:after="0"/>
        <w:jc w:val="both"/>
        <w:rPr>
          <w:rFonts w:ascii="Verdana" w:eastAsia="Verdana" w:hAnsi="Verdana" w:cs="Verdana"/>
          <w:b/>
          <w:bCs/>
          <w:lang w:val="es-MX"/>
        </w:rPr>
      </w:pPr>
      <w:r w:rsidRPr="00AB55A3">
        <w:rPr>
          <w:rFonts w:ascii="Verdana" w:eastAsia="Verdana" w:hAnsi="Verdana" w:cs="Verdana"/>
          <w:b/>
          <w:bCs/>
          <w:lang w:val="es-MX"/>
        </w:rPr>
        <w:t xml:space="preserve">3. Razones de la respuesta: </w:t>
      </w:r>
    </w:p>
    <w:p w14:paraId="1A07B15B" w14:textId="77777777" w:rsidR="00654AB8" w:rsidRDefault="00654AB8" w:rsidP="003203AC">
      <w:pPr>
        <w:spacing w:after="0"/>
        <w:jc w:val="both"/>
        <w:rPr>
          <w:rFonts w:ascii="Verdana" w:eastAsia="Verdana" w:hAnsi="Verdana" w:cs="Verdana"/>
          <w:lang w:val="es-MX"/>
        </w:rPr>
      </w:pPr>
    </w:p>
    <w:p w14:paraId="09C309B8" w14:textId="517CD67B" w:rsidR="00654AB8" w:rsidRDefault="00AB55A3" w:rsidP="003203AC">
      <w:pPr>
        <w:spacing w:after="0"/>
        <w:jc w:val="both"/>
        <w:rPr>
          <w:rFonts w:ascii="Verdana" w:eastAsia="Verdana" w:hAnsi="Verdana" w:cs="Verdana"/>
          <w:lang w:val="es-MX"/>
        </w:rPr>
      </w:pPr>
      <w:r>
        <w:rPr>
          <w:rFonts w:ascii="Verdana" w:eastAsia="Verdana" w:hAnsi="Verdana" w:cs="Verdana"/>
          <w:lang w:val="es-MX"/>
        </w:rPr>
        <w:t xml:space="preserve">Lo anterior se sustenta en las siguientes consideraciones: </w:t>
      </w:r>
    </w:p>
    <w:p w14:paraId="6CFE8882" w14:textId="77777777" w:rsidR="00AB55A3" w:rsidRDefault="00AB55A3" w:rsidP="003203AC">
      <w:pPr>
        <w:spacing w:after="0"/>
        <w:jc w:val="both"/>
        <w:rPr>
          <w:rFonts w:ascii="Verdana" w:eastAsia="Verdana" w:hAnsi="Verdana" w:cs="Verdana"/>
          <w:lang w:val="es-MX"/>
        </w:rPr>
      </w:pPr>
    </w:p>
    <w:p w14:paraId="3426E037" w14:textId="77777777" w:rsidR="00AB55A3" w:rsidRDefault="00AB55A3" w:rsidP="003203AC">
      <w:pPr>
        <w:spacing w:after="0"/>
        <w:jc w:val="both"/>
        <w:rPr>
          <w:rFonts w:ascii="Verdana" w:eastAsia="Verdana" w:hAnsi="Verdana" w:cs="Verdana"/>
          <w:lang w:val="es-MX"/>
        </w:rPr>
      </w:pPr>
    </w:p>
    <w:p w14:paraId="1F174B13" w14:textId="77777777" w:rsidR="00B94871" w:rsidRDefault="00B94871" w:rsidP="00164B8F">
      <w:pPr>
        <w:tabs>
          <w:tab w:val="left" w:pos="426"/>
        </w:tabs>
        <w:spacing w:after="120" w:line="276" w:lineRule="auto"/>
        <w:ind w:firstLine="709"/>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1"/>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5BA7D57E" w14:textId="77777777" w:rsidR="00B94871" w:rsidRPr="006B14B5" w:rsidRDefault="00B94871" w:rsidP="00164B8F">
      <w:pPr>
        <w:tabs>
          <w:tab w:val="left" w:pos="426"/>
        </w:tabs>
        <w:spacing w:after="12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50B62873" w14:textId="77777777" w:rsidR="00B94871" w:rsidRPr="00E2397D" w:rsidRDefault="00B94871" w:rsidP="00B94871">
      <w:pPr>
        <w:spacing w:after="0" w:line="276" w:lineRule="auto"/>
        <w:ind w:right="709"/>
        <w:contextualSpacing/>
        <w:jc w:val="both"/>
        <w:rPr>
          <w:rFonts w:ascii="Verdana" w:eastAsia="Times New Roman" w:hAnsi="Verdana" w:cs="Arial"/>
          <w:lang w:val="es-ES" w:eastAsia="es-CO"/>
        </w:rPr>
      </w:pPr>
    </w:p>
    <w:p w14:paraId="773AB045" w14:textId="77777777" w:rsidR="00B94871" w:rsidRPr="00164B8F" w:rsidRDefault="00B94871" w:rsidP="006F068C">
      <w:pPr>
        <w:spacing w:after="0" w:line="240" w:lineRule="auto"/>
        <w:ind w:left="709" w:right="709"/>
        <w:contextualSpacing/>
        <w:jc w:val="both"/>
        <w:rPr>
          <w:rFonts w:ascii="Verdana" w:eastAsia="Times New Roman" w:hAnsi="Verdana" w:cs="Arial"/>
          <w:sz w:val="21"/>
          <w:szCs w:val="21"/>
          <w:lang w:val="es-MX" w:eastAsia="es-CO"/>
        </w:rPr>
      </w:pPr>
      <w:r w:rsidRPr="00164B8F">
        <w:rPr>
          <w:rFonts w:ascii="Verdana" w:eastAsia="Times New Roman" w:hAnsi="Verdana" w:cs="Arial"/>
          <w:sz w:val="21"/>
          <w:szCs w:val="21"/>
          <w:lang w:val="es-ES" w:eastAsia="es-CO"/>
        </w:rPr>
        <w:t xml:space="preserve">“[…] </w:t>
      </w:r>
      <w:r w:rsidRPr="00164B8F">
        <w:rPr>
          <w:rFonts w:ascii="Verdana" w:eastAsia="Times New Roman" w:hAnsi="Verdana" w:cs="Arial"/>
          <w:sz w:val="21"/>
          <w:szCs w:val="21"/>
          <w:lang w:val="es-MX" w:eastAsia="es-CO"/>
        </w:rPr>
        <w:t>la definición de reglas claras que permitan acceder a los canales de expresión democrática de manera efectiva e igualitaria. El objetivo de una ley de garantías es definir esas reglas.</w:t>
      </w:r>
    </w:p>
    <w:p w14:paraId="218947DF" w14:textId="77777777" w:rsidR="00B94871" w:rsidRPr="00164B8F" w:rsidRDefault="00B94871" w:rsidP="006F068C">
      <w:pPr>
        <w:spacing w:after="0" w:line="240" w:lineRule="auto"/>
        <w:ind w:left="709" w:right="709"/>
        <w:contextualSpacing/>
        <w:jc w:val="both"/>
        <w:rPr>
          <w:rFonts w:ascii="Verdana" w:eastAsia="Times New Roman" w:hAnsi="Verdana" w:cs="Arial"/>
          <w:sz w:val="21"/>
          <w:szCs w:val="21"/>
          <w:lang w:val="es-MX" w:eastAsia="es-CO"/>
        </w:rPr>
      </w:pPr>
      <w:r w:rsidRPr="00164B8F">
        <w:rPr>
          <w:rFonts w:ascii="Verdana" w:eastAsia="Times New Roman" w:hAnsi="Verdana" w:cs="Arial"/>
          <w:sz w:val="21"/>
          <w:szCs w:val="21"/>
          <w:lang w:val="es-MX" w:eastAsia="es-CO"/>
        </w:rPr>
        <w:t xml:space="preserve">[…] </w:t>
      </w:r>
    </w:p>
    <w:p w14:paraId="2A96F2C8" w14:textId="77777777" w:rsidR="00B94871" w:rsidRPr="00164B8F" w:rsidRDefault="00B94871" w:rsidP="006F068C">
      <w:pPr>
        <w:spacing w:after="0" w:line="240" w:lineRule="auto"/>
        <w:ind w:left="709" w:right="709"/>
        <w:contextualSpacing/>
        <w:jc w:val="both"/>
        <w:rPr>
          <w:rFonts w:ascii="Verdana" w:eastAsia="Times New Roman" w:hAnsi="Verdana" w:cs="Arial"/>
          <w:sz w:val="21"/>
          <w:szCs w:val="21"/>
          <w:lang w:val="es-MX" w:eastAsia="es-CO"/>
        </w:rPr>
      </w:pPr>
      <w:r w:rsidRPr="00164B8F">
        <w:rPr>
          <w:rFonts w:ascii="Verdana" w:eastAsia="Times New Roman" w:hAnsi="Verdana" w:cs="Arial"/>
          <w:sz w:val="21"/>
          <w:szCs w:val="21"/>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164B8F">
        <w:rPr>
          <w:rFonts w:ascii="Verdana" w:eastAsia="Calibri" w:hAnsi="Verdana" w:cs="Arial"/>
          <w:sz w:val="21"/>
          <w:szCs w:val="21"/>
          <w:vertAlign w:val="superscript"/>
          <w:lang w:val="es-MX"/>
        </w:rPr>
        <w:footnoteReference w:id="2"/>
      </w:r>
    </w:p>
    <w:p w14:paraId="7BECA20B" w14:textId="77777777" w:rsidR="00B94871" w:rsidRPr="00E2397D" w:rsidRDefault="00B94871" w:rsidP="006F068C">
      <w:pPr>
        <w:spacing w:after="0" w:line="240" w:lineRule="auto"/>
        <w:ind w:left="709" w:right="709"/>
        <w:jc w:val="both"/>
        <w:rPr>
          <w:rFonts w:ascii="Verdana" w:eastAsia="Times New Roman" w:hAnsi="Verdana" w:cs="Arial"/>
          <w:lang w:val="es-MX" w:eastAsia="es-CO"/>
        </w:rPr>
      </w:pPr>
    </w:p>
    <w:p w14:paraId="40117376" w14:textId="77777777" w:rsidR="00B94871" w:rsidRPr="00E2397D" w:rsidRDefault="00B94871" w:rsidP="000E6F89">
      <w:pPr>
        <w:spacing w:after="12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78874C42" w14:textId="77777777" w:rsidR="00B94871" w:rsidRPr="00886C02" w:rsidRDefault="00B94871" w:rsidP="000E6F89">
      <w:pPr>
        <w:spacing w:after="0" w:line="240" w:lineRule="auto"/>
        <w:ind w:left="709" w:right="709"/>
        <w:jc w:val="both"/>
        <w:rPr>
          <w:rFonts w:ascii="Verdana" w:eastAsia="Times New Roman" w:hAnsi="Verdana" w:cs="Arial"/>
          <w:lang w:val="es-MX" w:eastAsia="es-CO"/>
        </w:rPr>
      </w:pPr>
    </w:p>
    <w:p w14:paraId="79856A5F" w14:textId="77777777" w:rsidR="00B94871" w:rsidRPr="00B94871" w:rsidRDefault="00B94871" w:rsidP="000E6F89">
      <w:pPr>
        <w:spacing w:after="0" w:line="240" w:lineRule="auto"/>
        <w:ind w:left="709" w:right="709"/>
        <w:contextualSpacing/>
        <w:jc w:val="both"/>
        <w:rPr>
          <w:rFonts w:ascii="Verdana" w:eastAsia="Times New Roman" w:hAnsi="Verdana" w:cs="Arial"/>
          <w:sz w:val="21"/>
          <w:szCs w:val="21"/>
          <w:lang w:val="es-MX" w:eastAsia="es-CO"/>
        </w:rPr>
      </w:pPr>
      <w:r w:rsidRPr="00B94871">
        <w:rPr>
          <w:rFonts w:ascii="Verdana" w:eastAsia="Times New Roman" w:hAnsi="Verdana" w:cs="Arial"/>
          <w:sz w:val="21"/>
          <w:szCs w:val="21"/>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E4EBC05" w14:textId="77777777" w:rsidR="00B94871" w:rsidRPr="00B94871" w:rsidRDefault="00B94871" w:rsidP="000E6F89">
      <w:pPr>
        <w:spacing w:after="0" w:line="240" w:lineRule="auto"/>
        <w:ind w:left="709" w:right="709"/>
        <w:contextualSpacing/>
        <w:jc w:val="both"/>
        <w:rPr>
          <w:rFonts w:ascii="Verdana" w:eastAsia="Times New Roman" w:hAnsi="Verdana" w:cs="Arial"/>
          <w:sz w:val="21"/>
          <w:szCs w:val="21"/>
          <w:lang w:val="es-MX" w:eastAsia="es-CO"/>
        </w:rPr>
      </w:pPr>
    </w:p>
    <w:p w14:paraId="7D8FC8E1" w14:textId="77777777" w:rsidR="00B94871" w:rsidRPr="00B94871" w:rsidRDefault="00B94871" w:rsidP="000E6F89">
      <w:pPr>
        <w:spacing w:after="0" w:line="240" w:lineRule="auto"/>
        <w:ind w:left="709" w:right="709"/>
        <w:contextualSpacing/>
        <w:jc w:val="both"/>
        <w:rPr>
          <w:rFonts w:ascii="Verdana" w:eastAsia="Times New Roman" w:hAnsi="Verdana" w:cs="Arial"/>
          <w:sz w:val="21"/>
          <w:szCs w:val="21"/>
          <w:lang w:val="es-MX" w:eastAsia="es-CO"/>
        </w:rPr>
      </w:pPr>
      <w:r w:rsidRPr="00B94871">
        <w:rPr>
          <w:rFonts w:ascii="Verdana" w:eastAsia="Times New Roman" w:hAnsi="Verdana" w:cs="Arial"/>
          <w:sz w:val="21"/>
          <w:szCs w:val="21"/>
          <w:lang w:val="es-MX" w:eastAsia="es-CO"/>
        </w:rPr>
        <w:t>La jurisprudencia de la Corte Constitucional</w:t>
      </w:r>
      <w:r w:rsidRPr="00B94871">
        <w:rPr>
          <w:rFonts w:ascii="Verdana" w:eastAsia="Times New Roman" w:hAnsi="Verdana" w:cs="Arial"/>
          <w:sz w:val="21"/>
          <w:szCs w:val="21"/>
          <w:vertAlign w:val="superscript"/>
          <w:lang w:val="es-MX" w:eastAsia="es-CO"/>
        </w:rPr>
        <w:footnoteReference w:id="3"/>
      </w:r>
      <w:r w:rsidRPr="00B94871">
        <w:rPr>
          <w:rFonts w:ascii="Verdana" w:eastAsia="Times New Roman" w:hAnsi="Verdana" w:cs="Arial"/>
          <w:sz w:val="21"/>
          <w:szCs w:val="21"/>
          <w:lang w:val="es-MX" w:eastAsia="es-CO"/>
        </w:rPr>
        <w:t> y del Consejo de Estado</w:t>
      </w:r>
      <w:r w:rsidRPr="00B94871">
        <w:rPr>
          <w:rFonts w:ascii="Verdana" w:eastAsia="Times New Roman" w:hAnsi="Verdana" w:cs="Arial"/>
          <w:sz w:val="21"/>
          <w:szCs w:val="21"/>
          <w:vertAlign w:val="superscript"/>
          <w:lang w:val="es-MX" w:eastAsia="es-CO"/>
        </w:rPr>
        <w:footnoteReference w:id="4"/>
      </w:r>
      <w:r w:rsidRPr="00B94871">
        <w:rPr>
          <w:rFonts w:ascii="Verdana" w:eastAsia="Times New Roman" w:hAnsi="Verdana" w:cs="Arial"/>
          <w:sz w:val="21"/>
          <w:szCs w:val="21"/>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B94871">
        <w:rPr>
          <w:rFonts w:ascii="Verdana" w:eastAsia="Times New Roman" w:hAnsi="Verdana" w:cs="Arial"/>
          <w:sz w:val="21"/>
          <w:szCs w:val="21"/>
          <w:vertAlign w:val="superscript"/>
          <w:lang w:val="es-MX" w:eastAsia="es-CO"/>
        </w:rPr>
        <w:footnoteReference w:id="5"/>
      </w:r>
      <w:r w:rsidRPr="00B94871">
        <w:rPr>
          <w:rFonts w:ascii="Verdana" w:eastAsia="Times New Roman" w:hAnsi="Verdana" w:cs="Arial"/>
          <w:sz w:val="21"/>
          <w:szCs w:val="21"/>
          <w:lang w:val="es-MX" w:eastAsia="es-CO"/>
        </w:rPr>
        <w:t>.</w:t>
      </w:r>
    </w:p>
    <w:p w14:paraId="101A615E" w14:textId="77777777" w:rsidR="00B94871" w:rsidRPr="00E2397D" w:rsidRDefault="00B94871" w:rsidP="00B94871">
      <w:pPr>
        <w:spacing w:after="0" w:line="276" w:lineRule="auto"/>
        <w:jc w:val="both"/>
        <w:rPr>
          <w:rFonts w:ascii="Verdana" w:eastAsia="Calibri" w:hAnsi="Verdana" w:cs="Arial"/>
          <w:bCs/>
          <w:lang w:val="es-ES_tradnl"/>
        </w:rPr>
      </w:pPr>
    </w:p>
    <w:p w14:paraId="5F160FEA" w14:textId="77777777" w:rsidR="00B94871" w:rsidRPr="00B3605D" w:rsidRDefault="00B94871" w:rsidP="000E6F89">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6C6D69C2" w14:textId="77777777" w:rsidR="00B94871" w:rsidRDefault="00B94871" w:rsidP="000E6F89">
      <w:pPr>
        <w:spacing w:after="12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346AC929" w14:textId="77777777" w:rsidR="00A44612" w:rsidRDefault="00A44612" w:rsidP="00A44612">
      <w:pPr>
        <w:spacing w:after="0" w:line="276" w:lineRule="auto"/>
        <w:ind w:firstLine="709"/>
        <w:jc w:val="both"/>
        <w:rPr>
          <w:rFonts w:ascii="Verdana" w:eastAsia="Arial" w:hAnsi="Verdana" w:cs="Arial"/>
          <w:lang w:val="es-ES" w:eastAsia="es-ES" w:bidi="es-ES"/>
        </w:rPr>
      </w:pPr>
    </w:p>
    <w:p w14:paraId="7FB3EE27" w14:textId="77777777" w:rsidR="00A44612" w:rsidRPr="00A44612" w:rsidRDefault="00A44612" w:rsidP="000E6F89">
      <w:pPr>
        <w:pStyle w:val="ListParagraph"/>
        <w:numPr>
          <w:ilvl w:val="0"/>
          <w:numId w:val="17"/>
        </w:numPr>
        <w:spacing w:after="0" w:line="240" w:lineRule="auto"/>
        <w:ind w:left="709" w:right="709" w:firstLine="0"/>
        <w:jc w:val="both"/>
        <w:rPr>
          <w:rFonts w:ascii="Verdana" w:eastAsia="Arial" w:hAnsi="Verdana" w:cs="Arial"/>
          <w:sz w:val="21"/>
          <w:szCs w:val="21"/>
          <w:lang w:eastAsia="es-ES" w:bidi="es-ES"/>
        </w:rPr>
      </w:pPr>
      <w:r w:rsidRPr="00A44612">
        <w:rPr>
          <w:rFonts w:ascii="Verdana" w:eastAsia="Arial" w:hAnsi="Verdana" w:cs="Arial"/>
          <w:sz w:val="21"/>
          <w:szCs w:val="21"/>
          <w:lang w:eastAsia="es-ES" w:bidi="es-ES"/>
        </w:rPr>
        <w:t xml:space="preserve">Restricciones elecciones presidenciales </w:t>
      </w:r>
    </w:p>
    <w:p w14:paraId="34C43A37" w14:textId="77777777" w:rsidR="00A44612" w:rsidRPr="00A44612" w:rsidRDefault="00A44612" w:rsidP="000E6F89">
      <w:pPr>
        <w:pStyle w:val="ListParagraph"/>
        <w:spacing w:after="0" w:line="240" w:lineRule="auto"/>
        <w:ind w:left="709" w:right="709"/>
        <w:jc w:val="both"/>
        <w:rPr>
          <w:rFonts w:ascii="Verdana" w:eastAsia="Arial" w:hAnsi="Verdana" w:cs="Arial"/>
          <w:sz w:val="21"/>
          <w:szCs w:val="21"/>
          <w:lang w:eastAsia="es-ES" w:bidi="es-ES"/>
        </w:rPr>
      </w:pPr>
    </w:p>
    <w:p w14:paraId="66FA271F" w14:textId="77777777" w:rsidR="00A44612" w:rsidRPr="00A44612" w:rsidRDefault="00A44612" w:rsidP="000E6F89">
      <w:pPr>
        <w:spacing w:after="0" w:line="240" w:lineRule="auto"/>
        <w:ind w:left="709" w:right="709"/>
        <w:jc w:val="both"/>
        <w:rPr>
          <w:rFonts w:ascii="Verdana" w:eastAsia="Times New Roman" w:hAnsi="Verdana" w:cs="Open Sans"/>
          <w:sz w:val="21"/>
          <w:szCs w:val="21"/>
          <w:lang w:eastAsia="es-CO"/>
        </w:rPr>
      </w:pPr>
      <w:bookmarkStart w:id="1" w:name="33"/>
      <w:r w:rsidRPr="00A44612">
        <w:rPr>
          <w:rFonts w:ascii="Verdana" w:eastAsia="Times New Roman" w:hAnsi="Verdana" w:cs="Open Sans"/>
          <w:b/>
          <w:bCs/>
          <w:sz w:val="21"/>
          <w:szCs w:val="21"/>
          <w:lang w:eastAsia="es-CO"/>
        </w:rPr>
        <w:t>“ARTÍCULO 33. RESTRICCIONES A LA CONTRATACIÓN PÚBLICA.</w:t>
      </w:r>
      <w:bookmarkEnd w:id="1"/>
      <w:r w:rsidRPr="00A44612">
        <w:rPr>
          <w:rFonts w:ascii="Verdana" w:eastAsia="Times New Roman" w:hAnsi="Verdana" w:cs="Open Sans"/>
          <w:sz w:val="21"/>
          <w:szCs w:val="21"/>
          <w:lang w:eastAsia="es-CO"/>
        </w:rPr>
        <w:t>  Durante los cuatro (4) meses anteriores a la elección presidencial y hasta la realización de la elección en la segunda vuelta, si fuere el caso, queda prohibida la contratación directa por parte de todos los entes del Estado.</w:t>
      </w:r>
    </w:p>
    <w:p w14:paraId="25BBB39E" w14:textId="77777777" w:rsidR="00A44612" w:rsidRPr="00A44612" w:rsidRDefault="00A44612" w:rsidP="000E6F89">
      <w:pPr>
        <w:spacing w:after="0" w:line="240" w:lineRule="auto"/>
        <w:ind w:left="709" w:right="709"/>
        <w:jc w:val="both"/>
        <w:rPr>
          <w:rFonts w:ascii="Verdana" w:eastAsia="Times New Roman" w:hAnsi="Verdana" w:cs="Open Sans"/>
          <w:sz w:val="21"/>
          <w:szCs w:val="21"/>
          <w:lang w:eastAsia="es-CO"/>
        </w:rPr>
      </w:pPr>
    </w:p>
    <w:p w14:paraId="2CE688B2" w14:textId="77777777" w:rsidR="00A44612" w:rsidRPr="00A44612" w:rsidRDefault="00A44612" w:rsidP="000E6F89">
      <w:pPr>
        <w:spacing w:after="0" w:line="240" w:lineRule="auto"/>
        <w:ind w:left="709" w:right="709"/>
        <w:jc w:val="both"/>
        <w:rPr>
          <w:rFonts w:ascii="Verdana" w:eastAsia="Times New Roman" w:hAnsi="Verdana" w:cs="Open Sans"/>
          <w:sz w:val="21"/>
          <w:szCs w:val="21"/>
          <w:lang w:eastAsia="es-CO"/>
        </w:rPr>
      </w:pPr>
      <w:r w:rsidRPr="00A44612">
        <w:rPr>
          <w:rFonts w:ascii="Verdana" w:eastAsia="Times New Roman" w:hAnsi="Verdana" w:cs="Open Sans"/>
          <w:sz w:val="21"/>
          <w:szCs w:val="21"/>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316D567" w14:textId="77777777" w:rsidR="00A44612" w:rsidRDefault="00A44612" w:rsidP="00A44612">
      <w:pPr>
        <w:spacing w:after="0" w:line="276" w:lineRule="auto"/>
        <w:ind w:right="618" w:firstLine="708"/>
        <w:jc w:val="both"/>
        <w:rPr>
          <w:rFonts w:ascii="Verdana" w:eastAsia="Times New Roman" w:hAnsi="Verdana" w:cs="Open Sans"/>
          <w:lang w:eastAsia="es-CO"/>
        </w:rPr>
      </w:pPr>
    </w:p>
    <w:p w14:paraId="3E05A7DC" w14:textId="77777777" w:rsidR="00A44612" w:rsidRDefault="00A44612" w:rsidP="000E6F89">
      <w:pPr>
        <w:spacing w:after="120" w:line="276" w:lineRule="auto"/>
        <w:ind w:firstLine="709"/>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FootnoteReference"/>
          <w:rFonts w:ascii="Verdana" w:eastAsia="Times New Roman" w:hAnsi="Verdana" w:cs="Open Sans"/>
          <w:lang w:eastAsia="es-CO"/>
        </w:rPr>
        <w:footnoteReference w:id="6"/>
      </w:r>
      <w:r>
        <w:rPr>
          <w:rFonts w:ascii="Verdana" w:eastAsia="Times New Roman" w:hAnsi="Verdana" w:cs="Open Sans"/>
          <w:lang w:eastAsia="es-CO"/>
        </w:rPr>
        <w:t>.</w:t>
      </w:r>
    </w:p>
    <w:p w14:paraId="7A057BC9" w14:textId="77777777" w:rsidR="00A44612" w:rsidRDefault="00A44612" w:rsidP="000E6F89">
      <w:pPr>
        <w:spacing w:after="120" w:line="276" w:lineRule="auto"/>
        <w:ind w:firstLine="709"/>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3F6AB831" w14:textId="77777777" w:rsidR="00A44612" w:rsidRDefault="00A44612" w:rsidP="000E6F89">
      <w:pPr>
        <w:spacing w:after="120" w:line="276" w:lineRule="auto"/>
        <w:ind w:firstLine="709"/>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7C291879" w14:textId="77777777" w:rsidR="00A44612" w:rsidRDefault="00A44612" w:rsidP="000E6F89">
      <w:pPr>
        <w:spacing w:after="120" w:line="276" w:lineRule="auto"/>
        <w:ind w:firstLine="709"/>
        <w:jc w:val="both"/>
        <w:rPr>
          <w:rFonts w:ascii="Verdana" w:hAnsi="Verdana"/>
        </w:rPr>
      </w:pPr>
      <w:r w:rsidRPr="006A640E">
        <w:rPr>
          <w:rFonts w:ascii="Verdana" w:hAnsi="Verdana"/>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422EDFA" w14:textId="77777777" w:rsidR="00637B00" w:rsidRPr="00072C23" w:rsidRDefault="00637B00" w:rsidP="000E6F89">
      <w:pPr>
        <w:spacing w:after="120" w:line="276" w:lineRule="auto"/>
        <w:ind w:firstLine="709"/>
        <w:jc w:val="both"/>
        <w:rPr>
          <w:rFonts w:ascii="Verdana" w:eastAsia="Arial" w:hAnsi="Verdana" w:cs="Arial"/>
          <w:lang w:eastAsia="es-MX"/>
        </w:rPr>
      </w:pPr>
      <w:r w:rsidRPr="00072C23">
        <w:rPr>
          <w:rFonts w:ascii="Verdana" w:eastAsia="Calibri" w:hAnsi="Verdana" w:cs="Arial"/>
        </w:rPr>
        <w:t xml:space="preserve">Precisado lo anterior, en relación con el problema jurídico planteado, se resalta que </w:t>
      </w:r>
      <w:bookmarkStart w:id="2" w:name="_Hlk100224224"/>
      <w:r w:rsidRPr="00072C23">
        <w:rPr>
          <w:rFonts w:ascii="Verdana" w:eastAsia="Arial" w:hAnsi="Verdana" w:cs="Arial"/>
          <w:lang w:eastAsia="es-MX"/>
        </w:rPr>
        <w:t>las instituciones educativas pertenecen a la entidad territorial que haya efectuado su reconocimiento de carácter oficial. No obstante, carecen de personería jurídica, pero tienen capacidad para contratar y se concreta en la competencia que le otorgó el legislador en la Ley 715 de 2001 para administrar los fondos de servicios educativos. Estas son cuentas contables que le permiten a las instituciones realizar la gestión y ejecución presupuestal de los recursos que reciben los establecimientos educativos</w:t>
      </w:r>
      <w:bookmarkEnd w:id="2"/>
      <w:r w:rsidRPr="00072C23">
        <w:rPr>
          <w:rFonts w:ascii="Verdana" w:eastAsia="Arial" w:hAnsi="Verdana" w:cs="Arial"/>
          <w:vertAlign w:val="superscript"/>
          <w:lang w:eastAsia="es-MX"/>
        </w:rPr>
        <w:footnoteReference w:id="7"/>
      </w:r>
      <w:r w:rsidRPr="00072C23">
        <w:rPr>
          <w:rFonts w:ascii="Verdana" w:eastAsia="Arial" w:hAnsi="Verdana" w:cs="Arial"/>
          <w:lang w:eastAsia="es-MX"/>
        </w:rPr>
        <w:t xml:space="preserve"> </w:t>
      </w:r>
      <w:r w:rsidRPr="00072C23">
        <w:rPr>
          <w:rFonts w:ascii="Verdana" w:eastAsia="Arial" w:hAnsi="Verdana" w:cs="Arial"/>
          <w:vertAlign w:val="superscript"/>
          <w:lang w:eastAsia="es-MX"/>
        </w:rPr>
        <w:footnoteReference w:id="8"/>
      </w:r>
      <w:r w:rsidRPr="00072C23">
        <w:rPr>
          <w:rFonts w:ascii="Verdana" w:eastAsia="Arial" w:hAnsi="Verdana" w:cs="Arial"/>
          <w:lang w:eastAsia="es-MX"/>
        </w:rPr>
        <w:t>.</w:t>
      </w:r>
    </w:p>
    <w:p w14:paraId="5B1064CA" w14:textId="77777777" w:rsidR="00637B00" w:rsidRPr="00072C23" w:rsidRDefault="00637B00" w:rsidP="000E6F89">
      <w:pPr>
        <w:spacing w:after="120" w:line="276" w:lineRule="auto"/>
        <w:ind w:firstLine="709"/>
        <w:jc w:val="both"/>
        <w:rPr>
          <w:rFonts w:ascii="Verdana" w:eastAsia="Arial" w:hAnsi="Verdana" w:cs="Arial"/>
          <w:lang w:eastAsia="es-MX"/>
        </w:rPr>
      </w:pPr>
      <w:r w:rsidRPr="00072C23">
        <w:rPr>
          <w:rFonts w:ascii="Verdana" w:eastAsia="Arial" w:hAnsi="Verdana" w:cs="Arial"/>
          <w:lang w:eastAsia="es-MX"/>
        </w:rPr>
        <w:t>Los fondos de servicios educativos tampoco cuentan con personería jurídica según lo previsto en el artículo 2.3.1.6.3.4 del Decreto 1075 de 2015, Decreto Único Reglamentario del Sector Educación:</w:t>
      </w:r>
    </w:p>
    <w:p w14:paraId="1EF7727A" w14:textId="77777777" w:rsidR="00637B00" w:rsidRDefault="00637B00" w:rsidP="006F068C">
      <w:pPr>
        <w:spacing w:after="0" w:line="240" w:lineRule="auto"/>
        <w:ind w:left="709" w:right="709"/>
        <w:jc w:val="both"/>
        <w:rPr>
          <w:rFonts w:ascii="Verdana" w:eastAsia="Arial" w:hAnsi="Verdana" w:cs="Arial"/>
          <w:sz w:val="21"/>
          <w:szCs w:val="21"/>
          <w:lang w:eastAsia="es-MX"/>
        </w:rPr>
      </w:pPr>
      <w:r w:rsidRPr="000E6F89">
        <w:rPr>
          <w:rFonts w:ascii="Verdana" w:eastAsia="Arial" w:hAnsi="Verdana" w:cs="Arial"/>
          <w:sz w:val="21"/>
          <w:szCs w:val="21"/>
          <w:lang w:eastAsia="es-MX"/>
        </w:rPr>
        <w:t>Artículo 2.3.1.6.3.4. Ordenación del gasto. Los fondos de servicios educativos carecen de personería jurídica. El rector o director rural es el ordenador del gasto del Fondo de Servicios Educativos y su ejercicio no implica representación legal.</w:t>
      </w:r>
    </w:p>
    <w:p w14:paraId="69BAE384" w14:textId="77777777" w:rsidR="006F068C" w:rsidRPr="000E6F89" w:rsidRDefault="006F068C" w:rsidP="000E6F89">
      <w:pPr>
        <w:spacing w:after="0" w:line="240" w:lineRule="auto"/>
        <w:ind w:left="709" w:right="709"/>
        <w:jc w:val="both"/>
        <w:rPr>
          <w:rFonts w:ascii="Verdana" w:eastAsia="Arial" w:hAnsi="Verdana" w:cs="Arial"/>
          <w:sz w:val="21"/>
          <w:szCs w:val="21"/>
          <w:lang w:eastAsia="es-MX"/>
        </w:rPr>
      </w:pPr>
    </w:p>
    <w:p w14:paraId="15EF64AD" w14:textId="77777777" w:rsidR="00637B00" w:rsidRPr="00072C23" w:rsidRDefault="00637B00" w:rsidP="006F068C">
      <w:pPr>
        <w:spacing w:after="120" w:line="276" w:lineRule="auto"/>
        <w:ind w:firstLine="709"/>
        <w:jc w:val="both"/>
        <w:rPr>
          <w:rFonts w:ascii="Verdana" w:eastAsia="Arial" w:hAnsi="Verdana" w:cs="Arial"/>
          <w:lang w:eastAsia="es-MX"/>
        </w:rPr>
      </w:pPr>
      <w:r w:rsidRPr="00072C23">
        <w:rPr>
          <w:rFonts w:ascii="Verdana" w:eastAsia="Arial" w:hAnsi="Verdana" w:cs="Arial"/>
          <w:lang w:eastAsia="es-MX"/>
        </w:rPr>
        <w:t>En relación con la capacidad para contratar con la que cuentan las instituciones educativas por medio de los fondos de servicios educativos, es necesario precisar que cuando se trate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w:t>
      </w:r>
      <w:r w:rsidRPr="00072C23">
        <w:rPr>
          <w:rFonts w:ascii="Verdana" w:eastAsia="Arial" w:hAnsi="Verdana" w:cs="Arial"/>
          <w:vertAlign w:val="superscript"/>
          <w:lang w:eastAsia="es-MX"/>
        </w:rPr>
        <w:footnoteReference w:id="9"/>
      </w:r>
      <w:r w:rsidRPr="00072C23">
        <w:rPr>
          <w:rFonts w:ascii="Verdana" w:eastAsia="Arial" w:hAnsi="Verdana" w:cs="Arial"/>
          <w:lang w:eastAsia="es-MX"/>
        </w:rPr>
        <w:t>. Para estos efectos, el artículo 2.3.1.6.3.17. del Decreto 1075 de 2015 dispone lo siguiente:</w:t>
      </w:r>
    </w:p>
    <w:p w14:paraId="1BF5F6B9" w14:textId="4F5690E9" w:rsidR="00637B00" w:rsidRPr="000E6F89" w:rsidRDefault="00637B00" w:rsidP="006F068C">
      <w:pPr>
        <w:spacing w:after="120" w:line="240" w:lineRule="auto"/>
        <w:ind w:left="709" w:right="709"/>
        <w:jc w:val="both"/>
        <w:textAlignment w:val="baseline"/>
        <w:rPr>
          <w:rFonts w:ascii="Verdana" w:eastAsia="Arial" w:hAnsi="Verdana" w:cs="Arial"/>
          <w:sz w:val="21"/>
          <w:szCs w:val="21"/>
          <w:lang w:val="es-ES" w:eastAsia="es-ES"/>
        </w:rPr>
      </w:pPr>
      <w:r w:rsidRPr="000E6F89">
        <w:rPr>
          <w:rFonts w:ascii="Verdana" w:eastAsia="Arial" w:hAnsi="Verdana" w:cs="Arial"/>
          <w:color w:val="000000" w:themeColor="text1"/>
          <w:sz w:val="21"/>
          <w:szCs w:val="21"/>
          <w:lang w:val="es-ES" w:eastAsia="es-ES"/>
        </w:rPr>
        <w:t>La celebración de contratos a que haya lugar con recursos del Fondo de Servicios </w:t>
      </w:r>
      <w:r w:rsidR="000E6F89" w:rsidRPr="000E6F89">
        <w:rPr>
          <w:rFonts w:ascii="Verdana" w:eastAsia="Arial" w:hAnsi="Verdana" w:cs="Arial"/>
          <w:color w:val="000000" w:themeColor="text1"/>
          <w:sz w:val="21"/>
          <w:szCs w:val="21"/>
          <w:lang w:val="es-ES" w:eastAsia="es-ES"/>
        </w:rPr>
        <w:t>Educativos</w:t>
      </w:r>
      <w:r w:rsidRPr="000E6F89">
        <w:rPr>
          <w:rFonts w:ascii="Verdana" w:eastAsia="Arial" w:hAnsi="Verdana" w:cs="Arial"/>
          <w:color w:val="000000" w:themeColor="text1"/>
          <w:sz w:val="21"/>
          <w:szCs w:val="21"/>
          <w:lang w:val="es-ES" w:eastAsia="es-ES"/>
        </w:rPr>
        <w:t> debe realizarse con estricta sujeción a lo dispuesto en el estatuto contractual de la administración pública, cuando supere la cuantía de veinte (20) salarios mínimos legales mensuales vigentes.  </w:t>
      </w:r>
    </w:p>
    <w:p w14:paraId="4606E1B0" w14:textId="77777777" w:rsidR="00637B00" w:rsidRDefault="00637B00" w:rsidP="006F068C">
      <w:pPr>
        <w:spacing w:line="240" w:lineRule="auto"/>
        <w:ind w:left="705" w:right="705"/>
        <w:jc w:val="both"/>
        <w:textAlignment w:val="baseline"/>
        <w:rPr>
          <w:rFonts w:ascii="Verdana" w:eastAsia="Arial" w:hAnsi="Verdana" w:cs="Arial"/>
          <w:color w:val="000000" w:themeColor="text1"/>
          <w:sz w:val="21"/>
          <w:szCs w:val="21"/>
          <w:lang w:val="es-ES" w:eastAsia="es-ES"/>
        </w:rPr>
      </w:pPr>
      <w:r w:rsidRPr="000E6F89">
        <w:rPr>
          <w:rFonts w:ascii="Verdana" w:eastAsia="Arial" w:hAnsi="Verdana" w:cs="Arial"/>
          <w:color w:val="000000" w:themeColor="text1"/>
          <w:sz w:val="21"/>
          <w:szCs w:val="21"/>
          <w:lang w:val="es-ES" w:eastAsia="es-ES"/>
        </w:rPr>
        <w:t>Si la cuantía es inferior a los veinte (20) salarios mínimos legales mensuales vigentes se deben seguir los procedimientos establecidos en el reglamento expedido por el consejo directivo, de conformidad con lo dispuesto en el artículo 13 de la Ley 715 de 2001, y en todo caso siguiendo los principios de transparencia, economía, publicidad, y responsabilidad, de conformidad con los postulados de la función administrativa.  </w:t>
      </w:r>
    </w:p>
    <w:p w14:paraId="380582C1" w14:textId="77777777" w:rsidR="006F068C" w:rsidRPr="000E6F89" w:rsidRDefault="006F068C" w:rsidP="006F068C">
      <w:pPr>
        <w:spacing w:line="240" w:lineRule="auto"/>
        <w:ind w:left="705" w:right="705"/>
        <w:jc w:val="both"/>
        <w:textAlignment w:val="baseline"/>
        <w:rPr>
          <w:rFonts w:ascii="Verdana" w:eastAsia="Arial" w:hAnsi="Verdana" w:cs="Arial"/>
          <w:sz w:val="21"/>
          <w:szCs w:val="21"/>
          <w:lang w:val="es-ES" w:eastAsia="es-ES"/>
        </w:rPr>
      </w:pPr>
    </w:p>
    <w:p w14:paraId="110CE58C" w14:textId="77777777" w:rsidR="00637B00" w:rsidRPr="00072C23" w:rsidRDefault="00637B00" w:rsidP="000E6F89">
      <w:pPr>
        <w:spacing w:after="120" w:line="276" w:lineRule="auto"/>
        <w:ind w:firstLine="709"/>
        <w:jc w:val="both"/>
        <w:rPr>
          <w:rFonts w:ascii="Verdana" w:eastAsia="Arial" w:hAnsi="Verdana" w:cs="Arial"/>
          <w:lang w:eastAsia="es-MX"/>
        </w:rPr>
      </w:pPr>
      <w:r w:rsidRPr="00072C23">
        <w:rPr>
          <w:rFonts w:ascii="Verdana" w:eastAsia="Arial" w:hAnsi="Verdana" w:cs="Arial"/>
          <w:lang w:eastAsia="es-MX"/>
        </w:rPr>
        <w:t xml:space="preserve">Esto significa que la contratación que realicen las instituciones educativas, siempre que se ubique por debajo del referido umbral, no deberá ceñirse a las reglas del Estatuto General de Contratación de la Administración Pública, sino a las determinadas por el reglamento expedido por el consejo directivo de la institución educativa conforme al </w:t>
      </w:r>
      <w:bookmarkStart w:id="4" w:name="_Hlk61284209"/>
      <w:r w:rsidRPr="00072C23">
        <w:rPr>
          <w:rFonts w:ascii="Verdana" w:eastAsia="Arial" w:hAnsi="Verdana" w:cs="Arial"/>
          <w:lang w:eastAsia="es-MX"/>
        </w:rPr>
        <w:t>artículo 13 de la Ley 715 de 2001</w:t>
      </w:r>
      <w:bookmarkEnd w:id="4"/>
      <w:r w:rsidRPr="00072C23">
        <w:rPr>
          <w:rFonts w:ascii="Verdana" w:eastAsia="Arial" w:hAnsi="Verdana" w:cs="Arial"/>
          <w:lang w:eastAsia="es-MX"/>
        </w:rPr>
        <w:t xml:space="preserve">. Los reglamentos que se expidan de conformidad con los principios de igualdad, moralidad, imparcialidad y publicidad, así como de acuerdo con la experiencia y el análisis concreto de las necesidades del establecimiento, deben definir los trámites, garantías y constancias que deben cumplirse para que el rector o director celebre cualquier acto o contrato que cree, extinga o modifique obligaciones con cargo al respectivo fondo de servicios educativos. </w:t>
      </w:r>
    </w:p>
    <w:p w14:paraId="36CEDFB6" w14:textId="77777777" w:rsidR="00637B00" w:rsidRPr="00072C23" w:rsidRDefault="00637B00" w:rsidP="000E6F89">
      <w:pPr>
        <w:spacing w:after="120" w:line="276" w:lineRule="auto"/>
        <w:ind w:firstLine="709"/>
        <w:jc w:val="both"/>
        <w:rPr>
          <w:rFonts w:ascii="Verdana" w:eastAsia="Arial" w:hAnsi="Verdana" w:cs="Arial"/>
          <w:color w:val="000000"/>
          <w:lang w:eastAsia="es-CO"/>
        </w:rPr>
      </w:pPr>
      <w:r w:rsidRPr="00072C23">
        <w:rPr>
          <w:rFonts w:ascii="Verdana" w:eastAsia="Arial" w:hAnsi="Verdana" w:cs="Arial"/>
          <w:color w:val="000000" w:themeColor="text1"/>
          <w:lang w:eastAsia="es-MX"/>
        </w:rPr>
        <w:t xml:space="preserve">En este contexto, para la restricción del artículo 33 de la </w:t>
      </w:r>
      <w:r w:rsidRPr="00072C23">
        <w:rPr>
          <w:rFonts w:ascii="Verdana" w:eastAsia="Arial" w:hAnsi="Verdana" w:cs="Arial"/>
          <w:color w:val="000000" w:themeColor="text1"/>
          <w:lang w:eastAsia="es-CO"/>
        </w:rPr>
        <w:t xml:space="preserve">Ley 996 de 2005 es necesario considerar que </w:t>
      </w:r>
      <w:r w:rsidRPr="00072C23">
        <w:rPr>
          <w:rFonts w:ascii="Verdana" w:eastAsia="Arial" w:hAnsi="Verdana" w:cs="Arial"/>
          <w:lang w:val="es-ES" w:eastAsia="es-MX"/>
        </w:rPr>
        <w:t xml:space="preserve">el artículo </w:t>
      </w:r>
      <w:r w:rsidRPr="00072C23">
        <w:rPr>
          <w:rFonts w:ascii="Verdana" w:eastAsia="Arial" w:hAnsi="Verdana" w:cs="Arial"/>
          <w:lang w:eastAsia="es-MX"/>
        </w:rPr>
        <w:t>13 de la Ley 715 de 2001</w:t>
      </w:r>
      <w:r w:rsidRPr="00072C23">
        <w:rPr>
          <w:rFonts w:ascii="Verdana" w:eastAsia="Arial" w:hAnsi="Verdana" w:cs="Arial"/>
          <w:color w:val="000000" w:themeColor="text1"/>
          <w:lang w:eastAsia="es-CO"/>
        </w:rPr>
        <w:t xml:space="preserve"> consagra un régimen jurídico que exceptúa la aplicación del Estatuto General de Contratación de la Administración Pública en los contratos de los fondos de servicios educativos inferiores a veinte (20) SMLMV con el objetivo de flexibilizar el régimen contractual aplicable. Pese a lo anterior, la prohibición de contratación directa de la Ley de Garantías es independiente del régimen contractual, por lo que se extiende a los contratos celebrados con cargo a los fondos de servicios educativos.</w:t>
      </w:r>
    </w:p>
    <w:p w14:paraId="39691745" w14:textId="77777777" w:rsidR="00637B00" w:rsidRPr="00072C23" w:rsidRDefault="00637B00" w:rsidP="000E6F89">
      <w:pPr>
        <w:spacing w:after="120" w:line="276" w:lineRule="auto"/>
        <w:ind w:firstLine="709"/>
        <w:jc w:val="both"/>
        <w:rPr>
          <w:rFonts w:ascii="Verdana" w:eastAsia="Arial" w:hAnsi="Verdana" w:cs="Arial"/>
          <w:color w:val="000000"/>
          <w:lang w:eastAsia="es-CO"/>
        </w:rPr>
      </w:pPr>
      <w:r w:rsidRPr="00072C23">
        <w:rPr>
          <w:rFonts w:ascii="Verdana" w:eastAsia="Arial" w:hAnsi="Verdana" w:cs="Arial"/>
          <w:color w:val="000000"/>
          <w:lang w:eastAsia="es-CO"/>
        </w:rPr>
        <w:t xml:space="preserve">Así, la Sala de Consulta y Servicio Civil del Consejo de Estado explica que “La prohibición contenida en el artículo 33, desde el punto de vista objetivo o material, comprende la contratación directa, entendida como cualquier mecanismo de escogencia del contratista en el que se prescinde de la licitación o concurso, </w:t>
      </w:r>
      <w:r w:rsidRPr="00072C23">
        <w:rPr>
          <w:rFonts w:ascii="Verdana" w:eastAsia="Arial" w:hAnsi="Verdana" w:cs="Arial"/>
          <w:i/>
          <w:iCs/>
          <w:color w:val="000000"/>
          <w:lang w:eastAsia="es-CO"/>
        </w:rPr>
        <w:t>sin que se tenga en cuenta por el legislador estatutario el régimen de contratación aplicable, ya sea contenido en el Estatuto General de Contratación de la Administración Pública o uno especial en razón del objeto, del contrato o del órgano que contrata</w:t>
      </w:r>
      <w:r w:rsidRPr="00072C23">
        <w:rPr>
          <w:rFonts w:ascii="Verdana" w:eastAsia="Arial" w:hAnsi="Verdana" w:cs="Arial"/>
          <w:color w:val="000000"/>
          <w:lang w:eastAsia="es-CO"/>
        </w:rPr>
        <w:t>”</w:t>
      </w:r>
      <w:r w:rsidRPr="00072C23">
        <w:rPr>
          <w:rFonts w:ascii="Verdana" w:eastAsia="Arial" w:hAnsi="Verdana" w:cs="Arial"/>
          <w:color w:val="000000"/>
          <w:vertAlign w:val="superscript"/>
          <w:lang w:eastAsia="es-CO"/>
        </w:rPr>
        <w:footnoteReference w:id="10"/>
      </w:r>
      <w:r w:rsidRPr="00072C23">
        <w:rPr>
          <w:rFonts w:ascii="Verdana" w:eastAsia="Arial" w:hAnsi="Verdana" w:cs="Arial"/>
          <w:color w:val="000000"/>
          <w:lang w:eastAsia="es-CO"/>
        </w:rPr>
        <w:t xml:space="preserve"> (Énfasis fuera de texto). Por tanto, durante la vigencia de la prohibición del artículo 33 de la Ley 996 de 2005 está restringida </w:t>
      </w:r>
      <w:r w:rsidRPr="00072C23">
        <w:rPr>
          <w:rFonts w:ascii="Verdana" w:eastAsia="Arial" w:hAnsi="Verdana" w:cs="Arial"/>
          <w:i/>
          <w:iCs/>
          <w:color w:val="000000"/>
          <w:lang w:eastAsia="es-CO"/>
        </w:rPr>
        <w:t>cualquier modalidad de selección que excluya la pluralidad de oferentes</w:t>
      </w:r>
      <w:r w:rsidRPr="00072C23">
        <w:rPr>
          <w:rFonts w:ascii="Verdana" w:eastAsia="Arial" w:hAnsi="Verdana" w:cs="Arial"/>
          <w:color w:val="000000"/>
          <w:lang w:eastAsia="es-CO"/>
        </w:rPr>
        <w:t xml:space="preserve">, incluso aunque se realice con fundamento en el régimen especial de contratación realizado con recursos de los fondos de servicios educativos por valor inferior a veinte (20) SMLMV, por implicar una forma de contratación directa. En tal sentido, será posible realizar procesos contractuales, siempre que estos incluyan la posibilidad de participación de una pluralidad de oferentes, ya que estos no implicarían una contratación </w:t>
      </w:r>
      <w:r w:rsidRPr="00072C23">
        <w:rPr>
          <w:rFonts w:ascii="Verdana" w:eastAsia="Arial" w:hAnsi="Verdana" w:cs="Arial"/>
          <w:i/>
          <w:iCs/>
          <w:color w:val="000000"/>
          <w:lang w:eastAsia="es-CO"/>
        </w:rPr>
        <w:t>directa.</w:t>
      </w:r>
      <w:r w:rsidRPr="00072C23">
        <w:rPr>
          <w:rFonts w:ascii="Verdana" w:eastAsia="Arial" w:hAnsi="Verdana" w:cs="Arial"/>
          <w:color w:val="000000"/>
          <w:lang w:eastAsia="es-CO"/>
        </w:rPr>
        <w:t xml:space="preserve"> En conclusión, la prohibición del artículo 33 de la Ley 996 de 2005 se extiende a cualquier contrato realizado con recursos de fondos de servicios educativos, sean inferiores o superiores a 20 SMLMV siempre que el contrato se celebre sin que esté antecedido de un procedimiento que admita la posible participación de una pluralidad de oferentes, toda vez que la prohibición recae sobre la </w:t>
      </w:r>
      <w:r w:rsidRPr="00072C23">
        <w:rPr>
          <w:rFonts w:ascii="Verdana" w:eastAsia="Arial" w:hAnsi="Verdana" w:cs="Arial"/>
          <w:i/>
          <w:iCs/>
          <w:color w:val="000000"/>
          <w:lang w:eastAsia="es-CO"/>
        </w:rPr>
        <w:t>contratación directa</w:t>
      </w:r>
      <w:r w:rsidRPr="00072C23">
        <w:rPr>
          <w:rFonts w:ascii="Verdana" w:eastAsia="Arial" w:hAnsi="Verdana" w:cs="Arial"/>
          <w:color w:val="000000"/>
          <w:lang w:eastAsia="es-CO"/>
        </w:rPr>
        <w:t xml:space="preserve">.  </w:t>
      </w:r>
    </w:p>
    <w:p w14:paraId="0FAE76DB" w14:textId="77777777" w:rsidR="00637B00" w:rsidRPr="00A545DE" w:rsidRDefault="00637B00" w:rsidP="000E6F89">
      <w:pPr>
        <w:pStyle w:val="ListParagraph"/>
        <w:numPr>
          <w:ilvl w:val="0"/>
          <w:numId w:val="17"/>
        </w:numPr>
        <w:spacing w:after="120" w:line="276" w:lineRule="auto"/>
        <w:ind w:left="0" w:firstLine="709"/>
        <w:contextualSpacing w:val="0"/>
        <w:jc w:val="both"/>
        <w:rPr>
          <w:rFonts w:ascii="Verdana" w:eastAsia="Times New Roman" w:hAnsi="Verdana" w:cs="Open Sans"/>
          <w:lang w:eastAsia="es-CO"/>
        </w:rPr>
      </w:pPr>
      <w:r>
        <w:rPr>
          <w:rFonts w:ascii="Verdana" w:eastAsia="Times New Roman" w:hAnsi="Verdana" w:cs="Open Sans"/>
          <w:lang w:eastAsia="es-CO"/>
        </w:rPr>
        <w:t xml:space="preserve">Restricciones demás elecciones </w:t>
      </w:r>
    </w:p>
    <w:p w14:paraId="3312594B" w14:textId="77777777" w:rsidR="00637B00" w:rsidRDefault="00637B00" w:rsidP="000E6F89">
      <w:pPr>
        <w:spacing w:after="120" w:line="276" w:lineRule="auto"/>
        <w:ind w:firstLine="709"/>
        <w:jc w:val="both"/>
        <w:rPr>
          <w:rFonts w:ascii="Verdana" w:eastAsia="Times New Roman" w:hAnsi="Verdana" w:cs="Open Sans"/>
          <w:lang w:eastAsia="es-CO"/>
        </w:rPr>
      </w:pPr>
    </w:p>
    <w:p w14:paraId="61F872C1" w14:textId="77777777" w:rsidR="00637B00" w:rsidRPr="00D61E29" w:rsidRDefault="00637B00" w:rsidP="000E6F89">
      <w:pPr>
        <w:spacing w:after="120" w:line="276" w:lineRule="auto"/>
        <w:ind w:firstLine="709"/>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13572E28" w14:textId="77777777" w:rsidR="00637B00" w:rsidRDefault="00637B00" w:rsidP="00637B00">
      <w:pPr>
        <w:pStyle w:val="NormalWeb"/>
        <w:spacing w:before="0" w:beforeAutospacing="0" w:after="0" w:afterAutospacing="0" w:line="270" w:lineRule="atLeast"/>
        <w:ind w:left="709" w:right="616"/>
        <w:jc w:val="both"/>
        <w:rPr>
          <w:rStyle w:val="baj"/>
          <w:rFonts w:ascii="Verdana" w:hAnsi="Verdana" w:cs="Open Sans"/>
          <w:b/>
          <w:bCs/>
          <w:sz w:val="20"/>
          <w:szCs w:val="20"/>
        </w:rPr>
      </w:pPr>
    </w:p>
    <w:p w14:paraId="1292786B" w14:textId="77777777" w:rsidR="00637B00" w:rsidRPr="000E6F89" w:rsidRDefault="00637B00" w:rsidP="006F068C">
      <w:pPr>
        <w:pStyle w:val="NormalWeb"/>
        <w:spacing w:before="0" w:beforeAutospacing="0" w:after="0" w:afterAutospacing="0"/>
        <w:ind w:left="709" w:right="709"/>
        <w:jc w:val="both"/>
        <w:rPr>
          <w:rFonts w:ascii="Verdana" w:hAnsi="Verdana" w:cs="Open Sans"/>
          <w:sz w:val="21"/>
          <w:szCs w:val="21"/>
        </w:rPr>
      </w:pPr>
      <w:r w:rsidRPr="000E6F89">
        <w:rPr>
          <w:rStyle w:val="baj"/>
          <w:rFonts w:ascii="Verdana" w:hAnsi="Verdana" w:cs="Open Sans"/>
          <w:b/>
          <w:bCs/>
          <w:sz w:val="21"/>
          <w:szCs w:val="21"/>
        </w:rPr>
        <w:t>“PARÁGRAFO.</w:t>
      </w:r>
      <w:r w:rsidRPr="000E6F89">
        <w:rPr>
          <w:rFonts w:ascii="Verdana" w:hAnsi="Verdana" w:cs="Open Sans"/>
          <w:sz w:val="21"/>
          <w:szCs w:val="21"/>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18226A14" w14:textId="77777777" w:rsidR="00637B00" w:rsidRPr="000E6F89" w:rsidRDefault="00637B00" w:rsidP="006F068C">
      <w:pPr>
        <w:pStyle w:val="NormalWeb"/>
        <w:spacing w:before="0" w:beforeAutospacing="0" w:after="0" w:afterAutospacing="0"/>
        <w:ind w:left="709" w:right="709"/>
        <w:jc w:val="both"/>
        <w:rPr>
          <w:rFonts w:ascii="Verdana" w:hAnsi="Verdana" w:cs="Open Sans"/>
          <w:sz w:val="21"/>
          <w:szCs w:val="21"/>
        </w:rPr>
      </w:pPr>
      <w:r w:rsidRPr="000E6F89">
        <w:rPr>
          <w:rFonts w:ascii="Verdana" w:hAnsi="Verdana" w:cs="Open Sans"/>
          <w:sz w:val="21"/>
          <w:szCs w:val="21"/>
        </w:rPr>
        <w:t>Tampoco podrán inaugurar obras públicas o dar inicio a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7B4C467F" w14:textId="77777777" w:rsidR="00637B00" w:rsidRPr="000E6F89" w:rsidRDefault="00637B00" w:rsidP="006F068C">
      <w:pPr>
        <w:pStyle w:val="NormalWeb"/>
        <w:spacing w:before="0" w:beforeAutospacing="0" w:after="0" w:afterAutospacing="0"/>
        <w:ind w:left="709" w:right="709"/>
        <w:jc w:val="both"/>
        <w:rPr>
          <w:rFonts w:ascii="Verdana" w:hAnsi="Verdana" w:cs="Open Sans"/>
          <w:sz w:val="21"/>
          <w:szCs w:val="21"/>
        </w:rPr>
      </w:pPr>
      <w:r w:rsidRPr="000E6F89">
        <w:rPr>
          <w:rFonts w:ascii="Verdana" w:hAnsi="Verdana" w:cs="Open Sans"/>
          <w:sz w:val="21"/>
          <w:szCs w:val="21"/>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3839700C" w14:textId="77777777" w:rsidR="00637B00" w:rsidRPr="000E6F89" w:rsidRDefault="00637B00" w:rsidP="006F068C">
      <w:pPr>
        <w:pStyle w:val="NormalWeb"/>
        <w:spacing w:before="0" w:beforeAutospacing="0" w:after="0" w:afterAutospacing="0"/>
        <w:ind w:left="709" w:right="709"/>
        <w:jc w:val="both"/>
        <w:rPr>
          <w:rFonts w:ascii="Verdana" w:hAnsi="Verdana" w:cs="Open Sans"/>
          <w:sz w:val="21"/>
          <w:szCs w:val="21"/>
        </w:rPr>
      </w:pPr>
      <w:r w:rsidRPr="000E6F89">
        <w:rPr>
          <w:rFonts w:ascii="Verdana" w:hAnsi="Verdana" w:cs="Open Sans"/>
          <w:sz w:val="21"/>
          <w:szCs w:val="21"/>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p>
    <w:p w14:paraId="0E8C4438" w14:textId="77777777" w:rsidR="00637B00" w:rsidRDefault="00637B00" w:rsidP="00397205">
      <w:pPr>
        <w:widowControl w:val="0"/>
        <w:autoSpaceDE w:val="0"/>
        <w:autoSpaceDN w:val="0"/>
        <w:spacing w:after="120" w:line="276" w:lineRule="auto"/>
        <w:ind w:firstLine="709"/>
        <w:contextualSpacing/>
        <w:jc w:val="both"/>
      </w:pPr>
    </w:p>
    <w:p w14:paraId="3621D33D" w14:textId="77777777" w:rsidR="00637B00" w:rsidRDefault="00637B00" w:rsidP="00397205">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r w:rsidRPr="00E2397D">
        <w:rPr>
          <w:rFonts w:ascii="Verdana" w:eastAsia="Times New Roman" w:hAnsi="Verdana" w:cs="Arial"/>
          <w:lang w:eastAsia="es-CO"/>
        </w:rPr>
        <w:t xml:space="preserve">e observa entonces </w:t>
      </w:r>
      <w:bookmarkStart w:id="5"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5"/>
    </w:p>
    <w:p w14:paraId="4AB19C28" w14:textId="77777777" w:rsidR="00637B00" w:rsidRPr="00D61E29" w:rsidRDefault="00637B00" w:rsidP="00397205">
      <w:pPr>
        <w:widowControl w:val="0"/>
        <w:autoSpaceDE w:val="0"/>
        <w:autoSpaceDN w:val="0"/>
        <w:spacing w:after="120" w:line="276" w:lineRule="auto"/>
        <w:ind w:firstLine="709"/>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1AC091EF" w14:textId="77777777" w:rsidR="00637B00" w:rsidRPr="00397205" w:rsidRDefault="00637B00" w:rsidP="00397205">
      <w:pPr>
        <w:widowControl w:val="0"/>
        <w:autoSpaceDE w:val="0"/>
        <w:autoSpaceDN w:val="0"/>
        <w:spacing w:after="0" w:line="240" w:lineRule="auto"/>
        <w:ind w:left="709" w:right="709"/>
        <w:contextualSpacing/>
        <w:jc w:val="both"/>
        <w:rPr>
          <w:rFonts w:ascii="Verdana" w:eastAsia="Arial" w:hAnsi="Verdana" w:cs="Arial"/>
          <w:sz w:val="21"/>
          <w:szCs w:val="21"/>
          <w:lang w:val="es-ES" w:eastAsia="es-ES" w:bidi="es-ES"/>
        </w:rPr>
      </w:pPr>
    </w:p>
    <w:p w14:paraId="68AB4AC6" w14:textId="77777777" w:rsidR="00637B00" w:rsidRPr="00397205" w:rsidRDefault="00637B00" w:rsidP="006F068C">
      <w:pPr>
        <w:widowControl w:val="0"/>
        <w:autoSpaceDE w:val="0"/>
        <w:autoSpaceDN w:val="0"/>
        <w:spacing w:after="0" w:line="240" w:lineRule="auto"/>
        <w:ind w:left="709" w:right="709"/>
        <w:jc w:val="both"/>
        <w:rPr>
          <w:rFonts w:ascii="Verdana" w:eastAsia="Arial" w:hAnsi="Verdana" w:cs="Arial"/>
          <w:sz w:val="21"/>
          <w:szCs w:val="21"/>
          <w:lang w:eastAsia="es-ES" w:bidi="es-ES"/>
        </w:rPr>
      </w:pPr>
      <w:r w:rsidRPr="00397205">
        <w:rPr>
          <w:rFonts w:ascii="Verdana" w:eastAsia="Arial" w:hAnsi="Verdana" w:cs="Arial"/>
          <w:sz w:val="21"/>
          <w:szCs w:val="21"/>
          <w:lang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397205">
        <w:rPr>
          <w:rFonts w:ascii="Verdana" w:eastAsia="Arial" w:hAnsi="Verdana" w:cs="Arial"/>
          <w:sz w:val="21"/>
          <w:szCs w:val="21"/>
          <w:vertAlign w:val="superscript"/>
          <w:lang w:eastAsia="es-ES" w:bidi="es-ES"/>
        </w:rPr>
        <w:footnoteReference w:id="11"/>
      </w:r>
    </w:p>
    <w:p w14:paraId="0E607CAD" w14:textId="77777777" w:rsidR="00637B00" w:rsidRPr="00D61E29" w:rsidRDefault="00637B00" w:rsidP="006F068C">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269BBE29" w14:textId="77777777" w:rsidR="00637B00" w:rsidRPr="00B3605D" w:rsidRDefault="00637B00" w:rsidP="00397205">
      <w:pPr>
        <w:tabs>
          <w:tab w:val="left" w:pos="8080"/>
        </w:tabs>
        <w:spacing w:after="120" w:line="276" w:lineRule="auto"/>
        <w:ind w:firstLine="709"/>
        <w:jc w:val="both"/>
        <w:rPr>
          <w:rFonts w:ascii="Verdana" w:hAnsi="Verdana"/>
        </w:rPr>
      </w:pPr>
      <w:r>
        <w:rPr>
          <w:rFonts w:ascii="Verdana" w:eastAsia="Times New Roman" w:hAnsi="Verdana" w:cs="Arial"/>
          <w:lang w:val="es-ES" w:eastAsia="es-ES_tradnl"/>
        </w:rPr>
        <w:t xml:space="preserve">Adicionalmente, en relación con las modificaciones contractuales </w:t>
      </w:r>
      <w:r w:rsidRPr="00B3605D">
        <w:rPr>
          <w:rFonts w:ascii="Verdana" w:eastAsia="Times New Roman" w:hAnsi="Verdana" w:cs="Open Sans"/>
          <w:lang w:eastAsia="es-CO"/>
        </w:rPr>
        <w:t>se resalta el numeral 16.5 de la Circular Externa Única</w:t>
      </w:r>
      <w:r w:rsidRPr="00B3605D">
        <w:rPr>
          <w:rStyle w:val="FootnoteReference"/>
          <w:rFonts w:ascii="Verdana" w:eastAsia="Times New Roman" w:hAnsi="Verdana" w:cs="Open Sans"/>
          <w:lang w:eastAsia="es-CO"/>
        </w:rPr>
        <w:footnoteReference w:id="12"/>
      </w:r>
      <w:r w:rsidRPr="00B3605D">
        <w:rPr>
          <w:rFonts w:ascii="Verdana" w:eastAsia="Times New Roman" w:hAnsi="Verdana" w:cs="Open Sans"/>
          <w:lang w:eastAsia="es-CO"/>
        </w:rPr>
        <w:t xml:space="preserve"> de la </w:t>
      </w:r>
      <w:r w:rsidRPr="00B3605D">
        <w:rPr>
          <w:rFonts w:ascii="Verdana" w:hAnsi="Verdana"/>
        </w:rPr>
        <w:t>Agencia Nacional de Contratación Pública -Colombia Compra Eficiente, como sigue:</w:t>
      </w:r>
    </w:p>
    <w:p w14:paraId="3FDADF0C" w14:textId="77777777" w:rsidR="00637B00" w:rsidRPr="00397205" w:rsidRDefault="00637B00" w:rsidP="006F068C">
      <w:pPr>
        <w:spacing w:after="0" w:line="240" w:lineRule="auto"/>
        <w:ind w:left="709" w:right="709"/>
        <w:jc w:val="both"/>
        <w:rPr>
          <w:rFonts w:ascii="Verdana" w:hAnsi="Verdana"/>
          <w:sz w:val="21"/>
          <w:szCs w:val="21"/>
        </w:rPr>
      </w:pPr>
    </w:p>
    <w:p w14:paraId="4AAB9305" w14:textId="77777777" w:rsidR="00637B00" w:rsidRPr="00397205" w:rsidRDefault="00637B00" w:rsidP="006F068C">
      <w:pPr>
        <w:spacing w:after="0" w:line="240" w:lineRule="auto"/>
        <w:ind w:left="709" w:right="709"/>
        <w:jc w:val="both"/>
        <w:rPr>
          <w:rFonts w:ascii="Verdana" w:hAnsi="Verdana"/>
          <w:sz w:val="21"/>
          <w:szCs w:val="21"/>
        </w:rPr>
      </w:pPr>
      <w:r w:rsidRPr="00397205">
        <w:rPr>
          <w:rFonts w:ascii="Verdana" w:hAnsi="Verdana"/>
          <w:sz w:val="21"/>
          <w:szCs w:val="21"/>
        </w:rPr>
        <w:t xml:space="preserve">La Ley de Garantías no establece restricciones para las prórrogas, modificaciones o adiciones, y la cesión de los contratos suscritos antes del periodo electoral, siempre que tales prórrogas, modificaciones, adiciones y cesiones cumplan los principios de planeación, transparencia y responsabilidad. </w:t>
      </w:r>
    </w:p>
    <w:p w14:paraId="3334017B" w14:textId="77777777" w:rsidR="00637B00" w:rsidRDefault="00637B00" w:rsidP="006F068C">
      <w:pPr>
        <w:spacing w:after="0" w:line="240" w:lineRule="auto"/>
        <w:ind w:left="709" w:right="709"/>
        <w:jc w:val="both"/>
        <w:rPr>
          <w:rFonts w:ascii="Verdana" w:hAnsi="Verdana"/>
          <w:sz w:val="21"/>
          <w:szCs w:val="21"/>
        </w:rPr>
      </w:pPr>
      <w:r w:rsidRPr="00397205">
        <w:rPr>
          <w:rFonts w:ascii="Verdana" w:hAnsi="Verdana"/>
          <w:sz w:val="21"/>
          <w:szCs w:val="21"/>
        </w:rPr>
        <w:t>En este sentido,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p w14:paraId="7D663FFB" w14:textId="77777777" w:rsidR="006F068C" w:rsidRPr="00397205" w:rsidRDefault="006F068C" w:rsidP="00397205">
      <w:pPr>
        <w:spacing w:after="0" w:line="240" w:lineRule="auto"/>
        <w:ind w:left="709" w:right="709"/>
        <w:jc w:val="both"/>
        <w:rPr>
          <w:rFonts w:ascii="Verdana" w:hAnsi="Verdana"/>
          <w:sz w:val="21"/>
          <w:szCs w:val="21"/>
        </w:rPr>
      </w:pPr>
    </w:p>
    <w:p w14:paraId="6D299D47" w14:textId="77777777" w:rsidR="00637B00" w:rsidRPr="00FC54ED" w:rsidRDefault="00637B00" w:rsidP="00637B00">
      <w:pPr>
        <w:spacing w:after="0" w:line="240" w:lineRule="auto"/>
        <w:ind w:left="709" w:right="709"/>
        <w:jc w:val="both"/>
        <w:rPr>
          <w:rFonts w:ascii="Verdana" w:eastAsia="Times New Roman" w:hAnsi="Verdana" w:cs="Open Sans"/>
          <w:sz w:val="20"/>
          <w:szCs w:val="20"/>
          <w:lang w:eastAsia="es-CO"/>
        </w:rPr>
      </w:pPr>
    </w:p>
    <w:p w14:paraId="7083A593" w14:textId="77777777" w:rsidR="00637B00" w:rsidRPr="00397205" w:rsidRDefault="00637B00" w:rsidP="00397205">
      <w:pPr>
        <w:spacing w:after="120" w:line="276" w:lineRule="auto"/>
        <w:ind w:firstLine="709"/>
        <w:jc w:val="both"/>
        <w:rPr>
          <w:rFonts w:ascii="Verdana" w:eastAsia="Times New Roman" w:hAnsi="Verdana" w:cs="Arial"/>
          <w:bCs/>
          <w:lang w:val="es-MX" w:eastAsia="es-CO"/>
        </w:rPr>
      </w:pPr>
      <w:r w:rsidRPr="00397205">
        <w:rPr>
          <w:rFonts w:ascii="Verdana" w:eastAsia="Arial" w:hAnsi="Verdana" w:cs="Arial"/>
          <w:lang w:val="es-ES" w:eastAsia="es-ES" w:bidi="es-ES"/>
        </w:rPr>
        <w:t xml:space="preserve">En conclusión, </w:t>
      </w:r>
      <w:r w:rsidRPr="00397205">
        <w:rPr>
          <w:rFonts w:ascii="Verdana" w:eastAsia="Times New Roman" w:hAnsi="Verdana" w:cs="Arial"/>
          <w:bCs/>
          <w:lang w:val="es-MX" w:eastAsia="es-CO"/>
        </w:rPr>
        <w:t xml:space="preserve">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las disposiciones que rigen dichas actuaciones así como los principios de planeación, transparencia y responsabilidad. </w:t>
      </w:r>
    </w:p>
    <w:p w14:paraId="0573F11E" w14:textId="77777777" w:rsidR="00637B00" w:rsidRPr="00397205" w:rsidRDefault="00637B00" w:rsidP="00397205">
      <w:pPr>
        <w:autoSpaceDE w:val="0"/>
        <w:autoSpaceDN w:val="0"/>
        <w:adjustRightInd w:val="0"/>
        <w:spacing w:after="120" w:line="276" w:lineRule="auto"/>
        <w:ind w:firstLine="709"/>
        <w:jc w:val="both"/>
        <w:rPr>
          <w:rFonts w:ascii="Verdana" w:hAnsi="Verdana" w:cs="BCDHEE+Verdana"/>
          <w:color w:val="000000"/>
        </w:rPr>
      </w:pPr>
      <w:r w:rsidRPr="00397205">
        <w:rPr>
          <w:rFonts w:ascii="Verdana" w:hAnsi="Verdana" w:cs="BCDHEE+Verdana"/>
          <w:color w:val="000000"/>
        </w:rPr>
        <w:t xml:space="preserve">Finalmente, sobre las fechas en que aplica la Ley de garantías, se debe tener en cuenta que el Consejo Nacional Electoral mediante Resolución No. 2581 del 5 de marzo de 2025 fijó el calendario electoral para las elecciones al Congreso de la República que serán el 8 de marzo de 2026, en esa medida, de acuerdo con el artículo 38 de la Ley 996 de 2005, la restricción iniciaría el 8 de noviembre de 2025, es decir, 4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4BF5B0FD" w14:textId="77777777" w:rsidR="00637B00" w:rsidRPr="00397205" w:rsidRDefault="00637B00" w:rsidP="00397205">
      <w:pPr>
        <w:spacing w:after="120" w:line="276" w:lineRule="auto"/>
        <w:ind w:firstLine="709"/>
        <w:jc w:val="both"/>
        <w:rPr>
          <w:rFonts w:ascii="Verdana" w:hAnsi="Verdana" w:cs="BCDHEE+Verdana"/>
          <w:color w:val="000000"/>
        </w:rPr>
      </w:pPr>
      <w:r w:rsidRPr="00397205">
        <w:rPr>
          <w:rFonts w:ascii="Verdana" w:hAnsi="Verdana" w:cs="BCDHEE+Verdana"/>
          <w:color w:val="000000"/>
        </w:rPr>
        <w:t>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4 meses anteriores a la elección presidencial, es decir desde el 31 de enero de 2026 y hasta el momento de la celebración de la segunda vuelta, si fuere el caso, queda prohibida la contratación directa por parte de todos los entes del Estado.</w:t>
      </w:r>
    </w:p>
    <w:p w14:paraId="2B93B061" w14:textId="77777777" w:rsidR="00637B00" w:rsidRPr="00397205" w:rsidRDefault="00637B00" w:rsidP="00397205">
      <w:pPr>
        <w:widowControl w:val="0"/>
        <w:autoSpaceDE w:val="0"/>
        <w:autoSpaceDN w:val="0"/>
        <w:spacing w:after="120" w:line="276" w:lineRule="auto"/>
        <w:ind w:firstLine="709"/>
        <w:jc w:val="both"/>
        <w:rPr>
          <w:rFonts w:ascii="Verdana" w:hAnsi="Verdana"/>
        </w:rPr>
      </w:pPr>
      <w:r w:rsidRPr="00397205">
        <w:rPr>
          <w:rFonts w:ascii="Verdana" w:hAnsi="Verdana"/>
        </w:rPr>
        <w:t>Dentro de este marco, corresponde a cada entidad pública, en ejercicio de su competencia y previa valoración de los elementos fácticos y jurídicos, así como de las disposiciones legales mencionadas, determinar su gestión contractual durante la aplicación de las restricciones de la Ley de Garantías Electorales.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BE2443D" w14:textId="77777777" w:rsidR="00637B00" w:rsidRPr="00397205" w:rsidRDefault="00637B00" w:rsidP="00397205">
      <w:pPr>
        <w:widowControl w:val="0"/>
        <w:autoSpaceDE w:val="0"/>
        <w:autoSpaceDN w:val="0"/>
        <w:spacing w:after="120" w:line="276" w:lineRule="auto"/>
        <w:ind w:firstLine="709"/>
        <w:jc w:val="both"/>
        <w:rPr>
          <w:rFonts w:ascii="Verdana" w:hAnsi="Verdana"/>
        </w:rPr>
      </w:pPr>
    </w:p>
    <w:p w14:paraId="1260D18C" w14:textId="77777777" w:rsidR="00637B00" w:rsidRPr="00397205" w:rsidRDefault="00637B00" w:rsidP="00397205">
      <w:pPr>
        <w:widowControl w:val="0"/>
        <w:autoSpaceDE w:val="0"/>
        <w:autoSpaceDN w:val="0"/>
        <w:spacing w:after="120" w:line="276" w:lineRule="auto"/>
        <w:ind w:firstLine="709"/>
        <w:jc w:val="both"/>
        <w:rPr>
          <w:rFonts w:ascii="Verdana" w:hAnsi="Verdana"/>
        </w:rPr>
      </w:pPr>
      <w:r w:rsidRPr="00397205">
        <w:rPr>
          <w:rFonts w:ascii="Verdana" w:hAnsi="Verdana"/>
        </w:rPr>
        <w:t>De otra parte, en relación con el uso del SECOP II para la creación de contratos del Régimen Especial, esta Agencia expidió la “Guía sobre el uso del Secop II módulos: Régimen Especial: Sin ofertas”</w:t>
      </w:r>
      <w:r w:rsidRPr="00397205">
        <w:rPr>
          <w:rStyle w:val="FootnoteReference"/>
          <w:rFonts w:ascii="Verdana" w:hAnsi="Verdana"/>
        </w:rPr>
        <w:footnoteReference w:id="13"/>
      </w:r>
      <w:r w:rsidRPr="00397205">
        <w:rPr>
          <w:rFonts w:ascii="Verdana" w:hAnsi="Verdana"/>
        </w:rPr>
        <w:t>, en la cual se explica que para los procesos de contratación directa que apliquen un Régimen Especial de contratación la Entidad Estatal tiene a su disposición el Módulo “Régimen Especial – Sin Ofertas”:</w:t>
      </w:r>
    </w:p>
    <w:p w14:paraId="1427B059" w14:textId="77777777" w:rsidR="00397205" w:rsidRDefault="00397205" w:rsidP="00637B00">
      <w:pPr>
        <w:widowControl w:val="0"/>
        <w:autoSpaceDE w:val="0"/>
        <w:autoSpaceDN w:val="0"/>
        <w:spacing w:after="0" w:line="276" w:lineRule="auto"/>
        <w:ind w:right="176" w:firstLine="708"/>
        <w:jc w:val="both"/>
        <w:rPr>
          <w:rFonts w:ascii="Verdana" w:hAnsi="Verdana"/>
        </w:rPr>
      </w:pPr>
    </w:p>
    <w:p w14:paraId="2753A53A" w14:textId="77777777" w:rsidR="00637B00" w:rsidRPr="00397205" w:rsidRDefault="00637B00" w:rsidP="006F068C">
      <w:pPr>
        <w:widowControl w:val="0"/>
        <w:tabs>
          <w:tab w:val="left" w:pos="8505"/>
        </w:tabs>
        <w:autoSpaceDE w:val="0"/>
        <w:autoSpaceDN w:val="0"/>
        <w:spacing w:after="0" w:line="240" w:lineRule="auto"/>
        <w:ind w:left="709" w:right="709"/>
        <w:jc w:val="both"/>
        <w:rPr>
          <w:rFonts w:ascii="Verdana" w:hAnsi="Verdana"/>
          <w:sz w:val="21"/>
          <w:szCs w:val="21"/>
        </w:rPr>
      </w:pPr>
      <w:r w:rsidRPr="00397205">
        <w:rPr>
          <w:rFonts w:ascii="Verdana" w:hAnsi="Verdana"/>
          <w:sz w:val="21"/>
          <w:szCs w:val="21"/>
        </w:rPr>
        <w:t xml:space="preserve">En el SECOP II, las Entidades Estatales puedan gestionar los Procesos de Contratación que no se encuentran sometidos al Estatuto General de Contratación de la Administración Pública – Ley 80 de 1993, Ley 1150 de 2007 y decretos reglamentarios – y los Procesos de Contratación con Entidades Sin Ánimo de Lucro – ESALES en cumplimiento del Decreto 092 de 2017. </w:t>
      </w:r>
    </w:p>
    <w:p w14:paraId="4EF672D8" w14:textId="77777777" w:rsidR="00637B00" w:rsidRPr="00397205" w:rsidRDefault="00637B00" w:rsidP="006F068C">
      <w:pPr>
        <w:widowControl w:val="0"/>
        <w:tabs>
          <w:tab w:val="left" w:pos="8505"/>
        </w:tabs>
        <w:autoSpaceDE w:val="0"/>
        <w:autoSpaceDN w:val="0"/>
        <w:spacing w:after="0" w:line="240" w:lineRule="auto"/>
        <w:ind w:left="709" w:right="709"/>
        <w:jc w:val="both"/>
        <w:rPr>
          <w:rFonts w:ascii="Verdana" w:hAnsi="Verdana"/>
          <w:sz w:val="21"/>
          <w:szCs w:val="21"/>
        </w:rPr>
      </w:pPr>
      <w:r w:rsidRPr="00397205">
        <w:rPr>
          <w:rFonts w:ascii="Verdana" w:hAnsi="Verdana"/>
          <w:sz w:val="21"/>
          <w:szCs w:val="21"/>
        </w:rPr>
        <w:t>Por lo cual, la plataforma tiene habilitados dos módulos:</w:t>
      </w:r>
    </w:p>
    <w:p w14:paraId="5FA09AF7" w14:textId="77777777" w:rsidR="00637B00" w:rsidRPr="00397205" w:rsidRDefault="00637B00" w:rsidP="006F068C">
      <w:pPr>
        <w:pStyle w:val="ListParagraph"/>
        <w:widowControl w:val="0"/>
        <w:numPr>
          <w:ilvl w:val="0"/>
          <w:numId w:val="18"/>
        </w:numPr>
        <w:tabs>
          <w:tab w:val="left" w:pos="8505"/>
        </w:tabs>
        <w:autoSpaceDE w:val="0"/>
        <w:autoSpaceDN w:val="0"/>
        <w:spacing w:after="0" w:line="240" w:lineRule="auto"/>
        <w:ind w:left="709" w:right="709" w:firstLine="0"/>
        <w:jc w:val="both"/>
        <w:rPr>
          <w:rFonts w:ascii="Verdana" w:hAnsi="Verdana"/>
          <w:sz w:val="21"/>
          <w:szCs w:val="21"/>
        </w:rPr>
      </w:pPr>
      <w:r w:rsidRPr="00397205">
        <w:rPr>
          <w:rFonts w:ascii="Verdana" w:hAnsi="Verdana"/>
          <w:b/>
          <w:bCs/>
          <w:sz w:val="21"/>
          <w:szCs w:val="21"/>
        </w:rPr>
        <w:t>Régimen Especial – Con ofertas</w:t>
      </w:r>
      <w:r w:rsidRPr="00397205">
        <w:rPr>
          <w:rFonts w:ascii="Verdana" w:hAnsi="Verdana"/>
          <w:sz w:val="21"/>
          <w:szCs w:val="21"/>
        </w:rPr>
        <w:t xml:space="preserve">: A través de este módulo las Entidades Estatales podrán estructurar el Proceso de Contratación recibir las ofertas de los proveedores, generar el contrato electrónico y realizar la gestión contractual. Así como los Proceso de Contratación competitivos en cumplimiento del Decreto 092 de 2017. </w:t>
      </w:r>
    </w:p>
    <w:p w14:paraId="2F65CF0C" w14:textId="77777777" w:rsidR="00637B00" w:rsidRPr="00397205" w:rsidRDefault="00637B00" w:rsidP="006F068C">
      <w:pPr>
        <w:pStyle w:val="ListParagraph"/>
        <w:widowControl w:val="0"/>
        <w:numPr>
          <w:ilvl w:val="0"/>
          <w:numId w:val="18"/>
        </w:numPr>
        <w:tabs>
          <w:tab w:val="left" w:pos="8505"/>
        </w:tabs>
        <w:autoSpaceDE w:val="0"/>
        <w:autoSpaceDN w:val="0"/>
        <w:spacing w:after="0" w:line="240" w:lineRule="auto"/>
        <w:ind w:left="709" w:right="709" w:firstLine="0"/>
        <w:jc w:val="both"/>
        <w:rPr>
          <w:rFonts w:ascii="Verdana" w:hAnsi="Verdana"/>
          <w:sz w:val="21"/>
          <w:szCs w:val="21"/>
        </w:rPr>
      </w:pPr>
      <w:r w:rsidRPr="00397205">
        <w:rPr>
          <w:rFonts w:ascii="Verdana" w:hAnsi="Verdana"/>
          <w:b/>
          <w:bCs/>
          <w:sz w:val="21"/>
          <w:szCs w:val="21"/>
        </w:rPr>
        <w:t xml:space="preserve">Régimen Especial – Sin ofertas: </w:t>
      </w:r>
      <w:r w:rsidRPr="00397205">
        <w:rPr>
          <w:rFonts w:ascii="Verdana" w:hAnsi="Verdana"/>
          <w:sz w:val="21"/>
          <w:szCs w:val="21"/>
        </w:rPr>
        <w:t xml:space="preserve">A través de este módulo las Entidades Estatales podrán estructurar el Proceso de Contratación directo, generar el contrato electrónico y realizar la gestión contractual. Así como los Procesos de Contratación no competitivos en cumplimiento del Decreto 092 de 2017. </w:t>
      </w:r>
    </w:p>
    <w:p w14:paraId="1815FDC4" w14:textId="77777777" w:rsidR="00397205" w:rsidRDefault="00397205" w:rsidP="00397205">
      <w:pPr>
        <w:pStyle w:val="ListParagraph"/>
        <w:widowControl w:val="0"/>
        <w:tabs>
          <w:tab w:val="left" w:pos="8505"/>
        </w:tabs>
        <w:autoSpaceDE w:val="0"/>
        <w:autoSpaceDN w:val="0"/>
        <w:spacing w:after="0" w:line="276" w:lineRule="auto"/>
        <w:ind w:left="1068" w:right="758"/>
        <w:jc w:val="both"/>
        <w:rPr>
          <w:rFonts w:ascii="Verdana" w:hAnsi="Verdana"/>
          <w:sz w:val="20"/>
          <w:szCs w:val="20"/>
        </w:rPr>
      </w:pPr>
    </w:p>
    <w:p w14:paraId="6FC4C69D" w14:textId="77777777" w:rsidR="00637B00" w:rsidRPr="00397205" w:rsidRDefault="00637B00" w:rsidP="00397205">
      <w:pPr>
        <w:widowControl w:val="0"/>
        <w:autoSpaceDE w:val="0"/>
        <w:autoSpaceDN w:val="0"/>
        <w:spacing w:after="120" w:line="276" w:lineRule="auto"/>
        <w:ind w:firstLine="709"/>
        <w:jc w:val="both"/>
        <w:rPr>
          <w:rFonts w:ascii="Verdana" w:hAnsi="Verdana"/>
        </w:rPr>
      </w:pPr>
      <w:r w:rsidRPr="00397205">
        <w:rPr>
          <w:rFonts w:ascii="Verdana" w:hAnsi="Verdana"/>
        </w:rPr>
        <w:t xml:space="preserve">Sin embargo, la ANCP – CCE ofrece la posibilidad a quienes deban hacer uso los módulos de Régimen Especial que lo hagan como una herramienta de publicidad, es decir, que no gestiones sus procesos de contratación de manera transaccional como es el comportamiento estándar de la plataforma. </w:t>
      </w:r>
    </w:p>
    <w:p w14:paraId="49DB2805" w14:textId="77777777" w:rsidR="00637B00" w:rsidRPr="00397205" w:rsidRDefault="00637B00" w:rsidP="00397205">
      <w:pPr>
        <w:widowControl w:val="0"/>
        <w:autoSpaceDE w:val="0"/>
        <w:autoSpaceDN w:val="0"/>
        <w:spacing w:after="120" w:line="276" w:lineRule="auto"/>
        <w:ind w:firstLine="709"/>
        <w:jc w:val="both"/>
        <w:rPr>
          <w:rFonts w:ascii="Verdana" w:hAnsi="Verdana"/>
        </w:rPr>
      </w:pPr>
    </w:p>
    <w:p w14:paraId="2ED5BB7D" w14:textId="6B046B45" w:rsidR="000F5032" w:rsidRDefault="00637B00" w:rsidP="00397205">
      <w:pPr>
        <w:spacing w:after="120" w:line="276" w:lineRule="auto"/>
        <w:ind w:firstLine="709"/>
        <w:jc w:val="both"/>
        <w:rPr>
          <w:rFonts w:ascii="Verdana" w:hAnsi="Verdana"/>
        </w:rPr>
      </w:pPr>
      <w:r w:rsidRPr="00397205">
        <w:rPr>
          <w:rFonts w:ascii="Verdana" w:hAnsi="Verdana"/>
        </w:rPr>
        <w:t>De tal manera, si la Entidad Estatal requiere gestionar sus procesos de manera transaccional, deberá utilizar los dos módulos de Régimen Especial (Con ofertas y Sin ofertas). Si la Entidad Estatal decide utilizar el SECOP II como herramienta de publicidad para los Procesos de Contratación que apliquen un Régimen Especial de contratación, podrá crear el proceso en el SECOP II mediante el módulo “Contratación régimen Especial”, es decir, sin ofertas; y publicar todos los documentos del proceso. La publicación de los documentos de la gestión contractual incluido el contrato con firma manuscrita se realizará mediante la opción de modificaciones al proceso.</w:t>
      </w:r>
    </w:p>
    <w:p w14:paraId="655297C6" w14:textId="77777777" w:rsidR="006F068C" w:rsidRPr="00907B62" w:rsidRDefault="006F068C" w:rsidP="006F068C">
      <w:pPr>
        <w:spacing w:after="120" w:line="276" w:lineRule="auto"/>
        <w:jc w:val="both"/>
        <w:rPr>
          <w:rFonts w:ascii="Verdana" w:hAnsi="Verdana"/>
          <w:b/>
          <w:bCs/>
        </w:rPr>
      </w:pPr>
    </w:p>
    <w:p w14:paraId="61189F19" w14:textId="1337CFAC" w:rsidR="006F068C" w:rsidRPr="00907B62" w:rsidRDefault="006F068C" w:rsidP="006F068C">
      <w:pPr>
        <w:spacing w:after="120" w:line="276" w:lineRule="auto"/>
        <w:jc w:val="both"/>
        <w:rPr>
          <w:rFonts w:ascii="Verdana" w:hAnsi="Verdana"/>
          <w:b/>
          <w:bCs/>
        </w:rPr>
      </w:pPr>
      <w:r w:rsidRPr="00907B62">
        <w:rPr>
          <w:rFonts w:ascii="Verdana" w:hAnsi="Verdana"/>
          <w:b/>
          <w:bCs/>
        </w:rPr>
        <w:t xml:space="preserve">4. Referencias normativa, jurisprudenciales y otras fuentes: </w:t>
      </w:r>
    </w:p>
    <w:p w14:paraId="6DB9FD84" w14:textId="77777777" w:rsidR="006F068C" w:rsidRDefault="006F068C" w:rsidP="006F068C">
      <w:pPr>
        <w:spacing w:after="120" w:line="276" w:lineRule="auto"/>
        <w:jc w:val="both"/>
        <w:rPr>
          <w:rFonts w:ascii="Verdana" w:hAnsi="Verdana"/>
        </w:rPr>
      </w:pPr>
    </w:p>
    <w:tbl>
      <w:tblPr>
        <w:tblStyle w:val="TableGrid"/>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63590B" w14:paraId="78B233E3" w14:textId="77777777" w:rsidTr="004914C3">
        <w:trPr>
          <w:trHeight w:val="870"/>
        </w:trPr>
        <w:tc>
          <w:tcPr>
            <w:tcW w:w="8647" w:type="dxa"/>
            <w:tcBorders>
              <w:top w:val="dotted" w:sz="4" w:space="0" w:color="auto"/>
              <w:left w:val="dotted" w:sz="4" w:space="0" w:color="auto"/>
              <w:bottom w:val="dotted" w:sz="4" w:space="0" w:color="auto"/>
              <w:right w:val="dotted" w:sz="4" w:space="0" w:color="auto"/>
            </w:tcBorders>
            <w:hideMark/>
          </w:tcPr>
          <w:p w14:paraId="5478C77D" w14:textId="77777777" w:rsidR="0063590B" w:rsidRPr="004B54E8" w:rsidRDefault="0063590B" w:rsidP="0063590B">
            <w:pPr>
              <w:widowControl w:val="0"/>
              <w:numPr>
                <w:ilvl w:val="0"/>
                <w:numId w:val="19"/>
              </w:numPr>
              <w:autoSpaceDE w:val="0"/>
              <w:autoSpaceDN w:val="0"/>
              <w:spacing w:after="120" w:line="276" w:lineRule="auto"/>
              <w:jc w:val="both"/>
              <w:rPr>
                <w:rFonts w:ascii="Verdana" w:eastAsia="Arial MT" w:hAnsi="Verdana" w:cs="Arial"/>
                <w:lang w:val="es-ES" w:eastAsia="es-ES" w:bidi="es-ES"/>
              </w:rPr>
            </w:pPr>
            <w:r w:rsidRPr="00DF1048">
              <w:rPr>
                <w:rFonts w:ascii="Verdana" w:eastAsia="Arial MT" w:hAnsi="Verdana" w:cs="Arial"/>
                <w:bCs/>
                <w:lang w:val="es-ES" w:eastAsia="es-ES" w:bidi="es-ES"/>
              </w:rPr>
              <w:t>Ley 996 de 2005</w:t>
            </w:r>
            <w:r>
              <w:rPr>
                <w:rFonts w:ascii="Verdana" w:eastAsia="Arial MT" w:hAnsi="Verdana" w:cs="Arial"/>
                <w:bCs/>
                <w:lang w:val="es-ES" w:eastAsia="es-ES" w:bidi="es-ES"/>
              </w:rPr>
              <w:t>.</w:t>
            </w:r>
            <w:r w:rsidRPr="00DF1048">
              <w:rPr>
                <w:rFonts w:ascii="Verdana" w:eastAsia="Arial MT" w:hAnsi="Verdana" w:cs="Arial"/>
                <w:bCs/>
                <w:lang w:val="es-ES" w:eastAsia="es-ES" w:bidi="es-ES"/>
              </w:rPr>
              <w:t xml:space="preserve"> </w:t>
            </w:r>
            <w:r>
              <w:rPr>
                <w:rFonts w:ascii="Verdana" w:eastAsia="Arial MT" w:hAnsi="Verdana" w:cs="Arial"/>
                <w:bCs/>
                <w:lang w:val="es-ES" w:eastAsia="es-ES" w:bidi="es-ES"/>
              </w:rPr>
              <w:t>A</w:t>
            </w:r>
            <w:r w:rsidRPr="00DF1048">
              <w:rPr>
                <w:rFonts w:ascii="Verdana" w:eastAsia="Arial MT" w:hAnsi="Verdana" w:cs="Arial"/>
                <w:bCs/>
                <w:lang w:val="es-ES" w:eastAsia="es-ES" w:bidi="es-ES"/>
              </w:rPr>
              <w:t>rtículos 33 y 38 parágrafo.</w:t>
            </w:r>
          </w:p>
          <w:p w14:paraId="3889ED70" w14:textId="77777777" w:rsidR="0063590B" w:rsidRPr="00B3605D" w:rsidRDefault="0063590B" w:rsidP="0063590B">
            <w:pPr>
              <w:widowControl w:val="0"/>
              <w:numPr>
                <w:ilvl w:val="0"/>
                <w:numId w:val="19"/>
              </w:numPr>
              <w:autoSpaceDE w:val="0"/>
              <w:autoSpaceDN w:val="0"/>
              <w:spacing w:after="120" w:line="276" w:lineRule="auto"/>
              <w:jc w:val="both"/>
              <w:rPr>
                <w:rFonts w:ascii="Verdana" w:eastAsia="Arial MT" w:hAnsi="Verdana" w:cs="Arial"/>
                <w:lang w:val="es-ES" w:eastAsia="es-ES" w:bidi="es-ES"/>
              </w:rPr>
            </w:pPr>
            <w:r w:rsidRPr="00072C23">
              <w:rPr>
                <w:rFonts w:ascii="Verdana" w:eastAsia="Arial" w:hAnsi="Verdana" w:cs="Arial"/>
                <w:lang w:eastAsia="es-MX"/>
              </w:rPr>
              <w:t>Ley 715 de 2001</w:t>
            </w:r>
            <w:r>
              <w:rPr>
                <w:rFonts w:ascii="Verdana" w:eastAsia="Arial" w:hAnsi="Verdana" w:cs="Arial"/>
                <w:lang w:eastAsia="es-MX"/>
              </w:rPr>
              <w:t>. Artículos 11 y 13</w:t>
            </w:r>
          </w:p>
          <w:p w14:paraId="1E66B22A" w14:textId="77777777" w:rsidR="0063590B" w:rsidRPr="00274DBA" w:rsidRDefault="0063590B" w:rsidP="0063590B">
            <w:pPr>
              <w:widowControl w:val="0"/>
              <w:numPr>
                <w:ilvl w:val="0"/>
                <w:numId w:val="19"/>
              </w:numPr>
              <w:autoSpaceDE w:val="0"/>
              <w:autoSpaceDN w:val="0"/>
              <w:spacing w:after="120" w:line="276" w:lineRule="auto"/>
              <w:jc w:val="both"/>
              <w:rPr>
                <w:rFonts w:ascii="Verdana" w:eastAsia="Calibri" w:hAnsi="Verdana" w:cs="Arial"/>
                <w:lang w:val="es-ES"/>
              </w:rPr>
            </w:pPr>
            <w:r w:rsidRPr="00274DBA">
              <w:rPr>
                <w:rFonts w:ascii="Verdana" w:eastAsia="Calibri" w:hAnsi="Verdana" w:cs="Arial"/>
                <w:lang w:val="pt-BR"/>
              </w:rPr>
              <w:t xml:space="preserve">Corte Constitucional. Sentencia C -1153 de 2005. </w:t>
            </w:r>
            <w:r w:rsidRPr="00274DBA">
              <w:rPr>
                <w:rFonts w:ascii="Verdana" w:eastAsia="Calibri" w:hAnsi="Verdana" w:cs="Arial"/>
                <w:lang w:val="es-ES"/>
              </w:rPr>
              <w:t xml:space="preserve">M.P. Marco Gerardo Monroy Cabra. </w:t>
            </w:r>
          </w:p>
          <w:p w14:paraId="64CDABE1" w14:textId="77777777" w:rsidR="0063590B" w:rsidRDefault="0063590B" w:rsidP="0063590B">
            <w:pPr>
              <w:widowControl w:val="0"/>
              <w:numPr>
                <w:ilvl w:val="0"/>
                <w:numId w:val="19"/>
              </w:numPr>
              <w:autoSpaceDE w:val="0"/>
              <w:autoSpaceDN w:val="0"/>
              <w:spacing w:after="120" w:line="276" w:lineRule="auto"/>
              <w:jc w:val="both"/>
              <w:rPr>
                <w:rFonts w:ascii="Verdana" w:eastAsia="Arial MT" w:hAnsi="Verdana" w:cs="Arial"/>
                <w:lang w:val="es-ES" w:eastAsia="es-ES" w:bidi="es-ES"/>
              </w:rPr>
            </w:pPr>
            <w:r w:rsidRPr="00B3605D">
              <w:rPr>
                <w:rFonts w:ascii="Verdana" w:eastAsia="Arial MT" w:hAnsi="Verdana" w:cs="Arial"/>
                <w:lang w:val="es-ES" w:eastAsia="es-ES" w:bidi="es-ES"/>
              </w:rPr>
              <w:t xml:space="preserve">Consejo de Estado, Sala de Consulta y Servicio Civil de fecha 24 de julio de 2013, Rad. 2166, C. P. Álvaro Namén Vargas.  </w:t>
            </w:r>
          </w:p>
          <w:p w14:paraId="4147C08A" w14:textId="77777777" w:rsidR="0063590B" w:rsidRPr="006A640E" w:rsidRDefault="0063590B" w:rsidP="0063590B">
            <w:pPr>
              <w:widowControl w:val="0"/>
              <w:numPr>
                <w:ilvl w:val="0"/>
                <w:numId w:val="19"/>
              </w:numPr>
              <w:autoSpaceDE w:val="0"/>
              <w:autoSpaceDN w:val="0"/>
              <w:spacing w:after="120" w:line="276" w:lineRule="auto"/>
              <w:jc w:val="both"/>
              <w:rPr>
                <w:rFonts w:ascii="Verdana" w:eastAsia="Arial MT" w:hAnsi="Verdana" w:cs="Arial"/>
                <w:lang w:val="es-ES" w:eastAsia="es-ES" w:bidi="es-ES"/>
              </w:rPr>
            </w:pPr>
            <w:r w:rsidRPr="00AB6AC3">
              <w:rPr>
                <w:rFonts w:ascii="Verdana" w:eastAsia="Calibri" w:hAnsi="Verdana" w:cs="Arial"/>
              </w:rPr>
              <w:t xml:space="preserve">Agencia Nacional de Contratación Pública – </w:t>
            </w:r>
            <w:r w:rsidRPr="00E12AA8">
              <w:rPr>
                <w:rFonts w:ascii="Verdana" w:hAnsi="Verdana"/>
              </w:rPr>
              <w:t>Colombia Compra Eficiente. Circular Externa Única. Numeral 16.5.</w:t>
            </w:r>
          </w:p>
        </w:tc>
      </w:tr>
    </w:tbl>
    <w:p w14:paraId="08BF13DB" w14:textId="77777777" w:rsidR="006F068C" w:rsidRPr="00397205" w:rsidRDefault="006F068C" w:rsidP="006F068C">
      <w:pPr>
        <w:spacing w:after="120" w:line="276" w:lineRule="auto"/>
        <w:jc w:val="both"/>
        <w:rPr>
          <w:rFonts w:ascii="Verdana" w:eastAsia="Arial" w:hAnsi="Verdana" w:cs="Arial"/>
          <w:lang w:eastAsia="es-ES" w:bidi="es-ES"/>
        </w:rPr>
      </w:pPr>
    </w:p>
    <w:p w14:paraId="5D671DFE" w14:textId="782E36FB" w:rsidR="008C0A9B" w:rsidRPr="00907B62" w:rsidRDefault="0063590B" w:rsidP="0063590B">
      <w:pPr>
        <w:spacing w:after="120" w:line="276" w:lineRule="auto"/>
        <w:jc w:val="both"/>
        <w:rPr>
          <w:rFonts w:ascii="Verdana" w:eastAsia="Verdana" w:hAnsi="Verdana" w:cs="Verdana"/>
          <w:b/>
          <w:bCs/>
          <w:lang w:val="es-ES"/>
        </w:rPr>
      </w:pPr>
      <w:r w:rsidRPr="00907B62">
        <w:rPr>
          <w:rFonts w:ascii="Verdana" w:eastAsia="Verdana" w:hAnsi="Verdana" w:cs="Verdana"/>
          <w:b/>
          <w:bCs/>
          <w:lang w:val="es-ES"/>
        </w:rPr>
        <w:t>5. Doctrina de la Agencia Nacional de Contratación Pública:</w:t>
      </w:r>
    </w:p>
    <w:p w14:paraId="43A57A21" w14:textId="77777777" w:rsidR="0063590B" w:rsidRDefault="0063590B" w:rsidP="0063590B">
      <w:pPr>
        <w:spacing w:after="120" w:line="276" w:lineRule="auto"/>
        <w:jc w:val="both"/>
        <w:rPr>
          <w:rFonts w:ascii="Verdana" w:eastAsia="Verdana" w:hAnsi="Verdana" w:cs="Verdana"/>
          <w:lang w:val="es-ES"/>
        </w:rPr>
      </w:pPr>
    </w:p>
    <w:p w14:paraId="009DC585" w14:textId="77777777" w:rsidR="00907B62" w:rsidRDefault="00907B62" w:rsidP="00907B62">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C-697 del 3 de enero de 2022, </w:t>
      </w:r>
      <w:r>
        <w:rPr>
          <w:rStyle w:val="normaltextrun"/>
          <w:rFonts w:ascii="Verdana" w:hAnsi="Verdana" w:cs="Arial"/>
          <w:shd w:val="clear" w:color="auto" w:fill="FFFFFF"/>
          <w:lang w:val="es-ES"/>
        </w:rPr>
        <w:t xml:space="preserve">C-329 del 24 de mayo de 2022, C-255 del 4 de julio de 2023,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w:t>
      </w:r>
      <w:r w:rsidRPr="00CF7C16">
        <w:rPr>
          <w:rFonts w:ascii="Verdana" w:hAnsi="Verdana" w:cs="Arial"/>
          <w:shd w:val="clear" w:color="auto" w:fill="FFFFFF"/>
          <w:lang w:val="es-ES"/>
        </w:rPr>
        <w:t xml:space="preserve"> entre otros.</w:t>
      </w:r>
      <w:r>
        <w:rPr>
          <w:rStyle w:val="normaltextrun"/>
          <w:rFonts w:ascii="Verdana" w:hAnsi="Verdana" w:cs="Arial"/>
          <w:shd w:val="clear" w:color="auto" w:fill="FFFFFF"/>
          <w:lang w:val="es-ES"/>
        </w:rPr>
        <w:t xml:space="preserve">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B778BC">
          <w:rPr>
            <w:rStyle w:val="Hyperlink"/>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0F5587E2" w14:textId="77777777" w:rsidR="00D00370" w:rsidRPr="009A385A" w:rsidRDefault="00D00370" w:rsidP="00D00370">
      <w:pPr>
        <w:spacing w:after="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yperlink"/>
            <w:rFonts w:ascii="Verdana" w:hAnsi="Verdana"/>
          </w:rPr>
          <w:t>https://formacionvirtual.colombiacompra.gov.co/mod/page/view.php?id=3718</w:t>
        </w:r>
      </w:hyperlink>
    </w:p>
    <w:p w14:paraId="5F4A930F" w14:textId="77777777" w:rsidR="00D00370" w:rsidRDefault="00D00370" w:rsidP="00D00370">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yperlink"/>
            <w:rFonts w:ascii="Verdana" w:hAnsi="Verdana"/>
          </w:rPr>
          <w:t>https://www.colombiacompra.gov.co/normativa-y-relatoria/documentos-tipo</w:t>
        </w:r>
      </w:hyperlink>
    </w:p>
    <w:p w14:paraId="4AF89BDD" w14:textId="77777777" w:rsidR="00D00370" w:rsidRPr="00C25CDD" w:rsidRDefault="00D00370" w:rsidP="00D00370">
      <w:pPr>
        <w:spacing w:after="0" w:line="276" w:lineRule="auto"/>
        <w:jc w:val="both"/>
        <w:rPr>
          <w:rFonts w:ascii="Verdana" w:hAnsi="Verdana"/>
        </w:rPr>
      </w:pPr>
    </w:p>
    <w:p w14:paraId="3E8038F7" w14:textId="77777777" w:rsidR="00D00370" w:rsidRDefault="00D00370" w:rsidP="00D00370">
      <w:pPr>
        <w:spacing w:after="0" w:line="276" w:lineRule="auto"/>
        <w:jc w:val="both"/>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yperlink"/>
            <w:rFonts w:ascii="Verdana" w:hAnsi="Verdana"/>
          </w:rPr>
          <w:t>https://www.colombiacompra.gov.co/archivos/manual/guia-para-la-comprension-e-implementacion-de-los-documentos-tipo-de-obra-publica-de-infraestructura-de-transporte-bajo-las-diferentes-modalidades-de-contratacion-vigentes</w:t>
        </w:r>
      </w:hyperlink>
    </w:p>
    <w:p w14:paraId="6A823757" w14:textId="77777777" w:rsidR="00D00370" w:rsidRDefault="00D00370" w:rsidP="00D00370">
      <w:pPr>
        <w:spacing w:after="0" w:line="276" w:lineRule="auto"/>
        <w:jc w:val="both"/>
        <w:rPr>
          <w:rFonts w:ascii="Verdana" w:hAnsi="Verdana"/>
        </w:rPr>
      </w:pPr>
    </w:p>
    <w:p w14:paraId="581620BD" w14:textId="77777777" w:rsidR="00D00370" w:rsidRPr="00605E0D" w:rsidRDefault="00D00370" w:rsidP="00D00370">
      <w:pPr>
        <w:spacing w:after="0" w:line="276" w:lineRule="auto"/>
        <w:jc w:val="both"/>
        <w:rPr>
          <w:rFonts w:ascii="Verdana" w:hAnsi="Verdana"/>
        </w:rPr>
      </w:pPr>
      <w:r w:rsidRPr="00284526">
        <w:rPr>
          <w:rFonts w:ascii="Verdana" w:hAnsi="Verdana" w:cs="Arial"/>
          <w:shd w:val="clear" w:color="auto" w:fill="FFFFFF"/>
        </w:rPr>
        <w:t xml:space="preserve">Por último, lo invitamos a seguirnos en las redes sociales en las cuales se difunde información institucional: </w:t>
      </w:r>
    </w:p>
    <w:p w14:paraId="63F2D7A9" w14:textId="77777777" w:rsidR="00D00370" w:rsidRPr="00284526" w:rsidRDefault="00D00370" w:rsidP="00D00370">
      <w:pPr>
        <w:spacing w:after="0" w:line="276" w:lineRule="auto"/>
        <w:jc w:val="both"/>
        <w:rPr>
          <w:rFonts w:ascii="Verdana" w:hAnsi="Verdana" w:cs="Arial"/>
          <w:shd w:val="clear" w:color="auto" w:fill="FFFFFF"/>
        </w:rPr>
      </w:pPr>
    </w:p>
    <w:p w14:paraId="764868E6" w14:textId="77777777" w:rsidR="00D00370" w:rsidRPr="00284526" w:rsidRDefault="00D00370" w:rsidP="00D00370">
      <w:pPr>
        <w:spacing w:after="0" w:line="276" w:lineRule="auto"/>
        <w:jc w:val="both"/>
        <w:rPr>
          <w:rFonts w:ascii="Verdana" w:hAnsi="Verdana" w:cs="Arial"/>
          <w:shd w:val="clear" w:color="auto" w:fill="FFFFFF"/>
        </w:rPr>
      </w:pPr>
      <w:r w:rsidRPr="00284526">
        <w:rPr>
          <w:rFonts w:ascii="Verdana" w:hAnsi="Verdana" w:cs="Arial"/>
          <w:shd w:val="clear" w:color="auto" w:fill="FFFFFF"/>
        </w:rPr>
        <w:t xml:space="preserve">Twitter: </w:t>
      </w:r>
      <w:r w:rsidRPr="00284526">
        <w:rPr>
          <w:rStyle w:val="Hyperlink"/>
          <w:rFonts w:ascii="Verdana" w:hAnsi="Verdana"/>
          <w:lang w:val="es-ES"/>
        </w:rPr>
        <w:t xml:space="preserve">@colombiacompra </w:t>
      </w:r>
    </w:p>
    <w:p w14:paraId="52ED3F15" w14:textId="77777777" w:rsidR="00D00370" w:rsidRPr="00284526" w:rsidRDefault="00D00370" w:rsidP="00D00370">
      <w:pPr>
        <w:spacing w:after="0" w:line="276" w:lineRule="auto"/>
        <w:jc w:val="both"/>
        <w:rPr>
          <w:rFonts w:ascii="Verdana" w:hAnsi="Verdana" w:cs="Arial"/>
          <w:shd w:val="clear" w:color="auto" w:fill="FFFFFF"/>
        </w:rPr>
      </w:pPr>
      <w:r w:rsidRPr="00284526">
        <w:rPr>
          <w:rFonts w:ascii="Verdana" w:hAnsi="Verdana" w:cs="Arial"/>
          <w:shd w:val="clear" w:color="auto" w:fill="FFFFFF"/>
        </w:rPr>
        <w:t>Facebook:</w:t>
      </w:r>
      <w:r w:rsidRPr="00284526">
        <w:rPr>
          <w:rStyle w:val="Hyperlink"/>
          <w:rFonts w:ascii="Verdana" w:hAnsi="Verdana"/>
          <w:color w:val="auto"/>
          <w:lang w:val="es-ES"/>
        </w:rPr>
        <w:t xml:space="preserve"> </w:t>
      </w:r>
      <w:r w:rsidRPr="00284526">
        <w:rPr>
          <w:rStyle w:val="Hyperlink"/>
          <w:rFonts w:ascii="Verdana" w:hAnsi="Verdana"/>
          <w:lang w:val="es-ES"/>
        </w:rPr>
        <w:t>ColombiaCompraEficiente</w:t>
      </w:r>
    </w:p>
    <w:p w14:paraId="7299E876" w14:textId="77777777" w:rsidR="00D00370" w:rsidRPr="00284526" w:rsidRDefault="00D00370" w:rsidP="00D00370">
      <w:pPr>
        <w:spacing w:after="0" w:line="276" w:lineRule="auto"/>
        <w:jc w:val="both"/>
        <w:rPr>
          <w:rFonts w:ascii="Verdana" w:hAnsi="Verdana" w:cs="Arial"/>
          <w:color w:val="0000FF"/>
          <w:shd w:val="clear" w:color="auto" w:fill="FFFFFF"/>
        </w:rPr>
      </w:pPr>
      <w:r w:rsidRPr="00284526">
        <w:rPr>
          <w:rFonts w:ascii="Verdana" w:hAnsi="Verdana" w:cs="Arial"/>
          <w:shd w:val="clear" w:color="auto" w:fill="FFFFFF"/>
        </w:rPr>
        <w:t xml:space="preserve">LinkedIn: </w:t>
      </w:r>
      <w:r w:rsidRPr="00284526">
        <w:rPr>
          <w:rStyle w:val="Hyperlink"/>
          <w:rFonts w:ascii="Verdana" w:hAnsi="Verdana"/>
          <w:lang w:val="es-ES"/>
        </w:rPr>
        <w:t>Agencia Nacional de Contratación Pública - Colombia Compra Eficiente</w:t>
      </w:r>
      <w:r w:rsidRPr="00284526">
        <w:rPr>
          <w:rFonts w:ascii="Verdana" w:hAnsi="Verdana" w:cs="Arial"/>
          <w:color w:val="0000FF"/>
          <w:shd w:val="clear" w:color="auto" w:fill="FFFFFF"/>
        </w:rPr>
        <w:t xml:space="preserve"> </w:t>
      </w:r>
    </w:p>
    <w:p w14:paraId="1577DCEC" w14:textId="77777777" w:rsidR="00D00370" w:rsidRPr="00284526" w:rsidRDefault="00D00370" w:rsidP="00D00370">
      <w:pPr>
        <w:spacing w:after="0" w:line="276" w:lineRule="auto"/>
        <w:jc w:val="both"/>
        <w:rPr>
          <w:rFonts w:ascii="Verdana" w:hAnsi="Verdana" w:cs="Arial"/>
          <w:shd w:val="clear" w:color="auto" w:fill="FFFFFF"/>
        </w:rPr>
      </w:pPr>
      <w:r w:rsidRPr="00284526">
        <w:rPr>
          <w:rFonts w:ascii="Verdana" w:hAnsi="Verdana" w:cs="Arial"/>
          <w:shd w:val="clear" w:color="auto" w:fill="FFFFFF"/>
        </w:rPr>
        <w:t xml:space="preserve">Instagram: </w:t>
      </w:r>
      <w:r w:rsidRPr="00284526">
        <w:rPr>
          <w:rStyle w:val="Hyperlink"/>
          <w:rFonts w:ascii="Verdana" w:hAnsi="Verdana"/>
          <w:lang w:val="es-ES"/>
        </w:rPr>
        <w:t>@colombiacompraeficiente_cce</w:t>
      </w:r>
    </w:p>
    <w:p w14:paraId="32630C7F" w14:textId="77777777" w:rsidR="00D00370" w:rsidRPr="00284526" w:rsidRDefault="00D00370" w:rsidP="00D00370">
      <w:pPr>
        <w:widowControl w:val="0"/>
        <w:autoSpaceDE w:val="0"/>
        <w:autoSpaceDN w:val="0"/>
        <w:spacing w:after="0" w:line="276" w:lineRule="auto"/>
        <w:jc w:val="both"/>
        <w:rPr>
          <w:rFonts w:ascii="Verdana" w:hAnsi="Verdana" w:cs="Arial"/>
          <w:lang w:val="es-ES"/>
        </w:rPr>
      </w:pPr>
    </w:p>
    <w:p w14:paraId="1CE337E9" w14:textId="77777777" w:rsidR="00D00370" w:rsidRPr="00284526" w:rsidRDefault="00D00370" w:rsidP="00D00370">
      <w:pPr>
        <w:widowControl w:val="0"/>
        <w:autoSpaceDE w:val="0"/>
        <w:autoSpaceDN w:val="0"/>
        <w:spacing w:after="0" w:line="276" w:lineRule="auto"/>
        <w:jc w:val="both"/>
        <w:rPr>
          <w:rFonts w:ascii="Verdana" w:hAnsi="Verdana" w:cs="Arial"/>
          <w:lang w:val="es-ES"/>
        </w:rPr>
      </w:pPr>
      <w:r w:rsidRPr="0028452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3E49BF7" w14:textId="77777777" w:rsidR="00D00370" w:rsidRPr="00116940" w:rsidRDefault="00D00370" w:rsidP="00D00370">
      <w:pPr>
        <w:spacing w:after="0" w:line="276" w:lineRule="auto"/>
        <w:jc w:val="both"/>
        <w:rPr>
          <w:rFonts w:ascii="Verdana" w:eastAsia="Verdana" w:hAnsi="Verdana" w:cs="Verdana"/>
        </w:rPr>
      </w:pPr>
    </w:p>
    <w:p w14:paraId="04404706" w14:textId="77777777" w:rsidR="00D00370" w:rsidRDefault="00D00370" w:rsidP="00D00370">
      <w:pPr>
        <w:spacing w:after="0" w:line="276" w:lineRule="auto"/>
        <w:rPr>
          <w:rFonts w:ascii="Verdana" w:eastAsia="Verdana" w:hAnsi="Verdana" w:cs="Verdana"/>
        </w:rPr>
      </w:pPr>
      <w:r w:rsidRPr="30821638">
        <w:rPr>
          <w:rFonts w:ascii="Verdana" w:eastAsia="Verdana" w:hAnsi="Verdana" w:cs="Verdana"/>
        </w:rPr>
        <w:t>Evalúa el servicio que ofrece la Agencia por el canal de atención de PQRSD en el siguiente enlace</w:t>
      </w:r>
      <w:r w:rsidRPr="00C25CDD">
        <w:rPr>
          <w:rFonts w:ascii="Verdana" w:eastAsia="Verdana" w:hAnsi="Verdana" w:cs="Verdana"/>
        </w:rPr>
        <w:t>:</w:t>
      </w:r>
      <w:r>
        <w:rPr>
          <w:rFonts w:ascii="Verdana" w:eastAsia="Verdana" w:hAnsi="Verdana" w:cs="Verdana"/>
        </w:rPr>
        <w:t xml:space="preserve"> </w:t>
      </w:r>
      <w:hyperlink r:id="rId16" w:history="1">
        <w:r w:rsidRPr="00C25CDD">
          <w:rPr>
            <w:rStyle w:val="Hyperlink"/>
            <w:rFonts w:ascii="Verdana" w:eastAsia="Verdana" w:hAnsi="Verdana" w:cs="Verdana"/>
          </w:rPr>
          <w:t>https://forms.office.com/r/pPHyWVs2SZ</w:t>
        </w:r>
      </w:hyperlink>
      <w:r w:rsidRPr="30821638">
        <w:rPr>
          <w:rFonts w:ascii="Verdana" w:eastAsia="Verdana" w:hAnsi="Verdana" w:cs="Verdana"/>
        </w:rPr>
        <w:t xml:space="preserve"> .¡Ayúdanos a mejorar porque el compromiso es de todos!</w:t>
      </w:r>
    </w:p>
    <w:p w14:paraId="68AACA9F" w14:textId="77777777" w:rsidR="00D00370" w:rsidRDefault="00D00370" w:rsidP="00D00370">
      <w:pPr>
        <w:spacing w:after="0" w:line="276" w:lineRule="auto"/>
        <w:rPr>
          <w:rFonts w:ascii="Verdana" w:eastAsia="Verdana" w:hAnsi="Verdana" w:cs="Verdana"/>
        </w:rPr>
      </w:pPr>
    </w:p>
    <w:p w14:paraId="679293C2" w14:textId="77777777" w:rsidR="00D00370" w:rsidRPr="00116940" w:rsidRDefault="00D00370" w:rsidP="00D00370">
      <w:pPr>
        <w:spacing w:after="0" w:line="276" w:lineRule="auto"/>
        <w:rPr>
          <w:rFonts w:ascii="Verdana" w:eastAsia="Verdana" w:hAnsi="Verdana" w:cs="Verdana"/>
        </w:rPr>
      </w:pPr>
    </w:p>
    <w:p w14:paraId="30F1610F" w14:textId="77777777" w:rsidR="00D00370" w:rsidRPr="00116940" w:rsidRDefault="00D00370" w:rsidP="00D00370">
      <w:pPr>
        <w:spacing w:after="0" w:line="276" w:lineRule="auto"/>
        <w:rPr>
          <w:rFonts w:ascii="Verdana" w:eastAsia="Verdana" w:hAnsi="Verdana" w:cs="Verdana"/>
        </w:rPr>
      </w:pPr>
    </w:p>
    <w:p w14:paraId="372558E9" w14:textId="58F2438A" w:rsidR="00D00370" w:rsidRDefault="0023646A" w:rsidP="00D00370">
      <w:pPr>
        <w:spacing w:after="0" w:line="276" w:lineRule="auto"/>
        <w:jc w:val="both"/>
        <w:rPr>
          <w:rFonts w:ascii="Verdana" w:eastAsia="Verdana" w:hAnsi="Verdana" w:cs="Verdana"/>
          <w:lang w:val="es-MX"/>
        </w:rPr>
      </w:pPr>
      <w:r w:rsidRPr="00085A57">
        <w:rPr>
          <w:rFonts w:ascii="Verdana" w:hAnsi="Verdana" w:cs="Arial"/>
          <w:noProof/>
          <w:color w:val="000000"/>
          <w:lang w:eastAsia="es-CO"/>
        </w:rPr>
        <w:drawing>
          <wp:anchor distT="0" distB="0" distL="114300" distR="114300" simplePos="0" relativeHeight="251658241" behindDoc="1" locked="0" layoutInCell="1" allowOverlap="1" wp14:anchorId="02DBD9D8" wp14:editId="526F7B76">
            <wp:simplePos x="0" y="0"/>
            <wp:positionH relativeFrom="column">
              <wp:posOffset>1482473</wp:posOffset>
            </wp:positionH>
            <wp:positionV relativeFrom="paragraph">
              <wp:posOffset>50836</wp:posOffset>
            </wp:positionV>
            <wp:extent cx="3316915" cy="1313202"/>
            <wp:effectExtent l="0" t="0" r="0" b="1270"/>
            <wp:wrapTight wrapText="bothSides">
              <wp:wrapPolygon edited="0">
                <wp:start x="0" y="0"/>
                <wp:lineTo x="0" y="21308"/>
                <wp:lineTo x="21464" y="21308"/>
                <wp:lineTo x="21464" y="0"/>
                <wp:lineTo x="0" y="0"/>
              </wp:wrapPolygon>
            </wp:wrapTight>
            <wp:docPr id="191880816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316915" cy="1313202"/>
                    </a:xfrm>
                    <a:prstGeom prst="rect">
                      <a:avLst/>
                    </a:prstGeom>
                    <a:noFill/>
                    <a:ln>
                      <a:noFill/>
                    </a:ln>
                  </pic:spPr>
                </pic:pic>
              </a:graphicData>
            </a:graphic>
          </wp:anchor>
        </w:drawing>
      </w:r>
      <w:r w:rsidR="00D00370" w:rsidRPr="30821638">
        <w:rPr>
          <w:rFonts w:ascii="Verdana" w:eastAsia="Verdana" w:hAnsi="Verdana" w:cs="Verdana"/>
          <w:lang w:val="es-MX"/>
        </w:rPr>
        <w:t>Cordialmente,</w:t>
      </w:r>
      <w:r w:rsidR="00D00370">
        <w:rPr>
          <w:rFonts w:ascii="Verdana" w:eastAsia="Verdana" w:hAnsi="Verdana" w:cs="Verdana"/>
          <w:lang w:val="es-MX"/>
        </w:rPr>
        <w:t xml:space="preserve"> </w:t>
      </w:r>
    </w:p>
    <w:p w14:paraId="2ED0C208" w14:textId="1625F0A9" w:rsidR="00D00370" w:rsidRDefault="00D00370" w:rsidP="00D00370">
      <w:pPr>
        <w:spacing w:after="0" w:line="240" w:lineRule="auto"/>
        <w:jc w:val="both"/>
        <w:rPr>
          <w:rFonts w:ascii="Verdana" w:eastAsia="Verdana" w:hAnsi="Verdana" w:cs="Verdana"/>
          <w:lang w:val="es-MX"/>
        </w:rPr>
      </w:pPr>
    </w:p>
    <w:p w14:paraId="19B06927" w14:textId="77777777" w:rsidR="00D00370" w:rsidRDefault="00D00370" w:rsidP="00D00370">
      <w:pPr>
        <w:spacing w:after="120" w:line="276" w:lineRule="auto"/>
        <w:contextualSpacing/>
        <w:jc w:val="both"/>
        <w:rPr>
          <w:rFonts w:ascii="Verdana" w:eastAsia="Aptos" w:hAnsi="Verdana" w:cs="Arial"/>
          <w:shd w:val="clear" w:color="auto" w:fill="FFFFFF"/>
          <w:lang w:val="es-ES"/>
        </w:rPr>
      </w:pPr>
    </w:p>
    <w:p w14:paraId="1FBEB225" w14:textId="77777777" w:rsidR="00D00370" w:rsidRDefault="00D00370" w:rsidP="00D00370">
      <w:pPr>
        <w:spacing w:after="120" w:line="276" w:lineRule="auto"/>
        <w:contextualSpacing/>
        <w:jc w:val="both"/>
        <w:rPr>
          <w:rFonts w:ascii="Verdana" w:eastAsia="Aptos" w:hAnsi="Verdana" w:cs="Arial"/>
          <w:shd w:val="clear" w:color="auto" w:fill="FFFFFF"/>
          <w:lang w:val="es-ES"/>
        </w:rPr>
      </w:pPr>
    </w:p>
    <w:p w14:paraId="71C4F906" w14:textId="77777777" w:rsidR="00D00370" w:rsidRDefault="00D00370" w:rsidP="00D00370">
      <w:pPr>
        <w:spacing w:after="120" w:line="276" w:lineRule="auto"/>
        <w:contextualSpacing/>
        <w:jc w:val="both"/>
        <w:rPr>
          <w:rFonts w:ascii="Verdana" w:eastAsia="Aptos" w:hAnsi="Verdana" w:cs="Arial"/>
          <w:shd w:val="clear" w:color="auto" w:fill="FFFFFF"/>
          <w:lang w:val="es-ES"/>
        </w:rPr>
      </w:pPr>
    </w:p>
    <w:p w14:paraId="2AB4C4A1" w14:textId="77777777" w:rsidR="008836D8" w:rsidRDefault="008836D8" w:rsidP="00D00370">
      <w:pPr>
        <w:spacing w:after="120" w:line="276" w:lineRule="auto"/>
        <w:contextualSpacing/>
        <w:jc w:val="both"/>
        <w:rPr>
          <w:rFonts w:ascii="Verdana" w:eastAsia="Aptos" w:hAnsi="Verdana" w:cs="Arial"/>
          <w:shd w:val="clear" w:color="auto" w:fill="FFFFFF"/>
          <w:lang w:val="es-ES"/>
        </w:rPr>
      </w:pPr>
    </w:p>
    <w:p w14:paraId="2C92553D" w14:textId="77777777" w:rsidR="00D00370" w:rsidRDefault="00D00370" w:rsidP="00D00370">
      <w:pPr>
        <w:spacing w:after="120" w:line="276" w:lineRule="auto"/>
        <w:contextualSpacing/>
        <w:jc w:val="both"/>
        <w:rPr>
          <w:rFonts w:ascii="Verdana" w:eastAsia="Aptos" w:hAnsi="Verdana" w:cs="Arial"/>
          <w:shd w:val="clear" w:color="auto" w:fill="FFFFFF"/>
          <w:lang w:val="es-ES"/>
        </w:rPr>
      </w:pPr>
    </w:p>
    <w:p w14:paraId="04DCDAF5" w14:textId="77777777" w:rsidR="00D00370" w:rsidRDefault="00D00370" w:rsidP="00D00370">
      <w:pPr>
        <w:spacing w:after="120" w:line="276" w:lineRule="auto"/>
        <w:contextualSpacing/>
        <w:jc w:val="both"/>
        <w:rPr>
          <w:rFonts w:ascii="Verdana" w:eastAsia="Aptos" w:hAnsi="Verdana" w:cs="Arial"/>
          <w:shd w:val="clear" w:color="auto" w:fill="FFFFFF"/>
          <w:lang w:val="es-ES"/>
        </w:rPr>
      </w:pPr>
    </w:p>
    <w:tbl>
      <w:tblPr>
        <w:tblStyle w:val="TableGrid"/>
        <w:tblW w:w="63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36"/>
      </w:tblGrid>
      <w:tr w:rsidR="00D00370" w:rsidRPr="004C0111" w14:paraId="7F3446E7" w14:textId="77777777" w:rsidTr="004914C3">
        <w:trPr>
          <w:trHeight w:val="622"/>
        </w:trPr>
        <w:tc>
          <w:tcPr>
            <w:tcW w:w="893" w:type="dxa"/>
            <w:vAlign w:val="center"/>
            <w:hideMark/>
          </w:tcPr>
          <w:p w14:paraId="27C89BA8" w14:textId="77777777" w:rsidR="00D00370" w:rsidRPr="004C0111" w:rsidRDefault="00D00370" w:rsidP="004914C3">
            <w:pPr>
              <w:rPr>
                <w:rFonts w:ascii="Verdana" w:eastAsia="Calibri" w:hAnsi="Verdana" w:cs="Arial"/>
                <w:sz w:val="16"/>
                <w:szCs w:val="16"/>
                <w:lang w:val="es-ES_tradnl"/>
              </w:rPr>
            </w:pPr>
            <w:r w:rsidRPr="004C0111">
              <w:rPr>
                <w:rFonts w:ascii="Verdana" w:eastAsia="Calibri" w:hAnsi="Verdana" w:cs="Arial"/>
                <w:sz w:val="16"/>
                <w:szCs w:val="16"/>
                <w:lang w:val="es-ES_tradnl"/>
              </w:rPr>
              <w:t>Elaboró:</w:t>
            </w:r>
          </w:p>
        </w:tc>
        <w:tc>
          <w:tcPr>
            <w:tcW w:w="5436" w:type="dxa"/>
            <w:tcBorders>
              <w:top w:val="nil"/>
              <w:left w:val="nil"/>
              <w:bottom w:val="dotted" w:sz="4" w:space="0" w:color="7F7F7F" w:themeColor="text1" w:themeTint="80"/>
              <w:right w:val="nil"/>
            </w:tcBorders>
            <w:vAlign w:val="center"/>
            <w:hideMark/>
          </w:tcPr>
          <w:tbl>
            <w:tblPr>
              <w:tblW w:w="509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91"/>
            </w:tblGrid>
            <w:tr w:rsidR="00D00370" w:rsidRPr="004C0111" w14:paraId="7071EFC5" w14:textId="77777777" w:rsidTr="004914C3">
              <w:trPr>
                <w:trHeight w:val="45"/>
              </w:trPr>
              <w:tc>
                <w:tcPr>
                  <w:tcW w:w="5091" w:type="dxa"/>
                  <w:tcBorders>
                    <w:top w:val="dotted" w:sz="6" w:space="0" w:color="7F7F7F" w:themeColor="text1" w:themeTint="80"/>
                    <w:left w:val="nil"/>
                    <w:bottom w:val="dotted" w:sz="6" w:space="0" w:color="7F7F7F" w:themeColor="text1" w:themeTint="80"/>
                    <w:right w:val="nil"/>
                  </w:tcBorders>
                  <w:vAlign w:val="center"/>
                  <w:hideMark/>
                </w:tcPr>
                <w:p w14:paraId="56084DC7" w14:textId="77777777" w:rsidR="00D00370" w:rsidRPr="004C0111" w:rsidRDefault="00D00370" w:rsidP="004914C3">
                  <w:pPr>
                    <w:spacing w:after="0" w:line="240" w:lineRule="auto"/>
                    <w:rPr>
                      <w:rFonts w:ascii="Verdana" w:eastAsia="Times New Roman" w:hAnsi="Verdana" w:cs="Arial"/>
                      <w:sz w:val="16"/>
                      <w:szCs w:val="16"/>
                      <w:lang w:val="es-ES" w:eastAsia="es-ES"/>
                    </w:rPr>
                  </w:pPr>
                  <w:r w:rsidRPr="731A4B47">
                    <w:rPr>
                      <w:rFonts w:ascii="Verdana" w:eastAsia="Times New Roman" w:hAnsi="Verdana" w:cs="Arial"/>
                      <w:sz w:val="16"/>
                      <w:szCs w:val="16"/>
                      <w:lang w:val="es-ES" w:eastAsia="es-ES"/>
                    </w:rPr>
                    <w:t>Kelmis Yirama Brugés Alvarado</w:t>
                  </w:r>
                </w:p>
                <w:p w14:paraId="179CABA7" w14:textId="77777777" w:rsidR="00D00370" w:rsidRPr="004C0111" w:rsidRDefault="00D00370" w:rsidP="004914C3">
                  <w:pPr>
                    <w:spacing w:after="0" w:line="240" w:lineRule="auto"/>
                    <w:rPr>
                      <w:rFonts w:ascii="Verdana" w:eastAsia="Times New Roman" w:hAnsi="Verdana" w:cs="Arial"/>
                      <w:sz w:val="16"/>
                      <w:szCs w:val="16"/>
                      <w:lang w:val="es-MX" w:eastAsia="es-CO"/>
                    </w:rPr>
                  </w:pPr>
                  <w:r w:rsidRPr="004C0111">
                    <w:rPr>
                      <w:rFonts w:ascii="Verdana" w:eastAsia="Times New Roman" w:hAnsi="Verdana" w:cs="Arial"/>
                      <w:sz w:val="16"/>
                      <w:szCs w:val="16"/>
                      <w:lang w:eastAsia="es-ES"/>
                    </w:rPr>
                    <w:t>Analista T2-</w:t>
                  </w:r>
                  <w:r>
                    <w:rPr>
                      <w:rFonts w:ascii="Verdana" w:eastAsia="Times New Roman" w:hAnsi="Verdana" w:cs="Arial"/>
                      <w:sz w:val="16"/>
                      <w:szCs w:val="16"/>
                      <w:lang w:eastAsia="es-ES"/>
                    </w:rPr>
                    <w:t>04</w:t>
                  </w:r>
                  <w:r w:rsidRPr="004C0111">
                    <w:rPr>
                      <w:rFonts w:ascii="Verdana" w:eastAsia="Times New Roman" w:hAnsi="Verdana" w:cs="Arial"/>
                      <w:sz w:val="16"/>
                      <w:szCs w:val="16"/>
                      <w:lang w:eastAsia="es-ES"/>
                    </w:rPr>
                    <w:t xml:space="preserve"> de la Subdirección de Gestión Contractual</w:t>
                  </w:r>
                </w:p>
              </w:tc>
            </w:tr>
          </w:tbl>
          <w:p w14:paraId="5E084B0E" w14:textId="77777777" w:rsidR="00D00370" w:rsidRPr="004C0111" w:rsidRDefault="00D00370" w:rsidP="004914C3">
            <w:pPr>
              <w:rPr>
                <w:rFonts w:ascii="Verdana" w:eastAsia="Calibri" w:hAnsi="Verdana" w:cs="Arial"/>
                <w:sz w:val="16"/>
                <w:szCs w:val="16"/>
                <w:lang w:val="es-MX"/>
              </w:rPr>
            </w:pPr>
          </w:p>
        </w:tc>
      </w:tr>
      <w:tr w:rsidR="00D00370" w:rsidRPr="004C0111" w14:paraId="029FCF4A" w14:textId="77777777" w:rsidTr="004914C3">
        <w:trPr>
          <w:trHeight w:val="330"/>
        </w:trPr>
        <w:tc>
          <w:tcPr>
            <w:tcW w:w="893" w:type="dxa"/>
            <w:vAlign w:val="center"/>
            <w:hideMark/>
          </w:tcPr>
          <w:p w14:paraId="1390FE90" w14:textId="77777777" w:rsidR="00D00370" w:rsidRPr="004C0111" w:rsidRDefault="00D00370" w:rsidP="004914C3">
            <w:pPr>
              <w:rPr>
                <w:rFonts w:ascii="Verdana" w:eastAsia="Calibri" w:hAnsi="Verdana" w:cs="Arial"/>
                <w:sz w:val="16"/>
                <w:szCs w:val="16"/>
                <w:lang w:val="es-ES_tradnl"/>
              </w:rPr>
            </w:pPr>
            <w:r w:rsidRPr="004C0111">
              <w:rPr>
                <w:rFonts w:ascii="Verdana" w:eastAsia="Calibri" w:hAnsi="Verdana" w:cs="Arial"/>
                <w:sz w:val="16"/>
                <w:szCs w:val="16"/>
                <w:lang w:val="es-ES_tradnl"/>
              </w:rPr>
              <w:t>Revisó:</w:t>
            </w:r>
          </w:p>
        </w:tc>
        <w:tc>
          <w:tcPr>
            <w:tcW w:w="5436" w:type="dxa"/>
            <w:tcBorders>
              <w:top w:val="dotted" w:sz="4" w:space="0" w:color="7F7F7F" w:themeColor="text1" w:themeTint="80"/>
              <w:left w:val="nil"/>
              <w:bottom w:val="dotted" w:sz="4" w:space="0" w:color="7F7F7F" w:themeColor="text1" w:themeTint="80"/>
              <w:right w:val="nil"/>
            </w:tcBorders>
            <w:vAlign w:val="center"/>
            <w:hideMark/>
          </w:tcPr>
          <w:p w14:paraId="3C828A7E" w14:textId="5BCFBD03" w:rsidR="00D00370" w:rsidRPr="004C0111" w:rsidRDefault="004F3E84" w:rsidP="004914C3">
            <w:pPr>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 xml:space="preserve">Adriana López Rodríguez </w:t>
            </w:r>
          </w:p>
          <w:p w14:paraId="7707D5BE" w14:textId="77777777" w:rsidR="00D00370" w:rsidRPr="004C0111" w:rsidRDefault="00D00370" w:rsidP="004914C3">
            <w:pPr>
              <w:textAlignment w:val="baseline"/>
              <w:rPr>
                <w:rFonts w:ascii="Verdana" w:eastAsia="Times New Roman" w:hAnsi="Verdana" w:cs="Arial"/>
                <w:sz w:val="16"/>
                <w:szCs w:val="16"/>
                <w:lang w:val="es-MX" w:eastAsia="es-CO"/>
              </w:rPr>
            </w:pPr>
            <w:r>
              <w:rPr>
                <w:rFonts w:ascii="Verdana" w:eastAsia="Times New Roman" w:hAnsi="Verdana" w:cs="Arial"/>
                <w:sz w:val="16"/>
                <w:szCs w:val="16"/>
                <w:lang w:eastAsia="es-CO"/>
              </w:rPr>
              <w:t xml:space="preserve">Contratista </w:t>
            </w:r>
            <w:r w:rsidRPr="004C0111">
              <w:rPr>
                <w:rFonts w:ascii="Verdana" w:eastAsia="Times New Roman" w:hAnsi="Verdana" w:cs="Arial"/>
                <w:sz w:val="16"/>
                <w:szCs w:val="16"/>
                <w:lang w:eastAsia="es-CO"/>
              </w:rPr>
              <w:t>de la Subdirección de Gestión Contractual</w:t>
            </w:r>
          </w:p>
        </w:tc>
      </w:tr>
      <w:tr w:rsidR="00D00370" w:rsidRPr="004C0111" w14:paraId="28E6C2D4" w14:textId="77777777" w:rsidTr="004914C3">
        <w:trPr>
          <w:trHeight w:val="77"/>
        </w:trPr>
        <w:tc>
          <w:tcPr>
            <w:tcW w:w="893" w:type="dxa"/>
            <w:vAlign w:val="center"/>
          </w:tcPr>
          <w:p w14:paraId="47E007B3" w14:textId="77777777" w:rsidR="00D00370" w:rsidRPr="004C0111" w:rsidRDefault="00D00370" w:rsidP="004914C3">
            <w:pPr>
              <w:rPr>
                <w:rFonts w:ascii="Verdana" w:eastAsia="Calibri" w:hAnsi="Verdana" w:cs="Arial"/>
                <w:sz w:val="16"/>
                <w:szCs w:val="16"/>
                <w:lang w:val="es-ES_tradnl"/>
              </w:rPr>
            </w:pPr>
            <w:r w:rsidRPr="004C0111">
              <w:rPr>
                <w:rFonts w:ascii="Verdana" w:eastAsia="Calibri" w:hAnsi="Verdana" w:cs="Arial"/>
                <w:sz w:val="16"/>
                <w:szCs w:val="16"/>
                <w:lang w:val="es-ES_tradnl"/>
              </w:rPr>
              <w:t>Aprobó:</w:t>
            </w:r>
          </w:p>
        </w:tc>
        <w:tc>
          <w:tcPr>
            <w:tcW w:w="5436" w:type="dxa"/>
            <w:tcBorders>
              <w:top w:val="dotted" w:sz="4" w:space="0" w:color="7F7F7F" w:themeColor="text1" w:themeTint="80"/>
              <w:left w:val="nil"/>
              <w:bottom w:val="dotted" w:sz="4" w:space="0" w:color="7F7F7F" w:themeColor="text1" w:themeTint="80"/>
              <w:right w:val="nil"/>
            </w:tcBorders>
            <w:vAlign w:val="center"/>
          </w:tcPr>
          <w:p w14:paraId="7894323F" w14:textId="77777777" w:rsidR="00D00370" w:rsidRPr="002F2853" w:rsidRDefault="00D00370" w:rsidP="004914C3">
            <w:pPr>
              <w:rPr>
                <w:rFonts w:ascii="Verdana" w:eastAsia="Times New Roman" w:hAnsi="Verdana" w:cs="Arial"/>
                <w:sz w:val="16"/>
                <w:szCs w:val="16"/>
                <w:lang w:eastAsia="es-ES"/>
              </w:rPr>
            </w:pPr>
            <w:r w:rsidRPr="002F2853">
              <w:rPr>
                <w:rFonts w:ascii="Verdana" w:eastAsia="Times New Roman" w:hAnsi="Verdana" w:cs="Arial"/>
                <w:sz w:val="16"/>
                <w:szCs w:val="16"/>
                <w:lang w:eastAsia="es-ES"/>
              </w:rPr>
              <w:t>Carolina Quintero Gacharná</w:t>
            </w:r>
          </w:p>
          <w:p w14:paraId="68589205" w14:textId="77777777" w:rsidR="00D00370" w:rsidRPr="004C0111" w:rsidRDefault="00D00370" w:rsidP="004914C3">
            <w:pPr>
              <w:rPr>
                <w:rFonts w:ascii="Verdana" w:eastAsia="Calibri" w:hAnsi="Verdana" w:cs="Arial"/>
                <w:sz w:val="16"/>
                <w:szCs w:val="16"/>
                <w:lang w:val="es-ES_tradnl"/>
              </w:rPr>
            </w:pPr>
            <w:r w:rsidRPr="002F2853">
              <w:rPr>
                <w:rFonts w:ascii="Verdana" w:eastAsia="Times New Roman" w:hAnsi="Verdana" w:cs="Arial"/>
                <w:sz w:val="16"/>
                <w:szCs w:val="16"/>
                <w:lang w:eastAsia="es-ES"/>
              </w:rPr>
              <w:t>Subdirectora de Gestión Contractual ANCP – CCE</w:t>
            </w:r>
          </w:p>
        </w:tc>
      </w:tr>
    </w:tbl>
    <w:p w14:paraId="1006A388" w14:textId="77777777" w:rsidR="00C15139" w:rsidRPr="00397205" w:rsidRDefault="00C15139" w:rsidP="008836D8">
      <w:pPr>
        <w:spacing w:after="120" w:line="276" w:lineRule="auto"/>
        <w:jc w:val="both"/>
        <w:textAlignment w:val="baseline"/>
        <w:rPr>
          <w:rFonts w:ascii="Verdana" w:eastAsia="Verdana" w:hAnsi="Verdana" w:cs="Verdana"/>
          <w:lang w:eastAsia="es-CO"/>
        </w:rPr>
      </w:pPr>
    </w:p>
    <w:p w14:paraId="69BC4D14" w14:textId="236C8B3A"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4AB69992" w14:textId="3133F014" w:rsidR="00C15139" w:rsidRPr="000E2B93" w:rsidRDefault="00C15139" w:rsidP="008C0A9B">
      <w:pPr>
        <w:spacing w:after="0" w:line="240" w:lineRule="auto"/>
        <w:textAlignment w:val="baseline"/>
        <w:rPr>
          <w:rFonts w:ascii="Verdana" w:eastAsia="Verdana" w:hAnsi="Verdana" w:cs="Verdana"/>
          <w:lang w:eastAsia="es-CO"/>
        </w:rPr>
      </w:pPr>
    </w:p>
    <w:p w14:paraId="6DEE99E4" w14:textId="7F595226" w:rsidR="2C4D2425" w:rsidRDefault="2C4D2425" w:rsidP="2C4D2425">
      <w:pPr>
        <w:spacing w:after="0" w:line="240" w:lineRule="auto"/>
        <w:rPr>
          <w:rFonts w:ascii="Verdana" w:eastAsia="Verdana" w:hAnsi="Verdana" w:cs="Verdana"/>
          <w:lang w:eastAsia="es-CO"/>
        </w:rPr>
      </w:pPr>
    </w:p>
    <w:p w14:paraId="57A1B8D4" w14:textId="7CF63106" w:rsidR="2C4D2425" w:rsidRDefault="2C4D2425" w:rsidP="2C4D2425">
      <w:pPr>
        <w:spacing w:after="0" w:line="240" w:lineRule="auto"/>
        <w:rPr>
          <w:rFonts w:ascii="Verdana" w:eastAsia="Verdana" w:hAnsi="Verdana" w:cs="Verdana"/>
          <w:lang w:eastAsia="es-CO"/>
        </w:rPr>
      </w:pPr>
    </w:p>
    <w:bookmarkEnd w:id="0"/>
    <w:p w14:paraId="0F293BF4" w14:textId="1A67DD40" w:rsidR="00127233" w:rsidRPr="0015699B" w:rsidRDefault="00127233" w:rsidP="008C0A9B">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4E4EBA" w14:textId="77777777" w:rsidR="00C64438" w:rsidRDefault="00C64438" w:rsidP="004A1847">
      <w:pPr>
        <w:spacing w:after="0" w:line="240" w:lineRule="auto"/>
      </w:pPr>
      <w:r>
        <w:separator/>
      </w:r>
    </w:p>
  </w:endnote>
  <w:endnote w:type="continuationSeparator" w:id="0">
    <w:p w14:paraId="7E519424" w14:textId="77777777" w:rsidR="00C64438" w:rsidRDefault="00C6443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alibri"/>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BCDHEE+Verdana">
    <w:altName w:val="Verdana"/>
    <w:panose1 w:val="00000000000000000000"/>
    <w:charset w:val="00"/>
    <w:family w:val="swiss"/>
    <w:notTrueType/>
    <w:pitch w:val="default"/>
    <w:sig w:usb0="00000003" w:usb1="00000000" w:usb2="00000000" w:usb3="00000000" w:csb0="00000001" w:csb1="00000000"/>
  </w:font>
  <w:font w:name="Aptos">
    <w:panose1 w:val="00000000000000000000"/>
    <w:charset w:val="00"/>
    <w:family w:val="roman"/>
    <w:notTrueType/>
    <w:pitch w:val="default"/>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Footer"/>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7E290B" w14:textId="77777777" w:rsidR="00C64438" w:rsidRDefault="00C64438" w:rsidP="004A1847">
      <w:pPr>
        <w:spacing w:after="0" w:line="240" w:lineRule="auto"/>
      </w:pPr>
      <w:r>
        <w:separator/>
      </w:r>
    </w:p>
  </w:footnote>
  <w:footnote w:type="continuationSeparator" w:id="0">
    <w:p w14:paraId="3A39706E" w14:textId="77777777" w:rsidR="00C64438" w:rsidRDefault="00C64438" w:rsidP="004A1847">
      <w:pPr>
        <w:spacing w:after="0" w:line="240" w:lineRule="auto"/>
      </w:pPr>
      <w:r>
        <w:continuationSeparator/>
      </w:r>
    </w:p>
  </w:footnote>
  <w:footnote w:id="1">
    <w:p w14:paraId="3C7F2AF1" w14:textId="77777777" w:rsidR="00B94871" w:rsidRPr="00C05384" w:rsidRDefault="00B94871" w:rsidP="00B94871">
      <w:pPr>
        <w:pStyle w:val="FootnoteText"/>
        <w:ind w:firstLine="709"/>
        <w:jc w:val="both"/>
        <w:rPr>
          <w:rFonts w:ascii="Verdana" w:hAnsi="Verdana" w:cs="Arial"/>
          <w:sz w:val="16"/>
          <w:szCs w:val="16"/>
        </w:rPr>
      </w:pPr>
    </w:p>
    <w:p w14:paraId="759F35F1" w14:textId="77777777" w:rsidR="00B94871" w:rsidRPr="00C05384" w:rsidRDefault="00B94871" w:rsidP="00B94871">
      <w:pPr>
        <w:pStyle w:val="FootnoteText"/>
        <w:ind w:firstLine="709"/>
        <w:jc w:val="both"/>
        <w:rPr>
          <w:rFonts w:ascii="Verdana" w:hAnsi="Verdana" w:cs="Arial"/>
          <w:sz w:val="16"/>
          <w:szCs w:val="16"/>
        </w:rPr>
      </w:pPr>
      <w:r w:rsidRPr="00C05384">
        <w:rPr>
          <w:rStyle w:val="FootnoteReference"/>
          <w:rFonts w:ascii="Verdana" w:hAnsi="Verdana" w:cs="Arial"/>
          <w:sz w:val="16"/>
          <w:szCs w:val="16"/>
        </w:rPr>
        <w:footnoteRef/>
      </w:r>
      <w:r w:rsidRPr="00C05384">
        <w:rPr>
          <w:rFonts w:ascii="Verdana" w:hAnsi="Verdana" w:cs="Arial"/>
          <w:sz w:val="16"/>
          <w:szCs w:val="16"/>
        </w:rPr>
        <w:t xml:space="preserve"> Gaceta del Congreso de la República No. 71 del 2005.</w:t>
      </w:r>
    </w:p>
    <w:p w14:paraId="77E548F2" w14:textId="77777777" w:rsidR="00B94871" w:rsidRPr="00C05384" w:rsidRDefault="00B94871" w:rsidP="00B94871">
      <w:pPr>
        <w:pStyle w:val="FootnoteText"/>
        <w:ind w:firstLine="709"/>
        <w:jc w:val="both"/>
        <w:rPr>
          <w:rFonts w:ascii="Verdana" w:hAnsi="Verdana" w:cs="Arial"/>
          <w:sz w:val="16"/>
          <w:szCs w:val="16"/>
        </w:rPr>
      </w:pPr>
    </w:p>
  </w:footnote>
  <w:footnote w:id="2">
    <w:p w14:paraId="322C696C" w14:textId="77777777" w:rsidR="00B94871" w:rsidRPr="00C05384" w:rsidRDefault="00B94871" w:rsidP="00B94871">
      <w:pPr>
        <w:pStyle w:val="FootnoteText"/>
        <w:ind w:firstLine="709"/>
        <w:jc w:val="both"/>
        <w:rPr>
          <w:rFonts w:ascii="Verdana" w:hAnsi="Verdana" w:cs="Arial"/>
          <w:sz w:val="16"/>
          <w:szCs w:val="16"/>
          <w:lang w:val="pt-BR"/>
        </w:rPr>
      </w:pPr>
      <w:r w:rsidRPr="00C05384">
        <w:rPr>
          <w:rStyle w:val="FootnoteReferenc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Monroy Cabra.</w:t>
      </w:r>
    </w:p>
  </w:footnote>
  <w:footnote w:id="3">
    <w:p w14:paraId="6CD5114C" w14:textId="201A58B3" w:rsidR="00B94871" w:rsidRPr="00C05384" w:rsidRDefault="00B94871" w:rsidP="00B94871">
      <w:pPr>
        <w:pStyle w:val="FootnoteText"/>
        <w:ind w:firstLine="709"/>
        <w:jc w:val="both"/>
        <w:rPr>
          <w:rFonts w:ascii="Verdana" w:hAnsi="Verdana" w:cs="Arial"/>
          <w:sz w:val="16"/>
          <w:szCs w:val="16"/>
          <w:lang w:val="pt-BR"/>
        </w:rPr>
      </w:pPr>
      <w:r w:rsidRPr="00C05384">
        <w:rPr>
          <w:rStyle w:val="FootnoteReferenc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w:t>
      </w:r>
      <w:r w:rsidR="00164B8F" w:rsidRPr="00C05384">
        <w:rPr>
          <w:rFonts w:ascii="Verdana" w:hAnsi="Verdana" w:cs="Arial"/>
          <w:sz w:val="16"/>
          <w:szCs w:val="16"/>
          <w:lang w:val="pt-BR"/>
        </w:rPr>
        <w:t>Julio</w:t>
      </w:r>
      <w:r w:rsidRPr="00C05384">
        <w:rPr>
          <w:rFonts w:ascii="Verdana" w:hAnsi="Verdana" w:cs="Arial"/>
          <w:sz w:val="16"/>
          <w:szCs w:val="16"/>
          <w:lang w:val="pt-BR"/>
        </w:rPr>
        <w:t xml:space="preserve"> de 2003, expediente: CRF-001 de 9 de </w:t>
      </w:r>
      <w:r w:rsidR="00164B8F" w:rsidRPr="00C05384">
        <w:rPr>
          <w:rFonts w:ascii="Verdana" w:hAnsi="Verdana" w:cs="Arial"/>
          <w:sz w:val="16"/>
          <w:szCs w:val="16"/>
          <w:lang w:val="pt-BR"/>
        </w:rPr>
        <w:t>Julio</w:t>
      </w:r>
      <w:r w:rsidRPr="00C05384">
        <w:rPr>
          <w:rFonts w:ascii="Verdana" w:hAnsi="Verdana" w:cs="Arial"/>
          <w:sz w:val="16"/>
          <w:szCs w:val="16"/>
          <w:lang w:val="pt-BR"/>
        </w:rPr>
        <w:t xml:space="preserve"> de 2003; C-652 de 5 de agosto de 2003, expediente: D-4330; C-353 de 20 de may</w:t>
      </w:r>
      <w:r w:rsidR="00164B8F">
        <w:rPr>
          <w:rFonts w:ascii="Verdana" w:hAnsi="Verdana" w:cs="Arial"/>
          <w:sz w:val="16"/>
          <w:szCs w:val="16"/>
          <w:lang w:val="pt-BR"/>
        </w:rPr>
        <w:t>o</w:t>
      </w:r>
      <w:r w:rsidRPr="00C05384">
        <w:rPr>
          <w:rFonts w:ascii="Verdana" w:hAnsi="Verdana" w:cs="Arial"/>
          <w:sz w:val="16"/>
          <w:szCs w:val="16"/>
          <w:lang w:val="pt-BR"/>
        </w:rPr>
        <w:t xml:space="preserve"> de 2009, expediente: D-7518, C-541 de 30 de junio de 2010, expediente: DD7966; entre otras.</w:t>
      </w:r>
    </w:p>
  </w:footnote>
  <w:footnote w:id="4">
    <w:p w14:paraId="4505923C" w14:textId="77777777" w:rsidR="00B94871" w:rsidRPr="00C05384" w:rsidRDefault="00B94871" w:rsidP="00B94871">
      <w:pPr>
        <w:pStyle w:val="FootnoteText"/>
        <w:ind w:firstLine="709"/>
        <w:jc w:val="both"/>
        <w:rPr>
          <w:rFonts w:ascii="Verdana" w:hAnsi="Verdana" w:cs="Arial"/>
          <w:sz w:val="16"/>
          <w:szCs w:val="16"/>
          <w:lang w:val="es-CO"/>
        </w:rPr>
      </w:pPr>
      <w:r w:rsidRPr="00C05384">
        <w:rPr>
          <w:rStyle w:val="FootnoteReferenc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5">
    <w:p w14:paraId="01C7EAEE" w14:textId="77777777" w:rsidR="00B94871" w:rsidRPr="00C05384" w:rsidRDefault="00B94871" w:rsidP="00B94871">
      <w:pPr>
        <w:pStyle w:val="FootnoteText"/>
        <w:ind w:firstLine="709"/>
        <w:jc w:val="both"/>
        <w:rPr>
          <w:rFonts w:ascii="Verdana" w:hAnsi="Verdana" w:cs="Arial"/>
          <w:sz w:val="16"/>
          <w:szCs w:val="16"/>
        </w:rPr>
      </w:pPr>
      <w:r w:rsidRPr="00C05384">
        <w:rPr>
          <w:rStyle w:val="FootnoteReferenc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Álvaro Namén Vargas.  </w:t>
      </w:r>
    </w:p>
  </w:footnote>
  <w:footnote w:id="6">
    <w:p w14:paraId="4F9CD0A5" w14:textId="77777777" w:rsidR="00A44612" w:rsidRPr="00C05384" w:rsidRDefault="00A44612" w:rsidP="00A44612">
      <w:pPr>
        <w:pStyle w:val="FootnoteText"/>
        <w:ind w:firstLine="709"/>
        <w:jc w:val="both"/>
        <w:rPr>
          <w:rFonts w:ascii="Verdana" w:hAnsi="Verdana"/>
          <w:sz w:val="16"/>
          <w:szCs w:val="16"/>
          <w:lang w:val="es-ES"/>
        </w:rPr>
      </w:pPr>
      <w:r w:rsidRPr="00C05384">
        <w:rPr>
          <w:rStyle w:val="FootnoteReference"/>
          <w:rFonts w:ascii="Verdana" w:hAnsi="Verdana"/>
          <w:sz w:val="16"/>
          <w:szCs w:val="16"/>
        </w:rPr>
        <w:footnoteRef/>
      </w:r>
      <w:r w:rsidRPr="00C05384">
        <w:rPr>
          <w:rFonts w:ascii="Verdana" w:hAnsi="Verdana"/>
          <w:sz w:val="16"/>
          <w:szCs w:val="16"/>
        </w:rPr>
        <w:t xml:space="preserve"> Consejo de Estado. Sala de Consulta y Servicio Civil. Concepto del 08 de mayo de 2018. Exp. 2.382. C.P. Álvaro Namén Vargas.</w:t>
      </w:r>
    </w:p>
  </w:footnote>
  <w:footnote w:id="7">
    <w:p w14:paraId="2394282F" w14:textId="77777777" w:rsidR="00637B00" w:rsidRPr="009B67C2" w:rsidRDefault="00637B00" w:rsidP="00637B00">
      <w:pPr>
        <w:pStyle w:val="FootnoteText"/>
        <w:ind w:firstLine="708"/>
        <w:jc w:val="both"/>
        <w:rPr>
          <w:rFonts w:ascii="Verdana" w:hAnsi="Verdana" w:cs="Arial"/>
          <w:color w:val="000000" w:themeColor="text1"/>
          <w:sz w:val="16"/>
          <w:szCs w:val="16"/>
        </w:rPr>
      </w:pPr>
      <w:r w:rsidRPr="009B67C2">
        <w:rPr>
          <w:rStyle w:val="FootnoteReference"/>
          <w:rFonts w:ascii="Verdana" w:hAnsi="Verdana" w:cs="Arial"/>
          <w:color w:val="000000" w:themeColor="text1"/>
          <w:sz w:val="16"/>
          <w:szCs w:val="16"/>
        </w:rPr>
        <w:footnoteRef/>
      </w:r>
      <w:r w:rsidRPr="009B67C2">
        <w:rPr>
          <w:rFonts w:ascii="Verdana" w:hAnsi="Verdana" w:cs="Arial"/>
          <w:color w:val="000000" w:themeColor="text1"/>
          <w:sz w:val="16"/>
          <w:szCs w:val="16"/>
        </w:rPr>
        <w:t xml:space="preserve"> “Artículo 11. Fondos De Servicios Educativos. Las instituciones educativas estatales podrán administrar Fondos de Servicios Educativos en los cuales se manejarán los recursos destinados a financiar gastos distintos a los de personal, que faciliten el funcionamiento de la institución”.</w:t>
      </w:r>
    </w:p>
  </w:footnote>
  <w:footnote w:id="8">
    <w:p w14:paraId="05D65F21" w14:textId="77777777" w:rsidR="00637B00" w:rsidRPr="009B67C2" w:rsidRDefault="00637B00" w:rsidP="00637B00">
      <w:pPr>
        <w:pStyle w:val="FootnoteText"/>
        <w:ind w:firstLine="708"/>
        <w:jc w:val="both"/>
        <w:rPr>
          <w:rFonts w:ascii="Verdana" w:hAnsi="Verdana" w:cs="Arial"/>
          <w:color w:val="000000" w:themeColor="text1"/>
          <w:sz w:val="16"/>
          <w:szCs w:val="16"/>
        </w:rPr>
      </w:pPr>
    </w:p>
    <w:p w14:paraId="0C0C367B" w14:textId="77777777" w:rsidR="00637B00" w:rsidRPr="009B67C2" w:rsidRDefault="00637B00" w:rsidP="00637B00">
      <w:pPr>
        <w:pStyle w:val="FootnoteText"/>
        <w:ind w:firstLine="708"/>
        <w:jc w:val="both"/>
        <w:rPr>
          <w:rFonts w:ascii="Verdana" w:hAnsi="Verdana" w:cs="Arial"/>
          <w:color w:val="000000" w:themeColor="text1"/>
          <w:sz w:val="16"/>
          <w:szCs w:val="16"/>
        </w:rPr>
      </w:pPr>
      <w:r w:rsidRPr="009B67C2">
        <w:rPr>
          <w:rStyle w:val="FootnoteReference"/>
          <w:rFonts w:ascii="Verdana" w:hAnsi="Verdana" w:cs="Arial"/>
          <w:color w:val="000000" w:themeColor="text1"/>
          <w:sz w:val="16"/>
          <w:szCs w:val="16"/>
        </w:rPr>
        <w:footnoteRef/>
      </w:r>
      <w:r w:rsidRPr="009B67C2">
        <w:rPr>
          <w:rStyle w:val="FootnoteReference"/>
          <w:rFonts w:ascii="Verdana" w:hAnsi="Verdana" w:cs="Arial"/>
          <w:color w:val="000000" w:themeColor="text1"/>
          <w:sz w:val="16"/>
          <w:szCs w:val="16"/>
        </w:rPr>
        <w:t xml:space="preserve"> </w:t>
      </w:r>
      <w:r w:rsidRPr="009B67C2">
        <w:rPr>
          <w:rFonts w:ascii="Verdana" w:hAnsi="Verdana" w:cs="Arial"/>
          <w:color w:val="000000" w:themeColor="text1"/>
          <w:sz w:val="16"/>
          <w:szCs w:val="16"/>
        </w:rPr>
        <w:t>Consejo de Estado. Sección Tercera Subsección A. Sentencia del 12 de octubre de 2017. Consejera Ponente: Marta Nubia Velásquez Rico. Radicación número: 68001-23-31-000-2005-03845-01(51.634).</w:t>
      </w:r>
    </w:p>
  </w:footnote>
  <w:footnote w:id="9">
    <w:p w14:paraId="4B92B6B8" w14:textId="77777777" w:rsidR="00637B00" w:rsidRPr="009B67C2" w:rsidRDefault="00637B00" w:rsidP="00637B00">
      <w:pPr>
        <w:pStyle w:val="NormalWeb"/>
        <w:spacing w:after="0"/>
        <w:ind w:firstLine="708"/>
        <w:jc w:val="both"/>
        <w:rPr>
          <w:rFonts w:ascii="Verdana" w:hAnsi="Verdana" w:cs="Arial"/>
          <w:sz w:val="16"/>
          <w:szCs w:val="16"/>
        </w:rPr>
      </w:pPr>
      <w:r w:rsidRPr="009B67C2">
        <w:rPr>
          <w:rStyle w:val="FootnoteReference"/>
          <w:rFonts w:ascii="Verdana" w:hAnsi="Verdana" w:cs="Arial"/>
          <w:sz w:val="16"/>
          <w:szCs w:val="16"/>
        </w:rPr>
        <w:footnoteRef/>
      </w:r>
      <w:r w:rsidRPr="009B67C2">
        <w:rPr>
          <w:rStyle w:val="FootnoteReference"/>
          <w:rFonts w:ascii="Verdana" w:hAnsi="Verdana" w:cs="Arial"/>
          <w:sz w:val="16"/>
          <w:szCs w:val="16"/>
        </w:rPr>
        <w:t xml:space="preserve"> </w:t>
      </w:r>
      <w:r w:rsidRPr="009B67C2">
        <w:rPr>
          <w:rFonts w:ascii="Verdana" w:hAnsi="Verdana" w:cs="Arial"/>
          <w:sz w:val="16"/>
          <w:szCs w:val="16"/>
        </w:rPr>
        <w:t>“Artículo 13. Procedimientos de contratación de los fondos de servicios educativos. Todos los actos y contratos que tengan por objeto bienes y obligaciones que hayan de registrarse en la contabilidad de los Fondos de servicios educativos a los que se refiere el artículo anterior, se harán respetando los principios de igualdad, moralidad, imparcialidad y publicidad, aplicados en forma razonable a las circunstancias concretas en las que hayan de celebrarse. Se harán con el propósito fundamental de proteger los derechos de los niños y de los jóvenes, y de conseguir eficacia y celeridad en la atención del servicio educativo, y economía en el uso de los recursos públicos.</w:t>
      </w:r>
    </w:p>
    <w:p w14:paraId="567886DC" w14:textId="77777777" w:rsidR="00637B00" w:rsidRPr="009B67C2" w:rsidRDefault="00637B00" w:rsidP="00637B00">
      <w:pPr>
        <w:ind w:firstLine="708"/>
        <w:jc w:val="both"/>
        <w:rPr>
          <w:rFonts w:ascii="Verdana" w:hAnsi="Verdana" w:cs="Arial"/>
          <w:sz w:val="16"/>
          <w:szCs w:val="16"/>
          <w:lang w:eastAsia="es-CO"/>
        </w:rPr>
      </w:pPr>
      <w:r w:rsidRPr="009B67C2">
        <w:rPr>
          <w:rFonts w:ascii="Verdana" w:hAnsi="Verdana" w:cs="Arial"/>
          <w:sz w:val="16"/>
          <w:szCs w:val="16"/>
          <w:lang w:eastAsia="es-CO"/>
        </w:rPr>
        <w:t xml:space="preserve">“Los actos y contratos de cuantía superior a veinte (20) salarios mínimos mensuales se regirán por las reglas de la contratación estatal, teniendo en cuenta su valor y naturaleza, y las circunstancias en las que se celebren. El Gobierno Nacional podrá indicar los casos en los cuales la cuantía señalada en el presente inciso será menor. </w:t>
      </w:r>
    </w:p>
    <w:p w14:paraId="68DA93D7" w14:textId="77777777" w:rsidR="00637B00" w:rsidRPr="009B67C2" w:rsidRDefault="00637B00" w:rsidP="00637B00">
      <w:pPr>
        <w:ind w:firstLine="708"/>
        <w:jc w:val="both"/>
        <w:rPr>
          <w:rFonts w:ascii="Verdana" w:hAnsi="Verdana" w:cs="Arial"/>
          <w:sz w:val="16"/>
          <w:szCs w:val="16"/>
          <w:lang w:eastAsia="es-CO"/>
        </w:rPr>
      </w:pPr>
      <w:r w:rsidRPr="009B67C2">
        <w:rPr>
          <w:rFonts w:ascii="Verdana" w:hAnsi="Verdana" w:cs="Arial"/>
          <w:sz w:val="16"/>
          <w:szCs w:val="16"/>
          <w:lang w:eastAsia="es-CO"/>
        </w:rPr>
        <w:t>“El rector o director celebrará los contratos que hayan de pagarse con cargo a los recursos vinculados a los Fondos, en las condiciones y dentro de los límites que fijen los reglamentos.</w:t>
      </w:r>
    </w:p>
    <w:p w14:paraId="24668ADB" w14:textId="77777777" w:rsidR="00637B00" w:rsidRPr="009B67C2" w:rsidRDefault="00637B00" w:rsidP="00637B00">
      <w:pPr>
        <w:ind w:firstLine="708"/>
        <w:jc w:val="both"/>
        <w:rPr>
          <w:rFonts w:ascii="Verdana" w:hAnsi="Verdana" w:cs="Arial"/>
          <w:sz w:val="16"/>
          <w:szCs w:val="16"/>
          <w:lang w:eastAsia="es-CO"/>
        </w:rPr>
      </w:pPr>
      <w:r w:rsidRPr="009B67C2">
        <w:rPr>
          <w:rFonts w:ascii="Verdana" w:hAnsi="Verdana" w:cs="Arial"/>
          <w:sz w:val="16"/>
          <w:szCs w:val="16"/>
          <w:lang w:eastAsia="es-CO"/>
        </w:rPr>
        <w:t>“</w:t>
      </w:r>
      <w:r w:rsidRPr="009B67C2">
        <w:rPr>
          <w:rFonts w:ascii="Verdana" w:hAnsi="Verdana" w:cs="Arial"/>
          <w:i/>
          <w:iCs/>
          <w:sz w:val="16"/>
          <w:szCs w:val="16"/>
          <w:lang w:eastAsia="es-CO"/>
        </w:rPr>
        <w:t xml:space="preserve">Con estricta sujeción a los principios y propósitos enunciados en el primer inciso de este artículo, y a los reglamentos de esta Ley, el Consejo Directivo de cada establecimiento podrá señalar, con base en la experiencia y en el análisis concreto de las necesidades del establecimiento, </w:t>
      </w:r>
      <w:bookmarkStart w:id="3" w:name="_Hlk61284561"/>
      <w:r w:rsidRPr="009B67C2">
        <w:rPr>
          <w:rFonts w:ascii="Verdana" w:hAnsi="Verdana" w:cs="Arial"/>
          <w:i/>
          <w:iCs/>
          <w:sz w:val="16"/>
          <w:szCs w:val="16"/>
          <w:lang w:eastAsia="es-CO"/>
        </w:rPr>
        <w:t>los trámites, garantías y constancias que deben cumplirse para que el rector o director celebre cualquier acto o contrato que cree, extinga o modifique obligaciones que deban registrarse en el Fondo</w:t>
      </w:r>
      <w:bookmarkEnd w:id="3"/>
      <w:r w:rsidRPr="009B67C2">
        <w:rPr>
          <w:rFonts w:ascii="Verdana" w:hAnsi="Verdana" w:cs="Arial"/>
          <w:i/>
          <w:iCs/>
          <w:sz w:val="16"/>
          <w:szCs w:val="16"/>
          <w:lang w:eastAsia="es-CO"/>
        </w:rPr>
        <w:t>, y cuya cuantía sea inferior a veinte (20) salarios mínimos mensuales. El Consejo puede exigir, además, que ciertos actos o contratos requieran una autorización suya específica</w:t>
      </w:r>
      <w:r w:rsidRPr="009B67C2">
        <w:rPr>
          <w:rFonts w:ascii="Verdana" w:hAnsi="Verdana" w:cs="Arial"/>
          <w:sz w:val="16"/>
          <w:szCs w:val="16"/>
          <w:lang w:eastAsia="es-CO"/>
        </w:rPr>
        <w:t>.</w:t>
      </w:r>
    </w:p>
    <w:p w14:paraId="0CE9AEAE" w14:textId="77777777" w:rsidR="00637B00" w:rsidRPr="009B67C2" w:rsidRDefault="00637B00" w:rsidP="00637B00">
      <w:pPr>
        <w:ind w:firstLine="708"/>
        <w:jc w:val="both"/>
        <w:rPr>
          <w:rFonts w:ascii="Verdana" w:hAnsi="Verdana" w:cs="Arial"/>
          <w:sz w:val="16"/>
          <w:szCs w:val="16"/>
          <w:lang w:eastAsia="es-CO"/>
        </w:rPr>
      </w:pPr>
      <w:r w:rsidRPr="009B67C2">
        <w:rPr>
          <w:rFonts w:ascii="Verdana" w:hAnsi="Verdana" w:cs="Arial"/>
          <w:sz w:val="16"/>
          <w:szCs w:val="16"/>
          <w:lang w:eastAsia="es-CO"/>
        </w:rPr>
        <w:t>[…]” (Énfasis fuera de texto).</w:t>
      </w:r>
    </w:p>
    <w:p w14:paraId="7BDF08BF" w14:textId="77777777" w:rsidR="00637B00" w:rsidRPr="009B67C2" w:rsidRDefault="00637B00" w:rsidP="00637B00">
      <w:pPr>
        <w:pStyle w:val="FootnoteText"/>
        <w:ind w:firstLine="708"/>
        <w:jc w:val="both"/>
        <w:rPr>
          <w:rFonts w:ascii="Verdana" w:hAnsi="Verdana" w:cs="Arial"/>
          <w:color w:val="000000" w:themeColor="text1"/>
          <w:sz w:val="16"/>
          <w:szCs w:val="16"/>
        </w:rPr>
      </w:pPr>
      <w:r w:rsidRPr="009B67C2">
        <w:rPr>
          <w:rFonts w:ascii="Verdana" w:hAnsi="Verdana" w:cs="Arial"/>
          <w:color w:val="000000" w:themeColor="text1"/>
          <w:sz w:val="16"/>
          <w:szCs w:val="16"/>
        </w:rPr>
        <w:t>Decreto 1075 de 2015: “Artículo 2.3.1.6.3.5. Funciones del Consejo Directivo. (…) 6. Reglamentar mediante acuerdo los procedimientos, formalidades y garantías para toda contratación que no supere los veinte (20) salarios mínimos legales mensuales vigentes (SMLMV)”.</w:t>
      </w:r>
    </w:p>
  </w:footnote>
  <w:footnote w:id="10">
    <w:p w14:paraId="365F88CA" w14:textId="77777777" w:rsidR="00637B00" w:rsidRPr="009B67C2" w:rsidRDefault="00637B00" w:rsidP="00637B00">
      <w:pPr>
        <w:pStyle w:val="FootnoteText"/>
        <w:ind w:firstLine="708"/>
        <w:jc w:val="both"/>
        <w:rPr>
          <w:rFonts w:ascii="Verdana" w:hAnsi="Verdana" w:cs="Arial"/>
          <w:sz w:val="16"/>
          <w:szCs w:val="16"/>
        </w:rPr>
      </w:pPr>
      <w:r w:rsidRPr="009B67C2">
        <w:rPr>
          <w:rStyle w:val="FootnoteReference"/>
          <w:rFonts w:ascii="Verdana" w:hAnsi="Verdana" w:cs="Arial"/>
          <w:sz w:val="16"/>
          <w:szCs w:val="16"/>
        </w:rPr>
        <w:footnoteRef/>
      </w:r>
      <w:r w:rsidRPr="009B67C2">
        <w:rPr>
          <w:rFonts w:ascii="Verdana" w:hAnsi="Verdana" w:cs="Arial"/>
          <w:sz w:val="16"/>
          <w:szCs w:val="16"/>
        </w:rPr>
        <w:t xml:space="preserve"> CONSEJO DE ESTADO. Sala de Consulta y Servicio Civil. Concepto del 27 de abril de 2006. Rad:1712. C.P. Enrique José Arboleda Perdomo.</w:t>
      </w:r>
    </w:p>
  </w:footnote>
  <w:footnote w:id="11">
    <w:p w14:paraId="0A0F7B89" w14:textId="77777777" w:rsidR="00637B00" w:rsidRPr="009B67C2" w:rsidRDefault="00637B00" w:rsidP="00637B00">
      <w:pPr>
        <w:spacing w:after="0" w:line="240" w:lineRule="auto"/>
        <w:ind w:left="100" w:right="244" w:firstLine="709"/>
        <w:jc w:val="both"/>
        <w:rPr>
          <w:rFonts w:ascii="Verdana" w:hAnsi="Verdana" w:cs="Arial"/>
          <w:sz w:val="16"/>
          <w:szCs w:val="16"/>
          <w:lang w:val="es-ES"/>
        </w:rPr>
      </w:pPr>
      <w:r w:rsidRPr="009B67C2">
        <w:rPr>
          <w:rStyle w:val="FootnoteReference"/>
          <w:rFonts w:ascii="Verdana" w:hAnsi="Verdana" w:cs="Arial"/>
          <w:sz w:val="16"/>
          <w:szCs w:val="16"/>
        </w:rPr>
        <w:footnoteRef/>
      </w:r>
      <w:r w:rsidRPr="009B67C2">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2">
    <w:p w14:paraId="0F02FB8F" w14:textId="77777777" w:rsidR="00637B00" w:rsidRPr="009B67C2" w:rsidRDefault="00637B00" w:rsidP="00637B00">
      <w:pPr>
        <w:pStyle w:val="FootnoteText"/>
        <w:ind w:firstLine="709"/>
        <w:jc w:val="both"/>
        <w:rPr>
          <w:rFonts w:ascii="Verdana" w:hAnsi="Verdana"/>
          <w:sz w:val="16"/>
          <w:szCs w:val="16"/>
          <w:lang w:val="es-ES"/>
        </w:rPr>
      </w:pPr>
      <w:r w:rsidRPr="009B67C2">
        <w:rPr>
          <w:rStyle w:val="FootnoteReference"/>
          <w:rFonts w:ascii="Verdana" w:hAnsi="Verdana"/>
          <w:sz w:val="16"/>
          <w:szCs w:val="16"/>
        </w:rPr>
        <w:footnoteRef/>
      </w:r>
      <w:r w:rsidRPr="009B67C2">
        <w:rPr>
          <w:rFonts w:ascii="Verdana" w:hAnsi="Verdana"/>
          <w:sz w:val="16"/>
          <w:szCs w:val="16"/>
        </w:rPr>
        <w:t xml:space="preserve"> </w:t>
      </w:r>
      <w:hyperlink r:id="rId1" w:history="1">
        <w:r w:rsidRPr="009B67C2">
          <w:rPr>
            <w:rStyle w:val="Hyperlink"/>
            <w:rFonts w:ascii="Verdana" w:hAnsi="Verdana"/>
            <w:sz w:val="16"/>
            <w:szCs w:val="16"/>
          </w:rPr>
          <w:t>https://www.colombiacompra.gov.co/wp-content/uploads/2024/08/circular_externa_unica_version_3_vf49-1.pdf</w:t>
        </w:r>
      </w:hyperlink>
      <w:r w:rsidRPr="009B67C2">
        <w:rPr>
          <w:rFonts w:ascii="Verdana" w:hAnsi="Verdana"/>
          <w:sz w:val="16"/>
          <w:szCs w:val="16"/>
        </w:rPr>
        <w:t xml:space="preserve"> </w:t>
      </w:r>
    </w:p>
  </w:footnote>
  <w:footnote w:id="13">
    <w:p w14:paraId="007946B0" w14:textId="77777777" w:rsidR="00637B00" w:rsidRPr="00BF374E" w:rsidRDefault="00637B00" w:rsidP="00637B00">
      <w:pPr>
        <w:pStyle w:val="FootnoteText"/>
        <w:rPr>
          <w:lang w:val="es-ES"/>
        </w:rPr>
      </w:pPr>
      <w:r w:rsidRPr="009B67C2">
        <w:rPr>
          <w:rStyle w:val="FootnoteReference"/>
          <w:rFonts w:ascii="Verdana" w:hAnsi="Verdana"/>
          <w:sz w:val="16"/>
          <w:szCs w:val="16"/>
        </w:rPr>
        <w:footnoteRef/>
      </w:r>
      <w:r w:rsidRPr="009B67C2">
        <w:rPr>
          <w:rFonts w:ascii="Verdana" w:hAnsi="Verdana"/>
          <w:sz w:val="16"/>
          <w:szCs w:val="16"/>
        </w:rPr>
        <w:t xml:space="preserve"> </w:t>
      </w:r>
      <w:hyperlink r:id="rId2" w:history="1">
        <w:r w:rsidRPr="009B67C2">
          <w:rPr>
            <w:rStyle w:val="Hyperlink"/>
            <w:rFonts w:ascii="Verdana" w:hAnsi="Verdana"/>
            <w:sz w:val="16"/>
            <w:szCs w:val="16"/>
          </w:rPr>
          <w:t>https://www.colombiacompra.gov.co/wp-content/uploads/2024/10/cce-sec-gi-22guiasecopii_eemcregimenespecialsinofertas20-04-2022.pdf</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D160D81"/>
    <w:multiLevelType w:val="hybridMultilevel"/>
    <w:tmpl w:val="C36EDAEE"/>
    <w:lvl w:ilvl="0" w:tplc="FF120248">
      <w:start w:val="1"/>
      <w:numFmt w:val="decimal"/>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1913198162">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89096763">
    <w:abstractNumId w:val="10"/>
  </w:num>
  <w:num w:numId="18" w16cid:durableId="2108037406">
    <w:abstractNumId w:val="16"/>
  </w:num>
  <w:num w:numId="19" w16cid:durableId="17658029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7038"/>
    <w:rsid w:val="000451C1"/>
    <w:rsid w:val="00046945"/>
    <w:rsid w:val="00061B2A"/>
    <w:rsid w:val="00082362"/>
    <w:rsid w:val="000916EC"/>
    <w:rsid w:val="000A097A"/>
    <w:rsid w:val="000A683E"/>
    <w:rsid w:val="000B19B9"/>
    <w:rsid w:val="000D0334"/>
    <w:rsid w:val="000D5DA7"/>
    <w:rsid w:val="000E6F89"/>
    <w:rsid w:val="000F5032"/>
    <w:rsid w:val="000F6486"/>
    <w:rsid w:val="00106EE4"/>
    <w:rsid w:val="00116940"/>
    <w:rsid w:val="00116B2D"/>
    <w:rsid w:val="00125105"/>
    <w:rsid w:val="00127233"/>
    <w:rsid w:val="0015699B"/>
    <w:rsid w:val="00164B8F"/>
    <w:rsid w:val="001775DB"/>
    <w:rsid w:val="001A33BF"/>
    <w:rsid w:val="001B5C07"/>
    <w:rsid w:val="001B6032"/>
    <w:rsid w:val="001C2E37"/>
    <w:rsid w:val="001E4177"/>
    <w:rsid w:val="001F0B24"/>
    <w:rsid w:val="001F7DC6"/>
    <w:rsid w:val="0022400B"/>
    <w:rsid w:val="0023646A"/>
    <w:rsid w:val="002421BB"/>
    <w:rsid w:val="002543E7"/>
    <w:rsid w:val="0025796E"/>
    <w:rsid w:val="002707A2"/>
    <w:rsid w:val="002951A0"/>
    <w:rsid w:val="002962BC"/>
    <w:rsid w:val="002A093D"/>
    <w:rsid w:val="002A0DD0"/>
    <w:rsid w:val="002A49AC"/>
    <w:rsid w:val="002A55C1"/>
    <w:rsid w:val="002A64FD"/>
    <w:rsid w:val="002B3F63"/>
    <w:rsid w:val="002B784C"/>
    <w:rsid w:val="002C7A84"/>
    <w:rsid w:val="002E2BF8"/>
    <w:rsid w:val="002E4FD9"/>
    <w:rsid w:val="003024F4"/>
    <w:rsid w:val="0030657A"/>
    <w:rsid w:val="00310A8B"/>
    <w:rsid w:val="003203AC"/>
    <w:rsid w:val="00322A85"/>
    <w:rsid w:val="00324168"/>
    <w:rsid w:val="00330834"/>
    <w:rsid w:val="00333B0F"/>
    <w:rsid w:val="00334BBF"/>
    <w:rsid w:val="003448F4"/>
    <w:rsid w:val="00374F5E"/>
    <w:rsid w:val="00377E3E"/>
    <w:rsid w:val="00397205"/>
    <w:rsid w:val="003A31C2"/>
    <w:rsid w:val="003A779E"/>
    <w:rsid w:val="003B1440"/>
    <w:rsid w:val="003D0F4D"/>
    <w:rsid w:val="003D1D91"/>
    <w:rsid w:val="003D5B0D"/>
    <w:rsid w:val="003E0499"/>
    <w:rsid w:val="003E4F80"/>
    <w:rsid w:val="003E6439"/>
    <w:rsid w:val="003F3941"/>
    <w:rsid w:val="00406575"/>
    <w:rsid w:val="00414C74"/>
    <w:rsid w:val="0042722E"/>
    <w:rsid w:val="0044528D"/>
    <w:rsid w:val="004537D1"/>
    <w:rsid w:val="00466E39"/>
    <w:rsid w:val="0048118E"/>
    <w:rsid w:val="004914C3"/>
    <w:rsid w:val="004977C4"/>
    <w:rsid w:val="004A1847"/>
    <w:rsid w:val="004A305D"/>
    <w:rsid w:val="004B0835"/>
    <w:rsid w:val="004C66B8"/>
    <w:rsid w:val="004D16C7"/>
    <w:rsid w:val="004F21C4"/>
    <w:rsid w:val="004F3E84"/>
    <w:rsid w:val="004F685F"/>
    <w:rsid w:val="005566E8"/>
    <w:rsid w:val="00560E99"/>
    <w:rsid w:val="00574867"/>
    <w:rsid w:val="00591460"/>
    <w:rsid w:val="005A65E0"/>
    <w:rsid w:val="005C3777"/>
    <w:rsid w:val="005C5CDC"/>
    <w:rsid w:val="005D476C"/>
    <w:rsid w:val="005E0593"/>
    <w:rsid w:val="005F7BD9"/>
    <w:rsid w:val="006102CB"/>
    <w:rsid w:val="006200BF"/>
    <w:rsid w:val="006219F8"/>
    <w:rsid w:val="006263AD"/>
    <w:rsid w:val="006302F7"/>
    <w:rsid w:val="00634070"/>
    <w:rsid w:val="0063550D"/>
    <w:rsid w:val="0063590B"/>
    <w:rsid w:val="00637B00"/>
    <w:rsid w:val="00646B9F"/>
    <w:rsid w:val="00654AB8"/>
    <w:rsid w:val="00665D70"/>
    <w:rsid w:val="00670E86"/>
    <w:rsid w:val="006875BE"/>
    <w:rsid w:val="006900D9"/>
    <w:rsid w:val="006B02EE"/>
    <w:rsid w:val="006F068C"/>
    <w:rsid w:val="00706C16"/>
    <w:rsid w:val="00713224"/>
    <w:rsid w:val="0073265F"/>
    <w:rsid w:val="007340C3"/>
    <w:rsid w:val="0075235A"/>
    <w:rsid w:val="00753F97"/>
    <w:rsid w:val="00756841"/>
    <w:rsid w:val="007649AB"/>
    <w:rsid w:val="00771D0C"/>
    <w:rsid w:val="007751D9"/>
    <w:rsid w:val="00777FE1"/>
    <w:rsid w:val="007833AC"/>
    <w:rsid w:val="007B1EFC"/>
    <w:rsid w:val="007B268C"/>
    <w:rsid w:val="007B7171"/>
    <w:rsid w:val="007C0C0F"/>
    <w:rsid w:val="007C3DC2"/>
    <w:rsid w:val="007E5497"/>
    <w:rsid w:val="00806F5F"/>
    <w:rsid w:val="00820278"/>
    <w:rsid w:val="008258C9"/>
    <w:rsid w:val="00844AE9"/>
    <w:rsid w:val="00867F95"/>
    <w:rsid w:val="008775C2"/>
    <w:rsid w:val="0088150B"/>
    <w:rsid w:val="008836D8"/>
    <w:rsid w:val="008843B6"/>
    <w:rsid w:val="00891928"/>
    <w:rsid w:val="008A0838"/>
    <w:rsid w:val="008A446D"/>
    <w:rsid w:val="008B25F1"/>
    <w:rsid w:val="008B4703"/>
    <w:rsid w:val="008C0A9B"/>
    <w:rsid w:val="008D180B"/>
    <w:rsid w:val="008E342F"/>
    <w:rsid w:val="008F0EA7"/>
    <w:rsid w:val="00907B62"/>
    <w:rsid w:val="00923EEF"/>
    <w:rsid w:val="009419F9"/>
    <w:rsid w:val="0095685E"/>
    <w:rsid w:val="00961B09"/>
    <w:rsid w:val="00965334"/>
    <w:rsid w:val="0097093E"/>
    <w:rsid w:val="009916E9"/>
    <w:rsid w:val="009955E3"/>
    <w:rsid w:val="009A0DFA"/>
    <w:rsid w:val="009A1C6F"/>
    <w:rsid w:val="009A1D8B"/>
    <w:rsid w:val="009B2D26"/>
    <w:rsid w:val="009C71FA"/>
    <w:rsid w:val="009C72E7"/>
    <w:rsid w:val="009C7F7E"/>
    <w:rsid w:val="009D3058"/>
    <w:rsid w:val="009D73FE"/>
    <w:rsid w:val="009E37B7"/>
    <w:rsid w:val="009F3A13"/>
    <w:rsid w:val="00A04563"/>
    <w:rsid w:val="00A122D3"/>
    <w:rsid w:val="00A14468"/>
    <w:rsid w:val="00A1784F"/>
    <w:rsid w:val="00A17F13"/>
    <w:rsid w:val="00A20739"/>
    <w:rsid w:val="00A23AF9"/>
    <w:rsid w:val="00A32FFA"/>
    <w:rsid w:val="00A33C78"/>
    <w:rsid w:val="00A44612"/>
    <w:rsid w:val="00A65294"/>
    <w:rsid w:val="00A7157F"/>
    <w:rsid w:val="00AB0ADB"/>
    <w:rsid w:val="00AB55A3"/>
    <w:rsid w:val="00AF7FB2"/>
    <w:rsid w:val="00B00C0E"/>
    <w:rsid w:val="00B01B1A"/>
    <w:rsid w:val="00B0381D"/>
    <w:rsid w:val="00B21A5D"/>
    <w:rsid w:val="00B31EC7"/>
    <w:rsid w:val="00B44A47"/>
    <w:rsid w:val="00B72CD3"/>
    <w:rsid w:val="00B72DE0"/>
    <w:rsid w:val="00B72FFF"/>
    <w:rsid w:val="00B94871"/>
    <w:rsid w:val="00BC3D36"/>
    <w:rsid w:val="00BD54A6"/>
    <w:rsid w:val="00BD7F72"/>
    <w:rsid w:val="00BF7425"/>
    <w:rsid w:val="00C04B8D"/>
    <w:rsid w:val="00C04FB3"/>
    <w:rsid w:val="00C11D8B"/>
    <w:rsid w:val="00C15139"/>
    <w:rsid w:val="00C31C68"/>
    <w:rsid w:val="00C330EB"/>
    <w:rsid w:val="00C47E8A"/>
    <w:rsid w:val="00C50D69"/>
    <w:rsid w:val="00C5365C"/>
    <w:rsid w:val="00C6148C"/>
    <w:rsid w:val="00C62CBC"/>
    <w:rsid w:val="00C64438"/>
    <w:rsid w:val="00C66CDE"/>
    <w:rsid w:val="00C754BE"/>
    <w:rsid w:val="00C76B1C"/>
    <w:rsid w:val="00C925AC"/>
    <w:rsid w:val="00CB6357"/>
    <w:rsid w:val="00CC1B26"/>
    <w:rsid w:val="00CE3CB3"/>
    <w:rsid w:val="00D00370"/>
    <w:rsid w:val="00D1587B"/>
    <w:rsid w:val="00D327DC"/>
    <w:rsid w:val="00D361FD"/>
    <w:rsid w:val="00D36E67"/>
    <w:rsid w:val="00D423A2"/>
    <w:rsid w:val="00D44E26"/>
    <w:rsid w:val="00D520D8"/>
    <w:rsid w:val="00D52F46"/>
    <w:rsid w:val="00D5421F"/>
    <w:rsid w:val="00D63AC2"/>
    <w:rsid w:val="00D7383B"/>
    <w:rsid w:val="00D76909"/>
    <w:rsid w:val="00D7788A"/>
    <w:rsid w:val="00D827B0"/>
    <w:rsid w:val="00DA2043"/>
    <w:rsid w:val="00DA231B"/>
    <w:rsid w:val="00DC39FC"/>
    <w:rsid w:val="00DD21AC"/>
    <w:rsid w:val="00DD4D03"/>
    <w:rsid w:val="00DE610B"/>
    <w:rsid w:val="00DE78F2"/>
    <w:rsid w:val="00DF4BFF"/>
    <w:rsid w:val="00DF5254"/>
    <w:rsid w:val="00E02524"/>
    <w:rsid w:val="00E13DD9"/>
    <w:rsid w:val="00E16408"/>
    <w:rsid w:val="00E20894"/>
    <w:rsid w:val="00E245AB"/>
    <w:rsid w:val="00E247CB"/>
    <w:rsid w:val="00E2764C"/>
    <w:rsid w:val="00E27F2E"/>
    <w:rsid w:val="00E50AFE"/>
    <w:rsid w:val="00E75C92"/>
    <w:rsid w:val="00E771DC"/>
    <w:rsid w:val="00E843A3"/>
    <w:rsid w:val="00E8772A"/>
    <w:rsid w:val="00E90F6B"/>
    <w:rsid w:val="00E92C27"/>
    <w:rsid w:val="00EA0E3D"/>
    <w:rsid w:val="00EC38A7"/>
    <w:rsid w:val="00ED2B4E"/>
    <w:rsid w:val="00EE1AA8"/>
    <w:rsid w:val="00F113DD"/>
    <w:rsid w:val="00F23FEA"/>
    <w:rsid w:val="00F31EDC"/>
    <w:rsid w:val="00F462B3"/>
    <w:rsid w:val="00F5664F"/>
    <w:rsid w:val="00F666C4"/>
    <w:rsid w:val="00F76AFC"/>
    <w:rsid w:val="00F84797"/>
    <w:rsid w:val="00FA47C0"/>
    <w:rsid w:val="00FB5DD1"/>
    <w:rsid w:val="00FC2B5D"/>
    <w:rsid w:val="00FD532C"/>
    <w:rsid w:val="00FF1449"/>
    <w:rsid w:val="00FF2507"/>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3969670-C75F-4B96-B587-C8D243CAE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link w:val="NormalWebCh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3A31C2"/>
    <w:rPr>
      <w:rFonts w:ascii="Geomanist Light" w:hAnsi="Geomanist Light"/>
      <w:lang w:val="es-ES"/>
    </w:rPr>
  </w:style>
  <w:style w:type="paragraph" w:customStyle="1" w:styleId="Appelnotedebasde">
    <w:name w:val="Appel note de bas de..."/>
    <w:basedOn w:val="Normal"/>
    <w:link w:val="FootnoteReference"/>
    <w:uiPriority w:val="99"/>
    <w:rsid w:val="00B94871"/>
    <w:pPr>
      <w:spacing w:line="240" w:lineRule="exact"/>
    </w:pPr>
    <w:rPr>
      <w:vertAlign w:val="superscript"/>
    </w:rPr>
  </w:style>
  <w:style w:type="character" w:customStyle="1" w:styleId="baj">
    <w:name w:val="b_aj"/>
    <w:basedOn w:val="DefaultParagraphFont"/>
    <w:rsid w:val="00637B00"/>
  </w:style>
  <w:style w:type="character" w:customStyle="1" w:styleId="NormalWebChar">
    <w:name w:val="Normal (Web) Char"/>
    <w:link w:val="NormalWeb"/>
    <w:uiPriority w:val="99"/>
    <w:rsid w:val="00637B00"/>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680965486">
      <w:marLeft w:val="0"/>
      <w:marRight w:val="0"/>
      <w:marTop w:val="0"/>
      <w:marBottom w:val="0"/>
      <w:divBdr>
        <w:top w:val="none" w:sz="0" w:space="0" w:color="auto"/>
        <w:left w:val="none" w:sz="0" w:space="0" w:color="auto"/>
        <w:bottom w:val="none" w:sz="0" w:space="0" w:color="auto"/>
        <w:right w:val="none" w:sz="0" w:space="0" w:color="auto"/>
      </w:divBdr>
    </w:div>
    <w:div w:id="1768115347">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evilladesanandres@educacioncesar.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emf"/><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4/10/cce-sec-gi-22guiasecopii_eemcregimenespecialsinofertas20-04-2022.pdf" TargetMode="External"/><Relationship Id="rId1" Type="http://schemas.openxmlformats.org/officeDocument/2006/relationships/hyperlink" Target="https://www.colombiacompra.gov.co/wp-content/uploads/2024/08/circular_externa_unica_version_3_vf49-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1F0119B-FB4B-4EED-8D6C-A233EC56A8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1</Pages>
  <Words>5886</Words>
  <Characters>33556</Characters>
  <Application>Microsoft Office Word</Application>
  <DocSecurity>4</DocSecurity>
  <Lines>279</Lines>
  <Paragraphs>78</Paragraphs>
  <ScaleCrop>false</ScaleCrop>
  <Company/>
  <LinksUpToDate>false</LinksUpToDate>
  <CharactersWithSpaces>39364</CharactersWithSpaces>
  <SharedDoc>false</SharedDoc>
  <HLinks>
    <vt:vector size="48" baseType="variant">
      <vt:variant>
        <vt:i4>4456513</vt:i4>
      </vt:variant>
      <vt:variant>
        <vt:i4>15</vt:i4>
      </vt:variant>
      <vt:variant>
        <vt:i4>0</vt:i4>
      </vt:variant>
      <vt:variant>
        <vt:i4>5</vt:i4>
      </vt:variant>
      <vt:variant>
        <vt:lpwstr>https://forms.office.com/r/pPHyWVs2SZ</vt:lpwstr>
      </vt:variant>
      <vt:variant>
        <vt:lpwstr/>
      </vt: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4390945</vt:i4>
      </vt:variant>
      <vt:variant>
        <vt:i4>0</vt:i4>
      </vt:variant>
      <vt:variant>
        <vt:i4>0</vt:i4>
      </vt:variant>
      <vt:variant>
        <vt:i4>5</vt:i4>
      </vt:variant>
      <vt:variant>
        <vt:lpwstr>mailto:eevilladesanandres@educacioncesar.gov.co</vt:lpwstr>
      </vt:variant>
      <vt:variant>
        <vt:lpwstr/>
      </vt:variant>
      <vt:variant>
        <vt:i4>2555925</vt:i4>
      </vt:variant>
      <vt:variant>
        <vt:i4>3</vt:i4>
      </vt:variant>
      <vt:variant>
        <vt:i4>0</vt:i4>
      </vt:variant>
      <vt:variant>
        <vt:i4>5</vt:i4>
      </vt:variant>
      <vt:variant>
        <vt:lpwstr>https://www.colombiacompra.gov.co/wp-content/uploads/2024/10/cce-sec-gi-22guiasecopii_eemcregimenespecialsinofertas20-04-2022.pdf</vt:lpwstr>
      </vt:variant>
      <vt:variant>
        <vt:lpwstr/>
      </vt:variant>
      <vt:variant>
        <vt:i4>3997702</vt:i4>
      </vt:variant>
      <vt:variant>
        <vt:i4>0</vt:i4>
      </vt:variant>
      <vt:variant>
        <vt:i4>0</vt:i4>
      </vt:variant>
      <vt:variant>
        <vt:i4>5</vt:i4>
      </vt:variant>
      <vt:variant>
        <vt:lpwstr>https://www.colombiacompra.gov.co/wp-content/uploads/2024/08/circular_externa_unica_version_3_vf49-1.pdf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8</cp:revision>
  <cp:lastPrinted>2023-01-11T00:18:00Z</cp:lastPrinted>
  <dcterms:created xsi:type="dcterms:W3CDTF">2026-05-27T17:21:00Z</dcterms:created>
  <dcterms:modified xsi:type="dcterms:W3CDTF">2026-06-04T17:20:00Z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