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91CA3" w14:textId="77777777" w:rsidR="006E5B7C" w:rsidRPr="00596023" w:rsidRDefault="006E5B7C" w:rsidP="006E5B7C">
      <w:pPr>
        <w:spacing w:after="120" w:line="240" w:lineRule="auto"/>
        <w:jc w:val="both"/>
        <w:rPr>
          <w:rFonts w:ascii="Verdana" w:hAnsi="Verdana" w:cs="Arial"/>
          <w:b/>
        </w:rPr>
      </w:pPr>
      <w:r w:rsidRPr="00596023">
        <w:rPr>
          <w:rFonts w:ascii="Verdana" w:hAnsi="Verdana" w:cs="Arial"/>
          <w:b/>
        </w:rPr>
        <w:t>INTERVENTORÍA – Artículo 85 de la Ley 1474 de 2011 – Adición – Excepción al parágrafo del artículo 40 de la Ley 80 de 1993 – Norma especial</w:t>
      </w:r>
    </w:p>
    <w:p w14:paraId="314C571B" w14:textId="77777777" w:rsidR="006E5B7C" w:rsidRDefault="006E5B7C" w:rsidP="006E5B7C">
      <w:pPr>
        <w:spacing w:after="0"/>
        <w:jc w:val="both"/>
        <w:rPr>
          <w:rFonts w:ascii="Verdana" w:hAnsi="Verdana" w:cs="Arial"/>
          <w:sz w:val="20"/>
          <w:szCs w:val="20"/>
        </w:rPr>
      </w:pPr>
      <w:r w:rsidRPr="008D3872">
        <w:rPr>
          <w:rFonts w:ascii="Verdana" w:hAnsi="Verdana" w:cs="Arial"/>
          <w:sz w:val="20"/>
          <w:szCs w:val="20"/>
        </w:rPr>
        <w:t>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 en los términos explicados en el numeral anterior de este concepto. En este sentido, la doctrina ha manifestado sobre esta disposición que “el artículo 85 no contiene impedimento para adicionar sin límite el contrato de interventoría, con una ventaja adicional: que puede ser para cualquier objeto de contrato que haya requerido contratar externamente la interventoría”</w:t>
      </w:r>
      <w:r>
        <w:rPr>
          <w:rFonts w:ascii="Verdana" w:hAnsi="Verdana" w:cs="Arial"/>
          <w:sz w:val="20"/>
          <w:szCs w:val="20"/>
        </w:rPr>
        <w:t>.</w:t>
      </w:r>
    </w:p>
    <w:p w14:paraId="58B681FF" w14:textId="77777777" w:rsidR="006E5B7C" w:rsidRPr="008D3872" w:rsidRDefault="006E5B7C" w:rsidP="006E5B7C">
      <w:pPr>
        <w:spacing w:after="0"/>
        <w:jc w:val="both"/>
        <w:rPr>
          <w:rFonts w:ascii="Verdana" w:hAnsi="Verdana" w:cs="Arial"/>
          <w:sz w:val="20"/>
          <w:szCs w:val="20"/>
        </w:rPr>
      </w:pPr>
    </w:p>
    <w:p w14:paraId="6CA5EFA5" w14:textId="77777777" w:rsidR="006E5B7C" w:rsidRDefault="006E5B7C" w:rsidP="006E5B7C">
      <w:pPr>
        <w:spacing w:after="0"/>
        <w:jc w:val="both"/>
        <w:rPr>
          <w:rFonts w:ascii="Verdana" w:hAnsi="Verdana" w:cs="Arial"/>
          <w:sz w:val="20"/>
          <w:szCs w:val="20"/>
        </w:rPr>
      </w:pPr>
      <w:r w:rsidRPr="008D3872">
        <w:rPr>
          <w:rFonts w:ascii="Verdana" w:hAnsi="Verdana" w:cs="Arial"/>
          <w:sz w:val="20"/>
          <w:szCs w:val="20"/>
        </w:rPr>
        <w:t>La disposición anterior tiene como finalidad que se mantenga la vigilancia frente a la ejecución de los contratos estatales, mediante el mecanismo especializado de la interventoría, sin que este seguimiento sea afectado por el tope establecido en el inciso segundo del parágrafo del artículo 40 de la Ley 80 de 1993. En tal sentido, la excepción se establece de forma especial frente a un objeto contractual específico, que hace parte de la tipología contractual de la consultoría, consistente en que se trate de un contrato de interventoría. De esta manera, independientemente de la modalidad de selección o del sujeto con quien se celebre el contrato de interventoría aplica la norma especial del artículo 85 de la Ley 1474 de 2011, por lo que incluso en un contrato interadministrativo, cuyo objeto sea la interventoría de un contrato estatal, se debe tener en cuenta esta última disposición, por lo que no aplicaría el tope establecido en el inciso segundo del parágrafo del artículo 40 de la Ley 80 de 1993. Lo anterior, se reitera, siempre que el contrato a adicionar tenga por objeto la interventoría de oro u otros contratos.</w:t>
      </w:r>
    </w:p>
    <w:p w14:paraId="34E78F3E" w14:textId="77777777" w:rsidR="006E5B7C" w:rsidRPr="005527F2" w:rsidRDefault="006E5B7C" w:rsidP="006E5B7C">
      <w:pPr>
        <w:spacing w:after="0"/>
        <w:jc w:val="both"/>
        <w:rPr>
          <w:rFonts w:ascii="Verdana" w:eastAsia="Verdana" w:hAnsi="Verdana" w:cs="Verdana"/>
          <w:b/>
          <w:color w:val="EE0000"/>
          <w:highlight w:val="lightGray"/>
        </w:rPr>
      </w:pPr>
    </w:p>
    <w:p w14:paraId="326F1291" w14:textId="77777777" w:rsidR="006E5B7C" w:rsidRPr="00DD2C46" w:rsidRDefault="006E5B7C" w:rsidP="006E5B7C">
      <w:pPr>
        <w:spacing w:after="0"/>
        <w:jc w:val="both"/>
        <w:rPr>
          <w:rFonts w:ascii="Verdana" w:eastAsia="Verdana" w:hAnsi="Verdana" w:cs="Verdana"/>
          <w:b/>
          <w:bCs/>
        </w:rPr>
      </w:pPr>
      <w:r w:rsidRPr="00DD2C46">
        <w:rPr>
          <w:rFonts w:ascii="Verdana" w:eastAsia="Verdana" w:hAnsi="Verdana" w:cs="Verdana"/>
          <w:b/>
          <w:bCs/>
        </w:rPr>
        <w:t xml:space="preserve">ADICIÓN – Concepto – Distintos supuestos – Prohibición – Adición en más del 50% </w:t>
      </w:r>
    </w:p>
    <w:p w14:paraId="6A2824BB" w14:textId="77777777" w:rsidR="006E5B7C" w:rsidRPr="00D85611" w:rsidRDefault="006E5B7C" w:rsidP="006E5B7C">
      <w:pPr>
        <w:spacing w:after="0" w:line="240" w:lineRule="auto"/>
        <w:contextualSpacing/>
        <w:jc w:val="both"/>
        <w:rPr>
          <w:rFonts w:ascii="Verdana" w:eastAsia="Calibri" w:hAnsi="Verdana" w:cs="Arial"/>
          <w:b/>
          <w:bCs/>
          <w:color w:val="EE0000"/>
          <w:sz w:val="20"/>
          <w:szCs w:val="20"/>
        </w:rPr>
      </w:pPr>
    </w:p>
    <w:p w14:paraId="211614E5" w14:textId="77777777" w:rsidR="006E5B7C" w:rsidRDefault="006E5B7C" w:rsidP="006E5B7C">
      <w:pPr>
        <w:spacing w:after="0" w:line="240" w:lineRule="auto"/>
        <w:jc w:val="both"/>
        <w:rPr>
          <w:rFonts w:ascii="Verdana" w:eastAsia="Times New Roman" w:hAnsi="Verdana" w:cs="Times New Roman"/>
          <w:sz w:val="20"/>
          <w:szCs w:val="20"/>
          <w:lang w:val="es-ES" w:eastAsia="es-ES"/>
        </w:rPr>
      </w:pPr>
      <w:r w:rsidRPr="63B98CE3">
        <w:rPr>
          <w:rFonts w:ascii="Verdana" w:eastAsia="Times New Roman" w:hAnsi="Verdana" w:cs="Times New Roman"/>
          <w:sz w:val="20"/>
          <w:szCs w:val="20"/>
          <w:lang w:val="es-ES" w:eastAsia="es-ES"/>
        </w:rPr>
        <w:t xml:space="preserve">La ejecución de los contratos estatales está sujeta a los cambios propios del paso del tiempo. Así, durante la etapa de planeación, las entidades públicas estiman y determinan las prestaciones que demanda el cumplimiento de la necesidad de interés general que pretende satisfacer. No obstante, durante la ejecución del contrato, las partes pueden identificar alguna de las siguientes situaciones: i) la necesidad de mayores cantidades de bienes o actividades inicialmente previstos, a lo que se le conoce como “mayores cantidades de obra”, “obras adicionales” o adición de “ítems contractuales”; y ii)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w:t>
      </w:r>
      <w:r w:rsidRPr="63B98CE3">
        <w:rPr>
          <w:rFonts w:ascii="Verdana" w:eastAsia="Times New Roman" w:hAnsi="Verdana" w:cs="Times New Roman"/>
          <w:sz w:val="20"/>
          <w:szCs w:val="20"/>
          <w:lang w:val="es-ES" w:eastAsia="es-ES"/>
        </w:rPr>
        <w:lastRenderedPageBreak/>
        <w:t>particular en el ordenamiento jurídico, el cual no le asigna efectos específicos a cada uno de ellos.</w:t>
      </w:r>
    </w:p>
    <w:p w14:paraId="672C4B70" w14:textId="77777777" w:rsidR="006E5B7C" w:rsidRPr="00444679" w:rsidRDefault="006E5B7C" w:rsidP="006E5B7C">
      <w:pPr>
        <w:spacing w:after="0" w:line="240" w:lineRule="auto"/>
        <w:jc w:val="both"/>
        <w:rPr>
          <w:rFonts w:ascii="Verdana" w:eastAsia="Times New Roman" w:hAnsi="Verdana" w:cs="Times New Roman"/>
          <w:sz w:val="20"/>
          <w:szCs w:val="20"/>
          <w:lang w:val="es-ES_tradnl" w:eastAsia="es-ES_tradnl"/>
        </w:rPr>
      </w:pPr>
    </w:p>
    <w:p w14:paraId="2956F502" w14:textId="77777777" w:rsidR="006E5B7C" w:rsidRPr="00444679" w:rsidRDefault="006E5B7C" w:rsidP="006E5B7C">
      <w:pPr>
        <w:spacing w:after="0" w:line="240" w:lineRule="auto"/>
        <w:jc w:val="both"/>
        <w:rPr>
          <w:rFonts w:ascii="Verdana" w:eastAsia="Times New Roman" w:hAnsi="Verdana" w:cs="Times New Roman"/>
          <w:sz w:val="20"/>
          <w:szCs w:val="20"/>
          <w:lang w:val="es-ES_tradnl" w:eastAsia="es-ES_tradnl"/>
        </w:rPr>
      </w:pPr>
      <w:r w:rsidRPr="00444679">
        <w:rPr>
          <w:rFonts w:ascii="Verdana" w:eastAsia="Times New Roman" w:hAnsi="Verdana" w:cs="Times New Roman"/>
          <w:sz w:val="20"/>
          <w:szCs w:val="20"/>
          <w:lang w:val="es-ES_tradnl" w:eastAsia="es-ES_tradnl"/>
        </w:rPr>
        <w:t xml:space="preserve">Lo importante es que, frente a cualquier incremento del valor inicial del contrato, por cualquiera de los dos supuestos señalados previamente, e independiente del nombre que </w:t>
      </w:r>
      <w:r w:rsidRPr="00596023">
        <w:rPr>
          <w:rFonts w:ascii="Verdana" w:hAnsi="Verdana" w:cs="Arial"/>
          <w:bCs/>
        </w:rPr>
        <w:t xml:space="preserve">el seguimiento de la ejecución del contrato para su dirección, control y vigilancia del correcto cumplimiento del objeto es un </w:t>
      </w:r>
      <w:r w:rsidRPr="00444679">
        <w:rPr>
          <w:rFonts w:ascii="Verdana" w:eastAsia="Times New Roman" w:hAnsi="Verdana" w:cs="Times New Roman"/>
          <w:sz w:val="20"/>
          <w:szCs w:val="20"/>
          <w:lang w:val="es-ES_tradnl" w:eastAsia="es-ES_tradnl"/>
        </w:rPr>
        <w:t>se le dé al acuerdo,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w:t>
      </w:r>
    </w:p>
    <w:p w14:paraId="08022818" w14:textId="77777777" w:rsidR="006E5B7C" w:rsidRPr="007372A0" w:rsidRDefault="006E5B7C" w:rsidP="006E5B7C">
      <w:pPr>
        <w:spacing w:after="0"/>
        <w:rPr>
          <w:rFonts w:ascii="Verdana" w:hAnsi="Verdana"/>
          <w:color w:val="EE0000"/>
          <w:highlight w:val="lightGray"/>
        </w:rPr>
      </w:pPr>
    </w:p>
    <w:p w14:paraId="55C8D671" w14:textId="77777777" w:rsidR="006E5B7C" w:rsidRPr="00596023" w:rsidRDefault="006E5B7C" w:rsidP="006E5B7C">
      <w:pPr>
        <w:spacing w:after="120" w:line="240" w:lineRule="auto"/>
        <w:rPr>
          <w:rFonts w:ascii="Verdana" w:hAnsi="Verdana" w:cs="Arial"/>
          <w:b/>
        </w:rPr>
      </w:pPr>
      <w:r w:rsidRPr="00596023">
        <w:rPr>
          <w:rFonts w:ascii="Verdana" w:hAnsi="Verdana" w:cs="Arial"/>
          <w:b/>
        </w:rPr>
        <w:t xml:space="preserve">INTERVENTORÍA – Características </w:t>
      </w:r>
    </w:p>
    <w:p w14:paraId="14D78FF6" w14:textId="77777777" w:rsidR="006E5B7C" w:rsidRPr="00FD2AFC" w:rsidRDefault="006E5B7C" w:rsidP="006E5B7C">
      <w:pPr>
        <w:pStyle w:val="Sinespaciado"/>
        <w:spacing w:after="120"/>
        <w:jc w:val="both"/>
        <w:rPr>
          <w:rFonts w:ascii="Verdana" w:hAnsi="Verdana" w:cs="Arial"/>
          <w:sz w:val="20"/>
          <w:szCs w:val="20"/>
        </w:rPr>
      </w:pPr>
      <w:r w:rsidRPr="00FD2AFC">
        <w:rPr>
          <w:rFonts w:ascii="Verdana" w:hAnsi="Verdana" w:cs="Arial"/>
          <w:sz w:val="20"/>
          <w:szCs w:val="20"/>
        </w:rPr>
        <w:t>[…] la interventoría: i) será un mecanismo de vigilancia contingente en la medida que solo es obligatorio para el seguimiento de los contratos de obra adjudicados por licitación pública ‒art. 32, numeral 1, Ley 80 de 1993; en los demás casos se requerirá cuando “el seguimiento del contrato suponga conocimiento especializado en la materia, o cuando la complejidad o la extensión de este lo justifiquen” ‒art. 83, Ley 1474 de 2011‒. ii) Este mecanismo de vigilancia exige, en su ejecución, la utilización de conocimientos especializados. iii) Por lo anterior, la entidad contrata un experto a través de un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r>
        <w:rPr>
          <w:rFonts w:ascii="Verdana" w:hAnsi="Verdana" w:cs="Arial"/>
          <w:sz w:val="20"/>
          <w:szCs w:val="20"/>
        </w:rPr>
        <w:t xml:space="preserve"> </w:t>
      </w:r>
      <w:r w:rsidRPr="00FD2AFC">
        <w:rPr>
          <w:rFonts w:ascii="Verdana" w:hAnsi="Verdana" w:cs="Arial"/>
          <w:sz w:val="20"/>
          <w:szCs w:val="20"/>
        </w:rPr>
        <w:t>[…]</w:t>
      </w:r>
    </w:p>
    <w:p w14:paraId="2CBA7ADA" w14:textId="77777777" w:rsidR="006E5B7C" w:rsidRPr="00FD2AFC" w:rsidRDefault="006E5B7C" w:rsidP="006E5B7C">
      <w:pPr>
        <w:spacing w:after="0"/>
        <w:rPr>
          <w:rFonts w:ascii="Verdana" w:hAnsi="Verdana"/>
          <w:color w:val="EE0000"/>
          <w:highlight w:val="lightGray"/>
          <w:lang w:val="es-MX"/>
        </w:rPr>
      </w:pPr>
    </w:p>
    <w:p w14:paraId="0907D6AA" w14:textId="77777777" w:rsidR="006E5B7C" w:rsidRPr="007372A0" w:rsidRDefault="006E5B7C" w:rsidP="006E5B7C">
      <w:pPr>
        <w:spacing w:after="0"/>
        <w:rPr>
          <w:rFonts w:ascii="Verdana" w:hAnsi="Verdana"/>
          <w:color w:val="EE0000"/>
          <w:highlight w:val="lightGray"/>
        </w:rPr>
      </w:pPr>
    </w:p>
    <w:p w14:paraId="0CC2E697" w14:textId="77777777" w:rsidR="006E5B7C" w:rsidRPr="007372A0" w:rsidRDefault="006E5B7C" w:rsidP="006E5B7C">
      <w:pPr>
        <w:spacing w:after="0"/>
        <w:rPr>
          <w:rFonts w:ascii="Verdana" w:hAnsi="Verdana"/>
          <w:color w:val="EE0000"/>
          <w:highlight w:val="lightGray"/>
        </w:rPr>
      </w:pPr>
    </w:p>
    <w:p w14:paraId="2C14F67D" w14:textId="77777777" w:rsidR="006E5B7C" w:rsidRPr="007372A0" w:rsidRDefault="006E5B7C" w:rsidP="006E5B7C">
      <w:pPr>
        <w:spacing w:after="0"/>
        <w:rPr>
          <w:rFonts w:ascii="Verdana" w:hAnsi="Verdana"/>
          <w:color w:val="EE0000"/>
          <w:highlight w:val="lightGray"/>
        </w:rPr>
      </w:pPr>
    </w:p>
    <w:p w14:paraId="3B40E5C3" w14:textId="77777777" w:rsidR="006E5B7C" w:rsidRPr="007372A0" w:rsidRDefault="006E5B7C" w:rsidP="006E5B7C">
      <w:pPr>
        <w:spacing w:after="0"/>
        <w:rPr>
          <w:rFonts w:ascii="Verdana" w:hAnsi="Verdana"/>
          <w:color w:val="EE0000"/>
          <w:highlight w:val="lightGray"/>
        </w:rPr>
      </w:pPr>
    </w:p>
    <w:p w14:paraId="43BB4733" w14:textId="77777777" w:rsidR="006E5B7C" w:rsidRPr="007372A0" w:rsidRDefault="006E5B7C" w:rsidP="006E5B7C">
      <w:pPr>
        <w:spacing w:after="0"/>
        <w:rPr>
          <w:rFonts w:ascii="Verdana" w:hAnsi="Verdana"/>
          <w:color w:val="EE0000"/>
          <w:highlight w:val="lightGray"/>
        </w:rPr>
      </w:pPr>
    </w:p>
    <w:p w14:paraId="02A755CF" w14:textId="77777777" w:rsidR="006E5B7C" w:rsidRPr="007372A0" w:rsidRDefault="006E5B7C" w:rsidP="006E5B7C">
      <w:pPr>
        <w:spacing w:after="0"/>
        <w:rPr>
          <w:rFonts w:ascii="Verdana" w:hAnsi="Verdana"/>
          <w:color w:val="EE0000"/>
          <w:highlight w:val="lightGray"/>
        </w:rPr>
      </w:pPr>
    </w:p>
    <w:p w14:paraId="6893975A" w14:textId="77777777" w:rsidR="006E5B7C" w:rsidRPr="007372A0" w:rsidRDefault="006E5B7C" w:rsidP="006E5B7C">
      <w:pPr>
        <w:spacing w:after="0"/>
        <w:rPr>
          <w:rFonts w:ascii="Verdana" w:hAnsi="Verdana"/>
          <w:color w:val="EE0000"/>
          <w:highlight w:val="lightGray"/>
        </w:rPr>
      </w:pPr>
    </w:p>
    <w:p w14:paraId="01223789" w14:textId="77777777" w:rsidR="006E5B7C" w:rsidRDefault="006E5B7C" w:rsidP="006E5B7C">
      <w:pPr>
        <w:spacing w:after="0"/>
        <w:rPr>
          <w:rFonts w:ascii="Verdana" w:hAnsi="Verdana"/>
          <w:color w:val="EE0000"/>
          <w:highlight w:val="lightGray"/>
        </w:rPr>
      </w:pPr>
    </w:p>
    <w:p w14:paraId="18B9331A" w14:textId="77777777" w:rsidR="006E5B7C" w:rsidRPr="007372A0" w:rsidRDefault="006E5B7C" w:rsidP="006E5B7C">
      <w:pPr>
        <w:spacing w:after="0"/>
        <w:rPr>
          <w:rFonts w:ascii="Verdana" w:hAnsi="Verdana"/>
          <w:color w:val="EE0000"/>
        </w:rPr>
      </w:pPr>
    </w:p>
    <w:p w14:paraId="13EA25FF" w14:textId="1C4829BB" w:rsidR="006E5B7C" w:rsidRPr="002E1436" w:rsidRDefault="006E5B7C" w:rsidP="006E5B7C">
      <w:pPr>
        <w:spacing w:after="0" w:line="240" w:lineRule="auto"/>
        <w:rPr>
          <w:rFonts w:ascii="Verdana" w:hAnsi="Verdana"/>
        </w:rPr>
      </w:pPr>
      <w:r w:rsidRPr="002E1436">
        <w:rPr>
          <w:rFonts w:ascii="Verdana" w:hAnsi="Verdana"/>
        </w:rPr>
        <w:lastRenderedPageBreak/>
        <w:t xml:space="preserve">Bogotá D.C., </w:t>
      </w:r>
      <w:r w:rsidR="00076BEB">
        <w:rPr>
          <w:rFonts w:ascii="Verdana" w:hAnsi="Verdana"/>
        </w:rPr>
        <w:t>25 Mayo 2026</w:t>
      </w:r>
    </w:p>
    <w:p w14:paraId="18C0536F" w14:textId="3166E146" w:rsidR="006E5B7C" w:rsidRPr="002E1436" w:rsidRDefault="00577865" w:rsidP="006E5B7C">
      <w:pPr>
        <w:spacing w:after="0" w:line="240" w:lineRule="auto"/>
        <w:rPr>
          <w:rFonts w:ascii="Verdana" w:hAnsi="Verdana"/>
          <w:highlight w:val="lightGray"/>
          <w:lang w:val="es-ES"/>
        </w:rPr>
      </w:pPr>
      <w:r w:rsidRPr="00090E08">
        <w:rPr>
          <w:rFonts w:ascii="Verdana" w:eastAsia="Calibri" w:hAnsi="Verdana" w:cs="Arial"/>
          <w:b/>
          <w:bCs/>
          <w:lang w:eastAsia="es-ES"/>
        </w:rPr>
        <w:drawing>
          <wp:anchor distT="0" distB="0" distL="114300" distR="114300" simplePos="0" relativeHeight="251659264" behindDoc="1" locked="0" layoutInCell="1" allowOverlap="1" wp14:anchorId="106F0B14" wp14:editId="3DC7E26C">
            <wp:simplePos x="0" y="0"/>
            <wp:positionH relativeFrom="margin">
              <wp:posOffset>2987906</wp:posOffset>
            </wp:positionH>
            <wp:positionV relativeFrom="paragraph">
              <wp:posOffset>35561</wp:posOffset>
            </wp:positionV>
            <wp:extent cx="2621049" cy="838126"/>
            <wp:effectExtent l="0" t="0" r="0" b="635"/>
            <wp:wrapNone/>
            <wp:docPr id="1571418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41842" name=""/>
                    <pic:cNvPicPr/>
                  </pic:nvPicPr>
                  <pic:blipFill>
                    <a:blip r:embed="rId11">
                      <a:extLst>
                        <a:ext uri="{28A0092B-C50C-407E-A947-70E740481C1C}">
                          <a14:useLocalDpi xmlns:a14="http://schemas.microsoft.com/office/drawing/2010/main" val="0"/>
                        </a:ext>
                      </a:extLst>
                    </a:blip>
                    <a:stretch>
                      <a:fillRect/>
                    </a:stretch>
                  </pic:blipFill>
                  <pic:spPr>
                    <a:xfrm>
                      <a:off x="0" y="0"/>
                      <a:ext cx="2628090" cy="840378"/>
                    </a:xfrm>
                    <a:prstGeom prst="rect">
                      <a:avLst/>
                    </a:prstGeom>
                  </pic:spPr>
                </pic:pic>
              </a:graphicData>
            </a:graphic>
            <wp14:sizeRelH relativeFrom="margin">
              <wp14:pctWidth>0</wp14:pctWidth>
            </wp14:sizeRelH>
            <wp14:sizeRelV relativeFrom="margin">
              <wp14:pctHeight>0</wp14:pctHeight>
            </wp14:sizeRelV>
          </wp:anchor>
        </w:drawing>
      </w:r>
    </w:p>
    <w:p w14:paraId="254D9677" w14:textId="376178DF" w:rsidR="006E5B7C" w:rsidRPr="00E850C8" w:rsidRDefault="006E5B7C" w:rsidP="006E5B7C">
      <w:pPr>
        <w:spacing w:after="0" w:line="240" w:lineRule="auto"/>
        <w:rPr>
          <w:rFonts w:ascii="Verdana" w:hAnsi="Verdana"/>
          <w:lang w:val="es-ES"/>
        </w:rPr>
      </w:pPr>
      <w:bookmarkStart w:id="0" w:name="_Hlk143780582"/>
      <w:r w:rsidRPr="00E850C8">
        <w:rPr>
          <w:rFonts w:ascii="Verdana" w:eastAsia="Calibri" w:hAnsi="Verdana" w:cs="Arial"/>
          <w:lang w:val="es-ES" w:eastAsia="es-ES"/>
        </w:rPr>
        <w:t xml:space="preserve">Señor </w:t>
      </w:r>
    </w:p>
    <w:p w14:paraId="2C9219DA" w14:textId="7694CE33" w:rsidR="006E5B7C" w:rsidRPr="007372A0" w:rsidRDefault="006E5B7C" w:rsidP="006E5B7C">
      <w:pPr>
        <w:spacing w:after="0" w:line="240" w:lineRule="auto"/>
        <w:rPr>
          <w:rFonts w:ascii="Verdana" w:hAnsi="Verdana"/>
          <w:color w:val="EE0000"/>
          <w:lang w:val="es-ES"/>
        </w:rPr>
      </w:pPr>
      <w:r w:rsidRPr="00E850C8">
        <w:rPr>
          <w:rFonts w:ascii="Verdana" w:eastAsia="Calibri" w:hAnsi="Verdana" w:cs="Arial"/>
          <w:b/>
          <w:bCs/>
          <w:lang w:eastAsia="es-ES"/>
        </w:rPr>
        <w:t>Wilder Camilo Barón Archila</w:t>
      </w:r>
      <w:r w:rsidR="00090E08">
        <w:rPr>
          <w:rFonts w:ascii="Verdana" w:eastAsia="Calibri" w:hAnsi="Verdana" w:cs="Arial"/>
          <w:b/>
          <w:bCs/>
          <w:lang w:eastAsia="es-ES"/>
        </w:rPr>
        <w:t xml:space="preserve"> </w:t>
      </w:r>
    </w:p>
    <w:p w14:paraId="7BF68E61" w14:textId="77777777" w:rsidR="006E5B7C" w:rsidRPr="007372A0" w:rsidRDefault="006E5B7C" w:rsidP="006E5B7C">
      <w:pPr>
        <w:spacing w:after="0" w:line="240" w:lineRule="auto"/>
        <w:rPr>
          <w:rFonts w:ascii="Verdana" w:eastAsia="Calibri" w:hAnsi="Verdana" w:cs="Arial"/>
          <w:color w:val="EE0000"/>
          <w:lang w:eastAsia="es-ES"/>
        </w:rPr>
      </w:pPr>
      <w:hyperlink r:id="rId12" w:history="1">
        <w:r w:rsidRPr="00C42B86">
          <w:rPr>
            <w:rStyle w:val="Hipervnculo"/>
            <w:rFonts w:ascii="Verdana" w:eastAsia="Calibri" w:hAnsi="Verdana" w:cs="Arial"/>
            <w:lang w:eastAsia="es-ES"/>
          </w:rPr>
          <w:t>wilder.baron@uptc.edu.co</w:t>
        </w:r>
      </w:hyperlink>
      <w:r>
        <w:rPr>
          <w:rFonts w:ascii="Verdana" w:eastAsia="Calibri" w:hAnsi="Verdana" w:cs="Arial"/>
          <w:color w:val="EE0000"/>
          <w:lang w:eastAsia="es-ES"/>
        </w:rPr>
        <w:t xml:space="preserve"> </w:t>
      </w:r>
    </w:p>
    <w:p w14:paraId="3CC1210D" w14:textId="77777777" w:rsidR="006E5B7C" w:rsidRPr="0028683B" w:rsidRDefault="006E5B7C" w:rsidP="006E5B7C">
      <w:pPr>
        <w:spacing w:after="0" w:line="240" w:lineRule="auto"/>
        <w:rPr>
          <w:rFonts w:ascii="Verdana" w:eastAsia="Calibri" w:hAnsi="Verdana" w:cs="Arial"/>
          <w:lang w:val="es-ES" w:eastAsia="es-ES"/>
        </w:rPr>
      </w:pPr>
      <w:r w:rsidRPr="0028683B">
        <w:rPr>
          <w:rFonts w:ascii="Verdana" w:eastAsia="Calibri" w:hAnsi="Verdana" w:cs="Arial"/>
          <w:lang w:val="es-ES" w:eastAsia="es-ES"/>
        </w:rPr>
        <w:t>Bogotá D.C</w:t>
      </w:r>
    </w:p>
    <w:p w14:paraId="581DD10E" w14:textId="77777777" w:rsidR="006E5B7C" w:rsidRPr="007372A0" w:rsidRDefault="006E5B7C" w:rsidP="006E5B7C">
      <w:pPr>
        <w:spacing w:after="0" w:line="240" w:lineRule="auto"/>
        <w:rPr>
          <w:rFonts w:ascii="Verdana" w:eastAsia="Calibri" w:hAnsi="Verdana" w:cs="Arial"/>
          <w:color w:val="EE0000"/>
          <w:highlight w:val="lightGray"/>
          <w:lang w:val="es-ES" w:eastAsia="es-ES"/>
        </w:rPr>
      </w:pPr>
    </w:p>
    <w:p w14:paraId="0AE9DE0E" w14:textId="77777777" w:rsidR="006E5B7C" w:rsidRPr="007372A0" w:rsidRDefault="006E5B7C" w:rsidP="006E5B7C">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E5B7C" w:rsidRPr="007372A0" w14:paraId="28C7720A" w14:textId="77777777" w:rsidTr="00BC49AF">
        <w:trPr>
          <w:trHeight w:val="300"/>
        </w:trPr>
        <w:tc>
          <w:tcPr>
            <w:tcW w:w="2410" w:type="dxa"/>
          </w:tcPr>
          <w:p w14:paraId="48F87C01" w14:textId="77777777" w:rsidR="006E5B7C" w:rsidRPr="00903B25" w:rsidRDefault="006E5B7C" w:rsidP="00BC49AF">
            <w:pPr>
              <w:ind w:left="-142"/>
              <w:jc w:val="both"/>
              <w:rPr>
                <w:rFonts w:ascii="Verdana" w:eastAsia="Calibri" w:hAnsi="Verdana" w:cs="Arial"/>
                <w:b/>
                <w:bCs/>
                <w:highlight w:val="lightGray"/>
                <w:lang w:val="es-ES" w:eastAsia="es-ES_tradnl"/>
              </w:rPr>
            </w:pPr>
          </w:p>
        </w:tc>
        <w:tc>
          <w:tcPr>
            <w:tcW w:w="6100" w:type="dxa"/>
          </w:tcPr>
          <w:p w14:paraId="7FB9FFB0" w14:textId="77777777" w:rsidR="006E5B7C" w:rsidRPr="00903B25" w:rsidRDefault="006E5B7C" w:rsidP="00BC49AF">
            <w:pPr>
              <w:ind w:left="3"/>
              <w:jc w:val="both"/>
              <w:rPr>
                <w:rFonts w:ascii="Verdana" w:eastAsia="Calibri" w:hAnsi="Verdana" w:cs="Arial"/>
                <w:b/>
                <w:bCs/>
                <w:highlight w:val="lightGray"/>
                <w:lang w:val="es-ES" w:eastAsia="es-ES"/>
              </w:rPr>
            </w:pPr>
            <w:r w:rsidRPr="00903B25">
              <w:rPr>
                <w:rFonts w:ascii="Verdana" w:eastAsia="Calibri" w:hAnsi="Verdana" w:cs="Arial"/>
                <w:b/>
                <w:bCs/>
                <w:lang w:val="es-ES" w:eastAsia="es-ES"/>
              </w:rPr>
              <w:t>Concepto C-621 de 2026</w:t>
            </w:r>
          </w:p>
          <w:p w14:paraId="1D92EE2A" w14:textId="77777777" w:rsidR="006E5B7C" w:rsidRPr="00903B25" w:rsidRDefault="006E5B7C" w:rsidP="00BC49AF">
            <w:pPr>
              <w:ind w:left="3"/>
              <w:jc w:val="both"/>
              <w:rPr>
                <w:rFonts w:ascii="Verdana" w:eastAsia="Calibri" w:hAnsi="Verdana" w:cs="Arial"/>
                <w:b/>
                <w:bCs/>
                <w:highlight w:val="lightGray"/>
                <w:lang w:val="es-ES" w:eastAsia="es-ES"/>
              </w:rPr>
            </w:pPr>
          </w:p>
        </w:tc>
      </w:tr>
      <w:tr w:rsidR="006E5B7C" w:rsidRPr="007372A0" w14:paraId="5203F6E6" w14:textId="77777777" w:rsidTr="00BC49AF">
        <w:trPr>
          <w:trHeight w:val="300"/>
        </w:trPr>
        <w:tc>
          <w:tcPr>
            <w:tcW w:w="2410" w:type="dxa"/>
          </w:tcPr>
          <w:p w14:paraId="066EA6A1" w14:textId="77777777" w:rsidR="006E5B7C" w:rsidRPr="00903B25" w:rsidRDefault="006E5B7C" w:rsidP="00BC49AF">
            <w:pPr>
              <w:ind w:left="424" w:firstLine="142"/>
              <w:jc w:val="both"/>
              <w:rPr>
                <w:rFonts w:ascii="Verdana" w:eastAsia="Calibri" w:hAnsi="Verdana" w:cs="Arial"/>
                <w:highlight w:val="lightGray"/>
                <w:lang w:val="es-ES" w:eastAsia="es-ES_tradnl"/>
              </w:rPr>
            </w:pPr>
            <w:r w:rsidRPr="00903B25">
              <w:rPr>
                <w:rFonts w:ascii="Verdana" w:eastAsia="Calibri" w:hAnsi="Verdana" w:cs="Arial"/>
                <w:b/>
                <w:lang w:val="es-ES" w:eastAsia="es-ES_tradnl"/>
              </w:rPr>
              <w:t>Temas:</w:t>
            </w:r>
            <w:r w:rsidRPr="00903B25">
              <w:rPr>
                <w:rFonts w:ascii="Verdana" w:eastAsia="Calibri" w:hAnsi="Verdana" w:cs="Arial"/>
                <w:lang w:val="es-ES" w:eastAsia="es-ES_tradnl"/>
              </w:rPr>
              <w:t xml:space="preserve"> </w:t>
            </w:r>
            <w:r w:rsidRPr="00903B25">
              <w:rPr>
                <w:rFonts w:ascii="Verdana" w:eastAsia="Calibri" w:hAnsi="Verdana" w:cs="Arial"/>
                <w:highlight w:val="lightGray"/>
                <w:lang w:val="es-ES" w:eastAsia="es-ES_tradnl"/>
              </w:rPr>
              <w:t xml:space="preserve">                 </w:t>
            </w:r>
          </w:p>
        </w:tc>
        <w:tc>
          <w:tcPr>
            <w:tcW w:w="6100" w:type="dxa"/>
          </w:tcPr>
          <w:p w14:paraId="5DFB1C6B" w14:textId="77777777" w:rsidR="006E5B7C" w:rsidRPr="00903B25" w:rsidRDefault="006E5B7C" w:rsidP="00BC49AF">
            <w:pPr>
              <w:jc w:val="both"/>
              <w:rPr>
                <w:rFonts w:ascii="Verdana" w:eastAsia="Calibri" w:hAnsi="Verdana" w:cs="Arial"/>
              </w:rPr>
            </w:pPr>
            <w:r w:rsidRPr="00903B25">
              <w:rPr>
                <w:rFonts w:ascii="Verdana" w:eastAsia="Calibri" w:hAnsi="Verdana" w:cs="Arial"/>
              </w:rPr>
              <w:t xml:space="preserve">INTERVENTORÍA – Artículo 85 de la Ley 1474 de 2011 – Adición – Excepción al parágrafo del artículo 40 de la Ley 80 de 1993 – Norma especial / ADICIÓN – Concepto – Distintos supuestos – Prohibición – Adición en más del 50% / INTERVENTORÍA – Características </w:t>
            </w:r>
          </w:p>
          <w:p w14:paraId="057E1BFA" w14:textId="77777777" w:rsidR="006E5B7C" w:rsidRPr="00903B25" w:rsidRDefault="006E5B7C" w:rsidP="00BC49AF">
            <w:pPr>
              <w:jc w:val="both"/>
              <w:rPr>
                <w:rFonts w:ascii="Verdana" w:eastAsia="Calibri" w:hAnsi="Verdana" w:cs="Arial"/>
              </w:rPr>
            </w:pPr>
          </w:p>
        </w:tc>
      </w:tr>
      <w:tr w:rsidR="006E5B7C" w:rsidRPr="007372A0" w14:paraId="2B1E73AC" w14:textId="77777777" w:rsidTr="00BC49AF">
        <w:trPr>
          <w:trHeight w:val="350"/>
        </w:trPr>
        <w:tc>
          <w:tcPr>
            <w:tcW w:w="2410" w:type="dxa"/>
          </w:tcPr>
          <w:p w14:paraId="7D23AE6B" w14:textId="77777777" w:rsidR="006E5B7C" w:rsidRPr="00BA28DA" w:rsidRDefault="006E5B7C" w:rsidP="00BC49AF">
            <w:pPr>
              <w:ind w:left="561"/>
              <w:jc w:val="both"/>
              <w:rPr>
                <w:rFonts w:ascii="Verdana" w:eastAsia="Calibri" w:hAnsi="Verdana" w:cs="Arial"/>
                <w:b/>
                <w:lang w:val="es-ES" w:eastAsia="es-ES_tradnl"/>
              </w:rPr>
            </w:pPr>
            <w:r w:rsidRPr="00BA28DA">
              <w:rPr>
                <w:rFonts w:ascii="Verdana" w:eastAsia="Calibri" w:hAnsi="Verdana" w:cs="Arial"/>
                <w:b/>
                <w:lang w:val="es-ES" w:eastAsia="es-ES_tradnl"/>
              </w:rPr>
              <w:t>Radicación:</w:t>
            </w:r>
            <w:r w:rsidRPr="00BA28DA">
              <w:rPr>
                <w:rFonts w:ascii="Verdana" w:eastAsia="Calibri" w:hAnsi="Verdana" w:cs="Arial"/>
                <w:lang w:val="es-ES" w:eastAsia="es-ES_tradnl"/>
              </w:rPr>
              <w:t xml:space="preserve">              </w:t>
            </w:r>
          </w:p>
        </w:tc>
        <w:tc>
          <w:tcPr>
            <w:tcW w:w="6100" w:type="dxa"/>
          </w:tcPr>
          <w:p w14:paraId="5CE7290B" w14:textId="77777777" w:rsidR="006E5B7C" w:rsidRPr="00BA28DA" w:rsidRDefault="006E5B7C" w:rsidP="00BC49AF">
            <w:pPr>
              <w:ind w:left="3"/>
              <w:jc w:val="both"/>
              <w:rPr>
                <w:rFonts w:ascii="Verdana" w:hAnsi="Verdana"/>
                <w:lang w:val="es-ES"/>
              </w:rPr>
            </w:pPr>
            <w:r w:rsidRPr="00BA28DA">
              <w:rPr>
                <w:rFonts w:ascii="Verdana" w:eastAsia="Calibri" w:hAnsi="Verdana" w:cs="Arial"/>
                <w:lang w:val="es-ES" w:eastAsia="es-ES"/>
              </w:rPr>
              <w:t>Respuesta a consulta con radicado No. 1_2026_04_15_005136</w:t>
            </w:r>
          </w:p>
        </w:tc>
      </w:tr>
    </w:tbl>
    <w:p w14:paraId="4A485DCF" w14:textId="77777777" w:rsidR="006E5B7C" w:rsidRPr="004E5E7A" w:rsidRDefault="006E5B7C" w:rsidP="006E5B7C">
      <w:pPr>
        <w:spacing w:after="0" w:line="240" w:lineRule="auto"/>
        <w:jc w:val="both"/>
        <w:rPr>
          <w:rFonts w:ascii="Verdana" w:eastAsia="Calibri" w:hAnsi="Verdana" w:cs="Arial"/>
          <w:highlight w:val="lightGray"/>
          <w:lang w:val="es-ES" w:eastAsia="es-ES"/>
        </w:rPr>
      </w:pPr>
    </w:p>
    <w:p w14:paraId="55439D3F" w14:textId="77777777" w:rsidR="006E5B7C" w:rsidRPr="004E5E7A" w:rsidRDefault="006E5B7C" w:rsidP="006E5B7C">
      <w:pPr>
        <w:spacing w:after="0" w:line="240" w:lineRule="auto"/>
        <w:jc w:val="both"/>
        <w:rPr>
          <w:rFonts w:ascii="Verdana" w:eastAsia="Calibri" w:hAnsi="Verdana" w:cs="Arial"/>
          <w:highlight w:val="lightGray"/>
          <w:lang w:val="es-ES" w:eastAsia="es-ES"/>
        </w:rPr>
      </w:pPr>
    </w:p>
    <w:p w14:paraId="1DF46BEE" w14:textId="77777777" w:rsidR="006E5B7C" w:rsidRPr="004E5E7A" w:rsidRDefault="006E5B7C" w:rsidP="006E5B7C">
      <w:pPr>
        <w:spacing w:after="0" w:line="276" w:lineRule="auto"/>
        <w:jc w:val="both"/>
        <w:rPr>
          <w:rFonts w:ascii="Verdana" w:eastAsia="Calibri" w:hAnsi="Verdana" w:cs="Arial"/>
          <w:lang w:val="es-ES" w:eastAsia="es-ES"/>
        </w:rPr>
      </w:pPr>
      <w:r w:rsidRPr="004E5E7A">
        <w:rPr>
          <w:rFonts w:ascii="Verdana" w:eastAsia="Calibri" w:hAnsi="Verdana" w:cs="Arial"/>
          <w:lang w:val="es-ES" w:eastAsia="es-ES"/>
        </w:rPr>
        <w:t>Estimado señor Barón,</w:t>
      </w:r>
    </w:p>
    <w:p w14:paraId="44DD4E78" w14:textId="77777777" w:rsidR="006E5B7C" w:rsidRPr="004E5E7A" w:rsidRDefault="006E5B7C" w:rsidP="006E5B7C">
      <w:pPr>
        <w:tabs>
          <w:tab w:val="left" w:pos="3768"/>
        </w:tabs>
        <w:spacing w:after="0" w:line="276" w:lineRule="auto"/>
        <w:jc w:val="both"/>
        <w:rPr>
          <w:rFonts w:ascii="Verdana" w:eastAsia="Calibri" w:hAnsi="Verdana" w:cs="Arial"/>
          <w:lang w:val="es-ES" w:eastAsia="es-ES"/>
        </w:rPr>
      </w:pPr>
      <w:r w:rsidRPr="004E5E7A">
        <w:rPr>
          <w:rFonts w:ascii="Verdana" w:eastAsia="Calibri" w:hAnsi="Verdana" w:cs="Arial"/>
          <w:lang w:val="es-ES" w:eastAsia="es-ES"/>
        </w:rPr>
        <w:tab/>
      </w:r>
    </w:p>
    <w:p w14:paraId="79183698" w14:textId="77777777" w:rsidR="006E5B7C" w:rsidRPr="004E5E7A" w:rsidRDefault="006E5B7C" w:rsidP="006E5B7C">
      <w:pPr>
        <w:spacing w:after="0" w:line="276" w:lineRule="auto"/>
        <w:jc w:val="both"/>
        <w:rPr>
          <w:rFonts w:ascii="Verdana" w:eastAsia="Calibri" w:hAnsi="Verdana" w:cs="Arial"/>
          <w:lang w:val="es-ES" w:eastAsia="es-ES"/>
        </w:rPr>
      </w:pPr>
      <w:r w:rsidRPr="004E5E7A">
        <w:rPr>
          <w:rFonts w:ascii="Verdana" w:eastAsia="Calibri" w:hAnsi="Verdana" w:cs="Arial"/>
          <w:lang w:val="es-ES" w:eastAsia="es-ES"/>
        </w:rPr>
        <w:t>En ejercicio de la competencia otorgada por los artículos 3, numeral 5º, y 11, numeral 8º, del Decreto Ley 4170 de 2011,</w:t>
      </w:r>
      <w:r w:rsidRPr="004E5E7A">
        <w:rPr>
          <w:rFonts w:ascii="Verdana" w:eastAsia="Arial MT" w:hAnsi="Verdana" w:cs="Arial MT"/>
          <w:lang w:val="es-ES" w:eastAsia="es-ES"/>
        </w:rPr>
        <w:t xml:space="preserve"> </w:t>
      </w:r>
      <w:r w:rsidRPr="004E5E7A">
        <w:rPr>
          <w:rFonts w:ascii="Verdana" w:hAnsi="Verdana" w:cs="Arial"/>
          <w:lang w:val="es-ES"/>
        </w:rPr>
        <w:t xml:space="preserve">así como lo establecido en el artículo 4 de la Resolución 469 de 2025 expedida por esta Entidad, </w:t>
      </w:r>
      <w:r w:rsidRPr="004E5E7A">
        <w:rPr>
          <w:rFonts w:ascii="Verdana" w:eastAsia="Calibri" w:hAnsi="Verdana" w:cs="Arial"/>
          <w:lang w:val="es-ES" w:eastAsia="es-ES"/>
        </w:rPr>
        <w:t xml:space="preserve">la Agencia Nacional de Contratación Pública – Colombia Compra Eficiente– responde su solicitud de consulta de fecha 15 de abril de 2026, en la cual manifiesta lo siguiente: </w:t>
      </w:r>
    </w:p>
    <w:p w14:paraId="30F35FBA" w14:textId="77777777" w:rsidR="006E5B7C" w:rsidRPr="00DB1E68" w:rsidRDefault="006E5B7C" w:rsidP="006E5B7C">
      <w:pPr>
        <w:tabs>
          <w:tab w:val="left" w:pos="142"/>
          <w:tab w:val="left" w:pos="284"/>
        </w:tabs>
        <w:spacing w:after="0" w:line="276" w:lineRule="auto"/>
        <w:jc w:val="both"/>
        <w:rPr>
          <w:rFonts w:ascii="Verdana" w:eastAsia="Century Gothic" w:hAnsi="Verdana" w:cs="Century Gothic"/>
          <w:b/>
          <w:bCs/>
          <w:highlight w:val="lightGray"/>
          <w:lang w:val="es-ES"/>
        </w:rPr>
      </w:pPr>
    </w:p>
    <w:p w14:paraId="03AC3BD0" w14:textId="77777777" w:rsidR="006E5B7C" w:rsidRPr="00DB1E68" w:rsidRDefault="006E5B7C" w:rsidP="006E5B7C">
      <w:pPr>
        <w:spacing w:after="0" w:line="240" w:lineRule="auto"/>
        <w:ind w:left="709" w:right="709"/>
        <w:contextualSpacing/>
        <w:jc w:val="both"/>
        <w:rPr>
          <w:rFonts w:ascii="Verdana" w:eastAsia="Century Gothic" w:hAnsi="Verdana" w:cs="Century Gothic"/>
          <w:i/>
          <w:iCs/>
          <w:sz w:val="20"/>
          <w:szCs w:val="20"/>
          <w:lang w:val="es-ES"/>
        </w:rPr>
      </w:pPr>
      <w:r w:rsidRPr="00DB1E68">
        <w:rPr>
          <w:rFonts w:ascii="Verdana" w:eastAsia="Century Gothic" w:hAnsi="Verdana" w:cs="Century Gothic"/>
          <w:i/>
          <w:iCs/>
          <w:sz w:val="20"/>
          <w:szCs w:val="20"/>
          <w:lang w:val="es-ES"/>
        </w:rPr>
        <w:t>“Tengo un inconveniente contractual, se ha realizado un contrato de interventoría por el cinco por ciento del contrato de obra; en dicho proceso hubo la necesidad de adicionar los contratos por el cincuenta por ciento del valor de los contratos.</w:t>
      </w:r>
    </w:p>
    <w:p w14:paraId="017F5ADB" w14:textId="77777777" w:rsidR="006E5B7C" w:rsidRPr="00DB1E68" w:rsidRDefault="006E5B7C" w:rsidP="006E5B7C">
      <w:pPr>
        <w:spacing w:after="0" w:line="240" w:lineRule="auto"/>
        <w:ind w:left="709" w:right="709"/>
        <w:contextualSpacing/>
        <w:jc w:val="both"/>
        <w:rPr>
          <w:rFonts w:ascii="Verdana" w:eastAsia="Century Gothic" w:hAnsi="Verdana" w:cs="Century Gothic"/>
          <w:i/>
          <w:iCs/>
          <w:sz w:val="20"/>
          <w:szCs w:val="20"/>
          <w:lang w:val="es-ES"/>
        </w:rPr>
      </w:pPr>
    </w:p>
    <w:p w14:paraId="0DCD3131" w14:textId="77777777" w:rsidR="006E5B7C" w:rsidRPr="00DB1E68" w:rsidRDefault="006E5B7C" w:rsidP="006E5B7C">
      <w:pPr>
        <w:spacing w:after="0" w:line="240" w:lineRule="auto"/>
        <w:ind w:left="709" w:right="709"/>
        <w:contextualSpacing/>
        <w:jc w:val="both"/>
        <w:rPr>
          <w:rFonts w:ascii="Verdana" w:eastAsia="Century Gothic" w:hAnsi="Verdana" w:cs="Century Gothic"/>
          <w:i/>
          <w:iCs/>
          <w:sz w:val="20"/>
          <w:szCs w:val="20"/>
          <w:lang w:val="es-ES"/>
        </w:rPr>
      </w:pPr>
      <w:r w:rsidRPr="00DB1E68">
        <w:rPr>
          <w:rFonts w:ascii="Verdana" w:eastAsia="Century Gothic" w:hAnsi="Verdana" w:cs="Century Gothic"/>
          <w:i/>
          <w:iCs/>
          <w:sz w:val="20"/>
          <w:szCs w:val="20"/>
          <w:lang w:val="es-ES"/>
        </w:rPr>
        <w:t>Como interventor contratista consultó a la entidad, si hay disponibilidad de presupuesto por qué no me pueden hacer el adicional por el siete por ciento del contrato de obra, teniendo presente la disponibilidad presupuestal. Pregunto, cae en un error la entidad contratante si se pasa la adición del cincuenta por ciento del contrato inicial de interventoría?”</w:t>
      </w:r>
    </w:p>
    <w:p w14:paraId="13E4F008" w14:textId="77777777" w:rsidR="006E5B7C" w:rsidRPr="00ED5EEA" w:rsidRDefault="006E5B7C" w:rsidP="006E5B7C">
      <w:pPr>
        <w:spacing w:after="0" w:line="240" w:lineRule="auto"/>
        <w:ind w:left="709" w:right="709"/>
        <w:contextualSpacing/>
        <w:jc w:val="both"/>
        <w:rPr>
          <w:rFonts w:ascii="Verdana" w:eastAsia="Century Gothic" w:hAnsi="Verdana" w:cs="Century Gothic"/>
          <w:i/>
          <w:iCs/>
          <w:color w:val="EE0000"/>
          <w:sz w:val="20"/>
          <w:szCs w:val="20"/>
          <w:lang w:val="es-ES"/>
        </w:rPr>
      </w:pPr>
    </w:p>
    <w:p w14:paraId="50D92FF8" w14:textId="77777777" w:rsidR="006E5B7C" w:rsidRPr="00DB1E68" w:rsidRDefault="006E5B7C" w:rsidP="006E5B7C">
      <w:pPr>
        <w:spacing w:after="120" w:line="276" w:lineRule="auto"/>
        <w:ind w:firstLine="708"/>
        <w:jc w:val="both"/>
        <w:rPr>
          <w:rFonts w:ascii="Verdana" w:eastAsia="Calibri" w:hAnsi="Verdana" w:cs="Arial"/>
          <w:lang w:val="es-ES" w:eastAsia="es-ES"/>
        </w:rPr>
      </w:pPr>
      <w:r w:rsidRPr="00DB1E68">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DB1E68">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B1E68">
        <w:rPr>
          <w:rFonts w:ascii="Verdana" w:hAnsi="Verdana"/>
          <w:lang w:val="es-ES"/>
        </w:rPr>
        <w:tab/>
      </w:r>
    </w:p>
    <w:p w14:paraId="3712231C" w14:textId="77777777" w:rsidR="006E5B7C" w:rsidRPr="00DB1E68" w:rsidRDefault="006E5B7C" w:rsidP="006E5B7C">
      <w:pPr>
        <w:spacing w:after="0" w:line="276" w:lineRule="auto"/>
        <w:ind w:firstLine="709"/>
        <w:jc w:val="both"/>
        <w:rPr>
          <w:rFonts w:ascii="Verdana" w:eastAsia="Calibri" w:hAnsi="Verdana" w:cs="Arial"/>
          <w:lang w:val="es-ES" w:eastAsia="es-ES"/>
        </w:rPr>
      </w:pPr>
      <w:r w:rsidRPr="00DB1E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4DD9BB71" w14:textId="77777777" w:rsidR="006E5B7C" w:rsidRPr="00DB1E68" w:rsidRDefault="006E5B7C" w:rsidP="006E5B7C">
      <w:pPr>
        <w:spacing w:after="0" w:line="276" w:lineRule="auto"/>
        <w:ind w:firstLine="709"/>
        <w:jc w:val="both"/>
        <w:rPr>
          <w:rFonts w:ascii="Verdana" w:eastAsia="Calibri" w:hAnsi="Verdana" w:cs="Arial"/>
          <w:lang w:val="es-ES" w:eastAsia="es-ES"/>
        </w:rPr>
      </w:pPr>
    </w:p>
    <w:p w14:paraId="34F8C8D3" w14:textId="77777777" w:rsidR="006E5B7C" w:rsidRPr="00DB1E68" w:rsidRDefault="006E5B7C" w:rsidP="006E5B7C">
      <w:pPr>
        <w:tabs>
          <w:tab w:val="left" w:pos="142"/>
          <w:tab w:val="left" w:pos="284"/>
        </w:tabs>
        <w:spacing w:after="0" w:line="276" w:lineRule="auto"/>
        <w:jc w:val="both"/>
        <w:rPr>
          <w:rFonts w:ascii="Verdana" w:eastAsia="Century Gothic" w:hAnsi="Verdana" w:cs="Century Gothic"/>
          <w:b/>
          <w:lang w:val="es-ES"/>
        </w:rPr>
      </w:pPr>
      <w:r w:rsidRPr="00DB1E68">
        <w:rPr>
          <w:rFonts w:ascii="Verdana" w:eastAsia="Century Gothic" w:hAnsi="Verdana" w:cs="Century Gothic"/>
          <w:b/>
          <w:lang w:val="es-ES"/>
        </w:rPr>
        <w:t>1. Problema planteado:</w:t>
      </w:r>
    </w:p>
    <w:p w14:paraId="473D1A46" w14:textId="77777777" w:rsidR="006E5B7C" w:rsidRPr="007372A0" w:rsidRDefault="006E5B7C" w:rsidP="006E5B7C">
      <w:pPr>
        <w:tabs>
          <w:tab w:val="left" w:pos="426"/>
        </w:tabs>
        <w:spacing w:after="0" w:line="276" w:lineRule="auto"/>
        <w:jc w:val="both"/>
        <w:rPr>
          <w:rFonts w:ascii="Verdana" w:eastAsia="Century Gothic" w:hAnsi="Verdana" w:cs="Century Gothic"/>
          <w:color w:val="EE0000"/>
          <w:highlight w:val="lightGray"/>
          <w:lang w:val="es-ES"/>
        </w:rPr>
      </w:pPr>
    </w:p>
    <w:p w14:paraId="0E25BE2F" w14:textId="330ABFBE" w:rsidR="006E5B7C" w:rsidRDefault="006E5B7C" w:rsidP="006E5B7C">
      <w:pPr>
        <w:spacing w:after="0" w:line="276" w:lineRule="auto"/>
        <w:jc w:val="both"/>
        <w:rPr>
          <w:rFonts w:ascii="Verdana" w:eastAsia="Century Gothic" w:hAnsi="Verdana" w:cs="Century Gothic"/>
        </w:rPr>
      </w:pPr>
      <w:r w:rsidRPr="00231312">
        <w:rPr>
          <w:rFonts w:ascii="Verdana" w:eastAsia="Century Gothic" w:hAnsi="Verdana" w:cs="Century Gothic"/>
          <w:lang w:val="es-ES"/>
        </w:rPr>
        <w:t>De acuerdo con el contenido de su solicitud, esta Agencia resolverá el siguiente problema jurídico</w:t>
      </w:r>
      <w:r>
        <w:rPr>
          <w:rFonts w:ascii="Verdana" w:eastAsia="Century Gothic" w:hAnsi="Verdana" w:cs="Century Gothic"/>
          <w:lang w:val="es-ES"/>
        </w:rPr>
        <w:t xml:space="preserve">: </w:t>
      </w:r>
      <w:r w:rsidRPr="009E788C">
        <w:rPr>
          <w:rFonts w:ascii="Verdana" w:eastAsia="Century Gothic" w:hAnsi="Verdana" w:cs="Century Gothic"/>
        </w:rPr>
        <w:t>¿Cuál es el alcance de la excepción al límite de adición del cincuenta por ciento (50%)</w:t>
      </w:r>
      <w:r w:rsidR="00FC14B2">
        <w:rPr>
          <w:rFonts w:ascii="Verdana" w:eastAsia="Century Gothic" w:hAnsi="Verdana" w:cs="Century Gothic"/>
        </w:rPr>
        <w:t>,</w:t>
      </w:r>
      <w:r w:rsidRPr="009E788C">
        <w:rPr>
          <w:rFonts w:ascii="Verdana" w:eastAsia="Century Gothic" w:hAnsi="Verdana" w:cs="Century Gothic"/>
        </w:rPr>
        <w:t xml:space="preserve"> </w:t>
      </w:r>
      <w:r w:rsidR="00FC14B2">
        <w:rPr>
          <w:rFonts w:ascii="Verdana" w:eastAsia="Century Gothic" w:hAnsi="Verdana" w:cs="Century Gothic"/>
        </w:rPr>
        <w:t>establecida en el artículo 40 de l</w:t>
      </w:r>
      <w:r w:rsidR="00653F97">
        <w:rPr>
          <w:rFonts w:ascii="Verdana" w:eastAsia="Century Gothic" w:hAnsi="Verdana" w:cs="Century Gothic"/>
        </w:rPr>
        <w:t xml:space="preserve">a </w:t>
      </w:r>
      <w:r w:rsidR="00FC14B2">
        <w:rPr>
          <w:rFonts w:ascii="Verdana" w:eastAsia="Century Gothic" w:hAnsi="Verdana" w:cs="Century Gothic"/>
        </w:rPr>
        <w:t>Ley 80 de 1993,</w:t>
      </w:r>
      <w:r w:rsidRPr="009E788C">
        <w:rPr>
          <w:rFonts w:ascii="Verdana" w:eastAsia="Century Gothic" w:hAnsi="Verdana" w:cs="Century Gothic"/>
        </w:rPr>
        <w:t xml:space="preserve"> en los contratos de interventoría prevista en el artículo 85 de la Ley 1474 de 2011?</w:t>
      </w:r>
    </w:p>
    <w:p w14:paraId="740B5DF8" w14:textId="77777777" w:rsidR="00FC14B2" w:rsidRPr="007372A0" w:rsidRDefault="00FC14B2" w:rsidP="00E24F44">
      <w:pPr>
        <w:spacing w:after="0" w:line="276" w:lineRule="auto"/>
        <w:jc w:val="both"/>
        <w:rPr>
          <w:rFonts w:ascii="Verdana" w:eastAsia="Century Gothic" w:hAnsi="Verdana" w:cs="Century Gothic"/>
          <w:color w:val="EE0000"/>
          <w:highlight w:val="lightGray"/>
        </w:rPr>
      </w:pPr>
    </w:p>
    <w:p w14:paraId="58FDC0E1" w14:textId="77777777" w:rsidR="006E5B7C" w:rsidRPr="00231312" w:rsidRDefault="006E5B7C" w:rsidP="006E5B7C">
      <w:pPr>
        <w:tabs>
          <w:tab w:val="left" w:pos="142"/>
          <w:tab w:val="left" w:pos="284"/>
        </w:tabs>
        <w:spacing w:after="0" w:line="276" w:lineRule="auto"/>
        <w:jc w:val="both"/>
        <w:rPr>
          <w:rFonts w:ascii="Verdana" w:eastAsia="Century Gothic" w:hAnsi="Verdana" w:cs="Century Gothic"/>
          <w:b/>
          <w:lang w:val="es-ES"/>
        </w:rPr>
      </w:pPr>
      <w:r w:rsidRPr="00231312">
        <w:rPr>
          <w:rFonts w:ascii="Verdana" w:eastAsia="Century Gothic" w:hAnsi="Verdana" w:cs="Century Gothic"/>
          <w:b/>
          <w:lang w:val="es-ES"/>
        </w:rPr>
        <w:t>2. Respuesta:</w:t>
      </w:r>
    </w:p>
    <w:p w14:paraId="19DD4D3C" w14:textId="77777777" w:rsidR="006E5B7C" w:rsidRPr="007372A0" w:rsidRDefault="006E5B7C" w:rsidP="006E5B7C">
      <w:pPr>
        <w:tabs>
          <w:tab w:val="left" w:pos="142"/>
          <w:tab w:val="left" w:pos="284"/>
        </w:tabs>
        <w:spacing w:after="0" w:line="276" w:lineRule="auto"/>
        <w:jc w:val="both"/>
        <w:rPr>
          <w:rFonts w:ascii="Verdana" w:eastAsia="Century Gothic" w:hAnsi="Verdana" w:cs="Century Gothic"/>
          <w:b/>
          <w:bCs/>
          <w:color w:val="EE0000"/>
          <w:highlight w:val="lightGray"/>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E5B7C" w:rsidRPr="007372A0" w14:paraId="76960272" w14:textId="77777777" w:rsidTr="00BC49AF">
        <w:tc>
          <w:tcPr>
            <w:tcW w:w="8828" w:type="dxa"/>
          </w:tcPr>
          <w:p w14:paraId="59E8B3F0" w14:textId="15C10003" w:rsidR="006E5B7C" w:rsidRPr="00845077" w:rsidRDefault="006E5B7C" w:rsidP="00BC49AF">
            <w:pPr>
              <w:spacing w:after="120" w:line="276" w:lineRule="auto"/>
              <w:jc w:val="both"/>
              <w:rPr>
                <w:rFonts w:ascii="Verdana" w:eastAsia="Calibri" w:hAnsi="Verdana" w:cs="Arial"/>
              </w:rPr>
            </w:pPr>
            <w:r w:rsidRPr="007A72CD">
              <w:rPr>
                <w:rFonts w:ascii="Verdana" w:eastAsia="Calibri" w:hAnsi="Verdana" w:cs="Arial"/>
              </w:rPr>
              <w:t>Para responder el problema jurídico planteado, es importante precisar que,</w:t>
            </w:r>
            <w:r w:rsidRPr="007A72CD">
              <w:t xml:space="preserve"> </w:t>
            </w:r>
            <w:r w:rsidR="00E24F44">
              <w:t>l</w:t>
            </w:r>
            <w:r w:rsidRPr="007A72CD">
              <w:rPr>
                <w:rFonts w:ascii="Verdana" w:eastAsia="Calibri" w:hAnsi="Verdana" w:cs="Arial"/>
              </w:rPr>
              <w:t xml:space="preserve">a normativa aplicable a la prórroga y adición de los contratos de interventoría prevé una excepción clara y expresa, contenida en el artículo 85 de la Ley 1474 de 2011, según la cual no resulta aplicable la regla general que limita las adiciones al cincuenta por ciento (50%) del valor inicial del contrato. En efecto, dicha disposición materializa el principio de “continuidad de la interventoría”, al establecer que estos contratos “podrán prorrogarse por el mismo plazo que se haya prorrogado el contrato objeto de vigilancia. En tal caso el valor podrá ajustarse en atención a las obligaciones del objeto de interventoría, sin que </w:t>
            </w:r>
            <w:r w:rsidRPr="007A72CD">
              <w:rPr>
                <w:rFonts w:ascii="Verdana" w:eastAsia="Calibri" w:hAnsi="Verdana" w:cs="Arial"/>
              </w:rPr>
              <w:lastRenderedPageBreak/>
              <w:t>resulte aplicable lo dispuesto en el parágrafo del artículo 40 de la Ley 80 de 1993.</w:t>
            </w:r>
          </w:p>
          <w:p w14:paraId="4F4BE06B" w14:textId="282A2D63" w:rsidR="006E5B7C" w:rsidRDefault="006E5B7C" w:rsidP="00BC49AF">
            <w:pPr>
              <w:spacing w:after="120" w:line="276" w:lineRule="auto"/>
              <w:ind w:firstLine="709"/>
              <w:jc w:val="both"/>
              <w:rPr>
                <w:rFonts w:ascii="Verdana" w:hAnsi="Verdana" w:cs="Arial"/>
                <w:noProof/>
              </w:rPr>
            </w:pPr>
            <w:r w:rsidRPr="00845077">
              <w:rPr>
                <w:rFonts w:ascii="Verdana" w:hAnsi="Verdana" w:cs="Arial"/>
                <w:noProof/>
              </w:rPr>
              <w:t>En ese sentido, siempre que el contrato objeto de modificación corresponda efectivamente a un contrato de interventoría —esto es, aquel cuyo objeto consiste en vigilar la adecuada ejecución de uno o varios contratos estatales, en los términos del artículo 83 de la Ley 1474 de 2011—, será procedente la aplicación de la excepción prevista en el artículo 85 ibidem, pudiéndose adicionar el contrato por encima del cincuenta por ciento (50%) de su valor inicial. No obstante, es importante precisar que esta excepción aplica exclusivamente a los contratos de interventoría y no a los contratos de consultoría en general, conforme a la interpretación sistemática de la Ley y de los criterios auxiliares vigentes en el ordenamiento jurídico.</w:t>
            </w:r>
          </w:p>
          <w:p w14:paraId="2CED47BB" w14:textId="77777777" w:rsidR="006E5B7C" w:rsidRDefault="006E5B7C" w:rsidP="00BC49AF">
            <w:pPr>
              <w:spacing w:after="120" w:line="276" w:lineRule="auto"/>
              <w:ind w:firstLine="709"/>
              <w:jc w:val="both"/>
              <w:rPr>
                <w:rFonts w:ascii="Verdana" w:hAnsi="Verdana" w:cs="Arial"/>
                <w:noProof/>
              </w:rPr>
            </w:pPr>
            <w:r w:rsidRPr="00AC7AF0">
              <w:rPr>
                <w:rFonts w:ascii="Verdana" w:hAnsi="Verdana" w:cs="Arial"/>
                <w:noProof/>
              </w:rPr>
              <w:t>De cualquier modo, corresponderá a cada Entidad Estatal analizar la procedencia de modificar determinado contrato estatal, dentro de los límites y condiciones previstos en el ordenamiento jurídico, garantizando el cumplimiento de los principios de planeación, transparencia, responsabilidad y selección objetiva. Así mismo, la entidad deberá sustentar la modificación desde las perspectivas jurídica, técnica y financiera.</w:t>
            </w:r>
            <w:r>
              <w:rPr>
                <w:rFonts w:ascii="Verdana" w:hAnsi="Verdana" w:cs="Arial"/>
                <w:noProof/>
              </w:rPr>
              <w:t xml:space="preserve"> D</w:t>
            </w:r>
            <w:r w:rsidRPr="00AC7AF0">
              <w:rPr>
                <w:rFonts w:ascii="Verdana" w:hAnsi="Verdana" w:cs="Arial"/>
                <w:noProof/>
              </w:rPr>
              <w:t xml:space="preserve">ebe tenerse en cuenta que, el valor inicial de los contratos estatales no puede ser desbordado de manera desproporcionada o irrazonable, pues ello podría evidenciar deficiencias en la planeación contractual y eventuales afectaciones </w:t>
            </w:r>
            <w:r>
              <w:rPr>
                <w:rFonts w:ascii="Verdana" w:hAnsi="Verdana" w:cs="Arial"/>
                <w:noProof/>
              </w:rPr>
              <w:t>.</w:t>
            </w:r>
          </w:p>
          <w:p w14:paraId="25E5A920" w14:textId="77777777" w:rsidR="006E5B7C" w:rsidRPr="007372A0" w:rsidRDefault="006E5B7C" w:rsidP="00BC49AF">
            <w:pPr>
              <w:spacing w:after="120" w:line="276" w:lineRule="auto"/>
              <w:ind w:firstLine="709"/>
              <w:jc w:val="both"/>
              <w:rPr>
                <w:rFonts w:ascii="Verdana" w:eastAsia="Calibri" w:hAnsi="Verdana" w:cs="Arial"/>
                <w:color w:val="EE0000"/>
                <w:highlight w:val="lightGray"/>
              </w:rPr>
            </w:pPr>
            <w:r w:rsidRPr="00897D26">
              <w:rPr>
                <w:rFonts w:ascii="Verdana" w:eastAsia="Calibri" w:hAnsi="Verdana" w:cs="Arial"/>
                <w:bCs/>
              </w:rPr>
              <w:t xml:space="preserve">Al margen de la explicación precedente, debe advertirse que </w:t>
            </w:r>
            <w:r w:rsidRPr="00897D26">
              <w:rPr>
                <w:rStyle w:val="s15"/>
                <w:rFonts w:ascii="Verdana" w:hAnsi="Verdana"/>
              </w:rPr>
              <w:t>el análisis requerido para resolver problemas específicos en torno a la gestión contractual debe ser realizado por quienes tengan interés en ello, de acuerdo con lo explicado en el presente escrito.</w:t>
            </w:r>
            <w:r w:rsidRPr="00897D26">
              <w:rPr>
                <w:rStyle w:val="apple-converted-space"/>
                <w:rFonts w:ascii="Verdana" w:hAnsi="Verdana"/>
              </w:rPr>
              <w:t> </w:t>
            </w:r>
            <w:r w:rsidRPr="00897D26">
              <w:rPr>
                <w:rStyle w:val="s15"/>
                <w:rFonts w:ascii="Verdana" w:hAnsi="Verdana"/>
              </w:rPr>
              <w:t>Por lo anterior, previo</w:t>
            </w:r>
            <w:r w:rsidRPr="00897D26">
              <w:rPr>
                <w:rStyle w:val="apple-converted-space"/>
                <w:rFonts w:ascii="Verdana" w:hAnsi="Verdana"/>
              </w:rPr>
              <w:t> </w:t>
            </w:r>
            <w:r w:rsidRPr="00897D26">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3E8B6BD" w14:textId="77777777" w:rsidR="006E5B7C" w:rsidRPr="00E8663D" w:rsidRDefault="006E5B7C" w:rsidP="006E5B7C">
      <w:pPr>
        <w:tabs>
          <w:tab w:val="left" w:pos="142"/>
          <w:tab w:val="left" w:pos="284"/>
        </w:tabs>
        <w:spacing w:after="0" w:line="276" w:lineRule="auto"/>
        <w:jc w:val="both"/>
        <w:rPr>
          <w:rFonts w:ascii="Verdana" w:eastAsia="Century Gothic" w:hAnsi="Verdana" w:cs="Century Gothic"/>
          <w:b/>
          <w:bCs/>
          <w:lang w:val="es-ES"/>
        </w:rPr>
      </w:pPr>
    </w:p>
    <w:p w14:paraId="41B75D15" w14:textId="77777777" w:rsidR="006E5B7C" w:rsidRPr="00E8663D" w:rsidRDefault="006E5B7C" w:rsidP="006E5B7C">
      <w:pPr>
        <w:tabs>
          <w:tab w:val="left" w:pos="142"/>
          <w:tab w:val="left" w:pos="284"/>
        </w:tabs>
        <w:spacing w:after="0" w:line="276" w:lineRule="auto"/>
        <w:jc w:val="both"/>
        <w:rPr>
          <w:rFonts w:ascii="Verdana" w:eastAsia="Century Gothic" w:hAnsi="Verdana" w:cs="Century Gothic"/>
          <w:b/>
          <w:lang w:val="es-ES"/>
        </w:rPr>
      </w:pPr>
      <w:r w:rsidRPr="00E8663D">
        <w:rPr>
          <w:rFonts w:ascii="Verdana" w:eastAsia="Century Gothic" w:hAnsi="Verdana" w:cs="Century Gothic"/>
          <w:b/>
          <w:lang w:val="es-ES"/>
        </w:rPr>
        <w:t>3. Razones de la respuesta:</w:t>
      </w:r>
    </w:p>
    <w:p w14:paraId="327AC22D" w14:textId="77777777" w:rsidR="006E5B7C" w:rsidRPr="00E8663D" w:rsidRDefault="006E5B7C" w:rsidP="006E5B7C">
      <w:pPr>
        <w:spacing w:after="0" w:line="276" w:lineRule="auto"/>
        <w:jc w:val="both"/>
        <w:rPr>
          <w:rFonts w:ascii="Verdana" w:eastAsia="Calibri" w:hAnsi="Verdana" w:cs="Arial"/>
          <w:lang w:val="es-ES"/>
        </w:rPr>
      </w:pPr>
    </w:p>
    <w:p w14:paraId="2A780021" w14:textId="77777777" w:rsidR="006E5B7C" w:rsidRPr="00E8663D" w:rsidRDefault="006E5B7C" w:rsidP="006E5B7C">
      <w:pPr>
        <w:spacing w:after="0" w:line="276" w:lineRule="auto"/>
        <w:jc w:val="both"/>
        <w:rPr>
          <w:rFonts w:ascii="Verdana" w:eastAsia="Calibri" w:hAnsi="Verdana" w:cs="Arial"/>
          <w:lang w:val="es-ES"/>
        </w:rPr>
      </w:pPr>
      <w:r w:rsidRPr="00E8663D">
        <w:rPr>
          <w:rFonts w:ascii="Verdana" w:eastAsia="Calibri" w:hAnsi="Verdana" w:cs="Arial"/>
          <w:lang w:val="es-ES"/>
        </w:rPr>
        <w:t xml:space="preserve">Las respuestas anteriores se sustentan en las siguientes consideraciones: </w:t>
      </w:r>
    </w:p>
    <w:p w14:paraId="58A9CC47" w14:textId="77777777" w:rsidR="006E5B7C" w:rsidRPr="007372A0" w:rsidRDefault="006E5B7C" w:rsidP="006E5B7C">
      <w:pPr>
        <w:tabs>
          <w:tab w:val="left" w:pos="142"/>
          <w:tab w:val="left" w:pos="284"/>
        </w:tabs>
        <w:spacing w:after="0" w:line="276" w:lineRule="auto"/>
        <w:jc w:val="both"/>
        <w:rPr>
          <w:rFonts w:ascii="Verdana" w:eastAsia="Century Gothic" w:hAnsi="Verdana" w:cs="Century Gothic"/>
          <w:b/>
          <w:color w:val="EE0000"/>
          <w:highlight w:val="lightGray"/>
          <w:lang w:val="es-ES"/>
        </w:rPr>
      </w:pPr>
    </w:p>
    <w:p w14:paraId="050E94EA" w14:textId="77777777" w:rsidR="006E5B7C" w:rsidRPr="00596023" w:rsidRDefault="006E5B7C" w:rsidP="006E5B7C">
      <w:pPr>
        <w:spacing w:after="120" w:line="276" w:lineRule="auto"/>
        <w:jc w:val="both"/>
        <w:rPr>
          <w:rFonts w:ascii="Verdana" w:hAnsi="Verdana" w:cs="Arial"/>
          <w:bCs/>
          <w:lang w:eastAsia="es-ES_tradnl"/>
        </w:rPr>
      </w:pPr>
      <w:bookmarkStart w:id="1" w:name="_Hlk102983874"/>
      <w:bookmarkStart w:id="2" w:name="_Hlk102388095"/>
      <w:r w:rsidRPr="00FA7EF0">
        <w:rPr>
          <w:rFonts w:ascii="Verdana" w:hAnsi="Verdana" w:cs="Arial"/>
          <w:bCs/>
          <w:lang w:val="es-ES_tradnl" w:eastAsia="es-ES" w:bidi="es-ES"/>
        </w:rPr>
        <w:lastRenderedPageBreak/>
        <w:t>i.</w:t>
      </w:r>
      <w:r w:rsidRPr="00FA7EF0">
        <w:rPr>
          <w:rFonts w:ascii="Verdana" w:eastAsia="Calibri" w:hAnsi="Verdana" w:cs="Arial"/>
        </w:rPr>
        <w:t xml:space="preserve"> </w:t>
      </w:r>
      <w:r w:rsidRPr="00596023">
        <w:rPr>
          <w:rFonts w:ascii="Verdana" w:hAnsi="Verdana" w:cs="Arial"/>
          <w:bCs/>
          <w:lang w:eastAsia="es-ES_tradnl"/>
        </w:rPr>
        <w:t xml:space="preserve">Como es sabido, uno de los elementos más relevantes en los contratos estatales es el </w:t>
      </w:r>
      <w:r w:rsidRPr="00596023">
        <w:rPr>
          <w:rFonts w:ascii="Verdana" w:hAnsi="Verdana" w:cs="Arial"/>
          <w:bCs/>
          <w:i/>
          <w:iCs/>
          <w:lang w:eastAsia="es-ES_tradnl"/>
        </w:rPr>
        <w:t>precio</w:t>
      </w:r>
      <w:r w:rsidRPr="00596023">
        <w:rPr>
          <w:rFonts w:ascii="Verdana" w:hAnsi="Verdana" w:cs="Arial"/>
          <w:bCs/>
          <w:lang w:eastAsia="es-ES_tradnl"/>
        </w:rPr>
        <w:t>, también conocido como valor. Adicionalmente, el precio suele ser el elemento más importante para el contratista, porque equivale a la remuneración que la entidad contratante le pagará por la ejecución del objeto contractual.</w:t>
      </w:r>
    </w:p>
    <w:p w14:paraId="1B7395AC" w14:textId="77777777" w:rsidR="006E5B7C" w:rsidRPr="00596023" w:rsidRDefault="006E5B7C" w:rsidP="006E5B7C">
      <w:pPr>
        <w:spacing w:after="120" w:line="276" w:lineRule="auto"/>
        <w:jc w:val="both"/>
        <w:rPr>
          <w:rFonts w:ascii="Verdana" w:hAnsi="Verdana" w:cs="Arial"/>
          <w:bCs/>
          <w:lang w:eastAsia="es-ES_tradnl"/>
        </w:rPr>
      </w:pPr>
      <w:r>
        <w:rPr>
          <w:rFonts w:ascii="Verdana" w:hAnsi="Verdana" w:cs="Arial"/>
          <w:bCs/>
          <w:lang w:eastAsia="es-ES_tradnl"/>
        </w:rPr>
        <w:tab/>
      </w:r>
      <w:r w:rsidRPr="00596023">
        <w:rPr>
          <w:rFonts w:ascii="Verdana" w:hAnsi="Verdana" w:cs="Arial"/>
          <w:bCs/>
          <w:lang w:eastAsia="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del contrato. Tal metodología generalmente depende del tipo de contrato, pues hay algunas modalidades más comunes en los de obra pública; otras más utilizadas en los de prestación de servicios y; otras más indicadas para los de concesión, por mencionar algunos ejemplos</w:t>
      </w:r>
      <w:r w:rsidRPr="00596023">
        <w:rPr>
          <w:rFonts w:ascii="Verdana" w:hAnsi="Verdana" w:cs="Arial"/>
          <w:bCs/>
          <w:vertAlign w:val="superscript"/>
          <w:lang w:eastAsia="es-ES_tradnl"/>
        </w:rPr>
        <w:footnoteReference w:id="1"/>
      </w:r>
      <w:r w:rsidRPr="00596023">
        <w:rPr>
          <w:rFonts w:ascii="Verdana" w:hAnsi="Verdana" w:cs="Arial"/>
          <w:bCs/>
          <w:lang w:eastAsia="es-ES_tradnl"/>
        </w:rPr>
        <w:t>.</w:t>
      </w:r>
    </w:p>
    <w:p w14:paraId="3C41B7F5" w14:textId="77777777" w:rsidR="006E5B7C" w:rsidRPr="00596023" w:rsidRDefault="006E5B7C" w:rsidP="006E5B7C">
      <w:pPr>
        <w:pStyle w:val="Sinespaciado"/>
        <w:spacing w:after="240" w:line="276" w:lineRule="auto"/>
        <w:jc w:val="both"/>
        <w:rPr>
          <w:rFonts w:ascii="Verdana" w:hAnsi="Verdana" w:cs="Arial"/>
          <w:sz w:val="22"/>
        </w:rPr>
      </w:pPr>
      <w:r>
        <w:rPr>
          <w:rFonts w:ascii="Verdana" w:hAnsi="Verdana" w:cs="Arial"/>
          <w:sz w:val="22"/>
        </w:rPr>
        <w:tab/>
      </w:r>
      <w:r w:rsidRPr="00596023">
        <w:rPr>
          <w:rFonts w:ascii="Verdana" w:hAnsi="Verdana" w:cs="Arial"/>
          <w:sz w:val="22"/>
        </w:rPr>
        <w:t xml:space="preserve">La Ley 1474 de 2011 enmarcó el seguimiento, control y vigilancia de la ejecución del contrato estatal dentro del principio de moralidad administrativa. El artículo 83 </w:t>
      </w:r>
      <w:r w:rsidRPr="00596023">
        <w:rPr>
          <w:rFonts w:ascii="Verdana" w:hAnsi="Verdana" w:cs="Arial"/>
          <w:i/>
          <w:iCs/>
          <w:sz w:val="22"/>
        </w:rPr>
        <w:t xml:space="preserve">ibidem </w:t>
      </w:r>
      <w:r w:rsidRPr="00596023">
        <w:rPr>
          <w:rFonts w:ascii="Verdana" w:hAnsi="Verdana" w:cs="Arial"/>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Además, el legislador, </w:t>
      </w:r>
      <w:r w:rsidRPr="00596023">
        <w:rPr>
          <w:rFonts w:ascii="Verdana" w:hAnsi="Verdana" w:cs="Arial"/>
          <w:sz w:val="22"/>
        </w:rPr>
        <w:lastRenderedPageBreak/>
        <w:t xml:space="preserve">en el mismo artículo, definió las nociones de supervisión e interventoría, como mecanismos que pueden usar las entidades estatales para vigilar el contrato, en estos términos: </w:t>
      </w:r>
    </w:p>
    <w:p w14:paraId="403B0EFD" w14:textId="77777777" w:rsidR="006E5B7C" w:rsidRPr="00DB4CA9" w:rsidRDefault="006E5B7C" w:rsidP="006E5B7C">
      <w:pPr>
        <w:pStyle w:val="Sinespaciado"/>
        <w:spacing w:after="120"/>
        <w:ind w:left="709" w:right="709"/>
        <w:jc w:val="both"/>
        <w:rPr>
          <w:rFonts w:ascii="Verdana" w:hAnsi="Verdana" w:cs="Arial"/>
          <w:sz w:val="20"/>
          <w:szCs w:val="20"/>
        </w:rPr>
      </w:pPr>
      <w:r w:rsidRPr="00DB4CA9">
        <w:rPr>
          <w:rFonts w:ascii="Verdana" w:hAnsi="Verdana" w:cs="Arial"/>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34BAE9B6" w14:textId="77777777" w:rsidR="006E5B7C" w:rsidRPr="00DB4CA9" w:rsidRDefault="006E5B7C" w:rsidP="006E5B7C">
      <w:pPr>
        <w:pStyle w:val="Sinespaciado"/>
        <w:spacing w:after="240"/>
        <w:ind w:left="709" w:right="709"/>
        <w:jc w:val="both"/>
        <w:rPr>
          <w:rFonts w:ascii="Verdana" w:hAnsi="Verdana" w:cs="Arial"/>
          <w:sz w:val="20"/>
          <w:szCs w:val="20"/>
        </w:rPr>
      </w:pPr>
      <w:r w:rsidRPr="00DB4CA9">
        <w:rPr>
          <w:rFonts w:ascii="Verdana" w:hAnsi="Verdana" w:cs="Arial"/>
          <w:sz w:val="20"/>
          <w:szCs w:val="20"/>
        </w:rPr>
        <w:t xml:space="preserve">La interventoría consistirá en el seguimiento técnico que sobre el cumplimiento del contrato que realice una persona natural o jurídica contratada para tal fin por la Entidad Estatal, cuando el seguimiento del contrato suponga conocimiento especializado en la materia, o cuando la complejidad o la extensión de este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01A4B0E1" w14:textId="77777777" w:rsidR="006E5B7C" w:rsidRPr="00596023" w:rsidRDefault="006E5B7C" w:rsidP="006E5B7C">
      <w:pPr>
        <w:pStyle w:val="Sinespaciado"/>
        <w:spacing w:after="120" w:line="276" w:lineRule="auto"/>
        <w:jc w:val="both"/>
        <w:rPr>
          <w:rFonts w:ascii="Verdana" w:hAnsi="Verdana" w:cs="Arial"/>
          <w:sz w:val="22"/>
        </w:rPr>
      </w:pPr>
      <w:r>
        <w:rPr>
          <w:rFonts w:ascii="Verdana" w:hAnsi="Verdana" w:cs="Arial"/>
          <w:sz w:val="22"/>
        </w:rPr>
        <w:tab/>
      </w:r>
      <w:r w:rsidRPr="00596023">
        <w:rPr>
          <w:rFonts w:ascii="Verdana" w:hAnsi="Verdana" w:cs="Arial"/>
          <w:sz w:val="22"/>
        </w:rPr>
        <w:t>De este modo, la interventoría: i) será un mecanismo de vigilancia contingente en la medida que solo es obligatorio para el seguimiento de los contratos de obra adjudicados por licitación pública ‒art. 32, numeral 1, Ley 80 de 1993‒; en los demás casos se requerirá cuando “el seguimiento del contrato suponga conocimiento especializado en la materia, o cuando la complejidad o la extensión de este lo justifiquen” ‒art. 83, Ley 1474 de 2011‒. ii) Este mecanismo de vigilancia exige, en su ejecución, la utilización de conocimientos especializados. iii) Por lo anterior, la entidad contrata un experto, en principio, a través de un concurso de méritos, al tratarse la interventoría de una especie del contrato de consultoría ‒art. 32, numeral 2, inciso 2, Ley 80 de 1993</w:t>
      </w:r>
      <w:r w:rsidRPr="00596023">
        <w:rPr>
          <w:rStyle w:val="Refdenotaalpie"/>
          <w:rFonts w:ascii="Verdana" w:hAnsi="Verdana" w:cs="Arial"/>
          <w:sz w:val="22"/>
        </w:rPr>
        <w:footnoteReference w:id="2"/>
      </w:r>
      <w:r w:rsidRPr="00596023">
        <w:rPr>
          <w:rFonts w:ascii="Verdana" w:hAnsi="Verdana" w:cs="Arial"/>
          <w:sz w:val="22"/>
        </w:rPr>
        <w:t xml:space="preserve">‒,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w:t>
      </w:r>
      <w:r w:rsidRPr="00596023">
        <w:rPr>
          <w:rFonts w:ascii="Verdana" w:hAnsi="Verdana" w:cs="Arial"/>
          <w:sz w:val="22"/>
        </w:rPr>
        <w:lastRenderedPageBreak/>
        <w:t>técnicas a cargo del interventor y las demás quedarán a cargo de la Entidad a través del supervisor” ‒art. 83, inciso 3‒. Finalmente, vi) el contrato de interventoría será supervisado directamente por la entidad ‒art. 83, inciso 4.</w:t>
      </w:r>
    </w:p>
    <w:p w14:paraId="26225F56" w14:textId="77777777" w:rsidR="006E5B7C" w:rsidRDefault="006E5B7C" w:rsidP="006E5B7C">
      <w:pPr>
        <w:pStyle w:val="Sinespaciado"/>
        <w:spacing w:line="276" w:lineRule="auto"/>
        <w:jc w:val="both"/>
        <w:rPr>
          <w:rFonts w:ascii="Verdana" w:hAnsi="Verdana" w:cs="Arial"/>
          <w:sz w:val="22"/>
        </w:rPr>
      </w:pPr>
      <w:r>
        <w:rPr>
          <w:rFonts w:ascii="Verdana" w:hAnsi="Verdana" w:cs="Arial"/>
          <w:sz w:val="22"/>
        </w:rPr>
        <w:tab/>
      </w:r>
      <w:r w:rsidRPr="00596023">
        <w:rPr>
          <w:rFonts w:ascii="Verdana" w:hAnsi="Verdana" w:cs="Arial"/>
          <w:sz w:val="22"/>
        </w:rPr>
        <w:t>De acuerdo con lo anterior, el interventor es un contratista externo a la entidad estatal y al contratista vigilado, de manera que es seleccionado por la entidad estatal mediante los procedimientos de selección establecidos en el EGCAP; en principio, a través de un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w:t>
      </w:r>
      <w:r>
        <w:rPr>
          <w:rFonts w:ascii="Verdana" w:hAnsi="Verdana" w:cs="Arial"/>
          <w:sz w:val="22"/>
        </w:rPr>
        <w:t>a</w:t>
      </w:r>
      <w:r w:rsidRPr="00596023">
        <w:rPr>
          <w:rFonts w:ascii="Verdana" w:hAnsi="Verdana" w:cs="Arial"/>
          <w:sz w:val="22"/>
        </w:rPr>
        <w:t>. En todo caso, se reitera que un contrato, para que se considere de interventoría debe tener como objeto y finalidad vigilar la adecuada ejecución de uno u otros contratos estatales, en los términos establecidos en el artículo 83 de la Ley 1474 de 2011.</w:t>
      </w:r>
    </w:p>
    <w:p w14:paraId="0FB0378B" w14:textId="77777777" w:rsidR="006E5B7C" w:rsidRPr="004B2507" w:rsidRDefault="006E5B7C" w:rsidP="006E5B7C">
      <w:pPr>
        <w:pStyle w:val="Sinespaciado"/>
        <w:spacing w:line="276" w:lineRule="auto"/>
        <w:jc w:val="both"/>
        <w:rPr>
          <w:rFonts w:ascii="Verdana" w:hAnsi="Verdana" w:cs="Arial"/>
          <w:sz w:val="22"/>
        </w:rPr>
      </w:pPr>
    </w:p>
    <w:p w14:paraId="764F918B" w14:textId="11464347" w:rsidR="006E5B7C" w:rsidRPr="003E4CC9" w:rsidRDefault="006E5B7C" w:rsidP="006E5B7C">
      <w:pPr>
        <w:tabs>
          <w:tab w:val="left" w:pos="284"/>
        </w:tabs>
        <w:spacing w:after="120" w:line="276" w:lineRule="auto"/>
        <w:jc w:val="both"/>
        <w:rPr>
          <w:rFonts w:ascii="Verdana" w:eastAsia="Arial" w:hAnsi="Verdana" w:cs="Arial"/>
          <w:color w:val="000000"/>
          <w:lang w:eastAsia="es-ES" w:bidi="es-ES"/>
        </w:rPr>
      </w:pPr>
      <w:r w:rsidRPr="00897D26">
        <w:rPr>
          <w:rFonts w:ascii="Verdana" w:eastAsia="Calibri" w:hAnsi="Verdana" w:cs="Arial"/>
          <w:lang w:val="es-MX"/>
        </w:rPr>
        <w:t xml:space="preserve">ii. Ahora bien, </w:t>
      </w:r>
      <w:r w:rsidRPr="00897D26">
        <w:rPr>
          <w:rFonts w:ascii="Verdana" w:eastAsia="Arial" w:hAnsi="Verdana" w:cs="Arial"/>
          <w:lang w:eastAsia="es-ES" w:bidi="es-ES"/>
        </w:rPr>
        <w:t xml:space="preserve">una de las </w:t>
      </w:r>
      <w:r w:rsidRPr="00897D26">
        <w:rPr>
          <w:rFonts w:ascii="Verdana" w:eastAsia="Arial" w:hAnsi="Verdana" w:cs="Arial"/>
          <w:color w:val="000000"/>
          <w:lang w:eastAsia="es-ES" w:bidi="es-ES"/>
        </w:rPr>
        <w:t xml:space="preserve">manifestaciones de modificación de los contratos es la adición. Al respecto, es oportuno explicar que la palabra </w:t>
      </w:r>
      <w:r w:rsidRPr="00897D26">
        <w:rPr>
          <w:rFonts w:ascii="Verdana" w:eastAsia="Arial" w:hAnsi="Verdana" w:cs="Arial"/>
          <w:i/>
          <w:iCs/>
          <w:color w:val="000000"/>
          <w:lang w:eastAsia="es-ES" w:bidi="es-ES"/>
        </w:rPr>
        <w:t xml:space="preserve">adición </w:t>
      </w:r>
      <w:r w:rsidRPr="00897D26">
        <w:rPr>
          <w:rFonts w:ascii="Verdana" w:eastAsia="Arial" w:hAnsi="Verdana" w:cs="Arial"/>
          <w:color w:val="000000"/>
          <w:lang w:eastAsia="es-ES" w:bidi="es-ES"/>
        </w:rPr>
        <w:t>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w:t>
      </w:r>
      <w:r w:rsidRPr="003E4CC9">
        <w:rPr>
          <w:rFonts w:ascii="Verdana" w:eastAsia="Arial" w:hAnsi="Verdana" w:cs="Arial"/>
          <w:color w:val="000000"/>
          <w:lang w:eastAsia="es-ES" w:bidi="es-ES"/>
        </w:rPr>
        <w:t xml:space="preserve"> </w:t>
      </w:r>
    </w:p>
    <w:p w14:paraId="658F72F9"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 xml:space="preserve">La ejecución de los contratos estatales está sujeta a los cambios propios del paso del tiempo. Así, durante la etapa de planeación, las entidades públicas estiman y determinan las prestaciones que demanda el cumplimiento de la necesidad de interés general que pretende satisfacer. No obstante, durante la ejecución del contrato, las partes pueden identificar alguna de las siguientes situaciones: i) la necesidad de mayores cantidades de bienes o actividades inicialmente previstos, a lo que se le conoce como “mayores cantidades de obra”, “obras adicionales” o adición de “ítems contractuales”; y ii)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w:t>
      </w:r>
      <w:r w:rsidRPr="00596023">
        <w:rPr>
          <w:rFonts w:ascii="Verdana" w:hAnsi="Verdana" w:cs="Arial"/>
        </w:rPr>
        <w:lastRenderedPageBreak/>
        <w:t>que se utilizan en la práctica por las entidades estatales, que actualmente no tienen un fundamento particular en el ordenamiento jurídico, el cual no le asigna efectos específicos a cada uno de ellos.</w:t>
      </w:r>
    </w:p>
    <w:p w14:paraId="4B3AAB39"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Lo importante es que, frente a cualquier incremento del valor inicial del contrato,</w:t>
      </w:r>
      <w:r w:rsidRPr="00596023">
        <w:rPr>
          <w:rFonts w:ascii="Verdana" w:hAnsi="Verdana" w:cs="Arial"/>
          <w:i/>
          <w:iCs/>
        </w:rPr>
        <w:t xml:space="preserve"> </w:t>
      </w:r>
      <w:r w:rsidRPr="00596023">
        <w:rPr>
          <w:rFonts w:ascii="Verdana" w:hAnsi="Verdana" w:cs="Arial"/>
        </w:rPr>
        <w:t>por cualquiera de los dos supuestos señalados previamente, e independiente del nombre que se le dé al acuerdo,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w:t>
      </w:r>
      <w:r w:rsidRPr="00596023">
        <w:rPr>
          <w:rStyle w:val="Refdenotaalpie"/>
          <w:rFonts w:ascii="Verdana" w:hAnsi="Verdana" w:cs="Arial"/>
        </w:rPr>
        <w:footnoteReference w:id="3"/>
      </w:r>
      <w:r w:rsidRPr="00596023">
        <w:rPr>
          <w:rFonts w:ascii="Verdana" w:hAnsi="Verdana" w:cs="Arial"/>
        </w:rPr>
        <w:t>.</w:t>
      </w:r>
    </w:p>
    <w:p w14:paraId="24C791B6"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los cuales se calcularán con base en el salario vigente al momento de la adición, de manera que se descuenten estos de los salarios mínimos que restan por adicionar. Esto teniendo en cuenta que las modificaciones podrían hacerse en diferentes años, porque si el contrato se ejecuta sin existir variación en el valor del salario mínimo la operación sería la misma si se toma el monto en pesos o en salarios mínimos.</w:t>
      </w:r>
    </w:p>
    <w:p w14:paraId="172DAB17"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 xml:space="preserve">El razonamiento anterior se fundamenta en la forma en que la Ley 80 de 1993 estableció el tope para las adiciones, acudiendo a una forma de actualización del valor, de acuerdo con los incrementos que tenga el salario mínimo, lo que resulta especialmente relevante en contratos de larga duración. </w:t>
      </w:r>
    </w:p>
    <w:p w14:paraId="4E095F21" w14:textId="7FC1845C" w:rsidR="006E5B7C" w:rsidRPr="00596023" w:rsidRDefault="006E5B7C" w:rsidP="006F1AB6">
      <w:pPr>
        <w:spacing w:after="0" w:line="276" w:lineRule="auto"/>
        <w:jc w:val="both"/>
        <w:rPr>
          <w:rFonts w:ascii="Verdana" w:hAnsi="Verdana" w:cs="Arial"/>
        </w:rPr>
      </w:pPr>
      <w:r>
        <w:rPr>
          <w:rFonts w:ascii="Verdana" w:hAnsi="Verdana" w:cs="Arial"/>
        </w:rPr>
        <w:tab/>
      </w:r>
      <w:r w:rsidRPr="00596023">
        <w:rPr>
          <w:rFonts w:ascii="Verdana" w:hAnsi="Verdana" w:cs="Arial"/>
        </w:rPr>
        <w:t xml:space="preserve">No obstante, lo anterior, que constituye la regla general en los contratos estatales sometidos al EGCAP, en los casos en que se requiera adicionar un </w:t>
      </w:r>
      <w:r w:rsidRPr="00596023">
        <w:rPr>
          <w:rFonts w:ascii="Verdana" w:hAnsi="Verdana" w:cs="Arial"/>
        </w:rPr>
        <w:lastRenderedPageBreak/>
        <w:t xml:space="preserve">contrato que tenga por objeto la interventoría de otro contrato, por cuanto el contrato objeto de vigilancia no ha concluido, ya sea porque fue suspendido el plazo o porque se amplió el plazo de ejecución, la situación se regirá por una norma especial, contenida en el artículo 85 de la Ley 1474 de 2011. Dicha norma establece: </w:t>
      </w:r>
    </w:p>
    <w:p w14:paraId="3DFFB934" w14:textId="77777777" w:rsidR="006F1AB6" w:rsidRPr="00596023" w:rsidRDefault="006F1AB6" w:rsidP="006F1AB6">
      <w:pPr>
        <w:spacing w:after="0" w:line="276" w:lineRule="auto"/>
        <w:jc w:val="both"/>
        <w:rPr>
          <w:rFonts w:ascii="Verdana" w:hAnsi="Verdana" w:cs="Arial"/>
        </w:rPr>
      </w:pPr>
    </w:p>
    <w:p w14:paraId="589363A8" w14:textId="77777777" w:rsidR="006E5B7C" w:rsidRPr="00A44A91" w:rsidRDefault="006E5B7C" w:rsidP="006E5B7C">
      <w:pPr>
        <w:spacing w:after="120" w:line="240" w:lineRule="auto"/>
        <w:ind w:left="709" w:right="709"/>
        <w:jc w:val="both"/>
        <w:rPr>
          <w:rFonts w:ascii="Verdana" w:hAnsi="Verdana" w:cs="Arial"/>
          <w:sz w:val="20"/>
          <w:szCs w:val="20"/>
        </w:rPr>
      </w:pPr>
      <w:r w:rsidRPr="00A44A91">
        <w:rPr>
          <w:rFonts w:ascii="Verdana" w:hAnsi="Verdana" w:cs="Arial"/>
          <w:sz w:val="20"/>
          <w:szCs w:val="20"/>
        </w:rPr>
        <w:t>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296308BD" w14:textId="1670DC6E" w:rsidR="006E5B7C" w:rsidRPr="00A44A91" w:rsidRDefault="006E5B7C" w:rsidP="006F1AB6">
      <w:pPr>
        <w:spacing w:after="0" w:line="240" w:lineRule="auto"/>
        <w:ind w:left="709" w:right="709" w:firstLine="1"/>
        <w:jc w:val="both"/>
        <w:rPr>
          <w:rFonts w:ascii="Verdana" w:hAnsi="Verdana" w:cs="Arial"/>
          <w:sz w:val="20"/>
          <w:szCs w:val="20"/>
        </w:rPr>
      </w:pPr>
      <w:r w:rsidRPr="00A44A91">
        <w:rPr>
          <w:rFonts w:ascii="Verdana" w:hAnsi="Verdana" w:cs="Arial"/>
          <w:sz w:val="20"/>
          <w:szCs w:val="20"/>
        </w:rPr>
        <w:t>Parágrafo. Para la ejecución de los contratos de interventoría es obligatoria la constitución y aprobación de la garantía de cumplimiento hasta por el mismo término de la garantía de estabilidad del contrato principal; el Gobierno Nacional regulará la materia. En este evento podrá darse aplicación al artículo 7° de la Ley 1150, en cuanto a la posibilidad de que la garantía pueda ser dividida teniendo en cuenta las etapas o riesgos relativos a la ejecución del respectivo contrato.</w:t>
      </w:r>
    </w:p>
    <w:p w14:paraId="02C527F4" w14:textId="77777777" w:rsidR="006F1AB6" w:rsidRPr="00A44A91" w:rsidRDefault="006F1AB6" w:rsidP="006F1AB6">
      <w:pPr>
        <w:spacing w:after="0" w:line="240" w:lineRule="auto"/>
        <w:ind w:left="709" w:right="709" w:firstLine="1"/>
        <w:jc w:val="both"/>
        <w:rPr>
          <w:rFonts w:ascii="Verdana" w:hAnsi="Verdana" w:cs="Arial"/>
          <w:sz w:val="20"/>
          <w:szCs w:val="20"/>
        </w:rPr>
      </w:pPr>
    </w:p>
    <w:p w14:paraId="5752F2EE"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 en los términos explicados en el numeral anterior de este concepto. En este sentido, la doctrina ha manifestado sobre esta disposición que “el artículo 85 no contiene impedimento para adicionar sin límite el contrato de interventoría, con una ventaja adicional: que puede ser para cualquier objeto de contrato que haya requerido contratar externamente la interventoría”</w:t>
      </w:r>
      <w:r w:rsidRPr="00596023">
        <w:rPr>
          <w:rStyle w:val="Refdenotaalpie"/>
          <w:rFonts w:ascii="Verdana" w:hAnsi="Verdana" w:cs="Arial"/>
        </w:rPr>
        <w:footnoteReference w:id="4"/>
      </w:r>
      <w:r w:rsidRPr="00596023">
        <w:rPr>
          <w:rFonts w:ascii="Verdana" w:hAnsi="Verdana" w:cs="Arial"/>
        </w:rPr>
        <w:t xml:space="preserve">. </w:t>
      </w:r>
    </w:p>
    <w:p w14:paraId="243E7E1D" w14:textId="77777777" w:rsidR="006E5B7C" w:rsidRPr="00596023" w:rsidRDefault="006E5B7C" w:rsidP="006E5B7C">
      <w:pPr>
        <w:spacing w:after="120" w:line="276" w:lineRule="auto"/>
        <w:jc w:val="both"/>
        <w:rPr>
          <w:rFonts w:ascii="Verdana" w:hAnsi="Verdana" w:cs="Arial"/>
        </w:rPr>
      </w:pPr>
      <w:r>
        <w:rPr>
          <w:rFonts w:ascii="Verdana" w:hAnsi="Verdana" w:cs="Arial"/>
        </w:rPr>
        <w:tab/>
      </w:r>
      <w:r w:rsidRPr="00596023">
        <w:rPr>
          <w:rFonts w:ascii="Verdana" w:hAnsi="Verdana" w:cs="Arial"/>
        </w:rPr>
        <w:t xml:space="preserve">La disposición anterior tiene como finalidad que se mantenga la vigilancia frente a la ejecución de los contratos estatales, mediante el mecanismo especializado de la interventoría, sin que este seguimiento sea afectado por el tope establecido en el inciso segundo del parágrafo del artículo 40 de la Ley 80 de 1993. En tal sentido, la excepción se establece de forma especial frente a un objeto contractual específico, que hace parte de la tipología contractual de la consultoría, consistente en que se trate de un contrato de interventoría. De esta </w:t>
      </w:r>
      <w:r w:rsidRPr="00596023">
        <w:rPr>
          <w:rFonts w:ascii="Verdana" w:hAnsi="Verdana" w:cs="Arial"/>
        </w:rPr>
        <w:lastRenderedPageBreak/>
        <w:t>manera, independientemente de la modalidad de selección o del sujeto con quien se celebre el contrato de interventoría aplica la norma especial del artículo 85 de la Ley 1474 de 2011, por lo que incluso en un contrato interadministrativo, cuyo objeto sea la interventoría de un contrato estatal, se debe tener en cuenta esta última disposición, por lo que no aplicaría el tope establecido en el inciso segundo del parágrafo del artículo 40 de la Ley 80 de 1993. Lo anterior, se reitera, siempre que el contrato a adicionar tenga por objeto la interventoría de oro u otros contratos.</w:t>
      </w:r>
    </w:p>
    <w:p w14:paraId="12C44744" w14:textId="2DA8BC0E" w:rsidR="006E5B7C" w:rsidRDefault="006E5B7C" w:rsidP="006F1AB6">
      <w:pPr>
        <w:tabs>
          <w:tab w:val="left" w:pos="709"/>
        </w:tabs>
        <w:spacing w:after="120" w:line="276" w:lineRule="auto"/>
        <w:jc w:val="both"/>
        <w:rPr>
          <w:rFonts w:ascii="Verdana" w:hAnsi="Verdana" w:cs="Arial"/>
          <w:bCs/>
        </w:rPr>
      </w:pPr>
      <w:r>
        <w:rPr>
          <w:rFonts w:ascii="Verdana" w:hAnsi="Verdana" w:cs="Arial"/>
          <w:bCs/>
        </w:rPr>
        <w:tab/>
      </w:r>
      <w:r w:rsidRPr="00596023">
        <w:rPr>
          <w:rFonts w:ascii="Verdana" w:hAnsi="Verdana" w:cs="Arial"/>
          <w:bCs/>
        </w:rPr>
        <w:t xml:space="preserve">Pero, el hecho de que el artículo 85 de la Ley 1474 de 2011 disponga que no aplica el límite previsto en el parágrafo del artículo 40 de la Ley 80 de 1993 respecto de los contratos que tengan por objeto la interventoría no significa que la posibilidad de incrementar su valor sea absoluta. Como lo señaló la Corte Constitucional </w:t>
      </w:r>
      <w:r w:rsidRPr="00897D26">
        <w:rPr>
          <w:rFonts w:ascii="Verdana" w:hAnsi="Verdana" w:cs="Arial"/>
          <w:bCs/>
        </w:rPr>
        <w:t xml:space="preserve">en la Sentencia C-300 de 2012, las adiciones de los contratos estatales siempre deben respetar el principio de planeación. Adicionalmente, la entidad estatal debe garantizar los principios de la función administrativa y de la gestión fiscal al momento de autorizar las adiciones de los contratos de interventoría. </w:t>
      </w:r>
    </w:p>
    <w:p w14:paraId="745ED96B" w14:textId="79AF1208" w:rsidR="006E5B7C" w:rsidRPr="00897D26" w:rsidRDefault="006E5B7C" w:rsidP="006F1AB6">
      <w:pPr>
        <w:tabs>
          <w:tab w:val="left" w:pos="709"/>
        </w:tabs>
        <w:spacing w:after="120" w:line="276" w:lineRule="auto"/>
        <w:jc w:val="both"/>
        <w:rPr>
          <w:rFonts w:ascii="Verdana" w:hAnsi="Verdana" w:cs="Arial"/>
          <w:bCs/>
        </w:rPr>
      </w:pPr>
      <w:r>
        <w:rPr>
          <w:rFonts w:ascii="Verdana" w:hAnsi="Verdana" w:cs="Arial"/>
          <w:bCs/>
        </w:rPr>
        <w:tab/>
      </w:r>
      <w:r w:rsidRPr="00897D26">
        <w:rPr>
          <w:rFonts w:ascii="Verdana" w:eastAsia="Arial" w:hAnsi="Verdana" w:cs="Arial"/>
          <w:lang w:eastAsia="es-ES" w:bidi="es-ES"/>
        </w:rPr>
        <w:t xml:space="preserve">De cualquier modo, corresponderá a cada Entidad Estatal realizar el análisis respecto a la precedencia de modificar determinado contrato estatal, o ejecutarlo por encima del valor inicial estimado, en el entendido que se respeten las reglas establecidas en el ordenamiento jurídico, de acuerdo con lo expuesto anteriormente, además de definir previamente su procedencia desde la perspectiva jurídica, técnica y financiera. Con todo, el hecho de que, según la jurisprudencia reciente del Consejo de Estado, el valor inicial de los contratos no puede ser interpretado de manera desproporcionada e irrazonable los contratos estatales vigentes, ya que de acuerdo con lo aquí explicado, ello no solo puede ser evidenciar infracciones a al deber de planeación y al principio de selección objetiva, sino que también puede atentar contra los principios de la gestión administrativa conduciendo a detrimentos del recurso público.  </w:t>
      </w:r>
    </w:p>
    <w:p w14:paraId="75C7C38C" w14:textId="77777777" w:rsidR="006E5B7C" w:rsidRPr="00897D26" w:rsidRDefault="006E5B7C" w:rsidP="006E5B7C">
      <w:pPr>
        <w:spacing w:after="0" w:line="276" w:lineRule="auto"/>
        <w:ind w:right="51"/>
        <w:jc w:val="both"/>
        <w:rPr>
          <w:rFonts w:ascii="Verdana" w:eastAsia="Calibri" w:hAnsi="Verdana" w:cs="Arial"/>
          <w:bCs/>
          <w:lang w:val="es-MX"/>
        </w:rPr>
      </w:pPr>
      <w:r w:rsidRPr="00897D26">
        <w:rPr>
          <w:rFonts w:ascii="Verdana" w:eastAsia="Calibri" w:hAnsi="Verdana" w:cs="Arial"/>
          <w:lang w:eastAsia="es-ES"/>
        </w:rPr>
        <w:tab/>
      </w:r>
      <w:r w:rsidRPr="00897D26">
        <w:rPr>
          <w:rFonts w:ascii="Verdana" w:eastAsia="Calibri" w:hAnsi="Verdana" w:cs="Arial"/>
          <w:bCs/>
        </w:rPr>
        <w:t xml:space="preserve">Al margen de la explicación precedente debe advertirse que </w:t>
      </w:r>
      <w:r w:rsidRPr="00897D26">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897D26">
        <w:rPr>
          <w:rFonts w:ascii="Verdana" w:eastAsia="Calibri" w:hAnsi="Verdana" w:cs="Arial"/>
          <w:bCs/>
        </w:rPr>
        <w:t xml:space="preserve">. De esta manera, las afirmaciones aquí realizadas no pueden ser interpretadas como juicios de valor sobre circunstancias concretas relacionadas con los hechos que motivan la </w:t>
      </w:r>
      <w:r w:rsidRPr="00897D26">
        <w:rPr>
          <w:rFonts w:ascii="Verdana" w:eastAsia="Calibri" w:hAnsi="Verdana" w:cs="Arial"/>
          <w:bCs/>
        </w:rPr>
        <w:lastRenderedPageBreak/>
        <w:t>consulta. Por lo anterior, previo concepto de sus asesores, la solución de situaciones particulares corresponde a los interesados adoptar la decisión correspondiente y, en caso de conflicto, a las autoridades judiciales, fiscales y disciplinarias.</w:t>
      </w:r>
    </w:p>
    <w:p w14:paraId="0BA5BE6F" w14:textId="77777777" w:rsidR="006E5B7C" w:rsidRPr="007372A0" w:rsidRDefault="006E5B7C" w:rsidP="006E5B7C">
      <w:pPr>
        <w:spacing w:after="0" w:line="276" w:lineRule="auto"/>
        <w:jc w:val="both"/>
        <w:rPr>
          <w:rFonts w:ascii="Verdana" w:eastAsia="Calibri" w:hAnsi="Verdana" w:cs="Arial"/>
          <w:bCs/>
          <w:color w:val="EE0000"/>
          <w:highlight w:val="lightGray"/>
        </w:rPr>
      </w:pPr>
    </w:p>
    <w:bookmarkEnd w:id="1"/>
    <w:bookmarkEnd w:id="2"/>
    <w:p w14:paraId="70876371" w14:textId="77777777" w:rsidR="006E5B7C" w:rsidRPr="007372A0" w:rsidRDefault="006E5B7C" w:rsidP="006E5B7C">
      <w:pPr>
        <w:spacing w:after="0" w:line="276" w:lineRule="auto"/>
        <w:jc w:val="both"/>
        <w:rPr>
          <w:rFonts w:ascii="Verdana" w:eastAsia="Century Gothic" w:hAnsi="Verdana" w:cs="Century Gothic"/>
          <w:b/>
          <w:color w:val="EE0000"/>
          <w:lang w:val="es-ES"/>
        </w:rPr>
      </w:pPr>
      <w:r w:rsidRPr="00E478A7">
        <w:rPr>
          <w:rFonts w:ascii="Verdana" w:eastAsia="Century Gothic" w:hAnsi="Verdana" w:cs="Century Gothic"/>
          <w:b/>
          <w:lang w:val="es-ES"/>
        </w:rPr>
        <w:t>4. Referencias normativas, jurisprudenciales y otras fuentes:</w:t>
      </w:r>
    </w:p>
    <w:p w14:paraId="14FECBF5" w14:textId="77777777" w:rsidR="006E5B7C" w:rsidRPr="007372A0" w:rsidRDefault="006E5B7C" w:rsidP="006E5B7C">
      <w:pPr>
        <w:spacing w:after="0" w:line="276" w:lineRule="auto"/>
        <w:jc w:val="both"/>
        <w:rPr>
          <w:rFonts w:ascii="Verdana" w:eastAsia="Century Gothic" w:hAnsi="Verdana" w:cs="Century Gothic"/>
          <w:b/>
          <w:color w:val="EE000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E5B7C" w:rsidRPr="007372A0" w14:paraId="7E1DDE60" w14:textId="77777777" w:rsidTr="00BC49AF">
        <w:trPr>
          <w:trHeight w:val="453"/>
        </w:trPr>
        <w:tc>
          <w:tcPr>
            <w:tcW w:w="8647" w:type="dxa"/>
          </w:tcPr>
          <w:p w14:paraId="0DE32AAF" w14:textId="77777777" w:rsidR="006E5B7C" w:rsidRPr="00C911A0" w:rsidRDefault="006E5B7C" w:rsidP="006E5B7C">
            <w:pPr>
              <w:widowControl w:val="0"/>
              <w:numPr>
                <w:ilvl w:val="0"/>
                <w:numId w:val="16"/>
              </w:numPr>
              <w:autoSpaceDE w:val="0"/>
              <w:autoSpaceDN w:val="0"/>
              <w:spacing w:line="276" w:lineRule="auto"/>
              <w:jc w:val="both"/>
              <w:rPr>
                <w:rFonts w:ascii="Verdana" w:eastAsia="Calibri" w:hAnsi="Verdana" w:cs="Arial"/>
                <w:lang w:val="es-ES"/>
              </w:rPr>
            </w:pPr>
            <w:r w:rsidRPr="00C911A0">
              <w:rPr>
                <w:rFonts w:ascii="Verdana" w:eastAsia="Calibri" w:hAnsi="Verdana" w:cs="Arial"/>
                <w:lang w:val="es-ES"/>
              </w:rPr>
              <w:t>Ley 80 de 1993. Artículo 32 y 40.</w:t>
            </w:r>
          </w:p>
          <w:p w14:paraId="5EE92349" w14:textId="77777777" w:rsidR="006E5B7C" w:rsidRPr="00676B85" w:rsidRDefault="006E5B7C" w:rsidP="006E5B7C">
            <w:pPr>
              <w:widowControl w:val="0"/>
              <w:numPr>
                <w:ilvl w:val="0"/>
                <w:numId w:val="16"/>
              </w:numPr>
              <w:autoSpaceDE w:val="0"/>
              <w:autoSpaceDN w:val="0"/>
              <w:spacing w:line="276" w:lineRule="auto"/>
              <w:jc w:val="both"/>
              <w:rPr>
                <w:rFonts w:ascii="Verdana" w:eastAsia="Calibri" w:hAnsi="Verdana" w:cs="Arial"/>
                <w:lang w:val="es-ES"/>
              </w:rPr>
            </w:pPr>
            <w:r w:rsidRPr="00676B85">
              <w:rPr>
                <w:rFonts w:ascii="Verdana" w:eastAsia="Calibri" w:hAnsi="Verdana" w:cs="Arial"/>
                <w:lang w:val="es-ES"/>
              </w:rPr>
              <w:t>Ley 1150 de 2007. Artículo 7.</w:t>
            </w:r>
          </w:p>
          <w:p w14:paraId="30FB8BB3" w14:textId="77777777" w:rsidR="006E5B7C" w:rsidRPr="00676B85" w:rsidRDefault="006E5B7C" w:rsidP="006E5B7C">
            <w:pPr>
              <w:widowControl w:val="0"/>
              <w:numPr>
                <w:ilvl w:val="0"/>
                <w:numId w:val="16"/>
              </w:numPr>
              <w:autoSpaceDE w:val="0"/>
              <w:autoSpaceDN w:val="0"/>
              <w:spacing w:line="276" w:lineRule="auto"/>
              <w:jc w:val="both"/>
              <w:rPr>
                <w:rFonts w:ascii="Verdana" w:eastAsia="Calibri" w:hAnsi="Verdana" w:cs="Arial"/>
                <w:lang w:val="es-ES"/>
              </w:rPr>
            </w:pPr>
            <w:r w:rsidRPr="00676B85">
              <w:rPr>
                <w:rFonts w:ascii="Verdana" w:eastAsia="Calibri" w:hAnsi="Verdana" w:cs="Arial"/>
                <w:lang w:val="es-ES"/>
              </w:rPr>
              <w:t>Ley 1474 de 2011. Artículos 83 y 85.</w:t>
            </w:r>
          </w:p>
          <w:p w14:paraId="3D2B263F" w14:textId="77777777" w:rsidR="006E5B7C" w:rsidRPr="00676B85" w:rsidRDefault="006E5B7C" w:rsidP="006E5B7C">
            <w:pPr>
              <w:widowControl w:val="0"/>
              <w:numPr>
                <w:ilvl w:val="0"/>
                <w:numId w:val="16"/>
              </w:numPr>
              <w:autoSpaceDE w:val="0"/>
              <w:autoSpaceDN w:val="0"/>
              <w:spacing w:line="276" w:lineRule="auto"/>
              <w:jc w:val="both"/>
              <w:rPr>
                <w:rFonts w:ascii="Verdana" w:eastAsia="Calibri" w:hAnsi="Verdana" w:cs="Arial"/>
                <w:lang w:val="es-ES"/>
              </w:rPr>
            </w:pPr>
            <w:r w:rsidRPr="00676B85">
              <w:rPr>
                <w:rFonts w:ascii="Verdana" w:eastAsia="Calibri" w:hAnsi="Verdana" w:cs="Arial"/>
                <w:lang w:val="es-ES"/>
              </w:rPr>
              <w:t xml:space="preserve">Matallana Camacho, Ernesto. Manual de contratación de la administración pública: reforma de la Ley 80 de 1993. 4ª edición. Bogotá: Universidad Externado de Colombia, 2015. p. 971 </w:t>
            </w:r>
          </w:p>
          <w:p w14:paraId="3B671F05" w14:textId="77777777" w:rsidR="006E5B7C" w:rsidRPr="007372A0" w:rsidRDefault="006E5B7C" w:rsidP="006E5B7C">
            <w:pPr>
              <w:widowControl w:val="0"/>
              <w:numPr>
                <w:ilvl w:val="0"/>
                <w:numId w:val="16"/>
              </w:numPr>
              <w:autoSpaceDE w:val="0"/>
              <w:autoSpaceDN w:val="0"/>
              <w:spacing w:line="276" w:lineRule="auto"/>
              <w:jc w:val="both"/>
              <w:rPr>
                <w:rFonts w:ascii="Verdana" w:eastAsia="Calibri" w:hAnsi="Verdana" w:cs="Arial"/>
                <w:color w:val="EE0000"/>
                <w:lang w:val="es-ES"/>
              </w:rPr>
            </w:pPr>
            <w:r w:rsidRPr="00676B85">
              <w:rPr>
                <w:rFonts w:ascii="Verdana" w:eastAsia="Calibri" w:hAnsi="Verdana" w:cs="Arial"/>
                <w:lang w:val="es-ES"/>
              </w:rPr>
              <w:t>Marín Cortés, Fabián. El precio. Serie: Las cláusulas del contrato estatal. Medellín: Librería Jurídica Sánchez y Centro de Estudios de Derecho Administrativo –CEDA–, 2012. pp. 63-64.</w:t>
            </w:r>
          </w:p>
        </w:tc>
      </w:tr>
    </w:tbl>
    <w:p w14:paraId="5AE907BA" w14:textId="77777777" w:rsidR="006E5B7C" w:rsidRPr="00B52E6D" w:rsidRDefault="006E5B7C" w:rsidP="006E5B7C">
      <w:pPr>
        <w:widowControl w:val="0"/>
        <w:autoSpaceDE w:val="0"/>
        <w:autoSpaceDN w:val="0"/>
        <w:spacing w:after="0" w:line="276" w:lineRule="auto"/>
        <w:jc w:val="both"/>
        <w:rPr>
          <w:rFonts w:ascii="Verdana" w:hAnsi="Verdana" w:cs="Arial"/>
          <w:color w:val="ED7D31" w:themeColor="accent2"/>
          <w:highlight w:val="lightGray"/>
          <w:lang w:val="es-ES"/>
        </w:rPr>
      </w:pPr>
    </w:p>
    <w:p w14:paraId="38DA5857" w14:textId="77777777" w:rsidR="006E5B7C" w:rsidRPr="00B52E6D" w:rsidRDefault="006E5B7C" w:rsidP="006E5B7C">
      <w:pPr>
        <w:tabs>
          <w:tab w:val="left" w:pos="142"/>
          <w:tab w:val="left" w:pos="284"/>
        </w:tabs>
        <w:spacing w:after="0" w:line="276" w:lineRule="auto"/>
        <w:jc w:val="both"/>
        <w:rPr>
          <w:rFonts w:ascii="Verdana" w:eastAsia="Century Gothic" w:hAnsi="Verdana" w:cs="Century Gothic"/>
          <w:b/>
          <w:color w:val="ED7D31" w:themeColor="accent2"/>
          <w:lang w:val="es-ES"/>
        </w:rPr>
      </w:pPr>
      <w:r w:rsidRPr="00B52E6D">
        <w:rPr>
          <w:rFonts w:ascii="Verdana" w:eastAsia="Century Gothic" w:hAnsi="Verdana" w:cs="Century Gothic"/>
          <w:b/>
          <w:lang w:val="es-ES"/>
        </w:rPr>
        <w:t>5. Doctrina de la Agencia Nacional de Contratación Pública:</w:t>
      </w:r>
    </w:p>
    <w:p w14:paraId="2B7BDF6B" w14:textId="77777777" w:rsidR="006E5B7C" w:rsidRPr="00255E89" w:rsidRDefault="006E5B7C" w:rsidP="006E5B7C">
      <w:pPr>
        <w:widowControl w:val="0"/>
        <w:autoSpaceDE w:val="0"/>
        <w:autoSpaceDN w:val="0"/>
        <w:spacing w:after="0" w:line="276" w:lineRule="auto"/>
        <w:jc w:val="both"/>
        <w:rPr>
          <w:rFonts w:ascii="Verdana" w:hAnsi="Verdana" w:cs="Arial"/>
          <w:color w:val="ED7D31" w:themeColor="accent2"/>
          <w:highlight w:val="lightGray"/>
          <w:lang w:val="es-ES"/>
        </w:rPr>
      </w:pPr>
    </w:p>
    <w:p w14:paraId="4A36CF3B" w14:textId="77777777" w:rsidR="006E5B7C" w:rsidRDefault="006E5B7C" w:rsidP="006E5B7C">
      <w:pPr>
        <w:spacing w:after="0" w:line="276" w:lineRule="auto"/>
        <w:jc w:val="both"/>
        <w:rPr>
          <w:rFonts w:ascii="Verdana" w:hAnsi="Verdana" w:cs="Arial"/>
          <w:bCs/>
          <w:shd w:val="clear" w:color="auto" w:fill="FFFFFF"/>
        </w:rPr>
      </w:pPr>
      <w:r w:rsidRPr="003E4CC9">
        <w:rPr>
          <w:rFonts w:ascii="Verdana" w:hAnsi="Verdana" w:cs="Arial"/>
          <w:bCs/>
          <w:shd w:val="clear" w:color="auto" w:fill="FFFFFF"/>
        </w:rPr>
        <w:t xml:space="preserve">La Agencia Nacional de Contratación Pública – Colombia Compra Eficiente, se ha pronunciado en diferentes conceptos sobre las </w:t>
      </w:r>
      <w:r w:rsidRPr="003E4CC9">
        <w:rPr>
          <w:rFonts w:ascii="Verdana" w:hAnsi="Verdana" w:cs="Arial"/>
          <w:bCs/>
          <w:shd w:val="clear" w:color="auto" w:fill="FFFFFF"/>
          <w:lang w:val="es-ES_tradnl"/>
        </w:rPr>
        <w:t>modificaciones y adiciones 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3E4CC9">
        <w:rPr>
          <w:rFonts w:ascii="Verdana" w:hAnsi="Verdana" w:cs="Arial"/>
          <w:bCs/>
          <w:shd w:val="clear" w:color="auto" w:fill="FFFFFF"/>
          <w:lang w:val="es-ES"/>
        </w:rPr>
        <w:t>, C-308 del 28 de abril de 2025, C-451 del 19 de mayo de 2025, C-491 del 3 de junio de 2025,</w:t>
      </w:r>
      <w:r w:rsidRPr="003E4CC9">
        <w:rPr>
          <w:rFonts w:ascii="Verdana" w:hAnsi="Verdana" w:cs="Arial"/>
          <w:bCs/>
          <w:shd w:val="clear" w:color="auto" w:fill="FFFFFF"/>
        </w:rPr>
        <w:t xml:space="preserve"> C-165 del 26 de febrero de 2026</w:t>
      </w:r>
      <w:r>
        <w:rPr>
          <w:rFonts w:ascii="Verdana" w:hAnsi="Verdana" w:cs="Arial"/>
          <w:bCs/>
          <w:shd w:val="clear" w:color="auto" w:fill="FFFFFF"/>
        </w:rPr>
        <w:t xml:space="preserve"> y C-405 del 24 de abril de 2026, de </w:t>
      </w:r>
      <w:r w:rsidRPr="003E4CC9">
        <w:rPr>
          <w:rFonts w:ascii="Verdana" w:hAnsi="Verdana" w:cs="Arial"/>
          <w:bCs/>
          <w:shd w:val="clear" w:color="auto" w:fill="FFFFFF"/>
        </w:rPr>
        <w:t>entre otros.</w:t>
      </w:r>
    </w:p>
    <w:p w14:paraId="33B8EF96" w14:textId="77777777" w:rsidR="006E5B7C" w:rsidRPr="00B52E6D" w:rsidRDefault="006E5B7C" w:rsidP="006E5B7C">
      <w:pPr>
        <w:spacing w:after="0" w:line="276" w:lineRule="auto"/>
        <w:jc w:val="both"/>
        <w:rPr>
          <w:rFonts w:ascii="Verdana" w:hAnsi="Verdana" w:cs="Arial"/>
          <w:shd w:val="clear" w:color="auto" w:fill="FFFFFF"/>
          <w:lang w:val="es-ES"/>
        </w:rPr>
      </w:pPr>
    </w:p>
    <w:p w14:paraId="58CC2F92" w14:textId="77777777" w:rsidR="006E5B7C" w:rsidRPr="00B52E6D" w:rsidRDefault="006E5B7C" w:rsidP="006E5B7C">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3" w:history="1">
        <w:r w:rsidRPr="00B52E6D">
          <w:rPr>
            <w:rStyle w:val="Hipervnculo"/>
            <w:rFonts w:ascii="Verdana" w:hAnsi="Verdana" w:cs="Arial"/>
            <w:shd w:val="clear" w:color="auto" w:fill="FFFFFF"/>
            <w:lang w:val="es-ES"/>
          </w:rPr>
          <w:t>https://relatoria.colombiacompra.gov.co/busqueda/conceptos</w:t>
        </w:r>
      </w:hyperlink>
    </w:p>
    <w:p w14:paraId="2C49EB54" w14:textId="77777777" w:rsidR="006E5B7C" w:rsidRPr="00B52E6D" w:rsidRDefault="006E5B7C" w:rsidP="006E5B7C">
      <w:pPr>
        <w:spacing w:after="0" w:line="276" w:lineRule="auto"/>
        <w:jc w:val="both"/>
        <w:rPr>
          <w:rFonts w:ascii="Verdana" w:hAnsi="Verdana" w:cs="Arial"/>
          <w:shd w:val="clear" w:color="auto" w:fill="FFFFFF"/>
        </w:rPr>
      </w:pPr>
    </w:p>
    <w:p w14:paraId="2AD5AF96" w14:textId="77777777" w:rsidR="006E5B7C" w:rsidRPr="00255E89" w:rsidRDefault="006E5B7C" w:rsidP="006E5B7C">
      <w:pPr>
        <w:spacing w:after="0" w:line="276" w:lineRule="auto"/>
        <w:jc w:val="both"/>
        <w:rPr>
          <w:rFonts w:ascii="Verdana" w:hAnsi="Verdana" w:cs="Arial"/>
          <w:shd w:val="clear" w:color="auto" w:fill="FFFFFF"/>
        </w:rPr>
      </w:pPr>
      <w:r w:rsidRPr="00B52E6D">
        <w:rPr>
          <w:rFonts w:ascii="Verdana" w:hAnsi="Verdana" w:cs="Arial"/>
          <w:shd w:val="clear" w:color="auto" w:fill="FFFFFF"/>
        </w:rPr>
        <w:lastRenderedPageBreak/>
        <w:t xml:space="preserve">Por último, lo invitamos a seguirnos en las redes sociales en las cuales se difunde información institucional: </w:t>
      </w:r>
    </w:p>
    <w:p w14:paraId="62BDDE90" w14:textId="77777777" w:rsidR="006E5B7C" w:rsidRPr="00064773" w:rsidRDefault="006E5B7C" w:rsidP="006E5B7C">
      <w:pPr>
        <w:spacing w:after="0" w:line="276" w:lineRule="auto"/>
        <w:jc w:val="both"/>
        <w:rPr>
          <w:rFonts w:ascii="Verdana" w:hAnsi="Verdana" w:cs="Arial"/>
          <w:shd w:val="clear" w:color="auto" w:fill="FFFFFF"/>
        </w:rPr>
      </w:pPr>
    </w:p>
    <w:p w14:paraId="291028AF" w14:textId="77777777" w:rsidR="006E5B7C" w:rsidRPr="00B52E6D" w:rsidRDefault="006E5B7C" w:rsidP="006E5B7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Twitter: </w:t>
      </w:r>
      <w:r w:rsidRPr="00B52E6D">
        <w:rPr>
          <w:rStyle w:val="Hipervnculo"/>
          <w:rFonts w:ascii="Verdana" w:hAnsi="Verdana"/>
          <w:lang w:val="es-ES"/>
        </w:rPr>
        <w:t>@colombiacompra</w:t>
      </w:r>
      <w:r w:rsidRPr="00B52E6D">
        <w:rPr>
          <w:rStyle w:val="Hipervnculo"/>
          <w:rFonts w:ascii="Verdana" w:hAnsi="Verdana"/>
          <w:color w:val="auto"/>
          <w:lang w:val="es-ES"/>
        </w:rPr>
        <w:t xml:space="preserve"> </w:t>
      </w:r>
    </w:p>
    <w:p w14:paraId="6BF58A67" w14:textId="77777777" w:rsidR="006E5B7C" w:rsidRPr="00B52E6D" w:rsidRDefault="006E5B7C" w:rsidP="006E5B7C">
      <w:pPr>
        <w:spacing w:after="0" w:line="276" w:lineRule="auto"/>
        <w:jc w:val="both"/>
        <w:rPr>
          <w:rFonts w:ascii="Verdana" w:hAnsi="Verdana" w:cs="Arial"/>
          <w:shd w:val="clear" w:color="auto" w:fill="FFFFFF"/>
        </w:rPr>
      </w:pPr>
      <w:r w:rsidRPr="00B52E6D">
        <w:rPr>
          <w:rFonts w:ascii="Verdana" w:hAnsi="Verdana" w:cs="Arial"/>
          <w:shd w:val="clear" w:color="auto" w:fill="FFFFFF"/>
        </w:rPr>
        <w:t>Facebook:</w:t>
      </w:r>
      <w:r w:rsidRPr="00B52E6D">
        <w:rPr>
          <w:rStyle w:val="Hipervnculo"/>
          <w:rFonts w:ascii="Verdana" w:hAnsi="Verdana"/>
          <w:lang w:val="es-ES"/>
        </w:rPr>
        <w:t xml:space="preserve"> ColombiaCompraEficiente</w:t>
      </w:r>
    </w:p>
    <w:p w14:paraId="45CB8089" w14:textId="77777777" w:rsidR="006E5B7C" w:rsidRPr="00B52E6D" w:rsidRDefault="006E5B7C" w:rsidP="006E5B7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LinkedIn: </w:t>
      </w:r>
      <w:r w:rsidRPr="00B52E6D">
        <w:rPr>
          <w:rStyle w:val="Hipervnculo"/>
          <w:rFonts w:ascii="Verdana" w:hAnsi="Verdana"/>
          <w:lang w:val="es-ES"/>
        </w:rPr>
        <w:t>Agencia Nacional de Contratación Pública - Colombia Compra Eficiente</w:t>
      </w:r>
      <w:r w:rsidRPr="00B52E6D">
        <w:rPr>
          <w:rFonts w:ascii="Verdana" w:hAnsi="Verdana" w:cs="Arial"/>
          <w:color w:val="0000FF"/>
          <w:shd w:val="clear" w:color="auto" w:fill="FFFFFF"/>
        </w:rPr>
        <w:t xml:space="preserve"> </w:t>
      </w:r>
    </w:p>
    <w:p w14:paraId="2B0EEFFF" w14:textId="77777777" w:rsidR="006E5B7C" w:rsidRPr="00B52E6D" w:rsidRDefault="006E5B7C" w:rsidP="006E5B7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Instagram: </w:t>
      </w:r>
      <w:r w:rsidRPr="00B52E6D">
        <w:rPr>
          <w:rStyle w:val="Hipervnculo"/>
          <w:rFonts w:ascii="Verdana" w:hAnsi="Verdana"/>
          <w:lang w:val="es-ES"/>
        </w:rPr>
        <w:t>@colombiacompraeficiente_cce</w:t>
      </w:r>
    </w:p>
    <w:p w14:paraId="7719D683" w14:textId="77777777" w:rsidR="006E5B7C" w:rsidRPr="00B52E6D" w:rsidRDefault="006E5B7C" w:rsidP="006E5B7C">
      <w:pPr>
        <w:widowControl w:val="0"/>
        <w:autoSpaceDE w:val="0"/>
        <w:autoSpaceDN w:val="0"/>
        <w:spacing w:after="0" w:line="276" w:lineRule="auto"/>
        <w:jc w:val="both"/>
        <w:rPr>
          <w:rFonts w:ascii="Verdana" w:hAnsi="Verdana" w:cs="Arial"/>
          <w:lang w:val="es-ES"/>
        </w:rPr>
      </w:pPr>
    </w:p>
    <w:p w14:paraId="3547475E" w14:textId="77777777" w:rsidR="006E5B7C" w:rsidRPr="00B52E6D" w:rsidRDefault="006E5B7C" w:rsidP="006E5B7C">
      <w:pPr>
        <w:widowControl w:val="0"/>
        <w:autoSpaceDE w:val="0"/>
        <w:autoSpaceDN w:val="0"/>
        <w:spacing w:after="0" w:line="276" w:lineRule="auto"/>
        <w:jc w:val="both"/>
        <w:rPr>
          <w:rFonts w:ascii="Verdana" w:hAnsi="Verdana" w:cs="Arial"/>
          <w:lang w:val="es-ES"/>
        </w:rPr>
      </w:pPr>
      <w:r w:rsidRPr="00B52E6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A89AAA8" w14:textId="77777777" w:rsidR="006E5B7C" w:rsidRPr="00B52E6D" w:rsidRDefault="006E5B7C" w:rsidP="006E5B7C">
      <w:pPr>
        <w:widowControl w:val="0"/>
        <w:autoSpaceDE w:val="0"/>
        <w:autoSpaceDN w:val="0"/>
        <w:spacing w:after="0" w:line="276" w:lineRule="auto"/>
        <w:jc w:val="both"/>
        <w:rPr>
          <w:rFonts w:ascii="Verdana" w:hAnsi="Verdana" w:cs="Arial"/>
          <w:lang w:val="es-ES"/>
        </w:rPr>
      </w:pPr>
    </w:p>
    <w:p w14:paraId="7210E39F" w14:textId="7237E973" w:rsidR="006E5B7C" w:rsidRPr="00152E42" w:rsidRDefault="006E5B7C" w:rsidP="00152E42">
      <w:pPr>
        <w:spacing w:after="0" w:line="276" w:lineRule="auto"/>
        <w:rPr>
          <w:rFonts w:ascii="Verdana" w:hAnsi="Verdana" w:cs="Arial"/>
          <w:lang w:val="es-ES" w:eastAsia="es-CO"/>
        </w:rPr>
      </w:pPr>
      <w:r w:rsidRPr="006F76C5">
        <w:rPr>
          <w:rFonts w:ascii="Verdana" w:eastAsia="Times New Roman" w:hAnsi="Verdana" w:cs="Arial"/>
          <w:lang w:val="es-ES" w:eastAsia="es-CO"/>
        </w:rPr>
        <w:t>Atentamente,</w:t>
      </w:r>
    </w:p>
    <w:p w14:paraId="1B1E2477" w14:textId="3823E7DF" w:rsidR="006E5B7C" w:rsidRDefault="00152E42" w:rsidP="00152E42">
      <w:pPr>
        <w:spacing w:after="0" w:line="276" w:lineRule="auto"/>
        <w:jc w:val="center"/>
        <w:rPr>
          <w:rFonts w:ascii="Verdana" w:hAnsi="Verdana" w:cs="Arial"/>
          <w:color w:val="EE0000"/>
          <w:highlight w:val="lightGray"/>
          <w:lang w:val="es-ES" w:eastAsia="es-CO"/>
        </w:rPr>
      </w:pPr>
      <w:r w:rsidRPr="00152E42">
        <w:rPr>
          <w:rFonts w:ascii="Verdana" w:hAnsi="Verdana" w:cs="Arial"/>
          <w:color w:val="EE0000"/>
          <w:lang w:val="es-ES" w:eastAsia="es-CO"/>
        </w:rPr>
        <w:drawing>
          <wp:inline distT="0" distB="0" distL="0" distR="0" wp14:anchorId="07EDA450" wp14:editId="7EAD1E2F">
            <wp:extent cx="2855439" cy="1123950"/>
            <wp:effectExtent l="0" t="0" r="2540" b="0"/>
            <wp:docPr id="3105416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541650" name=""/>
                    <pic:cNvPicPr/>
                  </pic:nvPicPr>
                  <pic:blipFill>
                    <a:blip r:embed="rId14"/>
                    <a:stretch>
                      <a:fillRect/>
                    </a:stretch>
                  </pic:blipFill>
                  <pic:spPr>
                    <a:xfrm>
                      <a:off x="0" y="0"/>
                      <a:ext cx="2856318" cy="1124296"/>
                    </a:xfrm>
                    <a:prstGeom prst="rect">
                      <a:avLst/>
                    </a:prstGeom>
                  </pic:spPr>
                </pic:pic>
              </a:graphicData>
            </a:graphic>
          </wp:inline>
        </w:drawing>
      </w:r>
    </w:p>
    <w:p w14:paraId="2546DFFF" w14:textId="77777777" w:rsidR="005026DD" w:rsidRPr="00152E42" w:rsidRDefault="005026DD" w:rsidP="00152E42">
      <w:pPr>
        <w:spacing w:after="0" w:line="276" w:lineRule="auto"/>
        <w:jc w:val="center"/>
        <w:rPr>
          <w:rFonts w:ascii="Verdana" w:hAnsi="Verdana" w:cs="Arial"/>
          <w:color w:val="EE0000"/>
          <w:highlight w:val="lightGray"/>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E5B7C" w:rsidRPr="00797350" w14:paraId="2BA9C2D8" w14:textId="77777777" w:rsidTr="00BC49AF">
        <w:trPr>
          <w:trHeight w:val="315"/>
        </w:trPr>
        <w:tc>
          <w:tcPr>
            <w:tcW w:w="893" w:type="dxa"/>
            <w:vAlign w:val="center"/>
            <w:hideMark/>
          </w:tcPr>
          <w:p w14:paraId="6E69A878" w14:textId="77777777" w:rsidR="006E5B7C" w:rsidRPr="00797350" w:rsidRDefault="006E5B7C" w:rsidP="00BC49AF">
            <w:pPr>
              <w:contextualSpacing/>
              <w:rPr>
                <w:rFonts w:ascii="Verdana" w:hAnsi="Verdana" w:cs="Arial"/>
                <w:sz w:val="16"/>
                <w:szCs w:val="16"/>
                <w:lang w:val="es-ES" w:eastAsia="es-ES"/>
              </w:rPr>
            </w:pPr>
            <w:r w:rsidRPr="0079735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670E91F" w14:textId="77777777" w:rsidR="006E5B7C" w:rsidRPr="00797350" w:rsidRDefault="006E5B7C" w:rsidP="00BC49AF">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Camila Alejandra Naranjo Gómez</w:t>
            </w:r>
          </w:p>
          <w:p w14:paraId="14AC28E6" w14:textId="77777777" w:rsidR="006E5B7C" w:rsidRPr="00797350" w:rsidRDefault="006E5B7C" w:rsidP="00BC49AF">
            <w:pPr>
              <w:contextualSpacing/>
              <w:rPr>
                <w:rFonts w:ascii="Verdana" w:eastAsia="Arial" w:hAnsi="Verdana" w:cs="Arial"/>
                <w:sz w:val="16"/>
                <w:szCs w:val="16"/>
                <w:lang w:val="es-ES"/>
              </w:rPr>
            </w:pPr>
            <w:r w:rsidRPr="00797350">
              <w:rPr>
                <w:rFonts w:ascii="Verdana" w:eastAsia="Times New Roman" w:hAnsi="Verdana" w:cs="Arial"/>
                <w:sz w:val="16"/>
                <w:szCs w:val="16"/>
                <w:lang w:eastAsia="es-ES"/>
              </w:rPr>
              <w:t>Analista T2-02 de la Subdirección de Gestión Contractual</w:t>
            </w:r>
          </w:p>
        </w:tc>
      </w:tr>
      <w:tr w:rsidR="006E5B7C" w:rsidRPr="00797350" w14:paraId="28793317" w14:textId="77777777" w:rsidTr="00BC49AF">
        <w:trPr>
          <w:trHeight w:val="330"/>
        </w:trPr>
        <w:tc>
          <w:tcPr>
            <w:tcW w:w="893" w:type="dxa"/>
            <w:vAlign w:val="center"/>
            <w:hideMark/>
          </w:tcPr>
          <w:p w14:paraId="2AA4904B" w14:textId="77777777" w:rsidR="006E5B7C" w:rsidRPr="00797350" w:rsidRDefault="006E5B7C" w:rsidP="00BC49AF">
            <w:pPr>
              <w:contextualSpacing/>
              <w:rPr>
                <w:rFonts w:ascii="Verdana" w:hAnsi="Verdana" w:cs="Arial"/>
                <w:sz w:val="16"/>
                <w:szCs w:val="16"/>
                <w:lang w:val="es-ES" w:eastAsia="es-ES"/>
              </w:rPr>
            </w:pPr>
            <w:r w:rsidRPr="0079735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404D17" w14:textId="77777777" w:rsidR="006E5B7C" w:rsidRPr="00797350" w:rsidRDefault="006E5B7C" w:rsidP="00BC49AF">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Diana Lucia Saavedra Castañeda</w:t>
            </w:r>
          </w:p>
          <w:p w14:paraId="6BDA158A" w14:textId="77777777" w:rsidR="006E5B7C" w:rsidRPr="00797350" w:rsidRDefault="006E5B7C" w:rsidP="00BC49AF">
            <w:pPr>
              <w:pStyle w:val="paragraph"/>
              <w:spacing w:before="0" w:beforeAutospacing="0" w:after="0" w:afterAutospacing="0"/>
              <w:contextualSpacing/>
              <w:textAlignment w:val="baseline"/>
              <w:rPr>
                <w:rFonts w:ascii="Verdana" w:hAnsi="Verdana" w:cs="Segoe UI"/>
                <w:sz w:val="16"/>
                <w:szCs w:val="16"/>
                <w:lang w:val="es-ES"/>
              </w:rPr>
            </w:pPr>
            <w:r w:rsidRPr="00797350">
              <w:rPr>
                <w:rFonts w:ascii="Verdana" w:hAnsi="Verdana" w:cs="Arial"/>
                <w:sz w:val="16"/>
                <w:szCs w:val="16"/>
                <w:lang w:eastAsia="es-ES"/>
              </w:rPr>
              <w:t>Contratista de la Subdirección de Gestión Contractual</w:t>
            </w:r>
          </w:p>
        </w:tc>
      </w:tr>
      <w:tr w:rsidR="006E5B7C" w:rsidRPr="009F79FE" w14:paraId="63C52433" w14:textId="77777777" w:rsidTr="00BC49AF">
        <w:trPr>
          <w:trHeight w:val="300"/>
        </w:trPr>
        <w:tc>
          <w:tcPr>
            <w:tcW w:w="893" w:type="dxa"/>
            <w:vAlign w:val="center"/>
          </w:tcPr>
          <w:p w14:paraId="4CA9B8D2" w14:textId="77777777" w:rsidR="006E5B7C" w:rsidRPr="00797350" w:rsidRDefault="006E5B7C" w:rsidP="00BC49AF">
            <w:pPr>
              <w:contextualSpacing/>
              <w:rPr>
                <w:rFonts w:ascii="Verdana" w:hAnsi="Verdana" w:cs="Arial"/>
                <w:sz w:val="16"/>
                <w:szCs w:val="16"/>
                <w:lang w:val="es-ES" w:eastAsia="es-ES"/>
              </w:rPr>
            </w:pPr>
            <w:r w:rsidRPr="0079735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24245C" w14:textId="77777777" w:rsidR="006E5B7C" w:rsidRPr="00797350" w:rsidRDefault="006E5B7C" w:rsidP="00BC49AF">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Carolina Quintero Gacharná</w:t>
            </w:r>
          </w:p>
          <w:p w14:paraId="5393AF9E" w14:textId="77777777" w:rsidR="006E5B7C" w:rsidRPr="00797350" w:rsidRDefault="006E5B7C" w:rsidP="00BC49AF">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Subdirectora de Gestión Contractual ANCP – CCE</w:t>
            </w:r>
          </w:p>
        </w:tc>
      </w:tr>
      <w:bookmarkEnd w:id="0"/>
    </w:tbl>
    <w:p w14:paraId="1D0AB6A2" w14:textId="77777777" w:rsidR="006E5B7C" w:rsidRDefault="006E5B7C" w:rsidP="006E5B7C"/>
    <w:p w14:paraId="2BFE57D3" w14:textId="77777777" w:rsidR="00577865" w:rsidRDefault="00577865" w:rsidP="006E5B7C">
      <w:pPr>
        <w:rPr>
          <w:noProof/>
          <w:color w:val="EE0000"/>
        </w:rPr>
      </w:pPr>
    </w:p>
    <w:p w14:paraId="3F0D333A" w14:textId="577BF572" w:rsidR="006E5B7C" w:rsidRPr="00FE55BD" w:rsidRDefault="006E5B7C" w:rsidP="006E5B7C"/>
    <w:p w14:paraId="0F293BF4" w14:textId="7657407B" w:rsidR="00127233" w:rsidRPr="006E5B7C" w:rsidRDefault="00127233" w:rsidP="006E5B7C"/>
    <w:sectPr w:rsidR="00127233" w:rsidRPr="006E5B7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48203" w14:textId="77777777" w:rsidR="00A07C9A" w:rsidRDefault="00A07C9A" w:rsidP="004A1847">
      <w:pPr>
        <w:spacing w:after="0" w:line="240" w:lineRule="auto"/>
      </w:pPr>
      <w:r>
        <w:separator/>
      </w:r>
    </w:p>
  </w:endnote>
  <w:endnote w:type="continuationSeparator" w:id="0">
    <w:p w14:paraId="2AF138CA" w14:textId="77777777" w:rsidR="00A07C9A" w:rsidRDefault="00A07C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E87775" w14:textId="77777777" w:rsidR="00A07C9A" w:rsidRDefault="00A07C9A" w:rsidP="004A1847">
      <w:pPr>
        <w:spacing w:after="0" w:line="240" w:lineRule="auto"/>
      </w:pPr>
      <w:r>
        <w:separator/>
      </w:r>
    </w:p>
  </w:footnote>
  <w:footnote w:type="continuationSeparator" w:id="0">
    <w:p w14:paraId="0B265BA5" w14:textId="77777777" w:rsidR="00A07C9A" w:rsidRDefault="00A07C9A" w:rsidP="004A1847">
      <w:pPr>
        <w:spacing w:after="0" w:line="240" w:lineRule="auto"/>
      </w:pPr>
      <w:r>
        <w:continuationSeparator/>
      </w:r>
    </w:p>
  </w:footnote>
  <w:footnote w:id="1">
    <w:p w14:paraId="3EDBDE0E" w14:textId="77777777" w:rsidR="006E5B7C" w:rsidRDefault="006E5B7C" w:rsidP="006E5B7C">
      <w:pPr>
        <w:pStyle w:val="Textonotapie"/>
        <w:ind w:firstLine="709"/>
        <w:contextualSpacing/>
        <w:jc w:val="both"/>
        <w:rPr>
          <w:rFonts w:ascii="Verdana" w:hAnsi="Verdana" w:cs="Arial"/>
          <w:color w:val="000000" w:themeColor="text1"/>
          <w:sz w:val="16"/>
          <w:szCs w:val="16"/>
        </w:rPr>
      </w:pPr>
      <w:r w:rsidRPr="00803210">
        <w:rPr>
          <w:rStyle w:val="Refdenotaalpie"/>
          <w:rFonts w:ascii="Verdana" w:hAnsi="Verdana" w:cs="Arial"/>
          <w:sz w:val="16"/>
          <w:szCs w:val="16"/>
        </w:rPr>
        <w:footnoteRef/>
      </w:r>
      <w:r w:rsidRPr="00803210">
        <w:rPr>
          <w:rFonts w:ascii="Verdana" w:hAnsi="Verdana" w:cs="Arial"/>
          <w:sz w:val="16"/>
          <w:szCs w:val="16"/>
        </w:rPr>
        <w:t xml:space="preserve"> </w:t>
      </w:r>
      <w:r w:rsidRPr="00803210">
        <w:rPr>
          <w:rFonts w:ascii="Verdana" w:hAnsi="Verdana" w:cs="Arial"/>
          <w:sz w:val="16"/>
          <w:szCs w:val="16"/>
          <w:lang w:val="es-ES"/>
        </w:rPr>
        <w:t>“</w:t>
      </w:r>
      <w:r w:rsidRPr="00803210">
        <w:rPr>
          <w:rFonts w:ascii="Verdana" w:hAnsi="Verdana" w:cs="Arial"/>
          <w:color w:val="000000" w:themeColor="text1"/>
          <w:sz w:val="16"/>
          <w:szCs w:val="16"/>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13E289CB" w14:textId="77777777" w:rsidR="006E5B7C" w:rsidRPr="00803210" w:rsidRDefault="006E5B7C" w:rsidP="006E5B7C">
      <w:pPr>
        <w:pStyle w:val="Textonotapie"/>
        <w:ind w:firstLine="709"/>
        <w:contextualSpacing/>
        <w:jc w:val="both"/>
        <w:rPr>
          <w:rFonts w:ascii="Verdana" w:hAnsi="Verdana" w:cs="Arial"/>
          <w:color w:val="000000" w:themeColor="text1"/>
          <w:sz w:val="16"/>
          <w:szCs w:val="16"/>
        </w:rPr>
      </w:pPr>
    </w:p>
    <w:p w14:paraId="74CCE7E4" w14:textId="77777777" w:rsidR="006E5B7C" w:rsidRPr="00803210" w:rsidRDefault="006E5B7C" w:rsidP="006E5B7C">
      <w:pPr>
        <w:pStyle w:val="Textonotapie"/>
        <w:ind w:firstLine="709"/>
        <w:contextualSpacing/>
        <w:jc w:val="both"/>
        <w:rPr>
          <w:rFonts w:ascii="Verdana" w:hAnsi="Verdana" w:cs="Arial"/>
          <w:color w:val="000000" w:themeColor="text1"/>
          <w:sz w:val="16"/>
          <w:szCs w:val="16"/>
        </w:rPr>
      </w:pPr>
      <w:r w:rsidRPr="00803210">
        <w:rPr>
          <w:rFonts w:ascii="Verdana" w:hAnsi="Verdana" w:cs="Arial"/>
          <w:color w:val="000000" w:themeColor="text1"/>
          <w:sz w:val="16"/>
          <w:szCs w:val="16"/>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73E90A0A" w14:textId="77777777" w:rsidR="006E5B7C" w:rsidRPr="00803210" w:rsidRDefault="006E5B7C" w:rsidP="006E5B7C">
      <w:pPr>
        <w:pStyle w:val="Textonotapie"/>
        <w:ind w:firstLine="709"/>
        <w:contextualSpacing/>
        <w:jc w:val="both"/>
        <w:rPr>
          <w:rFonts w:ascii="Verdana" w:hAnsi="Verdana" w:cs="Arial"/>
          <w:sz w:val="16"/>
          <w:szCs w:val="16"/>
          <w:lang w:val="es-ES"/>
        </w:rPr>
      </w:pPr>
    </w:p>
  </w:footnote>
  <w:footnote w:id="2">
    <w:p w14:paraId="4E331758" w14:textId="77777777" w:rsidR="006E5B7C" w:rsidRPr="00A44A91" w:rsidRDefault="006E5B7C" w:rsidP="006E5B7C">
      <w:pPr>
        <w:pStyle w:val="Textonotapie"/>
        <w:ind w:firstLine="720"/>
        <w:rPr>
          <w:rFonts w:ascii="Verdana" w:hAnsi="Verdana" w:cs="Arial"/>
          <w:color w:val="1A1A1A" w:themeColor="background1" w:themeShade="1A"/>
          <w:sz w:val="16"/>
          <w:szCs w:val="16"/>
          <w:lang w:val="es-CO"/>
        </w:rPr>
      </w:pPr>
      <w:r w:rsidRPr="00A44A91">
        <w:rPr>
          <w:rStyle w:val="Refdenotaalpie"/>
          <w:rFonts w:ascii="Verdana" w:hAnsi="Verdana" w:cs="Arial"/>
          <w:color w:val="1A1A1A" w:themeColor="background1" w:themeShade="1A"/>
          <w:sz w:val="16"/>
          <w:szCs w:val="16"/>
        </w:rPr>
        <w:footnoteRef/>
      </w:r>
      <w:r w:rsidRPr="00A44A91">
        <w:rPr>
          <w:rFonts w:ascii="Verdana" w:hAnsi="Verdana" w:cs="Arial"/>
          <w:color w:val="1A1A1A" w:themeColor="background1" w:themeShade="1A"/>
          <w:sz w:val="16"/>
          <w:szCs w:val="16"/>
        </w:rPr>
        <w:t xml:space="preserve"> “Son también contratos de consultoría los que tienen por objeto la interventoría […]”</w:t>
      </w:r>
    </w:p>
  </w:footnote>
  <w:footnote w:id="3">
    <w:p w14:paraId="19137299" w14:textId="77777777" w:rsidR="006E5B7C" w:rsidRPr="00B51A71" w:rsidRDefault="006E5B7C" w:rsidP="006E5B7C">
      <w:pPr>
        <w:spacing w:after="0" w:line="240" w:lineRule="auto"/>
        <w:ind w:firstLine="708"/>
        <w:jc w:val="both"/>
        <w:rPr>
          <w:rFonts w:ascii="Arial" w:hAnsi="Arial" w:cs="Arial"/>
          <w:sz w:val="18"/>
          <w:szCs w:val="18"/>
        </w:rPr>
      </w:pPr>
      <w:r w:rsidRPr="00AC7ED8">
        <w:rPr>
          <w:rStyle w:val="Refdenotaalpie"/>
          <w:rFonts w:ascii="Arial" w:hAnsi="Arial" w:cs="Arial"/>
          <w:color w:val="000000" w:themeColor="text1"/>
          <w:sz w:val="18"/>
          <w:szCs w:val="18"/>
        </w:rPr>
        <w:footnoteRef/>
      </w:r>
      <w:r w:rsidRPr="00AC7ED8">
        <w:rPr>
          <w:rFonts w:ascii="Arial" w:hAnsi="Arial" w:cs="Arial"/>
          <w:color w:val="000000" w:themeColor="text1"/>
          <w:sz w:val="18"/>
          <w:szCs w:val="18"/>
        </w:rPr>
        <w:t xml:space="preserve"> </w:t>
      </w:r>
      <w:r w:rsidRPr="00A44A91">
        <w:rPr>
          <w:rFonts w:ascii="Verdana" w:hAnsi="Verdana" w:cs="Arial"/>
          <w:color w:val="000000" w:themeColor="text1"/>
          <w:sz w:val="16"/>
          <w:szCs w:val="16"/>
        </w:rPr>
        <w:t>Lo anterior, sin perjuicio de lo prescrito por la Ley 1474 de 2011, que en su artículo 85, como se explicará, en relación con los contratos de interventoría, excepciona la aplicación de la restricción analizada, de manera que podrán adicionarse sin importar su monto.</w:t>
      </w:r>
    </w:p>
  </w:footnote>
  <w:footnote w:id="4">
    <w:p w14:paraId="1A201314" w14:textId="77777777" w:rsidR="006E5B7C" w:rsidRPr="00A44A91" w:rsidRDefault="006E5B7C" w:rsidP="006E5B7C">
      <w:pPr>
        <w:pStyle w:val="Textonotapie"/>
        <w:ind w:firstLine="708"/>
        <w:jc w:val="both"/>
        <w:rPr>
          <w:rFonts w:ascii="Verdana" w:hAnsi="Verdana" w:cs="Arial"/>
          <w:sz w:val="16"/>
          <w:szCs w:val="16"/>
          <w:lang w:val="es-ES"/>
        </w:rPr>
      </w:pPr>
      <w:r w:rsidRPr="00A44A91">
        <w:rPr>
          <w:rStyle w:val="Refdenotaalpie"/>
          <w:rFonts w:ascii="Verdana" w:hAnsi="Verdana" w:cs="Arial"/>
          <w:sz w:val="16"/>
          <w:szCs w:val="16"/>
        </w:rPr>
        <w:footnoteRef/>
      </w:r>
      <w:r w:rsidRPr="00A44A91">
        <w:rPr>
          <w:rFonts w:ascii="Verdana" w:hAnsi="Verdana" w:cs="Arial"/>
          <w:sz w:val="16"/>
          <w:szCs w:val="16"/>
        </w:rPr>
        <w:t xml:space="preserve"> </w:t>
      </w:r>
      <w:r w:rsidRPr="00A44A91">
        <w:rPr>
          <w:rFonts w:ascii="Verdana" w:hAnsi="Verdana" w:cs="Arial"/>
          <w:sz w:val="16"/>
          <w:szCs w:val="16"/>
          <w:lang w:val="es-ES"/>
        </w:rPr>
        <w:t xml:space="preserve">Matallana Camacho, Ernesto. Manual de contratación de la administración pública: reforma de la Ley 80 de 1993. 4ª edición. Bogotá: Universidad Externado de Colombia, 2015. p. 971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6BEB"/>
    <w:rsid w:val="00082362"/>
    <w:rsid w:val="00090E08"/>
    <w:rsid w:val="000A683E"/>
    <w:rsid w:val="000B19B9"/>
    <w:rsid w:val="000D0334"/>
    <w:rsid w:val="000D5DA7"/>
    <w:rsid w:val="000F6486"/>
    <w:rsid w:val="00116940"/>
    <w:rsid w:val="001213E9"/>
    <w:rsid w:val="00125105"/>
    <w:rsid w:val="00127233"/>
    <w:rsid w:val="00152E42"/>
    <w:rsid w:val="0015699B"/>
    <w:rsid w:val="00184246"/>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26DD"/>
    <w:rsid w:val="005566E8"/>
    <w:rsid w:val="00574867"/>
    <w:rsid w:val="00577865"/>
    <w:rsid w:val="00591460"/>
    <w:rsid w:val="005A65E0"/>
    <w:rsid w:val="005C1E15"/>
    <w:rsid w:val="005C3777"/>
    <w:rsid w:val="005C5CDC"/>
    <w:rsid w:val="005D476C"/>
    <w:rsid w:val="005F1975"/>
    <w:rsid w:val="006200BF"/>
    <w:rsid w:val="006219F8"/>
    <w:rsid w:val="006302F7"/>
    <w:rsid w:val="00646B9F"/>
    <w:rsid w:val="00653F97"/>
    <w:rsid w:val="00665D70"/>
    <w:rsid w:val="0067757D"/>
    <w:rsid w:val="006900D9"/>
    <w:rsid w:val="006A26EA"/>
    <w:rsid w:val="006A5598"/>
    <w:rsid w:val="006E5B7C"/>
    <w:rsid w:val="006F1AB6"/>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34AB"/>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C9A"/>
    <w:rsid w:val="00A122D3"/>
    <w:rsid w:val="00A14468"/>
    <w:rsid w:val="00A17F13"/>
    <w:rsid w:val="00A20739"/>
    <w:rsid w:val="00A23AF9"/>
    <w:rsid w:val="00A33C78"/>
    <w:rsid w:val="00AB0ADB"/>
    <w:rsid w:val="00AE7191"/>
    <w:rsid w:val="00B00C0E"/>
    <w:rsid w:val="00B01B1A"/>
    <w:rsid w:val="00B0381D"/>
    <w:rsid w:val="00B44A47"/>
    <w:rsid w:val="00B72CD3"/>
    <w:rsid w:val="00B72FFF"/>
    <w:rsid w:val="00B76712"/>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4F44"/>
    <w:rsid w:val="00E2764C"/>
    <w:rsid w:val="00E27F2E"/>
    <w:rsid w:val="00E50AFE"/>
    <w:rsid w:val="00E75C92"/>
    <w:rsid w:val="00E771DC"/>
    <w:rsid w:val="00E8772A"/>
    <w:rsid w:val="00E90F6B"/>
    <w:rsid w:val="00E92C27"/>
    <w:rsid w:val="00EA0129"/>
    <w:rsid w:val="00EA0E3D"/>
    <w:rsid w:val="00EA17D2"/>
    <w:rsid w:val="00EC38A7"/>
    <w:rsid w:val="00EE1AA8"/>
    <w:rsid w:val="00F23FEA"/>
    <w:rsid w:val="00F31EDC"/>
    <w:rsid w:val="00F462B3"/>
    <w:rsid w:val="00F5664F"/>
    <w:rsid w:val="00F666C4"/>
    <w:rsid w:val="00F76AFC"/>
    <w:rsid w:val="00FA47C0"/>
    <w:rsid w:val="00FA506D"/>
    <w:rsid w:val="00FB5DD1"/>
    <w:rsid w:val="00FC14B2"/>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3B98CE3"/>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E5B7C"/>
    <w:pPr>
      <w:spacing w:line="240" w:lineRule="exact"/>
    </w:pPr>
    <w:rPr>
      <w:vertAlign w:val="superscript"/>
    </w:rPr>
  </w:style>
  <w:style w:type="character" w:customStyle="1" w:styleId="s15">
    <w:name w:val="s15"/>
    <w:basedOn w:val="Fuentedeprrafopredeter"/>
    <w:rsid w:val="006E5B7C"/>
  </w:style>
  <w:style w:type="character" w:customStyle="1" w:styleId="apple-converted-space">
    <w:name w:val="apple-converted-space"/>
    <w:basedOn w:val="Fuentedeprrafopredeter"/>
    <w:rsid w:val="006E5B7C"/>
  </w:style>
  <w:style w:type="paragraph" w:styleId="Sinespaciado">
    <w:name w:val="No Spacing"/>
    <w:aliases w:val="No Indent"/>
    <w:link w:val="SinespaciadoCar"/>
    <w:uiPriority w:val="3"/>
    <w:qFormat/>
    <w:rsid w:val="006E5B7C"/>
    <w:pPr>
      <w:spacing w:after="0" w:line="240" w:lineRule="auto"/>
    </w:pPr>
    <w:rPr>
      <w:sz w:val="24"/>
      <w:lang w:val="es-MX"/>
    </w:rPr>
  </w:style>
  <w:style w:type="character" w:customStyle="1" w:styleId="SinespaciadoCar">
    <w:name w:val="Sin espaciado Car"/>
    <w:aliases w:val="No Indent Car"/>
    <w:link w:val="Sinespaciado"/>
    <w:uiPriority w:val="3"/>
    <w:rsid w:val="006E5B7C"/>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ilder.baron@uptc.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EB00FBA-8659-45EC-9335-2B2A8799F38E}"/>
</file>

<file path=customXml/itemProps4.xml><?xml version="1.0" encoding="utf-8"?>
<ds:datastoreItem xmlns:ds="http://schemas.openxmlformats.org/officeDocument/2006/customXml" ds:itemID="{636C38D0-ECEE-4698-99CF-E8254AAE943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13</Pages>
  <Words>4455</Words>
  <Characters>24506</Characters>
  <Application>Microsoft Office Word</Application>
  <DocSecurity>0</DocSecurity>
  <Lines>204</Lines>
  <Paragraphs>57</Paragraphs>
  <ScaleCrop>false</ScaleCrop>
  <Company/>
  <LinksUpToDate>false</LinksUpToDate>
  <CharactersWithSpaces>28904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2026-05-25T13:39:00Z</dcterms:created>
  <dcterms:modified xsi:type="dcterms:W3CDTF">2026-05-25T19:04:00Z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