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5D098" w14:textId="77777777" w:rsidR="00337110" w:rsidRPr="007B5AD4" w:rsidRDefault="00337110" w:rsidP="007B5AD4">
      <w:pPr>
        <w:spacing w:after="0" w:line="240" w:lineRule="auto"/>
        <w:contextualSpacing/>
        <w:jc w:val="both"/>
        <w:rPr>
          <w:rFonts w:ascii="Verdana" w:eastAsia="Calibri" w:hAnsi="Verdana" w:cs="Arial"/>
          <w:sz w:val="20"/>
          <w:szCs w:val="20"/>
          <w:lang w:eastAsia="es-ES"/>
        </w:rPr>
      </w:pPr>
    </w:p>
    <w:p w14:paraId="25D2F39F" w14:textId="511D7536"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74ADB024" w14:textId="77777777" w:rsidR="007B5AD4" w:rsidRPr="007B5AD4" w:rsidRDefault="007B5AD4" w:rsidP="007B5AD4">
      <w:pPr>
        <w:spacing w:after="0" w:line="240" w:lineRule="auto"/>
        <w:contextualSpacing/>
        <w:jc w:val="both"/>
        <w:rPr>
          <w:rFonts w:ascii="Verdana" w:eastAsia="Calibri" w:hAnsi="Verdana" w:cs="Arial"/>
          <w:b/>
          <w:bCs/>
          <w:sz w:val="20"/>
          <w:szCs w:val="20"/>
          <w:lang w:eastAsia="es-ES"/>
        </w:rPr>
      </w:pPr>
    </w:p>
    <w:p w14:paraId="128CF4EE" w14:textId="7A031481" w:rsidR="00337110" w:rsidRDefault="007C6F9B" w:rsidP="007B5AD4">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2469AD36" w14:textId="77777777" w:rsidR="00337110" w:rsidRDefault="00337110" w:rsidP="007B5AD4">
      <w:pPr>
        <w:spacing w:after="0" w:line="240" w:lineRule="auto"/>
        <w:contextualSpacing/>
        <w:jc w:val="both"/>
        <w:rPr>
          <w:rFonts w:ascii="Verdana" w:eastAsia="Calibri" w:hAnsi="Verdana" w:cs="Arial"/>
          <w:sz w:val="20"/>
          <w:szCs w:val="20"/>
          <w:lang w:eastAsia="es-ES"/>
        </w:rPr>
      </w:pPr>
    </w:p>
    <w:p w14:paraId="25801161" w14:textId="77777777"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0E6F80C3" w14:textId="77777777" w:rsidR="007B5AD4" w:rsidRPr="007B5AD4" w:rsidRDefault="007B5AD4" w:rsidP="007B5AD4">
      <w:pPr>
        <w:spacing w:after="0" w:line="240" w:lineRule="auto"/>
        <w:contextualSpacing/>
        <w:jc w:val="both"/>
        <w:rPr>
          <w:rFonts w:ascii="Verdana" w:eastAsia="Calibri" w:hAnsi="Verdana" w:cs="Arial"/>
          <w:b/>
          <w:bCs/>
          <w:sz w:val="20"/>
          <w:szCs w:val="20"/>
          <w:lang w:eastAsia="es-ES"/>
        </w:rPr>
      </w:pPr>
    </w:p>
    <w:p w14:paraId="3D277A59" w14:textId="5C574CD4" w:rsidR="007B5AD4" w:rsidRPr="00206556" w:rsidRDefault="007C6F9B" w:rsidP="007B5AD4">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007B5AD4" w:rsidRPr="007B5AD4">
        <w:rPr>
          <w:rFonts w:ascii="Verdana" w:eastAsia="Calibri" w:hAnsi="Verdana" w:cs="Arial"/>
          <w:sz w:val="20"/>
          <w:szCs w:val="20"/>
          <w:lang w:eastAsia="es-ES"/>
        </w:rPr>
        <w:t>.</w:t>
      </w:r>
    </w:p>
    <w:p w14:paraId="5D0A89A9" w14:textId="77777777" w:rsidR="007B5AD4" w:rsidRPr="007B5AD4" w:rsidRDefault="007B5AD4" w:rsidP="007B5AD4">
      <w:pPr>
        <w:spacing w:after="0" w:line="240" w:lineRule="auto"/>
        <w:contextualSpacing/>
        <w:jc w:val="both"/>
        <w:rPr>
          <w:rFonts w:ascii="Verdana" w:eastAsia="Calibri" w:hAnsi="Verdana" w:cs="Arial"/>
          <w:sz w:val="20"/>
          <w:szCs w:val="20"/>
          <w:lang w:eastAsia="es-ES"/>
        </w:rPr>
      </w:pPr>
    </w:p>
    <w:p w14:paraId="3C444231" w14:textId="06F3FE38"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Criterios habilitantes diferenciales ‒ </w:t>
      </w:r>
      <w:r w:rsidR="00B0404B" w:rsidRPr="004C046B">
        <w:rPr>
          <w:rFonts w:ascii="Verdana" w:eastAsia="Calibri" w:hAnsi="Verdana" w:cs="Arial"/>
          <w:b/>
          <w:bCs/>
          <w:lang w:eastAsia="es-ES"/>
        </w:rPr>
        <w:t xml:space="preserve">Ajustados ‒ </w:t>
      </w:r>
      <w:r w:rsidRPr="004C046B">
        <w:rPr>
          <w:rFonts w:ascii="Verdana" w:eastAsia="Calibri" w:hAnsi="Verdana" w:cs="Arial"/>
          <w:b/>
          <w:bCs/>
          <w:lang w:eastAsia="es-ES"/>
        </w:rPr>
        <w:t>Obligatoriedad ‒ Proporcionalidad ‒ Proponentes plurales ‒ Consorcios y uniones temporales</w:t>
      </w:r>
    </w:p>
    <w:p w14:paraId="62640328" w14:textId="77777777" w:rsidR="007B5AD4" w:rsidRPr="00206556" w:rsidRDefault="007B5AD4" w:rsidP="007B5AD4">
      <w:pPr>
        <w:spacing w:after="0" w:line="240" w:lineRule="auto"/>
        <w:contextualSpacing/>
        <w:jc w:val="both"/>
        <w:rPr>
          <w:rFonts w:ascii="Verdana" w:eastAsia="Calibri" w:hAnsi="Verdana" w:cs="Arial"/>
          <w:b/>
          <w:bCs/>
          <w:sz w:val="20"/>
          <w:szCs w:val="20"/>
          <w:lang w:eastAsia="es-ES"/>
        </w:rPr>
      </w:pPr>
    </w:p>
    <w:p w14:paraId="4E5063D0" w14:textId="77777777" w:rsidR="00DA1940" w:rsidRDefault="00DA1940" w:rsidP="00DA1940">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w:t>
      </w:r>
      <w:r w:rsidRPr="00DA1940">
        <w:rPr>
          <w:rFonts w:ascii="Verdana" w:eastAsia="Calibri" w:hAnsi="Verdana" w:cs="Arial"/>
          <w:sz w:val="20"/>
          <w:szCs w:val="20"/>
          <w:lang w:eastAsia="es-ES"/>
        </w:rPr>
        <w:lastRenderedPageBreak/>
        <w:t xml:space="preserve">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5CC1F807" w14:textId="77777777" w:rsidR="00DA1940" w:rsidRPr="00DA1940" w:rsidRDefault="00DA1940" w:rsidP="00DA1940">
      <w:pPr>
        <w:spacing w:after="0" w:line="240" w:lineRule="auto"/>
        <w:contextualSpacing/>
        <w:jc w:val="both"/>
        <w:rPr>
          <w:rFonts w:ascii="Verdana" w:eastAsia="Calibri" w:hAnsi="Verdana" w:cs="Arial"/>
          <w:sz w:val="20"/>
          <w:szCs w:val="20"/>
          <w:lang w:eastAsia="es-ES"/>
        </w:rPr>
      </w:pPr>
    </w:p>
    <w:p w14:paraId="2F877C25" w14:textId="185516E3" w:rsidR="0032249D" w:rsidRDefault="00DA1940" w:rsidP="00DA1940">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631A84F" w14:textId="77777777" w:rsidR="0032249D" w:rsidRDefault="0032249D" w:rsidP="007B5AD4">
      <w:pPr>
        <w:spacing w:after="0" w:line="240" w:lineRule="auto"/>
        <w:contextualSpacing/>
        <w:jc w:val="both"/>
        <w:rPr>
          <w:rFonts w:ascii="Verdana" w:eastAsia="Calibri" w:hAnsi="Verdana" w:cs="Arial"/>
          <w:sz w:val="20"/>
          <w:szCs w:val="20"/>
          <w:lang w:eastAsia="es-ES"/>
        </w:rPr>
      </w:pPr>
    </w:p>
    <w:p w14:paraId="4A345C94"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C688FD4"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5B1209C3"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4475D704"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178CE213"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60987F86"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0B708462"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0EFBDADF"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2BEAE9C2"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7008C22B"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7DFAA7F8"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7C3B9215"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49936A7D"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57CD0B7A"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1E7BE62D"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57BBC071"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219AD054"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13A8E7B0"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4214E57D"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4F01241D"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38EF262B"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6B0FD5CC"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17B34A94" w14:textId="77777777" w:rsidR="00653A60" w:rsidRDefault="00653A60" w:rsidP="004C046B">
      <w:pPr>
        <w:spacing w:after="0" w:line="240" w:lineRule="auto"/>
        <w:contextualSpacing/>
        <w:jc w:val="both"/>
        <w:rPr>
          <w:rFonts w:ascii="Verdana" w:eastAsia="Calibri" w:hAnsi="Verdana" w:cs="Arial"/>
          <w:sz w:val="20"/>
          <w:szCs w:val="20"/>
          <w:lang w:eastAsia="es-ES"/>
        </w:rPr>
      </w:pPr>
    </w:p>
    <w:p w14:paraId="36CDAB8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62D221C9" w14:textId="2B8B8D11" w:rsidR="001B064E" w:rsidRDefault="001B064E" w:rsidP="001B064E">
      <w:pPr>
        <w:spacing w:after="0"/>
        <w:rPr>
          <w:rFonts w:ascii="Verdana" w:hAnsi="Verdana"/>
          <w:lang w:val="es-ES_tradnl"/>
        </w:rPr>
      </w:pPr>
      <w:r w:rsidRPr="00777292">
        <w:rPr>
          <w:rFonts w:ascii="Verdana" w:hAnsi="Verdana"/>
          <w:lang w:val="es-ES_tradnl"/>
        </w:rPr>
        <w:lastRenderedPageBreak/>
        <w:t xml:space="preserve">Bogotá D.C., </w:t>
      </w:r>
      <w:r w:rsidR="00653A60">
        <w:rPr>
          <w:rFonts w:ascii="Verdana" w:hAnsi="Verdana"/>
          <w:lang w:val="es-ES_tradnl"/>
        </w:rPr>
        <w:t>23</w:t>
      </w:r>
      <w:r w:rsidRPr="00777292">
        <w:rPr>
          <w:rFonts w:ascii="Verdana" w:hAnsi="Verdana"/>
          <w:lang w:val="es-ES_tradnl"/>
        </w:rPr>
        <w:t xml:space="preserve"> de </w:t>
      </w:r>
      <w:r w:rsidR="006A76CB">
        <w:rPr>
          <w:rFonts w:ascii="Verdana" w:hAnsi="Verdana"/>
          <w:lang w:val="es-ES_tradnl"/>
        </w:rPr>
        <w:t>junio</w:t>
      </w:r>
      <w:r w:rsidRPr="00777292">
        <w:rPr>
          <w:rFonts w:ascii="Verdana" w:hAnsi="Verdana"/>
          <w:lang w:val="es-ES_tradnl"/>
        </w:rPr>
        <w:t xml:space="preserve"> de </w:t>
      </w:r>
      <w:r w:rsidR="00653A60">
        <w:rPr>
          <w:rFonts w:ascii="Verdana" w:hAnsi="Verdana"/>
          <w:lang w:val="es-ES_tradnl"/>
        </w:rPr>
        <w:t xml:space="preserve">2026 </w:t>
      </w:r>
    </w:p>
    <w:p w14:paraId="2B9EAA93" w14:textId="77777777" w:rsidR="00653A60" w:rsidRDefault="00653A60" w:rsidP="001B064E">
      <w:pPr>
        <w:spacing w:after="0"/>
        <w:rPr>
          <w:rFonts w:ascii="Verdana" w:hAnsi="Verdana"/>
          <w:lang w:val="es-ES_tradnl"/>
        </w:rPr>
      </w:pPr>
    </w:p>
    <w:p w14:paraId="5DA4CE8A" w14:textId="3F2C0BD3" w:rsidR="00653A60" w:rsidRPr="00777292" w:rsidRDefault="00653A60" w:rsidP="00653A60">
      <w:pPr>
        <w:spacing w:after="0"/>
        <w:jc w:val="right"/>
        <w:rPr>
          <w:rFonts w:ascii="Verdana" w:hAnsi="Verdana"/>
          <w:lang w:val="es-ES_tradnl"/>
        </w:rPr>
      </w:pPr>
      <w:r w:rsidRPr="00653A60">
        <w:rPr>
          <w:rFonts w:ascii="Verdana" w:hAnsi="Verdana"/>
          <w:noProof/>
          <w:lang w:val="es-ES_tradnl"/>
        </w:rPr>
        <w:drawing>
          <wp:inline distT="0" distB="0" distL="0" distR="0" wp14:anchorId="17CE72B3" wp14:editId="34EDCE1C">
            <wp:extent cx="2465882" cy="681236"/>
            <wp:effectExtent l="0" t="0" r="0" b="5080"/>
            <wp:docPr id="11060896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089603" name=""/>
                    <pic:cNvPicPr/>
                  </pic:nvPicPr>
                  <pic:blipFill>
                    <a:blip r:embed="rId11"/>
                    <a:stretch>
                      <a:fillRect/>
                    </a:stretch>
                  </pic:blipFill>
                  <pic:spPr>
                    <a:xfrm>
                      <a:off x="0" y="0"/>
                      <a:ext cx="2536694" cy="700799"/>
                    </a:xfrm>
                    <a:prstGeom prst="rect">
                      <a:avLst/>
                    </a:prstGeom>
                  </pic:spPr>
                </pic:pic>
              </a:graphicData>
            </a:graphic>
          </wp:inline>
        </w:drawing>
      </w:r>
    </w:p>
    <w:p w14:paraId="5DF4E0A1" w14:textId="77777777" w:rsidR="008D5774" w:rsidRPr="00777292" w:rsidRDefault="008D5774" w:rsidP="008D5774">
      <w:pPr>
        <w:spacing w:after="0"/>
        <w:rPr>
          <w:rFonts w:ascii="Verdana" w:hAnsi="Verdana"/>
          <w:lang w:val="es-ES_tradnl"/>
        </w:rPr>
      </w:pPr>
    </w:p>
    <w:p w14:paraId="61203DA3" w14:textId="17CA19DC" w:rsidR="001B6C7C" w:rsidRDefault="008D5774" w:rsidP="007841C4">
      <w:pPr>
        <w:spacing w:after="0" w:line="240" w:lineRule="auto"/>
        <w:rPr>
          <w:rFonts w:ascii="Verdana" w:eastAsia="Calibri" w:hAnsi="Verdana" w:cs="Arial"/>
          <w:lang w:val="es-ES" w:eastAsia="es-ES"/>
        </w:rPr>
      </w:pPr>
      <w:bookmarkStart w:id="0" w:name="_Hlk143780582"/>
      <w:r w:rsidRPr="00777292">
        <w:rPr>
          <w:rFonts w:ascii="Verdana" w:eastAsia="Calibri" w:hAnsi="Verdana" w:cs="Arial"/>
          <w:lang w:val="es-ES" w:eastAsia="es-ES"/>
        </w:rPr>
        <w:t>Señor</w:t>
      </w:r>
      <w:r w:rsidR="007841C4">
        <w:rPr>
          <w:rFonts w:ascii="Verdana" w:eastAsia="Calibri" w:hAnsi="Verdana" w:cs="Arial"/>
          <w:lang w:val="es-ES" w:eastAsia="es-ES"/>
        </w:rPr>
        <w:t>es</w:t>
      </w:r>
    </w:p>
    <w:p w14:paraId="4CFE064B" w14:textId="206466CD" w:rsidR="007841C4" w:rsidRPr="00F74994" w:rsidRDefault="007841C4" w:rsidP="007841C4">
      <w:pPr>
        <w:spacing w:after="0" w:line="240" w:lineRule="auto"/>
        <w:rPr>
          <w:rFonts w:ascii="Verdana" w:hAnsi="Verdana"/>
          <w:b/>
          <w:bCs/>
          <w:lang w:val="es-ES"/>
        </w:rPr>
      </w:pPr>
      <w:r w:rsidRPr="00F74994">
        <w:rPr>
          <w:rFonts w:ascii="Verdana" w:hAnsi="Verdana"/>
          <w:b/>
          <w:bCs/>
          <w:lang w:val="es-ES"/>
        </w:rPr>
        <w:t>A</w:t>
      </w:r>
      <w:r w:rsidR="00F74994" w:rsidRPr="00F74994">
        <w:rPr>
          <w:rFonts w:ascii="Verdana" w:hAnsi="Verdana"/>
          <w:b/>
          <w:bCs/>
          <w:lang w:val="es-ES"/>
        </w:rPr>
        <w:t>lcaldía</w:t>
      </w:r>
      <w:r w:rsidRPr="00F74994">
        <w:rPr>
          <w:rFonts w:ascii="Verdana" w:hAnsi="Verdana"/>
          <w:b/>
          <w:bCs/>
          <w:lang w:val="es-ES"/>
        </w:rPr>
        <w:t xml:space="preserve"> D</w:t>
      </w:r>
      <w:r w:rsidR="00F74994" w:rsidRPr="00F74994">
        <w:rPr>
          <w:rFonts w:ascii="Verdana" w:hAnsi="Verdana"/>
          <w:b/>
          <w:bCs/>
          <w:lang w:val="es-ES"/>
        </w:rPr>
        <w:t>e</w:t>
      </w:r>
      <w:r w:rsidRPr="00F74994">
        <w:rPr>
          <w:rFonts w:ascii="Verdana" w:hAnsi="Verdana"/>
          <w:b/>
          <w:bCs/>
          <w:lang w:val="es-ES"/>
        </w:rPr>
        <w:t xml:space="preserve"> M</w:t>
      </w:r>
      <w:r w:rsidR="00F74994" w:rsidRPr="00F74994">
        <w:rPr>
          <w:rFonts w:ascii="Verdana" w:hAnsi="Verdana"/>
          <w:b/>
          <w:bCs/>
          <w:lang w:val="es-ES"/>
        </w:rPr>
        <w:t xml:space="preserve">edellín </w:t>
      </w:r>
    </w:p>
    <w:p w14:paraId="5F564361" w14:textId="6E79AFA5" w:rsidR="00F74994" w:rsidRPr="00F74994" w:rsidRDefault="00F74994" w:rsidP="007841C4">
      <w:pPr>
        <w:spacing w:after="0" w:line="240" w:lineRule="auto"/>
        <w:rPr>
          <w:rFonts w:ascii="Verdana" w:hAnsi="Verdana"/>
          <w:b/>
          <w:bCs/>
          <w:lang w:val="es-ES"/>
        </w:rPr>
      </w:pPr>
      <w:r w:rsidRPr="00F74994">
        <w:rPr>
          <w:rFonts w:ascii="Verdana" w:hAnsi="Verdana"/>
          <w:b/>
          <w:bCs/>
          <w:lang w:val="es-ES"/>
        </w:rPr>
        <w:t xml:space="preserve">Secretaria De Seguridad Y Convivencia </w:t>
      </w:r>
    </w:p>
    <w:p w14:paraId="3BB49B9D" w14:textId="63E4895B" w:rsidR="007841C4" w:rsidRPr="00F74994" w:rsidRDefault="007841C4" w:rsidP="007841C4">
      <w:pPr>
        <w:spacing w:after="0" w:line="240" w:lineRule="auto"/>
        <w:rPr>
          <w:rFonts w:ascii="Verdana" w:hAnsi="Verdana"/>
          <w:b/>
          <w:bCs/>
          <w:lang w:val="es-ES"/>
        </w:rPr>
      </w:pPr>
      <w:r w:rsidRPr="00F74994">
        <w:rPr>
          <w:rFonts w:ascii="Verdana" w:hAnsi="Verdana"/>
          <w:b/>
          <w:bCs/>
          <w:lang w:val="es-ES"/>
        </w:rPr>
        <w:t>D</w:t>
      </w:r>
      <w:r w:rsidR="00F74994" w:rsidRPr="00F74994">
        <w:rPr>
          <w:rFonts w:ascii="Verdana" w:hAnsi="Verdana"/>
          <w:b/>
          <w:bCs/>
          <w:lang w:val="es-ES"/>
        </w:rPr>
        <w:t xml:space="preserve">istrito </w:t>
      </w:r>
      <w:r w:rsidRPr="00F74994">
        <w:rPr>
          <w:rFonts w:ascii="Verdana" w:hAnsi="Verdana"/>
          <w:b/>
          <w:bCs/>
          <w:lang w:val="es-ES"/>
        </w:rPr>
        <w:t>E</w:t>
      </w:r>
      <w:r w:rsidR="00F74994" w:rsidRPr="00F74994">
        <w:rPr>
          <w:rFonts w:ascii="Verdana" w:hAnsi="Verdana"/>
          <w:b/>
          <w:bCs/>
          <w:lang w:val="es-ES"/>
        </w:rPr>
        <w:t>special</w:t>
      </w:r>
      <w:r w:rsidRPr="00F74994">
        <w:rPr>
          <w:rFonts w:ascii="Verdana" w:hAnsi="Verdana"/>
          <w:b/>
          <w:bCs/>
          <w:lang w:val="es-ES"/>
        </w:rPr>
        <w:t xml:space="preserve"> D</w:t>
      </w:r>
      <w:r w:rsidR="00F74994" w:rsidRPr="00F74994">
        <w:rPr>
          <w:rFonts w:ascii="Verdana" w:hAnsi="Verdana"/>
          <w:b/>
          <w:bCs/>
          <w:lang w:val="es-ES"/>
        </w:rPr>
        <w:t>e</w:t>
      </w:r>
      <w:r w:rsidRPr="00F74994">
        <w:rPr>
          <w:rFonts w:ascii="Verdana" w:hAnsi="Verdana"/>
          <w:b/>
          <w:bCs/>
          <w:lang w:val="es-ES"/>
        </w:rPr>
        <w:t xml:space="preserve"> C</w:t>
      </w:r>
      <w:r w:rsidR="00F74994" w:rsidRPr="00F74994">
        <w:rPr>
          <w:rFonts w:ascii="Verdana" w:hAnsi="Verdana"/>
          <w:b/>
          <w:bCs/>
          <w:lang w:val="es-ES"/>
        </w:rPr>
        <w:t>iencia</w:t>
      </w:r>
      <w:r w:rsidRPr="00F74994">
        <w:rPr>
          <w:rFonts w:ascii="Verdana" w:hAnsi="Verdana"/>
          <w:b/>
          <w:bCs/>
          <w:lang w:val="es-ES"/>
        </w:rPr>
        <w:t xml:space="preserve">, </w:t>
      </w:r>
    </w:p>
    <w:p w14:paraId="368AA3CF" w14:textId="5242DDA3" w:rsidR="007841C4" w:rsidRDefault="007841C4" w:rsidP="007841C4">
      <w:pPr>
        <w:spacing w:after="0" w:line="240" w:lineRule="auto"/>
        <w:rPr>
          <w:rFonts w:ascii="Verdana" w:hAnsi="Verdana"/>
          <w:b/>
          <w:bCs/>
          <w:lang w:val="es-ES"/>
        </w:rPr>
      </w:pPr>
      <w:r w:rsidRPr="00F74994">
        <w:rPr>
          <w:rFonts w:ascii="Verdana" w:hAnsi="Verdana"/>
          <w:b/>
          <w:bCs/>
          <w:lang w:val="es-ES"/>
        </w:rPr>
        <w:t>T</w:t>
      </w:r>
      <w:r w:rsidR="00F74994" w:rsidRPr="00F74994">
        <w:rPr>
          <w:rFonts w:ascii="Verdana" w:hAnsi="Verdana"/>
          <w:b/>
          <w:bCs/>
          <w:lang w:val="es-ES"/>
        </w:rPr>
        <w:t>ecnología</w:t>
      </w:r>
      <w:r w:rsidRPr="00F74994">
        <w:rPr>
          <w:rFonts w:ascii="Verdana" w:hAnsi="Verdana"/>
          <w:b/>
          <w:bCs/>
          <w:lang w:val="es-ES"/>
        </w:rPr>
        <w:t xml:space="preserve"> </w:t>
      </w:r>
      <w:r w:rsidR="00F74994" w:rsidRPr="00F74994">
        <w:rPr>
          <w:rFonts w:ascii="Verdana" w:hAnsi="Verdana"/>
          <w:b/>
          <w:bCs/>
          <w:lang w:val="es-ES"/>
        </w:rPr>
        <w:t>e</w:t>
      </w:r>
      <w:r w:rsidRPr="00F74994">
        <w:rPr>
          <w:rFonts w:ascii="Verdana" w:hAnsi="Verdana"/>
          <w:b/>
          <w:bCs/>
          <w:lang w:val="es-ES"/>
        </w:rPr>
        <w:t xml:space="preserve"> I</w:t>
      </w:r>
      <w:r w:rsidR="00F74994" w:rsidRPr="00F74994">
        <w:rPr>
          <w:rFonts w:ascii="Verdana" w:hAnsi="Verdana"/>
          <w:b/>
          <w:bCs/>
          <w:lang w:val="es-ES"/>
        </w:rPr>
        <w:t>nnovación</w:t>
      </w:r>
      <w:r w:rsidRPr="00F74994">
        <w:rPr>
          <w:rFonts w:ascii="Verdana" w:hAnsi="Verdana"/>
          <w:b/>
          <w:bCs/>
          <w:lang w:val="es-ES"/>
        </w:rPr>
        <w:t xml:space="preserve"> D</w:t>
      </w:r>
      <w:r w:rsidR="00F74994" w:rsidRPr="00F74994">
        <w:rPr>
          <w:rFonts w:ascii="Verdana" w:hAnsi="Verdana"/>
          <w:b/>
          <w:bCs/>
          <w:lang w:val="es-ES"/>
        </w:rPr>
        <w:t>e</w:t>
      </w:r>
      <w:r w:rsidRPr="00F74994">
        <w:rPr>
          <w:rFonts w:ascii="Verdana" w:hAnsi="Verdana"/>
          <w:b/>
          <w:bCs/>
          <w:lang w:val="es-ES"/>
        </w:rPr>
        <w:t xml:space="preserve"> M</w:t>
      </w:r>
      <w:r w:rsidR="00F74994" w:rsidRPr="00F74994">
        <w:rPr>
          <w:rFonts w:ascii="Verdana" w:hAnsi="Verdana"/>
          <w:b/>
          <w:bCs/>
          <w:lang w:val="es-ES"/>
        </w:rPr>
        <w:t>edellín</w:t>
      </w:r>
    </w:p>
    <w:p w14:paraId="1964CFA2" w14:textId="77777777" w:rsidR="00F74994" w:rsidRPr="00F74994" w:rsidRDefault="00F74994" w:rsidP="007841C4">
      <w:pPr>
        <w:spacing w:after="0" w:line="240" w:lineRule="auto"/>
        <w:rPr>
          <w:rFonts w:ascii="Verdana" w:hAnsi="Verdana"/>
          <w:b/>
          <w:bCs/>
          <w:lang w:val="es-ES"/>
        </w:rPr>
      </w:pPr>
    </w:p>
    <w:p w14:paraId="36D9D8F7" w14:textId="74DCFCCA" w:rsidR="007841C4" w:rsidRDefault="007841C4" w:rsidP="007841C4">
      <w:pPr>
        <w:spacing w:after="0" w:line="240" w:lineRule="auto"/>
        <w:rPr>
          <w:rFonts w:ascii="Verdana" w:hAnsi="Verdana"/>
          <w:lang w:val="es-ES"/>
        </w:rPr>
      </w:pPr>
    </w:p>
    <w:p w14:paraId="3C429A05" w14:textId="77777777" w:rsidR="007841C4" w:rsidRPr="007841C4" w:rsidRDefault="007841C4" w:rsidP="007841C4">
      <w:pPr>
        <w:spacing w:after="0" w:line="240" w:lineRule="auto"/>
        <w:rPr>
          <w:rFonts w:ascii="Verdana" w:hAnsi="Verdana"/>
          <w:lang w:val="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2359E058" w:rsidR="001B6C7C" w:rsidRPr="00777292" w:rsidRDefault="001B6C7C" w:rsidP="007841C4">
            <w:pPr>
              <w:jc w:val="both"/>
              <w:rPr>
                <w:rFonts w:ascii="Verdana" w:eastAsia="Calibri" w:hAnsi="Verdana" w:cs="Arial"/>
                <w:b/>
                <w:bCs/>
                <w:lang w:eastAsia="es-ES"/>
              </w:rPr>
            </w:pPr>
            <w:r w:rsidRPr="00777292">
              <w:rPr>
                <w:rFonts w:ascii="Verdana" w:eastAsia="Calibri" w:hAnsi="Verdana" w:cs="Arial"/>
                <w:b/>
                <w:bCs/>
                <w:lang w:eastAsia="es-ES"/>
              </w:rPr>
              <w:t xml:space="preserve">Concepto </w:t>
            </w:r>
            <w:r w:rsidR="007841C4" w:rsidRPr="007841C4">
              <w:rPr>
                <w:rFonts w:ascii="Verdana" w:eastAsia="Calibri" w:hAnsi="Verdana" w:cs="Arial"/>
                <w:b/>
                <w:bCs/>
                <w:lang w:eastAsia="es-ES"/>
              </w:rPr>
              <w:t>C-625</w:t>
            </w:r>
            <w:r w:rsidR="007841C4">
              <w:rPr>
                <w:rFonts w:ascii="Verdana" w:eastAsia="Calibri" w:hAnsi="Verdana" w:cs="Arial"/>
                <w:b/>
                <w:bCs/>
                <w:lang w:eastAsia="es-ES"/>
              </w:rPr>
              <w:t xml:space="preserve"> de 2026</w:t>
            </w:r>
          </w:p>
          <w:p w14:paraId="4494CA8E" w14:textId="77777777" w:rsidR="001B6C7C" w:rsidRDefault="001B6C7C">
            <w:pPr>
              <w:jc w:val="both"/>
              <w:rPr>
                <w:rFonts w:ascii="Verdana" w:eastAsia="Calibri" w:hAnsi="Verdana" w:cs="Arial"/>
                <w:b/>
                <w:bCs/>
                <w:lang w:eastAsia="es-ES"/>
              </w:rPr>
            </w:pPr>
          </w:p>
          <w:p w14:paraId="7FE82840" w14:textId="77777777" w:rsidR="00F74994" w:rsidRPr="00777292" w:rsidRDefault="00F74994">
            <w:pPr>
              <w:jc w:val="both"/>
              <w:rPr>
                <w:rFonts w:ascii="Verdana" w:eastAsia="Calibri" w:hAnsi="Verdana" w:cs="Arial"/>
                <w:b/>
                <w:bCs/>
                <w:lang w:eastAsia="es-ES"/>
              </w:rPr>
            </w:pPr>
          </w:p>
        </w:tc>
      </w:tr>
      <w:tr w:rsidR="001B6C7C" w:rsidRPr="00777292" w14:paraId="63A5AB9D" w14:textId="77777777">
        <w:trPr>
          <w:trHeight w:val="884"/>
        </w:trPr>
        <w:tc>
          <w:tcPr>
            <w:tcW w:w="2689" w:type="dxa"/>
          </w:tcPr>
          <w:p w14:paraId="77DFD30F" w14:textId="77777777" w:rsidR="001B6C7C" w:rsidRPr="00777292" w:rsidRDefault="001B6C7C" w:rsidP="001B6C7C">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17EA3A44" w14:textId="573229C4" w:rsidR="001B6C7C" w:rsidRDefault="00777292" w:rsidP="001B6C7C">
            <w:pPr>
              <w:contextualSpacing/>
              <w:jc w:val="both"/>
              <w:rPr>
                <w:rFonts w:ascii="Verdana" w:hAnsi="Verdana" w:cs="Segoe UI"/>
                <w:color w:val="2B2B2B"/>
                <w:shd w:val="clear" w:color="auto" w:fill="FFFFFF"/>
              </w:rPr>
            </w:pP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w:t>
            </w:r>
          </w:p>
          <w:p w14:paraId="54ECF23D" w14:textId="77777777" w:rsidR="007841C4" w:rsidRDefault="007841C4" w:rsidP="001B6C7C">
            <w:pPr>
              <w:contextualSpacing/>
              <w:jc w:val="both"/>
              <w:rPr>
                <w:rFonts w:ascii="Verdana" w:hAnsi="Verdana" w:cs="Segoe UI"/>
                <w:color w:val="2B2B2B"/>
                <w:shd w:val="clear" w:color="auto" w:fill="FFFFFF"/>
              </w:rPr>
            </w:pPr>
          </w:p>
          <w:p w14:paraId="34C0CDD8" w14:textId="3E867108" w:rsidR="007841C4" w:rsidRPr="00777292" w:rsidRDefault="007841C4" w:rsidP="001B6C7C">
            <w:pPr>
              <w:contextualSpacing/>
              <w:jc w:val="both"/>
              <w:rPr>
                <w:rFonts w:ascii="Verdana" w:eastAsia="Calibri" w:hAnsi="Verdana" w:cs="Arial"/>
                <w:lang w:eastAsia="es-ES"/>
              </w:rPr>
            </w:pPr>
          </w:p>
        </w:tc>
      </w:tr>
      <w:tr w:rsidR="001B6C7C" w:rsidRPr="00777292" w14:paraId="18649ABC" w14:textId="77777777">
        <w:tc>
          <w:tcPr>
            <w:tcW w:w="2689" w:type="dxa"/>
          </w:tcPr>
          <w:p w14:paraId="65B57F33" w14:textId="77777777" w:rsidR="001B6C7C" w:rsidRPr="00777292" w:rsidRDefault="001B6C7C">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EDDA735" w14:textId="6FB93ED7" w:rsidR="00460A69" w:rsidRPr="00460A69" w:rsidRDefault="001B6C7C">
            <w:pPr>
              <w:jc w:val="both"/>
              <w:rPr>
                <w:rFonts w:ascii="Verdana" w:hAnsi="Verdana" w:cs="Segoe UI"/>
                <w:color w:val="2B2B2B"/>
                <w:shd w:val="clear" w:color="auto" w:fill="FFFFFF"/>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685966" w:rsidRPr="00685966">
              <w:rPr>
                <w:rFonts w:ascii="Verdana" w:hAnsi="Verdana" w:cs="Segoe UI"/>
                <w:color w:val="2B2B2B"/>
                <w:shd w:val="clear" w:color="auto" w:fill="FFFFFF"/>
              </w:rPr>
              <w:t>1_2026_05_13_006524</w:t>
            </w:r>
            <w:r w:rsidR="00460A69">
              <w:rPr>
                <w:rFonts w:ascii="Verdana" w:hAnsi="Verdana" w:cs="Segoe UI"/>
                <w:color w:val="2B2B2B"/>
                <w:shd w:val="clear" w:color="auto" w:fill="FFFFFF"/>
              </w:rPr>
              <w:t xml:space="preserve"> </w:t>
            </w:r>
          </w:p>
        </w:tc>
      </w:tr>
    </w:tbl>
    <w:p w14:paraId="170CD5C6" w14:textId="77777777" w:rsidR="001B6C7C" w:rsidRPr="00206556" w:rsidRDefault="001B6C7C" w:rsidP="001B6C7C">
      <w:pPr>
        <w:tabs>
          <w:tab w:val="left" w:pos="1520"/>
        </w:tabs>
        <w:spacing w:after="0" w:line="276" w:lineRule="auto"/>
        <w:jc w:val="both"/>
        <w:rPr>
          <w:rFonts w:ascii="Verdana" w:eastAsia="Calibri" w:hAnsi="Verdana" w:cs="Arial"/>
          <w:color w:val="ED7D31" w:themeColor="accent2"/>
          <w:sz w:val="20"/>
          <w:szCs w:val="20"/>
          <w:lang w:val="es-ES" w:eastAsia="es-ES"/>
        </w:rPr>
      </w:pPr>
    </w:p>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23DE53A8" w:rsidR="008D5774" w:rsidRPr="00206556" w:rsidRDefault="008D5774" w:rsidP="008D5774">
      <w:pPr>
        <w:spacing w:after="0" w:line="276" w:lineRule="auto"/>
        <w:jc w:val="both"/>
        <w:rPr>
          <w:rFonts w:ascii="Verdana" w:eastAsia="Calibri" w:hAnsi="Verdana" w:cs="Arial"/>
          <w:lang w:val="es-ES" w:eastAsia="es-ES"/>
        </w:rPr>
      </w:pPr>
      <w:r w:rsidRPr="00F74994">
        <w:rPr>
          <w:rFonts w:ascii="Verdana" w:eastAsia="Calibri" w:hAnsi="Verdana" w:cs="Arial"/>
          <w:lang w:val="es-ES" w:eastAsia="es-ES"/>
        </w:rPr>
        <w:t>Estimad</w:t>
      </w:r>
      <w:r w:rsidR="00C622DE" w:rsidRPr="00F74994">
        <w:rPr>
          <w:rFonts w:ascii="Verdana" w:eastAsia="Calibri" w:hAnsi="Verdana" w:cs="Arial"/>
          <w:lang w:val="es-ES" w:eastAsia="es-ES"/>
        </w:rPr>
        <w:t>o</w:t>
      </w:r>
      <w:r w:rsidR="00777E98" w:rsidRPr="00F74994">
        <w:rPr>
          <w:rFonts w:ascii="Verdana" w:eastAsia="Calibri" w:hAnsi="Verdana" w:cs="Arial"/>
          <w:lang w:val="es-ES" w:eastAsia="es-ES"/>
        </w:rPr>
        <w:t>s</w:t>
      </w:r>
      <w:r w:rsidRPr="00F74994">
        <w:rPr>
          <w:rFonts w:ascii="Verdana" w:eastAsia="Calibri" w:hAnsi="Verdana" w:cs="Arial"/>
          <w:lang w:val="es-ES" w:eastAsia="es-ES"/>
        </w:rPr>
        <w:t xml:space="preserve"> Señor</w:t>
      </w:r>
      <w:r w:rsidR="007841C4" w:rsidRPr="00F74994">
        <w:rPr>
          <w:rFonts w:ascii="Verdana" w:eastAsia="Calibri" w:hAnsi="Verdana" w:cs="Arial"/>
          <w:lang w:val="es-ES" w:eastAsia="es-ES"/>
        </w:rPr>
        <w:t>es Alcaldía de Medellín</w:t>
      </w:r>
      <w:r w:rsidRPr="00F74994">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6B4430C9" w:rsidR="008D5774" w:rsidRPr="00206556" w:rsidRDefault="008D5774" w:rsidP="008D5774">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w:t>
      </w:r>
      <w:r w:rsidR="00995967" w:rsidRPr="00206556">
        <w:rPr>
          <w:rFonts w:ascii="Verdana" w:hAnsi="Verdana" w:cs="Arial"/>
          <w:lang w:val="es-ES"/>
        </w:rPr>
        <w:t xml:space="preserve">la Resolución 469 de 2025 </w:t>
      </w:r>
      <w:r w:rsidRPr="00206556">
        <w:rPr>
          <w:rFonts w:ascii="Verdana" w:hAnsi="Verdana" w:cs="Arial"/>
          <w:lang w:val="es-ES"/>
        </w:rPr>
        <w:t xml:space="preserve">expedida por esta Entidad, </w:t>
      </w:r>
      <w:r w:rsidRPr="00206556">
        <w:rPr>
          <w:rFonts w:ascii="Verdana" w:eastAsia="Calibri" w:hAnsi="Verdana" w:cs="Arial"/>
          <w:lang w:val="es-ES" w:eastAsia="es-ES"/>
        </w:rPr>
        <w:t xml:space="preserve">la Agencia Nacional de </w:t>
      </w:r>
      <w:r w:rsidRPr="00F74994">
        <w:rPr>
          <w:rFonts w:ascii="Verdana" w:eastAsia="Calibri" w:hAnsi="Verdana" w:cs="Arial"/>
          <w:lang w:val="es-ES" w:eastAsia="es-ES"/>
        </w:rPr>
        <w:lastRenderedPageBreak/>
        <w:t xml:space="preserve">Contratación Pública – Colombia Compra Eficiente– responde su solicitud de consulta de fecha </w:t>
      </w:r>
      <w:r w:rsidR="007841C4" w:rsidRPr="00F74994">
        <w:rPr>
          <w:rFonts w:ascii="Verdana" w:eastAsia="Calibri" w:hAnsi="Verdana" w:cs="Arial"/>
          <w:lang w:val="es-ES" w:eastAsia="es-ES"/>
        </w:rPr>
        <w:t>13</w:t>
      </w:r>
      <w:r w:rsidRPr="00F74994">
        <w:rPr>
          <w:rFonts w:ascii="Verdana" w:eastAsia="Calibri" w:hAnsi="Verdana" w:cs="Arial"/>
          <w:lang w:val="es-ES" w:eastAsia="es-ES"/>
        </w:rPr>
        <w:t xml:space="preserve"> de</w:t>
      </w:r>
      <w:r w:rsidR="007841C4" w:rsidRPr="00F74994">
        <w:rPr>
          <w:rFonts w:ascii="Verdana" w:eastAsia="Calibri" w:hAnsi="Verdana" w:cs="Arial"/>
          <w:lang w:val="es-ES" w:eastAsia="es-ES"/>
        </w:rPr>
        <w:t xml:space="preserve"> mayo</w:t>
      </w:r>
      <w:r w:rsidRPr="00F74994">
        <w:rPr>
          <w:rFonts w:ascii="Verdana" w:eastAsia="Calibri" w:hAnsi="Verdana" w:cs="Arial"/>
          <w:lang w:val="es-ES" w:eastAsia="es-ES"/>
        </w:rPr>
        <w:t xml:space="preserve"> de 202</w:t>
      </w:r>
      <w:r w:rsidR="0006693F" w:rsidRPr="00F74994">
        <w:rPr>
          <w:rFonts w:ascii="Verdana" w:eastAsia="Calibri" w:hAnsi="Verdana" w:cs="Arial"/>
          <w:lang w:val="es-ES" w:eastAsia="es-ES"/>
        </w:rPr>
        <w:t>6</w:t>
      </w:r>
      <w:r w:rsidRPr="00206556">
        <w:rPr>
          <w:rFonts w:ascii="Verdana" w:eastAsia="Calibri" w:hAnsi="Verdana" w:cs="Arial"/>
          <w:lang w:val="es-ES" w:eastAsia="es-ES"/>
        </w:rPr>
        <w:t xml:space="preserve">, en la cual manifiesta lo siguiente: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4B5E836D" w14:textId="511828D1" w:rsidR="006F596D" w:rsidRPr="006F596D" w:rsidRDefault="006F596D" w:rsidP="006F596D">
      <w:pPr>
        <w:spacing w:before="120" w:after="120" w:line="240" w:lineRule="auto"/>
        <w:ind w:left="709" w:right="709"/>
        <w:contextualSpacing/>
        <w:jc w:val="both"/>
        <w:rPr>
          <w:rFonts w:ascii="Verdana" w:eastAsia="Century Gothic" w:hAnsi="Verdana" w:cs="Century Gothic"/>
          <w:i/>
          <w:iCs/>
          <w:sz w:val="21"/>
          <w:szCs w:val="21"/>
          <w:lang w:val="es-ES"/>
        </w:rPr>
      </w:pPr>
      <w:r w:rsidRPr="006F596D">
        <w:rPr>
          <w:rFonts w:ascii="Verdana" w:eastAsia="Century Gothic" w:hAnsi="Verdana" w:cs="Century Gothic"/>
          <w:i/>
          <w:iCs/>
          <w:sz w:val="21"/>
          <w:szCs w:val="21"/>
          <w:lang w:val="es-ES"/>
        </w:rPr>
        <w:t xml:space="preserve">1. </w:t>
      </w:r>
      <w:proofErr w:type="gramStart"/>
      <w:r w:rsidRPr="006F596D">
        <w:rPr>
          <w:rFonts w:ascii="Verdana" w:eastAsia="Century Gothic" w:hAnsi="Verdana" w:cs="Century Gothic"/>
          <w:i/>
          <w:iCs/>
          <w:sz w:val="21"/>
          <w:szCs w:val="21"/>
          <w:lang w:val="es-ES"/>
        </w:rPr>
        <w:t>¿La incorporación de criterios habilitantes diferenciales respecto del valor de la</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garantía de seriedad de la oferta, prevista en el artículo 2.</w:t>
      </w:r>
      <w:proofErr w:type="gramEnd"/>
      <w:r w:rsidRPr="006F596D">
        <w:rPr>
          <w:rFonts w:ascii="Verdana" w:eastAsia="Century Gothic" w:hAnsi="Verdana" w:cs="Century Gothic"/>
          <w:i/>
          <w:iCs/>
          <w:sz w:val="21"/>
          <w:szCs w:val="21"/>
          <w:lang w:val="es-ES"/>
        </w:rPr>
        <w:t>2.1.2.4.2.7.3 del Decreto</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1082 de 2015, modificado por el Decreto 287 de 2026, faculta jurídicamente a las</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entidades estatales para disminuir el porcentaje mínimo del diez por ciento (10%)</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establecido en el artículo 2.2.1.2.3.1.9 ibidem?</w:t>
      </w:r>
    </w:p>
    <w:p w14:paraId="2868A91E" w14:textId="0219E402" w:rsidR="006F596D" w:rsidRPr="006F596D" w:rsidRDefault="006F596D" w:rsidP="006F596D">
      <w:pPr>
        <w:spacing w:before="120" w:after="120" w:line="240" w:lineRule="auto"/>
        <w:ind w:left="709" w:right="709"/>
        <w:contextualSpacing/>
        <w:jc w:val="both"/>
        <w:rPr>
          <w:rFonts w:ascii="Verdana" w:eastAsia="Century Gothic" w:hAnsi="Verdana" w:cs="Century Gothic"/>
          <w:i/>
          <w:iCs/>
          <w:sz w:val="21"/>
          <w:szCs w:val="21"/>
          <w:lang w:val="es-ES"/>
        </w:rPr>
      </w:pPr>
      <w:r w:rsidRPr="006F596D">
        <w:rPr>
          <w:rFonts w:ascii="Verdana" w:eastAsia="Century Gothic" w:hAnsi="Verdana" w:cs="Century Gothic"/>
          <w:i/>
          <w:iCs/>
          <w:sz w:val="21"/>
          <w:szCs w:val="21"/>
          <w:lang w:val="es-ES"/>
        </w:rPr>
        <w:t>2. En caso afirmativo, ¿cuál sería el alcance de dicha facultad y cuáles serían los límites</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jurídicos que deberían observar las entidades estatales para implementar este tipo de</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criterios diferenciales?</w:t>
      </w:r>
    </w:p>
    <w:p w14:paraId="06CB03AC" w14:textId="021FF346" w:rsidR="006F596D" w:rsidRPr="006F596D" w:rsidRDefault="006F596D" w:rsidP="006F596D">
      <w:pPr>
        <w:spacing w:before="120" w:after="120" w:line="240" w:lineRule="auto"/>
        <w:ind w:left="709" w:right="709"/>
        <w:contextualSpacing/>
        <w:jc w:val="both"/>
        <w:rPr>
          <w:rFonts w:ascii="Verdana" w:eastAsia="Century Gothic" w:hAnsi="Verdana" w:cs="Century Gothic"/>
          <w:i/>
          <w:iCs/>
          <w:sz w:val="21"/>
          <w:szCs w:val="21"/>
          <w:lang w:val="es-ES"/>
        </w:rPr>
      </w:pPr>
      <w:r w:rsidRPr="006F596D">
        <w:rPr>
          <w:rFonts w:ascii="Verdana" w:eastAsia="Century Gothic" w:hAnsi="Verdana" w:cs="Century Gothic"/>
          <w:i/>
          <w:iCs/>
          <w:sz w:val="21"/>
          <w:szCs w:val="21"/>
          <w:lang w:val="es-ES"/>
        </w:rPr>
        <w:t>3. ¿La reducción porcentual de la garantía de seriedad de la oferta requiere desarrollo</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reglamentario adicional o lineamientos específicos por parte de Colombia Compra</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Eficiente para su aplicación?</w:t>
      </w:r>
    </w:p>
    <w:p w14:paraId="5B32B4BC" w14:textId="61FB0932" w:rsidR="006F596D" w:rsidRPr="00777292" w:rsidRDefault="006F596D" w:rsidP="006F596D">
      <w:pPr>
        <w:spacing w:before="120" w:after="120" w:line="240" w:lineRule="auto"/>
        <w:ind w:left="709" w:right="709"/>
        <w:contextualSpacing/>
        <w:jc w:val="both"/>
        <w:rPr>
          <w:rFonts w:ascii="Verdana" w:eastAsia="Century Gothic" w:hAnsi="Verdana" w:cs="Century Gothic"/>
          <w:i/>
          <w:iCs/>
          <w:sz w:val="21"/>
          <w:szCs w:val="21"/>
        </w:rPr>
      </w:pPr>
      <w:r w:rsidRPr="006F596D">
        <w:rPr>
          <w:rFonts w:ascii="Verdana" w:eastAsia="Century Gothic" w:hAnsi="Verdana" w:cs="Century Gothic"/>
          <w:i/>
          <w:iCs/>
          <w:sz w:val="21"/>
          <w:szCs w:val="21"/>
          <w:lang w:val="es-ES"/>
        </w:rPr>
        <w:t>4. ¿La implementación de un porcentaje diferencial inferior al diez por ciento (10%)</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podría generar riesgos jurídicos frente a la estructuración</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de los procesos</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contractuales o frente a la validez de los requisitos incorporados en los pliegos de</w:t>
      </w:r>
      <w:r>
        <w:rPr>
          <w:rFonts w:ascii="Verdana" w:eastAsia="Century Gothic" w:hAnsi="Verdana" w:cs="Century Gothic"/>
          <w:i/>
          <w:iCs/>
          <w:sz w:val="21"/>
          <w:szCs w:val="21"/>
          <w:lang w:val="es-ES"/>
        </w:rPr>
        <w:t xml:space="preserve"> </w:t>
      </w:r>
      <w:r w:rsidRPr="006F596D">
        <w:rPr>
          <w:rFonts w:ascii="Verdana" w:eastAsia="Century Gothic" w:hAnsi="Verdana" w:cs="Century Gothic"/>
          <w:i/>
          <w:iCs/>
          <w:sz w:val="21"/>
          <w:szCs w:val="21"/>
          <w:lang w:val="es-ES"/>
        </w:rPr>
        <w:t>condiciones</w:t>
      </w:r>
      <w:r>
        <w:rPr>
          <w:rFonts w:ascii="Verdana" w:eastAsia="Century Gothic" w:hAnsi="Verdana" w:cs="Century Gothic"/>
          <w:i/>
          <w:iCs/>
          <w:sz w:val="21"/>
          <w:szCs w:val="21"/>
          <w:lang w:val="es-ES"/>
        </w:rPr>
        <w:t>?</w:t>
      </w:r>
    </w:p>
    <w:p w14:paraId="1C2C1615" w14:textId="4BD45DCA" w:rsidR="00887E82" w:rsidRPr="00777292" w:rsidRDefault="00887E82" w:rsidP="00887E82">
      <w:pPr>
        <w:spacing w:before="120" w:after="120" w:line="240" w:lineRule="auto"/>
        <w:ind w:left="709" w:right="709"/>
        <w:contextualSpacing/>
        <w:jc w:val="both"/>
        <w:rPr>
          <w:rFonts w:ascii="Verdana" w:eastAsia="Century Gothic" w:hAnsi="Verdana" w:cs="Century Gothic"/>
          <w:i/>
          <w:iCs/>
          <w:sz w:val="21"/>
          <w:szCs w:val="21"/>
        </w:rPr>
      </w:pPr>
    </w:p>
    <w:p w14:paraId="448C66CB" w14:textId="77777777" w:rsidR="006C4B2C" w:rsidRPr="00206556" w:rsidRDefault="006C4B2C" w:rsidP="00DF32B2">
      <w:pPr>
        <w:spacing w:before="120" w:after="120" w:line="240" w:lineRule="auto"/>
        <w:ind w:left="709" w:right="709"/>
        <w:contextualSpacing/>
        <w:jc w:val="both"/>
        <w:rPr>
          <w:rFonts w:ascii="Verdana" w:eastAsia="Century Gothic" w:hAnsi="Verdana" w:cs="Century Gothic"/>
          <w:i/>
          <w:iCs/>
          <w:sz w:val="20"/>
          <w:szCs w:val="20"/>
          <w:lang w:val="es-ES"/>
        </w:rPr>
      </w:pPr>
    </w:p>
    <w:p w14:paraId="07A0E538" w14:textId="6BA45CFF" w:rsidR="008D5774" w:rsidRPr="00206556" w:rsidRDefault="008D5774" w:rsidP="008D5774">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sidR="008A5E24">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sidR="008A5E24">
        <w:rPr>
          <w:rFonts w:ascii="Verdana" w:hAnsi="Verdana"/>
        </w:rPr>
        <w:t>Estatuto General de Contratación Pública</w:t>
      </w:r>
      <w:r w:rsidR="008A5E24" w:rsidRPr="00206556">
        <w:rPr>
          <w:rFonts w:ascii="Verdana" w:eastAsia="Calibri" w:hAnsi="Verdana" w:cs="Arial"/>
          <w:lang w:val="es-ES" w:eastAsia="es-ES"/>
        </w:rPr>
        <w:t xml:space="preserve"> </w:t>
      </w:r>
      <w:r w:rsidRPr="00206556">
        <w:rPr>
          <w:rFonts w:ascii="Verdana" w:eastAsia="Calibri" w:hAnsi="Verdana" w:cs="Arial"/>
          <w:lang w:val="es-ES" w:eastAsia="es-ES"/>
        </w:rPr>
        <w:t xml:space="preserve">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28652EF" w14:textId="1A011B45"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206556">
        <w:rPr>
          <w:rFonts w:ascii="Verdana" w:eastAsia="Calibri" w:hAnsi="Verdana" w:cs="Arial"/>
          <w:lang w:val="es-ES" w:eastAsia="es-ES"/>
        </w:rPr>
        <w:lastRenderedPageBreak/>
        <w:t xml:space="preserve">sobre las normas generales relacionadas con </w:t>
      </w:r>
      <w:r w:rsidR="00777E98">
        <w:rPr>
          <w:rFonts w:ascii="Verdana" w:eastAsia="Calibri" w:hAnsi="Verdana" w:cs="Arial"/>
          <w:lang w:val="es-ES" w:eastAsia="es-ES"/>
        </w:rPr>
        <w:t>los</w:t>
      </w:r>
      <w:r w:rsidRPr="00206556">
        <w:rPr>
          <w:rFonts w:ascii="Verdana" w:eastAsia="Calibri" w:hAnsi="Verdana" w:cs="Arial"/>
          <w:lang w:val="es-ES" w:eastAsia="es-ES"/>
        </w:rPr>
        <w:t xml:space="preserve"> problema</w:t>
      </w:r>
      <w:r w:rsidR="00777E98">
        <w:rPr>
          <w:rFonts w:ascii="Verdana" w:eastAsia="Calibri" w:hAnsi="Verdana" w:cs="Arial"/>
          <w:lang w:val="es-ES" w:eastAsia="es-ES"/>
        </w:rPr>
        <w:t>s</w:t>
      </w:r>
      <w:r w:rsidRPr="00206556">
        <w:rPr>
          <w:rFonts w:ascii="Verdana" w:eastAsia="Calibri" w:hAnsi="Verdana" w:cs="Arial"/>
          <w:lang w:val="es-ES" w:eastAsia="es-ES"/>
        </w:rPr>
        <w:t xml:space="preserve"> jurídico</w:t>
      </w:r>
      <w:r w:rsidR="00777E98">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536E5B93"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sidR="00777E98">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sidR="00777E98">
        <w:rPr>
          <w:rFonts w:ascii="Verdana" w:eastAsia="Century Gothic" w:hAnsi="Verdana" w:cs="Century Gothic"/>
          <w:b/>
          <w:lang w:val="es-ES"/>
        </w:rPr>
        <w:t>s</w:t>
      </w:r>
      <w:r w:rsidRPr="00206556">
        <w:rPr>
          <w:rFonts w:ascii="Verdana" w:eastAsia="Century Gothic" w:hAnsi="Verdana" w:cs="Century Gothic"/>
          <w:b/>
          <w:lang w:val="es-ES"/>
        </w:rPr>
        <w:t>:</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67750B4C" w:rsidR="008D5774" w:rsidRDefault="008D5774" w:rsidP="008D5774">
      <w:pPr>
        <w:spacing w:after="0" w:line="276" w:lineRule="auto"/>
        <w:jc w:val="both"/>
        <w:rPr>
          <w:rFonts w:ascii="Verdana" w:eastAsia="Century Gothic" w:hAnsi="Verdana" w:cs="Century Gothic"/>
        </w:rPr>
      </w:pPr>
      <w:r w:rsidRPr="00206556">
        <w:rPr>
          <w:rFonts w:ascii="Verdana" w:eastAsia="Century Gothic" w:hAnsi="Verdana" w:cs="Century Gothic"/>
          <w:lang w:val="es-ES"/>
        </w:rPr>
        <w:t>De acuerdo con el contenido de su solicitud, esta Agencia resolverá</w:t>
      </w:r>
      <w:r w:rsidR="006F596D">
        <w:rPr>
          <w:rFonts w:ascii="Verdana" w:eastAsia="Century Gothic" w:hAnsi="Verdana" w:cs="Century Gothic"/>
          <w:lang w:val="es-ES"/>
        </w:rPr>
        <w:t xml:space="preserve"> los </w:t>
      </w:r>
      <w:r w:rsidRPr="00206556">
        <w:rPr>
          <w:rFonts w:ascii="Verdana" w:eastAsia="Century Gothic" w:hAnsi="Verdana" w:cs="Century Gothic"/>
          <w:lang w:val="es-ES"/>
        </w:rPr>
        <w:t>siguiente</w:t>
      </w:r>
      <w:r w:rsidR="006F596D">
        <w:rPr>
          <w:rFonts w:ascii="Verdana" w:eastAsia="Century Gothic" w:hAnsi="Verdana" w:cs="Century Gothic"/>
          <w:lang w:val="es-ES"/>
        </w:rPr>
        <w:t>s</w:t>
      </w:r>
      <w:r w:rsidRPr="00206556">
        <w:rPr>
          <w:rFonts w:ascii="Verdana" w:eastAsia="Century Gothic" w:hAnsi="Verdana" w:cs="Century Gothic"/>
          <w:lang w:val="es-ES"/>
        </w:rPr>
        <w:t xml:space="preserve"> problema</w:t>
      </w:r>
      <w:r w:rsidR="006F596D">
        <w:rPr>
          <w:rFonts w:ascii="Verdana" w:eastAsia="Century Gothic" w:hAnsi="Verdana" w:cs="Century Gothic"/>
          <w:lang w:val="es-ES"/>
        </w:rPr>
        <w:t>s</w:t>
      </w:r>
      <w:r w:rsidRPr="00206556">
        <w:rPr>
          <w:rFonts w:ascii="Verdana" w:eastAsia="Century Gothic" w:hAnsi="Verdana" w:cs="Century Gothic"/>
          <w:lang w:val="es-ES"/>
        </w:rPr>
        <w:t xml:space="preserve"> jurídico</w:t>
      </w:r>
      <w:r w:rsidR="006F596D">
        <w:rPr>
          <w:rFonts w:ascii="Verdana" w:eastAsia="Century Gothic" w:hAnsi="Verdana" w:cs="Century Gothic"/>
          <w:lang w:val="es-ES"/>
        </w:rPr>
        <w:t>s</w:t>
      </w:r>
      <w:r w:rsidRPr="00206556">
        <w:rPr>
          <w:rFonts w:ascii="Verdana" w:eastAsia="Century Gothic" w:hAnsi="Verdana" w:cs="Century Gothic"/>
          <w:lang w:val="es-ES"/>
        </w:rPr>
        <w:t xml:space="preserve">: </w:t>
      </w:r>
      <w:r w:rsidR="006F596D">
        <w:rPr>
          <w:rFonts w:ascii="Verdana" w:eastAsia="Century Gothic" w:hAnsi="Verdana" w:cs="Century Gothic"/>
        </w:rPr>
        <w:t xml:space="preserve">i. </w:t>
      </w:r>
      <w:proofErr w:type="gramStart"/>
      <w:r w:rsidR="006F596D" w:rsidRPr="006F596D">
        <w:rPr>
          <w:rFonts w:ascii="Verdana" w:eastAsia="Century Gothic" w:hAnsi="Verdana" w:cs="Century Gothic"/>
        </w:rPr>
        <w:t>¿El artículo 2.</w:t>
      </w:r>
      <w:proofErr w:type="gramEnd"/>
      <w:r w:rsidR="006F596D" w:rsidRPr="006F596D">
        <w:rPr>
          <w:rFonts w:ascii="Verdana" w:eastAsia="Century Gothic" w:hAnsi="Verdana" w:cs="Century Gothic"/>
        </w:rPr>
        <w:t>2.1.2.4.2.7.3 del Decreto 1082 de 2015, adicionado por el Decreto 287 de 2026, faculta a las entidades estatales para disminuir el porcentaje mínimo del diez por ciento (10%) de la garantía de seriedad de la oferta establecido en el artículo 2.2.1.2.3.1.9 del mismo decreto?</w:t>
      </w:r>
      <w:r w:rsidR="006F596D">
        <w:rPr>
          <w:rFonts w:ascii="Verdana" w:eastAsia="Century Gothic" w:hAnsi="Verdana" w:cs="Century Gothic"/>
        </w:rPr>
        <w:t xml:space="preserve">, </w:t>
      </w:r>
      <w:proofErr w:type="spellStart"/>
      <w:r w:rsidR="006F596D">
        <w:rPr>
          <w:rFonts w:ascii="Verdana" w:eastAsia="Century Gothic" w:hAnsi="Verdana" w:cs="Century Gothic"/>
        </w:rPr>
        <w:t>ii</w:t>
      </w:r>
      <w:proofErr w:type="spellEnd"/>
      <w:r w:rsidR="006F596D">
        <w:rPr>
          <w:rFonts w:ascii="Verdana" w:eastAsia="Century Gothic" w:hAnsi="Verdana" w:cs="Century Gothic"/>
        </w:rPr>
        <w:t xml:space="preserve">. </w:t>
      </w:r>
      <w:r w:rsidR="006F596D" w:rsidRPr="006F596D">
        <w:rPr>
          <w:rFonts w:ascii="Verdana" w:eastAsia="Century Gothic" w:hAnsi="Verdana" w:cs="Century Gothic"/>
        </w:rPr>
        <w:t>¿Se requiere desarrollo reglamentario adicional o lineamientos de Colombia Compra Eficiente para la aplicación de los criterios habilitantes diferenciales del Decreto 287 de 2026?</w:t>
      </w:r>
      <w:r w:rsidR="006F596D">
        <w:rPr>
          <w:rFonts w:ascii="Verdana" w:eastAsia="Century Gothic" w:hAnsi="Verdana" w:cs="Century Gothic"/>
        </w:rPr>
        <w:t xml:space="preserve">, </w:t>
      </w:r>
      <w:proofErr w:type="spellStart"/>
      <w:r w:rsidR="006F596D">
        <w:rPr>
          <w:rFonts w:ascii="Verdana" w:eastAsia="Century Gothic" w:hAnsi="Verdana" w:cs="Century Gothic"/>
        </w:rPr>
        <w:t>iii</w:t>
      </w:r>
      <w:proofErr w:type="spellEnd"/>
      <w:r w:rsidR="006F596D">
        <w:rPr>
          <w:rFonts w:ascii="Verdana" w:eastAsia="Century Gothic" w:hAnsi="Verdana" w:cs="Century Gothic"/>
        </w:rPr>
        <w:t xml:space="preserve">. </w:t>
      </w:r>
      <w:r w:rsidR="006F596D" w:rsidRPr="006F596D">
        <w:rPr>
          <w:rFonts w:ascii="Verdana" w:eastAsia="Century Gothic" w:hAnsi="Verdana" w:cs="Century Gothic"/>
        </w:rPr>
        <w:t>¿La implementación de un porcentaje diferencial inferior al diez por ciento (10%) podría generar riesgos jurídicos frente a la estructuración de los procesos contractuales o la validez de los requisitos del pliego?</w:t>
      </w:r>
    </w:p>
    <w:p w14:paraId="0FD0DFCB" w14:textId="77777777" w:rsidR="008D5774" w:rsidRPr="00206556" w:rsidRDefault="008D5774" w:rsidP="008D5774">
      <w:pPr>
        <w:spacing w:after="0" w:line="276" w:lineRule="auto"/>
        <w:jc w:val="both"/>
        <w:rPr>
          <w:rFonts w:ascii="Verdana" w:eastAsia="Century Gothic" w:hAnsi="Verdana" w:cs="Century Gothic"/>
          <w:color w:val="ED7D31" w:themeColor="accent2"/>
        </w:rPr>
      </w:pPr>
    </w:p>
    <w:p w14:paraId="5B26199B" w14:textId="4BBC0200"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sidR="00777E98">
        <w:rPr>
          <w:rFonts w:ascii="Verdana" w:eastAsia="Century Gothic" w:hAnsi="Verdana" w:cs="Century Gothic"/>
          <w:b/>
          <w:lang w:val="es-ES"/>
        </w:rPr>
        <w:t>s</w:t>
      </w:r>
      <w:r w:rsidRPr="00206556">
        <w:rPr>
          <w:rFonts w:ascii="Verdana" w:eastAsia="Century Gothic" w:hAnsi="Verdana" w:cs="Century Gothic"/>
          <w:b/>
          <w:lang w:val="es-ES"/>
        </w:rPr>
        <w:t>:</w:t>
      </w:r>
    </w:p>
    <w:p w14:paraId="59BA1073" w14:textId="77777777" w:rsidR="00E54F30" w:rsidRPr="00206556" w:rsidRDefault="00E54F30" w:rsidP="00E54F30">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4F30" w:rsidRPr="00206556" w14:paraId="35A9DBAE" w14:textId="77777777">
        <w:tc>
          <w:tcPr>
            <w:tcW w:w="8828" w:type="dxa"/>
          </w:tcPr>
          <w:p w14:paraId="5216047C" w14:textId="377FE994" w:rsidR="00E54F30" w:rsidRPr="00073658" w:rsidRDefault="008121AA">
            <w:pPr>
              <w:spacing w:before="120" w:after="120" w:line="276" w:lineRule="auto"/>
              <w:jc w:val="both"/>
              <w:rPr>
                <w:rFonts w:ascii="Verdana" w:eastAsia="Calibri" w:hAnsi="Verdana" w:cs="Arial"/>
              </w:rPr>
            </w:pPr>
            <w:r>
              <w:rPr>
                <w:rFonts w:ascii="Verdana" w:eastAsia="Calibri" w:hAnsi="Verdana" w:cs="Arial"/>
              </w:rPr>
              <w:t>Antes de responder concretamente</w:t>
            </w:r>
            <w:r w:rsidR="00E54F30">
              <w:rPr>
                <w:rFonts w:ascii="Verdana" w:eastAsia="Calibri" w:hAnsi="Verdana" w:cs="Arial"/>
              </w:rPr>
              <w:t xml:space="preserve"> a</w:t>
            </w:r>
            <w:r w:rsidR="00373F51">
              <w:rPr>
                <w:rFonts w:ascii="Verdana" w:eastAsia="Calibri" w:hAnsi="Verdana" w:cs="Arial"/>
              </w:rPr>
              <w:t xml:space="preserve"> los </w:t>
            </w:r>
            <w:r w:rsidR="00E54F30">
              <w:rPr>
                <w:rFonts w:ascii="Verdana" w:eastAsia="Calibri" w:hAnsi="Verdana" w:cs="Arial"/>
              </w:rPr>
              <w:t>problema</w:t>
            </w:r>
            <w:r w:rsidR="00373F51">
              <w:rPr>
                <w:rFonts w:ascii="Verdana" w:eastAsia="Calibri" w:hAnsi="Verdana" w:cs="Arial"/>
              </w:rPr>
              <w:t>s</w:t>
            </w:r>
            <w:r w:rsidR="00E54F30">
              <w:rPr>
                <w:rFonts w:ascii="Verdana" w:eastAsia="Calibri" w:hAnsi="Verdana" w:cs="Arial"/>
              </w:rPr>
              <w:t xml:space="preserve"> jurídico</w:t>
            </w:r>
            <w:r w:rsidR="00373F51">
              <w:rPr>
                <w:rFonts w:ascii="Verdana" w:eastAsia="Calibri" w:hAnsi="Verdana" w:cs="Arial"/>
              </w:rPr>
              <w:t>s</w:t>
            </w:r>
            <w:r w:rsidR="00E54F30">
              <w:rPr>
                <w:rFonts w:ascii="Verdana" w:eastAsia="Calibri" w:hAnsi="Verdana" w:cs="Arial"/>
              </w:rPr>
              <w:t xml:space="preserve"> planteado</w:t>
            </w:r>
            <w:r w:rsidR="00373F51">
              <w:rPr>
                <w:rFonts w:ascii="Verdana" w:eastAsia="Calibri" w:hAnsi="Verdana" w:cs="Arial"/>
              </w:rPr>
              <w:t>s, en primer lugar, es necesario dar un contexto</w:t>
            </w:r>
            <w:r w:rsidR="00E54F30">
              <w:rPr>
                <w:rFonts w:ascii="Verdana" w:eastAsia="Calibri" w:hAnsi="Verdana" w:cs="Arial"/>
              </w:rPr>
              <w:t xml:space="preserve"> respecto al alcance de</w:t>
            </w:r>
            <w:r w:rsidR="00E54F30" w:rsidRPr="00E54F30">
              <w:rPr>
                <w:rFonts w:ascii="Verdana" w:eastAsia="Calibri" w:hAnsi="Verdana" w:cs="Arial"/>
              </w:rPr>
              <w:t>l Decreto 0287 de 2026</w:t>
            </w:r>
            <w:r w:rsidR="00373F51">
              <w:rPr>
                <w:rFonts w:ascii="Verdana" w:eastAsia="Calibri" w:hAnsi="Verdana" w:cs="Arial"/>
              </w:rPr>
              <w:t xml:space="preserve">, por lo cual, es </w:t>
            </w:r>
            <w:r w:rsidR="00E54F30">
              <w:rPr>
                <w:rFonts w:ascii="Verdana" w:eastAsia="Calibri" w:hAnsi="Verdana" w:cs="Arial"/>
              </w:rPr>
              <w:t>necesario indicar que este</w:t>
            </w:r>
            <w:r w:rsidR="00E54F30" w:rsidRPr="00E54F30">
              <w:rPr>
                <w:rFonts w:ascii="Verdana" w:eastAsia="Calibri" w:hAnsi="Verdana" w:cs="Arial"/>
              </w:rPr>
              <w:t xml:space="preserve"> reglamenta </w:t>
            </w:r>
            <w:r w:rsidR="00251EEA">
              <w:rPr>
                <w:rFonts w:ascii="Verdana" w:eastAsia="Calibri" w:hAnsi="Verdana" w:cs="Arial"/>
              </w:rPr>
              <w:t>los numerales 1, 7 y 8</w:t>
            </w:r>
            <w:r w:rsidR="00E54F30" w:rsidRPr="00E54F30">
              <w:rPr>
                <w:rFonts w:ascii="Verdana" w:eastAsia="Calibri" w:hAnsi="Verdana" w:cs="Arial"/>
              </w:rPr>
              <w:t xml:space="preserve"> </w:t>
            </w:r>
            <w:r w:rsidR="00251EEA">
              <w:rPr>
                <w:rFonts w:ascii="Verdana" w:eastAsia="Calibri" w:hAnsi="Verdana" w:cs="Arial"/>
              </w:rPr>
              <w:t>d</w:t>
            </w:r>
            <w:r w:rsidR="00E54F30"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sidR="005E2AFD">
              <w:rPr>
                <w:rFonts w:ascii="Verdana" w:eastAsia="Calibri" w:hAnsi="Verdana" w:cs="Arial"/>
              </w:rPr>
              <w:t>N</w:t>
            </w:r>
            <w:r w:rsidR="00E54F30" w:rsidRPr="00E54F30">
              <w:rPr>
                <w:rFonts w:ascii="Verdana" w:eastAsia="Calibri" w:hAnsi="Verdana" w:cs="Arial"/>
              </w:rPr>
              <w:t>.°</w:t>
            </w:r>
            <w:proofErr w:type="spellEnd"/>
            <w:r w:rsidR="0074357A">
              <w:rPr>
                <w:rFonts w:ascii="Verdana" w:eastAsia="Calibri" w:hAnsi="Verdana" w:cs="Arial"/>
              </w:rPr>
              <w:t xml:space="preserve"> </w:t>
            </w:r>
            <w:r w:rsidR="00E54F30" w:rsidRPr="00E54F30">
              <w:rPr>
                <w:rFonts w:ascii="Verdana" w:eastAsia="Calibri" w:hAnsi="Verdana" w:cs="Arial"/>
              </w:rPr>
              <w:t>05001-23-33-000-2024-00847-01, con ponencia del magistrado Omar Joaquín Barreto Suárez</w:t>
            </w:r>
            <w:r w:rsidR="00E54F30" w:rsidRPr="00206556">
              <w:rPr>
                <w:rFonts w:ascii="Verdana" w:eastAsia="Calibri" w:hAnsi="Verdana" w:cs="Arial"/>
              </w:rPr>
              <w:t>,</w:t>
            </w:r>
            <w:r w:rsidR="00E54F30"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00E54F30" w:rsidRPr="00073658">
              <w:rPr>
                <w:rFonts w:ascii="Verdana" w:eastAsia="Calibri" w:hAnsi="Verdana" w:cs="Arial"/>
              </w:rPr>
              <w:t>PcD</w:t>
            </w:r>
            <w:proofErr w:type="spellEnd"/>
            <w:r w:rsidR="00E54F30" w:rsidRPr="00073658">
              <w:rPr>
                <w:rFonts w:ascii="Verdana" w:eastAsia="Calibri" w:hAnsi="Verdana" w:cs="Arial"/>
              </w:rPr>
              <w:t xml:space="preserve">) en contratos de prestación de servicios. A estas medidas se suma, de </w:t>
            </w:r>
            <w:r w:rsidR="00E54F30" w:rsidRPr="00073658">
              <w:rPr>
                <w:rFonts w:ascii="Verdana" w:eastAsia="Calibri" w:hAnsi="Verdana" w:cs="Arial"/>
              </w:rPr>
              <w:lastRenderedPageBreak/>
              <w:t>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sidR="00AA0274">
              <w:rPr>
                <w:rFonts w:ascii="Verdana" w:eastAsia="Calibri" w:hAnsi="Verdana" w:cs="Arial"/>
              </w:rPr>
              <w:t>, irradiando la fase de planeación ya que es allí donde la compra debe plantearse con criterios de accesibilidad</w:t>
            </w:r>
            <w:r w:rsidR="00E54F30" w:rsidRPr="00073658">
              <w:rPr>
                <w:rFonts w:ascii="Verdana" w:eastAsia="Calibri" w:hAnsi="Verdana" w:cs="Arial"/>
              </w:rPr>
              <w:t>.</w:t>
            </w:r>
          </w:p>
          <w:p w14:paraId="1E1F92CB" w14:textId="2F32104F" w:rsidR="007009C8" w:rsidRDefault="00E54F30" w:rsidP="006F596D">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00D37660">
              <w:rPr>
                <w:rFonts w:ascii="Verdana" w:eastAsia="Calibri" w:hAnsi="Verdana" w:cs="Arial"/>
              </w:rPr>
              <w:t xml:space="preserve"> </w:t>
            </w:r>
          </w:p>
          <w:p w14:paraId="24393DBC" w14:textId="7C6D8C2A" w:rsidR="00E54F30" w:rsidRPr="0077201E" w:rsidRDefault="00E54F30" w:rsidP="00BE1819">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selección abreviada y concurso de méritos, tanto bajo el régimen</w:t>
            </w:r>
            <w:r w:rsidR="008A5E24">
              <w:rPr>
                <w:rFonts w:ascii="Verdana" w:eastAsia="Calibri" w:hAnsi="Verdana" w:cs="Arial"/>
              </w:rPr>
              <w:t xml:space="preserve"> del</w:t>
            </w:r>
            <w:r w:rsidRPr="0077201E">
              <w:rPr>
                <w:rFonts w:ascii="Verdana" w:eastAsia="Calibri" w:hAnsi="Verdana" w:cs="Arial"/>
              </w:rPr>
              <w:t xml:space="preserve"> </w:t>
            </w:r>
            <w:r w:rsidR="008A5E24">
              <w:rPr>
                <w:rFonts w:ascii="Verdana" w:hAnsi="Verdana"/>
              </w:rPr>
              <w:t>Estatuto General de Contratación Pública</w:t>
            </w:r>
            <w:r w:rsidR="008A5E24" w:rsidRPr="0077201E">
              <w:rPr>
                <w:rFonts w:ascii="Verdana" w:eastAsia="Calibri" w:hAnsi="Verdana" w:cs="Arial"/>
              </w:rPr>
              <w:t xml:space="preserve"> </w:t>
            </w:r>
            <w:r w:rsidRPr="0077201E">
              <w:rPr>
                <w:rFonts w:ascii="Verdana" w:eastAsia="Calibri" w:hAnsi="Verdana" w:cs="Arial"/>
              </w:rPr>
              <w:t>como en los procesos competitivos de entidades con régimen especial. Esta obligación consiste en establecer requisitos habilitantes ajustados o reducidos</w:t>
            </w:r>
            <w:r w:rsidR="003D45B0">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debe </w:t>
            </w:r>
            <w:r w:rsidRPr="00206556">
              <w:rPr>
                <w:rFonts w:ascii="Verdana" w:eastAsia="Calibri" w:hAnsi="Verdana" w:cs="Arial"/>
              </w:rPr>
              <w:t xml:space="preserve">flexibilizar </w:t>
            </w:r>
            <w:r w:rsidR="00777E98">
              <w:rPr>
                <w:rFonts w:ascii="Verdana" w:eastAsia="Calibri" w:hAnsi="Verdana" w:cs="Arial"/>
              </w:rPr>
              <w:t>alguno de</w:t>
            </w:r>
            <w:r w:rsidRPr="0077201E">
              <w:rPr>
                <w:rFonts w:ascii="Verdana" w:eastAsia="Calibri" w:hAnsi="Verdana" w:cs="Arial"/>
              </w:rPr>
              <w:t xml:space="preserve"> estos requisitos, de acuerdo con lo que resulte justificado en sus estudios y documentos previos para el proceso específico de </w:t>
            </w:r>
            <w:r w:rsidRPr="0077201E">
              <w:rPr>
                <w:rFonts w:ascii="Verdana" w:eastAsia="Calibri" w:hAnsi="Verdana" w:cs="Arial"/>
              </w:rPr>
              <w:lastRenderedPageBreak/>
              <w:t xml:space="preserve">que se trate, garantizando en todo caso que </w:t>
            </w:r>
            <w:r w:rsidR="00A9418C">
              <w:rPr>
                <w:rFonts w:ascii="Verdana" w:eastAsia="Calibri" w:hAnsi="Verdana" w:cs="Arial"/>
              </w:rPr>
              <w:t xml:space="preserve">el </w:t>
            </w:r>
            <w:r w:rsidRPr="0077201E">
              <w:rPr>
                <w:rFonts w:ascii="Verdana" w:eastAsia="Calibri" w:hAnsi="Verdana" w:cs="Arial"/>
              </w:rPr>
              <w:t>requisito ajustado sea suficiente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5D665D18" w14:textId="77777777" w:rsidR="00630A93" w:rsidRDefault="00E54F30" w:rsidP="00373F51">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r w:rsidR="00373F51">
              <w:rPr>
                <w:rFonts w:ascii="Verdana" w:eastAsia="Calibri" w:hAnsi="Verdana" w:cs="Arial"/>
              </w:rPr>
              <w:t xml:space="preserve">. </w:t>
            </w:r>
          </w:p>
          <w:p w14:paraId="6EC0C950" w14:textId="172CDF6B" w:rsidR="004E033F" w:rsidRDefault="00373F51" w:rsidP="008121AA">
            <w:pPr>
              <w:spacing w:before="120" w:after="120" w:line="276" w:lineRule="auto"/>
              <w:ind w:firstLine="709"/>
              <w:jc w:val="both"/>
              <w:rPr>
                <w:rFonts w:ascii="Verdana" w:eastAsia="Calibri" w:hAnsi="Verdana" w:cs="Arial"/>
              </w:rPr>
            </w:pPr>
            <w:r>
              <w:rPr>
                <w:rFonts w:ascii="Verdana" w:eastAsia="Calibri" w:hAnsi="Verdana" w:cs="Arial"/>
              </w:rPr>
              <w:t xml:space="preserve">Ahora bien, concretamente </w:t>
            </w:r>
            <w:r w:rsidR="004E033F">
              <w:rPr>
                <w:rFonts w:ascii="Verdana" w:eastAsia="Calibri" w:hAnsi="Verdana" w:cs="Arial"/>
              </w:rPr>
              <w:t xml:space="preserve">como respuesta </w:t>
            </w:r>
            <w:r>
              <w:rPr>
                <w:rFonts w:ascii="Verdana" w:eastAsia="Calibri" w:hAnsi="Verdana" w:cs="Arial"/>
              </w:rPr>
              <w:t xml:space="preserve">a la primera pregunta problema debemos contestar negativamente. </w:t>
            </w:r>
            <w:r w:rsidRPr="00373F51">
              <w:rPr>
                <w:rFonts w:ascii="Verdana" w:eastAsia="Calibri" w:hAnsi="Verdana" w:cs="Arial"/>
              </w:rPr>
              <w:t xml:space="preserve">El artículo 2.2.1.2.4.2.7.3 del Decreto 1082 de 2015, adicionado por el Decreto 287 de 2026, no faculta a las entidades estatales para disminuir el porcentaje mínimo del diez por ciento (10%) de la garantía de seriedad de la oferta que establece el artículo 2.2.1.2.3.1.9 del mismo decreto. La expresión "requisitos habilitantes diferenciales o ajustados (…) o el valor de la garantía de seriedad de la oferta" contenida en el artículo 2.2.1.2.4.2.7.3 debe interpretarse de manera armónica con el régimen general de suficiencia de garantías y dentro del marco de las normas vigentes que regulan la materia, sin que pueda entenderse como una habilitación para desconocer el piso normativo imperativo que establece el artículo 2.2.1.2.3.1.9. </w:t>
            </w:r>
          </w:p>
          <w:p w14:paraId="31FEA094" w14:textId="63025F3A" w:rsidR="00373F51" w:rsidRDefault="00373F51" w:rsidP="00373F51">
            <w:pPr>
              <w:spacing w:before="120" w:after="120" w:line="276" w:lineRule="auto"/>
              <w:ind w:firstLine="709"/>
              <w:jc w:val="both"/>
              <w:rPr>
                <w:rFonts w:ascii="Verdana" w:eastAsia="Calibri" w:hAnsi="Verdana" w:cs="Arial"/>
              </w:rPr>
            </w:pPr>
            <w:r>
              <w:rPr>
                <w:rFonts w:ascii="Verdana" w:eastAsia="Calibri" w:hAnsi="Verdana" w:cs="Arial"/>
              </w:rPr>
              <w:t>Por lo tanto, p</w:t>
            </w:r>
            <w:r w:rsidRPr="00373F51">
              <w:rPr>
                <w:rFonts w:ascii="Verdana" w:eastAsia="Calibri" w:hAnsi="Verdana" w:cs="Arial"/>
              </w:rPr>
              <w:t>or sustracción de materia</w:t>
            </w:r>
            <w:r w:rsidR="008121AA">
              <w:rPr>
                <w:rFonts w:ascii="Verdana" w:eastAsia="Calibri" w:hAnsi="Verdana" w:cs="Arial"/>
              </w:rPr>
              <w:t>, y en relación al segundo problema jurídico</w:t>
            </w:r>
            <w:r w:rsidRPr="00373F51">
              <w:rPr>
                <w:rFonts w:ascii="Verdana" w:eastAsia="Calibri" w:hAnsi="Verdana" w:cs="Arial"/>
              </w:rPr>
              <w:t>, al no estar facultadas las entidades para disminuir el porcentaje mínimo del 10%, no corresponde pronunciarse sobre el alcance y los límites de una facultad que, según se ha expuesto, no existe en los términos planteados por la consulta.</w:t>
            </w:r>
            <w:r>
              <w:rPr>
                <w:rFonts w:ascii="Verdana" w:eastAsia="Calibri" w:hAnsi="Verdana" w:cs="Arial"/>
              </w:rPr>
              <w:t xml:space="preserve"> En ese sentido, l</w:t>
            </w:r>
            <w:r w:rsidRPr="00373F51">
              <w:rPr>
                <w:rFonts w:ascii="Verdana" w:eastAsia="Calibri" w:hAnsi="Verdana" w:cs="Arial"/>
              </w:rPr>
              <w:t xml:space="preserve">a aplicación de los criterios habilitantes diferenciales previstos en el artículo 2.2.1.2.4.2.7.3 del Decreto 1082 de 2015 no requiere desarrollo reglamentario adicional ni </w:t>
            </w:r>
            <w:r w:rsidRPr="00373F51">
              <w:rPr>
                <w:rFonts w:ascii="Verdana" w:eastAsia="Calibri" w:hAnsi="Verdana" w:cs="Arial"/>
              </w:rPr>
              <w:lastRenderedPageBreak/>
              <w:t>lineamientos específicos de esta Agencia para su implementación. El propio artículo establece que estos requisitos deberán estructurarse garantizando el cumplimiento adecuado del objeto contractual, teniendo en cuenta el alcance de las obligaciones y el principio de proporcionalidad, lo cual remite a las herramientas ordinarias de planeación contractual: los estudios previos y el análisis del sector. Corresponde a cada entidad estatal, en el ejercicio de su autonomía y con fundamento en sus estudios y documentos previos, determinar la forma concreta de ajustar los requisitos habilitantes, sin necesidad de esperar lineamientos adicionales.</w:t>
            </w:r>
          </w:p>
          <w:p w14:paraId="3F9441B7" w14:textId="3E8DC985" w:rsidR="00373F51" w:rsidRPr="00670CFB" w:rsidRDefault="00982BDF" w:rsidP="00982BDF">
            <w:pPr>
              <w:spacing w:before="120" w:after="120" w:line="276" w:lineRule="auto"/>
              <w:ind w:firstLine="709"/>
              <w:jc w:val="both"/>
              <w:rPr>
                <w:rFonts w:ascii="Verdana" w:eastAsia="Calibri" w:hAnsi="Verdana" w:cs="Arial"/>
              </w:rPr>
            </w:pPr>
            <w:r w:rsidRPr="00982BDF">
              <w:rPr>
                <w:rFonts w:ascii="Verdana" w:eastAsia="Calibri" w:hAnsi="Verdana" w:cs="Arial"/>
              </w:rPr>
              <w:t xml:space="preserve">Por último respecto de su pregunta sobre </w:t>
            </w:r>
            <w:r>
              <w:rPr>
                <w:rFonts w:ascii="Verdana" w:eastAsia="Calibri" w:hAnsi="Verdana" w:cs="Arial"/>
              </w:rPr>
              <w:t xml:space="preserve">los riesgos jurídicos de desconocer </w:t>
            </w:r>
            <w:r w:rsidR="00A2269E">
              <w:rPr>
                <w:rFonts w:ascii="Verdana" w:eastAsia="Calibri" w:hAnsi="Verdana" w:cs="Arial"/>
              </w:rPr>
              <w:t xml:space="preserve">lo dispuesto en </w:t>
            </w:r>
            <w:r w:rsidR="00A2269E" w:rsidRPr="00373F51">
              <w:rPr>
                <w:rFonts w:ascii="Verdana" w:eastAsia="Calibri" w:hAnsi="Verdana" w:cs="Arial"/>
              </w:rPr>
              <w:t>el artículo 2.2.1.2.3.1.9.</w:t>
            </w:r>
            <w:r w:rsidR="00A2269E">
              <w:rPr>
                <w:rFonts w:ascii="Verdana" w:eastAsia="Calibri" w:hAnsi="Verdana" w:cs="Arial"/>
              </w:rPr>
              <w:t xml:space="preserve">, </w:t>
            </w:r>
            <w:r w:rsidRPr="00982BDF">
              <w:rPr>
                <w:rFonts w:ascii="Verdana" w:eastAsia="Calibri" w:hAnsi="Verdana" w:cs="Arial"/>
              </w:rPr>
              <w:t>debe advertirse que el análisis requerido para resolver problemas específicos en torno a</w:t>
            </w:r>
            <w:r w:rsidR="00A2269E">
              <w:rPr>
                <w:rFonts w:ascii="Verdana" w:eastAsia="Calibri" w:hAnsi="Verdana" w:cs="Arial"/>
              </w:rPr>
              <w:t>l cumplimiento de la norma</w:t>
            </w:r>
            <w:r w:rsidRPr="00982BDF">
              <w:rPr>
                <w:rFonts w:ascii="Verdana" w:eastAsia="Calibri" w:hAnsi="Verdana" w:cs="Arial"/>
              </w:rPr>
              <w:t xml:space="preserve"> debe ser realizado por quienes tengan interés en ello, de acuerdo con lo explicado </w:t>
            </w:r>
            <w:r w:rsidR="00A2269E">
              <w:rPr>
                <w:rFonts w:ascii="Verdana" w:eastAsia="Calibri" w:hAnsi="Verdana" w:cs="Arial"/>
              </w:rPr>
              <w:t xml:space="preserve">en </w:t>
            </w:r>
            <w:r w:rsidRPr="00982BDF">
              <w:rPr>
                <w:rFonts w:ascii="Verdana" w:eastAsia="Calibri" w:hAnsi="Verdana" w:cs="Arial"/>
              </w:rPr>
              <w:t>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914BB7C"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B697DCE" w14:textId="1304C47E"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sidR="00A2269E">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sidR="00A2269E">
        <w:rPr>
          <w:rFonts w:ascii="Verdana" w:eastAsia="Century Gothic" w:hAnsi="Verdana" w:cs="Century Gothic"/>
          <w:b/>
          <w:lang w:val="es-ES"/>
        </w:rPr>
        <w:t>s</w:t>
      </w:r>
      <w:r w:rsidRPr="00206556">
        <w:rPr>
          <w:rFonts w:ascii="Verdana" w:eastAsia="Century Gothic" w:hAnsi="Verdana" w:cs="Century Gothic"/>
          <w:b/>
          <w:lang w:val="es-ES"/>
        </w:rPr>
        <w:t>:</w:t>
      </w:r>
    </w:p>
    <w:p w14:paraId="790C280A"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color w:val="ED7D31" w:themeColor="accent2"/>
          <w:lang w:val="es-ES"/>
        </w:rPr>
      </w:pPr>
    </w:p>
    <w:p w14:paraId="62691086" w14:textId="77777777" w:rsidR="008D5774" w:rsidRPr="00206556" w:rsidRDefault="008D5774" w:rsidP="008D5774">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16FC2502" w14:textId="77777777" w:rsidR="001C2502" w:rsidRPr="00206556" w:rsidRDefault="001C2502" w:rsidP="008D5774">
      <w:pPr>
        <w:spacing w:after="0" w:line="276" w:lineRule="auto"/>
        <w:jc w:val="both"/>
        <w:rPr>
          <w:rFonts w:ascii="Verdana" w:eastAsia="Calibri" w:hAnsi="Verdana" w:cs="Arial"/>
          <w:lang w:val="es-ES"/>
        </w:rPr>
      </w:pPr>
    </w:p>
    <w:p w14:paraId="40E10886" w14:textId="50A28690" w:rsidR="001C2502" w:rsidRPr="00206556" w:rsidRDefault="001C2502" w:rsidP="003C3B8B">
      <w:pPr>
        <w:spacing w:after="120" w:line="276" w:lineRule="auto"/>
        <w:jc w:val="both"/>
        <w:rPr>
          <w:rFonts w:ascii="Verdana" w:hAnsi="Verdana"/>
        </w:rPr>
      </w:pPr>
      <w:r w:rsidRPr="00206556">
        <w:rPr>
          <w:rFonts w:ascii="Verdana" w:eastAsia="Calibri" w:hAnsi="Verdana" w:cs="Arial"/>
          <w:lang w:val="es-ES"/>
        </w:rPr>
        <w:t xml:space="preserve">(i) </w:t>
      </w:r>
      <w:r w:rsidR="006521AC" w:rsidRPr="00206556">
        <w:rPr>
          <w:rFonts w:ascii="Verdana" w:eastAsia="Calibri" w:hAnsi="Verdana" w:cs="Arial"/>
        </w:rPr>
        <w:t xml:space="preserve">Para resolver </w:t>
      </w:r>
      <w:r w:rsidR="008121AA">
        <w:rPr>
          <w:rFonts w:ascii="Verdana" w:eastAsia="Calibri" w:hAnsi="Verdana" w:cs="Arial"/>
        </w:rPr>
        <w:t>los</w:t>
      </w:r>
      <w:r w:rsidR="006521AC" w:rsidRPr="00206556">
        <w:rPr>
          <w:rFonts w:ascii="Verdana" w:eastAsia="Calibri" w:hAnsi="Verdana" w:cs="Arial"/>
        </w:rPr>
        <w:t xml:space="preserve"> problema</w:t>
      </w:r>
      <w:r w:rsidR="008121AA">
        <w:rPr>
          <w:rFonts w:ascii="Verdana" w:eastAsia="Calibri" w:hAnsi="Verdana" w:cs="Arial"/>
        </w:rPr>
        <w:t>s</w:t>
      </w:r>
      <w:r w:rsidR="006521AC" w:rsidRPr="00206556">
        <w:rPr>
          <w:rFonts w:ascii="Verdana" w:eastAsia="Calibri" w:hAnsi="Verdana" w:cs="Arial"/>
        </w:rPr>
        <w:t xml:space="preserve"> jurídico</w:t>
      </w:r>
      <w:r w:rsidR="008121AA">
        <w:rPr>
          <w:rFonts w:ascii="Verdana" w:eastAsia="Calibri" w:hAnsi="Verdana" w:cs="Arial"/>
        </w:rPr>
        <w:t>s</w:t>
      </w:r>
      <w:r w:rsidR="006521AC" w:rsidRPr="00206556">
        <w:rPr>
          <w:rFonts w:ascii="Verdana" w:eastAsia="Calibri" w:hAnsi="Verdana" w:cs="Arial"/>
        </w:rPr>
        <w:t xml:space="preserve"> planteado</w:t>
      </w:r>
      <w:r w:rsidR="008121AA">
        <w:rPr>
          <w:rFonts w:ascii="Verdana" w:eastAsia="Calibri" w:hAnsi="Verdana" w:cs="Arial"/>
        </w:rPr>
        <w:t>s</w:t>
      </w:r>
      <w:r w:rsidR="006521AC" w:rsidRPr="00206556">
        <w:rPr>
          <w:rFonts w:ascii="Verdana" w:eastAsia="Calibri" w:hAnsi="Verdana" w:cs="Arial"/>
        </w:rPr>
        <w:t xml:space="preserve">,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sidR="0024618D">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w:t>
      </w:r>
      <w:r w:rsidRPr="00206556">
        <w:rPr>
          <w:rFonts w:ascii="Verdana" w:eastAsia="Times New Roman" w:hAnsi="Verdana" w:cs="Times New Roman"/>
        </w:rPr>
        <w:lastRenderedPageBreak/>
        <w:t xml:space="preserve">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sidR="000A72A9">
        <w:rPr>
          <w:rFonts w:ascii="Verdana" w:eastAsia="Times New Roman" w:hAnsi="Verdana" w:cs="Times New Roman"/>
        </w:rPr>
        <w:t>.</w:t>
      </w:r>
    </w:p>
    <w:p w14:paraId="1410D207" w14:textId="4511F042" w:rsidR="001C2502" w:rsidRPr="00206556" w:rsidRDefault="001C2502" w:rsidP="003C3B8B">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3275ADC" w14:textId="5C3AE858" w:rsidR="001C2502" w:rsidRPr="00206556" w:rsidRDefault="006521AC" w:rsidP="003C3B8B">
      <w:pPr>
        <w:spacing w:after="120" w:line="276" w:lineRule="auto"/>
        <w:jc w:val="both"/>
        <w:rPr>
          <w:rFonts w:ascii="Verdana" w:hAnsi="Verdana"/>
        </w:rPr>
      </w:pPr>
      <w:r w:rsidRPr="00206556">
        <w:rPr>
          <w:rFonts w:ascii="Verdana" w:eastAsia="Times New Roman" w:hAnsi="Verdana" w:cs="Times New Roman"/>
          <w:b/>
          <w:bCs/>
        </w:rPr>
        <w:t xml:space="preserve">        </w:t>
      </w:r>
      <w:r w:rsidR="001C2502" w:rsidRPr="00206556">
        <w:rPr>
          <w:rFonts w:ascii="Verdana" w:eastAsia="Times New Roman" w:hAnsi="Verdana" w:cs="Times New Roman"/>
        </w:rPr>
        <w:t xml:space="preserve">La Ley 361 de 1997 estableció los primeros mecanismos de integración social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001C2502"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sidR="000A72A9">
        <w:rPr>
          <w:rFonts w:ascii="Verdana" w:eastAsia="Times New Roman" w:hAnsi="Verdana" w:cs="Times New Roman"/>
        </w:rPr>
        <w:t>.</w:t>
      </w:r>
      <w:r w:rsidR="001C2502" w:rsidRPr="00206556">
        <w:rPr>
          <w:rFonts w:ascii="Verdana" w:eastAsia="Times New Roman" w:hAnsi="Verdana" w:cs="Times New Roman"/>
        </w:rPr>
        <w:t xml:space="preserve"> Esta norma vinculó por primera vez la contratación pública con la inclusión laboral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pero su alcance era limitado: una preferencia residual aplicable solo en caso </w:t>
      </w:r>
      <w:r w:rsidR="001C2502" w:rsidRPr="00206556">
        <w:rPr>
          <w:rFonts w:ascii="Verdana" w:eastAsia="Times New Roman" w:hAnsi="Verdana" w:cs="Times New Roman"/>
        </w:rPr>
        <w:lastRenderedPageBreak/>
        <w:t xml:space="preserve">de empate, que beneficiaba únicamente a los empleadores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sin considerar a las propias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como proponentes directos.</w:t>
      </w:r>
    </w:p>
    <w:p w14:paraId="69EA8BBF" w14:textId="538760F4" w:rsidR="001C2502" w:rsidRPr="00206556" w:rsidRDefault="006521AC" w:rsidP="003C3B8B">
      <w:pPr>
        <w:spacing w:after="120" w:line="276" w:lineRule="auto"/>
        <w:jc w:val="both"/>
        <w:rPr>
          <w:rFonts w:ascii="Verdana" w:hAnsi="Verdana"/>
        </w:rPr>
      </w:pPr>
      <w:r w:rsidRPr="00206556">
        <w:rPr>
          <w:rFonts w:ascii="Verdana" w:eastAsia="Times New Roman" w:hAnsi="Verdana" w:cs="Times New Roman"/>
          <w:b/>
          <w:bCs/>
        </w:rPr>
        <w:t xml:space="preserve">       </w:t>
      </w:r>
      <w:r w:rsidR="001C2502" w:rsidRPr="00206556">
        <w:rPr>
          <w:rFonts w:ascii="Verdana" w:eastAsia="Times New Roman" w:hAnsi="Verdana" w:cs="Times New Roman"/>
        </w:rPr>
        <w:t xml:space="preserve">La Ley Estatutaria 1618 de 2013 representó un salto cualitativo en el marco jurídico de protección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al definir a estas como </w:t>
      </w:r>
      <w:r w:rsidR="001C2502"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sidR="000F3D1E">
        <w:rPr>
          <w:rFonts w:ascii="Verdana" w:eastAsia="Times New Roman" w:hAnsi="Verdana" w:cs="Times New Roman"/>
          <w:i/>
          <w:iCs/>
        </w:rPr>
        <w:t>.</w:t>
      </w:r>
      <w:r w:rsidR="001C2502"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y para empresas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un sistema de preferencias para empleadores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en la adjudicación; y un sistema de preferencias en favor de las propias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sidR="00DF3D9A">
        <w:rPr>
          <w:rFonts w:ascii="Verdana" w:eastAsia="Times New Roman" w:hAnsi="Verdana" w:cs="Times New Roman"/>
        </w:rPr>
        <w:t>.</w:t>
      </w:r>
      <w:r w:rsidR="001C2502" w:rsidRPr="00206556">
        <w:rPr>
          <w:rFonts w:ascii="Verdana" w:eastAsia="Times New Roman" w:hAnsi="Verdana" w:cs="Times New Roman"/>
        </w:rPr>
        <w:t xml:space="preserve"> Este último mandato fue especialmente significativo porque introdujo el concepto de </w:t>
      </w:r>
      <w:r w:rsidR="001C2502" w:rsidRPr="00206556">
        <w:rPr>
          <w:rFonts w:ascii="Verdana" w:eastAsia="Times New Roman" w:hAnsi="Verdana" w:cs="Times New Roman"/>
          <w:i/>
          <w:iCs/>
        </w:rPr>
        <w:t>"sistema de preferencias"</w:t>
      </w:r>
      <w:r w:rsidR="001C2502"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438B6BC2" w14:textId="59A1932E" w:rsidR="00E727F0" w:rsidRPr="00E727F0" w:rsidRDefault="00E727F0" w:rsidP="003C3B8B">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sidR="000D4B26">
        <w:rPr>
          <w:rFonts w:ascii="Verdana" w:hAnsi="Verdana"/>
        </w:rPr>
        <w:t xml:space="preserve"> </w:t>
      </w:r>
      <w:r w:rsidR="000D4B26"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000D4B26" w:rsidRPr="00A420A9">
        <w:rPr>
          <w:rFonts w:ascii="Verdana" w:hAnsi="Verdana"/>
        </w:rPr>
        <w:t>PcD</w:t>
      </w:r>
      <w:proofErr w:type="spellEnd"/>
      <w:r w:rsidR="000D4B26" w:rsidRPr="00A420A9">
        <w:rPr>
          <w:rFonts w:ascii="Verdana" w:hAnsi="Verdana"/>
        </w:rPr>
        <w:t xml:space="preserve"> como contratistas.</w:t>
      </w:r>
    </w:p>
    <w:p w14:paraId="13262713" w14:textId="44DE1E07" w:rsidR="00A420A9" w:rsidRPr="00A420A9" w:rsidRDefault="00A420A9" w:rsidP="00A420A9">
      <w:pPr>
        <w:spacing w:after="120" w:line="276" w:lineRule="auto"/>
        <w:ind w:firstLine="709"/>
        <w:jc w:val="both"/>
        <w:rPr>
          <w:rFonts w:ascii="Verdana" w:hAnsi="Verdana"/>
        </w:rPr>
      </w:pPr>
      <w:r w:rsidRPr="00A420A9">
        <w:rPr>
          <w:rFonts w:ascii="Verdana" w:hAnsi="Verdana"/>
        </w:rPr>
        <w:lastRenderedPageBreak/>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9E4590C" w14:textId="29D7E599" w:rsidR="00E727F0" w:rsidRDefault="00E727F0" w:rsidP="003C3B8B">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w:t>
      </w:r>
      <w:r w:rsidR="008D348A">
        <w:rPr>
          <w:rFonts w:ascii="Verdana" w:hAnsi="Verdana"/>
        </w:rPr>
        <w:t>del</w:t>
      </w:r>
      <w:r w:rsidRPr="00E727F0">
        <w:rPr>
          <w:rFonts w:ascii="Verdana" w:hAnsi="Verdana"/>
        </w:rPr>
        <w:t xml:space="preserve"> aspecto del sistema planteado en los problemas jurídicos. </w:t>
      </w:r>
    </w:p>
    <w:p w14:paraId="76892179" w14:textId="2BA41C75" w:rsidR="00975224" w:rsidRDefault="006C4B2C" w:rsidP="00975224">
      <w:pPr>
        <w:spacing w:after="120" w:line="276" w:lineRule="auto"/>
        <w:ind w:firstLine="709"/>
        <w:jc w:val="both"/>
        <w:rPr>
          <w:rFonts w:ascii="Verdana" w:hAnsi="Verdana"/>
        </w:rPr>
      </w:pPr>
      <w:r w:rsidRPr="00206556">
        <w:rPr>
          <w:rFonts w:ascii="Verdana" w:hAnsi="Verdana"/>
        </w:rPr>
        <w:t>(</w:t>
      </w:r>
      <w:proofErr w:type="spellStart"/>
      <w:r w:rsidR="008121AA">
        <w:rPr>
          <w:rFonts w:ascii="Verdana" w:hAnsi="Verdana"/>
        </w:rPr>
        <w:t>ii</w:t>
      </w:r>
      <w:proofErr w:type="spellEnd"/>
      <w:r w:rsidRPr="00206556">
        <w:rPr>
          <w:rFonts w:ascii="Verdana" w:hAnsi="Verdana"/>
        </w:rPr>
        <w:t>) En cuanto a los criterios habilitantes diferenciales y los proponentes plurales</w:t>
      </w:r>
      <w:r w:rsidR="006E6F85">
        <w:rPr>
          <w:rFonts w:ascii="Verdana" w:hAnsi="Verdana"/>
        </w:rPr>
        <w:t>, e</w:t>
      </w:r>
      <w:r w:rsidRPr="00206556">
        <w:rPr>
          <w:rFonts w:ascii="Verdana" w:hAnsi="Verdana"/>
        </w:rPr>
        <w:t>l artículo 2.2.1.2.4.2.7.3. del Decreto 0287 de 2026 dispone que en los procesos de licitación pública, selección abreviada y concurso de méritos</w:t>
      </w:r>
      <w:r w:rsidR="00D027C3" w:rsidRPr="00206556">
        <w:rPr>
          <w:rFonts w:ascii="Verdana" w:hAnsi="Verdana"/>
        </w:rPr>
        <w:t xml:space="preserve"> para los procesos regidos por el Estatuto General de Contratación de la Administración Pública, </w:t>
      </w:r>
      <w:r w:rsidRPr="00206556">
        <w:rPr>
          <w:rFonts w:ascii="Verdana" w:hAnsi="Verdana"/>
        </w:rPr>
        <w:t>como en régimen especial</w:t>
      </w:r>
      <w:r w:rsidR="00D027C3" w:rsidRPr="00206556">
        <w:rPr>
          <w:rFonts w:ascii="Verdana" w:hAnsi="Verdana"/>
        </w:rPr>
        <w:t>,</w:t>
      </w:r>
      <w:r w:rsidRPr="00206556">
        <w:rPr>
          <w:rFonts w:ascii="Verdana" w:hAnsi="Verdana"/>
        </w:rPr>
        <w:t xml:space="preserve">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w:t>
      </w:r>
      <w:r w:rsidR="00D027C3" w:rsidRPr="00206556">
        <w:rPr>
          <w:rFonts w:ascii="Verdana" w:hAnsi="Verdana"/>
        </w:rPr>
        <w:t xml:space="preserve">, es decir, </w:t>
      </w:r>
      <w:r w:rsidRPr="00206556">
        <w:rPr>
          <w:rFonts w:ascii="Verdana" w:hAnsi="Verdana"/>
        </w:rPr>
        <w:t xml:space="preserve">los emprendimientos y empresas de </w:t>
      </w:r>
      <w:proofErr w:type="spellStart"/>
      <w:r w:rsidRPr="00206556">
        <w:rPr>
          <w:rFonts w:ascii="Verdana" w:hAnsi="Verdana"/>
        </w:rPr>
        <w:t>PcD</w:t>
      </w:r>
      <w:proofErr w:type="spellEnd"/>
      <w:r w:rsidR="00D027C3" w:rsidRPr="00206556">
        <w:rPr>
          <w:rFonts w:ascii="Verdana" w:hAnsi="Verdana"/>
        </w:rPr>
        <w:t xml:space="preserve">, </w:t>
      </w:r>
      <w:r w:rsidRPr="00206556">
        <w:rPr>
          <w:rFonts w:ascii="Verdana" w:hAnsi="Verdana"/>
        </w:rPr>
        <w:t xml:space="preserve">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sidR="005C13BA">
        <w:rPr>
          <w:rFonts w:ascii="Verdana" w:hAnsi="Verdana"/>
        </w:rPr>
        <w:t>el</w:t>
      </w:r>
      <w:r w:rsidRPr="00206556">
        <w:rPr>
          <w:rFonts w:ascii="Verdana" w:hAnsi="Verdana"/>
        </w:rPr>
        <w:t xml:space="preserve"> </w:t>
      </w:r>
      <w:r w:rsidR="00D027C3" w:rsidRPr="00206556">
        <w:rPr>
          <w:rFonts w:ascii="Verdana" w:hAnsi="Verdana"/>
        </w:rPr>
        <w:t>rigor</w:t>
      </w:r>
      <w:r w:rsidRPr="00206556">
        <w:rPr>
          <w:rFonts w:ascii="Verdana" w:hAnsi="Verdana"/>
        </w:rPr>
        <w:t xml:space="preserve"> del ajuste es discrecional: la entidad determina, con base en sus estudios previos, qué requisito ajusta y en qué medida, con el límite del principio de proporcionalidad, sobre el cual esta Agencia ha precisado que debe orientarse a garantizar la idoneidad de las propuestas y la correcta </w:t>
      </w:r>
      <w:r w:rsidRPr="00206556">
        <w:rPr>
          <w:rFonts w:ascii="Verdana" w:hAnsi="Verdana"/>
        </w:rPr>
        <w:lastRenderedPageBreak/>
        <w:t>ejecución contractual, sin efectos excluyentes ni discriminatorios</w:t>
      </w:r>
      <w:r w:rsidR="00D027C3" w:rsidRPr="00206556">
        <w:rPr>
          <w:rStyle w:val="Refdenotaalpie"/>
          <w:rFonts w:ascii="Verdana" w:hAnsi="Verdana"/>
        </w:rPr>
        <w:footnoteReference w:id="9"/>
      </w:r>
      <w:r w:rsidR="005C13BA">
        <w:rPr>
          <w:rFonts w:ascii="Verdana" w:hAnsi="Verdana"/>
        </w:rPr>
        <w:t>.</w:t>
      </w:r>
      <w:r w:rsidRPr="00206556">
        <w:rPr>
          <w:rFonts w:ascii="Verdana" w:hAnsi="Verdana"/>
        </w:rPr>
        <w:t xml:space="preserve"> </w:t>
      </w:r>
      <w:r w:rsidR="00975224" w:rsidRPr="00975224">
        <w:rPr>
          <w:rFonts w:ascii="Verdana" w:hAnsi="Verdana"/>
        </w:rPr>
        <w:t xml:space="preserve">Los términos ajustados, reducidos y diferenciales deben entenderse como sinónimos. La entidad no está obligada a ajustar la totalidad de los requisitos habilitantes: debe flexibilizar </w:t>
      </w:r>
      <w:r w:rsidR="00472D95">
        <w:rPr>
          <w:rFonts w:ascii="Verdana" w:hAnsi="Verdana"/>
        </w:rPr>
        <w:t>alguno</w:t>
      </w:r>
      <w:r w:rsidR="00975224" w:rsidRPr="00975224">
        <w:rPr>
          <w:rFonts w:ascii="Verdana" w:hAnsi="Verdana"/>
        </w:rPr>
        <w:t xml:space="preserve"> de estos de acuerdo con lo que resulte justificado en sus estudios previos para el proceso específico de que se trate</w:t>
      </w:r>
      <w:r w:rsidR="00FB3899">
        <w:rPr>
          <w:rFonts w:ascii="Verdana" w:hAnsi="Verdana"/>
        </w:rPr>
        <w:t>, sin que se ponga en riesgo el cumplimiento contractual</w:t>
      </w:r>
      <w:r w:rsidR="00975224" w:rsidRPr="00975224">
        <w:rPr>
          <w:rFonts w:ascii="Verdana" w:hAnsi="Verdana"/>
        </w:rPr>
        <w:t>.</w:t>
      </w:r>
      <w:r w:rsidR="00975224">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A33955F" w14:textId="77777777" w:rsidR="00685966" w:rsidRPr="00685966" w:rsidRDefault="00685966" w:rsidP="00685966">
      <w:pPr>
        <w:spacing w:after="120" w:line="276" w:lineRule="auto"/>
        <w:ind w:firstLine="709"/>
        <w:jc w:val="both"/>
        <w:rPr>
          <w:rFonts w:ascii="Verdana" w:hAnsi="Verdana"/>
        </w:rPr>
      </w:pPr>
      <w:r>
        <w:rPr>
          <w:rFonts w:ascii="Verdana" w:hAnsi="Verdana"/>
        </w:rPr>
        <w:t>(</w:t>
      </w:r>
      <w:proofErr w:type="spellStart"/>
      <w:r>
        <w:rPr>
          <w:rFonts w:ascii="Verdana" w:hAnsi="Verdana"/>
        </w:rPr>
        <w:t>iii</w:t>
      </w:r>
      <w:proofErr w:type="spellEnd"/>
      <w:r>
        <w:rPr>
          <w:rFonts w:ascii="Verdana" w:hAnsi="Verdana"/>
        </w:rPr>
        <w:t xml:space="preserve">) </w:t>
      </w:r>
      <w:r w:rsidRPr="00685966">
        <w:rPr>
          <w:rFonts w:ascii="Verdana" w:hAnsi="Verdana"/>
        </w:rPr>
        <w:t>El artículo 2.2.1.2.3.1.9 del Decreto 1082 de 2015, adicionado por el artículo 4 del Decreto 1860 de 2021, utiliza una formulación imperativa inequívoca: la garantía de seriedad de la oferta "debe ser de por lo menos el diez por ciento (10%) del valor de la oferta". La expresión "debe ser de por lo menos" no admite interpretación distinta a la de un mínimo obligatorio e inderogable por vía de pliego de condiciones. Se trata de una norma de orden público contractual que establece un piso de suficiencia cuya función es proteger a la entidad estatal frente al riesgo de retiro injustificado de la oferta, de no suscripción del contrato o de no constitución de la garantía de cumplimiento.</w:t>
      </w:r>
    </w:p>
    <w:p w14:paraId="47F60F6A" w14:textId="4762740D" w:rsidR="00685966" w:rsidRPr="00685966" w:rsidRDefault="00685966" w:rsidP="00685966">
      <w:pPr>
        <w:spacing w:after="120" w:line="276" w:lineRule="auto"/>
        <w:ind w:firstLine="709"/>
        <w:jc w:val="both"/>
        <w:rPr>
          <w:rFonts w:ascii="Verdana" w:hAnsi="Verdana"/>
        </w:rPr>
      </w:pPr>
      <w:r>
        <w:rPr>
          <w:rFonts w:ascii="Verdana" w:hAnsi="Verdana"/>
        </w:rPr>
        <w:t xml:space="preserve">La ley </w:t>
      </w:r>
      <w:r w:rsidRPr="00685966">
        <w:rPr>
          <w:rFonts w:ascii="Verdana" w:hAnsi="Verdana"/>
        </w:rPr>
        <w:t>y el reglamento solo han previsto tres excepciones a esta regla general del 10%, todas ellas contenidas en el mismo artículo 2.2.1.2.3.1.9:</w:t>
      </w:r>
    </w:p>
    <w:p w14:paraId="45BA2E4C"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(i) Cuando el valor de la oferta supera un millón (1.000.000) de SMLMV, caso en el cual operan porcentajes reducidos escalonados —2,5%, 1% y 0,5%— conforme a los numerales 1, 2 y 3 del artículo.</w:t>
      </w:r>
    </w:p>
    <w:p w14:paraId="128EFCD1"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w:t>
      </w:r>
      <w:proofErr w:type="spellStart"/>
      <w:r w:rsidRPr="00685966">
        <w:rPr>
          <w:rFonts w:ascii="Verdana" w:hAnsi="Verdana"/>
        </w:rPr>
        <w:t>ii</w:t>
      </w:r>
      <w:proofErr w:type="spellEnd"/>
      <w:r w:rsidRPr="00685966">
        <w:rPr>
          <w:rFonts w:ascii="Verdana" w:hAnsi="Verdana"/>
        </w:rPr>
        <w:t>) Para los Acuerdos Marco de Precio, donde el valor fijo es de mil (1.000) SMLMV.</w:t>
      </w:r>
    </w:p>
    <w:p w14:paraId="1285A449"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w:t>
      </w:r>
      <w:proofErr w:type="spellStart"/>
      <w:r w:rsidRPr="00685966">
        <w:rPr>
          <w:rFonts w:ascii="Verdana" w:hAnsi="Verdana"/>
        </w:rPr>
        <w:t>iii</w:t>
      </w:r>
      <w:proofErr w:type="spellEnd"/>
      <w:r w:rsidRPr="00685966">
        <w:rPr>
          <w:rFonts w:ascii="Verdana" w:hAnsi="Verdana"/>
        </w:rPr>
        <w:t xml:space="preserve">) Para los emprendimientos y empresas de mujeres y las </w:t>
      </w:r>
      <w:proofErr w:type="spellStart"/>
      <w:r w:rsidRPr="00685966">
        <w:rPr>
          <w:rFonts w:ascii="Verdana" w:hAnsi="Verdana"/>
        </w:rPr>
        <w:t>Mipymes</w:t>
      </w:r>
      <w:proofErr w:type="spellEnd"/>
      <w:r w:rsidRPr="00685966">
        <w:rPr>
          <w:rFonts w:ascii="Verdana" w:hAnsi="Verdana"/>
        </w:rPr>
        <w:t xml:space="preserve"> en Acuerdos Marco de Precio, respecto de los cuales el parágrafo del artículo faculta </w:t>
      </w:r>
      <w:r w:rsidRPr="00685966">
        <w:rPr>
          <w:rFonts w:ascii="Verdana" w:hAnsi="Verdana"/>
        </w:rPr>
        <w:lastRenderedPageBreak/>
        <w:t>exclusivamente a Colombia Compra Eficiente —no a las entidades contratantes— para definir un valor de suficiencia diferencial.</w:t>
      </w:r>
    </w:p>
    <w:p w14:paraId="77657DB5" w14:textId="045A5137" w:rsidR="00685966" w:rsidRPr="00685966" w:rsidRDefault="00685966" w:rsidP="00685966">
      <w:pPr>
        <w:spacing w:after="120" w:line="276" w:lineRule="auto"/>
        <w:ind w:firstLine="709"/>
        <w:jc w:val="both"/>
        <w:rPr>
          <w:rFonts w:ascii="Verdana" w:hAnsi="Verdana"/>
        </w:rPr>
      </w:pPr>
      <w:r w:rsidRPr="00685966">
        <w:rPr>
          <w:rFonts w:ascii="Verdana" w:hAnsi="Verdana"/>
        </w:rPr>
        <w:t>Fuera de estos tres supuestos taxativos, el porcentaje mínimo del 10% es imperativo e indisponible.</w:t>
      </w:r>
      <w:r w:rsidR="00B21E83">
        <w:rPr>
          <w:rFonts w:ascii="Verdana" w:hAnsi="Verdana"/>
        </w:rPr>
        <w:t xml:space="preserve"> </w:t>
      </w:r>
      <w:r w:rsidRPr="00685966">
        <w:rPr>
          <w:rFonts w:ascii="Verdana" w:hAnsi="Verdana"/>
        </w:rPr>
        <w:t>El artículo 2.2.1.2.4.2.7.3 del Decreto 1082 de 2015, adicionado por el artículo 1° del Decreto 287 de 2026, dispone que las entidades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w:t>
      </w:r>
    </w:p>
    <w:p w14:paraId="0B9475C7"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Este artículo debe leerse en su contexto normativo integral. El Decreto 287 de 2026 modificó los artículos 2.2.1.2.4.2.6, 2.2.1.2.4.2.7 y 2.2.1.2.4.2.8 del Decreto 1082 de 2015, conforme lo anuncia su epígrafe. No modificó ni derogó el artículo 2.2.1.2.3.1.9. El artículo 2° del Decreto 287 establece expresamente que "el presente Decreto rige a partir del día siguiente a su publicación, modifica los artículos 2.2.1.2.4.2.6., 2.2.1.2.4.2.7. y 2.2.1.2.4.2.8. (…) y deroga todas las disposiciones que le sean contrarias". Si el legislador reglamentario hubiera pretendido modificar el piso del 10% o crear una excepción adicional a las ya contenidas en el artículo 2.2.1.2.3.1.9, habría sido necesario modificar expresamente dicho artículo o adicionar un nuevo parágrafo o excepción a su texto, lo cual no hizo.</w:t>
      </w:r>
    </w:p>
    <w:p w14:paraId="597711DB" w14:textId="4F4FCE35" w:rsidR="00685966" w:rsidRPr="00685966" w:rsidRDefault="00685966" w:rsidP="00685966">
      <w:pPr>
        <w:spacing w:after="120" w:line="276" w:lineRule="auto"/>
        <w:ind w:firstLine="709"/>
        <w:jc w:val="both"/>
        <w:rPr>
          <w:rFonts w:ascii="Verdana" w:hAnsi="Verdana"/>
        </w:rPr>
      </w:pPr>
      <w:r w:rsidRPr="00685966">
        <w:rPr>
          <w:rFonts w:ascii="Verdana" w:hAnsi="Verdana"/>
        </w:rPr>
        <w:t>En consecuencia, el artículo 2.2.1.2.4.2.7.3 opera dentro del marco normativo vigente de suficiencia de garantías y no contra él. La mención al "valor de la garantía de seriedad de la oferta" como objeto de ajuste diferencial debe entenderse en el sentido de que la entidad puede flexibilizar las condiciones de esa garantía sin quebrantar el piso del 10% que establece la regla general imperativa.</w:t>
      </w:r>
    </w:p>
    <w:p w14:paraId="1AF8865F"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 xml:space="preserve">La hermenéutica jurídica exige que, cuando dos disposiciones del mismo rango normativo —en este caso, ambos artículos pertenecen al Decreto 1082 de 2015— regulan aspectos conexos, se busque la interpretación que permita su aplicación armónica y no la que genere antinomias. El artículo 2.2.1.2.3.1.9 establece el régimen general e imperativo de suficiencia de la garantía de seriedad para todos los procesos de contratación. El artículo 2.2.1.2.4.2.7.3 establece una medida afirmativa específica en materia de requisitos habilitantes diferenciales. La interpretación que armoniza ambas disposiciones es aquella según la cual el ajuste diferencial opera respecto de los componentes </w:t>
      </w:r>
      <w:r w:rsidRPr="00685966">
        <w:rPr>
          <w:rFonts w:ascii="Verdana" w:hAnsi="Verdana"/>
        </w:rPr>
        <w:lastRenderedPageBreak/>
        <w:t>habilitantes donde no existe un piso normativo imperativo expreso —como la experiencia, la capacidad financiera y la capacidad organizacional—, y respecto de la garantía de seriedad opera en los aspectos que no comprometan el mínimo de suficiencia del 10%.</w:t>
      </w:r>
    </w:p>
    <w:p w14:paraId="4B47A375" w14:textId="77777777" w:rsidR="00685966" w:rsidRPr="00685966" w:rsidRDefault="00685966" w:rsidP="00685966">
      <w:pPr>
        <w:spacing w:after="120" w:line="276" w:lineRule="auto"/>
        <w:ind w:firstLine="709"/>
        <w:jc w:val="both"/>
        <w:rPr>
          <w:rFonts w:ascii="Verdana" w:hAnsi="Verdana"/>
        </w:rPr>
      </w:pPr>
      <w:r w:rsidRPr="00685966">
        <w:rPr>
          <w:rFonts w:ascii="Verdana" w:hAnsi="Verdana"/>
        </w:rPr>
        <w:t>La interpretación contraria —según la cual el artículo 2.2.1.2.4.2.7.3 habilitaría a las entidades para fijar porcentajes inferiores al 10%— implicaría aceptar que una norma reglamentaria especial deroga tácitamente una norma reglamentaria general imperativa sin que así lo declare expresamente, lo cual contraviene el principio de seguridad jurídica y la técnica normativa que el propio Decreto 287 de 2026 observó al delimitar con precisión las disposiciones que modifica y las que deroga.</w:t>
      </w:r>
    </w:p>
    <w:p w14:paraId="0B89858D" w14:textId="0817FB4E" w:rsidR="00685966" w:rsidRPr="00305ABD" w:rsidRDefault="00685966" w:rsidP="00305ABD">
      <w:pPr>
        <w:spacing w:after="120" w:line="276" w:lineRule="auto"/>
        <w:ind w:firstLine="709"/>
        <w:jc w:val="both"/>
        <w:rPr>
          <w:rFonts w:ascii="Verdana" w:hAnsi="Verdana"/>
        </w:rPr>
      </w:pPr>
      <w:r w:rsidRPr="00685966">
        <w:rPr>
          <w:rFonts w:ascii="Verdana" w:hAnsi="Verdana"/>
        </w:rPr>
        <w:t xml:space="preserve">El parágrafo del artículo 2.2.1.2.3.1.9 —adicionado por el Decreto 1860 de 2021— dispone que "Colombia Compra Eficiente podrá definir un valor de suficiencia diferencial para la garantía de seriedad de las ofertas presentadas por los emprendimientos y las empresas de mujeres, y las </w:t>
      </w:r>
      <w:proofErr w:type="spellStart"/>
      <w:r w:rsidRPr="00685966">
        <w:rPr>
          <w:rFonts w:ascii="Verdana" w:hAnsi="Verdana"/>
        </w:rPr>
        <w:t>Mipyme</w:t>
      </w:r>
      <w:proofErr w:type="spellEnd"/>
      <w:r w:rsidRPr="00685966">
        <w:rPr>
          <w:rFonts w:ascii="Verdana" w:hAnsi="Verdana"/>
        </w:rPr>
        <w:t xml:space="preserve"> en los Acuerdos Marco de Precio". Esta disposición es relevante porque revela que cuando el </w:t>
      </w:r>
      <w:proofErr w:type="spellStart"/>
      <w:r w:rsidRPr="00685966">
        <w:rPr>
          <w:rFonts w:ascii="Verdana" w:hAnsi="Verdana"/>
        </w:rPr>
        <w:t>reglamentador</w:t>
      </w:r>
      <w:proofErr w:type="spellEnd"/>
      <w:r w:rsidRPr="00685966">
        <w:rPr>
          <w:rFonts w:ascii="Verdana" w:hAnsi="Verdana"/>
        </w:rPr>
        <w:t xml:space="preserve"> quiso habilitar la posibilidad de fijar un valor de suficiencia diferencial inferior al 10%, lo hizo de manera expresa, designó al sujeto competente —esta Agencia, no las entidades contratantes— y delimitó el ámbito de aplicación —exclusivamente los Acuerdos Marco de Precio—. Si el Decreto 287 de 2026 hubiera querido extender esa misma habilitación a las entidades contratantes y a otros procesos de selección, habría utilizado una técnica normativa similar, modificando el artículo 2.2.1.2.3.1.9 o adicionando un nuevo parágrafo. No lo hizo.</w:t>
      </w:r>
    </w:p>
    <w:p w14:paraId="2F80FF0B" w14:textId="4C33DFC9" w:rsidR="00685966" w:rsidRDefault="00685966" w:rsidP="00685966">
      <w:pPr>
        <w:spacing w:after="120" w:line="276" w:lineRule="auto"/>
        <w:ind w:firstLine="709"/>
        <w:jc w:val="both"/>
        <w:rPr>
          <w:rFonts w:ascii="Verdana" w:hAnsi="Verdana"/>
        </w:rPr>
      </w:pPr>
      <w:r w:rsidRPr="00685966">
        <w:rPr>
          <w:rFonts w:ascii="Verdana" w:hAnsi="Verdana"/>
        </w:rPr>
        <w:t>Es importante precisar que la conclusión anterior no vacía de contenido la medida afirmativa del artículo 2.2.1.2.4.2.7.3. Los componentes habilitantes respecto de los cuales el ajuste diferencial opera plenamente y sin restricción de piso normativo son: (i) la experiencia, donde la entidad puede reducir los umbrales de experiencia exigidos; (</w:t>
      </w:r>
      <w:proofErr w:type="spellStart"/>
      <w:r w:rsidRPr="00685966">
        <w:rPr>
          <w:rFonts w:ascii="Verdana" w:hAnsi="Verdana"/>
        </w:rPr>
        <w:t>ii</w:t>
      </w:r>
      <w:proofErr w:type="spellEnd"/>
      <w:r w:rsidRPr="00685966">
        <w:rPr>
          <w:rFonts w:ascii="Verdana" w:hAnsi="Verdana"/>
        </w:rPr>
        <w:t>) la capacidad financiera, donde puede flexibilizar indicadores como el índice de liquidez, el nivel de endeudamiento o la razón de cobertura de intereses; y (</w:t>
      </w:r>
      <w:proofErr w:type="spellStart"/>
      <w:r w:rsidRPr="00685966">
        <w:rPr>
          <w:rFonts w:ascii="Verdana" w:hAnsi="Verdana"/>
        </w:rPr>
        <w:t>iii</w:t>
      </w:r>
      <w:proofErr w:type="spellEnd"/>
      <w:r w:rsidRPr="00685966">
        <w:rPr>
          <w:rFonts w:ascii="Verdana" w:hAnsi="Verdana"/>
        </w:rPr>
        <w:t xml:space="preserve">) la capacidad organizacional, donde puede ajustar los indicadores de rentabilidad exigidos. En estos tres componentes no existe un porcentaje mínimo imperativo equivalente al del artículo 2.2.1.2.3.1.9, por lo que la entidad dispone de un margen amplio para establecer requisitos diferenciales que faciliten la participación de </w:t>
      </w:r>
      <w:r w:rsidRPr="00685966">
        <w:rPr>
          <w:rFonts w:ascii="Verdana" w:hAnsi="Verdana"/>
        </w:rPr>
        <w:lastRenderedPageBreak/>
        <w:t>emprendimientos y empresas de personas con discapacidad, siempre que garantice el cumplimiento adecuado del objeto contractual y observe el principio de proporcionalidad.</w:t>
      </w:r>
    </w:p>
    <w:p w14:paraId="1B39F09E" w14:textId="55F19AAD" w:rsidR="00670CFB" w:rsidRPr="00670CFB" w:rsidRDefault="00670CFB" w:rsidP="003C3B8B">
      <w:pPr>
        <w:spacing w:after="120" w:line="276" w:lineRule="auto"/>
        <w:ind w:firstLine="709"/>
        <w:jc w:val="both"/>
        <w:rPr>
          <w:rFonts w:ascii="Verdana" w:hAnsi="Verdana"/>
        </w:rPr>
      </w:pPr>
      <w:r w:rsidRPr="00670CFB">
        <w:rPr>
          <w:rFonts w:ascii="Verdana" w:hAnsi="Verdana"/>
        </w:rPr>
        <w:t>(</w:t>
      </w:r>
      <w:proofErr w:type="spellStart"/>
      <w:r w:rsidR="00685966">
        <w:rPr>
          <w:rFonts w:ascii="Verdana" w:hAnsi="Verdana"/>
        </w:rPr>
        <w:t>iv</w:t>
      </w:r>
      <w:proofErr w:type="spellEnd"/>
      <w:r w:rsidRPr="00670CFB">
        <w:rPr>
          <w:rFonts w:ascii="Verdana" w:hAnsi="Verdana"/>
        </w:rPr>
        <w:t>)</w:t>
      </w:r>
      <w:r w:rsidR="00103BFE">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8D0AA47" w14:textId="0FF3309C"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sidR="008A5E24">
        <w:rPr>
          <w:rFonts w:ascii="Verdana" w:hAnsi="Verdana"/>
        </w:rPr>
        <w:t xml:space="preserve">sometidas </w:t>
      </w:r>
      <w:r w:rsidR="00F52E27">
        <w:rPr>
          <w:rFonts w:ascii="Verdana" w:hAnsi="Verdana"/>
        </w:rPr>
        <w:t xml:space="preserve">al </w:t>
      </w:r>
      <w:r w:rsidR="00F52E27" w:rsidRPr="00670CFB">
        <w:rPr>
          <w:rFonts w:ascii="Verdana" w:hAnsi="Verdana"/>
        </w:rPr>
        <w:t>Estatuto</w:t>
      </w:r>
      <w:r w:rsidR="008A5E24">
        <w:rPr>
          <w:rFonts w:ascii="Verdana" w:hAnsi="Verdana"/>
        </w:rPr>
        <w:t xml:space="preserve"> General de Contratación Pública </w:t>
      </w:r>
      <w:r w:rsidRPr="00670CFB">
        <w:rPr>
          <w:rFonts w:ascii="Verdana" w:hAnsi="Verdana"/>
        </w:rPr>
        <w:t xml:space="preserve">en licitación pública, concurso de méritos, mínima cuantía y selección abreviada, pero no en contratación directa, que tiene su propia medida afirmativa. Su omisión </w:t>
      </w:r>
      <w:r w:rsidRPr="00670CFB">
        <w:rPr>
          <w:rFonts w:ascii="Verdana" w:hAnsi="Verdana"/>
        </w:rPr>
        <w:lastRenderedPageBreak/>
        <w:t>injustificada en los estudios previos puede comprometer la legalidad de la planeación contractual al desconocer una obligación legal expresa.</w:t>
      </w:r>
    </w:p>
    <w:p w14:paraId="18212735" w14:textId="658D3AED"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sidR="008A5E24">
        <w:rPr>
          <w:rFonts w:ascii="Verdana" w:hAnsi="Verdana"/>
        </w:rPr>
        <w:t>l</w:t>
      </w:r>
      <w:r w:rsidRPr="00670CFB">
        <w:rPr>
          <w:rFonts w:ascii="Verdana" w:hAnsi="Verdana"/>
        </w:rPr>
        <w:t xml:space="preserve"> </w:t>
      </w:r>
      <w:r w:rsidR="008A5E24">
        <w:rPr>
          <w:rFonts w:ascii="Verdana" w:hAnsi="Verdana"/>
        </w:rPr>
        <w:t>Estatuto General de Contratación Pública</w:t>
      </w:r>
      <w:r w:rsidR="008A5E24" w:rsidRPr="00670CFB">
        <w:rPr>
          <w:rFonts w:ascii="Verdana" w:hAnsi="Verdana"/>
        </w:rPr>
        <w:t xml:space="preserve"> </w:t>
      </w:r>
      <w:r w:rsidRPr="00670CFB">
        <w:rPr>
          <w:rFonts w:ascii="Verdana" w:hAnsi="Verdana"/>
        </w:rPr>
        <w:t xml:space="preserve">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AE9E5AF" w14:textId="7B38324D"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w:t>
      </w:r>
      <w:r w:rsidRPr="00670CFB">
        <w:rPr>
          <w:rFonts w:ascii="Verdana" w:hAnsi="Verdana"/>
        </w:rPr>
        <w:lastRenderedPageBreak/>
        <w:t xml:space="preserve">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0A1D44B7" w14:textId="7F9C8CFC"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sidR="008A5E24">
        <w:rPr>
          <w:rFonts w:ascii="Verdana" w:hAnsi="Verdana"/>
        </w:rPr>
        <w:t xml:space="preserve">sometidas </w:t>
      </w:r>
      <w:r w:rsidR="004B2ACC">
        <w:rPr>
          <w:rFonts w:ascii="Verdana" w:hAnsi="Verdana"/>
        </w:rPr>
        <w:t>al</w:t>
      </w:r>
      <w:r w:rsidRPr="00670CFB">
        <w:rPr>
          <w:rFonts w:ascii="Verdana" w:hAnsi="Verdana"/>
        </w:rPr>
        <w:t xml:space="preserve"> </w:t>
      </w:r>
      <w:r w:rsidR="008A5E24">
        <w:rPr>
          <w:rFonts w:ascii="Verdana" w:hAnsi="Verdana"/>
        </w:rPr>
        <w:t>Estatuto General de Contratación Pública</w:t>
      </w:r>
      <w:r w:rsidR="008A5E24" w:rsidRPr="00670CFB">
        <w:rPr>
          <w:rFonts w:ascii="Verdana" w:hAnsi="Verdana"/>
        </w:rPr>
        <w:t xml:space="preserve"> </w:t>
      </w:r>
      <w:r w:rsidRPr="00670CFB">
        <w:rPr>
          <w:rFonts w:ascii="Verdana" w:hAnsi="Verdana"/>
        </w:rPr>
        <w:t>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1FE1E7AA" w14:textId="6A9AA6D8"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sidR="008A5E24">
        <w:rPr>
          <w:rFonts w:ascii="Verdana" w:hAnsi="Verdana"/>
        </w:rPr>
        <w:t>sometidas al Estatuto General de Contratación Pública</w:t>
      </w:r>
      <w:r w:rsidR="008A5E24" w:rsidRPr="00670CFB">
        <w:rPr>
          <w:rFonts w:ascii="Verdana" w:hAnsi="Verdana"/>
        </w:rPr>
        <w:t xml:space="preserve"> </w:t>
      </w:r>
      <w:r w:rsidRPr="00670CFB">
        <w:rPr>
          <w:rFonts w:ascii="Verdana" w:hAnsi="Verdana"/>
        </w:rPr>
        <w:t xml:space="preserve">propenderán por esta </w:t>
      </w:r>
      <w:r w:rsidRPr="00670CFB">
        <w:rPr>
          <w:rFonts w:ascii="Verdana" w:hAnsi="Verdana"/>
        </w:rPr>
        <w:lastRenderedPageBreak/>
        <w:t xml:space="preserve">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38812DAA" w14:textId="53F87845"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sidR="00A87C26">
        <w:rPr>
          <w:rFonts w:ascii="Verdana" w:hAnsi="Verdana"/>
        </w:rPr>
        <w:t>los que se adquieran</w:t>
      </w:r>
      <w:r w:rsidRPr="00670CFB">
        <w:rPr>
          <w:rFonts w:ascii="Verdana" w:hAnsi="Verdana"/>
        </w:rPr>
        <w:t xml:space="preserve"> bien</w:t>
      </w:r>
      <w:r w:rsidR="00A87C26">
        <w:rPr>
          <w:rFonts w:ascii="Verdana" w:hAnsi="Verdana"/>
        </w:rPr>
        <w:t>es</w:t>
      </w:r>
      <w:r w:rsidRPr="00670CFB">
        <w:rPr>
          <w:rFonts w:ascii="Verdana" w:hAnsi="Verdana"/>
        </w:rPr>
        <w:t>, obra</w:t>
      </w:r>
      <w:r w:rsidR="00A87C26">
        <w:rPr>
          <w:rFonts w:ascii="Verdana" w:hAnsi="Verdana"/>
        </w:rPr>
        <w:t>s</w:t>
      </w:r>
      <w:r w:rsidRPr="00670CFB">
        <w:rPr>
          <w:rFonts w:ascii="Verdana" w:hAnsi="Verdana"/>
        </w:rPr>
        <w:t xml:space="preserve"> o servicio</w:t>
      </w:r>
      <w:r w:rsidR="00A87C26">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4EC1A27B" w14:textId="77777777" w:rsidR="00670CFB" w:rsidRPr="00670CFB" w:rsidRDefault="00670CFB" w:rsidP="003C3B8B">
      <w:pPr>
        <w:spacing w:after="120" w:line="276" w:lineRule="auto"/>
        <w:ind w:firstLine="709"/>
        <w:jc w:val="both"/>
        <w:rPr>
          <w:rFonts w:ascii="Verdana" w:hAnsi="Verdana"/>
        </w:rPr>
      </w:pPr>
      <w:r w:rsidRPr="00670CFB">
        <w:rPr>
          <w:rFonts w:ascii="Verdana" w:hAnsi="Verdana"/>
        </w:rPr>
        <w:t xml:space="preserve">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w:t>
      </w:r>
      <w:r w:rsidRPr="00670CFB">
        <w:rPr>
          <w:rFonts w:ascii="Verdana" w:hAnsi="Verdana"/>
        </w:rPr>
        <w:lastRenderedPageBreak/>
        <w:t>jurídicas concretas frente a su inobservancia y con un horizonte claro de inclusión laboral efectiva y progresiva de esta población.</w:t>
      </w:r>
    </w:p>
    <w:p w14:paraId="26EE0FA2" w14:textId="77777777" w:rsidR="00C03F30" w:rsidRPr="00206556" w:rsidRDefault="00C03F30" w:rsidP="008D5774">
      <w:pPr>
        <w:spacing w:after="0" w:line="276" w:lineRule="auto"/>
        <w:jc w:val="both"/>
        <w:rPr>
          <w:rFonts w:ascii="Verdana" w:eastAsia="Calibri" w:hAnsi="Verdana" w:cs="Arial"/>
          <w:lang w:val="es-ES"/>
        </w:rPr>
      </w:pPr>
    </w:p>
    <w:p w14:paraId="3BB213F2" w14:textId="39B40B46" w:rsidR="00670CFB" w:rsidRPr="00206556" w:rsidRDefault="008D5774" w:rsidP="008D5774">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5774" w:rsidRPr="00206556" w14:paraId="1C6609D5" w14:textId="77777777" w:rsidTr="0002168A">
        <w:trPr>
          <w:trHeight w:val="297"/>
        </w:trPr>
        <w:tc>
          <w:tcPr>
            <w:tcW w:w="8647" w:type="dxa"/>
          </w:tcPr>
          <w:p w14:paraId="0145906A" w14:textId="4D7EA1CC" w:rsidR="007B5AD4" w:rsidRPr="00670CFB" w:rsidRDefault="007B5AD4" w:rsidP="00670CFB">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64C1EAA1" w14:textId="09B119CE"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7E52FE33" w14:textId="5B2C1DCA"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0EEDC6B" w14:textId="4C0AB84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768AD24E" w14:textId="3B86D8CE"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46B2E795" w14:textId="3E73AE73"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586B12AC" w14:textId="6E32E0E8"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1EB83EA2" w14:textId="4284DBE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D4780C8" w14:textId="40C3F44D"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B242769" w14:textId="3D573DDD"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1508CE2D" w14:textId="0D56FC04"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DDA3E76" w14:textId="55F21E92"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89AEB7E" w14:textId="7E5B6171"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3A490436" w14:textId="22025CA7"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E335161" w14:textId="64D70CCE"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31C5ADD6" w14:textId="00197EBF"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07AABC0B" w14:textId="62D6C065"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3BFCA88B" w14:textId="291AB883"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w:t>
            </w:r>
            <w:r w:rsidRPr="00206556">
              <w:rPr>
                <w:rFonts w:ascii="Verdana" w:eastAsia="Arial MT" w:hAnsi="Verdana" w:cs="Arial"/>
                <w:lang w:eastAsia="es-ES" w:bidi="es-ES"/>
              </w:rPr>
              <w:lastRenderedPageBreak/>
              <w:t xml:space="preserve">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66DABF53" w14:textId="0337E03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0EAC364" w14:textId="7FC8D207"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7956D746" w14:textId="4E39E3D6"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138D93B1" w14:textId="1709780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39679922" w14:textId="79F14A85"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566A9128" w14:textId="75D8BCDB"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514F8346" w14:textId="150D498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26BE2CD" w14:textId="07918F3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474425AC" w14:textId="697AB31D" w:rsidR="008D5774" w:rsidRPr="00206556" w:rsidRDefault="008D5774" w:rsidP="007B5AD4">
            <w:pPr>
              <w:widowControl w:val="0"/>
              <w:autoSpaceDE w:val="0"/>
              <w:autoSpaceDN w:val="0"/>
              <w:spacing w:line="276" w:lineRule="auto"/>
              <w:jc w:val="both"/>
              <w:rPr>
                <w:rFonts w:ascii="Verdana" w:eastAsia="Arial MT" w:hAnsi="Verdana" w:cs="Arial"/>
                <w:lang w:val="es-ES" w:eastAsia="es-ES" w:bidi="es-ES"/>
              </w:rPr>
            </w:pPr>
          </w:p>
        </w:tc>
      </w:tr>
    </w:tbl>
    <w:p w14:paraId="1193FBC3" w14:textId="77777777" w:rsidR="008D5774" w:rsidRPr="00206556"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34E15F3" w14:textId="25AF6A80" w:rsidR="008D5774" w:rsidRDefault="008D5774" w:rsidP="00670CFB">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8206BDC" w14:textId="77777777" w:rsidR="00852A3D" w:rsidRPr="00670CFB" w:rsidRDefault="00852A3D" w:rsidP="00670CFB">
      <w:pPr>
        <w:tabs>
          <w:tab w:val="left" w:pos="142"/>
          <w:tab w:val="left" w:pos="284"/>
        </w:tabs>
        <w:spacing w:after="0" w:line="276" w:lineRule="auto"/>
        <w:jc w:val="both"/>
        <w:rPr>
          <w:rFonts w:ascii="Verdana" w:eastAsia="Century Gothic" w:hAnsi="Verdana" w:cs="Century Gothic"/>
          <w:b/>
          <w:lang w:val="es-ES"/>
        </w:rPr>
      </w:pPr>
    </w:p>
    <w:p w14:paraId="6FE230E8" w14:textId="21FF49A1" w:rsidR="008D5774" w:rsidRPr="00305ABD" w:rsidRDefault="008D5774" w:rsidP="008D5774">
      <w:pPr>
        <w:spacing w:after="0" w:line="276" w:lineRule="auto"/>
        <w:jc w:val="both"/>
        <w:rPr>
          <w:rFonts w:ascii="Verdana" w:hAnsi="Verdana"/>
          <w:color w:val="ED7D31" w:themeColor="accent2"/>
          <w:lang w:val="es-ES"/>
        </w:rPr>
      </w:pPr>
      <w:r w:rsidRPr="00305ABD">
        <w:rPr>
          <w:rFonts w:ascii="Verdana" w:eastAsia="Calibri" w:hAnsi="Verdana" w:cs="Arial"/>
          <w:lang w:val="es-ES"/>
        </w:rPr>
        <w:t xml:space="preserve">La Agencia Nacional de Contratación Pública – Colombia Compra Eficiente se ha referido </w:t>
      </w:r>
      <w:r w:rsidRPr="00305ABD">
        <w:rPr>
          <w:rFonts w:ascii="Verdana" w:hAnsi="Verdana" w:cs="Arial"/>
          <w:shd w:val="clear" w:color="auto" w:fill="FFFFFF"/>
          <w:lang w:val="es-ES"/>
        </w:rPr>
        <w:t xml:space="preserve">sobre </w:t>
      </w:r>
      <w:r w:rsidR="007B5AD4" w:rsidRPr="00305ABD">
        <w:rPr>
          <w:rFonts w:ascii="Verdana" w:hAnsi="Verdana" w:cs="Arial"/>
          <w:shd w:val="clear" w:color="auto" w:fill="FFFFFF"/>
          <w:lang w:val="es-ES"/>
        </w:rPr>
        <w:t xml:space="preserve">el alcance del Decreto 0287 de 2026 </w:t>
      </w:r>
      <w:r w:rsidR="00305ABD" w:rsidRPr="00305ABD">
        <w:rPr>
          <w:rFonts w:ascii="Verdana" w:hAnsi="Verdana" w:cs="Arial"/>
          <w:shd w:val="clear" w:color="auto" w:fill="FFFFFF"/>
          <w:lang w:val="es-ES"/>
        </w:rPr>
        <w:t xml:space="preserve">en los conceptos </w:t>
      </w:r>
      <w:r w:rsidR="00305ABD" w:rsidRPr="00305ABD">
        <w:rPr>
          <w:rStyle w:val="Fuerte"/>
          <w:rFonts w:ascii="Verdana" w:hAnsi="Verdana"/>
          <w:b w:val="0"/>
          <w:bCs w:val="0"/>
        </w:rPr>
        <w:t>C-507 de 2026</w:t>
      </w:r>
      <w:r w:rsidR="00305ABD" w:rsidRPr="00305ABD">
        <w:rPr>
          <w:rStyle w:val="Fuerte"/>
          <w:rFonts w:ascii="Verdana" w:hAnsi="Verdana"/>
        </w:rPr>
        <w:t xml:space="preserve">, </w:t>
      </w:r>
      <w:r w:rsidR="00305ABD" w:rsidRPr="00305ABD">
        <w:rPr>
          <w:rFonts w:ascii="Verdana" w:hAnsi="Verdana"/>
        </w:rPr>
        <w:t>C-572 de 2026,</w:t>
      </w:r>
      <w:r w:rsidR="00305ABD" w:rsidRPr="00305ABD">
        <w:rPr>
          <w:rFonts w:ascii="Verdana" w:hAnsi="Verdana"/>
          <w:b/>
          <w:bCs/>
        </w:rPr>
        <w:t xml:space="preserve"> </w:t>
      </w:r>
      <w:r w:rsidR="00305ABD" w:rsidRPr="00305ABD">
        <w:rPr>
          <w:rStyle w:val="Fuerte"/>
          <w:rFonts w:ascii="Verdana" w:hAnsi="Verdana"/>
          <w:b w:val="0"/>
          <w:bCs w:val="0"/>
        </w:rPr>
        <w:t>C-581 de 2026, entre otras</w:t>
      </w:r>
      <w:r w:rsidRPr="00305ABD">
        <w:rPr>
          <w:rFonts w:ascii="Verdana" w:eastAsia="Calibri" w:hAnsi="Verdana" w:cs="Arial"/>
          <w:lang w:val="es-ES_tradnl" w:eastAsia="es-ES"/>
        </w:rPr>
        <w:t>.</w:t>
      </w:r>
      <w:r w:rsidR="0015488B" w:rsidRPr="00305ABD">
        <w:rPr>
          <w:rFonts w:ascii="Verdana" w:hAnsi="Verdana" w:cs="Arial"/>
          <w:shd w:val="clear" w:color="auto" w:fill="FFFFFF"/>
          <w:lang w:val="es-ES"/>
        </w:rPr>
        <w:t xml:space="preserve"> </w:t>
      </w:r>
      <w:r w:rsidRPr="00305ABD">
        <w:rPr>
          <w:rFonts w:ascii="Verdana" w:hAnsi="Verdana" w:cs="Arial"/>
          <w:shd w:val="clear" w:color="auto" w:fill="FFFFFF"/>
          <w:lang w:val="es-ES"/>
        </w:rPr>
        <w:t>Est</w:t>
      </w:r>
      <w:r w:rsidR="00852A3D" w:rsidRPr="00305ABD">
        <w:rPr>
          <w:rFonts w:ascii="Verdana" w:hAnsi="Verdana" w:cs="Arial"/>
          <w:shd w:val="clear" w:color="auto" w:fill="FFFFFF"/>
          <w:lang w:val="es-ES"/>
        </w:rPr>
        <w:t>e</w:t>
      </w:r>
      <w:r w:rsidRPr="00305ABD">
        <w:rPr>
          <w:rFonts w:ascii="Verdana" w:hAnsi="Verdana"/>
          <w:lang w:val="es-ES"/>
        </w:rPr>
        <w:t xml:space="preserve"> y otros se encuentran disponibles para consulta en el Sistema de relatoría de la Agencia, al cual se puede acceder a través del siguiente enlace:</w:t>
      </w:r>
      <w:r w:rsidRPr="00305ABD">
        <w:rPr>
          <w:rFonts w:ascii="Verdana" w:hAnsi="Verdana" w:cs="Arial"/>
          <w:shd w:val="clear" w:color="auto" w:fill="FFFFFF"/>
          <w:lang w:val="es-ES"/>
        </w:rPr>
        <w:t xml:space="preserve"> </w:t>
      </w:r>
      <w:hyperlink r:id="rId12" w:history="1">
        <w:r w:rsidRPr="00305ABD">
          <w:rPr>
            <w:rStyle w:val="Hipervnculo"/>
            <w:rFonts w:ascii="Verdana" w:hAnsi="Verdana" w:cs="Arial"/>
            <w:shd w:val="clear" w:color="auto" w:fill="FFFFFF"/>
            <w:lang w:val="es-ES"/>
          </w:rPr>
          <w:t>https://relatoria.colombiacompra.gov.co/busqueda/conceptos</w:t>
        </w:r>
      </w:hyperlink>
    </w:p>
    <w:p w14:paraId="537B2233" w14:textId="77777777" w:rsidR="008D5774" w:rsidRPr="00206556" w:rsidRDefault="008D5774" w:rsidP="003C3B8B">
      <w:pPr>
        <w:spacing w:after="0" w:line="276" w:lineRule="auto"/>
        <w:jc w:val="both"/>
        <w:rPr>
          <w:rFonts w:ascii="Verdana" w:hAnsi="Verdana" w:cs="Arial"/>
          <w:color w:val="ED7D31" w:themeColor="accent2"/>
          <w:shd w:val="clear" w:color="auto" w:fill="FFFFFF"/>
          <w:lang w:val="es-ES"/>
        </w:rPr>
      </w:pPr>
    </w:p>
    <w:p w14:paraId="53F8138D" w14:textId="775728F2"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w:t>
      </w:r>
      <w:r w:rsidRPr="00206556">
        <w:rPr>
          <w:rFonts w:ascii="Verdana" w:hAnsi="Verdana" w:cs="Arial"/>
          <w:shd w:val="clear" w:color="auto" w:fill="FFFFFF"/>
        </w:rPr>
        <w:lastRenderedPageBreak/>
        <w:t xml:space="preserve">públicos, proveedores, servidores públicos v para generar mayor valor público. Accede al curso y aprende como implementar criterios sociales y ambientales en las diferentes etapas del proceso de contratación: </w:t>
      </w:r>
      <w:hyperlink r:id="rId13" w:history="1">
        <w:r w:rsidR="00CF24C0" w:rsidRPr="00206556">
          <w:rPr>
            <w:rStyle w:val="Hipervnculo"/>
            <w:rFonts w:ascii="Verdana" w:hAnsi="Verdana" w:cs="Arial"/>
            <w:shd w:val="clear" w:color="auto" w:fill="FFFFFF"/>
          </w:rPr>
          <w:t>https://formacionvirtual.colombiacompra.gov.co/mod/page/view.php?id=3718</w:t>
        </w:r>
      </w:hyperlink>
      <w:r w:rsidR="00CF24C0" w:rsidRPr="00206556">
        <w:rPr>
          <w:rFonts w:ascii="Verdana" w:hAnsi="Verdana" w:cs="Arial"/>
          <w:shd w:val="clear" w:color="auto" w:fill="FFFFFF"/>
        </w:rPr>
        <w:t xml:space="preserve"> </w:t>
      </w:r>
    </w:p>
    <w:p w14:paraId="2D72AF6B" w14:textId="77777777" w:rsidR="005179DF" w:rsidRPr="00206556" w:rsidRDefault="005179DF" w:rsidP="003C3B8B">
      <w:pPr>
        <w:spacing w:after="0" w:line="276" w:lineRule="auto"/>
        <w:jc w:val="both"/>
        <w:rPr>
          <w:rFonts w:ascii="Verdana" w:hAnsi="Verdana" w:cs="Arial"/>
          <w:shd w:val="clear" w:color="auto" w:fill="FFFFFF"/>
        </w:rPr>
      </w:pPr>
    </w:p>
    <w:p w14:paraId="6F12E20F" w14:textId="1D3FA391"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6F44F44" w14:textId="77777777" w:rsidR="005179DF" w:rsidRPr="00206556" w:rsidRDefault="005179DF" w:rsidP="003C3B8B">
      <w:pPr>
        <w:spacing w:after="0" w:line="276" w:lineRule="auto"/>
        <w:jc w:val="both"/>
        <w:rPr>
          <w:rFonts w:ascii="Verdana" w:hAnsi="Verdana" w:cs="Arial"/>
          <w:shd w:val="clear" w:color="auto" w:fill="FFFFFF"/>
        </w:rPr>
      </w:pPr>
    </w:p>
    <w:p w14:paraId="4277517C" w14:textId="77777777"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50BA40C8" w14:textId="77777777" w:rsidR="008D5774" w:rsidRPr="00206556" w:rsidRDefault="008D5774" w:rsidP="003C3B8B">
      <w:pPr>
        <w:spacing w:after="0" w:line="276" w:lineRule="auto"/>
        <w:jc w:val="both"/>
        <w:rPr>
          <w:rFonts w:ascii="Verdana" w:hAnsi="Verdana" w:cs="Arial"/>
          <w:color w:val="ED7D31" w:themeColor="accent2"/>
          <w:shd w:val="clear" w:color="auto" w:fill="FFFFFF"/>
        </w:rPr>
      </w:pPr>
    </w:p>
    <w:p w14:paraId="14541A71"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79871619" w14:textId="77777777" w:rsidR="008D5774" w:rsidRPr="00206556" w:rsidRDefault="008D5774" w:rsidP="008D5774">
      <w:pPr>
        <w:spacing w:after="0"/>
        <w:jc w:val="both"/>
        <w:rPr>
          <w:rFonts w:ascii="Verdana" w:hAnsi="Verdana" w:cs="Arial"/>
          <w:shd w:val="clear" w:color="auto" w:fill="FFFFFF"/>
        </w:rPr>
      </w:pPr>
    </w:p>
    <w:p w14:paraId="4E67AE00"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A8B05A5"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42648E5E"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26B676B4"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40F4A6F7" w14:textId="77777777" w:rsidR="008D5774" w:rsidRPr="00206556"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4B627D4"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22982D"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p>
    <w:p w14:paraId="5934DDF9" w14:textId="77777777" w:rsidR="008D5774" w:rsidRPr="00206556" w:rsidRDefault="008D5774" w:rsidP="008D5774">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75F00371" w14:textId="77777777" w:rsidR="00A754B1" w:rsidRPr="00206556" w:rsidRDefault="00A754B1" w:rsidP="00670CFB">
      <w:pPr>
        <w:autoSpaceDE w:val="0"/>
        <w:autoSpaceDN w:val="0"/>
        <w:adjustRightInd w:val="0"/>
        <w:spacing w:after="0" w:line="276" w:lineRule="auto"/>
        <w:rPr>
          <w:rFonts w:ascii="Verdana" w:eastAsia="Calibri" w:hAnsi="Verdana" w:cs="Arial"/>
          <w:noProof/>
          <w:sz w:val="20"/>
          <w:szCs w:val="20"/>
        </w:rPr>
      </w:pPr>
    </w:p>
    <w:p w14:paraId="13C0EB0F" w14:textId="769CD8F5" w:rsidR="00A754B1" w:rsidRPr="00206556" w:rsidRDefault="00653A60" w:rsidP="00A754B1">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7A3C3725" wp14:editId="731C884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6E719ED8" w:rsidR="00670CFB" w:rsidRPr="00206556" w:rsidRDefault="007841C4" w:rsidP="00670CFB">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 xml:space="preserve">Camilo José Martínez </w:t>
            </w:r>
            <w:proofErr w:type="spellStart"/>
            <w:r>
              <w:rPr>
                <w:rFonts w:ascii="Verdana" w:eastAsia="Times New Roman" w:hAnsi="Verdana" w:cs="Times New Roman"/>
                <w:sz w:val="16"/>
                <w:szCs w:val="16"/>
                <w:lang w:eastAsia="es-CO"/>
              </w:rPr>
              <w:t>Martínez</w:t>
            </w:r>
            <w:proofErr w:type="spellEnd"/>
            <w:r>
              <w:rPr>
                <w:rFonts w:ascii="Verdana" w:eastAsia="Times New Roman" w:hAnsi="Verdana" w:cs="Times New Roman"/>
                <w:sz w:val="16"/>
                <w:szCs w:val="16"/>
                <w:lang w:eastAsia="es-CO"/>
              </w:rPr>
              <w:t xml:space="preserve"> </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243D73CA" w:rsidR="00670CFB" w:rsidRPr="00206556" w:rsidRDefault="007841C4"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Diana Saavedra </w:t>
            </w:r>
          </w:p>
          <w:p w14:paraId="53BA1B20" w14:textId="77777777" w:rsidR="00670CFB" w:rsidRPr="00206556" w:rsidRDefault="00670CFB" w:rsidP="00670CFB">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440C32A" w:rsidR="00670CFB" w:rsidRPr="00206556" w:rsidRDefault="00670CFB" w:rsidP="007841C4">
      <w:pPr>
        <w:autoSpaceDE w:val="0"/>
        <w:autoSpaceDN w:val="0"/>
        <w:adjustRightInd w:val="0"/>
        <w:spacing w:after="0" w:line="276" w:lineRule="auto"/>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D9191" w14:textId="77777777" w:rsidR="00837A75" w:rsidRDefault="00837A75" w:rsidP="004A1847">
      <w:pPr>
        <w:spacing w:after="0" w:line="240" w:lineRule="auto"/>
      </w:pPr>
      <w:r>
        <w:separator/>
      </w:r>
    </w:p>
  </w:endnote>
  <w:endnote w:type="continuationSeparator" w:id="0">
    <w:p w14:paraId="49F9A79F" w14:textId="77777777" w:rsidR="00837A75" w:rsidRDefault="00837A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07DB9" w14:textId="77777777" w:rsidR="00837A75" w:rsidRDefault="00837A75" w:rsidP="004A1847">
      <w:pPr>
        <w:spacing w:after="0" w:line="240" w:lineRule="auto"/>
      </w:pPr>
      <w:r>
        <w:separator/>
      </w:r>
    </w:p>
  </w:footnote>
  <w:footnote w:type="continuationSeparator" w:id="0">
    <w:p w14:paraId="18F323D4" w14:textId="77777777" w:rsidR="00837A75" w:rsidRDefault="00837A75" w:rsidP="004A1847">
      <w:pPr>
        <w:spacing w:after="0" w:line="240" w:lineRule="auto"/>
      </w:pPr>
      <w:r>
        <w:continuationSeparator/>
      </w:r>
    </w:p>
  </w:footnote>
  <w:footnote w:id="1">
    <w:p w14:paraId="4B549662" w14:textId="69BDC5C5" w:rsidR="001C2502" w:rsidRPr="00206556" w:rsidRDefault="001C2502" w:rsidP="001C2502">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7D140E9B" w14:textId="77777777" w:rsidR="001C2502" w:rsidRPr="00206556" w:rsidRDefault="001C2502" w:rsidP="001C2502">
      <w:pPr>
        <w:spacing w:after="80" w:line="240" w:lineRule="auto"/>
        <w:ind w:firstLine="708"/>
        <w:jc w:val="both"/>
        <w:rPr>
          <w:rFonts w:ascii="Verdana" w:hAnsi="Verdana"/>
          <w:sz w:val="16"/>
          <w:szCs w:val="16"/>
        </w:rPr>
      </w:pPr>
    </w:p>
  </w:footnote>
  <w:footnote w:id="2">
    <w:p w14:paraId="0728A198" w14:textId="13797DEF" w:rsidR="001C2502" w:rsidRPr="00206556" w:rsidRDefault="001C2502" w:rsidP="001C250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4B0659D7" w14:textId="77777777" w:rsidR="001C2502" w:rsidRPr="00206556" w:rsidRDefault="001C2502" w:rsidP="001C2502">
      <w:pPr>
        <w:pStyle w:val="Textonotapie"/>
        <w:ind w:firstLine="708"/>
        <w:jc w:val="both"/>
        <w:rPr>
          <w:rFonts w:ascii="Verdana" w:hAnsi="Verdana"/>
          <w:sz w:val="16"/>
          <w:szCs w:val="16"/>
          <w:lang w:val="es-ES"/>
        </w:rPr>
      </w:pPr>
    </w:p>
  </w:footnote>
  <w:footnote w:id="3">
    <w:p w14:paraId="0AB30D8B" w14:textId="3059083C" w:rsidR="001C2502" w:rsidRPr="00206556" w:rsidRDefault="001C2502" w:rsidP="001C2502">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28FB0CC5" w14:textId="77777777" w:rsidR="001C2502" w:rsidRPr="00206556" w:rsidRDefault="001C2502" w:rsidP="001C2502">
      <w:pPr>
        <w:spacing w:after="80" w:line="240" w:lineRule="auto"/>
        <w:ind w:firstLine="708"/>
        <w:jc w:val="both"/>
        <w:rPr>
          <w:rFonts w:ascii="Verdana" w:hAnsi="Verdana"/>
          <w:sz w:val="16"/>
          <w:szCs w:val="16"/>
        </w:rPr>
      </w:pPr>
    </w:p>
  </w:footnote>
  <w:footnote w:id="4">
    <w:p w14:paraId="12028090" w14:textId="229DEE2C" w:rsidR="001C2502" w:rsidRPr="00206556" w:rsidRDefault="001C2502" w:rsidP="001C250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3A5D0FEE" w14:textId="77777777" w:rsidR="001C2502" w:rsidRPr="00206556" w:rsidRDefault="001C2502" w:rsidP="001C2502">
      <w:pPr>
        <w:pStyle w:val="Textonotapie"/>
        <w:ind w:firstLine="708"/>
        <w:jc w:val="both"/>
        <w:rPr>
          <w:rFonts w:ascii="Verdana" w:hAnsi="Verdana"/>
          <w:sz w:val="16"/>
          <w:szCs w:val="16"/>
          <w:lang w:val="es-ES"/>
        </w:rPr>
      </w:pPr>
    </w:p>
  </w:footnote>
  <w:footnote w:id="5">
    <w:p w14:paraId="56084FA1" w14:textId="76FE825B" w:rsidR="001C2502" w:rsidRPr="00206556" w:rsidRDefault="001C2502" w:rsidP="001C2502">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6B4D7182" w14:textId="77777777" w:rsidR="006521AC" w:rsidRPr="00206556" w:rsidRDefault="006521AC" w:rsidP="001C2502">
      <w:pPr>
        <w:pStyle w:val="Textonotapie"/>
        <w:ind w:firstLine="708"/>
        <w:jc w:val="both"/>
        <w:rPr>
          <w:rFonts w:ascii="Verdana" w:hAnsi="Verdana"/>
          <w:sz w:val="16"/>
          <w:szCs w:val="16"/>
          <w:lang w:val="es-ES"/>
        </w:rPr>
      </w:pPr>
    </w:p>
  </w:footnote>
  <w:footnote w:id="6">
    <w:p w14:paraId="70B758A0" w14:textId="425C4927" w:rsidR="006521AC" w:rsidRPr="00206556" w:rsidRDefault="006521AC" w:rsidP="006521A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3D1DEE25" w14:textId="77777777" w:rsidR="006521AC" w:rsidRPr="00206556" w:rsidRDefault="006521AC" w:rsidP="006521AC">
      <w:pPr>
        <w:pStyle w:val="Textonotapie"/>
        <w:ind w:firstLine="708"/>
        <w:rPr>
          <w:rFonts w:ascii="Verdana" w:hAnsi="Verdana"/>
          <w:sz w:val="16"/>
          <w:szCs w:val="16"/>
          <w:lang w:val="es-ES"/>
        </w:rPr>
      </w:pPr>
    </w:p>
  </w:footnote>
  <w:footnote w:id="7">
    <w:p w14:paraId="05E86488" w14:textId="5C6AFB5C" w:rsidR="006521AC" w:rsidRPr="00206556" w:rsidRDefault="006521AC" w:rsidP="006521A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5E79A43D" w14:textId="77777777" w:rsidR="006521AC" w:rsidRPr="00206556" w:rsidRDefault="006521AC" w:rsidP="006521AC">
      <w:pPr>
        <w:pStyle w:val="Textonotapie"/>
        <w:ind w:firstLine="708"/>
        <w:rPr>
          <w:rFonts w:ascii="Verdana" w:hAnsi="Verdana"/>
          <w:sz w:val="16"/>
          <w:szCs w:val="16"/>
          <w:lang w:val="es-ES"/>
        </w:rPr>
      </w:pPr>
    </w:p>
  </w:footnote>
  <w:footnote w:id="8">
    <w:p w14:paraId="336D5BCE" w14:textId="30916641" w:rsidR="006521AC" w:rsidRPr="00206556" w:rsidRDefault="006521AC" w:rsidP="006521A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439317F1" w14:textId="4E1A690D" w:rsidR="00D027C3" w:rsidRPr="00206556" w:rsidRDefault="00D027C3" w:rsidP="00D027C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F810413"/>
    <w:multiLevelType w:val="hybridMultilevel"/>
    <w:tmpl w:val="48B815D2"/>
    <w:lvl w:ilvl="0" w:tplc="5B6EF122">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4"/>
  </w:num>
  <w:num w:numId="14" w16cid:durableId="895897244">
    <w:abstractNumId w:val="15"/>
  </w:num>
  <w:num w:numId="15" w16cid:durableId="390349800">
    <w:abstractNumId w:val="11"/>
  </w:num>
  <w:num w:numId="16" w16cid:durableId="153255849">
    <w:abstractNumId w:val="10"/>
  </w:num>
  <w:num w:numId="17" w16cid:durableId="1245649885">
    <w:abstractNumId w:val="1"/>
  </w:num>
  <w:num w:numId="18" w16cid:durableId="12619853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72F"/>
    <w:rsid w:val="00012FF8"/>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D0334"/>
    <w:rsid w:val="000D2F32"/>
    <w:rsid w:val="000D4B26"/>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4886"/>
    <w:rsid w:val="001406B4"/>
    <w:rsid w:val="00141295"/>
    <w:rsid w:val="00142035"/>
    <w:rsid w:val="00144448"/>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142F"/>
    <w:rsid w:val="0022400B"/>
    <w:rsid w:val="00224979"/>
    <w:rsid w:val="00233946"/>
    <w:rsid w:val="002418DF"/>
    <w:rsid w:val="002421BB"/>
    <w:rsid w:val="0024618D"/>
    <w:rsid w:val="002506B7"/>
    <w:rsid w:val="0025199B"/>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21AB"/>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5ABD"/>
    <w:rsid w:val="0030657A"/>
    <w:rsid w:val="003116AA"/>
    <w:rsid w:val="00316B4B"/>
    <w:rsid w:val="0031712D"/>
    <w:rsid w:val="0032249D"/>
    <w:rsid w:val="00322A85"/>
    <w:rsid w:val="00322AC7"/>
    <w:rsid w:val="00324168"/>
    <w:rsid w:val="00330834"/>
    <w:rsid w:val="00331CBA"/>
    <w:rsid w:val="0033217B"/>
    <w:rsid w:val="003348C1"/>
    <w:rsid w:val="00336915"/>
    <w:rsid w:val="00337110"/>
    <w:rsid w:val="003404B1"/>
    <w:rsid w:val="00341D29"/>
    <w:rsid w:val="003448F4"/>
    <w:rsid w:val="00346FE0"/>
    <w:rsid w:val="00351706"/>
    <w:rsid w:val="0035753C"/>
    <w:rsid w:val="00363F8D"/>
    <w:rsid w:val="00366AAB"/>
    <w:rsid w:val="00373B36"/>
    <w:rsid w:val="00373F51"/>
    <w:rsid w:val="00374F5E"/>
    <w:rsid w:val="00377E3E"/>
    <w:rsid w:val="00395FD0"/>
    <w:rsid w:val="003974B1"/>
    <w:rsid w:val="003A613F"/>
    <w:rsid w:val="003A779E"/>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0A69"/>
    <w:rsid w:val="004654BF"/>
    <w:rsid w:val="00466E39"/>
    <w:rsid w:val="0047233C"/>
    <w:rsid w:val="00472D95"/>
    <w:rsid w:val="00486F02"/>
    <w:rsid w:val="00491868"/>
    <w:rsid w:val="00492EFE"/>
    <w:rsid w:val="004A1847"/>
    <w:rsid w:val="004A305D"/>
    <w:rsid w:val="004B1246"/>
    <w:rsid w:val="004B2ACC"/>
    <w:rsid w:val="004B305D"/>
    <w:rsid w:val="004B4114"/>
    <w:rsid w:val="004B7E7B"/>
    <w:rsid w:val="004C046B"/>
    <w:rsid w:val="004D6D8D"/>
    <w:rsid w:val="004E033F"/>
    <w:rsid w:val="004E19DC"/>
    <w:rsid w:val="004E7B1E"/>
    <w:rsid w:val="004F056A"/>
    <w:rsid w:val="004F21C4"/>
    <w:rsid w:val="004F2BF5"/>
    <w:rsid w:val="004F5ED9"/>
    <w:rsid w:val="004F685F"/>
    <w:rsid w:val="00502309"/>
    <w:rsid w:val="00516F85"/>
    <w:rsid w:val="005179DF"/>
    <w:rsid w:val="00517D53"/>
    <w:rsid w:val="005259F2"/>
    <w:rsid w:val="0053070B"/>
    <w:rsid w:val="00534597"/>
    <w:rsid w:val="00536F7E"/>
    <w:rsid w:val="005541CB"/>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276D7"/>
    <w:rsid w:val="006302F7"/>
    <w:rsid w:val="00630A93"/>
    <w:rsid w:val="00631EDC"/>
    <w:rsid w:val="00635683"/>
    <w:rsid w:val="006378E7"/>
    <w:rsid w:val="0064564D"/>
    <w:rsid w:val="00645740"/>
    <w:rsid w:val="00646B9F"/>
    <w:rsid w:val="006521AC"/>
    <w:rsid w:val="00653A60"/>
    <w:rsid w:val="006552C5"/>
    <w:rsid w:val="00655BAF"/>
    <w:rsid w:val="00665D70"/>
    <w:rsid w:val="00670CFB"/>
    <w:rsid w:val="00671A77"/>
    <w:rsid w:val="00685966"/>
    <w:rsid w:val="006900D9"/>
    <w:rsid w:val="00690862"/>
    <w:rsid w:val="006947E5"/>
    <w:rsid w:val="006A35AB"/>
    <w:rsid w:val="006A64D0"/>
    <w:rsid w:val="006A66C8"/>
    <w:rsid w:val="006A7374"/>
    <w:rsid w:val="006A76CB"/>
    <w:rsid w:val="006B57D1"/>
    <w:rsid w:val="006C00A6"/>
    <w:rsid w:val="006C3CE7"/>
    <w:rsid w:val="006C4B2C"/>
    <w:rsid w:val="006C5EB1"/>
    <w:rsid w:val="006C678A"/>
    <w:rsid w:val="006C7F96"/>
    <w:rsid w:val="006D595B"/>
    <w:rsid w:val="006D6B3F"/>
    <w:rsid w:val="006E4EC5"/>
    <w:rsid w:val="006E6F85"/>
    <w:rsid w:val="006E7113"/>
    <w:rsid w:val="006F596D"/>
    <w:rsid w:val="007009C8"/>
    <w:rsid w:val="0070142E"/>
    <w:rsid w:val="0070233A"/>
    <w:rsid w:val="00703453"/>
    <w:rsid w:val="00706C16"/>
    <w:rsid w:val="00713052"/>
    <w:rsid w:val="00715ED7"/>
    <w:rsid w:val="00723433"/>
    <w:rsid w:val="00731DFB"/>
    <w:rsid w:val="00732C9C"/>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77E98"/>
    <w:rsid w:val="007833AC"/>
    <w:rsid w:val="0078375B"/>
    <w:rsid w:val="007841C4"/>
    <w:rsid w:val="00792D67"/>
    <w:rsid w:val="00796E68"/>
    <w:rsid w:val="007A1BCB"/>
    <w:rsid w:val="007A2CE0"/>
    <w:rsid w:val="007B01BA"/>
    <w:rsid w:val="007B21A8"/>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6318"/>
    <w:rsid w:val="00806F5F"/>
    <w:rsid w:val="008121AA"/>
    <w:rsid w:val="00812D27"/>
    <w:rsid w:val="00816452"/>
    <w:rsid w:val="00816FE1"/>
    <w:rsid w:val="00820278"/>
    <w:rsid w:val="008258C9"/>
    <w:rsid w:val="00831262"/>
    <w:rsid w:val="00835946"/>
    <w:rsid w:val="00837A75"/>
    <w:rsid w:val="008403BF"/>
    <w:rsid w:val="00843BB2"/>
    <w:rsid w:val="0084403B"/>
    <w:rsid w:val="00844AE9"/>
    <w:rsid w:val="0084550E"/>
    <w:rsid w:val="00850360"/>
    <w:rsid w:val="00852A3D"/>
    <w:rsid w:val="00864642"/>
    <w:rsid w:val="00867F95"/>
    <w:rsid w:val="00870496"/>
    <w:rsid w:val="00875289"/>
    <w:rsid w:val="008843B6"/>
    <w:rsid w:val="00886133"/>
    <w:rsid w:val="00887E82"/>
    <w:rsid w:val="0089143B"/>
    <w:rsid w:val="008917C7"/>
    <w:rsid w:val="00891928"/>
    <w:rsid w:val="008A3A49"/>
    <w:rsid w:val="008A446D"/>
    <w:rsid w:val="008A5E24"/>
    <w:rsid w:val="008B25F1"/>
    <w:rsid w:val="008C1642"/>
    <w:rsid w:val="008C727F"/>
    <w:rsid w:val="008C7D46"/>
    <w:rsid w:val="008D10BF"/>
    <w:rsid w:val="008D180B"/>
    <w:rsid w:val="008D348A"/>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4F0F"/>
    <w:rsid w:val="009252BB"/>
    <w:rsid w:val="00925CA2"/>
    <w:rsid w:val="009363F6"/>
    <w:rsid w:val="009419F9"/>
    <w:rsid w:val="0095685E"/>
    <w:rsid w:val="00961B09"/>
    <w:rsid w:val="00965055"/>
    <w:rsid w:val="00965334"/>
    <w:rsid w:val="0097093E"/>
    <w:rsid w:val="00973F3B"/>
    <w:rsid w:val="00975224"/>
    <w:rsid w:val="0098182E"/>
    <w:rsid w:val="00982ACA"/>
    <w:rsid w:val="00982BDF"/>
    <w:rsid w:val="009948E7"/>
    <w:rsid w:val="00995967"/>
    <w:rsid w:val="00996F0C"/>
    <w:rsid w:val="009A0DFA"/>
    <w:rsid w:val="009A1A4B"/>
    <w:rsid w:val="009A1C6F"/>
    <w:rsid w:val="009A5ED3"/>
    <w:rsid w:val="009A7099"/>
    <w:rsid w:val="009B0CF4"/>
    <w:rsid w:val="009B2D26"/>
    <w:rsid w:val="009B3626"/>
    <w:rsid w:val="009B4DDD"/>
    <w:rsid w:val="009B7C82"/>
    <w:rsid w:val="009C44A9"/>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269E"/>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7C26"/>
    <w:rsid w:val="00A925AD"/>
    <w:rsid w:val="00A9418C"/>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1E83"/>
    <w:rsid w:val="00B22BE8"/>
    <w:rsid w:val="00B23A55"/>
    <w:rsid w:val="00B443A2"/>
    <w:rsid w:val="00B44A47"/>
    <w:rsid w:val="00B4752F"/>
    <w:rsid w:val="00B53C1C"/>
    <w:rsid w:val="00B5706D"/>
    <w:rsid w:val="00B6113F"/>
    <w:rsid w:val="00B72CD3"/>
    <w:rsid w:val="00B72FFF"/>
    <w:rsid w:val="00B75E25"/>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0A10"/>
    <w:rsid w:val="00C91D70"/>
    <w:rsid w:val="00C925AC"/>
    <w:rsid w:val="00C93DAC"/>
    <w:rsid w:val="00C95F94"/>
    <w:rsid w:val="00CA0621"/>
    <w:rsid w:val="00CA2E8A"/>
    <w:rsid w:val="00CB0A50"/>
    <w:rsid w:val="00CB44F3"/>
    <w:rsid w:val="00CB6357"/>
    <w:rsid w:val="00CC1B26"/>
    <w:rsid w:val="00CC29BA"/>
    <w:rsid w:val="00CD3561"/>
    <w:rsid w:val="00CE2A60"/>
    <w:rsid w:val="00CF24C0"/>
    <w:rsid w:val="00D027C3"/>
    <w:rsid w:val="00D0376A"/>
    <w:rsid w:val="00D05F46"/>
    <w:rsid w:val="00D064B2"/>
    <w:rsid w:val="00D078C9"/>
    <w:rsid w:val="00D109FE"/>
    <w:rsid w:val="00D11C80"/>
    <w:rsid w:val="00D22B7C"/>
    <w:rsid w:val="00D24AA6"/>
    <w:rsid w:val="00D27B04"/>
    <w:rsid w:val="00D31DC0"/>
    <w:rsid w:val="00D33696"/>
    <w:rsid w:val="00D35983"/>
    <w:rsid w:val="00D361FD"/>
    <w:rsid w:val="00D37660"/>
    <w:rsid w:val="00D423A2"/>
    <w:rsid w:val="00D44E26"/>
    <w:rsid w:val="00D520D8"/>
    <w:rsid w:val="00D559BE"/>
    <w:rsid w:val="00D63AC2"/>
    <w:rsid w:val="00D7383B"/>
    <w:rsid w:val="00D7788A"/>
    <w:rsid w:val="00D851ED"/>
    <w:rsid w:val="00D9033C"/>
    <w:rsid w:val="00DA1940"/>
    <w:rsid w:val="00DA231B"/>
    <w:rsid w:val="00DA71B3"/>
    <w:rsid w:val="00DC051E"/>
    <w:rsid w:val="00DC39FC"/>
    <w:rsid w:val="00DC7D55"/>
    <w:rsid w:val="00DD24B2"/>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EF7B51"/>
    <w:rsid w:val="00F14CCF"/>
    <w:rsid w:val="00F23FEA"/>
    <w:rsid w:val="00F31EDC"/>
    <w:rsid w:val="00F32723"/>
    <w:rsid w:val="00F33CF5"/>
    <w:rsid w:val="00F41C3E"/>
    <w:rsid w:val="00F462B3"/>
    <w:rsid w:val="00F47458"/>
    <w:rsid w:val="00F5119A"/>
    <w:rsid w:val="00F52E27"/>
    <w:rsid w:val="00F5664F"/>
    <w:rsid w:val="00F579DF"/>
    <w:rsid w:val="00F666C4"/>
    <w:rsid w:val="00F74994"/>
    <w:rsid w:val="00F76AC9"/>
    <w:rsid w:val="00F76AFC"/>
    <w:rsid w:val="00F805C5"/>
    <w:rsid w:val="00F82724"/>
    <w:rsid w:val="00F875BD"/>
    <w:rsid w:val="00F955C6"/>
    <w:rsid w:val="00FA3C4A"/>
    <w:rsid w:val="00FA47C0"/>
    <w:rsid w:val="00FA5003"/>
    <w:rsid w:val="00FB16EC"/>
    <w:rsid w:val="00FB3899"/>
    <w:rsid w:val="00FB5DD1"/>
    <w:rsid w:val="00FB7920"/>
    <w:rsid w:val="00FC2B5D"/>
    <w:rsid w:val="00FD4A49"/>
    <w:rsid w:val="00FD6B3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 w:type="character" w:styleId="Fuerte">
    <w:name w:val="Strong"/>
    <w:basedOn w:val="Fuentedeprrafopredeter"/>
    <w:uiPriority w:val="22"/>
    <w:qFormat/>
    <w:rsid w:val="00373F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D8042DB-8B95-4E70-8F8A-B558BAC77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127</TotalTime>
  <Pages>22</Pages>
  <Words>7372</Words>
  <Characters>40547</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22</cp:revision>
  <cp:lastPrinted>2023-01-10T21:18:00Z</cp:lastPrinted>
  <dcterms:created xsi:type="dcterms:W3CDTF">2026-06-12T17:37:00Z</dcterms:created>
  <dcterms:modified xsi:type="dcterms:W3CDTF">2026-06-30T23:56:00Z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