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6E899" w14:textId="77777777" w:rsidR="0050271A" w:rsidRPr="0090297D" w:rsidRDefault="0050271A" w:rsidP="0050271A">
      <w:pPr>
        <w:spacing w:after="0" w:line="240" w:lineRule="auto"/>
        <w:jc w:val="both"/>
        <w:rPr>
          <w:rFonts w:ascii="Verdana" w:eastAsia="Calibri" w:hAnsi="Verdana" w:cs="Arial"/>
          <w:color w:val="000000" w:themeColor="text1"/>
          <w:highlight w:val="yellow"/>
        </w:rPr>
      </w:pPr>
      <w:bookmarkStart w:id="0" w:name="_Hlk143780582"/>
    </w:p>
    <w:p w14:paraId="33B5E995" w14:textId="77777777" w:rsidR="0050271A" w:rsidRPr="0090297D" w:rsidRDefault="0050271A" w:rsidP="0050271A">
      <w:pPr>
        <w:spacing w:after="0"/>
        <w:jc w:val="both"/>
        <w:rPr>
          <w:rFonts w:ascii="Verdana" w:hAnsi="Verdana"/>
          <w:b/>
          <w:bCs/>
        </w:rPr>
      </w:pPr>
      <w:r w:rsidRPr="0090297D">
        <w:rPr>
          <w:rFonts w:ascii="Verdana" w:hAnsi="Verdana"/>
          <w:b/>
          <w:bCs/>
        </w:rPr>
        <w:t>INDICADORES FINANCIEROS – RUP – Dos (2) decimales sin aproximaciones</w:t>
      </w:r>
    </w:p>
    <w:p w14:paraId="64CED537" w14:textId="77777777" w:rsidR="0050271A" w:rsidRPr="0090297D" w:rsidRDefault="0050271A" w:rsidP="0050271A">
      <w:pPr>
        <w:spacing w:after="0"/>
        <w:jc w:val="both"/>
        <w:rPr>
          <w:rFonts w:ascii="Verdana" w:hAnsi="Verdana"/>
          <w:sz w:val="20"/>
          <w:szCs w:val="20"/>
        </w:rPr>
      </w:pPr>
    </w:p>
    <w:p w14:paraId="6DD681E2"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La regulación aplicable al Registro Único de Proponentes –RUP– establece que los indicadores correspondientes a la capacidad financiera y capacidad organizacional deben expresarse con dos (2) decimales sin aproximaciones. Esta regla se encuentra prevista en el numeral 1.9.2.5 de la Circular Externa 100-000002 de 2022 de la Superintendencia de Sociedades y tiene como finalidad garantizar uniformidad, objetividad y consistencia en el reporte, inscripción, certificación y consulta de la información financiera de los proponentes.</w:t>
      </w:r>
    </w:p>
    <w:p w14:paraId="5941B250" w14:textId="77777777" w:rsidR="0050271A" w:rsidRPr="0090297D" w:rsidRDefault="0050271A" w:rsidP="0050271A">
      <w:pPr>
        <w:spacing w:after="0" w:line="240" w:lineRule="auto"/>
        <w:jc w:val="both"/>
        <w:rPr>
          <w:rFonts w:ascii="Verdana" w:hAnsi="Verdana"/>
          <w:sz w:val="20"/>
          <w:szCs w:val="20"/>
        </w:rPr>
      </w:pPr>
    </w:p>
    <w:p w14:paraId="4862809A"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La aplicación de esta regla evita que metodologías distintas de aproximación alteren el resultado de los indicadores financieros, especialmente en aquellos casos en los que la variación decimal puede impactar el cumplimiento de los requisitos habilitantes exigidos por la entidad estatal.</w:t>
      </w:r>
    </w:p>
    <w:p w14:paraId="05EC701C" w14:textId="77777777" w:rsidR="0050271A" w:rsidRPr="0090297D" w:rsidRDefault="0050271A" w:rsidP="0050271A">
      <w:pPr>
        <w:spacing w:after="0"/>
        <w:jc w:val="both"/>
        <w:rPr>
          <w:rFonts w:ascii="Verdana" w:hAnsi="Verdana"/>
          <w:b/>
          <w:bCs/>
        </w:rPr>
      </w:pPr>
    </w:p>
    <w:p w14:paraId="5A95A5AE" w14:textId="77777777" w:rsidR="0050271A" w:rsidRPr="0090297D" w:rsidRDefault="0050271A" w:rsidP="0050271A">
      <w:pPr>
        <w:spacing w:after="0"/>
        <w:jc w:val="both"/>
        <w:rPr>
          <w:rFonts w:ascii="Verdana" w:hAnsi="Verdana"/>
          <w:b/>
          <w:bCs/>
        </w:rPr>
      </w:pPr>
      <w:r w:rsidRPr="0090297D">
        <w:rPr>
          <w:rFonts w:ascii="Verdana" w:hAnsi="Verdana"/>
          <w:b/>
          <w:bCs/>
        </w:rPr>
        <w:t>PROPONENTES PLURALES – Ponderación de indicadores financieros</w:t>
      </w:r>
    </w:p>
    <w:p w14:paraId="3A01F74D" w14:textId="77777777" w:rsidR="0050271A" w:rsidRPr="0090297D" w:rsidRDefault="0050271A" w:rsidP="0050271A">
      <w:pPr>
        <w:spacing w:after="0"/>
        <w:jc w:val="both"/>
        <w:rPr>
          <w:rFonts w:ascii="Verdana" w:hAnsi="Verdana"/>
          <w:sz w:val="20"/>
          <w:szCs w:val="20"/>
        </w:rPr>
      </w:pPr>
    </w:p>
    <w:p w14:paraId="78791ECF"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En el caso de consorcios y uniones temporales, la determinación de los indicadores financieros se realiza mediante metodologías de ponderación de acuerdo con el porcentaje de participación de cada integrante, conforme a los lineamientos definidos por Colombia Compra Eficiente en el Manual para determinar y verificar los requisitos habilitantes.</w:t>
      </w:r>
    </w:p>
    <w:p w14:paraId="599FE33C" w14:textId="77777777" w:rsidR="0050271A" w:rsidRPr="0090297D" w:rsidRDefault="0050271A" w:rsidP="0050271A">
      <w:pPr>
        <w:spacing w:after="0" w:line="240" w:lineRule="auto"/>
        <w:jc w:val="both"/>
        <w:rPr>
          <w:rFonts w:ascii="Verdana" w:hAnsi="Verdana"/>
          <w:sz w:val="20"/>
          <w:szCs w:val="20"/>
        </w:rPr>
      </w:pPr>
    </w:p>
    <w:p w14:paraId="65DD4E56"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Aunque dicho manual no establece expresamente el mecanismo de aproximación aplicable al resultado ponderado, la Agencia Nacional de Contratación Pública ha considerado que, con el propósito de mantener un criterio homogéneo entre proponentes individuales y plurales, los indicadores ponderados deben igualmente expresarse con dos (2) decimales sin aproximaciones.</w:t>
      </w:r>
    </w:p>
    <w:p w14:paraId="76131567" w14:textId="77777777" w:rsidR="0050271A" w:rsidRPr="0090297D" w:rsidRDefault="0050271A" w:rsidP="0050271A">
      <w:pPr>
        <w:spacing w:after="0"/>
        <w:jc w:val="both"/>
        <w:rPr>
          <w:rFonts w:ascii="Verdana" w:hAnsi="Verdana"/>
          <w:sz w:val="20"/>
          <w:szCs w:val="20"/>
        </w:rPr>
      </w:pPr>
    </w:p>
    <w:p w14:paraId="5528FA4A" w14:textId="77777777" w:rsidR="0050271A" w:rsidRPr="0090297D" w:rsidRDefault="0050271A" w:rsidP="0050271A">
      <w:pPr>
        <w:spacing w:after="0"/>
        <w:jc w:val="both"/>
        <w:rPr>
          <w:rFonts w:ascii="Verdana" w:hAnsi="Verdana"/>
          <w:b/>
          <w:bCs/>
        </w:rPr>
      </w:pPr>
      <w:r w:rsidRPr="0090297D">
        <w:rPr>
          <w:rFonts w:ascii="Verdana" w:hAnsi="Verdana"/>
          <w:b/>
          <w:bCs/>
        </w:rPr>
        <w:t>CAPACIDAD FINANCIERA – Eliminación de decimales excedentes</w:t>
      </w:r>
    </w:p>
    <w:p w14:paraId="2016DC0D" w14:textId="77777777" w:rsidR="0050271A" w:rsidRPr="0090297D" w:rsidRDefault="0050271A" w:rsidP="0050271A">
      <w:pPr>
        <w:spacing w:after="0"/>
        <w:jc w:val="both"/>
        <w:rPr>
          <w:rFonts w:ascii="Verdana" w:hAnsi="Verdana"/>
          <w:sz w:val="20"/>
          <w:szCs w:val="20"/>
        </w:rPr>
      </w:pPr>
    </w:p>
    <w:p w14:paraId="2804992B"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La expresión “sin aproximaciones” implica que, cuando el resultado de un indicador financiero arroje más de dos decimales, deben eliminarse los decimales excedentes sin alterar el valor precedente.</w:t>
      </w:r>
    </w:p>
    <w:p w14:paraId="5374D42C" w14:textId="77777777" w:rsidR="0050271A" w:rsidRPr="0090297D" w:rsidRDefault="0050271A" w:rsidP="0050271A">
      <w:pPr>
        <w:spacing w:after="0" w:line="240" w:lineRule="auto"/>
        <w:jc w:val="both"/>
        <w:rPr>
          <w:rFonts w:ascii="Verdana" w:hAnsi="Verdana"/>
          <w:sz w:val="20"/>
          <w:szCs w:val="20"/>
        </w:rPr>
      </w:pPr>
    </w:p>
    <w:p w14:paraId="43FC75C0"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Este criterio busca garantizar neutralidad técnica en la evaluación financiera y evitar que operaciones de redondeo modifiquen artificialmente el resultado final del indicador, especialmente cuando el cumplimiento del requisito depende de diferencias mínimas en los valores obtenidos.</w:t>
      </w:r>
    </w:p>
    <w:p w14:paraId="473E1174" w14:textId="77777777" w:rsidR="0050271A" w:rsidRPr="0090297D" w:rsidRDefault="0050271A" w:rsidP="0050271A">
      <w:pPr>
        <w:spacing w:after="0" w:line="240" w:lineRule="auto"/>
        <w:jc w:val="both"/>
        <w:rPr>
          <w:rFonts w:ascii="Verdana" w:hAnsi="Verdana"/>
          <w:sz w:val="20"/>
          <w:szCs w:val="20"/>
        </w:rPr>
      </w:pPr>
    </w:p>
    <w:p w14:paraId="33306CA7"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En consecuencia, la eliminación de decimales excedentes constituye el mecanismo compatible con la regla técnica prevista para los indicadores financieros del RUP.</w:t>
      </w:r>
    </w:p>
    <w:p w14:paraId="63C51084" w14:textId="77777777" w:rsidR="0050271A" w:rsidRPr="0090297D" w:rsidRDefault="0050271A" w:rsidP="0050271A">
      <w:pPr>
        <w:spacing w:after="0" w:line="240" w:lineRule="auto"/>
        <w:jc w:val="both"/>
        <w:rPr>
          <w:rFonts w:ascii="Verdana" w:hAnsi="Verdana"/>
          <w:sz w:val="20"/>
          <w:szCs w:val="20"/>
        </w:rPr>
      </w:pPr>
    </w:p>
    <w:p w14:paraId="1A178D98" w14:textId="77777777" w:rsidR="0050271A" w:rsidRPr="00434706" w:rsidRDefault="0050271A" w:rsidP="0050271A">
      <w:pPr>
        <w:spacing w:after="0" w:line="240" w:lineRule="auto"/>
        <w:jc w:val="both"/>
        <w:rPr>
          <w:rFonts w:ascii="Verdana" w:hAnsi="Verdana"/>
          <w:b/>
          <w:bCs/>
        </w:rPr>
      </w:pPr>
      <w:r w:rsidRPr="00434706">
        <w:rPr>
          <w:rFonts w:ascii="Verdana" w:hAnsi="Verdana"/>
          <w:b/>
          <w:bCs/>
        </w:rPr>
        <w:lastRenderedPageBreak/>
        <w:t>REQUISITOS HABILITANTES – Naturaleza orientadora</w:t>
      </w:r>
    </w:p>
    <w:p w14:paraId="149FBA71" w14:textId="77777777" w:rsidR="0050271A" w:rsidRPr="0090297D" w:rsidRDefault="0050271A" w:rsidP="0050271A">
      <w:pPr>
        <w:spacing w:after="0" w:line="240" w:lineRule="auto"/>
        <w:jc w:val="both"/>
        <w:rPr>
          <w:rFonts w:ascii="Verdana" w:hAnsi="Verdana"/>
          <w:sz w:val="20"/>
          <w:szCs w:val="20"/>
        </w:rPr>
      </w:pPr>
    </w:p>
    <w:p w14:paraId="4EC039B2"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El “Manual para determinar y verificar los requisitos habilitantes en los procesos de contratación” expedido por Colombia Compra Eficiente constituye un instrumento orientador para las entidades estatales y no una disposición normativa de obligatorio cumplimiento.</w:t>
      </w:r>
    </w:p>
    <w:p w14:paraId="3F7247CB" w14:textId="77777777" w:rsidR="0050271A" w:rsidRPr="0090297D" w:rsidRDefault="0050271A" w:rsidP="0050271A">
      <w:pPr>
        <w:spacing w:after="0" w:line="240" w:lineRule="auto"/>
        <w:jc w:val="both"/>
        <w:rPr>
          <w:rFonts w:ascii="Verdana" w:hAnsi="Verdana"/>
          <w:sz w:val="20"/>
          <w:szCs w:val="20"/>
        </w:rPr>
      </w:pPr>
    </w:p>
    <w:p w14:paraId="1E390054"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No obstante, sus lineamientos buscan promover criterios uniformes en la estructuración y verificación de los requisitos habilitantes, particularmente respecto de la evaluación de la capacidad financiera y organizacional de los oferentes.</w:t>
      </w:r>
    </w:p>
    <w:p w14:paraId="0BCE583B" w14:textId="77777777" w:rsidR="0050271A" w:rsidRPr="0090297D" w:rsidRDefault="0050271A" w:rsidP="0050271A">
      <w:pPr>
        <w:spacing w:after="0" w:line="240" w:lineRule="auto"/>
        <w:jc w:val="both"/>
        <w:rPr>
          <w:rFonts w:ascii="Verdana" w:hAnsi="Verdana"/>
          <w:sz w:val="20"/>
          <w:szCs w:val="20"/>
        </w:rPr>
      </w:pPr>
    </w:p>
    <w:p w14:paraId="061B8E61"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Por ello, corresponde a cada entidad estatal establecer de manera clara en los pliegos de condiciones las metodologías aplicables para el cálculo y evaluación de los indicadores financieros de proponentes plurales.</w:t>
      </w:r>
    </w:p>
    <w:p w14:paraId="6A31C287" w14:textId="77777777" w:rsidR="0050271A" w:rsidRPr="0090297D" w:rsidRDefault="0050271A" w:rsidP="0050271A">
      <w:pPr>
        <w:spacing w:after="0"/>
        <w:jc w:val="both"/>
        <w:rPr>
          <w:rFonts w:ascii="Verdana" w:hAnsi="Verdana"/>
          <w:sz w:val="20"/>
          <w:szCs w:val="20"/>
        </w:rPr>
      </w:pPr>
    </w:p>
    <w:p w14:paraId="1200A417" w14:textId="77777777" w:rsidR="0050271A" w:rsidRPr="00434706" w:rsidRDefault="0050271A" w:rsidP="0050271A">
      <w:pPr>
        <w:spacing w:after="0"/>
        <w:jc w:val="both"/>
        <w:rPr>
          <w:rFonts w:ascii="Verdana" w:hAnsi="Verdana"/>
          <w:b/>
          <w:bCs/>
        </w:rPr>
      </w:pPr>
      <w:r w:rsidRPr="00434706">
        <w:rPr>
          <w:rFonts w:ascii="Verdana" w:hAnsi="Verdana"/>
          <w:b/>
          <w:bCs/>
        </w:rPr>
        <w:t>PROCESO DE SELECCIÓN – Evaluación financiera – Redondeo</w:t>
      </w:r>
    </w:p>
    <w:p w14:paraId="3DA3C12D" w14:textId="77777777" w:rsidR="0050271A" w:rsidRPr="0090297D" w:rsidRDefault="0050271A" w:rsidP="0050271A">
      <w:pPr>
        <w:spacing w:after="0" w:line="240" w:lineRule="auto"/>
        <w:jc w:val="both"/>
        <w:rPr>
          <w:rFonts w:ascii="Verdana" w:hAnsi="Verdana"/>
          <w:sz w:val="20"/>
          <w:szCs w:val="20"/>
        </w:rPr>
      </w:pPr>
    </w:p>
    <w:p w14:paraId="4E36A560"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La aplicación de reglas de redondeo en la evaluación de indicadores financieros puede generar alteraciones en el resultado final de los requisitos habilitantes, especialmente cuando el indicador obtenido se encuentra próximo al límite máximo o mínimo establecido en el proceso de selección.</w:t>
      </w:r>
    </w:p>
    <w:p w14:paraId="21733F66" w14:textId="77777777" w:rsidR="0050271A" w:rsidRPr="0090297D" w:rsidRDefault="0050271A" w:rsidP="0050271A">
      <w:pPr>
        <w:spacing w:after="0" w:line="240" w:lineRule="auto"/>
        <w:jc w:val="both"/>
        <w:rPr>
          <w:rFonts w:ascii="Verdana" w:hAnsi="Verdana"/>
          <w:sz w:val="20"/>
          <w:szCs w:val="20"/>
        </w:rPr>
      </w:pPr>
    </w:p>
    <w:p w14:paraId="5D53F8A1"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En este sentido, si la entidad estatal adopta un criterio de redondeo distinto al previsto en las reglas técnicas aplicables o diferente al definido en el pliego de condiciones, podría afectar la objetividad de la evaluación financiera y generar controversias respecto de la habilitación o rechazo de los oferentes.</w:t>
      </w:r>
    </w:p>
    <w:p w14:paraId="79762AC0" w14:textId="77777777" w:rsidR="0050271A" w:rsidRPr="0090297D" w:rsidRDefault="0050271A" w:rsidP="0050271A">
      <w:pPr>
        <w:spacing w:after="0" w:line="240" w:lineRule="auto"/>
        <w:jc w:val="both"/>
        <w:rPr>
          <w:rFonts w:ascii="Verdana" w:hAnsi="Verdana"/>
          <w:sz w:val="20"/>
          <w:szCs w:val="20"/>
        </w:rPr>
      </w:pPr>
    </w:p>
    <w:p w14:paraId="45530807"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La legalidad de dicha actuación deberá analizarse en cada caso concreto, atendiendo a las reglas previamente definidas en el proceso contractual y a los principios que rigen la contratación estatal.</w:t>
      </w:r>
    </w:p>
    <w:p w14:paraId="1D67CD30" w14:textId="77777777" w:rsidR="0050271A" w:rsidRPr="0090297D" w:rsidRDefault="0050271A" w:rsidP="0050271A">
      <w:pPr>
        <w:spacing w:after="0"/>
        <w:jc w:val="both"/>
        <w:rPr>
          <w:rFonts w:ascii="Verdana" w:hAnsi="Verdana"/>
          <w:sz w:val="20"/>
          <w:szCs w:val="20"/>
        </w:rPr>
      </w:pPr>
    </w:p>
    <w:p w14:paraId="32375958" w14:textId="77777777" w:rsidR="0050271A" w:rsidRPr="00434706" w:rsidRDefault="0050271A" w:rsidP="0050271A">
      <w:pPr>
        <w:spacing w:after="0"/>
        <w:jc w:val="both"/>
        <w:rPr>
          <w:rFonts w:ascii="Verdana" w:hAnsi="Verdana"/>
          <w:b/>
          <w:bCs/>
        </w:rPr>
      </w:pPr>
      <w:r w:rsidRPr="00434706">
        <w:rPr>
          <w:rFonts w:ascii="Verdana" w:hAnsi="Verdana"/>
          <w:b/>
          <w:bCs/>
        </w:rPr>
        <w:t>PRINCIPIO DE SELECCIÓN OBJETIVA – Igualdad entre oferentes</w:t>
      </w:r>
    </w:p>
    <w:p w14:paraId="106B5392" w14:textId="77777777" w:rsidR="0050271A" w:rsidRPr="0090297D" w:rsidRDefault="0050271A" w:rsidP="0050271A">
      <w:pPr>
        <w:spacing w:after="0"/>
        <w:jc w:val="both"/>
        <w:rPr>
          <w:rFonts w:ascii="Verdana" w:hAnsi="Verdana"/>
          <w:sz w:val="20"/>
          <w:szCs w:val="20"/>
        </w:rPr>
      </w:pPr>
    </w:p>
    <w:p w14:paraId="0071D046"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La evaluación de los requisitos habilitantes financieros debe desarrollarse bajo criterios objetivos, uniformes y previamente definidos, garantizando igualdad de trato entre todos los oferentes.</w:t>
      </w:r>
    </w:p>
    <w:p w14:paraId="294FC4CE" w14:textId="77777777" w:rsidR="0050271A" w:rsidRPr="0090297D" w:rsidRDefault="0050271A" w:rsidP="0050271A">
      <w:pPr>
        <w:spacing w:after="0" w:line="240" w:lineRule="auto"/>
        <w:jc w:val="both"/>
        <w:rPr>
          <w:rFonts w:ascii="Verdana" w:hAnsi="Verdana"/>
          <w:sz w:val="20"/>
          <w:szCs w:val="20"/>
        </w:rPr>
      </w:pPr>
    </w:p>
    <w:p w14:paraId="743DCF3A" w14:textId="77777777" w:rsidR="0050271A" w:rsidRPr="0090297D" w:rsidRDefault="0050271A" w:rsidP="0050271A">
      <w:pPr>
        <w:spacing w:after="0" w:line="240" w:lineRule="auto"/>
        <w:jc w:val="both"/>
        <w:rPr>
          <w:rFonts w:ascii="Verdana" w:hAnsi="Verdana"/>
          <w:sz w:val="20"/>
          <w:szCs w:val="20"/>
        </w:rPr>
      </w:pPr>
      <w:r w:rsidRPr="0090297D">
        <w:rPr>
          <w:rFonts w:ascii="Verdana" w:hAnsi="Verdana"/>
          <w:sz w:val="20"/>
          <w:szCs w:val="20"/>
        </w:rPr>
        <w:t>La utilización de una misma metodología para la expresión y evaluación de indicadores financieros, tanto para proponentes individuales como plurales, contribuye a preservar los principios de transparencia, selección objetiva e igualdad que orientan los procesos de contratación estatal.</w:t>
      </w:r>
    </w:p>
    <w:p w14:paraId="0243D8DA" w14:textId="77777777" w:rsidR="0050271A" w:rsidRPr="0090297D" w:rsidRDefault="0050271A" w:rsidP="0050271A">
      <w:pPr>
        <w:spacing w:after="0" w:line="240" w:lineRule="auto"/>
        <w:jc w:val="both"/>
        <w:rPr>
          <w:rFonts w:ascii="Verdana" w:hAnsi="Verdana"/>
          <w:sz w:val="20"/>
          <w:szCs w:val="20"/>
        </w:rPr>
      </w:pPr>
    </w:p>
    <w:p w14:paraId="7FE2C6EF" w14:textId="77777777" w:rsidR="0050271A" w:rsidRDefault="0050271A" w:rsidP="0050271A">
      <w:pPr>
        <w:spacing w:after="0" w:line="240" w:lineRule="auto"/>
        <w:jc w:val="both"/>
        <w:rPr>
          <w:rFonts w:ascii="Verdana" w:hAnsi="Verdana"/>
          <w:sz w:val="20"/>
          <w:szCs w:val="20"/>
        </w:rPr>
      </w:pPr>
      <w:r w:rsidRPr="0090297D">
        <w:rPr>
          <w:rFonts w:ascii="Verdana" w:hAnsi="Verdana"/>
          <w:sz w:val="20"/>
          <w:szCs w:val="20"/>
        </w:rPr>
        <w:t xml:space="preserve">En consecuencia, las entidades estatales deben definir de manera clara las reglas aplicables al tratamiento de decimales y a la metodología de cálculo de indicadores </w:t>
      </w:r>
      <w:r w:rsidRPr="0090297D">
        <w:rPr>
          <w:rFonts w:ascii="Verdana" w:hAnsi="Verdana"/>
          <w:sz w:val="20"/>
          <w:szCs w:val="20"/>
        </w:rPr>
        <w:lastRenderedPageBreak/>
        <w:t>financieros, evitando interpretaciones disímiles que puedan afectar la comparación objetiva de las ofertas.</w:t>
      </w:r>
    </w:p>
    <w:p w14:paraId="39F6B151" w14:textId="77777777" w:rsidR="0050271A" w:rsidRDefault="0050271A" w:rsidP="0050271A">
      <w:pPr>
        <w:spacing w:after="0"/>
        <w:rPr>
          <w:rFonts w:ascii="Verdana" w:hAnsi="Verdana"/>
          <w:sz w:val="20"/>
          <w:szCs w:val="20"/>
        </w:rPr>
      </w:pPr>
    </w:p>
    <w:p w14:paraId="47FD4FF6" w14:textId="77777777" w:rsidR="0050271A" w:rsidRDefault="0050271A" w:rsidP="0050271A">
      <w:pPr>
        <w:spacing w:after="0"/>
        <w:rPr>
          <w:rFonts w:ascii="Verdana" w:hAnsi="Verdana"/>
          <w:sz w:val="20"/>
          <w:szCs w:val="20"/>
        </w:rPr>
      </w:pPr>
    </w:p>
    <w:p w14:paraId="3F0F3984" w14:textId="77777777" w:rsidR="0050271A" w:rsidRDefault="0050271A" w:rsidP="0050271A">
      <w:pPr>
        <w:spacing w:after="0" w:line="240" w:lineRule="auto"/>
        <w:rPr>
          <w:rFonts w:ascii="Verdana" w:eastAsia="Calibri" w:hAnsi="Verdana" w:cs="Arial"/>
          <w:color w:val="000000" w:themeColor="text1"/>
        </w:rPr>
      </w:pPr>
    </w:p>
    <w:p w14:paraId="12D533DD" w14:textId="77777777" w:rsidR="0050271A" w:rsidRDefault="0050271A" w:rsidP="0050271A">
      <w:pPr>
        <w:spacing w:after="0" w:line="240" w:lineRule="auto"/>
        <w:rPr>
          <w:rFonts w:ascii="Verdana" w:eastAsia="Calibri" w:hAnsi="Verdana" w:cs="Arial"/>
          <w:color w:val="000000" w:themeColor="text1"/>
        </w:rPr>
      </w:pPr>
    </w:p>
    <w:p w14:paraId="068D4F3F" w14:textId="77777777" w:rsidR="0050271A" w:rsidRDefault="0050271A" w:rsidP="0050271A">
      <w:pPr>
        <w:spacing w:after="0" w:line="240" w:lineRule="auto"/>
        <w:rPr>
          <w:rFonts w:ascii="Verdana" w:eastAsia="Calibri" w:hAnsi="Verdana" w:cs="Arial"/>
          <w:color w:val="000000" w:themeColor="text1"/>
        </w:rPr>
      </w:pPr>
    </w:p>
    <w:p w14:paraId="24A9FD9F" w14:textId="77777777" w:rsidR="0050271A" w:rsidRDefault="0050271A" w:rsidP="0050271A">
      <w:pPr>
        <w:spacing w:after="0" w:line="240" w:lineRule="auto"/>
        <w:rPr>
          <w:rFonts w:ascii="Verdana" w:eastAsia="Calibri" w:hAnsi="Verdana" w:cs="Arial"/>
          <w:color w:val="000000" w:themeColor="text1"/>
        </w:rPr>
      </w:pPr>
    </w:p>
    <w:p w14:paraId="75262676" w14:textId="77777777" w:rsidR="0050271A" w:rsidRDefault="0050271A" w:rsidP="0050271A">
      <w:pPr>
        <w:spacing w:after="0" w:line="240" w:lineRule="auto"/>
        <w:rPr>
          <w:rFonts w:ascii="Verdana" w:eastAsia="Calibri" w:hAnsi="Verdana" w:cs="Arial"/>
          <w:color w:val="000000" w:themeColor="text1"/>
        </w:rPr>
      </w:pPr>
    </w:p>
    <w:p w14:paraId="7E769838" w14:textId="77777777" w:rsidR="0050271A" w:rsidRDefault="0050271A" w:rsidP="0050271A">
      <w:pPr>
        <w:spacing w:after="0" w:line="240" w:lineRule="auto"/>
        <w:rPr>
          <w:rFonts w:ascii="Verdana" w:eastAsia="Calibri" w:hAnsi="Verdana" w:cs="Arial"/>
          <w:color w:val="000000" w:themeColor="text1"/>
        </w:rPr>
      </w:pPr>
    </w:p>
    <w:p w14:paraId="5F2023AC" w14:textId="77777777" w:rsidR="0050271A" w:rsidRDefault="0050271A" w:rsidP="0050271A">
      <w:pPr>
        <w:spacing w:after="0" w:line="240" w:lineRule="auto"/>
        <w:rPr>
          <w:rFonts w:ascii="Verdana" w:eastAsia="Calibri" w:hAnsi="Verdana" w:cs="Arial"/>
          <w:color w:val="000000" w:themeColor="text1"/>
        </w:rPr>
      </w:pPr>
    </w:p>
    <w:p w14:paraId="3DB9DCE2" w14:textId="77777777" w:rsidR="0050271A" w:rsidRDefault="0050271A" w:rsidP="0050271A">
      <w:pPr>
        <w:spacing w:after="0" w:line="240" w:lineRule="auto"/>
        <w:rPr>
          <w:rFonts w:ascii="Verdana" w:eastAsia="Calibri" w:hAnsi="Verdana" w:cs="Arial"/>
          <w:color w:val="000000" w:themeColor="text1"/>
        </w:rPr>
      </w:pPr>
    </w:p>
    <w:p w14:paraId="398E0A2D" w14:textId="77777777" w:rsidR="0050271A" w:rsidRDefault="0050271A" w:rsidP="0050271A">
      <w:pPr>
        <w:spacing w:after="0" w:line="240" w:lineRule="auto"/>
        <w:rPr>
          <w:rFonts w:ascii="Verdana" w:eastAsia="Calibri" w:hAnsi="Verdana" w:cs="Arial"/>
          <w:color w:val="000000" w:themeColor="text1"/>
        </w:rPr>
      </w:pPr>
    </w:p>
    <w:p w14:paraId="5CCF9EF0" w14:textId="77777777" w:rsidR="0050271A" w:rsidRDefault="0050271A" w:rsidP="0050271A">
      <w:pPr>
        <w:spacing w:after="0" w:line="240" w:lineRule="auto"/>
        <w:rPr>
          <w:rFonts w:ascii="Verdana" w:eastAsia="Calibri" w:hAnsi="Verdana" w:cs="Arial"/>
          <w:color w:val="000000" w:themeColor="text1"/>
        </w:rPr>
      </w:pPr>
    </w:p>
    <w:p w14:paraId="44590F21" w14:textId="77777777" w:rsidR="0050271A" w:rsidRDefault="0050271A" w:rsidP="0050271A">
      <w:pPr>
        <w:spacing w:after="0" w:line="240" w:lineRule="auto"/>
        <w:rPr>
          <w:rFonts w:ascii="Verdana" w:eastAsia="Calibri" w:hAnsi="Verdana" w:cs="Arial"/>
          <w:color w:val="000000" w:themeColor="text1"/>
        </w:rPr>
      </w:pPr>
    </w:p>
    <w:p w14:paraId="2D86368E" w14:textId="77777777" w:rsidR="0050271A" w:rsidRDefault="0050271A" w:rsidP="0050271A">
      <w:pPr>
        <w:spacing w:after="0" w:line="240" w:lineRule="auto"/>
        <w:rPr>
          <w:rFonts w:ascii="Verdana" w:eastAsia="Calibri" w:hAnsi="Verdana" w:cs="Arial"/>
          <w:color w:val="000000" w:themeColor="text1"/>
        </w:rPr>
      </w:pPr>
    </w:p>
    <w:p w14:paraId="229F6D31" w14:textId="77777777" w:rsidR="0050271A" w:rsidRDefault="0050271A" w:rsidP="0050271A">
      <w:pPr>
        <w:spacing w:after="0" w:line="240" w:lineRule="auto"/>
        <w:rPr>
          <w:rFonts w:ascii="Verdana" w:eastAsia="Calibri" w:hAnsi="Verdana" w:cs="Arial"/>
          <w:color w:val="000000" w:themeColor="text1"/>
        </w:rPr>
      </w:pPr>
    </w:p>
    <w:p w14:paraId="209B89FC" w14:textId="77777777" w:rsidR="0050271A" w:rsidRDefault="0050271A" w:rsidP="0050271A">
      <w:pPr>
        <w:spacing w:after="0" w:line="240" w:lineRule="auto"/>
        <w:rPr>
          <w:rFonts w:ascii="Verdana" w:eastAsia="Calibri" w:hAnsi="Verdana" w:cs="Arial"/>
          <w:color w:val="000000" w:themeColor="text1"/>
        </w:rPr>
      </w:pPr>
    </w:p>
    <w:p w14:paraId="21B7A82E" w14:textId="77777777" w:rsidR="0050271A" w:rsidRDefault="0050271A" w:rsidP="0050271A">
      <w:pPr>
        <w:spacing w:after="0" w:line="240" w:lineRule="auto"/>
        <w:rPr>
          <w:rFonts w:ascii="Verdana" w:eastAsia="Calibri" w:hAnsi="Verdana" w:cs="Arial"/>
          <w:color w:val="000000" w:themeColor="text1"/>
        </w:rPr>
      </w:pPr>
    </w:p>
    <w:p w14:paraId="41FD231C" w14:textId="77777777" w:rsidR="0050271A" w:rsidRDefault="0050271A" w:rsidP="0050271A">
      <w:pPr>
        <w:spacing w:after="0" w:line="240" w:lineRule="auto"/>
        <w:rPr>
          <w:rFonts w:ascii="Verdana" w:eastAsia="Calibri" w:hAnsi="Verdana" w:cs="Arial"/>
          <w:color w:val="000000" w:themeColor="text1"/>
        </w:rPr>
      </w:pPr>
    </w:p>
    <w:p w14:paraId="478CDC8A" w14:textId="77777777" w:rsidR="0050271A" w:rsidRDefault="0050271A" w:rsidP="0050271A">
      <w:pPr>
        <w:spacing w:after="0" w:line="240" w:lineRule="auto"/>
        <w:rPr>
          <w:rFonts w:ascii="Verdana" w:eastAsia="Calibri" w:hAnsi="Verdana" w:cs="Arial"/>
          <w:color w:val="000000" w:themeColor="text1"/>
        </w:rPr>
      </w:pPr>
    </w:p>
    <w:p w14:paraId="3E528171" w14:textId="77777777" w:rsidR="0050271A" w:rsidRDefault="0050271A" w:rsidP="0050271A">
      <w:pPr>
        <w:spacing w:after="0" w:line="240" w:lineRule="auto"/>
        <w:rPr>
          <w:rFonts w:ascii="Verdana" w:eastAsia="Calibri" w:hAnsi="Verdana" w:cs="Arial"/>
          <w:color w:val="000000" w:themeColor="text1"/>
        </w:rPr>
      </w:pPr>
    </w:p>
    <w:p w14:paraId="78C33858" w14:textId="77777777" w:rsidR="0050271A" w:rsidRDefault="0050271A" w:rsidP="0050271A">
      <w:pPr>
        <w:spacing w:after="0" w:line="240" w:lineRule="auto"/>
        <w:rPr>
          <w:rFonts w:ascii="Verdana" w:eastAsia="Calibri" w:hAnsi="Verdana" w:cs="Arial"/>
          <w:color w:val="000000" w:themeColor="text1"/>
        </w:rPr>
      </w:pPr>
    </w:p>
    <w:p w14:paraId="0E5BE87F" w14:textId="77777777" w:rsidR="0050271A" w:rsidRDefault="0050271A" w:rsidP="0050271A">
      <w:pPr>
        <w:spacing w:after="0" w:line="240" w:lineRule="auto"/>
        <w:rPr>
          <w:rFonts w:ascii="Verdana" w:eastAsia="Calibri" w:hAnsi="Verdana" w:cs="Arial"/>
          <w:color w:val="000000" w:themeColor="text1"/>
        </w:rPr>
      </w:pPr>
    </w:p>
    <w:p w14:paraId="64516A88" w14:textId="77777777" w:rsidR="0050271A" w:rsidRDefault="0050271A" w:rsidP="0050271A">
      <w:pPr>
        <w:spacing w:after="0" w:line="240" w:lineRule="auto"/>
        <w:rPr>
          <w:rFonts w:ascii="Verdana" w:eastAsia="Calibri" w:hAnsi="Verdana" w:cs="Arial"/>
          <w:color w:val="000000" w:themeColor="text1"/>
        </w:rPr>
      </w:pPr>
    </w:p>
    <w:p w14:paraId="5E183D84" w14:textId="77777777" w:rsidR="0050271A" w:rsidRDefault="0050271A" w:rsidP="0050271A">
      <w:pPr>
        <w:spacing w:after="0" w:line="240" w:lineRule="auto"/>
        <w:rPr>
          <w:rFonts w:ascii="Verdana" w:eastAsia="Calibri" w:hAnsi="Verdana" w:cs="Arial"/>
          <w:color w:val="000000" w:themeColor="text1"/>
        </w:rPr>
      </w:pPr>
    </w:p>
    <w:p w14:paraId="1B46AE05" w14:textId="77777777" w:rsidR="0050271A" w:rsidRDefault="0050271A" w:rsidP="0050271A">
      <w:pPr>
        <w:spacing w:after="0" w:line="240" w:lineRule="auto"/>
        <w:rPr>
          <w:rFonts w:ascii="Verdana" w:eastAsia="Calibri" w:hAnsi="Verdana" w:cs="Arial"/>
          <w:color w:val="000000" w:themeColor="text1"/>
        </w:rPr>
      </w:pPr>
    </w:p>
    <w:p w14:paraId="58BC7705" w14:textId="77777777" w:rsidR="0050271A" w:rsidRDefault="0050271A" w:rsidP="0050271A">
      <w:pPr>
        <w:spacing w:after="0" w:line="240" w:lineRule="auto"/>
        <w:rPr>
          <w:rFonts w:ascii="Verdana" w:eastAsia="Calibri" w:hAnsi="Verdana" w:cs="Arial"/>
          <w:color w:val="000000" w:themeColor="text1"/>
        </w:rPr>
      </w:pPr>
    </w:p>
    <w:p w14:paraId="0FE2A8AA" w14:textId="77777777" w:rsidR="0050271A" w:rsidRDefault="0050271A" w:rsidP="0050271A">
      <w:pPr>
        <w:spacing w:after="0" w:line="240" w:lineRule="auto"/>
        <w:rPr>
          <w:rFonts w:ascii="Verdana" w:eastAsia="Calibri" w:hAnsi="Verdana" w:cs="Arial"/>
          <w:color w:val="000000" w:themeColor="text1"/>
        </w:rPr>
      </w:pPr>
    </w:p>
    <w:p w14:paraId="4D3AC6F4" w14:textId="77777777" w:rsidR="0050271A" w:rsidRDefault="0050271A" w:rsidP="0050271A">
      <w:pPr>
        <w:spacing w:after="0" w:line="240" w:lineRule="auto"/>
        <w:rPr>
          <w:rFonts w:ascii="Verdana" w:eastAsia="Calibri" w:hAnsi="Verdana" w:cs="Arial"/>
          <w:color w:val="000000" w:themeColor="text1"/>
        </w:rPr>
      </w:pPr>
    </w:p>
    <w:p w14:paraId="160AB6DD" w14:textId="77777777" w:rsidR="0050271A" w:rsidRDefault="0050271A" w:rsidP="0050271A">
      <w:pPr>
        <w:spacing w:after="0" w:line="240" w:lineRule="auto"/>
        <w:rPr>
          <w:rFonts w:ascii="Verdana" w:eastAsia="Calibri" w:hAnsi="Verdana" w:cs="Arial"/>
          <w:color w:val="000000" w:themeColor="text1"/>
        </w:rPr>
      </w:pPr>
    </w:p>
    <w:p w14:paraId="49903285" w14:textId="77777777" w:rsidR="0050271A" w:rsidRDefault="0050271A" w:rsidP="0050271A">
      <w:pPr>
        <w:spacing w:after="0" w:line="240" w:lineRule="auto"/>
        <w:rPr>
          <w:rFonts w:ascii="Verdana" w:eastAsia="Calibri" w:hAnsi="Verdana" w:cs="Arial"/>
          <w:color w:val="000000" w:themeColor="text1"/>
        </w:rPr>
      </w:pPr>
    </w:p>
    <w:p w14:paraId="57FAE3A5" w14:textId="77777777" w:rsidR="0050271A" w:rsidRDefault="0050271A" w:rsidP="0050271A">
      <w:pPr>
        <w:spacing w:after="0" w:line="240" w:lineRule="auto"/>
        <w:rPr>
          <w:rFonts w:ascii="Verdana" w:eastAsia="Calibri" w:hAnsi="Verdana" w:cs="Arial"/>
          <w:color w:val="000000" w:themeColor="text1"/>
        </w:rPr>
      </w:pPr>
    </w:p>
    <w:p w14:paraId="353C5795" w14:textId="77777777" w:rsidR="0050271A" w:rsidRDefault="0050271A" w:rsidP="0050271A">
      <w:pPr>
        <w:spacing w:after="0" w:line="240" w:lineRule="auto"/>
        <w:rPr>
          <w:rFonts w:ascii="Verdana" w:eastAsia="Calibri" w:hAnsi="Verdana" w:cs="Arial"/>
          <w:color w:val="000000" w:themeColor="text1"/>
        </w:rPr>
      </w:pPr>
    </w:p>
    <w:p w14:paraId="6D6E6FDD" w14:textId="77777777" w:rsidR="0050271A" w:rsidRDefault="0050271A" w:rsidP="0050271A">
      <w:pPr>
        <w:spacing w:after="0" w:line="240" w:lineRule="auto"/>
        <w:rPr>
          <w:rFonts w:ascii="Verdana" w:eastAsia="Calibri" w:hAnsi="Verdana" w:cs="Arial"/>
          <w:color w:val="000000" w:themeColor="text1"/>
        </w:rPr>
      </w:pPr>
    </w:p>
    <w:p w14:paraId="15CC134E" w14:textId="77777777" w:rsidR="0050271A" w:rsidRDefault="0050271A" w:rsidP="0050271A">
      <w:pPr>
        <w:spacing w:after="0" w:line="240" w:lineRule="auto"/>
        <w:rPr>
          <w:rFonts w:ascii="Verdana" w:eastAsia="Calibri" w:hAnsi="Verdana" w:cs="Arial"/>
          <w:color w:val="000000" w:themeColor="text1"/>
        </w:rPr>
      </w:pPr>
    </w:p>
    <w:p w14:paraId="059D0382" w14:textId="77777777" w:rsidR="0050271A" w:rsidRDefault="0050271A" w:rsidP="0050271A">
      <w:pPr>
        <w:spacing w:after="0" w:line="240" w:lineRule="auto"/>
        <w:rPr>
          <w:rFonts w:ascii="Verdana" w:eastAsia="Calibri" w:hAnsi="Verdana" w:cs="Arial"/>
          <w:color w:val="000000" w:themeColor="text1"/>
        </w:rPr>
      </w:pPr>
    </w:p>
    <w:p w14:paraId="4A7BDAF9" w14:textId="77777777" w:rsidR="0050271A" w:rsidRDefault="0050271A" w:rsidP="0050271A">
      <w:pPr>
        <w:spacing w:after="0" w:line="240" w:lineRule="auto"/>
        <w:rPr>
          <w:rFonts w:ascii="Verdana" w:eastAsia="Calibri" w:hAnsi="Verdana" w:cs="Arial"/>
          <w:color w:val="000000" w:themeColor="text1"/>
        </w:rPr>
      </w:pPr>
    </w:p>
    <w:p w14:paraId="7DCF3786" w14:textId="77777777" w:rsidR="0050271A" w:rsidRDefault="0050271A" w:rsidP="0050271A">
      <w:pPr>
        <w:spacing w:after="0" w:line="240" w:lineRule="auto"/>
        <w:rPr>
          <w:rFonts w:ascii="Verdana" w:eastAsia="Calibri" w:hAnsi="Verdana" w:cs="Arial"/>
          <w:color w:val="000000" w:themeColor="text1"/>
        </w:rPr>
      </w:pPr>
    </w:p>
    <w:p w14:paraId="28648649" w14:textId="77777777" w:rsidR="0050271A" w:rsidRDefault="0050271A" w:rsidP="0050271A">
      <w:pPr>
        <w:spacing w:after="0" w:line="240" w:lineRule="auto"/>
        <w:rPr>
          <w:rFonts w:ascii="Verdana" w:eastAsia="Calibri" w:hAnsi="Verdana" w:cs="Arial"/>
          <w:color w:val="000000" w:themeColor="text1"/>
        </w:rPr>
      </w:pPr>
    </w:p>
    <w:p w14:paraId="604EAD58" w14:textId="77777777" w:rsidR="0050271A" w:rsidRDefault="0050271A" w:rsidP="0050271A">
      <w:pPr>
        <w:spacing w:after="0" w:line="240" w:lineRule="auto"/>
        <w:rPr>
          <w:rFonts w:ascii="Verdana" w:eastAsia="Calibri" w:hAnsi="Verdana" w:cs="Arial"/>
          <w:color w:val="000000" w:themeColor="text1"/>
        </w:rPr>
      </w:pPr>
    </w:p>
    <w:p w14:paraId="1C07DC3D" w14:textId="77777777" w:rsidR="0050271A" w:rsidRDefault="0050271A" w:rsidP="0050271A">
      <w:pPr>
        <w:spacing w:after="0" w:line="240" w:lineRule="auto"/>
        <w:rPr>
          <w:rFonts w:ascii="Verdana" w:eastAsia="Calibri" w:hAnsi="Verdana" w:cs="Arial"/>
          <w:color w:val="000000" w:themeColor="text1"/>
        </w:rPr>
      </w:pPr>
    </w:p>
    <w:p w14:paraId="5BF15A8B" w14:textId="01DC31C0" w:rsidR="0050271A" w:rsidRPr="00E31648" w:rsidRDefault="0050271A" w:rsidP="0050271A">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2</w:t>
      </w:r>
      <w:r w:rsidR="000C1FD8">
        <w:rPr>
          <w:rFonts w:ascii="Verdana" w:eastAsia="Calibri" w:hAnsi="Verdana" w:cs="Arial"/>
          <w:color w:val="000000" w:themeColor="text1"/>
        </w:rPr>
        <w:t>9</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552B7FF4" w14:textId="77777777" w:rsidR="0050271A" w:rsidRDefault="0050271A" w:rsidP="0050271A">
      <w:pPr>
        <w:spacing w:after="0" w:line="240" w:lineRule="auto"/>
        <w:jc w:val="both"/>
        <w:rPr>
          <w:rFonts w:ascii="Verdana" w:eastAsia="Calibri" w:hAnsi="Verdana" w:cs="Arial"/>
          <w:color w:val="000000" w:themeColor="text1"/>
          <w:lang w:val="es-ES"/>
        </w:rPr>
      </w:pPr>
    </w:p>
    <w:p w14:paraId="00D89E58" w14:textId="4AE9E393" w:rsidR="0050271A" w:rsidRDefault="00EB1412" w:rsidP="00EB1412">
      <w:pPr>
        <w:spacing w:after="0" w:line="240" w:lineRule="auto"/>
        <w:jc w:val="right"/>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inline distT="0" distB="0" distL="0" distR="0" wp14:anchorId="0FBCA8E0" wp14:editId="05F96023">
            <wp:extent cx="2466975" cy="695325"/>
            <wp:effectExtent l="0" t="0" r="9525" b="9525"/>
            <wp:docPr id="153129646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6975" cy="695325"/>
                    </a:xfrm>
                    <a:prstGeom prst="rect">
                      <a:avLst/>
                    </a:prstGeom>
                    <a:noFill/>
                    <a:ln>
                      <a:noFill/>
                    </a:ln>
                  </pic:spPr>
                </pic:pic>
              </a:graphicData>
            </a:graphic>
          </wp:inline>
        </w:drawing>
      </w:r>
    </w:p>
    <w:p w14:paraId="0A5D76BD" w14:textId="77777777" w:rsidR="00EB1412" w:rsidRDefault="00EB1412" w:rsidP="0050271A">
      <w:pPr>
        <w:spacing w:after="0" w:line="240" w:lineRule="auto"/>
        <w:jc w:val="both"/>
        <w:rPr>
          <w:rFonts w:ascii="Verdana" w:eastAsia="Calibri" w:hAnsi="Verdana" w:cs="Arial"/>
          <w:color w:val="000000" w:themeColor="text1"/>
          <w:lang w:val="es-ES" w:eastAsia="es-ES"/>
        </w:rPr>
      </w:pPr>
    </w:p>
    <w:p w14:paraId="3B857999" w14:textId="77777777" w:rsidR="00EB1412" w:rsidRDefault="00EB1412" w:rsidP="0050271A">
      <w:pPr>
        <w:spacing w:after="0" w:line="240" w:lineRule="auto"/>
        <w:jc w:val="both"/>
        <w:rPr>
          <w:rFonts w:ascii="Verdana" w:eastAsia="Calibri" w:hAnsi="Verdana" w:cs="Arial"/>
          <w:color w:val="000000" w:themeColor="text1"/>
          <w:lang w:val="es-ES" w:eastAsia="es-ES"/>
        </w:rPr>
      </w:pPr>
    </w:p>
    <w:p w14:paraId="113F3C43" w14:textId="77777777" w:rsidR="0050271A" w:rsidRPr="0046108F" w:rsidRDefault="0050271A" w:rsidP="0050271A">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41F782D9" w14:textId="77777777" w:rsidR="0050271A" w:rsidRDefault="0050271A" w:rsidP="0050271A">
      <w:pPr>
        <w:spacing w:after="0" w:line="240" w:lineRule="auto"/>
        <w:rPr>
          <w:rFonts w:ascii="Verdana" w:eastAsia="Calibri" w:hAnsi="Verdana" w:cs="Arial"/>
          <w:b/>
          <w:bCs/>
          <w:lang w:eastAsia="es-ES"/>
        </w:rPr>
      </w:pPr>
      <w:r w:rsidRPr="000F44F1">
        <w:rPr>
          <w:rFonts w:ascii="Verdana" w:eastAsia="Calibri" w:hAnsi="Verdana" w:cs="Arial"/>
          <w:b/>
          <w:bCs/>
          <w:lang w:eastAsia="es-ES"/>
        </w:rPr>
        <w:t>MARYURI BERRIO RAMÍREZ</w:t>
      </w:r>
    </w:p>
    <w:p w14:paraId="4F63A020" w14:textId="77777777" w:rsidR="0050271A" w:rsidRPr="00D57FE3" w:rsidRDefault="006207B0" w:rsidP="0050271A">
      <w:pPr>
        <w:spacing w:after="0" w:line="240" w:lineRule="auto"/>
        <w:rPr>
          <w:rFonts w:ascii="Verdana" w:eastAsia="Calibri" w:hAnsi="Verdana" w:cs="Arial"/>
          <w:lang w:val="es-ES" w:eastAsia="es-ES"/>
        </w:rPr>
      </w:pPr>
      <w:hyperlink r:id="rId11" w:history="1">
        <w:r w:rsidR="0050271A" w:rsidRPr="009D49DA">
          <w:rPr>
            <w:rStyle w:val="Hipervnculo"/>
            <w:rFonts w:ascii="Verdana" w:eastAsia="Calibri" w:hAnsi="Verdana" w:cs="Arial"/>
            <w:lang w:eastAsia="es-ES"/>
          </w:rPr>
          <w:t>accionaserviciossas@gmail.com</w:t>
        </w:r>
      </w:hyperlink>
      <w:r w:rsidR="0050271A">
        <w:rPr>
          <w:rFonts w:ascii="Verdana" w:eastAsia="Calibri" w:hAnsi="Verdana" w:cs="Arial"/>
          <w:lang w:eastAsia="es-ES"/>
        </w:rPr>
        <w:t xml:space="preserve"> </w:t>
      </w:r>
    </w:p>
    <w:p w14:paraId="3C02D354" w14:textId="77777777" w:rsidR="0050271A" w:rsidRPr="006B17A7" w:rsidRDefault="0050271A" w:rsidP="0050271A">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5371FFFA" w14:textId="77777777" w:rsidR="0050271A" w:rsidRPr="00CB7ABE" w:rsidRDefault="0050271A" w:rsidP="0050271A">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50271A" w:rsidRPr="00115E3D" w14:paraId="18A6091E" w14:textId="77777777" w:rsidTr="00AD323A">
        <w:trPr>
          <w:trHeight w:val="615"/>
        </w:trPr>
        <w:tc>
          <w:tcPr>
            <w:tcW w:w="2270" w:type="dxa"/>
          </w:tcPr>
          <w:p w14:paraId="5775F814" w14:textId="77777777" w:rsidR="0050271A" w:rsidRPr="00CB7ABE" w:rsidRDefault="0050271A" w:rsidP="00AD323A">
            <w:pPr>
              <w:jc w:val="both"/>
              <w:rPr>
                <w:rFonts w:ascii="Verdana" w:eastAsia="Calibri" w:hAnsi="Verdana" w:cs="Arial"/>
                <w:b/>
                <w:bCs/>
                <w:color w:val="000000" w:themeColor="text1"/>
                <w:lang w:eastAsia="es-ES_tradnl"/>
              </w:rPr>
            </w:pPr>
          </w:p>
        </w:tc>
        <w:tc>
          <w:tcPr>
            <w:tcW w:w="6547" w:type="dxa"/>
          </w:tcPr>
          <w:p w14:paraId="63BB046F" w14:textId="77777777" w:rsidR="0050271A" w:rsidRPr="008A209A" w:rsidRDefault="0050271A" w:rsidP="00AD323A">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626</w:t>
            </w:r>
            <w:r w:rsidRPr="008A209A">
              <w:rPr>
                <w:rFonts w:ascii="Verdana" w:eastAsia="Calibri" w:hAnsi="Verdana" w:cs="Arial"/>
                <w:b/>
                <w:bCs/>
                <w:color w:val="000000" w:themeColor="text1"/>
                <w:lang w:val="es-ES" w:eastAsia="es-ES"/>
              </w:rPr>
              <w:t xml:space="preserve"> de 2026</w:t>
            </w:r>
          </w:p>
        </w:tc>
      </w:tr>
      <w:tr w:rsidR="0050271A" w:rsidRPr="007E403E" w14:paraId="2CE66CDD" w14:textId="77777777" w:rsidTr="00AD323A">
        <w:trPr>
          <w:trHeight w:val="1071"/>
        </w:trPr>
        <w:tc>
          <w:tcPr>
            <w:tcW w:w="2270" w:type="dxa"/>
          </w:tcPr>
          <w:p w14:paraId="34B881DD" w14:textId="77777777" w:rsidR="0050271A" w:rsidRPr="001B36DA" w:rsidRDefault="0050271A" w:rsidP="00AD323A">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255ADD71" w14:textId="77777777" w:rsidR="0050271A" w:rsidRPr="00A11406" w:rsidRDefault="0050271A" w:rsidP="00AD323A">
            <w:pPr>
              <w:spacing w:line="276" w:lineRule="auto"/>
              <w:jc w:val="both"/>
              <w:rPr>
                <w:rFonts w:ascii="Verdana" w:eastAsia="Calibri" w:hAnsi="Verdana" w:cs="Arial"/>
                <w:lang w:val="es-ES" w:eastAsia="es-ES"/>
              </w:rPr>
            </w:pPr>
            <w:r w:rsidRPr="0090297D">
              <w:rPr>
                <w:rFonts w:ascii="Verdana" w:eastAsia="Calibri" w:hAnsi="Verdana" w:cs="Arial"/>
                <w:lang w:eastAsia="es-ES"/>
              </w:rPr>
              <w:t>INDICADORES FINANCIEROS – RUP – Dos (2) decimales sin aproximaciones / PRO</w:t>
            </w:r>
            <w:r>
              <w:rPr>
                <w:rFonts w:ascii="Verdana" w:eastAsia="Calibri" w:hAnsi="Verdana" w:cs="Arial"/>
                <w:lang w:eastAsia="es-ES"/>
              </w:rPr>
              <w:t>P</w:t>
            </w:r>
            <w:r w:rsidRPr="0090297D">
              <w:rPr>
                <w:rFonts w:ascii="Verdana" w:eastAsia="Calibri" w:hAnsi="Verdana" w:cs="Arial"/>
                <w:lang w:eastAsia="es-ES"/>
              </w:rPr>
              <w:t>ONENTES PLURALES – Ponderación de indicadores financieros / CAPACIDAD FINANCIERA – Eliminación de decimales excedentes– REQUISITOS HABILITANTES – Naturaleza orientadora / PROCESO DE SELECCIÓN – Evaluación financiera – Redondeo / PRINCIPIO DE SELECCIÓN OBJETIVA – Igualdad entre oferentes.</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9EE0FF1" w14:textId="77777777" w:rsidR="0050271A" w:rsidRPr="005E256F" w:rsidRDefault="0050271A" w:rsidP="00AD323A">
            <w:pPr>
              <w:spacing w:line="276" w:lineRule="auto"/>
              <w:jc w:val="both"/>
              <w:rPr>
                <w:rFonts w:ascii="Verdana" w:eastAsia="Calibri" w:hAnsi="Verdana" w:cs="Arial"/>
                <w:color w:val="000000" w:themeColor="text1"/>
                <w:highlight w:val="yellow"/>
                <w:lang w:val="es-ES" w:eastAsia="es-ES"/>
              </w:rPr>
            </w:pPr>
            <w:r w:rsidRPr="00D86CA8">
              <w:rPr>
                <w:rFonts w:ascii="Verdana" w:eastAsia="Calibri" w:hAnsi="Verdana" w:cs="Arial"/>
                <w:lang w:val="es-ES" w:eastAsia="es-ES"/>
              </w:rPr>
              <w:t xml:space="preserve">                  </w:t>
            </w:r>
          </w:p>
        </w:tc>
      </w:tr>
      <w:tr w:rsidR="0050271A" w:rsidRPr="00115E3D" w14:paraId="070DC640" w14:textId="77777777" w:rsidTr="00AD323A">
        <w:trPr>
          <w:trHeight w:val="653"/>
        </w:trPr>
        <w:tc>
          <w:tcPr>
            <w:tcW w:w="2270" w:type="dxa"/>
          </w:tcPr>
          <w:p w14:paraId="1EEB2BBC" w14:textId="77777777" w:rsidR="0050271A" w:rsidRPr="00CB7ABE" w:rsidRDefault="0050271A" w:rsidP="00AD323A">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3EF98FC8" w14:textId="77777777" w:rsidR="0050271A" w:rsidRPr="00CB7ABE" w:rsidRDefault="0050271A" w:rsidP="00AD323A">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0F44F1">
              <w:rPr>
                <w:rFonts w:ascii="Verdana" w:eastAsia="Calibri" w:hAnsi="Verdana" w:cs="Arial"/>
                <w:color w:val="000000" w:themeColor="text1"/>
                <w:lang w:val="es-ES_tradnl" w:eastAsia="es-ES_tradnl"/>
              </w:rPr>
              <w:t>1_2026_04_16_005198</w:t>
            </w:r>
          </w:p>
        </w:tc>
      </w:tr>
      <w:tr w:rsidR="0050271A" w:rsidRPr="00115E3D" w14:paraId="1865711C" w14:textId="77777777" w:rsidTr="00AD323A">
        <w:trPr>
          <w:trHeight w:val="653"/>
        </w:trPr>
        <w:tc>
          <w:tcPr>
            <w:tcW w:w="2270" w:type="dxa"/>
          </w:tcPr>
          <w:p w14:paraId="367B2984" w14:textId="77777777" w:rsidR="0050271A" w:rsidRPr="00CB7ABE" w:rsidRDefault="0050271A" w:rsidP="00AD323A">
            <w:pPr>
              <w:jc w:val="both"/>
              <w:rPr>
                <w:rFonts w:ascii="Verdana" w:eastAsia="Calibri" w:hAnsi="Verdana" w:cs="Arial"/>
                <w:b/>
                <w:color w:val="000000" w:themeColor="text1"/>
                <w:lang w:val="es-ES_tradnl" w:eastAsia="es-ES_tradnl"/>
              </w:rPr>
            </w:pPr>
          </w:p>
        </w:tc>
        <w:tc>
          <w:tcPr>
            <w:tcW w:w="6547" w:type="dxa"/>
          </w:tcPr>
          <w:p w14:paraId="2DF4837F" w14:textId="77777777" w:rsidR="0050271A" w:rsidRPr="00CB7ABE" w:rsidRDefault="0050271A" w:rsidP="00AD323A">
            <w:pPr>
              <w:ind w:right="1"/>
              <w:jc w:val="both"/>
              <w:rPr>
                <w:rFonts w:ascii="Verdana" w:eastAsia="Calibri" w:hAnsi="Verdana" w:cs="Arial"/>
                <w:color w:val="000000" w:themeColor="text1"/>
                <w:lang w:val="es-ES_tradnl" w:eastAsia="es-ES_tradnl"/>
              </w:rPr>
            </w:pPr>
          </w:p>
        </w:tc>
      </w:tr>
    </w:tbl>
    <w:p w14:paraId="06B10E13" w14:textId="77777777" w:rsidR="0050271A" w:rsidRPr="00115E3D" w:rsidRDefault="0050271A" w:rsidP="0050271A">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a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 Berrio;</w:t>
      </w:r>
    </w:p>
    <w:p w14:paraId="5175ACA4" w14:textId="77777777" w:rsidR="0050271A" w:rsidRPr="00115E3D" w:rsidRDefault="0050271A" w:rsidP="0050271A">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2A6D0332" w14:textId="77777777" w:rsidR="0050271A" w:rsidRPr="00115E3D" w:rsidRDefault="0050271A" w:rsidP="0050271A">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las preguntas 3 y 4 de una </w:t>
      </w:r>
      <w:r w:rsidRPr="00115E3D">
        <w:rPr>
          <w:rFonts w:ascii="Verdana" w:eastAsia="Calibri" w:hAnsi="Verdana" w:cs="Arial"/>
          <w:color w:val="000000" w:themeColor="text1"/>
          <w:lang w:val="es-ES" w:eastAsia="es-ES"/>
        </w:rPr>
        <w:t>solicitud</w:t>
      </w:r>
      <w:r>
        <w:rPr>
          <w:rFonts w:ascii="Verdana" w:eastAsia="Calibri" w:hAnsi="Verdana" w:cs="Arial"/>
          <w:color w:val="000000" w:themeColor="text1"/>
          <w:lang w:val="es-ES" w:eastAsia="es-ES"/>
        </w:rPr>
        <w:t xml:space="preserve"> trasladada por parte de la </w:t>
      </w:r>
      <w:r w:rsidRPr="00CF5ED9">
        <w:rPr>
          <w:rFonts w:ascii="Verdana" w:eastAsia="Calibri" w:hAnsi="Verdana" w:cs="Arial"/>
          <w:color w:val="000000" w:themeColor="text1"/>
          <w:lang w:eastAsia="es-ES"/>
        </w:rPr>
        <w:t>Confederación Colombiana de Cámaras de Comercio </w:t>
      </w:r>
      <w:r>
        <w:rPr>
          <w:rFonts w:ascii="Verdana" w:eastAsia="Calibri" w:hAnsi="Verdana" w:cs="Arial"/>
          <w:color w:val="000000" w:themeColor="text1"/>
          <w:lang w:eastAsia="es-ES"/>
        </w:rPr>
        <w:t>(</w:t>
      </w:r>
      <w:r>
        <w:rPr>
          <w:rFonts w:ascii="Verdana" w:eastAsia="Calibri" w:hAnsi="Verdana" w:cs="Arial"/>
          <w:color w:val="000000" w:themeColor="text1"/>
          <w:lang w:val="es-ES" w:eastAsia="es-ES"/>
        </w:rPr>
        <w:t xml:space="preserve">Confecámaras) y radicada ante esta entidad el 16 de abril de 2026 </w:t>
      </w:r>
      <w:r w:rsidRPr="00115E3D">
        <w:rPr>
          <w:rFonts w:ascii="Verdana" w:eastAsia="Calibri" w:hAnsi="Verdana" w:cs="Arial"/>
          <w:color w:val="000000" w:themeColor="text1"/>
          <w:lang w:val="es-ES" w:eastAsia="es-ES"/>
        </w:rPr>
        <w:t xml:space="preserve">en la cual manifiesta lo siguiente: </w:t>
      </w:r>
    </w:p>
    <w:p w14:paraId="3320530E" w14:textId="77777777" w:rsidR="0050271A" w:rsidRDefault="0050271A" w:rsidP="0050271A">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7A1F1B45" w14:textId="77777777" w:rsidR="0050271A" w:rsidRDefault="0050271A" w:rsidP="0050271A">
      <w:pPr>
        <w:spacing w:after="0" w:line="240" w:lineRule="auto"/>
        <w:ind w:left="709" w:right="709"/>
        <w:jc w:val="both"/>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lastRenderedPageBreak/>
        <w:t>“</w:t>
      </w:r>
    </w:p>
    <w:p w14:paraId="16662872" w14:textId="77777777" w:rsidR="0050271A" w:rsidRPr="00CF5ED9" w:rsidRDefault="0050271A" w:rsidP="0050271A">
      <w:pPr>
        <w:spacing w:after="0" w:line="240" w:lineRule="auto"/>
        <w:ind w:left="709" w:right="709"/>
        <w:jc w:val="both"/>
        <w:rPr>
          <w:rFonts w:ascii="Verdana" w:eastAsia="Century Gothic" w:hAnsi="Verdana" w:cs="Century Gothic"/>
          <w:i/>
          <w:iCs/>
          <w:color w:val="000000" w:themeColor="text1"/>
          <w:sz w:val="20"/>
          <w:szCs w:val="20"/>
        </w:rPr>
      </w:pPr>
      <w:r w:rsidRPr="00CF5ED9">
        <w:rPr>
          <w:rFonts w:ascii="Verdana" w:eastAsia="Century Gothic" w:hAnsi="Verdana" w:cs="Century Gothic"/>
          <w:i/>
          <w:iCs/>
          <w:color w:val="000000" w:themeColor="text1"/>
          <w:sz w:val="20"/>
          <w:szCs w:val="20"/>
        </w:rPr>
        <w:t>3.Cuando una entidad estatal evalúa los indicadores financieros ponderados de un proponente plural (consorcio o unión temporal) mediante la fórmula de sumatoria ponderada (Indicador × Participación) establecida en el Manual de Colombia Compra Eficiente, y el resultado de esa ponderación arroja más de dos decimales — por ejemplo, 0,5958 — ¿considera Confecámaras que la regla de “2 decimales sin aproximaciones” del Formulario RUES es aplicable también a ese resultado ponderado, o únicamente a los indicadores individuales reportados por cada integrante en su RUP?</w:t>
      </w:r>
    </w:p>
    <w:p w14:paraId="682A52FC" w14:textId="77777777" w:rsidR="0050271A" w:rsidRPr="00CF5ED9" w:rsidRDefault="0050271A" w:rsidP="0050271A">
      <w:pPr>
        <w:spacing w:after="0" w:line="240" w:lineRule="auto"/>
        <w:ind w:left="709" w:right="709"/>
        <w:jc w:val="both"/>
        <w:rPr>
          <w:rFonts w:ascii="Verdana" w:eastAsia="Century Gothic" w:hAnsi="Verdana" w:cs="Century Gothic"/>
          <w:i/>
          <w:iCs/>
          <w:color w:val="000000" w:themeColor="text1"/>
          <w:sz w:val="20"/>
          <w:szCs w:val="20"/>
        </w:rPr>
      </w:pPr>
      <w:r w:rsidRPr="00CF5ED9">
        <w:rPr>
          <w:rFonts w:ascii="Verdana" w:eastAsia="Century Gothic" w:hAnsi="Verdana" w:cs="Century Gothic"/>
          <w:i/>
          <w:iCs/>
          <w:color w:val="000000" w:themeColor="text1"/>
          <w:sz w:val="20"/>
          <w:szCs w:val="20"/>
        </w:rPr>
        <w:t>4.En el evento en que una entidad estatal, al evaluar el indicador de endeudamiento ponderado de una unión temporal, aplique redondeo en lugar de truncamiento al resultado — convirtiendo así un resultado de 0,5958 en 0,60 — y en consecuencia declare no habilitado a un proponente cuyo indicador truncado sería 0,59 (que sí cumple el límite máximo exigido), ¿constituye esa actuación una violación a la regla oficial del sistema del RUP, y qué consecuencias jurídicas o administrativas podría tener?</w:t>
      </w:r>
      <w:r w:rsidRPr="00CF5ED9">
        <w:rPr>
          <w:rFonts w:ascii="Verdana" w:eastAsia="Century Gothic" w:hAnsi="Verdana" w:cs="Century Gothic"/>
          <w:i/>
          <w:iCs/>
          <w:color w:val="000000" w:themeColor="text1"/>
          <w:sz w:val="20"/>
          <w:szCs w:val="20"/>
          <w:lang w:val="es-MX"/>
        </w:rPr>
        <w:t xml:space="preserve"> </w:t>
      </w:r>
      <w:r>
        <w:rPr>
          <w:rFonts w:ascii="Verdana" w:eastAsia="Century Gothic" w:hAnsi="Verdana" w:cs="Century Gothic"/>
          <w:i/>
          <w:iCs/>
          <w:color w:val="000000" w:themeColor="text1"/>
          <w:sz w:val="20"/>
          <w:szCs w:val="20"/>
          <w:lang w:val="es-MX"/>
        </w:rPr>
        <w:t>“</w:t>
      </w:r>
    </w:p>
    <w:p w14:paraId="3ABE88E1" w14:textId="77777777" w:rsidR="0050271A" w:rsidRDefault="0050271A" w:rsidP="0050271A">
      <w:pPr>
        <w:spacing w:after="0" w:line="240" w:lineRule="auto"/>
        <w:ind w:left="709" w:right="709"/>
        <w:jc w:val="both"/>
        <w:rPr>
          <w:rFonts w:ascii="Verdana" w:eastAsia="Century Gothic" w:hAnsi="Verdana" w:cs="Century Gothic"/>
          <w:i/>
          <w:iCs/>
          <w:color w:val="000000" w:themeColor="text1"/>
          <w:sz w:val="20"/>
          <w:szCs w:val="20"/>
          <w:lang w:val="es-ES"/>
        </w:rPr>
      </w:pPr>
    </w:p>
    <w:p w14:paraId="3A95F8D4" w14:textId="77777777" w:rsidR="0050271A" w:rsidRDefault="0050271A" w:rsidP="0050271A">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2677B5BC" w14:textId="77777777" w:rsidR="0050271A" w:rsidRPr="00115E3D" w:rsidRDefault="0050271A" w:rsidP="0050271A">
      <w:pPr>
        <w:spacing w:after="0" w:line="240" w:lineRule="auto"/>
        <w:ind w:right="49"/>
        <w:jc w:val="both"/>
        <w:rPr>
          <w:rFonts w:ascii="Verdana" w:eastAsia="Calibri" w:hAnsi="Verdana" w:cs="Arial"/>
          <w:color w:val="000000" w:themeColor="text1"/>
          <w:szCs w:val="24"/>
          <w:lang w:val="es-ES_tradnl" w:eastAsia="es-ES_tradnl"/>
        </w:rPr>
      </w:pPr>
    </w:p>
    <w:p w14:paraId="5983A32B" w14:textId="77777777" w:rsidR="0050271A" w:rsidRPr="00115E3D" w:rsidRDefault="0050271A" w:rsidP="0050271A">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2A179977" w14:textId="77777777" w:rsidR="0050271A" w:rsidRPr="00115E3D" w:rsidRDefault="0050271A" w:rsidP="0050271A">
      <w:pPr>
        <w:spacing w:after="0" w:line="276" w:lineRule="auto"/>
        <w:ind w:firstLine="709"/>
        <w:jc w:val="both"/>
        <w:rPr>
          <w:rFonts w:ascii="Verdana" w:eastAsia="Calibri" w:hAnsi="Verdana" w:cs="Arial"/>
          <w:color w:val="000000" w:themeColor="text1"/>
          <w:lang w:val="es-ES" w:eastAsia="es-ES"/>
        </w:rPr>
      </w:pPr>
    </w:p>
    <w:p w14:paraId="666732D5" w14:textId="77777777" w:rsidR="0050271A" w:rsidRPr="00115E3D" w:rsidRDefault="0050271A" w:rsidP="005027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201615F5" w14:textId="77777777" w:rsidR="0050271A" w:rsidRPr="00115E3D" w:rsidRDefault="0050271A" w:rsidP="0050271A">
      <w:pPr>
        <w:tabs>
          <w:tab w:val="left" w:pos="426"/>
        </w:tabs>
        <w:spacing w:after="0" w:line="276" w:lineRule="auto"/>
        <w:jc w:val="both"/>
        <w:rPr>
          <w:rFonts w:ascii="Verdana" w:eastAsia="Century Gothic" w:hAnsi="Verdana" w:cs="Century Gothic"/>
          <w:color w:val="000000" w:themeColor="text1"/>
          <w:lang w:val="es-ES"/>
        </w:rPr>
      </w:pPr>
    </w:p>
    <w:p w14:paraId="0A552628" w14:textId="77777777" w:rsidR="0050271A" w:rsidRDefault="0050271A" w:rsidP="0050271A">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115E3D">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w:t>
      </w:r>
    </w:p>
    <w:p w14:paraId="7FA59150" w14:textId="77777777" w:rsidR="0050271A" w:rsidRDefault="0050271A" w:rsidP="0050271A">
      <w:pPr>
        <w:spacing w:after="0" w:line="276" w:lineRule="auto"/>
        <w:jc w:val="both"/>
        <w:rPr>
          <w:rFonts w:ascii="Verdana" w:eastAsia="Century Gothic" w:hAnsi="Verdana" w:cs="Century Gothic"/>
          <w:color w:val="000000" w:themeColor="text1"/>
        </w:rPr>
      </w:pPr>
    </w:p>
    <w:p w14:paraId="0DC4A087" w14:textId="77777777" w:rsidR="0050271A" w:rsidRPr="002565C6" w:rsidRDefault="0050271A" w:rsidP="0050271A">
      <w:pPr>
        <w:spacing w:after="0" w:line="276" w:lineRule="auto"/>
        <w:jc w:val="both"/>
        <w:rPr>
          <w:rFonts w:ascii="Verdana" w:hAnsi="Verdana"/>
        </w:rPr>
      </w:pPr>
      <w:r>
        <w:rPr>
          <w:rFonts w:ascii="Verdana" w:hAnsi="Verdana"/>
        </w:rPr>
        <w:t xml:space="preserve">i). </w:t>
      </w:r>
      <w:r w:rsidRPr="002565C6">
        <w:rPr>
          <w:rFonts w:ascii="Verdana" w:hAnsi="Verdana"/>
        </w:rPr>
        <w:t xml:space="preserve">¿La regla del RUP de expresar los indicadores financieros con dos (2) decimales sin aproximaciones </w:t>
      </w:r>
      <w:r>
        <w:rPr>
          <w:rFonts w:ascii="Verdana" w:hAnsi="Verdana"/>
        </w:rPr>
        <w:t xml:space="preserve">establecida por Confecámaras, </w:t>
      </w:r>
      <w:r w:rsidRPr="002565C6">
        <w:rPr>
          <w:rFonts w:ascii="Verdana" w:hAnsi="Verdana"/>
        </w:rPr>
        <w:t>aplica también a los indicadores ponderados de consorcios o uniones temporales?</w:t>
      </w:r>
    </w:p>
    <w:p w14:paraId="4B4F1543" w14:textId="77777777" w:rsidR="0050271A" w:rsidRDefault="0050271A" w:rsidP="0050271A">
      <w:pPr>
        <w:spacing w:after="0" w:line="276" w:lineRule="auto"/>
        <w:jc w:val="both"/>
        <w:rPr>
          <w:rFonts w:ascii="Verdana" w:hAnsi="Verdana"/>
        </w:rPr>
      </w:pPr>
    </w:p>
    <w:p w14:paraId="33EF8A5A" w14:textId="77777777" w:rsidR="0050271A" w:rsidRDefault="0050271A" w:rsidP="0050271A">
      <w:pPr>
        <w:spacing w:after="0" w:line="276" w:lineRule="auto"/>
        <w:jc w:val="both"/>
        <w:rPr>
          <w:rFonts w:ascii="Verdana" w:hAnsi="Verdana"/>
        </w:rPr>
      </w:pPr>
      <w:r>
        <w:rPr>
          <w:rFonts w:ascii="Verdana" w:hAnsi="Verdana"/>
        </w:rPr>
        <w:t xml:space="preserve">ii). </w:t>
      </w:r>
      <w:r w:rsidRPr="002565C6">
        <w:rPr>
          <w:rFonts w:ascii="Verdana" w:hAnsi="Verdana"/>
        </w:rPr>
        <w:t>¿La entidad estatal desconoce las reglas técnicas y los principios de la contratación estatal cuando aplica redondeo, en lugar de eliminación de decimales excedentes, al resultado ponderado de un indicador financiero de un proponente plural?</w:t>
      </w:r>
    </w:p>
    <w:p w14:paraId="079B5E77" w14:textId="77777777" w:rsidR="0050271A" w:rsidRPr="002565C6" w:rsidRDefault="0050271A" w:rsidP="0050271A">
      <w:pPr>
        <w:spacing w:after="0" w:line="276" w:lineRule="auto"/>
        <w:jc w:val="both"/>
        <w:rPr>
          <w:rFonts w:ascii="Verdana" w:hAnsi="Verdana"/>
        </w:rPr>
      </w:pPr>
    </w:p>
    <w:p w14:paraId="6E839E72" w14:textId="77777777" w:rsidR="0050271A" w:rsidRPr="00115E3D" w:rsidRDefault="0050271A" w:rsidP="005027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A62637D" w14:textId="77777777" w:rsidR="0050271A" w:rsidRPr="00115E3D" w:rsidRDefault="0050271A" w:rsidP="0050271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0271A" w:rsidRPr="00115E3D" w14:paraId="106C74D1" w14:textId="77777777" w:rsidTr="00AD323A">
        <w:trPr>
          <w:trHeight w:val="774"/>
        </w:trPr>
        <w:tc>
          <w:tcPr>
            <w:tcW w:w="8828" w:type="dxa"/>
          </w:tcPr>
          <w:p w14:paraId="3B8F97CA" w14:textId="77777777" w:rsidR="0050271A" w:rsidRPr="00043F94" w:rsidRDefault="0050271A" w:rsidP="00AD323A">
            <w:pPr>
              <w:spacing w:after="120" w:line="276" w:lineRule="auto"/>
              <w:jc w:val="both"/>
              <w:rPr>
                <w:rFonts w:ascii="Verdana" w:eastAsia="Arial" w:hAnsi="Verdana" w:cs="Arial"/>
              </w:rPr>
            </w:pPr>
            <w:r>
              <w:rPr>
                <w:rFonts w:ascii="Verdana" w:eastAsia="Arial" w:hAnsi="Verdana" w:cs="Arial"/>
              </w:rPr>
              <w:t xml:space="preserve">          i) </w:t>
            </w:r>
            <w:r w:rsidRPr="00043F94">
              <w:rPr>
                <w:rFonts w:ascii="Verdana" w:eastAsia="Arial" w:hAnsi="Verdana" w:cs="Arial"/>
              </w:rPr>
              <w:t>De conformidad con el criterio técnico expuesto por la Confederación Colombiana de Cámaras de Comercio – Confecámaras</w:t>
            </w:r>
            <w:r>
              <w:rPr>
                <w:rFonts w:ascii="Verdana" w:eastAsia="Arial" w:hAnsi="Verdana" w:cs="Arial"/>
              </w:rPr>
              <w:t xml:space="preserve"> en el documento adjunto a la solicitud del asunto</w:t>
            </w:r>
            <w:r w:rsidRPr="00043F94">
              <w:rPr>
                <w:rFonts w:ascii="Verdana" w:eastAsia="Arial" w:hAnsi="Verdana" w:cs="Arial"/>
              </w:rPr>
              <w:t xml:space="preserve">, así como con el análisis efectuado por </w:t>
            </w:r>
            <w:r>
              <w:rPr>
                <w:rFonts w:ascii="Verdana" w:eastAsia="Arial" w:hAnsi="Verdana" w:cs="Arial"/>
              </w:rPr>
              <w:t>el apoyo financiero de esta Subdirección Contractual</w:t>
            </w:r>
            <w:r w:rsidRPr="00043F94">
              <w:rPr>
                <w:rFonts w:ascii="Verdana" w:eastAsia="Arial" w:hAnsi="Verdana" w:cs="Arial"/>
              </w:rPr>
              <w:t>, la regla consistente en expresar los indicadores financieros y organizacionales “con dos (2) decimales, sin aproximaciones”, prevista en el numeral 1.9.2.5 de la Circular Externa 100-000002 del 25 de abril de 2022 de la Superintendencia de Sociedades, constituye el estándar técnico aplicable a la información inscrita y certificada en el Registro Único de Proponentes –RUP.</w:t>
            </w:r>
          </w:p>
          <w:p w14:paraId="0EBEF102" w14:textId="77777777" w:rsidR="0050271A" w:rsidRPr="00043F94" w:rsidRDefault="0050271A" w:rsidP="00AD323A">
            <w:pPr>
              <w:spacing w:after="120" w:line="276" w:lineRule="auto"/>
              <w:jc w:val="both"/>
              <w:rPr>
                <w:rFonts w:ascii="Verdana" w:eastAsia="Arial" w:hAnsi="Verdana" w:cs="Arial"/>
              </w:rPr>
            </w:pPr>
            <w:r>
              <w:rPr>
                <w:rFonts w:ascii="Verdana" w:eastAsia="Arial" w:hAnsi="Verdana" w:cs="Arial"/>
              </w:rPr>
              <w:t xml:space="preserve">           </w:t>
            </w:r>
            <w:r w:rsidRPr="00043F94">
              <w:rPr>
                <w:rFonts w:ascii="Verdana" w:eastAsia="Arial" w:hAnsi="Verdana" w:cs="Arial"/>
              </w:rPr>
              <w:t xml:space="preserve">En ese sentido, aunque el “Manual para determinar y verificar los requisitos habilitantes en los procesos de contratación” expedido por </w:t>
            </w:r>
            <w:r w:rsidRPr="004D77CE">
              <w:rPr>
                <w:rFonts w:ascii="Verdana" w:eastAsia="Arial" w:hAnsi="Verdana" w:cs="Arial"/>
              </w:rPr>
              <w:t>Colombia Compra Eficiente</w:t>
            </w:r>
            <w:r>
              <w:rPr>
                <w:rStyle w:val="Refdenotaalpie"/>
                <w:rFonts w:ascii="Verdana" w:eastAsia="Arial" w:hAnsi="Verdana" w:cs="Arial"/>
              </w:rPr>
              <w:footnoteReference w:id="1"/>
            </w:r>
            <w:r w:rsidRPr="00043F94">
              <w:rPr>
                <w:rFonts w:ascii="Verdana" w:eastAsia="Arial" w:hAnsi="Verdana" w:cs="Arial"/>
              </w:rPr>
              <w:t xml:space="preserve"> no establece expresamente la metodología de aproximación aplicable al cálculo de indicadores financieros de proponentes plurales, a criterio de dicha Agencia, y con el propósito de mantener uniformidad en las reglas de determinación y acreditación de la capacidad financiera y organizacional de los oferentes, dicha regla debe aplicarse igualmente a los resultados obtenidos en la ponderación de indicadores de consorcios y uniones temporales.</w:t>
            </w:r>
          </w:p>
          <w:p w14:paraId="4E309E49" w14:textId="77777777" w:rsidR="0050271A" w:rsidRPr="004D77CE" w:rsidRDefault="0050271A" w:rsidP="00AD323A">
            <w:pPr>
              <w:spacing w:after="120" w:line="276" w:lineRule="auto"/>
              <w:jc w:val="both"/>
              <w:rPr>
                <w:rFonts w:ascii="Verdana" w:eastAsia="Arial" w:hAnsi="Verdana" w:cs="Arial"/>
              </w:rPr>
            </w:pPr>
            <w:r>
              <w:rPr>
                <w:rFonts w:ascii="Verdana" w:eastAsia="Arial" w:hAnsi="Verdana" w:cs="Arial"/>
              </w:rPr>
              <w:lastRenderedPageBreak/>
              <w:t xml:space="preserve">         ii) D</w:t>
            </w:r>
            <w:r w:rsidRPr="004D77CE">
              <w:rPr>
                <w:rFonts w:ascii="Verdana" w:eastAsia="Arial" w:hAnsi="Verdana" w:cs="Arial"/>
              </w:rPr>
              <w:t>e acuerdo con lo señalado por Confecámaras, no resulta procedente afirmar que la regla registral prevista en el numeral 1.9.2.5 de la Circular Externa 100-000002 de 2022 constituya, por sí misma, una disposición jurídicamente vinculante para las entidades estatales dentro de los procedimientos de selección contractual, toda vez que dicha regulación se encuentra prevista para el ejercicio registral de las cámaras de comercio.</w:t>
            </w:r>
          </w:p>
          <w:p w14:paraId="3A353814" w14:textId="77777777" w:rsidR="0050271A" w:rsidRPr="004D77CE" w:rsidRDefault="0050271A" w:rsidP="00AD323A">
            <w:pPr>
              <w:spacing w:after="120" w:line="276" w:lineRule="auto"/>
              <w:jc w:val="both"/>
              <w:rPr>
                <w:rFonts w:ascii="Verdana" w:eastAsia="Arial" w:hAnsi="Verdana" w:cs="Arial"/>
              </w:rPr>
            </w:pPr>
            <w:r>
              <w:rPr>
                <w:rFonts w:ascii="Verdana" w:eastAsia="Arial" w:hAnsi="Verdana" w:cs="Arial"/>
              </w:rPr>
              <w:t xml:space="preserve">        </w:t>
            </w:r>
            <w:r w:rsidRPr="004D77CE">
              <w:rPr>
                <w:rFonts w:ascii="Verdana" w:eastAsia="Arial" w:hAnsi="Verdana" w:cs="Arial"/>
              </w:rPr>
              <w:t>No obstante, la Agencia Nacional de Contratación Pública – Colombia Compra Eficiente ha considerado que, con el propósito de mantener un criterio uniforme en la determinación y acreditación de los indicadores financieros y organizacionales de todos los oferentes —individuales y plurales—, la metodología aplicable a los cálculos de indicadores ponderados debe observar igualmente la regla de expresión con dos (2) decimales sin aproximaciones.</w:t>
            </w:r>
          </w:p>
          <w:p w14:paraId="26B51DC6" w14:textId="77777777" w:rsidR="0050271A" w:rsidRPr="004D77CE" w:rsidRDefault="0050271A" w:rsidP="00AD323A">
            <w:pPr>
              <w:spacing w:after="120" w:line="276" w:lineRule="auto"/>
              <w:jc w:val="both"/>
              <w:rPr>
                <w:rFonts w:ascii="Verdana" w:eastAsia="Arial" w:hAnsi="Verdana" w:cs="Arial"/>
              </w:rPr>
            </w:pPr>
            <w:r>
              <w:rPr>
                <w:rFonts w:ascii="Verdana" w:eastAsia="Arial" w:hAnsi="Verdana" w:cs="Arial"/>
              </w:rPr>
              <w:t xml:space="preserve">        </w:t>
            </w:r>
            <w:r w:rsidRPr="004D77CE">
              <w:rPr>
                <w:rFonts w:ascii="Verdana" w:eastAsia="Arial" w:hAnsi="Verdana" w:cs="Arial"/>
              </w:rPr>
              <w:t>Sin perjuicio de lo anterior, corresponde a cada entidad estatal, en ejercicio de su autonomía para estructurar el proceso contractual, definir de manera clara y expresa en los pliegos de condiciones las reglas de verificación y las metodologías aplicables al cálculo de indicadores financieros de proponentes plurales.</w:t>
            </w:r>
          </w:p>
          <w:p w14:paraId="0D440BDA" w14:textId="77777777" w:rsidR="0050271A" w:rsidRPr="00B643B2" w:rsidRDefault="0050271A" w:rsidP="00AD323A">
            <w:pPr>
              <w:spacing w:after="120" w:line="276" w:lineRule="auto"/>
              <w:jc w:val="both"/>
              <w:rPr>
                <w:rFonts w:ascii="Verdana" w:eastAsia="Calibri" w:hAnsi="Verdana"/>
              </w:rPr>
            </w:pPr>
            <w:r w:rsidRPr="009924B0">
              <w:rPr>
                <w:rFonts w:ascii="Verdana" w:eastAsia="Arial" w:hAnsi="Verdana" w:cs="Arial"/>
              </w:rPr>
              <w:t xml:space="preserve"> </w:t>
            </w: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06875249" w14:textId="77777777" w:rsidR="0050271A" w:rsidRPr="0029110A" w:rsidRDefault="0050271A" w:rsidP="00AD323A">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50271A" w:rsidRPr="00115E3D" w14:paraId="0774D125" w14:textId="77777777" w:rsidTr="00AD323A">
        <w:trPr>
          <w:trHeight w:val="162"/>
        </w:trPr>
        <w:tc>
          <w:tcPr>
            <w:tcW w:w="8828" w:type="dxa"/>
          </w:tcPr>
          <w:p w14:paraId="2BCA358B" w14:textId="77777777" w:rsidR="0050271A" w:rsidRDefault="0050271A" w:rsidP="00AD323A">
            <w:pPr>
              <w:spacing w:line="276" w:lineRule="auto"/>
              <w:jc w:val="both"/>
              <w:rPr>
                <w:rFonts w:ascii="Verdana" w:eastAsia="Calibri" w:hAnsi="Verdana" w:cs="Arial"/>
              </w:rPr>
            </w:pPr>
          </w:p>
        </w:tc>
      </w:tr>
    </w:tbl>
    <w:p w14:paraId="27881C09" w14:textId="77777777" w:rsidR="0050271A" w:rsidRDefault="0050271A" w:rsidP="0050271A">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2BA84376" w14:textId="77777777" w:rsidR="0050271A" w:rsidRDefault="0050271A" w:rsidP="005027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7130D690" w14:textId="77777777" w:rsidR="0050271A" w:rsidRDefault="0050271A" w:rsidP="0050271A">
      <w:pPr>
        <w:spacing w:after="120" w:line="276" w:lineRule="auto"/>
        <w:jc w:val="both"/>
        <w:rPr>
          <w:rFonts w:ascii="Verdana" w:hAnsi="Verdana"/>
        </w:rPr>
      </w:pPr>
    </w:p>
    <w:p w14:paraId="79A44433" w14:textId="77777777" w:rsidR="0050271A" w:rsidRPr="003B7A7F" w:rsidRDefault="0050271A" w:rsidP="0050271A">
      <w:pPr>
        <w:spacing w:after="120" w:line="276" w:lineRule="auto"/>
        <w:jc w:val="both"/>
        <w:rPr>
          <w:rFonts w:ascii="Verdana" w:eastAsia="Calibri" w:hAnsi="Verdana" w:cs="Arial"/>
          <w:b/>
          <w:bCs/>
          <w:lang w:eastAsia="es-MX"/>
        </w:rPr>
      </w:pPr>
      <w:r>
        <w:rPr>
          <w:rFonts w:ascii="Verdana" w:hAnsi="Verdana"/>
        </w:rPr>
        <w:t>Lo anterior se sustenta en las siguientes consideraciones:</w:t>
      </w:r>
    </w:p>
    <w:p w14:paraId="2DD95C54" w14:textId="77777777" w:rsidR="0050271A" w:rsidRPr="002F50D4" w:rsidRDefault="0050271A" w:rsidP="0050271A">
      <w:pPr>
        <w:spacing w:after="120" w:line="276" w:lineRule="auto"/>
        <w:ind w:firstLine="360"/>
        <w:jc w:val="both"/>
        <w:rPr>
          <w:rFonts w:ascii="Verdana" w:eastAsia="Calibri" w:hAnsi="Verdana" w:cs="Arial"/>
          <w:lang w:eastAsia="es-MX"/>
        </w:rPr>
      </w:pPr>
      <w:r>
        <w:rPr>
          <w:rFonts w:ascii="Verdana" w:eastAsia="Calibri" w:hAnsi="Verdana" w:cs="Arial"/>
          <w:lang w:eastAsia="es-MX"/>
        </w:rPr>
        <w:t xml:space="preserve">  </w:t>
      </w:r>
      <w:bookmarkStart w:id="2" w:name="_Hlk99546562"/>
      <w:r w:rsidRPr="002F50D4">
        <w:rPr>
          <w:rFonts w:ascii="Verdana" w:eastAsia="Calibri" w:hAnsi="Verdana" w:cs="Arial"/>
          <w:lang w:eastAsia="es-MX"/>
        </w:rPr>
        <w:t xml:space="preserve">Los </w:t>
      </w:r>
      <w:r w:rsidRPr="00ED6E39">
        <w:rPr>
          <w:rFonts w:ascii="Verdana" w:eastAsia="Calibri" w:hAnsi="Verdana" w:cs="Arial"/>
          <w:iCs/>
          <w:lang w:eastAsia="es-MX"/>
        </w:rPr>
        <w:t>requisitos habilitantes</w:t>
      </w:r>
      <w:r w:rsidRPr="002F50D4">
        <w:rPr>
          <w:rFonts w:ascii="Verdana" w:eastAsia="Calibri" w:hAnsi="Verdana" w:cs="Arial"/>
          <w:lang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w:t>
      </w:r>
      <w:r w:rsidRPr="002F50D4">
        <w:rPr>
          <w:rFonts w:ascii="Verdana" w:eastAsia="Calibri" w:hAnsi="Verdana" w:cs="Arial"/>
          <w:i/>
          <w:lang w:eastAsia="es-MX"/>
        </w:rPr>
        <w:t>criterios de evaluación</w:t>
      </w:r>
      <w:r w:rsidRPr="002F50D4">
        <w:rPr>
          <w:rFonts w:ascii="Verdana" w:eastAsia="Calibri" w:hAnsi="Verdana" w:cs="Arial"/>
          <w:lang w:eastAsia="es-MX"/>
        </w:rPr>
        <w:t xml:space="preserve">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bookmarkEnd w:id="2"/>
    <w:p w14:paraId="06B7C97A" w14:textId="77777777" w:rsidR="0050271A" w:rsidRPr="002F50D4" w:rsidRDefault="0050271A" w:rsidP="0050271A">
      <w:pPr>
        <w:spacing w:after="120" w:line="276" w:lineRule="auto"/>
        <w:ind w:firstLine="360"/>
        <w:jc w:val="both"/>
        <w:rPr>
          <w:rFonts w:ascii="Verdana" w:eastAsia="Calibri" w:hAnsi="Verdana" w:cs="Arial"/>
          <w:lang w:eastAsia="es-MX"/>
        </w:rPr>
      </w:pPr>
      <w:r>
        <w:rPr>
          <w:rFonts w:ascii="Verdana" w:eastAsia="Calibri" w:hAnsi="Verdana" w:cs="Arial"/>
          <w:lang w:eastAsia="es-MX"/>
        </w:rPr>
        <w:t xml:space="preserve">    De esta manera l</w:t>
      </w:r>
      <w:r w:rsidRPr="002F50D4">
        <w:rPr>
          <w:rFonts w:ascii="Verdana" w:eastAsia="Calibri" w:hAnsi="Verdana" w:cs="Arial"/>
          <w:lang w:eastAsia="es-MX"/>
        </w:rPr>
        <w:t>os requisitos habilitantes constituyen los requerimientos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53B90152" w14:textId="77777777" w:rsidR="0050271A" w:rsidRPr="002F50D4" w:rsidRDefault="0050271A" w:rsidP="0050271A">
      <w:pPr>
        <w:spacing w:after="120" w:line="276" w:lineRule="auto"/>
        <w:ind w:firstLine="360"/>
        <w:jc w:val="both"/>
        <w:rPr>
          <w:rFonts w:ascii="Verdana" w:eastAsia="Calibri" w:hAnsi="Verdana" w:cs="Arial"/>
          <w:lang w:val="es-ES_tradnl" w:eastAsia="es-MX"/>
        </w:rPr>
      </w:pPr>
      <w:r>
        <w:rPr>
          <w:rFonts w:ascii="Verdana" w:eastAsia="Calibri" w:hAnsi="Verdana" w:cs="Arial"/>
          <w:lang w:val="es-ES_tradnl" w:eastAsia="es-MX"/>
        </w:rPr>
        <w:t xml:space="preserve">   </w:t>
      </w:r>
      <w:r w:rsidRPr="002F50D4">
        <w:rPr>
          <w:rFonts w:ascii="Verdana" w:eastAsia="Calibri" w:hAnsi="Verdana" w:cs="Arial"/>
          <w:lang w:val="es-ES_tradnl" w:eastAsia="es-MX"/>
        </w:rPr>
        <w:t xml:space="preserve">El mencionado artículo dispone que se considera “[…]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7B7482DF" w14:textId="77777777" w:rsidR="0050271A" w:rsidRPr="002F50D4" w:rsidRDefault="0050271A" w:rsidP="0050271A">
      <w:pPr>
        <w:spacing w:after="0" w:line="276" w:lineRule="auto"/>
        <w:ind w:firstLine="360"/>
        <w:jc w:val="both"/>
        <w:rPr>
          <w:rFonts w:ascii="Verdana" w:eastAsia="Calibri" w:hAnsi="Verdana" w:cs="Arial"/>
          <w:lang w:eastAsia="es-MX"/>
        </w:rPr>
      </w:pPr>
      <w:r>
        <w:rPr>
          <w:rFonts w:ascii="Verdana" w:eastAsia="Calibri" w:hAnsi="Verdana" w:cs="Arial"/>
          <w:lang w:eastAsia="es-MX"/>
        </w:rPr>
        <w:t xml:space="preserve">  </w:t>
      </w:r>
      <w:r w:rsidRPr="002F50D4">
        <w:rPr>
          <w:rFonts w:ascii="Verdana" w:eastAsia="Calibri" w:hAnsi="Verdana" w:cs="Arial"/>
          <w:lang w:eastAsia="es-MX"/>
        </w:rPr>
        <w:t xml:space="preserve">Específicamente, el numeral 1º del artículo referido establece que en los procesos de selección de contratistas serán objeto de verificación, como requisitos habilitantes, entre otros, los siguientes: i) la capacidad jurídica; ii) la </w:t>
      </w:r>
      <w:r w:rsidRPr="002F50D4">
        <w:rPr>
          <w:rFonts w:ascii="Verdana" w:eastAsia="Calibri" w:hAnsi="Verdana" w:cs="Arial"/>
          <w:lang w:eastAsia="es-MX"/>
        </w:rPr>
        <w:lastRenderedPageBreak/>
        <w:t xml:space="preserve">experiencia; iii) la capacidad financiera y iv) la capacidad de organización. En efecto, la normativa citada dispone: </w:t>
      </w:r>
    </w:p>
    <w:p w14:paraId="3FCDAE48" w14:textId="77777777" w:rsidR="0050271A" w:rsidRPr="00C861EF" w:rsidRDefault="0050271A" w:rsidP="0050271A">
      <w:pPr>
        <w:pStyle w:val="Prrafodelista"/>
        <w:spacing w:after="0" w:line="276" w:lineRule="auto"/>
        <w:jc w:val="both"/>
        <w:rPr>
          <w:rFonts w:ascii="Verdana" w:eastAsia="Calibri" w:hAnsi="Verdana" w:cs="Arial"/>
          <w:lang w:val="es-ES_tradnl" w:eastAsia="es-MX"/>
        </w:rPr>
      </w:pPr>
    </w:p>
    <w:p w14:paraId="50A3D101" w14:textId="77777777" w:rsidR="0050271A" w:rsidRPr="002F50D4" w:rsidRDefault="0050271A" w:rsidP="0050271A">
      <w:pPr>
        <w:spacing w:after="0"/>
        <w:ind w:left="567" w:right="900"/>
        <w:jc w:val="both"/>
        <w:rPr>
          <w:rFonts w:ascii="Verdana" w:eastAsia="Calibri" w:hAnsi="Verdana" w:cs="Arial"/>
          <w:sz w:val="20"/>
          <w:szCs w:val="20"/>
          <w:lang w:val="es-ES_tradnl" w:eastAsia="es-MX"/>
        </w:rPr>
      </w:pPr>
      <w:r w:rsidRPr="002F50D4">
        <w:rPr>
          <w:rFonts w:ascii="Verdana" w:eastAsia="Calibri" w:hAnsi="Verdana" w:cs="Arial"/>
          <w:sz w:val="20"/>
          <w:szCs w:val="20"/>
          <w:lang w:val="es-ES_tradnl" w:eastAsia="es-MX"/>
        </w:rPr>
        <w:t xml:space="preserve">“Artículo 5. De la Selección Objetiva. </w:t>
      </w:r>
    </w:p>
    <w:p w14:paraId="3795ECD4" w14:textId="77777777" w:rsidR="0050271A" w:rsidRPr="002F50D4" w:rsidRDefault="0050271A" w:rsidP="0050271A">
      <w:pPr>
        <w:spacing w:after="120"/>
        <w:ind w:left="567" w:right="900"/>
        <w:jc w:val="both"/>
        <w:rPr>
          <w:rFonts w:ascii="Verdana" w:eastAsia="Calibri" w:hAnsi="Verdana" w:cs="Arial"/>
          <w:sz w:val="20"/>
          <w:szCs w:val="20"/>
          <w:lang w:val="es-ES_tradnl" w:eastAsia="es-MX"/>
        </w:rPr>
      </w:pPr>
      <w:r w:rsidRPr="002F50D4">
        <w:rPr>
          <w:rFonts w:ascii="Verdana" w:eastAsia="Calibri" w:hAnsi="Verdana" w:cs="Arial"/>
          <w:sz w:val="20"/>
          <w:szCs w:val="20"/>
          <w:lang w:val="es-ES_tradnl" w:eastAsia="es-MX"/>
        </w:rPr>
        <w:t>[…]</w:t>
      </w:r>
    </w:p>
    <w:p w14:paraId="0DAB5636" w14:textId="77777777" w:rsidR="0050271A" w:rsidRPr="002F50D4" w:rsidRDefault="0050271A" w:rsidP="0050271A">
      <w:pPr>
        <w:spacing w:after="0"/>
        <w:ind w:left="567" w:right="900"/>
        <w:jc w:val="both"/>
        <w:rPr>
          <w:rFonts w:ascii="Verdana" w:eastAsia="Calibri" w:hAnsi="Verdana" w:cs="Arial"/>
          <w:sz w:val="20"/>
          <w:szCs w:val="20"/>
        </w:rPr>
      </w:pPr>
      <w:r w:rsidRPr="002F50D4">
        <w:rPr>
          <w:rFonts w:ascii="Verdana" w:eastAsia="Calibri" w:hAnsi="Verdana" w:cs="Arial"/>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01171D41" w14:textId="77777777" w:rsidR="0050271A" w:rsidRPr="00C861EF" w:rsidRDefault="0050271A" w:rsidP="0050271A">
      <w:pPr>
        <w:pStyle w:val="Prrafodelista"/>
        <w:spacing w:after="0"/>
        <w:ind w:right="709"/>
        <w:jc w:val="both"/>
        <w:rPr>
          <w:rFonts w:ascii="Verdana" w:eastAsia="Calibri" w:hAnsi="Verdana" w:cs="Arial"/>
          <w:sz w:val="21"/>
          <w:szCs w:val="21"/>
          <w:lang w:val="es-ES_tradnl"/>
        </w:rPr>
      </w:pPr>
    </w:p>
    <w:p w14:paraId="6EC9EC99" w14:textId="77777777" w:rsidR="0050271A" w:rsidRPr="002F50D4" w:rsidRDefault="0050271A" w:rsidP="0050271A">
      <w:pPr>
        <w:spacing w:after="0"/>
        <w:ind w:firstLine="360"/>
        <w:jc w:val="both"/>
        <w:rPr>
          <w:rFonts w:ascii="Verdana" w:eastAsia="Calibri" w:hAnsi="Verdana" w:cs="Arial"/>
          <w:sz w:val="21"/>
          <w:szCs w:val="21"/>
          <w:lang w:val="es-ES_tradnl"/>
        </w:rPr>
      </w:pPr>
      <w:bookmarkStart w:id="3" w:name="_Hlk99547809"/>
      <w:bookmarkStart w:id="4" w:name="_Hlk99546625"/>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 xml:space="preserve">La Agencia Nacional de Contratación Pública ha defendido el carácter </w:t>
      </w:r>
      <w:bookmarkStart w:id="5" w:name="_Hlk99547799"/>
      <w:r w:rsidRPr="002F50D4">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 </w:t>
      </w:r>
      <w:bookmarkEnd w:id="3"/>
      <w:bookmarkEnd w:id="5"/>
      <w:r w:rsidRPr="002F50D4">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4"/>
      <w:r w:rsidRPr="00C861EF">
        <w:rPr>
          <w:vertAlign w:val="superscript"/>
          <w:lang w:val="es-ES_tradnl" w:eastAsia="es-MX"/>
        </w:rPr>
        <w:footnoteReference w:id="2"/>
      </w:r>
      <w:r w:rsidRPr="002F50D4">
        <w:rPr>
          <w:rFonts w:ascii="Verdana" w:eastAsia="Times New Roman" w:hAnsi="Verdana" w:cs="Arial"/>
          <w:lang w:val="es-ES_tradnl" w:eastAsia="es-MX"/>
        </w:rPr>
        <w:t xml:space="preserve">. </w:t>
      </w:r>
    </w:p>
    <w:p w14:paraId="5386AD4E" w14:textId="77777777" w:rsidR="0050271A" w:rsidRPr="002F50D4" w:rsidRDefault="0050271A" w:rsidP="0050271A">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Por otro lado, en el “Manual para determinar y verificar los requisitos habilitantes en los Procesos de Contratación”</w:t>
      </w:r>
      <w:r>
        <w:rPr>
          <w:rStyle w:val="Refdenotaalpie"/>
          <w:rFonts w:ascii="Verdana" w:eastAsia="Times New Roman" w:hAnsi="Verdana" w:cs="Arial"/>
          <w:lang w:val="es-ES_tradnl" w:eastAsia="es-MX"/>
        </w:rPr>
        <w:footnoteReference w:id="3"/>
      </w:r>
      <w:r w:rsidRPr="002F50D4">
        <w:rPr>
          <w:rFonts w:ascii="Verdana" w:eastAsia="Calibri" w:hAnsi="Verdana" w:cs="Arial"/>
          <w:lang w:val="es-ES_tradnl" w:eastAsia="es-MX"/>
        </w:rPr>
        <w:t>,</w:t>
      </w:r>
      <w:r w:rsidRPr="002F50D4">
        <w:rPr>
          <w:rFonts w:ascii="Verdana" w:eastAsia="Times New Roman" w:hAnsi="Verdana" w:cs="Arial"/>
          <w:lang w:val="es-ES_tradnl" w:eastAsia="es-MX"/>
        </w:rPr>
        <w:t xml:space="preserve"> expedido por la </w:t>
      </w:r>
      <w:r w:rsidRPr="002F50D4">
        <w:rPr>
          <w:rFonts w:ascii="Verdana" w:eastAsia="Calibri" w:hAnsi="Verdana" w:cs="Arial"/>
          <w:lang w:val="es-ES_tradnl" w:eastAsia="es-MX"/>
        </w:rPr>
        <w:t>Agencia Nacional de Contratación Pública – Colombia Compra Eficiente</w:t>
      </w:r>
      <w:r w:rsidRPr="002F50D4">
        <w:rPr>
          <w:rFonts w:ascii="Verdana" w:eastAsia="Times New Roman" w:hAnsi="Verdana" w:cs="Arial"/>
          <w:lang w:val="es-ES_tradnl" w:eastAsia="es-MX"/>
        </w:rPr>
        <w:t xml:space="preserve"> se determinaron los parámetros para establecer, acreditar y subsanar los requisitos habilitantes. Allí también se precisó que estos tienen como fin primordial medir “la aptitud del </w:t>
      </w:r>
      <w:r w:rsidRPr="002F50D4">
        <w:rPr>
          <w:rFonts w:ascii="Verdana" w:eastAsia="Times New Roman" w:hAnsi="Verdana" w:cs="Arial"/>
          <w:lang w:val="es-ES_tradnl" w:eastAsia="es-MX"/>
        </w:rPr>
        <w:lastRenderedPageBreak/>
        <w:t xml:space="preserve">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70B37B26" w14:textId="77777777" w:rsidR="0050271A" w:rsidRPr="002F50D4" w:rsidRDefault="0050271A" w:rsidP="0050271A">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30885DA3" w14:textId="77777777" w:rsidR="0050271A" w:rsidRPr="002F50D4" w:rsidRDefault="0050271A" w:rsidP="0050271A">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7A7D015D" w14:textId="77777777" w:rsidR="0050271A" w:rsidRPr="002F50D4" w:rsidRDefault="0050271A" w:rsidP="0050271A">
      <w:pPr>
        <w:tabs>
          <w:tab w:val="left" w:pos="426"/>
        </w:tabs>
        <w:spacing w:before="120" w:after="120" w:line="276" w:lineRule="auto"/>
        <w:jc w:val="both"/>
        <w:rPr>
          <w:rFonts w:ascii="Verdana" w:eastAsia="Times New Roman" w:hAnsi="Verdana" w:cs="Arial"/>
          <w:lang w:val="es-ES_tradnl" w:eastAsia="es-MX"/>
        </w:rPr>
      </w:pPr>
      <w:bookmarkStart w:id="6" w:name="_Hlk99548027"/>
      <w:r>
        <w:rPr>
          <w:rFonts w:ascii="Verdana" w:eastAsia="Times New Roman" w:hAnsi="Verdana" w:cs="Arial"/>
          <w:lang w:val="es-ES_tradnl" w:eastAsia="es-MX"/>
        </w:rPr>
        <w:tab/>
        <w:t xml:space="preserve"> </w:t>
      </w:r>
      <w:r w:rsidRPr="002F50D4">
        <w:rPr>
          <w:rFonts w:ascii="Verdana" w:eastAsia="Times New Roman" w:hAnsi="Verdana" w:cs="Arial"/>
          <w:lang w:val="es-ES_tradnl" w:eastAsia="es-MX"/>
        </w:rPr>
        <w:t xml:space="preserve">En ese sentido, si bien </w:t>
      </w:r>
      <w:r w:rsidRPr="002F50D4">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id="7" w:name="_Hlk34917473"/>
      <w:r w:rsidRPr="002F50D4">
        <w:rPr>
          <w:rFonts w:ascii="Verdana" w:eastAsia="Times New Roman" w:hAnsi="Verdana" w:cs="Arial"/>
          <w:lang w:val="es-ES_tradnl" w:eastAsia="es-MX"/>
        </w:rPr>
        <w:t xml:space="preserve">En consecuencia, corresponde a las entidades estatales, durante la etapa de planeación del contrato estatal, estudiar y </w:t>
      </w:r>
      <w:r w:rsidRPr="002F50D4">
        <w:rPr>
          <w:rFonts w:ascii="Verdana" w:eastAsia="Times New Roman" w:hAnsi="Verdana" w:cs="Arial"/>
          <w:bCs/>
          <w:iCs/>
          <w:lang w:val="es-ES_tradnl" w:eastAsia="es-MX"/>
        </w:rPr>
        <w:t>determinar</w:t>
      </w:r>
      <w:r w:rsidRPr="002F50D4">
        <w:rPr>
          <w:rFonts w:ascii="Verdana" w:eastAsia="Times New Roman" w:hAnsi="Verdana" w:cs="Arial"/>
          <w:lang w:val="es-ES_tradnl" w:eastAsia="es-MX"/>
        </w:rPr>
        <w:t xml:space="preserve"> los requisitos habilitantes que establecerán en los pliegos de condiciones, los cuales deben fijarse de forma adecuada y proporcional. </w:t>
      </w:r>
      <w:bookmarkEnd w:id="6"/>
    </w:p>
    <w:p w14:paraId="28AA541B" w14:textId="77777777" w:rsidR="0050271A" w:rsidRPr="002F50D4" w:rsidRDefault="0050271A" w:rsidP="0050271A">
      <w:pPr>
        <w:tabs>
          <w:tab w:val="left" w:pos="426"/>
        </w:tabs>
        <w:spacing w:before="120" w:after="120" w:line="276" w:lineRule="auto"/>
        <w:jc w:val="both"/>
        <w:rPr>
          <w:rFonts w:ascii="Verdana" w:eastAsia="Times New Roman" w:hAnsi="Verdana" w:cs="Arial"/>
          <w:lang w:val="es-ES_tradnl" w:eastAsia="es-MX"/>
        </w:rPr>
      </w:pPr>
      <w:r>
        <w:rPr>
          <w:rFonts w:ascii="Verdana" w:eastAsia="Times New Roman" w:hAnsi="Verdana" w:cs="Arial"/>
          <w:lang w:val="es-ES_tradnl" w:eastAsia="es-MX"/>
        </w:rPr>
        <w:tab/>
        <w:t xml:space="preserve">  </w:t>
      </w:r>
      <w:r w:rsidRPr="002F50D4">
        <w:rPr>
          <w:rFonts w:ascii="Verdana" w:eastAsia="Times New Roman" w:hAnsi="Verdana" w:cs="Arial"/>
          <w:lang w:val="es-ES_tradnl" w:eastAsia="es-MX"/>
        </w:rPr>
        <w:t>El Decreto 1082 de 2015 en su artículo 2.2.1.1.1.6.2 reglamenta los requisitos habilitantes, estableciendo que estos deben ser señalados en los pliegos de condiciones o en la invitación</w:t>
      </w:r>
      <w:r w:rsidRPr="00C861EF">
        <w:rPr>
          <w:rStyle w:val="Refdenotaalpie"/>
          <w:rFonts w:ascii="Verdana" w:eastAsia="Times New Roman" w:hAnsi="Verdana" w:cs="Arial"/>
          <w:lang w:val="es-ES_tradnl" w:eastAsia="es-MX"/>
        </w:rPr>
        <w:footnoteReference w:id="4"/>
      </w:r>
      <w:r w:rsidRPr="002F50D4">
        <w:rPr>
          <w:rFonts w:ascii="Verdana" w:eastAsia="Times New Roman" w:hAnsi="Verdana" w:cs="Arial"/>
          <w:lang w:val="es-ES_tradnl" w:eastAsia="es-MX"/>
        </w:rPr>
        <w:t xml:space="preserve">, lo cual es concordante con el numeral </w:t>
      </w:r>
      <w:r w:rsidRPr="002F50D4">
        <w:rPr>
          <w:rFonts w:ascii="Verdana" w:eastAsia="Times New Roman" w:hAnsi="Verdana" w:cs="Arial"/>
          <w:lang w:val="es-ES_tradnl" w:eastAsia="es-MX"/>
        </w:rPr>
        <w:lastRenderedPageBreak/>
        <w:t>5 del artículo 2.2.1.1.2.1.3, en el que se establece como uno de los componentes mínimos de los pliegos de condiciones</w:t>
      </w:r>
      <w:r w:rsidRPr="002F50D4">
        <w:rPr>
          <w:rFonts w:ascii="Verdana" w:hAnsi="Verdana" w:cs="Arial"/>
          <w:color w:val="000000"/>
        </w:rPr>
        <w:t xml:space="preserve"> a las reglas aplicables a la presentación y evaluación de las ofertas, entre las que se inscriben las relativas a la acreditación de las condiciones habilitantes. </w:t>
      </w:r>
      <w:r w:rsidRPr="002F50D4">
        <w:rPr>
          <w:rFonts w:ascii="Verdana" w:eastAsia="Times New Roman" w:hAnsi="Verdana" w:cs="Arial"/>
          <w:lang w:val="es-ES_tradnl" w:eastAsia="es-MX"/>
        </w:rPr>
        <w:t xml:space="preserve"> 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29696B73" w14:textId="77777777" w:rsidR="0050271A" w:rsidRPr="002F50D4" w:rsidRDefault="0050271A" w:rsidP="0050271A">
      <w:pPr>
        <w:tabs>
          <w:tab w:val="left" w:pos="426"/>
        </w:tabs>
        <w:spacing w:before="120" w:after="0" w:line="276" w:lineRule="auto"/>
        <w:jc w:val="both"/>
        <w:rPr>
          <w:rFonts w:ascii="Verdana" w:eastAsia="Times New Roman" w:hAnsi="Verdana" w:cs="Arial"/>
          <w:lang w:eastAsia="es-MX"/>
        </w:rPr>
      </w:pPr>
      <w:r>
        <w:rPr>
          <w:rFonts w:ascii="Verdana" w:eastAsia="Times New Roman" w:hAnsi="Verdana" w:cs="Arial"/>
          <w:lang w:eastAsia="es-MX"/>
        </w:rPr>
        <w:tab/>
        <w:t xml:space="preserve"> </w:t>
      </w:r>
      <w:r w:rsidRPr="002F50D4">
        <w:rPr>
          <w:rFonts w:ascii="Verdana" w:eastAsia="Times New Roman" w:hAnsi="Verdana" w:cs="Arial"/>
          <w:lang w:eastAsia="es-MX"/>
        </w:rPr>
        <w:t xml:space="preserve">Los mencionados criterios deben ser aplicados de manera tal que de la ponderación de los mismos resulten requisitos que permitan medir la aptitud de los oferentes para cumplir con el contrato, y que, además de ser proporcionales y adecuados al objeto del contrato, no limiten la participación en el proceso de selección. </w:t>
      </w:r>
    </w:p>
    <w:p w14:paraId="4C4BD3DF" w14:textId="77777777" w:rsidR="0050271A" w:rsidRPr="002F50D4" w:rsidRDefault="0050271A" w:rsidP="0050271A">
      <w:pPr>
        <w:tabs>
          <w:tab w:val="left" w:pos="426"/>
        </w:tabs>
        <w:spacing w:before="120" w:after="0" w:line="276" w:lineRule="auto"/>
        <w:jc w:val="both"/>
        <w:rPr>
          <w:rFonts w:ascii="Verdana" w:eastAsia="Times New Roman" w:hAnsi="Verdana" w:cs="Arial"/>
          <w:lang w:eastAsia="es-MX"/>
        </w:rPr>
      </w:pPr>
      <w:r>
        <w:rPr>
          <w:rFonts w:ascii="Verdana" w:eastAsia="Times New Roman" w:hAnsi="Verdana" w:cs="Arial"/>
          <w:lang w:eastAsia="es-MX"/>
        </w:rPr>
        <w:tab/>
        <w:t xml:space="preserve">  </w:t>
      </w:r>
      <w:r w:rsidRPr="002F50D4">
        <w:rPr>
          <w:rFonts w:ascii="Verdana" w:eastAsia="Times New Roman" w:hAnsi="Verdana" w:cs="Arial"/>
          <w:lang w:eastAsia="es-MX"/>
        </w:rPr>
        <w:t xml:space="preserve">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140BFB97" w14:textId="77777777" w:rsidR="0050271A" w:rsidRDefault="0050271A" w:rsidP="0050271A">
      <w:pPr>
        <w:tabs>
          <w:tab w:val="left" w:pos="426"/>
        </w:tabs>
        <w:spacing w:before="120" w:after="0" w:line="276" w:lineRule="auto"/>
        <w:jc w:val="both"/>
        <w:rPr>
          <w:rFonts w:ascii="Verdana" w:eastAsia="Times New Roman" w:hAnsi="Verdana" w:cs="Arial"/>
          <w:lang w:eastAsia="es-MX"/>
        </w:rPr>
      </w:pPr>
      <w:bookmarkStart w:id="8" w:name="_Hlk99547936"/>
      <w:r>
        <w:rPr>
          <w:rFonts w:ascii="Verdana" w:eastAsia="Times New Roman" w:hAnsi="Verdana" w:cs="Arial"/>
          <w:lang w:eastAsia="es-MX"/>
        </w:rPr>
        <w:tab/>
        <w:t xml:space="preserve">   </w:t>
      </w:r>
      <w:r w:rsidRPr="002F50D4">
        <w:rPr>
          <w:rFonts w:ascii="Verdana" w:eastAsia="Times New Roman" w:hAnsi="Verdana" w:cs="Arial"/>
          <w:lang w:eastAsia="es-MX"/>
        </w:rPr>
        <w:t xml:space="preserve">De tal manera que,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ofertado, procurando además ceñirse a la normativa que resulte aplicable. </w:t>
      </w:r>
      <w:bookmarkEnd w:id="7"/>
      <w:bookmarkEnd w:id="8"/>
    </w:p>
    <w:p w14:paraId="2ABF80B6" w14:textId="77777777" w:rsidR="0050271A" w:rsidRDefault="0050271A" w:rsidP="0050271A">
      <w:pPr>
        <w:tabs>
          <w:tab w:val="left" w:pos="426"/>
        </w:tabs>
        <w:spacing w:before="120" w:after="0" w:line="276" w:lineRule="auto"/>
        <w:jc w:val="both"/>
        <w:rPr>
          <w:rFonts w:ascii="Verdana" w:eastAsia="Arial" w:hAnsi="Verdana" w:cs="Arial"/>
        </w:rPr>
      </w:pPr>
      <w:r>
        <w:rPr>
          <w:rFonts w:ascii="Verdana" w:eastAsia="Arial" w:hAnsi="Verdana" w:cs="Arial"/>
        </w:rPr>
        <w:t xml:space="preserve">        Ahora bien, frente al primer problema jurídico planteado y d</w:t>
      </w:r>
      <w:r w:rsidRPr="00043F94">
        <w:rPr>
          <w:rFonts w:ascii="Verdana" w:eastAsia="Arial" w:hAnsi="Verdana" w:cs="Arial"/>
        </w:rPr>
        <w:t xml:space="preserve">e conformidad con el criterio técnico expuesto por la Confederación Colombiana de Cámaras de </w:t>
      </w:r>
      <w:r w:rsidRPr="00043F94">
        <w:rPr>
          <w:rFonts w:ascii="Verdana" w:eastAsia="Arial" w:hAnsi="Verdana" w:cs="Arial"/>
        </w:rPr>
        <w:lastRenderedPageBreak/>
        <w:t>Comercio – Confecámaras</w:t>
      </w:r>
      <w:r>
        <w:rPr>
          <w:rFonts w:ascii="Verdana" w:eastAsia="Arial" w:hAnsi="Verdana" w:cs="Arial"/>
        </w:rPr>
        <w:t xml:space="preserve"> en el documento adjunto a la solicitud del asunto</w:t>
      </w:r>
      <w:r w:rsidRPr="00043F94">
        <w:rPr>
          <w:rFonts w:ascii="Verdana" w:eastAsia="Arial" w:hAnsi="Verdana" w:cs="Arial"/>
        </w:rPr>
        <w:t xml:space="preserve">, así como con el análisis efectuado por </w:t>
      </w:r>
      <w:r>
        <w:rPr>
          <w:rFonts w:ascii="Verdana" w:eastAsia="Arial" w:hAnsi="Verdana" w:cs="Arial"/>
        </w:rPr>
        <w:t>el apoyo financiero de esta Subdirección Contractual</w:t>
      </w:r>
      <w:r w:rsidRPr="00043F94">
        <w:rPr>
          <w:rFonts w:ascii="Verdana" w:eastAsia="Arial" w:hAnsi="Verdana" w:cs="Arial"/>
        </w:rPr>
        <w:t>, la regla consistente en expresar los indicadores financieros y organizacionales “con dos (2) decimales, sin aproximaciones”, prevista en el numeral 1.9.2.5 de la Circular Externa 100-000002 del 25 de abril de 2022 de la Superintendencia de Sociedades, constituye el estándar técnico aplicable a la información inscrita y certificada en el Registro Único de Proponentes –RUP.</w:t>
      </w:r>
    </w:p>
    <w:p w14:paraId="0FB98A15" w14:textId="77777777" w:rsidR="0050271A" w:rsidRPr="00043F94" w:rsidRDefault="0050271A" w:rsidP="0050271A">
      <w:pPr>
        <w:tabs>
          <w:tab w:val="left" w:pos="426"/>
        </w:tabs>
        <w:spacing w:before="120" w:after="0" w:line="276" w:lineRule="auto"/>
        <w:jc w:val="both"/>
        <w:rPr>
          <w:rFonts w:ascii="Verdana" w:eastAsia="Arial" w:hAnsi="Verdana" w:cs="Arial"/>
        </w:rPr>
      </w:pPr>
      <w:r>
        <w:rPr>
          <w:rFonts w:ascii="Verdana" w:eastAsia="Arial" w:hAnsi="Verdana" w:cs="Arial"/>
        </w:rPr>
        <w:tab/>
      </w:r>
      <w:r w:rsidRPr="00043F94">
        <w:rPr>
          <w:rFonts w:ascii="Verdana" w:eastAsia="Arial" w:hAnsi="Verdana" w:cs="Arial"/>
        </w:rPr>
        <w:t xml:space="preserve">En ese sentido, aunque el “Manual para determinar y verificar los requisitos habilitantes en los procesos de contratación” expedido por </w:t>
      </w:r>
      <w:r w:rsidRPr="004D77CE">
        <w:rPr>
          <w:rFonts w:ascii="Verdana" w:eastAsia="Arial" w:hAnsi="Verdana" w:cs="Arial"/>
        </w:rPr>
        <w:t>Colombia Compra Eficiente</w:t>
      </w:r>
      <w:r>
        <w:rPr>
          <w:rStyle w:val="Refdenotaalpie"/>
          <w:rFonts w:ascii="Verdana" w:eastAsia="Arial" w:hAnsi="Verdana" w:cs="Arial"/>
        </w:rPr>
        <w:footnoteReference w:id="5"/>
      </w:r>
      <w:r w:rsidRPr="00043F94">
        <w:rPr>
          <w:rFonts w:ascii="Verdana" w:eastAsia="Arial" w:hAnsi="Verdana" w:cs="Arial"/>
        </w:rPr>
        <w:t xml:space="preserve"> no establece expresamente la metodología de aproximación aplicable al cálculo de indicadores financieros de proponentes plurales, a criterio de dicha Agencia, y con el propósito de mantener uniformidad en las reglas de determinación y acreditación de la capacidad financiera y organizacional de los oferentes, dicha regla debe aplicarse igualmente a los resultados obtenidos en la ponderación de indicadores de consorcios y uniones temporales.</w:t>
      </w:r>
    </w:p>
    <w:p w14:paraId="5BF2F170" w14:textId="77777777" w:rsidR="0050271A" w:rsidRPr="004D77CE" w:rsidRDefault="0050271A" w:rsidP="0050271A">
      <w:pPr>
        <w:spacing w:after="120" w:line="276" w:lineRule="auto"/>
        <w:jc w:val="both"/>
        <w:rPr>
          <w:rFonts w:ascii="Verdana" w:eastAsia="Arial" w:hAnsi="Verdana" w:cs="Arial"/>
        </w:rPr>
      </w:pPr>
      <w:r>
        <w:rPr>
          <w:rFonts w:ascii="Verdana" w:eastAsia="Arial" w:hAnsi="Verdana" w:cs="Arial"/>
        </w:rPr>
        <w:t xml:space="preserve">         Respecto al segundo problema jurídico planteado y d</w:t>
      </w:r>
      <w:r w:rsidRPr="004D77CE">
        <w:rPr>
          <w:rFonts w:ascii="Verdana" w:eastAsia="Arial" w:hAnsi="Verdana" w:cs="Arial"/>
        </w:rPr>
        <w:t>e acuerdo con lo señalado por Confecámaras, no resulta procedente afirmar que la regla registral prevista en el numeral 1.9.2.5 de la Circular Externa 100-000002 de 2022 constituya, por sí misma, una disposición jurídicamente vinculante para las entidades estatales dentro de los procedimientos de selección contractual, toda vez que dicha regulación se encuentra prevista para el ejercicio registral de las cámaras de comercio.</w:t>
      </w:r>
    </w:p>
    <w:p w14:paraId="12253D2B" w14:textId="77777777" w:rsidR="0050271A" w:rsidRPr="004D77CE" w:rsidRDefault="0050271A" w:rsidP="0050271A">
      <w:pPr>
        <w:spacing w:after="120" w:line="276" w:lineRule="auto"/>
        <w:jc w:val="both"/>
        <w:rPr>
          <w:rFonts w:ascii="Verdana" w:eastAsia="Arial" w:hAnsi="Verdana" w:cs="Arial"/>
        </w:rPr>
      </w:pPr>
      <w:r>
        <w:rPr>
          <w:rFonts w:ascii="Verdana" w:eastAsia="Arial" w:hAnsi="Verdana" w:cs="Arial"/>
        </w:rPr>
        <w:t xml:space="preserve">        </w:t>
      </w:r>
      <w:r w:rsidRPr="004D77CE">
        <w:rPr>
          <w:rFonts w:ascii="Verdana" w:eastAsia="Arial" w:hAnsi="Verdana" w:cs="Arial"/>
        </w:rPr>
        <w:t>No obstante, la Agencia Nacional de Contratación Pública – Colombia Compra Eficiente ha considerado que, con el propósito de mantener un criterio uniforme en la determinación y acreditación de los indicadores financieros y organizacionales de todos los oferentes —individuales y plurales—, la metodología aplicable a los cálculos de indicadores ponderados debe observar igualmente la regla de expresión con dos (2) decimales sin aproximaciones.</w:t>
      </w:r>
    </w:p>
    <w:p w14:paraId="39A8482E" w14:textId="77777777" w:rsidR="0050271A" w:rsidRPr="004D77CE" w:rsidRDefault="0050271A" w:rsidP="0050271A">
      <w:pPr>
        <w:spacing w:after="120" w:line="276" w:lineRule="auto"/>
        <w:jc w:val="both"/>
        <w:rPr>
          <w:rFonts w:ascii="Verdana" w:eastAsia="Arial" w:hAnsi="Verdana" w:cs="Arial"/>
        </w:rPr>
      </w:pPr>
      <w:r>
        <w:rPr>
          <w:rFonts w:ascii="Verdana" w:eastAsia="Arial" w:hAnsi="Verdana" w:cs="Arial"/>
        </w:rPr>
        <w:t xml:space="preserve">        </w:t>
      </w:r>
      <w:r w:rsidRPr="004D77CE">
        <w:rPr>
          <w:rFonts w:ascii="Verdana" w:eastAsia="Arial" w:hAnsi="Verdana" w:cs="Arial"/>
        </w:rPr>
        <w:t xml:space="preserve">Sin perjuicio de lo anterior, corresponde a cada entidad estatal, en ejercicio de su autonomía para estructurar el proceso contractual, definir de manera clara y expresa en los pliegos de condiciones las reglas de verificación y las </w:t>
      </w:r>
      <w:r w:rsidRPr="004D77CE">
        <w:rPr>
          <w:rFonts w:ascii="Verdana" w:eastAsia="Arial" w:hAnsi="Verdana" w:cs="Arial"/>
        </w:rPr>
        <w:lastRenderedPageBreak/>
        <w:t>metodologías aplicables al cálculo de indicadores financieros de proponentes plurales.</w:t>
      </w:r>
    </w:p>
    <w:p w14:paraId="07E5D0F9" w14:textId="77777777" w:rsidR="0050271A" w:rsidRPr="00920927" w:rsidRDefault="0050271A" w:rsidP="0050271A">
      <w:pPr>
        <w:tabs>
          <w:tab w:val="left" w:pos="426"/>
        </w:tabs>
        <w:spacing w:before="120" w:after="0" w:line="276" w:lineRule="auto"/>
        <w:jc w:val="both"/>
        <w:rPr>
          <w:rFonts w:ascii="Verdana" w:eastAsia="Times New Roman" w:hAnsi="Verdana" w:cs="Arial"/>
          <w:lang w:eastAsia="es-MX"/>
        </w:rPr>
      </w:pPr>
      <w:r>
        <w:rPr>
          <w:rFonts w:ascii="Verdana" w:eastAsia="Times New Roman" w:hAnsi="Verdana" w:cs="Arial"/>
          <w:lang w:eastAsia="es-MX"/>
        </w:rPr>
        <w:tab/>
      </w: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68EA625" w14:textId="77777777" w:rsidR="0050271A" w:rsidRPr="006B17A7" w:rsidRDefault="0050271A" w:rsidP="0050271A">
      <w:pPr>
        <w:spacing w:before="120" w:after="0" w:line="276" w:lineRule="auto"/>
        <w:ind w:firstLine="360"/>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79888A11" w14:textId="77777777" w:rsidR="0050271A" w:rsidRPr="006B17A7" w:rsidRDefault="0050271A" w:rsidP="0050271A">
      <w:pPr>
        <w:spacing w:after="0" w:line="276" w:lineRule="auto"/>
        <w:ind w:firstLine="708"/>
        <w:jc w:val="both"/>
        <w:rPr>
          <w:rFonts w:ascii="Verdana" w:eastAsia="Calibri" w:hAnsi="Verdana" w:cs="Arial"/>
        </w:rPr>
      </w:pPr>
    </w:p>
    <w:p w14:paraId="0625A9F6" w14:textId="77777777" w:rsidR="0050271A" w:rsidRPr="006B17A7" w:rsidRDefault="0050271A" w:rsidP="0050271A">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6DF5F88A" w14:textId="77777777" w:rsidR="0050271A" w:rsidRPr="006B17A7" w:rsidRDefault="0050271A" w:rsidP="0050271A">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271A" w:rsidRPr="006B17A7" w14:paraId="207D523F" w14:textId="77777777" w:rsidTr="00AD323A">
        <w:trPr>
          <w:trHeight w:val="870"/>
        </w:trPr>
        <w:tc>
          <w:tcPr>
            <w:tcW w:w="8647" w:type="dxa"/>
          </w:tcPr>
          <w:p w14:paraId="104CAC7D" w14:textId="77777777" w:rsidR="0050271A" w:rsidRPr="000F2673" w:rsidRDefault="0050271A" w:rsidP="0050271A">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 5 de la Ley 1882 de 2018.</w:t>
            </w:r>
          </w:p>
          <w:p w14:paraId="6881EFAE" w14:textId="77777777" w:rsidR="0050271A" w:rsidRPr="000F2673" w:rsidRDefault="0050271A" w:rsidP="0050271A">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 30 de la Ley 80 de 1993.</w:t>
            </w:r>
          </w:p>
          <w:p w14:paraId="5BD4CFDC" w14:textId="77777777" w:rsidR="0050271A" w:rsidRPr="000F2673" w:rsidRDefault="0050271A" w:rsidP="0050271A">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 5, parágrafos 1° y 4°, de la Ley 1150 de 2007.</w:t>
            </w:r>
          </w:p>
          <w:p w14:paraId="0E37091C" w14:textId="77777777" w:rsidR="0050271A" w:rsidRDefault="0050271A" w:rsidP="0050271A">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Artículos 2.2.1.2.1.2.1 y 2.2.1.2.1.2.2 del Decreto 1082 de 2015.</w:t>
            </w:r>
          </w:p>
          <w:p w14:paraId="70653702" w14:textId="77777777" w:rsidR="0050271A" w:rsidRDefault="0050271A" w:rsidP="0050271A">
            <w:pPr>
              <w:pStyle w:val="Prrafodelista"/>
              <w:numPr>
                <w:ilvl w:val="0"/>
                <w:numId w:val="17"/>
              </w:numPr>
              <w:spacing w:after="120" w:line="276" w:lineRule="auto"/>
              <w:jc w:val="both"/>
              <w:rPr>
                <w:rFonts w:ascii="Verdana" w:eastAsia="Aptos" w:hAnsi="Verdana" w:cs="Arial"/>
              </w:rPr>
            </w:pPr>
            <w:r w:rsidRPr="000A5510">
              <w:rPr>
                <w:rFonts w:ascii="Verdana" w:eastAsia="Aptos" w:hAnsi="Verdana" w:cs="Arial"/>
              </w:rPr>
              <w:t>Consejo de Estado. Sala de Consulta y Servicio Civil. Concepto del 20 de mayo de 2010. Exp. 1.992. C.P. Enrique José Arboleda Perdomo</w:t>
            </w:r>
          </w:p>
          <w:p w14:paraId="75FC3EA3" w14:textId="77777777" w:rsidR="0050271A" w:rsidRPr="000F2673" w:rsidRDefault="0050271A" w:rsidP="0050271A">
            <w:pPr>
              <w:pStyle w:val="Prrafodelista"/>
              <w:numPr>
                <w:ilvl w:val="0"/>
                <w:numId w:val="17"/>
              </w:numPr>
              <w:spacing w:after="120" w:line="276" w:lineRule="auto"/>
              <w:jc w:val="both"/>
              <w:rPr>
                <w:rFonts w:ascii="Verdana" w:eastAsia="Aptos" w:hAnsi="Verdana" w:cs="Arial"/>
              </w:rPr>
            </w:pPr>
            <w:r w:rsidRPr="000F2673">
              <w:rPr>
                <w:rFonts w:ascii="Verdana" w:eastAsia="Arial" w:hAnsi="Verdana" w:cs="Arial"/>
              </w:rPr>
              <w:t xml:space="preserve">Manual para determinar y verificar los requisitos habilitantes en los Procesos de Contratación. </w:t>
            </w:r>
            <w:r w:rsidRPr="000F2673">
              <w:rPr>
                <w:rFonts w:ascii="Verdana" w:hAnsi="Verdana"/>
              </w:rPr>
              <w:t xml:space="preserve">Documento disponible en: </w:t>
            </w:r>
            <w:hyperlink r:id="rId12" w:history="1">
              <w:r w:rsidRPr="000F2673">
                <w:rPr>
                  <w:rStyle w:val="Hipervnculo"/>
                  <w:rFonts w:ascii="Verdana" w:hAnsi="Verdana"/>
                </w:rPr>
                <w:t>https://www.colombiacompra.gov.co/archivos/manual/manual-para-determinar-y-verificar-los-requisitos-habilitantes-en-los-procesos-de-contratacion</w:t>
              </w:r>
            </w:hyperlink>
            <w:r w:rsidRPr="000F2673">
              <w:rPr>
                <w:rFonts w:ascii="Verdana" w:hAnsi="Verdana"/>
              </w:rPr>
              <w:t xml:space="preserve"> </w:t>
            </w:r>
          </w:p>
          <w:p w14:paraId="68FBD73E" w14:textId="77777777" w:rsidR="0050271A" w:rsidRPr="006B17A7" w:rsidRDefault="0050271A" w:rsidP="0050271A">
            <w:pPr>
              <w:pStyle w:val="Prrafodelista"/>
              <w:widowControl w:val="0"/>
              <w:numPr>
                <w:ilvl w:val="0"/>
                <w:numId w:val="17"/>
              </w:numPr>
              <w:autoSpaceDE w:val="0"/>
              <w:autoSpaceDN w:val="0"/>
              <w:spacing w:after="120" w:line="276" w:lineRule="auto"/>
              <w:ind w:left="714" w:hanging="357"/>
              <w:contextualSpacing w:val="0"/>
              <w:jc w:val="both"/>
              <w:rPr>
                <w:rFonts w:ascii="Verdana" w:eastAsia="Aptos" w:hAnsi="Verdana" w:cs="Arial"/>
              </w:rPr>
            </w:pPr>
            <w:r w:rsidRPr="00043F94">
              <w:rPr>
                <w:rFonts w:ascii="Verdana" w:eastAsia="Arial" w:hAnsi="Verdana" w:cs="Arial"/>
              </w:rPr>
              <w:t>Circular Externa 100-000002 del 25 de abril de 2022 de la Superintendencia de Sociedades</w:t>
            </w:r>
            <w:r w:rsidRPr="00393E99">
              <w:rPr>
                <w:rFonts w:ascii="Verdana" w:eastAsia="Arial" w:hAnsi="Verdana" w:cs="Arial"/>
              </w:rPr>
              <w:t xml:space="preserve"> </w:t>
            </w:r>
            <w:hyperlink r:id="rId13" w:history="1">
              <w:r w:rsidRPr="00CF154C">
                <w:rPr>
                  <w:rStyle w:val="Hipervnculo"/>
                  <w:rFonts w:ascii="Verdana" w:eastAsia="Arial" w:hAnsi="Verdana" w:cs="Arial"/>
                </w:rPr>
                <w:t>https://confecamaras.org.co/wp-</w:t>
              </w:r>
              <w:r w:rsidRPr="00CF154C">
                <w:rPr>
                  <w:rStyle w:val="Hipervnculo"/>
                  <w:rFonts w:ascii="Verdana" w:eastAsia="Arial" w:hAnsi="Verdana" w:cs="Arial"/>
                </w:rPr>
                <w:lastRenderedPageBreak/>
                <w:t>content/uploads/2024/04/circular-externa-100-000002-del-25-de-abril-de-2022.pdf</w:t>
              </w:r>
            </w:hyperlink>
            <w:r>
              <w:rPr>
                <w:rFonts w:ascii="Verdana" w:eastAsia="Arial" w:hAnsi="Verdana" w:cs="Arial"/>
              </w:rPr>
              <w:t xml:space="preserve">          </w:t>
            </w:r>
          </w:p>
        </w:tc>
      </w:tr>
    </w:tbl>
    <w:p w14:paraId="02C903DF" w14:textId="77777777" w:rsidR="0050271A" w:rsidRPr="006B17A7" w:rsidRDefault="0050271A" w:rsidP="0050271A">
      <w:pPr>
        <w:widowControl w:val="0"/>
        <w:autoSpaceDE w:val="0"/>
        <w:autoSpaceDN w:val="0"/>
        <w:spacing w:after="0" w:line="276" w:lineRule="auto"/>
        <w:jc w:val="both"/>
        <w:rPr>
          <w:rFonts w:ascii="Verdana" w:eastAsia="Aptos" w:hAnsi="Verdana" w:cs="Arial"/>
        </w:rPr>
      </w:pPr>
    </w:p>
    <w:p w14:paraId="74A63256" w14:textId="77777777" w:rsidR="0050271A" w:rsidRPr="006B17A7" w:rsidRDefault="0050271A" w:rsidP="0050271A">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26E61385" w14:textId="77777777" w:rsidR="0050271A" w:rsidRPr="006B17A7" w:rsidRDefault="0050271A" w:rsidP="0050271A">
      <w:pPr>
        <w:widowControl w:val="0"/>
        <w:autoSpaceDE w:val="0"/>
        <w:autoSpaceDN w:val="0"/>
        <w:spacing w:after="0" w:line="276" w:lineRule="auto"/>
        <w:jc w:val="both"/>
        <w:rPr>
          <w:rFonts w:ascii="Verdana" w:eastAsia="Aptos" w:hAnsi="Verdana" w:cs="Arial"/>
        </w:rPr>
      </w:pPr>
    </w:p>
    <w:p w14:paraId="63878CB0" w14:textId="77777777" w:rsidR="0050271A" w:rsidRPr="00C27319" w:rsidRDefault="0050271A" w:rsidP="0050271A">
      <w:pPr>
        <w:widowControl w:val="0"/>
        <w:autoSpaceDE w:val="0"/>
        <w:autoSpaceDN w:val="0"/>
        <w:spacing w:after="0" w:line="276" w:lineRule="auto"/>
        <w:jc w:val="both"/>
        <w:rPr>
          <w:rFonts w:ascii="Verdana" w:hAnsi="Verdana" w:cs="Arial"/>
          <w:shd w:val="clear" w:color="auto" w:fill="FFFFFF"/>
          <w:lang w:val="es-ES"/>
        </w:rPr>
      </w:pPr>
      <w:r w:rsidRPr="00D86CA8">
        <w:rPr>
          <w:rFonts w:ascii="Verdana" w:hAnsi="Verdana" w:cs="Arial"/>
          <w:shd w:val="clear" w:color="auto" w:fill="FFFFFF"/>
        </w:rPr>
        <w:t xml:space="preserve">Esta Subdirección se ha pronunciado sobre </w:t>
      </w:r>
      <w:r w:rsidRPr="00434706">
        <w:rPr>
          <w:rFonts w:ascii="Verdana" w:eastAsia="Calibri" w:hAnsi="Verdana" w:cs="Arial"/>
          <w:lang w:val="es-ES" w:eastAsia="es-ES"/>
        </w:rPr>
        <w:t>los requisitos habilitantes en los procesos de contratación</w:t>
      </w:r>
      <w:r>
        <w:rPr>
          <w:rFonts w:ascii="Verdana" w:eastAsia="Calibri" w:hAnsi="Verdana" w:cs="Arial"/>
          <w:lang w:val="es-ES"/>
        </w:rPr>
        <w:t xml:space="preserve"> </w:t>
      </w:r>
      <w:r w:rsidRPr="00D16A5E">
        <w:rPr>
          <w:rFonts w:ascii="Verdana" w:eastAsia="Calibri" w:hAnsi="Verdana" w:cs="Arial"/>
          <w:lang w:val="es-ES"/>
        </w:rPr>
        <w:t xml:space="preserve">en los conceptos 4201913000007643 del 26 de diciembre de 2019, C-343 del 17 de junio de 2020, C-518 del 9 de septiembre de 2020, C-614 del 5 de </w:t>
      </w:r>
      <w:r w:rsidRPr="000A5510">
        <w:rPr>
          <w:rFonts w:ascii="Verdana" w:eastAsia="Calibri" w:hAnsi="Verdana" w:cs="Arial"/>
          <w:lang w:val="es-ES"/>
        </w:rPr>
        <w:t>octubre de 2022, C-882 del 21 de diciembre de 2022, C-172 del 6 de junio de 2023</w:t>
      </w:r>
      <w:r>
        <w:rPr>
          <w:rFonts w:ascii="Verdana" w:hAnsi="Verdana" w:cs="Arial"/>
          <w:shd w:val="clear" w:color="auto" w:fill="FFFFFF"/>
          <w:lang w:val="es-ES"/>
        </w:rPr>
        <w:t>,</w:t>
      </w:r>
      <w:r w:rsidRPr="000A5510">
        <w:rPr>
          <w:rFonts w:ascii="Verdana" w:hAnsi="Verdana" w:cs="Arial"/>
          <w:shd w:val="clear" w:color="auto" w:fill="FFFFFF"/>
          <w:lang w:val="es-ES"/>
        </w:rPr>
        <w:t xml:space="preserve"> C-720 del 25 de noviembre 2024</w:t>
      </w:r>
      <w:r>
        <w:rPr>
          <w:rFonts w:ascii="Verdana" w:hAnsi="Verdana" w:cs="Arial"/>
          <w:shd w:val="clear" w:color="auto" w:fill="FFFFFF"/>
          <w:lang w:val="es-ES"/>
        </w:rPr>
        <w:t xml:space="preserve"> y C-549 del 20 de mayo de 2026</w:t>
      </w:r>
      <w:r>
        <w:rPr>
          <w:rFonts w:ascii="Verdana" w:eastAsia="Arial MT" w:hAnsi="Verdana" w:cs="Arial"/>
          <w:lang w:val="es-ES"/>
        </w:rPr>
        <w:t>.</w:t>
      </w:r>
      <w:r w:rsidRPr="000A5510">
        <w:rPr>
          <w:rStyle w:val="normaltextrun"/>
          <w:rFonts w:ascii="Verdana" w:hAnsi="Verdana" w:cs="Arial"/>
          <w:shd w:val="clear" w:color="auto" w:fill="FFFFFF"/>
          <w:lang w:val="es-ES"/>
        </w:rPr>
        <w:t xml:space="preserve"> </w:t>
      </w:r>
      <w:r w:rsidRPr="000A5510">
        <w:rPr>
          <w:rFonts w:ascii="Verdana" w:hAnsi="Verdana" w:cs="Arial"/>
        </w:rPr>
        <w:t xml:space="preserve">Estos y otros </w:t>
      </w:r>
      <w:r w:rsidRPr="000A5510">
        <w:rPr>
          <w:rFonts w:ascii="Verdana" w:hAnsi="Verdana"/>
        </w:rPr>
        <w:t>conceptos se encuentran disponibles para consulta en el Sistema de relatoría de la Agencia, al cual se puede acceder a través del siguiente enlace:</w:t>
      </w:r>
      <w:r w:rsidRPr="000A5510">
        <w:rPr>
          <w:rFonts w:ascii="Verdana" w:hAnsi="Verdana" w:cs="Arial"/>
          <w:shd w:val="clear" w:color="auto" w:fill="FFFFFF"/>
        </w:rPr>
        <w:t xml:space="preserve"> </w:t>
      </w:r>
      <w:hyperlink r:id="rId14" w:history="1">
        <w:r w:rsidRPr="009D49DA">
          <w:rPr>
            <w:rStyle w:val="Hipervnculo"/>
            <w:rFonts w:ascii="Verdana" w:hAnsi="Verdana" w:cs="Arial"/>
            <w:shd w:val="clear" w:color="auto" w:fill="FFFFFF"/>
          </w:rPr>
          <w:t>https://relatoria.colombiacompra.gov.co/busqueda/conceptos</w:t>
        </w:r>
      </w:hyperlink>
      <w:r w:rsidRPr="000A5510">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622D1EB1" w14:textId="77777777" w:rsidR="0050271A" w:rsidRPr="00115E3D" w:rsidRDefault="0050271A" w:rsidP="0050271A">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77FF5592" w14:textId="77777777" w:rsidR="0050271A" w:rsidRPr="009A385A" w:rsidRDefault="0050271A" w:rsidP="0050271A">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1982CA1D" w14:textId="77777777" w:rsidR="0050271A" w:rsidRDefault="0050271A" w:rsidP="0050271A">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4990689E" w14:textId="77777777" w:rsidR="0050271A" w:rsidRPr="009A385A" w:rsidRDefault="0050271A" w:rsidP="0050271A">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lastRenderedPageBreak/>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40A4413" w14:textId="77777777" w:rsidR="0050271A" w:rsidRPr="00115E3D" w:rsidRDefault="0050271A" w:rsidP="0050271A">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58E25C1A" w14:textId="77777777" w:rsidR="0050271A" w:rsidRPr="00115E3D" w:rsidRDefault="0050271A" w:rsidP="0050271A">
      <w:pPr>
        <w:spacing w:after="0" w:line="240" w:lineRule="auto"/>
        <w:jc w:val="both"/>
        <w:rPr>
          <w:rFonts w:ascii="Verdana" w:hAnsi="Verdana"/>
          <w:color w:val="000000" w:themeColor="text1"/>
        </w:rPr>
      </w:pPr>
    </w:p>
    <w:p w14:paraId="7EF42B0E" w14:textId="77777777" w:rsidR="0050271A" w:rsidRPr="00115E3D" w:rsidRDefault="0050271A" w:rsidP="0050271A">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7824C194" w14:textId="77777777" w:rsidR="0050271A" w:rsidRPr="00115E3D" w:rsidRDefault="0050271A" w:rsidP="0050271A">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35233098" w14:textId="77777777" w:rsidR="0050271A" w:rsidRPr="00115E3D" w:rsidRDefault="0050271A" w:rsidP="0050271A">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220C0B5E" w14:textId="77777777" w:rsidR="0050271A" w:rsidRPr="00115E3D" w:rsidRDefault="0050271A" w:rsidP="0050271A">
      <w:pPr>
        <w:widowControl w:val="0"/>
        <w:autoSpaceDE w:val="0"/>
        <w:autoSpaceDN w:val="0"/>
        <w:spacing w:after="0" w:line="276" w:lineRule="auto"/>
        <w:jc w:val="both"/>
        <w:rPr>
          <w:rFonts w:ascii="Verdana" w:hAnsi="Verdana" w:cs="Arial"/>
          <w:color w:val="000000" w:themeColor="text1"/>
        </w:rPr>
      </w:pPr>
    </w:p>
    <w:p w14:paraId="422F94F6" w14:textId="71E382D0" w:rsidR="0050271A" w:rsidRPr="0050271A" w:rsidRDefault="0050271A" w:rsidP="0050271A">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672797C" w14:textId="77777777" w:rsidR="0050271A" w:rsidRDefault="0050271A" w:rsidP="0050271A">
      <w:pPr>
        <w:spacing w:after="0" w:line="240" w:lineRule="auto"/>
        <w:rPr>
          <w:rFonts w:ascii="Verdana" w:eastAsia="Times New Roman" w:hAnsi="Verdana" w:cs="Arial"/>
          <w:color w:val="000000" w:themeColor="text1"/>
          <w:lang w:eastAsia="es-CO"/>
        </w:rPr>
      </w:pPr>
    </w:p>
    <w:p w14:paraId="60AB54E6" w14:textId="77777777" w:rsidR="0050271A" w:rsidRPr="00115E3D" w:rsidRDefault="0050271A" w:rsidP="0050271A">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63120239" w14:textId="77777777" w:rsidR="00EB1412" w:rsidRDefault="00EB1412" w:rsidP="0050271A">
      <w:pPr>
        <w:spacing w:line="276" w:lineRule="auto"/>
        <w:jc w:val="center"/>
        <w:rPr>
          <w:noProof/>
        </w:rPr>
      </w:pPr>
    </w:p>
    <w:p w14:paraId="35FFDD1F" w14:textId="3CD41227" w:rsidR="00EB1412" w:rsidRDefault="00EB1412" w:rsidP="0050271A">
      <w:pPr>
        <w:spacing w:line="276" w:lineRule="auto"/>
        <w:jc w:val="center"/>
        <w:rPr>
          <w:noProof/>
          <w:lang w:val="es-ES_tradnl" w:eastAsia="es-CO"/>
        </w:rPr>
      </w:pPr>
      <w:r>
        <w:rPr>
          <w:noProof/>
        </w:rPr>
        <w:drawing>
          <wp:inline distT="0" distB="0" distL="0" distR="0" wp14:anchorId="2905DC22" wp14:editId="0F490750">
            <wp:extent cx="3240405" cy="1391050"/>
            <wp:effectExtent l="0" t="0" r="0" b="0"/>
            <wp:docPr id="1183114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45573" cy="1393269"/>
                    </a:xfrm>
                    <a:prstGeom prst="rect">
                      <a:avLst/>
                    </a:prstGeom>
                    <a:noFill/>
                    <a:ln>
                      <a:noFill/>
                    </a:ln>
                  </pic:spPr>
                </pic:pic>
              </a:graphicData>
            </a:graphic>
          </wp:inline>
        </w:drawing>
      </w:r>
    </w:p>
    <w:p w14:paraId="36289814" w14:textId="77777777" w:rsidR="00EB1412" w:rsidRDefault="00EB1412" w:rsidP="0050271A">
      <w:pPr>
        <w:spacing w:line="276" w:lineRule="auto"/>
        <w:jc w:val="center"/>
        <w:rPr>
          <w:noProof/>
          <w:lang w:val="es-ES_tradnl" w:eastAsia="es-CO"/>
        </w:rPr>
      </w:pPr>
    </w:p>
    <w:p w14:paraId="137ED6FA" w14:textId="33D2B9A4" w:rsidR="0050271A" w:rsidRDefault="0050271A" w:rsidP="0050271A">
      <w:pPr>
        <w:spacing w:line="276" w:lineRule="auto"/>
        <w:jc w:val="center"/>
        <w:rPr>
          <w:noProof/>
          <w:color w:val="000000" w:themeColor="text1"/>
          <w:lang w:val="es-ES_tradnl" w:eastAsia="es-CO"/>
        </w:rPr>
      </w:pPr>
      <w:r>
        <w:rPr>
          <w:noProof/>
          <w:color w:val="000000" w:themeColor="text1"/>
          <w:lang w:val="es-ES_tradnl" w:eastAsia="es-CO"/>
        </w:rPr>
        <w:t xml:space="preserve"> </w:t>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0271A" w:rsidRPr="00115E3D" w14:paraId="7E711A85" w14:textId="77777777" w:rsidTr="00AD323A">
        <w:trPr>
          <w:trHeight w:val="315"/>
        </w:trPr>
        <w:tc>
          <w:tcPr>
            <w:tcW w:w="893" w:type="dxa"/>
            <w:vAlign w:val="center"/>
            <w:hideMark/>
          </w:tcPr>
          <w:p w14:paraId="0409DE7C" w14:textId="77777777" w:rsidR="0050271A" w:rsidRPr="00115E3D" w:rsidRDefault="0050271A" w:rsidP="00AD323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A8EE3A" w14:textId="77777777" w:rsidR="0050271A" w:rsidRPr="00115E3D" w:rsidRDefault="0050271A" w:rsidP="00AD323A">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0C7DCDF" w14:textId="77777777" w:rsidR="0050271A" w:rsidRPr="00115E3D" w:rsidRDefault="0050271A" w:rsidP="00AD323A">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50271A" w:rsidRPr="00115E3D" w14:paraId="266A32B7" w14:textId="77777777" w:rsidTr="00AD323A">
        <w:trPr>
          <w:trHeight w:val="330"/>
        </w:trPr>
        <w:tc>
          <w:tcPr>
            <w:tcW w:w="893" w:type="dxa"/>
            <w:vAlign w:val="center"/>
            <w:hideMark/>
          </w:tcPr>
          <w:p w14:paraId="54135368" w14:textId="77777777" w:rsidR="0050271A" w:rsidRPr="00115E3D" w:rsidRDefault="0050271A" w:rsidP="00AD323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7396A0" w14:textId="77777777" w:rsidR="0050271A" w:rsidRDefault="0050271A" w:rsidP="00AD323A">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Diana Lucia Saavedra </w:t>
            </w:r>
          </w:p>
          <w:p w14:paraId="6166236F" w14:textId="77777777" w:rsidR="0050271A" w:rsidRPr="00115E3D" w:rsidRDefault="0050271A" w:rsidP="00AD323A">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50271A" w:rsidRPr="00115E3D" w14:paraId="7A18EDC5" w14:textId="77777777" w:rsidTr="00AD323A">
        <w:trPr>
          <w:trHeight w:val="300"/>
        </w:trPr>
        <w:tc>
          <w:tcPr>
            <w:tcW w:w="893" w:type="dxa"/>
            <w:vAlign w:val="center"/>
          </w:tcPr>
          <w:p w14:paraId="532864B4" w14:textId="77777777" w:rsidR="0050271A" w:rsidRPr="00115E3D" w:rsidRDefault="0050271A" w:rsidP="00AD323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FAC3F81" w14:textId="77777777" w:rsidR="0050271A" w:rsidRPr="00115E3D" w:rsidRDefault="0050271A" w:rsidP="00AD323A">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1E0D2A35" w14:textId="77777777" w:rsidR="0050271A" w:rsidRPr="00115E3D" w:rsidRDefault="0050271A" w:rsidP="00AD323A">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94B6F6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E15054" w14:textId="77777777" w:rsidR="006207B0" w:rsidRDefault="006207B0" w:rsidP="004A1847">
      <w:pPr>
        <w:spacing w:after="0" w:line="240" w:lineRule="auto"/>
      </w:pPr>
      <w:r>
        <w:separator/>
      </w:r>
    </w:p>
  </w:endnote>
  <w:endnote w:type="continuationSeparator" w:id="0">
    <w:p w14:paraId="0D760998" w14:textId="77777777" w:rsidR="006207B0" w:rsidRDefault="006207B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8374A" w14:textId="77777777" w:rsidR="006207B0" w:rsidRDefault="006207B0" w:rsidP="004A1847">
      <w:pPr>
        <w:spacing w:after="0" w:line="240" w:lineRule="auto"/>
      </w:pPr>
      <w:r>
        <w:separator/>
      </w:r>
    </w:p>
  </w:footnote>
  <w:footnote w:type="continuationSeparator" w:id="0">
    <w:p w14:paraId="153605C2" w14:textId="77777777" w:rsidR="006207B0" w:rsidRDefault="006207B0" w:rsidP="004A1847">
      <w:pPr>
        <w:spacing w:after="0" w:line="240" w:lineRule="auto"/>
      </w:pPr>
      <w:r>
        <w:continuationSeparator/>
      </w:r>
    </w:p>
  </w:footnote>
  <w:footnote w:id="1">
    <w:p w14:paraId="7F6CFF0C" w14:textId="77777777" w:rsidR="0050271A" w:rsidRPr="004D77CE" w:rsidRDefault="0050271A" w:rsidP="0050271A">
      <w:pPr>
        <w:pStyle w:val="Textonotapie"/>
        <w:rPr>
          <w:rFonts w:ascii="Verdana" w:hAnsi="Verdana"/>
          <w:sz w:val="16"/>
          <w:szCs w:val="16"/>
          <w:lang w:val="es-ES"/>
        </w:rPr>
      </w:pPr>
      <w:r w:rsidRPr="004D77CE">
        <w:rPr>
          <w:rStyle w:val="Refdenotaalpie"/>
          <w:rFonts w:ascii="Verdana" w:hAnsi="Verdana"/>
          <w:sz w:val="16"/>
          <w:szCs w:val="16"/>
        </w:rPr>
        <w:footnoteRef/>
      </w:r>
      <w:r w:rsidRPr="004D77CE">
        <w:rPr>
          <w:rFonts w:ascii="Verdana" w:hAnsi="Verdana"/>
          <w:sz w:val="16"/>
          <w:szCs w:val="16"/>
        </w:rPr>
        <w:t xml:space="preserve"> https://www.colombiacompra.gov.co/archivos/manual/manual-para-determinar-y-verificar-los-requisitos-habilitantes-en-los-procesos-de-contratacion</w:t>
      </w:r>
    </w:p>
  </w:footnote>
  <w:footnote w:id="2">
    <w:p w14:paraId="13817556" w14:textId="77777777" w:rsidR="0050271A" w:rsidRPr="00045DDA" w:rsidRDefault="0050271A" w:rsidP="0050271A">
      <w:pPr>
        <w:pStyle w:val="NormalWeb"/>
        <w:spacing w:after="0" w:afterAutospacing="0"/>
        <w:ind w:firstLine="709"/>
        <w:contextualSpacing/>
        <w:jc w:val="both"/>
        <w:rPr>
          <w:rFonts w:ascii="Verdana" w:hAnsi="Verdana" w:cs="Arial"/>
          <w:sz w:val="14"/>
          <w:szCs w:val="14"/>
        </w:rPr>
      </w:pPr>
      <w:r w:rsidRPr="00045DDA">
        <w:rPr>
          <w:rStyle w:val="Refdenotaalpie"/>
          <w:rFonts w:ascii="Verdana" w:hAnsi="Verdana" w:cs="Arial"/>
          <w:sz w:val="14"/>
          <w:szCs w:val="14"/>
        </w:rPr>
        <w:footnoteRef/>
      </w:r>
      <w:r w:rsidRPr="00045DDA">
        <w:rPr>
          <w:rFonts w:ascii="Verdana" w:hAnsi="Verdana" w:cs="Arial"/>
          <w:sz w:val="14"/>
          <w:szCs w:val="14"/>
        </w:rPr>
        <w:t xml:space="preserve"> </w:t>
      </w:r>
      <w:r w:rsidRPr="00045DDA">
        <w:rPr>
          <w:rFonts w:ascii="Verdana" w:hAnsi="Verdana" w:cs="Arial"/>
          <w:sz w:val="14"/>
          <w:szCs w:val="14"/>
          <w:lang w:val="es-ES"/>
        </w:rPr>
        <w:t>“</w:t>
      </w:r>
      <w:r w:rsidRPr="00045DDA">
        <w:rPr>
          <w:rFonts w:ascii="Verdana" w:hAnsi="Verdana" w:cs="Arial"/>
          <w:sz w:val="14"/>
          <w:szCs w:val="14"/>
        </w:rPr>
        <w:t>Para poder participar en los procesos de selección de los contratos de obra, la capacidad residual del proponente o K de contratación deberá ser igual o superior al que la entidad haya establecido para el efecto en los pliegos de condiciones. 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687F0F06" w14:textId="77777777" w:rsidR="0050271A" w:rsidRPr="005A3A3B" w:rsidRDefault="0050271A" w:rsidP="0050271A">
      <w:pPr>
        <w:pStyle w:val="Textonotapie"/>
        <w:contextualSpacing/>
        <w:rPr>
          <w:rFonts w:ascii="Verdana" w:hAnsi="Verdana"/>
          <w:sz w:val="14"/>
          <w:szCs w:val="14"/>
          <w:lang w:val="es-ES"/>
        </w:rPr>
      </w:pPr>
      <w:r>
        <w:rPr>
          <w:rFonts w:ascii="Verdana" w:hAnsi="Verdana"/>
          <w:sz w:val="14"/>
          <w:szCs w:val="14"/>
        </w:rPr>
        <w:t xml:space="preserve">                </w:t>
      </w:r>
      <w:r w:rsidRPr="005A3A3B">
        <w:rPr>
          <w:rStyle w:val="Refdenotaalpie"/>
          <w:rFonts w:ascii="Verdana" w:hAnsi="Verdana"/>
          <w:sz w:val="14"/>
          <w:szCs w:val="14"/>
        </w:rPr>
        <w:footnoteRef/>
      </w:r>
      <w:r w:rsidRPr="005A3A3B">
        <w:rPr>
          <w:rFonts w:ascii="Verdana" w:hAnsi="Verdana"/>
          <w:sz w:val="14"/>
          <w:szCs w:val="14"/>
        </w:rPr>
        <w:t>Disponible en: https://www.colombiacompra.gov.co/archivos/manual/manual-para-determinar-y-verificar-los-requisitos-habilitantes-en-los-procesos-de-contratacion</w:t>
      </w:r>
    </w:p>
  </w:footnote>
  <w:footnote w:id="4">
    <w:p w14:paraId="6D704E84" w14:textId="77777777" w:rsidR="0050271A" w:rsidRPr="002F50D4" w:rsidRDefault="0050271A" w:rsidP="0050271A">
      <w:pPr>
        <w:pStyle w:val="NormalWeb"/>
        <w:spacing w:after="0"/>
        <w:ind w:firstLine="709"/>
        <w:contextualSpacing/>
        <w:jc w:val="both"/>
        <w:rPr>
          <w:rFonts w:ascii="Verdana" w:hAnsi="Verdana" w:cs="Arial"/>
          <w:sz w:val="14"/>
          <w:szCs w:val="14"/>
          <w:lang w:val="es-ES"/>
        </w:rPr>
      </w:pPr>
      <w:r w:rsidRPr="002F50D4">
        <w:rPr>
          <w:rStyle w:val="Refdenotaalpie"/>
          <w:rFonts w:ascii="Verdana" w:hAnsi="Verdana" w:cs="Arial"/>
          <w:sz w:val="14"/>
          <w:szCs w:val="14"/>
        </w:rPr>
        <w:footnoteRef/>
      </w:r>
      <w:r w:rsidRPr="002F50D4">
        <w:rPr>
          <w:rStyle w:val="Refdenotaalpie"/>
          <w:rFonts w:ascii="Verdana" w:hAnsi="Verdana" w:cs="Arial"/>
          <w:sz w:val="14"/>
          <w:szCs w:val="14"/>
        </w:rPr>
        <w:t xml:space="preserve"> “</w:t>
      </w:r>
      <w:r w:rsidRPr="002F50D4">
        <w:rPr>
          <w:rFonts w:ascii="Verdana" w:hAnsi="Verdana" w:cs="Arial"/>
          <w:sz w:val="14"/>
          <w:szCs w:val="14"/>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8810908" w14:textId="77777777" w:rsidR="0050271A" w:rsidRPr="002F50D4" w:rsidRDefault="0050271A" w:rsidP="0050271A">
      <w:pPr>
        <w:pStyle w:val="NormalWeb"/>
        <w:spacing w:after="0"/>
        <w:ind w:firstLine="709"/>
        <w:contextualSpacing/>
        <w:jc w:val="both"/>
        <w:rPr>
          <w:rFonts w:ascii="Verdana" w:hAnsi="Verdana" w:cs="Arial"/>
          <w:sz w:val="14"/>
          <w:szCs w:val="14"/>
          <w:lang w:val="es-ES"/>
        </w:rPr>
      </w:pPr>
      <w:r w:rsidRPr="002F50D4">
        <w:rPr>
          <w:rFonts w:ascii="Verdana" w:hAnsi="Verdana" w:cs="Arial"/>
          <w:sz w:val="14"/>
          <w:szCs w:val="14"/>
          <w:lang w:val="es-ES"/>
        </w:rPr>
        <w:t>“Parágrafo Transitorio. </w:t>
      </w:r>
      <w:hyperlink r:id="rId1" w:tgtFrame="_blank" w:history="1">
        <w:r w:rsidRPr="002F50D4">
          <w:rPr>
            <w:sz w:val="14"/>
            <w:szCs w:val="14"/>
          </w:rPr>
          <w:t>https://colaboracion.dnp.gov.co/CDT/Normatividad/DECRETO 579 DEL 31 DE MAYO DE 2021.pdf</w:t>
        </w:r>
      </w:hyperlink>
      <w:r w:rsidRPr="002F50D4">
        <w:rPr>
          <w:rFonts w:ascii="Verdana" w:hAnsi="Verdana" w:cs="Arial"/>
          <w:sz w:val="14"/>
          <w:szCs w:val="14"/>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  </w:t>
      </w:r>
    </w:p>
    <w:p w14:paraId="59441ABF" w14:textId="77777777" w:rsidR="0050271A" w:rsidRPr="002F50D4" w:rsidRDefault="0050271A" w:rsidP="0050271A">
      <w:pPr>
        <w:pStyle w:val="NormalWeb"/>
        <w:spacing w:after="0"/>
        <w:ind w:firstLine="709"/>
        <w:contextualSpacing/>
        <w:jc w:val="both"/>
        <w:rPr>
          <w:rFonts w:ascii="Verdana" w:hAnsi="Verdana" w:cs="Arial"/>
          <w:sz w:val="14"/>
          <w:szCs w:val="14"/>
          <w:lang w:val="es-ES"/>
        </w:rPr>
      </w:pPr>
      <w:r w:rsidRPr="002F50D4">
        <w:rPr>
          <w:rFonts w:ascii="Verdana" w:hAnsi="Verdana" w:cs="Arial"/>
          <w:sz w:val="14"/>
          <w:szCs w:val="14"/>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2F50D4">
        <w:rPr>
          <w:rFonts w:ascii="Arial" w:hAnsi="Arial" w:cs="Arial"/>
          <w:sz w:val="14"/>
          <w:szCs w:val="14"/>
          <w:lang w:val="es-ES"/>
        </w:rPr>
        <w:t>​</w:t>
      </w:r>
      <w:r w:rsidRPr="002F50D4">
        <w:rPr>
          <w:rFonts w:ascii="Verdana" w:hAnsi="Verdana" w:cs="Arial"/>
          <w:sz w:val="14"/>
          <w:szCs w:val="14"/>
          <w:lang w:val="es-ES"/>
        </w:rPr>
        <w:t>”.</w:t>
      </w:r>
    </w:p>
    <w:p w14:paraId="24C2FCFC" w14:textId="77777777" w:rsidR="0050271A" w:rsidRPr="00045DDA" w:rsidRDefault="0050271A" w:rsidP="0050271A">
      <w:pPr>
        <w:pStyle w:val="NormalWeb"/>
        <w:spacing w:after="0"/>
        <w:ind w:firstLine="709"/>
        <w:contextualSpacing/>
        <w:jc w:val="both"/>
        <w:rPr>
          <w:rStyle w:val="Refdenotaalpie"/>
          <w:rFonts w:ascii="Verdana" w:hAnsi="Verdana" w:cs="Arial"/>
          <w:sz w:val="14"/>
          <w:szCs w:val="14"/>
        </w:rPr>
      </w:pPr>
    </w:p>
  </w:footnote>
  <w:footnote w:id="5">
    <w:p w14:paraId="67702317" w14:textId="77777777" w:rsidR="0050271A" w:rsidRPr="004D77CE" w:rsidRDefault="0050271A" w:rsidP="0050271A">
      <w:pPr>
        <w:pStyle w:val="Textonotapie"/>
        <w:rPr>
          <w:rFonts w:ascii="Verdana" w:hAnsi="Verdana"/>
          <w:sz w:val="16"/>
          <w:szCs w:val="16"/>
          <w:lang w:val="es-ES"/>
        </w:rPr>
      </w:pPr>
      <w:r w:rsidRPr="004D77CE">
        <w:rPr>
          <w:rStyle w:val="Refdenotaalpie"/>
          <w:rFonts w:ascii="Verdana" w:hAnsi="Verdana"/>
          <w:sz w:val="16"/>
          <w:szCs w:val="16"/>
        </w:rPr>
        <w:footnoteRef/>
      </w:r>
      <w:r w:rsidRPr="004D77CE">
        <w:rPr>
          <w:rFonts w:ascii="Verdana" w:hAnsi="Verdana"/>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5B38"/>
    <w:rsid w:val="00082362"/>
    <w:rsid w:val="000A683E"/>
    <w:rsid w:val="000B19B9"/>
    <w:rsid w:val="000C1FD8"/>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77CF"/>
    <w:rsid w:val="004F21C4"/>
    <w:rsid w:val="004F685F"/>
    <w:rsid w:val="0050271A"/>
    <w:rsid w:val="005566E8"/>
    <w:rsid w:val="00574867"/>
    <w:rsid w:val="00591460"/>
    <w:rsid w:val="005A65E0"/>
    <w:rsid w:val="005C3777"/>
    <w:rsid w:val="005C5CDC"/>
    <w:rsid w:val="005D476C"/>
    <w:rsid w:val="006200BF"/>
    <w:rsid w:val="006207B0"/>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0E0D"/>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36C8"/>
    <w:rsid w:val="00AB0ADB"/>
    <w:rsid w:val="00B00C0E"/>
    <w:rsid w:val="00B01B1A"/>
    <w:rsid w:val="00B0381D"/>
    <w:rsid w:val="00B14E3C"/>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1412"/>
    <w:rsid w:val="00EC38A7"/>
    <w:rsid w:val="00EE1AA8"/>
    <w:rsid w:val="00F23FEA"/>
    <w:rsid w:val="00F31EDC"/>
    <w:rsid w:val="00F462B3"/>
    <w:rsid w:val="00F5664F"/>
    <w:rsid w:val="00F666C4"/>
    <w:rsid w:val="00F76AFC"/>
    <w:rsid w:val="00FA47C0"/>
    <w:rsid w:val="00FB5DD1"/>
    <w:rsid w:val="00FC130D"/>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027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71A"/>
    <w:rPr>
      <w:rFonts w:ascii="Geomanist Light" w:hAnsi="Geomanist Light"/>
      <w:lang w:val="es-ES"/>
    </w:rPr>
  </w:style>
  <w:style w:type="character" w:customStyle="1" w:styleId="NormalWebCar">
    <w:name w:val="Normal (Web) Car"/>
    <w:link w:val="NormalWeb"/>
    <w:uiPriority w:val="99"/>
    <w:locked/>
    <w:rsid w:val="0050271A"/>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nfecamaras.org.co/wp-content/uploads/2024/04/circular-externa-100-000002-del-25-de-abril-de-2022.pdf"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ccionaserviciossas@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Normatividad/DECRETO%20579%20DEL%2031%20DE%20MAYO%20DE%20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30D2A43-F89D-452B-856F-5EDE19659C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16</Pages>
  <Words>4686</Words>
  <Characters>25776</Characters>
  <Application>Microsoft Office Word</Application>
  <DocSecurity>0</DocSecurity>
  <Lines>214</Lines>
  <Paragraphs>60</Paragraphs>
  <ScaleCrop>false</ScaleCrop>
  <Company/>
  <LinksUpToDate>false</LinksUpToDate>
  <CharactersWithSpaces>30402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4</cp:revision>
  <cp:lastPrinted>2023-01-10T21:18:00Z</cp:lastPrinted>
  <dcterms:created xsi:type="dcterms:W3CDTF">2026-06-02T14:48:00Z</dcterms:created>
  <dcterms:modified xsi:type="dcterms:W3CDTF">2026-06-03T12:38:00Z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