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02F670" w14:textId="77777777" w:rsidR="005B2238" w:rsidRPr="00AD5455" w:rsidRDefault="005B2238" w:rsidP="005B2238">
      <w:pPr>
        <w:spacing w:after="0" w:line="240" w:lineRule="auto"/>
        <w:jc w:val="both"/>
        <w:rPr>
          <w:rFonts w:ascii="Verdana" w:hAnsi="Verdana"/>
          <w:b/>
          <w:bCs/>
          <w:lang w:val="es-MX"/>
        </w:rPr>
      </w:pPr>
      <w:bookmarkStart w:id="0" w:name="_Hlk143780582"/>
      <w:r w:rsidRPr="00AD5455">
        <w:rPr>
          <w:rFonts w:ascii="Verdana" w:hAnsi="Verdana"/>
          <w:b/>
          <w:bCs/>
          <w:lang w:val="es-MX"/>
        </w:rPr>
        <w:t>MÍNIMA CUANTÍA – Generalidades – Ley 1150 de 2007</w:t>
      </w:r>
    </w:p>
    <w:p w14:paraId="6AB52431" w14:textId="77777777" w:rsidR="005B2238" w:rsidRDefault="005B2238" w:rsidP="005B2238">
      <w:pPr>
        <w:spacing w:after="0" w:line="240" w:lineRule="auto"/>
        <w:jc w:val="both"/>
        <w:rPr>
          <w:rFonts w:ascii="Verdana" w:hAnsi="Verdana"/>
          <w:bCs/>
          <w:lang w:val="es-MX"/>
        </w:rPr>
      </w:pPr>
    </w:p>
    <w:p w14:paraId="423A4F3B" w14:textId="77777777" w:rsidR="005B2238" w:rsidRDefault="005B2238" w:rsidP="005B2238">
      <w:pPr>
        <w:spacing w:after="0" w:line="240" w:lineRule="auto"/>
        <w:jc w:val="both"/>
        <w:rPr>
          <w:rFonts w:ascii="Verdana" w:hAnsi="Verdana"/>
          <w:bCs/>
          <w:sz w:val="20"/>
          <w:lang w:val="es-ES_tradnl"/>
        </w:rPr>
      </w:pPr>
      <w:r w:rsidRPr="00AD5455">
        <w:rPr>
          <w:rFonts w:ascii="Verdana" w:hAnsi="Verdana"/>
          <w:bCs/>
          <w:sz w:val="20"/>
          <w:lang w:val="es-ES_tradnl"/>
        </w:rPr>
        <w:t>La mínima cuantía es una modalidad de selección en virtud de la cual la entidad estatal realiza una convocatoria pública para recibir ofertas de bienes, obras o servicios cuyo valor no excede el diez por ciento –10%– de la menor cuantía. Esta modalidad de selección fue creada en el 2011 por la Ley 1450, modificada por el artículo 94 de la Ley 1474 de 2011 –que adicionó el numeral 5º al artículo 2 de la Ley 1150 de 2007– y posteriormente por la Ley 2069 de 2020, estableciendo que el factor determinante para llevar a cabo tal procedimiento es la cuantía –calculada como presupuesto oficial a partir del estudio del sector–, “independientemente de su objeto”.</w:t>
      </w:r>
    </w:p>
    <w:p w14:paraId="51FE65B2" w14:textId="77777777" w:rsidR="005B2238" w:rsidRPr="00AD5455" w:rsidRDefault="005B2238" w:rsidP="005B2238">
      <w:pPr>
        <w:spacing w:after="0" w:line="240" w:lineRule="auto"/>
        <w:jc w:val="both"/>
        <w:rPr>
          <w:rFonts w:ascii="Verdana" w:hAnsi="Verdana"/>
          <w:bCs/>
          <w:sz w:val="20"/>
          <w:lang w:val="es-ES_tradnl"/>
        </w:rPr>
      </w:pPr>
    </w:p>
    <w:p w14:paraId="279040A5" w14:textId="77777777" w:rsidR="005B2238" w:rsidRPr="003510EB" w:rsidRDefault="005B2238" w:rsidP="005B2238">
      <w:pPr>
        <w:spacing w:after="0" w:line="240" w:lineRule="auto"/>
        <w:jc w:val="both"/>
        <w:rPr>
          <w:rFonts w:ascii="Verdana" w:hAnsi="Verdana"/>
          <w:bCs/>
          <w:sz w:val="20"/>
          <w:lang w:val="es-ES_tradnl"/>
        </w:rPr>
      </w:pPr>
      <w:r w:rsidRPr="00AD5455">
        <w:rPr>
          <w:rFonts w:ascii="Verdana" w:hAnsi="Verdana"/>
          <w:bCs/>
          <w:sz w:val="20"/>
          <w:lang w:val="es-ES_tradnl"/>
        </w:rPr>
        <w:t>Dicho de otro modo, la mínima cuantía es un procedimiento de selección “especial”, porque es una excepción a la regla general constituida por la licitación pública. Aunque ambas modalidades implican un llamado general a presentar ofertas, efectuado por la entidad estatal interesada en contratar, la mínima cuantía es distinta de la licitación en otros aspectos, como su conducencia y su procedimiento: lo primero, porque solo procede por razón de una cuantía específica, y lo segundo, porque sus requisitos, etapas y términos son especiales.</w:t>
      </w:r>
    </w:p>
    <w:p w14:paraId="640CD1C1" w14:textId="77777777" w:rsidR="005B2238" w:rsidRPr="00AD5455" w:rsidRDefault="005B2238" w:rsidP="005B2238">
      <w:pPr>
        <w:spacing w:after="0" w:line="240" w:lineRule="auto"/>
        <w:jc w:val="both"/>
        <w:rPr>
          <w:rFonts w:ascii="Verdana" w:hAnsi="Verdana"/>
          <w:b/>
          <w:bCs/>
          <w:lang w:val="es-ES_tradnl"/>
        </w:rPr>
      </w:pPr>
    </w:p>
    <w:p w14:paraId="5AD7D4D2" w14:textId="77777777" w:rsidR="005B2238" w:rsidRPr="00AD5455" w:rsidRDefault="005B2238" w:rsidP="005B2238">
      <w:pPr>
        <w:spacing w:after="0" w:line="240" w:lineRule="auto"/>
        <w:jc w:val="both"/>
        <w:rPr>
          <w:rFonts w:ascii="Verdana" w:hAnsi="Verdana"/>
          <w:b/>
          <w:bCs/>
          <w:lang w:val="es-MX"/>
        </w:rPr>
      </w:pPr>
      <w:r w:rsidRPr="00AD5455">
        <w:rPr>
          <w:rFonts w:ascii="Verdana" w:hAnsi="Verdana"/>
          <w:b/>
          <w:bCs/>
          <w:lang w:val="es-MX"/>
        </w:rPr>
        <w:t xml:space="preserve">MÍNIMA CUANTÍA – Normas reglamentarias – Decreto 1082 de 2015 – Procedimiento </w:t>
      </w:r>
    </w:p>
    <w:p w14:paraId="250C51DC" w14:textId="77777777" w:rsidR="005B2238" w:rsidRDefault="005B2238" w:rsidP="005B2238">
      <w:pPr>
        <w:spacing w:after="0" w:line="240" w:lineRule="auto"/>
        <w:jc w:val="both"/>
        <w:rPr>
          <w:rFonts w:ascii="Verdana" w:hAnsi="Verdana"/>
          <w:bCs/>
          <w:lang w:val="es-MX"/>
        </w:rPr>
      </w:pPr>
    </w:p>
    <w:p w14:paraId="64AD2908" w14:textId="77777777" w:rsidR="005B2238" w:rsidRPr="00253A86" w:rsidRDefault="005B2238" w:rsidP="005B2238">
      <w:pPr>
        <w:spacing w:after="0" w:line="240" w:lineRule="auto"/>
        <w:jc w:val="both"/>
        <w:rPr>
          <w:rFonts w:ascii="Verdana" w:hAnsi="Verdana"/>
          <w:bCs/>
          <w:sz w:val="20"/>
          <w:lang w:val="es-ES"/>
        </w:rPr>
      </w:pPr>
      <w:r w:rsidRPr="00253A86">
        <w:rPr>
          <w:rFonts w:ascii="Verdana" w:hAnsi="Verdana"/>
          <w:bCs/>
          <w:sz w:val="20"/>
          <w:lang w:val="es-ES"/>
        </w:rPr>
        <w:t>Por su parte, el 31 de diciembre de 2020 fue expedida la Ley 2069 de 2020 –conocida como Ley de Emprendimiento–, cuyo artículo 30 modificó el numeral 5 del artículo 2 de la Ley 1150 de 2007, el cual regula la mínima cuantía. Esta norma dispuso aspectos del procedimiento como: i) el término mínimo para publicar la invitación, ii) el plazo mínimo de recepción de las ofertas, iii) el factor de evaluación que define la selección del proponente y iv) el perfeccionamiento del contrato.</w:t>
      </w:r>
    </w:p>
    <w:p w14:paraId="620BF604" w14:textId="77777777" w:rsidR="005B2238" w:rsidRPr="00253A86" w:rsidRDefault="005B2238" w:rsidP="005B2238">
      <w:pPr>
        <w:spacing w:after="0" w:line="240" w:lineRule="auto"/>
        <w:jc w:val="both"/>
        <w:rPr>
          <w:rFonts w:ascii="Verdana" w:hAnsi="Verdana"/>
          <w:bCs/>
          <w:sz w:val="20"/>
          <w:lang w:val="es-ES"/>
        </w:rPr>
      </w:pPr>
    </w:p>
    <w:p w14:paraId="7FE9D6AF" w14:textId="77777777" w:rsidR="005B2238" w:rsidRPr="00253A86" w:rsidRDefault="005B2238" w:rsidP="005B2238">
      <w:pPr>
        <w:spacing w:after="0" w:line="240" w:lineRule="auto"/>
        <w:jc w:val="both"/>
        <w:rPr>
          <w:rFonts w:ascii="Verdana" w:hAnsi="Verdana"/>
          <w:bCs/>
          <w:sz w:val="20"/>
          <w:lang w:val="es-ES"/>
        </w:rPr>
      </w:pPr>
      <w:r w:rsidRPr="00253A86">
        <w:rPr>
          <w:rFonts w:ascii="Verdana" w:hAnsi="Verdana"/>
          <w:bCs/>
          <w:sz w:val="20"/>
          <w:lang w:val="es-ES"/>
        </w:rPr>
        <w:t>Adicionalmente, se expidió el Decreto 1860 del 24 de diciembre de 2021, “Por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Entre los aspectos reglamentados por el decreto indicado se encuentra el procedimiento de mínima cuantía. De esta manera, el artículo 2 modifica la Subsección 5 de la Sección 1 del Capítulo 2 del Título 1 de la Parte 2 del Libro 2 del Decreto 1082 de 2015, que se titula mínima cuantía, por lo que reglamenta esta modalidad de selección con fundamento en lo establecido en el artículo 30 de la Ley 2069 de 2020.</w:t>
      </w:r>
    </w:p>
    <w:p w14:paraId="48DDF29B" w14:textId="77777777" w:rsidR="005B2238" w:rsidRPr="00253A86" w:rsidRDefault="005B2238" w:rsidP="005B2238">
      <w:pPr>
        <w:spacing w:after="0" w:line="240" w:lineRule="auto"/>
        <w:jc w:val="both"/>
        <w:rPr>
          <w:rFonts w:ascii="Verdana" w:hAnsi="Verdana"/>
          <w:bCs/>
          <w:sz w:val="20"/>
          <w:lang w:val="es-ES"/>
        </w:rPr>
      </w:pPr>
    </w:p>
    <w:p w14:paraId="05B1080B" w14:textId="77777777" w:rsidR="005B2238" w:rsidRPr="00253A86" w:rsidRDefault="005B2238" w:rsidP="005B2238">
      <w:pPr>
        <w:spacing w:after="0" w:line="240" w:lineRule="auto"/>
        <w:jc w:val="both"/>
        <w:rPr>
          <w:rFonts w:ascii="Verdana" w:hAnsi="Verdana"/>
          <w:b/>
          <w:bCs/>
          <w:lang w:val="es-MX"/>
        </w:rPr>
      </w:pPr>
      <w:r w:rsidRPr="00253A86">
        <w:rPr>
          <w:rFonts w:ascii="Verdana" w:hAnsi="Verdana"/>
          <w:b/>
          <w:bCs/>
          <w:lang w:val="es-MX"/>
        </w:rPr>
        <w:t xml:space="preserve">ACEPTACIÓN DE LA OFERTA – Perfeccionamiento del contrato </w:t>
      </w:r>
    </w:p>
    <w:p w14:paraId="738E3867" w14:textId="77777777" w:rsidR="005B2238" w:rsidRDefault="005B2238" w:rsidP="005B2238">
      <w:pPr>
        <w:spacing w:after="0" w:line="240" w:lineRule="auto"/>
        <w:jc w:val="both"/>
        <w:rPr>
          <w:rFonts w:ascii="Verdana" w:hAnsi="Verdana"/>
          <w:bCs/>
          <w:lang w:val="es-MX"/>
        </w:rPr>
      </w:pPr>
    </w:p>
    <w:p w14:paraId="3216C047" w14:textId="77777777" w:rsidR="005B2238" w:rsidRDefault="005B2238" w:rsidP="005B2238">
      <w:pPr>
        <w:spacing w:after="0" w:line="240" w:lineRule="auto"/>
        <w:jc w:val="both"/>
        <w:rPr>
          <w:rFonts w:ascii="Verdana" w:hAnsi="Verdana"/>
          <w:bCs/>
          <w:sz w:val="20"/>
          <w:lang w:val="es-ES_tradnl"/>
        </w:rPr>
      </w:pPr>
      <w:r w:rsidRPr="00253A86">
        <w:rPr>
          <w:rFonts w:ascii="Verdana" w:hAnsi="Verdana"/>
          <w:bCs/>
          <w:sz w:val="20"/>
          <w:lang w:val="es-ES"/>
        </w:rPr>
        <w:t xml:space="preserve">En este sentido, el legislador estableció que en los procesos de mínima cuantía no habría un </w:t>
      </w:r>
      <w:r w:rsidRPr="00253A86">
        <w:rPr>
          <w:rFonts w:ascii="Verdana" w:hAnsi="Verdana"/>
          <w:bCs/>
          <w:i/>
          <w:sz w:val="20"/>
          <w:lang w:val="es-ES"/>
        </w:rPr>
        <w:t>“acto de adjudicación”</w:t>
      </w:r>
      <w:r w:rsidRPr="00253A86">
        <w:rPr>
          <w:rFonts w:ascii="Verdana" w:hAnsi="Verdana"/>
          <w:bCs/>
          <w:sz w:val="20"/>
          <w:lang w:val="es-ES"/>
        </w:rPr>
        <w:t xml:space="preserve">, sino que en aras de la celeridad y economía que se busca con esta modalidad, la selección de la mejor oferta se realiza mediante una </w:t>
      </w:r>
      <w:r w:rsidRPr="00253A86">
        <w:rPr>
          <w:rFonts w:ascii="Verdana" w:hAnsi="Verdana"/>
          <w:bCs/>
          <w:i/>
          <w:sz w:val="20"/>
          <w:lang w:val="es-ES"/>
        </w:rPr>
        <w:t xml:space="preserve">“comunicación </w:t>
      </w:r>
      <w:r w:rsidRPr="00253A86">
        <w:rPr>
          <w:rFonts w:ascii="Verdana" w:hAnsi="Verdana"/>
          <w:bCs/>
          <w:i/>
          <w:sz w:val="20"/>
          <w:lang w:val="es-ES"/>
        </w:rPr>
        <w:lastRenderedPageBreak/>
        <w:t>de aceptación de la oferta”</w:t>
      </w:r>
      <w:r w:rsidRPr="00253A86">
        <w:rPr>
          <w:rFonts w:ascii="Verdana" w:hAnsi="Verdana"/>
          <w:bCs/>
          <w:sz w:val="20"/>
          <w:lang w:val="es-ES"/>
        </w:rPr>
        <w:t>, y dicha comunicación, junto con la oferta presentada por el oferente seleccionado, constituyen el contrato. Así, la comunicación de aceptación de la oferta hace las veces del acto de adjudicación, en el entendido de que bajo dicha actuación la entidad selecciona a su contratista; solo que en estos casos mediante dicho acto además se perfecciona el contrato.</w:t>
      </w:r>
    </w:p>
    <w:p w14:paraId="2DDB3D2F" w14:textId="77777777" w:rsidR="005B2238" w:rsidRPr="00816B1E" w:rsidRDefault="005B2238" w:rsidP="005B2238">
      <w:pPr>
        <w:spacing w:after="0" w:line="240" w:lineRule="auto"/>
        <w:jc w:val="both"/>
        <w:rPr>
          <w:rFonts w:ascii="Verdana" w:hAnsi="Verdana"/>
          <w:bCs/>
          <w:sz w:val="20"/>
          <w:lang w:val="es-ES_tradnl"/>
        </w:rPr>
      </w:pPr>
    </w:p>
    <w:p w14:paraId="4EC7024C" w14:textId="77777777" w:rsidR="005B2238" w:rsidRPr="00924709" w:rsidRDefault="005B2238" w:rsidP="005B2238">
      <w:pPr>
        <w:spacing w:after="0" w:line="240" w:lineRule="auto"/>
        <w:rPr>
          <w:rFonts w:ascii="Verdana" w:hAnsi="Verdana" w:cs="Arial"/>
          <w:b/>
          <w:bCs/>
          <w:color w:val="000000" w:themeColor="text1"/>
          <w:sz w:val="21"/>
          <w:szCs w:val="21"/>
          <w:shd w:val="clear" w:color="auto" w:fill="FFFFFF"/>
          <w:lang w:val="es-ES"/>
        </w:rPr>
      </w:pPr>
      <w:r w:rsidRPr="00924709">
        <w:rPr>
          <w:rFonts w:ascii="Verdana" w:hAnsi="Verdana" w:cs="Arial"/>
          <w:b/>
          <w:bCs/>
          <w:color w:val="000000" w:themeColor="text1"/>
          <w:sz w:val="21"/>
          <w:szCs w:val="21"/>
          <w:shd w:val="clear" w:color="auto" w:fill="FFFFFF"/>
          <w:lang w:val="es-ES"/>
        </w:rPr>
        <w:t>SECOP II </w:t>
      </w:r>
      <w:r w:rsidRPr="00924709">
        <w:rPr>
          <w:rFonts w:ascii="Verdana" w:hAnsi="Verdana" w:cs="Arial"/>
          <w:b/>
          <w:bCs/>
          <w:color w:val="000000" w:themeColor="text1"/>
          <w:sz w:val="21"/>
          <w:szCs w:val="21"/>
          <w:shd w:val="clear" w:color="auto" w:fill="FFFFFF"/>
          <w:lang w:val="es-MX"/>
        </w:rPr>
        <w:t>–</w:t>
      </w:r>
      <w:r w:rsidRPr="00924709">
        <w:rPr>
          <w:rFonts w:ascii="Verdana" w:hAnsi="Verdana" w:cs="Arial"/>
          <w:b/>
          <w:bCs/>
          <w:color w:val="000000" w:themeColor="text1"/>
          <w:sz w:val="21"/>
          <w:szCs w:val="21"/>
          <w:shd w:val="clear" w:color="auto" w:fill="FFFFFF"/>
          <w:lang w:val="es-ES"/>
        </w:rPr>
        <w:t> Plataforma Transaccional</w:t>
      </w:r>
    </w:p>
    <w:p w14:paraId="43B00FBA" w14:textId="77777777" w:rsidR="005B2238" w:rsidRPr="00924709" w:rsidRDefault="005B2238" w:rsidP="005B2238">
      <w:pPr>
        <w:spacing w:after="0" w:line="240" w:lineRule="auto"/>
        <w:rPr>
          <w:rFonts w:ascii="Verdana" w:hAnsi="Verdana" w:cs="Arial"/>
          <w:color w:val="000000" w:themeColor="text1"/>
          <w:sz w:val="21"/>
          <w:szCs w:val="21"/>
          <w:shd w:val="clear" w:color="auto" w:fill="FFFFFF"/>
          <w:lang w:val="es-ES"/>
        </w:rPr>
      </w:pPr>
    </w:p>
    <w:p w14:paraId="54581E8C" w14:textId="77777777" w:rsidR="005B2238" w:rsidRPr="00816B1E" w:rsidRDefault="005B2238" w:rsidP="005B2238">
      <w:pPr>
        <w:spacing w:after="0" w:line="240" w:lineRule="auto"/>
        <w:jc w:val="both"/>
        <w:rPr>
          <w:rFonts w:ascii="Verdana" w:hAnsi="Verdana" w:cs="Arial"/>
          <w:color w:val="000000" w:themeColor="text1"/>
          <w:sz w:val="20"/>
          <w:szCs w:val="20"/>
          <w:shd w:val="clear" w:color="auto" w:fill="FFFFFF"/>
          <w:lang w:val="es-ES"/>
        </w:rPr>
      </w:pPr>
      <w:r w:rsidRPr="00816B1E">
        <w:rPr>
          <w:rFonts w:ascii="Verdana" w:eastAsia="Calibri" w:hAnsi="Verdana" w:cs="Arial"/>
          <w:color w:val="000000" w:themeColor="text1"/>
          <w:sz w:val="20"/>
          <w:szCs w:val="20"/>
          <w:lang w:val="es-ES"/>
        </w:rPr>
        <w:t xml:space="preserve">[…] </w:t>
      </w:r>
      <w:r w:rsidRPr="00816B1E">
        <w:rPr>
          <w:rFonts w:ascii="Verdana" w:eastAsia="Calibri" w:hAnsi="Verdana" w:cs="Arial"/>
          <w:color w:val="000000" w:themeColor="text1"/>
          <w:sz w:val="20"/>
          <w:szCs w:val="20"/>
        </w:rPr>
        <w:t>debe señalarse que el SECOP II es una plataforma transaccional que permite gestionar en línea todos los procedimientos de contratación, con cuentas y usuarios asociados, tanto para las entidades como para los proveedores, y ofrece una vista pública para cualquier interesado que desee hacer seguimiento a la contratación pública. De esta manera, cuando el proceso de contratación se adelanta a través del SECOP II, las aprobaciones de las actuaciones en la ejecución de un contrato, para su perfeccionamiento y posterior ejecución, deben efectuarse en dicha plataforma, de conformidad con el procedimiento establecido.</w:t>
      </w:r>
    </w:p>
    <w:p w14:paraId="5398C1BE" w14:textId="77777777" w:rsidR="005B2238" w:rsidRPr="00816B1E" w:rsidRDefault="005B2238" w:rsidP="005B2238">
      <w:pPr>
        <w:spacing w:after="0" w:line="240" w:lineRule="auto"/>
        <w:rPr>
          <w:rFonts w:ascii="Verdana" w:hAnsi="Verdana" w:cs="Arial"/>
          <w:color w:val="000000" w:themeColor="text1"/>
          <w:sz w:val="20"/>
          <w:szCs w:val="20"/>
          <w:shd w:val="clear" w:color="auto" w:fill="FFFFFF"/>
          <w:lang w:val="es-ES"/>
        </w:rPr>
      </w:pPr>
    </w:p>
    <w:p w14:paraId="264D6A8B" w14:textId="77777777" w:rsidR="005B2238" w:rsidRPr="00816B1E" w:rsidRDefault="005B2238" w:rsidP="005B2238">
      <w:pPr>
        <w:spacing w:after="0" w:line="240" w:lineRule="auto"/>
        <w:rPr>
          <w:rFonts w:ascii="Verdana" w:hAnsi="Verdana" w:cs="Arial"/>
          <w:color w:val="000000" w:themeColor="text1"/>
          <w:sz w:val="20"/>
          <w:szCs w:val="20"/>
          <w:shd w:val="clear" w:color="auto" w:fill="FFFFFF"/>
          <w:lang w:val="es-ES"/>
        </w:rPr>
      </w:pPr>
      <w:r w:rsidRPr="00816B1E">
        <w:rPr>
          <w:rFonts w:ascii="Verdana" w:hAnsi="Verdana" w:cs="Arial"/>
          <w:color w:val="000000" w:themeColor="text1"/>
          <w:sz w:val="20"/>
          <w:szCs w:val="20"/>
          <w:shd w:val="clear" w:color="auto" w:fill="FFFFFF"/>
          <w:lang w:val="es-ES"/>
        </w:rPr>
        <w:t xml:space="preserve">[…] </w:t>
      </w:r>
    </w:p>
    <w:p w14:paraId="02FD2C25" w14:textId="77777777" w:rsidR="005B2238" w:rsidRPr="00816B1E" w:rsidRDefault="005B2238" w:rsidP="005B2238">
      <w:pPr>
        <w:spacing w:after="0" w:line="240" w:lineRule="auto"/>
        <w:rPr>
          <w:rFonts w:ascii="Verdana" w:hAnsi="Verdana" w:cs="Arial"/>
          <w:color w:val="000000" w:themeColor="text1"/>
          <w:sz w:val="20"/>
          <w:szCs w:val="20"/>
          <w:shd w:val="clear" w:color="auto" w:fill="FFFFFF"/>
          <w:lang w:val="es-ES"/>
        </w:rPr>
      </w:pPr>
    </w:p>
    <w:p w14:paraId="45932C28" w14:textId="77777777" w:rsidR="005B2238" w:rsidRPr="00816B1E" w:rsidRDefault="005B2238" w:rsidP="005B2238">
      <w:pPr>
        <w:spacing w:line="240" w:lineRule="auto"/>
        <w:jc w:val="both"/>
        <w:rPr>
          <w:rFonts w:ascii="Verdana" w:eastAsia="Calibri" w:hAnsi="Verdana" w:cs="Arial"/>
          <w:color w:val="000000" w:themeColor="text1"/>
          <w:sz w:val="20"/>
          <w:szCs w:val="20"/>
        </w:rPr>
      </w:pPr>
      <w:r w:rsidRPr="00816B1E">
        <w:rPr>
          <w:rFonts w:ascii="Verdana" w:eastAsia="Calibri" w:hAnsi="Verdana" w:cs="Arial"/>
          <w:color w:val="000000" w:themeColor="text1"/>
          <w:sz w:val="20"/>
          <w:szCs w:val="20"/>
        </w:rPr>
        <w:t>En este sentido, en el SECOP II el procedimiento contractual se desarrolla en línea y dentro de la plataforma, conformándose un expediente electrónico, lo cual denota una diferencia con el SECOP I, donde el procedimiento es físico,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p>
    <w:p w14:paraId="3A11D486" w14:textId="77777777" w:rsidR="005B2238" w:rsidRDefault="005B2238" w:rsidP="005B2238">
      <w:pPr>
        <w:spacing w:before="120" w:line="240" w:lineRule="auto"/>
        <w:jc w:val="both"/>
        <w:rPr>
          <w:rFonts w:ascii="Verdana" w:hAnsi="Verdana" w:cs="Arial"/>
          <w:color w:val="7030A0"/>
        </w:rPr>
      </w:pPr>
    </w:p>
    <w:p w14:paraId="5912E8ED" w14:textId="77777777" w:rsidR="005B2238" w:rsidRDefault="005B2238" w:rsidP="005B2238">
      <w:pPr>
        <w:spacing w:before="120" w:line="240" w:lineRule="auto"/>
        <w:jc w:val="both"/>
        <w:rPr>
          <w:rFonts w:ascii="Verdana" w:hAnsi="Verdana" w:cs="Arial"/>
          <w:color w:val="7030A0"/>
        </w:rPr>
      </w:pPr>
    </w:p>
    <w:p w14:paraId="457EBA8B" w14:textId="77777777" w:rsidR="005B2238" w:rsidRDefault="005B2238" w:rsidP="005B2238">
      <w:pPr>
        <w:spacing w:before="120" w:line="240" w:lineRule="auto"/>
        <w:jc w:val="both"/>
        <w:rPr>
          <w:rFonts w:ascii="Verdana" w:hAnsi="Verdana" w:cs="Arial"/>
          <w:color w:val="7030A0"/>
        </w:rPr>
      </w:pPr>
    </w:p>
    <w:p w14:paraId="29C7364C" w14:textId="77777777" w:rsidR="005B2238" w:rsidRDefault="005B2238" w:rsidP="005B2238">
      <w:pPr>
        <w:spacing w:before="120" w:line="240" w:lineRule="auto"/>
        <w:jc w:val="both"/>
        <w:rPr>
          <w:rFonts w:ascii="Verdana" w:hAnsi="Verdana" w:cs="Arial"/>
          <w:color w:val="7030A0"/>
        </w:rPr>
      </w:pPr>
    </w:p>
    <w:p w14:paraId="5A7AC63E" w14:textId="77777777" w:rsidR="005B2238" w:rsidRDefault="005B2238" w:rsidP="005B2238">
      <w:pPr>
        <w:spacing w:before="120" w:line="240" w:lineRule="auto"/>
        <w:jc w:val="both"/>
        <w:rPr>
          <w:rFonts w:ascii="Verdana" w:hAnsi="Verdana" w:cs="Arial"/>
          <w:color w:val="7030A0"/>
        </w:rPr>
      </w:pPr>
    </w:p>
    <w:p w14:paraId="3314210D" w14:textId="77777777" w:rsidR="005B2238" w:rsidRDefault="005B2238" w:rsidP="005B2238">
      <w:pPr>
        <w:spacing w:before="120" w:line="240" w:lineRule="auto"/>
        <w:jc w:val="both"/>
        <w:rPr>
          <w:rFonts w:ascii="Verdana" w:hAnsi="Verdana" w:cs="Arial"/>
          <w:color w:val="7030A0"/>
        </w:rPr>
      </w:pPr>
    </w:p>
    <w:p w14:paraId="2644B21C" w14:textId="77777777" w:rsidR="005B2238" w:rsidRDefault="005B2238" w:rsidP="005B2238">
      <w:pPr>
        <w:spacing w:before="120" w:line="240" w:lineRule="auto"/>
        <w:jc w:val="both"/>
        <w:rPr>
          <w:rFonts w:ascii="Verdana" w:hAnsi="Verdana" w:cs="Arial"/>
          <w:color w:val="7030A0"/>
        </w:rPr>
      </w:pPr>
    </w:p>
    <w:p w14:paraId="3471B377" w14:textId="77777777" w:rsidR="005B2238" w:rsidRDefault="005B2238" w:rsidP="005B2238">
      <w:pPr>
        <w:spacing w:before="120" w:line="240" w:lineRule="auto"/>
        <w:jc w:val="both"/>
        <w:rPr>
          <w:rFonts w:ascii="Verdana" w:hAnsi="Verdana" w:cs="Arial"/>
          <w:color w:val="7030A0"/>
        </w:rPr>
      </w:pPr>
    </w:p>
    <w:p w14:paraId="08FEA72A" w14:textId="77777777" w:rsidR="005B2238" w:rsidRDefault="005B2238" w:rsidP="005B2238">
      <w:pPr>
        <w:spacing w:before="120" w:line="240" w:lineRule="auto"/>
        <w:jc w:val="both"/>
        <w:rPr>
          <w:rFonts w:ascii="Verdana" w:hAnsi="Verdana" w:cs="Arial"/>
          <w:color w:val="7030A0"/>
        </w:rPr>
      </w:pPr>
    </w:p>
    <w:p w14:paraId="2C5F9BF3" w14:textId="77777777" w:rsidR="005B2238" w:rsidRDefault="005B2238" w:rsidP="005B2238">
      <w:pPr>
        <w:spacing w:before="120" w:line="240" w:lineRule="auto"/>
        <w:jc w:val="both"/>
        <w:rPr>
          <w:rFonts w:ascii="Verdana" w:hAnsi="Verdana" w:cs="Arial"/>
          <w:color w:val="7030A0"/>
        </w:rPr>
      </w:pPr>
    </w:p>
    <w:p w14:paraId="6AEE7AC3" w14:textId="77777777" w:rsidR="005B2238" w:rsidRPr="008D0DFC" w:rsidRDefault="005B2238" w:rsidP="005B2238">
      <w:pPr>
        <w:spacing w:before="120" w:line="240" w:lineRule="auto"/>
        <w:jc w:val="both"/>
        <w:rPr>
          <w:rFonts w:ascii="Verdana" w:hAnsi="Verdana" w:cs="Arial"/>
          <w:color w:val="7030A0"/>
        </w:rPr>
      </w:pPr>
    </w:p>
    <w:p w14:paraId="59E8819A" w14:textId="4B6091A5" w:rsidR="005B2238" w:rsidRPr="00581EC0" w:rsidRDefault="005B2238" w:rsidP="005B2238">
      <w:pPr>
        <w:spacing w:after="0"/>
        <w:rPr>
          <w:rFonts w:ascii="Verdana" w:hAnsi="Verdana"/>
        </w:rPr>
      </w:pPr>
      <w:r w:rsidRPr="00581EC0">
        <w:rPr>
          <w:rFonts w:ascii="Verdana" w:hAnsi="Verdana"/>
        </w:rPr>
        <w:lastRenderedPageBreak/>
        <w:t xml:space="preserve">Bogotá D.C., </w:t>
      </w:r>
      <w:r w:rsidR="00F039B3">
        <w:rPr>
          <w:rFonts w:ascii="Verdana" w:hAnsi="Verdana"/>
        </w:rPr>
        <w:t>29 Mayo 2026</w:t>
      </w:r>
      <w:r w:rsidR="00566FD0" w:rsidRPr="00566FD0">
        <w:rPr>
          <w:noProof/>
        </w:rPr>
        <w:t xml:space="preserve"> </w:t>
      </w:r>
    </w:p>
    <w:p w14:paraId="47C0C70A" w14:textId="54DADDD0" w:rsidR="005B2238" w:rsidRPr="00581EC0" w:rsidRDefault="005B2238" w:rsidP="005B2238">
      <w:pPr>
        <w:spacing w:after="0"/>
        <w:rPr>
          <w:rFonts w:ascii="Verdana" w:hAnsi="Verdana"/>
          <w:lang w:val="es-ES"/>
        </w:rPr>
      </w:pPr>
    </w:p>
    <w:p w14:paraId="49A09928" w14:textId="52C03E4F" w:rsidR="005B2238" w:rsidRPr="00581EC0" w:rsidRDefault="00566FD0" w:rsidP="005B2238">
      <w:pPr>
        <w:spacing w:after="0" w:line="240" w:lineRule="auto"/>
        <w:rPr>
          <w:rFonts w:ascii="Verdana" w:hAnsi="Verdana"/>
          <w:lang w:val="es-ES"/>
        </w:rPr>
      </w:pPr>
      <w:r w:rsidRPr="00566FD0">
        <w:rPr>
          <w:rFonts w:ascii="Verdana" w:hAnsi="Verdana"/>
        </w:rPr>
        <w:drawing>
          <wp:anchor distT="0" distB="0" distL="114300" distR="114300" simplePos="0" relativeHeight="251659264" behindDoc="1" locked="0" layoutInCell="1" allowOverlap="1" wp14:anchorId="4C2CE754" wp14:editId="6809C6A7">
            <wp:simplePos x="0" y="0"/>
            <wp:positionH relativeFrom="margin">
              <wp:posOffset>3402419</wp:posOffset>
            </wp:positionH>
            <wp:positionV relativeFrom="paragraph">
              <wp:posOffset>5966</wp:posOffset>
            </wp:positionV>
            <wp:extent cx="2530549" cy="695747"/>
            <wp:effectExtent l="0" t="0" r="3175" b="9525"/>
            <wp:wrapNone/>
            <wp:docPr id="571451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45173" name=""/>
                    <pic:cNvPicPr/>
                  </pic:nvPicPr>
                  <pic:blipFill>
                    <a:blip r:embed="rId11">
                      <a:extLst>
                        <a:ext uri="{28A0092B-C50C-407E-A947-70E740481C1C}">
                          <a14:useLocalDpi xmlns:a14="http://schemas.microsoft.com/office/drawing/2010/main" val="0"/>
                        </a:ext>
                      </a:extLst>
                    </a:blip>
                    <a:stretch>
                      <a:fillRect/>
                    </a:stretch>
                  </pic:blipFill>
                  <pic:spPr>
                    <a:xfrm>
                      <a:off x="0" y="0"/>
                      <a:ext cx="2530549" cy="695747"/>
                    </a:xfrm>
                    <a:prstGeom prst="rect">
                      <a:avLst/>
                    </a:prstGeom>
                  </pic:spPr>
                </pic:pic>
              </a:graphicData>
            </a:graphic>
            <wp14:sizeRelH relativeFrom="margin">
              <wp14:pctWidth>0</wp14:pctWidth>
            </wp14:sizeRelH>
            <wp14:sizeRelV relativeFrom="margin">
              <wp14:pctHeight>0</wp14:pctHeight>
            </wp14:sizeRelV>
          </wp:anchor>
        </w:drawing>
      </w:r>
      <w:r w:rsidR="005B2238" w:rsidRPr="00581EC0">
        <w:rPr>
          <w:rFonts w:ascii="Verdana" w:eastAsia="Calibri" w:hAnsi="Verdana" w:cs="Arial"/>
          <w:lang w:val="es-ES" w:eastAsia="es-ES"/>
        </w:rPr>
        <w:t>Señor</w:t>
      </w:r>
    </w:p>
    <w:p w14:paraId="31207B29" w14:textId="77777777" w:rsidR="005B2238" w:rsidRPr="00581EC0" w:rsidRDefault="005B2238" w:rsidP="005B2238">
      <w:pPr>
        <w:spacing w:after="0"/>
        <w:rPr>
          <w:rFonts w:ascii="Verdana" w:eastAsia="Calibri" w:hAnsi="Verdana" w:cs="Arial"/>
          <w:b/>
          <w:bCs/>
          <w:lang w:eastAsia="es-ES"/>
        </w:rPr>
      </w:pPr>
      <w:r w:rsidRPr="00581EC0">
        <w:rPr>
          <w:rFonts w:ascii="Verdana" w:eastAsia="Calibri" w:hAnsi="Verdana" w:cs="Arial"/>
          <w:b/>
          <w:bCs/>
          <w:lang w:eastAsia="es-ES"/>
        </w:rPr>
        <w:t>Yilberth Santiago López Velásquez</w:t>
      </w:r>
    </w:p>
    <w:p w14:paraId="46218F63" w14:textId="77777777" w:rsidR="005B2238" w:rsidRPr="008D0DFC" w:rsidRDefault="005B2238" w:rsidP="005B2238">
      <w:pPr>
        <w:spacing w:after="0"/>
        <w:rPr>
          <w:rFonts w:ascii="Verdana" w:eastAsia="Calibri" w:hAnsi="Verdana" w:cs="Arial"/>
          <w:color w:val="7030A0"/>
          <w:lang w:eastAsia="es-ES"/>
        </w:rPr>
      </w:pPr>
      <w:hyperlink r:id="rId12" w:history="1">
        <w:r w:rsidRPr="00E22731">
          <w:rPr>
            <w:rStyle w:val="Hipervnculo"/>
            <w:rFonts w:ascii="Verdana" w:hAnsi="Verdana"/>
          </w:rPr>
          <w:t>santiagovelasquezabogado@outlook.com</w:t>
        </w:r>
      </w:hyperlink>
      <w:r>
        <w:rPr>
          <w:rFonts w:ascii="Verdana" w:hAnsi="Verdana"/>
          <w:color w:val="7030A0"/>
        </w:rPr>
        <w:t xml:space="preserve"> </w:t>
      </w:r>
    </w:p>
    <w:p w14:paraId="1086AB59" w14:textId="77777777" w:rsidR="005B2238" w:rsidRPr="006432C8" w:rsidRDefault="005B2238" w:rsidP="005B2238">
      <w:pPr>
        <w:spacing w:after="0"/>
        <w:rPr>
          <w:rFonts w:ascii="Verdana" w:eastAsia="Calibri" w:hAnsi="Verdana" w:cs="Arial"/>
          <w:lang w:eastAsia="es-ES"/>
        </w:rPr>
      </w:pPr>
      <w:r w:rsidRPr="006432C8">
        <w:rPr>
          <w:rFonts w:ascii="Verdana" w:eastAsia="Calibri" w:hAnsi="Verdana" w:cs="Arial"/>
          <w:lang w:eastAsia="es-ES"/>
        </w:rPr>
        <w:t>Facatativá, Cundinamarca</w:t>
      </w:r>
    </w:p>
    <w:p w14:paraId="19683BC4" w14:textId="77777777" w:rsidR="005B2238" w:rsidRPr="008D0DFC" w:rsidRDefault="005B2238" w:rsidP="005B2238">
      <w:pPr>
        <w:spacing w:after="0"/>
        <w:rPr>
          <w:rFonts w:ascii="Verdana" w:eastAsia="Calibri" w:hAnsi="Verdana" w:cs="Arial"/>
          <w:color w:val="7030A0"/>
          <w:lang w:val="es-ES" w:eastAsia="es-ES"/>
        </w:rPr>
      </w:pPr>
    </w:p>
    <w:p w14:paraId="4EC99E27" w14:textId="77777777" w:rsidR="005B2238" w:rsidRPr="008D0DFC" w:rsidRDefault="005B2238" w:rsidP="005B2238">
      <w:pPr>
        <w:spacing w:after="0" w:line="240" w:lineRule="auto"/>
        <w:rPr>
          <w:rFonts w:ascii="Verdana" w:eastAsia="Calibri" w:hAnsi="Verdana" w:cs="Arial"/>
          <w:b/>
          <w:bCs/>
          <w:color w:val="7030A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5B2238" w:rsidRPr="008D0DFC" w14:paraId="3983DFF9" w14:textId="77777777" w:rsidTr="00C66FA0">
        <w:trPr>
          <w:trHeight w:val="300"/>
        </w:trPr>
        <w:tc>
          <w:tcPr>
            <w:tcW w:w="2410" w:type="dxa"/>
          </w:tcPr>
          <w:p w14:paraId="27C510BE" w14:textId="77777777" w:rsidR="005B2238" w:rsidRPr="007B5751" w:rsidRDefault="005B2238" w:rsidP="00C66FA0">
            <w:pPr>
              <w:ind w:left="-142"/>
              <w:jc w:val="both"/>
              <w:rPr>
                <w:rFonts w:ascii="Verdana" w:eastAsia="Calibri" w:hAnsi="Verdana" w:cs="Arial"/>
                <w:b/>
                <w:bCs/>
                <w:lang w:val="es-ES" w:eastAsia="es-ES_tradnl"/>
              </w:rPr>
            </w:pPr>
          </w:p>
        </w:tc>
        <w:tc>
          <w:tcPr>
            <w:tcW w:w="6100" w:type="dxa"/>
          </w:tcPr>
          <w:p w14:paraId="4E2002F1" w14:textId="77777777" w:rsidR="005B2238" w:rsidRPr="007B5751" w:rsidRDefault="005B2238" w:rsidP="00C66FA0">
            <w:pPr>
              <w:ind w:left="3"/>
              <w:jc w:val="both"/>
              <w:rPr>
                <w:rFonts w:ascii="Verdana" w:eastAsia="Calibri" w:hAnsi="Verdana" w:cs="Arial"/>
                <w:b/>
                <w:bCs/>
                <w:lang w:val="es-ES" w:eastAsia="es-ES"/>
              </w:rPr>
            </w:pPr>
            <w:r w:rsidRPr="007B5751">
              <w:rPr>
                <w:rFonts w:ascii="Verdana" w:eastAsia="Calibri" w:hAnsi="Verdana" w:cs="Arial"/>
                <w:b/>
                <w:bCs/>
                <w:lang w:val="es-ES" w:eastAsia="es-ES"/>
              </w:rPr>
              <w:t>Concepto C-632 de 2026</w:t>
            </w:r>
          </w:p>
          <w:p w14:paraId="3D1DC10D" w14:textId="77777777" w:rsidR="005B2238" w:rsidRPr="007B5751" w:rsidRDefault="005B2238" w:rsidP="00C66FA0">
            <w:pPr>
              <w:ind w:left="3"/>
              <w:jc w:val="both"/>
              <w:rPr>
                <w:rFonts w:ascii="Verdana" w:eastAsia="Calibri" w:hAnsi="Verdana" w:cs="Arial"/>
                <w:b/>
                <w:bCs/>
                <w:lang w:val="es-ES" w:eastAsia="es-ES"/>
              </w:rPr>
            </w:pPr>
          </w:p>
        </w:tc>
      </w:tr>
      <w:tr w:rsidR="005B2238" w:rsidRPr="008D0DFC" w14:paraId="51933E07" w14:textId="77777777" w:rsidTr="00C66FA0">
        <w:trPr>
          <w:trHeight w:val="300"/>
        </w:trPr>
        <w:tc>
          <w:tcPr>
            <w:tcW w:w="2410" w:type="dxa"/>
          </w:tcPr>
          <w:p w14:paraId="13341B8B" w14:textId="77777777" w:rsidR="005B2238" w:rsidRPr="00A272D1" w:rsidRDefault="005B2238" w:rsidP="00C66FA0">
            <w:pPr>
              <w:ind w:left="424" w:firstLine="137"/>
              <w:jc w:val="both"/>
              <w:rPr>
                <w:rFonts w:ascii="Verdana" w:eastAsia="Calibri" w:hAnsi="Verdana" w:cs="Arial"/>
                <w:lang w:val="es-ES" w:eastAsia="es-ES_tradnl"/>
              </w:rPr>
            </w:pPr>
            <w:r w:rsidRPr="00A272D1">
              <w:rPr>
                <w:rFonts w:ascii="Verdana" w:eastAsia="Calibri" w:hAnsi="Verdana" w:cs="Arial"/>
                <w:b/>
                <w:lang w:val="es-ES" w:eastAsia="es-ES_tradnl"/>
              </w:rPr>
              <w:t>Temas:</w:t>
            </w:r>
            <w:r w:rsidRPr="00A272D1">
              <w:rPr>
                <w:rFonts w:ascii="Verdana" w:eastAsia="Calibri" w:hAnsi="Verdana" w:cs="Arial"/>
                <w:lang w:val="es-ES" w:eastAsia="es-ES_tradnl"/>
              </w:rPr>
              <w:t xml:space="preserve">                  </w:t>
            </w:r>
          </w:p>
        </w:tc>
        <w:tc>
          <w:tcPr>
            <w:tcW w:w="6100" w:type="dxa"/>
          </w:tcPr>
          <w:p w14:paraId="51114CEE" w14:textId="77777777" w:rsidR="005B2238" w:rsidRPr="00A272D1" w:rsidRDefault="005B2238" w:rsidP="00C66FA0">
            <w:pPr>
              <w:jc w:val="both"/>
              <w:rPr>
                <w:rFonts w:ascii="Verdana" w:eastAsia="Calibri" w:hAnsi="Verdana" w:cs="Arial"/>
                <w:lang w:val="es-MX"/>
              </w:rPr>
            </w:pPr>
            <w:r w:rsidRPr="00A272D1">
              <w:rPr>
                <w:rFonts w:ascii="Verdana" w:eastAsia="Calibri" w:hAnsi="Verdana" w:cs="Arial"/>
                <w:lang w:val="es-MX"/>
              </w:rPr>
              <w:t>MÍNIMA CUANTÍA – Generalidades – Ley 1150 de 2007 / MÍNIMA CUANTÍA – Normas reglamentarias – Decreto 1082 de 2015 – Procedimiento / ACEPTACIÓN DE LA OFERTA – Perfeccionamiento del contrato / SECOP II – Plataforma Transaccional</w:t>
            </w:r>
          </w:p>
          <w:p w14:paraId="1FC13176" w14:textId="77777777" w:rsidR="005B2238" w:rsidRPr="00A272D1" w:rsidRDefault="005B2238" w:rsidP="00C66FA0">
            <w:pPr>
              <w:jc w:val="both"/>
              <w:rPr>
                <w:rFonts w:ascii="Verdana" w:hAnsi="Verdana"/>
                <w:lang w:val="es-ES"/>
              </w:rPr>
            </w:pPr>
          </w:p>
        </w:tc>
      </w:tr>
      <w:tr w:rsidR="005B2238" w:rsidRPr="008D0DFC" w14:paraId="16FF5010" w14:textId="77777777" w:rsidTr="00C66FA0">
        <w:trPr>
          <w:trHeight w:val="80"/>
        </w:trPr>
        <w:tc>
          <w:tcPr>
            <w:tcW w:w="2410" w:type="dxa"/>
          </w:tcPr>
          <w:p w14:paraId="18BF7B4C" w14:textId="77777777" w:rsidR="005B2238" w:rsidRPr="007B5751" w:rsidRDefault="005B2238" w:rsidP="00C66FA0">
            <w:pPr>
              <w:ind w:left="561"/>
              <w:jc w:val="both"/>
              <w:rPr>
                <w:rFonts w:ascii="Verdana" w:eastAsia="Calibri" w:hAnsi="Verdana" w:cs="Arial"/>
                <w:b/>
                <w:lang w:val="es-ES" w:eastAsia="es-ES_tradnl"/>
              </w:rPr>
            </w:pPr>
            <w:r w:rsidRPr="007B5751">
              <w:rPr>
                <w:rFonts w:ascii="Verdana" w:eastAsia="Calibri" w:hAnsi="Verdana" w:cs="Arial"/>
                <w:b/>
                <w:lang w:val="es-ES" w:eastAsia="es-ES_tradnl"/>
              </w:rPr>
              <w:t>Radicación:</w:t>
            </w:r>
            <w:r w:rsidRPr="007B5751">
              <w:rPr>
                <w:rFonts w:ascii="Verdana" w:eastAsia="Calibri" w:hAnsi="Verdana" w:cs="Arial"/>
                <w:lang w:val="es-ES" w:eastAsia="es-ES_tradnl"/>
              </w:rPr>
              <w:t xml:space="preserve">              </w:t>
            </w:r>
          </w:p>
        </w:tc>
        <w:tc>
          <w:tcPr>
            <w:tcW w:w="6100" w:type="dxa"/>
          </w:tcPr>
          <w:p w14:paraId="04E9C38B" w14:textId="77777777" w:rsidR="005B2238" w:rsidRPr="007B5751" w:rsidRDefault="005B2238" w:rsidP="00C66FA0">
            <w:pPr>
              <w:ind w:left="3"/>
              <w:jc w:val="both"/>
              <w:rPr>
                <w:rFonts w:ascii="Verdana" w:hAnsi="Verdana"/>
                <w:lang w:val="es-ES"/>
              </w:rPr>
            </w:pPr>
            <w:r w:rsidRPr="007B5751">
              <w:rPr>
                <w:rFonts w:ascii="Verdana" w:eastAsia="Calibri" w:hAnsi="Verdana" w:cs="Arial"/>
                <w:lang w:val="es-ES" w:eastAsia="es-ES"/>
              </w:rPr>
              <w:t>Respuesta a consulta con radicado No. 1_2026_04_17_005247</w:t>
            </w:r>
          </w:p>
        </w:tc>
      </w:tr>
    </w:tbl>
    <w:p w14:paraId="5BAF41DD" w14:textId="77777777" w:rsidR="005B2238" w:rsidRPr="008D0DFC" w:rsidRDefault="005B2238" w:rsidP="005B2238">
      <w:pPr>
        <w:spacing w:after="0" w:line="276" w:lineRule="auto"/>
        <w:jc w:val="both"/>
        <w:rPr>
          <w:rFonts w:ascii="Verdana" w:eastAsia="Calibri" w:hAnsi="Verdana" w:cs="Arial"/>
          <w:color w:val="7030A0"/>
          <w:lang w:val="es-ES" w:eastAsia="es-ES"/>
        </w:rPr>
      </w:pPr>
    </w:p>
    <w:p w14:paraId="6D7EA322" w14:textId="77777777" w:rsidR="005B2238" w:rsidRPr="006432C8" w:rsidRDefault="005B2238" w:rsidP="005B2238">
      <w:pPr>
        <w:spacing w:after="0" w:line="276" w:lineRule="auto"/>
        <w:jc w:val="both"/>
        <w:rPr>
          <w:rFonts w:ascii="Verdana" w:eastAsia="Calibri" w:hAnsi="Verdana" w:cs="Arial"/>
          <w:lang w:val="es-ES" w:eastAsia="es-ES"/>
        </w:rPr>
      </w:pPr>
    </w:p>
    <w:p w14:paraId="2E45461D" w14:textId="77777777" w:rsidR="005B2238" w:rsidRPr="006432C8" w:rsidRDefault="005B2238" w:rsidP="005B2238">
      <w:pPr>
        <w:spacing w:after="0" w:line="276" w:lineRule="auto"/>
        <w:jc w:val="both"/>
        <w:rPr>
          <w:rFonts w:ascii="Verdana" w:eastAsia="Calibri" w:hAnsi="Verdana" w:cs="Arial"/>
          <w:lang w:val="es-ES" w:eastAsia="es-ES"/>
        </w:rPr>
      </w:pPr>
      <w:r w:rsidRPr="006432C8">
        <w:rPr>
          <w:rFonts w:ascii="Verdana" w:eastAsia="Calibri" w:hAnsi="Verdana" w:cs="Arial"/>
          <w:lang w:val="es-ES" w:eastAsia="es-ES"/>
        </w:rPr>
        <w:t>Estimado señor López,</w:t>
      </w:r>
    </w:p>
    <w:p w14:paraId="329F9CA1" w14:textId="77777777" w:rsidR="005B2238" w:rsidRPr="006432C8" w:rsidRDefault="005B2238" w:rsidP="005B2238">
      <w:pPr>
        <w:spacing w:after="0" w:line="276" w:lineRule="auto"/>
        <w:jc w:val="both"/>
        <w:rPr>
          <w:rFonts w:ascii="Verdana" w:eastAsia="Calibri" w:hAnsi="Verdana" w:cs="Arial"/>
          <w:lang w:val="es-ES" w:eastAsia="es-ES"/>
        </w:rPr>
      </w:pPr>
      <w:r w:rsidRPr="006432C8">
        <w:rPr>
          <w:rFonts w:ascii="Verdana" w:eastAsia="Calibri" w:hAnsi="Verdana" w:cs="Arial"/>
          <w:lang w:val="es-ES" w:eastAsia="es-ES"/>
        </w:rPr>
        <w:t xml:space="preserve"> </w:t>
      </w:r>
    </w:p>
    <w:p w14:paraId="30489B04" w14:textId="77777777" w:rsidR="005B2238" w:rsidRPr="006432C8" w:rsidRDefault="005B2238" w:rsidP="005B2238">
      <w:pPr>
        <w:tabs>
          <w:tab w:val="left" w:pos="3768"/>
        </w:tabs>
        <w:spacing w:after="0" w:line="276" w:lineRule="auto"/>
        <w:jc w:val="both"/>
        <w:rPr>
          <w:rFonts w:ascii="Verdana" w:eastAsia="Calibri" w:hAnsi="Verdana" w:cs="Arial"/>
          <w:lang w:eastAsia="es-ES"/>
        </w:rPr>
      </w:pPr>
      <w:r w:rsidRPr="006432C8">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17 de abril de 2026, en la cual manifiesta lo siguiente: </w:t>
      </w:r>
    </w:p>
    <w:p w14:paraId="6C6FA9B7" w14:textId="77777777" w:rsidR="005B2238" w:rsidRPr="008D0DFC" w:rsidRDefault="005B2238" w:rsidP="005B2238">
      <w:pPr>
        <w:tabs>
          <w:tab w:val="left" w:pos="142"/>
          <w:tab w:val="left" w:pos="284"/>
        </w:tabs>
        <w:spacing w:after="0" w:line="276" w:lineRule="auto"/>
        <w:contextualSpacing/>
        <w:jc w:val="both"/>
        <w:rPr>
          <w:rFonts w:ascii="Verdana" w:eastAsia="Century Gothic" w:hAnsi="Verdana" w:cs="Century Gothic"/>
          <w:b/>
          <w:bCs/>
          <w:color w:val="7030A0"/>
        </w:rPr>
      </w:pPr>
    </w:p>
    <w:p w14:paraId="12CEB357" w14:textId="77777777" w:rsidR="005B2238" w:rsidRPr="007B20A9" w:rsidRDefault="005B2238" w:rsidP="005B2238">
      <w:pPr>
        <w:spacing w:after="0" w:line="240" w:lineRule="auto"/>
        <w:ind w:left="709" w:right="709"/>
        <w:jc w:val="both"/>
        <w:rPr>
          <w:rFonts w:ascii="Verdana" w:eastAsia="Calibri" w:hAnsi="Verdana" w:cs="Arial"/>
          <w:sz w:val="20"/>
          <w:szCs w:val="20"/>
          <w:lang w:eastAsia="es-ES"/>
        </w:rPr>
      </w:pPr>
      <w:r w:rsidRPr="007B20A9">
        <w:rPr>
          <w:rFonts w:ascii="Verdana" w:eastAsia="Century Gothic" w:hAnsi="Verdana" w:cs="Century Gothic"/>
          <w:i/>
          <w:iCs/>
          <w:sz w:val="20"/>
          <w:szCs w:val="20"/>
          <w:lang w:val="es-ES"/>
        </w:rPr>
        <w:t>“</w:t>
      </w:r>
      <w:r w:rsidRPr="007B20A9">
        <w:rPr>
          <w:rFonts w:ascii="Verdana" w:eastAsia="Calibri" w:hAnsi="Verdana" w:cs="Arial"/>
          <w:sz w:val="20"/>
          <w:szCs w:val="20"/>
          <w:lang w:eastAsia="es-ES"/>
        </w:rPr>
        <w:t>[…] Cordial Saludo, mediante la presente solicito respetuosamente se me brinde indicación clara o se emita concepto justificado para saber si la aceptación de la oferta de una mínima cuantía debe estar firmada físicamente por el Ordenador del Gasto o esta misma es aprobada mediante la plataforma SECOP II al ser transaccional […]”</w:t>
      </w:r>
    </w:p>
    <w:p w14:paraId="1EC2CCC6" w14:textId="77777777" w:rsidR="005B2238" w:rsidRPr="008D0DFC" w:rsidRDefault="005B2238" w:rsidP="005B2238">
      <w:pPr>
        <w:tabs>
          <w:tab w:val="left" w:pos="1624"/>
        </w:tabs>
        <w:spacing w:after="0" w:line="240" w:lineRule="auto"/>
        <w:ind w:left="709" w:right="709"/>
        <w:jc w:val="both"/>
        <w:rPr>
          <w:rFonts w:ascii="Verdana" w:eastAsia="Calibri" w:hAnsi="Verdana" w:cs="Arial"/>
          <w:color w:val="7030A0"/>
          <w:sz w:val="20"/>
          <w:szCs w:val="20"/>
          <w:lang w:eastAsia="es-ES"/>
        </w:rPr>
      </w:pPr>
    </w:p>
    <w:p w14:paraId="32369C4D" w14:textId="77777777" w:rsidR="005B2238" w:rsidRPr="00F2025E" w:rsidRDefault="005B2238" w:rsidP="005B2238">
      <w:pPr>
        <w:spacing w:after="120" w:line="276" w:lineRule="auto"/>
        <w:ind w:firstLine="708"/>
        <w:jc w:val="both"/>
        <w:rPr>
          <w:rFonts w:ascii="Verdana" w:eastAsia="Calibri" w:hAnsi="Verdana" w:cs="Arial"/>
          <w:lang w:val="es-ES" w:eastAsia="es-ES"/>
        </w:rPr>
      </w:pPr>
      <w:r w:rsidRPr="00F2025E">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F2025E">
        <w:rPr>
          <w:rFonts w:ascii="Verdana" w:eastAsia="Calibri" w:hAnsi="Verdana" w:cs="Arial"/>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2025E">
        <w:rPr>
          <w:rFonts w:ascii="Verdana" w:hAnsi="Verdana"/>
          <w:lang w:val="es-ES"/>
        </w:rPr>
        <w:tab/>
      </w:r>
    </w:p>
    <w:p w14:paraId="7416FDAD" w14:textId="77777777" w:rsidR="005B2238" w:rsidRPr="00F2025E" w:rsidRDefault="005B2238" w:rsidP="005B2238">
      <w:pPr>
        <w:spacing w:after="0" w:line="276" w:lineRule="auto"/>
        <w:ind w:firstLine="709"/>
        <w:jc w:val="both"/>
        <w:rPr>
          <w:rFonts w:ascii="Verdana" w:eastAsia="Calibri" w:hAnsi="Verdana" w:cs="Arial"/>
          <w:lang w:val="es-ES" w:eastAsia="es-ES"/>
        </w:rPr>
      </w:pPr>
      <w:r w:rsidRPr="00F2025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w:t>
      </w:r>
      <w:r w:rsidRPr="00F2025E">
        <w:rPr>
          <w:rFonts w:ascii="Verdana" w:eastAsia="Calibri" w:hAnsi="Verdana" w:cs="Arial"/>
          <w:lang w:eastAsia="es-ES"/>
        </w:rPr>
        <w:t xml:space="preserve">pero señalando algunas </w:t>
      </w:r>
      <w:r w:rsidRPr="00F2025E">
        <w:rPr>
          <w:rFonts w:ascii="Verdana" w:eastAsia="Calibri" w:hAnsi="Verdana" w:cs="Arial"/>
          <w:lang w:val="es-ES" w:eastAsia="es-ES"/>
        </w:rPr>
        <w:t xml:space="preserve">consideraciones sobre las normas generales relacionadas con el problema jurídico de su consulta. </w:t>
      </w:r>
    </w:p>
    <w:p w14:paraId="310ECF88" w14:textId="77777777" w:rsidR="005B2238" w:rsidRPr="00F2025E" w:rsidRDefault="005B2238" w:rsidP="005B2238">
      <w:pPr>
        <w:spacing w:after="0" w:line="276" w:lineRule="auto"/>
        <w:ind w:firstLine="709"/>
        <w:jc w:val="both"/>
        <w:rPr>
          <w:rFonts w:ascii="Verdana" w:eastAsia="Calibri" w:hAnsi="Verdana" w:cs="Arial"/>
          <w:lang w:val="es-ES" w:eastAsia="es-ES"/>
        </w:rPr>
      </w:pPr>
    </w:p>
    <w:p w14:paraId="203C6DA6" w14:textId="77777777" w:rsidR="005B2238" w:rsidRPr="00F2025E" w:rsidRDefault="005B2238" w:rsidP="005B2238">
      <w:pPr>
        <w:tabs>
          <w:tab w:val="left" w:pos="142"/>
          <w:tab w:val="left" w:pos="284"/>
        </w:tabs>
        <w:spacing w:after="0" w:line="276" w:lineRule="auto"/>
        <w:contextualSpacing/>
        <w:jc w:val="both"/>
        <w:rPr>
          <w:rFonts w:ascii="Verdana" w:eastAsia="Century Gothic" w:hAnsi="Verdana" w:cs="Century Gothic"/>
          <w:b/>
          <w:lang w:val="es-ES"/>
        </w:rPr>
      </w:pPr>
      <w:r w:rsidRPr="00F2025E">
        <w:rPr>
          <w:rFonts w:ascii="Verdana" w:eastAsia="Century Gothic" w:hAnsi="Verdana" w:cs="Century Gothic"/>
          <w:b/>
          <w:lang w:val="es-ES"/>
        </w:rPr>
        <w:t>1. Problema planteado:</w:t>
      </w:r>
    </w:p>
    <w:p w14:paraId="49473998" w14:textId="77777777" w:rsidR="005B2238" w:rsidRPr="00F2025E" w:rsidRDefault="005B2238" w:rsidP="005B2238">
      <w:pPr>
        <w:tabs>
          <w:tab w:val="left" w:pos="426"/>
        </w:tabs>
        <w:spacing w:after="0" w:line="276" w:lineRule="auto"/>
        <w:jc w:val="both"/>
        <w:rPr>
          <w:rFonts w:ascii="Verdana" w:eastAsia="Century Gothic" w:hAnsi="Verdana" w:cs="Century Gothic"/>
          <w:lang w:val="es-ES"/>
        </w:rPr>
      </w:pPr>
    </w:p>
    <w:p w14:paraId="4C795037" w14:textId="77777777" w:rsidR="005B2238" w:rsidRPr="008D0DFC" w:rsidRDefault="005B2238" w:rsidP="005B2238">
      <w:pPr>
        <w:spacing w:after="0" w:line="276" w:lineRule="auto"/>
        <w:jc w:val="both"/>
        <w:rPr>
          <w:rFonts w:ascii="Verdana" w:eastAsia="Century Gothic" w:hAnsi="Verdana" w:cs="Century Gothic"/>
          <w:color w:val="7030A0"/>
        </w:rPr>
      </w:pPr>
      <w:r w:rsidRPr="00F2025E">
        <w:rPr>
          <w:rFonts w:ascii="Verdana" w:eastAsia="Century Gothic" w:hAnsi="Verdana" w:cs="Century Gothic"/>
          <w:lang w:val="es-ES"/>
        </w:rPr>
        <w:t>De acuerdo con el contenido de su solicitud, esta Agencia resolverá el siguiente problema jurídico</w:t>
      </w:r>
      <w:r w:rsidRPr="007A3034">
        <w:rPr>
          <w:rFonts w:ascii="Verdana" w:eastAsia="Century Gothic" w:hAnsi="Verdana" w:cs="Century Gothic"/>
          <w:lang w:val="es-ES"/>
        </w:rPr>
        <w:t xml:space="preserve">: </w:t>
      </w:r>
      <w:r w:rsidRPr="007A3034">
        <w:rPr>
          <w:rFonts w:ascii="Verdana" w:eastAsia="Century Gothic" w:hAnsi="Verdana" w:cs="Century Gothic"/>
        </w:rPr>
        <w:t>¿En los procesos de mínima cuantía, la aceptación de la oferta debe constar con firma física o puede perfeccionarse mediante SECOP II?</w:t>
      </w:r>
    </w:p>
    <w:p w14:paraId="65071935" w14:textId="77777777" w:rsidR="005B2238" w:rsidRPr="00D17311" w:rsidRDefault="005B2238" w:rsidP="005B2238">
      <w:pPr>
        <w:spacing w:after="0" w:line="276" w:lineRule="auto"/>
        <w:jc w:val="both"/>
        <w:rPr>
          <w:rFonts w:ascii="Verdana" w:eastAsia="Century Gothic" w:hAnsi="Verdana" w:cs="Century Gothic"/>
        </w:rPr>
      </w:pPr>
    </w:p>
    <w:p w14:paraId="5C5EEE2E" w14:textId="77777777" w:rsidR="005B2238" w:rsidRPr="00D17311" w:rsidRDefault="005B2238" w:rsidP="005B2238">
      <w:pPr>
        <w:tabs>
          <w:tab w:val="left" w:pos="142"/>
          <w:tab w:val="left" w:pos="284"/>
        </w:tabs>
        <w:spacing w:after="0" w:line="276" w:lineRule="auto"/>
        <w:jc w:val="both"/>
        <w:rPr>
          <w:rFonts w:ascii="Verdana" w:eastAsia="Century Gothic" w:hAnsi="Verdana" w:cs="Century Gothic"/>
          <w:b/>
          <w:lang w:val="es-ES"/>
        </w:rPr>
      </w:pPr>
      <w:r w:rsidRPr="00D17311">
        <w:rPr>
          <w:rFonts w:ascii="Verdana" w:eastAsia="Century Gothic" w:hAnsi="Verdana" w:cs="Century Gothic"/>
          <w:b/>
          <w:lang w:val="es-ES"/>
        </w:rPr>
        <w:t>2. Respuesta:</w:t>
      </w:r>
    </w:p>
    <w:p w14:paraId="40E43214" w14:textId="77777777" w:rsidR="005B2238" w:rsidRPr="008D0DFC" w:rsidRDefault="005B2238" w:rsidP="005B2238">
      <w:pPr>
        <w:tabs>
          <w:tab w:val="left" w:pos="142"/>
          <w:tab w:val="left" w:pos="284"/>
        </w:tabs>
        <w:spacing w:after="0" w:line="276" w:lineRule="auto"/>
        <w:jc w:val="both"/>
        <w:rPr>
          <w:rFonts w:ascii="Verdana" w:eastAsia="Century Gothic" w:hAnsi="Verdana" w:cs="Century Gothic"/>
          <w:b/>
          <w:bCs/>
          <w:color w:val="7030A0"/>
          <w:lang w:val="es-ES"/>
        </w:rPr>
      </w:pPr>
    </w:p>
    <w:tbl>
      <w:tblPr>
        <w:tblStyle w:val="Tablaconcuadrcula"/>
        <w:tblW w:w="885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52"/>
      </w:tblGrid>
      <w:tr w:rsidR="005B2238" w:rsidRPr="008D0DFC" w14:paraId="3BD56D37" w14:textId="77777777" w:rsidTr="00C66FA0">
        <w:tc>
          <w:tcPr>
            <w:tcW w:w="8852" w:type="dxa"/>
          </w:tcPr>
          <w:p w14:paraId="0D61FB2A" w14:textId="7915AAE0" w:rsidR="005B2238" w:rsidRPr="00E34457" w:rsidRDefault="005B2238" w:rsidP="00C66FA0">
            <w:pPr>
              <w:spacing w:before="120" w:after="120" w:line="276" w:lineRule="auto"/>
              <w:jc w:val="both"/>
              <w:rPr>
                <w:rFonts w:ascii="Verdana" w:eastAsia="Calibri" w:hAnsi="Verdana" w:cs="Arial"/>
              </w:rPr>
            </w:pPr>
            <w:r w:rsidRPr="00E34457">
              <w:rPr>
                <w:rFonts w:ascii="Verdana" w:eastAsia="Calibri" w:hAnsi="Verdana" w:cs="Arial"/>
              </w:rPr>
              <w:t>En primer lugar, es preciso indicar que, de conformidad con lo previsto en el literal d) del numeral 5 del artículo 2 de la Ley 1150 de 2007 y en el numeral 9 del artículo 2.2.1.2.1.5.2. del Decreto 1082 de 2015, en los procesos de mínima cuantía la oferta y su aceptación constituyen el contrato estatal, razón por la cual el perfeccionamiento del vínculo contractual se produce con la comunicación de aceptación de la oferta por parte de la entidad estatal al proponente seleccionado, sin que sea necesaria la suscripción de una minuta contractual.</w:t>
            </w:r>
            <w:r w:rsidR="004541BB">
              <w:t xml:space="preserve"> </w:t>
            </w:r>
            <w:r w:rsidR="004541BB" w:rsidRPr="004541BB">
              <w:rPr>
                <w:rFonts w:ascii="Verdana" w:eastAsia="Calibri" w:hAnsi="Verdana" w:cs="Arial"/>
              </w:rPr>
              <w:t>No obstante, debe tenerse en cuenta que, desde una perspectiva operativa, el diseño transaccional de la plataforma SECOP II puede requerir la elaboración y suscripción de dicho documento para efectos de culminar el flujo del proceso en el sistema.</w:t>
            </w:r>
          </w:p>
          <w:p w14:paraId="02ED4231" w14:textId="77777777" w:rsidR="005B2238" w:rsidRPr="00E34457" w:rsidRDefault="005B2238" w:rsidP="00C66FA0">
            <w:pPr>
              <w:spacing w:before="120" w:after="120" w:line="276" w:lineRule="auto"/>
              <w:ind w:firstLine="709"/>
              <w:jc w:val="both"/>
              <w:rPr>
                <w:rFonts w:ascii="Verdana" w:eastAsia="Calibri" w:hAnsi="Verdana" w:cs="Arial"/>
              </w:rPr>
            </w:pPr>
            <w:r w:rsidRPr="00E34457">
              <w:rPr>
                <w:rFonts w:ascii="Verdana" w:eastAsia="Calibri" w:hAnsi="Verdana" w:cs="Arial"/>
              </w:rPr>
              <w:t xml:space="preserve">En ese sentido, cuando el procedimiento se adelanta a través de SECOP II, plataforma transaccional mediante la cual se gestionan electrónicamente las actuaciones contractuales, la aceptación efectuada dentro de dicha </w:t>
            </w:r>
            <w:r w:rsidRPr="00E34457">
              <w:rPr>
                <w:rFonts w:ascii="Verdana" w:eastAsia="Calibri" w:hAnsi="Verdana" w:cs="Arial"/>
              </w:rPr>
              <w:lastRenderedPageBreak/>
              <w:t>plataforma cumple la función de comunicación de aceptación de la oferta y produce plenos efectos jurídicos, de conformidad con lo dispuesto en la Ley 527 de 1999 respecto de los mensajes de datos y la contratación electrónica. Por consiguiente, no se advierte la necesidad de que la aceptación de la oferta conste adicionalmente con firma física del ordenador del gasto, siempre que la actuación se surta válidamente a través de SECOP II conforme a las reglas del sistema de compra pública.</w:t>
            </w:r>
          </w:p>
          <w:p w14:paraId="631113A9" w14:textId="77777777" w:rsidR="005B2238" w:rsidRPr="00E34457" w:rsidRDefault="005B2238" w:rsidP="00C66FA0">
            <w:pPr>
              <w:spacing w:before="120" w:after="120" w:line="276" w:lineRule="auto"/>
              <w:ind w:firstLine="709"/>
              <w:jc w:val="both"/>
              <w:rPr>
                <w:rFonts w:ascii="Verdana" w:eastAsia="Arial MT" w:hAnsi="Verdana" w:cs="Arial"/>
                <w:bCs/>
                <w:lang w:bidi="es-ES"/>
              </w:rPr>
            </w:pPr>
            <w:r w:rsidRPr="00E34457">
              <w:rPr>
                <w:rFonts w:ascii="Verdana" w:eastAsia="Arial MT" w:hAnsi="Verdana" w:cs="Arial"/>
                <w:bCs/>
                <w:lang w:bidi="es-ES"/>
              </w:rPr>
              <w:t>Bajo este contexto, la aceptación de la oferta efectuada en SECOP II materializa la comunicación de aceptación prevista en la normativa de mínima cuantía, pues la plataforma permite la emisión, publicidad y trazabilidad de dicha actuación dentro del expediente contractual electrónico. Lo anterior encuentra respaldo adicional en la Ley 527 de 1999, particularmente en sus artículos 14 y 22, conforme a los cuales la oferta y su aceptación pueden expresarse mediante mensajes de datos y los contratos electrónicos producen los mismos efectos jurídicos que aquellos celebrados por medios tradicionales. De esta manera, no puede negarse validez o eficacia jurídica a la aceptación de la oferta por el solo hecho de haberse realizado a través de medios electrónicos.</w:t>
            </w:r>
          </w:p>
          <w:p w14:paraId="212C2DA4" w14:textId="77777777" w:rsidR="005B2238" w:rsidRDefault="005B2238" w:rsidP="00C66FA0">
            <w:pPr>
              <w:spacing w:line="276" w:lineRule="auto"/>
              <w:ind w:right="51" w:firstLine="709"/>
              <w:jc w:val="both"/>
              <w:rPr>
                <w:rFonts w:ascii="Verdana" w:eastAsia="Calibri" w:hAnsi="Verdana" w:cs="Arial"/>
                <w:bCs/>
              </w:rPr>
            </w:pPr>
            <w:r w:rsidRPr="001E2573">
              <w:rPr>
                <w:rFonts w:ascii="Verdana" w:eastAsia="Calibri" w:hAnsi="Verdana" w:cs="Arial"/>
                <w:bCs/>
              </w:rPr>
              <w:t xml:space="preserve">Al margen de la explicación precedente debe advertirse que </w:t>
            </w:r>
            <w:r w:rsidRPr="001E2573">
              <w:rPr>
                <w:rStyle w:val="s15"/>
                <w:rFonts w:ascii="Verdana" w:hAnsi="Verdana"/>
              </w:rPr>
              <w:t>el análisis requerido para resolver problemas específicos en torno a la gestión contractual debe ser realizado por quienes tengan interés en ello, de acuerdo con lo explicado la aclaración preliminar del presente oficio</w:t>
            </w:r>
            <w:r w:rsidRPr="001E2573">
              <w:rPr>
                <w:rFonts w:ascii="Verdana" w:eastAsia="Calibri" w:hAnsi="Verdana" w:cs="Arial"/>
                <w:bCs/>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6DF9EA2" w14:textId="77777777" w:rsidR="005B2238" w:rsidRPr="00847FF4" w:rsidRDefault="005B2238" w:rsidP="00C66FA0">
            <w:pPr>
              <w:spacing w:line="276" w:lineRule="auto"/>
              <w:ind w:firstLine="708"/>
              <w:jc w:val="both"/>
              <w:rPr>
                <w:rFonts w:ascii="Verdana" w:eastAsia="Times New Roman" w:hAnsi="Verdana" w:cs="Times New Roman"/>
                <w:lang w:eastAsia="es-ES"/>
              </w:rPr>
            </w:pPr>
            <w:r w:rsidRPr="00167DD0">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tc>
      </w:tr>
    </w:tbl>
    <w:p w14:paraId="05CBB1F3" w14:textId="77777777" w:rsidR="005B2238" w:rsidRPr="00AD702B" w:rsidRDefault="005B2238" w:rsidP="005B2238">
      <w:pPr>
        <w:tabs>
          <w:tab w:val="left" w:pos="142"/>
          <w:tab w:val="left" w:pos="284"/>
        </w:tabs>
        <w:spacing w:after="0" w:line="276" w:lineRule="auto"/>
        <w:jc w:val="both"/>
        <w:rPr>
          <w:rFonts w:ascii="Verdana" w:eastAsia="Century Gothic" w:hAnsi="Verdana" w:cs="Century Gothic"/>
          <w:b/>
          <w:bCs/>
          <w:lang w:val="es-ES"/>
        </w:rPr>
      </w:pPr>
    </w:p>
    <w:p w14:paraId="72765805" w14:textId="77777777" w:rsidR="005B2238" w:rsidRPr="00AD702B" w:rsidRDefault="005B2238" w:rsidP="005B2238">
      <w:pPr>
        <w:tabs>
          <w:tab w:val="left" w:pos="142"/>
          <w:tab w:val="left" w:pos="284"/>
        </w:tabs>
        <w:spacing w:after="0" w:line="276" w:lineRule="auto"/>
        <w:jc w:val="both"/>
        <w:rPr>
          <w:rFonts w:ascii="Verdana" w:eastAsia="Century Gothic" w:hAnsi="Verdana" w:cs="Century Gothic"/>
          <w:b/>
          <w:lang w:val="es-ES"/>
        </w:rPr>
      </w:pPr>
      <w:r w:rsidRPr="00AD702B">
        <w:rPr>
          <w:rFonts w:ascii="Verdana" w:eastAsia="Century Gothic" w:hAnsi="Verdana" w:cs="Century Gothic"/>
          <w:b/>
          <w:lang w:val="es-ES"/>
        </w:rPr>
        <w:lastRenderedPageBreak/>
        <w:t>3. Razones de la respuesta:</w:t>
      </w:r>
    </w:p>
    <w:p w14:paraId="411BA01E" w14:textId="77777777" w:rsidR="005B2238" w:rsidRPr="00AD702B" w:rsidRDefault="005B2238" w:rsidP="005B2238">
      <w:pPr>
        <w:tabs>
          <w:tab w:val="left" w:pos="142"/>
          <w:tab w:val="left" w:pos="284"/>
        </w:tabs>
        <w:spacing w:after="0" w:line="276" w:lineRule="auto"/>
        <w:jc w:val="both"/>
        <w:rPr>
          <w:rFonts w:ascii="Verdana" w:eastAsia="Century Gothic" w:hAnsi="Verdana" w:cs="Century Gothic"/>
          <w:b/>
          <w:lang w:val="es-ES"/>
        </w:rPr>
      </w:pPr>
    </w:p>
    <w:p w14:paraId="5BDA72BE" w14:textId="77777777" w:rsidR="005B2238" w:rsidRPr="00AD702B" w:rsidRDefault="005B2238" w:rsidP="005B2238">
      <w:pPr>
        <w:spacing w:after="0" w:line="276" w:lineRule="auto"/>
        <w:jc w:val="both"/>
        <w:rPr>
          <w:rFonts w:ascii="Verdana" w:eastAsia="Calibri" w:hAnsi="Verdana" w:cs="Arial"/>
          <w:lang w:val="es-ES"/>
        </w:rPr>
      </w:pPr>
      <w:r w:rsidRPr="00AD702B">
        <w:rPr>
          <w:rFonts w:ascii="Verdana" w:eastAsia="Calibri" w:hAnsi="Verdana" w:cs="Arial"/>
          <w:lang w:val="es-ES"/>
        </w:rPr>
        <w:t>Lo anterior se sustenta en las siguientes consideraciones:</w:t>
      </w:r>
      <w:bookmarkStart w:id="1" w:name="_Hlk102983874"/>
      <w:bookmarkStart w:id="2" w:name="_Hlk102388095"/>
    </w:p>
    <w:p w14:paraId="6670C6AD" w14:textId="77777777" w:rsidR="005B2238" w:rsidRPr="008D0DFC" w:rsidRDefault="005B2238" w:rsidP="005B2238">
      <w:pPr>
        <w:spacing w:after="0" w:line="276" w:lineRule="auto"/>
        <w:jc w:val="both"/>
        <w:rPr>
          <w:rFonts w:ascii="Verdana" w:eastAsia="Calibri" w:hAnsi="Verdana" w:cs="Arial"/>
          <w:color w:val="7030A0"/>
          <w:lang w:val="es-ES"/>
        </w:rPr>
      </w:pPr>
    </w:p>
    <w:p w14:paraId="0F82CB05" w14:textId="77777777" w:rsidR="005B2238" w:rsidRPr="0030549B" w:rsidRDefault="005B2238" w:rsidP="005B2238">
      <w:pPr>
        <w:spacing w:after="120" w:line="276" w:lineRule="auto"/>
        <w:jc w:val="both"/>
        <w:rPr>
          <w:rFonts w:ascii="Verdana" w:eastAsia="Calibri" w:hAnsi="Verdana" w:cs="Arial"/>
          <w:lang w:val="es-ES_tradnl"/>
        </w:rPr>
      </w:pPr>
      <w:bookmarkStart w:id="3" w:name="_Hlk198934308"/>
      <w:r w:rsidRPr="008D0DFC">
        <w:rPr>
          <w:rFonts w:ascii="Verdana" w:eastAsia="Calibri" w:hAnsi="Verdana" w:cs="Arial"/>
          <w:bCs/>
          <w:color w:val="7030A0"/>
          <w:lang w:val="es-ES_tradnl"/>
        </w:rPr>
        <w:t xml:space="preserve">i. </w:t>
      </w:r>
      <w:r w:rsidRPr="0030549B">
        <w:rPr>
          <w:rFonts w:ascii="Verdana" w:eastAsia="Calibri" w:hAnsi="Verdana" w:cs="Arial"/>
          <w:lang w:val="es-ES_tradnl"/>
        </w:rPr>
        <w:t>La mínima cuantía es una modalidad de selección en virtud de la cual la entidad estatal realiza una convocatoria pública para recibir ofertas de bienes, obras o servicios cuyo valor no excede el diez por ciento –10%– de la menor cuantía. Esta modalidad de selección fue creada en el 2011 por la Ley 1450, modificada por el artículo 94 de la Ley 1474 de 2011 –que adicionó el numeral 5º al artículo 2 de la Ley 1150 de 2007– y posteriormente por la Ley 2069 de 2020, estableciendo que el factor determinante para llevar a cabo tal procedimiento es la cuantía –calculada como presupuesto oficial a partir del estudio del sector–, “independientemente de su objeto”</w:t>
      </w:r>
      <w:r w:rsidRPr="0030549B">
        <w:rPr>
          <w:rFonts w:ascii="Verdana" w:eastAsia="Calibri" w:hAnsi="Verdana" w:cs="Arial"/>
          <w:vertAlign w:val="superscript"/>
          <w:lang w:val="es-ES_tradnl"/>
        </w:rPr>
        <w:footnoteReference w:id="1"/>
      </w:r>
      <w:r w:rsidRPr="0030549B">
        <w:rPr>
          <w:rFonts w:ascii="Verdana" w:eastAsia="Calibri" w:hAnsi="Verdana" w:cs="Arial"/>
          <w:lang w:val="es-ES_tradnl"/>
        </w:rPr>
        <w:t>.</w:t>
      </w:r>
    </w:p>
    <w:p w14:paraId="27B32F12" w14:textId="77777777" w:rsidR="005B2238" w:rsidRDefault="005B2238" w:rsidP="005B2238">
      <w:pPr>
        <w:tabs>
          <w:tab w:val="left" w:pos="709"/>
        </w:tabs>
        <w:spacing w:after="120" w:line="276" w:lineRule="auto"/>
        <w:ind w:firstLine="709"/>
        <w:jc w:val="both"/>
        <w:rPr>
          <w:rFonts w:ascii="Verdana" w:eastAsia="Calibri" w:hAnsi="Verdana" w:cs="Arial"/>
          <w:lang w:val="es-ES_tradnl"/>
        </w:rPr>
      </w:pPr>
      <w:r w:rsidRPr="0030549B">
        <w:rPr>
          <w:rFonts w:ascii="Verdana" w:eastAsia="Calibri" w:hAnsi="Verdana" w:cs="Arial"/>
          <w:lang w:val="es-ES_tradnl"/>
        </w:rPr>
        <w:t>Dicho de otro modo, la mínima cuantía es un procedimiento de selección “especial”</w:t>
      </w:r>
      <w:r w:rsidRPr="0030549B">
        <w:rPr>
          <w:rFonts w:ascii="Verdana" w:eastAsia="Calibri" w:hAnsi="Verdana" w:cs="Arial"/>
          <w:vertAlign w:val="superscript"/>
          <w:lang w:val="es-ES_tradnl"/>
        </w:rPr>
        <w:footnoteReference w:id="2"/>
      </w:r>
      <w:r w:rsidRPr="0030549B">
        <w:rPr>
          <w:rFonts w:ascii="Verdana" w:eastAsia="Calibri" w:hAnsi="Verdana" w:cs="Arial"/>
          <w:lang w:val="es-ES_tradnl"/>
        </w:rPr>
        <w:t>, porque es una excepción a la regla general constituida por la licitación pública. Aunque ambas modalidades implican un llamado general a presentar ofertas, efectuado por la entidad estatal interesada en contratar, la mínima cuantía es distinta de la licitación en otros aspectos, como su conducencia y su procedimiento: lo primero, porque solo procede por razón de una cuantía específica</w:t>
      </w:r>
      <w:r w:rsidRPr="0030549B">
        <w:rPr>
          <w:rFonts w:ascii="Verdana" w:eastAsia="Calibri" w:hAnsi="Verdana" w:cs="Arial"/>
          <w:vertAlign w:val="superscript"/>
          <w:lang w:val="es-ES_tradnl"/>
        </w:rPr>
        <w:footnoteReference w:id="3"/>
      </w:r>
      <w:r w:rsidRPr="0030549B">
        <w:rPr>
          <w:rFonts w:ascii="Verdana" w:eastAsia="Calibri" w:hAnsi="Verdana" w:cs="Arial"/>
          <w:lang w:val="es-ES_tradnl"/>
        </w:rPr>
        <w:t>, y lo segundo, porque sus requisitos, etapas y términos son especiales.</w:t>
      </w:r>
    </w:p>
    <w:p w14:paraId="20219E7B" w14:textId="77777777" w:rsidR="005B2238" w:rsidRPr="0030549B" w:rsidRDefault="005B2238" w:rsidP="005B2238">
      <w:pPr>
        <w:tabs>
          <w:tab w:val="left" w:pos="709"/>
        </w:tabs>
        <w:spacing w:after="120" w:line="276" w:lineRule="auto"/>
        <w:ind w:firstLine="709"/>
        <w:jc w:val="both"/>
        <w:rPr>
          <w:rFonts w:ascii="Verdana" w:eastAsia="Calibri" w:hAnsi="Verdana" w:cs="Arial"/>
          <w:color w:val="000000" w:themeColor="text1"/>
          <w:lang w:val="es-ES"/>
        </w:rPr>
      </w:pPr>
      <w:r w:rsidRPr="0030549B">
        <w:rPr>
          <w:rFonts w:ascii="Verdana" w:eastAsia="Calibri" w:hAnsi="Verdana" w:cs="Arial"/>
          <w:color w:val="000000" w:themeColor="text1"/>
          <w:lang w:val="es-ES"/>
        </w:rPr>
        <w:lastRenderedPageBreak/>
        <w:t>Por su parte, el 31 de diciembre de 2020 fue expedida la Ley 2069 de 2020 –conocida como Ley de Emprendimiento–, cuyo artículo 30 modificó el numeral 5 del artículo 2 de la Ley 1150 de 2007, el cual regula la mínima cuantía. Esta norma dispuso aspectos del procedimiento como: i) el término mínimo para publicar la invitación, ii) el plazo mínimo de recepción de las ofertas, iii) el factor de evaluación que define la selección del proponente y iv) el perfeccionamiento del contrato.</w:t>
      </w:r>
    </w:p>
    <w:p w14:paraId="44C99F76" w14:textId="77777777" w:rsidR="005B2238" w:rsidRPr="0030549B" w:rsidRDefault="005B2238" w:rsidP="005B2238">
      <w:pPr>
        <w:tabs>
          <w:tab w:val="left" w:pos="709"/>
        </w:tabs>
        <w:spacing w:after="120" w:line="276" w:lineRule="auto"/>
        <w:ind w:firstLine="709"/>
        <w:jc w:val="both"/>
        <w:rPr>
          <w:rFonts w:ascii="Verdana" w:eastAsia="Calibri" w:hAnsi="Verdana" w:cs="Arial"/>
          <w:color w:val="000000" w:themeColor="text1"/>
          <w:lang w:val="es-ES"/>
        </w:rPr>
      </w:pPr>
      <w:r w:rsidRPr="0030549B">
        <w:rPr>
          <w:rFonts w:ascii="Verdana" w:eastAsia="Calibri" w:hAnsi="Verdana" w:cs="Arial"/>
          <w:color w:val="000000" w:themeColor="text1"/>
          <w:lang w:val="es-ES"/>
        </w:rPr>
        <w:t>Adicionalmente, se expidió el Decreto 1860 del 24 de diciembre de 2021, “Por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Entre los aspectos reglamentados por el decreto indicado se encuentra el procedimiento de mínima cuantía. De esta manera, el artículo 2 modifica la Subsección 5 de la Sección 1 del Capítulo 2 del Título 1 de la Parte 2 del Libro 2 del Decreto 1082 de 2015, que se titula mínima cuantía, por lo que reglamenta esta modalidad de selección con fundamento en lo establecido en el artículo 30 de la Ley 2069 de 2020.</w:t>
      </w:r>
    </w:p>
    <w:p w14:paraId="05F7565A" w14:textId="77777777" w:rsidR="005B2238" w:rsidRPr="0030549B" w:rsidRDefault="005B2238" w:rsidP="005B2238">
      <w:pPr>
        <w:tabs>
          <w:tab w:val="left" w:pos="709"/>
        </w:tabs>
        <w:spacing w:after="120" w:line="276" w:lineRule="auto"/>
        <w:jc w:val="both"/>
        <w:rPr>
          <w:rFonts w:ascii="Verdana" w:eastAsia="Calibri" w:hAnsi="Verdana" w:cs="Arial"/>
          <w:color w:val="000000" w:themeColor="text1"/>
          <w:lang w:val="es-ES"/>
        </w:rPr>
      </w:pPr>
      <w:r w:rsidRPr="0030549B">
        <w:rPr>
          <w:rFonts w:ascii="Verdana" w:eastAsia="Calibri" w:hAnsi="Verdana" w:cs="Arial"/>
          <w:bCs/>
          <w:color w:val="000000" w:themeColor="text1"/>
          <w:lang w:val="es-ES_tradnl"/>
        </w:rPr>
        <w:tab/>
      </w:r>
      <w:r w:rsidRPr="0030549B">
        <w:rPr>
          <w:rFonts w:ascii="Verdana" w:eastAsia="Calibri" w:hAnsi="Verdana" w:cs="Arial"/>
          <w:color w:val="000000" w:themeColor="text1"/>
          <w:lang w:val="es-ES"/>
        </w:rPr>
        <w:t>Teniendo en cuenta lo anterior, la nueva Subsección 5 a que se hizo referencia contiene los siguientes artículos: i) 2.2.1.2.1.5.1. que se ocupa de desarrollar el contenido de los estudios previos para la contratación de mínima cuantía</w:t>
      </w:r>
      <w:r w:rsidRPr="0030549B">
        <w:rPr>
          <w:rFonts w:ascii="Verdana" w:eastAsia="Calibri" w:hAnsi="Verdana" w:cs="Arial"/>
          <w:color w:val="000000" w:themeColor="text1"/>
          <w:vertAlign w:val="superscript"/>
          <w:lang w:val="es-ES"/>
        </w:rPr>
        <w:footnoteReference w:id="4"/>
      </w:r>
      <w:r w:rsidRPr="0030549B">
        <w:rPr>
          <w:rFonts w:ascii="Verdana" w:eastAsia="Calibri" w:hAnsi="Verdana" w:cs="Arial"/>
          <w:color w:val="000000" w:themeColor="text1"/>
          <w:lang w:val="es-ES"/>
        </w:rPr>
        <w:t xml:space="preserve">. ii) 2.2.1.2.1.5.2. que contiene el procedimiento general de la mínima cuantía, señalando el contenido mínimo de la “invitación” y las distintas etapas y reglas que estructuran esta modalidad de selección, incluyendo la forma en que procederán las convocatorias limitadas a </w:t>
      </w:r>
      <w:r>
        <w:rPr>
          <w:rFonts w:ascii="Verdana" w:eastAsia="Calibri" w:hAnsi="Verdana" w:cs="Arial"/>
          <w:color w:val="000000" w:themeColor="text1"/>
          <w:lang w:val="es-ES"/>
        </w:rPr>
        <w:t>M</w:t>
      </w:r>
      <w:r w:rsidRPr="0030549B">
        <w:rPr>
          <w:rFonts w:ascii="Verdana" w:eastAsia="Calibri" w:hAnsi="Verdana" w:cs="Arial"/>
          <w:color w:val="000000" w:themeColor="text1"/>
          <w:lang w:val="es-ES"/>
        </w:rPr>
        <w:t>ipymes, de acuerdo con el mandato del parágrafo 1 del artículo 30 de la Ley 2069 de 2020</w:t>
      </w:r>
      <w:r w:rsidRPr="0030549B">
        <w:rPr>
          <w:rFonts w:ascii="Verdana" w:eastAsia="Calibri" w:hAnsi="Verdana" w:cs="Arial"/>
          <w:color w:val="000000" w:themeColor="text1"/>
          <w:vertAlign w:val="superscript"/>
          <w:lang w:val="es-ES"/>
        </w:rPr>
        <w:footnoteReference w:id="5"/>
      </w:r>
      <w:r w:rsidRPr="0030549B">
        <w:rPr>
          <w:rFonts w:ascii="Verdana" w:eastAsia="Calibri" w:hAnsi="Verdana" w:cs="Arial"/>
          <w:color w:val="000000" w:themeColor="text1"/>
          <w:lang w:val="es-ES"/>
        </w:rPr>
        <w:t xml:space="preserve">. iii) </w:t>
      </w:r>
      <w:r w:rsidRPr="0030549B">
        <w:rPr>
          <w:rFonts w:ascii="Verdana" w:eastAsia="Calibri" w:hAnsi="Verdana" w:cs="Arial"/>
          <w:color w:val="000000" w:themeColor="text1"/>
          <w:lang w:val="es-ES"/>
        </w:rPr>
        <w:lastRenderedPageBreak/>
        <w:t>2.2.1.2.1.5.3. que regula un procedimiento especial para las adquisiciones en grandes almacenes cuando se trate de mínima cuantía. iv) 2.2.1.2.1.5.4. el cual establece la posibilidad de que la Agencia Nacional de Contratación Pública – Colombia Compra Eficiente cree y establezca las reglas para la utilización de Instrumentos de agregación de demanda en la Tienda Virtual del Estado Colombiano para adquisiciones hasta el monto de la mínima cuantía con Mipyme y con grandes almacenes. Y v) 2.2.1.2.1.5.5. el cual establece que la entidad estatal es libre de exigir o no garantías en el proceso de selección de mínima cuantía y en la adquisición de “grandes almacenes”.</w:t>
      </w:r>
    </w:p>
    <w:p w14:paraId="7CB85E0F" w14:textId="77777777" w:rsidR="005B2238" w:rsidRPr="0030549B" w:rsidRDefault="005B2238" w:rsidP="005B2238">
      <w:pPr>
        <w:tabs>
          <w:tab w:val="left" w:pos="709"/>
        </w:tabs>
        <w:spacing w:after="120" w:line="276" w:lineRule="auto"/>
        <w:jc w:val="both"/>
        <w:rPr>
          <w:rFonts w:ascii="Verdana" w:eastAsia="Calibri" w:hAnsi="Verdana" w:cs="Arial"/>
          <w:bCs/>
          <w:color w:val="000000" w:themeColor="text1"/>
          <w:lang w:val="es-ES_tradnl"/>
        </w:rPr>
      </w:pPr>
      <w:r w:rsidRPr="0030549B">
        <w:rPr>
          <w:rFonts w:ascii="Verdana" w:eastAsia="Calibri" w:hAnsi="Verdana" w:cs="Arial"/>
          <w:bCs/>
          <w:color w:val="000000" w:themeColor="text1"/>
          <w:lang w:val="es-ES_tradnl"/>
        </w:rPr>
        <w:tab/>
        <w:t xml:space="preserve">De esta manera, el artículo 2 del Decreto 1860 de 2021, que modifica los artículos del Decreto 1082 de 2015 expuestos en el párrafo anterior, constituye la reglamentación del artículo 30 de la Ley 2069 de 2020, al desarrollar las reglas aplicables a esta modalidad de selección. </w:t>
      </w:r>
    </w:p>
    <w:p w14:paraId="47FD5B76" w14:textId="77777777" w:rsidR="005B2238" w:rsidRPr="0030549B" w:rsidRDefault="005B2238" w:rsidP="005B2238">
      <w:pPr>
        <w:tabs>
          <w:tab w:val="left" w:pos="709"/>
        </w:tabs>
        <w:spacing w:after="120" w:line="276" w:lineRule="auto"/>
        <w:jc w:val="both"/>
        <w:rPr>
          <w:rFonts w:ascii="Verdana" w:eastAsia="Calibri" w:hAnsi="Verdana" w:cs="Arial"/>
          <w:color w:val="000000" w:themeColor="text1"/>
          <w:lang w:val="es-ES_tradnl"/>
        </w:rPr>
      </w:pPr>
      <w:r w:rsidRPr="0030549B">
        <w:rPr>
          <w:rFonts w:ascii="Verdana" w:eastAsia="Calibri" w:hAnsi="Verdana" w:cs="Arial"/>
          <w:color w:val="000000" w:themeColor="text1"/>
          <w:lang w:val="es-ES_tradnl"/>
        </w:rPr>
        <w:tab/>
        <w:t>Ahora bien, vistas las anteriores vicisitudes normativas que rodean la modalidad de selección de mínima cuantía, y con fundamento en los artículos 2.2.1.2.1.5.1. al 2.2.1.2.1.5.4 del Decreto 1082 de 2015 modificados, como se ha venido exponiendo, por el artículo 2 del Decreto 1860 de 2021, resulta imperante sintetizar los requisitos en el procedimiento de esta modalidad de selección de la siguiente forma:</w:t>
      </w:r>
    </w:p>
    <w:p w14:paraId="5DAA9B00" w14:textId="77777777" w:rsidR="005B2238" w:rsidRPr="0030549B" w:rsidRDefault="005B2238" w:rsidP="005B2238">
      <w:pPr>
        <w:spacing w:after="120" w:line="276" w:lineRule="auto"/>
        <w:ind w:firstLine="709"/>
        <w:jc w:val="both"/>
        <w:rPr>
          <w:rFonts w:ascii="Verdana" w:eastAsia="Calibri" w:hAnsi="Verdana" w:cs="Arial"/>
          <w:color w:val="000000"/>
          <w:lang w:val="es-ES_tradnl"/>
        </w:rPr>
      </w:pPr>
      <w:r w:rsidRPr="0030549B">
        <w:rPr>
          <w:rFonts w:ascii="Verdana" w:eastAsia="Calibri" w:hAnsi="Verdana" w:cs="Arial"/>
          <w:color w:val="000000"/>
          <w:lang w:val="es-ES_tradnl"/>
        </w:rPr>
        <w:t>i) La entidad estatal debe hacer los estudios previos en los que señale cuál es la necesidad que pretende satisfacer, el objeto del contrato, sus condiciones técnicas, el valor estimado, el plazo de ejecución y el certificado de disponibilidad presupuestal.</w:t>
      </w:r>
    </w:p>
    <w:p w14:paraId="750946BC" w14:textId="77777777" w:rsidR="005B2238" w:rsidRPr="0030549B" w:rsidRDefault="005B2238" w:rsidP="005B2238">
      <w:pPr>
        <w:spacing w:after="120" w:line="276" w:lineRule="auto"/>
        <w:ind w:firstLine="709"/>
        <w:jc w:val="both"/>
        <w:rPr>
          <w:rFonts w:ascii="Verdana" w:eastAsia="Calibri" w:hAnsi="Verdana" w:cs="Arial"/>
          <w:color w:val="000000"/>
          <w:lang w:val="es-ES"/>
        </w:rPr>
      </w:pPr>
      <w:r w:rsidRPr="0030549B">
        <w:rPr>
          <w:rFonts w:ascii="Verdana" w:eastAsia="Calibri" w:hAnsi="Verdana" w:cs="Arial"/>
          <w:color w:val="000000"/>
          <w:lang w:val="es-ES"/>
        </w:rPr>
        <w:t xml:space="preserve">ii) Luego de los trámites previos, la entidad debe publicar en el SECOP una invitación, señalando el objeto, las condiciones técnicas y el valor estimado del contrato, expresando además las razones que justifican el cálculo de la cuantía. Asimismo, puede exigir o no una capacidad financiera mínima. Igualmente, esta Agencia ha recomendado “incluir en la invitación el cronograma, el plazo o condiciones de pago a cargo de la Entidad Estatal, la indicación del requerimiento de garantías (cuya exigencia es discrecional de la </w:t>
      </w:r>
      <w:r w:rsidRPr="0030549B">
        <w:rPr>
          <w:rFonts w:ascii="Verdana" w:eastAsia="Calibri" w:hAnsi="Verdana" w:cs="Arial"/>
          <w:color w:val="000000"/>
          <w:lang w:val="es-ES"/>
        </w:rPr>
        <w:lastRenderedPageBreak/>
        <w:t>Entidad Estatal) y los demás aspectos que considere necesarios para la satisfacción de la necesidad”</w:t>
      </w:r>
      <w:r w:rsidRPr="0030549B">
        <w:rPr>
          <w:rFonts w:ascii="Verdana" w:eastAsia="Calibri" w:hAnsi="Verdana" w:cs="Arial"/>
          <w:color w:val="000000"/>
          <w:vertAlign w:val="superscript"/>
          <w:lang w:val="es-ES"/>
        </w:rPr>
        <w:footnoteReference w:id="6"/>
      </w:r>
      <w:r w:rsidRPr="0030549B">
        <w:rPr>
          <w:rFonts w:ascii="Verdana" w:eastAsia="Calibri" w:hAnsi="Verdana" w:cs="Arial"/>
          <w:color w:val="000000"/>
          <w:lang w:val="es-ES"/>
        </w:rPr>
        <w:t>.</w:t>
      </w:r>
    </w:p>
    <w:p w14:paraId="7FEB7E2C" w14:textId="77777777" w:rsidR="005B2238" w:rsidRPr="0030549B" w:rsidRDefault="005B2238" w:rsidP="005B2238">
      <w:pPr>
        <w:spacing w:after="120" w:line="276" w:lineRule="auto"/>
        <w:ind w:firstLine="709"/>
        <w:jc w:val="both"/>
        <w:rPr>
          <w:rFonts w:ascii="Verdana" w:eastAsia="Calibri" w:hAnsi="Verdana" w:cs="Arial"/>
          <w:color w:val="000000"/>
          <w:lang w:val="es-ES"/>
        </w:rPr>
      </w:pPr>
      <w:r w:rsidRPr="0030549B">
        <w:rPr>
          <w:rFonts w:ascii="Verdana" w:eastAsia="Calibri" w:hAnsi="Verdana" w:cs="Arial"/>
          <w:color w:val="000000" w:themeColor="text1"/>
          <w:lang w:val="es-ES"/>
        </w:rPr>
        <w:t>iii) La invitación se debe hacer por un término no inferior a un (1) día hábil.</w:t>
      </w:r>
    </w:p>
    <w:p w14:paraId="08546323" w14:textId="77777777" w:rsidR="005B2238" w:rsidRPr="0030549B" w:rsidRDefault="005B2238" w:rsidP="005B2238">
      <w:pPr>
        <w:spacing w:after="120" w:line="276" w:lineRule="auto"/>
        <w:ind w:firstLine="709"/>
        <w:jc w:val="both"/>
        <w:rPr>
          <w:rFonts w:ascii="Verdana" w:eastAsia="Calibri" w:hAnsi="Verdana" w:cs="Arial"/>
          <w:color w:val="000000"/>
          <w:lang w:val="es-ES"/>
        </w:rPr>
      </w:pPr>
      <w:r w:rsidRPr="0030549B">
        <w:rPr>
          <w:rFonts w:ascii="Verdana" w:eastAsia="Calibri" w:hAnsi="Verdana" w:cs="Arial"/>
          <w:color w:val="000000" w:themeColor="text1"/>
          <w:lang w:val="es-ES"/>
        </w:rPr>
        <w:t>iv) Las observaciones que presenten los interesados a la invitación deben responderse a más tardar antes del vencimiento del término para presentar las ofertas.</w:t>
      </w:r>
    </w:p>
    <w:p w14:paraId="286BE0A7" w14:textId="77777777" w:rsidR="005B2238" w:rsidRPr="0030549B" w:rsidRDefault="005B2238" w:rsidP="005B2238">
      <w:pPr>
        <w:spacing w:after="120" w:line="276" w:lineRule="auto"/>
        <w:ind w:firstLine="709"/>
        <w:jc w:val="both"/>
        <w:rPr>
          <w:rFonts w:ascii="Verdana" w:eastAsia="Calibri" w:hAnsi="Verdana" w:cs="Arial"/>
          <w:color w:val="000000"/>
          <w:lang w:val="es-ES_tradnl"/>
        </w:rPr>
      </w:pPr>
      <w:r w:rsidRPr="0030549B">
        <w:rPr>
          <w:rFonts w:ascii="Verdana" w:eastAsia="Calibri" w:hAnsi="Verdana" w:cs="Arial"/>
          <w:color w:val="000000"/>
          <w:lang w:val="es-ES_tradnl"/>
        </w:rPr>
        <w:t>v) Presentadas las propuestas, la entidad estatal debe revisar las ofertas económicas y verificar que la del menor precio cumpla los requisitos de participación. Si no los satisface debe revisar la oferta económica inmediatamente inferior, y así sucesivamente. Esto significa que en la mínima cuantía el precio es el único factor de calificación</w:t>
      </w:r>
      <w:r w:rsidRPr="0030549B">
        <w:rPr>
          <w:rFonts w:ascii="Verdana" w:eastAsia="Calibri" w:hAnsi="Verdana" w:cs="Arial"/>
          <w:color w:val="000000"/>
          <w:vertAlign w:val="superscript"/>
          <w:lang w:val="es-ES_tradnl"/>
        </w:rPr>
        <w:footnoteReference w:id="7"/>
      </w:r>
      <w:r w:rsidRPr="0030549B">
        <w:rPr>
          <w:rFonts w:ascii="Verdana" w:eastAsia="Calibri" w:hAnsi="Verdana" w:cs="Arial"/>
          <w:color w:val="000000"/>
          <w:lang w:val="es-ES_tradnl"/>
        </w:rPr>
        <w:t>.</w:t>
      </w:r>
    </w:p>
    <w:p w14:paraId="4D961D37" w14:textId="77777777" w:rsidR="005B2238" w:rsidRPr="0030549B" w:rsidRDefault="005B2238" w:rsidP="005B2238">
      <w:pPr>
        <w:spacing w:after="120" w:line="276" w:lineRule="auto"/>
        <w:ind w:firstLine="709"/>
        <w:jc w:val="both"/>
        <w:rPr>
          <w:rFonts w:ascii="Verdana" w:eastAsia="Calibri" w:hAnsi="Verdana" w:cs="Arial"/>
          <w:color w:val="000000"/>
          <w:lang w:val="es-ES_tradnl"/>
        </w:rPr>
      </w:pPr>
      <w:r w:rsidRPr="0030549B">
        <w:rPr>
          <w:rFonts w:ascii="Verdana" w:eastAsia="Calibri" w:hAnsi="Verdana" w:cs="Arial"/>
          <w:color w:val="000000"/>
          <w:lang w:val="es-ES_tradnl"/>
        </w:rPr>
        <w:t>vi) El informe de evaluación se debe publicar por lo menos un (1) día hábil.</w:t>
      </w:r>
    </w:p>
    <w:p w14:paraId="12EBA9D0" w14:textId="77777777" w:rsidR="005B2238" w:rsidRPr="0030549B" w:rsidRDefault="005B2238" w:rsidP="005B2238">
      <w:pPr>
        <w:spacing w:after="120" w:line="276" w:lineRule="auto"/>
        <w:ind w:firstLine="709"/>
        <w:jc w:val="both"/>
        <w:rPr>
          <w:rFonts w:ascii="Verdana" w:eastAsia="Calibri" w:hAnsi="Verdana" w:cs="Arial"/>
          <w:color w:val="000000"/>
          <w:lang w:val="es-ES"/>
        </w:rPr>
      </w:pPr>
      <w:r w:rsidRPr="0030549B">
        <w:rPr>
          <w:rFonts w:ascii="Verdana" w:eastAsia="Calibri" w:hAnsi="Verdana" w:cs="Arial"/>
          <w:color w:val="000000" w:themeColor="text1"/>
          <w:lang w:val="es-ES"/>
        </w:rPr>
        <w:t xml:space="preserve">vii) </w:t>
      </w:r>
      <w:bookmarkStart w:id="4" w:name="_Hlk134700391"/>
      <w:r w:rsidRPr="0030549B">
        <w:rPr>
          <w:rFonts w:ascii="Verdana" w:eastAsia="Calibri" w:hAnsi="Verdana" w:cs="Arial"/>
          <w:color w:val="000000" w:themeColor="text1"/>
          <w:lang w:val="es-ES"/>
        </w:rPr>
        <w:t>El contrato se perfecciona con la comunicación de aceptación de la oferta que envía la entidad estatal al proponente que presentó la oferta económica de menor precio, no requiriéndose, entonces, la suscripción de una minuta. En la comunicación de aceptación de la oferta la entidad estatal le debe informar al proponente ganador quién será el supervisor del contrato.</w:t>
      </w:r>
    </w:p>
    <w:bookmarkEnd w:id="4"/>
    <w:p w14:paraId="75DE5A70" w14:textId="77777777" w:rsidR="005B2238" w:rsidRPr="0030549B" w:rsidRDefault="005B2238" w:rsidP="005B2238">
      <w:pPr>
        <w:spacing w:after="120" w:line="276" w:lineRule="auto"/>
        <w:ind w:firstLine="709"/>
        <w:jc w:val="both"/>
        <w:rPr>
          <w:rFonts w:ascii="Verdana" w:eastAsia="Calibri" w:hAnsi="Verdana" w:cs="Arial"/>
          <w:color w:val="000000"/>
          <w:lang w:val="es-ES"/>
        </w:rPr>
      </w:pPr>
      <w:proofErr w:type="spellStart"/>
      <w:r w:rsidRPr="0030549B">
        <w:rPr>
          <w:rFonts w:ascii="Verdana" w:eastAsia="Calibri" w:hAnsi="Verdana" w:cs="Arial"/>
          <w:color w:val="000000" w:themeColor="text1"/>
          <w:lang w:val="es-ES"/>
        </w:rPr>
        <w:t>viii</w:t>
      </w:r>
      <w:proofErr w:type="spellEnd"/>
      <w:r w:rsidRPr="0030549B">
        <w:rPr>
          <w:rFonts w:ascii="Verdana" w:eastAsia="Calibri" w:hAnsi="Verdana" w:cs="Arial"/>
          <w:color w:val="000000" w:themeColor="text1"/>
          <w:lang w:val="es-ES"/>
        </w:rPr>
        <w:t xml:space="preserve">) De existir empate debe </w:t>
      </w:r>
      <w:r>
        <w:rPr>
          <w:rFonts w:ascii="Verdana" w:eastAsia="Calibri" w:hAnsi="Verdana" w:cs="Arial"/>
          <w:color w:val="000000" w:themeColor="text1"/>
          <w:lang w:val="es-ES"/>
        </w:rPr>
        <w:t xml:space="preserve">tenerse en cuenta lo dispuesto en el artículo 35 de la Ley 2069 de 2020. </w:t>
      </w:r>
    </w:p>
    <w:p w14:paraId="6E407EA2" w14:textId="77777777" w:rsidR="005B2238" w:rsidRPr="00716B05" w:rsidRDefault="005B2238" w:rsidP="005B2238">
      <w:pPr>
        <w:tabs>
          <w:tab w:val="left" w:pos="709"/>
        </w:tabs>
        <w:spacing w:after="120" w:line="276" w:lineRule="auto"/>
        <w:jc w:val="both"/>
        <w:rPr>
          <w:rFonts w:ascii="Verdana" w:eastAsia="Calibri" w:hAnsi="Verdana" w:cs="Arial"/>
          <w:bCs/>
          <w:color w:val="000000" w:themeColor="text1"/>
          <w:lang w:val="es-ES_tradnl"/>
        </w:rPr>
      </w:pPr>
      <w:r w:rsidRPr="0030549B">
        <w:rPr>
          <w:rFonts w:ascii="Verdana" w:eastAsia="Calibri" w:hAnsi="Verdana" w:cs="Arial"/>
          <w:bCs/>
          <w:color w:val="000000" w:themeColor="text1"/>
          <w:lang w:val="es-ES_tradnl"/>
        </w:rPr>
        <w:tab/>
      </w:r>
      <w:r w:rsidRPr="00716B05">
        <w:rPr>
          <w:rFonts w:ascii="Verdana" w:eastAsia="Calibri" w:hAnsi="Verdana" w:cs="Arial"/>
          <w:bCs/>
          <w:color w:val="000000" w:themeColor="text1"/>
          <w:lang w:val="es-ES_tradnl"/>
        </w:rPr>
        <w:t xml:space="preserve">De conformidad con lo expuesto, y con fundamento en lo previsto en el numeral 9 del artículo 2.2.1.2.1.5.2. del Decreto 1082 del 2015 según el cual “la oferta y su aceptación constituyen el contrato estatal”, es claro que la comunicación de la aceptación de la oferta por parte de la entidad al proponente perfecciona los requisitos de existencia del contrato. </w:t>
      </w:r>
      <w:r w:rsidRPr="00716B05">
        <w:rPr>
          <w:rFonts w:ascii="Verdana" w:eastAsia="Calibri" w:hAnsi="Verdana" w:cs="Arial"/>
          <w:bCs/>
          <w:color w:val="000000" w:themeColor="text1"/>
        </w:rPr>
        <w:t xml:space="preserve">Esta particularidad en relación con el procedimiento de mínima cuantía se deriva de lo establecido en el literal d) del numeral 5 del artículo 2 de la Ley 1150 de 2007 que de manera </w:t>
      </w:r>
      <w:r w:rsidRPr="00716B05">
        <w:rPr>
          <w:rFonts w:ascii="Verdana" w:eastAsia="Calibri" w:hAnsi="Verdana" w:cs="Arial"/>
          <w:bCs/>
          <w:color w:val="000000" w:themeColor="text1"/>
        </w:rPr>
        <w:lastRenderedPageBreak/>
        <w:t>expresa dispone que "la comunicación de aceptación junto con la oferta c</w:t>
      </w:r>
      <w:r w:rsidRPr="00716B05">
        <w:rPr>
          <w:rFonts w:ascii="Verdana" w:eastAsia="Calibri" w:hAnsi="Verdana" w:cs="Arial"/>
          <w:bCs/>
          <w:i/>
          <w:iCs/>
          <w:color w:val="000000" w:themeColor="text1"/>
        </w:rPr>
        <w:t>onstituye para todos los efectos el contrato celebrado</w:t>
      </w:r>
      <w:r w:rsidRPr="00716B05">
        <w:rPr>
          <w:rFonts w:ascii="Verdana" w:eastAsia="Calibri" w:hAnsi="Verdana" w:cs="Arial"/>
          <w:bCs/>
          <w:color w:val="000000" w:themeColor="text1"/>
        </w:rPr>
        <w:t>, con base en lo cual se efectuará el respectivo registro presupuestal". Esto implica que, en este tipo de procedimientos, el contrato se entiende perfeccionado en el momento en que se produce dicha comunicación, sin necesidad de cumplir con requisitos adicionales.</w:t>
      </w:r>
    </w:p>
    <w:p w14:paraId="3B47081C" w14:textId="77777777" w:rsidR="005B2238" w:rsidRPr="00716B05" w:rsidRDefault="005B2238" w:rsidP="005B2238">
      <w:pPr>
        <w:tabs>
          <w:tab w:val="left" w:pos="709"/>
        </w:tabs>
        <w:spacing w:after="120" w:line="276" w:lineRule="auto"/>
        <w:ind w:firstLine="709"/>
        <w:jc w:val="both"/>
        <w:rPr>
          <w:rFonts w:ascii="Verdana" w:eastAsia="Calibri" w:hAnsi="Verdana" w:cs="Arial"/>
          <w:bCs/>
          <w:color w:val="000000"/>
          <w:lang w:val="es-ES"/>
        </w:rPr>
      </w:pPr>
      <w:r w:rsidRPr="00716B05">
        <w:rPr>
          <w:rFonts w:ascii="Verdana" w:eastAsia="Calibri" w:hAnsi="Verdana" w:cs="Arial"/>
          <w:bCs/>
          <w:color w:val="000000"/>
          <w:lang w:val="es-ES"/>
        </w:rPr>
        <w:t xml:space="preserve">En este sentido, el legislador estableció que en los procesos de mínima cuantía no habría un </w:t>
      </w:r>
      <w:r w:rsidRPr="00716B05">
        <w:rPr>
          <w:rFonts w:ascii="Verdana" w:eastAsia="Calibri" w:hAnsi="Verdana" w:cs="Arial"/>
          <w:bCs/>
          <w:i/>
          <w:color w:val="000000"/>
          <w:lang w:val="es-ES"/>
        </w:rPr>
        <w:t>“acto de adjudicación”</w:t>
      </w:r>
      <w:r w:rsidRPr="00716B05">
        <w:rPr>
          <w:rFonts w:ascii="Verdana" w:eastAsia="Calibri" w:hAnsi="Verdana" w:cs="Arial"/>
          <w:bCs/>
          <w:color w:val="000000"/>
          <w:lang w:val="es-ES"/>
        </w:rPr>
        <w:t xml:space="preserve">, sino que en aras de la celeridad y economía que se busca con esta modalidad, la selección de la mejor oferta se realiza mediante una </w:t>
      </w:r>
      <w:r w:rsidRPr="00716B05">
        <w:rPr>
          <w:rFonts w:ascii="Verdana" w:eastAsia="Calibri" w:hAnsi="Verdana" w:cs="Arial"/>
          <w:bCs/>
          <w:i/>
          <w:color w:val="000000"/>
          <w:lang w:val="es-ES"/>
        </w:rPr>
        <w:t>“comunicación de aceptación de la oferta”</w:t>
      </w:r>
      <w:r w:rsidRPr="00716B05">
        <w:rPr>
          <w:rFonts w:ascii="Verdana" w:eastAsia="Calibri" w:hAnsi="Verdana" w:cs="Arial"/>
          <w:bCs/>
          <w:color w:val="000000"/>
          <w:lang w:val="es-ES"/>
        </w:rPr>
        <w:t>, y dicha comunicación, junto con la oferta presentada por el oferente seleccionado, constituyen el contrato. Así, la comunicación de aceptación de la oferta hace las veces del acto de adjudicación, en el entendido de que bajo dicha actuación la entidad selecciona a su contratista; solo que en estos casos mediante dicho acto además se perfecciona el contrato.</w:t>
      </w:r>
    </w:p>
    <w:p w14:paraId="2F0EEC5F" w14:textId="77777777" w:rsidR="005B2238" w:rsidRPr="00716B05" w:rsidRDefault="005B2238" w:rsidP="005B2238">
      <w:pPr>
        <w:spacing w:line="276" w:lineRule="auto"/>
        <w:jc w:val="both"/>
        <w:rPr>
          <w:rFonts w:ascii="Verdana" w:eastAsia="Calibri" w:hAnsi="Verdana" w:cs="Arial"/>
          <w:lang w:val="es-ES"/>
        </w:rPr>
      </w:pPr>
      <w:r w:rsidRPr="00716B05">
        <w:rPr>
          <w:rFonts w:ascii="Verdana" w:eastAsia="Calibri" w:hAnsi="Verdana" w:cs="Arial"/>
          <w:bCs/>
          <w:color w:val="000000"/>
          <w:lang w:val="es-ES"/>
        </w:rPr>
        <w:t>ii. Ahora bien, el</w:t>
      </w:r>
      <w:r w:rsidRPr="00716B05">
        <w:rPr>
          <w:rFonts w:ascii="Verdana" w:eastAsia="Calibri" w:hAnsi="Verdana" w:cs="Arial"/>
          <w:color w:val="000000" w:themeColor="text1"/>
        </w:rPr>
        <w:t xml:space="preserve"> SECOP II es una plataforma transaccional, que permite gestionar en línea todos los procedimientos de contratación, </w:t>
      </w:r>
      <w:r w:rsidRPr="00716B05">
        <w:rPr>
          <w:rFonts w:ascii="Verdana" w:eastAsia="Calibri" w:hAnsi="Verdana" w:cs="Arial"/>
          <w:lang w:val="es-ES"/>
        </w:rPr>
        <w:t>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6A8EB5F3" w14:textId="77777777" w:rsidR="005B2238" w:rsidRPr="00716B05" w:rsidRDefault="005B2238" w:rsidP="005B2238">
      <w:pPr>
        <w:spacing w:line="276" w:lineRule="auto"/>
        <w:jc w:val="both"/>
        <w:rPr>
          <w:rFonts w:ascii="Verdana" w:eastAsia="Calibri" w:hAnsi="Verdana" w:cs="Arial"/>
          <w:lang w:val="es-ES"/>
        </w:rPr>
      </w:pPr>
      <w:r w:rsidRPr="00716B05">
        <w:rPr>
          <w:rFonts w:ascii="Verdana" w:eastAsia="Calibri" w:hAnsi="Verdana" w:cs="Arial"/>
          <w:lang w:val="es-ES"/>
        </w:rPr>
        <w:tab/>
        <w:t>En este sentido, en el SECOP II el procedimiento contractual se desarrolla en línea y dentro de la plataforma, conformándose un expediente electrónico, lo cual denota una diferencia con el SECOP I, donde el procedimiento es físico,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p>
    <w:p w14:paraId="7FE72961" w14:textId="77777777" w:rsidR="005B2238" w:rsidRPr="00716B05" w:rsidRDefault="005B2238" w:rsidP="005B2238">
      <w:pPr>
        <w:spacing w:line="276" w:lineRule="auto"/>
        <w:ind w:firstLine="567"/>
        <w:jc w:val="both"/>
        <w:rPr>
          <w:rFonts w:ascii="Verdana" w:eastAsia="Calibri" w:hAnsi="Verdana" w:cs="Arial"/>
          <w:lang w:val="es-ES"/>
        </w:rPr>
      </w:pPr>
      <w:r w:rsidRPr="00716B05">
        <w:rPr>
          <w:rFonts w:ascii="Verdana" w:eastAsia="Calibri" w:hAnsi="Verdana" w:cs="Arial"/>
          <w:lang w:val="es-ES"/>
        </w:rPr>
        <w:t xml:space="preserve">Debido a que la plataforma es totalmente transaccional, el trámite se realiza en línea y la publicidad de las actuaciones es concomitante, según transcurran cada una de las etapas del procedimiento, lo que descarta la necesidad de cargar documentación alguna, salvo algunas excepciones. Además, de acuerdo con lo prescrito en el artículo 14 de la Ley 527 de 1999, en la </w:t>
      </w:r>
      <w:r w:rsidRPr="00716B05">
        <w:rPr>
          <w:rFonts w:ascii="Verdana" w:eastAsia="Calibri" w:hAnsi="Verdana" w:cs="Arial"/>
          <w:lang w:val="es-ES"/>
        </w:rPr>
        <w:lastRenderedPageBreak/>
        <w:t xml:space="preserve">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w:t>
      </w:r>
    </w:p>
    <w:p w14:paraId="622B62FA" w14:textId="77777777" w:rsidR="005B2238" w:rsidRDefault="005B2238" w:rsidP="005B2238">
      <w:pPr>
        <w:spacing w:line="276" w:lineRule="auto"/>
        <w:ind w:firstLine="567"/>
        <w:jc w:val="both"/>
        <w:rPr>
          <w:rFonts w:ascii="Verdana" w:eastAsia="Calibri" w:hAnsi="Verdana" w:cs="Arial"/>
          <w:lang w:val="es-ES"/>
        </w:rPr>
      </w:pPr>
      <w:r w:rsidRPr="00716B05">
        <w:rPr>
          <w:rFonts w:ascii="Verdana" w:eastAsia="Calibri" w:hAnsi="Verdana" w:cs="Arial"/>
          <w:lang w:val="es-ES"/>
        </w:rPr>
        <w:t>Igualmente, el artículo 22 ibídem dispone que los contratos electrónicos compuestos por mensajes de datos tienen los efectos jurídicos según las normas aplicables al negocio jurídico contenido en dichos mensajes, esto es, las normas que regulan el sistema de contratación pública. En este sentido, la implementación del SECOP II como plataforma transaccional para la actividad contractual del Estado, permite que los contratos que se publiquen sean firmados electrónicamente.</w:t>
      </w:r>
    </w:p>
    <w:p w14:paraId="3580EAA9" w14:textId="77777777" w:rsidR="005B2238" w:rsidRPr="00167DD0" w:rsidRDefault="005B2238" w:rsidP="005B2238">
      <w:pPr>
        <w:spacing w:line="276" w:lineRule="auto"/>
        <w:ind w:firstLine="567"/>
        <w:jc w:val="both"/>
        <w:rPr>
          <w:rFonts w:ascii="Verdana" w:eastAsia="Times New Roman" w:hAnsi="Verdana" w:cs="Arial"/>
        </w:rPr>
      </w:pPr>
      <w:r w:rsidRPr="00167DD0">
        <w:rPr>
          <w:rFonts w:ascii="Verdana" w:hAnsi="Verdana" w:cs="Arial"/>
        </w:rPr>
        <w:t>iii. 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bookmarkEnd w:id="3"/>
    </w:p>
    <w:p w14:paraId="2DB72711" w14:textId="77777777" w:rsidR="005B2238" w:rsidRPr="00257617" w:rsidRDefault="005B2238" w:rsidP="005B2238">
      <w:pPr>
        <w:spacing w:after="0" w:line="276" w:lineRule="auto"/>
        <w:ind w:firstLine="708"/>
        <w:jc w:val="both"/>
        <w:rPr>
          <w:rFonts w:ascii="Verdana" w:eastAsia="Times New Roman" w:hAnsi="Verdana" w:cs="Times New Roman"/>
          <w:lang w:eastAsia="es-ES"/>
        </w:rPr>
      </w:pPr>
      <w:r w:rsidRPr="00167DD0">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66629090" w14:textId="77777777" w:rsidR="005B2238" w:rsidRPr="006F75DA" w:rsidRDefault="005B2238" w:rsidP="005B2238">
      <w:pPr>
        <w:spacing w:after="0" w:line="276" w:lineRule="auto"/>
        <w:ind w:firstLine="709"/>
        <w:jc w:val="both"/>
        <w:rPr>
          <w:rFonts w:ascii="Verdana" w:eastAsia="Times New Roman" w:hAnsi="Verdana" w:cs="Times New Roman"/>
          <w:strike/>
          <w:color w:val="7030A0"/>
          <w:lang w:eastAsia="es-ES"/>
        </w:rPr>
      </w:pPr>
    </w:p>
    <w:p w14:paraId="6E50D8E6" w14:textId="77777777" w:rsidR="005B2238" w:rsidRPr="008D0DFC" w:rsidRDefault="005B2238" w:rsidP="005B2238">
      <w:pPr>
        <w:spacing w:after="0" w:line="276" w:lineRule="auto"/>
        <w:jc w:val="both"/>
        <w:rPr>
          <w:rFonts w:ascii="Verdana" w:eastAsia="Century Gothic" w:hAnsi="Verdana" w:cs="Century Gothic"/>
          <w:b/>
          <w:color w:val="7030A0"/>
          <w:lang w:val="es-ES"/>
        </w:rPr>
      </w:pPr>
      <w:r w:rsidRPr="0025575D">
        <w:rPr>
          <w:rFonts w:ascii="Verdana" w:eastAsia="Century Gothic" w:hAnsi="Verdana" w:cs="Century Gothic"/>
          <w:b/>
          <w:lang w:val="es-ES"/>
        </w:rPr>
        <w:t>4. Referencias normativas, jurisprudenciales y otras fuentes:</w:t>
      </w:r>
    </w:p>
    <w:p w14:paraId="2E9DE1AC" w14:textId="77777777" w:rsidR="005B2238" w:rsidRPr="008D0DFC" w:rsidRDefault="005B2238" w:rsidP="005B2238">
      <w:pPr>
        <w:spacing w:after="0" w:line="276" w:lineRule="auto"/>
        <w:jc w:val="both"/>
        <w:rPr>
          <w:rFonts w:ascii="Verdana" w:eastAsia="Century Gothic" w:hAnsi="Verdana" w:cs="Century Gothic"/>
          <w:b/>
          <w:color w:val="7030A0"/>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B2238" w:rsidRPr="008D0DFC" w14:paraId="51BFAE2D" w14:textId="77777777" w:rsidTr="00C66FA0">
        <w:trPr>
          <w:trHeight w:val="1689"/>
        </w:trPr>
        <w:tc>
          <w:tcPr>
            <w:tcW w:w="8647" w:type="dxa"/>
          </w:tcPr>
          <w:p w14:paraId="79E74F89" w14:textId="77777777" w:rsidR="005B2238" w:rsidRDefault="005B2238" w:rsidP="005B2238">
            <w:pPr>
              <w:widowControl w:val="0"/>
              <w:numPr>
                <w:ilvl w:val="0"/>
                <w:numId w:val="16"/>
              </w:numPr>
              <w:autoSpaceDE w:val="0"/>
              <w:autoSpaceDN w:val="0"/>
              <w:spacing w:line="276" w:lineRule="auto"/>
              <w:jc w:val="both"/>
              <w:rPr>
                <w:rFonts w:ascii="Verdana" w:eastAsia="Arial MT" w:hAnsi="Verdana" w:cs="Arial"/>
                <w:bCs/>
                <w:lang w:eastAsia="es-ES" w:bidi="es-ES"/>
              </w:rPr>
            </w:pPr>
            <w:r w:rsidRPr="00E34457">
              <w:rPr>
                <w:rFonts w:ascii="Verdana" w:eastAsia="Arial MT" w:hAnsi="Verdana" w:cs="Arial"/>
                <w:bCs/>
                <w:lang w:bidi="es-ES"/>
              </w:rPr>
              <w:lastRenderedPageBreak/>
              <w:t>Ley 527 de 1999</w:t>
            </w:r>
            <w:r>
              <w:rPr>
                <w:rFonts w:ascii="Verdana" w:eastAsia="Arial MT" w:hAnsi="Verdana" w:cs="Arial"/>
                <w:bCs/>
                <w:lang w:bidi="es-ES"/>
              </w:rPr>
              <w:t>. Articulo 14 y 22.</w:t>
            </w:r>
          </w:p>
          <w:p w14:paraId="39E3229F" w14:textId="77777777" w:rsidR="005B2238" w:rsidRPr="002F6633" w:rsidRDefault="005B2238" w:rsidP="005B2238">
            <w:pPr>
              <w:widowControl w:val="0"/>
              <w:numPr>
                <w:ilvl w:val="0"/>
                <w:numId w:val="16"/>
              </w:numPr>
              <w:autoSpaceDE w:val="0"/>
              <w:autoSpaceDN w:val="0"/>
              <w:spacing w:line="276" w:lineRule="auto"/>
              <w:jc w:val="both"/>
              <w:rPr>
                <w:rFonts w:ascii="Verdana" w:eastAsia="Arial MT" w:hAnsi="Verdana" w:cs="Arial"/>
                <w:bCs/>
                <w:lang w:eastAsia="es-ES" w:bidi="es-ES"/>
              </w:rPr>
            </w:pPr>
            <w:r w:rsidRPr="002F6633">
              <w:rPr>
                <w:rFonts w:ascii="Verdana" w:eastAsia="Arial MT" w:hAnsi="Verdana" w:cs="Arial"/>
                <w:bCs/>
                <w:lang w:eastAsia="es-ES" w:bidi="es-ES"/>
              </w:rPr>
              <w:t>Ley 1150 de 2007. Artículo 2</w:t>
            </w:r>
          </w:p>
          <w:p w14:paraId="59B3FE4F" w14:textId="77777777" w:rsidR="005B2238" w:rsidRPr="002F6633" w:rsidRDefault="005B2238" w:rsidP="005B2238">
            <w:pPr>
              <w:widowControl w:val="0"/>
              <w:numPr>
                <w:ilvl w:val="0"/>
                <w:numId w:val="16"/>
              </w:numPr>
              <w:autoSpaceDE w:val="0"/>
              <w:autoSpaceDN w:val="0"/>
              <w:spacing w:line="276" w:lineRule="auto"/>
              <w:jc w:val="both"/>
              <w:rPr>
                <w:rFonts w:ascii="Verdana" w:eastAsia="Arial MT" w:hAnsi="Verdana" w:cs="Arial"/>
                <w:bCs/>
                <w:lang w:eastAsia="es-ES" w:bidi="es-ES"/>
              </w:rPr>
            </w:pPr>
            <w:r w:rsidRPr="002F6633">
              <w:rPr>
                <w:rFonts w:ascii="Verdana" w:eastAsia="Arial MT" w:hAnsi="Verdana" w:cs="Arial"/>
                <w:bCs/>
                <w:lang w:eastAsia="es-ES" w:bidi="es-ES"/>
              </w:rPr>
              <w:t>Ley 1474 de 2011. Artículo 94</w:t>
            </w:r>
          </w:p>
          <w:p w14:paraId="693000A7" w14:textId="77777777" w:rsidR="005B2238" w:rsidRPr="002F6633" w:rsidRDefault="005B2238" w:rsidP="005B2238">
            <w:pPr>
              <w:widowControl w:val="0"/>
              <w:numPr>
                <w:ilvl w:val="0"/>
                <w:numId w:val="16"/>
              </w:numPr>
              <w:autoSpaceDE w:val="0"/>
              <w:autoSpaceDN w:val="0"/>
              <w:spacing w:line="276" w:lineRule="auto"/>
              <w:jc w:val="both"/>
              <w:rPr>
                <w:rFonts w:ascii="Verdana" w:eastAsia="Arial MT" w:hAnsi="Verdana" w:cs="Arial"/>
                <w:bCs/>
                <w:lang w:eastAsia="es-ES" w:bidi="es-ES"/>
              </w:rPr>
            </w:pPr>
            <w:r w:rsidRPr="002F6633">
              <w:rPr>
                <w:rFonts w:ascii="Verdana" w:eastAsia="Arial MT" w:hAnsi="Verdana" w:cs="Arial"/>
                <w:bCs/>
                <w:lang w:eastAsia="es-ES" w:bidi="es-ES"/>
              </w:rPr>
              <w:t xml:space="preserve">Decreto 1082 de 2015. Artículo 2.2.1.2.1.5.1. al 2.2.1.2.1.5.4 </w:t>
            </w:r>
          </w:p>
          <w:p w14:paraId="7195EC58" w14:textId="77777777" w:rsidR="005B2238" w:rsidRPr="002F6633" w:rsidRDefault="005B2238" w:rsidP="005B2238">
            <w:pPr>
              <w:widowControl w:val="0"/>
              <w:numPr>
                <w:ilvl w:val="0"/>
                <w:numId w:val="16"/>
              </w:numPr>
              <w:autoSpaceDE w:val="0"/>
              <w:autoSpaceDN w:val="0"/>
              <w:spacing w:line="276" w:lineRule="auto"/>
              <w:jc w:val="both"/>
              <w:rPr>
                <w:rFonts w:ascii="Verdana" w:eastAsia="Arial MT" w:hAnsi="Verdana" w:cs="Arial"/>
                <w:bCs/>
                <w:lang w:eastAsia="es-ES" w:bidi="es-ES"/>
              </w:rPr>
            </w:pPr>
            <w:r w:rsidRPr="002F6633">
              <w:rPr>
                <w:rFonts w:ascii="Verdana" w:eastAsia="Arial MT" w:hAnsi="Verdana" w:cs="Arial"/>
                <w:bCs/>
                <w:lang w:eastAsia="es-ES" w:bidi="es-ES"/>
              </w:rPr>
              <w:t>Ley 2069 de 2020. Artículo 30</w:t>
            </w:r>
          </w:p>
          <w:p w14:paraId="1F98D878" w14:textId="77777777" w:rsidR="005B2238" w:rsidRPr="002F6633" w:rsidRDefault="005B2238" w:rsidP="005B2238">
            <w:pPr>
              <w:widowControl w:val="0"/>
              <w:numPr>
                <w:ilvl w:val="0"/>
                <w:numId w:val="16"/>
              </w:numPr>
              <w:autoSpaceDE w:val="0"/>
              <w:autoSpaceDN w:val="0"/>
              <w:spacing w:line="276" w:lineRule="auto"/>
              <w:jc w:val="both"/>
              <w:rPr>
                <w:rFonts w:ascii="Verdana" w:eastAsia="Arial MT" w:hAnsi="Verdana" w:cs="Arial"/>
                <w:bCs/>
                <w:lang w:eastAsia="es-ES" w:bidi="es-ES"/>
              </w:rPr>
            </w:pPr>
            <w:r w:rsidRPr="002F6633">
              <w:rPr>
                <w:rFonts w:ascii="Verdana" w:eastAsia="Arial MT" w:hAnsi="Verdana" w:cs="Arial"/>
                <w:bCs/>
                <w:lang w:eastAsia="es-ES" w:bidi="es-ES"/>
              </w:rPr>
              <w:t>Dávila Vinueza, Luis Guillermo. Régimen jurídico de la contratación estatal. 3ª ed. Bogotá: Legis, 2016. p. 463.</w:t>
            </w:r>
          </w:p>
          <w:p w14:paraId="45B527AB" w14:textId="77777777" w:rsidR="005B2238" w:rsidRPr="008D0DFC" w:rsidRDefault="005B2238" w:rsidP="005B2238">
            <w:pPr>
              <w:widowControl w:val="0"/>
              <w:numPr>
                <w:ilvl w:val="0"/>
                <w:numId w:val="16"/>
              </w:numPr>
              <w:autoSpaceDE w:val="0"/>
              <w:autoSpaceDN w:val="0"/>
              <w:spacing w:line="276" w:lineRule="auto"/>
              <w:jc w:val="both"/>
              <w:rPr>
                <w:rFonts w:ascii="Verdana" w:eastAsia="Arial MT" w:hAnsi="Verdana" w:cs="Arial"/>
                <w:bCs/>
                <w:color w:val="7030A0"/>
                <w:lang w:eastAsia="es-ES" w:bidi="es-ES"/>
              </w:rPr>
            </w:pPr>
            <w:r w:rsidRPr="002F6633">
              <w:rPr>
                <w:rFonts w:ascii="Verdana" w:eastAsia="Arial MT" w:hAnsi="Verdana" w:cs="Arial"/>
                <w:bCs/>
                <w:lang w:eastAsia="es-ES" w:bidi="es-ES"/>
              </w:rPr>
              <w:t xml:space="preserve">Agencia Nacional de Contratación Pública – Colombia Compra Eficiente. Manual de la Modalidad de Selección de Mínima Cuantía. Disponible aquí: </w:t>
            </w:r>
            <w:hyperlink r:id="rId13" w:history="1">
              <w:r w:rsidRPr="00E22731">
                <w:rPr>
                  <w:rStyle w:val="Hipervnculo"/>
                  <w:rFonts w:ascii="Verdana" w:eastAsia="Arial MT" w:hAnsi="Verdana" w:cs="Arial"/>
                  <w:bCs/>
                  <w:lang w:eastAsia="es-ES" w:bidi="es-ES"/>
                </w:rPr>
                <w:t>https://www.colombiacompra.gov.co/archivos/manual/manual-de-la-modalidad-de-seleccion-de-minima-cuantia</w:t>
              </w:r>
            </w:hyperlink>
            <w:r>
              <w:rPr>
                <w:rFonts w:ascii="Verdana" w:eastAsia="Arial MT" w:hAnsi="Verdana" w:cs="Arial"/>
                <w:bCs/>
                <w:color w:val="7030A0"/>
                <w:lang w:eastAsia="es-ES" w:bidi="es-ES"/>
              </w:rPr>
              <w:t xml:space="preserve"> </w:t>
            </w:r>
          </w:p>
        </w:tc>
      </w:tr>
    </w:tbl>
    <w:p w14:paraId="4189D322" w14:textId="77777777" w:rsidR="005B2238" w:rsidRPr="008D0DFC" w:rsidRDefault="005B2238" w:rsidP="005B2238">
      <w:pPr>
        <w:widowControl w:val="0"/>
        <w:autoSpaceDE w:val="0"/>
        <w:autoSpaceDN w:val="0"/>
        <w:spacing w:after="0" w:line="276" w:lineRule="auto"/>
        <w:jc w:val="both"/>
        <w:rPr>
          <w:rFonts w:ascii="Verdana" w:hAnsi="Verdana" w:cs="Arial"/>
          <w:color w:val="7030A0"/>
          <w:lang w:val="es-ES"/>
        </w:rPr>
      </w:pPr>
    </w:p>
    <w:p w14:paraId="5F759092" w14:textId="77777777" w:rsidR="005B2238" w:rsidRPr="0025575D" w:rsidRDefault="005B2238" w:rsidP="005B2238">
      <w:pPr>
        <w:tabs>
          <w:tab w:val="left" w:pos="142"/>
          <w:tab w:val="left" w:pos="284"/>
        </w:tabs>
        <w:spacing w:after="0" w:line="276" w:lineRule="auto"/>
        <w:jc w:val="both"/>
        <w:rPr>
          <w:rFonts w:ascii="Verdana" w:eastAsia="Century Gothic" w:hAnsi="Verdana" w:cs="Century Gothic"/>
          <w:b/>
          <w:lang w:val="es-ES"/>
        </w:rPr>
      </w:pPr>
      <w:r w:rsidRPr="0025575D">
        <w:rPr>
          <w:rFonts w:ascii="Verdana" w:eastAsia="Century Gothic" w:hAnsi="Verdana" w:cs="Century Gothic"/>
          <w:b/>
          <w:lang w:val="es-ES"/>
        </w:rPr>
        <w:t>5. Doctrina de la Agencia Nacional de Contratación Pública:</w:t>
      </w:r>
    </w:p>
    <w:p w14:paraId="3C382D58" w14:textId="77777777" w:rsidR="005B2238" w:rsidRPr="008D0DFC" w:rsidRDefault="005B2238" w:rsidP="005B2238">
      <w:pPr>
        <w:widowControl w:val="0"/>
        <w:autoSpaceDE w:val="0"/>
        <w:autoSpaceDN w:val="0"/>
        <w:spacing w:after="0" w:line="276" w:lineRule="auto"/>
        <w:jc w:val="both"/>
        <w:rPr>
          <w:rFonts w:ascii="Verdana" w:hAnsi="Verdana" w:cs="Arial"/>
          <w:color w:val="7030A0"/>
          <w:lang w:val="es-ES"/>
        </w:rPr>
      </w:pPr>
    </w:p>
    <w:p w14:paraId="52306FEB" w14:textId="77777777" w:rsidR="005B2238" w:rsidRPr="00486704" w:rsidRDefault="005B2238" w:rsidP="005B2238">
      <w:pPr>
        <w:spacing w:after="0" w:line="276" w:lineRule="auto"/>
        <w:jc w:val="both"/>
        <w:rPr>
          <w:rFonts w:ascii="Verdana" w:hAnsi="Verdana" w:cs="Arial"/>
          <w:bCs/>
          <w:shd w:val="clear" w:color="auto" w:fill="FFFFFF"/>
          <w:lang w:val="es-ES"/>
        </w:rPr>
      </w:pPr>
      <w:r w:rsidRPr="00C134D9">
        <w:rPr>
          <w:rFonts w:ascii="Verdana" w:eastAsia="Calibri" w:hAnsi="Verdana" w:cs="Arial"/>
          <w:lang w:val="es-ES"/>
        </w:rPr>
        <w:t xml:space="preserve">La Agencia Nacional de Contratación Pública – Colombia Compra Eficiente se ha referido </w:t>
      </w:r>
      <w:r w:rsidRPr="00C134D9">
        <w:rPr>
          <w:rFonts w:ascii="Verdana" w:hAnsi="Verdana" w:cs="Arial"/>
          <w:shd w:val="clear" w:color="auto" w:fill="FFFFFF"/>
          <w:lang w:val="es-ES"/>
        </w:rPr>
        <w:t xml:space="preserve">sobre </w:t>
      </w:r>
      <w:r w:rsidRPr="00C134D9">
        <w:rPr>
          <w:rFonts w:ascii="Verdana" w:hAnsi="Verdana" w:cs="Arial"/>
          <w:bCs/>
          <w:shd w:val="clear" w:color="auto" w:fill="FFFFFF"/>
          <w:lang w:val="es-ES_tradnl"/>
        </w:rPr>
        <w:t>particularidades de la modalidad de selección de mínima cuantía en los conceptos con radicado No. 2201913000006236 de 26 de agosto de 2019, C–108 del 3 de marzo de 2020, C–121 del 3 de marzo de 2020, C–122 del 25 de marzo de 2020 y C–160 del 3 de abril de 2020, C-465 del 27 de julio de 2020, C-557 del 21 de agosto de 2020, C-734 del 16 de diciembre de 2020, C-123 del 12 de mayo de 2023, C-069 del 26 de febrero de 2025, C-069 del 26 de febrero de 2025, C-945 del 23 de agosto de 2025, C-1183 del 19 de septiembre de 2025, C-003 del 12 de febrero de 2026, C-300 del 9 de abril de 2026, C-460 del 16 de abril de 2026, entre otros.</w:t>
      </w:r>
    </w:p>
    <w:p w14:paraId="27427A3E" w14:textId="77777777" w:rsidR="005B2238" w:rsidRPr="008D0DFC" w:rsidRDefault="005B2238" w:rsidP="005B2238">
      <w:pPr>
        <w:spacing w:after="0" w:line="276" w:lineRule="auto"/>
        <w:jc w:val="both"/>
        <w:rPr>
          <w:rStyle w:val="normaltextrun"/>
          <w:rFonts w:ascii="Verdana" w:hAnsi="Verdana" w:cs="Arial"/>
          <w:color w:val="7030A0"/>
          <w:shd w:val="clear" w:color="auto" w:fill="FFFFFF"/>
          <w:lang w:val="es-ES"/>
        </w:rPr>
      </w:pPr>
    </w:p>
    <w:p w14:paraId="3C585745" w14:textId="77777777" w:rsidR="005B2238" w:rsidRPr="0076466E" w:rsidRDefault="005B2238" w:rsidP="005B2238">
      <w:pPr>
        <w:spacing w:after="0" w:line="276" w:lineRule="auto"/>
        <w:jc w:val="both"/>
        <w:rPr>
          <w:rFonts w:ascii="Verdana" w:hAnsi="Verdana"/>
          <w:color w:val="EE0000"/>
        </w:rPr>
      </w:pPr>
      <w:r w:rsidRPr="00FD551E">
        <w:rPr>
          <w:rFonts w:ascii="Verdana" w:hAnsi="Verdana" w:cs="Arial"/>
          <w:shd w:val="clear" w:color="auto" w:fill="FFFFFF"/>
          <w:lang w:val="es-ES"/>
        </w:rPr>
        <w:t>Estos</w:t>
      </w:r>
      <w:r w:rsidRPr="00FD551E">
        <w:rPr>
          <w:rFonts w:ascii="Verdana" w:hAnsi="Verdana"/>
          <w:lang w:val="es-ES"/>
        </w:rPr>
        <w:t xml:space="preserve"> y otros se encuentran disponibles para consulta en el Sistema de relatoría de la Agencia, al cual se puede acceder a través del siguiente enlace:</w:t>
      </w:r>
      <w:r w:rsidRPr="00FD551E">
        <w:rPr>
          <w:rFonts w:ascii="Verdana" w:hAnsi="Verdana" w:cs="Arial"/>
          <w:shd w:val="clear" w:color="auto" w:fill="FFFFFF"/>
          <w:lang w:val="es-ES"/>
        </w:rPr>
        <w:t xml:space="preserve"> </w:t>
      </w:r>
      <w:hyperlink r:id="rId14" w:history="1">
        <w:r w:rsidRPr="00FD551E">
          <w:rPr>
            <w:rStyle w:val="Hipervnculo"/>
            <w:rFonts w:ascii="Verdana" w:hAnsi="Verdana" w:cs="Arial"/>
            <w:shd w:val="clear" w:color="auto" w:fill="FFFFFF"/>
            <w:lang w:val="es-ES"/>
          </w:rPr>
          <w:t>https://relatoria.colombiacompra.gov.co/busqueda/conceptos</w:t>
        </w:r>
      </w:hyperlink>
    </w:p>
    <w:p w14:paraId="2418B521" w14:textId="77777777" w:rsidR="005B2238" w:rsidRPr="0076466E" w:rsidRDefault="005B2238" w:rsidP="005B2238">
      <w:pPr>
        <w:spacing w:after="0" w:line="276" w:lineRule="auto"/>
        <w:jc w:val="both"/>
        <w:rPr>
          <w:rStyle w:val="normaltextrun"/>
          <w:rFonts w:ascii="Verdana" w:hAnsi="Verdana" w:cs="Arial"/>
          <w:color w:val="EE0000"/>
          <w:shd w:val="clear" w:color="auto" w:fill="FFFFFF"/>
        </w:rPr>
      </w:pPr>
    </w:p>
    <w:p w14:paraId="62E97C44" w14:textId="77777777" w:rsidR="005B2238" w:rsidRPr="0076466E" w:rsidRDefault="005B2238" w:rsidP="005B2238">
      <w:pPr>
        <w:spacing w:after="0" w:line="276" w:lineRule="auto"/>
        <w:jc w:val="both"/>
        <w:rPr>
          <w:rFonts w:ascii="Verdana" w:hAnsi="Verdana"/>
          <w:color w:val="EE0000"/>
        </w:rPr>
      </w:pPr>
      <w:r w:rsidRPr="00FD551E">
        <w:rPr>
          <w:rFonts w:ascii="Verdana" w:hAnsi="Verdana"/>
        </w:rPr>
        <w:t xml:space="preserve">La sostenibilidad no es una opción, es una obligación. Por ello, la Agencia Nacional de Contratación Pública –Colombia Compra Eficiente– te invita a realizar el </w:t>
      </w:r>
      <w:r w:rsidRPr="00FD551E">
        <w:rPr>
          <w:rFonts w:ascii="Verdana" w:hAnsi="Verdana"/>
          <w:b/>
          <w:bCs/>
        </w:rPr>
        <w:t>Curso de Contratación Pública Sostenible y Socialmente Responsable</w:t>
      </w:r>
      <w:r w:rsidRPr="00FD551E">
        <w:rPr>
          <w:rFonts w:ascii="Verdana" w:hAnsi="Verdana"/>
        </w:rPr>
        <w:t xml:space="preserve">, una herramienta clave para fortalecer las capacidades de todos los compradores públicos, proveedores, servidores públicos v para generar mayor valor público. Accede al curso y aprende como implementar criterios </w:t>
      </w:r>
      <w:r w:rsidRPr="00FD551E">
        <w:rPr>
          <w:rFonts w:ascii="Verdana" w:hAnsi="Verdana"/>
        </w:rPr>
        <w:lastRenderedPageBreak/>
        <w:t>sociales y ambientales en las diferentes etapas del proceso de contratación:</w:t>
      </w:r>
      <w:r w:rsidRPr="0076466E">
        <w:rPr>
          <w:rFonts w:ascii="Verdana" w:hAnsi="Verdana"/>
          <w:color w:val="EE0000"/>
        </w:rPr>
        <w:br/>
      </w:r>
      <w:hyperlink r:id="rId15" w:tgtFrame="_new" w:history="1">
        <w:r w:rsidRPr="00FD551E">
          <w:rPr>
            <w:rStyle w:val="Hipervnculo"/>
            <w:rFonts w:ascii="Verdana" w:hAnsi="Verdana"/>
          </w:rPr>
          <w:t>https://formacionvirtual.colombiacompra.gov.co/mod/page/view.php?id=3718</w:t>
        </w:r>
      </w:hyperlink>
    </w:p>
    <w:p w14:paraId="32512F45" w14:textId="77777777" w:rsidR="005B2238" w:rsidRPr="0076466E" w:rsidRDefault="005B2238" w:rsidP="005B2238">
      <w:pPr>
        <w:spacing w:after="0" w:line="276" w:lineRule="auto"/>
        <w:jc w:val="both"/>
        <w:rPr>
          <w:rFonts w:ascii="Verdana" w:hAnsi="Verdana"/>
          <w:color w:val="EE0000"/>
        </w:rPr>
      </w:pPr>
    </w:p>
    <w:p w14:paraId="6F8F397D" w14:textId="77777777" w:rsidR="005B2238" w:rsidRPr="0076466E" w:rsidRDefault="005B2238" w:rsidP="005B2238">
      <w:pPr>
        <w:spacing w:after="0" w:line="276" w:lineRule="auto"/>
        <w:jc w:val="both"/>
        <w:rPr>
          <w:rFonts w:ascii="Verdana" w:hAnsi="Verdana"/>
          <w:color w:val="EE0000"/>
        </w:rPr>
      </w:pPr>
      <w:r w:rsidRPr="00FD551E">
        <w:rPr>
          <w:rFonts w:ascii="Verdana" w:hAnsi="Verdana"/>
        </w:rPr>
        <w:t xml:space="preserve">De otro lado, te contamos que esta Agencia ha da un paso decisivo en la estandarización y modernización del </w:t>
      </w:r>
      <w:r w:rsidRPr="00FD551E">
        <w:rPr>
          <w:rFonts w:ascii="Verdana" w:hAnsi="Verdana"/>
          <w:b/>
          <w:bCs/>
        </w:rPr>
        <w:t>sector  social</w:t>
      </w:r>
      <w:r w:rsidRPr="00FD551E">
        <w:rPr>
          <w:rFonts w:ascii="Verdana" w:hAnsi="Verdana"/>
        </w:rPr>
        <w:t xml:space="preserve"> con la expedición de las </w:t>
      </w:r>
      <w:r w:rsidRPr="00FD551E">
        <w:rPr>
          <w:rFonts w:ascii="Verdana" w:hAnsi="Verdana"/>
          <w:b/>
          <w:bCs/>
        </w:rPr>
        <w:t>Resoluciones 539, 540, 541, 952 y 953 de 2025</w:t>
      </w:r>
      <w:r w:rsidRPr="00FD551E">
        <w:rPr>
          <w:rFonts w:ascii="Verdana" w:hAnsi="Verdana"/>
        </w:rPr>
        <w:t xml:space="preserve">, </w:t>
      </w:r>
      <w:r w:rsidRPr="00FD551E">
        <w:rPr>
          <w:rFonts w:ascii="Verdana" w:hAnsi="Verdana"/>
          <w:b/>
          <w:bCs/>
        </w:rPr>
        <w:t>mediante las cuales adoptó Documentos Tipo</w:t>
      </w:r>
      <w:r w:rsidRPr="00FD551E">
        <w:rPr>
          <w:rFonts w:ascii="Verdana" w:hAnsi="Verdana"/>
        </w:rPr>
        <w:t xml:space="preserve"> para las modalidades de selección de</w:t>
      </w:r>
      <w:r w:rsidRPr="00FD551E">
        <w:rPr>
          <w:rFonts w:ascii="Verdana" w:hAnsi="Verdana"/>
          <w:b/>
          <w:bCs/>
        </w:rPr>
        <w:t xml:space="preserve"> licitación pública (versión 2), selección abreviada de menor cuantía, mínima cuantía, consultoría e interventoría</w:t>
      </w:r>
      <w:r w:rsidRPr="00FD551E">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FD551E">
          <w:rPr>
            <w:rStyle w:val="Hipervnculo"/>
            <w:rFonts w:ascii="Verdana" w:hAnsi="Verdana"/>
          </w:rPr>
          <w:t>https://www.colombiacompra.gov.co/normativa-y-relatoria/documentos-tipo</w:t>
        </w:r>
      </w:hyperlink>
    </w:p>
    <w:p w14:paraId="649D5EED" w14:textId="77777777" w:rsidR="005B2238" w:rsidRPr="0076466E" w:rsidRDefault="005B2238" w:rsidP="005B2238">
      <w:pPr>
        <w:spacing w:after="0" w:line="276" w:lineRule="auto"/>
        <w:jc w:val="both"/>
        <w:rPr>
          <w:rFonts w:ascii="Verdana" w:hAnsi="Verdana"/>
          <w:color w:val="EE0000"/>
        </w:rPr>
      </w:pPr>
    </w:p>
    <w:p w14:paraId="044FA74F" w14:textId="77777777" w:rsidR="005B2238" w:rsidRPr="0076466E" w:rsidRDefault="005B2238" w:rsidP="005B2238">
      <w:pPr>
        <w:spacing w:after="0" w:line="276" w:lineRule="auto"/>
        <w:jc w:val="both"/>
        <w:rPr>
          <w:rFonts w:ascii="Verdana" w:hAnsi="Verdana"/>
          <w:color w:val="EE0000"/>
        </w:rPr>
      </w:pPr>
      <w:r w:rsidRPr="00FD551E">
        <w:rPr>
          <w:rFonts w:ascii="Verdana" w:hAnsi="Verdana"/>
        </w:rPr>
        <w:t xml:space="preserve">Si quieres conocer más sobre la aplicación de Documentos Tipo puedes consultar la última versión de la </w:t>
      </w:r>
      <w:r w:rsidRPr="00FD551E">
        <w:rPr>
          <w:rFonts w:ascii="Verdana" w:hAnsi="Verdana"/>
          <w:b/>
          <w:bCs/>
        </w:rPr>
        <w:t>Guía para la comprensión e implementación de los Documentos Tipo de obra pública de infraestructura de transporte</w:t>
      </w:r>
      <w:r w:rsidRPr="00FD551E">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6466E">
        <w:rPr>
          <w:rFonts w:ascii="Verdana" w:hAnsi="Verdana"/>
          <w:color w:val="EE0000"/>
        </w:rPr>
        <w:br/>
      </w:r>
      <w:hyperlink r:id="rId17" w:tgtFrame="_new" w:history="1">
        <w:r w:rsidRPr="00FD551E">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ED222D0" w14:textId="77777777" w:rsidR="005B2238" w:rsidRPr="0076466E" w:rsidRDefault="005B2238" w:rsidP="005B2238">
      <w:pPr>
        <w:spacing w:after="0" w:line="276" w:lineRule="auto"/>
        <w:jc w:val="both"/>
        <w:rPr>
          <w:rFonts w:ascii="Verdana" w:hAnsi="Verdana" w:cs="Arial"/>
          <w:color w:val="EE0000"/>
          <w:shd w:val="clear" w:color="auto" w:fill="FFFFFF"/>
        </w:rPr>
      </w:pPr>
    </w:p>
    <w:p w14:paraId="5E8E90B4" w14:textId="77777777" w:rsidR="005B2238" w:rsidRPr="00116940" w:rsidRDefault="005B2238" w:rsidP="005B2238">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1E522F12" w14:textId="77777777" w:rsidR="005B2238" w:rsidRPr="00116940" w:rsidRDefault="005B2238" w:rsidP="005B2238">
      <w:pPr>
        <w:spacing w:after="0"/>
        <w:jc w:val="both"/>
        <w:rPr>
          <w:rFonts w:ascii="Verdana" w:hAnsi="Verdana"/>
        </w:rPr>
      </w:pPr>
    </w:p>
    <w:p w14:paraId="51E48BAC" w14:textId="77777777" w:rsidR="005B2238" w:rsidRPr="00116940" w:rsidRDefault="005B2238" w:rsidP="005B2238">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47CF1FEC" w14:textId="77777777" w:rsidR="005B2238" w:rsidRPr="00116940" w:rsidRDefault="005B2238" w:rsidP="005B2238">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700883C9" w14:textId="77777777" w:rsidR="005B2238" w:rsidRPr="00116940" w:rsidRDefault="005B2238" w:rsidP="005B2238">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lastRenderedPageBreak/>
        <w:t xml:space="preserve">Correo de radicación de correspondencia: </w:t>
      </w:r>
      <w:hyperlink r:id="rId18">
        <w:r w:rsidRPr="00116940">
          <w:rPr>
            <w:rStyle w:val="Hipervnculo"/>
            <w:rFonts w:ascii="Verdana" w:eastAsia="Verdana" w:hAnsi="Verdana" w:cs="Verdana"/>
            <w:lang w:val="es-MX"/>
          </w:rPr>
          <w:t>ventanilladeradicacion@colombiacompra.gov.co</w:t>
        </w:r>
      </w:hyperlink>
    </w:p>
    <w:p w14:paraId="11B4BB2C" w14:textId="77777777" w:rsidR="005B2238" w:rsidRPr="00116940" w:rsidRDefault="005B2238" w:rsidP="005B2238">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9">
        <w:r w:rsidRPr="00116940">
          <w:rPr>
            <w:rStyle w:val="Hipervnculo"/>
            <w:rFonts w:ascii="Verdana" w:eastAsia="Verdana" w:hAnsi="Verdana" w:cs="Verdana"/>
            <w:lang w:val="es-MX"/>
          </w:rPr>
          <w:t>https://www.colombiacompra.gov.co/pqrsd/informacion-importante-antes-de-formular-una-pqrsd</w:t>
        </w:r>
      </w:hyperlink>
    </w:p>
    <w:p w14:paraId="5D7D31EB" w14:textId="77777777" w:rsidR="005B2238" w:rsidRPr="00116940" w:rsidRDefault="005B2238" w:rsidP="005B2238">
      <w:pPr>
        <w:spacing w:after="0" w:line="240" w:lineRule="auto"/>
        <w:ind w:left="720"/>
        <w:jc w:val="both"/>
        <w:rPr>
          <w:rFonts w:ascii="Verdana" w:hAnsi="Verdana"/>
        </w:rPr>
      </w:pPr>
    </w:p>
    <w:p w14:paraId="26F0E149" w14:textId="77777777" w:rsidR="005B2238" w:rsidRPr="00116940" w:rsidRDefault="005B2238" w:rsidP="005B2238">
      <w:pPr>
        <w:spacing w:after="0" w:line="240"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20" w:history="1">
        <w:r w:rsidRPr="00FB4AC0">
          <w:rPr>
            <w:rStyle w:val="Hipervnculo"/>
            <w:rFonts w:ascii="Verdana" w:hAnsi="Verdana"/>
          </w:rPr>
          <w:t>https://forms.office.com/r/pPHyWVs2SZ</w:t>
        </w:r>
      </w:hyperlink>
      <w:r w:rsidRPr="00116940">
        <w:rPr>
          <w:rFonts w:ascii="Verdana" w:hAnsi="Verdana"/>
        </w:rPr>
        <w:t xml:space="preserve"> .¡Ayúdanos a</w:t>
      </w:r>
      <w:r>
        <w:rPr>
          <w:rFonts w:ascii="Verdana" w:hAnsi="Verdana"/>
        </w:rPr>
        <w:t xml:space="preserve"> </w:t>
      </w:r>
      <w:r w:rsidRPr="00116940">
        <w:rPr>
          <w:rFonts w:ascii="Verdana" w:hAnsi="Verdana"/>
        </w:rPr>
        <w:t>mejorar porque el compromiso es de todos!</w:t>
      </w:r>
    </w:p>
    <w:p w14:paraId="01FF69FE" w14:textId="77777777" w:rsidR="005B2238" w:rsidRPr="00116940" w:rsidRDefault="005B2238" w:rsidP="005B2238">
      <w:pPr>
        <w:spacing w:after="0" w:line="240" w:lineRule="auto"/>
        <w:rPr>
          <w:rFonts w:ascii="Verdana" w:hAnsi="Verdana"/>
        </w:rPr>
      </w:pPr>
    </w:p>
    <w:p w14:paraId="3E91D8CA" w14:textId="77777777" w:rsidR="005B2238" w:rsidRPr="00116940" w:rsidRDefault="005B2238" w:rsidP="005B2238">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C369AF8" w14:textId="77777777" w:rsidR="005B2238" w:rsidRPr="00116940" w:rsidRDefault="005B2238" w:rsidP="005B2238">
      <w:pPr>
        <w:spacing w:after="0" w:line="240" w:lineRule="auto"/>
        <w:jc w:val="both"/>
        <w:rPr>
          <w:rFonts w:ascii="Verdana" w:hAnsi="Verdana"/>
        </w:rPr>
      </w:pPr>
    </w:p>
    <w:p w14:paraId="55E407EA" w14:textId="77777777" w:rsidR="005B2238" w:rsidRPr="00116940" w:rsidRDefault="005B2238" w:rsidP="005B2238">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8108489" w14:textId="77777777" w:rsidR="005B2238" w:rsidRPr="00116940" w:rsidRDefault="005B2238" w:rsidP="005B2238">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1CB93E29" w14:textId="77777777" w:rsidR="005B2238" w:rsidRPr="00116940" w:rsidRDefault="005B2238" w:rsidP="005B2238">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9925BD4" w14:textId="77777777" w:rsidR="005B2238" w:rsidRPr="00CC060C" w:rsidRDefault="005B2238" w:rsidP="005B2238">
      <w:pPr>
        <w:widowControl w:val="0"/>
        <w:autoSpaceDE w:val="0"/>
        <w:autoSpaceDN w:val="0"/>
        <w:spacing w:after="0" w:line="276" w:lineRule="auto"/>
        <w:jc w:val="both"/>
        <w:rPr>
          <w:rFonts w:ascii="Verdana" w:hAnsi="Verdana" w:cs="Arial"/>
        </w:rPr>
      </w:pPr>
    </w:p>
    <w:p w14:paraId="4ED97894" w14:textId="77777777" w:rsidR="005B2238" w:rsidRPr="00FD551E" w:rsidRDefault="005B2238" w:rsidP="005B2238">
      <w:pPr>
        <w:widowControl w:val="0"/>
        <w:autoSpaceDE w:val="0"/>
        <w:autoSpaceDN w:val="0"/>
        <w:spacing w:after="0" w:line="276" w:lineRule="auto"/>
        <w:jc w:val="both"/>
        <w:rPr>
          <w:rFonts w:ascii="Verdana" w:hAnsi="Verdana" w:cs="Arial"/>
          <w:lang w:val="es-ES"/>
        </w:rPr>
      </w:pPr>
      <w:r w:rsidRPr="00FD551E">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7F3B82F" w14:textId="77777777" w:rsidR="005B2238" w:rsidRPr="00FD551E" w:rsidRDefault="005B2238" w:rsidP="005B2238">
      <w:pPr>
        <w:widowControl w:val="0"/>
        <w:autoSpaceDE w:val="0"/>
        <w:autoSpaceDN w:val="0"/>
        <w:spacing w:after="0" w:line="276" w:lineRule="auto"/>
        <w:jc w:val="both"/>
        <w:rPr>
          <w:rFonts w:ascii="Verdana" w:hAnsi="Verdana" w:cs="Arial"/>
          <w:lang w:val="es-ES"/>
        </w:rPr>
      </w:pPr>
    </w:p>
    <w:p w14:paraId="2BEDA490" w14:textId="77777777" w:rsidR="005B2238" w:rsidRPr="00FD551E" w:rsidRDefault="005B2238" w:rsidP="005B2238">
      <w:pPr>
        <w:spacing w:after="0" w:line="276" w:lineRule="auto"/>
        <w:rPr>
          <w:rFonts w:ascii="Verdana" w:hAnsi="Verdana" w:cs="Arial"/>
          <w:lang w:val="es-ES" w:eastAsia="es-CO"/>
        </w:rPr>
      </w:pPr>
      <w:r w:rsidRPr="00FD551E">
        <w:rPr>
          <w:rFonts w:ascii="Verdana" w:eastAsia="Times New Roman" w:hAnsi="Verdana" w:cs="Arial"/>
          <w:lang w:val="es-ES" w:eastAsia="es-CO"/>
        </w:rPr>
        <w:t>Atentamente,</w:t>
      </w:r>
      <w:r w:rsidRPr="00FD551E">
        <w:rPr>
          <w:rFonts w:ascii="Verdana" w:hAnsi="Verdana" w:cs="Arial"/>
          <w:lang w:val="es-ES" w:eastAsia="es-CO"/>
        </w:rPr>
        <w:t xml:space="preserve"> </w:t>
      </w:r>
    </w:p>
    <w:p w14:paraId="7BC2A8E5" w14:textId="44BF6B83" w:rsidR="005B2238" w:rsidRDefault="005B2238" w:rsidP="005B2238">
      <w:pPr>
        <w:spacing w:after="0" w:line="276" w:lineRule="auto"/>
        <w:rPr>
          <w:rFonts w:ascii="Verdana" w:eastAsia="Calibri" w:hAnsi="Verdana" w:cs="Times New Roman"/>
          <w:noProof/>
          <w:color w:val="EE0000"/>
          <w14:ligatures w14:val="standardContextual"/>
        </w:rPr>
      </w:pPr>
    </w:p>
    <w:p w14:paraId="6B9DE6CD" w14:textId="7532E5B2" w:rsidR="00566FD0" w:rsidRPr="0076466E" w:rsidRDefault="00847F2F" w:rsidP="00B4216C">
      <w:pPr>
        <w:spacing w:after="0" w:line="276" w:lineRule="auto"/>
        <w:jc w:val="center"/>
        <w:rPr>
          <w:rFonts w:ascii="Verdana" w:hAnsi="Verdana" w:cs="Arial"/>
          <w:color w:val="EE0000"/>
          <w:lang w:val="es-ES" w:eastAsia="es-CO"/>
        </w:rPr>
      </w:pPr>
      <w:r w:rsidRPr="00847F2F">
        <w:rPr>
          <w:rFonts w:ascii="Verdana" w:hAnsi="Verdana" w:cs="Arial"/>
          <w:color w:val="EE0000"/>
          <w:lang w:val="es-ES" w:eastAsia="es-CO"/>
        </w:rPr>
        <w:drawing>
          <wp:inline distT="0" distB="0" distL="0" distR="0" wp14:anchorId="3CA2E2AA" wp14:editId="4FDE571E">
            <wp:extent cx="2762636" cy="943107"/>
            <wp:effectExtent l="0" t="0" r="0" b="9525"/>
            <wp:docPr id="12137030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703043" name=""/>
                    <pic:cNvPicPr/>
                  </pic:nvPicPr>
                  <pic:blipFill>
                    <a:blip r:embed="rId21"/>
                    <a:stretch>
                      <a:fillRect/>
                    </a:stretch>
                  </pic:blipFill>
                  <pic:spPr>
                    <a:xfrm>
                      <a:off x="0" y="0"/>
                      <a:ext cx="2762636" cy="943107"/>
                    </a:xfrm>
                    <a:prstGeom prst="rect">
                      <a:avLst/>
                    </a:prstGeom>
                  </pic:spPr>
                </pic:pic>
              </a:graphicData>
            </a:graphic>
          </wp:inline>
        </w:drawing>
      </w:r>
    </w:p>
    <w:p w14:paraId="3B5E475F" w14:textId="77777777" w:rsidR="005B2238" w:rsidRPr="0076466E" w:rsidRDefault="005B2238" w:rsidP="005B2238">
      <w:pPr>
        <w:spacing w:after="0" w:line="276" w:lineRule="auto"/>
        <w:rPr>
          <w:rFonts w:ascii="Verdana" w:hAnsi="Verdana" w:cs="Arial"/>
          <w:color w:val="EE0000"/>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B2238" w:rsidRPr="0076466E" w14:paraId="566A3995" w14:textId="77777777" w:rsidTr="00C66FA0">
        <w:trPr>
          <w:trHeight w:val="315"/>
        </w:trPr>
        <w:tc>
          <w:tcPr>
            <w:tcW w:w="893" w:type="dxa"/>
            <w:vAlign w:val="center"/>
            <w:hideMark/>
          </w:tcPr>
          <w:p w14:paraId="2AE4CC5F" w14:textId="77777777" w:rsidR="005B2238" w:rsidRPr="00FD551E" w:rsidRDefault="005B2238" w:rsidP="00C66FA0">
            <w:pPr>
              <w:contextualSpacing/>
              <w:rPr>
                <w:rFonts w:ascii="Verdana" w:hAnsi="Verdana" w:cs="Arial"/>
                <w:sz w:val="16"/>
                <w:szCs w:val="16"/>
                <w:lang w:val="es-ES" w:eastAsia="es-ES"/>
              </w:rPr>
            </w:pPr>
            <w:r w:rsidRPr="00FD551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6812F95" w14:textId="77777777" w:rsidR="005B2238" w:rsidRPr="00FD551E" w:rsidRDefault="005B2238" w:rsidP="00C66FA0">
            <w:pPr>
              <w:rPr>
                <w:rFonts w:ascii="Verdana" w:eastAsia="Times New Roman" w:hAnsi="Verdana" w:cs="Arial"/>
                <w:sz w:val="16"/>
                <w:szCs w:val="16"/>
                <w:lang w:eastAsia="es-ES"/>
              </w:rPr>
            </w:pPr>
            <w:r w:rsidRPr="00FD551E">
              <w:rPr>
                <w:rFonts w:ascii="Verdana" w:eastAsia="Times New Roman" w:hAnsi="Verdana" w:cs="Arial"/>
                <w:sz w:val="16"/>
                <w:szCs w:val="16"/>
                <w:lang w:eastAsia="es-ES"/>
              </w:rPr>
              <w:t>Camila Alejandra Naranjo Gómez</w:t>
            </w:r>
          </w:p>
          <w:p w14:paraId="450B1D27" w14:textId="77777777" w:rsidR="005B2238" w:rsidRPr="00FD551E" w:rsidRDefault="005B2238" w:rsidP="00C66FA0">
            <w:pPr>
              <w:contextualSpacing/>
              <w:rPr>
                <w:rFonts w:ascii="Verdana" w:eastAsia="Arial" w:hAnsi="Verdana" w:cs="Arial"/>
                <w:sz w:val="16"/>
                <w:szCs w:val="16"/>
                <w:lang w:val="es-ES"/>
              </w:rPr>
            </w:pPr>
            <w:r w:rsidRPr="00FD551E">
              <w:rPr>
                <w:rFonts w:ascii="Verdana" w:eastAsia="Times New Roman" w:hAnsi="Verdana" w:cs="Arial"/>
                <w:sz w:val="16"/>
                <w:szCs w:val="16"/>
                <w:lang w:eastAsia="es-ES"/>
              </w:rPr>
              <w:t>Analista T2-02 de la Subdirección de Gestión Contractual</w:t>
            </w:r>
          </w:p>
        </w:tc>
      </w:tr>
      <w:tr w:rsidR="005B2238" w:rsidRPr="0076466E" w14:paraId="7E1C4D64" w14:textId="77777777" w:rsidTr="00C66FA0">
        <w:trPr>
          <w:trHeight w:val="330"/>
        </w:trPr>
        <w:tc>
          <w:tcPr>
            <w:tcW w:w="893" w:type="dxa"/>
            <w:vAlign w:val="center"/>
            <w:hideMark/>
          </w:tcPr>
          <w:p w14:paraId="442FEFDB" w14:textId="77777777" w:rsidR="005B2238" w:rsidRPr="00FD551E" w:rsidRDefault="005B2238" w:rsidP="00C66FA0">
            <w:pPr>
              <w:contextualSpacing/>
              <w:rPr>
                <w:rFonts w:ascii="Verdana" w:hAnsi="Verdana" w:cs="Arial"/>
                <w:sz w:val="16"/>
                <w:szCs w:val="16"/>
                <w:lang w:val="es-ES" w:eastAsia="es-ES"/>
              </w:rPr>
            </w:pPr>
            <w:r w:rsidRPr="00FD551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E117F85" w14:textId="77777777" w:rsidR="005B2238" w:rsidRPr="00FD551E" w:rsidRDefault="005B2238" w:rsidP="00C66FA0">
            <w:pPr>
              <w:rPr>
                <w:rFonts w:ascii="Verdana" w:eastAsia="Times New Roman" w:hAnsi="Verdana" w:cs="Arial"/>
                <w:sz w:val="16"/>
                <w:szCs w:val="16"/>
                <w:lang w:eastAsia="es-ES"/>
              </w:rPr>
            </w:pPr>
            <w:r>
              <w:rPr>
                <w:rFonts w:ascii="Verdana" w:eastAsia="Times New Roman" w:hAnsi="Verdana" w:cs="Arial"/>
                <w:sz w:val="16"/>
                <w:szCs w:val="16"/>
                <w:lang w:eastAsia="es-ES"/>
              </w:rPr>
              <w:t>Juan David Cárdenas Cabeza</w:t>
            </w:r>
          </w:p>
          <w:p w14:paraId="0055FECA" w14:textId="77777777" w:rsidR="005B2238" w:rsidRPr="00FD551E" w:rsidRDefault="005B2238" w:rsidP="00C66FA0">
            <w:pPr>
              <w:pStyle w:val="paragraph"/>
              <w:spacing w:before="0" w:beforeAutospacing="0" w:after="0" w:afterAutospacing="0"/>
              <w:contextualSpacing/>
              <w:textAlignment w:val="baseline"/>
              <w:rPr>
                <w:rFonts w:ascii="Verdana" w:hAnsi="Verdana" w:cs="Segoe UI"/>
                <w:sz w:val="16"/>
                <w:szCs w:val="16"/>
                <w:lang w:val="es-ES"/>
              </w:rPr>
            </w:pPr>
            <w:r w:rsidRPr="00FD551E">
              <w:rPr>
                <w:rFonts w:ascii="Verdana" w:hAnsi="Verdana" w:cs="Arial"/>
                <w:sz w:val="16"/>
                <w:szCs w:val="16"/>
                <w:lang w:eastAsia="es-ES"/>
              </w:rPr>
              <w:t>Contratista de la Subdirección de Gestión Contractual</w:t>
            </w:r>
          </w:p>
        </w:tc>
      </w:tr>
      <w:tr w:rsidR="005B2238" w:rsidRPr="0076466E" w14:paraId="16E0C50D" w14:textId="77777777" w:rsidTr="00C66FA0">
        <w:trPr>
          <w:trHeight w:val="300"/>
        </w:trPr>
        <w:tc>
          <w:tcPr>
            <w:tcW w:w="893" w:type="dxa"/>
            <w:vAlign w:val="center"/>
          </w:tcPr>
          <w:p w14:paraId="1ED1F682" w14:textId="77777777" w:rsidR="005B2238" w:rsidRPr="00FD551E" w:rsidRDefault="005B2238" w:rsidP="00C66FA0">
            <w:pPr>
              <w:contextualSpacing/>
              <w:rPr>
                <w:rFonts w:ascii="Verdana" w:hAnsi="Verdana" w:cs="Arial"/>
                <w:sz w:val="16"/>
                <w:szCs w:val="16"/>
                <w:lang w:val="es-ES" w:eastAsia="es-ES"/>
              </w:rPr>
            </w:pPr>
            <w:r w:rsidRPr="00FD551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7EAA0C8" w14:textId="77777777" w:rsidR="005B2238" w:rsidRPr="00FD551E" w:rsidRDefault="005B2238" w:rsidP="00C66FA0">
            <w:pPr>
              <w:contextualSpacing/>
              <w:rPr>
                <w:rFonts w:ascii="Verdana" w:eastAsia="Calibri" w:hAnsi="Verdana" w:cs="Arial"/>
                <w:sz w:val="16"/>
                <w:szCs w:val="16"/>
                <w:lang w:val="es-ES" w:eastAsia="es-ES"/>
              </w:rPr>
            </w:pPr>
            <w:r w:rsidRPr="00FD551E">
              <w:rPr>
                <w:rFonts w:ascii="Verdana" w:eastAsia="Calibri" w:hAnsi="Verdana" w:cs="Arial"/>
                <w:sz w:val="16"/>
                <w:szCs w:val="16"/>
                <w:lang w:val="es-ES" w:eastAsia="es-ES"/>
              </w:rPr>
              <w:t>Carolina Quintero Gacharná</w:t>
            </w:r>
          </w:p>
          <w:p w14:paraId="7F270466" w14:textId="77777777" w:rsidR="005B2238" w:rsidRPr="00FD551E" w:rsidRDefault="005B2238" w:rsidP="00C66FA0">
            <w:pPr>
              <w:contextualSpacing/>
              <w:rPr>
                <w:rFonts w:ascii="Verdana" w:eastAsia="Calibri" w:hAnsi="Verdana" w:cs="Arial"/>
                <w:sz w:val="16"/>
                <w:szCs w:val="16"/>
                <w:lang w:val="es-ES" w:eastAsia="es-ES"/>
              </w:rPr>
            </w:pPr>
            <w:r w:rsidRPr="00FD551E">
              <w:rPr>
                <w:rFonts w:ascii="Verdana" w:eastAsia="Calibri" w:hAnsi="Verdana" w:cs="Arial"/>
                <w:sz w:val="16"/>
                <w:szCs w:val="16"/>
                <w:lang w:val="es-ES" w:eastAsia="es-ES"/>
              </w:rPr>
              <w:t>Subdirectora de Gestión Contractual ANCP – CCE</w:t>
            </w:r>
          </w:p>
        </w:tc>
      </w:tr>
    </w:tbl>
    <w:p w14:paraId="47F45146" w14:textId="77777777" w:rsidR="005B2238" w:rsidRPr="0076466E" w:rsidRDefault="005B2238" w:rsidP="005B2238">
      <w:pPr>
        <w:spacing w:after="0" w:line="240" w:lineRule="auto"/>
        <w:jc w:val="both"/>
        <w:textAlignment w:val="baseline"/>
        <w:rPr>
          <w:rFonts w:ascii="Verdana" w:eastAsia="Verdana" w:hAnsi="Verdana" w:cs="Verdana"/>
          <w:color w:val="EE0000"/>
          <w:lang w:eastAsia="es-CO"/>
        </w:rPr>
      </w:pPr>
    </w:p>
    <w:bookmarkEnd w:id="0"/>
    <w:p w14:paraId="09D71AB3" w14:textId="3426015E" w:rsidR="04EB98D0" w:rsidRDefault="04EB98D0" w:rsidP="04EB98D0">
      <w:pPr>
        <w:spacing w:after="0" w:line="240" w:lineRule="auto"/>
        <w:jc w:val="both"/>
        <w:rPr>
          <w:rFonts w:ascii="Verdana" w:eastAsia="Verdana" w:hAnsi="Verdana" w:cs="Verdana"/>
          <w:color w:val="EE0000"/>
        </w:rPr>
      </w:pPr>
    </w:p>
    <w:p w14:paraId="731C2ABC" w14:textId="34232E99" w:rsidR="00127233" w:rsidRPr="00B72D4F" w:rsidRDefault="7C6D7DA9" w:rsidP="00B72D4F">
      <w:pPr>
        <w:spacing w:after="0" w:line="240" w:lineRule="auto"/>
        <w:rPr>
          <w:rFonts w:ascii="Verdana" w:eastAsia="Verdana" w:hAnsi="Verdana" w:cs="Verdana"/>
          <w:color w:val="EE0000"/>
        </w:rPr>
      </w:pPr>
      <w:r w:rsidRPr="04EB98D0">
        <w:rPr>
          <w:rFonts w:ascii="Verdana" w:eastAsia="Verdana" w:hAnsi="Verdana" w:cs="Verdana"/>
          <w:color w:val="EE0000"/>
        </w:rPr>
        <w:t> </w:t>
      </w:r>
    </w:p>
    <w:sectPr w:rsidR="00127233" w:rsidRPr="00B72D4F"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3D3F23" w14:textId="77777777" w:rsidR="00A4131D" w:rsidRDefault="00A4131D" w:rsidP="004A1847">
      <w:pPr>
        <w:spacing w:after="0" w:line="240" w:lineRule="auto"/>
      </w:pPr>
      <w:r>
        <w:separator/>
      </w:r>
    </w:p>
  </w:endnote>
  <w:endnote w:type="continuationSeparator" w:id="0">
    <w:p w14:paraId="34AC6566" w14:textId="77777777" w:rsidR="00A4131D" w:rsidRDefault="00A4131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Arial"/>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5D01C1" w14:textId="77777777" w:rsidR="00A4131D" w:rsidRDefault="00A4131D" w:rsidP="004A1847">
      <w:pPr>
        <w:spacing w:after="0" w:line="240" w:lineRule="auto"/>
      </w:pPr>
      <w:r>
        <w:separator/>
      </w:r>
    </w:p>
  </w:footnote>
  <w:footnote w:type="continuationSeparator" w:id="0">
    <w:p w14:paraId="0AF35C0B" w14:textId="77777777" w:rsidR="00A4131D" w:rsidRDefault="00A4131D" w:rsidP="004A1847">
      <w:pPr>
        <w:spacing w:after="0" w:line="240" w:lineRule="auto"/>
      </w:pPr>
      <w:r>
        <w:continuationSeparator/>
      </w:r>
    </w:p>
  </w:footnote>
  <w:footnote w:id="1">
    <w:p w14:paraId="7FAB0E7B" w14:textId="77777777" w:rsidR="005B2238" w:rsidRDefault="005B2238" w:rsidP="005B2238">
      <w:pPr>
        <w:pStyle w:val="Textonotapie"/>
        <w:ind w:firstLine="709"/>
        <w:jc w:val="both"/>
        <w:rPr>
          <w:rFonts w:ascii="Verdana" w:hAnsi="Verdana"/>
          <w:sz w:val="16"/>
          <w:szCs w:val="16"/>
          <w:lang w:val="es-ES_tradnl"/>
        </w:rPr>
      </w:pPr>
      <w:r w:rsidRPr="00085DA5">
        <w:rPr>
          <w:rStyle w:val="Refdenotaalpie"/>
          <w:rFonts w:ascii="Verdana" w:hAnsi="Verdana"/>
          <w:sz w:val="16"/>
          <w:szCs w:val="16"/>
        </w:rPr>
        <w:footnoteRef/>
      </w:r>
      <w:r w:rsidRPr="00085DA5">
        <w:rPr>
          <w:rFonts w:ascii="Verdana" w:hAnsi="Verdana"/>
          <w:sz w:val="16"/>
          <w:szCs w:val="16"/>
        </w:rPr>
        <w:t xml:space="preserve"> </w:t>
      </w:r>
      <w:r w:rsidRPr="00085DA5">
        <w:rPr>
          <w:rFonts w:ascii="Verdana" w:hAnsi="Verdana"/>
          <w:sz w:val="16"/>
          <w:szCs w:val="16"/>
          <w:lang w:val="es-ES_tradnl"/>
        </w:rPr>
        <w:t>Esto lo ratifica el artículo 2.2.1.2.1.5.2. del Decreto 1082 de 2015.</w:t>
      </w:r>
    </w:p>
    <w:p w14:paraId="605790F3" w14:textId="77777777" w:rsidR="005B2238" w:rsidRPr="007E6C64" w:rsidRDefault="005B2238" w:rsidP="005B2238">
      <w:pPr>
        <w:pStyle w:val="Textonotapie"/>
        <w:ind w:firstLine="709"/>
        <w:jc w:val="both"/>
        <w:rPr>
          <w:rFonts w:ascii="Verdana" w:hAnsi="Verdana"/>
          <w:sz w:val="16"/>
          <w:szCs w:val="16"/>
          <w:lang w:val="es-ES_tradnl"/>
        </w:rPr>
      </w:pPr>
    </w:p>
  </w:footnote>
  <w:footnote w:id="2">
    <w:p w14:paraId="1A609551" w14:textId="77777777" w:rsidR="005B2238" w:rsidRPr="00085DA5" w:rsidRDefault="005B2238" w:rsidP="005B2238">
      <w:pPr>
        <w:pStyle w:val="Textonotapie"/>
        <w:ind w:firstLine="709"/>
        <w:jc w:val="both"/>
        <w:rPr>
          <w:rFonts w:ascii="Verdana" w:hAnsi="Verdana" w:cs="Arial"/>
          <w:color w:val="000000" w:themeColor="text1"/>
          <w:sz w:val="16"/>
          <w:szCs w:val="16"/>
          <w:lang w:val="es-ES_tradnl"/>
        </w:rPr>
      </w:pPr>
      <w:r w:rsidRPr="00085DA5">
        <w:rPr>
          <w:rStyle w:val="Refdenotaalpie"/>
          <w:rFonts w:ascii="Verdana" w:hAnsi="Verdana" w:cs="Arial"/>
          <w:color w:val="000000" w:themeColor="text1"/>
          <w:sz w:val="16"/>
          <w:szCs w:val="16"/>
          <w:lang w:val="es-ES_tradnl"/>
        </w:rPr>
        <w:footnoteRef/>
      </w:r>
      <w:r w:rsidRPr="00085DA5">
        <w:rPr>
          <w:rFonts w:ascii="Verdana" w:hAnsi="Verdana" w:cs="Arial"/>
          <w:color w:val="000000" w:themeColor="text1"/>
          <w:sz w:val="16"/>
          <w:szCs w:val="16"/>
          <w:lang w:val="es-ES_tradnl"/>
        </w:rPr>
        <w:t xml:space="preserve"> Dávila Vinueza, Luis Guillermo. Régimen jurídico de la contratación estatal. 3ª ed. Bogotá: Legis, 2016. p. 463.</w:t>
      </w:r>
    </w:p>
  </w:footnote>
  <w:footnote w:id="3">
    <w:p w14:paraId="064D1281" w14:textId="77777777" w:rsidR="005B2238" w:rsidRPr="00085DA5" w:rsidRDefault="005B2238" w:rsidP="005B2238">
      <w:pPr>
        <w:pStyle w:val="Textonotapie"/>
        <w:ind w:firstLine="709"/>
        <w:jc w:val="both"/>
        <w:rPr>
          <w:rFonts w:ascii="Verdana" w:hAnsi="Verdana" w:cs="Arial"/>
          <w:color w:val="000000" w:themeColor="text1"/>
          <w:sz w:val="16"/>
          <w:szCs w:val="16"/>
          <w:lang w:val="es-ES_tradnl"/>
        </w:rPr>
      </w:pPr>
      <w:r w:rsidRPr="00085DA5">
        <w:rPr>
          <w:rStyle w:val="Refdenotaalpie"/>
          <w:rFonts w:ascii="Verdana" w:hAnsi="Verdana" w:cs="Arial"/>
          <w:color w:val="000000" w:themeColor="text1"/>
          <w:sz w:val="16"/>
          <w:szCs w:val="16"/>
          <w:lang w:val="es-ES_tradnl"/>
        </w:rPr>
        <w:footnoteRef/>
      </w:r>
      <w:r w:rsidRPr="00085DA5">
        <w:rPr>
          <w:rFonts w:ascii="Verdana" w:hAnsi="Verdana" w:cs="Arial"/>
          <w:color w:val="000000" w:themeColor="text1"/>
          <w:sz w:val="16"/>
          <w:szCs w:val="16"/>
          <w:lang w:val="es-ES_tradnl"/>
        </w:rPr>
        <w:t xml:space="preserve"> La contratación de mínima cuantía es aquella que no excede el 10% de la menor cuantía, o sea, que no supera el 10% de los topes definidos en el artículo 2, numeral 2, literal b) de la Ley 1150 de 2007, que dispone: “Se entenderá por menor cuantía los valores que a continuación se relacionan, determinados en función de los presupuestos anuales de las entidades públicas expresados en salarios mínimos legales mensuales.</w:t>
      </w:r>
    </w:p>
    <w:p w14:paraId="55CB9CAE" w14:textId="77777777" w:rsidR="005B2238" w:rsidRPr="00085DA5" w:rsidRDefault="005B2238" w:rsidP="005B2238">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“Para las entidades que tengan un presupuesto anual superior o igual a 1.200.000 salarios mínimos legales mensuales, la menor cuantía será hasta 1.000 salarios mínimos legales mensuales.</w:t>
      </w:r>
    </w:p>
    <w:p w14:paraId="7F46936D" w14:textId="77777777" w:rsidR="005B2238" w:rsidRPr="00085DA5" w:rsidRDefault="005B2238" w:rsidP="005B2238">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superior o igual a 850.000 salarios mínimos legales mensuales e inferiores a 1.200.000 salarios mínimos legales mensuales, la menor cuantía será hasta 850 salarios mínimos legales mensuales.</w:t>
      </w:r>
    </w:p>
    <w:p w14:paraId="5192C318" w14:textId="77777777" w:rsidR="005B2238" w:rsidRPr="00085DA5" w:rsidRDefault="005B2238" w:rsidP="005B2238">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superior o igual a 400.000 salarios mínimos legales mensuales e inferior a 850.000 salarios mínimos legales mensuales, la menor cuantía será hasta 650 salarios mínimos legales mensuales.</w:t>
      </w:r>
    </w:p>
    <w:p w14:paraId="06534B5C" w14:textId="77777777" w:rsidR="005B2238" w:rsidRPr="00085DA5" w:rsidRDefault="005B2238" w:rsidP="005B2238">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superior o igual a 120.000 salarios mínimos legales mensuales e inferior a 400.000 salarios mínimos legales mensuales, la menor cuantía será hasta 450 salarios mínimos legales mensuales.</w:t>
      </w:r>
    </w:p>
    <w:p w14:paraId="447EC184" w14:textId="77777777" w:rsidR="005B2238" w:rsidRPr="00085DA5" w:rsidRDefault="005B2238" w:rsidP="005B2238">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inferior a 120.000 salarios mínimos legales mensuales, la menor cuantía será hasta 280 salarios mínimos legales mensuales”.</w:t>
      </w:r>
    </w:p>
  </w:footnote>
  <w:footnote w:id="4">
    <w:p w14:paraId="4DD2CE87" w14:textId="77777777" w:rsidR="005B2238" w:rsidRPr="007E6C64" w:rsidRDefault="005B2238" w:rsidP="005B2238">
      <w:pPr>
        <w:pStyle w:val="Textonotapie"/>
        <w:ind w:firstLine="709"/>
        <w:jc w:val="both"/>
        <w:rPr>
          <w:rFonts w:ascii="Verdana" w:hAnsi="Verdana"/>
          <w:sz w:val="16"/>
          <w:szCs w:val="16"/>
        </w:rPr>
      </w:pPr>
      <w:r w:rsidRPr="007E6C64">
        <w:rPr>
          <w:rStyle w:val="Refdenotaalpie"/>
          <w:rFonts w:ascii="Verdana" w:hAnsi="Verdana"/>
          <w:sz w:val="16"/>
          <w:szCs w:val="16"/>
        </w:rPr>
        <w:footnoteRef/>
      </w:r>
      <w:r w:rsidRPr="007E6C64">
        <w:rPr>
          <w:rFonts w:ascii="Verdana" w:hAnsi="Verdana"/>
          <w:sz w:val="16"/>
          <w:szCs w:val="16"/>
        </w:rPr>
        <w:t xml:space="preserve"> </w:t>
      </w:r>
      <w:r w:rsidRPr="007E6C64">
        <w:rPr>
          <w:rFonts w:ascii="Verdana" w:hAnsi="Verdana"/>
          <w:sz w:val="16"/>
          <w:szCs w:val="16"/>
          <w:lang w:val="es-CO"/>
        </w:rPr>
        <w:t xml:space="preserve">Este artículo fue modificado por el artículo 5 del Decreto 142 de 2023 en los siguientes términos: </w:t>
      </w:r>
      <w:r w:rsidRPr="007E6C64">
        <w:rPr>
          <w:rFonts w:ascii="Verdana" w:hAnsi="Verdana"/>
          <w:bCs/>
          <w:iCs/>
          <w:sz w:val="16"/>
          <w:szCs w:val="16"/>
        </w:rPr>
        <w:t>"Artículo 2.2.1.2.1.5.1. Estudios previos para la contratación de mínima cuantía.</w:t>
      </w:r>
      <w:r w:rsidRPr="007E6C64">
        <w:rPr>
          <w:rFonts w:ascii="Verdana" w:hAnsi="Verdana"/>
          <w:iCs/>
          <w:sz w:val="16"/>
          <w:szCs w:val="16"/>
        </w:rPr>
        <w:t> La Entidad Estatal debe elaborar unos estudios previos que deben contener, como mínimo, lo siguiente: </w:t>
      </w:r>
    </w:p>
    <w:p w14:paraId="2B49E843" w14:textId="77777777" w:rsidR="005B2238" w:rsidRPr="007E6C64" w:rsidRDefault="005B2238" w:rsidP="005B2238">
      <w:pPr>
        <w:pStyle w:val="Textonotapie"/>
        <w:tabs>
          <w:tab w:val="left" w:pos="142"/>
        </w:tabs>
        <w:ind w:firstLine="709"/>
        <w:jc w:val="both"/>
        <w:rPr>
          <w:rFonts w:ascii="Verdana" w:hAnsi="Verdana"/>
          <w:iCs/>
          <w:sz w:val="16"/>
          <w:szCs w:val="16"/>
        </w:rPr>
      </w:pPr>
      <w:r w:rsidRPr="007E6C64">
        <w:rPr>
          <w:rFonts w:ascii="Verdana" w:hAnsi="Verdana"/>
          <w:iCs/>
          <w:sz w:val="16"/>
          <w:szCs w:val="16"/>
        </w:rPr>
        <w:t xml:space="preserve">1. La descripción de la necesidad que pretende satisfacer con la contratación.  </w:t>
      </w:r>
    </w:p>
    <w:p w14:paraId="4D60164D" w14:textId="77777777" w:rsidR="005B2238" w:rsidRPr="007E6C64" w:rsidRDefault="005B2238" w:rsidP="005B2238">
      <w:pPr>
        <w:pStyle w:val="Textonotapie"/>
        <w:tabs>
          <w:tab w:val="left" w:pos="142"/>
        </w:tabs>
        <w:ind w:firstLine="709"/>
        <w:jc w:val="both"/>
        <w:rPr>
          <w:rFonts w:ascii="Verdana" w:hAnsi="Verdana"/>
          <w:sz w:val="16"/>
          <w:szCs w:val="16"/>
        </w:rPr>
      </w:pPr>
      <w:r w:rsidRPr="007E6C64">
        <w:rPr>
          <w:rFonts w:ascii="Verdana" w:hAnsi="Verdana"/>
          <w:iCs/>
          <w:sz w:val="16"/>
          <w:szCs w:val="16"/>
        </w:rPr>
        <w:t>2. La descripción del objeto a contratar identificado con el cuarto nivel del Clasificador de Bienes y Servicios, de ser posible, o de lo contrario con el tercer nivel. </w:t>
      </w:r>
    </w:p>
    <w:p w14:paraId="7A445825" w14:textId="77777777" w:rsidR="005B2238" w:rsidRPr="007E6C64" w:rsidRDefault="005B2238" w:rsidP="005B2238">
      <w:pPr>
        <w:pStyle w:val="Textonotapie"/>
        <w:tabs>
          <w:tab w:val="left" w:pos="142"/>
        </w:tabs>
        <w:ind w:firstLine="709"/>
        <w:jc w:val="both"/>
        <w:rPr>
          <w:rFonts w:ascii="Verdana" w:hAnsi="Verdana"/>
          <w:sz w:val="16"/>
          <w:szCs w:val="16"/>
        </w:rPr>
      </w:pPr>
      <w:r w:rsidRPr="007E6C64">
        <w:rPr>
          <w:rFonts w:ascii="Verdana" w:hAnsi="Verdana"/>
          <w:iCs/>
          <w:sz w:val="16"/>
          <w:szCs w:val="16"/>
        </w:rPr>
        <w:t>3. Las condiciones técnicas exigidas.</w:t>
      </w:r>
    </w:p>
    <w:p w14:paraId="2AF66AEB" w14:textId="77777777" w:rsidR="005B2238" w:rsidRPr="007E6C64" w:rsidRDefault="005B2238" w:rsidP="005B2238">
      <w:pPr>
        <w:pStyle w:val="Textonotapie"/>
        <w:tabs>
          <w:tab w:val="left" w:pos="142"/>
        </w:tabs>
        <w:ind w:firstLine="709"/>
        <w:jc w:val="both"/>
        <w:rPr>
          <w:rFonts w:ascii="Verdana" w:hAnsi="Verdana"/>
          <w:sz w:val="16"/>
          <w:szCs w:val="16"/>
        </w:rPr>
      </w:pPr>
      <w:r w:rsidRPr="007E6C64">
        <w:rPr>
          <w:rFonts w:ascii="Verdana" w:hAnsi="Verdana"/>
          <w:iCs/>
          <w:sz w:val="16"/>
          <w:szCs w:val="16"/>
        </w:rPr>
        <w:t>4. El valor estimado del contrato y su justificación.</w:t>
      </w:r>
    </w:p>
    <w:p w14:paraId="4A708D5E" w14:textId="77777777" w:rsidR="005B2238" w:rsidRPr="007E6C64" w:rsidRDefault="005B2238" w:rsidP="005B2238">
      <w:pPr>
        <w:pStyle w:val="Textonotapie"/>
        <w:tabs>
          <w:tab w:val="left" w:pos="142"/>
        </w:tabs>
        <w:ind w:firstLine="709"/>
        <w:jc w:val="both"/>
        <w:rPr>
          <w:rFonts w:ascii="Verdana" w:hAnsi="Verdana"/>
          <w:sz w:val="16"/>
          <w:szCs w:val="16"/>
        </w:rPr>
      </w:pPr>
      <w:r w:rsidRPr="007E6C64">
        <w:rPr>
          <w:rFonts w:ascii="Verdana" w:hAnsi="Verdana"/>
          <w:iCs/>
          <w:sz w:val="16"/>
          <w:szCs w:val="16"/>
        </w:rPr>
        <w:t>5. El plazo de ejecución del contrato. </w:t>
      </w:r>
    </w:p>
    <w:p w14:paraId="5AEC1A60" w14:textId="77777777" w:rsidR="005B2238" w:rsidRPr="007E6C64" w:rsidRDefault="005B2238" w:rsidP="005B2238">
      <w:pPr>
        <w:pStyle w:val="Textonotapie"/>
        <w:tabs>
          <w:tab w:val="left" w:pos="142"/>
        </w:tabs>
        <w:ind w:firstLine="709"/>
        <w:jc w:val="both"/>
        <w:rPr>
          <w:rFonts w:ascii="Verdana" w:hAnsi="Verdana"/>
          <w:sz w:val="16"/>
          <w:szCs w:val="16"/>
        </w:rPr>
      </w:pPr>
      <w:r w:rsidRPr="007E6C64">
        <w:rPr>
          <w:rFonts w:ascii="Verdana" w:hAnsi="Verdana"/>
          <w:iCs/>
          <w:sz w:val="16"/>
          <w:szCs w:val="16"/>
        </w:rPr>
        <w:t>6. El certificado de disponibilidad presupuesta! que respalda la contratación.</w:t>
      </w:r>
    </w:p>
    <w:p w14:paraId="2EBCBCCD" w14:textId="77777777" w:rsidR="005B2238" w:rsidRDefault="005B2238" w:rsidP="005B2238">
      <w:pPr>
        <w:pStyle w:val="Textonotapie"/>
        <w:ind w:firstLine="709"/>
        <w:jc w:val="both"/>
        <w:rPr>
          <w:rFonts w:ascii="Verdana" w:hAnsi="Verdana"/>
          <w:iCs/>
          <w:sz w:val="16"/>
          <w:szCs w:val="16"/>
        </w:rPr>
      </w:pPr>
      <w:r w:rsidRPr="007E6C64">
        <w:rPr>
          <w:rFonts w:ascii="Verdana" w:hAnsi="Verdana"/>
          <w:iCs/>
          <w:sz w:val="16"/>
          <w:szCs w:val="16"/>
        </w:rPr>
        <w:t>Parágrafo. Dentro de las condiciones técnicas exigidas se podrán incluir aspectos ambientales y sociales en los términos establecidos en el parágrafo del artículo 2.2.1.1.2.2.2. del presente Decreto."</w:t>
      </w:r>
    </w:p>
    <w:p w14:paraId="19A3DBD7" w14:textId="77777777" w:rsidR="005B2238" w:rsidRPr="007E6C64" w:rsidRDefault="005B2238" w:rsidP="005B2238">
      <w:pPr>
        <w:pStyle w:val="Textonotapie"/>
        <w:ind w:firstLine="709"/>
        <w:jc w:val="both"/>
        <w:rPr>
          <w:rFonts w:ascii="Verdana" w:hAnsi="Verdana"/>
          <w:sz w:val="16"/>
          <w:szCs w:val="16"/>
        </w:rPr>
      </w:pPr>
      <w:r w:rsidRPr="007E6C64">
        <w:rPr>
          <w:rFonts w:ascii="Verdana" w:hAnsi="Verdana"/>
          <w:iCs/>
          <w:sz w:val="16"/>
          <w:szCs w:val="16"/>
        </w:rPr>
        <w:t> </w:t>
      </w:r>
    </w:p>
  </w:footnote>
  <w:footnote w:id="5">
    <w:p w14:paraId="3E359901" w14:textId="77777777" w:rsidR="005B2238" w:rsidRPr="007F0BA4" w:rsidRDefault="005B2238" w:rsidP="005B2238">
      <w:pPr>
        <w:pStyle w:val="Textonotapie"/>
        <w:ind w:firstLine="708"/>
        <w:jc w:val="both"/>
        <w:rPr>
          <w:rFonts w:ascii="Verdana" w:hAnsi="Verdana" w:cs="Arial"/>
          <w:sz w:val="14"/>
          <w:szCs w:val="14"/>
        </w:rPr>
      </w:pPr>
      <w:r w:rsidRPr="007E6C64">
        <w:rPr>
          <w:rStyle w:val="Refdenotaalpie"/>
          <w:rFonts w:ascii="Verdana" w:hAnsi="Verdana" w:cs="Arial"/>
          <w:sz w:val="16"/>
          <w:szCs w:val="16"/>
        </w:rPr>
        <w:footnoteRef/>
      </w:r>
      <w:r w:rsidRPr="007E6C64">
        <w:rPr>
          <w:rFonts w:ascii="Verdana" w:hAnsi="Verdana" w:cs="Arial"/>
          <w:sz w:val="16"/>
          <w:szCs w:val="16"/>
        </w:rPr>
        <w:t xml:space="preserve"> PARÁGRAFO 1o. Las particularidades del procedimiento aquí previsto, así como la posibilidad que tengan las entidades de realizar estas adquisiciones a Mipymes o establecimientos que correspondan a la definición de "gran almacén" señalada por la Superintendencia de Industria y Comercio, se determinarán en el reglamento que para el efecto expida el Gobierno Nacional.</w:t>
      </w:r>
    </w:p>
  </w:footnote>
  <w:footnote w:id="6">
    <w:p w14:paraId="293B834C" w14:textId="77777777" w:rsidR="005B2238" w:rsidRDefault="005B2238" w:rsidP="005B2238">
      <w:pPr>
        <w:pStyle w:val="Textonotapie"/>
        <w:ind w:firstLine="709"/>
        <w:jc w:val="both"/>
        <w:rPr>
          <w:sz w:val="16"/>
          <w:szCs w:val="16"/>
        </w:rPr>
      </w:pPr>
      <w:r w:rsidRPr="00A5500E">
        <w:rPr>
          <w:rStyle w:val="Refdenotaalpie"/>
          <w:rFonts w:ascii="Verdana" w:hAnsi="Verdana" w:cs="Arial"/>
          <w:color w:val="000000"/>
          <w:sz w:val="16"/>
          <w:szCs w:val="16"/>
          <w:lang w:val="es-ES_tradnl"/>
        </w:rPr>
        <w:footnoteRef/>
      </w:r>
      <w:r w:rsidRPr="00A5500E">
        <w:rPr>
          <w:rFonts w:ascii="Verdana" w:hAnsi="Verdana" w:cs="Arial"/>
          <w:color w:val="000000"/>
          <w:sz w:val="16"/>
          <w:szCs w:val="16"/>
          <w:lang w:val="es-ES_tradnl"/>
        </w:rPr>
        <w:t xml:space="preserve"> Agencia Nacional de Contratación Pública – Colombia Compra Eficiente. Manual de la Modalidad de Selección de Mínima Cuantía En:</w:t>
      </w:r>
      <w:r w:rsidRPr="00A5500E">
        <w:rPr>
          <w:rFonts w:ascii="Verdana" w:hAnsi="Verdana"/>
          <w:sz w:val="16"/>
          <w:szCs w:val="16"/>
        </w:rPr>
        <w:t xml:space="preserve"> </w:t>
      </w:r>
      <w:hyperlink r:id="rId1" w:history="1">
        <w:r w:rsidRPr="00A5500E">
          <w:rPr>
            <w:rStyle w:val="Hipervnculo"/>
            <w:rFonts w:ascii="Verdana" w:hAnsi="Verdana" w:cs="Arial"/>
            <w:sz w:val="16"/>
            <w:szCs w:val="16"/>
            <w:lang w:val="es-ES_tradnl"/>
          </w:rPr>
          <w:t>https://www.colombiacompra.gov.co/manuales-guias-y-pliegos-tipo/manuales-y-guias</w:t>
        </w:r>
      </w:hyperlink>
    </w:p>
    <w:p w14:paraId="6B28BC78" w14:textId="77777777" w:rsidR="005B2238" w:rsidRPr="00A5500E" w:rsidRDefault="005B2238" w:rsidP="005B2238">
      <w:pPr>
        <w:pStyle w:val="Textonotapie"/>
        <w:ind w:firstLine="709"/>
        <w:jc w:val="both"/>
        <w:rPr>
          <w:rFonts w:ascii="Verdana" w:hAnsi="Verdana" w:cs="Arial"/>
          <w:color w:val="000000"/>
          <w:sz w:val="16"/>
          <w:szCs w:val="16"/>
          <w:lang w:val="es-ES_tradnl"/>
        </w:rPr>
      </w:pPr>
    </w:p>
  </w:footnote>
  <w:footnote w:id="7">
    <w:p w14:paraId="14D33AD6" w14:textId="77777777" w:rsidR="005B2238" w:rsidRPr="007F0BA4" w:rsidRDefault="005B2238" w:rsidP="005B2238">
      <w:pPr>
        <w:pStyle w:val="Textonotapie"/>
        <w:ind w:firstLine="709"/>
        <w:jc w:val="both"/>
        <w:rPr>
          <w:rFonts w:ascii="Verdana" w:hAnsi="Verdana" w:cs="Arial"/>
          <w:i/>
          <w:iCs/>
          <w:color w:val="000000"/>
          <w:sz w:val="14"/>
          <w:szCs w:val="14"/>
          <w:lang w:val="es-ES_tradnl"/>
        </w:rPr>
      </w:pPr>
      <w:r w:rsidRPr="00A5500E">
        <w:rPr>
          <w:rStyle w:val="Refdenotaalpie"/>
          <w:rFonts w:ascii="Verdana" w:hAnsi="Verdana" w:cs="Arial"/>
          <w:color w:val="000000"/>
          <w:sz w:val="16"/>
          <w:szCs w:val="16"/>
          <w:lang w:val="es-ES_tradnl"/>
        </w:rPr>
        <w:footnoteRef/>
      </w:r>
      <w:r w:rsidRPr="00A5500E">
        <w:rPr>
          <w:rFonts w:ascii="Verdana" w:hAnsi="Verdana" w:cs="Arial"/>
          <w:color w:val="000000"/>
          <w:sz w:val="16"/>
          <w:szCs w:val="16"/>
          <w:lang w:val="es-ES_tradnl"/>
        </w:rPr>
        <w:t xml:space="preserve"> Como lo indica la doctrina, en la mínima cuantía “El precio es el factor de selección del proponente. Es decir, la entidad estatal debe adjudicar el proceso de contratación al oferente que cumpla con todas las condiciones exigidas por la entidad estatal en los documentos del proceso (estudios previos e invitación a participar), y que ofrezca el menor valor. No hay lugar a puntajes para evaluar las ofertas sobre las características del objeto a contratar, su calidad o condiciones” (Dávila, Op.cit., p. 515).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11.7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0BF"/>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70E65"/>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41BB"/>
    <w:rsid w:val="00466E39"/>
    <w:rsid w:val="004A1847"/>
    <w:rsid w:val="004A305D"/>
    <w:rsid w:val="004F21C4"/>
    <w:rsid w:val="004F3517"/>
    <w:rsid w:val="004F685F"/>
    <w:rsid w:val="005566E8"/>
    <w:rsid w:val="00566FD0"/>
    <w:rsid w:val="00574867"/>
    <w:rsid w:val="00591460"/>
    <w:rsid w:val="005A65E0"/>
    <w:rsid w:val="005B2238"/>
    <w:rsid w:val="005C3777"/>
    <w:rsid w:val="005C5CDC"/>
    <w:rsid w:val="005D476C"/>
    <w:rsid w:val="006200BF"/>
    <w:rsid w:val="006219F8"/>
    <w:rsid w:val="006302F7"/>
    <w:rsid w:val="00646B9F"/>
    <w:rsid w:val="00665D70"/>
    <w:rsid w:val="0067757D"/>
    <w:rsid w:val="006900D9"/>
    <w:rsid w:val="006F3735"/>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47F2F"/>
    <w:rsid w:val="00867F95"/>
    <w:rsid w:val="008843B6"/>
    <w:rsid w:val="00891928"/>
    <w:rsid w:val="008A446D"/>
    <w:rsid w:val="008B25F1"/>
    <w:rsid w:val="008D180B"/>
    <w:rsid w:val="008F0EA7"/>
    <w:rsid w:val="00923EEF"/>
    <w:rsid w:val="00931C6B"/>
    <w:rsid w:val="009419F9"/>
    <w:rsid w:val="0095685E"/>
    <w:rsid w:val="00961B09"/>
    <w:rsid w:val="00965334"/>
    <w:rsid w:val="0097093E"/>
    <w:rsid w:val="00981C6B"/>
    <w:rsid w:val="009A0DFA"/>
    <w:rsid w:val="009A1C6F"/>
    <w:rsid w:val="009B2D26"/>
    <w:rsid w:val="009C71FA"/>
    <w:rsid w:val="009C72E7"/>
    <w:rsid w:val="009C7F7E"/>
    <w:rsid w:val="009D3058"/>
    <w:rsid w:val="009F3A13"/>
    <w:rsid w:val="00A122D3"/>
    <w:rsid w:val="00A14468"/>
    <w:rsid w:val="00A17F13"/>
    <w:rsid w:val="00A20739"/>
    <w:rsid w:val="00A23AF9"/>
    <w:rsid w:val="00A266E4"/>
    <w:rsid w:val="00A33C78"/>
    <w:rsid w:val="00A4131D"/>
    <w:rsid w:val="00A9700E"/>
    <w:rsid w:val="00AB0ADB"/>
    <w:rsid w:val="00B00C0E"/>
    <w:rsid w:val="00B01B1A"/>
    <w:rsid w:val="00B0381D"/>
    <w:rsid w:val="00B4216C"/>
    <w:rsid w:val="00B44A47"/>
    <w:rsid w:val="00B4683F"/>
    <w:rsid w:val="00B72CD3"/>
    <w:rsid w:val="00B72D4F"/>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308D8"/>
    <w:rsid w:val="00E50AFE"/>
    <w:rsid w:val="00E75C92"/>
    <w:rsid w:val="00E771DC"/>
    <w:rsid w:val="00E8772A"/>
    <w:rsid w:val="00E90F6B"/>
    <w:rsid w:val="00E92C27"/>
    <w:rsid w:val="00EA0E3D"/>
    <w:rsid w:val="00EC38A7"/>
    <w:rsid w:val="00EE1AA8"/>
    <w:rsid w:val="00EF27AB"/>
    <w:rsid w:val="00F039B3"/>
    <w:rsid w:val="00F23FEA"/>
    <w:rsid w:val="00F31EDC"/>
    <w:rsid w:val="00F462B3"/>
    <w:rsid w:val="00F5664F"/>
    <w:rsid w:val="00F666C4"/>
    <w:rsid w:val="00F76AFC"/>
    <w:rsid w:val="00FA47C0"/>
    <w:rsid w:val="00FB5DD1"/>
    <w:rsid w:val="00FC2B5D"/>
    <w:rsid w:val="00FD4169"/>
    <w:rsid w:val="00FF1449"/>
    <w:rsid w:val="00FF7963"/>
    <w:rsid w:val="04EB98D0"/>
    <w:rsid w:val="071B8F93"/>
    <w:rsid w:val="07C73DD1"/>
    <w:rsid w:val="09908A09"/>
    <w:rsid w:val="0A9CB523"/>
    <w:rsid w:val="0EFE6349"/>
    <w:rsid w:val="0FF4CCA8"/>
    <w:rsid w:val="13CFC91B"/>
    <w:rsid w:val="19A2EC2C"/>
    <w:rsid w:val="21779BE6"/>
    <w:rsid w:val="2859CA1B"/>
    <w:rsid w:val="2C4D2425"/>
    <w:rsid w:val="2EE1E026"/>
    <w:rsid w:val="2F44F38F"/>
    <w:rsid w:val="30821638"/>
    <w:rsid w:val="32A4F9CF"/>
    <w:rsid w:val="33A1FF93"/>
    <w:rsid w:val="356CEDFD"/>
    <w:rsid w:val="3C591AFD"/>
    <w:rsid w:val="3F137BFF"/>
    <w:rsid w:val="42183F0A"/>
    <w:rsid w:val="46018B66"/>
    <w:rsid w:val="4B4809F6"/>
    <w:rsid w:val="545B112A"/>
    <w:rsid w:val="5BEB1497"/>
    <w:rsid w:val="69614A15"/>
    <w:rsid w:val="74BA017B"/>
    <w:rsid w:val="7677286E"/>
    <w:rsid w:val="79A64A20"/>
    <w:rsid w:val="7BB183BC"/>
    <w:rsid w:val="7C6D7DA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5B2238"/>
    <w:pPr>
      <w:spacing w:line="240" w:lineRule="exact"/>
    </w:pPr>
    <w:rPr>
      <w:vertAlign w:val="superscript"/>
    </w:rPr>
  </w:style>
  <w:style w:type="character" w:customStyle="1" w:styleId="s15">
    <w:name w:val="s15"/>
    <w:basedOn w:val="Fuentedeprrafopredeter"/>
    <w:rsid w:val="005B2238"/>
  </w:style>
  <w:style w:type="paragraph" w:styleId="Textocomentario">
    <w:name w:val="annotation text"/>
    <w:basedOn w:val="Normal"/>
    <w:link w:val="TextocomentarioCar"/>
    <w:uiPriority w:val="99"/>
    <w:semiHidden/>
    <w:unhideWhenUsed/>
    <w:rsid w:val="00270E6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270E65"/>
    <w:rPr>
      <w:sz w:val="20"/>
      <w:szCs w:val="20"/>
    </w:rPr>
  </w:style>
  <w:style w:type="character" w:styleId="Refdecomentario">
    <w:name w:val="annotation reference"/>
    <w:basedOn w:val="Fuentedeprrafopredeter"/>
    <w:uiPriority w:val="99"/>
    <w:semiHidden/>
    <w:unhideWhenUsed/>
    <w:rsid w:val="00270E65"/>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manual-de-la-modalidad-de-seleccion-de-minima-cuantia"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mailto:santiagovelasquezabogado@outlook.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colombiacompra.gov.co/pqrsd/informacion-importante-antes-de-formular-una-pqrs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D1B8D63-7CF0-4DE8-B4A9-6AA34768D5D3}"/>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FF9DE416-77C7-4BB4-AD47-1E64B3DDF43D}">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14</Pages>
  <Words>4416</Words>
  <Characters>24289</Characters>
  <Application>Microsoft Office Word</Application>
  <DocSecurity>0</DocSecurity>
  <Lines>202</Lines>
  <Paragraphs>57</Paragraphs>
  <ScaleCrop>false</ScaleCrop>
  <Company/>
  <LinksUpToDate>false</LinksUpToDate>
  <CharactersWithSpaces>28648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6</cp:revision>
  <cp:lastPrinted>2023-01-10T21:18:00Z</cp:lastPrinted>
  <dcterms:created xsi:type="dcterms:W3CDTF">2026-05-29T19:51:00Z</dcterms:created>
  <dcterms:modified xsi:type="dcterms:W3CDTF">2026-05-29T21:03:00Z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