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7F0AD" w14:textId="77777777" w:rsidR="00C44D59" w:rsidRPr="00AB2A84" w:rsidRDefault="00C44D59" w:rsidP="00C44D59">
      <w:pPr>
        <w:spacing w:after="0" w:line="276" w:lineRule="auto"/>
        <w:contextualSpacing/>
        <w:jc w:val="both"/>
        <w:rPr>
          <w:rFonts w:ascii="Verdana" w:hAnsi="Verdana" w:cs="Arial"/>
          <w:b/>
          <w:lang w:eastAsia="es-ES"/>
        </w:rPr>
      </w:pPr>
      <w:bookmarkStart w:id="0" w:name="_Hlk181166130"/>
      <w:bookmarkStart w:id="1" w:name="_Hlk209714638"/>
      <w:r w:rsidRPr="00AB2A84">
        <w:rPr>
          <w:rFonts w:ascii="Verdana" w:hAnsi="Verdana" w:cs="Arial"/>
          <w:b/>
          <w:lang w:eastAsia="es-ES"/>
        </w:rPr>
        <w:t>RÉGIMEN DE INHABILIDADES E INCOMPATIBILIDADES – Concepto</w:t>
      </w:r>
    </w:p>
    <w:p w14:paraId="2648F843" w14:textId="77777777" w:rsidR="00C44D59" w:rsidRPr="00AB2A84" w:rsidRDefault="00C44D59" w:rsidP="00C44D59">
      <w:pPr>
        <w:spacing w:line="276" w:lineRule="auto"/>
        <w:contextualSpacing/>
        <w:jc w:val="both"/>
        <w:rPr>
          <w:rFonts w:ascii="Verdana" w:hAnsi="Verdana" w:cs="Arial"/>
          <w:b/>
          <w:lang w:eastAsia="es-ES"/>
        </w:rPr>
      </w:pPr>
    </w:p>
    <w:p w14:paraId="5868ECE4" w14:textId="77777777" w:rsidR="00C44D59" w:rsidRPr="00756126" w:rsidRDefault="00C44D59" w:rsidP="00C44D59">
      <w:pPr>
        <w:spacing w:after="0" w:line="240" w:lineRule="auto"/>
        <w:jc w:val="both"/>
        <w:rPr>
          <w:rFonts w:ascii="Verdana" w:eastAsia="Arial MT" w:hAnsi="Verdana" w:cs="Arial"/>
          <w:sz w:val="20"/>
          <w:szCs w:val="20"/>
          <w:lang w:eastAsia="es-ES" w:bidi="es-ES"/>
        </w:rPr>
      </w:pPr>
      <w:r w:rsidRPr="00756126">
        <w:rPr>
          <w:rFonts w:ascii="Verdana" w:eastAsia="Calibri" w:hAnsi="Verdana" w:cs="Arial"/>
          <w:color w:val="000000" w:themeColor="text1"/>
          <w:sz w:val="20"/>
          <w:szCs w:val="20"/>
          <w:lang w:val="es-ES"/>
        </w:rPr>
        <w:t xml:space="preserve">Las </w:t>
      </w:r>
      <w:r w:rsidRPr="00756126">
        <w:rPr>
          <w:rFonts w:ascii="Verdana" w:eastAsia="Calibri" w:hAnsi="Verdana" w:cs="Arial"/>
          <w:i/>
          <w:iCs/>
          <w:color w:val="000000" w:themeColor="text1"/>
          <w:sz w:val="20"/>
          <w:szCs w:val="20"/>
          <w:lang w:val="es-ES"/>
        </w:rPr>
        <w:t>inhabilidades</w:t>
      </w:r>
      <w:r w:rsidRPr="00756126">
        <w:rPr>
          <w:rFonts w:ascii="Verdana" w:eastAsia="Calibri" w:hAnsi="Verdana" w:cs="Arial"/>
          <w:color w:val="000000" w:themeColor="text1"/>
          <w:sz w:val="20"/>
          <w:szCs w:val="20"/>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756126">
        <w:rPr>
          <w:rFonts w:ascii="Verdana" w:eastAsia="Calibri" w:hAnsi="Verdana" w:cs="Arial"/>
          <w:color w:val="000000" w:themeColor="text1"/>
          <w:sz w:val="20"/>
          <w:szCs w:val="20"/>
          <w:lang w:val="es-ES"/>
        </w:rPr>
        <w:t>ii</w:t>
      </w:r>
      <w:proofErr w:type="spellEnd"/>
      <w:r w:rsidRPr="00756126">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756126">
        <w:rPr>
          <w:rFonts w:ascii="Verdana" w:eastAsia="Calibri" w:hAnsi="Verdana" w:cs="Arial"/>
          <w:color w:val="000000" w:themeColor="text1"/>
          <w:sz w:val="20"/>
          <w:szCs w:val="20"/>
          <w:lang w:val="es-ES"/>
        </w:rPr>
        <w:t>iii</w:t>
      </w:r>
      <w:proofErr w:type="spellEnd"/>
      <w:r w:rsidRPr="00756126">
        <w:rPr>
          <w:rFonts w:ascii="Verdana" w:eastAsia="Calibri" w:hAnsi="Verdana" w:cs="Arial"/>
          <w:color w:val="000000" w:themeColor="text1"/>
          <w:sz w:val="20"/>
          <w:szCs w:val="20"/>
          <w:lang w:val="es-ES"/>
        </w:rPr>
        <w:t xml:space="preserve">) de una actividad u oficio que se desempeñó en el pasado. De otro lado, las </w:t>
      </w:r>
      <w:r w:rsidRPr="00756126">
        <w:rPr>
          <w:rFonts w:ascii="Verdana" w:eastAsia="Calibri" w:hAnsi="Verdana" w:cs="Arial"/>
          <w:i/>
          <w:iCs/>
          <w:color w:val="000000" w:themeColor="text1"/>
          <w:sz w:val="20"/>
          <w:szCs w:val="20"/>
          <w:lang w:val="es-ES"/>
        </w:rPr>
        <w:t xml:space="preserve">incompatibilidades </w:t>
      </w:r>
      <w:r w:rsidRPr="00756126">
        <w:rPr>
          <w:rFonts w:ascii="Verdana" w:eastAsia="Calibri" w:hAnsi="Verdana" w:cs="Arial"/>
          <w:color w:val="000000" w:themeColor="text1"/>
          <w:sz w:val="20"/>
          <w:szCs w:val="20"/>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756126">
        <w:rPr>
          <w:rFonts w:ascii="Verdana" w:eastAsia="Arial MT" w:hAnsi="Verdana" w:cs="Arial"/>
          <w:sz w:val="20"/>
          <w:szCs w:val="20"/>
          <w:lang w:eastAsia="es-ES" w:bidi="es-ES"/>
        </w:rPr>
        <w:t xml:space="preserve">Por su parte, las situaciones de </w:t>
      </w:r>
      <w:r w:rsidRPr="00756126">
        <w:rPr>
          <w:rFonts w:ascii="Verdana" w:eastAsia="Arial MT" w:hAnsi="Verdana" w:cs="Arial"/>
          <w:i/>
          <w:iCs/>
          <w:sz w:val="20"/>
          <w:szCs w:val="20"/>
          <w:lang w:eastAsia="es-ES" w:bidi="es-ES"/>
        </w:rPr>
        <w:t>conflicto de interés</w:t>
      </w:r>
      <w:r w:rsidRPr="00756126">
        <w:rPr>
          <w:rFonts w:ascii="Verdana" w:eastAsia="Arial MT" w:hAnsi="Verdana" w:cs="Arial"/>
          <w:sz w:val="20"/>
          <w:szCs w:val="20"/>
          <w:lang w:eastAsia="es-ES" w:bidi="es-ES"/>
        </w:rPr>
        <w:t xml:space="preserve"> suelen expresarse en prohibiciones, similar a lo que ocurre con las inhabilidades e incompatibilidades. Estas se encuentran establecidas en el pliego de condiciones y en la minuta del contrato. </w:t>
      </w:r>
    </w:p>
    <w:p w14:paraId="4C54DCC4" w14:textId="77777777" w:rsidR="00C44D59" w:rsidRPr="00AB2A84" w:rsidRDefault="00C44D59" w:rsidP="00C44D59">
      <w:pPr>
        <w:spacing w:after="0" w:line="276" w:lineRule="auto"/>
        <w:contextualSpacing/>
        <w:jc w:val="both"/>
        <w:rPr>
          <w:rFonts w:ascii="Verdana" w:hAnsi="Verdana" w:cs="Arial"/>
          <w:b/>
          <w:lang w:eastAsia="es-ES"/>
        </w:rPr>
      </w:pPr>
    </w:p>
    <w:p w14:paraId="6EA6214B" w14:textId="77777777" w:rsidR="00C44D59" w:rsidRPr="00AB2A84" w:rsidRDefault="00C44D59" w:rsidP="00C44D59">
      <w:pPr>
        <w:spacing w:line="276" w:lineRule="auto"/>
        <w:contextualSpacing/>
        <w:jc w:val="both"/>
        <w:rPr>
          <w:rFonts w:ascii="Verdana" w:hAnsi="Verdana" w:cs="Arial"/>
          <w:b/>
          <w:lang w:eastAsia="es-ES"/>
        </w:rPr>
      </w:pPr>
      <w:r w:rsidRPr="00AB2A84">
        <w:rPr>
          <w:rFonts w:ascii="Verdana" w:hAnsi="Verdana" w:cs="Arial"/>
          <w:b/>
          <w:lang w:eastAsia="es-ES"/>
        </w:rPr>
        <w:t xml:space="preserve">REGIMEN DE INHABILIDADES E INCOMPATIBILIDADES – Interpretación restrictiva – principio </w:t>
      </w:r>
      <w:r w:rsidRPr="00AB2A84">
        <w:rPr>
          <w:rFonts w:ascii="Verdana" w:hAnsi="Verdana" w:cs="Arial"/>
          <w:b/>
          <w:i/>
          <w:iCs/>
          <w:lang w:eastAsia="es-ES"/>
        </w:rPr>
        <w:t xml:space="preserve">pro </w:t>
      </w:r>
      <w:proofErr w:type="spellStart"/>
      <w:r w:rsidRPr="00AB2A84">
        <w:rPr>
          <w:rFonts w:ascii="Verdana" w:hAnsi="Verdana" w:cs="Arial"/>
          <w:b/>
          <w:i/>
          <w:iCs/>
          <w:lang w:eastAsia="es-ES"/>
        </w:rPr>
        <w:t>libertate</w:t>
      </w:r>
      <w:proofErr w:type="spellEnd"/>
    </w:p>
    <w:p w14:paraId="76582F22" w14:textId="77777777" w:rsidR="00C44D59" w:rsidRPr="00AB2A84" w:rsidRDefault="00C44D59" w:rsidP="00C44D59">
      <w:pPr>
        <w:spacing w:after="0" w:line="276" w:lineRule="auto"/>
        <w:contextualSpacing/>
        <w:jc w:val="both"/>
        <w:rPr>
          <w:rFonts w:ascii="Verdana" w:hAnsi="Verdana" w:cs="Arial"/>
          <w:b/>
          <w:lang w:eastAsia="es-ES"/>
        </w:rPr>
      </w:pPr>
    </w:p>
    <w:p w14:paraId="301512FB" w14:textId="77777777" w:rsidR="00C44D59" w:rsidRPr="00756126" w:rsidRDefault="00C44D59" w:rsidP="00C44D59">
      <w:pPr>
        <w:spacing w:after="120" w:line="240" w:lineRule="auto"/>
        <w:jc w:val="both"/>
        <w:rPr>
          <w:rFonts w:ascii="Verdana" w:eastAsia="Calibri" w:hAnsi="Verdana" w:cs="Arial"/>
          <w:color w:val="000000" w:themeColor="text1"/>
          <w:sz w:val="20"/>
          <w:szCs w:val="20"/>
          <w:lang w:val="es-ES_tradnl"/>
        </w:rPr>
      </w:pPr>
      <w:r w:rsidRPr="00756126">
        <w:rPr>
          <w:rFonts w:ascii="Verdana" w:eastAsia="Calibri" w:hAnsi="Verdana" w:cs="Arial"/>
          <w:color w:val="000000" w:themeColor="text1"/>
          <w:sz w:val="20"/>
          <w:szCs w:val="20"/>
          <w:lang w:val="es-ES_tradnl"/>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756126">
        <w:rPr>
          <w:rFonts w:ascii="Verdana" w:eastAsia="Calibri" w:hAnsi="Verdana" w:cs="Arial"/>
          <w:i/>
          <w:iCs/>
          <w:color w:val="000000" w:themeColor="text1"/>
          <w:sz w:val="20"/>
          <w:szCs w:val="20"/>
          <w:lang w:val="es-ES_tradnl"/>
        </w:rPr>
        <w:t>restrictiva</w:t>
      </w:r>
      <w:r w:rsidRPr="00756126">
        <w:rPr>
          <w:rFonts w:ascii="Verdana" w:eastAsia="Calibri" w:hAnsi="Verdana" w:cs="Arial"/>
          <w:color w:val="000000" w:themeColor="text1"/>
          <w:sz w:val="20"/>
          <w:szCs w:val="20"/>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3385E2C1" w14:textId="77777777" w:rsidR="00C44D59" w:rsidRPr="00756126" w:rsidRDefault="00C44D59" w:rsidP="00C44D59">
      <w:pPr>
        <w:spacing w:after="120" w:line="240" w:lineRule="auto"/>
        <w:jc w:val="both"/>
        <w:rPr>
          <w:rFonts w:ascii="Verdana" w:eastAsia="Calibri" w:hAnsi="Verdana" w:cs="Arial"/>
          <w:color w:val="000000" w:themeColor="text1"/>
          <w:sz w:val="20"/>
          <w:szCs w:val="20"/>
          <w:lang w:val="es-ES"/>
        </w:rPr>
      </w:pPr>
      <w:r w:rsidRPr="00756126">
        <w:rPr>
          <w:rFonts w:ascii="Verdana" w:hAnsi="Verdana" w:cs="Arial"/>
          <w:bCs/>
          <w:sz w:val="20"/>
          <w:szCs w:val="20"/>
          <w:lang w:val="es-ES" w:eastAsia="es-ES"/>
        </w:rPr>
        <w:t>[…]</w:t>
      </w:r>
      <w:r w:rsidRPr="00756126">
        <w:rPr>
          <w:rFonts w:ascii="Verdana" w:hAnsi="Verdana" w:cs="Arial"/>
          <w:b/>
          <w:sz w:val="20"/>
          <w:szCs w:val="20"/>
          <w:lang w:val="es-ES" w:eastAsia="es-ES"/>
        </w:rPr>
        <w:t xml:space="preserve"> </w:t>
      </w:r>
      <w:r w:rsidRPr="00756126">
        <w:rPr>
          <w:rFonts w:ascii="Verdana" w:eastAsia="Calibri" w:hAnsi="Verdana" w:cs="Arial"/>
          <w:color w:val="000000" w:themeColor="text1"/>
          <w:sz w:val="20"/>
          <w:szCs w:val="20"/>
          <w:lang w:val="es-ES"/>
        </w:rPr>
        <w:t xml:space="preserve">Como se aprecia, el principio </w:t>
      </w:r>
      <w:r w:rsidRPr="00756126">
        <w:rPr>
          <w:rFonts w:ascii="Verdana" w:eastAsia="Calibri" w:hAnsi="Verdana" w:cs="Arial"/>
          <w:i/>
          <w:color w:val="000000" w:themeColor="text1"/>
          <w:sz w:val="20"/>
          <w:szCs w:val="20"/>
          <w:lang w:val="es-ES"/>
        </w:rPr>
        <w:t xml:space="preserve">pro </w:t>
      </w:r>
      <w:proofErr w:type="spellStart"/>
      <w:r w:rsidRPr="00756126">
        <w:rPr>
          <w:rFonts w:ascii="Verdana" w:eastAsia="Calibri" w:hAnsi="Verdana" w:cs="Arial"/>
          <w:i/>
          <w:color w:val="000000" w:themeColor="text1"/>
          <w:sz w:val="20"/>
          <w:szCs w:val="20"/>
          <w:lang w:val="es-ES"/>
        </w:rPr>
        <w:t>libertate</w:t>
      </w:r>
      <w:proofErr w:type="spellEnd"/>
      <w:r w:rsidRPr="00756126">
        <w:rPr>
          <w:rFonts w:ascii="Verdana" w:eastAsia="Calibri" w:hAnsi="Verdana" w:cs="Arial"/>
          <w:color w:val="000000" w:themeColor="text1"/>
          <w:sz w:val="20"/>
          <w:szCs w:val="20"/>
          <w:lang w:val="es-ES"/>
        </w:rPr>
        <w:t xml:space="preserve"> debe dirigir la interpretación de las disposiciones normativas que consagran restricciones de derechos, como sucede con las causales de inhabilidad e incompatibilidad en la contratación estatal.</w:t>
      </w:r>
    </w:p>
    <w:p w14:paraId="3258C91A"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p>
    <w:p w14:paraId="1327ACC3" w14:textId="50301F1F"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r w:rsidRPr="00AB2A84">
        <w:rPr>
          <w:rFonts w:ascii="Verdana" w:eastAsia="Calibri" w:hAnsi="Verdana"/>
          <w:b/>
          <w:color w:val="000000" w:themeColor="text1"/>
          <w:lang w:val="es-ES_tradnl" w:eastAsia="es-ES_tradnl"/>
        </w:rPr>
        <w:t>INHABILIDAD PARA CONTRATAR – Contrato de Interventoría – Suscripción – Alcance</w:t>
      </w:r>
    </w:p>
    <w:p w14:paraId="741B5ECC" w14:textId="77777777" w:rsidR="00C44D59" w:rsidRPr="00AB2A84" w:rsidRDefault="00C44D59" w:rsidP="00C44D59">
      <w:pPr>
        <w:spacing w:line="276" w:lineRule="auto"/>
        <w:contextualSpacing/>
        <w:jc w:val="both"/>
        <w:rPr>
          <w:rFonts w:ascii="Verdana" w:eastAsia="Calibri" w:hAnsi="Verdana"/>
          <w:b/>
          <w:color w:val="000000" w:themeColor="text1"/>
          <w:lang w:val="es-ES_tradnl" w:eastAsia="es-ES_tradnl"/>
        </w:rPr>
      </w:pPr>
    </w:p>
    <w:p w14:paraId="5F05FAE4" w14:textId="002B42D1" w:rsidR="00C44D59" w:rsidRPr="00756126" w:rsidRDefault="00C44D59" w:rsidP="00756126">
      <w:pPr>
        <w:widowControl w:val="0"/>
        <w:autoSpaceDE w:val="0"/>
        <w:autoSpaceDN w:val="0"/>
        <w:spacing w:after="120" w:line="276" w:lineRule="auto"/>
        <w:jc w:val="both"/>
        <w:rPr>
          <w:rFonts w:ascii="Verdana" w:eastAsia="Geomanist Light" w:hAnsi="Verdana" w:cs="Arial"/>
          <w:color w:val="000000" w:themeColor="text1"/>
          <w:sz w:val="20"/>
          <w:szCs w:val="20"/>
          <w:lang w:val="es-MX"/>
        </w:rPr>
      </w:pPr>
      <w:r w:rsidRPr="00756126">
        <w:rPr>
          <w:rFonts w:ascii="Verdana" w:eastAsia="Calibri" w:hAnsi="Verdana" w:cs="Arial"/>
          <w:sz w:val="20"/>
          <w:szCs w:val="20"/>
          <w:lang w:val="es-ES"/>
        </w:rPr>
        <w:t xml:space="preserve">De conformidad con lo establecido en el artículo 5 de la Ley 1474 de 2011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 de la Ley 80 de 1993, durante el plazo de ejecución y hasta la liquidación del mismo, </w:t>
      </w:r>
      <w:r w:rsidRPr="00756126">
        <w:rPr>
          <w:rFonts w:ascii="Verdana" w:eastAsia="Calibri" w:hAnsi="Verdana" w:cs="Arial"/>
          <w:i/>
          <w:iCs/>
          <w:sz w:val="20"/>
          <w:szCs w:val="20"/>
          <w:lang w:val="es-ES"/>
        </w:rPr>
        <w:t xml:space="preserve">no podrán celebrar contratos de interventoría con la misma entidad”. </w:t>
      </w:r>
      <w:r w:rsidR="0063480F" w:rsidRPr="00756126">
        <w:rPr>
          <w:rFonts w:ascii="Verdana" w:hAnsi="Verdana"/>
          <w:sz w:val="20"/>
          <w:szCs w:val="20"/>
        </w:rPr>
        <w:t xml:space="preserve">De conformidad con lo anterior, no podrá celebrar contratos de interventoría </w:t>
      </w:r>
      <w:r w:rsidR="0063480F" w:rsidRPr="00756126">
        <w:rPr>
          <w:rFonts w:ascii="Verdana" w:hAnsi="Verdana"/>
          <w:sz w:val="20"/>
          <w:szCs w:val="20"/>
        </w:rPr>
        <w:lastRenderedPageBreak/>
        <w:t>la persona –natural o jurídica–, consorcio o unión temporal que durante la presentación de ofertas conserve una relación contractual sin liquidar con la misma entidad.</w:t>
      </w:r>
    </w:p>
    <w:p w14:paraId="0376E97A" w14:textId="77777777" w:rsidR="00C44D59" w:rsidRDefault="00C44D59" w:rsidP="00C44D59">
      <w:pPr>
        <w:spacing w:after="0" w:line="276" w:lineRule="auto"/>
        <w:rPr>
          <w:rFonts w:ascii="Verdana" w:eastAsia="Geomanist Light" w:hAnsi="Verdana" w:cs="Arial"/>
          <w:color w:val="000000" w:themeColor="text1"/>
          <w:lang w:val="es-MX"/>
        </w:rPr>
      </w:pPr>
    </w:p>
    <w:p w14:paraId="03E7AF56" w14:textId="77777777" w:rsidR="00C44D59" w:rsidRDefault="00C44D59" w:rsidP="00C44D59">
      <w:pPr>
        <w:spacing w:after="0" w:line="240" w:lineRule="auto"/>
        <w:rPr>
          <w:rFonts w:ascii="Verdana" w:hAnsi="Verdana"/>
        </w:rPr>
      </w:pPr>
    </w:p>
    <w:p w14:paraId="6A3E2AB1" w14:textId="77777777" w:rsidR="00C44D59" w:rsidRDefault="00C44D59" w:rsidP="00C44D59">
      <w:pPr>
        <w:spacing w:after="0" w:line="240" w:lineRule="auto"/>
        <w:rPr>
          <w:rFonts w:ascii="Verdana" w:hAnsi="Verdana"/>
        </w:rPr>
      </w:pPr>
    </w:p>
    <w:p w14:paraId="6008097A" w14:textId="77777777" w:rsidR="008C39B5" w:rsidRDefault="008C39B5" w:rsidP="00C44D59">
      <w:pPr>
        <w:spacing w:after="0" w:line="240" w:lineRule="auto"/>
        <w:rPr>
          <w:rFonts w:ascii="Verdana" w:hAnsi="Verdana"/>
        </w:rPr>
      </w:pPr>
    </w:p>
    <w:p w14:paraId="203A2361" w14:textId="77777777" w:rsidR="008C39B5" w:rsidRDefault="008C39B5" w:rsidP="00C44D59">
      <w:pPr>
        <w:spacing w:after="0" w:line="240" w:lineRule="auto"/>
        <w:rPr>
          <w:rFonts w:ascii="Verdana" w:hAnsi="Verdana"/>
        </w:rPr>
      </w:pPr>
    </w:p>
    <w:p w14:paraId="5845E490" w14:textId="77777777" w:rsidR="008C39B5" w:rsidRDefault="008C39B5" w:rsidP="00C44D59">
      <w:pPr>
        <w:spacing w:after="0" w:line="240" w:lineRule="auto"/>
        <w:rPr>
          <w:rFonts w:ascii="Verdana" w:hAnsi="Verdana"/>
        </w:rPr>
      </w:pPr>
    </w:p>
    <w:p w14:paraId="16A3E946" w14:textId="77777777" w:rsidR="008C39B5" w:rsidRDefault="008C39B5" w:rsidP="00C44D59">
      <w:pPr>
        <w:spacing w:after="0" w:line="240" w:lineRule="auto"/>
        <w:rPr>
          <w:rFonts w:ascii="Verdana" w:hAnsi="Verdana"/>
        </w:rPr>
      </w:pPr>
    </w:p>
    <w:p w14:paraId="0752D5D9" w14:textId="77777777" w:rsidR="008C39B5" w:rsidRDefault="008C39B5" w:rsidP="00C44D59">
      <w:pPr>
        <w:spacing w:after="0" w:line="240" w:lineRule="auto"/>
        <w:rPr>
          <w:rFonts w:ascii="Verdana" w:hAnsi="Verdana"/>
        </w:rPr>
      </w:pPr>
    </w:p>
    <w:p w14:paraId="05EEDD0B" w14:textId="77777777" w:rsidR="008C39B5" w:rsidRDefault="008C39B5" w:rsidP="00C44D59">
      <w:pPr>
        <w:spacing w:after="0" w:line="240" w:lineRule="auto"/>
        <w:rPr>
          <w:rFonts w:ascii="Verdana" w:hAnsi="Verdana"/>
        </w:rPr>
      </w:pPr>
    </w:p>
    <w:p w14:paraId="760344D5" w14:textId="77777777" w:rsidR="008C39B5" w:rsidRDefault="008C39B5" w:rsidP="00C44D59">
      <w:pPr>
        <w:spacing w:after="0" w:line="240" w:lineRule="auto"/>
        <w:rPr>
          <w:rFonts w:ascii="Verdana" w:hAnsi="Verdana"/>
        </w:rPr>
      </w:pPr>
    </w:p>
    <w:p w14:paraId="71493DD3" w14:textId="77777777" w:rsidR="008C39B5" w:rsidRDefault="008C39B5" w:rsidP="00C44D59">
      <w:pPr>
        <w:spacing w:after="0" w:line="240" w:lineRule="auto"/>
        <w:rPr>
          <w:rFonts w:ascii="Verdana" w:hAnsi="Verdana"/>
        </w:rPr>
      </w:pPr>
    </w:p>
    <w:p w14:paraId="1EEE4A80" w14:textId="77777777" w:rsidR="008C39B5" w:rsidRDefault="008C39B5" w:rsidP="00C44D59">
      <w:pPr>
        <w:spacing w:after="0" w:line="240" w:lineRule="auto"/>
        <w:rPr>
          <w:rFonts w:ascii="Verdana" w:hAnsi="Verdana"/>
        </w:rPr>
      </w:pPr>
    </w:p>
    <w:p w14:paraId="20485891" w14:textId="77777777" w:rsidR="008C39B5" w:rsidRDefault="008C39B5" w:rsidP="00C44D59">
      <w:pPr>
        <w:spacing w:after="0" w:line="240" w:lineRule="auto"/>
        <w:rPr>
          <w:rFonts w:ascii="Verdana" w:hAnsi="Verdana"/>
        </w:rPr>
      </w:pPr>
    </w:p>
    <w:p w14:paraId="0070AC85" w14:textId="77777777" w:rsidR="008C39B5" w:rsidRDefault="008C39B5" w:rsidP="00C44D59">
      <w:pPr>
        <w:spacing w:after="0" w:line="240" w:lineRule="auto"/>
        <w:rPr>
          <w:rFonts w:ascii="Verdana" w:hAnsi="Verdana"/>
        </w:rPr>
      </w:pPr>
    </w:p>
    <w:p w14:paraId="2961A64B" w14:textId="77777777" w:rsidR="008C39B5" w:rsidRDefault="008C39B5" w:rsidP="00C44D59">
      <w:pPr>
        <w:spacing w:after="0" w:line="240" w:lineRule="auto"/>
        <w:rPr>
          <w:rFonts w:ascii="Verdana" w:hAnsi="Verdana"/>
        </w:rPr>
      </w:pPr>
    </w:p>
    <w:p w14:paraId="70BC84FA" w14:textId="77777777" w:rsidR="008C39B5" w:rsidRDefault="008C39B5" w:rsidP="00C44D59">
      <w:pPr>
        <w:spacing w:after="0" w:line="240" w:lineRule="auto"/>
        <w:rPr>
          <w:rFonts w:ascii="Verdana" w:hAnsi="Verdana"/>
        </w:rPr>
      </w:pPr>
    </w:p>
    <w:p w14:paraId="281FCFF2" w14:textId="77777777" w:rsidR="008C39B5" w:rsidRDefault="008C39B5" w:rsidP="00C44D59">
      <w:pPr>
        <w:spacing w:after="0" w:line="240" w:lineRule="auto"/>
        <w:rPr>
          <w:rFonts w:ascii="Verdana" w:hAnsi="Verdana"/>
        </w:rPr>
      </w:pPr>
    </w:p>
    <w:p w14:paraId="307B578F" w14:textId="77777777" w:rsidR="008C39B5" w:rsidRDefault="008C39B5" w:rsidP="00C44D59">
      <w:pPr>
        <w:spacing w:after="0" w:line="240" w:lineRule="auto"/>
        <w:rPr>
          <w:rFonts w:ascii="Verdana" w:hAnsi="Verdana"/>
        </w:rPr>
      </w:pPr>
    </w:p>
    <w:p w14:paraId="146C65E1" w14:textId="77777777" w:rsidR="008C39B5" w:rsidRDefault="008C39B5" w:rsidP="00C44D59">
      <w:pPr>
        <w:spacing w:after="0" w:line="240" w:lineRule="auto"/>
        <w:rPr>
          <w:rFonts w:ascii="Verdana" w:hAnsi="Verdana"/>
        </w:rPr>
      </w:pPr>
    </w:p>
    <w:p w14:paraId="4B2108E6" w14:textId="77777777" w:rsidR="008C39B5" w:rsidRDefault="008C39B5" w:rsidP="00C44D59">
      <w:pPr>
        <w:spacing w:after="0" w:line="240" w:lineRule="auto"/>
        <w:rPr>
          <w:rFonts w:ascii="Verdana" w:hAnsi="Verdana"/>
        </w:rPr>
      </w:pPr>
    </w:p>
    <w:p w14:paraId="5B882E13" w14:textId="77777777" w:rsidR="008C39B5" w:rsidRDefault="008C39B5" w:rsidP="00C44D59">
      <w:pPr>
        <w:spacing w:after="0" w:line="240" w:lineRule="auto"/>
        <w:rPr>
          <w:rFonts w:ascii="Verdana" w:hAnsi="Verdana"/>
        </w:rPr>
      </w:pPr>
    </w:p>
    <w:p w14:paraId="00055D5C" w14:textId="77777777" w:rsidR="008C39B5" w:rsidRDefault="008C39B5" w:rsidP="00C44D59">
      <w:pPr>
        <w:spacing w:after="0" w:line="240" w:lineRule="auto"/>
        <w:rPr>
          <w:rFonts w:ascii="Verdana" w:hAnsi="Verdana"/>
        </w:rPr>
      </w:pPr>
    </w:p>
    <w:p w14:paraId="409968C5" w14:textId="77777777" w:rsidR="008C39B5" w:rsidRDefault="008C39B5" w:rsidP="00C44D59">
      <w:pPr>
        <w:spacing w:after="0" w:line="240" w:lineRule="auto"/>
        <w:rPr>
          <w:rFonts w:ascii="Verdana" w:hAnsi="Verdana"/>
        </w:rPr>
      </w:pPr>
    </w:p>
    <w:p w14:paraId="54F55C8A" w14:textId="77777777" w:rsidR="008C39B5" w:rsidRDefault="008C39B5" w:rsidP="00C44D59">
      <w:pPr>
        <w:spacing w:after="0" w:line="240" w:lineRule="auto"/>
        <w:rPr>
          <w:rFonts w:ascii="Verdana" w:hAnsi="Verdana"/>
        </w:rPr>
      </w:pPr>
    </w:p>
    <w:p w14:paraId="7017D0D0" w14:textId="77777777" w:rsidR="008C39B5" w:rsidRDefault="008C39B5" w:rsidP="00C44D59">
      <w:pPr>
        <w:spacing w:after="0" w:line="240" w:lineRule="auto"/>
        <w:rPr>
          <w:rFonts w:ascii="Verdana" w:hAnsi="Verdana"/>
        </w:rPr>
      </w:pPr>
    </w:p>
    <w:p w14:paraId="4EA96DA8" w14:textId="77777777" w:rsidR="008C39B5" w:rsidRDefault="008C39B5" w:rsidP="00C44D59">
      <w:pPr>
        <w:spacing w:after="0" w:line="240" w:lineRule="auto"/>
        <w:rPr>
          <w:rFonts w:ascii="Verdana" w:hAnsi="Verdana"/>
        </w:rPr>
      </w:pPr>
    </w:p>
    <w:p w14:paraId="4B953AD3" w14:textId="77777777" w:rsidR="008C39B5" w:rsidRDefault="008C39B5" w:rsidP="00C44D59">
      <w:pPr>
        <w:spacing w:after="0" w:line="240" w:lineRule="auto"/>
        <w:rPr>
          <w:rFonts w:ascii="Verdana" w:hAnsi="Verdana"/>
        </w:rPr>
      </w:pPr>
    </w:p>
    <w:p w14:paraId="6038DCBE" w14:textId="77777777" w:rsidR="008C39B5" w:rsidRDefault="008C39B5" w:rsidP="00C44D59">
      <w:pPr>
        <w:spacing w:after="0" w:line="240" w:lineRule="auto"/>
        <w:rPr>
          <w:rFonts w:ascii="Verdana" w:hAnsi="Verdana"/>
        </w:rPr>
      </w:pPr>
    </w:p>
    <w:p w14:paraId="492236CA" w14:textId="77777777" w:rsidR="008C39B5" w:rsidRDefault="008C39B5" w:rsidP="00C44D59">
      <w:pPr>
        <w:spacing w:after="0" w:line="240" w:lineRule="auto"/>
        <w:rPr>
          <w:rFonts w:ascii="Verdana" w:hAnsi="Verdana"/>
        </w:rPr>
      </w:pPr>
    </w:p>
    <w:p w14:paraId="58A6AA3F" w14:textId="77777777" w:rsidR="008C39B5" w:rsidRDefault="008C39B5" w:rsidP="00C44D59">
      <w:pPr>
        <w:spacing w:after="0" w:line="240" w:lineRule="auto"/>
        <w:rPr>
          <w:rFonts w:ascii="Verdana" w:hAnsi="Verdana"/>
        </w:rPr>
      </w:pPr>
    </w:p>
    <w:p w14:paraId="6DF8A7D5" w14:textId="77777777" w:rsidR="00C44D59" w:rsidRDefault="00C44D59" w:rsidP="00C44D59">
      <w:pPr>
        <w:spacing w:after="0" w:line="240" w:lineRule="auto"/>
        <w:rPr>
          <w:rFonts w:ascii="Verdana" w:hAnsi="Verdana"/>
        </w:rPr>
      </w:pPr>
    </w:p>
    <w:p w14:paraId="774B86EB" w14:textId="77777777" w:rsidR="00C44D59" w:rsidRDefault="00C44D59" w:rsidP="00C44D59">
      <w:pPr>
        <w:spacing w:after="0" w:line="240" w:lineRule="auto"/>
        <w:rPr>
          <w:rFonts w:ascii="Verdana" w:hAnsi="Verdana"/>
        </w:rPr>
      </w:pPr>
    </w:p>
    <w:p w14:paraId="2783DEFB" w14:textId="77777777" w:rsidR="00C44D59" w:rsidRDefault="00C44D59" w:rsidP="00C44D59">
      <w:pPr>
        <w:spacing w:after="0" w:line="240" w:lineRule="auto"/>
        <w:rPr>
          <w:rFonts w:ascii="Verdana" w:hAnsi="Verdana"/>
        </w:rPr>
      </w:pPr>
    </w:p>
    <w:bookmarkEnd w:id="0"/>
    <w:p w14:paraId="09D10F83" w14:textId="77777777" w:rsidR="00756126" w:rsidRDefault="00756126" w:rsidP="00C44D59">
      <w:pPr>
        <w:spacing w:after="0" w:line="240" w:lineRule="auto"/>
        <w:rPr>
          <w:rFonts w:ascii="Verdana" w:hAnsi="Verdana"/>
        </w:rPr>
      </w:pPr>
    </w:p>
    <w:p w14:paraId="03AC22EF" w14:textId="77777777" w:rsidR="00756126" w:rsidRDefault="00756126" w:rsidP="00C44D59">
      <w:pPr>
        <w:spacing w:after="0" w:line="240" w:lineRule="auto"/>
        <w:rPr>
          <w:rFonts w:ascii="Verdana" w:hAnsi="Verdana"/>
        </w:rPr>
      </w:pPr>
    </w:p>
    <w:p w14:paraId="047A02AF" w14:textId="77777777" w:rsidR="00756126" w:rsidRDefault="00756126" w:rsidP="00C44D59">
      <w:pPr>
        <w:spacing w:after="0" w:line="240" w:lineRule="auto"/>
        <w:rPr>
          <w:rFonts w:ascii="Verdana" w:hAnsi="Verdana"/>
        </w:rPr>
      </w:pPr>
    </w:p>
    <w:p w14:paraId="53CBF939" w14:textId="77777777" w:rsidR="00756126" w:rsidRDefault="00756126" w:rsidP="00C44D59">
      <w:pPr>
        <w:spacing w:after="0" w:line="240" w:lineRule="auto"/>
        <w:rPr>
          <w:rFonts w:ascii="Verdana" w:hAnsi="Verdana"/>
        </w:rPr>
      </w:pPr>
    </w:p>
    <w:p w14:paraId="489AD772" w14:textId="77777777" w:rsidR="00756126" w:rsidRDefault="00756126" w:rsidP="00C44D59">
      <w:pPr>
        <w:spacing w:after="0" w:line="240" w:lineRule="auto"/>
        <w:rPr>
          <w:rFonts w:ascii="Verdana" w:hAnsi="Verdana"/>
        </w:rPr>
      </w:pPr>
    </w:p>
    <w:p w14:paraId="1F7F4B27" w14:textId="77777777" w:rsidR="00756126" w:rsidRDefault="00756126" w:rsidP="00C44D59">
      <w:pPr>
        <w:spacing w:after="0" w:line="240" w:lineRule="auto"/>
        <w:rPr>
          <w:rFonts w:ascii="Verdana" w:hAnsi="Verdana"/>
        </w:rPr>
      </w:pPr>
    </w:p>
    <w:p w14:paraId="5E924E0E" w14:textId="77777777" w:rsidR="00756126" w:rsidRDefault="00756126" w:rsidP="00C44D59">
      <w:pPr>
        <w:spacing w:after="0" w:line="240" w:lineRule="auto"/>
        <w:rPr>
          <w:rFonts w:ascii="Verdana" w:hAnsi="Verdana"/>
        </w:rPr>
      </w:pPr>
    </w:p>
    <w:p w14:paraId="3C65EA22" w14:textId="227D4A0B" w:rsidR="00C44D59" w:rsidRDefault="0063480F" w:rsidP="00C44D59">
      <w:pPr>
        <w:spacing w:after="0" w:line="240" w:lineRule="auto"/>
        <w:rPr>
          <w:rFonts w:ascii="Verdana" w:hAnsi="Verdana"/>
        </w:rPr>
      </w:pPr>
      <w:r w:rsidRPr="0063480F">
        <w:rPr>
          <w:rFonts w:ascii="Verdana" w:hAnsi="Verdana"/>
        </w:rPr>
        <w:lastRenderedPageBreak/>
        <w:t xml:space="preserve">Bogotá D.C., </w:t>
      </w:r>
      <w:r w:rsidR="008C39B5">
        <w:rPr>
          <w:rFonts w:ascii="Verdana" w:hAnsi="Verdana"/>
        </w:rPr>
        <w:t xml:space="preserve">29 </w:t>
      </w:r>
      <w:r w:rsidRPr="0063480F">
        <w:rPr>
          <w:rFonts w:ascii="Verdana" w:hAnsi="Verdana"/>
        </w:rPr>
        <w:t>de</w:t>
      </w:r>
      <w:r w:rsidR="008C39B5">
        <w:rPr>
          <w:rFonts w:ascii="Verdana" w:hAnsi="Verdana"/>
        </w:rPr>
        <w:t xml:space="preserve"> </w:t>
      </w:r>
      <w:r w:rsidR="00756126">
        <w:rPr>
          <w:rFonts w:ascii="Verdana" w:hAnsi="Verdana"/>
        </w:rPr>
        <w:t>mayo</w:t>
      </w:r>
      <w:r w:rsidR="008C39B5">
        <w:rPr>
          <w:rFonts w:ascii="Verdana" w:hAnsi="Verdana"/>
        </w:rPr>
        <w:t xml:space="preserve"> </w:t>
      </w:r>
      <w:r w:rsidRPr="0063480F">
        <w:rPr>
          <w:rFonts w:ascii="Verdana" w:hAnsi="Verdana"/>
        </w:rPr>
        <w:t>de</w:t>
      </w:r>
      <w:r w:rsidR="008C39B5">
        <w:rPr>
          <w:rFonts w:ascii="Verdana" w:hAnsi="Verdana"/>
        </w:rPr>
        <w:t xml:space="preserve"> 2026 </w:t>
      </w:r>
    </w:p>
    <w:p w14:paraId="78B59DA3" w14:textId="40213D9E" w:rsidR="00A0108B" w:rsidRDefault="00A0108B" w:rsidP="00A0108B">
      <w:pPr>
        <w:spacing w:after="0" w:line="240" w:lineRule="auto"/>
        <w:jc w:val="right"/>
        <w:rPr>
          <w:rFonts w:ascii="Verdana" w:hAnsi="Verdana"/>
        </w:rPr>
      </w:pPr>
    </w:p>
    <w:p w14:paraId="2CD3E6B4" w14:textId="029F6110" w:rsidR="00C44D59" w:rsidRDefault="00C44D59" w:rsidP="001A606C">
      <w:pPr>
        <w:spacing w:after="0" w:line="240" w:lineRule="auto"/>
        <w:jc w:val="right"/>
        <w:rPr>
          <w:rFonts w:ascii="Verdana" w:hAnsi="Verdana"/>
        </w:rPr>
      </w:pPr>
    </w:p>
    <w:p w14:paraId="2E7EC300" w14:textId="7C9CE9F5" w:rsidR="001A606C" w:rsidRDefault="001A606C" w:rsidP="00C44D59">
      <w:pPr>
        <w:spacing w:after="0" w:line="240" w:lineRule="auto"/>
        <w:rPr>
          <w:rFonts w:ascii="Verdana" w:hAnsi="Verdana"/>
        </w:rPr>
      </w:pPr>
    </w:p>
    <w:p w14:paraId="1508AC78" w14:textId="1CC07547" w:rsidR="00363943" w:rsidRPr="00756126" w:rsidRDefault="00756126" w:rsidP="00363943">
      <w:pPr>
        <w:spacing w:after="0" w:line="240" w:lineRule="auto"/>
        <w:jc w:val="both"/>
        <w:rPr>
          <w:rFonts w:ascii="Verdana" w:eastAsia="Calibri" w:hAnsi="Verdana" w:cs="Arial"/>
          <w:lang w:eastAsia="es-ES"/>
        </w:rPr>
      </w:pPr>
      <w:r w:rsidRPr="008C39B5">
        <w:rPr>
          <w:rFonts w:ascii="Verdana" w:hAnsi="Verdana"/>
          <w:noProof/>
        </w:rPr>
        <w:drawing>
          <wp:anchor distT="0" distB="0" distL="114300" distR="114300" simplePos="0" relativeHeight="251658240" behindDoc="0" locked="0" layoutInCell="1" allowOverlap="1" wp14:anchorId="49A2955F" wp14:editId="3B634028">
            <wp:simplePos x="0" y="0"/>
            <wp:positionH relativeFrom="margin">
              <wp:align>right</wp:align>
            </wp:positionH>
            <wp:positionV relativeFrom="paragraph">
              <wp:posOffset>10795</wp:posOffset>
            </wp:positionV>
            <wp:extent cx="2727960" cy="691515"/>
            <wp:effectExtent l="0" t="0" r="0" b="0"/>
            <wp:wrapSquare wrapText="bothSides"/>
            <wp:docPr id="21359583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958340" name=""/>
                    <pic:cNvPicPr/>
                  </pic:nvPicPr>
                  <pic:blipFill>
                    <a:blip r:embed="rId11">
                      <a:extLst>
                        <a:ext uri="{28A0092B-C50C-407E-A947-70E740481C1C}">
                          <a14:useLocalDpi xmlns:a14="http://schemas.microsoft.com/office/drawing/2010/main" val="0"/>
                        </a:ext>
                      </a:extLst>
                    </a:blip>
                    <a:stretch>
                      <a:fillRect/>
                    </a:stretch>
                  </pic:blipFill>
                  <pic:spPr>
                    <a:xfrm>
                      <a:off x="0" y="0"/>
                      <a:ext cx="2727960" cy="691515"/>
                    </a:xfrm>
                    <a:prstGeom prst="rect">
                      <a:avLst/>
                    </a:prstGeom>
                  </pic:spPr>
                </pic:pic>
              </a:graphicData>
            </a:graphic>
            <wp14:sizeRelH relativeFrom="margin">
              <wp14:pctWidth>0</wp14:pctWidth>
            </wp14:sizeRelH>
            <wp14:sizeRelV relativeFrom="margin">
              <wp14:pctHeight>0</wp14:pctHeight>
            </wp14:sizeRelV>
          </wp:anchor>
        </w:drawing>
      </w:r>
      <w:r w:rsidR="00C44D59" w:rsidRPr="00631045">
        <w:rPr>
          <w:rFonts w:ascii="Verdana" w:eastAsia="Calibri" w:hAnsi="Verdana" w:cs="Arial"/>
          <w:lang w:eastAsia="es-ES"/>
        </w:rPr>
        <w:t>Señor</w:t>
      </w:r>
      <w:r w:rsidR="00C44D59" w:rsidRPr="00631045">
        <w:rPr>
          <w:rFonts w:ascii="Verdana" w:eastAsia="Calibri" w:hAnsi="Verdana" w:cs="Arial"/>
          <w:lang w:eastAsia="es-ES"/>
        </w:rPr>
        <w:tab/>
      </w:r>
    </w:p>
    <w:p w14:paraId="3B758A24" w14:textId="57A03933" w:rsidR="00363943" w:rsidRDefault="00363943" w:rsidP="00363943">
      <w:pPr>
        <w:spacing w:after="0" w:line="240" w:lineRule="auto"/>
        <w:rPr>
          <w:rFonts w:ascii="Verdana" w:eastAsia="Calibri" w:hAnsi="Verdana" w:cs="Arial"/>
          <w:b/>
          <w:bCs/>
          <w:lang w:eastAsia="es-ES"/>
        </w:rPr>
      </w:pPr>
      <w:r w:rsidRPr="00363943">
        <w:rPr>
          <w:rFonts w:ascii="Verdana" w:eastAsia="Calibri" w:hAnsi="Verdana" w:cs="Arial"/>
          <w:b/>
          <w:bCs/>
          <w:lang w:eastAsia="es-ES"/>
        </w:rPr>
        <w:t>C</w:t>
      </w:r>
      <w:r w:rsidR="0063480F" w:rsidRPr="00363943">
        <w:rPr>
          <w:rFonts w:ascii="Verdana" w:eastAsia="Calibri" w:hAnsi="Verdana" w:cs="Arial"/>
          <w:b/>
          <w:bCs/>
          <w:lang w:eastAsia="es-ES"/>
        </w:rPr>
        <w:t>ristian</w:t>
      </w:r>
      <w:r w:rsidRPr="00363943">
        <w:rPr>
          <w:rFonts w:ascii="Verdana" w:eastAsia="Calibri" w:hAnsi="Verdana" w:cs="Arial"/>
          <w:b/>
          <w:bCs/>
          <w:lang w:eastAsia="es-ES"/>
        </w:rPr>
        <w:t xml:space="preserve"> C</w:t>
      </w:r>
      <w:r w:rsidR="0063480F" w:rsidRPr="00363943">
        <w:rPr>
          <w:rFonts w:ascii="Verdana" w:eastAsia="Calibri" w:hAnsi="Verdana" w:cs="Arial"/>
          <w:b/>
          <w:bCs/>
          <w:lang w:eastAsia="es-ES"/>
        </w:rPr>
        <w:t>amilo</w:t>
      </w:r>
      <w:r w:rsidRPr="00363943">
        <w:rPr>
          <w:rFonts w:ascii="Verdana" w:eastAsia="Calibri" w:hAnsi="Verdana" w:cs="Arial"/>
          <w:b/>
          <w:bCs/>
          <w:lang w:eastAsia="es-ES"/>
        </w:rPr>
        <w:t xml:space="preserve"> H</w:t>
      </w:r>
      <w:r w:rsidR="0063480F" w:rsidRPr="00363943">
        <w:rPr>
          <w:rFonts w:ascii="Verdana" w:eastAsia="Calibri" w:hAnsi="Verdana" w:cs="Arial"/>
          <w:b/>
          <w:bCs/>
          <w:lang w:eastAsia="es-ES"/>
        </w:rPr>
        <w:t>enao</w:t>
      </w:r>
      <w:r w:rsidRPr="00363943">
        <w:rPr>
          <w:rFonts w:ascii="Verdana" w:eastAsia="Calibri" w:hAnsi="Verdana" w:cs="Arial"/>
          <w:b/>
          <w:bCs/>
          <w:lang w:eastAsia="es-ES"/>
        </w:rPr>
        <w:t xml:space="preserve"> P</w:t>
      </w:r>
      <w:r w:rsidR="0063480F" w:rsidRPr="00363943">
        <w:rPr>
          <w:rFonts w:ascii="Verdana" w:eastAsia="Calibri" w:hAnsi="Verdana" w:cs="Arial"/>
          <w:b/>
          <w:bCs/>
          <w:lang w:eastAsia="es-ES"/>
        </w:rPr>
        <w:t>alacios</w:t>
      </w:r>
    </w:p>
    <w:p w14:paraId="226256E2" w14:textId="1B0778C7" w:rsidR="0063480F" w:rsidRDefault="0063480F" w:rsidP="00C44D59">
      <w:pPr>
        <w:spacing w:after="0" w:line="240" w:lineRule="auto"/>
      </w:pPr>
      <w:hyperlink r:id="rId12" w:history="1">
        <w:r w:rsidRPr="00625985">
          <w:rPr>
            <w:rStyle w:val="Hipervnculo"/>
          </w:rPr>
          <w:t>licitacionesgab2@gmail.com</w:t>
        </w:r>
      </w:hyperlink>
    </w:p>
    <w:p w14:paraId="0E26F349" w14:textId="6E0A761E" w:rsidR="00C44D59" w:rsidRDefault="00C44D59" w:rsidP="00C44D59">
      <w:pPr>
        <w:spacing w:after="0" w:line="240" w:lineRule="auto"/>
        <w:rPr>
          <w:rFonts w:ascii="Verdana" w:hAnsi="Verdana"/>
        </w:rPr>
      </w:pPr>
      <w:r>
        <w:rPr>
          <w:rFonts w:ascii="Verdana" w:hAnsi="Verdana"/>
        </w:rPr>
        <w:t xml:space="preserve">Bogotá D.C. </w:t>
      </w:r>
    </w:p>
    <w:p w14:paraId="3013BAD3" w14:textId="77777777" w:rsidR="008C39B5" w:rsidRDefault="008C39B5" w:rsidP="00C44D59">
      <w:pPr>
        <w:spacing w:after="0" w:line="240" w:lineRule="auto"/>
        <w:rPr>
          <w:rFonts w:ascii="Verdana" w:hAnsi="Verdana"/>
        </w:rPr>
      </w:pPr>
    </w:p>
    <w:p w14:paraId="28C9C240" w14:textId="39D0BE4D" w:rsidR="008C39B5" w:rsidRDefault="008C39B5" w:rsidP="008C39B5">
      <w:pPr>
        <w:spacing w:after="0" w:line="240" w:lineRule="auto"/>
        <w:jc w:val="right"/>
        <w:rPr>
          <w:rFonts w:ascii="Verdana" w:hAnsi="Verdana"/>
        </w:rPr>
      </w:pPr>
    </w:p>
    <w:p w14:paraId="074FF736" w14:textId="46008378" w:rsidR="00C44D59" w:rsidRPr="00FE3DEC" w:rsidRDefault="00C44D59" w:rsidP="00C44D59">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C44D59" w:rsidRPr="00593A5F" w14:paraId="3FE8E307" w14:textId="77777777" w:rsidTr="00E11A84">
        <w:trPr>
          <w:trHeight w:val="273"/>
        </w:trPr>
        <w:tc>
          <w:tcPr>
            <w:tcW w:w="2295" w:type="dxa"/>
          </w:tcPr>
          <w:p w14:paraId="21CB953B" w14:textId="77777777" w:rsidR="00C44D59" w:rsidRPr="00E5644F" w:rsidRDefault="00C44D59" w:rsidP="00E11A84">
            <w:pPr>
              <w:jc w:val="both"/>
              <w:rPr>
                <w:rFonts w:ascii="Verdana" w:eastAsia="Calibri" w:hAnsi="Verdana" w:cs="Arial"/>
                <w:b/>
                <w:bCs/>
                <w:color w:val="7030A0"/>
                <w:lang w:val="es-ES_tradnl" w:eastAsia="es-ES_tradnl"/>
              </w:rPr>
            </w:pPr>
          </w:p>
        </w:tc>
        <w:tc>
          <w:tcPr>
            <w:tcW w:w="6481" w:type="dxa"/>
            <w:gridSpan w:val="2"/>
          </w:tcPr>
          <w:p w14:paraId="1A28BE45" w14:textId="3F588EB9" w:rsidR="00C44D59" w:rsidRDefault="00C44D59" w:rsidP="00E11A84">
            <w:pPr>
              <w:jc w:val="both"/>
              <w:rPr>
                <w:rFonts w:ascii="Verdana" w:eastAsia="Calibri" w:hAnsi="Verdana" w:cs="Arial"/>
                <w:b/>
                <w:bCs/>
                <w:lang w:val="es-ES" w:eastAsia="es-ES"/>
              </w:rPr>
            </w:pPr>
            <w:r w:rsidRPr="00E5644F">
              <w:rPr>
                <w:rFonts w:ascii="Verdana" w:eastAsia="Calibri" w:hAnsi="Verdana" w:cs="Arial"/>
                <w:b/>
                <w:bCs/>
                <w:lang w:val="es-ES" w:eastAsia="es-ES"/>
              </w:rPr>
              <w:t>Concepto C-</w:t>
            </w:r>
            <w:r w:rsidR="00363943">
              <w:rPr>
                <w:rFonts w:ascii="Verdana" w:eastAsia="Calibri" w:hAnsi="Verdana" w:cs="Arial"/>
                <w:b/>
                <w:bCs/>
                <w:lang w:val="es-ES" w:eastAsia="es-ES"/>
              </w:rPr>
              <w:t>634</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sidR="0063480F">
              <w:rPr>
                <w:rFonts w:ascii="Verdana" w:eastAsia="Calibri" w:hAnsi="Verdana" w:cs="Arial"/>
                <w:b/>
                <w:bCs/>
                <w:lang w:val="es-ES" w:eastAsia="es-ES"/>
              </w:rPr>
              <w:t>6</w:t>
            </w:r>
          </w:p>
          <w:p w14:paraId="28181BA2" w14:textId="77777777" w:rsidR="00C44D59" w:rsidRPr="00E5644F" w:rsidRDefault="00C44D59" w:rsidP="00E11A84">
            <w:pPr>
              <w:jc w:val="both"/>
              <w:rPr>
                <w:rFonts w:ascii="Verdana" w:eastAsia="Calibri" w:hAnsi="Verdana" w:cs="Arial"/>
                <w:b/>
                <w:bCs/>
                <w:color w:val="7030A0"/>
                <w:lang w:val="es-ES" w:eastAsia="es-ES"/>
              </w:rPr>
            </w:pPr>
          </w:p>
        </w:tc>
      </w:tr>
      <w:tr w:rsidR="00C44D59" w:rsidRPr="00280D79" w14:paraId="0C6207EB" w14:textId="77777777" w:rsidTr="00E11A84">
        <w:trPr>
          <w:trHeight w:val="1583"/>
        </w:trPr>
        <w:tc>
          <w:tcPr>
            <w:tcW w:w="2295" w:type="dxa"/>
          </w:tcPr>
          <w:p w14:paraId="645A60D4" w14:textId="77777777" w:rsidR="00C44D59" w:rsidRPr="00593A5F" w:rsidRDefault="00C44D59" w:rsidP="00E11A8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A418452" w14:textId="25DF6575" w:rsidR="00C44D59" w:rsidRDefault="00C44D59" w:rsidP="00E11A84">
            <w:pPr>
              <w:spacing w:line="276" w:lineRule="auto"/>
              <w:jc w:val="both"/>
              <w:rPr>
                <w:rFonts w:ascii="Verdana" w:hAnsi="Verdana" w:cs="Arial"/>
                <w:lang w:val="es-ES" w:eastAsia="es-ES"/>
              </w:rPr>
            </w:pPr>
            <w:r w:rsidRPr="00CD019F">
              <w:rPr>
                <w:rFonts w:ascii="Verdana" w:hAnsi="Verdana" w:cs="Arial"/>
                <w:bCs/>
                <w:lang w:eastAsia="es-ES"/>
              </w:rPr>
              <w:t xml:space="preserve">RÉGIMEN DE INHABILIDADES E INCOMPATIBILIDADES – Concepto </w:t>
            </w:r>
            <w:r>
              <w:rPr>
                <w:rFonts w:ascii="Verdana" w:hAnsi="Verdana" w:cs="Arial"/>
                <w:bCs/>
                <w:lang w:eastAsia="es-ES"/>
              </w:rPr>
              <w:t xml:space="preserve">/ </w:t>
            </w:r>
            <w:r w:rsidRPr="00CD019F">
              <w:rPr>
                <w:rFonts w:ascii="Verdana" w:hAnsi="Verdana" w:cs="Arial"/>
                <w:bCs/>
                <w:lang w:eastAsia="es-ES"/>
              </w:rPr>
              <w:t>REGIMEN DE INHABILIDADES E INCOMPATIBILIDADES – Interpretación restrictiva</w:t>
            </w:r>
            <w:r>
              <w:rPr>
                <w:rFonts w:ascii="Verdana" w:hAnsi="Verdana" w:cs="Arial"/>
                <w:bCs/>
                <w:lang w:eastAsia="es-ES"/>
              </w:rPr>
              <w:t xml:space="preserve"> –principio pro </w:t>
            </w:r>
            <w:proofErr w:type="spellStart"/>
            <w:r>
              <w:rPr>
                <w:rFonts w:ascii="Verdana" w:hAnsi="Verdana" w:cs="Arial"/>
                <w:bCs/>
                <w:lang w:eastAsia="es-ES"/>
              </w:rPr>
              <w:t>libertate</w:t>
            </w:r>
            <w:proofErr w:type="spellEnd"/>
            <w:r w:rsidRPr="00CD019F">
              <w:rPr>
                <w:rFonts w:ascii="Verdana" w:hAnsi="Verdana" w:cs="Arial"/>
                <w:lang w:val="es-ES" w:eastAsia="es-ES"/>
              </w:rPr>
              <w:t xml:space="preserve"> / </w:t>
            </w:r>
            <w:r w:rsidRPr="00C23CEB">
              <w:rPr>
                <w:rFonts w:ascii="Verdana" w:eastAsia="Calibri" w:hAnsi="Verdana"/>
                <w:color w:val="000000" w:themeColor="text1"/>
                <w:lang w:val="es-ES_tradnl" w:eastAsia="es-ES_tradnl"/>
              </w:rPr>
              <w:t>INHABILIDAD PARA CONTRATAR – Contrato de Interventoría – Suscripción – Alcance</w:t>
            </w:r>
          </w:p>
          <w:p w14:paraId="3E7E3FCA" w14:textId="77777777" w:rsidR="00C44D59" w:rsidRPr="00280D79" w:rsidRDefault="00C44D59" w:rsidP="00E11A84">
            <w:pPr>
              <w:jc w:val="both"/>
              <w:rPr>
                <w:rFonts w:ascii="Verdana" w:eastAsia="Calibri" w:hAnsi="Verdana" w:cs="Arial"/>
                <w:b/>
                <w:highlight w:val="yellow"/>
                <w:lang w:val="es-ES" w:eastAsia="es-ES"/>
              </w:rPr>
            </w:pPr>
          </w:p>
        </w:tc>
      </w:tr>
      <w:tr w:rsidR="00C44D59" w:rsidRPr="00593A5F" w14:paraId="21769E20" w14:textId="77777777" w:rsidTr="00E11A84">
        <w:trPr>
          <w:trHeight w:val="545"/>
        </w:trPr>
        <w:tc>
          <w:tcPr>
            <w:tcW w:w="2295" w:type="dxa"/>
          </w:tcPr>
          <w:p w14:paraId="27D68C8D" w14:textId="77777777" w:rsidR="00C44D59" w:rsidRPr="006730E9" w:rsidRDefault="00C44D59" w:rsidP="00E11A8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CDAD051" w14:textId="5DA60030" w:rsidR="00C44D59" w:rsidRPr="006730E9" w:rsidRDefault="00C44D59" w:rsidP="00E11A8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363943" w:rsidRPr="00363943">
              <w:rPr>
                <w:rFonts w:ascii="Verdana" w:eastAsia="Calibri" w:hAnsi="Verdana" w:cs="Arial"/>
                <w:lang w:val="es-ES_tradnl" w:eastAsia="es-ES_tradnl"/>
              </w:rPr>
              <w:t>1_2026_04_17_005249</w:t>
            </w:r>
          </w:p>
        </w:tc>
      </w:tr>
      <w:tr w:rsidR="00C44D59" w:rsidRPr="00DB23D2" w14:paraId="47D3BCAA" w14:textId="77777777" w:rsidTr="00E11A84">
        <w:trPr>
          <w:gridAfter w:val="1"/>
          <w:wAfter w:w="319" w:type="dxa"/>
          <w:trHeight w:val="242"/>
        </w:trPr>
        <w:tc>
          <w:tcPr>
            <w:tcW w:w="8457" w:type="dxa"/>
            <w:gridSpan w:val="2"/>
          </w:tcPr>
          <w:p w14:paraId="5E9CFE46" w14:textId="77777777" w:rsidR="00C44D59" w:rsidRPr="00DB23D2" w:rsidRDefault="00C44D59" w:rsidP="00E11A84">
            <w:pPr>
              <w:spacing w:line="276" w:lineRule="auto"/>
              <w:jc w:val="both"/>
              <w:rPr>
                <w:rFonts w:ascii="Verdana" w:eastAsia="Calibri" w:hAnsi="Verdana" w:cs="Arial"/>
                <w:lang w:val="es-ES_tradnl" w:eastAsia="es-ES"/>
              </w:rPr>
            </w:pPr>
          </w:p>
        </w:tc>
      </w:tr>
    </w:tbl>
    <w:p w14:paraId="20F99B8E" w14:textId="2CBB2FE2" w:rsidR="00C44D59" w:rsidRPr="006730E9" w:rsidRDefault="00C44D59" w:rsidP="00C44D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63480F">
        <w:rPr>
          <w:rFonts w:ascii="Verdana" w:eastAsia="Calibri" w:hAnsi="Verdana" w:cs="Arial"/>
          <w:lang w:val="es-ES" w:eastAsia="es-ES"/>
        </w:rPr>
        <w:t>Henao</w:t>
      </w:r>
      <w:r>
        <w:rPr>
          <w:rFonts w:ascii="Verdana" w:eastAsia="Calibri" w:hAnsi="Verdana" w:cs="Arial"/>
          <w:lang w:val="es-ES" w:eastAsia="es-ES"/>
        </w:rPr>
        <w:t>;</w:t>
      </w:r>
    </w:p>
    <w:p w14:paraId="22D1493D" w14:textId="77777777" w:rsidR="00C44D59" w:rsidRDefault="00C44D59" w:rsidP="00C44D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51F37AE8" w14:textId="470DF14B" w:rsidR="00C44D59" w:rsidRPr="006730E9" w:rsidRDefault="00C44D59" w:rsidP="00C44D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w:t>
      </w:r>
      <w:r>
        <w:rPr>
          <w:rFonts w:ascii="Verdana" w:eastAsia="Calibri" w:hAnsi="Verdana" w:cs="Arial"/>
          <w:lang w:val="es-ES" w:eastAsia="es-ES"/>
        </w:rPr>
        <w:t xml:space="preserve"> a</w:t>
      </w:r>
      <w:r w:rsidRPr="006730E9">
        <w:rPr>
          <w:rFonts w:ascii="Verdana" w:eastAsia="Calibri" w:hAnsi="Verdana" w:cs="Arial"/>
          <w:lang w:val="es-ES" w:eastAsia="es-ES"/>
        </w:rPr>
        <w:t xml:space="preserv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sidR="0063480F">
        <w:rPr>
          <w:rFonts w:ascii="Verdana" w:eastAsia="Calibri" w:hAnsi="Verdana" w:cs="Arial"/>
          <w:lang w:val="es-ES" w:eastAsia="es-ES"/>
        </w:rPr>
        <w:t>17</w:t>
      </w:r>
      <w:r w:rsidRPr="00656A22">
        <w:rPr>
          <w:rFonts w:ascii="Verdana" w:eastAsia="Calibri" w:hAnsi="Verdana" w:cs="Arial"/>
          <w:lang w:val="es-ES" w:eastAsia="es-ES"/>
        </w:rPr>
        <w:t xml:space="preserve"> de </w:t>
      </w:r>
      <w:r w:rsidR="0063480F">
        <w:rPr>
          <w:rFonts w:ascii="Verdana" w:eastAsia="Calibri" w:hAnsi="Verdana" w:cs="Arial"/>
          <w:lang w:val="es-ES" w:eastAsia="es-ES"/>
        </w:rPr>
        <w:t>abril</w:t>
      </w:r>
      <w:r w:rsidRPr="00656A22">
        <w:rPr>
          <w:rFonts w:ascii="Verdana" w:eastAsia="Calibri" w:hAnsi="Verdana" w:cs="Arial"/>
          <w:lang w:val="es-ES" w:eastAsia="es-ES"/>
        </w:rPr>
        <w:t xml:space="preserve"> de 202</w:t>
      </w:r>
      <w:r w:rsidR="0063480F">
        <w:rPr>
          <w:rFonts w:ascii="Verdana" w:eastAsia="Calibri" w:hAnsi="Verdana" w:cs="Arial"/>
          <w:lang w:val="es-ES" w:eastAsia="es-ES"/>
        </w:rPr>
        <w:t>6</w:t>
      </w:r>
      <w:r w:rsidRPr="00656A22">
        <w:rPr>
          <w:rFonts w:ascii="Verdana" w:eastAsia="Calibri" w:hAnsi="Verdana" w:cs="Arial"/>
          <w:lang w:val="es-ES" w:eastAsia="es-ES"/>
        </w:rPr>
        <w:t>,</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04BEF6A5" w14:textId="77777777" w:rsidR="00C44D59" w:rsidRPr="00326382" w:rsidRDefault="00C44D59" w:rsidP="00C44D59">
      <w:pPr>
        <w:spacing w:after="0" w:line="276" w:lineRule="auto"/>
        <w:ind w:left="709" w:right="474"/>
        <w:jc w:val="both"/>
        <w:rPr>
          <w:rFonts w:ascii="Verdana" w:hAnsi="Verdana" w:cs="Arial"/>
          <w:sz w:val="20"/>
          <w:szCs w:val="20"/>
          <w:shd w:val="clear" w:color="auto" w:fill="FFFFFF"/>
        </w:rPr>
      </w:pPr>
      <w:bookmarkStart w:id="2" w:name="_Hlk95313578"/>
    </w:p>
    <w:bookmarkEnd w:id="2"/>
    <w:p w14:paraId="0DB9F8B7" w14:textId="4225C8CC" w:rsidR="00C44D59" w:rsidRDefault="00C44D59" w:rsidP="00BC7734">
      <w:pPr>
        <w:tabs>
          <w:tab w:val="left" w:pos="142"/>
          <w:tab w:val="left" w:pos="567"/>
        </w:tabs>
        <w:spacing w:after="0" w:line="240" w:lineRule="auto"/>
        <w:ind w:left="1418" w:right="1325"/>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Dentro del régimen de inhabilidades e incompatibilidades</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previsto en el ordenamiento jurídico para contratar con el</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Estado, se encuentra la establecida en el artículo 5 de la Ley</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1474 de 2011, la cual prohíbe celebrar contratos de</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interventoría a quienes hayan suscrito con la misma entidad</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contratos de obra pública, concesión, suministro de</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medicamentos o de alimentos; dicha prohibición se extiende</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igualmente al cónyuge, compañero(a) permanente, parientes</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hasta el segundo grado de consanguinidad, segundo de afinidad</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 xml:space="preserve">y primero </w:t>
      </w:r>
      <w:r w:rsidR="00BC7734" w:rsidRPr="00BC7734">
        <w:rPr>
          <w:rFonts w:ascii="Verdana" w:eastAsia="Century Gothic" w:hAnsi="Verdana" w:cs="Century Gothic"/>
          <w:i/>
          <w:iCs/>
          <w:sz w:val="20"/>
          <w:szCs w:val="20"/>
        </w:rPr>
        <w:lastRenderedPageBreak/>
        <w:t>civil, así como a sus socios en sociedades distintas</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de las anónimas abiertas. En ese sentido, se formula la</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siguiente consulta: ¿un proponente que actualmente se</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encuentra ejecutando un contrato de obra con una entidad</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estatal se encuentra inhabilitado para celebrar un contrato de</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interventoría respecto de un proyecto distinto con esa misma</w:t>
      </w:r>
      <w:r w:rsidR="00BC7734">
        <w:rPr>
          <w:rFonts w:ascii="Verdana" w:eastAsia="Century Gothic" w:hAnsi="Verdana" w:cs="Century Gothic"/>
          <w:i/>
          <w:iCs/>
          <w:sz w:val="20"/>
          <w:szCs w:val="20"/>
        </w:rPr>
        <w:t xml:space="preserve"> </w:t>
      </w:r>
      <w:r w:rsidR="00BC7734" w:rsidRPr="00BC7734">
        <w:rPr>
          <w:rFonts w:ascii="Verdana" w:eastAsia="Century Gothic" w:hAnsi="Verdana" w:cs="Century Gothic"/>
          <w:i/>
          <w:iCs/>
          <w:sz w:val="20"/>
          <w:szCs w:val="20"/>
        </w:rPr>
        <w:t>entidad?</w:t>
      </w:r>
      <w:r w:rsidR="00BC7734">
        <w:rPr>
          <w:rFonts w:ascii="Verdana" w:eastAsia="Century Gothic" w:hAnsi="Verdana" w:cs="Century Gothic"/>
          <w:i/>
          <w:iCs/>
          <w:sz w:val="20"/>
          <w:szCs w:val="20"/>
        </w:rPr>
        <w:t xml:space="preserve"> </w:t>
      </w:r>
    </w:p>
    <w:p w14:paraId="5338B933" w14:textId="77777777" w:rsidR="00BC7734" w:rsidRPr="00BC7734" w:rsidRDefault="00BC7734" w:rsidP="00BC7734">
      <w:pPr>
        <w:tabs>
          <w:tab w:val="left" w:pos="142"/>
          <w:tab w:val="left" w:pos="567"/>
        </w:tabs>
        <w:spacing w:after="0" w:line="240" w:lineRule="auto"/>
        <w:ind w:left="1418" w:right="1325"/>
        <w:jc w:val="both"/>
        <w:rPr>
          <w:rFonts w:ascii="Verdana" w:eastAsia="Century Gothic" w:hAnsi="Verdana" w:cs="Century Gothic"/>
          <w:i/>
          <w:iCs/>
          <w:sz w:val="20"/>
          <w:szCs w:val="20"/>
        </w:rPr>
      </w:pPr>
    </w:p>
    <w:p w14:paraId="32873543" w14:textId="77777777" w:rsidR="00C44D59" w:rsidRPr="00AA3B9F" w:rsidRDefault="00C44D59" w:rsidP="00C44D59">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8130856" w14:textId="77777777" w:rsidR="00C44D59" w:rsidRDefault="00C44D59" w:rsidP="00C44D59">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1ABC7417" w14:textId="77777777" w:rsidR="00C44D59" w:rsidRPr="00D555B9" w:rsidRDefault="00C44D59" w:rsidP="00CA748C">
      <w:pPr>
        <w:tabs>
          <w:tab w:val="left" w:pos="142"/>
          <w:tab w:val="left" w:pos="284"/>
        </w:tabs>
        <w:spacing w:after="0" w:line="240" w:lineRule="auto"/>
        <w:ind w:right="1185"/>
        <w:jc w:val="both"/>
        <w:rPr>
          <w:rFonts w:ascii="Verdana" w:eastAsia="Century Gothic" w:hAnsi="Verdana" w:cs="Century Gothic"/>
          <w:i/>
        </w:rPr>
      </w:pPr>
    </w:p>
    <w:p w14:paraId="4ABE476F" w14:textId="77777777" w:rsidR="00C44D59" w:rsidRDefault="00C44D59" w:rsidP="00C44D5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0C74631" w14:textId="77777777" w:rsidR="00C44D59" w:rsidRDefault="00C44D59" w:rsidP="00C44D59">
      <w:pPr>
        <w:pStyle w:val="Prrafodelista"/>
        <w:tabs>
          <w:tab w:val="left" w:pos="142"/>
          <w:tab w:val="left" w:pos="284"/>
        </w:tabs>
        <w:spacing w:after="0" w:line="276" w:lineRule="auto"/>
        <w:ind w:left="0"/>
        <w:jc w:val="both"/>
        <w:rPr>
          <w:rFonts w:ascii="Verdana" w:eastAsia="Century Gothic" w:hAnsi="Verdana" w:cs="Century Gothic"/>
          <w:b/>
          <w:bCs/>
        </w:rPr>
      </w:pPr>
    </w:p>
    <w:p w14:paraId="62980E45" w14:textId="64FB8AA6" w:rsidR="00C44D59" w:rsidRDefault="00C44D59" w:rsidP="00C44D59">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00DA181E" w:rsidRPr="00DA181E">
        <w:rPr>
          <w:rFonts w:ascii="Verdana" w:eastAsia="Calibri" w:hAnsi="Verdana" w:cs="Arial"/>
          <w:lang w:eastAsia="es-ES"/>
        </w:rPr>
        <w:t>¿Un proponente que se encuentra ejecutando un contrato de obra pública con una entidad estatal incurre en la inhabilidad prevista en el artículo 5° de la Ley 1474 de 2011 para celebrar un contrato de interventoría con esa misma entidad, aun cuando dicha interventoría corresponda a un proyecto distinto de aquel sobre el cual recae el contrato de obra en ejecución?</w:t>
      </w:r>
    </w:p>
    <w:p w14:paraId="05FAE6A9" w14:textId="77777777" w:rsidR="00DA181E" w:rsidRDefault="00DA181E" w:rsidP="00C44D59">
      <w:pPr>
        <w:spacing w:after="0" w:line="276" w:lineRule="auto"/>
        <w:jc w:val="both"/>
        <w:rPr>
          <w:rFonts w:ascii="Verdana" w:eastAsia="Calibri" w:hAnsi="Verdana" w:cs="Arial"/>
          <w:lang w:eastAsia="es-ES"/>
        </w:rPr>
      </w:pPr>
    </w:p>
    <w:bookmarkEnd w:id="3"/>
    <w:p w14:paraId="7E686852" w14:textId="77777777" w:rsidR="00C44D59" w:rsidRDefault="00C44D59" w:rsidP="00C44D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6770A47" w14:textId="77777777" w:rsidR="00C44D59" w:rsidRPr="00593A5F"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44D59" w:rsidRPr="00593A5F" w14:paraId="04B4F663" w14:textId="77777777" w:rsidTr="00E11A84">
        <w:tc>
          <w:tcPr>
            <w:tcW w:w="8828" w:type="dxa"/>
          </w:tcPr>
          <w:p w14:paraId="40D983E9" w14:textId="77777777" w:rsidR="004C0A55" w:rsidRDefault="004C0A55" w:rsidP="004C0A55">
            <w:pPr>
              <w:spacing w:after="120" w:line="276" w:lineRule="auto"/>
              <w:ind w:right="-58"/>
              <w:jc w:val="both"/>
              <w:rPr>
                <w:rFonts w:ascii="Verdana" w:eastAsia="Arial" w:hAnsi="Verdana" w:cs="Arial"/>
                <w:color w:val="000000"/>
              </w:rPr>
            </w:pPr>
          </w:p>
          <w:p w14:paraId="76A71468" w14:textId="3499B9E3" w:rsidR="00BC7734" w:rsidRDefault="00DA181E" w:rsidP="00DA181E">
            <w:pPr>
              <w:spacing w:after="120" w:line="276" w:lineRule="auto"/>
              <w:ind w:right="-58" w:firstLine="458"/>
              <w:jc w:val="both"/>
              <w:rPr>
                <w:rFonts w:ascii="Verdana" w:eastAsia="Arial" w:hAnsi="Verdana" w:cs="Arial"/>
                <w:color w:val="000000"/>
              </w:rPr>
            </w:pPr>
            <w:r>
              <w:rPr>
                <w:rFonts w:ascii="Verdana" w:eastAsia="Arial" w:hAnsi="Verdana" w:cs="Arial"/>
                <w:color w:val="000000"/>
              </w:rPr>
              <w:t xml:space="preserve">En </w:t>
            </w:r>
            <w:r w:rsidR="00BC7734">
              <w:rPr>
                <w:rFonts w:ascii="Verdana" w:eastAsia="Arial" w:hAnsi="Verdana" w:cs="Arial"/>
                <w:color w:val="000000"/>
              </w:rPr>
              <w:t>criterio de esta Agencia, q</w:t>
            </w:r>
            <w:r w:rsidR="00BC7734" w:rsidRPr="00BC7734">
              <w:rPr>
                <w:rFonts w:ascii="Verdana" w:eastAsia="Arial" w:hAnsi="Verdana" w:cs="Arial"/>
                <w:color w:val="000000"/>
              </w:rPr>
              <w:t>uien esté ejecutando un contrato de obra pública con una entidad estatal no puede</w:t>
            </w:r>
            <w:r w:rsidR="00E264A9">
              <w:rPr>
                <w:rFonts w:ascii="Verdana" w:eastAsia="Arial" w:hAnsi="Verdana" w:cs="Arial"/>
                <w:color w:val="000000"/>
              </w:rPr>
              <w:t xml:space="preserve"> </w:t>
            </w:r>
            <w:r w:rsidR="00BC7734" w:rsidRPr="00BC7734">
              <w:rPr>
                <w:rFonts w:ascii="Verdana" w:eastAsia="Arial" w:hAnsi="Verdana" w:cs="Arial"/>
                <w:color w:val="000000"/>
              </w:rPr>
              <w:t>celebrar con esa misma entidad un contrato de interventoría</w:t>
            </w:r>
            <w:r w:rsidR="00E264A9">
              <w:rPr>
                <w:rFonts w:ascii="Verdana" w:eastAsia="Arial" w:hAnsi="Verdana" w:cs="Arial"/>
                <w:color w:val="000000"/>
              </w:rPr>
              <w:t xml:space="preserve">, pues, incurriría </w:t>
            </w:r>
            <w:r w:rsidR="00E264A9" w:rsidRPr="004C0A55">
              <w:rPr>
                <w:rFonts w:ascii="Verdana" w:eastAsia="Arial" w:hAnsi="Verdana" w:cs="Arial"/>
                <w:color w:val="000000"/>
              </w:rPr>
              <w:t>en la inhabilidad prevista en el artículo 5° de la Ley 1474 de 2011</w:t>
            </w:r>
            <w:r w:rsidR="00BC7734" w:rsidRPr="00BC7734">
              <w:rPr>
                <w:rFonts w:ascii="Verdana" w:eastAsia="Arial" w:hAnsi="Verdana" w:cs="Arial"/>
                <w:color w:val="000000"/>
              </w:rPr>
              <w:t>. Esta prohibición aplica sin importar que la interventoría pretendida corresponda a un proyecto diferente al de la obra que se está ejecutando. Lo que determina la inhabilidad es la identidad de la entidad contratante, no la relación entre los objetos contractuales.</w:t>
            </w:r>
          </w:p>
          <w:p w14:paraId="529D047D" w14:textId="53E05E25" w:rsidR="004C0A55" w:rsidRDefault="004C0A55" w:rsidP="00E264A9">
            <w:pPr>
              <w:tabs>
                <w:tab w:val="left" w:pos="742"/>
              </w:tabs>
              <w:spacing w:after="120" w:line="276" w:lineRule="auto"/>
              <w:ind w:right="-58" w:firstLine="458"/>
              <w:jc w:val="both"/>
              <w:rPr>
                <w:rFonts w:ascii="Verdana" w:eastAsia="Arial" w:hAnsi="Verdana" w:cs="Arial"/>
                <w:color w:val="000000"/>
              </w:rPr>
            </w:pPr>
            <w:r w:rsidRPr="004C0A55">
              <w:rPr>
                <w:rFonts w:ascii="Verdana" w:eastAsia="Arial" w:hAnsi="Verdana" w:cs="Arial"/>
                <w:color w:val="000000"/>
              </w:rPr>
              <w:t>La inhabilidad se configura con la sola concurrencia de dos condiciones: (i) la existencia de un contrato de obra pública, concesión, suministro de medicamentos o alimentos en ejecución o pendiente de liquidación; y (</w:t>
            </w:r>
            <w:proofErr w:type="spellStart"/>
            <w:r w:rsidRPr="004C0A55">
              <w:rPr>
                <w:rFonts w:ascii="Verdana" w:eastAsia="Arial" w:hAnsi="Verdana" w:cs="Arial"/>
                <w:color w:val="000000"/>
              </w:rPr>
              <w:t>ii</w:t>
            </w:r>
            <w:proofErr w:type="spellEnd"/>
            <w:r w:rsidRPr="004C0A55">
              <w:rPr>
                <w:rFonts w:ascii="Verdana" w:eastAsia="Arial" w:hAnsi="Verdana" w:cs="Arial"/>
                <w:color w:val="000000"/>
              </w:rPr>
              <w:t>) la identidad de la entidad estatal contratante. La norma no introduce excepción alguna basada en la diferencia entre los proyectos, y la jurisprudencia constitucional ha ratificado la validez de esta restricción al declararla exequible, señalando que su finalidad esencial es evitar la simultaneidad de contratos con la misma entidad como garantía de imparcialidad y transparencia en el control contractual. La inhabilidad se extiende además al cónyuge, compañero o compañera permanente, parientes hasta el segundo grado de consanguinidad, segundo de afinidad y primero civil, y a los socios en sociedades distintas de las anónimas abiertas del contratista de obra.</w:t>
            </w:r>
          </w:p>
          <w:p w14:paraId="008401B2" w14:textId="77777777" w:rsidR="00DA181E" w:rsidRPr="00DA181E" w:rsidRDefault="00DA181E" w:rsidP="00DA181E">
            <w:pPr>
              <w:tabs>
                <w:tab w:val="left" w:pos="742"/>
              </w:tabs>
              <w:spacing w:after="120" w:line="276" w:lineRule="auto"/>
              <w:ind w:left="33" w:right="-58" w:firstLine="425"/>
              <w:jc w:val="both"/>
              <w:rPr>
                <w:rFonts w:ascii="Verdana" w:eastAsia="Arial" w:hAnsi="Verdana" w:cs="Arial"/>
                <w:color w:val="000000"/>
              </w:rPr>
            </w:pPr>
            <w:r w:rsidRPr="00DA181E">
              <w:rPr>
                <w:rFonts w:ascii="Verdana" w:eastAsia="Arial" w:hAnsi="Verdana" w:cs="Arial"/>
                <w:color w:val="000000"/>
              </w:rPr>
              <w:t>La redacción del artículo 5° de la Ley 1474 de 2011 es inequívoca en cuanto al criterio determinante de la inhabilidad: la misma entidad. La disposición no introduce distinción alguna fundada en que la interventoría que se pretende celebrar corresponda al mismo objeto del contrato de obra en ejecución o a uno completamente diferente. El supuesto de hecho se configura con la concurrencia de dos elementos: (i) la existencia de un contrato de obra pública en ejecución o pendiente de liquidación; y (</w:t>
            </w:r>
            <w:proofErr w:type="spellStart"/>
            <w:r w:rsidRPr="00DA181E">
              <w:rPr>
                <w:rFonts w:ascii="Verdana" w:eastAsia="Arial" w:hAnsi="Verdana" w:cs="Arial"/>
                <w:color w:val="000000"/>
              </w:rPr>
              <w:t>ii</w:t>
            </w:r>
            <w:proofErr w:type="spellEnd"/>
            <w:r w:rsidRPr="00DA181E">
              <w:rPr>
                <w:rFonts w:ascii="Verdana" w:eastAsia="Arial" w:hAnsi="Verdana" w:cs="Arial"/>
                <w:color w:val="000000"/>
              </w:rPr>
              <w:t>) la identidad de la entidad estatal contratante con la cual se celebró ese contrato y con la cual se pretende celebrar el nuevo contrato de interventoría.</w:t>
            </w:r>
          </w:p>
          <w:p w14:paraId="76E0F7C6" w14:textId="166247AD" w:rsidR="00DA181E" w:rsidRDefault="00DA181E" w:rsidP="00DA181E">
            <w:pPr>
              <w:tabs>
                <w:tab w:val="left" w:pos="742"/>
              </w:tabs>
              <w:spacing w:after="120" w:line="276" w:lineRule="auto"/>
              <w:ind w:left="33" w:right="-58" w:firstLine="425"/>
              <w:jc w:val="both"/>
              <w:rPr>
                <w:rFonts w:ascii="Verdana" w:eastAsia="Arial" w:hAnsi="Verdana" w:cs="Arial"/>
                <w:color w:val="000000"/>
              </w:rPr>
            </w:pPr>
            <w:r w:rsidRPr="00DA181E">
              <w:rPr>
                <w:rFonts w:ascii="Verdana" w:eastAsia="Arial" w:hAnsi="Verdana" w:cs="Arial"/>
                <w:color w:val="000000"/>
              </w:rPr>
              <w:t>Esta lectura es la que ha sostenido de manera consistente esta Agencia. El Concepto C-669 de 2025 de Colombia Compra Eficiente precisó que no podrá celebrar contratos de interventoría la persona —natural o jurídica—,</w:t>
            </w:r>
            <w:r>
              <w:rPr>
                <w:rFonts w:ascii="Verdana" w:eastAsia="Arial" w:hAnsi="Verdana" w:cs="Arial"/>
                <w:color w:val="000000"/>
              </w:rPr>
              <w:t xml:space="preserve"> </w:t>
            </w:r>
            <w:r w:rsidRPr="00DA181E">
              <w:rPr>
                <w:rFonts w:ascii="Verdana" w:eastAsia="Arial" w:hAnsi="Verdana" w:cs="Arial"/>
                <w:color w:val="000000"/>
              </w:rPr>
              <w:t>que durante la presentación de ofertas conserve una relación contractual sin liquidar —de las tipologías mencionadas— con la misma entidad.</w:t>
            </w:r>
            <w:r>
              <w:rPr>
                <w:rFonts w:ascii="Verdana" w:eastAsia="Arial" w:hAnsi="Verdana" w:cs="Arial"/>
                <w:color w:val="000000"/>
              </w:rPr>
              <w:t xml:space="preserve"> </w:t>
            </w:r>
          </w:p>
          <w:p w14:paraId="06BCED85" w14:textId="77777777" w:rsidR="00DA181E" w:rsidRPr="00DA181E" w:rsidRDefault="00DA181E" w:rsidP="00DA181E">
            <w:pPr>
              <w:tabs>
                <w:tab w:val="left" w:pos="742"/>
              </w:tabs>
              <w:spacing w:after="120" w:line="276" w:lineRule="auto"/>
              <w:ind w:left="33" w:right="-58" w:firstLine="425"/>
              <w:jc w:val="both"/>
              <w:rPr>
                <w:rFonts w:ascii="Verdana" w:eastAsia="Arial" w:hAnsi="Verdana" w:cs="Arial"/>
                <w:color w:val="000000"/>
              </w:rPr>
            </w:pPr>
            <w:r w:rsidRPr="00DA181E">
              <w:rPr>
                <w:rFonts w:ascii="Verdana" w:eastAsia="Arial" w:hAnsi="Verdana" w:cs="Arial"/>
                <w:color w:val="000000"/>
              </w:rPr>
              <w:lastRenderedPageBreak/>
              <w:t>La norma no exige ningún vínculo entre el proyecto de obra en ejecución y el proyecto que sería objeto de la interventoría. Basta con que ambos contratos —el de obra en curso y el de interventoría que se pretende suscribir— correspondan a la misma entidad estatal para que se configure plenamente el supuesto de hecho de la prohibición. Añadir el requisito de que los proyectos sean el mismo constituiría una interpretación analógica extensiva de la norma, que resulta prohibida en materia de inhabilidades e incompatibilidades.</w:t>
            </w:r>
          </w:p>
          <w:p w14:paraId="2E9C08FC" w14:textId="655D7960" w:rsidR="00DA181E" w:rsidRDefault="00DA181E" w:rsidP="00DA181E">
            <w:pPr>
              <w:tabs>
                <w:tab w:val="left" w:pos="742"/>
              </w:tabs>
              <w:spacing w:after="120" w:line="276" w:lineRule="auto"/>
              <w:ind w:left="33" w:right="-58" w:firstLine="425"/>
              <w:jc w:val="both"/>
              <w:rPr>
                <w:rFonts w:ascii="Verdana" w:eastAsia="Arial" w:hAnsi="Verdana" w:cs="Arial"/>
                <w:color w:val="000000"/>
              </w:rPr>
            </w:pPr>
            <w:r w:rsidRPr="00DA181E">
              <w:rPr>
                <w:rFonts w:ascii="Verdana" w:eastAsia="Arial" w:hAnsi="Verdana" w:cs="Arial"/>
                <w:color w:val="000000"/>
              </w:rPr>
              <w:t xml:space="preserve">La ratio </w:t>
            </w:r>
            <w:proofErr w:type="spellStart"/>
            <w:r w:rsidRPr="00DA181E">
              <w:rPr>
                <w:rFonts w:ascii="Verdana" w:eastAsia="Arial" w:hAnsi="Verdana" w:cs="Arial"/>
                <w:color w:val="000000"/>
              </w:rPr>
              <w:t>legis</w:t>
            </w:r>
            <w:proofErr w:type="spellEnd"/>
            <w:r w:rsidRPr="00DA181E">
              <w:rPr>
                <w:rFonts w:ascii="Verdana" w:eastAsia="Arial" w:hAnsi="Verdana" w:cs="Arial"/>
                <w:color w:val="000000"/>
              </w:rPr>
              <w:t xml:space="preserve"> de la disposición refuerza esta conclusión: el legislador buscó impedir que un mismo sujeto sea simultáneamente contratista de obra e interventor ante la misma entidad, escenario que compromete estructuralmente la imparcialidad y la transparencia del control contractual, con independencia de que los objetos contractuales sean o no idénticos.</w:t>
            </w:r>
          </w:p>
          <w:p w14:paraId="19F3762A" w14:textId="153503B5" w:rsidR="00C44D59" w:rsidRPr="007372DD" w:rsidRDefault="00C44D59" w:rsidP="00BC7734">
            <w:pPr>
              <w:spacing w:after="120" w:line="276" w:lineRule="auto"/>
              <w:ind w:right="-58" w:firstLine="600"/>
              <w:jc w:val="both"/>
              <w:rPr>
                <w:rFonts w:ascii="Verdana" w:eastAsia="Arial" w:hAnsi="Verdana" w:cs="Arial"/>
                <w:color w:val="000000"/>
              </w:rPr>
            </w:pPr>
            <w:r w:rsidRPr="00E44CB7">
              <w:rPr>
                <w:rFonts w:ascii="Verdana" w:eastAsia="Arial" w:hAnsi="Verdana" w:cs="Arial"/>
                <w:color w:val="000000"/>
              </w:rPr>
              <w:t>En ese sentido, corresponderá a los equipos jurídicos de las entidades estatales, en el marco de su competencia y con fundamento en las disposiciones legales y doctrinales citadas, verificar en cada caso concreto si la participación de un proponente configura una situación de inhabilidad, incompatibilidad o conflicto de intereses, motivando debidamente su decisión y garantizando los principios de transparencia, imparcialidad y libre concurrencia en los procesos de contratación.</w:t>
            </w:r>
          </w:p>
          <w:p w14:paraId="2C08EFFE" w14:textId="77777777" w:rsidR="00C44D59" w:rsidRPr="00C71956" w:rsidRDefault="00C44D59" w:rsidP="00E11A84">
            <w:pPr>
              <w:pStyle w:val="Prrafodelista"/>
              <w:spacing w:before="120" w:after="120" w:line="276" w:lineRule="auto"/>
              <w:ind w:left="0" w:right="-58"/>
              <w:jc w:val="both"/>
              <w:rPr>
                <w:rFonts w:ascii="Verdana" w:eastAsia="Aptos" w:hAnsi="Verdana" w:cs="Arial"/>
                <w:shd w:val="clear" w:color="auto" w:fill="FFFFFF"/>
              </w:rPr>
            </w:pPr>
            <w:r>
              <w:rPr>
                <w:rFonts w:ascii="Verdana" w:eastAsia="Calibri" w:hAnsi="Verdana" w:cs="Arial"/>
                <w:lang w:eastAsia="es-ES"/>
              </w:rPr>
              <w:t xml:space="preserve">        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DEBA8BB" w14:textId="77777777" w:rsidR="00C44D59" w:rsidRPr="00E529C2" w:rsidRDefault="00C44D59" w:rsidP="00E11A84">
            <w:pPr>
              <w:spacing w:line="276" w:lineRule="auto"/>
              <w:ind w:right="-58"/>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2A85DC9" w14:textId="77777777" w:rsidR="00C44D59" w:rsidRDefault="00C44D59" w:rsidP="00C44D59">
      <w:pPr>
        <w:tabs>
          <w:tab w:val="left" w:pos="142"/>
          <w:tab w:val="left" w:pos="284"/>
        </w:tabs>
        <w:spacing w:after="0" w:line="276" w:lineRule="auto"/>
        <w:jc w:val="both"/>
        <w:rPr>
          <w:rFonts w:ascii="Verdana" w:eastAsia="Century Gothic" w:hAnsi="Verdana" w:cs="Century Gothic"/>
          <w:b/>
          <w:bCs/>
          <w:lang w:val="es-ES"/>
        </w:rPr>
      </w:pPr>
    </w:p>
    <w:p w14:paraId="4022DEB5" w14:textId="77777777" w:rsidR="00C44D59" w:rsidRDefault="00C44D59" w:rsidP="00C44D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14C694CE" w14:textId="77777777" w:rsidR="00C44D59"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1476E84" w14:textId="51BD7775" w:rsidR="00C44D59" w:rsidRPr="00C23CEB" w:rsidRDefault="00C44D59" w:rsidP="00CA748C">
      <w:pPr>
        <w:snapToGrid w:val="0"/>
        <w:spacing w:after="120" w:line="276" w:lineRule="auto"/>
        <w:jc w:val="both"/>
        <w:rPr>
          <w:rFonts w:ascii="Verdana" w:eastAsia="Calibri" w:hAnsi="Verdana" w:cs="Arial"/>
          <w:color w:val="000000" w:themeColor="text1"/>
          <w:lang w:val="es-ES"/>
        </w:rPr>
      </w:pPr>
      <w:bookmarkStart w:id="4" w:name="_Hlk99546562"/>
      <w:r>
        <w:rPr>
          <w:rFonts w:ascii="Verdana" w:eastAsia="Calibri" w:hAnsi="Verdana" w:cs="Arial"/>
          <w:color w:val="000000" w:themeColor="text1"/>
          <w:lang w:val="es-ES"/>
        </w:rPr>
        <w:t>L</w:t>
      </w:r>
      <w:r w:rsidRPr="0C384551">
        <w:rPr>
          <w:rFonts w:ascii="Verdana" w:eastAsia="Calibri" w:hAnsi="Verdana" w:cs="Arial"/>
          <w:color w:val="000000" w:themeColor="text1"/>
          <w:lang w:val="es-ES"/>
        </w:rPr>
        <w:t xml:space="preserve">a </w:t>
      </w:r>
      <w:r w:rsidRPr="0C384551">
        <w:rPr>
          <w:rFonts w:ascii="Verdana" w:eastAsia="Calibri" w:hAnsi="Verdana" w:cs="Arial"/>
          <w:i/>
          <w:color w:val="000000" w:themeColor="text1"/>
          <w:lang w:val="es-ES"/>
        </w:rPr>
        <w:t>capacidad</w:t>
      </w:r>
      <w:r w:rsidRPr="0C384551">
        <w:rPr>
          <w:rFonts w:ascii="Verdana" w:eastAsia="Calibri" w:hAnsi="Verdana" w:cs="Arial"/>
          <w:color w:val="000000" w:themeColor="text1"/>
          <w:lang w:val="es-ES"/>
        </w:rPr>
        <w:t xml:space="preserve"> </w:t>
      </w:r>
      <w:r w:rsidR="004C0A55">
        <w:rPr>
          <w:rFonts w:ascii="Verdana" w:eastAsia="Calibri" w:hAnsi="Verdana" w:cs="Arial"/>
          <w:color w:val="000000" w:themeColor="text1"/>
          <w:lang w:val="es-ES"/>
        </w:rPr>
        <w:t xml:space="preserve">en contratación pública </w:t>
      </w:r>
      <w:r w:rsidRPr="0C384551">
        <w:rPr>
          <w:rFonts w:ascii="Verdana" w:eastAsia="Calibri" w:hAnsi="Verdana" w:cs="Arial"/>
          <w:color w:val="000000" w:themeColor="text1"/>
          <w:lang w:val="es-ES"/>
        </w:rPr>
        <w:t>es un requisito de validez de los contratos en el régimen de las entidades sujetas al Estatuto General de Contratación de la Administración Pública</w:t>
      </w:r>
      <w:r w:rsidRPr="0C384551">
        <w:rPr>
          <w:rFonts w:ascii="Verdana" w:eastAsia="Calibri" w:hAnsi="Verdana" w:cs="Arial"/>
          <w:color w:val="000000" w:themeColor="text1"/>
          <w:vertAlign w:val="superscript"/>
          <w:lang w:val="es-ES"/>
        </w:rPr>
        <w:footnoteReference w:id="2"/>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y </w:t>
      </w:r>
      <w:r w:rsidRPr="0C384551">
        <w:rPr>
          <w:rFonts w:ascii="Verdana" w:eastAsia="Calibri" w:hAnsi="Verdana" w:cs="Arial"/>
          <w:color w:val="000000" w:themeColor="text1"/>
          <w:lang w:val="es-ES"/>
        </w:rPr>
        <w:t xml:space="preserve">en el de las entidades exceptuadas de </w:t>
      </w:r>
      <w:r>
        <w:rPr>
          <w:rFonts w:ascii="Verdana" w:eastAsia="Calibri" w:hAnsi="Verdana" w:cs="Arial"/>
          <w:color w:val="000000" w:themeColor="text1"/>
          <w:lang w:val="es-ES"/>
        </w:rPr>
        <w:t>este</w:t>
      </w:r>
      <w:r w:rsidRPr="0C384551">
        <w:rPr>
          <w:rFonts w:ascii="Verdana" w:eastAsia="Calibri" w:hAnsi="Verdana" w:cs="Arial"/>
          <w:color w:val="000000" w:themeColor="text1"/>
          <w:vertAlign w:val="superscript"/>
          <w:lang w:val="es-ES"/>
        </w:rPr>
        <w:footnoteReference w:id="3"/>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Varias disposiciones y exigencias especiales integran la regulación de la capacidad, como es el caso de</w:t>
      </w:r>
      <w:r w:rsidRPr="0C384551">
        <w:rPr>
          <w:rFonts w:ascii="Verdana" w:eastAsia="Calibri" w:hAnsi="Verdana" w:cs="Arial"/>
          <w:color w:val="000000" w:themeColor="text1"/>
          <w:lang w:val="es-ES"/>
        </w:rPr>
        <w:t>l requisito de inscribirse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en el Registro Único de Proponentes (RUP), establecido en el artículo 6 de la Ley 1150 de 2007, </w:t>
      </w:r>
      <w:r>
        <w:rPr>
          <w:rFonts w:ascii="Verdana" w:eastAsia="Calibri" w:hAnsi="Verdana" w:cs="Arial"/>
          <w:color w:val="000000" w:themeColor="text1"/>
          <w:lang w:val="es-ES"/>
        </w:rPr>
        <w:t xml:space="preserve">así como </w:t>
      </w:r>
      <w:r w:rsidRPr="0C384551">
        <w:rPr>
          <w:rFonts w:ascii="Verdana" w:eastAsia="Calibri" w:hAnsi="Verdana" w:cs="Arial"/>
          <w:color w:val="000000" w:themeColor="text1"/>
          <w:lang w:val="es-ES"/>
        </w:rPr>
        <w:t>el régimen de inhabilidades e incompatibilidades</w:t>
      </w:r>
      <w:r>
        <w:rPr>
          <w:rFonts w:ascii="Verdana" w:eastAsia="Calibri" w:hAnsi="Verdana" w:cs="Arial"/>
          <w:color w:val="000000" w:themeColor="text1"/>
          <w:lang w:val="es-ES"/>
        </w:rPr>
        <w:t xml:space="preserve">. Este último se refiere al </w:t>
      </w:r>
      <w:r w:rsidRPr="0C384551">
        <w:rPr>
          <w:rFonts w:ascii="Verdana" w:eastAsia="Calibri" w:hAnsi="Verdana" w:cs="Arial"/>
          <w:color w:val="000000" w:themeColor="text1"/>
          <w:lang w:val="es-ES"/>
        </w:rPr>
        <w:t>conjunto de enunciados normativos que imponen restricciones para los sujetos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pretendan participar en los procedimientos de selección o celebrar contratos con las entidades estatales</w:t>
      </w:r>
      <w:r w:rsidRPr="0C384551">
        <w:rPr>
          <w:rFonts w:ascii="Verdana" w:eastAsia="Calibri" w:hAnsi="Verdana" w:cs="Arial"/>
          <w:color w:val="000000" w:themeColor="text1"/>
          <w:vertAlign w:val="superscript"/>
          <w:lang w:val="es-ES"/>
        </w:rPr>
        <w:footnoteReference w:id="4"/>
      </w:r>
      <w:r w:rsidRPr="0C384551">
        <w:rPr>
          <w:rFonts w:ascii="Verdana" w:eastAsia="Calibri" w:hAnsi="Verdana" w:cs="Arial"/>
          <w:color w:val="000000" w:themeColor="text1"/>
          <w:lang w:val="es-ES"/>
        </w:rPr>
        <w:t>.</w:t>
      </w:r>
    </w:p>
    <w:p w14:paraId="4C6782F6" w14:textId="77777777" w:rsidR="00C44D59" w:rsidRDefault="00C44D59" w:rsidP="00C44D59">
      <w:pPr>
        <w:spacing w:after="120" w:line="276" w:lineRule="auto"/>
        <w:ind w:firstLine="709"/>
        <w:jc w:val="both"/>
        <w:rPr>
          <w:rFonts w:ascii="Verdana" w:eastAsia="Arial MT" w:hAnsi="Verdana" w:cs="Arial"/>
          <w:lang w:eastAsia="es-ES" w:bidi="es-ES"/>
        </w:rPr>
      </w:pPr>
      <w:r w:rsidRPr="0C384551">
        <w:rPr>
          <w:rFonts w:ascii="Verdana" w:eastAsia="Calibri" w:hAnsi="Verdana" w:cs="Arial"/>
          <w:color w:val="000000" w:themeColor="text1"/>
          <w:lang w:val="es-ES"/>
        </w:rPr>
        <w:t xml:space="preserve">Las </w:t>
      </w:r>
      <w:r w:rsidRPr="00605F5B">
        <w:rPr>
          <w:rFonts w:ascii="Verdana" w:eastAsia="Calibri" w:hAnsi="Verdana" w:cs="Arial"/>
          <w:i/>
          <w:iCs/>
          <w:color w:val="000000" w:themeColor="text1"/>
          <w:lang w:val="es-ES"/>
        </w:rPr>
        <w:t>inhabilidades</w:t>
      </w:r>
      <w:r w:rsidRPr="0C384551">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C384551">
        <w:rPr>
          <w:rFonts w:ascii="Verdana" w:eastAsia="Calibri" w:hAnsi="Verdana" w:cs="Arial"/>
          <w:color w:val="000000" w:themeColor="text1"/>
          <w:lang w:val="es-ES"/>
        </w:rPr>
        <w:t>ii</w:t>
      </w:r>
      <w:proofErr w:type="spellEnd"/>
      <w:r w:rsidRPr="0C384551">
        <w:rPr>
          <w:rFonts w:ascii="Verdana" w:eastAsia="Calibri" w:hAnsi="Verdana" w:cs="Arial"/>
          <w:color w:val="000000" w:themeColor="text1"/>
          <w:lang w:val="es-ES"/>
        </w:rPr>
        <w:t>) de vínculos personales relativos al parentesco o al estado civil</w:t>
      </w:r>
      <w:r>
        <w:rPr>
          <w:rFonts w:ascii="Verdana" w:eastAsia="Calibri" w:hAnsi="Verdana" w:cs="Arial"/>
          <w:color w:val="000000" w:themeColor="text1"/>
          <w:lang w:val="es-ES"/>
        </w:rPr>
        <w:t>,</w:t>
      </w:r>
      <w:r w:rsidRPr="0C384551">
        <w:rPr>
          <w:rFonts w:ascii="Verdana" w:eastAsia="Calibri" w:hAnsi="Verdana" w:cs="Arial"/>
          <w:color w:val="000000" w:themeColor="text1"/>
          <w:lang w:val="es-ES"/>
        </w:rPr>
        <w:t xml:space="preserve"> o </w:t>
      </w:r>
      <w:proofErr w:type="spellStart"/>
      <w:r w:rsidRPr="0C384551">
        <w:rPr>
          <w:rFonts w:ascii="Verdana" w:eastAsia="Calibri" w:hAnsi="Verdana" w:cs="Arial"/>
          <w:color w:val="000000" w:themeColor="text1"/>
          <w:lang w:val="es-ES"/>
        </w:rPr>
        <w:t>iii</w:t>
      </w:r>
      <w:proofErr w:type="spellEnd"/>
      <w:r w:rsidRPr="0C384551">
        <w:rPr>
          <w:rFonts w:ascii="Verdana" w:eastAsia="Calibri" w:hAnsi="Verdana" w:cs="Arial"/>
          <w:color w:val="000000" w:themeColor="text1"/>
          <w:lang w:val="es-ES"/>
        </w:rPr>
        <w:t xml:space="preserve">) de una actividad </w:t>
      </w:r>
      <w:r w:rsidRPr="0C384551">
        <w:rPr>
          <w:rFonts w:ascii="Verdana" w:eastAsia="Calibri" w:hAnsi="Verdana" w:cs="Arial"/>
          <w:color w:val="000000" w:themeColor="text1"/>
          <w:lang w:val="es-ES"/>
        </w:rPr>
        <w:lastRenderedPageBreak/>
        <w:t xml:space="preserve">u oficio que se desempeñó en el pasado. De otro lado, las </w:t>
      </w:r>
      <w:r w:rsidRPr="00605F5B">
        <w:rPr>
          <w:rFonts w:ascii="Verdana" w:eastAsia="Calibri" w:hAnsi="Verdana" w:cs="Arial"/>
          <w:i/>
          <w:iCs/>
          <w:color w:val="000000" w:themeColor="text1"/>
          <w:lang w:val="es-ES"/>
        </w:rPr>
        <w:t xml:space="preserve">incompatibilidades </w:t>
      </w:r>
      <w:r w:rsidRPr="0C384551">
        <w:rPr>
          <w:rFonts w:ascii="Verdana" w:eastAsia="Calibri" w:hAnsi="Verdana" w:cs="Arial"/>
          <w:color w:val="000000" w:themeColor="text1"/>
          <w:lang w:val="es-ES"/>
        </w:rPr>
        <w:t>son prohibiciones para participar en los procedimientos de selección y para celebrar contratos estatales, fundadas en</w:t>
      </w:r>
      <w:r>
        <w:rPr>
          <w:rFonts w:ascii="Verdana" w:eastAsia="Calibri" w:hAnsi="Verdana" w:cs="Arial"/>
          <w:color w:val="000000" w:themeColor="text1"/>
          <w:lang w:val="es-ES"/>
        </w:rPr>
        <w:t xml:space="preserve"> que </w:t>
      </w:r>
      <w:r w:rsidRPr="0C384551">
        <w:rPr>
          <w:rFonts w:ascii="Verdana" w:eastAsia="Calibri" w:hAnsi="Verdana" w:cs="Arial"/>
          <w:color w:val="000000" w:themeColor="text1"/>
          <w:lang w:val="es-ES"/>
        </w:rPr>
        <w:t xml:space="preserve">el sujeto interesado </w:t>
      </w:r>
      <w:r>
        <w:rPr>
          <w:rFonts w:ascii="Verdana" w:eastAsia="Calibri" w:hAnsi="Verdana" w:cs="Arial"/>
          <w:color w:val="000000" w:themeColor="text1"/>
          <w:lang w:val="es-ES"/>
        </w:rPr>
        <w:t xml:space="preserve">ostenta </w:t>
      </w:r>
      <w:r w:rsidRPr="0C384551">
        <w:rPr>
          <w:rFonts w:ascii="Verdana" w:eastAsia="Calibri" w:hAnsi="Verdana" w:cs="Arial"/>
          <w:color w:val="000000" w:themeColor="text1"/>
          <w:lang w:val="es-ES"/>
        </w:rPr>
        <w:t xml:space="preserve">una calidad que no puede coexistir con </w:t>
      </w:r>
      <w:r>
        <w:rPr>
          <w:rFonts w:ascii="Verdana" w:eastAsia="Calibri" w:hAnsi="Verdana" w:cs="Arial"/>
          <w:color w:val="000000" w:themeColor="text1"/>
          <w:lang w:val="es-ES"/>
        </w:rPr>
        <w:t xml:space="preserve">el carácter de </w:t>
      </w:r>
      <w:r w:rsidRPr="0C384551">
        <w:rPr>
          <w:rFonts w:ascii="Verdana" w:eastAsia="Calibri" w:hAnsi="Verdana" w:cs="Arial"/>
          <w:color w:val="000000" w:themeColor="text1"/>
          <w:lang w:val="es-ES"/>
        </w:rPr>
        <w:t>proponente o contratista del Estado.</w:t>
      </w:r>
      <w:r>
        <w:rPr>
          <w:rFonts w:ascii="Verdana" w:eastAsia="Calibri" w:hAnsi="Verdana" w:cs="Arial"/>
          <w:color w:val="000000" w:themeColor="text1"/>
          <w:lang w:val="es-ES"/>
        </w:rPr>
        <w:t xml:space="preserve"> </w:t>
      </w:r>
      <w:r w:rsidRPr="00C23CEB">
        <w:rPr>
          <w:rFonts w:ascii="Verdana" w:eastAsia="Arial MT" w:hAnsi="Verdana" w:cs="Arial"/>
          <w:lang w:eastAsia="es-ES" w:bidi="es-ES"/>
        </w:rPr>
        <w:t xml:space="preserve">Por su parte, las situaciones de </w:t>
      </w:r>
      <w:r w:rsidRPr="0093191F">
        <w:rPr>
          <w:rFonts w:ascii="Verdana" w:eastAsia="Arial MT" w:hAnsi="Verdana" w:cs="Arial"/>
          <w:i/>
          <w:iCs/>
          <w:lang w:eastAsia="es-ES" w:bidi="es-ES"/>
        </w:rPr>
        <w:t>conflicto de interés</w:t>
      </w:r>
      <w:r w:rsidRPr="00C23CEB">
        <w:rPr>
          <w:rFonts w:ascii="Verdana" w:eastAsia="Arial MT" w:hAnsi="Verdana" w:cs="Arial"/>
          <w:lang w:eastAsia="es-ES" w:bidi="es-ES"/>
        </w:rPr>
        <w:t xml:space="preserve"> suelen expresarse en prohibiciones, similar a lo que ocurre con las inhabilidades e incompatibilidades</w:t>
      </w:r>
      <w:r>
        <w:rPr>
          <w:rFonts w:ascii="Verdana" w:eastAsia="Arial MT" w:hAnsi="Verdana" w:cs="Arial"/>
          <w:lang w:eastAsia="es-ES" w:bidi="es-ES"/>
        </w:rPr>
        <w:t>. Estas se encuentran establecidas</w:t>
      </w:r>
      <w:r w:rsidRPr="00C23CEB">
        <w:rPr>
          <w:rFonts w:ascii="Verdana" w:eastAsia="Arial MT" w:hAnsi="Verdana" w:cs="Arial"/>
          <w:lang w:eastAsia="es-ES" w:bidi="es-ES"/>
        </w:rPr>
        <w:t xml:space="preserve"> en el pliego de condiciones y en la minuta del contrato</w:t>
      </w:r>
      <w:r>
        <w:rPr>
          <w:rFonts w:ascii="Verdana" w:eastAsia="Arial MT" w:hAnsi="Verdana" w:cs="Arial"/>
          <w:lang w:eastAsia="es-ES" w:bidi="es-ES"/>
        </w:rPr>
        <w:t>.</w:t>
      </w:r>
      <w:r w:rsidRPr="00C23CEB">
        <w:rPr>
          <w:rFonts w:ascii="Verdana" w:eastAsia="Arial MT" w:hAnsi="Verdana" w:cs="Arial"/>
          <w:lang w:eastAsia="es-ES" w:bidi="es-ES"/>
        </w:rPr>
        <w:t xml:space="preserve"> </w:t>
      </w:r>
    </w:p>
    <w:p w14:paraId="3A17FC5F" w14:textId="77777777" w:rsidR="00C44D59" w:rsidRPr="0093191F" w:rsidRDefault="00C44D59" w:rsidP="00C44D59">
      <w:pPr>
        <w:spacing w:after="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La consagración de todas estas causales debe ser </w:t>
      </w:r>
      <w:r w:rsidRPr="00C23CEB">
        <w:rPr>
          <w:rFonts w:ascii="Verdana" w:eastAsia="Arial MT" w:hAnsi="Verdana" w:cs="Arial"/>
          <w:lang w:eastAsia="es-ES" w:bidi="es-ES"/>
        </w:rPr>
        <w:t>expresa y su interpretación restrictiva</w:t>
      </w:r>
      <w:r>
        <w:rPr>
          <w:rFonts w:ascii="Verdana" w:eastAsia="Arial MT" w:hAnsi="Verdana" w:cs="Arial"/>
          <w:lang w:eastAsia="es-ES" w:bidi="es-ES"/>
        </w:rPr>
        <w:t>.</w:t>
      </w:r>
      <w:r w:rsidRPr="00C23CEB">
        <w:rPr>
          <w:rFonts w:ascii="Verdana" w:eastAsia="Arial MT" w:hAnsi="Verdana" w:cs="Arial"/>
          <w:lang w:eastAsia="es-ES" w:bidi="es-ES"/>
        </w:rPr>
        <w:t xml:space="preserve"> </w:t>
      </w:r>
      <w:r>
        <w:rPr>
          <w:rFonts w:ascii="Verdana" w:eastAsia="Arial MT" w:hAnsi="Verdana" w:cs="Arial"/>
          <w:lang w:eastAsia="es-ES" w:bidi="es-ES"/>
        </w:rPr>
        <w:t>E</w:t>
      </w:r>
      <w:r w:rsidRPr="00C23CEB">
        <w:rPr>
          <w:rFonts w:ascii="Verdana" w:eastAsia="Arial MT" w:hAnsi="Verdana" w:cs="Arial"/>
          <w:lang w:eastAsia="es-ES" w:bidi="es-ES"/>
        </w:rPr>
        <w:t>n el caso de las inhabilidades e incompatibilidades</w:t>
      </w:r>
      <w:r>
        <w:rPr>
          <w:rFonts w:ascii="Verdana" w:eastAsia="Arial MT" w:hAnsi="Verdana" w:cs="Arial"/>
          <w:lang w:eastAsia="es-ES" w:bidi="es-ES"/>
        </w:rPr>
        <w:t xml:space="preserve">, su </w:t>
      </w:r>
      <w:r w:rsidRPr="00C23CEB">
        <w:rPr>
          <w:rFonts w:ascii="Verdana" w:eastAsia="Arial MT" w:hAnsi="Verdana" w:cs="Arial"/>
          <w:lang w:eastAsia="es-ES" w:bidi="es-ES"/>
        </w:rPr>
        <w:t xml:space="preserve">aplicación siempre debe estar ajustada a los 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en el caso de los conflictos de interés, la aplicación debe sujetarse a los presupuestos que señale la entidad contratante en los documentos referidos. De cualquier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hAnsi="Verdana" w:cs="Arial"/>
        </w:rPr>
        <w:t xml:space="preserve"> </w:t>
      </w:r>
    </w:p>
    <w:p w14:paraId="45399CA8"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El régimen de inhabilidades e incompatibilidades en la contratación pública responde a la tendencia</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C384551">
        <w:rPr>
          <w:rFonts w:ascii="Verdana" w:eastAsia="Calibri" w:hAnsi="Verdana" w:cs="Arial"/>
          <w:color w:val="000000" w:themeColor="text1"/>
          <w:lang w:val="es-ES"/>
        </w:rPr>
        <w:t>que</w:t>
      </w:r>
      <w:proofErr w:type="gramEnd"/>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las inhabilidades e incompatibilidades se han convertido en herramientas en la lucha contra la corrupción, adoptando paulatinamente un cariz sancionatorio o “</w:t>
      </w:r>
      <w:proofErr w:type="spellStart"/>
      <w:r w:rsidRPr="0C384551">
        <w:rPr>
          <w:rFonts w:ascii="Verdana" w:eastAsia="Calibri" w:hAnsi="Verdana" w:cs="Arial"/>
          <w:color w:val="000000" w:themeColor="text1"/>
          <w:lang w:val="es-ES"/>
        </w:rPr>
        <w:t>neopunitivo</w:t>
      </w:r>
      <w:proofErr w:type="spellEnd"/>
      <w:r w:rsidRPr="0C384551">
        <w:rPr>
          <w:rFonts w:ascii="Verdana" w:eastAsia="Calibri" w:hAnsi="Verdana" w:cs="Arial"/>
          <w:color w:val="000000" w:themeColor="text1"/>
          <w:lang w:val="es-ES"/>
        </w:rPr>
        <w:t>”</w:t>
      </w:r>
      <w:r w:rsidRPr="0C384551">
        <w:rPr>
          <w:rFonts w:ascii="Verdana" w:eastAsia="Calibri" w:hAnsi="Verdana" w:cs="Arial"/>
          <w:color w:val="000000" w:themeColor="text1"/>
          <w:vertAlign w:val="superscript"/>
          <w:lang w:val="es-ES"/>
        </w:rPr>
        <w:footnoteReference w:id="5"/>
      </w:r>
      <w:r w:rsidRPr="0C38455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4E3BB232"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Ahora bien, las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Pr>
          <w:rFonts w:ascii="Verdana" w:eastAsia="Calibri" w:hAnsi="Verdana" w:cs="Arial"/>
          <w:color w:val="000000" w:themeColor="text1"/>
          <w:lang w:val="es-ES_tradnl"/>
        </w:rPr>
        <w:t>. En consecuencia,</w:t>
      </w:r>
      <w:r w:rsidRPr="00C23CEB">
        <w:rPr>
          <w:rFonts w:ascii="Verdana" w:eastAsia="Calibri" w:hAnsi="Verdana" w:cs="Arial"/>
          <w:color w:val="000000" w:themeColor="text1"/>
          <w:lang w:val="es-ES_tradnl"/>
        </w:rPr>
        <w:t xml:space="preserve"> solo pueden tipificarse en la ley –o sea, deben satisfacer el principio de legalidad–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vertAlign w:val="superscript"/>
          <w:lang w:val="es-ES_tradnl"/>
        </w:rPr>
        <w:footnoteReference w:id="6"/>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lastRenderedPageBreak/>
        <w:t xml:space="preserve">los </w:t>
      </w:r>
      <w:r w:rsidRPr="00C23CEB">
        <w:rPr>
          <w:rFonts w:ascii="Verdana" w:eastAsia="Calibri" w:hAnsi="Verdana" w:cs="Arial"/>
          <w:color w:val="000000" w:themeColor="text1"/>
          <w:lang w:val="es-ES_tradnl"/>
        </w:rPr>
        <w:t xml:space="preserve">enunciados normativos podrían contemplar múltiples supuestos indeterminados, según el parecer o el sentido común de los operadores jurídicos, poniendo en riesgo principios como la igualdad, el debido proceso, la libre concurrencia y el ejercicio de la profesión u oficio. </w:t>
      </w:r>
      <w:r>
        <w:rPr>
          <w:rFonts w:ascii="Verdana" w:eastAsia="Calibri" w:hAnsi="Verdana" w:cs="Arial"/>
          <w:color w:val="000000" w:themeColor="text1"/>
          <w:lang w:val="es-ES_tradnl"/>
        </w:rPr>
        <w:t xml:space="preserve">Esta </w:t>
      </w:r>
      <w:r w:rsidRPr="00C23CEB">
        <w:rPr>
          <w:rFonts w:ascii="Verdana" w:eastAsia="Calibri" w:hAnsi="Verdana" w:cs="Arial"/>
          <w:color w:val="000000" w:themeColor="text1"/>
          <w:lang w:val="es-ES_tradnl"/>
        </w:rPr>
        <w:t xml:space="preserve">ha sido la postura al interior de la jurisprudencia, tanto de la Corte Constitucional como de la Sección Tercera del Consejo de Estado. </w:t>
      </w:r>
    </w:p>
    <w:p w14:paraId="633007D8" w14:textId="77777777" w:rsidR="00C44D59" w:rsidRPr="00C23CEB" w:rsidRDefault="00C44D59" w:rsidP="00C44D59">
      <w:pPr>
        <w:spacing w:after="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23CEB">
        <w:rPr>
          <w:rFonts w:ascii="Verdana" w:eastAsia="Calibri" w:hAnsi="Verdana" w:cs="Arial"/>
          <w:color w:val="000000" w:themeColor="text1"/>
          <w:vertAlign w:val="superscript"/>
          <w:lang w:val="es-ES_tradnl"/>
        </w:rPr>
        <w:footnoteReference w:id="7"/>
      </w:r>
      <w:r w:rsidRPr="00C23CEB">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w:t>
      </w:r>
      <w:r>
        <w:rPr>
          <w:rFonts w:ascii="Verdana" w:eastAsia="Calibri" w:hAnsi="Verdana" w:cs="Arial"/>
          <w:color w:val="000000" w:themeColor="text1"/>
          <w:lang w:val="es-ES_tradnl"/>
        </w:rPr>
        <w:t>,</w:t>
      </w:r>
      <w:r w:rsidRPr="00C23CEB">
        <w:rPr>
          <w:rFonts w:ascii="Verdana" w:eastAsia="Calibri" w:hAnsi="Verdana" w:cs="Arial"/>
          <w:color w:val="000000" w:themeColor="text1"/>
          <w:lang w:val="es-ES_tradnl"/>
        </w:rPr>
        <w:t xml:space="preserve"> lo que se traduce en que pueden hacer todo aquello que no les esté expresamente prohibido”</w:t>
      </w:r>
      <w:r w:rsidRPr="00C23CEB">
        <w:rPr>
          <w:rFonts w:ascii="Verdana" w:eastAsia="Calibri" w:hAnsi="Verdana" w:cs="Arial"/>
          <w:color w:val="000000" w:themeColor="text1"/>
          <w:vertAlign w:val="superscript"/>
          <w:lang w:val="es-ES_tradnl"/>
        </w:rPr>
        <w:footnoteReference w:id="8"/>
      </w:r>
      <w:r w:rsidRPr="00C23CEB">
        <w:rPr>
          <w:rFonts w:ascii="Verdana" w:eastAsia="Calibri" w:hAnsi="Verdana" w:cs="Arial"/>
          <w:color w:val="000000" w:themeColor="text1"/>
          <w:lang w:val="es-ES_tradnl"/>
        </w:rPr>
        <w:t>. En tal sentido, la Sección Tercera ha señalado que:</w:t>
      </w:r>
    </w:p>
    <w:p w14:paraId="44A9E7F3" w14:textId="77777777" w:rsidR="00C44D59" w:rsidRPr="00C23CEB" w:rsidRDefault="00C44D59" w:rsidP="00C44D59">
      <w:pPr>
        <w:spacing w:after="0" w:line="276" w:lineRule="auto"/>
        <w:ind w:firstLine="709"/>
        <w:jc w:val="both"/>
        <w:rPr>
          <w:rFonts w:ascii="Verdana" w:eastAsia="Calibri" w:hAnsi="Verdana" w:cs="Arial"/>
          <w:color w:val="000000" w:themeColor="text1"/>
          <w:lang w:val="es-ES_tradnl"/>
        </w:rPr>
      </w:pPr>
    </w:p>
    <w:p w14:paraId="45342021" w14:textId="77777777" w:rsidR="00C44D59" w:rsidRPr="00C23CEB" w:rsidRDefault="00C44D59" w:rsidP="00C44D59">
      <w:pPr>
        <w:spacing w:after="0" w:line="240" w:lineRule="auto"/>
        <w:ind w:left="709" w:right="709"/>
        <w:jc w:val="both"/>
        <w:rPr>
          <w:rFonts w:ascii="Verdana" w:hAnsi="Verdana" w:cs="Arial"/>
          <w:color w:val="000000" w:themeColor="text1"/>
          <w:sz w:val="20"/>
          <w:szCs w:val="20"/>
          <w:lang w:val="es-ES_tradnl"/>
        </w:rPr>
      </w:pPr>
      <w:r w:rsidRPr="00C23CEB">
        <w:rPr>
          <w:rFonts w:ascii="Verdana"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C23CEB">
        <w:rPr>
          <w:rFonts w:ascii="Verdana" w:hAnsi="Verdana" w:cs="Arial"/>
          <w:color w:val="000000" w:themeColor="text1"/>
          <w:sz w:val="20"/>
          <w:szCs w:val="20"/>
          <w:vertAlign w:val="superscript"/>
          <w:lang w:val="es-ES_tradnl"/>
        </w:rPr>
        <w:footnoteReference w:id="9"/>
      </w:r>
      <w:r w:rsidRPr="00C23CEB">
        <w:rPr>
          <w:rFonts w:ascii="Verdana" w:hAnsi="Verdana" w:cs="Arial"/>
          <w:color w:val="000000" w:themeColor="text1"/>
          <w:sz w:val="20"/>
          <w:szCs w:val="20"/>
          <w:lang w:val="es-ES_tradnl"/>
        </w:rPr>
        <w:t>.</w:t>
      </w:r>
    </w:p>
    <w:p w14:paraId="7BC17D6F" w14:textId="77777777" w:rsidR="00C44D59" w:rsidRPr="00C23CEB" w:rsidRDefault="00C44D59" w:rsidP="00C44D59">
      <w:pPr>
        <w:spacing w:after="0" w:line="240" w:lineRule="auto"/>
        <w:ind w:left="709" w:right="709"/>
        <w:jc w:val="both"/>
        <w:rPr>
          <w:rFonts w:ascii="Verdana" w:hAnsi="Verdana" w:cs="Arial"/>
          <w:bCs/>
          <w:color w:val="000000" w:themeColor="text1"/>
          <w:sz w:val="20"/>
          <w:szCs w:val="20"/>
          <w:lang w:val="es-ES_tradnl"/>
        </w:rPr>
      </w:pPr>
    </w:p>
    <w:p w14:paraId="48F5F74C" w14:textId="77777777" w:rsidR="00C44D59" w:rsidRPr="002B401F" w:rsidRDefault="00C44D59" w:rsidP="00C44D59">
      <w:pPr>
        <w:spacing w:after="0" w:line="240" w:lineRule="auto"/>
        <w:ind w:firstLine="709"/>
        <w:jc w:val="both"/>
        <w:rPr>
          <w:rFonts w:ascii="Verdana" w:eastAsia="Calibri" w:hAnsi="Verdana" w:cs="Arial"/>
          <w:color w:val="000000" w:themeColor="text1"/>
          <w:lang w:val="es-ES"/>
        </w:rPr>
      </w:pPr>
      <w:r w:rsidRPr="002B401F">
        <w:rPr>
          <w:rFonts w:ascii="Verdana" w:eastAsia="Calibri" w:hAnsi="Verdana" w:cs="Arial"/>
          <w:color w:val="000000" w:themeColor="text1"/>
          <w:lang w:val="es-ES"/>
        </w:rPr>
        <w:t>También ha dicho que:</w:t>
      </w:r>
    </w:p>
    <w:p w14:paraId="1F1CEEB6" w14:textId="77777777" w:rsidR="00C44D59" w:rsidRPr="00C23CEB" w:rsidRDefault="00C44D59" w:rsidP="00C44D59">
      <w:pPr>
        <w:spacing w:after="0" w:line="240" w:lineRule="auto"/>
        <w:jc w:val="both"/>
        <w:rPr>
          <w:rFonts w:ascii="Verdana" w:eastAsia="Calibri" w:hAnsi="Verdana" w:cs="Arial"/>
          <w:color w:val="000000" w:themeColor="text1"/>
          <w:sz w:val="20"/>
          <w:szCs w:val="20"/>
          <w:lang w:val="es-ES_tradnl"/>
        </w:rPr>
      </w:pPr>
    </w:p>
    <w:p w14:paraId="33FE7643" w14:textId="77777777" w:rsidR="00C44D59" w:rsidRPr="00C23CEB" w:rsidRDefault="00C44D59" w:rsidP="00C44D59">
      <w:pPr>
        <w:spacing w:after="0" w:line="240" w:lineRule="auto"/>
        <w:ind w:left="709" w:right="709"/>
        <w:jc w:val="both"/>
        <w:rPr>
          <w:rFonts w:ascii="Verdana" w:hAnsi="Verdana" w:cs="Arial"/>
          <w:color w:val="000000" w:themeColor="text1"/>
          <w:sz w:val="20"/>
          <w:szCs w:val="20"/>
          <w:lang w:val="es-ES"/>
        </w:rPr>
      </w:pPr>
      <w:r w:rsidRPr="0C38455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C384551">
        <w:rPr>
          <w:rFonts w:ascii="Verdana" w:hAnsi="Verdana" w:cs="Arial"/>
          <w:i/>
          <w:color w:val="000000" w:themeColor="text1"/>
          <w:sz w:val="20"/>
          <w:szCs w:val="20"/>
          <w:lang w:val="es-ES"/>
        </w:rPr>
        <w:t xml:space="preserve">pro </w:t>
      </w:r>
      <w:proofErr w:type="spellStart"/>
      <w:r w:rsidRPr="0C384551">
        <w:rPr>
          <w:rFonts w:ascii="Verdana" w:hAnsi="Verdana" w:cs="Arial"/>
          <w:i/>
          <w:color w:val="000000" w:themeColor="text1"/>
          <w:sz w:val="20"/>
          <w:szCs w:val="20"/>
          <w:lang w:val="es-ES"/>
        </w:rPr>
        <w:t>libertate</w:t>
      </w:r>
      <w:proofErr w:type="spellEnd"/>
      <w:r w:rsidRPr="0C384551">
        <w:rPr>
          <w:rFonts w:ascii="Verdana" w:hAnsi="Verdana" w:cs="Arial"/>
          <w:color w:val="000000" w:themeColor="text1"/>
          <w:sz w:val="20"/>
          <w:szCs w:val="20"/>
          <w:lang w:val="es-ES"/>
        </w:rPr>
        <w:t xml:space="preserve">, entre varias interpretaciones posibles de una norma que regula una inhabilidad, debe preferirse aquella que menos limita el derecho de las personas; en otros </w:t>
      </w:r>
      <w:r w:rsidRPr="0C384551">
        <w:rPr>
          <w:rFonts w:ascii="Verdana" w:hAnsi="Verdana" w:cs="Arial"/>
          <w:color w:val="000000" w:themeColor="text1"/>
          <w:sz w:val="20"/>
          <w:szCs w:val="20"/>
          <w:lang w:val="es-ES"/>
        </w:rPr>
        <w:lastRenderedPageBreak/>
        <w:t>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C384551">
        <w:rPr>
          <w:rFonts w:ascii="Verdana" w:hAnsi="Verdana" w:cs="Arial"/>
          <w:color w:val="000000" w:themeColor="text1"/>
          <w:sz w:val="20"/>
          <w:szCs w:val="20"/>
          <w:vertAlign w:val="superscript"/>
          <w:lang w:val="es-ES"/>
        </w:rPr>
        <w:footnoteReference w:id="10"/>
      </w:r>
      <w:r w:rsidRPr="0C384551">
        <w:rPr>
          <w:rFonts w:ascii="Verdana" w:hAnsi="Verdana" w:cs="Arial"/>
          <w:color w:val="000000" w:themeColor="text1"/>
          <w:sz w:val="20"/>
          <w:szCs w:val="20"/>
          <w:lang w:val="es-ES"/>
        </w:rPr>
        <w:t>.</w:t>
      </w:r>
    </w:p>
    <w:p w14:paraId="440BC061" w14:textId="77777777" w:rsidR="00C44D59" w:rsidRPr="00C23CEB" w:rsidRDefault="00C44D59" w:rsidP="00C44D59">
      <w:pPr>
        <w:spacing w:after="0" w:line="276" w:lineRule="auto"/>
        <w:ind w:left="709" w:right="709"/>
        <w:jc w:val="both"/>
        <w:rPr>
          <w:rFonts w:ascii="Verdana" w:hAnsi="Verdana" w:cs="Arial"/>
          <w:color w:val="000000" w:themeColor="text1"/>
          <w:lang w:val="es-ES_tradnl"/>
        </w:rPr>
      </w:pPr>
    </w:p>
    <w:p w14:paraId="11E0337D"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61240B9D" w14:textId="77777777" w:rsidR="00C44D59" w:rsidRPr="00C23CEB" w:rsidRDefault="00C44D59" w:rsidP="00C44D59">
      <w:pPr>
        <w:spacing w:after="120" w:line="276" w:lineRule="auto"/>
        <w:ind w:firstLine="709"/>
        <w:jc w:val="both"/>
        <w:rPr>
          <w:rFonts w:ascii="Verdana" w:eastAsia="Calibri" w:hAnsi="Verdana" w:cs="Arial"/>
          <w:color w:val="000000" w:themeColor="text1"/>
          <w:lang w:val="es-ES_tradnl"/>
        </w:rPr>
      </w:pPr>
      <w:r w:rsidRPr="00C23CEB">
        <w:rPr>
          <w:rFonts w:ascii="Verdana" w:hAnsi="Verdana"/>
        </w:rPr>
        <w:t>Entre las inhabilidades e incompatibilidades para contratar con el Estado se encuentra la prevista en el artículo 5 de la Ley 1474 de 2011, que impide celebrar contratos de interventoría a quienes hayan celebrado con la misma entidad contratos de obra pública, de concesión, suministro de medicamentos y de alimentos. Esta prohibición se extiende al cónyuge, compañero o compañera permanente, pariente hasta el segundo grado de consanguinidad, segundo de afinidad y/o primero civil o sus socios en sociedades distintas de las anónimas</w:t>
      </w:r>
      <w:r w:rsidRPr="00C23CEB">
        <w:rPr>
          <w:rFonts w:ascii="Verdana" w:hAnsi="Verdana"/>
          <w:spacing w:val="-12"/>
        </w:rPr>
        <w:t xml:space="preserve"> </w:t>
      </w:r>
      <w:r w:rsidRPr="00C23CEB">
        <w:rPr>
          <w:rFonts w:ascii="Verdana" w:hAnsi="Verdana"/>
        </w:rPr>
        <w:t>abiertas</w:t>
      </w:r>
      <w:r w:rsidRPr="00C23CEB">
        <w:rPr>
          <w:rFonts w:ascii="Verdana" w:hAnsi="Verdana"/>
          <w:vertAlign w:val="superscript"/>
        </w:rPr>
        <w:footnoteReference w:id="11"/>
      </w:r>
      <w:r w:rsidRPr="00C23CEB">
        <w:rPr>
          <w:rFonts w:ascii="Verdana" w:hAnsi="Verdana"/>
        </w:rPr>
        <w:t>.</w:t>
      </w:r>
    </w:p>
    <w:p w14:paraId="3EDE71A2" w14:textId="77777777" w:rsidR="00C44D59" w:rsidRPr="00C23CEB" w:rsidRDefault="00C44D59" w:rsidP="00C44D59">
      <w:pPr>
        <w:widowControl w:val="0"/>
        <w:autoSpaceDE w:val="0"/>
        <w:autoSpaceDN w:val="0"/>
        <w:spacing w:after="120" w:line="276" w:lineRule="auto"/>
        <w:ind w:firstLine="709"/>
        <w:jc w:val="both"/>
        <w:rPr>
          <w:rFonts w:ascii="Verdana" w:hAnsi="Verdana"/>
        </w:rPr>
      </w:pPr>
      <w:r w:rsidRPr="00C23CEB">
        <w:rPr>
          <w:rFonts w:ascii="Verdana" w:hAnsi="Verdana"/>
        </w:rPr>
        <w:t>De conformidad con lo anterior, no podrá celebrar contratos de interventoría la persona –natural o jurídica–, consorcio o unión temporal que durante la presentación de ofertas conserve una relación contractual sin liquidar con la misma entidad</w:t>
      </w:r>
      <w:r w:rsidRPr="00C23CEB">
        <w:rPr>
          <w:rFonts w:ascii="Verdana" w:hAnsi="Verdana"/>
          <w:vertAlign w:val="superscript"/>
        </w:rPr>
        <w:footnoteReference w:id="12"/>
      </w:r>
      <w:r w:rsidRPr="00C23CEB">
        <w:rPr>
          <w:rFonts w:ascii="Verdana" w:hAnsi="Verdana"/>
        </w:rPr>
        <w:t>.</w:t>
      </w:r>
    </w:p>
    <w:p w14:paraId="76BA2765" w14:textId="77777777" w:rsidR="00C44D59" w:rsidRPr="00C23CEB" w:rsidRDefault="00C44D59" w:rsidP="00C44D59">
      <w:pPr>
        <w:widowControl w:val="0"/>
        <w:autoSpaceDE w:val="0"/>
        <w:autoSpaceDN w:val="0"/>
        <w:spacing w:after="0" w:line="276" w:lineRule="auto"/>
        <w:ind w:firstLine="709"/>
        <w:jc w:val="both"/>
        <w:rPr>
          <w:rFonts w:ascii="Verdana" w:eastAsia="Arial" w:hAnsi="Verdana" w:cs="Arial"/>
          <w:lang w:val="es-ES"/>
        </w:rPr>
      </w:pPr>
      <w:r>
        <w:rPr>
          <w:rFonts w:ascii="Verdana" w:hAnsi="Verdana"/>
        </w:rPr>
        <w:t>A</w:t>
      </w:r>
      <w:r w:rsidRPr="00C23CEB">
        <w:rPr>
          <w:rFonts w:ascii="Verdana" w:hAnsi="Verdana"/>
        </w:rPr>
        <w:t xml:space="preserve">l estudiar la constitucionalidad de esta norma, </w:t>
      </w:r>
      <w:r>
        <w:rPr>
          <w:rFonts w:ascii="Verdana" w:hAnsi="Verdana"/>
        </w:rPr>
        <w:t xml:space="preserve">la Corte </w:t>
      </w:r>
      <w:r w:rsidRPr="00C23CEB">
        <w:rPr>
          <w:rFonts w:ascii="Verdana" w:hAnsi="Verdana"/>
        </w:rPr>
        <w:t>expresó, en la sentencia C-618 de 2012,</w:t>
      </w:r>
      <w:r>
        <w:rPr>
          <w:rFonts w:ascii="Verdana" w:hAnsi="Verdana"/>
        </w:rPr>
        <w:t xml:space="preserve"> </w:t>
      </w:r>
      <w:r w:rsidRPr="00C23CEB">
        <w:rPr>
          <w:rFonts w:ascii="Verdana" w:hAnsi="Verdana"/>
        </w:rPr>
        <w:t>que esta prohibición no impide ni limita la participación de los proponentes para celebrar contratos estatales, sino que es una restricción que busca garantizar y salvaguardar el interés público y preservar la transparencia de la contratación pública sin que se privilegien intereses particulares. Al respecto, señaló:</w:t>
      </w:r>
    </w:p>
    <w:p w14:paraId="5E863BD6" w14:textId="77777777" w:rsidR="00C44D59" w:rsidRPr="00C23CEB" w:rsidRDefault="00C44D59" w:rsidP="00C44D59">
      <w:pPr>
        <w:widowControl w:val="0"/>
        <w:autoSpaceDE w:val="0"/>
        <w:autoSpaceDN w:val="0"/>
        <w:spacing w:before="4" w:after="0" w:line="240" w:lineRule="auto"/>
        <w:rPr>
          <w:rFonts w:ascii="Verdana" w:eastAsia="Arial" w:hAnsi="Verdana" w:cs="Arial"/>
          <w:sz w:val="25"/>
          <w:lang w:val="es-ES"/>
        </w:rPr>
      </w:pPr>
    </w:p>
    <w:p w14:paraId="5EB25B2E"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sz w:val="20"/>
          <w:szCs w:val="20"/>
        </w:rPr>
        <w:lastRenderedPageBreak/>
        <w:t>“Para la Corte no cabe duda que la relevancia de la restricción que la norma impugnada establece estriba en la necesidad de evitar la simultaneidad de contratos celebrados con la misma entidad y obedece a que el legislador consideró necesario imponerla para ciertos contratos que por su naturaleza y gran impacto, requieren de controles más estrictos, todo con el propósito de darle prevalencia al bien común propiciando que la actividad administrativa que subyace en la contratación estatal se desarrolle con imparcialidad y transparencia y sin la interferencia que podría derivarse de la participación de los particulares por su múltiple vinculación contractual en relación con un específico ente estatal a través de los instrumentos jurídicos que la norma escogió como referentes para establecer la</w:t>
      </w:r>
      <w:r w:rsidRPr="00C23CEB">
        <w:rPr>
          <w:rFonts w:ascii="Verdana" w:hAnsi="Verdana"/>
          <w:spacing w:val="-3"/>
          <w:sz w:val="20"/>
          <w:szCs w:val="20"/>
        </w:rPr>
        <w:t xml:space="preserve"> </w:t>
      </w:r>
      <w:r w:rsidRPr="00C23CEB">
        <w:rPr>
          <w:rFonts w:ascii="Verdana" w:hAnsi="Verdana"/>
          <w:sz w:val="20"/>
          <w:szCs w:val="20"/>
        </w:rPr>
        <w:t>prohibición.</w:t>
      </w:r>
    </w:p>
    <w:p w14:paraId="7B60D6C3" w14:textId="77777777" w:rsidR="00C44D59" w:rsidRPr="00C23CEB" w:rsidRDefault="00C44D59" w:rsidP="00CA748C">
      <w:pPr>
        <w:spacing w:after="0" w:line="240" w:lineRule="auto"/>
        <w:ind w:left="709" w:right="709"/>
        <w:jc w:val="both"/>
        <w:rPr>
          <w:rFonts w:ascii="Verdana" w:hAnsi="Verdana"/>
          <w:sz w:val="20"/>
          <w:szCs w:val="20"/>
        </w:rPr>
      </w:pPr>
      <w:r w:rsidRPr="00C23CEB">
        <w:rPr>
          <w:rFonts w:ascii="Verdana" w:hAnsi="Verdana" w:cs="Arial"/>
          <w:color w:val="000000" w:themeColor="text1"/>
          <w:sz w:val="20"/>
          <w:szCs w:val="20"/>
          <w:lang w:val="es-ES_tradnl"/>
        </w:rPr>
        <w:t>[…]</w:t>
      </w:r>
    </w:p>
    <w:p w14:paraId="4D1BFBFD" w14:textId="77777777" w:rsidR="00C44D59" w:rsidRPr="00BC7734" w:rsidRDefault="00C44D59" w:rsidP="00CA748C">
      <w:pPr>
        <w:spacing w:after="0" w:line="240" w:lineRule="auto"/>
        <w:ind w:left="709" w:right="709"/>
        <w:jc w:val="both"/>
        <w:rPr>
          <w:rFonts w:ascii="Verdana" w:hAnsi="Verdana"/>
          <w:sz w:val="20"/>
          <w:szCs w:val="20"/>
        </w:rPr>
      </w:pPr>
      <w:r w:rsidRPr="00C23CEB">
        <w:rPr>
          <w:rFonts w:ascii="Verdana" w:hAnsi="Verdana"/>
          <w:sz w:val="20"/>
          <w:szCs w:val="20"/>
        </w:rPr>
        <w:t xml:space="preserve">De esta forma encuentra la Corte igualmente oportuno acoger algunas de las consideraciones esbozadas por el Departamento Nacional de Planeación en cuanto señala que la limitación en una contratación determinada, como lo es la del contrato de interventoría, con una entidad específica, no implica la vulneración de los derechos de los interesados en adelantar las labores propias de la actividad respectiva (supervisión, coordinación y control realizado por una persona natural o jurídica, a los diferentes aspectos y etapas en que se desarrolla un contrato estatal) pues no se les estaría impidiendo que, respecto de otras entidades, puedan vincularse y ejercer el trabajo, la profesión u oficio a cuya supuesta restricción se oponen. Perspectiva bajo la cual la Corte encuentra válido que el legislador haya pretendido prevenir que una persona sea el interventor de contratos que hayan sido suscritos por ella o por familiares a objeto de concretar un fin </w:t>
      </w:r>
      <w:r w:rsidRPr="00BC7734">
        <w:rPr>
          <w:rFonts w:ascii="Verdana" w:hAnsi="Verdana"/>
          <w:sz w:val="20"/>
          <w:szCs w:val="20"/>
        </w:rPr>
        <w:t>constitucionalmente legítimo, cual es el de garantizar que la contratación estatal se realice con apego a los principios de eficiencia, eficacia, imparcialidad, transparencia y</w:t>
      </w:r>
      <w:r w:rsidRPr="00BC7734">
        <w:rPr>
          <w:rFonts w:ascii="Verdana" w:hAnsi="Verdana"/>
          <w:spacing w:val="-6"/>
          <w:sz w:val="20"/>
          <w:szCs w:val="20"/>
        </w:rPr>
        <w:t xml:space="preserve"> </w:t>
      </w:r>
      <w:r w:rsidRPr="00BC7734">
        <w:rPr>
          <w:rFonts w:ascii="Verdana" w:hAnsi="Verdana"/>
          <w:sz w:val="20"/>
          <w:szCs w:val="20"/>
        </w:rPr>
        <w:t>objetividad”</w:t>
      </w:r>
      <w:r w:rsidRPr="00BC7734">
        <w:rPr>
          <w:rStyle w:val="Refdenotaalpie"/>
          <w:rFonts w:ascii="Verdana" w:hAnsi="Verdana"/>
          <w:sz w:val="20"/>
          <w:szCs w:val="20"/>
        </w:rPr>
        <w:footnoteReference w:id="13"/>
      </w:r>
      <w:r w:rsidRPr="00BC7734">
        <w:rPr>
          <w:rFonts w:ascii="Verdana" w:hAnsi="Verdana"/>
          <w:sz w:val="20"/>
          <w:szCs w:val="20"/>
        </w:rPr>
        <w:t>.</w:t>
      </w:r>
    </w:p>
    <w:p w14:paraId="459EEA35" w14:textId="77777777" w:rsidR="00C44D59" w:rsidRPr="00BC7734" w:rsidRDefault="00C44D59" w:rsidP="00C44D59">
      <w:pPr>
        <w:widowControl w:val="0"/>
        <w:autoSpaceDE w:val="0"/>
        <w:autoSpaceDN w:val="0"/>
        <w:spacing w:after="0" w:line="276" w:lineRule="auto"/>
        <w:ind w:right="51" w:firstLine="709"/>
        <w:jc w:val="both"/>
        <w:rPr>
          <w:rFonts w:ascii="Verdana" w:eastAsia="Arial" w:hAnsi="Verdana" w:cs="Arial"/>
          <w:lang w:val="es-ES"/>
        </w:rPr>
      </w:pPr>
    </w:p>
    <w:p w14:paraId="7C8BD029" w14:textId="77777777" w:rsidR="00C44D59" w:rsidRPr="00BC7734" w:rsidRDefault="00C44D59" w:rsidP="00C44D59">
      <w:pPr>
        <w:widowControl w:val="0"/>
        <w:autoSpaceDE w:val="0"/>
        <w:autoSpaceDN w:val="0"/>
        <w:spacing w:after="120" w:line="276" w:lineRule="auto"/>
        <w:ind w:right="51" w:firstLine="709"/>
        <w:jc w:val="both"/>
        <w:rPr>
          <w:rFonts w:ascii="Verdana" w:eastAsia="Arial" w:hAnsi="Verdana" w:cs="Arial"/>
        </w:rPr>
      </w:pPr>
      <w:r w:rsidRPr="00BC7734">
        <w:rPr>
          <w:rFonts w:ascii="Verdana" w:eastAsia="Arial" w:hAnsi="Verdana" w:cs="Arial"/>
          <w:lang w:val="es-ES"/>
        </w:rPr>
        <w:t xml:space="preserve">De esta manera, la prohibición señalada constituye </w:t>
      </w:r>
      <w:r w:rsidRPr="00BC7734">
        <w:rPr>
          <w:rFonts w:ascii="Verdana" w:eastAsia="Arial" w:hAnsi="Verdana" w:cs="Arial"/>
        </w:rPr>
        <w:t>un mecanismo legítimo para asegurar la transparencia y la integridad en la contratación pública, que tiene como objetivo principal prevenir la corrupción y garantizar la aplicación efectiva de principios fundamentales como la independencia y la imparcialidad.</w:t>
      </w:r>
    </w:p>
    <w:p w14:paraId="1ABDBE17" w14:textId="77777777" w:rsidR="00C44D59" w:rsidRPr="00BC7734" w:rsidRDefault="00C44D59" w:rsidP="00C44D59">
      <w:pPr>
        <w:widowControl w:val="0"/>
        <w:autoSpaceDE w:val="0"/>
        <w:autoSpaceDN w:val="0"/>
        <w:spacing w:after="120" w:line="276" w:lineRule="auto"/>
        <w:ind w:right="51" w:firstLine="709"/>
        <w:jc w:val="both"/>
        <w:rPr>
          <w:rFonts w:ascii="Verdana" w:eastAsia="Arial" w:hAnsi="Verdana" w:cs="Arial"/>
          <w:lang w:val="es-ES"/>
        </w:rPr>
      </w:pPr>
      <w:r w:rsidRPr="00BC7734">
        <w:rPr>
          <w:rFonts w:ascii="Verdana" w:eastAsia="Arial" w:hAnsi="Verdana" w:cs="Arial"/>
          <w:lang w:val="es-ES"/>
        </w:rPr>
        <w:t xml:space="preserve">En este orden de ideas, la incompatibilidad del artículo 5 de la Ley 1474 de 2011 se origina por el hecho de que el interesado en participar en un proceso que tiene por objeto celebrar un contrato de interventoría se encuentra ejecutando con la misma entidad contratos de </w:t>
      </w:r>
      <w:r w:rsidRPr="00BC7734">
        <w:rPr>
          <w:rFonts w:ascii="Verdana" w:eastAsia="Arial" w:hAnsi="Verdana" w:cs="Arial"/>
          <w:i/>
          <w:iCs/>
          <w:lang w:val="es-ES"/>
        </w:rPr>
        <w:t>obra</w:t>
      </w:r>
      <w:r w:rsidRPr="00BC7734">
        <w:rPr>
          <w:rFonts w:ascii="Verdana" w:eastAsia="Arial" w:hAnsi="Verdana" w:cs="Arial"/>
          <w:lang w:val="es-ES"/>
        </w:rPr>
        <w:t xml:space="preserve">, de concesión o de suministro de medicamentos y alimentos, o que habiéndose ejecutado no se han liquidado. Es decir, por haber suscrito uno estos contratos con anterioridad </w:t>
      </w:r>
      <w:r w:rsidRPr="00BC7734">
        <w:rPr>
          <w:rFonts w:ascii="Verdana" w:eastAsia="Arial" w:hAnsi="Verdana" w:cs="Arial"/>
          <w:lang w:val="es-ES"/>
        </w:rPr>
        <w:lastRenderedPageBreak/>
        <w:t>este contratista no puede suscribir contratos de interventoría con la misma entidad, sin que sea necesaria la existencia de relación entre la interventoría y los demás contratos previstos en esta</w:t>
      </w:r>
      <w:r w:rsidRPr="00BC7734">
        <w:rPr>
          <w:rFonts w:ascii="Verdana" w:eastAsia="Arial" w:hAnsi="Verdana" w:cs="Arial"/>
          <w:spacing w:val="-5"/>
          <w:lang w:val="es-ES"/>
        </w:rPr>
        <w:t xml:space="preserve"> </w:t>
      </w:r>
      <w:r w:rsidRPr="00BC7734">
        <w:rPr>
          <w:rFonts w:ascii="Verdana" w:eastAsia="Arial" w:hAnsi="Verdana" w:cs="Arial"/>
          <w:lang w:val="es-ES"/>
        </w:rPr>
        <w:t>norma.</w:t>
      </w:r>
    </w:p>
    <w:p w14:paraId="7C32424E" w14:textId="77777777" w:rsidR="00C44D59" w:rsidRPr="00BC7734" w:rsidRDefault="00C44D59" w:rsidP="00C44D59">
      <w:pPr>
        <w:widowControl w:val="0"/>
        <w:autoSpaceDE w:val="0"/>
        <w:autoSpaceDN w:val="0"/>
        <w:spacing w:after="120" w:line="276" w:lineRule="auto"/>
        <w:ind w:right="51" w:firstLine="709"/>
        <w:jc w:val="both"/>
        <w:rPr>
          <w:rFonts w:ascii="Verdana" w:eastAsia="Century Gothic" w:hAnsi="Verdana" w:cs="Century Gothic"/>
          <w:bCs/>
        </w:rPr>
      </w:pPr>
      <w:r w:rsidRPr="00BC7734">
        <w:rPr>
          <w:rFonts w:ascii="Verdana" w:eastAsia="Arial" w:hAnsi="Verdana" w:cs="Arial"/>
          <w:lang w:val="es-ES"/>
        </w:rPr>
        <w:t xml:space="preserve">Por otro lado, esta prohibición no puede extenderse a otros sujetos o contratos que no estén previstos en el artículo 5 de la Ley 1474 de 2011 toda vez que, como se mencionó, las inhabilidades e incompatibilidades son de aplicación restrictiva. No se extiende a los contratos de obra, de concesión, de suministro de medicamentos y de alimentos que ya se encuentren liquidados. Tampoco </w:t>
      </w:r>
      <w:r w:rsidRPr="00BC7734">
        <w:rPr>
          <w:rFonts w:ascii="Verdana" w:eastAsia="Century Gothic" w:hAnsi="Verdana" w:cs="Century Gothic"/>
          <w:bCs/>
        </w:rPr>
        <w:t xml:space="preserve">se advierte que se configure inhabilidad o incompatibilidad para quien ejecute un contrato de interventoría y pretenda celebrar un contrato de obra pública con la misma entidad. Es claro que el artículo 5 de la Ley 1474 de 2011 no contempló este último supuesto, pues se refirió a la prohibición de que quienes se encuentren ejecutando contratos de obra con una entidad suscriban contratos de interventoría con esta misma durante el plazo de ejecución y hasta la liquidación del primero. </w:t>
      </w:r>
    </w:p>
    <w:p w14:paraId="2F26B541" w14:textId="5CF79A0A" w:rsidR="00C44D59" w:rsidRPr="00BC7734" w:rsidRDefault="00C44D59" w:rsidP="00C44D59">
      <w:pPr>
        <w:widowControl w:val="0"/>
        <w:autoSpaceDE w:val="0"/>
        <w:autoSpaceDN w:val="0"/>
        <w:spacing w:after="120" w:line="276" w:lineRule="auto"/>
        <w:ind w:right="51" w:firstLine="709"/>
        <w:jc w:val="both"/>
        <w:rPr>
          <w:rFonts w:ascii="Verdana" w:eastAsia="Century Gothic" w:hAnsi="Verdana" w:cs="Century Gothic"/>
          <w:bCs/>
        </w:rPr>
      </w:pPr>
      <w:r w:rsidRPr="00BC7734">
        <w:rPr>
          <w:rFonts w:ascii="Verdana" w:eastAsia="Century Gothic" w:hAnsi="Verdana" w:cs="Century Gothic"/>
          <w:bCs/>
        </w:rPr>
        <w:t>En efecto, no puede realizarse una interpretación extensiva del supuesto de la norma para contemplar un caso opuesto. En este evento, no hay lugar a la aplicación de la prohibición prevista en el artículo 5 de la Ley 1474 de 2011, pues el contrato de interventoría no está incluido entre aquellos que generan la incompatibilidad, como es el caso de los de obra, concesión y el de suministro de medicamentos y alimentos, de modo que estarían excluidos de los efectos allí dispuestos</w:t>
      </w:r>
      <w:r w:rsidRPr="00BC7734">
        <w:rPr>
          <w:rStyle w:val="Refdenotaalpie"/>
          <w:rFonts w:ascii="Verdana" w:eastAsia="Century Gothic" w:hAnsi="Verdana" w:cs="Century Gothic"/>
          <w:bCs/>
        </w:rPr>
        <w:footnoteReference w:id="14"/>
      </w:r>
      <w:r w:rsidRPr="00BC7734">
        <w:rPr>
          <w:rFonts w:ascii="Verdana" w:eastAsia="Century Gothic" w:hAnsi="Verdana" w:cs="Century Gothic"/>
          <w:bCs/>
        </w:rPr>
        <w:t xml:space="preserve">. Adicionalmente, la norma es clara en señalar que la persona y sus familiares más cercanos y socios, no pueden celebrar contrato de interventoría durante la ejecución y liquidación de esos tres contratos (concesión, obras públicas, y suministro de alimentos y medicamentos), con lo cual determinó un orden para la incompatibilidad que implica, primero, la suscripción de uno de esos contratos y, luego, la suscripción del de interventoría. De esta forma, la norma no prohíbe a quien se encuentre </w:t>
      </w:r>
      <w:r w:rsidRPr="00BC7734">
        <w:rPr>
          <w:rFonts w:ascii="Verdana" w:eastAsia="Century Gothic" w:hAnsi="Verdana" w:cs="Century Gothic"/>
          <w:bCs/>
        </w:rPr>
        <w:lastRenderedPageBreak/>
        <w:t>ejecutando un contrato de interventoría celebrar, luego, un contrato de obra con la misma entidad.</w:t>
      </w:r>
    </w:p>
    <w:p w14:paraId="6F693B54" w14:textId="4D65C5BD" w:rsidR="00C44D59" w:rsidRPr="00BC7734" w:rsidRDefault="00C44D59" w:rsidP="00CA748C">
      <w:pPr>
        <w:spacing w:after="120" w:line="276" w:lineRule="auto"/>
        <w:ind w:firstLine="708"/>
        <w:jc w:val="both"/>
        <w:rPr>
          <w:rFonts w:ascii="Verdana" w:eastAsia="Arial" w:hAnsi="Verdana" w:cs="Arial"/>
          <w:color w:val="000000"/>
        </w:rPr>
      </w:pPr>
      <w:r w:rsidRPr="00BC7734">
        <w:rPr>
          <w:rFonts w:ascii="Verdana" w:eastAsia="Calibri" w:hAnsi="Verdana" w:cs="Arial"/>
          <w:lang w:val="es-ES" w:eastAsia="es-MX"/>
        </w:rPr>
        <w:t xml:space="preserve"> </w:t>
      </w:r>
      <w:bookmarkEnd w:id="4"/>
      <w:r w:rsidRPr="00BC7734">
        <w:rPr>
          <w:rFonts w:ascii="Verdana" w:eastAsia="Arial" w:hAnsi="Verdana" w:cs="Arial"/>
          <w:color w:val="000000"/>
        </w:rPr>
        <w:t>En ese sentido, corresponderá a los equipos jurídicos de las entidades estatales, en el marco de su competencia y con fundamento en las disposiciones legales y doctrinales citadas, verificar en cada caso concreto si la participación de un proponente configura una situación de inhabilidad, incompatibilidad o conflicto de intereses, motivando debidamente su decisión y garantizando los principios de transparencia, imparcialidad y libre concurrencia en los procesos de contratación.</w:t>
      </w:r>
    </w:p>
    <w:p w14:paraId="6E39BD59" w14:textId="77777777" w:rsidR="00C44D59" w:rsidRPr="00BC7734" w:rsidRDefault="00C44D59" w:rsidP="00C44D59">
      <w:pPr>
        <w:spacing w:after="0" w:line="276" w:lineRule="auto"/>
        <w:ind w:right="-58"/>
        <w:jc w:val="both"/>
        <w:rPr>
          <w:rFonts w:ascii="Verdana" w:eastAsia="Arial" w:hAnsi="Verdana" w:cs="Arial"/>
          <w:color w:val="000000"/>
        </w:rPr>
      </w:pPr>
      <w:r w:rsidRPr="00BC7734">
        <w:rPr>
          <w:rFonts w:ascii="Verdana" w:eastAsia="Arial" w:hAnsi="Verdana" w:cs="Arial"/>
          <w:color w:val="000000"/>
        </w:rPr>
        <w:t xml:space="preserve">         Ahora bien, las entidades estatales sí deben analizar cada caso concreto para asegurarse de que no se genere un conflicto de intereses real o material. Este podría presentarse, por ejemplo, si la empresa que ejecuta una obra pretendiera también intervenir como interventora o supervisora de esa misma obra o de un contrato directamente relacionado, lo que afectaría la independencia técnica exigida en este tipo de contratos.</w:t>
      </w:r>
    </w:p>
    <w:p w14:paraId="3821F0C6" w14:textId="77777777" w:rsidR="00C44D59" w:rsidRPr="00BC7734" w:rsidRDefault="00C44D59" w:rsidP="00C44D59">
      <w:pPr>
        <w:pStyle w:val="Prrafodelista"/>
        <w:spacing w:before="120" w:after="120" w:line="276" w:lineRule="auto"/>
        <w:ind w:left="0" w:firstLine="708"/>
        <w:jc w:val="both"/>
        <w:rPr>
          <w:rFonts w:ascii="Verdana" w:eastAsia="Aptos" w:hAnsi="Verdana" w:cs="Arial"/>
          <w:shd w:val="clear" w:color="auto" w:fill="FFFFFF"/>
        </w:rPr>
      </w:pPr>
      <w:r w:rsidRPr="00BC7734">
        <w:rPr>
          <w:rFonts w:ascii="Verdana" w:eastAsia="Calibri" w:hAnsi="Verdana" w:cs="Arial"/>
          <w:lang w:eastAsia="es-ES"/>
        </w:rPr>
        <w:t>Finalmente</w:t>
      </w:r>
      <w:r w:rsidRPr="00BC7734">
        <w:rPr>
          <w:rFonts w:ascii="Verdana" w:eastAsia="Calibri" w:hAnsi="Verdana" w:cs="Times New Roman"/>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BC7734">
        <w:t xml:space="preserve"> </w:t>
      </w:r>
    </w:p>
    <w:p w14:paraId="225A7B03" w14:textId="09481DB7" w:rsidR="00BC7734" w:rsidRDefault="00C44D59" w:rsidP="00C44D59">
      <w:pPr>
        <w:spacing w:line="276" w:lineRule="auto"/>
        <w:jc w:val="both"/>
        <w:rPr>
          <w:rFonts w:ascii="Verdana" w:eastAsia="Calibri" w:hAnsi="Verdana" w:cs="Times New Roman"/>
          <w:lang w:val="es-ES"/>
        </w:rPr>
      </w:pPr>
      <w:r w:rsidRPr="00BC7734">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1716144D" w14:textId="77777777" w:rsidR="00433C93" w:rsidRDefault="00433C93" w:rsidP="00C44D59">
      <w:pPr>
        <w:spacing w:line="276" w:lineRule="auto"/>
        <w:jc w:val="both"/>
        <w:rPr>
          <w:rFonts w:ascii="Verdana" w:eastAsia="Calibri" w:hAnsi="Verdana" w:cs="Times New Roman"/>
          <w:lang w:val="es-ES"/>
        </w:rPr>
      </w:pPr>
    </w:p>
    <w:p w14:paraId="650E2AB5" w14:textId="77777777" w:rsidR="00433C93" w:rsidRDefault="00433C93" w:rsidP="00C44D59">
      <w:pPr>
        <w:spacing w:line="276" w:lineRule="auto"/>
        <w:jc w:val="both"/>
        <w:rPr>
          <w:rFonts w:ascii="Verdana" w:eastAsia="Calibri" w:hAnsi="Verdana" w:cs="Times New Roman"/>
          <w:lang w:val="es-ES"/>
        </w:rPr>
      </w:pPr>
    </w:p>
    <w:p w14:paraId="0BEAFA72" w14:textId="77777777" w:rsidR="00433C93" w:rsidRDefault="00433C93" w:rsidP="00C44D59">
      <w:pPr>
        <w:spacing w:line="276" w:lineRule="auto"/>
        <w:jc w:val="both"/>
        <w:rPr>
          <w:rFonts w:ascii="Verdana" w:eastAsia="Calibri" w:hAnsi="Verdana" w:cs="Times New Roman"/>
          <w:lang w:val="es-ES"/>
        </w:rPr>
      </w:pPr>
    </w:p>
    <w:p w14:paraId="7A3B97B8" w14:textId="77777777" w:rsidR="00C44D59" w:rsidRPr="0060676F" w:rsidRDefault="00C44D59" w:rsidP="00C44D59">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lastRenderedPageBreak/>
        <w:t>Referencias normativas, jurisprudenciales y otras fuentes:</w:t>
      </w:r>
    </w:p>
    <w:p w14:paraId="5B385D1C" w14:textId="77777777" w:rsidR="00C44D59" w:rsidRPr="00593A5F" w:rsidRDefault="00C44D59" w:rsidP="00C44D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44D59" w:rsidRPr="00593A5F" w14:paraId="460A4E91" w14:textId="77777777" w:rsidTr="00E11A84">
        <w:trPr>
          <w:trHeight w:val="870"/>
        </w:trPr>
        <w:tc>
          <w:tcPr>
            <w:tcW w:w="8647" w:type="dxa"/>
          </w:tcPr>
          <w:p w14:paraId="1C58F156"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Ley 80 de 1993: artículos 2, 6</w:t>
            </w:r>
            <w:r w:rsidRPr="00CF444D">
              <w:rPr>
                <w:rFonts w:ascii="Verdana" w:hAnsi="Verdana" w:cs="Arial"/>
                <w:noProof/>
                <w:color w:val="000000" w:themeColor="text1"/>
                <w:lang w:val="es-ES_tradnl"/>
              </w:rPr>
              <w:t xml:space="preserve"> y 8.</w:t>
            </w:r>
          </w:p>
          <w:p w14:paraId="1B2F34E1"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Ley 1474 de 2011: artículo 5</w:t>
            </w:r>
          </w:p>
          <w:p w14:paraId="7D0C5DE6"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Sección Tercera. Subsección C. Sentencia del 22 de mayo de 2013. Exp. 24.057. Consejera Ponente: Olga Melida Valle De De La Hoz.</w:t>
            </w:r>
          </w:p>
          <w:p w14:paraId="5E7B294E"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Sala de Consulta y Servicio Civil. Concepto del 30 de abril de 2015. Expediente: 2251. Consejero Ponente: Álvaro Namén Vargas.</w:t>
            </w:r>
          </w:p>
          <w:p w14:paraId="35EC6CC7"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Consejo de Estado. Sección Tercera. Subsección A. Sentencia del 24 de junio de 2015. Exp. 40.635. Consejero Ponente: Hernán Andrade Rincón (E).</w:t>
            </w:r>
          </w:p>
          <w:p w14:paraId="4A15E728" w14:textId="77777777" w:rsidR="00C44D59" w:rsidRPr="00F74E7C" w:rsidRDefault="00C44D59" w:rsidP="00E11A84">
            <w:pPr>
              <w:numPr>
                <w:ilvl w:val="0"/>
                <w:numId w:val="17"/>
              </w:numPr>
              <w:spacing w:before="120" w:after="120" w:line="276" w:lineRule="auto"/>
              <w:jc w:val="both"/>
              <w:rPr>
                <w:rFonts w:ascii="Verdana" w:hAnsi="Verdana" w:cs="Arial"/>
                <w:color w:val="000000" w:themeColor="text1"/>
                <w:lang w:val="it-IT"/>
              </w:rPr>
            </w:pPr>
            <w:r w:rsidRPr="00C23CEB">
              <w:rPr>
                <w:rFonts w:ascii="Verdana" w:hAnsi="Verdana" w:cs="Arial"/>
                <w:noProof/>
                <w:color w:val="000000" w:themeColor="text1"/>
                <w:lang w:val="es-ES_tradnl"/>
              </w:rPr>
              <w:t xml:space="preserve">Corte Constitucional. Sentencia T-1039 de 2006. </w:t>
            </w:r>
            <w:r w:rsidRPr="00F74E7C">
              <w:rPr>
                <w:rFonts w:ascii="Verdana" w:hAnsi="Verdana" w:cs="Arial"/>
                <w:color w:val="000000" w:themeColor="text1"/>
                <w:lang w:val="it-IT"/>
              </w:rPr>
              <w:t>Magistrado Ponente: Humberto Sierra Porto.</w:t>
            </w:r>
          </w:p>
          <w:p w14:paraId="4551D3B4" w14:textId="77777777" w:rsidR="00C44D59" w:rsidRPr="00F74E7C" w:rsidRDefault="00C44D59" w:rsidP="00E11A84">
            <w:pPr>
              <w:numPr>
                <w:ilvl w:val="0"/>
                <w:numId w:val="17"/>
              </w:numPr>
              <w:spacing w:before="120" w:after="120" w:line="276" w:lineRule="auto"/>
              <w:jc w:val="both"/>
              <w:rPr>
                <w:rFonts w:ascii="Verdana" w:hAnsi="Verdana" w:cs="Arial"/>
                <w:color w:val="000000" w:themeColor="text1"/>
                <w:lang w:val="it-IT"/>
              </w:rPr>
            </w:pPr>
            <w:r w:rsidRPr="007B6CB3">
              <w:rPr>
                <w:rFonts w:ascii="Verdana" w:hAnsi="Verdana" w:cs="Arial"/>
                <w:noProof/>
                <w:color w:val="000000" w:themeColor="text1"/>
                <w:lang w:val="es-ES_tradnl"/>
              </w:rPr>
              <w:t>Corte Constitucional</w:t>
            </w:r>
            <w:r>
              <w:rPr>
                <w:rFonts w:ascii="Verdana" w:hAnsi="Verdana" w:cs="Arial"/>
                <w:noProof/>
                <w:color w:val="000000" w:themeColor="text1"/>
                <w:lang w:val="es-ES_tradnl"/>
              </w:rPr>
              <w:t>.</w:t>
            </w:r>
            <w:r w:rsidRPr="007B6CB3">
              <w:rPr>
                <w:rFonts w:ascii="Verdana" w:hAnsi="Verdana" w:cs="Arial"/>
                <w:noProof/>
                <w:color w:val="000000" w:themeColor="text1"/>
                <w:lang w:val="es-ES_tradnl"/>
              </w:rPr>
              <w:t xml:space="preserve"> Sentencia C-618 de 2012. </w:t>
            </w:r>
            <w:r w:rsidRPr="00F74E7C">
              <w:rPr>
                <w:rFonts w:ascii="Verdana" w:hAnsi="Verdana" w:cs="Arial"/>
                <w:color w:val="000000" w:themeColor="text1"/>
                <w:lang w:val="it-IT"/>
              </w:rPr>
              <w:t>Magistrado Ponente: Gabriel Eduardo Mendoza Mortello.</w:t>
            </w:r>
          </w:p>
          <w:p w14:paraId="6F3388FD" w14:textId="77777777" w:rsidR="00C44D59" w:rsidRPr="00C23CEB"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noProof/>
                <w:color w:val="000000" w:themeColor="text1"/>
                <w:lang w:val="es-ES_tradnl"/>
              </w:rPr>
              <w:t>BARRETO ROZO, Antonio Alejandro. Inhabilidades de la contratación estatal, efectos y neopunitivismo en el Estatuto Anticorrupción. En: ALVIAR GARCÍA, Helena (Coordinadora). Nuevas tendencias del Derecho administrativo. Bogotá: Universidad de los Andes; Temis, 2016.</w:t>
            </w:r>
          </w:p>
          <w:p w14:paraId="271B41A1" w14:textId="77777777" w:rsidR="00C44D59"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C23CEB">
              <w:rPr>
                <w:rFonts w:ascii="Verdana" w:hAnsi="Verdana" w:cs="Arial"/>
                <w:color w:val="000000" w:themeColor="text1"/>
                <w:lang w:val="es-MX"/>
              </w:rPr>
              <w:t>BENAVIDES, José Luis. El contrato estatal. Entre el Derecho público y el Derecho privado. 2ª ed. Bogotá: Universidad Externado de Colombia, 2004.</w:t>
            </w:r>
          </w:p>
          <w:p w14:paraId="5BB190BB" w14:textId="77777777" w:rsidR="00C44D59" w:rsidRPr="006F31E0" w:rsidRDefault="00C44D59" w:rsidP="00E11A84">
            <w:pPr>
              <w:numPr>
                <w:ilvl w:val="0"/>
                <w:numId w:val="17"/>
              </w:numPr>
              <w:spacing w:before="120" w:after="120" w:line="276" w:lineRule="auto"/>
              <w:jc w:val="both"/>
              <w:rPr>
                <w:rFonts w:ascii="Verdana" w:hAnsi="Verdana" w:cs="Arial"/>
                <w:noProof/>
                <w:color w:val="000000" w:themeColor="text1"/>
                <w:lang w:val="es-ES_tradnl"/>
              </w:rPr>
            </w:pPr>
            <w:r w:rsidRPr="006F31E0">
              <w:rPr>
                <w:rFonts w:ascii="Verdana" w:hAnsi="Verdana" w:cs="Arial"/>
                <w:noProof/>
                <w:color w:val="000000" w:themeColor="text1"/>
                <w:lang w:val="es-ES_tradnl"/>
              </w:rPr>
              <w:t>DÁVILA, Luis Guillermo. Régimen jurídico de la contratación estatal. 3ª ed., Legis: Bogotá, 2016. p. 187.</w:t>
            </w:r>
          </w:p>
        </w:tc>
      </w:tr>
    </w:tbl>
    <w:p w14:paraId="1474FB74" w14:textId="77777777" w:rsidR="00C44D59"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6DF3E65" w14:textId="77777777" w:rsidR="00C44D59" w:rsidRDefault="00C44D59" w:rsidP="00C44D59">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D699DCF" w14:textId="77777777" w:rsidR="00C44D59" w:rsidRPr="00593A5F" w:rsidRDefault="00C44D59" w:rsidP="00C44D5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D7BE00" w14:textId="20B516AE" w:rsidR="00C44D59" w:rsidRPr="00E53CEB" w:rsidRDefault="00C44D59" w:rsidP="00C44D59">
      <w:pPr>
        <w:widowControl w:val="0"/>
        <w:autoSpaceDE w:val="0"/>
        <w:autoSpaceDN w:val="0"/>
        <w:spacing w:after="0" w:line="276" w:lineRule="auto"/>
        <w:jc w:val="both"/>
        <w:rPr>
          <w:rFonts w:ascii="Verdana" w:hAnsi="Verdana" w:cs="Arial"/>
          <w:color w:val="000000" w:themeColor="text1"/>
          <w:shd w:val="clear" w:color="auto" w:fill="FFFFFF"/>
        </w:rPr>
      </w:pPr>
      <w:r w:rsidRPr="00F9120E">
        <w:rPr>
          <w:rStyle w:val="normaltextrun"/>
          <w:rFonts w:ascii="Verdana" w:hAnsi="Verdana" w:cs="Arial"/>
          <w:color w:val="000000" w:themeColor="text1"/>
          <w:shd w:val="clear" w:color="auto" w:fill="FFFFFF"/>
          <w:lang w:val="es-ES"/>
        </w:rPr>
        <w:t>La Agencia Nacional de Contratación Pública – Colombia Compra Eficiente se ha referido</w:t>
      </w:r>
      <w:r w:rsidRPr="00BD004E">
        <w:rPr>
          <w:rFonts w:ascii="Verdana" w:hAnsi="Verdana" w:cs="Arial"/>
        </w:rPr>
        <w:t xml:space="preserve"> </w:t>
      </w:r>
      <w:r>
        <w:rPr>
          <w:rFonts w:ascii="Verdana" w:hAnsi="Verdana" w:cs="Arial"/>
        </w:rPr>
        <w:t xml:space="preserve">a </w:t>
      </w:r>
      <w:r w:rsidRPr="00C23CEB">
        <w:rPr>
          <w:rFonts w:ascii="Verdana" w:hAnsi="Verdana" w:cs="Arial"/>
        </w:rPr>
        <w:t xml:space="preserve">la causal de inhabilidad del artículo 5 de la Ley 1474 de 2011 en los conceptos con radicado Nro. 2201913000008314 de 7 de noviembre de 2019, </w:t>
      </w:r>
      <w:r w:rsidRPr="00C23CEB">
        <w:rPr>
          <w:rFonts w:ascii="Verdana" w:hAnsi="Verdana" w:cs="Arial"/>
        </w:rPr>
        <w:lastRenderedPageBreak/>
        <w:t>C-386 de 24 de julio de 2020, C-047 de 8 de marzo de 2021, C-515 de 07 de octubre de 2024, C-1030 de 31 de diciembre de 2024</w:t>
      </w:r>
      <w:r>
        <w:rPr>
          <w:rFonts w:ascii="Verdana" w:hAnsi="Verdana" w:cs="Arial"/>
        </w:rPr>
        <w:t xml:space="preserve">, </w:t>
      </w:r>
      <w:r w:rsidRPr="00C23CEB">
        <w:rPr>
          <w:rFonts w:ascii="Verdana" w:hAnsi="Verdana" w:cs="Arial"/>
        </w:rPr>
        <w:t>C-132 del 24 de febrero de 2025</w:t>
      </w:r>
      <w:r>
        <w:rPr>
          <w:rStyle w:val="normaltextrun"/>
          <w:rFonts w:ascii="Verdana" w:hAnsi="Verdana" w:cs="Arial"/>
          <w:color w:val="000000" w:themeColor="text1"/>
          <w:shd w:val="clear" w:color="auto" w:fill="FFFFFF"/>
          <w:lang w:val="es-ES"/>
        </w:rPr>
        <w:t xml:space="preserve">, C-435 del 14 de mayo de 2025, </w:t>
      </w:r>
      <w:r w:rsidRPr="00F9120E">
        <w:rPr>
          <w:rFonts w:ascii="Verdana" w:eastAsia="Calibri" w:hAnsi="Verdana" w:cs="Arial"/>
          <w:lang w:val="es-ES" w:eastAsia="es-ES"/>
        </w:rPr>
        <w:t xml:space="preserve">entre otros. </w:t>
      </w:r>
      <w:r w:rsidRPr="00EA4679">
        <w:rPr>
          <w:rFonts w:ascii="Verdana" w:eastAsia="Aptos" w:hAnsi="Verdana" w:cs="Arial"/>
          <w:shd w:val="clear" w:color="auto" w:fill="FFFFFF"/>
          <w:lang w:val="es-ES"/>
        </w:rPr>
        <w:t xml:space="preserve">Sobre los conflictos de interés en la contratación estatal, esta Subdirección se ha referido en los Conceptos </w:t>
      </w:r>
      <w:r w:rsidRPr="00EA4679">
        <w:rPr>
          <w:rFonts w:ascii="Verdana" w:eastAsia="Calibri" w:hAnsi="Verdana" w:cs="Arial"/>
          <w:lang w:val="es-ES_tradnl" w:eastAsia="es-MX"/>
        </w:rPr>
        <w:t xml:space="preserve">C-229 del 16 de abril de 2020, C-815 del 18 de febrero de 2021, C-449 del 31 de agosto de 2021, C-288 del 14 de julio de 2023, C-651 del 22 de octubre de 2024, C-680 del 15 de noviembre de 2024, C-693 del 19 de noviembre de 2024, C-839 del 13 de diciembre de 2024, C-400 del 7 de mayo de 2025, </w:t>
      </w:r>
      <w:r w:rsidR="00E264A9">
        <w:rPr>
          <w:rFonts w:ascii="Verdana" w:eastAsia="Calibri" w:hAnsi="Verdana" w:cs="Arial"/>
          <w:lang w:val="es-ES_tradnl" w:eastAsia="es-MX"/>
        </w:rPr>
        <w:t xml:space="preserve">C- 435 del 14 de mayo de 2025,  C- 949 del 26 de agosto de 2025, </w:t>
      </w:r>
      <w:r w:rsidRPr="007372DD">
        <w:rPr>
          <w:rFonts w:ascii="Verdana" w:eastAsia="Arial" w:hAnsi="Verdana" w:cs="Arial"/>
          <w:color w:val="000000"/>
        </w:rPr>
        <w:t>C-524 de</w:t>
      </w:r>
      <w:r>
        <w:rPr>
          <w:rFonts w:ascii="Verdana" w:eastAsia="Arial" w:hAnsi="Verdana" w:cs="Arial"/>
          <w:color w:val="000000"/>
        </w:rPr>
        <w:t>l 06 de junio de 2025</w:t>
      </w:r>
      <w:r w:rsidR="00E264A9">
        <w:rPr>
          <w:rFonts w:ascii="Verdana" w:eastAsia="Arial" w:hAnsi="Verdana" w:cs="Arial"/>
          <w:color w:val="000000"/>
        </w:rPr>
        <w:t>,</w:t>
      </w:r>
      <w:r>
        <w:rPr>
          <w:rFonts w:ascii="Verdana" w:eastAsia="Arial" w:hAnsi="Verdana" w:cs="Arial"/>
          <w:color w:val="000000"/>
        </w:rPr>
        <w:t xml:space="preserve"> </w:t>
      </w:r>
      <w:r w:rsidRPr="007372DD">
        <w:rPr>
          <w:rFonts w:ascii="Verdana" w:eastAsia="Arial" w:hAnsi="Verdana" w:cs="Arial"/>
          <w:color w:val="000000"/>
        </w:rPr>
        <w:t>C-669 de</w:t>
      </w:r>
      <w:r>
        <w:rPr>
          <w:rFonts w:ascii="Verdana" w:eastAsia="Arial" w:hAnsi="Verdana" w:cs="Arial"/>
          <w:color w:val="000000"/>
        </w:rPr>
        <w:t>l 01 de julio de</w:t>
      </w:r>
      <w:r w:rsidRPr="007372DD">
        <w:rPr>
          <w:rFonts w:ascii="Verdana" w:eastAsia="Arial" w:hAnsi="Verdana" w:cs="Arial"/>
          <w:color w:val="000000"/>
        </w:rPr>
        <w:t xml:space="preserve"> 202</w:t>
      </w:r>
      <w:r>
        <w:rPr>
          <w:rFonts w:ascii="Verdana" w:eastAsia="Arial" w:hAnsi="Verdana" w:cs="Arial"/>
          <w:color w:val="000000"/>
        </w:rPr>
        <w:t>5</w:t>
      </w:r>
      <w:r w:rsidR="00E264A9">
        <w:rPr>
          <w:rFonts w:ascii="Verdana" w:hAnsi="Verdana" w:cs="Arial"/>
          <w:color w:val="000000" w:themeColor="text1"/>
          <w:shd w:val="clear" w:color="auto" w:fill="FFFFFF"/>
        </w:rPr>
        <w:t xml:space="preserve"> y </w:t>
      </w:r>
      <w:r w:rsidR="00E264A9" w:rsidRPr="00E264A9">
        <w:rPr>
          <w:rFonts w:ascii="Verdana" w:hAnsi="Verdana" w:cs="Arial"/>
          <w:color w:val="000000" w:themeColor="text1"/>
          <w:shd w:val="clear" w:color="auto" w:fill="FFFFFF"/>
        </w:rPr>
        <w:t>C- 1239A de</w:t>
      </w:r>
      <w:r w:rsidR="00E264A9">
        <w:rPr>
          <w:rFonts w:ascii="Verdana" w:hAnsi="Verdana" w:cs="Arial"/>
          <w:color w:val="000000" w:themeColor="text1"/>
          <w:shd w:val="clear" w:color="auto" w:fill="FFFFFF"/>
        </w:rPr>
        <w:t>l 15 de octubre de</w:t>
      </w:r>
      <w:r w:rsidR="00E264A9" w:rsidRPr="00E264A9">
        <w:rPr>
          <w:rFonts w:ascii="Verdana" w:hAnsi="Verdana" w:cs="Arial"/>
          <w:color w:val="000000" w:themeColor="text1"/>
          <w:shd w:val="clear" w:color="auto" w:fill="FFFFFF"/>
        </w:rPr>
        <w:t xml:space="preserve"> 2025</w:t>
      </w:r>
      <w:r w:rsidR="00E264A9">
        <w:rPr>
          <w:rFonts w:ascii="Verdana" w:hAnsi="Verdana" w:cs="Arial"/>
          <w:color w:val="000000" w:themeColor="text1"/>
          <w:shd w:val="clear" w:color="auto" w:fill="FFFFFF"/>
        </w:rPr>
        <w:t xml:space="preserve">, </w:t>
      </w:r>
      <w:r w:rsidRPr="00960F72">
        <w:rPr>
          <w:rFonts w:ascii="Verdana" w:hAnsi="Verdana" w:cs="Arial"/>
          <w:shd w:val="clear" w:color="auto" w:fill="FFFFFF"/>
        </w:rPr>
        <w:t>entre otros</w:t>
      </w:r>
      <w:r>
        <w:rPr>
          <w:rFonts w:ascii="Verdana" w:hAnsi="Verdana" w:cs="Arial"/>
          <w:shd w:val="clear" w:color="auto" w:fill="FFFFFF"/>
        </w:rPr>
        <w:t xml:space="preserve">. </w:t>
      </w:r>
      <w:r w:rsidRPr="009A5D6C">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AA101DC" w14:textId="77777777" w:rsidR="00C44D59" w:rsidRPr="0065720B" w:rsidRDefault="00C44D59" w:rsidP="00C44D59">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7DD11223" w14:textId="77777777" w:rsidR="00C44D59" w:rsidRDefault="00C44D59" w:rsidP="00C44D59">
      <w:pPr>
        <w:widowControl w:val="0"/>
        <w:autoSpaceDE w:val="0"/>
        <w:autoSpaceDN w:val="0"/>
        <w:spacing w:after="0" w:line="276" w:lineRule="auto"/>
        <w:jc w:val="both"/>
        <w:rPr>
          <w:rFonts w:ascii="Verdana" w:hAnsi="Verdana" w:cs="Arial"/>
          <w:color w:val="000000" w:themeColor="text1"/>
          <w:shd w:val="clear" w:color="auto" w:fill="FFFFFF"/>
        </w:rPr>
      </w:pPr>
    </w:p>
    <w:p w14:paraId="75273263" w14:textId="77777777" w:rsidR="00E264A9" w:rsidRPr="009A385A" w:rsidRDefault="00E264A9" w:rsidP="00E264A9">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7BC4FA9E" w14:textId="77777777" w:rsidR="00E264A9" w:rsidRDefault="00E264A9" w:rsidP="00E264A9">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340338BF" w14:textId="4ECF8CF0" w:rsidR="00C44D59" w:rsidRDefault="00E264A9" w:rsidP="00E264A9">
      <w:pPr>
        <w:widowControl w:val="0"/>
        <w:autoSpaceDE w:val="0"/>
        <w:autoSpaceDN w:val="0"/>
        <w:spacing w:after="0" w:line="276" w:lineRule="auto"/>
        <w:jc w:val="both"/>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 xml:space="preserve">Guía para la comprensión e implementación de los </w:t>
      </w:r>
      <w:r w:rsidRPr="009A385A">
        <w:rPr>
          <w:rFonts w:ascii="Verdana" w:hAnsi="Verdana"/>
          <w:b/>
          <w:bCs/>
        </w:rPr>
        <w:lastRenderedPageBreak/>
        <w:t>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F7B9C3B" w14:textId="77777777" w:rsidR="00E264A9" w:rsidRDefault="00E264A9" w:rsidP="00E264A9">
      <w:pPr>
        <w:widowControl w:val="0"/>
        <w:autoSpaceDE w:val="0"/>
        <w:autoSpaceDN w:val="0"/>
        <w:spacing w:after="0" w:line="276" w:lineRule="auto"/>
        <w:jc w:val="both"/>
      </w:pPr>
    </w:p>
    <w:p w14:paraId="46067D90" w14:textId="77777777" w:rsidR="00363943" w:rsidRPr="0027034B" w:rsidRDefault="00363943" w:rsidP="00363943">
      <w:pPr>
        <w:spacing w:after="0" w:line="276" w:lineRule="auto"/>
        <w:jc w:val="both"/>
        <w:rPr>
          <w:rFonts w:ascii="Verdana" w:eastAsia="Calibri" w:hAnsi="Verdana" w:cs="Times New Roman"/>
        </w:rPr>
      </w:pPr>
      <w:r w:rsidRPr="0027034B">
        <w:rPr>
          <w:rFonts w:ascii="Verdana" w:eastAsia="Calibri" w:hAnsi="Verdana" w:cs="Times New Roman"/>
        </w:rPr>
        <w:t xml:space="preserve">Por último, lo invitamos a seguirnos en las redes sociales en las cuales se difunde información institucional: </w:t>
      </w:r>
    </w:p>
    <w:p w14:paraId="020BDCB3" w14:textId="77777777" w:rsidR="00363943" w:rsidRPr="0027034B" w:rsidRDefault="00363943" w:rsidP="00363943">
      <w:pPr>
        <w:spacing w:after="0" w:line="276" w:lineRule="auto"/>
        <w:jc w:val="both"/>
        <w:rPr>
          <w:rFonts w:ascii="Verdana" w:eastAsia="Calibri" w:hAnsi="Verdana" w:cs="Times New Roman"/>
        </w:rPr>
      </w:pPr>
    </w:p>
    <w:p w14:paraId="1C1E7B46" w14:textId="77777777" w:rsidR="00363943" w:rsidRPr="0027034B" w:rsidRDefault="00363943" w:rsidP="00363943">
      <w:pPr>
        <w:spacing w:after="0" w:line="276" w:lineRule="auto"/>
        <w:jc w:val="both"/>
        <w:rPr>
          <w:rFonts w:ascii="Verdana" w:eastAsia="Calibri" w:hAnsi="Verdana" w:cs="Times New Roman"/>
        </w:rPr>
      </w:pPr>
      <w:r w:rsidRPr="0027034B">
        <w:rPr>
          <w:rFonts w:ascii="Verdana" w:eastAsia="Calibri" w:hAnsi="Verdana" w:cs="Times New Roman"/>
        </w:rPr>
        <w:t xml:space="preserve">Twitter: </w:t>
      </w:r>
      <w:r w:rsidRPr="0027034B">
        <w:rPr>
          <w:rFonts w:ascii="Verdana" w:eastAsia="Calibri" w:hAnsi="Verdana" w:cs="Times New Roman"/>
          <w:u w:val="single"/>
        </w:rPr>
        <w:t>@colombiacompra</w:t>
      </w:r>
      <w:r w:rsidRPr="0027034B">
        <w:rPr>
          <w:rFonts w:ascii="Verdana" w:eastAsia="Calibri" w:hAnsi="Verdana" w:cs="Times New Roman"/>
        </w:rPr>
        <w:t xml:space="preserve"> </w:t>
      </w:r>
    </w:p>
    <w:p w14:paraId="586BE168" w14:textId="77777777" w:rsidR="00363943" w:rsidRPr="0027034B" w:rsidRDefault="00363943" w:rsidP="00363943">
      <w:pPr>
        <w:spacing w:after="0" w:line="276" w:lineRule="auto"/>
        <w:jc w:val="both"/>
        <w:rPr>
          <w:rFonts w:ascii="Verdana" w:eastAsia="Calibri" w:hAnsi="Verdana" w:cs="Times New Roman"/>
        </w:rPr>
      </w:pPr>
      <w:r w:rsidRPr="0027034B">
        <w:rPr>
          <w:rFonts w:ascii="Verdana" w:eastAsia="Calibri" w:hAnsi="Verdana" w:cs="Times New Roman"/>
        </w:rPr>
        <w:t xml:space="preserve">Facebook: </w:t>
      </w:r>
      <w:proofErr w:type="spellStart"/>
      <w:r w:rsidRPr="0027034B">
        <w:rPr>
          <w:rFonts w:ascii="Verdana" w:eastAsia="Calibri" w:hAnsi="Verdana" w:cs="Times New Roman"/>
          <w:u w:val="single"/>
        </w:rPr>
        <w:t>ColombiaCompraEficiente</w:t>
      </w:r>
      <w:proofErr w:type="spellEnd"/>
    </w:p>
    <w:p w14:paraId="3DB32D5F" w14:textId="77777777" w:rsidR="00363943" w:rsidRPr="0027034B" w:rsidRDefault="00363943" w:rsidP="00363943">
      <w:pPr>
        <w:spacing w:after="0" w:line="276" w:lineRule="auto"/>
        <w:jc w:val="both"/>
        <w:rPr>
          <w:rFonts w:ascii="Verdana" w:eastAsia="Calibri" w:hAnsi="Verdana" w:cs="Times New Roman"/>
        </w:rPr>
      </w:pPr>
      <w:r w:rsidRPr="0027034B">
        <w:rPr>
          <w:rFonts w:ascii="Verdana" w:eastAsia="Calibri" w:hAnsi="Verdana" w:cs="Times New Roman"/>
        </w:rPr>
        <w:t xml:space="preserve">LinkedIn: </w:t>
      </w:r>
      <w:r w:rsidRPr="0027034B">
        <w:rPr>
          <w:rFonts w:ascii="Verdana" w:eastAsia="Calibri" w:hAnsi="Verdana" w:cs="Times New Roman"/>
          <w:u w:val="single"/>
        </w:rPr>
        <w:t>Agencia Nacional de Contratación Pública - Colombia Compra Eficiente</w:t>
      </w:r>
      <w:r w:rsidRPr="0027034B">
        <w:rPr>
          <w:rFonts w:ascii="Verdana" w:eastAsia="Calibri" w:hAnsi="Verdana" w:cs="Times New Roman"/>
        </w:rPr>
        <w:t xml:space="preserve"> Instagram: </w:t>
      </w:r>
      <w:r w:rsidRPr="0027034B">
        <w:rPr>
          <w:rFonts w:ascii="Verdana" w:eastAsia="Calibri" w:hAnsi="Verdana" w:cs="Times New Roman"/>
          <w:u w:val="single"/>
        </w:rPr>
        <w:t>@colombiacompraeficiente_cce</w:t>
      </w:r>
    </w:p>
    <w:p w14:paraId="6E3D95B3" w14:textId="77777777" w:rsidR="00E264A9" w:rsidRPr="00103B90" w:rsidRDefault="00E264A9" w:rsidP="00E264A9">
      <w:pPr>
        <w:widowControl w:val="0"/>
        <w:autoSpaceDE w:val="0"/>
        <w:autoSpaceDN w:val="0"/>
        <w:spacing w:after="0" w:line="276" w:lineRule="auto"/>
        <w:jc w:val="both"/>
        <w:rPr>
          <w:rFonts w:ascii="Verdana" w:hAnsi="Verdana"/>
        </w:rPr>
      </w:pPr>
    </w:p>
    <w:p w14:paraId="7AA4CFF3" w14:textId="77777777" w:rsidR="00C44D59" w:rsidRPr="00505CD6" w:rsidRDefault="00C44D59" w:rsidP="00C44D59">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FCA91F1" w14:textId="77777777" w:rsidR="00C44D59" w:rsidRPr="00505CD6" w:rsidRDefault="00C44D59" w:rsidP="00C44D59">
      <w:pPr>
        <w:widowControl w:val="0"/>
        <w:autoSpaceDE w:val="0"/>
        <w:autoSpaceDN w:val="0"/>
        <w:spacing w:after="0" w:line="276" w:lineRule="auto"/>
        <w:jc w:val="both"/>
        <w:rPr>
          <w:rFonts w:ascii="Verdana" w:hAnsi="Verdana" w:cs="Arial"/>
        </w:rPr>
      </w:pPr>
    </w:p>
    <w:p w14:paraId="0E930418" w14:textId="4669F198" w:rsidR="00363943" w:rsidRPr="008C39B5" w:rsidRDefault="00C44D59" w:rsidP="00C44D59">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0635E5F" w14:textId="69663E04" w:rsidR="001A606C" w:rsidRDefault="008C39B5" w:rsidP="008C39B5">
      <w:pPr>
        <w:spacing w:line="276" w:lineRule="auto"/>
        <w:jc w:val="center"/>
        <w:rPr>
          <w:noProof/>
        </w:rPr>
      </w:pPr>
      <w:r w:rsidRPr="002C3AD6">
        <w:rPr>
          <w:rFonts w:ascii="Century Gothic" w:hAnsi="Century Gothic"/>
          <w:noProof/>
        </w:rPr>
        <w:drawing>
          <wp:inline distT="0" distB="0" distL="0" distR="0" wp14:anchorId="66422C69" wp14:editId="13AE932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44D59" w:rsidRPr="00593A5F" w14:paraId="67A86E44" w14:textId="77777777" w:rsidTr="00E11A84">
        <w:trPr>
          <w:trHeight w:val="315"/>
        </w:trPr>
        <w:tc>
          <w:tcPr>
            <w:tcW w:w="893" w:type="dxa"/>
            <w:vAlign w:val="center"/>
            <w:hideMark/>
          </w:tcPr>
          <w:p w14:paraId="42E991AB" w14:textId="77777777" w:rsidR="00C44D59" w:rsidRPr="003751C7" w:rsidRDefault="00C44D5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90984A" w14:textId="77777777" w:rsidR="00363943" w:rsidRDefault="00363943" w:rsidP="00E11A84">
            <w:pPr>
              <w:contextualSpacing/>
              <w:rPr>
                <w:rFonts w:ascii="Verdana" w:hAnsi="Verdana"/>
                <w:sz w:val="16"/>
                <w:szCs w:val="16"/>
              </w:rPr>
            </w:pPr>
          </w:p>
          <w:p w14:paraId="578A8F42" w14:textId="714A362E" w:rsidR="00363943" w:rsidRDefault="00363943" w:rsidP="00E11A84">
            <w:pPr>
              <w:contextualSpacing/>
              <w:rPr>
                <w:rFonts w:ascii="Verdana" w:hAnsi="Verdana"/>
                <w:sz w:val="16"/>
                <w:szCs w:val="16"/>
              </w:rPr>
            </w:pPr>
            <w:r>
              <w:rPr>
                <w:rFonts w:ascii="Verdana" w:hAnsi="Verdana"/>
                <w:sz w:val="16"/>
                <w:szCs w:val="16"/>
              </w:rPr>
              <w:t xml:space="preserve">Camilo José Martínez </w:t>
            </w:r>
            <w:proofErr w:type="spellStart"/>
            <w:r>
              <w:rPr>
                <w:rFonts w:ascii="Verdana" w:hAnsi="Verdana"/>
                <w:sz w:val="16"/>
                <w:szCs w:val="16"/>
              </w:rPr>
              <w:t>Martínez</w:t>
            </w:r>
            <w:proofErr w:type="spellEnd"/>
            <w:r>
              <w:rPr>
                <w:rFonts w:ascii="Verdana" w:hAnsi="Verdana"/>
                <w:sz w:val="16"/>
                <w:szCs w:val="16"/>
              </w:rPr>
              <w:t xml:space="preserve"> </w:t>
            </w:r>
          </w:p>
          <w:p w14:paraId="554F8B86" w14:textId="272F2AD2" w:rsidR="00C44D59" w:rsidRPr="007911EE" w:rsidRDefault="00C44D59" w:rsidP="00E11A84">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C44D59" w:rsidRPr="00593A5F" w14:paraId="324EA4F9" w14:textId="77777777" w:rsidTr="00E11A84">
        <w:trPr>
          <w:trHeight w:val="330"/>
        </w:trPr>
        <w:tc>
          <w:tcPr>
            <w:tcW w:w="893" w:type="dxa"/>
            <w:vAlign w:val="center"/>
            <w:hideMark/>
          </w:tcPr>
          <w:p w14:paraId="439B17B2" w14:textId="77777777" w:rsidR="00C44D59" w:rsidRPr="003751C7" w:rsidRDefault="00C44D59" w:rsidP="00E11A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E8DE35" w14:textId="5DAFB57F" w:rsidR="00C44D59" w:rsidRDefault="00363943" w:rsidP="00E11A84">
            <w:pPr>
              <w:spacing w:line="276" w:lineRule="auto"/>
              <w:contextualSpacing/>
              <w:jc w:val="both"/>
              <w:rPr>
                <w:rFonts w:ascii="Verdana" w:hAnsi="Verdana"/>
                <w:sz w:val="16"/>
                <w:szCs w:val="16"/>
              </w:rPr>
            </w:pPr>
            <w:r w:rsidRPr="00363943">
              <w:rPr>
                <w:rFonts w:ascii="Verdana" w:hAnsi="Verdana"/>
                <w:sz w:val="16"/>
                <w:szCs w:val="16"/>
              </w:rPr>
              <w:t>Adriana López</w:t>
            </w:r>
            <w:r>
              <w:rPr>
                <w:rFonts w:ascii="Verdana" w:hAnsi="Verdana"/>
                <w:sz w:val="16"/>
                <w:szCs w:val="16"/>
              </w:rPr>
              <w:t xml:space="preserve"> </w:t>
            </w:r>
          </w:p>
          <w:p w14:paraId="13A1693A" w14:textId="77777777" w:rsidR="00C44D59" w:rsidRPr="007911EE" w:rsidRDefault="00C44D59" w:rsidP="00E11A84">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C44D59" w:rsidRPr="00593A5F" w14:paraId="5D3DD70C" w14:textId="77777777" w:rsidTr="00E11A84">
        <w:trPr>
          <w:trHeight w:val="330"/>
        </w:trPr>
        <w:tc>
          <w:tcPr>
            <w:tcW w:w="893" w:type="dxa"/>
            <w:vAlign w:val="center"/>
          </w:tcPr>
          <w:p w14:paraId="0E1BA234" w14:textId="77777777" w:rsidR="00C44D59" w:rsidRPr="003751C7" w:rsidRDefault="00C44D59" w:rsidP="00E11A84">
            <w:pPr>
              <w:contextualSpacing/>
              <w:rPr>
                <w:rFonts w:ascii="Verdana" w:hAnsi="Verdana" w:cs="Arial"/>
                <w:sz w:val="16"/>
                <w:szCs w:val="16"/>
                <w:lang w:val="es-ES" w:eastAsia="es-ES"/>
              </w:rPr>
            </w:pPr>
            <w:r w:rsidRPr="00EB1CF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2A4BC7" w14:textId="77777777" w:rsidR="00C44D59" w:rsidRDefault="00C44D59" w:rsidP="00E11A84">
            <w:pPr>
              <w:spacing w:line="276" w:lineRule="auto"/>
              <w:contextualSpacing/>
              <w:jc w:val="both"/>
              <w:rPr>
                <w:rFonts w:ascii="Verdana" w:hAnsi="Verdana"/>
                <w:sz w:val="16"/>
                <w:szCs w:val="16"/>
              </w:rPr>
            </w:pPr>
            <w:r>
              <w:rPr>
                <w:rFonts w:ascii="Verdana" w:hAnsi="Verdana"/>
                <w:sz w:val="16"/>
                <w:szCs w:val="16"/>
              </w:rPr>
              <w:t>Carolina Quintero Gacharná</w:t>
            </w:r>
          </w:p>
          <w:p w14:paraId="52A9F58C" w14:textId="77777777" w:rsidR="00C44D59" w:rsidRDefault="00C44D59" w:rsidP="00E11A84">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86FC360" w14:textId="77777777" w:rsidR="00C44D59" w:rsidRPr="00F30C63" w:rsidRDefault="00C44D59" w:rsidP="00C44D59"/>
    <w:p w14:paraId="0F293BF4" w14:textId="0CDE1845" w:rsidR="00127233" w:rsidRPr="0063388B" w:rsidRDefault="00127233" w:rsidP="0063388B"/>
    <w:sectPr w:rsidR="00127233" w:rsidRPr="0063388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D01F9" w14:textId="77777777" w:rsidR="00A32A03" w:rsidRDefault="00A32A03" w:rsidP="004A1847">
      <w:pPr>
        <w:spacing w:after="0" w:line="240" w:lineRule="auto"/>
      </w:pPr>
      <w:r>
        <w:separator/>
      </w:r>
    </w:p>
  </w:endnote>
  <w:endnote w:type="continuationSeparator" w:id="0">
    <w:p w14:paraId="0A9CFABD" w14:textId="77777777" w:rsidR="00A32A03" w:rsidRDefault="00A32A03" w:rsidP="004A1847">
      <w:pPr>
        <w:spacing w:after="0" w:line="240" w:lineRule="auto"/>
      </w:pPr>
      <w:r>
        <w:continuationSeparator/>
      </w:r>
    </w:p>
  </w:endnote>
  <w:endnote w:type="continuationNotice" w:id="1">
    <w:p w14:paraId="52CEBB6D" w14:textId="77777777" w:rsidR="00A32A03" w:rsidRDefault="00A32A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54B15" w14:textId="77777777" w:rsidR="00A32A03" w:rsidRDefault="00A32A03" w:rsidP="004A1847">
      <w:pPr>
        <w:spacing w:after="0" w:line="240" w:lineRule="auto"/>
      </w:pPr>
      <w:r>
        <w:separator/>
      </w:r>
    </w:p>
  </w:footnote>
  <w:footnote w:type="continuationSeparator" w:id="0">
    <w:p w14:paraId="7300BD29" w14:textId="77777777" w:rsidR="00A32A03" w:rsidRDefault="00A32A03" w:rsidP="004A1847">
      <w:pPr>
        <w:spacing w:after="0" w:line="240" w:lineRule="auto"/>
      </w:pPr>
      <w:r>
        <w:continuationSeparator/>
      </w:r>
    </w:p>
  </w:footnote>
  <w:footnote w:type="continuationNotice" w:id="1">
    <w:p w14:paraId="1FDD46A5" w14:textId="77777777" w:rsidR="00A32A03" w:rsidRDefault="00A32A03">
      <w:pPr>
        <w:spacing w:after="0" w:line="240" w:lineRule="auto"/>
      </w:pPr>
    </w:p>
  </w:footnote>
  <w:footnote w:id="2">
    <w:p w14:paraId="6FF9EF79"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6264F409"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55F2D981"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608F1AB4"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PARÁGRAFO. Para efectos de la presente ley, la Corporación para la Reconstrucción de la Cuenca del Río Páez y Zonas Aledañas Nasa Ki'we podrá celebrar contratos para adelantar y ejecutar planes, programas y proyectos para la atención de las necesidades de los habitantes de las comunidades· étnicas de los municipios de Popayán, Almaguer, Bolívar, Buenos Aires, Cajibío, Caldono, Caloto, Corinto, El Tambo, Inzá, Jambaló, La Sierra, La Vega, Miranda, Páez, Patía, Piendamó, Puracé, Rosas, San Sebastián, Santander de Quilichao, Silvia, Sotará, Suárez, Toribío, Totoró del departamento del Cauca y los municipios de Neiva, Gigante, Íquira, La Argentina, La Plata, Nátaga, Paicol, Pitalito, San Agustín, Tesalia, Villavieja, Yaguará, Palermo y Rivera del departamento del Huila”.</w:t>
      </w:r>
    </w:p>
  </w:footnote>
  <w:footnote w:id="3">
    <w:p w14:paraId="6D005A5B"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419755A3"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1o.) que sea legalmente capaz.</w:t>
      </w:r>
    </w:p>
    <w:p w14:paraId="65BD1C5D"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w:t>
      </w:r>
    </w:p>
    <w:p w14:paraId="22F606EF"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Fonts w:ascii="Verdana" w:hAnsi="Verdana" w:cs="Arial"/>
          <w:color w:val="000000" w:themeColor="text1"/>
          <w:sz w:val="16"/>
          <w:szCs w:val="16"/>
        </w:rPr>
        <w:t>La capacidad legal de una persona consiste en poderse obligar por sí misma, sin el ministerio o la autorización de otra”.</w:t>
      </w:r>
    </w:p>
  </w:footnote>
  <w:footnote w:id="4">
    <w:p w14:paraId="5374CEEC"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765327">
        <w:rPr>
          <w:rFonts w:ascii="Verdana" w:hAnsi="Verdana" w:cs="Arial"/>
          <w:i/>
          <w:iCs/>
          <w:color w:val="000000" w:themeColor="text1"/>
          <w:sz w:val="16"/>
          <w:szCs w:val="16"/>
          <w:lang w:val="es-ES"/>
        </w:rPr>
        <w:t>el régimen de inhabilidades e incompatibilidades</w:t>
      </w:r>
      <w:r w:rsidRPr="00765327">
        <w:rPr>
          <w:rFonts w:ascii="Verdana" w:hAnsi="Verdana" w:cs="Arial"/>
          <w:color w:val="000000" w:themeColor="text1"/>
          <w:sz w:val="16"/>
          <w:szCs w:val="16"/>
          <w:lang w:val="es-ES"/>
        </w:rPr>
        <w:t xml:space="preserve"> (1) y la obligación de ciertos proponentes de inscribirse en el </w:t>
      </w:r>
      <w:r w:rsidRPr="00765327">
        <w:rPr>
          <w:rFonts w:ascii="Verdana" w:hAnsi="Verdana" w:cs="Arial"/>
          <w:i/>
          <w:iCs/>
          <w:color w:val="000000" w:themeColor="text1"/>
          <w:sz w:val="16"/>
          <w:szCs w:val="16"/>
          <w:lang w:val="es-ES"/>
        </w:rPr>
        <w:t>registro único</w:t>
      </w:r>
      <w:r w:rsidRPr="00765327">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5">
    <w:p w14:paraId="4333143E"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6">
    <w:p w14:paraId="199C6691"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Ibíd., p. 69.</w:t>
      </w:r>
    </w:p>
  </w:footnote>
  <w:footnote w:id="7">
    <w:p w14:paraId="20178C90"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8">
    <w:p w14:paraId="42783985" w14:textId="77777777" w:rsidR="00C44D59" w:rsidRPr="00765327" w:rsidRDefault="00C44D59" w:rsidP="00C44D59">
      <w:pPr>
        <w:pStyle w:val="Textonotapie"/>
        <w:snapToGrid w:val="0"/>
        <w:ind w:firstLine="709"/>
        <w:jc w:val="both"/>
        <w:rPr>
          <w:rFonts w:ascii="Verdana" w:hAnsi="Verdana" w:cs="Arial"/>
          <w:color w:val="000000" w:themeColor="text1"/>
          <w:sz w:val="16"/>
          <w:szCs w:val="16"/>
          <w:lang w:val="es-ES"/>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w:t>
      </w:r>
      <w:r w:rsidRPr="00765327">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9">
    <w:p w14:paraId="1943688E"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10">
    <w:p w14:paraId="4A0EBCC4" w14:textId="77777777" w:rsidR="00C44D59" w:rsidRPr="00765327" w:rsidRDefault="00C44D59" w:rsidP="00C44D59">
      <w:pPr>
        <w:pStyle w:val="Textonotapie"/>
        <w:snapToGrid w:val="0"/>
        <w:ind w:firstLine="709"/>
        <w:jc w:val="both"/>
        <w:rPr>
          <w:rFonts w:ascii="Verdana" w:hAnsi="Verdana" w:cs="Arial"/>
          <w:color w:val="000000" w:themeColor="text1"/>
          <w:sz w:val="16"/>
          <w:szCs w:val="16"/>
        </w:rPr>
      </w:pPr>
      <w:r w:rsidRPr="00765327">
        <w:rPr>
          <w:rStyle w:val="Refdenotaalpie"/>
          <w:rFonts w:ascii="Verdana" w:hAnsi="Verdana" w:cs="Arial"/>
          <w:color w:val="000000" w:themeColor="text1"/>
          <w:sz w:val="16"/>
          <w:szCs w:val="16"/>
        </w:rPr>
        <w:footnoteRef/>
      </w:r>
      <w:r w:rsidRPr="00765327">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11">
    <w:p w14:paraId="326C9959" w14:textId="77777777" w:rsidR="00C44D59" w:rsidRPr="00765327" w:rsidRDefault="00C44D59" w:rsidP="00C44D59">
      <w:pPr>
        <w:pStyle w:val="Textonotapie"/>
        <w:snapToGrid w:val="0"/>
        <w:ind w:firstLine="709"/>
        <w:jc w:val="both"/>
        <w:rPr>
          <w:rFonts w:ascii="Verdana" w:hAnsi="Verdana"/>
          <w:sz w:val="16"/>
          <w:szCs w:val="16"/>
          <w:lang w:val="es-ES_tradnl"/>
        </w:rPr>
      </w:pPr>
      <w:r w:rsidRPr="00765327">
        <w:rPr>
          <w:rStyle w:val="Refdenotaalpie"/>
          <w:rFonts w:ascii="Verdana" w:hAnsi="Verdana"/>
          <w:sz w:val="16"/>
          <w:szCs w:val="16"/>
        </w:rPr>
        <w:footnoteRef/>
      </w:r>
      <w:r w:rsidRPr="00765327">
        <w:rPr>
          <w:rFonts w:ascii="Verdana" w:hAnsi="Verdana"/>
          <w:sz w:val="16"/>
          <w:szCs w:val="16"/>
        </w:rPr>
        <w:t xml:space="preserve"> Ley 1474 de 2011: “Artículo 5o. Quien haya celebrado un contrato estatal de obra pública, de concesión, suministro de medicamentos y de alimentos o su cónyuge, compañero o compañera permanente, pariente hasta el segundo grado de consanguinidad,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w:t>
      </w:r>
    </w:p>
  </w:footnote>
  <w:footnote w:id="12">
    <w:p w14:paraId="0B43C5A0" w14:textId="77777777" w:rsidR="00C44D59" w:rsidRPr="00765327" w:rsidRDefault="00C44D59" w:rsidP="00C44D59">
      <w:pPr>
        <w:snapToGrid w:val="0"/>
        <w:spacing w:after="0" w:line="240" w:lineRule="auto"/>
        <w:ind w:firstLine="709"/>
        <w:jc w:val="both"/>
        <w:rPr>
          <w:rFonts w:ascii="Verdana" w:hAnsi="Verdana"/>
          <w:sz w:val="16"/>
          <w:szCs w:val="16"/>
        </w:rPr>
      </w:pPr>
      <w:r w:rsidRPr="00765327">
        <w:rPr>
          <w:rStyle w:val="Refdenotaalpie"/>
          <w:rFonts w:ascii="Verdana" w:hAnsi="Verdana"/>
          <w:sz w:val="16"/>
          <w:szCs w:val="16"/>
        </w:rPr>
        <w:footnoteRef/>
      </w:r>
      <w:r w:rsidRPr="00765327">
        <w:rPr>
          <w:rFonts w:ascii="Verdana" w:hAnsi="Verdana"/>
          <w:sz w:val="16"/>
          <w:szCs w:val="16"/>
        </w:rPr>
        <w:t xml:space="preserve"> DÁVILA, Luis Guillermo. Régimen jurídico de la contratación estatal. 3ª ed., Legis: Bogotá, 2016. p. 187.</w:t>
      </w:r>
    </w:p>
    <w:p w14:paraId="420139E1" w14:textId="77777777" w:rsidR="00C44D59" w:rsidRPr="00765327" w:rsidRDefault="00C44D59" w:rsidP="00C44D59">
      <w:pPr>
        <w:pStyle w:val="Textonotapie"/>
        <w:snapToGrid w:val="0"/>
        <w:ind w:firstLine="709"/>
        <w:jc w:val="both"/>
        <w:rPr>
          <w:rFonts w:ascii="Verdana" w:hAnsi="Verdana"/>
          <w:sz w:val="16"/>
          <w:szCs w:val="16"/>
          <w:lang w:val="es-ES_tradnl"/>
        </w:rPr>
      </w:pPr>
    </w:p>
  </w:footnote>
  <w:footnote w:id="13">
    <w:p w14:paraId="441653C4" w14:textId="77777777" w:rsidR="00C44D59" w:rsidRPr="007B6CB3" w:rsidRDefault="00C44D59" w:rsidP="00C44D59">
      <w:pPr>
        <w:pStyle w:val="Textonotapie"/>
        <w:rPr>
          <w:rFonts w:ascii="Verdana" w:hAnsi="Verdana"/>
          <w:sz w:val="16"/>
          <w:szCs w:val="16"/>
          <w:lang w:val="es-ES"/>
        </w:rPr>
      </w:pPr>
      <w:r w:rsidRPr="007B6CB3">
        <w:rPr>
          <w:rStyle w:val="Refdenotaalpie"/>
          <w:rFonts w:ascii="Verdana" w:hAnsi="Verdana"/>
          <w:sz w:val="16"/>
          <w:szCs w:val="16"/>
        </w:rPr>
        <w:footnoteRef/>
      </w:r>
      <w:r w:rsidRPr="007B6CB3">
        <w:rPr>
          <w:rFonts w:ascii="Verdana" w:hAnsi="Verdana"/>
          <w:sz w:val="16"/>
          <w:szCs w:val="16"/>
        </w:rPr>
        <w:t xml:space="preserve"> </w:t>
      </w:r>
      <w:r w:rsidRPr="007B6CB3">
        <w:rPr>
          <w:rFonts w:ascii="Verdana" w:hAnsi="Verdana"/>
          <w:sz w:val="16"/>
          <w:szCs w:val="16"/>
          <w:lang w:val="es-ES"/>
        </w:rPr>
        <w:t xml:space="preserve"> Corte Constitucional, </w:t>
      </w:r>
      <w:r>
        <w:rPr>
          <w:rFonts w:ascii="Verdana" w:hAnsi="Verdana"/>
          <w:sz w:val="16"/>
          <w:szCs w:val="16"/>
        </w:rPr>
        <w:t>S</w:t>
      </w:r>
      <w:r w:rsidRPr="007B6CB3">
        <w:rPr>
          <w:rFonts w:ascii="Verdana" w:hAnsi="Verdana"/>
          <w:sz w:val="16"/>
          <w:szCs w:val="16"/>
        </w:rPr>
        <w:t>entencia C-618 de 2012, M.P. Gabriel Eduardo Mendoza Mortello.</w:t>
      </w:r>
    </w:p>
  </w:footnote>
  <w:footnote w:id="14">
    <w:p w14:paraId="279856AE" w14:textId="77777777" w:rsidR="00C44D59" w:rsidRPr="00587D30" w:rsidRDefault="00C44D59" w:rsidP="00C44D59">
      <w:pPr>
        <w:pStyle w:val="Textonotapie"/>
        <w:ind w:firstLine="708"/>
        <w:jc w:val="both"/>
        <w:rPr>
          <w:rFonts w:ascii="Verdana" w:hAnsi="Verdana"/>
          <w:sz w:val="16"/>
          <w:szCs w:val="16"/>
          <w:lang w:val="es-ES"/>
        </w:rPr>
      </w:pPr>
      <w:r w:rsidRPr="00587D30">
        <w:rPr>
          <w:rStyle w:val="Refdenotaalpie"/>
          <w:rFonts w:ascii="Verdana" w:hAnsi="Verdana"/>
          <w:sz w:val="16"/>
          <w:szCs w:val="16"/>
        </w:rPr>
        <w:footnoteRef/>
      </w:r>
      <w:r w:rsidRPr="00587D30">
        <w:rPr>
          <w:rFonts w:ascii="Verdana" w:hAnsi="Verdana"/>
          <w:sz w:val="16"/>
          <w:szCs w:val="16"/>
        </w:rPr>
        <w:t xml:space="preserve"> </w:t>
      </w:r>
      <w:r w:rsidRPr="00587D30">
        <w:rPr>
          <w:rFonts w:ascii="Verdana" w:hAnsi="Verdana"/>
          <w:sz w:val="16"/>
          <w:szCs w:val="16"/>
          <w:lang w:val="es-ES"/>
        </w:rPr>
        <w:t>Lo anterior fue resaltado por la Corte Constitucional en la sentencia C-618 de 2012 en los siguientes términos: “</w:t>
      </w:r>
      <w:r w:rsidRPr="00587D30">
        <w:rPr>
          <w:rFonts w:ascii="Verdana" w:hAnsi="Verdana"/>
          <w:sz w:val="16"/>
          <w:szCs w:val="16"/>
          <w:lang w:val="es-CO"/>
        </w:rPr>
        <w:t>No puede perderse de vista que el contrato de interventoría no está incluido entre aquellos que generan la incompatibilidad que la norma impugnada consagra, cuales son precisamente el de obra, concesión y el de suministro de medicamentos y alimentos, siendo ello así, quienes se dediquen primordialmente a desarrollar actividades propias de la interventoría, bien sea como personas naturales o a través de sociedades constituidas con ese fin, claramente estarían excluidos de los efectos e implicaciones que de aquella se derivan, motivo por el cual, en principio, y obviamente con el lleno de los requisitos legales, podrían celebrar diversos contratos de interventoría con la misma entidad, lo que garantizaría a los particulares dedicados a la mencionada actividad la posibilidad de ensanchar sus perspectivas laborales, circunstancia que se constituye en una razón de peso para concluir en que no es clara la configuración de la inconstitucionalidad aducida con apoyo en la supuesta conculcación del derecho a escoger libremente profesión u oficio”.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639843978">
    <w:abstractNumId w:val="0"/>
  </w:num>
  <w:num w:numId="17" w16cid:durableId="18137915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BFD"/>
    <w:rsid w:val="00037699"/>
    <w:rsid w:val="00045174"/>
    <w:rsid w:val="00046945"/>
    <w:rsid w:val="0005486E"/>
    <w:rsid w:val="00061B2A"/>
    <w:rsid w:val="00082362"/>
    <w:rsid w:val="000A683E"/>
    <w:rsid w:val="000B19B9"/>
    <w:rsid w:val="000C1B74"/>
    <w:rsid w:val="000D0334"/>
    <w:rsid w:val="000F6486"/>
    <w:rsid w:val="00125105"/>
    <w:rsid w:val="00127233"/>
    <w:rsid w:val="00134D50"/>
    <w:rsid w:val="001A606C"/>
    <w:rsid w:val="001E4177"/>
    <w:rsid w:val="001E48CF"/>
    <w:rsid w:val="001F7DC6"/>
    <w:rsid w:val="00236FE3"/>
    <w:rsid w:val="002421BB"/>
    <w:rsid w:val="00254BCB"/>
    <w:rsid w:val="0025796E"/>
    <w:rsid w:val="002707A2"/>
    <w:rsid w:val="002951A0"/>
    <w:rsid w:val="002962BC"/>
    <w:rsid w:val="002A093D"/>
    <w:rsid w:val="002A0DD0"/>
    <w:rsid w:val="002A49AC"/>
    <w:rsid w:val="002A64FD"/>
    <w:rsid w:val="002C7A84"/>
    <w:rsid w:val="002E4FD9"/>
    <w:rsid w:val="00322A85"/>
    <w:rsid w:val="00324168"/>
    <w:rsid w:val="00335DED"/>
    <w:rsid w:val="003448F4"/>
    <w:rsid w:val="00363943"/>
    <w:rsid w:val="00374F5E"/>
    <w:rsid w:val="00377E3E"/>
    <w:rsid w:val="003804BA"/>
    <w:rsid w:val="00391D1B"/>
    <w:rsid w:val="003A779E"/>
    <w:rsid w:val="003D0F4D"/>
    <w:rsid w:val="003D5B0D"/>
    <w:rsid w:val="003E0499"/>
    <w:rsid w:val="003E097D"/>
    <w:rsid w:val="003F3941"/>
    <w:rsid w:val="00406575"/>
    <w:rsid w:val="00414C74"/>
    <w:rsid w:val="0042722E"/>
    <w:rsid w:val="00433C93"/>
    <w:rsid w:val="0044528D"/>
    <w:rsid w:val="004670DF"/>
    <w:rsid w:val="00487FD1"/>
    <w:rsid w:val="004A1847"/>
    <w:rsid w:val="004A305D"/>
    <w:rsid w:val="004C0A55"/>
    <w:rsid w:val="004F21C4"/>
    <w:rsid w:val="004F685F"/>
    <w:rsid w:val="00515BF4"/>
    <w:rsid w:val="005566E8"/>
    <w:rsid w:val="005730C9"/>
    <w:rsid w:val="00574867"/>
    <w:rsid w:val="00591460"/>
    <w:rsid w:val="005C3777"/>
    <w:rsid w:val="005C5CDC"/>
    <w:rsid w:val="005D203E"/>
    <w:rsid w:val="005D476C"/>
    <w:rsid w:val="005D4D54"/>
    <w:rsid w:val="005F5058"/>
    <w:rsid w:val="006219F8"/>
    <w:rsid w:val="006302F7"/>
    <w:rsid w:val="0063388B"/>
    <w:rsid w:val="0063480F"/>
    <w:rsid w:val="00653FFE"/>
    <w:rsid w:val="00665D70"/>
    <w:rsid w:val="006900D9"/>
    <w:rsid w:val="006A760C"/>
    <w:rsid w:val="006F67EA"/>
    <w:rsid w:val="00706C16"/>
    <w:rsid w:val="00722F82"/>
    <w:rsid w:val="00756126"/>
    <w:rsid w:val="00756841"/>
    <w:rsid w:val="007649AB"/>
    <w:rsid w:val="00771D0C"/>
    <w:rsid w:val="007833AC"/>
    <w:rsid w:val="00794F27"/>
    <w:rsid w:val="007B268C"/>
    <w:rsid w:val="007B7171"/>
    <w:rsid w:val="007C0C0F"/>
    <w:rsid w:val="007C3DC2"/>
    <w:rsid w:val="007E5497"/>
    <w:rsid w:val="00806F5F"/>
    <w:rsid w:val="008159E8"/>
    <w:rsid w:val="00820278"/>
    <w:rsid w:val="00863DF8"/>
    <w:rsid w:val="00867F95"/>
    <w:rsid w:val="008843B6"/>
    <w:rsid w:val="00891928"/>
    <w:rsid w:val="00897A3A"/>
    <w:rsid w:val="008A446D"/>
    <w:rsid w:val="008C39B5"/>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D73E9"/>
    <w:rsid w:val="009F3A13"/>
    <w:rsid w:val="00A0108B"/>
    <w:rsid w:val="00A122D3"/>
    <w:rsid w:val="00A14CD5"/>
    <w:rsid w:val="00A17F13"/>
    <w:rsid w:val="00A20739"/>
    <w:rsid w:val="00A32A03"/>
    <w:rsid w:val="00A33C78"/>
    <w:rsid w:val="00A7771E"/>
    <w:rsid w:val="00AB0ADB"/>
    <w:rsid w:val="00AB2A84"/>
    <w:rsid w:val="00AE07C5"/>
    <w:rsid w:val="00AE1FBF"/>
    <w:rsid w:val="00AF4A3E"/>
    <w:rsid w:val="00B00C0E"/>
    <w:rsid w:val="00B01B1A"/>
    <w:rsid w:val="00B0210D"/>
    <w:rsid w:val="00B44A47"/>
    <w:rsid w:val="00B5566A"/>
    <w:rsid w:val="00B72CD3"/>
    <w:rsid w:val="00B72FFF"/>
    <w:rsid w:val="00B809BE"/>
    <w:rsid w:val="00B95D3C"/>
    <w:rsid w:val="00BB6C57"/>
    <w:rsid w:val="00BC3D36"/>
    <w:rsid w:val="00BC7734"/>
    <w:rsid w:val="00BD61F0"/>
    <w:rsid w:val="00BD7F72"/>
    <w:rsid w:val="00C0406F"/>
    <w:rsid w:val="00C04FB3"/>
    <w:rsid w:val="00C21A31"/>
    <w:rsid w:val="00C330EB"/>
    <w:rsid w:val="00C44D59"/>
    <w:rsid w:val="00C754BE"/>
    <w:rsid w:val="00C76B1C"/>
    <w:rsid w:val="00C95D37"/>
    <w:rsid w:val="00CA748C"/>
    <w:rsid w:val="00CB6357"/>
    <w:rsid w:val="00CC1B26"/>
    <w:rsid w:val="00CE04D3"/>
    <w:rsid w:val="00D423A2"/>
    <w:rsid w:val="00D520D8"/>
    <w:rsid w:val="00D539E4"/>
    <w:rsid w:val="00D555B9"/>
    <w:rsid w:val="00D55DC9"/>
    <w:rsid w:val="00D63AC2"/>
    <w:rsid w:val="00D7383B"/>
    <w:rsid w:val="00DA181E"/>
    <w:rsid w:val="00DA231B"/>
    <w:rsid w:val="00DB0B63"/>
    <w:rsid w:val="00DC39FC"/>
    <w:rsid w:val="00DE57DD"/>
    <w:rsid w:val="00DF5254"/>
    <w:rsid w:val="00E16408"/>
    <w:rsid w:val="00E20894"/>
    <w:rsid w:val="00E245AB"/>
    <w:rsid w:val="00E264A9"/>
    <w:rsid w:val="00E2764C"/>
    <w:rsid w:val="00E27F2E"/>
    <w:rsid w:val="00E457D2"/>
    <w:rsid w:val="00E50AFE"/>
    <w:rsid w:val="00E75C92"/>
    <w:rsid w:val="00E771DC"/>
    <w:rsid w:val="00E8772A"/>
    <w:rsid w:val="00E90F6B"/>
    <w:rsid w:val="00E92C27"/>
    <w:rsid w:val="00EA0E3D"/>
    <w:rsid w:val="00EC38A7"/>
    <w:rsid w:val="00EE1AA8"/>
    <w:rsid w:val="00EE243C"/>
    <w:rsid w:val="00F036D3"/>
    <w:rsid w:val="00F31EDC"/>
    <w:rsid w:val="00F462B3"/>
    <w:rsid w:val="00F5664F"/>
    <w:rsid w:val="00F6334E"/>
    <w:rsid w:val="00F666C4"/>
    <w:rsid w:val="00F74E7C"/>
    <w:rsid w:val="00F76AFC"/>
    <w:rsid w:val="00FA47C0"/>
    <w:rsid w:val="00FB5DD1"/>
    <w:rsid w:val="00FC2B5D"/>
    <w:rsid w:val="00FD33D5"/>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44D59"/>
    <w:rPr>
      <w:rFonts w:ascii="Geomanist Light" w:hAnsi="Geomanist Light"/>
      <w:lang w:val="es-ES"/>
    </w:rPr>
  </w:style>
  <w:style w:type="paragraph" w:customStyle="1" w:styleId="Appelnotedebasde">
    <w:name w:val="Appel note de bas de..."/>
    <w:basedOn w:val="Normal"/>
    <w:link w:val="Refdenotaalpie"/>
    <w:uiPriority w:val="99"/>
    <w:rsid w:val="00C44D5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icitacionesgab2@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8F211012-686B-684A-8705-0C22D11FD8D3}">
  <ds:schemaRefs>
    <ds:schemaRef ds:uri="http://schemas.openxmlformats.org/officeDocument/2006/bibliography"/>
  </ds:schemaRefs>
</ds:datastoreItem>
</file>

<file path=customXml/itemProps4.xml><?xml version="1.0" encoding="utf-8"?>
<ds:datastoreItem xmlns:ds="http://schemas.openxmlformats.org/officeDocument/2006/customXml" ds:itemID="{EDD201DF-EE39-42A5-A689-4F8D6D31C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105</TotalTime>
  <Pages>17</Pages>
  <Words>5003</Words>
  <Characters>27519</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2025-10-16T17:33:00Z</dcterms:created>
  <dcterms:modified xsi:type="dcterms:W3CDTF">2026-06-04T21:50:00Z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