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768EB" w14:textId="77777777" w:rsidR="009B74FA" w:rsidRPr="0090297D" w:rsidRDefault="009B74FA" w:rsidP="009B74FA">
      <w:pPr>
        <w:spacing w:after="0" w:line="240" w:lineRule="auto"/>
        <w:jc w:val="both"/>
        <w:rPr>
          <w:rFonts w:ascii="Verdana" w:eastAsia="Calibri" w:hAnsi="Verdana" w:cs="Arial"/>
          <w:color w:val="000000" w:themeColor="text1"/>
          <w:highlight w:val="yellow"/>
        </w:rPr>
      </w:pPr>
      <w:bookmarkStart w:id="0" w:name="_Hlk143780582"/>
    </w:p>
    <w:p w14:paraId="1840EB7F" w14:textId="77777777" w:rsidR="009B74FA" w:rsidRPr="008367A4" w:rsidRDefault="009B74FA" w:rsidP="009B74FA">
      <w:pPr>
        <w:jc w:val="both"/>
        <w:rPr>
          <w:rFonts w:ascii="Verdana" w:eastAsia="Calibri" w:hAnsi="Verdana" w:cs="Arial"/>
          <w:b/>
          <w:bCs/>
          <w:highlight w:val="yellow"/>
        </w:rPr>
      </w:pPr>
      <w:r w:rsidRPr="008367A4">
        <w:rPr>
          <w:rFonts w:ascii="Verdana" w:eastAsia="Century Gothic" w:hAnsi="Verdana" w:cs="Century Gothic"/>
          <w:b/>
          <w:bCs/>
          <w:lang w:val="es-MX"/>
        </w:rPr>
        <w:t xml:space="preserve">REGISTRO ÚNICO DE PROPONENTES – Concepto / RUP – Sujetos obligados- oferentes extranjeros sin domicilio en el país–Requisitos habilitantes y de calificación – </w:t>
      </w:r>
    </w:p>
    <w:p w14:paraId="0D971ED0" w14:textId="77777777" w:rsidR="009B74FA" w:rsidRPr="00705CF7" w:rsidRDefault="009B74FA" w:rsidP="009B74FA">
      <w:pPr>
        <w:spacing w:line="257" w:lineRule="auto"/>
        <w:contextualSpacing/>
        <w:jc w:val="both"/>
        <w:rPr>
          <w:sz w:val="20"/>
          <w:szCs w:val="20"/>
        </w:rPr>
      </w:pPr>
      <w:r w:rsidRPr="00705CF7">
        <w:rPr>
          <w:rFonts w:ascii="Verdana" w:eastAsia="Verdana" w:hAnsi="Verdana" w:cs="Verdana"/>
          <w:sz w:val="20"/>
          <w:szCs w:val="20"/>
          <w:lang w:val="es"/>
        </w:rPr>
        <w:t xml:space="preserve">El Registro Único de Proponentes es el instrumento a través del cual los proponentes acreditan la capacidad financiera, jurídica, organizacional y la experiencia, y es plena prueba de las circunstancias que se hagan constar. En efecto, el artículo 6 de la Ley 1150 de 2007 prevé que el cumplimiento de los requisitos habilitantes se demostrará </w:t>
      </w:r>
      <w:r w:rsidRPr="00705CF7">
        <w:rPr>
          <w:rFonts w:ascii="Verdana" w:eastAsia="Verdana" w:hAnsi="Verdana" w:cs="Verdana"/>
          <w:sz w:val="20"/>
          <w:szCs w:val="20"/>
          <w:lang w:val="es-ES"/>
        </w:rPr>
        <w:t>«</w:t>
      </w:r>
      <w:r w:rsidRPr="00705CF7">
        <w:rPr>
          <w:rFonts w:ascii="Verdana" w:eastAsia="Verdana" w:hAnsi="Verdana" w:cs="Verdana"/>
          <w:sz w:val="20"/>
          <w:szCs w:val="20"/>
          <w:lang w:val="es"/>
        </w:rPr>
        <w:t>exclusivamente con el respectivo certificado del RUP […]</w:t>
      </w:r>
      <w:r w:rsidRPr="00705CF7">
        <w:rPr>
          <w:rFonts w:ascii="Verdana" w:eastAsia="Verdana" w:hAnsi="Verdana" w:cs="Verdana"/>
          <w:sz w:val="20"/>
          <w:szCs w:val="20"/>
          <w:lang w:val="es-ES"/>
        </w:rPr>
        <w:t>»</w:t>
      </w:r>
      <w:r w:rsidRPr="00705CF7">
        <w:rPr>
          <w:rFonts w:ascii="Verdana" w:eastAsia="Verdana" w:hAnsi="Verdana" w:cs="Verdana"/>
          <w:sz w:val="20"/>
          <w:szCs w:val="20"/>
          <w:lang w:val="es"/>
        </w:rPr>
        <w:t xml:space="preserve">. No obstante, lo anterior, las personas naturales o jurídicas extranjeras, sin domicilio o sucursal en Colombia, no están obligadas a inscribirse en el Registro único de Proponentes – RUP. Por esta razón, frente a la acreditación de su experiencia en el extranjero, le corresponde a las Entidades Estatales verificar directamente el cumplimiento de los requisitos habilitantes. Sobre este punto, como lo expuso la Agencia Nacional de Contratación Pública – Colombia Compra Eficiente, en el Manual para Determinar y Verificar los Requisitos Habilitantes en los Procesos de Contratación, se sugiere </w:t>
      </w:r>
      <w:r w:rsidRPr="00705CF7">
        <w:rPr>
          <w:rFonts w:ascii="Verdana" w:eastAsia="Verdana" w:hAnsi="Verdana" w:cs="Verdana"/>
          <w:sz w:val="20"/>
          <w:szCs w:val="20"/>
          <w:lang w:val="es-ES"/>
        </w:rPr>
        <w:t>«</w:t>
      </w:r>
      <w:r w:rsidRPr="00705CF7">
        <w:rPr>
          <w:rFonts w:ascii="Verdana" w:eastAsia="Verdana" w:hAnsi="Verdana" w:cs="Verdana"/>
          <w:sz w:val="20"/>
          <w:szCs w:val="20"/>
          <w:lang w:val="es"/>
        </w:rPr>
        <w:t>incluir en los pliegos de condiciones modelos de certificados con los cuales los proponentes acrediten los requisitos habilitantes</w:t>
      </w:r>
      <w:r w:rsidRPr="00705CF7">
        <w:rPr>
          <w:rFonts w:ascii="Verdana" w:eastAsia="Verdana" w:hAnsi="Verdana" w:cs="Verdana"/>
          <w:sz w:val="20"/>
          <w:szCs w:val="20"/>
          <w:lang w:val="es-ES"/>
        </w:rPr>
        <w:t>»</w:t>
      </w:r>
      <w:r w:rsidRPr="00705CF7">
        <w:rPr>
          <w:rFonts w:ascii="Verdana" w:eastAsia="Verdana" w:hAnsi="Verdana" w:cs="Verdana"/>
          <w:sz w:val="20"/>
          <w:szCs w:val="20"/>
          <w:lang w:val="es"/>
        </w:rPr>
        <w:t>.</w:t>
      </w:r>
    </w:p>
    <w:p w14:paraId="7985C376" w14:textId="77777777" w:rsidR="009B74FA" w:rsidRPr="00705CF7" w:rsidRDefault="009B74FA" w:rsidP="009B74FA">
      <w:pPr>
        <w:spacing w:after="0" w:line="240" w:lineRule="auto"/>
        <w:jc w:val="both"/>
        <w:rPr>
          <w:rFonts w:ascii="Verdana" w:eastAsia="Geomanist Light" w:hAnsi="Verdana" w:cs="Arial"/>
          <w:color w:val="000000" w:themeColor="text1"/>
          <w:sz w:val="20"/>
          <w:szCs w:val="20"/>
          <w:lang w:val="es-MX"/>
        </w:rPr>
      </w:pPr>
    </w:p>
    <w:p w14:paraId="1BA88506" w14:textId="77777777" w:rsidR="009B74FA" w:rsidRPr="008367A4" w:rsidRDefault="009B74FA" w:rsidP="009B74FA">
      <w:pPr>
        <w:jc w:val="both"/>
        <w:rPr>
          <w:rFonts w:ascii="Verdana" w:hAnsi="Verdana" w:cs="Arial"/>
          <w:b/>
          <w:bCs/>
        </w:rPr>
      </w:pPr>
      <w:r w:rsidRPr="008367A4">
        <w:rPr>
          <w:rFonts w:ascii="Verdana" w:hAnsi="Verdana" w:cs="Arial"/>
          <w:b/>
          <w:bCs/>
        </w:rPr>
        <w:t xml:space="preserve">EXPERIENCIA </w:t>
      </w:r>
      <w:bookmarkStart w:id="1" w:name="_Hlk39676694"/>
      <w:r w:rsidRPr="008367A4">
        <w:rPr>
          <w:rFonts w:ascii="Verdana" w:eastAsia="Calibri" w:hAnsi="Verdana" w:cs="Arial"/>
          <w:b/>
        </w:rPr>
        <w:t>–</w:t>
      </w:r>
      <w:bookmarkEnd w:id="1"/>
      <w:r w:rsidRPr="008367A4">
        <w:rPr>
          <w:rFonts w:ascii="Verdana" w:eastAsia="Calibri" w:hAnsi="Verdana" w:cs="Arial"/>
          <w:b/>
        </w:rPr>
        <w:t xml:space="preserve"> Acreditación sociedades extranjeras. </w:t>
      </w:r>
    </w:p>
    <w:p w14:paraId="2B03F419" w14:textId="77777777" w:rsidR="009B74FA" w:rsidRPr="00705CF7" w:rsidRDefault="009B74FA" w:rsidP="009B74FA">
      <w:pPr>
        <w:spacing w:after="0" w:line="240" w:lineRule="auto"/>
        <w:jc w:val="both"/>
        <w:rPr>
          <w:rFonts w:ascii="Verdana" w:eastAsia="Geomanist Light" w:hAnsi="Verdana" w:cs="Arial"/>
          <w:color w:val="000000" w:themeColor="text1"/>
          <w:sz w:val="20"/>
          <w:szCs w:val="20"/>
          <w:lang w:val="es-MX"/>
        </w:rPr>
      </w:pPr>
      <w:r>
        <w:rPr>
          <w:rFonts w:ascii="Verdana" w:eastAsia="Calibri" w:hAnsi="Verdana" w:cs="Arial"/>
          <w:sz w:val="20"/>
          <w:szCs w:val="20"/>
        </w:rPr>
        <w:t>L</w:t>
      </w:r>
      <w:r w:rsidRPr="00705CF7">
        <w:rPr>
          <w:rFonts w:ascii="Verdana" w:eastAsia="Calibri" w:hAnsi="Verdana" w:cs="Arial"/>
          <w:sz w:val="20"/>
          <w:szCs w:val="20"/>
        </w:rPr>
        <w:t>as personas naturales o jurídicas extranjeras, sin domicilio o sucursal en Colombia, no están obligadas a inscribirse en el Registro único de Proponentes – RUP. Por esta razón, frente a la acreditación de su experiencia en el extranjero, le corresponde a las Entidades Estatales verificar directamente el cumplimiento de los requisitos habilitantes. Sobre este punto, como lo expuso la Agencia Nacional de Contratación Pública – Colombia Compra Eficiente, en el Manual para Determinar y Verificar los Requisitos Habilitantes en los Procesos de Contratación, se sugiere “incluir en los pliegos de condiciones modelos de certificados con los cuales los proponentes acrediten los requisitos habilitantes”</w:t>
      </w:r>
      <w:r w:rsidRPr="00705CF7">
        <w:rPr>
          <w:sz w:val="20"/>
          <w:szCs w:val="20"/>
        </w:rPr>
        <w:t xml:space="preserve"> </w:t>
      </w:r>
      <w:r w:rsidRPr="00705CF7">
        <w:rPr>
          <w:rFonts w:ascii="Verdana" w:eastAsia="Calibri" w:hAnsi="Verdana" w:cs="Arial"/>
          <w:sz w:val="20"/>
          <w:szCs w:val="20"/>
        </w:rPr>
        <w:t xml:space="preserve">Por su parte, en el Manual para determinar y verificar los requisitos habilitantes en los Procesos de Contratación , expedido por la Agencia Nacional de Contratación Pública ― Colombia Compra Eficiente, se indica que </w:t>
      </w:r>
      <w:r>
        <w:rPr>
          <w:rFonts w:ascii="Verdana" w:eastAsia="Calibri" w:hAnsi="Verdana" w:cs="Arial"/>
          <w:sz w:val="20"/>
          <w:szCs w:val="20"/>
        </w:rPr>
        <w:t>“</w:t>
      </w:r>
      <w:r w:rsidRPr="00705CF7">
        <w:rPr>
          <w:rFonts w:ascii="Verdana" w:eastAsia="Calibri" w:hAnsi="Verdana" w:cs="Arial"/>
          <w:sz w:val="20"/>
          <w:szCs w:val="20"/>
        </w:rPr>
        <w:t>los proveedores extranjeros no obligados a estar registrados en el RUP deben demostrar que cumplen con los requisitos habilitantes, bien sean oferentes individuales o integrantes de una unión temporal, consorcio o promesa de sociedad futura</w:t>
      </w:r>
      <w:r>
        <w:rPr>
          <w:rFonts w:ascii="Verdana" w:eastAsia="Calibri" w:hAnsi="Verdana" w:cs="Arial"/>
          <w:sz w:val="20"/>
          <w:szCs w:val="20"/>
        </w:rPr>
        <w:t>”</w:t>
      </w:r>
    </w:p>
    <w:p w14:paraId="51B83068" w14:textId="77777777" w:rsidR="009B74FA" w:rsidRDefault="009B74FA" w:rsidP="009B74FA">
      <w:pPr>
        <w:spacing w:after="0" w:line="240" w:lineRule="auto"/>
        <w:jc w:val="both"/>
        <w:rPr>
          <w:rFonts w:ascii="Verdana" w:eastAsia="Geomanist Light" w:hAnsi="Verdana" w:cs="Arial"/>
          <w:color w:val="000000" w:themeColor="text1"/>
          <w:sz w:val="20"/>
          <w:szCs w:val="20"/>
          <w:lang w:val="es-MX"/>
        </w:rPr>
      </w:pPr>
    </w:p>
    <w:p w14:paraId="2225F101" w14:textId="77777777" w:rsidR="009B74FA" w:rsidRDefault="009B74FA" w:rsidP="009B74FA">
      <w:pPr>
        <w:spacing w:after="0"/>
        <w:rPr>
          <w:rFonts w:ascii="Verdana" w:hAnsi="Verdana"/>
          <w:sz w:val="20"/>
          <w:szCs w:val="20"/>
        </w:rPr>
      </w:pPr>
    </w:p>
    <w:p w14:paraId="249B8A6F" w14:textId="77777777" w:rsidR="009B74FA" w:rsidRDefault="009B74FA" w:rsidP="009B74FA">
      <w:pPr>
        <w:spacing w:after="0"/>
        <w:rPr>
          <w:rFonts w:ascii="Verdana" w:hAnsi="Verdana"/>
          <w:sz w:val="20"/>
          <w:szCs w:val="20"/>
        </w:rPr>
      </w:pPr>
    </w:p>
    <w:p w14:paraId="7E1A7A58" w14:textId="77777777" w:rsidR="009B74FA" w:rsidRDefault="009B74FA" w:rsidP="009B74FA">
      <w:pPr>
        <w:spacing w:after="0"/>
        <w:rPr>
          <w:rFonts w:ascii="Verdana" w:hAnsi="Verdana"/>
          <w:sz w:val="20"/>
          <w:szCs w:val="20"/>
        </w:rPr>
      </w:pPr>
    </w:p>
    <w:p w14:paraId="58D480BF" w14:textId="77777777" w:rsidR="009B74FA" w:rsidRDefault="009B74FA" w:rsidP="009B74FA">
      <w:pPr>
        <w:spacing w:after="0"/>
        <w:rPr>
          <w:rFonts w:ascii="Verdana" w:hAnsi="Verdana"/>
          <w:sz w:val="20"/>
          <w:szCs w:val="20"/>
        </w:rPr>
      </w:pPr>
    </w:p>
    <w:p w14:paraId="6B5C061C" w14:textId="77777777" w:rsidR="009B74FA" w:rsidRDefault="009B74FA" w:rsidP="009B74FA">
      <w:pPr>
        <w:spacing w:after="0"/>
        <w:rPr>
          <w:rFonts w:ascii="Verdana" w:hAnsi="Verdana"/>
          <w:sz w:val="20"/>
          <w:szCs w:val="20"/>
        </w:rPr>
      </w:pPr>
    </w:p>
    <w:p w14:paraId="44636180" w14:textId="77777777" w:rsidR="009B74FA" w:rsidRDefault="009B74FA" w:rsidP="009B74FA">
      <w:pPr>
        <w:spacing w:after="0"/>
        <w:rPr>
          <w:rFonts w:ascii="Verdana" w:hAnsi="Verdana"/>
          <w:sz w:val="20"/>
          <w:szCs w:val="20"/>
        </w:rPr>
      </w:pPr>
    </w:p>
    <w:p w14:paraId="33A032C2" w14:textId="77777777" w:rsidR="009B74FA" w:rsidRDefault="009B74FA" w:rsidP="009B74FA">
      <w:pPr>
        <w:spacing w:after="0"/>
        <w:rPr>
          <w:rFonts w:ascii="Verdana" w:hAnsi="Verdana"/>
          <w:sz w:val="20"/>
          <w:szCs w:val="20"/>
        </w:rPr>
      </w:pPr>
    </w:p>
    <w:p w14:paraId="23C80C5A" w14:textId="77777777" w:rsidR="009B74FA" w:rsidRDefault="009B74FA" w:rsidP="009B74FA">
      <w:pPr>
        <w:spacing w:after="0"/>
        <w:rPr>
          <w:rFonts w:ascii="Verdana" w:hAnsi="Verdana"/>
          <w:sz w:val="20"/>
          <w:szCs w:val="20"/>
        </w:rPr>
      </w:pPr>
    </w:p>
    <w:p w14:paraId="4C8EA44C" w14:textId="747CE007" w:rsidR="009B74FA" w:rsidRPr="00E31648" w:rsidRDefault="009B74FA" w:rsidP="009B74FA">
      <w:pPr>
        <w:spacing w:after="0" w:line="240" w:lineRule="auto"/>
      </w:pPr>
      <w:r w:rsidRPr="00C562D4">
        <w:rPr>
          <w:rFonts w:ascii="Verdana" w:eastAsia="Calibri" w:hAnsi="Verdana" w:cs="Arial"/>
          <w:color w:val="000000" w:themeColor="text1"/>
        </w:rPr>
        <w:t xml:space="preserve">Bogotá D.C., </w:t>
      </w:r>
      <w:r w:rsidR="000758EB">
        <w:rPr>
          <w:rFonts w:ascii="Verdana" w:eastAsia="Calibri" w:hAnsi="Verdana" w:cs="Arial"/>
          <w:color w:val="000000" w:themeColor="text1"/>
        </w:rPr>
        <w:t>01</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sidR="000758EB">
        <w:rPr>
          <w:rFonts w:ascii="Verdana" w:eastAsia="Calibri" w:hAnsi="Verdana" w:cs="Arial"/>
          <w:color w:val="000000" w:themeColor="text1"/>
        </w:rPr>
        <w:t>junio</w:t>
      </w:r>
      <w:r>
        <w:rPr>
          <w:rFonts w:ascii="Verdana" w:eastAsia="Calibri" w:hAnsi="Verdana" w:cs="Arial"/>
          <w:color w:val="000000" w:themeColor="text1"/>
        </w:rPr>
        <w:t xml:space="preserve">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1741DC04" w14:textId="77777777" w:rsidR="009B74FA" w:rsidRDefault="009B74FA" w:rsidP="009B74FA">
      <w:pPr>
        <w:spacing w:after="0" w:line="240" w:lineRule="auto"/>
        <w:jc w:val="both"/>
        <w:rPr>
          <w:rFonts w:ascii="Verdana" w:eastAsia="Calibri" w:hAnsi="Verdana" w:cs="Arial"/>
          <w:color w:val="000000" w:themeColor="text1"/>
          <w:lang w:val="es-ES"/>
        </w:rPr>
      </w:pPr>
    </w:p>
    <w:p w14:paraId="5B93043C" w14:textId="77777777" w:rsidR="00D735D4" w:rsidRDefault="00D735D4" w:rsidP="009B74FA">
      <w:pPr>
        <w:spacing w:after="0" w:line="240" w:lineRule="auto"/>
        <w:jc w:val="both"/>
        <w:rPr>
          <w:rFonts w:ascii="Verdana" w:eastAsia="Calibri" w:hAnsi="Verdana" w:cs="Arial"/>
          <w:color w:val="000000" w:themeColor="text1"/>
          <w:lang w:val="es-ES"/>
        </w:rPr>
      </w:pPr>
    </w:p>
    <w:p w14:paraId="1EE460EC" w14:textId="08B443CE" w:rsidR="00D735D4" w:rsidRDefault="00D735D4" w:rsidP="00D735D4">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5A434627" wp14:editId="6A5CE46E">
            <wp:extent cx="2219325" cy="704850"/>
            <wp:effectExtent l="0" t="0" r="9525" b="0"/>
            <wp:docPr id="69958888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19325" cy="704850"/>
                    </a:xfrm>
                    <a:prstGeom prst="rect">
                      <a:avLst/>
                    </a:prstGeom>
                    <a:noFill/>
                    <a:ln>
                      <a:noFill/>
                    </a:ln>
                  </pic:spPr>
                </pic:pic>
              </a:graphicData>
            </a:graphic>
          </wp:inline>
        </w:drawing>
      </w:r>
    </w:p>
    <w:p w14:paraId="19D33B35" w14:textId="77777777" w:rsidR="00D735D4" w:rsidRDefault="00D735D4" w:rsidP="009B74FA">
      <w:pPr>
        <w:spacing w:after="0" w:line="240" w:lineRule="auto"/>
        <w:jc w:val="both"/>
        <w:rPr>
          <w:rFonts w:ascii="Verdana" w:eastAsia="Calibri" w:hAnsi="Verdana" w:cs="Arial"/>
          <w:color w:val="000000" w:themeColor="text1"/>
          <w:lang w:val="es-ES"/>
        </w:rPr>
      </w:pPr>
    </w:p>
    <w:p w14:paraId="70B939BF" w14:textId="77777777" w:rsidR="009B74FA" w:rsidRPr="00061456" w:rsidRDefault="009B74FA" w:rsidP="009B74FA">
      <w:pPr>
        <w:spacing w:after="0" w:line="240" w:lineRule="auto"/>
        <w:jc w:val="both"/>
        <w:rPr>
          <w:rFonts w:ascii="Verdana" w:eastAsia="Calibri" w:hAnsi="Verdana" w:cs="Arial"/>
          <w:color w:val="000000" w:themeColor="text1"/>
          <w:lang w:val="en-US" w:eastAsia="es-ES"/>
        </w:rPr>
      </w:pPr>
      <w:r w:rsidRPr="00061456">
        <w:rPr>
          <w:rFonts w:ascii="Verdana" w:eastAsia="Calibri" w:hAnsi="Verdana" w:cs="Arial"/>
          <w:color w:val="000000" w:themeColor="text1"/>
          <w:lang w:val="en-US" w:eastAsia="es-ES"/>
        </w:rPr>
        <w:t>Señora</w:t>
      </w:r>
    </w:p>
    <w:p w14:paraId="0CE95771" w14:textId="77777777" w:rsidR="009B74FA" w:rsidRPr="00061456" w:rsidRDefault="009B74FA" w:rsidP="009B74FA">
      <w:pPr>
        <w:spacing w:after="0" w:line="240" w:lineRule="auto"/>
        <w:rPr>
          <w:rFonts w:ascii="Verdana" w:eastAsia="Calibri" w:hAnsi="Verdana" w:cs="Arial"/>
          <w:b/>
          <w:bCs/>
          <w:lang w:val="en-US" w:eastAsia="es-ES"/>
        </w:rPr>
      </w:pPr>
      <w:r w:rsidRPr="00061456">
        <w:rPr>
          <w:rFonts w:ascii="Verdana" w:eastAsia="Calibri" w:hAnsi="Verdana" w:cs="Arial"/>
          <w:b/>
          <w:bCs/>
          <w:lang w:val="en-US" w:eastAsia="es-ES"/>
        </w:rPr>
        <w:t>KATHERINE BARRERA</w:t>
      </w:r>
    </w:p>
    <w:p w14:paraId="6ECC31AF" w14:textId="77777777" w:rsidR="009B74FA" w:rsidRPr="00061456" w:rsidRDefault="000068DA" w:rsidP="009B74FA">
      <w:pPr>
        <w:spacing w:after="0" w:line="240" w:lineRule="auto"/>
        <w:rPr>
          <w:rFonts w:ascii="Verdana" w:eastAsia="Calibri" w:hAnsi="Verdana" w:cs="Arial"/>
          <w:lang w:val="en-US" w:eastAsia="es-ES"/>
        </w:rPr>
      </w:pPr>
      <w:hyperlink r:id="rId11" w:history="1">
        <w:r w:rsidR="009B74FA" w:rsidRPr="00061456">
          <w:rPr>
            <w:rStyle w:val="Hipervnculo"/>
            <w:rFonts w:ascii="Verdana" w:eastAsia="Calibri" w:hAnsi="Verdana" w:cs="Arial"/>
            <w:lang w:val="en-US" w:eastAsia="es-ES"/>
          </w:rPr>
          <w:t>katherine.barrera@construplan.com.mx</w:t>
        </w:r>
      </w:hyperlink>
      <w:r w:rsidR="009B74FA" w:rsidRPr="00061456">
        <w:rPr>
          <w:rFonts w:ascii="Verdana" w:eastAsia="Calibri" w:hAnsi="Verdana" w:cs="Arial"/>
          <w:lang w:val="en-US" w:eastAsia="es-ES"/>
        </w:rPr>
        <w:t xml:space="preserve"> </w:t>
      </w:r>
    </w:p>
    <w:p w14:paraId="2A9B0A26" w14:textId="77777777" w:rsidR="009B74FA" w:rsidRPr="006B17A7" w:rsidRDefault="009B74FA" w:rsidP="009B74FA">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18E12C26" w14:textId="77777777" w:rsidR="009B74FA" w:rsidRPr="00CB7ABE" w:rsidRDefault="009B74FA" w:rsidP="009B74FA">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9B74FA" w:rsidRPr="00115E3D" w14:paraId="5744C3C4" w14:textId="77777777" w:rsidTr="00E83E74">
        <w:trPr>
          <w:trHeight w:val="615"/>
        </w:trPr>
        <w:tc>
          <w:tcPr>
            <w:tcW w:w="2270" w:type="dxa"/>
          </w:tcPr>
          <w:p w14:paraId="11676734" w14:textId="77777777" w:rsidR="009B74FA" w:rsidRPr="00CB7ABE" w:rsidRDefault="009B74FA" w:rsidP="00E83E74">
            <w:pPr>
              <w:jc w:val="both"/>
              <w:rPr>
                <w:rFonts w:ascii="Verdana" w:eastAsia="Calibri" w:hAnsi="Verdana" w:cs="Arial"/>
                <w:b/>
                <w:bCs/>
                <w:color w:val="000000" w:themeColor="text1"/>
                <w:lang w:eastAsia="es-ES_tradnl"/>
              </w:rPr>
            </w:pPr>
          </w:p>
        </w:tc>
        <w:tc>
          <w:tcPr>
            <w:tcW w:w="6547" w:type="dxa"/>
          </w:tcPr>
          <w:p w14:paraId="46EEEE9C" w14:textId="77777777" w:rsidR="009B74FA" w:rsidRPr="008A209A" w:rsidRDefault="009B74FA" w:rsidP="00E83E74">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641</w:t>
            </w:r>
            <w:r w:rsidRPr="008A209A">
              <w:rPr>
                <w:rFonts w:ascii="Verdana" w:eastAsia="Calibri" w:hAnsi="Verdana" w:cs="Arial"/>
                <w:b/>
                <w:bCs/>
                <w:color w:val="000000" w:themeColor="text1"/>
                <w:lang w:val="es-ES" w:eastAsia="es-ES"/>
              </w:rPr>
              <w:t xml:space="preserve"> de 2026</w:t>
            </w:r>
          </w:p>
        </w:tc>
      </w:tr>
      <w:tr w:rsidR="009B74FA" w:rsidRPr="007E403E" w14:paraId="43C5547B" w14:textId="77777777" w:rsidTr="00E83E74">
        <w:trPr>
          <w:trHeight w:val="1071"/>
        </w:trPr>
        <w:tc>
          <w:tcPr>
            <w:tcW w:w="2270" w:type="dxa"/>
          </w:tcPr>
          <w:p w14:paraId="04172207" w14:textId="77777777" w:rsidR="009B74FA" w:rsidRPr="001B36DA" w:rsidRDefault="009B74FA" w:rsidP="00E83E74">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24008A46" w14:textId="669FA007" w:rsidR="009B74FA" w:rsidRPr="00103B36" w:rsidRDefault="009B74FA" w:rsidP="00E83E74">
            <w:pPr>
              <w:spacing w:line="276" w:lineRule="auto"/>
              <w:jc w:val="both"/>
              <w:rPr>
                <w:rFonts w:ascii="Verdana" w:eastAsia="Calibri" w:hAnsi="Verdana" w:cs="Arial"/>
                <w:highlight w:val="yellow"/>
                <w:lang w:val="es-ES" w:eastAsia="es-ES"/>
              </w:rPr>
            </w:pPr>
            <w:r w:rsidRPr="00000F11">
              <w:rPr>
                <w:rFonts w:ascii="Verdana" w:eastAsia="Century Gothic" w:hAnsi="Verdana" w:cs="Century Gothic"/>
                <w:lang w:val="es-MX"/>
              </w:rPr>
              <w:t>REGISTRO ÚNICO DE PROPONENTES – Concepto / RUP – Sujetos obligados</w:t>
            </w:r>
            <w:r>
              <w:rPr>
                <w:rFonts w:ascii="Verdana" w:eastAsia="Century Gothic" w:hAnsi="Verdana" w:cs="Century Gothic"/>
                <w:lang w:val="es-MX"/>
              </w:rPr>
              <w:t>-</w:t>
            </w:r>
            <w:r w:rsidRPr="00000F11">
              <w:rPr>
                <w:rFonts w:ascii="Verdana" w:eastAsia="Century Gothic" w:hAnsi="Verdana" w:cs="Century Gothic"/>
                <w:lang w:val="es-MX"/>
              </w:rPr>
              <w:t xml:space="preserve"> oferentes extranjeros </w:t>
            </w:r>
            <w:r>
              <w:rPr>
                <w:rFonts w:ascii="Verdana" w:eastAsia="Century Gothic" w:hAnsi="Verdana" w:cs="Century Gothic"/>
                <w:lang w:val="es-MX"/>
              </w:rPr>
              <w:t>sin domicilio en el país</w:t>
            </w:r>
            <w:r w:rsidRPr="00000F11">
              <w:rPr>
                <w:rFonts w:ascii="Verdana" w:eastAsia="Century Gothic" w:hAnsi="Verdana" w:cs="Century Gothic"/>
                <w:lang w:val="es-MX"/>
              </w:rPr>
              <w:t xml:space="preserve">–Requisitos habilitantes y de calificación – </w:t>
            </w:r>
            <w:r w:rsidRPr="00705CF7">
              <w:rPr>
                <w:rFonts w:ascii="Verdana" w:eastAsia="Century Gothic" w:hAnsi="Verdana" w:cs="Century Gothic"/>
                <w:lang w:val="es-MX"/>
              </w:rPr>
              <w:t>EXPERIENCIA – Acreditación sociedades extranjeras</w:t>
            </w:r>
          </w:p>
        </w:tc>
      </w:tr>
      <w:tr w:rsidR="009B74FA" w:rsidRPr="00115E3D" w14:paraId="4C47AE64" w14:textId="77777777" w:rsidTr="00E83E74">
        <w:trPr>
          <w:trHeight w:val="653"/>
        </w:trPr>
        <w:tc>
          <w:tcPr>
            <w:tcW w:w="2270" w:type="dxa"/>
          </w:tcPr>
          <w:p w14:paraId="0446BD3E" w14:textId="77777777" w:rsidR="009B74FA" w:rsidRPr="00CB7ABE" w:rsidRDefault="009B74FA" w:rsidP="00E83E74">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28D69CBC" w14:textId="77777777" w:rsidR="009B74FA" w:rsidRPr="00CB7ABE" w:rsidRDefault="009B74FA" w:rsidP="00E83E74">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103B36">
              <w:rPr>
                <w:rFonts w:ascii="Verdana" w:eastAsia="Calibri" w:hAnsi="Verdana" w:cs="Arial"/>
                <w:color w:val="000000" w:themeColor="text1"/>
                <w:lang w:val="es-ES_tradnl" w:eastAsia="es-ES_tradnl"/>
              </w:rPr>
              <w:t>1_2026_04_20_005313</w:t>
            </w:r>
            <w:r>
              <w:rPr>
                <w:rFonts w:ascii="Verdana" w:eastAsia="Calibri" w:hAnsi="Verdana" w:cs="Arial"/>
                <w:color w:val="000000" w:themeColor="text1"/>
                <w:lang w:val="es-ES_tradnl" w:eastAsia="es-ES_tradnl"/>
              </w:rPr>
              <w:t xml:space="preserve"> acumulado con los radicados N.º </w:t>
            </w:r>
            <w:r w:rsidRPr="00103B36">
              <w:rPr>
                <w:rFonts w:ascii="Verdana" w:eastAsia="Calibri" w:hAnsi="Verdana" w:cs="Arial"/>
                <w:color w:val="000000" w:themeColor="text1"/>
                <w:lang w:val="es-ES_tradnl" w:eastAsia="es-ES_tradnl"/>
              </w:rPr>
              <w:t>1_2026_04_20_005314</w:t>
            </w:r>
            <w:r>
              <w:rPr>
                <w:rFonts w:ascii="Verdana" w:eastAsia="Calibri" w:hAnsi="Verdana" w:cs="Arial"/>
                <w:color w:val="000000" w:themeColor="text1"/>
                <w:lang w:val="es-ES_tradnl" w:eastAsia="es-ES_tradnl"/>
              </w:rPr>
              <w:t xml:space="preserve"> y </w:t>
            </w:r>
            <w:r w:rsidRPr="00103B36">
              <w:rPr>
                <w:rFonts w:ascii="Verdana" w:eastAsia="Calibri" w:hAnsi="Verdana" w:cs="Arial"/>
                <w:color w:val="000000" w:themeColor="text1"/>
                <w:lang w:val="es-ES_tradnl" w:eastAsia="es-ES_tradnl"/>
              </w:rPr>
              <w:t>1_2026_04_21_005345</w:t>
            </w:r>
            <w:r>
              <w:rPr>
                <w:rFonts w:ascii="Verdana" w:eastAsia="Calibri" w:hAnsi="Verdana" w:cs="Arial"/>
                <w:color w:val="000000" w:themeColor="text1"/>
                <w:lang w:val="es-ES_tradnl" w:eastAsia="es-ES_tradnl"/>
              </w:rPr>
              <w:t>.</w:t>
            </w:r>
          </w:p>
        </w:tc>
      </w:tr>
      <w:tr w:rsidR="009B74FA" w:rsidRPr="00115E3D" w14:paraId="28B06439" w14:textId="77777777" w:rsidTr="00E83E74">
        <w:trPr>
          <w:trHeight w:val="653"/>
        </w:trPr>
        <w:tc>
          <w:tcPr>
            <w:tcW w:w="2270" w:type="dxa"/>
          </w:tcPr>
          <w:p w14:paraId="74FA00DA" w14:textId="77777777" w:rsidR="009B74FA" w:rsidRPr="00CB7ABE" w:rsidRDefault="009B74FA" w:rsidP="00E83E74">
            <w:pPr>
              <w:jc w:val="both"/>
              <w:rPr>
                <w:rFonts w:ascii="Verdana" w:eastAsia="Calibri" w:hAnsi="Verdana" w:cs="Arial"/>
                <w:b/>
                <w:color w:val="000000" w:themeColor="text1"/>
                <w:lang w:val="es-ES_tradnl" w:eastAsia="es-ES_tradnl"/>
              </w:rPr>
            </w:pPr>
          </w:p>
        </w:tc>
        <w:tc>
          <w:tcPr>
            <w:tcW w:w="6547" w:type="dxa"/>
          </w:tcPr>
          <w:p w14:paraId="35FF92D2" w14:textId="77777777" w:rsidR="009B74FA" w:rsidRPr="00CB7ABE" w:rsidRDefault="009B74FA" w:rsidP="00E83E74">
            <w:pPr>
              <w:ind w:right="1"/>
              <w:jc w:val="both"/>
              <w:rPr>
                <w:rFonts w:ascii="Verdana" w:eastAsia="Calibri" w:hAnsi="Verdana" w:cs="Arial"/>
                <w:color w:val="000000" w:themeColor="text1"/>
                <w:lang w:val="es-ES_tradnl" w:eastAsia="es-ES_tradnl"/>
              </w:rPr>
            </w:pPr>
          </w:p>
        </w:tc>
      </w:tr>
    </w:tbl>
    <w:p w14:paraId="1201A1B2" w14:textId="77777777" w:rsidR="009B74FA" w:rsidRPr="00115E3D" w:rsidRDefault="009B74FA" w:rsidP="009B74FA">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a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 Barrera;</w:t>
      </w:r>
    </w:p>
    <w:p w14:paraId="63A4EBF9" w14:textId="77777777" w:rsidR="009B74FA" w:rsidRPr="00115E3D" w:rsidRDefault="009B74FA" w:rsidP="009B74FA">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48FDA625" w14:textId="76342984" w:rsidR="009B74FA" w:rsidRPr="00115E3D" w:rsidRDefault="009B74FA" w:rsidP="009B74FA">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 su solicitud radicada ante esta entidad el 20 de abril de 2026 </w:t>
      </w:r>
      <w:r w:rsidRPr="00115E3D">
        <w:rPr>
          <w:rFonts w:ascii="Verdana" w:eastAsia="Calibri" w:hAnsi="Verdana" w:cs="Arial"/>
          <w:color w:val="000000" w:themeColor="text1"/>
          <w:lang w:val="es-ES" w:eastAsia="es-ES"/>
        </w:rPr>
        <w:t xml:space="preserve">en la cual manifiesta lo siguiente: </w:t>
      </w:r>
    </w:p>
    <w:p w14:paraId="45DBA87E" w14:textId="77777777" w:rsidR="009B74FA" w:rsidRDefault="009B74FA" w:rsidP="009B74FA">
      <w:pPr>
        <w:spacing w:after="0" w:line="240" w:lineRule="auto"/>
        <w:ind w:left="709" w:right="709"/>
        <w:jc w:val="both"/>
        <w:rPr>
          <w:rFonts w:ascii="Verdana" w:eastAsia="Century Gothic" w:hAnsi="Verdana" w:cs="Century Gothic"/>
          <w:i/>
          <w:iCs/>
          <w:color w:val="000000" w:themeColor="text1"/>
          <w:sz w:val="20"/>
          <w:szCs w:val="20"/>
          <w:lang w:val="es-ES"/>
        </w:rPr>
      </w:pPr>
      <w:bookmarkStart w:id="2" w:name="_Hlk95313578"/>
    </w:p>
    <w:bookmarkEnd w:id="2"/>
    <w:p w14:paraId="16DBB574" w14:textId="77777777" w:rsidR="009B74FA" w:rsidRDefault="009B74FA" w:rsidP="009B74FA">
      <w:pPr>
        <w:spacing w:after="0" w:line="240" w:lineRule="auto"/>
        <w:ind w:left="709" w:right="709"/>
        <w:jc w:val="both"/>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t>“</w:t>
      </w:r>
    </w:p>
    <w:p w14:paraId="05CCE827" w14:textId="77777777" w:rsidR="009B74FA" w:rsidRPr="00103B36" w:rsidRDefault="009B74FA" w:rsidP="009B74FA">
      <w:pPr>
        <w:spacing w:after="0" w:line="240" w:lineRule="auto"/>
        <w:ind w:left="709" w:right="709"/>
        <w:jc w:val="both"/>
        <w:rPr>
          <w:rFonts w:ascii="Verdana" w:eastAsia="Century Gothic" w:hAnsi="Verdana" w:cs="Century Gothic"/>
          <w:i/>
          <w:iCs/>
          <w:color w:val="000000" w:themeColor="text1"/>
          <w:sz w:val="20"/>
          <w:szCs w:val="20"/>
          <w:lang w:val="es-MX"/>
        </w:rPr>
      </w:pPr>
      <w:r w:rsidRPr="00103B36">
        <w:rPr>
          <w:rFonts w:ascii="Verdana" w:eastAsia="Century Gothic" w:hAnsi="Verdana" w:cs="Century Gothic"/>
          <w:i/>
          <w:iCs/>
          <w:color w:val="000000" w:themeColor="text1"/>
          <w:sz w:val="20"/>
          <w:szCs w:val="20"/>
          <w:lang w:val="es-MX"/>
        </w:rPr>
        <w:t>Por medio de la presente, nos permitimos solicitar muy respetuosamente su orientación respecto a las siguientes inquietudes, teniendo en cuenta que Construplan Colombia corresponde a una empresa extranjera (mexicana) con sucursal en Colombia:</w:t>
      </w:r>
    </w:p>
    <w:p w14:paraId="20F2DECF" w14:textId="77777777" w:rsidR="009B74FA" w:rsidRPr="00103B36" w:rsidRDefault="009B74FA" w:rsidP="009B74FA">
      <w:pPr>
        <w:spacing w:after="0" w:line="240" w:lineRule="auto"/>
        <w:ind w:left="709" w:right="709"/>
        <w:jc w:val="both"/>
        <w:rPr>
          <w:rFonts w:ascii="Verdana" w:eastAsia="Century Gothic" w:hAnsi="Verdana" w:cs="Century Gothic"/>
          <w:i/>
          <w:iCs/>
          <w:color w:val="000000" w:themeColor="text1"/>
          <w:sz w:val="20"/>
          <w:szCs w:val="20"/>
          <w:lang w:val="es-MX"/>
        </w:rPr>
      </w:pPr>
    </w:p>
    <w:p w14:paraId="205A7F59" w14:textId="77777777" w:rsidR="009B74FA" w:rsidRDefault="009B74FA" w:rsidP="009B74FA">
      <w:pPr>
        <w:spacing w:after="0" w:line="240" w:lineRule="auto"/>
        <w:ind w:left="709" w:right="709"/>
        <w:jc w:val="both"/>
        <w:rPr>
          <w:rFonts w:ascii="Verdana" w:eastAsia="Century Gothic" w:hAnsi="Verdana" w:cs="Century Gothic"/>
          <w:i/>
          <w:iCs/>
          <w:color w:val="000000" w:themeColor="text1"/>
          <w:sz w:val="20"/>
          <w:szCs w:val="20"/>
          <w:lang w:val="es-MX"/>
        </w:rPr>
      </w:pPr>
      <w:r w:rsidRPr="00103B36">
        <w:rPr>
          <w:rFonts w:ascii="Verdana" w:eastAsia="Century Gothic" w:hAnsi="Verdana" w:cs="Century Gothic"/>
          <w:i/>
          <w:iCs/>
          <w:color w:val="000000" w:themeColor="text1"/>
          <w:sz w:val="20"/>
          <w:szCs w:val="20"/>
          <w:lang w:val="es-MX"/>
        </w:rPr>
        <w:lastRenderedPageBreak/>
        <w:t>•</w:t>
      </w:r>
      <w:r>
        <w:rPr>
          <w:rFonts w:ascii="Verdana" w:eastAsia="Century Gothic" w:hAnsi="Verdana" w:cs="Century Gothic"/>
          <w:i/>
          <w:iCs/>
          <w:color w:val="000000" w:themeColor="text1"/>
          <w:sz w:val="20"/>
          <w:szCs w:val="20"/>
          <w:lang w:val="es-MX"/>
        </w:rPr>
        <w:t xml:space="preserve"> </w:t>
      </w:r>
      <w:r w:rsidRPr="00103B36">
        <w:rPr>
          <w:rFonts w:ascii="Verdana" w:eastAsia="Century Gothic" w:hAnsi="Verdana" w:cs="Century Gothic"/>
          <w:i/>
          <w:iCs/>
          <w:color w:val="000000" w:themeColor="text1"/>
          <w:sz w:val="20"/>
          <w:szCs w:val="20"/>
          <w:lang w:val="es-MX"/>
        </w:rPr>
        <w:t>Agradecemos indicar si, para el cálculo de la capacidad técnica dentro de la capacidad residual de contratación, debe considerarse exclusivamente el personal vinculado a la sucursal en Colombia o si también es posible incluir el personal vinculado a la casa matriz y a sus demás sucursales.</w:t>
      </w:r>
    </w:p>
    <w:p w14:paraId="4AD42C22" w14:textId="77777777" w:rsidR="009B74FA" w:rsidRPr="00103B36" w:rsidRDefault="009B74FA" w:rsidP="009B74FA">
      <w:pPr>
        <w:spacing w:after="0" w:line="240" w:lineRule="auto"/>
        <w:ind w:left="709" w:right="709"/>
        <w:jc w:val="both"/>
        <w:rPr>
          <w:rFonts w:ascii="Verdana" w:eastAsia="Century Gothic" w:hAnsi="Verdana" w:cs="Century Gothic"/>
          <w:i/>
          <w:iCs/>
          <w:color w:val="000000" w:themeColor="text1"/>
          <w:sz w:val="20"/>
          <w:szCs w:val="20"/>
          <w:lang w:val="es-MX"/>
        </w:rPr>
      </w:pPr>
    </w:p>
    <w:p w14:paraId="48ADF409" w14:textId="77777777" w:rsidR="009B74FA" w:rsidRPr="00CF5ED9" w:rsidRDefault="009B74FA" w:rsidP="009B74FA">
      <w:pPr>
        <w:spacing w:after="0" w:line="240" w:lineRule="auto"/>
        <w:ind w:left="709" w:right="709"/>
        <w:jc w:val="both"/>
        <w:rPr>
          <w:rFonts w:ascii="Verdana" w:eastAsia="Century Gothic" w:hAnsi="Verdana" w:cs="Century Gothic"/>
          <w:i/>
          <w:iCs/>
          <w:color w:val="000000" w:themeColor="text1"/>
          <w:sz w:val="20"/>
          <w:szCs w:val="20"/>
        </w:rPr>
      </w:pPr>
      <w:r w:rsidRPr="00103B36">
        <w:rPr>
          <w:rFonts w:ascii="Verdana" w:eastAsia="Century Gothic" w:hAnsi="Verdana" w:cs="Century Gothic"/>
          <w:i/>
          <w:iCs/>
          <w:color w:val="000000" w:themeColor="text1"/>
          <w:sz w:val="20"/>
          <w:szCs w:val="20"/>
          <w:lang w:val="es-MX"/>
        </w:rPr>
        <w:t>•</w:t>
      </w:r>
      <w:r>
        <w:rPr>
          <w:rFonts w:ascii="Verdana" w:eastAsia="Century Gothic" w:hAnsi="Verdana" w:cs="Century Gothic"/>
          <w:i/>
          <w:iCs/>
          <w:color w:val="000000" w:themeColor="text1"/>
          <w:sz w:val="20"/>
          <w:szCs w:val="20"/>
          <w:lang w:val="es-MX"/>
        </w:rPr>
        <w:t xml:space="preserve"> </w:t>
      </w:r>
      <w:r w:rsidRPr="00103B36">
        <w:rPr>
          <w:rFonts w:ascii="Verdana" w:eastAsia="Century Gothic" w:hAnsi="Verdana" w:cs="Century Gothic"/>
          <w:i/>
          <w:iCs/>
          <w:color w:val="000000" w:themeColor="text1"/>
          <w:sz w:val="20"/>
          <w:szCs w:val="20"/>
          <w:lang w:val="es-MX"/>
        </w:rPr>
        <w:t>Así mismo, solicitamos precisar si, para el cálculo del saldo de contratos en ejecución, deben incluirse únicamente los contratos suscritos por la sucursal en Colombia o si también deben contemplarse los contratos en ejecución de la casa matriz y de otras sucursales.</w:t>
      </w:r>
      <w:r w:rsidRPr="00CF5ED9">
        <w:rPr>
          <w:rFonts w:ascii="Verdana" w:eastAsia="Century Gothic" w:hAnsi="Verdana" w:cs="Century Gothic"/>
          <w:i/>
          <w:iCs/>
          <w:color w:val="000000" w:themeColor="text1"/>
          <w:sz w:val="20"/>
          <w:szCs w:val="20"/>
          <w:lang w:val="es-MX"/>
        </w:rPr>
        <w:t xml:space="preserve"> </w:t>
      </w:r>
      <w:r>
        <w:rPr>
          <w:rFonts w:ascii="Verdana" w:eastAsia="Century Gothic" w:hAnsi="Verdana" w:cs="Century Gothic"/>
          <w:i/>
          <w:iCs/>
          <w:color w:val="000000" w:themeColor="text1"/>
          <w:sz w:val="20"/>
          <w:szCs w:val="20"/>
          <w:lang w:val="es-MX"/>
        </w:rPr>
        <w:t>“</w:t>
      </w:r>
    </w:p>
    <w:p w14:paraId="5477D562" w14:textId="77777777" w:rsidR="009B74FA" w:rsidRDefault="009B74FA" w:rsidP="009B74FA">
      <w:pPr>
        <w:spacing w:after="0" w:line="240" w:lineRule="auto"/>
        <w:ind w:left="709" w:right="709"/>
        <w:jc w:val="both"/>
        <w:rPr>
          <w:rFonts w:ascii="Verdana" w:eastAsia="Century Gothic" w:hAnsi="Verdana" w:cs="Century Gothic"/>
          <w:i/>
          <w:iCs/>
          <w:color w:val="000000" w:themeColor="text1"/>
          <w:sz w:val="20"/>
          <w:szCs w:val="20"/>
          <w:lang w:val="es-ES"/>
        </w:rPr>
      </w:pPr>
    </w:p>
    <w:p w14:paraId="144201D2" w14:textId="77777777" w:rsidR="009B74FA" w:rsidRDefault="009B74FA" w:rsidP="009B74FA">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34C9A60" w14:textId="77777777" w:rsidR="009B74FA" w:rsidRPr="00115E3D" w:rsidRDefault="009B74FA" w:rsidP="009B74FA">
      <w:pPr>
        <w:spacing w:after="0" w:line="240" w:lineRule="auto"/>
        <w:ind w:right="49"/>
        <w:jc w:val="both"/>
        <w:rPr>
          <w:rFonts w:ascii="Verdana" w:eastAsia="Calibri" w:hAnsi="Verdana" w:cs="Arial"/>
          <w:color w:val="000000" w:themeColor="text1"/>
          <w:szCs w:val="24"/>
          <w:lang w:val="es-ES_tradnl" w:eastAsia="es-ES_tradnl"/>
        </w:rPr>
      </w:pPr>
    </w:p>
    <w:p w14:paraId="6CCB1A7B" w14:textId="77777777" w:rsidR="009B74FA" w:rsidRPr="00115E3D" w:rsidRDefault="009B74FA" w:rsidP="009B74FA">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46C3D712" w14:textId="77777777" w:rsidR="009B74FA" w:rsidRPr="00115E3D" w:rsidRDefault="009B74FA" w:rsidP="009B74FA">
      <w:pPr>
        <w:spacing w:after="0" w:line="276" w:lineRule="auto"/>
        <w:ind w:firstLine="709"/>
        <w:jc w:val="both"/>
        <w:rPr>
          <w:rFonts w:ascii="Verdana" w:eastAsia="Calibri" w:hAnsi="Verdana" w:cs="Arial"/>
          <w:color w:val="000000" w:themeColor="text1"/>
          <w:lang w:val="es-ES" w:eastAsia="es-ES"/>
        </w:rPr>
      </w:pPr>
    </w:p>
    <w:p w14:paraId="621EA714" w14:textId="77777777" w:rsidR="009B74FA" w:rsidRPr="00115E3D" w:rsidRDefault="009B74FA" w:rsidP="009B74F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4CFC866D" w14:textId="77777777" w:rsidR="009B74FA" w:rsidRPr="00115E3D" w:rsidRDefault="009B74FA" w:rsidP="009B74FA">
      <w:pPr>
        <w:tabs>
          <w:tab w:val="left" w:pos="426"/>
        </w:tabs>
        <w:spacing w:after="0" w:line="276" w:lineRule="auto"/>
        <w:jc w:val="both"/>
        <w:rPr>
          <w:rFonts w:ascii="Verdana" w:eastAsia="Century Gothic" w:hAnsi="Verdana" w:cs="Century Gothic"/>
          <w:color w:val="000000" w:themeColor="text1"/>
          <w:lang w:val="es-ES"/>
        </w:rPr>
      </w:pPr>
    </w:p>
    <w:p w14:paraId="0EBDED7A" w14:textId="77777777" w:rsidR="009B74FA" w:rsidRDefault="009B74FA" w:rsidP="009B74FA">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B511C1">
        <w:rPr>
          <w:rFonts w:ascii="Verdana" w:hAnsi="Verdana"/>
        </w:rPr>
        <w:t>¿Tratándose de una sociedad extranjera con sucursal en Colombia, es jurídicamente procedente acreditar la capacidad técnica y calcular la capacidad residual de contratación con recursos, personal y contratos en ejecución de la casa matriz y de otras sucursales</w:t>
      </w:r>
      <w:r>
        <w:rPr>
          <w:rFonts w:ascii="Verdana" w:hAnsi="Verdana"/>
        </w:rPr>
        <w:t>;</w:t>
      </w:r>
      <w:r w:rsidRPr="00B511C1">
        <w:rPr>
          <w:rFonts w:ascii="Verdana" w:hAnsi="Verdana"/>
        </w:rPr>
        <w:t xml:space="preserve"> o dichos aspectos deben </w:t>
      </w:r>
      <w:r w:rsidRPr="00B511C1">
        <w:rPr>
          <w:rFonts w:ascii="Verdana" w:hAnsi="Verdana"/>
        </w:rPr>
        <w:lastRenderedPageBreak/>
        <w:t>limitarse exclusivamente a la información correspondiente a la sucursal establecida en Colombia?</w:t>
      </w:r>
    </w:p>
    <w:p w14:paraId="60575579" w14:textId="77777777" w:rsidR="009B74FA" w:rsidRPr="00B511C1" w:rsidRDefault="009B74FA" w:rsidP="009B74FA">
      <w:pPr>
        <w:spacing w:after="0" w:line="276" w:lineRule="auto"/>
        <w:jc w:val="both"/>
        <w:rPr>
          <w:rFonts w:ascii="Verdana" w:eastAsia="Century Gothic" w:hAnsi="Verdana" w:cs="Century Gothic"/>
          <w:color w:val="000000" w:themeColor="text1"/>
        </w:rPr>
      </w:pPr>
    </w:p>
    <w:p w14:paraId="274C07AF" w14:textId="77777777" w:rsidR="009B74FA" w:rsidRPr="00115E3D" w:rsidRDefault="009B74FA" w:rsidP="009B74F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2ACF9E6A" w14:textId="77777777" w:rsidR="009B74FA" w:rsidRPr="00115E3D" w:rsidRDefault="009B74FA" w:rsidP="009B74F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B74FA" w:rsidRPr="00115E3D" w14:paraId="1D8A9F99" w14:textId="77777777" w:rsidTr="00E83E74">
        <w:trPr>
          <w:trHeight w:val="774"/>
        </w:trPr>
        <w:tc>
          <w:tcPr>
            <w:tcW w:w="8828" w:type="dxa"/>
          </w:tcPr>
          <w:p w14:paraId="79FD1A2D" w14:textId="77777777" w:rsidR="009B74FA" w:rsidRPr="005E0DA4" w:rsidRDefault="009B74FA" w:rsidP="00E83E74">
            <w:pPr>
              <w:spacing w:after="120" w:line="276" w:lineRule="auto"/>
              <w:jc w:val="both"/>
              <w:rPr>
                <w:rFonts w:ascii="Verdana" w:eastAsia="Arial" w:hAnsi="Verdana" w:cs="Arial"/>
              </w:rPr>
            </w:pPr>
            <w:r>
              <w:rPr>
                <w:rFonts w:ascii="Verdana" w:eastAsia="Arial" w:hAnsi="Verdana" w:cs="Arial"/>
              </w:rPr>
              <w:t xml:space="preserve">          </w:t>
            </w:r>
            <w:r w:rsidRPr="005E0DA4">
              <w:rPr>
                <w:rFonts w:ascii="Verdana" w:eastAsia="Arial" w:hAnsi="Verdana" w:cs="Arial"/>
              </w:rPr>
              <w:t>El artículo 5 de la Ley 1150 de 2007 establece que corresponde a las entidades estatales definir en los pliegos de condiciones los factores de escogencia y calificación relacionados con la capacidad jurídica, financiera, organizacional y la experiencia de los proponentes. De igual manera, dispone que la verificación documental de tales condiciones será efectuada a través del Registro Único de Proponentes (RUP), el cual constituye plena prueba de las circunstancias allí certificadas, salvo en aquellos procesos exceptuados de su utilización.</w:t>
            </w:r>
          </w:p>
          <w:p w14:paraId="7DE23019" w14:textId="77777777" w:rsidR="009B74FA" w:rsidRPr="005E0DA4" w:rsidRDefault="009B74FA" w:rsidP="00E83E74">
            <w:pPr>
              <w:spacing w:after="120" w:line="276" w:lineRule="auto"/>
              <w:jc w:val="both"/>
              <w:rPr>
                <w:rFonts w:ascii="Verdana" w:eastAsia="Arial" w:hAnsi="Verdana" w:cs="Arial"/>
              </w:rPr>
            </w:pPr>
            <w:r>
              <w:rPr>
                <w:rFonts w:ascii="Verdana" w:eastAsia="Arial" w:hAnsi="Verdana" w:cs="Arial"/>
              </w:rPr>
              <w:t xml:space="preserve">          </w:t>
            </w:r>
            <w:r w:rsidRPr="005E0DA4">
              <w:rPr>
                <w:rFonts w:ascii="Verdana" w:eastAsia="Arial" w:hAnsi="Verdana" w:cs="Arial"/>
              </w:rPr>
              <w:t>En ese sentido, la acreditación de la capacidad técnica y financiera de los oferentes extranjeros, incluidos aquellos que actúan mediante sucursal en Colombia, dependerá de manera estricta de las condiciones y reglas previstas en el respectivo pliego de condiciones, toda vez que corresponde a cada entidad estatal definir la forma en que deben acreditarse los requisitos habilitantes y los documentos idóneos para soportarlos.</w:t>
            </w:r>
          </w:p>
          <w:p w14:paraId="695C23BE" w14:textId="77777777" w:rsidR="009B74FA" w:rsidRPr="005E0DA4" w:rsidRDefault="009B74FA" w:rsidP="00E83E74">
            <w:pPr>
              <w:spacing w:after="120" w:line="276" w:lineRule="auto"/>
              <w:jc w:val="both"/>
              <w:rPr>
                <w:rFonts w:ascii="Verdana" w:eastAsia="Arial" w:hAnsi="Verdana" w:cs="Arial"/>
              </w:rPr>
            </w:pPr>
            <w:r>
              <w:rPr>
                <w:rFonts w:ascii="Verdana" w:eastAsia="Arial" w:hAnsi="Verdana" w:cs="Arial"/>
              </w:rPr>
              <w:t xml:space="preserve">        </w:t>
            </w:r>
            <w:r w:rsidRPr="005E0DA4">
              <w:rPr>
                <w:rFonts w:ascii="Verdana" w:eastAsia="Arial" w:hAnsi="Verdana" w:cs="Arial"/>
              </w:rPr>
              <w:t>Sobre el particular, Colombia Compra Eficiente, en el Concepto C-206 de 2005 y en el “Manual para determinar y verificar requisitos habilitantes en los procesos de contratación”</w:t>
            </w:r>
            <w:r>
              <w:rPr>
                <w:rStyle w:val="Refdenotaalpie"/>
                <w:rFonts w:ascii="Verdana" w:eastAsia="Arial" w:hAnsi="Verdana" w:cs="Arial"/>
              </w:rPr>
              <w:footnoteReference w:id="2"/>
            </w:r>
            <w:r w:rsidRPr="005E0DA4">
              <w:rPr>
                <w:rFonts w:ascii="Verdana" w:eastAsia="Arial" w:hAnsi="Verdana" w:cs="Arial"/>
              </w:rPr>
              <w:t>, precisó que las entidades estatales cuentan con la facultad de establecer los mecanismos y modelos documentales mediante los cuales los oferentes extranjeros acreditarán su experiencia y demás requisitos habilitantes. Asimismo, indicó que la experiencia es de carácter personal y que su acreditación dependerá de las condiciones definidas en el pliego de condiciones.</w:t>
            </w:r>
          </w:p>
          <w:p w14:paraId="0ED42930" w14:textId="77777777" w:rsidR="009B74FA" w:rsidRPr="005E0DA4" w:rsidRDefault="009B74FA" w:rsidP="00E83E74">
            <w:pPr>
              <w:spacing w:after="120" w:line="276" w:lineRule="auto"/>
              <w:jc w:val="both"/>
              <w:rPr>
                <w:rFonts w:ascii="Verdana" w:eastAsia="Arial" w:hAnsi="Verdana" w:cs="Arial"/>
              </w:rPr>
            </w:pPr>
            <w:r>
              <w:rPr>
                <w:rFonts w:ascii="Verdana" w:eastAsia="Arial" w:hAnsi="Verdana" w:cs="Arial"/>
              </w:rPr>
              <w:t xml:space="preserve">         </w:t>
            </w:r>
            <w:r w:rsidRPr="005E0DA4">
              <w:rPr>
                <w:rFonts w:ascii="Verdana" w:eastAsia="Arial" w:hAnsi="Verdana" w:cs="Arial"/>
              </w:rPr>
              <w:t>En igual sentido, la “Guía para la participación de Proveedores Extranjeros en Procesos de Contratación”</w:t>
            </w:r>
            <w:r>
              <w:rPr>
                <w:rStyle w:val="Refdenotaalpie"/>
                <w:rFonts w:ascii="Verdana" w:eastAsia="Arial" w:hAnsi="Verdana" w:cs="Arial"/>
              </w:rPr>
              <w:footnoteReference w:id="3"/>
            </w:r>
            <w:r w:rsidRPr="005E0DA4">
              <w:rPr>
                <w:rFonts w:ascii="Verdana" w:eastAsia="Arial" w:hAnsi="Verdana" w:cs="Arial"/>
              </w:rPr>
              <w:t xml:space="preserve"> señala que los proveedores extranjeros pueden acreditar experiencia mediante certificados expedidos por terceros o copia de contratos, en las condiciones establecidas por la entidad contratante. De igual forma, los documentos expedidos en el exterior deberán </w:t>
            </w:r>
            <w:r w:rsidRPr="005E0DA4">
              <w:rPr>
                <w:rFonts w:ascii="Verdana" w:eastAsia="Arial" w:hAnsi="Verdana" w:cs="Arial"/>
              </w:rPr>
              <w:lastRenderedPageBreak/>
              <w:t>cumplir las reglas de traducción oficial, apostilla o legalización que exija el pliego y la normativa aplicable.</w:t>
            </w:r>
          </w:p>
          <w:p w14:paraId="7C3CBEE5" w14:textId="77777777" w:rsidR="009B74FA" w:rsidRPr="005E0DA4" w:rsidRDefault="009B74FA" w:rsidP="00E83E74">
            <w:pPr>
              <w:spacing w:after="120" w:line="276" w:lineRule="auto"/>
              <w:jc w:val="both"/>
              <w:rPr>
                <w:rFonts w:ascii="Verdana" w:eastAsia="Arial" w:hAnsi="Verdana" w:cs="Arial"/>
              </w:rPr>
            </w:pPr>
            <w:r>
              <w:rPr>
                <w:rFonts w:ascii="Verdana" w:eastAsia="Arial" w:hAnsi="Verdana" w:cs="Arial"/>
              </w:rPr>
              <w:t xml:space="preserve">         </w:t>
            </w:r>
            <w:r w:rsidRPr="005E0DA4">
              <w:rPr>
                <w:rFonts w:ascii="Verdana" w:eastAsia="Arial" w:hAnsi="Verdana" w:cs="Arial"/>
              </w:rPr>
              <w:t>Por tanto, será el pliego de condiciones el que determine aspectos tales como la forma de acreditar la disponibilidad del personal profesional, los documentos válidos para demostrar capacidad técnica y organizacional, las condiciones para acreditar contratos en ejecución, la necesidad de convalidación de títulos académicos obtenidos en el exterior y, en general, las reglas específicas de validación documental aplicables a los oferentes extranjeros.</w:t>
            </w:r>
          </w:p>
          <w:p w14:paraId="41745AB1" w14:textId="77777777" w:rsidR="009B74FA" w:rsidRPr="005E0DA4" w:rsidRDefault="009B74FA" w:rsidP="00E83E74">
            <w:pPr>
              <w:spacing w:after="120" w:line="276" w:lineRule="auto"/>
              <w:jc w:val="both"/>
              <w:rPr>
                <w:rFonts w:ascii="Verdana" w:eastAsia="Arial" w:hAnsi="Verdana" w:cs="Arial"/>
              </w:rPr>
            </w:pPr>
            <w:r>
              <w:rPr>
                <w:rFonts w:ascii="Verdana" w:eastAsia="Arial" w:hAnsi="Verdana" w:cs="Arial"/>
              </w:rPr>
              <w:t xml:space="preserve">          </w:t>
            </w:r>
            <w:r w:rsidRPr="005E0DA4">
              <w:rPr>
                <w:rFonts w:ascii="Verdana" w:eastAsia="Arial" w:hAnsi="Verdana" w:cs="Arial"/>
              </w:rPr>
              <w:t>Ahora bien, sin perjuicio de lo anterior, debe tenerse en cuenta que las sucursales de sociedades extranjeras no constituyen personas jurídicas independientes de su casa matriz, sino una extensión de esta, conforme a los artículos 469 y siguientes del Código de Comercio. En virtud de dicho principio de unicidad jurídica, resulta jurídicamente viable que una sucursal en Colombia pueda apoyarse en los recursos técnicos, financieros, organizacionales y operativos de su casa matriz y de otras sucursales, siempre que ello se encuentre permitido por el pliego de condiciones y que se acredite adecuadamente la disponibilidad efectiva de tales recursos para la ejecución del contrato.</w:t>
            </w:r>
          </w:p>
          <w:p w14:paraId="27C809C0" w14:textId="77777777" w:rsidR="009B74FA" w:rsidRPr="005E0DA4" w:rsidRDefault="009B74FA" w:rsidP="00E83E74">
            <w:pPr>
              <w:spacing w:after="120" w:line="276" w:lineRule="auto"/>
              <w:jc w:val="both"/>
              <w:rPr>
                <w:rFonts w:ascii="Verdana" w:eastAsia="Arial" w:hAnsi="Verdana" w:cs="Arial"/>
              </w:rPr>
            </w:pPr>
            <w:r>
              <w:rPr>
                <w:rFonts w:ascii="Verdana" w:eastAsia="Arial" w:hAnsi="Verdana" w:cs="Arial"/>
              </w:rPr>
              <w:t xml:space="preserve">          </w:t>
            </w:r>
            <w:r w:rsidRPr="005E0DA4">
              <w:rPr>
                <w:rFonts w:ascii="Verdana" w:eastAsia="Arial" w:hAnsi="Verdana" w:cs="Arial"/>
              </w:rPr>
              <w:t>En consecuencia, si el pliego de condiciones no establece limitaciones expresas respecto del origen del personal técnico o de los contratos que pueden acreditarse, jurídicamente es procedente que la sucursal soporte su capacidad técnica y financiera con recursos y documentación provenientes de la casa matriz y de otras sucursales, incluyendo personal profesional y contratos en ejecución, siempre que se cumplan integralmente las condiciones de acreditación definidas por la entidad estatal.</w:t>
            </w:r>
          </w:p>
          <w:p w14:paraId="402ACF3C" w14:textId="77777777" w:rsidR="009B74FA" w:rsidRPr="00B643B2" w:rsidRDefault="009B74FA" w:rsidP="00E83E74">
            <w:pPr>
              <w:spacing w:after="120" w:line="276" w:lineRule="auto"/>
              <w:jc w:val="both"/>
              <w:rPr>
                <w:rFonts w:ascii="Verdana" w:eastAsia="Calibri" w:hAnsi="Verdana"/>
              </w:rPr>
            </w:pPr>
            <w:r w:rsidRPr="009924B0">
              <w:rPr>
                <w:rFonts w:ascii="Verdana" w:eastAsia="Arial" w:hAnsi="Verdana" w:cs="Arial"/>
              </w:rPr>
              <w:t xml:space="preserve"> </w:t>
            </w: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455D0B63" w14:textId="77777777" w:rsidR="009B74FA" w:rsidRPr="0029110A" w:rsidRDefault="009B74FA" w:rsidP="00E83E74">
            <w:pPr>
              <w:spacing w:before="120" w:after="120" w:line="276" w:lineRule="auto"/>
              <w:jc w:val="both"/>
              <w:rPr>
                <w:rFonts w:ascii="Verdana" w:eastAsia="Calibri" w:hAnsi="Verdana" w:cs="Times New Roman"/>
                <w:lang w:val="es-ES"/>
              </w:rPr>
            </w:pPr>
            <w:r>
              <w:rPr>
                <w:rFonts w:ascii="Verdana" w:eastAsia="Calibri" w:hAnsi="Verdana"/>
              </w:rPr>
              <w:lastRenderedPageBreak/>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9B74FA" w:rsidRPr="00115E3D" w14:paraId="6AA1EACF" w14:textId="77777777" w:rsidTr="00E83E74">
        <w:trPr>
          <w:trHeight w:val="162"/>
        </w:trPr>
        <w:tc>
          <w:tcPr>
            <w:tcW w:w="8828" w:type="dxa"/>
          </w:tcPr>
          <w:p w14:paraId="6A1960C2" w14:textId="77777777" w:rsidR="009B74FA" w:rsidRDefault="009B74FA" w:rsidP="00E83E74">
            <w:pPr>
              <w:spacing w:line="276" w:lineRule="auto"/>
              <w:jc w:val="both"/>
              <w:rPr>
                <w:rFonts w:ascii="Verdana" w:eastAsia="Calibri" w:hAnsi="Verdana" w:cs="Arial"/>
              </w:rPr>
            </w:pPr>
          </w:p>
        </w:tc>
      </w:tr>
    </w:tbl>
    <w:p w14:paraId="60B9FC76" w14:textId="77777777" w:rsidR="009B74FA" w:rsidRDefault="009B74FA" w:rsidP="009B74FA">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5A171EF8" w14:textId="77777777" w:rsidR="009B74FA" w:rsidRDefault="009B74FA" w:rsidP="009B74F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40C03B5" w14:textId="77777777" w:rsidR="009B74FA" w:rsidRDefault="009B74FA" w:rsidP="009B74FA">
      <w:pPr>
        <w:spacing w:after="120" w:line="276" w:lineRule="auto"/>
        <w:jc w:val="both"/>
        <w:rPr>
          <w:rFonts w:ascii="Verdana" w:hAnsi="Verdana"/>
        </w:rPr>
      </w:pPr>
    </w:p>
    <w:p w14:paraId="1BF71B03" w14:textId="77777777" w:rsidR="009B74FA" w:rsidRPr="003B7A7F" w:rsidRDefault="009B74FA" w:rsidP="009B74FA">
      <w:pPr>
        <w:spacing w:after="120" w:line="276" w:lineRule="auto"/>
        <w:jc w:val="both"/>
        <w:rPr>
          <w:rFonts w:ascii="Verdana" w:eastAsia="Calibri" w:hAnsi="Verdana" w:cs="Arial"/>
          <w:b/>
          <w:bCs/>
          <w:lang w:eastAsia="es-MX"/>
        </w:rPr>
      </w:pPr>
      <w:r>
        <w:rPr>
          <w:rFonts w:ascii="Verdana" w:hAnsi="Verdana"/>
        </w:rPr>
        <w:t>Lo anterior se sustenta en las siguientes consideraciones:</w:t>
      </w:r>
    </w:p>
    <w:p w14:paraId="71D3F6E9" w14:textId="77777777" w:rsidR="009B74FA" w:rsidRPr="002F50D4" w:rsidRDefault="009B74FA" w:rsidP="009B74FA">
      <w:pPr>
        <w:spacing w:after="120" w:line="276" w:lineRule="auto"/>
        <w:ind w:firstLine="360"/>
        <w:jc w:val="both"/>
        <w:rPr>
          <w:rFonts w:ascii="Verdana" w:eastAsia="Calibri" w:hAnsi="Verdana" w:cs="Arial"/>
          <w:lang w:eastAsia="es-MX"/>
        </w:rPr>
      </w:pPr>
      <w:r>
        <w:rPr>
          <w:rFonts w:ascii="Verdana" w:eastAsia="Calibri" w:hAnsi="Verdana" w:cs="Arial"/>
          <w:lang w:eastAsia="es-MX"/>
        </w:rPr>
        <w:t xml:space="preserve">  </w:t>
      </w:r>
      <w:bookmarkStart w:id="3" w:name="_Hlk99546562"/>
      <w:r w:rsidRPr="002F50D4">
        <w:rPr>
          <w:rFonts w:ascii="Verdana" w:eastAsia="Calibri" w:hAnsi="Verdana" w:cs="Arial"/>
          <w:lang w:eastAsia="es-MX"/>
        </w:rPr>
        <w:t xml:space="preserve">Los </w:t>
      </w:r>
      <w:r w:rsidRPr="00ED6E39">
        <w:rPr>
          <w:rFonts w:ascii="Verdana" w:eastAsia="Calibri" w:hAnsi="Verdana" w:cs="Arial"/>
          <w:iCs/>
          <w:lang w:eastAsia="es-MX"/>
        </w:rPr>
        <w:t>requisitos habilitantes</w:t>
      </w:r>
      <w:r w:rsidRPr="002F50D4">
        <w:rPr>
          <w:rFonts w:ascii="Verdana" w:eastAsia="Calibri" w:hAnsi="Verdana" w:cs="Arial"/>
          <w:lang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w:t>
      </w:r>
      <w:r w:rsidRPr="002F50D4">
        <w:rPr>
          <w:rFonts w:ascii="Verdana" w:eastAsia="Calibri" w:hAnsi="Verdana" w:cs="Arial"/>
          <w:i/>
          <w:lang w:eastAsia="es-MX"/>
        </w:rPr>
        <w:t>criterios de evaluación</w:t>
      </w:r>
      <w:r w:rsidRPr="002F50D4">
        <w:rPr>
          <w:rFonts w:ascii="Verdana" w:eastAsia="Calibri" w:hAnsi="Verdana" w:cs="Arial"/>
          <w:lang w:eastAsia="es-MX"/>
        </w:rPr>
        <w:t xml:space="preserve">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bookmarkEnd w:id="3"/>
    <w:p w14:paraId="6BB44B04" w14:textId="77777777" w:rsidR="009B74FA" w:rsidRPr="002F50D4" w:rsidRDefault="009B74FA" w:rsidP="009B74FA">
      <w:pPr>
        <w:spacing w:after="120" w:line="276" w:lineRule="auto"/>
        <w:ind w:firstLine="360"/>
        <w:jc w:val="both"/>
        <w:rPr>
          <w:rFonts w:ascii="Verdana" w:eastAsia="Calibri" w:hAnsi="Verdana" w:cs="Arial"/>
          <w:lang w:eastAsia="es-MX"/>
        </w:rPr>
      </w:pPr>
      <w:r>
        <w:rPr>
          <w:rFonts w:ascii="Verdana" w:eastAsia="Calibri" w:hAnsi="Verdana" w:cs="Arial"/>
          <w:lang w:eastAsia="es-MX"/>
        </w:rPr>
        <w:t xml:space="preserve">    De esta manera l</w:t>
      </w:r>
      <w:r w:rsidRPr="002F50D4">
        <w:rPr>
          <w:rFonts w:ascii="Verdana" w:eastAsia="Calibri" w:hAnsi="Verdana" w:cs="Arial"/>
          <w:lang w:eastAsia="es-MX"/>
        </w:rPr>
        <w:t>os requisitos habilitantes constituyen los requerimientos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7EAEDAC0" w14:textId="77777777" w:rsidR="009B74FA" w:rsidRPr="002F50D4" w:rsidRDefault="009B74FA" w:rsidP="009B74FA">
      <w:pPr>
        <w:spacing w:after="120" w:line="276" w:lineRule="auto"/>
        <w:ind w:firstLine="360"/>
        <w:jc w:val="both"/>
        <w:rPr>
          <w:rFonts w:ascii="Verdana" w:eastAsia="Calibri" w:hAnsi="Verdana" w:cs="Arial"/>
          <w:lang w:val="es-ES_tradnl" w:eastAsia="es-MX"/>
        </w:rPr>
      </w:pPr>
      <w:r>
        <w:rPr>
          <w:rFonts w:ascii="Verdana" w:eastAsia="Calibri" w:hAnsi="Verdana" w:cs="Arial"/>
          <w:lang w:val="es-ES_tradnl" w:eastAsia="es-MX"/>
        </w:rPr>
        <w:t xml:space="preserve">   </w:t>
      </w:r>
      <w:r w:rsidRPr="002F50D4">
        <w:rPr>
          <w:rFonts w:ascii="Verdana" w:eastAsia="Calibri" w:hAnsi="Verdana" w:cs="Arial"/>
          <w:lang w:val="es-ES_tradnl" w:eastAsia="es-MX"/>
        </w:rPr>
        <w:t xml:space="preserve">El mencionado artículo dispone que se considera “[…] objetiva la selección en la cual la escogencia se haga al ofrecimiento más favorable a la entidad y a </w:t>
      </w:r>
      <w:r w:rsidRPr="002F50D4">
        <w:rPr>
          <w:rFonts w:ascii="Verdana" w:eastAsia="Calibri" w:hAnsi="Verdana" w:cs="Arial"/>
          <w:lang w:val="es-ES_tradnl" w:eastAsia="es-MX"/>
        </w:rPr>
        <w:lastRenderedPageBreak/>
        <w:t xml:space="preserve">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150AF329" w14:textId="77777777" w:rsidR="009B74FA" w:rsidRPr="002F50D4" w:rsidRDefault="009B74FA" w:rsidP="009B74FA">
      <w:pPr>
        <w:spacing w:after="0" w:line="276" w:lineRule="auto"/>
        <w:ind w:firstLine="360"/>
        <w:jc w:val="both"/>
        <w:rPr>
          <w:rFonts w:ascii="Verdana" w:eastAsia="Calibri" w:hAnsi="Verdana" w:cs="Arial"/>
          <w:lang w:eastAsia="es-MX"/>
        </w:rPr>
      </w:pPr>
      <w:r>
        <w:rPr>
          <w:rFonts w:ascii="Verdana" w:eastAsia="Calibri" w:hAnsi="Verdana" w:cs="Arial"/>
          <w:lang w:eastAsia="es-MX"/>
        </w:rPr>
        <w:t xml:space="preserve">  </w:t>
      </w:r>
      <w:r w:rsidRPr="002F50D4">
        <w:rPr>
          <w:rFonts w:ascii="Verdana" w:eastAsia="Calibri" w:hAnsi="Verdana" w:cs="Arial"/>
          <w:lang w:eastAsia="es-MX"/>
        </w:rPr>
        <w:t xml:space="preserve">Específicamente, el numeral 1º del artículo referido establece que en los procesos de selección de contratistas serán objeto de verificación, como requisitos habilitantes, entre otros, los siguientes: i) la capacidad jurídica; ii) la experiencia; iii) la capacidad financiera y iv) la capacidad de organización. En efecto, la normativa citada dispone: </w:t>
      </w:r>
    </w:p>
    <w:p w14:paraId="601F25AA" w14:textId="77777777" w:rsidR="009B74FA" w:rsidRPr="00C861EF" w:rsidRDefault="009B74FA" w:rsidP="009B74FA">
      <w:pPr>
        <w:pStyle w:val="Prrafodelista"/>
        <w:spacing w:after="0" w:line="276" w:lineRule="auto"/>
        <w:jc w:val="both"/>
        <w:rPr>
          <w:rFonts w:ascii="Verdana" w:eastAsia="Calibri" w:hAnsi="Verdana" w:cs="Arial"/>
          <w:lang w:val="es-ES_tradnl" w:eastAsia="es-MX"/>
        </w:rPr>
      </w:pPr>
    </w:p>
    <w:p w14:paraId="25F4C652" w14:textId="77777777" w:rsidR="009B74FA" w:rsidRPr="002F50D4" w:rsidRDefault="009B74FA" w:rsidP="009B74FA">
      <w:pPr>
        <w:spacing w:after="0"/>
        <w:ind w:left="567" w:right="900"/>
        <w:jc w:val="both"/>
        <w:rPr>
          <w:rFonts w:ascii="Verdana" w:eastAsia="Calibri" w:hAnsi="Verdana" w:cs="Arial"/>
          <w:sz w:val="20"/>
          <w:szCs w:val="20"/>
          <w:lang w:val="es-ES_tradnl" w:eastAsia="es-MX"/>
        </w:rPr>
      </w:pPr>
      <w:r w:rsidRPr="002F50D4">
        <w:rPr>
          <w:rFonts w:ascii="Verdana" w:eastAsia="Calibri" w:hAnsi="Verdana" w:cs="Arial"/>
          <w:sz w:val="20"/>
          <w:szCs w:val="20"/>
          <w:lang w:val="es-ES_tradnl" w:eastAsia="es-MX"/>
        </w:rPr>
        <w:t xml:space="preserve">“Artículo 5. De la Selección Objetiva. </w:t>
      </w:r>
    </w:p>
    <w:p w14:paraId="3A691048" w14:textId="77777777" w:rsidR="009B74FA" w:rsidRPr="002F50D4" w:rsidRDefault="009B74FA" w:rsidP="009B74FA">
      <w:pPr>
        <w:spacing w:after="120"/>
        <w:ind w:left="567" w:right="900"/>
        <w:jc w:val="both"/>
        <w:rPr>
          <w:rFonts w:ascii="Verdana" w:eastAsia="Calibri" w:hAnsi="Verdana" w:cs="Arial"/>
          <w:sz w:val="20"/>
          <w:szCs w:val="20"/>
          <w:lang w:val="es-ES_tradnl" w:eastAsia="es-MX"/>
        </w:rPr>
      </w:pPr>
      <w:r w:rsidRPr="002F50D4">
        <w:rPr>
          <w:rFonts w:ascii="Verdana" w:eastAsia="Calibri" w:hAnsi="Verdana" w:cs="Arial"/>
          <w:sz w:val="20"/>
          <w:szCs w:val="20"/>
          <w:lang w:val="es-ES_tradnl" w:eastAsia="es-MX"/>
        </w:rPr>
        <w:t>[…]</w:t>
      </w:r>
    </w:p>
    <w:p w14:paraId="6BA2617C" w14:textId="77777777" w:rsidR="009B74FA" w:rsidRPr="002F50D4" w:rsidRDefault="009B74FA" w:rsidP="009B74FA">
      <w:pPr>
        <w:spacing w:after="0"/>
        <w:ind w:left="567" w:right="900"/>
        <w:jc w:val="both"/>
        <w:rPr>
          <w:rFonts w:ascii="Verdana" w:eastAsia="Calibri" w:hAnsi="Verdana" w:cs="Arial"/>
          <w:sz w:val="20"/>
          <w:szCs w:val="20"/>
        </w:rPr>
      </w:pPr>
      <w:r w:rsidRPr="002F50D4">
        <w:rPr>
          <w:rFonts w:ascii="Verdana" w:eastAsia="Calibri" w:hAnsi="Verdana" w:cs="Arial"/>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4F82CF40" w14:textId="77777777" w:rsidR="009B74FA" w:rsidRPr="00C861EF" w:rsidRDefault="009B74FA" w:rsidP="009B74FA">
      <w:pPr>
        <w:pStyle w:val="Prrafodelista"/>
        <w:spacing w:after="0"/>
        <w:ind w:right="709"/>
        <w:jc w:val="both"/>
        <w:rPr>
          <w:rFonts w:ascii="Verdana" w:eastAsia="Calibri" w:hAnsi="Verdana" w:cs="Arial"/>
          <w:sz w:val="21"/>
          <w:szCs w:val="21"/>
          <w:lang w:val="es-ES_tradnl"/>
        </w:rPr>
      </w:pPr>
    </w:p>
    <w:p w14:paraId="6855B82B" w14:textId="77777777" w:rsidR="009B74FA" w:rsidRPr="002F50D4" w:rsidRDefault="009B74FA" w:rsidP="009B74FA">
      <w:pPr>
        <w:spacing w:after="0"/>
        <w:ind w:firstLine="360"/>
        <w:jc w:val="both"/>
        <w:rPr>
          <w:rFonts w:ascii="Verdana" w:eastAsia="Calibri" w:hAnsi="Verdana" w:cs="Arial"/>
          <w:sz w:val="21"/>
          <w:szCs w:val="21"/>
          <w:lang w:val="es-ES_tradnl"/>
        </w:rPr>
      </w:pPr>
      <w:bookmarkStart w:id="4" w:name="_Hlk99547809"/>
      <w:bookmarkStart w:id="5" w:name="_Hlk99546625"/>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 xml:space="preserve">La Agencia Nacional de Contratación Pública ha defendido el carácter </w:t>
      </w:r>
      <w:bookmarkStart w:id="6" w:name="_Hlk99547799"/>
      <w:r w:rsidRPr="002F50D4">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 </w:t>
      </w:r>
      <w:bookmarkEnd w:id="4"/>
      <w:bookmarkEnd w:id="6"/>
      <w:r w:rsidRPr="002F50D4">
        <w:rPr>
          <w:rFonts w:ascii="Verdana" w:eastAsia="Times New Roman" w:hAnsi="Verdana" w:cs="Arial"/>
          <w:lang w:val="es-ES_tradnl" w:eastAsia="es-MX"/>
        </w:rPr>
        <w:t xml:space="preserve">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w:t>
      </w:r>
      <w:r w:rsidRPr="002F50D4">
        <w:rPr>
          <w:rFonts w:ascii="Verdana" w:eastAsia="Times New Roman" w:hAnsi="Verdana" w:cs="Arial"/>
          <w:lang w:val="es-ES_tradnl" w:eastAsia="es-MX"/>
        </w:rPr>
        <w:lastRenderedPageBreak/>
        <w:t>como sucede, por ejemplo, con la capacidad residual a la que se refiere el artículo 6º, parágrafo 1, de la Ley 1150 de 2007</w:t>
      </w:r>
      <w:bookmarkEnd w:id="5"/>
      <w:r w:rsidRPr="00C861EF">
        <w:rPr>
          <w:vertAlign w:val="superscript"/>
          <w:lang w:val="es-ES_tradnl" w:eastAsia="es-MX"/>
        </w:rPr>
        <w:footnoteReference w:id="4"/>
      </w:r>
      <w:r w:rsidRPr="002F50D4">
        <w:rPr>
          <w:rFonts w:ascii="Verdana" w:eastAsia="Times New Roman" w:hAnsi="Verdana" w:cs="Arial"/>
          <w:lang w:val="es-ES_tradnl" w:eastAsia="es-MX"/>
        </w:rPr>
        <w:t xml:space="preserve">. </w:t>
      </w:r>
    </w:p>
    <w:p w14:paraId="3B87355E" w14:textId="77777777" w:rsidR="009B74FA" w:rsidRPr="002F50D4" w:rsidRDefault="009B74FA" w:rsidP="009B74FA">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Por otro lado, en el “Manual para determinar y verificar los requisitos habilitantes en los Procesos de Contratación”</w:t>
      </w:r>
      <w:r>
        <w:rPr>
          <w:rStyle w:val="Refdenotaalpie"/>
          <w:rFonts w:ascii="Verdana" w:eastAsia="Times New Roman" w:hAnsi="Verdana" w:cs="Arial"/>
          <w:lang w:val="es-ES_tradnl" w:eastAsia="es-MX"/>
        </w:rPr>
        <w:footnoteReference w:id="5"/>
      </w:r>
      <w:r w:rsidRPr="002F50D4">
        <w:rPr>
          <w:rFonts w:ascii="Verdana" w:eastAsia="Calibri" w:hAnsi="Verdana" w:cs="Arial"/>
          <w:lang w:val="es-ES_tradnl" w:eastAsia="es-MX"/>
        </w:rPr>
        <w:t>,</w:t>
      </w:r>
      <w:r w:rsidRPr="002F50D4">
        <w:rPr>
          <w:rFonts w:ascii="Verdana" w:eastAsia="Times New Roman" w:hAnsi="Verdana" w:cs="Arial"/>
          <w:lang w:val="es-ES_tradnl" w:eastAsia="es-MX"/>
        </w:rPr>
        <w:t xml:space="preserve"> expedido por la </w:t>
      </w:r>
      <w:r w:rsidRPr="002F50D4">
        <w:rPr>
          <w:rFonts w:ascii="Verdana" w:eastAsia="Calibri" w:hAnsi="Verdana" w:cs="Arial"/>
          <w:lang w:val="es-ES_tradnl" w:eastAsia="es-MX"/>
        </w:rPr>
        <w:t>Agencia Nacional de Contratación Pública – Colombia Compra Eficiente</w:t>
      </w:r>
      <w:r w:rsidRPr="002F50D4">
        <w:rPr>
          <w:rFonts w:ascii="Verdana" w:eastAsia="Times New Roman" w:hAnsi="Verdana" w:cs="Arial"/>
          <w:lang w:val="es-ES_tradnl" w:eastAsia="es-MX"/>
        </w:rPr>
        <w:t xml:space="preserve"> se determinaron los parámetros para establecer, acreditar y subsanar los requisitos habilitantes. Allí también se precisó que estos tienen como fin primordial medir “la aptitud del proponente para participar en un Proceso de Contratación como oferente y están referidos a su capacidad jurídica, financiera, organizacional y su experiencia”. De acuerdo con el Manual, su propósito consiste en “establecer unas condiciones mínimas para los proponentes de tal manera que la Entidad Estatal sólo evalúe las ofertas de aquellos que están en condiciones de cumplir con el objeto del Proceso de Contratación”. </w:t>
      </w:r>
    </w:p>
    <w:p w14:paraId="4D1738A1" w14:textId="77777777" w:rsidR="009B74FA" w:rsidRPr="002F50D4" w:rsidRDefault="009B74FA" w:rsidP="009B74FA">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0EE45E65" w14:textId="77777777" w:rsidR="009B74FA" w:rsidRPr="002F50D4" w:rsidRDefault="009B74FA" w:rsidP="009B74FA">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6A05FD5D" w14:textId="77777777" w:rsidR="009B74FA" w:rsidRPr="002F50D4" w:rsidRDefault="009B74FA" w:rsidP="009B74FA">
      <w:pPr>
        <w:tabs>
          <w:tab w:val="left" w:pos="426"/>
        </w:tabs>
        <w:spacing w:before="120" w:after="120" w:line="276" w:lineRule="auto"/>
        <w:jc w:val="both"/>
        <w:rPr>
          <w:rFonts w:ascii="Verdana" w:eastAsia="Times New Roman" w:hAnsi="Verdana" w:cs="Arial"/>
          <w:lang w:val="es-ES_tradnl" w:eastAsia="es-MX"/>
        </w:rPr>
      </w:pPr>
      <w:bookmarkStart w:id="7" w:name="_Hlk99548027"/>
      <w:r>
        <w:rPr>
          <w:rFonts w:ascii="Verdana" w:eastAsia="Times New Roman" w:hAnsi="Verdana" w:cs="Arial"/>
          <w:lang w:val="es-ES_tradnl" w:eastAsia="es-MX"/>
        </w:rPr>
        <w:tab/>
        <w:t xml:space="preserve"> </w:t>
      </w:r>
      <w:r w:rsidRPr="002F50D4">
        <w:rPr>
          <w:rFonts w:ascii="Verdana" w:eastAsia="Times New Roman" w:hAnsi="Verdana" w:cs="Arial"/>
          <w:lang w:val="es-ES_tradnl" w:eastAsia="es-MX"/>
        </w:rPr>
        <w:t xml:space="preserve">En ese sentido, si bien </w:t>
      </w:r>
      <w:r w:rsidRPr="002F50D4">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bookmarkStart w:id="8" w:name="_Hlk34917473"/>
      <w:r w:rsidRPr="002F50D4">
        <w:rPr>
          <w:rFonts w:ascii="Verdana" w:eastAsia="Times New Roman" w:hAnsi="Verdana" w:cs="Arial"/>
          <w:lang w:val="es-ES_tradnl" w:eastAsia="es-MX"/>
        </w:rPr>
        <w:t xml:space="preserve">En consecuencia, corresponde a las entidades estatales, durante la etapa de planeación del contrato estatal, estudiar y </w:t>
      </w:r>
      <w:r w:rsidRPr="002F50D4">
        <w:rPr>
          <w:rFonts w:ascii="Verdana" w:eastAsia="Times New Roman" w:hAnsi="Verdana" w:cs="Arial"/>
          <w:bCs/>
          <w:iCs/>
          <w:lang w:val="es-ES_tradnl" w:eastAsia="es-MX"/>
        </w:rPr>
        <w:t>determinar</w:t>
      </w:r>
      <w:r w:rsidRPr="002F50D4">
        <w:rPr>
          <w:rFonts w:ascii="Verdana" w:eastAsia="Times New Roman" w:hAnsi="Verdana" w:cs="Arial"/>
          <w:lang w:val="es-ES_tradnl" w:eastAsia="es-MX"/>
        </w:rPr>
        <w:t xml:space="preserve"> los requisitos </w:t>
      </w:r>
      <w:r w:rsidRPr="002F50D4">
        <w:rPr>
          <w:rFonts w:ascii="Verdana" w:eastAsia="Times New Roman" w:hAnsi="Verdana" w:cs="Arial"/>
          <w:lang w:val="es-ES_tradnl" w:eastAsia="es-MX"/>
        </w:rPr>
        <w:lastRenderedPageBreak/>
        <w:t xml:space="preserve">habilitantes que establecerán en los pliegos de condiciones, los cuales deben fijarse de forma adecuada y proporcional. </w:t>
      </w:r>
      <w:bookmarkEnd w:id="7"/>
    </w:p>
    <w:p w14:paraId="02D5CD3A" w14:textId="77777777" w:rsidR="009B74FA" w:rsidRPr="002F50D4" w:rsidRDefault="009B74FA" w:rsidP="009B74FA">
      <w:pPr>
        <w:tabs>
          <w:tab w:val="left" w:pos="426"/>
        </w:tabs>
        <w:spacing w:before="120" w:after="120" w:line="276" w:lineRule="auto"/>
        <w:jc w:val="both"/>
        <w:rPr>
          <w:rFonts w:ascii="Verdana" w:eastAsia="Times New Roman" w:hAnsi="Verdana" w:cs="Arial"/>
          <w:lang w:val="es-ES_tradnl" w:eastAsia="es-MX"/>
        </w:rPr>
      </w:pPr>
      <w:r>
        <w:rPr>
          <w:rFonts w:ascii="Verdana" w:eastAsia="Times New Roman" w:hAnsi="Verdana" w:cs="Arial"/>
          <w:lang w:val="es-ES_tradnl" w:eastAsia="es-MX"/>
        </w:rPr>
        <w:tab/>
        <w:t xml:space="preserve">  </w:t>
      </w:r>
      <w:r w:rsidRPr="002F50D4">
        <w:rPr>
          <w:rFonts w:ascii="Verdana" w:eastAsia="Times New Roman" w:hAnsi="Verdana" w:cs="Arial"/>
          <w:lang w:val="es-ES_tradnl" w:eastAsia="es-MX"/>
        </w:rPr>
        <w:t>El Decreto 1082 de 2015 en su artículo 2.2.1.1.1.6.2 reglamenta los requisitos habilitantes, estableciendo que estos deben ser señalados en los pliegos de condiciones o en la invitación</w:t>
      </w:r>
      <w:r w:rsidRPr="00C861EF">
        <w:rPr>
          <w:rStyle w:val="Refdenotaalpie"/>
          <w:rFonts w:ascii="Verdana" w:eastAsia="Times New Roman" w:hAnsi="Verdana" w:cs="Arial"/>
          <w:lang w:val="es-ES_tradnl" w:eastAsia="es-MX"/>
        </w:rPr>
        <w:footnoteReference w:id="6"/>
      </w:r>
      <w:r w:rsidRPr="002F50D4">
        <w:rPr>
          <w:rFonts w:ascii="Verdana" w:eastAsia="Times New Roman" w:hAnsi="Verdana" w:cs="Arial"/>
          <w:lang w:val="es-ES_tradnl" w:eastAsia="es-MX"/>
        </w:rPr>
        <w:t>, lo cual es concordante con el numeral 5 del artículo 2.2.1.1.2.1.3, en el que se establece como uno de los componentes mínimos de los pliegos de condiciones</w:t>
      </w:r>
      <w:r w:rsidRPr="002F50D4">
        <w:rPr>
          <w:rFonts w:ascii="Verdana" w:hAnsi="Verdana" w:cs="Arial"/>
          <w:color w:val="000000"/>
        </w:rPr>
        <w:t xml:space="preserve"> a las reglas aplicables a la presentación y evaluación de las ofertas, entre las que se inscriben las relativas a la acreditación de las condiciones habilitantes. </w:t>
      </w:r>
      <w:r w:rsidRPr="002F50D4">
        <w:rPr>
          <w:rFonts w:ascii="Verdana" w:eastAsia="Times New Roman" w:hAnsi="Verdana" w:cs="Arial"/>
          <w:lang w:val="es-ES_tradnl" w:eastAsia="es-MX"/>
        </w:rPr>
        <w:t xml:space="preserve"> 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5F2EE7E2" w14:textId="77777777" w:rsidR="009B74FA" w:rsidRDefault="009B74FA" w:rsidP="009B74FA">
      <w:pPr>
        <w:tabs>
          <w:tab w:val="left" w:pos="426"/>
        </w:tabs>
        <w:spacing w:before="120" w:after="0" w:line="276" w:lineRule="auto"/>
        <w:jc w:val="both"/>
        <w:rPr>
          <w:rFonts w:ascii="Verdana" w:eastAsia="Times New Roman" w:hAnsi="Verdana" w:cs="Arial"/>
          <w:lang w:eastAsia="es-MX"/>
        </w:rPr>
      </w:pPr>
      <w:r>
        <w:rPr>
          <w:rFonts w:ascii="Verdana" w:eastAsia="Times New Roman" w:hAnsi="Verdana" w:cs="Arial"/>
          <w:lang w:eastAsia="es-MX"/>
        </w:rPr>
        <w:tab/>
        <w:t xml:space="preserve"> </w:t>
      </w:r>
      <w:r w:rsidRPr="002F50D4">
        <w:rPr>
          <w:rFonts w:ascii="Verdana" w:eastAsia="Times New Roman" w:hAnsi="Verdana" w:cs="Arial"/>
          <w:lang w:eastAsia="es-MX"/>
        </w:rPr>
        <w:t xml:space="preserve">Los mencionados criterios deben ser aplicados de manera tal que de la ponderación de los mismos resulten requisitos que permitan medir la aptitud de los oferentes para cumplir con el contrato, y que, además de ser proporcionales y adecuados al objeto del contrato, no limiten la participación en el proceso de selección. </w:t>
      </w:r>
      <w:bookmarkEnd w:id="8"/>
    </w:p>
    <w:p w14:paraId="2582C3B0" w14:textId="77777777" w:rsidR="009B74FA" w:rsidRDefault="009B74FA" w:rsidP="009B74FA">
      <w:pPr>
        <w:tabs>
          <w:tab w:val="left" w:pos="426"/>
        </w:tabs>
        <w:spacing w:before="120" w:after="0" w:line="276" w:lineRule="auto"/>
        <w:jc w:val="both"/>
        <w:rPr>
          <w:rFonts w:ascii="Verdana" w:eastAsia="Calibri" w:hAnsi="Verdana" w:cs="Arial"/>
        </w:rPr>
      </w:pPr>
      <w:r>
        <w:rPr>
          <w:rFonts w:ascii="Verdana" w:eastAsia="Times New Roman" w:hAnsi="Verdana" w:cs="Arial"/>
          <w:lang w:eastAsia="es-MX"/>
        </w:rPr>
        <w:tab/>
      </w:r>
      <w:r w:rsidRPr="005018F0">
        <w:rPr>
          <w:rFonts w:ascii="Verdana" w:eastAsia="Calibri" w:hAnsi="Verdana" w:cs="Arial"/>
        </w:rPr>
        <w:t>Ahora bien, tratándose de sociedades extranjeras con sucursal en Colombia, debe tenerse en cuenta que estas sí se encuentran obligadas a inscribirse en el Registro Único de Proponentes –RUP–, de conformidad con lo previsto en el artículo 6 de la Ley 1150 de 2007 y el Decreto 1082 de 2015. En consecuencia, el RUP constituye plena prueba de la capacidad jurídica, financiera, organizacional y de experiencia allí certificada.</w:t>
      </w:r>
    </w:p>
    <w:p w14:paraId="249A07B6" w14:textId="77777777" w:rsidR="009B74FA" w:rsidRDefault="009B74FA" w:rsidP="009B74FA">
      <w:pPr>
        <w:tabs>
          <w:tab w:val="left" w:pos="426"/>
        </w:tabs>
        <w:spacing w:before="120" w:after="0" w:line="276" w:lineRule="auto"/>
        <w:jc w:val="both"/>
        <w:rPr>
          <w:rFonts w:ascii="Verdana" w:eastAsia="Calibri" w:hAnsi="Verdana" w:cs="Arial"/>
        </w:rPr>
      </w:pPr>
      <w:r>
        <w:rPr>
          <w:rFonts w:ascii="Verdana" w:eastAsia="Calibri" w:hAnsi="Verdana" w:cs="Arial"/>
        </w:rPr>
        <w:lastRenderedPageBreak/>
        <w:tab/>
      </w:r>
      <w:r w:rsidRPr="005018F0">
        <w:rPr>
          <w:rFonts w:ascii="Verdana" w:eastAsia="Calibri" w:hAnsi="Verdana" w:cs="Arial"/>
        </w:rPr>
        <w:t>No obstante, ello no impide que la entidad estatal, en ejercicio de su facultad de configuración de los requisitos habilitantes, pueda establecer en el pliego condiciones específicas relacionadas con la acreditación de capacidad técnica, disponibilidad de personal profesional, contratos en ejecución, soporte documental y demás elementos necesarios para verificar la capacidad residual de contratación.</w:t>
      </w:r>
    </w:p>
    <w:p w14:paraId="4426A39D" w14:textId="77777777" w:rsidR="009B74FA" w:rsidRPr="005018F0" w:rsidRDefault="009B74FA" w:rsidP="009B74FA">
      <w:pPr>
        <w:tabs>
          <w:tab w:val="left" w:pos="426"/>
        </w:tabs>
        <w:spacing w:before="120" w:after="0" w:line="276" w:lineRule="auto"/>
        <w:jc w:val="both"/>
        <w:rPr>
          <w:rFonts w:ascii="Verdana" w:eastAsia="Calibri" w:hAnsi="Verdana" w:cs="Arial"/>
        </w:rPr>
      </w:pPr>
    </w:p>
    <w:p w14:paraId="195F975A" w14:textId="77777777" w:rsidR="009B74FA" w:rsidRPr="005018F0" w:rsidRDefault="009B74FA" w:rsidP="009B74FA">
      <w:pPr>
        <w:spacing w:line="276" w:lineRule="auto"/>
        <w:ind w:firstLine="360"/>
        <w:jc w:val="both"/>
        <w:rPr>
          <w:rFonts w:ascii="Verdana" w:eastAsia="Calibri" w:hAnsi="Verdana" w:cs="Arial"/>
        </w:rPr>
      </w:pPr>
      <w:r>
        <w:rPr>
          <w:rFonts w:ascii="Verdana" w:eastAsia="Calibri" w:hAnsi="Verdana" w:cs="Arial"/>
        </w:rPr>
        <w:t xml:space="preserve"> </w:t>
      </w:r>
      <w:r w:rsidRPr="005018F0">
        <w:rPr>
          <w:rFonts w:ascii="Verdana" w:eastAsia="Calibri" w:hAnsi="Verdana" w:cs="Arial"/>
        </w:rPr>
        <w:t>Sobre el particular, Colombia Compra Eficiente ha señalado que corresponde a las entidades estatales definir los criterios de habilitación y calificación, así como los modelos de certificados y documentos con los cuales los oferentes extranjeros acreditarán experiencia y demás requisitos habilitantes, especialmente cuando existan componentes ejecutados en el exterior o documentación expedida fuera del país.</w:t>
      </w:r>
    </w:p>
    <w:p w14:paraId="033E1EF5" w14:textId="77777777" w:rsidR="009B74FA" w:rsidRPr="005018F0" w:rsidRDefault="009B74FA" w:rsidP="009B74FA">
      <w:pPr>
        <w:spacing w:line="276" w:lineRule="auto"/>
        <w:ind w:firstLine="360"/>
        <w:jc w:val="both"/>
        <w:rPr>
          <w:rFonts w:ascii="Verdana" w:eastAsia="Calibri" w:hAnsi="Verdana" w:cs="Arial"/>
        </w:rPr>
      </w:pPr>
      <w:r w:rsidRPr="005018F0">
        <w:rPr>
          <w:rFonts w:ascii="Verdana" w:eastAsia="Calibri" w:hAnsi="Verdana" w:cs="Arial"/>
        </w:rPr>
        <w:t>Asimismo, la “Guía para la participación de Proveedores Extranjeros en Procesos de Contratación”</w:t>
      </w:r>
      <w:r>
        <w:rPr>
          <w:rStyle w:val="Refdenotaalpie"/>
          <w:rFonts w:ascii="Verdana" w:eastAsia="Calibri" w:hAnsi="Verdana" w:cs="Arial"/>
        </w:rPr>
        <w:footnoteReference w:id="7"/>
      </w:r>
      <w:r w:rsidRPr="005018F0">
        <w:rPr>
          <w:rFonts w:ascii="Verdana" w:eastAsia="Calibri" w:hAnsi="Verdana" w:cs="Arial"/>
        </w:rPr>
        <w:t xml:space="preserve"> reconoce que los proveedores extranjeros pueden acreditar experiencia obtenida en el exterior mediante certificados expedidos por terceros o copia de contratos, conforme a las condiciones establecidas en el pliego de condiciones.</w:t>
      </w:r>
    </w:p>
    <w:p w14:paraId="01364685" w14:textId="77777777" w:rsidR="009B74FA" w:rsidRPr="005018F0" w:rsidRDefault="009B74FA" w:rsidP="009B74FA">
      <w:pPr>
        <w:spacing w:line="276" w:lineRule="auto"/>
        <w:ind w:firstLine="360"/>
        <w:jc w:val="both"/>
        <w:rPr>
          <w:rFonts w:ascii="Verdana" w:eastAsia="Calibri" w:hAnsi="Verdana" w:cs="Arial"/>
        </w:rPr>
      </w:pPr>
      <w:r w:rsidRPr="005018F0">
        <w:rPr>
          <w:rFonts w:ascii="Verdana" w:eastAsia="Calibri" w:hAnsi="Verdana" w:cs="Arial"/>
        </w:rPr>
        <w:t>En ese sentido, la acreditación del personal técnico, la experiencia, la capacidad financiera y los contratos en ejecución deberá sujetarse estrictamente a las reglas fijadas por la entidad estatal en el pliego, incluyendo aspectos relacionados con traducción oficial, apostilla o legalización de documentos expedidos en el exterior, así como la eventual convalidación de títulos académicos obtenidos fuera de Colombia.</w:t>
      </w:r>
    </w:p>
    <w:p w14:paraId="1A3C0190" w14:textId="77777777" w:rsidR="009B74FA" w:rsidRPr="005018F0" w:rsidRDefault="009B74FA" w:rsidP="009B74FA">
      <w:pPr>
        <w:spacing w:line="276" w:lineRule="auto"/>
        <w:ind w:firstLine="360"/>
        <w:jc w:val="both"/>
        <w:rPr>
          <w:rFonts w:ascii="Verdana" w:eastAsia="Calibri" w:hAnsi="Verdana" w:cs="Arial"/>
        </w:rPr>
      </w:pPr>
      <w:r w:rsidRPr="005018F0">
        <w:rPr>
          <w:rFonts w:ascii="Verdana" w:eastAsia="Calibri" w:hAnsi="Verdana" w:cs="Arial"/>
        </w:rPr>
        <w:t xml:space="preserve">Ahora bien, debe tenerse en cuenta que las sucursales de sociedades extranjeras no constituyen una persona jurídica independiente de la casa matriz, sino una extensión de esta, conforme a los artículos 469 y siguientes del Código de Comercio. En virtud del principio de unicidad jurídica, la sucursal y la sociedad extranjera principal conforman un mismo sujeto de derecho, razón por la cual, en principio, resulta jurídicamente viable que la sucursal pueda apoyarse en </w:t>
      </w:r>
      <w:r w:rsidRPr="005018F0">
        <w:rPr>
          <w:rFonts w:ascii="Verdana" w:eastAsia="Calibri" w:hAnsi="Verdana" w:cs="Arial"/>
        </w:rPr>
        <w:lastRenderedPageBreak/>
        <w:t>recursos técnicos, financieros, organizacionales y operativos de la casa matriz y de otras sucursales.</w:t>
      </w:r>
    </w:p>
    <w:p w14:paraId="0B149FFE" w14:textId="77777777" w:rsidR="009B74FA" w:rsidRPr="005018F0" w:rsidRDefault="009B74FA" w:rsidP="009B74FA">
      <w:pPr>
        <w:spacing w:line="276" w:lineRule="auto"/>
        <w:ind w:firstLine="360"/>
        <w:jc w:val="both"/>
        <w:rPr>
          <w:rFonts w:ascii="Verdana" w:eastAsia="Calibri" w:hAnsi="Verdana" w:cs="Arial"/>
        </w:rPr>
      </w:pPr>
      <w:r w:rsidRPr="005018F0">
        <w:rPr>
          <w:rFonts w:ascii="Verdana" w:eastAsia="Calibri" w:hAnsi="Verdana" w:cs="Arial"/>
        </w:rPr>
        <w:t>Por tanto, si el pliego de condiciones no establece limitaciones expresas respecto del origen del personal técnico o de los contratos que pueden acreditarse para efectos de la capacidad residual, jurídicamente es procedente que la sucursal soporte su capacidad técnica y financiera con recursos, personal y contratos provenientes de la casa matriz y de otras sucursales, siempre que se acredite adecuadamente la disponibilidad efectiva de dichos recursos y se cumplan integralmente las condiciones de acreditación definidas por la entidad estatal.</w:t>
      </w:r>
    </w:p>
    <w:p w14:paraId="314A79D8" w14:textId="77777777" w:rsidR="009B74FA" w:rsidRPr="00920927" w:rsidRDefault="009B74FA" w:rsidP="009B74FA">
      <w:pPr>
        <w:spacing w:line="276" w:lineRule="auto"/>
        <w:ind w:firstLine="360"/>
        <w:jc w:val="both"/>
        <w:rPr>
          <w:rFonts w:ascii="Verdana" w:eastAsia="Times New Roman" w:hAnsi="Verdana" w:cs="Arial"/>
          <w:lang w:eastAsia="es-MX"/>
        </w:rPr>
      </w:pPr>
      <w:r w:rsidRPr="007B6816">
        <w:rPr>
          <w:rFonts w:ascii="Verdana" w:eastAsia="Calibri" w:hAnsi="Verdana" w:cs="Arial"/>
        </w:rPr>
        <w:t xml:space="preserve"> </w:t>
      </w: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w:t>
      </w:r>
      <w:r>
        <w:rPr>
          <w:rFonts w:ascii="Verdana" w:eastAsia="Calibri" w:hAnsi="Verdana" w:cs="Arial"/>
        </w:rPr>
        <w:t xml:space="preserve">frente a los requisitos habilitantes en procesos de contratación con sociedad extranjeras </w:t>
      </w:r>
      <w:r w:rsidRPr="006B17A7">
        <w:rPr>
          <w:rFonts w:ascii="Verdana" w:eastAsia="Calibri" w:hAnsi="Verdana" w:cs="Arial"/>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13123B4" w14:textId="77777777" w:rsidR="009B74FA" w:rsidRPr="006B17A7" w:rsidRDefault="009B74FA" w:rsidP="009B74FA">
      <w:pPr>
        <w:spacing w:before="120" w:after="0" w:line="276" w:lineRule="auto"/>
        <w:ind w:firstLine="360"/>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253359FA" w14:textId="77777777" w:rsidR="009B74FA" w:rsidRPr="006B17A7" w:rsidRDefault="009B74FA" w:rsidP="009B74FA">
      <w:pPr>
        <w:spacing w:after="0" w:line="276" w:lineRule="auto"/>
        <w:ind w:firstLine="708"/>
        <w:jc w:val="both"/>
        <w:rPr>
          <w:rFonts w:ascii="Verdana" w:eastAsia="Calibri" w:hAnsi="Verdana" w:cs="Arial"/>
        </w:rPr>
      </w:pPr>
    </w:p>
    <w:p w14:paraId="3E0F9E64" w14:textId="77777777" w:rsidR="009B74FA" w:rsidRPr="006B17A7" w:rsidRDefault="009B74FA" w:rsidP="009B74FA">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783C429C" w14:textId="77777777" w:rsidR="009B74FA" w:rsidRPr="006B17A7" w:rsidRDefault="009B74FA" w:rsidP="009B74FA">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74FA" w:rsidRPr="006B17A7" w14:paraId="7215839D" w14:textId="77777777" w:rsidTr="00E83E74">
        <w:trPr>
          <w:trHeight w:val="870"/>
        </w:trPr>
        <w:tc>
          <w:tcPr>
            <w:tcW w:w="8647" w:type="dxa"/>
          </w:tcPr>
          <w:p w14:paraId="3AD4442C" w14:textId="77777777" w:rsidR="009B74FA" w:rsidRPr="003B63B7" w:rsidRDefault="009B74FA" w:rsidP="009B74FA">
            <w:pPr>
              <w:widowControl w:val="0"/>
              <w:numPr>
                <w:ilvl w:val="0"/>
                <w:numId w:val="17"/>
              </w:numPr>
              <w:autoSpaceDE w:val="0"/>
              <w:autoSpaceDN w:val="0"/>
              <w:spacing w:line="276" w:lineRule="auto"/>
              <w:contextualSpacing/>
              <w:jc w:val="both"/>
              <w:rPr>
                <w:rFonts w:ascii="Verdana" w:hAnsi="Verdana" w:cs="Arial"/>
                <w:lang w:val="es-ES_tradnl"/>
              </w:rPr>
            </w:pPr>
            <w:r w:rsidRPr="003B63B7">
              <w:rPr>
                <w:rFonts w:ascii="Verdana" w:hAnsi="Verdana" w:cs="Arial"/>
                <w:lang w:val="es-ES_tradnl"/>
              </w:rPr>
              <w:t>Ley 80 de 1993</w:t>
            </w:r>
            <w:r>
              <w:rPr>
                <w:rFonts w:ascii="Verdana" w:hAnsi="Verdana" w:cs="Arial"/>
                <w:lang w:val="es-ES_tradnl"/>
              </w:rPr>
              <w:t>.</w:t>
            </w:r>
          </w:p>
          <w:p w14:paraId="7C481C3B" w14:textId="77777777" w:rsidR="009B74FA" w:rsidRPr="003B63B7" w:rsidRDefault="009B74FA" w:rsidP="009B74FA">
            <w:pPr>
              <w:widowControl w:val="0"/>
              <w:numPr>
                <w:ilvl w:val="0"/>
                <w:numId w:val="17"/>
              </w:numPr>
              <w:autoSpaceDE w:val="0"/>
              <w:autoSpaceDN w:val="0"/>
              <w:spacing w:line="276" w:lineRule="auto"/>
              <w:contextualSpacing/>
              <w:jc w:val="both"/>
              <w:rPr>
                <w:rFonts w:ascii="Verdana" w:hAnsi="Verdana" w:cs="Arial"/>
                <w:lang w:val="es-ES_tradnl"/>
              </w:rPr>
            </w:pPr>
            <w:r w:rsidRPr="003B63B7">
              <w:rPr>
                <w:rFonts w:ascii="Verdana" w:hAnsi="Verdana" w:cs="Arial"/>
                <w:lang w:val="es-ES_tradnl"/>
              </w:rPr>
              <w:t>Ley 1437 de 2011</w:t>
            </w:r>
            <w:r>
              <w:rPr>
                <w:rFonts w:ascii="Verdana" w:hAnsi="Verdana" w:cs="Arial"/>
                <w:lang w:val="es-ES_tradnl"/>
              </w:rPr>
              <w:t>.</w:t>
            </w:r>
            <w:r w:rsidRPr="003B63B7">
              <w:rPr>
                <w:rFonts w:ascii="Verdana" w:hAnsi="Verdana" w:cs="Arial"/>
                <w:lang w:val="es-ES_tradnl"/>
              </w:rPr>
              <w:t xml:space="preserve"> </w:t>
            </w:r>
          </w:p>
          <w:p w14:paraId="756FF1E0" w14:textId="77777777" w:rsidR="009B74FA" w:rsidRDefault="009B74FA" w:rsidP="009B74FA">
            <w:pPr>
              <w:widowControl w:val="0"/>
              <w:numPr>
                <w:ilvl w:val="0"/>
                <w:numId w:val="17"/>
              </w:numPr>
              <w:autoSpaceDE w:val="0"/>
              <w:autoSpaceDN w:val="0"/>
              <w:spacing w:line="276" w:lineRule="auto"/>
              <w:contextualSpacing/>
              <w:jc w:val="both"/>
              <w:rPr>
                <w:rFonts w:ascii="Verdana" w:hAnsi="Verdana" w:cs="Arial"/>
                <w:lang w:val="es-ES_tradnl"/>
              </w:rPr>
            </w:pPr>
            <w:r w:rsidRPr="003B63B7">
              <w:rPr>
                <w:rFonts w:ascii="Verdana" w:hAnsi="Verdana" w:cs="Arial"/>
                <w:lang w:val="es-ES_tradnl"/>
              </w:rPr>
              <w:t>Decreto 1082 de 2015</w:t>
            </w:r>
            <w:r>
              <w:rPr>
                <w:rFonts w:ascii="Verdana" w:hAnsi="Verdana" w:cs="Arial"/>
                <w:lang w:val="es-ES_tradnl"/>
              </w:rPr>
              <w:t xml:space="preserve">, </w:t>
            </w:r>
            <w:r w:rsidRPr="007B6816">
              <w:rPr>
                <w:rFonts w:ascii="Verdana" w:eastAsia="Calibri" w:hAnsi="Verdana" w:cs="Arial"/>
              </w:rPr>
              <w:t>artículo 2.2.1.1.1.6.2</w:t>
            </w:r>
          </w:p>
          <w:p w14:paraId="629F14AF" w14:textId="77777777" w:rsidR="009B74FA" w:rsidRDefault="009B74FA" w:rsidP="009B74FA">
            <w:pPr>
              <w:widowControl w:val="0"/>
              <w:numPr>
                <w:ilvl w:val="0"/>
                <w:numId w:val="17"/>
              </w:numPr>
              <w:autoSpaceDE w:val="0"/>
              <w:autoSpaceDN w:val="0"/>
              <w:spacing w:line="276" w:lineRule="auto"/>
              <w:contextualSpacing/>
              <w:jc w:val="both"/>
              <w:rPr>
                <w:rFonts w:ascii="Verdana" w:hAnsi="Verdana" w:cs="Arial"/>
                <w:lang w:val="es-ES_tradnl"/>
              </w:rPr>
            </w:pPr>
            <w:r w:rsidRPr="008E59FE">
              <w:rPr>
                <w:rFonts w:ascii="Verdana" w:hAnsi="Verdana" w:cs="Arial"/>
                <w:lang w:val="es-ES_tradnl"/>
              </w:rPr>
              <w:t>Ley 1150 de 2007</w:t>
            </w:r>
            <w:r>
              <w:rPr>
                <w:rFonts w:ascii="Verdana" w:hAnsi="Verdana" w:cs="Arial"/>
                <w:lang w:val="es-ES_tradnl"/>
              </w:rPr>
              <w:t xml:space="preserve">, </w:t>
            </w:r>
            <w:r w:rsidRPr="008E59FE">
              <w:rPr>
                <w:rFonts w:ascii="Verdana" w:hAnsi="Verdana" w:cs="Arial"/>
                <w:lang w:val="es-ES_tradnl"/>
              </w:rPr>
              <w:t>artículo 5</w:t>
            </w:r>
          </w:p>
          <w:p w14:paraId="0BE97696" w14:textId="77777777" w:rsidR="009B74FA" w:rsidRPr="003B63B7" w:rsidRDefault="009B74FA" w:rsidP="009B74FA">
            <w:pPr>
              <w:widowControl w:val="0"/>
              <w:numPr>
                <w:ilvl w:val="0"/>
                <w:numId w:val="17"/>
              </w:numPr>
              <w:autoSpaceDE w:val="0"/>
              <w:autoSpaceDN w:val="0"/>
              <w:spacing w:line="276" w:lineRule="auto"/>
              <w:contextualSpacing/>
              <w:jc w:val="both"/>
              <w:rPr>
                <w:rFonts w:ascii="Verdana" w:hAnsi="Verdana" w:cs="Arial"/>
                <w:lang w:val="es-ES_tradnl"/>
              </w:rPr>
            </w:pPr>
            <w:r w:rsidRPr="005E0DA4">
              <w:rPr>
                <w:rFonts w:ascii="Verdana" w:eastAsia="Arial" w:hAnsi="Verdana" w:cs="Arial"/>
              </w:rPr>
              <w:t xml:space="preserve">Manual para determinar y verificar requisitos habilitantes en los </w:t>
            </w:r>
            <w:r w:rsidRPr="005E0DA4">
              <w:rPr>
                <w:rFonts w:ascii="Verdana" w:eastAsia="Arial" w:hAnsi="Verdana" w:cs="Arial"/>
              </w:rPr>
              <w:lastRenderedPageBreak/>
              <w:t>procesos de contratación</w:t>
            </w:r>
            <w:r>
              <w:rPr>
                <w:rFonts w:ascii="Verdana" w:eastAsia="Arial" w:hAnsi="Verdana" w:cs="Arial"/>
              </w:rPr>
              <w:t>.</w:t>
            </w:r>
            <w:r w:rsidRPr="008E59FE">
              <w:rPr>
                <w:rFonts w:ascii="Verdana" w:hAnsi="Verdana" w:cs="Arial"/>
                <w:lang w:val="es-ES_tradnl"/>
              </w:rPr>
              <w:t xml:space="preserve"> </w:t>
            </w:r>
          </w:p>
          <w:p w14:paraId="16771962" w14:textId="77777777" w:rsidR="009B74FA" w:rsidRPr="006B17A7" w:rsidRDefault="009B74FA" w:rsidP="009B74FA">
            <w:pPr>
              <w:pStyle w:val="Prrafodelista"/>
              <w:widowControl w:val="0"/>
              <w:numPr>
                <w:ilvl w:val="0"/>
                <w:numId w:val="17"/>
              </w:numPr>
              <w:autoSpaceDE w:val="0"/>
              <w:autoSpaceDN w:val="0"/>
              <w:spacing w:after="120" w:line="276" w:lineRule="auto"/>
              <w:ind w:left="714" w:hanging="357"/>
              <w:contextualSpacing w:val="0"/>
              <w:jc w:val="both"/>
              <w:rPr>
                <w:rFonts w:ascii="Verdana" w:eastAsia="Aptos" w:hAnsi="Verdana" w:cs="Arial"/>
              </w:rPr>
            </w:pPr>
            <w:r w:rsidRPr="008E59FE">
              <w:rPr>
                <w:rFonts w:ascii="Verdana" w:eastAsia="Calibri" w:hAnsi="Verdana" w:cs="Arial"/>
                <w:bCs/>
                <w:lang w:val="es-ES_tradnl"/>
              </w:rPr>
              <w:t>Guía para la participación de Proveedores Extranjeros en Procesos de Contratación</w:t>
            </w:r>
            <w:r>
              <w:rPr>
                <w:rFonts w:ascii="Verdana" w:eastAsia="Calibri" w:hAnsi="Verdana" w:cs="Arial"/>
                <w:bCs/>
                <w:lang w:val="es-ES_tradnl"/>
              </w:rPr>
              <w:t>.</w:t>
            </w:r>
          </w:p>
        </w:tc>
      </w:tr>
    </w:tbl>
    <w:p w14:paraId="3E671506" w14:textId="77777777" w:rsidR="009B74FA" w:rsidRPr="006B17A7" w:rsidRDefault="009B74FA" w:rsidP="009B74FA">
      <w:pPr>
        <w:widowControl w:val="0"/>
        <w:autoSpaceDE w:val="0"/>
        <w:autoSpaceDN w:val="0"/>
        <w:spacing w:after="0" w:line="276" w:lineRule="auto"/>
        <w:jc w:val="both"/>
        <w:rPr>
          <w:rFonts w:ascii="Verdana" w:eastAsia="Aptos" w:hAnsi="Verdana" w:cs="Arial"/>
        </w:rPr>
      </w:pPr>
    </w:p>
    <w:p w14:paraId="139E4BBE" w14:textId="77777777" w:rsidR="009B74FA" w:rsidRPr="006B17A7" w:rsidRDefault="009B74FA" w:rsidP="009B74FA">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3ACC7338" w14:textId="77777777" w:rsidR="009B74FA" w:rsidRPr="006B17A7" w:rsidRDefault="009B74FA" w:rsidP="009B74FA">
      <w:pPr>
        <w:widowControl w:val="0"/>
        <w:autoSpaceDE w:val="0"/>
        <w:autoSpaceDN w:val="0"/>
        <w:spacing w:after="0" w:line="276" w:lineRule="auto"/>
        <w:jc w:val="both"/>
        <w:rPr>
          <w:rFonts w:ascii="Verdana" w:eastAsia="Aptos" w:hAnsi="Verdana" w:cs="Arial"/>
        </w:rPr>
      </w:pPr>
    </w:p>
    <w:p w14:paraId="506CF1DA" w14:textId="77777777" w:rsidR="009B74FA" w:rsidRPr="00C27319" w:rsidRDefault="009B74FA" w:rsidP="009B74FA">
      <w:pPr>
        <w:widowControl w:val="0"/>
        <w:autoSpaceDE w:val="0"/>
        <w:autoSpaceDN w:val="0"/>
        <w:spacing w:after="0" w:line="276" w:lineRule="auto"/>
        <w:jc w:val="both"/>
        <w:rPr>
          <w:rFonts w:ascii="Verdana" w:hAnsi="Verdana" w:cs="Arial"/>
          <w:shd w:val="clear" w:color="auto" w:fill="FFFFFF"/>
          <w:lang w:val="es-ES"/>
        </w:rPr>
      </w:pPr>
      <w:r w:rsidRPr="00D86CA8">
        <w:rPr>
          <w:rFonts w:ascii="Verdana" w:hAnsi="Verdana" w:cs="Arial"/>
          <w:shd w:val="clear" w:color="auto" w:fill="FFFFFF"/>
        </w:rPr>
        <w:t xml:space="preserve">Esta Subdirección se ha pronunciado sobre </w:t>
      </w:r>
      <w:r w:rsidRPr="00434706">
        <w:rPr>
          <w:rFonts w:ascii="Verdana" w:eastAsia="Calibri" w:hAnsi="Verdana" w:cs="Arial"/>
          <w:lang w:val="es-ES" w:eastAsia="es-ES"/>
        </w:rPr>
        <w:t>los requisitos habilitantes en los procesos de contratación</w:t>
      </w:r>
      <w:r>
        <w:rPr>
          <w:rFonts w:ascii="Verdana" w:eastAsia="Calibri" w:hAnsi="Verdana" w:cs="Arial"/>
          <w:lang w:val="es-ES"/>
        </w:rPr>
        <w:t xml:space="preserve"> </w:t>
      </w:r>
      <w:r w:rsidRPr="00D16A5E">
        <w:rPr>
          <w:rFonts w:ascii="Verdana" w:eastAsia="Calibri" w:hAnsi="Verdana" w:cs="Arial"/>
          <w:lang w:val="es-ES"/>
        </w:rPr>
        <w:t xml:space="preserve">en los conceptos 4201913000007643 del 26 de diciembre de 2019, C-343 del 17 de junio de 2020, C-518 del 9 de septiembre de 2020, C-614 del 5 de </w:t>
      </w:r>
      <w:r w:rsidRPr="000A5510">
        <w:rPr>
          <w:rFonts w:ascii="Verdana" w:eastAsia="Calibri" w:hAnsi="Verdana" w:cs="Arial"/>
          <w:lang w:val="es-ES"/>
        </w:rPr>
        <w:t>octubre de 2022, C-882 del 21 de diciembre de 2022, C-172 del 6 de junio de 2023</w:t>
      </w:r>
      <w:r>
        <w:rPr>
          <w:rFonts w:ascii="Verdana" w:hAnsi="Verdana" w:cs="Arial"/>
          <w:shd w:val="clear" w:color="auto" w:fill="FFFFFF"/>
          <w:lang w:val="es-ES"/>
        </w:rPr>
        <w:t>,</w:t>
      </w:r>
      <w:r w:rsidRPr="000A5510">
        <w:rPr>
          <w:rFonts w:ascii="Verdana" w:hAnsi="Verdana" w:cs="Arial"/>
          <w:shd w:val="clear" w:color="auto" w:fill="FFFFFF"/>
          <w:lang w:val="es-ES"/>
        </w:rPr>
        <w:t xml:space="preserve"> C-720 del 25 de noviembre 2024</w:t>
      </w:r>
      <w:r>
        <w:rPr>
          <w:rFonts w:ascii="Verdana" w:hAnsi="Verdana" w:cs="Arial"/>
          <w:shd w:val="clear" w:color="auto" w:fill="FFFFFF"/>
          <w:lang w:val="es-ES"/>
        </w:rPr>
        <w:t xml:space="preserve"> y C-549 del 20 de mayo de 2026</w:t>
      </w:r>
      <w:r>
        <w:rPr>
          <w:rFonts w:ascii="Verdana" w:eastAsia="Arial MT" w:hAnsi="Verdana" w:cs="Arial"/>
          <w:lang w:val="es-ES"/>
        </w:rPr>
        <w:t>.</w:t>
      </w:r>
      <w:r w:rsidRPr="000A5510">
        <w:rPr>
          <w:rStyle w:val="normaltextrun"/>
          <w:rFonts w:ascii="Verdana" w:hAnsi="Verdana" w:cs="Arial"/>
          <w:shd w:val="clear" w:color="auto" w:fill="FFFFFF"/>
          <w:lang w:val="es-ES"/>
        </w:rPr>
        <w:t xml:space="preserve"> </w:t>
      </w:r>
      <w:r>
        <w:rPr>
          <w:rFonts w:ascii="Verdana" w:hAnsi="Verdana" w:cs="Arial"/>
          <w:shd w:val="clear" w:color="auto" w:fill="FFFFFF"/>
          <w:lang w:val="es-ES"/>
        </w:rPr>
        <w:t xml:space="preserve">Por su parte </w:t>
      </w:r>
      <w:r w:rsidRPr="001F1412">
        <w:rPr>
          <w:rFonts w:ascii="Verdana" w:hAnsi="Verdana" w:cs="Arial"/>
          <w:shd w:val="clear" w:color="auto" w:fill="FFFFFF"/>
          <w:lang w:val="es-ES"/>
        </w:rPr>
        <w:t xml:space="preserve">en </w:t>
      </w:r>
      <w:r>
        <w:rPr>
          <w:rFonts w:ascii="Verdana" w:hAnsi="Verdana" w:cs="Arial"/>
          <w:shd w:val="clear" w:color="auto" w:fill="FFFFFF"/>
          <w:lang w:val="es-ES"/>
        </w:rPr>
        <w:t>los</w:t>
      </w:r>
      <w:r w:rsidRPr="001F1412">
        <w:rPr>
          <w:rFonts w:ascii="Verdana" w:hAnsi="Verdana" w:cs="Arial"/>
          <w:shd w:val="clear" w:color="auto" w:fill="FFFFFF"/>
          <w:lang w:val="es-ES"/>
        </w:rPr>
        <w:t xml:space="preserve"> concepto</w:t>
      </w:r>
      <w:r>
        <w:rPr>
          <w:rFonts w:ascii="Verdana" w:hAnsi="Verdana" w:cs="Arial"/>
          <w:shd w:val="clear" w:color="auto" w:fill="FFFFFF"/>
          <w:lang w:val="es-ES"/>
        </w:rPr>
        <w:t>s</w:t>
      </w:r>
      <w:r w:rsidRPr="001F1412">
        <w:rPr>
          <w:rFonts w:ascii="Verdana" w:hAnsi="Verdana" w:cs="Arial"/>
          <w:shd w:val="clear" w:color="auto" w:fill="FFFFFF"/>
          <w:lang w:val="es-ES"/>
        </w:rPr>
        <w:t xml:space="preserve"> C - 002 del 20 de febrero de 2020, reiterado en los conceptos C-491 del 27 de julio de 2020, C-350 del 1 de junio de 2020, C-584 del 31 de agosto de 2020, C-002 del 9 de febrero de 2021, C-115 del 29 de marzo de 2021, C-343 del 13 de julio de 2021</w:t>
      </w:r>
      <w:r>
        <w:rPr>
          <w:rFonts w:ascii="Verdana" w:hAnsi="Verdana" w:cs="Arial"/>
          <w:shd w:val="clear" w:color="auto" w:fill="FFFFFF"/>
          <w:lang w:val="es-ES"/>
        </w:rPr>
        <w:t xml:space="preserve">, </w:t>
      </w:r>
      <w:r w:rsidRPr="001F1412">
        <w:rPr>
          <w:rFonts w:ascii="Verdana" w:hAnsi="Verdana" w:cs="Arial"/>
          <w:shd w:val="clear" w:color="auto" w:fill="FFFFFF"/>
          <w:lang w:val="es-ES"/>
        </w:rPr>
        <w:t>C-342 del 13 de julio de 2021,</w:t>
      </w:r>
      <w:r>
        <w:rPr>
          <w:rFonts w:ascii="Verdana" w:hAnsi="Verdana" w:cs="Arial"/>
          <w:shd w:val="clear" w:color="auto" w:fill="FFFFFF"/>
          <w:lang w:val="es-ES"/>
        </w:rPr>
        <w:t xml:space="preserve"> C-574 del 14 de septiembre de 2012 y C-206 del 26 de marzo de 2025.</w:t>
      </w:r>
      <w:r w:rsidRPr="001F1412">
        <w:rPr>
          <w:rFonts w:ascii="Verdana" w:hAnsi="Verdana" w:cs="Arial"/>
          <w:shd w:val="clear" w:color="auto" w:fill="FFFFFF"/>
          <w:lang w:val="es-ES"/>
        </w:rPr>
        <w:t xml:space="preserve"> </w:t>
      </w:r>
      <w:r>
        <w:rPr>
          <w:rFonts w:ascii="Verdana" w:hAnsi="Verdana" w:cs="Arial"/>
          <w:shd w:val="clear" w:color="auto" w:fill="FFFFFF"/>
          <w:lang w:val="es-ES"/>
        </w:rPr>
        <w:t xml:space="preserve">Por su parte </w:t>
      </w:r>
      <w:r w:rsidRPr="001F1412">
        <w:rPr>
          <w:rFonts w:ascii="Verdana" w:hAnsi="Verdana" w:cs="Arial"/>
          <w:shd w:val="clear" w:color="auto" w:fill="FFFFFF"/>
          <w:lang w:val="es-ES"/>
        </w:rPr>
        <w:t xml:space="preserve">se pronunció sobre </w:t>
      </w:r>
      <w:r>
        <w:rPr>
          <w:rFonts w:ascii="Verdana" w:hAnsi="Verdana" w:cs="Arial"/>
          <w:shd w:val="clear" w:color="auto" w:fill="FFFFFF"/>
          <w:lang w:val="es-ES"/>
        </w:rPr>
        <w:t xml:space="preserve">la acreditación de la experiencia, </w:t>
      </w:r>
      <w:r w:rsidRPr="001F1412">
        <w:rPr>
          <w:rFonts w:ascii="Verdana" w:hAnsi="Verdana" w:cs="Arial"/>
          <w:shd w:val="clear" w:color="auto" w:fill="FFFFFF"/>
          <w:lang w:val="es-ES"/>
        </w:rPr>
        <w:t xml:space="preserve">además de analizar especialmente la actividad de las sociedades extranjeras en Colombia en </w:t>
      </w:r>
      <w:r>
        <w:rPr>
          <w:rFonts w:ascii="Verdana" w:hAnsi="Verdana" w:cs="Arial"/>
          <w:shd w:val="clear" w:color="auto" w:fill="FFFFFF"/>
          <w:lang w:val="es-ES"/>
        </w:rPr>
        <w:t>los c</w:t>
      </w:r>
      <w:r w:rsidRPr="001F1412">
        <w:rPr>
          <w:rFonts w:ascii="Verdana" w:hAnsi="Verdana" w:cs="Arial"/>
          <w:shd w:val="clear" w:color="auto" w:fill="FFFFFF"/>
          <w:lang w:val="es-ES"/>
        </w:rPr>
        <w:t>oncepto</w:t>
      </w:r>
      <w:r>
        <w:rPr>
          <w:rFonts w:ascii="Verdana" w:hAnsi="Verdana" w:cs="Arial"/>
          <w:shd w:val="clear" w:color="auto" w:fill="FFFFFF"/>
          <w:lang w:val="es-ES"/>
        </w:rPr>
        <w:t>s</w:t>
      </w:r>
      <w:r w:rsidRPr="001F1412">
        <w:rPr>
          <w:rFonts w:ascii="Verdana" w:hAnsi="Verdana" w:cs="Arial"/>
          <w:shd w:val="clear" w:color="auto" w:fill="FFFFFF"/>
          <w:lang w:val="es-ES"/>
        </w:rPr>
        <w:t xml:space="preserve"> C-685 del 19 de octubre de 2022</w:t>
      </w:r>
      <w:r>
        <w:rPr>
          <w:rFonts w:ascii="Verdana" w:hAnsi="Verdana" w:cs="Arial"/>
          <w:shd w:val="clear" w:color="auto" w:fill="FFFFFF"/>
          <w:lang w:val="es-ES"/>
        </w:rPr>
        <w:t xml:space="preserve"> y Concepto C-206 del 26 de marzo de 2025</w:t>
      </w:r>
      <w:r w:rsidRPr="001F1412">
        <w:rPr>
          <w:rFonts w:ascii="Verdana" w:hAnsi="Verdana" w:cs="Arial"/>
          <w:shd w:val="clear" w:color="auto" w:fill="FFFFFF"/>
          <w:lang w:val="es-ES"/>
        </w:rPr>
        <w:t xml:space="preserve">. </w:t>
      </w:r>
      <w:r w:rsidRPr="00505CD6">
        <w:rPr>
          <w:rFonts w:ascii="Verdana" w:hAnsi="Verdana" w:cs="Arial"/>
          <w:shd w:val="clear" w:color="auto" w:fill="FFFFFF"/>
          <w:lang w:val="es-ES"/>
        </w:rPr>
        <w:t xml:space="preserve"> </w:t>
      </w:r>
      <w:r w:rsidRPr="000A5510">
        <w:rPr>
          <w:rFonts w:ascii="Verdana" w:hAnsi="Verdana" w:cs="Arial"/>
        </w:rPr>
        <w:t xml:space="preserve">Estos y otros </w:t>
      </w:r>
      <w:r w:rsidRPr="000A5510">
        <w:rPr>
          <w:rFonts w:ascii="Verdana" w:hAnsi="Verdana"/>
        </w:rPr>
        <w:t>conceptos se encuentran disponibles para consulta en el Sistema de relatoría de la Agencia, al cual se puede acceder a través del siguiente enlace:</w:t>
      </w:r>
      <w:r w:rsidRPr="000A5510">
        <w:rPr>
          <w:rFonts w:ascii="Verdana" w:hAnsi="Verdana" w:cs="Arial"/>
          <w:shd w:val="clear" w:color="auto" w:fill="FFFFFF"/>
        </w:rPr>
        <w:t xml:space="preserve"> </w:t>
      </w:r>
      <w:hyperlink r:id="rId12" w:history="1">
        <w:r w:rsidRPr="009D49DA">
          <w:rPr>
            <w:rStyle w:val="Hipervnculo"/>
            <w:rFonts w:ascii="Verdana" w:hAnsi="Verdana" w:cs="Arial"/>
            <w:shd w:val="clear" w:color="auto" w:fill="FFFFFF"/>
          </w:rPr>
          <w:t>https://relatoria.colombiacompra.gov.co/busqueda/conceptos</w:t>
        </w:r>
      </w:hyperlink>
      <w:r w:rsidRPr="000A5510">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7E870F1C" w14:textId="77777777" w:rsidR="009B74FA" w:rsidRPr="00115E3D" w:rsidRDefault="009B74FA" w:rsidP="009B74FA">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1E5B99FD" w14:textId="77777777" w:rsidR="009B74FA" w:rsidRPr="009A385A" w:rsidRDefault="009B74FA" w:rsidP="009B74FA">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3B2F3948" w14:textId="77777777" w:rsidR="009B74FA" w:rsidRDefault="009B74FA" w:rsidP="009B74FA">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w:t>
      </w:r>
      <w:r w:rsidRPr="009A385A">
        <w:rPr>
          <w:rFonts w:ascii="Verdana" w:hAnsi="Verdana"/>
          <w:b/>
          <w:bCs/>
        </w:rPr>
        <w:lastRenderedPageBreak/>
        <w:t>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1DB545BE" w14:textId="77777777" w:rsidR="009B74FA" w:rsidRPr="009A385A" w:rsidRDefault="009B74FA" w:rsidP="009B74FA">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E41418B" w14:textId="77777777" w:rsidR="009B74FA" w:rsidRPr="00115E3D" w:rsidRDefault="009B74FA" w:rsidP="009B74FA">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387C6230" w14:textId="77777777" w:rsidR="009B74FA" w:rsidRPr="00115E3D" w:rsidRDefault="009B74FA" w:rsidP="009B74FA">
      <w:pPr>
        <w:spacing w:after="0" w:line="240" w:lineRule="auto"/>
        <w:jc w:val="both"/>
        <w:rPr>
          <w:rFonts w:ascii="Verdana" w:hAnsi="Verdana"/>
          <w:color w:val="000000" w:themeColor="text1"/>
        </w:rPr>
      </w:pPr>
    </w:p>
    <w:p w14:paraId="16CFAC79" w14:textId="77777777" w:rsidR="009B74FA" w:rsidRPr="00115E3D" w:rsidRDefault="009B74FA" w:rsidP="009B74FA">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38185A0D" w14:textId="77777777" w:rsidR="009B74FA" w:rsidRPr="00115E3D" w:rsidRDefault="009B74FA" w:rsidP="009B74FA">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19437220" w14:textId="77777777" w:rsidR="009B74FA" w:rsidRPr="00115E3D" w:rsidRDefault="009B74FA" w:rsidP="009B74FA">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4B7E0174" w14:textId="77777777" w:rsidR="009B74FA" w:rsidRPr="00115E3D" w:rsidRDefault="009B74FA" w:rsidP="009B74FA">
      <w:pPr>
        <w:widowControl w:val="0"/>
        <w:autoSpaceDE w:val="0"/>
        <w:autoSpaceDN w:val="0"/>
        <w:spacing w:after="0" w:line="276" w:lineRule="auto"/>
        <w:jc w:val="both"/>
        <w:rPr>
          <w:rFonts w:ascii="Verdana" w:hAnsi="Verdana" w:cs="Arial"/>
          <w:color w:val="000000" w:themeColor="text1"/>
        </w:rPr>
      </w:pPr>
    </w:p>
    <w:p w14:paraId="3C0A9216" w14:textId="77777777" w:rsidR="009B74FA" w:rsidRPr="00115E3D" w:rsidRDefault="009B74FA" w:rsidP="009B74FA">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7C9332C0" w14:textId="77777777" w:rsidR="009B74FA" w:rsidRDefault="009B74FA" w:rsidP="009B74FA">
      <w:pPr>
        <w:spacing w:after="0" w:line="240" w:lineRule="auto"/>
        <w:rPr>
          <w:rFonts w:ascii="Verdana" w:eastAsia="Times New Roman" w:hAnsi="Verdana" w:cs="Arial"/>
          <w:color w:val="000000" w:themeColor="text1"/>
          <w:lang w:eastAsia="es-CO"/>
        </w:rPr>
      </w:pPr>
    </w:p>
    <w:p w14:paraId="360EEB02" w14:textId="77777777" w:rsidR="009B74FA" w:rsidRDefault="009B74FA" w:rsidP="009B74FA">
      <w:pPr>
        <w:spacing w:after="0" w:line="240" w:lineRule="auto"/>
        <w:rPr>
          <w:rFonts w:ascii="Verdana" w:eastAsia="Times New Roman" w:hAnsi="Verdana" w:cs="Arial"/>
          <w:color w:val="000000" w:themeColor="text1"/>
          <w:lang w:eastAsia="es-CO"/>
        </w:rPr>
      </w:pPr>
    </w:p>
    <w:p w14:paraId="755A7DEC" w14:textId="77777777" w:rsidR="009B74FA" w:rsidRPr="00115E3D" w:rsidRDefault="009B74FA" w:rsidP="009B74FA">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B9DAA8A" w14:textId="5160A83E" w:rsidR="009B74FA" w:rsidRDefault="00D735D4" w:rsidP="009B74FA">
      <w:pPr>
        <w:spacing w:line="276" w:lineRule="auto"/>
        <w:jc w:val="center"/>
        <w:rPr>
          <w:noProof/>
          <w:color w:val="000000" w:themeColor="text1"/>
          <w:lang w:val="es-ES_tradnl" w:eastAsia="es-CO"/>
        </w:rPr>
      </w:pPr>
      <w:r>
        <w:rPr>
          <w:noProof/>
        </w:rPr>
        <w:lastRenderedPageBreak/>
        <w:drawing>
          <wp:inline distT="0" distB="0" distL="0" distR="0" wp14:anchorId="2679C78E" wp14:editId="0BC9A888">
            <wp:extent cx="3840480" cy="1648651"/>
            <wp:effectExtent l="0" t="0" r="7620" b="8890"/>
            <wp:docPr id="4687407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45626" cy="1650860"/>
                    </a:xfrm>
                    <a:prstGeom prst="rect">
                      <a:avLst/>
                    </a:prstGeom>
                    <a:noFill/>
                    <a:ln>
                      <a:noFill/>
                    </a:ln>
                  </pic:spPr>
                </pic:pic>
              </a:graphicData>
            </a:graphic>
          </wp:inline>
        </w:drawing>
      </w:r>
      <w:r w:rsidR="009B74FA">
        <w:rPr>
          <w:noProof/>
          <w:color w:val="000000" w:themeColor="text1"/>
          <w:lang w:val="es-ES_tradnl" w:eastAsia="es-CO"/>
        </w:rPr>
        <w:t xml:space="preserve"> </w:t>
      </w:r>
    </w:p>
    <w:p w14:paraId="5AA447DF" w14:textId="77777777" w:rsidR="009B74FA" w:rsidRDefault="009B74FA" w:rsidP="009B74FA">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B74FA" w:rsidRPr="00115E3D" w14:paraId="14433386" w14:textId="77777777" w:rsidTr="00E83E74">
        <w:trPr>
          <w:trHeight w:val="315"/>
        </w:trPr>
        <w:tc>
          <w:tcPr>
            <w:tcW w:w="893" w:type="dxa"/>
            <w:vAlign w:val="center"/>
            <w:hideMark/>
          </w:tcPr>
          <w:p w14:paraId="6B662ABF" w14:textId="77777777" w:rsidR="009B74FA" w:rsidRPr="00115E3D" w:rsidRDefault="009B74FA" w:rsidP="00E83E7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982E170" w14:textId="77777777" w:rsidR="009B74FA" w:rsidRPr="00115E3D" w:rsidRDefault="009B74FA" w:rsidP="00E83E74">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D0F6FDD" w14:textId="77777777" w:rsidR="009B74FA" w:rsidRPr="00115E3D" w:rsidRDefault="009B74FA" w:rsidP="00E83E74">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9B74FA" w:rsidRPr="00115E3D" w14:paraId="0A9B4256" w14:textId="77777777" w:rsidTr="00E83E74">
        <w:trPr>
          <w:trHeight w:val="330"/>
        </w:trPr>
        <w:tc>
          <w:tcPr>
            <w:tcW w:w="893" w:type="dxa"/>
            <w:vAlign w:val="center"/>
            <w:hideMark/>
          </w:tcPr>
          <w:p w14:paraId="711C6508" w14:textId="77777777" w:rsidR="009B74FA" w:rsidRPr="00115E3D" w:rsidRDefault="009B74FA" w:rsidP="00E83E7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5CDD70" w14:textId="77777777" w:rsidR="009B74FA" w:rsidRDefault="009B74FA" w:rsidP="00E83E74">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2AA80381" w14:textId="77777777" w:rsidR="009B74FA" w:rsidRPr="00115E3D" w:rsidRDefault="009B74FA" w:rsidP="00E83E74">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9B74FA" w:rsidRPr="00115E3D" w14:paraId="085DD2AA" w14:textId="77777777" w:rsidTr="00E83E74">
        <w:trPr>
          <w:trHeight w:val="300"/>
        </w:trPr>
        <w:tc>
          <w:tcPr>
            <w:tcW w:w="893" w:type="dxa"/>
            <w:vAlign w:val="center"/>
          </w:tcPr>
          <w:p w14:paraId="014C81E3" w14:textId="77777777" w:rsidR="009B74FA" w:rsidRPr="00115E3D" w:rsidRDefault="009B74FA" w:rsidP="00E83E7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F1F8E1F" w14:textId="77777777" w:rsidR="009B74FA" w:rsidRPr="00115E3D" w:rsidRDefault="009B74FA" w:rsidP="00E83E7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289C1EFF" w14:textId="77777777" w:rsidR="009B74FA" w:rsidRPr="00115E3D" w:rsidRDefault="009B74FA" w:rsidP="00E83E7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74C799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588376" w14:textId="77777777" w:rsidR="000068DA" w:rsidRDefault="000068DA" w:rsidP="004A1847">
      <w:pPr>
        <w:spacing w:after="0" w:line="240" w:lineRule="auto"/>
      </w:pPr>
      <w:r>
        <w:separator/>
      </w:r>
    </w:p>
  </w:endnote>
  <w:endnote w:type="continuationSeparator" w:id="0">
    <w:p w14:paraId="6248E18B" w14:textId="77777777" w:rsidR="000068DA" w:rsidRDefault="000068DA" w:rsidP="004A1847">
      <w:pPr>
        <w:spacing w:after="0" w:line="240" w:lineRule="auto"/>
      </w:pPr>
      <w:r>
        <w:continuationSeparator/>
      </w:r>
    </w:p>
  </w:endnote>
  <w:endnote w:type="continuationNotice" w:id="1">
    <w:p w14:paraId="503FFFBD" w14:textId="77777777" w:rsidR="000068DA" w:rsidRDefault="000068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95FC0" w14:textId="77777777" w:rsidR="000068DA" w:rsidRDefault="000068DA" w:rsidP="004A1847">
      <w:pPr>
        <w:spacing w:after="0" w:line="240" w:lineRule="auto"/>
      </w:pPr>
      <w:r>
        <w:separator/>
      </w:r>
    </w:p>
  </w:footnote>
  <w:footnote w:type="continuationSeparator" w:id="0">
    <w:p w14:paraId="28F07150" w14:textId="77777777" w:rsidR="000068DA" w:rsidRDefault="000068DA" w:rsidP="004A1847">
      <w:pPr>
        <w:spacing w:after="0" w:line="240" w:lineRule="auto"/>
      </w:pPr>
      <w:r>
        <w:continuationSeparator/>
      </w:r>
    </w:p>
  </w:footnote>
  <w:footnote w:type="continuationNotice" w:id="1">
    <w:p w14:paraId="19FB28EC" w14:textId="77777777" w:rsidR="000068DA" w:rsidRDefault="000068DA">
      <w:pPr>
        <w:spacing w:after="0" w:line="240" w:lineRule="auto"/>
      </w:pPr>
    </w:p>
  </w:footnote>
  <w:footnote w:id="2">
    <w:p w14:paraId="5F237BEB" w14:textId="77777777" w:rsidR="009B74FA" w:rsidRPr="005E0DA4" w:rsidRDefault="009B74FA" w:rsidP="009B74FA">
      <w:pPr>
        <w:pStyle w:val="Textonotapie"/>
        <w:jc w:val="both"/>
        <w:rPr>
          <w:rFonts w:ascii="Verdana" w:hAnsi="Verdana"/>
          <w:sz w:val="16"/>
          <w:szCs w:val="16"/>
          <w:lang w:val="es-ES"/>
        </w:rPr>
      </w:pPr>
      <w:r>
        <w:rPr>
          <w:rFonts w:ascii="Verdana" w:hAnsi="Verdana"/>
          <w:sz w:val="16"/>
          <w:szCs w:val="16"/>
        </w:rPr>
        <w:t xml:space="preserve"> </w:t>
      </w:r>
      <w:r w:rsidRPr="005E0DA4">
        <w:rPr>
          <w:rStyle w:val="Refdenotaalpie"/>
          <w:rFonts w:ascii="Verdana" w:hAnsi="Verdana"/>
          <w:sz w:val="16"/>
          <w:szCs w:val="16"/>
        </w:rPr>
        <w:footnoteRef/>
      </w:r>
      <w:r>
        <w:rPr>
          <w:rFonts w:ascii="Verdana" w:hAnsi="Verdana"/>
          <w:sz w:val="16"/>
          <w:szCs w:val="16"/>
        </w:rPr>
        <w:t xml:space="preserve"> </w:t>
      </w:r>
      <w:r w:rsidRPr="005E0DA4">
        <w:rPr>
          <w:rFonts w:ascii="Verdana" w:hAnsi="Verdana"/>
          <w:sz w:val="16"/>
          <w:szCs w:val="16"/>
        </w:rPr>
        <w:t>https://www.colombiacompra.gov.co/archivos/manual/manual-para-determinar-y-verificar-los-requisitos-habilitantes-en-los-procesos-de-contratacion</w:t>
      </w:r>
    </w:p>
  </w:footnote>
  <w:footnote w:id="3">
    <w:p w14:paraId="6F55CEAB" w14:textId="77777777" w:rsidR="009B74FA" w:rsidRPr="005E0DA4" w:rsidRDefault="009B74FA" w:rsidP="009B74FA">
      <w:pPr>
        <w:pStyle w:val="Textonotapie"/>
        <w:jc w:val="both"/>
        <w:rPr>
          <w:lang w:val="es-ES"/>
        </w:rPr>
      </w:pPr>
      <w:r>
        <w:rPr>
          <w:rFonts w:ascii="Verdana" w:hAnsi="Verdana"/>
          <w:sz w:val="16"/>
          <w:szCs w:val="16"/>
        </w:rPr>
        <w:t xml:space="preserve"> </w:t>
      </w:r>
      <w:r w:rsidRPr="005E0DA4">
        <w:rPr>
          <w:rStyle w:val="Refdenotaalpie"/>
          <w:rFonts w:ascii="Verdana" w:hAnsi="Verdana"/>
          <w:sz w:val="16"/>
          <w:szCs w:val="16"/>
        </w:rPr>
        <w:footnoteRef/>
      </w:r>
      <w:r w:rsidRPr="005E0DA4">
        <w:rPr>
          <w:rFonts w:ascii="Verdana" w:hAnsi="Verdana"/>
          <w:sz w:val="16"/>
          <w:szCs w:val="16"/>
        </w:rPr>
        <w:t xml:space="preserve"> https://www.colombiacompra.gov.co/wp-content/uploads/2024/08/cce_guia_proveedores_extranjeros.pdf</w:t>
      </w:r>
      <w:r>
        <w:t xml:space="preserve"> </w:t>
      </w:r>
    </w:p>
  </w:footnote>
  <w:footnote w:id="4">
    <w:p w14:paraId="49E67054" w14:textId="77777777" w:rsidR="009B74FA" w:rsidRPr="00045DDA" w:rsidRDefault="009B74FA" w:rsidP="009B74FA">
      <w:pPr>
        <w:pStyle w:val="NormalWeb"/>
        <w:spacing w:after="0" w:afterAutospacing="0"/>
        <w:ind w:firstLine="709"/>
        <w:contextualSpacing/>
        <w:jc w:val="both"/>
        <w:rPr>
          <w:rFonts w:ascii="Verdana" w:hAnsi="Verdana" w:cs="Arial"/>
          <w:sz w:val="14"/>
          <w:szCs w:val="14"/>
        </w:rPr>
      </w:pPr>
      <w:r w:rsidRPr="00045DDA">
        <w:rPr>
          <w:rStyle w:val="Refdenotaalpie"/>
          <w:rFonts w:ascii="Verdana" w:hAnsi="Verdana" w:cs="Arial"/>
          <w:sz w:val="14"/>
          <w:szCs w:val="14"/>
        </w:rPr>
        <w:footnoteRef/>
      </w:r>
      <w:r w:rsidRPr="00045DDA">
        <w:rPr>
          <w:rFonts w:ascii="Verdana" w:hAnsi="Verdana" w:cs="Arial"/>
          <w:sz w:val="14"/>
          <w:szCs w:val="14"/>
        </w:rPr>
        <w:t xml:space="preserve"> </w:t>
      </w:r>
      <w:r w:rsidRPr="00045DDA">
        <w:rPr>
          <w:rFonts w:ascii="Verdana" w:hAnsi="Verdana" w:cs="Arial"/>
          <w:sz w:val="14"/>
          <w:szCs w:val="14"/>
          <w:lang w:val="es-ES"/>
        </w:rPr>
        <w:t>“</w:t>
      </w:r>
      <w:r w:rsidRPr="00045DDA">
        <w:rPr>
          <w:rFonts w:ascii="Verdana" w:hAnsi="Verdana" w:cs="Arial"/>
          <w:sz w:val="14"/>
          <w:szCs w:val="14"/>
        </w:rPr>
        <w:t>Para poder participar en los procesos de selección de los contratos de obra, la capacidad residual del proponente o K de contratación deberá ser igual o superior al que la entidad haya establecido para el efecto en los pliegos de condiciones. 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5">
    <w:p w14:paraId="28702A3F" w14:textId="77777777" w:rsidR="009B74FA" w:rsidRPr="005A3A3B" w:rsidRDefault="009B74FA" w:rsidP="009B74FA">
      <w:pPr>
        <w:pStyle w:val="Textonotapie"/>
        <w:contextualSpacing/>
        <w:rPr>
          <w:rFonts w:ascii="Verdana" w:hAnsi="Verdana"/>
          <w:sz w:val="14"/>
          <w:szCs w:val="14"/>
          <w:lang w:val="es-ES"/>
        </w:rPr>
      </w:pPr>
      <w:r>
        <w:rPr>
          <w:rFonts w:ascii="Verdana" w:hAnsi="Verdana"/>
          <w:sz w:val="14"/>
          <w:szCs w:val="14"/>
        </w:rPr>
        <w:t xml:space="preserve">                </w:t>
      </w:r>
      <w:r w:rsidRPr="005A3A3B">
        <w:rPr>
          <w:rStyle w:val="Refdenotaalpie"/>
          <w:rFonts w:ascii="Verdana" w:hAnsi="Verdana"/>
          <w:sz w:val="14"/>
          <w:szCs w:val="14"/>
        </w:rPr>
        <w:footnoteRef/>
      </w:r>
      <w:r w:rsidRPr="005A3A3B">
        <w:rPr>
          <w:rFonts w:ascii="Verdana" w:hAnsi="Verdana"/>
          <w:sz w:val="14"/>
          <w:szCs w:val="14"/>
        </w:rPr>
        <w:t>Disponible en: https://www.colombiacompra.gov.co/archivos/manual/manual-para-determinar-y-verificar-los-requisitos-habilitantes-en-los-procesos-de-contratacion</w:t>
      </w:r>
    </w:p>
  </w:footnote>
  <w:footnote w:id="6">
    <w:p w14:paraId="721183A8" w14:textId="77777777" w:rsidR="009B74FA" w:rsidRPr="002F50D4" w:rsidRDefault="009B74FA" w:rsidP="009B74FA">
      <w:pPr>
        <w:pStyle w:val="NormalWeb"/>
        <w:spacing w:after="0" w:afterAutospacing="0"/>
        <w:contextualSpacing/>
        <w:jc w:val="both"/>
        <w:rPr>
          <w:rFonts w:ascii="Verdana" w:hAnsi="Verdana" w:cs="Arial"/>
          <w:sz w:val="14"/>
          <w:szCs w:val="14"/>
          <w:lang w:val="es-ES"/>
        </w:rPr>
      </w:pPr>
      <w:r>
        <w:rPr>
          <w:rFonts w:ascii="Verdana" w:hAnsi="Verdana" w:cs="Arial"/>
          <w:sz w:val="14"/>
          <w:szCs w:val="14"/>
        </w:rPr>
        <w:t xml:space="preserve">                </w:t>
      </w:r>
      <w:r w:rsidRPr="002F50D4">
        <w:rPr>
          <w:rStyle w:val="Refdenotaalpie"/>
          <w:rFonts w:ascii="Verdana" w:hAnsi="Verdana" w:cs="Arial"/>
          <w:sz w:val="14"/>
          <w:szCs w:val="14"/>
        </w:rPr>
        <w:footnoteRef/>
      </w:r>
      <w:r w:rsidRPr="002F50D4">
        <w:rPr>
          <w:rStyle w:val="Refdenotaalpie"/>
          <w:rFonts w:ascii="Verdana" w:hAnsi="Verdana" w:cs="Arial"/>
          <w:sz w:val="14"/>
          <w:szCs w:val="14"/>
        </w:rPr>
        <w:t xml:space="preserve"> “</w:t>
      </w:r>
      <w:r w:rsidRPr="002F50D4">
        <w:rPr>
          <w:rFonts w:ascii="Verdana" w:hAnsi="Verdana" w:cs="Arial"/>
          <w:sz w:val="14"/>
          <w:szCs w:val="14"/>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24F4BCE4" w14:textId="77777777" w:rsidR="009B74FA" w:rsidRPr="002F50D4" w:rsidRDefault="009B74FA" w:rsidP="009B74FA">
      <w:pPr>
        <w:pStyle w:val="NormalWeb"/>
        <w:spacing w:after="0" w:afterAutospacing="0"/>
        <w:ind w:firstLine="709"/>
        <w:contextualSpacing/>
        <w:jc w:val="both"/>
        <w:rPr>
          <w:rFonts w:ascii="Verdana" w:hAnsi="Verdana" w:cs="Arial"/>
          <w:sz w:val="14"/>
          <w:szCs w:val="14"/>
          <w:lang w:val="es-ES"/>
        </w:rPr>
      </w:pPr>
      <w:r w:rsidRPr="002F50D4">
        <w:rPr>
          <w:rFonts w:ascii="Verdana" w:hAnsi="Verdana" w:cs="Arial"/>
          <w:sz w:val="14"/>
          <w:szCs w:val="14"/>
          <w:lang w:val="es-ES"/>
        </w:rPr>
        <w:t>“Parágrafo Transitorio. </w:t>
      </w:r>
      <w:hyperlink r:id="rId1" w:tgtFrame="_blank" w:history="1">
        <w:r w:rsidRPr="002F50D4">
          <w:rPr>
            <w:sz w:val="14"/>
            <w:szCs w:val="14"/>
          </w:rPr>
          <w:t>https://colaboracion.dnp.gov.co/CDT/Normatividad/DECRETO 579 DEL 31 DE MAYO DE 2021.pdf</w:t>
        </w:r>
      </w:hyperlink>
      <w:r w:rsidRPr="002F50D4">
        <w:rPr>
          <w:rFonts w:ascii="Verdana" w:hAnsi="Verdana" w:cs="Arial"/>
          <w:sz w:val="14"/>
          <w:szCs w:val="14"/>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  </w:t>
      </w:r>
    </w:p>
    <w:p w14:paraId="5BFF5037" w14:textId="77777777" w:rsidR="009B74FA" w:rsidRPr="002F50D4" w:rsidRDefault="009B74FA" w:rsidP="009B74FA">
      <w:pPr>
        <w:pStyle w:val="NormalWeb"/>
        <w:spacing w:after="0" w:afterAutospacing="0"/>
        <w:ind w:firstLine="709"/>
        <w:contextualSpacing/>
        <w:jc w:val="both"/>
        <w:rPr>
          <w:rFonts w:ascii="Verdana" w:hAnsi="Verdana" w:cs="Arial"/>
          <w:sz w:val="14"/>
          <w:szCs w:val="14"/>
          <w:lang w:val="es-ES"/>
        </w:rPr>
      </w:pPr>
      <w:r w:rsidRPr="002F50D4">
        <w:rPr>
          <w:rFonts w:ascii="Verdana" w:hAnsi="Verdana" w:cs="Arial"/>
          <w:sz w:val="14"/>
          <w:szCs w:val="14"/>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2F50D4">
        <w:rPr>
          <w:rFonts w:ascii="Arial" w:hAnsi="Arial" w:cs="Arial"/>
          <w:sz w:val="14"/>
          <w:szCs w:val="14"/>
          <w:lang w:val="es-ES"/>
        </w:rPr>
        <w:t>​</w:t>
      </w:r>
      <w:r w:rsidRPr="002F50D4">
        <w:rPr>
          <w:rFonts w:ascii="Verdana" w:hAnsi="Verdana" w:cs="Arial"/>
          <w:sz w:val="14"/>
          <w:szCs w:val="14"/>
          <w:lang w:val="es-ES"/>
        </w:rPr>
        <w:t>”.</w:t>
      </w:r>
    </w:p>
    <w:p w14:paraId="6CB54291" w14:textId="77777777" w:rsidR="009B74FA" w:rsidRPr="00045DDA" w:rsidRDefault="009B74FA" w:rsidP="009B74FA">
      <w:pPr>
        <w:pStyle w:val="NormalWeb"/>
        <w:spacing w:after="0" w:afterAutospacing="0"/>
        <w:ind w:firstLine="709"/>
        <w:contextualSpacing/>
        <w:jc w:val="both"/>
        <w:rPr>
          <w:rStyle w:val="Refdenotaalpie"/>
          <w:rFonts w:ascii="Verdana" w:hAnsi="Verdana" w:cs="Arial"/>
          <w:sz w:val="14"/>
          <w:szCs w:val="14"/>
        </w:rPr>
      </w:pPr>
    </w:p>
  </w:footnote>
  <w:footnote w:id="7">
    <w:p w14:paraId="00C7A6CC" w14:textId="77777777" w:rsidR="009B74FA" w:rsidRPr="005E0DA4" w:rsidRDefault="009B74FA" w:rsidP="009B74FA">
      <w:pPr>
        <w:pStyle w:val="Textonotapie"/>
        <w:jc w:val="both"/>
        <w:rPr>
          <w:lang w:val="es-ES"/>
        </w:rPr>
      </w:pPr>
      <w:r>
        <w:rPr>
          <w:rStyle w:val="Refdenotaalpie"/>
        </w:rPr>
        <w:footnoteRef/>
      </w:r>
      <w:r>
        <w:t xml:space="preserve"> </w:t>
      </w:r>
      <w:r w:rsidRPr="005E0DA4">
        <w:rPr>
          <w:rStyle w:val="Refdenotaalpie"/>
          <w:rFonts w:ascii="Verdana" w:hAnsi="Verdana"/>
          <w:sz w:val="16"/>
          <w:szCs w:val="16"/>
        </w:rPr>
        <w:footnoteRef/>
      </w:r>
      <w:r w:rsidRPr="005E0DA4">
        <w:rPr>
          <w:rFonts w:ascii="Verdana" w:hAnsi="Verdana"/>
          <w:sz w:val="16"/>
          <w:szCs w:val="16"/>
        </w:rPr>
        <w:t xml:space="preserve"> https://www.colombiacompra.gov.co/wp-content/uploads/2024/08/cce_guia_proveedores_extranjeros.pdf</w:t>
      </w:r>
      <w:r>
        <w:t xml:space="preserve"> </w:t>
      </w:r>
    </w:p>
    <w:p w14:paraId="065685CD" w14:textId="77777777" w:rsidR="009B74FA" w:rsidRPr="005018F0" w:rsidRDefault="009B74FA" w:rsidP="009B74FA">
      <w:pPr>
        <w:pStyle w:val="Textonotapie"/>
        <w:rPr>
          <w:lang w:val="es-ES"/>
        </w:rPr>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8DA"/>
    <w:rsid w:val="00016F78"/>
    <w:rsid w:val="00046945"/>
    <w:rsid w:val="00061B2A"/>
    <w:rsid w:val="000758EB"/>
    <w:rsid w:val="00075B38"/>
    <w:rsid w:val="00082362"/>
    <w:rsid w:val="000A683E"/>
    <w:rsid w:val="000B19B9"/>
    <w:rsid w:val="000D0334"/>
    <w:rsid w:val="000D5DA7"/>
    <w:rsid w:val="000F6486"/>
    <w:rsid w:val="00116940"/>
    <w:rsid w:val="00125105"/>
    <w:rsid w:val="00127233"/>
    <w:rsid w:val="0015699B"/>
    <w:rsid w:val="00184413"/>
    <w:rsid w:val="001A33BF"/>
    <w:rsid w:val="001D71D3"/>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1FF6"/>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863D5"/>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4D33"/>
    <w:rsid w:val="009B2D26"/>
    <w:rsid w:val="009B74FA"/>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327B"/>
    <w:rsid w:val="00BF7425"/>
    <w:rsid w:val="00C04FB3"/>
    <w:rsid w:val="00C11D8B"/>
    <w:rsid w:val="00C15139"/>
    <w:rsid w:val="00C330EB"/>
    <w:rsid w:val="00C50D69"/>
    <w:rsid w:val="00C5365C"/>
    <w:rsid w:val="00C754BE"/>
    <w:rsid w:val="00C76B1C"/>
    <w:rsid w:val="00C925AC"/>
    <w:rsid w:val="00CB1C73"/>
    <w:rsid w:val="00CB6357"/>
    <w:rsid w:val="00CC1B26"/>
    <w:rsid w:val="00CE51A3"/>
    <w:rsid w:val="00D361FD"/>
    <w:rsid w:val="00D423A2"/>
    <w:rsid w:val="00D44E26"/>
    <w:rsid w:val="00D520D8"/>
    <w:rsid w:val="00D63AC2"/>
    <w:rsid w:val="00D735D4"/>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B74F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B74FA"/>
    <w:rPr>
      <w:rFonts w:ascii="Geomanist Light" w:hAnsi="Geomanist Light"/>
      <w:lang w:val="es-ES"/>
    </w:rPr>
  </w:style>
  <w:style w:type="character" w:customStyle="1" w:styleId="NormalWebCar">
    <w:name w:val="Normal (Web) Car"/>
    <w:link w:val="NormalWeb"/>
    <w:uiPriority w:val="99"/>
    <w:locked/>
    <w:rsid w:val="009B74FA"/>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therine.barrera@construplan.com.mx"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Normatividad/DECRETO%20579%20DEL%2031%20DE%20MAYO%20DE%20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C37B418-95AE-4559-8EF5-F2794E3F44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14</Pages>
  <Words>4295</Words>
  <Characters>23623</Characters>
  <Application>Microsoft Office Word</Application>
  <DocSecurity>0</DocSecurity>
  <Lines>196</Lines>
  <Paragraphs>55</Paragraphs>
  <ScaleCrop>false</ScaleCrop>
  <Company/>
  <LinksUpToDate>false</LinksUpToDate>
  <CharactersWithSpaces>27863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4</cp:revision>
  <cp:lastPrinted>2023-01-10T21:18:00Z</cp:lastPrinted>
  <dcterms:created xsi:type="dcterms:W3CDTF">2026-06-02T15:10:00Z</dcterms:created>
  <dcterms:modified xsi:type="dcterms:W3CDTF">2026-06-03T12:57:00Z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